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9A62DD">
        <w:tc>
          <w:tcPr>
            <w:tcW w:w="7069" w:type="dxa"/>
            <w:gridSpan w:val="2"/>
          </w:tcPr>
          <w:p w:rsidR="002D6488" w:rsidRPr="00AA6BF1" w:rsidRDefault="002D6488" w:rsidP="002D6488">
            <w:pPr>
              <w:pStyle w:val="Committee"/>
              <w:bidi/>
              <w:rPr>
                <w:rtl/>
                <w:lang w:val="en-US" w:bidi="ar-EG"/>
              </w:rPr>
            </w:pPr>
          </w:p>
        </w:tc>
        <w:tc>
          <w:tcPr>
            <w:tcW w:w="2570" w:type="dxa"/>
          </w:tcPr>
          <w:p w:rsidR="002D6488" w:rsidRPr="002D6488" w:rsidRDefault="002D6488" w:rsidP="00557376">
            <w:pPr>
              <w:spacing w:before="60" w:after="60" w:line="340" w:lineRule="exact"/>
              <w:rPr>
                <w:b/>
                <w:bCs/>
                <w:rtl/>
                <w:lang w:bidi="ar-EG"/>
              </w:rPr>
            </w:pPr>
            <w:r w:rsidRPr="002D6488">
              <w:rPr>
                <w:rFonts w:hint="cs"/>
                <w:b/>
                <w:bCs/>
                <w:rtl/>
                <w:lang w:bidi="ar-EG"/>
              </w:rPr>
              <w:t xml:space="preserve">الوثيقة </w:t>
            </w:r>
            <w:r w:rsidR="0056509A">
              <w:rPr>
                <w:b/>
                <w:bCs/>
                <w:lang w:bidi="ar-EG"/>
              </w:rPr>
              <w:t>TDAG17-22</w:t>
            </w:r>
            <w:r w:rsidRPr="002D6488">
              <w:rPr>
                <w:b/>
                <w:bCs/>
                <w:lang w:bidi="ar-EG"/>
              </w:rPr>
              <w:t>/</w:t>
            </w:r>
            <w:r w:rsidR="00557376">
              <w:rPr>
                <w:b/>
                <w:bCs/>
                <w:lang w:bidi="ar-EG"/>
              </w:rPr>
              <w:t>29</w:t>
            </w:r>
            <w:r w:rsidR="00D94196">
              <w:rPr>
                <w:b/>
                <w:bCs/>
                <w:lang w:bidi="ar-EG"/>
              </w:rPr>
              <w:t>-A</w:t>
            </w:r>
          </w:p>
        </w:tc>
      </w:tr>
      <w:tr w:rsidR="002D6488" w:rsidTr="009A62DD">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D72469" w:rsidP="002D6488">
            <w:pPr>
              <w:spacing w:before="60" w:after="60" w:line="340" w:lineRule="exact"/>
              <w:rPr>
                <w:b/>
                <w:bCs/>
                <w:lang w:bidi="ar-EG"/>
              </w:rPr>
            </w:pPr>
            <w:r>
              <w:rPr>
                <w:b/>
                <w:bCs/>
                <w:lang w:bidi="ar-EG"/>
              </w:rPr>
              <w:t>26</w:t>
            </w:r>
            <w:r>
              <w:rPr>
                <w:rFonts w:hint="cs"/>
                <w:b/>
                <w:bCs/>
                <w:rtl/>
                <w:lang w:bidi="ar-EG"/>
              </w:rPr>
              <w:t xml:space="preserve"> أبريل </w:t>
            </w:r>
            <w:r>
              <w:rPr>
                <w:b/>
                <w:bCs/>
                <w:lang w:bidi="ar-EG"/>
              </w:rPr>
              <w:t>2017</w:t>
            </w:r>
          </w:p>
        </w:tc>
      </w:tr>
      <w:tr w:rsidR="002D6488" w:rsidTr="009A62DD">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557376" w:rsidP="00557376">
            <w:pPr>
              <w:spacing w:before="60" w:after="60" w:line="340" w:lineRule="exact"/>
              <w:rPr>
                <w:b/>
                <w:bCs/>
                <w:rtl/>
                <w:lang w:bidi="ar-EG"/>
              </w:rPr>
            </w:pPr>
            <w:r w:rsidRPr="00557376">
              <w:rPr>
                <w:rFonts w:hint="cs"/>
                <w:b/>
                <w:bCs/>
                <w:rtl/>
              </w:rPr>
              <w:t>الأصل</w:t>
            </w:r>
            <w:r w:rsidRPr="00557376">
              <w:rPr>
                <w:b/>
                <w:bCs/>
                <w:rtl/>
              </w:rPr>
              <w:t xml:space="preserve">: </w:t>
            </w:r>
            <w:bookmarkStart w:id="0" w:name="Original"/>
            <w:bookmarkEnd w:id="0"/>
            <w:r w:rsidRPr="00557376">
              <w:rPr>
                <w:rFonts w:hint="cs"/>
                <w:b/>
                <w:bCs/>
                <w:rtl/>
              </w:rPr>
              <w:t>بالإنكليزية</w:t>
            </w:r>
          </w:p>
        </w:tc>
      </w:tr>
      <w:tr w:rsidR="002D6488" w:rsidTr="009A62DD">
        <w:tc>
          <w:tcPr>
            <w:tcW w:w="9639" w:type="dxa"/>
            <w:gridSpan w:val="3"/>
          </w:tcPr>
          <w:p w:rsidR="002D6488" w:rsidRDefault="00D72469" w:rsidP="006867B3">
            <w:pPr>
              <w:pStyle w:val="Source"/>
              <w:spacing w:after="0"/>
              <w:rPr>
                <w:rtl/>
              </w:rPr>
            </w:pPr>
            <w:r w:rsidRPr="00D72469">
              <w:rPr>
                <w:rtl/>
                <w:lang w:bidi="ar-SA"/>
              </w:rPr>
              <w:t>مدير مكتب تنمية الاتصالات</w:t>
            </w:r>
          </w:p>
        </w:tc>
      </w:tr>
      <w:tr w:rsidR="00707FC4" w:rsidTr="009A62DD">
        <w:tc>
          <w:tcPr>
            <w:tcW w:w="9639" w:type="dxa"/>
            <w:gridSpan w:val="3"/>
          </w:tcPr>
          <w:p w:rsidR="00707FC4" w:rsidRDefault="00D72469" w:rsidP="00D72469">
            <w:pPr>
              <w:pStyle w:val="Title1"/>
              <w:rPr>
                <w:rtl/>
              </w:rPr>
            </w:pPr>
            <w:r w:rsidRPr="00D72469">
              <w:rPr>
                <w:rFonts w:hint="cs"/>
                <w:rtl/>
                <w:lang w:bidi="ar-SA"/>
              </w:rPr>
              <w:t>الشراكة وتعبئة الموارد بقطاع تنمية الاتصالات</w:t>
            </w:r>
          </w:p>
        </w:tc>
      </w:tr>
    </w:tbl>
    <w:p w:rsidR="006157A3" w:rsidRDefault="006157A3" w:rsidP="008B5B5D">
      <w:pPr>
        <w:rPr>
          <w:rtl/>
          <w:lang w:bidi="ar-EG"/>
        </w:rPr>
      </w:pPr>
    </w:p>
    <w:tbl>
      <w:tblPr>
        <w:tblStyle w:val="TableGrid"/>
        <w:bidiVisual/>
        <w:tblW w:w="0" w:type="auto"/>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014"/>
      </w:tblGrid>
      <w:tr w:rsidR="006E77E7" w:rsidTr="00262CAF">
        <w:trPr>
          <w:jc w:val="center"/>
        </w:trPr>
        <w:tc>
          <w:tcPr>
            <w:tcW w:w="9014" w:type="dxa"/>
          </w:tcPr>
          <w:p w:rsidR="006E77E7"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ملخص:</w:t>
            </w:r>
          </w:p>
          <w:p w:rsidR="0056509A" w:rsidRDefault="00D72469" w:rsidP="005F248A">
            <w:pPr>
              <w:tabs>
                <w:tab w:val="clear" w:pos="1134"/>
                <w:tab w:val="left" w:pos="1701"/>
              </w:tabs>
              <w:spacing w:before="60" w:after="60"/>
              <w:rPr>
                <w:rtl/>
                <w:lang w:bidi="ar-EG"/>
              </w:rPr>
            </w:pPr>
            <w:r w:rsidRPr="00D72469">
              <w:rPr>
                <w:rFonts w:hint="cs"/>
                <w:rtl/>
                <w:lang w:bidi="ar-JO"/>
              </w:rPr>
              <w:t xml:space="preserve">أبرز المؤتمر العالمي لتنمية الاتصالات لعام </w:t>
            </w:r>
            <w:r w:rsidRPr="00D72469">
              <w:rPr>
                <w:lang w:bidi="ar-EG"/>
              </w:rPr>
              <w:t>2014</w:t>
            </w:r>
            <w:r w:rsidRPr="00D72469">
              <w:rPr>
                <w:rFonts w:hint="cs"/>
                <w:rtl/>
                <w:lang w:bidi="ar-JO"/>
              </w:rPr>
              <w:t xml:space="preserve"> </w:t>
            </w:r>
            <w:r w:rsidRPr="00D72469">
              <w:rPr>
                <w:lang w:bidi="ar-EG"/>
              </w:rPr>
              <w:t>(WTDC-14)</w:t>
            </w:r>
            <w:r w:rsidRPr="00D72469">
              <w:rPr>
                <w:rFonts w:hint="cs"/>
                <w:rtl/>
                <w:lang w:bidi="ar-JO"/>
              </w:rPr>
              <w:t xml:space="preserve"> أهمية الشراكة وتعبئة الموارد. وفي</w:t>
            </w:r>
            <w:r w:rsidRPr="00D72469">
              <w:rPr>
                <w:rFonts w:hint="eastAsia"/>
                <w:rtl/>
                <w:lang w:bidi="ar-JO"/>
              </w:rPr>
              <w:t> </w:t>
            </w:r>
            <w:r w:rsidRPr="00D72469">
              <w:rPr>
                <w:rFonts w:hint="cs"/>
                <w:rtl/>
                <w:lang w:bidi="ar-JO"/>
              </w:rPr>
              <w:t>هذا الإطار، نفذ مكتب تنمية الاتصالات العديد من الأنشطة والمبادرات والمشاريع لتعزيز الشراكة وتعبئة الموارد. و</w:t>
            </w:r>
            <w:r w:rsidR="001A5B6B">
              <w:rPr>
                <w:rFonts w:hint="cs"/>
                <w:rtl/>
                <w:lang w:bidi="ar-JO"/>
              </w:rPr>
              <w:t>يرد في</w:t>
            </w:r>
            <w:r w:rsidRPr="00D72469">
              <w:rPr>
                <w:rFonts w:hint="cs"/>
                <w:rtl/>
                <w:lang w:bidi="ar-JO"/>
              </w:rPr>
              <w:t xml:space="preserve"> هذه الوثيقة عرض عام للنتائج التي </w:t>
            </w:r>
            <w:r w:rsidR="005F248A">
              <w:rPr>
                <w:rFonts w:hint="cs"/>
                <w:rtl/>
                <w:lang w:bidi="ar-JO"/>
              </w:rPr>
              <w:t xml:space="preserve">تحققت </w:t>
            </w:r>
            <w:r w:rsidR="00305AC3">
              <w:rPr>
                <w:rFonts w:hint="cs"/>
                <w:rtl/>
                <w:lang w:bidi="ar-JO"/>
              </w:rPr>
              <w:t>ف</w:t>
            </w:r>
            <w:r w:rsidR="005F248A">
              <w:rPr>
                <w:rFonts w:hint="cs"/>
                <w:rtl/>
                <w:lang w:bidi="ar-JO"/>
              </w:rPr>
              <w:t>ي هذا الصدد</w:t>
            </w:r>
            <w:r w:rsidRPr="00D72469">
              <w:rPr>
                <w:rFonts w:hint="cs"/>
                <w:rtl/>
                <w:lang w:bidi="ar-JO"/>
              </w:rPr>
              <w:t xml:space="preserve"> على الصعيدين الإقليمي</w:t>
            </w:r>
            <w:r w:rsidRPr="00D72469">
              <w:rPr>
                <w:rFonts w:hint="eastAsia"/>
                <w:rtl/>
                <w:lang w:bidi="ar-JO"/>
              </w:rPr>
              <w:t> </w:t>
            </w:r>
            <w:r w:rsidRPr="00D72469">
              <w:rPr>
                <w:rFonts w:hint="cs"/>
                <w:rtl/>
                <w:lang w:bidi="ar-JO"/>
              </w:rPr>
              <w:t>والعالمي.</w:t>
            </w:r>
          </w:p>
          <w:p w:rsidR="0056509A" w:rsidRPr="0056509A" w:rsidRDefault="0056509A" w:rsidP="00262CAF">
            <w:pPr>
              <w:tabs>
                <w:tab w:val="clear" w:pos="1134"/>
                <w:tab w:val="left" w:pos="1701"/>
              </w:tabs>
              <w:spacing w:before="160" w:after="60"/>
              <w:rPr>
                <w:b/>
                <w:bCs/>
                <w:rtl/>
                <w:lang w:bidi="ar-EG"/>
              </w:rPr>
            </w:pPr>
            <w:r w:rsidRPr="0056509A">
              <w:rPr>
                <w:rFonts w:hint="cs"/>
                <w:b/>
                <w:bCs/>
                <w:rtl/>
                <w:lang w:bidi="ar-EG"/>
              </w:rPr>
              <w:t>الإجراء المطلوب:</w:t>
            </w:r>
          </w:p>
          <w:p w:rsidR="0056509A" w:rsidRDefault="00D72469" w:rsidP="00262CAF">
            <w:pPr>
              <w:tabs>
                <w:tab w:val="clear" w:pos="1134"/>
                <w:tab w:val="left" w:pos="1701"/>
              </w:tabs>
              <w:spacing w:before="60" w:after="60"/>
              <w:rPr>
                <w:rtl/>
                <w:lang w:bidi="ar-EG"/>
              </w:rPr>
            </w:pPr>
            <w:r w:rsidRPr="00813F4E">
              <w:rPr>
                <w:rFonts w:hint="cs"/>
                <w:rtl/>
              </w:rPr>
              <w:t xml:space="preserve">يُدعى </w:t>
            </w:r>
            <w:r w:rsidRPr="00813F4E">
              <w:rPr>
                <w:rFonts w:hint="eastAsia"/>
                <w:rtl/>
              </w:rPr>
              <w:t>الفريق</w:t>
            </w:r>
            <w:r w:rsidRPr="00813F4E">
              <w:rPr>
                <w:rtl/>
              </w:rPr>
              <w:t xml:space="preserve"> </w:t>
            </w:r>
            <w:r w:rsidRPr="00813F4E">
              <w:rPr>
                <w:rFonts w:hint="eastAsia"/>
                <w:rtl/>
              </w:rPr>
              <w:t>الاستشاري</w:t>
            </w:r>
            <w:r w:rsidRPr="00813F4E">
              <w:rPr>
                <w:rtl/>
              </w:rPr>
              <w:t xml:space="preserve"> </w:t>
            </w:r>
            <w:r w:rsidRPr="00813F4E">
              <w:rPr>
                <w:rFonts w:hint="eastAsia"/>
                <w:rtl/>
              </w:rPr>
              <w:t>لتنمية</w:t>
            </w:r>
            <w:r w:rsidRPr="00813F4E">
              <w:rPr>
                <w:rtl/>
              </w:rPr>
              <w:t xml:space="preserve"> </w:t>
            </w:r>
            <w:r w:rsidRPr="00813F4E">
              <w:rPr>
                <w:rFonts w:hint="eastAsia"/>
                <w:rtl/>
              </w:rPr>
              <w:t>الاتصالات</w:t>
            </w:r>
            <w:r w:rsidRPr="00813F4E">
              <w:rPr>
                <w:rFonts w:hint="cs"/>
                <w:rtl/>
              </w:rPr>
              <w:t xml:space="preserve"> </w:t>
            </w:r>
            <w:r w:rsidRPr="00813F4E">
              <w:rPr>
                <w:lang w:bidi="ar-EG"/>
              </w:rPr>
              <w:t>(TDAG)</w:t>
            </w:r>
            <w:r w:rsidRPr="00813F4E">
              <w:rPr>
                <w:rtl/>
              </w:rPr>
              <w:t xml:space="preserve"> </w:t>
            </w:r>
            <w:r w:rsidRPr="00813F4E">
              <w:rPr>
                <w:rFonts w:hint="cs"/>
                <w:rtl/>
                <w:lang w:bidi="ar-EG"/>
              </w:rPr>
              <w:t>إلى الإحاطة</w:t>
            </w:r>
            <w:r w:rsidR="001E65A0">
              <w:rPr>
                <w:rFonts w:hint="cs"/>
                <w:rtl/>
                <w:lang w:bidi="ar-EG"/>
              </w:rPr>
              <w:t xml:space="preserve"> علماً</w:t>
            </w:r>
            <w:r w:rsidRPr="00813F4E">
              <w:rPr>
                <w:rtl/>
              </w:rPr>
              <w:t xml:space="preserve"> </w:t>
            </w:r>
            <w:r w:rsidR="00262CAF" w:rsidRPr="00813F4E">
              <w:rPr>
                <w:rFonts w:hint="eastAsia"/>
                <w:rtl/>
              </w:rPr>
              <w:t>بهذ</w:t>
            </w:r>
            <w:r w:rsidR="00262CAF" w:rsidRPr="00813F4E">
              <w:rPr>
                <w:rFonts w:hint="cs"/>
                <w:rtl/>
              </w:rPr>
              <w:t>ه الوثيقة</w:t>
            </w:r>
            <w:r w:rsidRPr="00813F4E">
              <w:rPr>
                <w:rtl/>
              </w:rPr>
              <w:t xml:space="preserve"> </w:t>
            </w:r>
            <w:r w:rsidRPr="00813F4E">
              <w:rPr>
                <w:rFonts w:hint="cs"/>
                <w:rtl/>
              </w:rPr>
              <w:t>وتقديم</w:t>
            </w:r>
            <w:r w:rsidRPr="00813F4E">
              <w:rPr>
                <w:rtl/>
              </w:rPr>
              <w:t xml:space="preserve"> </w:t>
            </w:r>
            <w:r w:rsidRPr="00813F4E">
              <w:rPr>
                <w:rFonts w:hint="eastAsia"/>
                <w:rtl/>
              </w:rPr>
              <w:t>ما</w:t>
            </w:r>
            <w:r w:rsidRPr="00813F4E">
              <w:rPr>
                <w:rtl/>
              </w:rPr>
              <w:t xml:space="preserve"> </w:t>
            </w:r>
            <w:r w:rsidRPr="00813F4E">
              <w:rPr>
                <w:rFonts w:hint="eastAsia"/>
                <w:rtl/>
              </w:rPr>
              <w:t>ي</w:t>
            </w:r>
            <w:r w:rsidRPr="00813F4E">
              <w:rPr>
                <w:rFonts w:hint="cs"/>
                <w:rtl/>
              </w:rPr>
              <w:t>راه مناسباً</w:t>
            </w:r>
            <w:r w:rsidRPr="00813F4E">
              <w:rPr>
                <w:rtl/>
              </w:rPr>
              <w:t xml:space="preserve"> </w:t>
            </w:r>
            <w:r w:rsidRPr="00813F4E">
              <w:rPr>
                <w:rFonts w:hint="eastAsia"/>
                <w:rtl/>
              </w:rPr>
              <w:t>من</w:t>
            </w:r>
            <w:r w:rsidRPr="00813F4E">
              <w:rPr>
                <w:rtl/>
              </w:rPr>
              <w:t xml:space="preserve"> </w:t>
            </w:r>
            <w:r w:rsidRPr="00813F4E">
              <w:rPr>
                <w:rFonts w:hint="eastAsia"/>
                <w:rtl/>
              </w:rPr>
              <w:t>التوجيهات</w:t>
            </w:r>
            <w:r w:rsidRPr="00813F4E">
              <w:rPr>
                <w:rtl/>
              </w:rPr>
              <w:t xml:space="preserve"> </w:t>
            </w:r>
            <w:r w:rsidRPr="00813F4E">
              <w:rPr>
                <w:rFonts w:hint="eastAsia"/>
                <w:rtl/>
              </w:rPr>
              <w:t>ذات</w:t>
            </w:r>
            <w:r w:rsidR="00262CAF" w:rsidRPr="00813F4E">
              <w:rPr>
                <w:rFonts w:hint="cs"/>
                <w:rtl/>
              </w:rPr>
              <w:t> </w:t>
            </w:r>
            <w:r w:rsidRPr="00813F4E">
              <w:rPr>
                <w:rFonts w:hint="eastAsia"/>
                <w:rtl/>
              </w:rPr>
              <w:t>الصلة</w:t>
            </w:r>
            <w:r w:rsidRPr="00813F4E">
              <w:rPr>
                <w:rFonts w:hint="cs"/>
                <w:rtl/>
              </w:rPr>
              <w:t>.</w:t>
            </w:r>
          </w:p>
          <w:p w:rsidR="0056509A" w:rsidRPr="0056509A" w:rsidRDefault="0056509A" w:rsidP="00262CAF">
            <w:pPr>
              <w:tabs>
                <w:tab w:val="clear" w:pos="1134"/>
                <w:tab w:val="left" w:pos="1701"/>
              </w:tabs>
              <w:spacing w:before="160" w:after="60"/>
              <w:rPr>
                <w:b/>
                <w:bCs/>
                <w:rtl/>
                <w:lang w:bidi="ar-EG"/>
              </w:rPr>
            </w:pPr>
            <w:r w:rsidRPr="0056509A">
              <w:rPr>
                <w:rFonts w:hint="cs"/>
                <w:b/>
                <w:bCs/>
                <w:rtl/>
                <w:lang w:bidi="ar-EG"/>
              </w:rPr>
              <w:t>المراجع:</w:t>
            </w:r>
          </w:p>
          <w:p w:rsidR="00262CAF" w:rsidRPr="00262CAF" w:rsidRDefault="00262CAF" w:rsidP="00262CAF">
            <w:pPr>
              <w:tabs>
                <w:tab w:val="clear" w:pos="1134"/>
                <w:tab w:val="left" w:pos="1701"/>
              </w:tabs>
              <w:spacing w:before="60" w:after="60"/>
              <w:rPr>
                <w:spacing w:val="-2"/>
                <w:rtl/>
                <w:lang w:bidi="ar-EG"/>
              </w:rPr>
            </w:pPr>
            <w:r w:rsidRPr="00262CAF">
              <w:rPr>
                <w:rFonts w:hint="cs"/>
                <w:spacing w:val="-2"/>
                <w:rtl/>
                <w:lang w:bidi="ar-EG"/>
              </w:rPr>
              <w:t xml:space="preserve">إعلان دبي الصادر عن المؤتمر العالمي لتنمية الاتصالات </w:t>
            </w:r>
            <w:r w:rsidRPr="00262CAF">
              <w:rPr>
                <w:rFonts w:hint="cs"/>
                <w:spacing w:val="-2"/>
                <w:rtl/>
                <w:lang w:bidi="ar-JO"/>
              </w:rPr>
              <w:t xml:space="preserve">لعام </w:t>
            </w:r>
            <w:r w:rsidRPr="00262CAF">
              <w:rPr>
                <w:spacing w:val="-2"/>
                <w:lang w:bidi="ar-EG"/>
              </w:rPr>
              <w:t>2014</w:t>
            </w:r>
            <w:r w:rsidRPr="00262CAF">
              <w:rPr>
                <w:rFonts w:hint="cs"/>
                <w:spacing w:val="-2"/>
                <w:rtl/>
                <w:lang w:bidi="ar-JO"/>
              </w:rPr>
              <w:t xml:space="preserve"> </w:t>
            </w:r>
            <w:r w:rsidRPr="00262CAF">
              <w:rPr>
                <w:spacing w:val="-2"/>
                <w:lang w:bidi="ar-EG"/>
              </w:rPr>
              <w:t>(WTDC-14)</w:t>
            </w:r>
            <w:r w:rsidRPr="00262CAF">
              <w:rPr>
                <w:rFonts w:hint="cs"/>
                <w:spacing w:val="-2"/>
                <w:rtl/>
                <w:lang w:bidi="ar-JO"/>
              </w:rPr>
              <w:t xml:space="preserve">؛ والغاية </w:t>
            </w:r>
            <w:r w:rsidRPr="00262CAF">
              <w:rPr>
                <w:spacing w:val="-2"/>
                <w:lang w:bidi="ar-EG"/>
              </w:rPr>
              <w:t>4</w:t>
            </w:r>
            <w:r w:rsidRPr="00262CAF">
              <w:rPr>
                <w:rFonts w:hint="cs"/>
                <w:spacing w:val="-2"/>
                <w:rtl/>
                <w:lang w:bidi="ar-EG"/>
              </w:rPr>
              <w:t xml:space="preserve"> للمؤتمر؛ والناتج </w:t>
            </w:r>
            <w:r w:rsidRPr="00262CAF">
              <w:rPr>
                <w:spacing w:val="-2"/>
                <w:lang w:bidi="ar-EG"/>
              </w:rPr>
              <w:t>3.2</w:t>
            </w:r>
            <w:r w:rsidRPr="00262CAF">
              <w:rPr>
                <w:rFonts w:hint="cs"/>
                <w:spacing w:val="-2"/>
                <w:rtl/>
                <w:lang w:bidi="ar-EG"/>
              </w:rPr>
              <w:t xml:space="preserve"> للمؤتمر؛</w:t>
            </w:r>
          </w:p>
          <w:p w:rsidR="0056509A" w:rsidRDefault="00262CAF" w:rsidP="007B63BA">
            <w:pPr>
              <w:tabs>
                <w:tab w:val="clear" w:pos="1134"/>
                <w:tab w:val="left" w:pos="1701"/>
              </w:tabs>
              <w:spacing w:before="60" w:after="60"/>
              <w:rPr>
                <w:rtl/>
                <w:lang w:bidi="ar-EG"/>
              </w:rPr>
            </w:pPr>
            <w:r w:rsidRPr="00262CAF">
              <w:rPr>
                <w:rFonts w:hint="cs"/>
                <w:rtl/>
                <w:lang w:bidi="ar-JO"/>
              </w:rPr>
              <w:t xml:space="preserve">القرار </w:t>
            </w:r>
            <w:r w:rsidRPr="00262CAF">
              <w:rPr>
                <w:lang w:bidi="ar-EG"/>
              </w:rPr>
              <w:t>17</w:t>
            </w:r>
            <w:r w:rsidRPr="00262CAF">
              <w:rPr>
                <w:rFonts w:hint="cs"/>
                <w:rtl/>
                <w:lang w:bidi="ar-JO"/>
              </w:rPr>
              <w:t xml:space="preserve"> (المراجَع في دبي، </w:t>
            </w:r>
            <w:r w:rsidRPr="00262CAF">
              <w:rPr>
                <w:lang w:bidi="ar-EG"/>
              </w:rPr>
              <w:t>2014</w:t>
            </w:r>
            <w:r w:rsidRPr="00262CAF">
              <w:rPr>
                <w:rFonts w:hint="cs"/>
                <w:rtl/>
                <w:lang w:bidi="ar-JO"/>
              </w:rPr>
              <w:t xml:space="preserve">) للمؤتمر العالمي لتنمية الاتصالات؛ القرار </w:t>
            </w:r>
            <w:r w:rsidRPr="00262CAF">
              <w:rPr>
                <w:lang w:bidi="ar-EG"/>
              </w:rPr>
              <w:t>71</w:t>
            </w:r>
            <w:r w:rsidRPr="00262CAF">
              <w:rPr>
                <w:rFonts w:hint="cs"/>
                <w:rtl/>
                <w:lang w:bidi="ar-JO"/>
              </w:rPr>
              <w:t xml:space="preserve"> (المراجَع في دبي،</w:t>
            </w:r>
            <w:r w:rsidRPr="00262CAF">
              <w:rPr>
                <w:rFonts w:hint="eastAsia"/>
                <w:rtl/>
                <w:lang w:bidi="ar-JO"/>
              </w:rPr>
              <w:t> </w:t>
            </w:r>
            <w:r w:rsidRPr="00262CAF">
              <w:rPr>
                <w:lang w:bidi="ar-EG"/>
              </w:rPr>
              <w:t>2014</w:t>
            </w:r>
            <w:r w:rsidRPr="00262CAF">
              <w:rPr>
                <w:rFonts w:hint="cs"/>
                <w:rtl/>
                <w:lang w:bidi="ar-JO"/>
              </w:rPr>
              <w:t>) للمؤتمر العالمي لتنمية الاتصالات</w:t>
            </w:r>
            <w:r w:rsidR="007B63BA">
              <w:rPr>
                <w:rFonts w:hint="cs"/>
                <w:rtl/>
                <w:lang w:bidi="ar-EG"/>
              </w:rPr>
              <w:t>.</w:t>
            </w:r>
          </w:p>
          <w:p w:rsidR="0056509A" w:rsidRPr="0056509A" w:rsidRDefault="0056509A" w:rsidP="006E77E7">
            <w:pPr>
              <w:tabs>
                <w:tab w:val="clear" w:pos="1134"/>
                <w:tab w:val="left" w:pos="1701"/>
              </w:tabs>
              <w:spacing w:before="60" w:after="60"/>
              <w:jc w:val="left"/>
              <w:rPr>
                <w:sz w:val="2"/>
                <w:szCs w:val="2"/>
                <w:rtl/>
                <w:lang w:bidi="ar-EG"/>
              </w:rPr>
            </w:pPr>
          </w:p>
        </w:tc>
      </w:tr>
    </w:tbl>
    <w:p w:rsidR="00262CAF" w:rsidRDefault="00262CAF" w:rsidP="001677E8">
      <w:pPr>
        <w:pStyle w:val="Heading1"/>
      </w:pPr>
      <w:r w:rsidRPr="00E63476">
        <w:t>1</w:t>
      </w:r>
      <w:r w:rsidRPr="00E63476">
        <w:tab/>
      </w:r>
      <w:r w:rsidR="001677E8">
        <w:rPr>
          <w:rFonts w:hint="cs"/>
          <w:rtl/>
        </w:rPr>
        <w:t>خلفية</w:t>
      </w:r>
    </w:p>
    <w:p w:rsidR="00262CAF" w:rsidRDefault="00262CAF" w:rsidP="001C0DE7">
      <w:pPr>
        <w:rPr>
          <w:rtl/>
          <w:lang w:bidi="ar-EG"/>
        </w:rPr>
      </w:pPr>
      <w:r w:rsidRPr="007F65D6">
        <w:rPr>
          <w:rFonts w:hint="cs"/>
          <w:rtl/>
        </w:rPr>
        <w:t>أصبح</w:t>
      </w:r>
      <w:r w:rsidR="007F65D6" w:rsidRPr="007F65D6">
        <w:rPr>
          <w:rFonts w:hint="cs"/>
          <w:rtl/>
        </w:rPr>
        <w:t>ت</w:t>
      </w:r>
      <w:r w:rsidRPr="007B63BA">
        <w:rPr>
          <w:rFonts w:hint="cs"/>
          <w:rtl/>
        </w:rPr>
        <w:t xml:space="preserve"> </w:t>
      </w:r>
      <w:r w:rsidR="00271B44" w:rsidRPr="007B63BA">
        <w:rPr>
          <w:rFonts w:hint="cs"/>
          <w:rtl/>
        </w:rPr>
        <w:t xml:space="preserve">تقوية </w:t>
      </w:r>
      <w:r w:rsidRPr="007B63BA">
        <w:rPr>
          <w:rFonts w:hint="cs"/>
          <w:rtl/>
        </w:rPr>
        <w:t xml:space="preserve">الشراكات وتعبئة الموارد من خارج الميزانية أمراً متزايد الأهمية فيما يخص مكتب تنمية الاتصالات نظراً إلى المهام المنوطة به </w:t>
      </w:r>
      <w:r w:rsidR="00271B44" w:rsidRPr="007B63BA">
        <w:rPr>
          <w:rFonts w:hint="cs"/>
          <w:rtl/>
        </w:rPr>
        <w:t>ولا</w:t>
      </w:r>
      <w:r w:rsidR="001C0DE7">
        <w:rPr>
          <w:rFonts w:hint="eastAsia"/>
          <w:rtl/>
        </w:rPr>
        <w:t> </w:t>
      </w:r>
      <w:r w:rsidR="00271B44" w:rsidRPr="007B63BA">
        <w:rPr>
          <w:rFonts w:hint="cs"/>
          <w:rtl/>
        </w:rPr>
        <w:t>سيما</w:t>
      </w:r>
      <w:r w:rsidRPr="007B63BA">
        <w:rPr>
          <w:rFonts w:hint="cs"/>
          <w:rtl/>
        </w:rPr>
        <w:t xml:space="preserve"> تنامي حجم وتنوع مبادراته بما في ذلك مبادراته الإقليمية ومشاريعه وأنشطته التي يتعين عليه تنفيذها. </w:t>
      </w:r>
      <w:r w:rsidR="00271B44" w:rsidRPr="007B63BA">
        <w:rPr>
          <w:rFonts w:hint="cs"/>
          <w:rtl/>
        </w:rPr>
        <w:t>ومن ثم، ما برح</w:t>
      </w:r>
      <w:r w:rsidRPr="007B63BA">
        <w:rPr>
          <w:rFonts w:hint="cs"/>
          <w:rtl/>
        </w:rPr>
        <w:t xml:space="preserve"> مكتب تنمية الاتصالات </w:t>
      </w:r>
      <w:r w:rsidR="00271B44" w:rsidRPr="007B63BA">
        <w:rPr>
          <w:rFonts w:hint="cs"/>
          <w:rtl/>
        </w:rPr>
        <w:t xml:space="preserve">يقوم </w:t>
      </w:r>
      <w:r w:rsidRPr="007B63BA">
        <w:rPr>
          <w:rFonts w:hint="cs"/>
          <w:rtl/>
        </w:rPr>
        <w:t>بوضع الأدوات والاستراتيجيات ل</w:t>
      </w:r>
      <w:r w:rsidR="00271B44" w:rsidRPr="007B63BA">
        <w:rPr>
          <w:rFonts w:hint="cs"/>
          <w:rtl/>
        </w:rPr>
        <w:t>تعزيز ا</w:t>
      </w:r>
      <w:r w:rsidRPr="007B63BA">
        <w:rPr>
          <w:rFonts w:hint="cs"/>
          <w:rtl/>
        </w:rPr>
        <w:t>لشراكة وتعبئة الموارد من أجل دعم تنفيذ مختلف الأنشطة والمبادرات والمشاريع على الصعيدين العالمي</w:t>
      </w:r>
      <w:r w:rsidR="00305AC3" w:rsidRPr="007B63BA">
        <w:rPr>
          <w:rFonts w:hint="cs"/>
          <w:rtl/>
        </w:rPr>
        <w:t xml:space="preserve"> والإقليمي</w:t>
      </w:r>
      <w:r w:rsidRPr="00271B44">
        <w:rPr>
          <w:rFonts w:hint="cs"/>
          <w:rtl/>
          <w:lang w:bidi="ar-EG"/>
        </w:rPr>
        <w:t>.</w:t>
      </w:r>
    </w:p>
    <w:p w:rsidR="00262CAF" w:rsidRDefault="00262CAF" w:rsidP="00262CAF">
      <w:pPr>
        <w:pStyle w:val="Heading1"/>
        <w:rPr>
          <w:rtl/>
        </w:rPr>
      </w:pPr>
      <w:r>
        <w:lastRenderedPageBreak/>
        <w:t>2</w:t>
      </w:r>
      <w:r>
        <w:rPr>
          <w:rtl/>
        </w:rPr>
        <w:tab/>
      </w:r>
      <w:r>
        <w:rPr>
          <w:rFonts w:hint="cs"/>
          <w:rtl/>
        </w:rPr>
        <w:t>الفعاليات الإقليمية ونتائجها</w:t>
      </w:r>
    </w:p>
    <w:p w:rsidR="00262CAF" w:rsidRDefault="00262CAF" w:rsidP="00262CAF">
      <w:pPr>
        <w:pStyle w:val="Heading2"/>
        <w:rPr>
          <w:rtl/>
        </w:rPr>
      </w:pPr>
      <w:r>
        <w:t>1.2</w:t>
      </w:r>
      <w:r>
        <w:rPr>
          <w:rtl/>
        </w:rPr>
        <w:tab/>
      </w:r>
      <w:r>
        <w:rPr>
          <w:rFonts w:hint="cs"/>
          <w:rtl/>
        </w:rPr>
        <w:t>إفريقيا</w:t>
      </w:r>
    </w:p>
    <w:p w:rsidR="00271B44" w:rsidRPr="00257EC3" w:rsidRDefault="00271B44" w:rsidP="00257EC3">
      <w:pPr>
        <w:rPr>
          <w:spacing w:val="-4"/>
          <w:rtl/>
          <w:lang w:bidi="ar"/>
        </w:rPr>
      </w:pPr>
      <w:r w:rsidRPr="00257EC3">
        <w:rPr>
          <w:rFonts w:hint="cs"/>
          <w:spacing w:val="-4"/>
          <w:rtl/>
          <w:lang w:bidi="ar"/>
        </w:rPr>
        <w:t>استُعرض</w:t>
      </w:r>
      <w:r w:rsidR="00F5194A" w:rsidRPr="00257EC3">
        <w:rPr>
          <w:rFonts w:hint="cs"/>
          <w:spacing w:val="-4"/>
          <w:rtl/>
          <w:lang w:bidi="ar"/>
        </w:rPr>
        <w:t xml:space="preserve"> مدى</w:t>
      </w:r>
      <w:r w:rsidRPr="00257EC3">
        <w:rPr>
          <w:rFonts w:hint="cs"/>
          <w:spacing w:val="-4"/>
          <w:rtl/>
          <w:lang w:bidi="ar"/>
        </w:rPr>
        <w:t xml:space="preserve"> نضج الأمن السيبراني </w:t>
      </w:r>
      <w:r w:rsidR="005E6261" w:rsidRPr="00257EC3">
        <w:rPr>
          <w:rFonts w:hint="cs"/>
          <w:spacing w:val="-4"/>
          <w:rtl/>
          <w:lang w:bidi="ar"/>
        </w:rPr>
        <w:t xml:space="preserve">في </w:t>
      </w:r>
      <w:r w:rsidRPr="00257EC3">
        <w:rPr>
          <w:rFonts w:hint="cs"/>
          <w:spacing w:val="-4"/>
          <w:rtl/>
          <w:lang w:bidi="ar"/>
        </w:rPr>
        <w:t xml:space="preserve">سيراليون ومدغشقر </w:t>
      </w:r>
      <w:r w:rsidRPr="00B809A6">
        <w:rPr>
          <w:rFonts w:hint="cs"/>
          <w:spacing w:val="-4"/>
          <w:rtl/>
          <w:lang w:bidi="ar"/>
        </w:rPr>
        <w:t>بالاشتراك</w:t>
      </w:r>
      <w:r w:rsidRPr="00257EC3">
        <w:rPr>
          <w:rFonts w:hint="cs"/>
          <w:spacing w:val="-4"/>
          <w:rtl/>
          <w:lang w:bidi="ar"/>
        </w:rPr>
        <w:t xml:space="preserve"> مع المركز العالمي لقدرات الأمن السيبراني التابع لجامعة أكسفورد.</w:t>
      </w:r>
    </w:p>
    <w:p w:rsidR="00542C15" w:rsidRDefault="00542C15" w:rsidP="0039088A">
      <w:pPr>
        <w:rPr>
          <w:rtl/>
          <w:lang w:bidi="ar"/>
        </w:rPr>
      </w:pPr>
      <w:bookmarkStart w:id="1" w:name="lt_pId028"/>
      <w:r w:rsidRPr="00D2269D">
        <w:rPr>
          <w:rFonts w:hint="cs"/>
          <w:rtl/>
          <w:lang w:bidi="ar"/>
        </w:rPr>
        <w:t>وفيما يتعلق بالنطاق العريض، ن</w:t>
      </w:r>
      <w:r>
        <w:rPr>
          <w:rFonts w:hint="cs"/>
          <w:rtl/>
          <w:lang w:bidi="ar"/>
        </w:rPr>
        <w:t>ُ</w:t>
      </w:r>
      <w:r w:rsidRPr="00D2269D">
        <w:rPr>
          <w:rFonts w:hint="cs"/>
          <w:rtl/>
          <w:lang w:bidi="ar"/>
        </w:rPr>
        <w:t>فذ ما يلي: أ) بوروندي:</w:t>
      </w:r>
      <w:r>
        <w:rPr>
          <w:rFonts w:hint="cs"/>
          <w:rtl/>
          <w:lang w:bidi="ar"/>
        </w:rPr>
        <w:t xml:space="preserve"> قُدمت استراتيجية للنطاق العريض</w:t>
      </w:r>
      <w:r w:rsidRPr="00D2269D">
        <w:rPr>
          <w:rFonts w:hint="cs"/>
          <w:rtl/>
          <w:lang w:bidi="ar"/>
        </w:rPr>
        <w:t>، و</w:t>
      </w:r>
      <w:r>
        <w:rPr>
          <w:rFonts w:hint="cs"/>
          <w:rtl/>
          <w:lang w:bidi="ar"/>
        </w:rPr>
        <w:t xml:space="preserve">وُسعت </w:t>
      </w:r>
      <w:r w:rsidRPr="00D2269D">
        <w:rPr>
          <w:rFonts w:hint="cs"/>
          <w:rtl/>
          <w:lang w:bidi="ar"/>
        </w:rPr>
        <w:t xml:space="preserve">شراكة الإصلاح المؤسسي مع الاتحاد الدولي للاتصالات </w:t>
      </w:r>
      <w:r>
        <w:rPr>
          <w:rFonts w:hint="cs"/>
          <w:rtl/>
          <w:lang w:bidi="ar"/>
        </w:rPr>
        <w:t>لتشمل إطاراً جديداً ل</w:t>
      </w:r>
      <w:r w:rsidRPr="00D2269D">
        <w:rPr>
          <w:rFonts w:hint="cs"/>
          <w:rtl/>
          <w:lang w:bidi="ar"/>
        </w:rPr>
        <w:t>لاقتصاد الرقمي؛ ب) مدغشقر:</w:t>
      </w:r>
      <w:r w:rsidRPr="00B36809">
        <w:rPr>
          <w:rFonts w:hint="cs"/>
          <w:rtl/>
          <w:lang w:bidi="ar"/>
        </w:rPr>
        <w:t xml:space="preserve"> </w:t>
      </w:r>
      <w:r>
        <w:rPr>
          <w:rFonts w:hint="cs"/>
          <w:rtl/>
          <w:lang w:bidi="ar"/>
        </w:rPr>
        <w:t xml:space="preserve">بُذلت </w:t>
      </w:r>
      <w:r w:rsidRPr="00D2269D">
        <w:rPr>
          <w:rFonts w:hint="cs"/>
          <w:rtl/>
          <w:lang w:bidi="ar"/>
        </w:rPr>
        <w:t>جهود لتعبئة الموارد لمشروع النطاق</w:t>
      </w:r>
      <w:r>
        <w:rPr>
          <w:rFonts w:hint="cs"/>
          <w:rtl/>
          <w:lang w:bidi="ar"/>
        </w:rPr>
        <w:t xml:space="preserve"> ال</w:t>
      </w:r>
      <w:r w:rsidRPr="00D2269D">
        <w:rPr>
          <w:rFonts w:hint="cs"/>
          <w:rtl/>
          <w:lang w:bidi="ar"/>
        </w:rPr>
        <w:t xml:space="preserve">عريض </w:t>
      </w:r>
      <w:r>
        <w:rPr>
          <w:rFonts w:hint="cs"/>
          <w:rtl/>
          <w:lang w:bidi="ar"/>
        </w:rPr>
        <w:t>اللاسلكي</w:t>
      </w:r>
      <w:r w:rsidRPr="00D2269D">
        <w:rPr>
          <w:rFonts w:hint="cs"/>
          <w:rtl/>
          <w:lang w:bidi="ar"/>
        </w:rPr>
        <w:t>؛ ج) بوركينا فا</w:t>
      </w:r>
      <w:r w:rsidR="003D3348">
        <w:rPr>
          <w:rFonts w:hint="cs"/>
          <w:rtl/>
          <w:lang w:bidi="ar"/>
        </w:rPr>
        <w:t>ص</w:t>
      </w:r>
      <w:r w:rsidRPr="00D2269D">
        <w:rPr>
          <w:rFonts w:hint="cs"/>
          <w:rtl/>
          <w:lang w:bidi="ar"/>
        </w:rPr>
        <w:t>و:</w:t>
      </w:r>
      <w:r w:rsidRPr="00542C15">
        <w:rPr>
          <w:rFonts w:hint="cs"/>
          <w:rtl/>
          <w:lang w:bidi="ar"/>
        </w:rPr>
        <w:t xml:space="preserve"> </w:t>
      </w:r>
      <w:r w:rsidRPr="00D2269D">
        <w:rPr>
          <w:rFonts w:hint="cs"/>
          <w:rtl/>
          <w:lang w:bidi="ar"/>
        </w:rPr>
        <w:t xml:space="preserve">يغطي مشروع الشبكة اللاسلكية عريضة النطاق </w:t>
      </w:r>
      <w:r w:rsidR="00E62032">
        <w:rPr>
          <w:lang w:bidi="ar"/>
        </w:rPr>
        <w:t>10</w:t>
      </w:r>
      <w:r w:rsidRPr="00D2269D">
        <w:rPr>
          <w:rFonts w:hint="cs"/>
          <w:rtl/>
          <w:lang w:bidi="ar"/>
        </w:rPr>
        <w:t xml:space="preserve"> مواقع - </w:t>
      </w:r>
      <w:r>
        <w:rPr>
          <w:rFonts w:hint="cs"/>
          <w:rtl/>
          <w:lang w:bidi="ar"/>
        </w:rPr>
        <w:t>التوصيلية</w:t>
      </w:r>
      <w:r w:rsidRPr="00D2269D">
        <w:rPr>
          <w:rFonts w:hint="cs"/>
          <w:rtl/>
          <w:lang w:bidi="ar"/>
        </w:rPr>
        <w:t xml:space="preserve"> </w:t>
      </w:r>
      <w:r>
        <w:rPr>
          <w:rFonts w:hint="cs"/>
          <w:rtl/>
          <w:lang w:bidi="ar"/>
        </w:rPr>
        <w:t>ل</w:t>
      </w:r>
      <w:r w:rsidRPr="00D2269D">
        <w:rPr>
          <w:rFonts w:hint="cs"/>
          <w:rtl/>
          <w:lang w:bidi="ar"/>
        </w:rPr>
        <w:t>لمدارس</w:t>
      </w:r>
      <w:r>
        <w:rPr>
          <w:rFonts w:hint="cs"/>
          <w:rtl/>
          <w:lang w:bidi="ar"/>
        </w:rPr>
        <w:t xml:space="preserve"> </w:t>
      </w:r>
      <w:r w:rsidRPr="0039088A">
        <w:rPr>
          <w:rFonts w:hint="cs"/>
          <w:spacing w:val="-6"/>
          <w:rtl/>
          <w:lang w:bidi="ar"/>
        </w:rPr>
        <w:t xml:space="preserve">والمستشفيات ومباني الإدارة العمومية من خلال نشر شبكات المناطق المحلية التي ستنفذ في عام </w:t>
      </w:r>
      <w:r w:rsidR="00E62032" w:rsidRPr="0039088A">
        <w:rPr>
          <w:spacing w:val="-6"/>
          <w:lang w:bidi="ar"/>
        </w:rPr>
        <w:t>2017</w:t>
      </w:r>
      <w:r w:rsidRPr="0039088A">
        <w:rPr>
          <w:rFonts w:hint="cs"/>
          <w:spacing w:val="-6"/>
          <w:rtl/>
          <w:lang w:bidi="ar"/>
        </w:rPr>
        <w:t>؛ د) مالي: مشروع مماثل قيد الإعداد.</w:t>
      </w:r>
    </w:p>
    <w:p w:rsidR="004376A9" w:rsidRPr="00413AEB" w:rsidRDefault="004376A9" w:rsidP="00EC3813">
      <w:pPr>
        <w:rPr>
          <w:rtl/>
          <w:lang w:val="en-GB" w:bidi="ar-EG"/>
        </w:rPr>
      </w:pPr>
      <w:r w:rsidRPr="00D2269D">
        <w:rPr>
          <w:rFonts w:hint="cs"/>
          <w:rtl/>
          <w:lang w:bidi="ar"/>
        </w:rPr>
        <w:t xml:space="preserve">ويجري نشر </w:t>
      </w:r>
      <w:r w:rsidR="00115FDA">
        <w:rPr>
          <w:rFonts w:hint="cs"/>
          <w:rtl/>
          <w:lang w:bidi="ar"/>
        </w:rPr>
        <w:t>منصات</w:t>
      </w:r>
      <w:r w:rsidRPr="00D2269D">
        <w:rPr>
          <w:rFonts w:hint="cs"/>
          <w:rtl/>
          <w:lang w:bidi="ar"/>
        </w:rPr>
        <w:t xml:space="preserve"> اختبار الإصدار</w:t>
      </w:r>
      <w:r>
        <w:rPr>
          <w:rFonts w:hint="cs"/>
          <w:rtl/>
          <w:lang w:bidi="ar"/>
        </w:rPr>
        <w:t xml:space="preserve"> السادس من بروتوكول الإنترنت</w:t>
      </w:r>
      <w:r w:rsidRPr="00D2269D">
        <w:rPr>
          <w:rFonts w:hint="cs"/>
          <w:rtl/>
          <w:lang w:bidi="ar"/>
        </w:rPr>
        <w:t xml:space="preserve"> </w:t>
      </w:r>
      <w:r w:rsidR="000F05A3">
        <w:rPr>
          <w:lang w:bidi="ar"/>
        </w:rPr>
        <w:t>(</w:t>
      </w:r>
      <w:r w:rsidRPr="00D2269D">
        <w:rPr>
          <w:rFonts w:hint="cs"/>
          <w:lang w:bidi="ar-EG"/>
        </w:rPr>
        <w:t>IPv6</w:t>
      </w:r>
      <w:r w:rsidR="000F05A3">
        <w:rPr>
          <w:lang w:bidi="ar-EG"/>
        </w:rPr>
        <w:t>)</w:t>
      </w:r>
      <w:r w:rsidRPr="00D2269D">
        <w:rPr>
          <w:rFonts w:hint="cs"/>
          <w:rtl/>
          <w:lang w:bidi="ar"/>
        </w:rPr>
        <w:t xml:space="preserve"> في بلدان مختلفة (أوغندا </w:t>
      </w:r>
      <w:r w:rsidR="00EC3813">
        <w:rPr>
          <w:rFonts w:hint="cs"/>
          <w:rtl/>
          <w:lang w:bidi="ar"/>
        </w:rPr>
        <w:t>وزيمبابوي</w:t>
      </w:r>
      <w:r w:rsidRPr="00D2269D">
        <w:rPr>
          <w:rFonts w:hint="cs"/>
          <w:rtl/>
          <w:lang w:bidi="ar"/>
        </w:rPr>
        <w:t xml:space="preserve"> والكاميرون). ومو</w:t>
      </w:r>
      <w:r w:rsidR="00EC3813">
        <w:rPr>
          <w:rFonts w:hint="cs"/>
          <w:rtl/>
          <w:lang w:bidi="ar"/>
        </w:rPr>
        <w:t>َّ</w:t>
      </w:r>
      <w:r w:rsidRPr="00D2269D">
        <w:rPr>
          <w:rFonts w:hint="cs"/>
          <w:rtl/>
          <w:lang w:bidi="ar"/>
        </w:rPr>
        <w:t>ل الاتحاد ثلث</w:t>
      </w:r>
      <w:r w:rsidRPr="004376A9">
        <w:rPr>
          <w:rFonts w:hint="cs"/>
          <w:rtl/>
          <w:lang w:bidi="ar"/>
        </w:rPr>
        <w:t xml:space="preserve"> </w:t>
      </w:r>
      <w:r w:rsidR="00977C36">
        <w:rPr>
          <w:rFonts w:hint="cs"/>
          <w:rtl/>
          <w:lang w:bidi="ar"/>
        </w:rPr>
        <w:t>منصات</w:t>
      </w:r>
      <w:r w:rsidRPr="00D2269D">
        <w:rPr>
          <w:rFonts w:hint="cs"/>
          <w:rtl/>
          <w:lang w:bidi="ar"/>
        </w:rPr>
        <w:t xml:space="preserve"> ا</w:t>
      </w:r>
      <w:r>
        <w:rPr>
          <w:rFonts w:hint="cs"/>
          <w:rtl/>
          <w:lang w:bidi="ar"/>
        </w:rPr>
        <w:t>لا</w:t>
      </w:r>
      <w:r w:rsidRPr="00D2269D">
        <w:rPr>
          <w:rFonts w:hint="cs"/>
          <w:rtl/>
          <w:lang w:bidi="ar"/>
        </w:rPr>
        <w:t xml:space="preserve">ختبار هذه </w:t>
      </w:r>
      <w:r>
        <w:rPr>
          <w:rFonts w:hint="cs"/>
          <w:rtl/>
          <w:lang w:bidi="ar"/>
        </w:rPr>
        <w:t>فيما مو</w:t>
      </w:r>
      <w:r w:rsidR="00C55671">
        <w:rPr>
          <w:rFonts w:hint="cs"/>
          <w:rtl/>
          <w:lang w:bidi="ar"/>
        </w:rPr>
        <w:t>َّ</w:t>
      </w:r>
      <w:r>
        <w:rPr>
          <w:rFonts w:hint="cs"/>
          <w:rtl/>
          <w:lang w:bidi="ar"/>
        </w:rPr>
        <w:t>لت</w:t>
      </w:r>
      <w:r w:rsidRPr="004376A9">
        <w:rPr>
          <w:rFonts w:hint="cs"/>
          <w:rtl/>
          <w:lang w:bidi="ar"/>
        </w:rPr>
        <w:t xml:space="preserve"> </w:t>
      </w:r>
      <w:r w:rsidRPr="00D2269D">
        <w:rPr>
          <w:rFonts w:hint="cs"/>
          <w:rtl/>
          <w:lang w:bidi="ar"/>
        </w:rPr>
        <w:t>البلدان المستفيدة</w:t>
      </w:r>
      <w:r>
        <w:rPr>
          <w:rFonts w:hint="cs"/>
          <w:rtl/>
          <w:lang w:bidi="ar"/>
        </w:rPr>
        <w:t xml:space="preserve"> </w:t>
      </w:r>
      <w:r w:rsidRPr="00D2269D">
        <w:rPr>
          <w:rFonts w:hint="cs"/>
          <w:rtl/>
          <w:lang w:bidi="ar"/>
        </w:rPr>
        <w:t>ثلث</w:t>
      </w:r>
      <w:r>
        <w:rPr>
          <w:rFonts w:hint="cs"/>
          <w:rtl/>
          <w:lang w:bidi="ar"/>
        </w:rPr>
        <w:t>ي</w:t>
      </w:r>
      <w:r w:rsidRPr="00D2269D">
        <w:rPr>
          <w:rFonts w:hint="cs"/>
          <w:rtl/>
          <w:lang w:bidi="ar"/>
        </w:rPr>
        <w:t>ها.</w:t>
      </w:r>
    </w:p>
    <w:bookmarkEnd w:id="1"/>
    <w:p w:rsidR="00542C15" w:rsidRDefault="004376A9" w:rsidP="002200EC">
      <w:pPr>
        <w:rPr>
          <w:rtl/>
          <w:lang w:bidi="ar"/>
        </w:rPr>
      </w:pPr>
      <w:r w:rsidRPr="00D2269D">
        <w:rPr>
          <w:rFonts w:hint="cs"/>
          <w:rtl/>
          <w:lang w:bidi="ar"/>
        </w:rPr>
        <w:t>وق</w:t>
      </w:r>
      <w:r>
        <w:rPr>
          <w:rFonts w:hint="cs"/>
          <w:rtl/>
          <w:lang w:bidi="ar"/>
        </w:rPr>
        <w:t>ُ</w:t>
      </w:r>
      <w:r w:rsidRPr="00D2269D">
        <w:rPr>
          <w:rFonts w:hint="cs"/>
          <w:rtl/>
          <w:lang w:bidi="ar"/>
        </w:rPr>
        <w:t>دمت المساعدة إلى سيراليون في شكل بناء قدرات بشرية، ولا</w:t>
      </w:r>
      <w:r w:rsidR="004F3D79">
        <w:rPr>
          <w:rFonts w:hint="eastAsia"/>
          <w:rtl/>
          <w:lang w:bidi="ar"/>
        </w:rPr>
        <w:t> </w:t>
      </w:r>
      <w:r w:rsidRPr="00D2269D">
        <w:rPr>
          <w:rFonts w:hint="cs"/>
          <w:rtl/>
          <w:lang w:bidi="ar"/>
        </w:rPr>
        <w:t xml:space="preserve">سيما من خلال </w:t>
      </w:r>
      <w:r>
        <w:rPr>
          <w:rFonts w:hint="cs"/>
          <w:rtl/>
          <w:lang w:bidi="ar"/>
        </w:rPr>
        <w:t>ورش</w:t>
      </w:r>
      <w:r w:rsidRPr="00D2269D">
        <w:rPr>
          <w:rFonts w:hint="cs"/>
          <w:rtl/>
          <w:lang w:bidi="ar"/>
        </w:rPr>
        <w:t xml:space="preserve"> عمل نظمت بالشراكة مع </w:t>
      </w:r>
      <w:r>
        <w:rPr>
          <w:rFonts w:hint="cs"/>
          <w:rtl/>
          <w:lang w:bidi="ar"/>
        </w:rPr>
        <w:t>شركة</w:t>
      </w:r>
      <w:r w:rsidR="002200EC">
        <w:rPr>
          <w:rFonts w:hint="eastAsia"/>
          <w:rtl/>
          <w:lang w:bidi="ar"/>
        </w:rPr>
        <w:t> </w:t>
      </w:r>
      <w:r w:rsidRPr="00413AEB">
        <w:rPr>
          <w:lang w:val="en-GB" w:bidi="ar-EG"/>
        </w:rPr>
        <w:t>NATCOM</w:t>
      </w:r>
      <w:r w:rsidRPr="00D2269D">
        <w:rPr>
          <w:rFonts w:hint="cs"/>
          <w:rtl/>
          <w:lang w:bidi="ar"/>
        </w:rPr>
        <w:t>.</w:t>
      </w:r>
      <w:r w:rsidRPr="004376A9">
        <w:rPr>
          <w:rFonts w:hint="cs"/>
          <w:rtl/>
          <w:lang w:bidi="ar"/>
        </w:rPr>
        <w:t xml:space="preserve"> </w:t>
      </w:r>
      <w:r w:rsidRPr="00D2269D">
        <w:rPr>
          <w:rFonts w:hint="cs"/>
          <w:rtl/>
          <w:lang w:bidi="ar"/>
        </w:rPr>
        <w:t>ويتعلق الأمر بمشغلي كفاءة الأعمال والمنافسة والسوق والتسعير و</w:t>
      </w:r>
      <w:r>
        <w:rPr>
          <w:rFonts w:hint="cs"/>
          <w:rtl/>
          <w:lang w:bidi="ar"/>
        </w:rPr>
        <w:t xml:space="preserve">حساب </w:t>
      </w:r>
      <w:r w:rsidRPr="00D2269D">
        <w:rPr>
          <w:rFonts w:hint="cs"/>
          <w:rtl/>
          <w:lang w:bidi="ar"/>
        </w:rPr>
        <w:t>التكاليف وإدارة الطيف وقانون الاتصالات.</w:t>
      </w:r>
    </w:p>
    <w:p w:rsidR="004376A9" w:rsidRDefault="004376A9" w:rsidP="00257EC3">
      <w:pPr>
        <w:rPr>
          <w:rtl/>
          <w:lang w:bidi="ar"/>
        </w:rPr>
      </w:pPr>
      <w:r w:rsidRPr="00D2269D">
        <w:rPr>
          <w:rFonts w:hint="cs"/>
          <w:rtl/>
          <w:lang w:bidi="ar"/>
        </w:rPr>
        <w:t>ويجري تنفيذ العديد من المشاريع المتعلقة بالقطاع الصحي مثل:</w:t>
      </w:r>
    </w:p>
    <w:p w:rsidR="00262CAF" w:rsidRPr="00490E35" w:rsidRDefault="00262CAF" w:rsidP="00B22201">
      <w:pPr>
        <w:pStyle w:val="enumlev1"/>
        <w:rPr>
          <w:spacing w:val="4"/>
          <w:rtl/>
          <w:lang w:bidi="ar-EG"/>
        </w:rPr>
      </w:pPr>
      <w:r w:rsidRPr="004F3D79">
        <w:rPr>
          <w:rtl/>
          <w:lang w:bidi="ar-EG"/>
        </w:rPr>
        <w:t>•</w:t>
      </w:r>
      <w:r w:rsidRPr="004F3D79">
        <w:rPr>
          <w:rtl/>
          <w:lang w:bidi="ar-EG"/>
        </w:rPr>
        <w:tab/>
      </w:r>
      <w:r w:rsidR="00FB6E12" w:rsidRPr="00490E35">
        <w:rPr>
          <w:rFonts w:hint="cs"/>
          <w:spacing w:val="4"/>
          <w:rtl/>
          <w:lang w:bidi="ar"/>
        </w:rPr>
        <w:t xml:space="preserve">مشروع </w:t>
      </w:r>
      <w:r w:rsidR="00B22201" w:rsidRPr="00490E35">
        <w:rPr>
          <w:rFonts w:hint="cs"/>
          <w:spacing w:val="4"/>
          <w:rtl/>
          <w:lang w:bidi="ar"/>
        </w:rPr>
        <w:t>التطبيق المتنقل الخاص بمرضى السكري</w:t>
      </w:r>
      <w:r w:rsidR="00FB6E12" w:rsidRPr="00490E35">
        <w:rPr>
          <w:rFonts w:hint="cs"/>
          <w:spacing w:val="4"/>
          <w:rtl/>
          <w:lang w:bidi="ar"/>
        </w:rPr>
        <w:t xml:space="preserve"> </w:t>
      </w:r>
      <w:r w:rsidR="004F3D79" w:rsidRPr="00490E35">
        <w:rPr>
          <w:spacing w:val="4"/>
          <w:lang w:bidi="ar"/>
        </w:rPr>
        <w:t>(</w:t>
      </w:r>
      <w:proofErr w:type="spellStart"/>
      <w:r w:rsidR="00FB6E12" w:rsidRPr="00490E35">
        <w:rPr>
          <w:rFonts w:asciiTheme="minorHAnsi" w:eastAsiaTheme="minorHAnsi" w:hAnsiTheme="minorHAnsi"/>
          <w:spacing w:val="4"/>
        </w:rPr>
        <w:t>mDiabetes</w:t>
      </w:r>
      <w:proofErr w:type="spellEnd"/>
      <w:r w:rsidR="004F3D79" w:rsidRPr="00490E35">
        <w:rPr>
          <w:spacing w:val="4"/>
          <w:lang w:bidi="ar"/>
        </w:rPr>
        <w:t>)</w:t>
      </w:r>
      <w:r w:rsidR="00B507F8" w:rsidRPr="00490E35">
        <w:rPr>
          <w:rStyle w:val="FootnoteReference"/>
          <w:spacing w:val="4"/>
          <w:rtl/>
          <w:lang w:bidi="ar"/>
        </w:rPr>
        <w:footnoteReference w:id="1"/>
      </w:r>
      <w:r w:rsidR="00FB6E12" w:rsidRPr="00490E35">
        <w:rPr>
          <w:rFonts w:hint="cs"/>
          <w:spacing w:val="4"/>
          <w:rtl/>
          <w:lang w:bidi="ar"/>
        </w:rPr>
        <w:t xml:space="preserve"> في السنغال بالشراكة مع وزارة الصحة، وجمعية السكري الوطنية</w:t>
      </w:r>
      <w:r w:rsidR="004F3D79" w:rsidRPr="00490E35">
        <w:rPr>
          <w:rFonts w:hint="eastAsia"/>
          <w:spacing w:val="4"/>
          <w:rtl/>
          <w:lang w:bidi="ar"/>
        </w:rPr>
        <w:t> </w:t>
      </w:r>
      <w:r w:rsidR="004F3D79" w:rsidRPr="00490E35">
        <w:rPr>
          <w:spacing w:val="4"/>
          <w:lang w:bidi="ar"/>
        </w:rPr>
        <w:t>(</w:t>
      </w:r>
      <w:r w:rsidR="00FB6E12" w:rsidRPr="00490E35">
        <w:rPr>
          <w:rFonts w:asciiTheme="minorHAnsi" w:eastAsiaTheme="minorHAnsi" w:hAnsiTheme="minorHAnsi"/>
          <w:spacing w:val="4"/>
        </w:rPr>
        <w:t>ASSAD</w:t>
      </w:r>
      <w:r w:rsidR="004F3D79" w:rsidRPr="00490E35">
        <w:rPr>
          <w:spacing w:val="4"/>
          <w:lang w:bidi="ar"/>
        </w:rPr>
        <w:t>)</w:t>
      </w:r>
      <w:r w:rsidR="00FB6E12" w:rsidRPr="00490E35">
        <w:rPr>
          <w:rFonts w:hint="cs"/>
          <w:spacing w:val="4"/>
          <w:rtl/>
          <w:lang w:bidi="ar"/>
        </w:rPr>
        <w:t xml:space="preserve">، وشركات </w:t>
      </w:r>
      <w:r w:rsidR="00FB6E12" w:rsidRPr="00490E35">
        <w:rPr>
          <w:spacing w:val="4"/>
          <w:lang w:val="en-GB" w:bidi="ar"/>
        </w:rPr>
        <w:t>Nokia</w:t>
      </w:r>
      <w:r w:rsidR="00FB6E12" w:rsidRPr="00490E35">
        <w:rPr>
          <w:rFonts w:hint="cs"/>
          <w:spacing w:val="4"/>
          <w:rtl/>
          <w:lang w:bidi="ar"/>
        </w:rPr>
        <w:t xml:space="preserve"> و</w:t>
      </w:r>
      <w:r w:rsidR="00FB6E12" w:rsidRPr="00490E35">
        <w:rPr>
          <w:spacing w:val="4"/>
          <w:lang w:bidi="ar"/>
        </w:rPr>
        <w:t>MNC</w:t>
      </w:r>
      <w:r w:rsidR="00BC2752" w:rsidRPr="00490E35">
        <w:rPr>
          <w:spacing w:val="4"/>
          <w:lang w:bidi="ar"/>
        </w:rPr>
        <w:t> </w:t>
      </w:r>
      <w:r w:rsidR="00FB6E12" w:rsidRPr="00490E35">
        <w:rPr>
          <w:spacing w:val="4"/>
          <w:lang w:bidi="ar"/>
        </w:rPr>
        <w:t>Orange</w:t>
      </w:r>
      <w:r w:rsidR="00FB6E12" w:rsidRPr="00490E35">
        <w:rPr>
          <w:rFonts w:hint="cs"/>
          <w:spacing w:val="4"/>
          <w:rtl/>
          <w:lang w:bidi="ar"/>
        </w:rPr>
        <w:t xml:space="preserve"> و</w:t>
      </w:r>
      <w:r w:rsidR="00FB6E12" w:rsidRPr="00490E35">
        <w:rPr>
          <w:spacing w:val="4"/>
          <w:lang w:bidi="ar"/>
        </w:rPr>
        <w:t>SONATEL</w:t>
      </w:r>
      <w:r w:rsidR="00FB6E12" w:rsidRPr="00490E35">
        <w:rPr>
          <w:rFonts w:hint="cs"/>
          <w:spacing w:val="4"/>
          <w:rtl/>
          <w:lang w:bidi="ar"/>
        </w:rPr>
        <w:t xml:space="preserve"> و</w:t>
      </w:r>
      <w:r w:rsidR="00FB6E12" w:rsidRPr="00490E35">
        <w:rPr>
          <w:rFonts w:asciiTheme="minorHAnsi" w:eastAsiaTheme="minorHAnsi" w:hAnsiTheme="minorHAnsi"/>
          <w:spacing w:val="4"/>
        </w:rPr>
        <w:t>Expresso</w:t>
      </w:r>
      <w:r w:rsidR="00FB6E12" w:rsidRPr="00490E35">
        <w:rPr>
          <w:rFonts w:hint="cs"/>
          <w:spacing w:val="4"/>
          <w:rtl/>
          <w:lang w:bidi="ar"/>
        </w:rPr>
        <w:t xml:space="preserve"> و</w:t>
      </w:r>
      <w:proofErr w:type="spellStart"/>
      <w:r w:rsidR="00FB6E12" w:rsidRPr="00490E35">
        <w:rPr>
          <w:spacing w:val="4"/>
          <w:lang w:bidi="ar"/>
        </w:rPr>
        <w:t>Tigo</w:t>
      </w:r>
      <w:proofErr w:type="spellEnd"/>
      <w:r w:rsidR="00B22201" w:rsidRPr="00490E35">
        <w:rPr>
          <w:rFonts w:hint="cs"/>
          <w:spacing w:val="4"/>
          <w:rtl/>
          <w:lang w:bidi="ar"/>
        </w:rPr>
        <w:t xml:space="preserve"> (في</w:t>
      </w:r>
      <w:r w:rsidR="00B22201" w:rsidRPr="00490E35">
        <w:rPr>
          <w:rFonts w:hint="eastAsia"/>
          <w:spacing w:val="4"/>
          <w:rtl/>
          <w:lang w:bidi="ar"/>
        </w:rPr>
        <w:t> </w:t>
      </w:r>
      <w:r w:rsidR="00FB6E12" w:rsidRPr="00490E35">
        <w:rPr>
          <w:rFonts w:hint="cs"/>
          <w:spacing w:val="4"/>
          <w:rtl/>
          <w:lang w:bidi="ar"/>
        </w:rPr>
        <w:t>إطار مبادرة للاتحاد الدولي للاتصالات ومنظمة الصحة العالمية تحت شعار "</w:t>
      </w:r>
      <w:r w:rsidR="00B22201" w:rsidRPr="00490E35">
        <w:rPr>
          <w:rFonts w:hint="cs"/>
          <w:spacing w:val="4"/>
          <w:rtl/>
          <w:lang w:bidi="ar"/>
        </w:rPr>
        <w:t>تمتع بصحة جيدة بفضل الاتصالات المتنقلة</w:t>
      </w:r>
      <w:r w:rsidR="00FB6E12" w:rsidRPr="00490E35">
        <w:rPr>
          <w:rFonts w:hint="cs"/>
          <w:spacing w:val="4"/>
          <w:rtl/>
          <w:lang w:bidi="ar"/>
        </w:rPr>
        <w:t xml:space="preserve">" </w:t>
      </w:r>
      <w:r w:rsidR="00BC2752" w:rsidRPr="00490E35">
        <w:rPr>
          <w:spacing w:val="4"/>
          <w:lang w:bidi="ar"/>
        </w:rPr>
        <w:t>(</w:t>
      </w:r>
      <w:r w:rsidR="00FB6E12" w:rsidRPr="00490E35">
        <w:rPr>
          <w:spacing w:val="4"/>
          <w:lang w:val="en-GB" w:bidi="ar"/>
        </w:rPr>
        <w:t>«</w:t>
      </w:r>
      <w:r w:rsidR="00B22201" w:rsidRPr="00490E35">
        <w:rPr>
          <w:spacing w:val="4"/>
          <w:lang w:val="en-GB" w:bidi="ar"/>
        </w:rPr>
        <w:t>Be </w:t>
      </w:r>
      <w:proofErr w:type="spellStart"/>
      <w:r w:rsidR="00B22201" w:rsidRPr="00490E35">
        <w:rPr>
          <w:spacing w:val="4"/>
          <w:lang w:val="en-GB" w:bidi="ar"/>
        </w:rPr>
        <w:t>He@lthy</w:t>
      </w:r>
      <w:proofErr w:type="spellEnd"/>
      <w:r w:rsidR="00B22201" w:rsidRPr="00490E35">
        <w:rPr>
          <w:spacing w:val="4"/>
          <w:lang w:val="en-GB" w:bidi="ar"/>
        </w:rPr>
        <w:t>, </w:t>
      </w:r>
      <w:r w:rsidR="00FB6E12" w:rsidRPr="00490E35">
        <w:rPr>
          <w:spacing w:val="4"/>
          <w:lang w:val="en-GB" w:bidi="ar"/>
        </w:rPr>
        <w:t>Be</w:t>
      </w:r>
      <w:r w:rsidR="00B22201" w:rsidRPr="00490E35">
        <w:rPr>
          <w:spacing w:val="4"/>
          <w:lang w:val="en-GB" w:bidi="ar"/>
        </w:rPr>
        <w:t> </w:t>
      </w:r>
      <w:r w:rsidR="00FB6E12" w:rsidRPr="00490E35">
        <w:rPr>
          <w:spacing w:val="4"/>
          <w:lang w:val="en-GB" w:bidi="ar"/>
        </w:rPr>
        <w:t>Mobile»</w:t>
      </w:r>
      <w:r w:rsidR="00BC2752" w:rsidRPr="00490E35">
        <w:rPr>
          <w:spacing w:val="4"/>
          <w:lang w:bidi="ar"/>
        </w:rPr>
        <w:t>)</w:t>
      </w:r>
      <w:r w:rsidR="00FB6E12" w:rsidRPr="00490E35">
        <w:rPr>
          <w:rFonts w:hint="cs"/>
          <w:spacing w:val="4"/>
          <w:rtl/>
          <w:lang w:bidi="ar"/>
        </w:rPr>
        <w:t>).</w:t>
      </w:r>
      <w:r w:rsidR="00B507F8" w:rsidRPr="00490E35">
        <w:rPr>
          <w:rFonts w:hint="cs"/>
          <w:spacing w:val="4"/>
          <w:rtl/>
          <w:lang w:bidi="ar"/>
        </w:rPr>
        <w:t xml:space="preserve"> وحتى الآن، سُجل نحو </w:t>
      </w:r>
      <w:r w:rsidR="00047BB4" w:rsidRPr="00490E35">
        <w:rPr>
          <w:spacing w:val="4"/>
          <w:lang w:bidi="ar"/>
        </w:rPr>
        <w:t>55 000</w:t>
      </w:r>
      <w:r w:rsidR="00B507F8" w:rsidRPr="00490E35">
        <w:rPr>
          <w:rFonts w:hint="cs"/>
          <w:spacing w:val="4"/>
          <w:rtl/>
          <w:lang w:bidi="ar"/>
        </w:rPr>
        <w:t xml:space="preserve"> شخص في مشروع </w:t>
      </w:r>
      <w:proofErr w:type="spellStart"/>
      <w:r w:rsidR="00B507F8" w:rsidRPr="00490E35">
        <w:rPr>
          <w:rFonts w:asciiTheme="minorHAnsi" w:eastAsiaTheme="minorHAnsi" w:hAnsiTheme="minorHAnsi"/>
          <w:spacing w:val="4"/>
        </w:rPr>
        <w:t>mDiabetes</w:t>
      </w:r>
      <w:proofErr w:type="spellEnd"/>
      <w:r w:rsidR="00B507F8" w:rsidRPr="00490E35">
        <w:rPr>
          <w:rFonts w:hint="cs"/>
          <w:spacing w:val="4"/>
          <w:rtl/>
          <w:lang w:bidi="ar"/>
        </w:rPr>
        <w:t>.</w:t>
      </w:r>
      <w:r w:rsidR="00C5220E" w:rsidRPr="00490E35">
        <w:rPr>
          <w:rFonts w:hint="cs"/>
          <w:spacing w:val="4"/>
          <w:rtl/>
          <w:lang w:bidi="ar"/>
        </w:rPr>
        <w:t xml:space="preserve"> ويعمل فريق المشروع على دمج مكون </w:t>
      </w:r>
      <w:proofErr w:type="spellStart"/>
      <w:r w:rsidR="00C5220E" w:rsidRPr="00490E35">
        <w:rPr>
          <w:rFonts w:asciiTheme="minorHAnsi" w:hAnsiTheme="minorHAnsi"/>
          <w:spacing w:val="4"/>
        </w:rPr>
        <w:t>mHTA</w:t>
      </w:r>
      <w:proofErr w:type="spellEnd"/>
      <w:r w:rsidR="00C5220E" w:rsidRPr="00490E35">
        <w:rPr>
          <w:rFonts w:asciiTheme="minorHAnsi" w:hAnsiTheme="minorHAnsi" w:hint="cs"/>
          <w:spacing w:val="4"/>
          <w:rtl/>
        </w:rPr>
        <w:t xml:space="preserve"> </w:t>
      </w:r>
      <w:r w:rsidR="00C5220E" w:rsidRPr="00490E35">
        <w:rPr>
          <w:rFonts w:hint="cs"/>
          <w:spacing w:val="4"/>
          <w:rtl/>
          <w:lang w:bidi="ar"/>
        </w:rPr>
        <w:t>(ضغط الدم المرتفع) في</w:t>
      </w:r>
      <w:r w:rsidR="00DD08FA" w:rsidRPr="00490E35">
        <w:rPr>
          <w:rFonts w:hint="eastAsia"/>
          <w:spacing w:val="4"/>
          <w:rtl/>
          <w:lang w:bidi="ar"/>
        </w:rPr>
        <w:t> </w:t>
      </w:r>
      <w:r w:rsidR="00C5220E" w:rsidRPr="00490E35">
        <w:rPr>
          <w:rFonts w:hint="cs"/>
          <w:spacing w:val="4"/>
          <w:rtl/>
          <w:lang w:bidi="ar"/>
        </w:rPr>
        <w:t>المرحلة الثانية من المشروع، حيث يرتبط السكري وارتفاع ضغط الدم ارتباطاً وثيقاً.</w:t>
      </w:r>
    </w:p>
    <w:p w:rsidR="00262CAF" w:rsidRPr="004F3D79" w:rsidRDefault="00262CAF" w:rsidP="00F72F17">
      <w:pPr>
        <w:pStyle w:val="enumlev1"/>
        <w:rPr>
          <w:rtl/>
          <w:lang w:bidi="ar-EG"/>
        </w:rPr>
      </w:pPr>
      <w:r w:rsidRPr="004F3D79">
        <w:rPr>
          <w:rtl/>
          <w:lang w:bidi="ar-EG"/>
        </w:rPr>
        <w:t>•</w:t>
      </w:r>
      <w:r w:rsidRPr="004F3D79">
        <w:rPr>
          <w:rtl/>
          <w:lang w:bidi="ar-EG"/>
        </w:rPr>
        <w:tab/>
      </w:r>
      <w:r w:rsidR="00926559" w:rsidRPr="004F3D79">
        <w:rPr>
          <w:rFonts w:hint="cs"/>
          <w:rtl/>
          <w:lang w:bidi="ar"/>
        </w:rPr>
        <w:t xml:space="preserve">مشروع </w:t>
      </w:r>
      <w:r w:rsidR="004F57FB">
        <w:rPr>
          <w:rFonts w:hint="cs"/>
          <w:rtl/>
          <w:lang w:bidi="ar"/>
        </w:rPr>
        <w:t>التطبيق المتنقل الخاص</w:t>
      </w:r>
      <w:r w:rsidR="00926559" w:rsidRPr="004F3D79">
        <w:rPr>
          <w:rFonts w:hint="cs"/>
          <w:rtl/>
          <w:lang w:bidi="ar"/>
        </w:rPr>
        <w:t xml:space="preserve"> </w:t>
      </w:r>
      <w:r w:rsidR="004F57FB">
        <w:rPr>
          <w:rFonts w:hint="cs"/>
          <w:rtl/>
          <w:lang w:bidi="ar"/>
        </w:rPr>
        <w:t xml:space="preserve">بمرضى </w:t>
      </w:r>
      <w:r w:rsidR="00926559" w:rsidRPr="004F3D79">
        <w:rPr>
          <w:rFonts w:hint="cs"/>
          <w:rtl/>
          <w:lang w:bidi="ar"/>
        </w:rPr>
        <w:t xml:space="preserve">سرطان عنق الرحم </w:t>
      </w:r>
      <w:r w:rsidR="00DD08FA">
        <w:rPr>
          <w:lang w:bidi="ar"/>
        </w:rPr>
        <w:t>(</w:t>
      </w:r>
      <w:proofErr w:type="spellStart"/>
      <w:r w:rsidR="00926559" w:rsidRPr="004F3D79">
        <w:rPr>
          <w:rFonts w:asciiTheme="minorHAnsi" w:eastAsiaTheme="minorHAnsi" w:hAnsiTheme="minorHAnsi"/>
        </w:rPr>
        <w:t>MCervical</w:t>
      </w:r>
      <w:proofErr w:type="spellEnd"/>
      <w:r w:rsidR="004F57FB">
        <w:rPr>
          <w:rFonts w:asciiTheme="minorHAnsi" w:eastAsiaTheme="minorHAnsi" w:hAnsiTheme="minorHAnsi"/>
        </w:rPr>
        <w:t> </w:t>
      </w:r>
      <w:r w:rsidR="00926559" w:rsidRPr="004F3D79">
        <w:rPr>
          <w:rFonts w:asciiTheme="minorHAnsi" w:eastAsiaTheme="minorHAnsi" w:hAnsiTheme="minorHAnsi"/>
        </w:rPr>
        <w:t>Cancer</w:t>
      </w:r>
      <w:r w:rsidR="00DD08FA">
        <w:rPr>
          <w:lang w:bidi="ar"/>
        </w:rPr>
        <w:t>)</w:t>
      </w:r>
      <w:r w:rsidR="00926559" w:rsidRPr="004F3D79">
        <w:rPr>
          <w:rFonts w:hint="cs"/>
          <w:rtl/>
          <w:lang w:bidi="ar"/>
        </w:rPr>
        <w:t xml:space="preserve"> في زامبيا (أُطلق في أكتوبر</w:t>
      </w:r>
      <w:r w:rsidR="00585759">
        <w:rPr>
          <w:rFonts w:hint="eastAsia"/>
          <w:rtl/>
          <w:lang w:bidi="ar"/>
        </w:rPr>
        <w:t> </w:t>
      </w:r>
      <w:r w:rsidR="003D2323">
        <w:rPr>
          <w:lang w:bidi="ar"/>
        </w:rPr>
        <w:t>2016</w:t>
      </w:r>
      <w:r w:rsidR="00926559" w:rsidRPr="004F3D79">
        <w:rPr>
          <w:rFonts w:hint="cs"/>
          <w:rtl/>
          <w:lang w:bidi="ar"/>
        </w:rPr>
        <w:t xml:space="preserve">) بدعم تقني من مبادرة منظمة الصحة العالمية والاتحاد الدولي للاتصالات. وهو يهدف إلى زيادة المعرفة بسرطان عنق الرحم بين النساء في الفترات العمرية للتحري عن المرض </w:t>
      </w:r>
      <w:r w:rsidR="004A2BEE">
        <w:rPr>
          <w:lang w:bidi="ar"/>
        </w:rPr>
        <w:t>(</w:t>
      </w:r>
      <w:r w:rsidR="00F72F17">
        <w:rPr>
          <w:lang w:bidi="ar"/>
        </w:rPr>
        <w:t>59</w:t>
      </w:r>
      <w:r w:rsidR="004A2BEE">
        <w:rPr>
          <w:lang w:bidi="ar"/>
        </w:rPr>
        <w:noBreakHyphen/>
        <w:t>25)</w:t>
      </w:r>
      <w:r w:rsidR="00926559" w:rsidRPr="004F3D79">
        <w:rPr>
          <w:rFonts w:hint="cs"/>
          <w:rtl/>
          <w:lang w:bidi="ar"/>
        </w:rPr>
        <w:t xml:space="preserve"> سنة، وأدى إلى زيادة عدد النساء اللائي يتلقين خدمات التحري عن مرض سرطان عنق الرحم.</w:t>
      </w:r>
    </w:p>
    <w:p w:rsidR="00262CAF" w:rsidRDefault="00262CAF" w:rsidP="00887222">
      <w:pPr>
        <w:pStyle w:val="enumlev1"/>
        <w:rPr>
          <w:rtl/>
          <w:lang w:bidi="ar-EG"/>
        </w:rPr>
      </w:pPr>
      <w:r w:rsidRPr="004F3D79">
        <w:rPr>
          <w:rtl/>
          <w:lang w:bidi="ar-EG"/>
        </w:rPr>
        <w:t>•</w:t>
      </w:r>
      <w:r w:rsidRPr="004F3D79">
        <w:rPr>
          <w:rtl/>
          <w:lang w:bidi="ar-EG"/>
        </w:rPr>
        <w:tab/>
      </w:r>
      <w:r w:rsidR="00F56EFC" w:rsidRPr="0064483F">
        <w:rPr>
          <w:rFonts w:hint="cs"/>
          <w:spacing w:val="-4"/>
          <w:rtl/>
          <w:lang w:bidi="ar"/>
        </w:rPr>
        <w:t xml:space="preserve">مشروع </w:t>
      </w:r>
      <w:r w:rsidR="00887222">
        <w:rPr>
          <w:rFonts w:hint="cs"/>
          <w:spacing w:val="-4"/>
          <w:rtl/>
          <w:lang w:bidi="ar"/>
        </w:rPr>
        <w:t>الطب</w:t>
      </w:r>
      <w:r w:rsidR="00F56EFC" w:rsidRPr="0064483F">
        <w:rPr>
          <w:rFonts w:hint="cs"/>
          <w:spacing w:val="-4"/>
          <w:rtl/>
          <w:lang w:bidi="ar"/>
        </w:rPr>
        <w:t xml:space="preserve"> عن ب</w:t>
      </w:r>
      <w:r w:rsidR="00887222">
        <w:rPr>
          <w:rFonts w:hint="cs"/>
          <w:spacing w:val="-4"/>
          <w:rtl/>
          <w:lang w:bidi="ar"/>
        </w:rPr>
        <w:t>ُ</w:t>
      </w:r>
      <w:r w:rsidR="00F56EFC" w:rsidRPr="0064483F">
        <w:rPr>
          <w:rFonts w:hint="cs"/>
          <w:spacing w:val="-4"/>
          <w:rtl/>
          <w:lang w:bidi="ar"/>
        </w:rPr>
        <w:t xml:space="preserve">عد في </w:t>
      </w:r>
      <w:r w:rsidR="004F57FB">
        <w:rPr>
          <w:rFonts w:hint="cs"/>
          <w:spacing w:val="-4"/>
          <w:rtl/>
          <w:lang w:bidi="ar"/>
        </w:rPr>
        <w:t>زيمبابوي</w:t>
      </w:r>
      <w:r w:rsidR="00F56EFC" w:rsidRPr="0064483F">
        <w:rPr>
          <w:rFonts w:hint="cs"/>
          <w:spacing w:val="-4"/>
          <w:rtl/>
          <w:lang w:bidi="ar"/>
        </w:rPr>
        <w:t xml:space="preserve">، بتمويل من الاتحاد الدولي للاتصالات وبرنامج الأمم المتحدة الإنمائي وحكومة </w:t>
      </w:r>
      <w:r w:rsidR="00B22201">
        <w:rPr>
          <w:rFonts w:hint="cs"/>
          <w:spacing w:val="-4"/>
          <w:rtl/>
          <w:lang w:bidi="ar"/>
        </w:rPr>
        <w:t>زيمبابوي</w:t>
      </w:r>
      <w:r w:rsidR="00F56EFC" w:rsidRPr="0064483F">
        <w:rPr>
          <w:rFonts w:hint="cs"/>
          <w:spacing w:val="-4"/>
          <w:rtl/>
          <w:lang w:bidi="ar"/>
        </w:rPr>
        <w:t xml:space="preserve"> بهدف تقديم التوصيلية بين المستشفيات في البلاد بتكنولوجيا المعلومات والاتصالات لتحسين تقديم الخدمات الطبية.</w:t>
      </w:r>
    </w:p>
    <w:p w:rsidR="00F56EFC" w:rsidRPr="00F56EFC" w:rsidRDefault="00F56EFC" w:rsidP="008A1376">
      <w:pPr>
        <w:rPr>
          <w:rtl/>
          <w:lang w:val="en-GB" w:bidi="ar"/>
        </w:rPr>
      </w:pPr>
      <w:r>
        <w:rPr>
          <w:rFonts w:hint="cs"/>
          <w:rtl/>
          <w:lang w:bidi="ar"/>
        </w:rPr>
        <w:t>وبوصف</w:t>
      </w:r>
      <w:r w:rsidRPr="00F56EFC">
        <w:rPr>
          <w:rFonts w:hint="cs"/>
          <w:rtl/>
          <w:lang w:bidi="ar"/>
        </w:rPr>
        <w:t xml:space="preserve"> </w:t>
      </w:r>
      <w:r w:rsidRPr="00D2269D">
        <w:rPr>
          <w:rFonts w:hint="cs"/>
          <w:rtl/>
          <w:lang w:bidi="ar"/>
        </w:rPr>
        <w:t>الاتحاد رئيسا</w:t>
      </w:r>
      <w:r>
        <w:rPr>
          <w:rFonts w:hint="cs"/>
          <w:rtl/>
          <w:lang w:bidi="ar"/>
        </w:rPr>
        <w:t>ً</w:t>
      </w:r>
      <w:r w:rsidRPr="00D2269D">
        <w:rPr>
          <w:rFonts w:hint="cs"/>
          <w:rtl/>
          <w:lang w:bidi="ar"/>
        </w:rPr>
        <w:t xml:space="preserve"> مشاركا</w:t>
      </w:r>
      <w:r>
        <w:rPr>
          <w:rFonts w:hint="cs"/>
          <w:rtl/>
          <w:lang w:bidi="ar"/>
        </w:rPr>
        <w:t>ً</w:t>
      </w:r>
      <w:r w:rsidRPr="00D2269D">
        <w:rPr>
          <w:rFonts w:hint="cs"/>
          <w:rtl/>
          <w:lang w:bidi="ar"/>
        </w:rPr>
        <w:t xml:space="preserve"> للجنة التوجيهية وعضوا</w:t>
      </w:r>
      <w:r>
        <w:rPr>
          <w:rFonts w:hint="cs"/>
          <w:rtl/>
          <w:lang w:bidi="ar"/>
        </w:rPr>
        <w:t>ً</w:t>
      </w:r>
      <w:r w:rsidRPr="00D2269D">
        <w:rPr>
          <w:rFonts w:hint="cs"/>
          <w:rtl/>
          <w:lang w:bidi="ar"/>
        </w:rPr>
        <w:t xml:space="preserve"> في مجلس </w:t>
      </w:r>
      <w:r w:rsidR="00B906C9">
        <w:rPr>
          <w:rFonts w:hint="cs"/>
          <w:rtl/>
          <w:lang w:bidi="ar-EG"/>
        </w:rPr>
        <w:t>إ</w:t>
      </w:r>
      <w:r w:rsidRPr="00D2269D">
        <w:rPr>
          <w:rFonts w:hint="cs"/>
          <w:rtl/>
          <w:lang w:bidi="ar"/>
        </w:rPr>
        <w:t>فريقيا الذكية،</w:t>
      </w:r>
      <w:r w:rsidR="00F86482" w:rsidRPr="00F86482">
        <w:rPr>
          <w:rFonts w:hint="cs"/>
          <w:rtl/>
          <w:lang w:bidi="ar"/>
        </w:rPr>
        <w:t xml:space="preserve"> </w:t>
      </w:r>
      <w:r w:rsidR="00F86482">
        <w:rPr>
          <w:rFonts w:hint="cs"/>
          <w:rtl/>
          <w:lang w:bidi="ar"/>
        </w:rPr>
        <w:t xml:space="preserve">فقد </w:t>
      </w:r>
      <w:r w:rsidR="00F86482" w:rsidRPr="00D2269D">
        <w:rPr>
          <w:rFonts w:hint="cs"/>
          <w:rtl/>
          <w:lang w:bidi="ar"/>
        </w:rPr>
        <w:t xml:space="preserve">عزز التعاون مع </w:t>
      </w:r>
      <w:r w:rsidR="00F86482" w:rsidRPr="00887222">
        <w:rPr>
          <w:rFonts w:hint="cs"/>
          <w:rtl/>
          <w:lang w:bidi="ar"/>
        </w:rPr>
        <w:t>مجلس</w:t>
      </w:r>
      <w:r w:rsidR="00F86482" w:rsidRPr="00D2269D">
        <w:rPr>
          <w:rFonts w:hint="cs"/>
          <w:rtl/>
          <w:lang w:bidi="ar"/>
        </w:rPr>
        <w:t xml:space="preserve"> </w:t>
      </w:r>
      <w:r w:rsidR="007856EF">
        <w:rPr>
          <w:rFonts w:hint="cs"/>
          <w:rtl/>
          <w:lang w:bidi="ar"/>
        </w:rPr>
        <w:t>إ</w:t>
      </w:r>
      <w:r w:rsidR="00F86482" w:rsidRPr="00D2269D">
        <w:rPr>
          <w:rFonts w:hint="cs"/>
          <w:rtl/>
          <w:lang w:bidi="ar"/>
        </w:rPr>
        <w:t>فريقيا الذكية وقدم</w:t>
      </w:r>
      <w:r w:rsidR="00F86482">
        <w:rPr>
          <w:rFonts w:hint="cs"/>
          <w:rtl/>
          <w:lang w:bidi="ar"/>
        </w:rPr>
        <w:t xml:space="preserve"> له</w:t>
      </w:r>
      <w:r w:rsidR="00F86482" w:rsidRPr="00D2269D">
        <w:rPr>
          <w:rFonts w:hint="cs"/>
          <w:rtl/>
          <w:lang w:bidi="ar"/>
        </w:rPr>
        <w:t xml:space="preserve"> ا</w:t>
      </w:r>
      <w:r w:rsidR="00F86482">
        <w:rPr>
          <w:rFonts w:hint="cs"/>
          <w:rtl/>
          <w:lang w:bidi="ar"/>
        </w:rPr>
        <w:t>لمساعدة التقنية واستضاف اجتماعي</w:t>
      </w:r>
      <w:r w:rsidR="00F86482" w:rsidRPr="00D2269D">
        <w:rPr>
          <w:rFonts w:hint="cs"/>
          <w:rtl/>
          <w:lang w:bidi="ar"/>
        </w:rPr>
        <w:t xml:space="preserve"> الإدارة</w:t>
      </w:r>
      <w:r w:rsidR="00F86482">
        <w:rPr>
          <w:rFonts w:hint="cs"/>
          <w:rtl/>
          <w:lang w:bidi="ar"/>
        </w:rPr>
        <w:t xml:space="preserve"> كليهما</w:t>
      </w:r>
      <w:r w:rsidR="00F86482" w:rsidRPr="00D2269D">
        <w:rPr>
          <w:rFonts w:hint="cs"/>
          <w:rtl/>
          <w:lang w:bidi="ar"/>
        </w:rPr>
        <w:t>.</w:t>
      </w:r>
      <w:r w:rsidR="00F86482" w:rsidRPr="00F86482">
        <w:rPr>
          <w:rFonts w:hint="cs"/>
          <w:rtl/>
          <w:lang w:bidi="ar"/>
        </w:rPr>
        <w:t xml:space="preserve"> </w:t>
      </w:r>
      <w:r w:rsidR="00F86482">
        <w:rPr>
          <w:rFonts w:hint="cs"/>
          <w:rtl/>
          <w:lang w:bidi="ar"/>
        </w:rPr>
        <w:t>وفي اجتماعه</w:t>
      </w:r>
      <w:r w:rsidR="00F86482" w:rsidRPr="00D2269D">
        <w:rPr>
          <w:rFonts w:hint="cs"/>
          <w:rtl/>
          <w:lang w:bidi="ar"/>
        </w:rPr>
        <w:t xml:space="preserve"> الذي ع</w:t>
      </w:r>
      <w:r w:rsidR="00887222">
        <w:rPr>
          <w:rFonts w:hint="cs"/>
          <w:rtl/>
          <w:lang w:bidi="ar"/>
        </w:rPr>
        <w:t>ُ</w:t>
      </w:r>
      <w:r w:rsidR="00F86482" w:rsidRPr="00D2269D">
        <w:rPr>
          <w:rFonts w:hint="cs"/>
          <w:rtl/>
          <w:lang w:bidi="ar"/>
        </w:rPr>
        <w:t xml:space="preserve">قد في </w:t>
      </w:r>
      <w:r w:rsidR="00F86482">
        <w:rPr>
          <w:rFonts w:hint="cs"/>
          <w:rtl/>
          <w:lang w:bidi="ar"/>
        </w:rPr>
        <w:t>يونيو</w:t>
      </w:r>
      <w:r w:rsidR="00F86482" w:rsidRPr="00D2269D">
        <w:rPr>
          <w:rFonts w:hint="cs"/>
          <w:rtl/>
          <w:lang w:bidi="ar"/>
        </w:rPr>
        <w:t xml:space="preserve"> </w:t>
      </w:r>
      <w:r w:rsidR="007856EF">
        <w:rPr>
          <w:lang w:bidi="ar"/>
        </w:rPr>
        <w:t>2016</w:t>
      </w:r>
      <w:r w:rsidR="00F86482" w:rsidRPr="00D2269D">
        <w:rPr>
          <w:rFonts w:hint="cs"/>
          <w:rtl/>
          <w:lang w:bidi="ar"/>
        </w:rPr>
        <w:t xml:space="preserve"> على </w:t>
      </w:r>
      <w:r w:rsidR="00F86482">
        <w:rPr>
          <w:rFonts w:hint="cs"/>
          <w:rtl/>
          <w:lang w:bidi="ar"/>
        </w:rPr>
        <w:t>هامش</w:t>
      </w:r>
      <w:r w:rsidR="00F86482" w:rsidRPr="00D2269D">
        <w:rPr>
          <w:rFonts w:hint="cs"/>
          <w:rtl/>
          <w:lang w:bidi="ar"/>
        </w:rPr>
        <w:t xml:space="preserve"> قمة الاتحاد ا</w:t>
      </w:r>
      <w:r w:rsidR="00FD2560">
        <w:rPr>
          <w:rFonts w:hint="cs"/>
          <w:rtl/>
          <w:lang w:bidi="ar-EG"/>
        </w:rPr>
        <w:t>لإ</w:t>
      </w:r>
      <w:r w:rsidR="00F86482" w:rsidRPr="00D2269D">
        <w:rPr>
          <w:rFonts w:hint="cs"/>
          <w:rtl/>
          <w:lang w:bidi="ar"/>
        </w:rPr>
        <w:t>فريقي</w:t>
      </w:r>
      <w:r w:rsidR="00F86482">
        <w:rPr>
          <w:rFonts w:hint="cs"/>
          <w:rtl/>
          <w:lang w:bidi="ar"/>
        </w:rPr>
        <w:t xml:space="preserve">، أيد مجلس </w:t>
      </w:r>
      <w:r w:rsidR="00EE4F30">
        <w:rPr>
          <w:rFonts w:hint="cs"/>
          <w:rtl/>
          <w:lang w:bidi="ar"/>
        </w:rPr>
        <w:t>إ</w:t>
      </w:r>
      <w:r w:rsidR="00F86482">
        <w:rPr>
          <w:rFonts w:hint="cs"/>
          <w:rtl/>
          <w:lang w:bidi="ar"/>
        </w:rPr>
        <w:t xml:space="preserve">فريقيا الذكية شبكة </w:t>
      </w:r>
      <w:r w:rsidR="00EE4F30">
        <w:rPr>
          <w:rFonts w:hint="cs"/>
          <w:rtl/>
          <w:lang w:bidi="ar"/>
        </w:rPr>
        <w:t>إ</w:t>
      </w:r>
      <w:r w:rsidR="00F86482">
        <w:rPr>
          <w:rFonts w:hint="cs"/>
          <w:rtl/>
          <w:lang w:bidi="ar"/>
        </w:rPr>
        <w:t>فريقيا الواحدة</w:t>
      </w:r>
      <w:r w:rsidR="00F86482" w:rsidRPr="00D2269D">
        <w:rPr>
          <w:rFonts w:hint="cs"/>
          <w:rtl/>
          <w:lang w:bidi="ar"/>
        </w:rPr>
        <w:t xml:space="preserve"> التي تلغي رسوم التجوال الدولي بين بلدان تحالف </w:t>
      </w:r>
      <w:r w:rsidR="00EE4F30">
        <w:rPr>
          <w:rFonts w:hint="cs"/>
          <w:rtl/>
          <w:lang w:bidi="ar"/>
        </w:rPr>
        <w:t>إ</w:t>
      </w:r>
      <w:r w:rsidR="00F86482" w:rsidRPr="00D2269D">
        <w:rPr>
          <w:rFonts w:hint="cs"/>
          <w:rtl/>
          <w:lang w:bidi="ar"/>
        </w:rPr>
        <w:t>فريقيا الذكية.</w:t>
      </w:r>
      <w:r w:rsidR="00F86482" w:rsidRPr="00F86482">
        <w:rPr>
          <w:rFonts w:hint="cs"/>
          <w:rtl/>
          <w:lang w:bidi="ar"/>
        </w:rPr>
        <w:t xml:space="preserve"> </w:t>
      </w:r>
      <w:r w:rsidR="00F86482">
        <w:rPr>
          <w:rFonts w:hint="cs"/>
          <w:rtl/>
          <w:lang w:bidi="ar"/>
        </w:rPr>
        <w:t xml:space="preserve">وكان </w:t>
      </w:r>
      <w:r w:rsidR="00F86482" w:rsidRPr="00D2269D">
        <w:rPr>
          <w:rFonts w:hint="cs"/>
          <w:rtl/>
          <w:lang w:bidi="ar"/>
        </w:rPr>
        <w:t>رئيسا رواندا وغابون</w:t>
      </w:r>
      <w:r w:rsidR="00F86482" w:rsidRPr="00F86482">
        <w:rPr>
          <w:rFonts w:hint="cs"/>
          <w:rtl/>
          <w:lang w:bidi="ar"/>
        </w:rPr>
        <w:t xml:space="preserve"> </w:t>
      </w:r>
      <w:r w:rsidR="00F86482" w:rsidRPr="00D2269D">
        <w:rPr>
          <w:rFonts w:hint="cs"/>
          <w:rtl/>
          <w:lang w:bidi="ar"/>
        </w:rPr>
        <w:t>أطلق</w:t>
      </w:r>
      <w:r w:rsidR="00F86482">
        <w:rPr>
          <w:rFonts w:hint="cs"/>
          <w:rtl/>
          <w:lang w:bidi="ar"/>
        </w:rPr>
        <w:t>ا</w:t>
      </w:r>
      <w:r w:rsidR="00F86482" w:rsidRPr="00D2269D">
        <w:rPr>
          <w:rFonts w:hint="cs"/>
          <w:rtl/>
          <w:lang w:bidi="ar"/>
        </w:rPr>
        <w:t xml:space="preserve"> مبادرة شبكة </w:t>
      </w:r>
      <w:r w:rsidR="00EE4F30">
        <w:rPr>
          <w:rFonts w:hint="cs"/>
          <w:rtl/>
          <w:lang w:bidi="ar"/>
        </w:rPr>
        <w:t>إ</w:t>
      </w:r>
      <w:r w:rsidR="00F86482" w:rsidRPr="00D2269D">
        <w:rPr>
          <w:rFonts w:hint="cs"/>
          <w:rtl/>
          <w:lang w:bidi="ar"/>
        </w:rPr>
        <w:t>فريقيا الواحدة لإزالة رسوم التجوال بين البلدين.</w:t>
      </w:r>
      <w:r w:rsidR="00116849">
        <w:rPr>
          <w:rFonts w:hint="cs"/>
          <w:rtl/>
          <w:lang w:bidi="ar"/>
        </w:rPr>
        <w:t xml:space="preserve"> وقدم</w:t>
      </w:r>
      <w:r w:rsidR="00116849" w:rsidRPr="00D2269D">
        <w:rPr>
          <w:rFonts w:hint="cs"/>
          <w:rtl/>
          <w:lang w:bidi="ar"/>
        </w:rPr>
        <w:t xml:space="preserve"> الاتحاد</w:t>
      </w:r>
      <w:r w:rsidR="00116849" w:rsidRPr="00116849">
        <w:rPr>
          <w:rFonts w:hint="cs"/>
          <w:rtl/>
          <w:lang w:bidi="ar"/>
        </w:rPr>
        <w:t xml:space="preserve"> </w:t>
      </w:r>
      <w:r w:rsidR="00116849" w:rsidRPr="00D2269D">
        <w:rPr>
          <w:rFonts w:hint="cs"/>
          <w:rtl/>
          <w:lang w:bidi="ar"/>
        </w:rPr>
        <w:t>من صندوق تنمية تكنولوجيا المعلومات والاتصالات</w:t>
      </w:r>
      <w:r w:rsidR="004F57FB">
        <w:rPr>
          <w:rFonts w:hint="eastAsia"/>
          <w:rtl/>
          <w:lang w:bidi="ar"/>
        </w:rPr>
        <w:t> </w:t>
      </w:r>
      <w:r w:rsidR="00116849" w:rsidRPr="00F56EFC">
        <w:rPr>
          <w:lang w:val="en-GB" w:bidi="ar"/>
        </w:rPr>
        <w:t>(ICT-DF)</w:t>
      </w:r>
      <w:r w:rsidR="00116849">
        <w:rPr>
          <w:rFonts w:hint="cs"/>
          <w:rtl/>
          <w:lang w:val="en-GB" w:bidi="ar"/>
        </w:rPr>
        <w:t xml:space="preserve"> </w:t>
      </w:r>
      <w:r w:rsidR="00116849">
        <w:rPr>
          <w:rFonts w:hint="cs"/>
          <w:rtl/>
          <w:lang w:bidi="ar"/>
        </w:rPr>
        <w:t>التمويل الأولي</w:t>
      </w:r>
      <w:r w:rsidR="00116849" w:rsidRPr="00D2269D">
        <w:rPr>
          <w:rFonts w:hint="cs"/>
          <w:rtl/>
          <w:lang w:bidi="ar"/>
        </w:rPr>
        <w:t xml:space="preserve"> </w:t>
      </w:r>
      <w:r w:rsidR="00116849">
        <w:rPr>
          <w:rFonts w:hint="cs"/>
          <w:rtl/>
          <w:lang w:bidi="ar"/>
        </w:rPr>
        <w:t>ل</w:t>
      </w:r>
      <w:r w:rsidR="00116849" w:rsidRPr="00D2269D">
        <w:rPr>
          <w:rFonts w:hint="cs"/>
          <w:rtl/>
          <w:lang w:bidi="ar"/>
        </w:rPr>
        <w:t xml:space="preserve">صندوق المنح الدراسية </w:t>
      </w:r>
      <w:r w:rsidR="00EE4F30">
        <w:rPr>
          <w:rFonts w:hint="cs"/>
          <w:rtl/>
          <w:lang w:bidi="ar"/>
        </w:rPr>
        <w:t>لإ</w:t>
      </w:r>
      <w:r w:rsidR="00116849" w:rsidRPr="00D2269D">
        <w:rPr>
          <w:rFonts w:hint="cs"/>
          <w:rtl/>
          <w:lang w:bidi="ar"/>
        </w:rPr>
        <w:t xml:space="preserve">فريقيا الذكية في البداية بمبلغ </w:t>
      </w:r>
      <w:r w:rsidR="00EE4F30">
        <w:rPr>
          <w:lang w:bidi="ar"/>
        </w:rPr>
        <w:t>200 000</w:t>
      </w:r>
      <w:r w:rsidR="00116849" w:rsidRPr="00D2269D">
        <w:rPr>
          <w:rFonts w:hint="cs"/>
          <w:rtl/>
          <w:lang w:bidi="ar"/>
        </w:rPr>
        <w:t xml:space="preserve"> دولار</w:t>
      </w:r>
      <w:r w:rsidR="00887222">
        <w:rPr>
          <w:rFonts w:hint="cs"/>
          <w:rtl/>
          <w:lang w:bidi="ar"/>
        </w:rPr>
        <w:t xml:space="preserve"> أمريكي</w:t>
      </w:r>
      <w:r w:rsidR="00116849" w:rsidRPr="00D2269D">
        <w:rPr>
          <w:rFonts w:hint="cs"/>
          <w:rtl/>
          <w:lang w:bidi="ar"/>
        </w:rPr>
        <w:t xml:space="preserve"> </w:t>
      </w:r>
      <w:r w:rsidR="00116849">
        <w:rPr>
          <w:rFonts w:hint="cs"/>
          <w:rtl/>
          <w:lang w:bidi="ar"/>
        </w:rPr>
        <w:t>ف</w:t>
      </w:r>
      <w:r w:rsidR="00116849" w:rsidRPr="00D2269D">
        <w:rPr>
          <w:rFonts w:hint="cs"/>
          <w:rtl/>
          <w:lang w:bidi="ar"/>
        </w:rPr>
        <w:t>أ</w:t>
      </w:r>
      <w:r w:rsidR="00116849">
        <w:rPr>
          <w:rFonts w:hint="cs"/>
          <w:rtl/>
          <w:lang w:bidi="ar"/>
        </w:rPr>
        <w:t>ُ</w:t>
      </w:r>
      <w:r w:rsidR="00116849" w:rsidRPr="00D2269D">
        <w:rPr>
          <w:rFonts w:hint="cs"/>
          <w:rtl/>
          <w:lang w:bidi="ar"/>
        </w:rPr>
        <w:t xml:space="preserve">طلق </w:t>
      </w:r>
      <w:r w:rsidR="00116849" w:rsidRPr="00D2269D">
        <w:rPr>
          <w:rFonts w:hint="cs"/>
          <w:rtl/>
          <w:lang w:bidi="ar"/>
        </w:rPr>
        <w:lastRenderedPageBreak/>
        <w:t>في</w:t>
      </w:r>
      <w:r w:rsidR="00E43825">
        <w:rPr>
          <w:rFonts w:hint="eastAsia"/>
          <w:rtl/>
          <w:lang w:bidi="ar"/>
        </w:rPr>
        <w:t> </w:t>
      </w:r>
      <w:r w:rsidR="00116849" w:rsidRPr="00D2269D">
        <w:rPr>
          <w:rFonts w:hint="cs"/>
          <w:rtl/>
          <w:lang w:bidi="ar"/>
        </w:rPr>
        <w:t>عام</w:t>
      </w:r>
      <w:r w:rsidR="00E43825">
        <w:rPr>
          <w:rFonts w:hint="eastAsia"/>
          <w:rtl/>
          <w:lang w:bidi="ar"/>
        </w:rPr>
        <w:t> </w:t>
      </w:r>
      <w:r w:rsidR="00E43825">
        <w:rPr>
          <w:lang w:bidi="ar"/>
        </w:rPr>
        <w:t>2015</w:t>
      </w:r>
      <w:r w:rsidR="00116849" w:rsidRPr="00D2269D">
        <w:rPr>
          <w:rFonts w:hint="cs"/>
          <w:rtl/>
          <w:lang w:bidi="ar"/>
        </w:rPr>
        <w:t xml:space="preserve"> ليصل إلى </w:t>
      </w:r>
      <w:r w:rsidR="00E43825">
        <w:rPr>
          <w:lang w:bidi="ar"/>
        </w:rPr>
        <w:t>1 200 000</w:t>
      </w:r>
      <w:r w:rsidR="00116849" w:rsidRPr="00D2269D">
        <w:rPr>
          <w:rFonts w:hint="cs"/>
          <w:rtl/>
          <w:lang w:bidi="ar"/>
        </w:rPr>
        <w:t xml:space="preserve"> دولار أمريكي. </w:t>
      </w:r>
      <w:r w:rsidR="00116849">
        <w:rPr>
          <w:rFonts w:hint="cs"/>
          <w:rtl/>
          <w:lang w:bidi="ar"/>
        </w:rPr>
        <w:t>وحتى</w:t>
      </w:r>
      <w:r w:rsidR="00116849" w:rsidRPr="00D2269D">
        <w:rPr>
          <w:rFonts w:hint="cs"/>
          <w:rtl/>
          <w:lang w:bidi="ar"/>
        </w:rPr>
        <w:t xml:space="preserve"> فبراير </w:t>
      </w:r>
      <w:r w:rsidR="005F49B5">
        <w:rPr>
          <w:lang w:bidi="ar"/>
        </w:rPr>
        <w:t>2017</w:t>
      </w:r>
      <w:r w:rsidR="00116849" w:rsidRPr="00D2269D">
        <w:rPr>
          <w:rFonts w:hint="cs"/>
          <w:rtl/>
          <w:lang w:bidi="ar"/>
        </w:rPr>
        <w:t>،</w:t>
      </w:r>
      <w:r w:rsidR="00116849">
        <w:rPr>
          <w:rFonts w:hint="cs"/>
          <w:rtl/>
          <w:lang w:bidi="ar"/>
        </w:rPr>
        <w:t xml:space="preserve"> رعت</w:t>
      </w:r>
      <w:r w:rsidR="00116849" w:rsidRPr="00116849">
        <w:rPr>
          <w:rFonts w:hint="cs"/>
          <w:rtl/>
          <w:lang w:bidi="ar"/>
        </w:rPr>
        <w:t xml:space="preserve"> </w:t>
      </w:r>
      <w:r w:rsidR="00887222">
        <w:rPr>
          <w:rFonts w:hint="cs"/>
          <w:rtl/>
          <w:lang w:bidi="ar"/>
        </w:rPr>
        <w:t>قمة</w:t>
      </w:r>
      <w:r w:rsidR="00116849" w:rsidRPr="00D2269D">
        <w:rPr>
          <w:rFonts w:hint="cs"/>
          <w:rtl/>
          <w:lang w:bidi="ar"/>
        </w:rPr>
        <w:t xml:space="preserve"> </w:t>
      </w:r>
      <w:r w:rsidR="005F49B5">
        <w:rPr>
          <w:rFonts w:hint="cs"/>
          <w:rtl/>
          <w:lang w:bidi="ar-EG"/>
        </w:rPr>
        <w:t>إ</w:t>
      </w:r>
      <w:r w:rsidR="00116849">
        <w:rPr>
          <w:rFonts w:hint="cs"/>
          <w:rtl/>
          <w:lang w:bidi="ar"/>
        </w:rPr>
        <w:t>فريقيا الذكية</w:t>
      </w:r>
      <w:r w:rsidR="00116849" w:rsidRPr="00D2269D">
        <w:rPr>
          <w:rFonts w:hint="cs"/>
          <w:rtl/>
          <w:lang w:bidi="ar"/>
        </w:rPr>
        <w:t xml:space="preserve"> برعاية </w:t>
      </w:r>
      <w:r w:rsidR="005F49B5">
        <w:rPr>
          <w:lang w:bidi="ar"/>
        </w:rPr>
        <w:t>17</w:t>
      </w:r>
      <w:r w:rsidR="00116849" w:rsidRPr="00D2269D">
        <w:rPr>
          <w:rFonts w:hint="cs"/>
          <w:rtl/>
          <w:lang w:bidi="ar"/>
        </w:rPr>
        <w:t xml:space="preserve"> طالبا</w:t>
      </w:r>
      <w:r w:rsidR="00116849">
        <w:rPr>
          <w:rFonts w:hint="cs"/>
          <w:rtl/>
          <w:lang w:bidi="ar"/>
        </w:rPr>
        <w:t>ً</w:t>
      </w:r>
      <w:r w:rsidR="00116849" w:rsidRPr="00D2269D">
        <w:rPr>
          <w:rFonts w:hint="cs"/>
          <w:rtl/>
          <w:lang w:bidi="ar"/>
        </w:rPr>
        <w:t xml:space="preserve">، </w:t>
      </w:r>
      <w:r w:rsidR="005F49B5">
        <w:rPr>
          <w:lang w:bidi="ar"/>
        </w:rPr>
        <w:t>6</w:t>
      </w:r>
      <w:r w:rsidR="008A1376">
        <w:rPr>
          <w:rFonts w:hint="eastAsia"/>
          <w:rtl/>
          <w:lang w:bidi="ar"/>
        </w:rPr>
        <w:t> </w:t>
      </w:r>
      <w:r w:rsidR="00116849">
        <w:rPr>
          <w:rFonts w:hint="cs"/>
          <w:rtl/>
          <w:lang w:bidi="ar"/>
        </w:rPr>
        <w:t>بينهم</w:t>
      </w:r>
      <w:r w:rsidR="00116849" w:rsidRPr="00D2269D">
        <w:rPr>
          <w:rFonts w:hint="cs"/>
          <w:rtl/>
          <w:lang w:bidi="ar"/>
        </w:rPr>
        <w:t xml:space="preserve"> من النساء، </w:t>
      </w:r>
      <w:r w:rsidR="00116849">
        <w:rPr>
          <w:rFonts w:hint="cs"/>
          <w:rtl/>
          <w:lang w:bidi="ar"/>
        </w:rPr>
        <w:t>للالتحاق</w:t>
      </w:r>
      <w:r w:rsidR="00116849" w:rsidRPr="00D2269D">
        <w:rPr>
          <w:rFonts w:hint="cs"/>
          <w:rtl/>
          <w:lang w:bidi="ar"/>
        </w:rPr>
        <w:t xml:space="preserve"> </w:t>
      </w:r>
      <w:r w:rsidR="00116849">
        <w:rPr>
          <w:rFonts w:hint="cs"/>
          <w:rtl/>
          <w:lang w:bidi="ar"/>
        </w:rPr>
        <w:t>ب</w:t>
      </w:r>
      <w:r w:rsidR="00116849" w:rsidRPr="00D2269D">
        <w:rPr>
          <w:rFonts w:hint="cs"/>
          <w:rtl/>
          <w:lang w:bidi="ar"/>
        </w:rPr>
        <w:t>جامعة كارنيغي ميلون في رواندا.</w:t>
      </w:r>
    </w:p>
    <w:p w:rsidR="00262CAF" w:rsidRDefault="00262CAF" w:rsidP="00262CAF">
      <w:pPr>
        <w:pStyle w:val="Heading2"/>
        <w:rPr>
          <w:rtl/>
        </w:rPr>
      </w:pPr>
      <w:r>
        <w:t>2.2</w:t>
      </w:r>
      <w:r>
        <w:rPr>
          <w:rtl/>
        </w:rPr>
        <w:tab/>
      </w:r>
      <w:r>
        <w:rPr>
          <w:rFonts w:hint="cs"/>
          <w:rtl/>
        </w:rPr>
        <w:t>الأمريكتان</w:t>
      </w:r>
    </w:p>
    <w:p w:rsidR="0061234F" w:rsidRDefault="0061234F" w:rsidP="00CA3912">
      <w:pPr>
        <w:rPr>
          <w:rtl/>
          <w:lang w:val="en-GB" w:bidi="ar-EG"/>
        </w:rPr>
      </w:pPr>
      <w:bookmarkStart w:id="2" w:name="lt_pId045"/>
      <w:r w:rsidRPr="00D2269D">
        <w:rPr>
          <w:rFonts w:hint="cs"/>
          <w:rtl/>
          <w:lang w:bidi="ar"/>
        </w:rPr>
        <w:t>عقب نجاح مشروع مع الإدارة الأرجنتينية لتعزيز إدماج أ</w:t>
      </w:r>
      <w:r>
        <w:rPr>
          <w:rFonts w:hint="cs"/>
          <w:rtl/>
          <w:lang w:bidi="ar"/>
        </w:rPr>
        <w:t xml:space="preserve">كثر من </w:t>
      </w:r>
      <w:r w:rsidR="00CA3912">
        <w:rPr>
          <w:lang w:bidi="ar"/>
        </w:rPr>
        <w:t>20</w:t>
      </w:r>
      <w:r>
        <w:rPr>
          <w:rFonts w:hint="cs"/>
          <w:rtl/>
          <w:lang w:bidi="ar"/>
        </w:rPr>
        <w:t xml:space="preserve"> جامعة كأعضاء من الهيئات الأكاديمية</w:t>
      </w:r>
      <w:r w:rsidRPr="00D2269D">
        <w:rPr>
          <w:rFonts w:hint="cs"/>
          <w:rtl/>
          <w:lang w:bidi="ar"/>
        </w:rPr>
        <w:t xml:space="preserve"> في أنشطة الاتحاد، تتولى المكاتب الإقليمية ومكاتب المناطق التابعة للاتحاد التنسيق مع إدارات أخرى في</w:t>
      </w:r>
      <w:r>
        <w:rPr>
          <w:rFonts w:hint="cs"/>
          <w:rtl/>
          <w:lang w:bidi="ar"/>
        </w:rPr>
        <w:t xml:space="preserve"> المنطقة، مثل كولومبيا، ل</w:t>
      </w:r>
      <w:r w:rsidR="009330EB">
        <w:rPr>
          <w:rFonts w:hint="cs"/>
          <w:rtl/>
          <w:lang w:bidi="ar"/>
        </w:rPr>
        <w:t>استنساخ هذا المشروع</w:t>
      </w:r>
      <w:r w:rsidRPr="00D2269D">
        <w:rPr>
          <w:rFonts w:hint="cs"/>
          <w:rtl/>
          <w:lang w:bidi="ar"/>
        </w:rPr>
        <w:t>.</w:t>
      </w:r>
    </w:p>
    <w:p w:rsidR="005A3082" w:rsidRPr="00ED42BE" w:rsidRDefault="005A3082" w:rsidP="007F65D6">
      <w:pPr>
        <w:rPr>
          <w:rtl/>
          <w:lang w:val="en-GB" w:bidi="ar-EG"/>
        </w:rPr>
      </w:pPr>
      <w:bookmarkStart w:id="3" w:name="lt_pId048"/>
      <w:bookmarkEnd w:id="2"/>
      <w:r w:rsidRPr="00D2269D">
        <w:rPr>
          <w:rFonts w:hint="cs"/>
          <w:rtl/>
          <w:lang w:bidi="ar"/>
        </w:rPr>
        <w:t xml:space="preserve">وقد </w:t>
      </w:r>
      <w:r>
        <w:rPr>
          <w:rFonts w:hint="cs"/>
          <w:rtl/>
          <w:lang w:bidi="ar"/>
        </w:rPr>
        <w:t>أُعدت</w:t>
      </w:r>
      <w:r w:rsidRPr="00D2269D">
        <w:rPr>
          <w:rFonts w:hint="cs"/>
          <w:rtl/>
          <w:lang w:bidi="ar"/>
        </w:rPr>
        <w:t xml:space="preserve"> مشاريع ونفذت بالتعاون مع أصحاب المصلحة من القطاعين العام والخاص: </w:t>
      </w:r>
      <w:r>
        <w:rPr>
          <w:rFonts w:hint="cs"/>
          <w:rtl/>
          <w:lang w:bidi="ar"/>
        </w:rPr>
        <w:t xml:space="preserve">ومنها </w:t>
      </w:r>
      <w:r w:rsidRPr="00D2269D">
        <w:rPr>
          <w:rFonts w:hint="cs"/>
          <w:rtl/>
          <w:lang w:bidi="ar"/>
        </w:rPr>
        <w:t xml:space="preserve">على سبيل المثال، مشروع للتعاون التقني مع </w:t>
      </w:r>
      <w:r>
        <w:rPr>
          <w:rFonts w:hint="cs"/>
          <w:rtl/>
          <w:lang w:bidi="ar"/>
        </w:rPr>
        <w:t>هيئة تنظيم</w:t>
      </w:r>
      <w:r w:rsidRPr="009330EB">
        <w:rPr>
          <w:rtl/>
          <w:lang w:bidi="ar"/>
        </w:rPr>
        <w:t xml:space="preserve"> </w:t>
      </w:r>
      <w:r w:rsidRPr="009330EB">
        <w:rPr>
          <w:rFonts w:hint="eastAsia"/>
          <w:rtl/>
          <w:lang w:bidi="ar"/>
        </w:rPr>
        <w:t>الاتصالات</w:t>
      </w:r>
      <w:r w:rsidRPr="009330EB">
        <w:rPr>
          <w:rtl/>
          <w:lang w:bidi="ar"/>
        </w:rPr>
        <w:t xml:space="preserve"> </w:t>
      </w:r>
      <w:r w:rsidRPr="009330EB">
        <w:rPr>
          <w:rFonts w:hint="eastAsia"/>
          <w:rtl/>
          <w:lang w:bidi="ar"/>
        </w:rPr>
        <w:t>الوطنية</w:t>
      </w:r>
      <w:r w:rsidRPr="009330EB">
        <w:rPr>
          <w:rFonts w:hint="cs"/>
          <w:rtl/>
          <w:lang w:bidi="ar"/>
        </w:rPr>
        <w:t xml:space="preserve"> </w:t>
      </w:r>
      <w:r w:rsidRPr="00D2269D">
        <w:rPr>
          <w:rFonts w:hint="cs"/>
          <w:rtl/>
          <w:lang w:bidi="ar"/>
        </w:rPr>
        <w:t>البرازيلية</w:t>
      </w:r>
      <w:r>
        <w:rPr>
          <w:rFonts w:hint="cs"/>
          <w:rtl/>
          <w:lang w:bidi="ar"/>
        </w:rPr>
        <w:t xml:space="preserve"> </w:t>
      </w:r>
      <w:r w:rsidR="00630992">
        <w:rPr>
          <w:lang w:bidi="ar"/>
        </w:rPr>
        <w:t>(</w:t>
      </w:r>
      <w:proofErr w:type="spellStart"/>
      <w:r w:rsidRPr="00ED42BE">
        <w:rPr>
          <w:lang w:val="en-GB" w:bidi="ar-EG"/>
        </w:rPr>
        <w:t>Anatel</w:t>
      </w:r>
      <w:proofErr w:type="spellEnd"/>
      <w:r w:rsidR="00630992">
        <w:rPr>
          <w:lang w:val="en-GB" w:bidi="ar-EG"/>
        </w:rPr>
        <w:t>)</w:t>
      </w:r>
      <w:r w:rsidRPr="009330EB">
        <w:rPr>
          <w:rFonts w:hint="cs"/>
          <w:rtl/>
          <w:lang w:bidi="ar"/>
        </w:rPr>
        <w:t xml:space="preserve"> </w:t>
      </w:r>
      <w:r>
        <w:rPr>
          <w:rFonts w:hint="cs"/>
          <w:rtl/>
          <w:lang w:bidi="ar"/>
        </w:rPr>
        <w:t>يهدف إلى تعزيزها</w:t>
      </w:r>
      <w:r w:rsidRPr="00D2269D">
        <w:rPr>
          <w:rFonts w:hint="cs"/>
          <w:rtl/>
          <w:lang w:bidi="ar"/>
        </w:rPr>
        <w:t xml:space="preserve">؛ </w:t>
      </w:r>
      <w:r>
        <w:rPr>
          <w:rFonts w:hint="cs"/>
          <w:rtl/>
          <w:lang w:bidi="ar"/>
        </w:rPr>
        <w:t>ولتوزيع</w:t>
      </w:r>
      <w:r w:rsidRPr="00D2269D">
        <w:rPr>
          <w:rFonts w:hint="cs"/>
          <w:rtl/>
          <w:lang w:bidi="ar"/>
        </w:rPr>
        <w:t xml:space="preserve"> الطيف مع وزارة</w:t>
      </w:r>
      <w:r>
        <w:rPr>
          <w:rFonts w:hint="cs"/>
          <w:rtl/>
          <w:lang w:bidi="ar"/>
        </w:rPr>
        <w:t xml:space="preserve"> التجارة والصناعة والسياحة</w:t>
      </w:r>
      <w:r w:rsidR="009C7CE8">
        <w:rPr>
          <w:rFonts w:hint="eastAsia"/>
          <w:rtl/>
          <w:lang w:bidi="ar"/>
        </w:rPr>
        <w:t> </w:t>
      </w:r>
      <w:r w:rsidR="009C7CE8">
        <w:rPr>
          <w:lang w:bidi="ar"/>
        </w:rPr>
        <w:t>(</w:t>
      </w:r>
      <w:r w:rsidRPr="00ED42BE">
        <w:rPr>
          <w:lang w:val="en-GB" w:bidi="ar-EG"/>
        </w:rPr>
        <w:t>MINCIT</w:t>
      </w:r>
      <w:r w:rsidR="009C7CE8">
        <w:rPr>
          <w:lang w:val="en-GB" w:bidi="ar-EG"/>
        </w:rPr>
        <w:t>)</w:t>
      </w:r>
      <w:r w:rsidRPr="00D2269D">
        <w:rPr>
          <w:rFonts w:hint="cs"/>
          <w:rtl/>
          <w:lang w:bidi="ar"/>
        </w:rPr>
        <w:t xml:space="preserve"> في كولومبيا.</w:t>
      </w:r>
      <w:r w:rsidRPr="005A3082">
        <w:rPr>
          <w:rFonts w:hint="cs"/>
          <w:rtl/>
          <w:lang w:bidi="ar"/>
        </w:rPr>
        <w:t xml:space="preserve"> </w:t>
      </w:r>
      <w:r w:rsidR="007F65D6">
        <w:rPr>
          <w:rFonts w:hint="cs"/>
          <w:rtl/>
          <w:lang w:bidi="ar"/>
        </w:rPr>
        <w:t>ووضعت</w:t>
      </w:r>
      <w:r w:rsidRPr="00D2269D">
        <w:rPr>
          <w:rFonts w:hint="cs"/>
          <w:rtl/>
          <w:lang w:bidi="ar"/>
        </w:rPr>
        <w:t xml:space="preserve"> خرائط </w:t>
      </w:r>
      <w:r>
        <w:rPr>
          <w:rFonts w:hint="cs"/>
          <w:rtl/>
          <w:lang w:bidi="ar"/>
        </w:rPr>
        <w:t xml:space="preserve">طريق </w:t>
      </w:r>
      <w:r w:rsidRPr="00D2269D">
        <w:rPr>
          <w:rFonts w:hint="cs"/>
          <w:rtl/>
          <w:lang w:bidi="ar"/>
        </w:rPr>
        <w:t>بالتعاون مع أصحاب المصلحة</w:t>
      </w:r>
      <w:r>
        <w:rPr>
          <w:rFonts w:hint="cs"/>
          <w:rtl/>
          <w:lang w:bidi="ar"/>
        </w:rPr>
        <w:t xml:space="preserve"> على الصعيدين الوطني والإقليمي</w:t>
      </w:r>
      <w:r w:rsidRPr="00D2269D">
        <w:rPr>
          <w:rFonts w:hint="cs"/>
          <w:rtl/>
          <w:lang w:bidi="ar"/>
        </w:rPr>
        <w:t xml:space="preserve"> من أجل الانتقال من الإذاعة التلفزيوني</w:t>
      </w:r>
      <w:r>
        <w:rPr>
          <w:rFonts w:hint="cs"/>
          <w:rtl/>
          <w:lang w:bidi="ar"/>
        </w:rPr>
        <w:t>ة</w:t>
      </w:r>
      <w:r w:rsidRPr="00D2269D">
        <w:rPr>
          <w:rFonts w:hint="cs"/>
          <w:rtl/>
          <w:lang w:bidi="ar"/>
        </w:rPr>
        <w:t xml:space="preserve"> التماثلي</w:t>
      </w:r>
      <w:r>
        <w:rPr>
          <w:rFonts w:hint="cs"/>
          <w:rtl/>
          <w:lang w:bidi="ar"/>
        </w:rPr>
        <w:t>ة</w:t>
      </w:r>
      <w:r w:rsidRPr="00D2269D">
        <w:rPr>
          <w:rFonts w:hint="cs"/>
          <w:rtl/>
          <w:lang w:bidi="ar"/>
        </w:rPr>
        <w:t xml:space="preserve"> إلى الإذاعة الرقمية للأرض، من خلال استخدام </w:t>
      </w:r>
      <w:r>
        <w:rPr>
          <w:rFonts w:hint="cs"/>
          <w:rtl/>
          <w:lang w:bidi="ar"/>
        </w:rPr>
        <w:t>المبادئ التوجيهية للاتحاد</w:t>
      </w:r>
      <w:r w:rsidRPr="00D2269D">
        <w:rPr>
          <w:rFonts w:hint="cs"/>
          <w:rtl/>
          <w:lang w:bidi="ar"/>
        </w:rPr>
        <w:t>، فضلا</w:t>
      </w:r>
      <w:r>
        <w:rPr>
          <w:rFonts w:hint="cs"/>
          <w:rtl/>
          <w:lang w:bidi="ar"/>
        </w:rPr>
        <w:t>ً</w:t>
      </w:r>
      <w:r w:rsidRPr="00D2269D">
        <w:rPr>
          <w:rFonts w:hint="cs"/>
          <w:rtl/>
          <w:lang w:bidi="ar"/>
        </w:rPr>
        <w:t xml:space="preserve"> عن خرائط تفاعلية لأنظمة الألياف البصرية الأرضية </w:t>
      </w:r>
      <w:r>
        <w:rPr>
          <w:rFonts w:hint="cs"/>
          <w:rtl/>
          <w:lang w:bidi="ar"/>
        </w:rPr>
        <w:t>و</w:t>
      </w:r>
      <w:r w:rsidRPr="00D2269D">
        <w:rPr>
          <w:rFonts w:hint="cs"/>
          <w:rtl/>
          <w:lang w:bidi="ar"/>
        </w:rPr>
        <w:t>البحرية في</w:t>
      </w:r>
      <w:r>
        <w:rPr>
          <w:rFonts w:hint="cs"/>
          <w:rtl/>
          <w:lang w:bidi="ar"/>
        </w:rPr>
        <w:t xml:space="preserve"> كل أنحاء</w:t>
      </w:r>
      <w:r w:rsidRPr="00D2269D">
        <w:rPr>
          <w:rFonts w:hint="cs"/>
          <w:rtl/>
          <w:lang w:bidi="ar"/>
        </w:rPr>
        <w:t xml:space="preserve"> العالم.</w:t>
      </w:r>
      <w:r w:rsidRPr="005A3082">
        <w:rPr>
          <w:rFonts w:hint="cs"/>
          <w:rtl/>
          <w:lang w:bidi="ar"/>
        </w:rPr>
        <w:t xml:space="preserve"> </w:t>
      </w:r>
      <w:r w:rsidRPr="00D2269D">
        <w:rPr>
          <w:rFonts w:hint="cs"/>
          <w:rtl/>
          <w:lang w:bidi="ar"/>
        </w:rPr>
        <w:t xml:space="preserve">وقد </w:t>
      </w:r>
      <w:r>
        <w:rPr>
          <w:rFonts w:hint="cs"/>
          <w:rtl/>
          <w:lang w:bidi="ar"/>
        </w:rPr>
        <w:t>أُعدت</w:t>
      </w:r>
      <w:r w:rsidRPr="00D2269D">
        <w:rPr>
          <w:rFonts w:hint="cs"/>
          <w:rtl/>
          <w:lang w:bidi="ar"/>
        </w:rPr>
        <w:t xml:space="preserve"> دراسات بشأن الاستقلال الرسمي </w:t>
      </w:r>
      <w:r>
        <w:rPr>
          <w:rFonts w:hint="cs"/>
          <w:rtl/>
          <w:lang w:bidi="ar"/>
        </w:rPr>
        <w:t>للهيئات</w:t>
      </w:r>
      <w:r w:rsidRPr="00D2269D">
        <w:rPr>
          <w:rFonts w:hint="cs"/>
          <w:rtl/>
          <w:lang w:bidi="ar"/>
        </w:rPr>
        <w:t xml:space="preserve"> التنظيمية </w:t>
      </w:r>
      <w:r>
        <w:rPr>
          <w:rFonts w:hint="cs"/>
          <w:rtl/>
          <w:lang w:bidi="ar"/>
        </w:rPr>
        <w:t xml:space="preserve">في </w:t>
      </w:r>
      <w:r w:rsidRPr="00D2269D">
        <w:rPr>
          <w:rFonts w:hint="cs"/>
          <w:rtl/>
          <w:lang w:bidi="ar"/>
        </w:rPr>
        <w:t xml:space="preserve">بيرو وبوليفيا وبنما، وستنشر في عام </w:t>
      </w:r>
      <w:r w:rsidR="009C7CE8">
        <w:rPr>
          <w:lang w:bidi="ar"/>
        </w:rPr>
        <w:t>2017</w:t>
      </w:r>
      <w:r w:rsidRPr="00D2269D">
        <w:rPr>
          <w:rFonts w:hint="cs"/>
          <w:rtl/>
          <w:lang w:bidi="ar"/>
        </w:rPr>
        <w:t>.</w:t>
      </w:r>
    </w:p>
    <w:p w:rsidR="005A3082" w:rsidRDefault="005A3082" w:rsidP="00B31FFC">
      <w:pPr>
        <w:rPr>
          <w:rtl/>
          <w:lang w:bidi="ar"/>
        </w:rPr>
      </w:pPr>
      <w:bookmarkStart w:id="4" w:name="lt_pId050"/>
      <w:bookmarkEnd w:id="3"/>
      <w:r w:rsidRPr="00D2269D">
        <w:rPr>
          <w:rFonts w:hint="cs"/>
          <w:rtl/>
          <w:lang w:bidi="ar"/>
        </w:rPr>
        <w:t>وفي إطار التعاون مع مراكز ال</w:t>
      </w:r>
      <w:r>
        <w:rPr>
          <w:rFonts w:hint="cs"/>
          <w:rtl/>
          <w:lang w:bidi="ar"/>
        </w:rPr>
        <w:t>تميُّز</w:t>
      </w:r>
      <w:r w:rsidRPr="00D2269D">
        <w:rPr>
          <w:rFonts w:hint="cs"/>
          <w:rtl/>
          <w:lang w:bidi="ar"/>
        </w:rPr>
        <w:t xml:space="preserve"> التابعة للاتحاد</w:t>
      </w:r>
      <w:r>
        <w:rPr>
          <w:rFonts w:hint="cs"/>
          <w:rtl/>
          <w:lang w:bidi="ar"/>
        </w:rPr>
        <w:t xml:space="preserve"> </w:t>
      </w:r>
      <w:r w:rsidRPr="00ED42BE">
        <w:rPr>
          <w:lang w:val="en-GB" w:bidi="ar-EG"/>
        </w:rPr>
        <w:t>(</w:t>
      </w:r>
      <w:proofErr w:type="spellStart"/>
      <w:r w:rsidRPr="00ED42BE">
        <w:rPr>
          <w:lang w:val="en-GB" w:bidi="ar-EG"/>
        </w:rPr>
        <w:t>CoE</w:t>
      </w:r>
      <w:proofErr w:type="spellEnd"/>
      <w:r w:rsidRPr="00ED42BE">
        <w:rPr>
          <w:lang w:val="en-GB" w:bidi="ar-EG"/>
        </w:rPr>
        <w:t>)</w:t>
      </w:r>
      <w:r w:rsidRPr="00D2269D">
        <w:rPr>
          <w:rFonts w:hint="cs"/>
          <w:rtl/>
          <w:lang w:bidi="ar"/>
        </w:rPr>
        <w:t xml:space="preserve"> في منطقة الأمريكتين ومن خلال </w:t>
      </w:r>
      <w:r>
        <w:rPr>
          <w:rFonts w:hint="cs"/>
          <w:rtl/>
          <w:lang w:bidi="ar"/>
        </w:rPr>
        <w:t>ال</w:t>
      </w:r>
      <w:r w:rsidRPr="00D2269D">
        <w:rPr>
          <w:rFonts w:hint="cs"/>
          <w:rtl/>
          <w:lang w:bidi="ar"/>
        </w:rPr>
        <w:t>منصة</w:t>
      </w:r>
      <w:r>
        <w:rPr>
          <w:rFonts w:hint="cs"/>
          <w:rtl/>
          <w:lang w:bidi="ar"/>
        </w:rPr>
        <w:t xml:space="preserve"> الأكاديمية ل</w:t>
      </w:r>
      <w:r w:rsidRPr="00D2269D">
        <w:rPr>
          <w:rFonts w:hint="cs"/>
          <w:rtl/>
          <w:lang w:bidi="ar"/>
        </w:rPr>
        <w:t>لاتحاد، ق</w:t>
      </w:r>
      <w:r>
        <w:rPr>
          <w:rFonts w:hint="cs"/>
          <w:rtl/>
          <w:lang w:bidi="ar"/>
        </w:rPr>
        <w:t>ُ</w:t>
      </w:r>
      <w:r w:rsidRPr="00D2269D">
        <w:rPr>
          <w:rFonts w:hint="cs"/>
          <w:rtl/>
          <w:lang w:bidi="ar"/>
        </w:rPr>
        <w:t>دمت دورات تدريبية عبر الإنترنت في مجال شبكات الاتصالات المتقدمة وإدارة الطيف وتطبيقات وخدمات تكنولوجيا المعلومات والاتصالات وال</w:t>
      </w:r>
      <w:r>
        <w:rPr>
          <w:rFonts w:hint="cs"/>
          <w:rtl/>
          <w:lang w:bidi="ar"/>
        </w:rPr>
        <w:t>أ</w:t>
      </w:r>
      <w:r w:rsidRPr="00D2269D">
        <w:rPr>
          <w:rFonts w:hint="cs"/>
          <w:rtl/>
          <w:lang w:bidi="ar"/>
        </w:rPr>
        <w:t>نظم</w:t>
      </w:r>
      <w:r>
        <w:rPr>
          <w:rFonts w:hint="cs"/>
          <w:rtl/>
          <w:lang w:bidi="ar"/>
        </w:rPr>
        <w:t>ة</w:t>
      </w:r>
      <w:r w:rsidRPr="00D2269D">
        <w:rPr>
          <w:rFonts w:hint="cs"/>
          <w:rtl/>
          <w:lang w:bidi="ar"/>
        </w:rPr>
        <w:t xml:space="preserve"> الساتلية والشبكات اللاسلكية.</w:t>
      </w:r>
      <w:r w:rsidRPr="005A3082">
        <w:rPr>
          <w:rFonts w:hint="cs"/>
          <w:rtl/>
          <w:lang w:bidi="ar"/>
        </w:rPr>
        <w:t xml:space="preserve"> </w:t>
      </w:r>
      <w:r w:rsidRPr="00D2269D">
        <w:rPr>
          <w:rFonts w:hint="cs"/>
          <w:rtl/>
          <w:lang w:bidi="ar"/>
        </w:rPr>
        <w:t xml:space="preserve">وقدم الاتحاد </w:t>
      </w:r>
      <w:r>
        <w:rPr>
          <w:rFonts w:hint="cs"/>
          <w:rtl/>
          <w:lang w:bidi="ar"/>
        </w:rPr>
        <w:t xml:space="preserve">وصندوق تنمية الشعوب الأصلية </w:t>
      </w:r>
      <w:r w:rsidRPr="007F65D6">
        <w:rPr>
          <w:rFonts w:hint="cs"/>
          <w:rtl/>
          <w:lang w:bidi="ar"/>
        </w:rPr>
        <w:t>في أمريكا</w:t>
      </w:r>
      <w:r w:rsidRPr="00D2269D">
        <w:rPr>
          <w:rFonts w:hint="cs"/>
          <w:rtl/>
          <w:lang w:bidi="ar"/>
        </w:rPr>
        <w:t xml:space="preserve"> اللاتينية ومنطقة البحر الكاريبي إلى </w:t>
      </w:r>
      <w:r w:rsidR="00B31FFC">
        <w:rPr>
          <w:lang w:bidi="ar"/>
        </w:rPr>
        <w:t>221</w:t>
      </w:r>
      <w:r w:rsidRPr="00D2269D">
        <w:rPr>
          <w:rFonts w:hint="cs"/>
          <w:rtl/>
          <w:lang w:bidi="ar"/>
        </w:rPr>
        <w:t xml:space="preserve"> من الشعوب الأصلية دورات تدريبية بشأن استخدام تكنولوجيا المعلومات والاتصالات في أدوات المعلومات والاتصال</w:t>
      </w:r>
      <w:r>
        <w:rPr>
          <w:rFonts w:hint="cs"/>
          <w:rtl/>
          <w:lang w:bidi="ar"/>
        </w:rPr>
        <w:t>ات،</w:t>
      </w:r>
      <w:r w:rsidRPr="00D2269D">
        <w:rPr>
          <w:rFonts w:hint="cs"/>
          <w:rtl/>
          <w:lang w:bidi="ar"/>
        </w:rPr>
        <w:t xml:space="preserve"> </w:t>
      </w:r>
      <w:r>
        <w:rPr>
          <w:rFonts w:hint="cs"/>
          <w:rtl/>
          <w:lang w:bidi="ar"/>
        </w:rPr>
        <w:t>وإعداد</w:t>
      </w:r>
      <w:r w:rsidRPr="00D2269D">
        <w:rPr>
          <w:rFonts w:hint="cs"/>
          <w:rtl/>
          <w:lang w:bidi="ar"/>
        </w:rPr>
        <w:t xml:space="preserve"> المحتوى الرقمي والتعليم الافتراضي والتجارة الإلكترونية.</w:t>
      </w:r>
    </w:p>
    <w:p w:rsidR="005A3082" w:rsidRDefault="005A3082" w:rsidP="00CA3912">
      <w:pPr>
        <w:rPr>
          <w:rtl/>
          <w:lang w:bidi="ar"/>
        </w:rPr>
      </w:pPr>
      <w:r w:rsidRPr="00D2269D">
        <w:rPr>
          <w:rFonts w:hint="cs"/>
          <w:rtl/>
          <w:lang w:bidi="ar"/>
        </w:rPr>
        <w:t>وقد أ</w:t>
      </w:r>
      <w:r>
        <w:rPr>
          <w:rFonts w:hint="cs"/>
          <w:rtl/>
          <w:lang w:bidi="ar"/>
        </w:rPr>
        <w:t>ُ</w:t>
      </w:r>
      <w:r w:rsidRPr="00D2269D">
        <w:rPr>
          <w:rFonts w:hint="cs"/>
          <w:rtl/>
          <w:lang w:bidi="ar"/>
        </w:rPr>
        <w:t>عدت مواد تدريبية بالتعاون مع مصرف التنمية للبلدان الأمريكية</w:t>
      </w:r>
      <w:r w:rsidR="00C81DDC">
        <w:rPr>
          <w:rFonts w:hint="cs"/>
          <w:rtl/>
          <w:lang w:bidi="ar-EG"/>
        </w:rPr>
        <w:t xml:space="preserve"> </w:t>
      </w:r>
      <w:r w:rsidR="00C81DDC" w:rsidRPr="00A565EE">
        <w:rPr>
          <w:szCs w:val="24"/>
        </w:rPr>
        <w:t>(IDB)</w:t>
      </w:r>
      <w:r w:rsidRPr="00D2269D">
        <w:rPr>
          <w:rFonts w:hint="cs"/>
          <w:rtl/>
          <w:lang w:bidi="ar"/>
        </w:rPr>
        <w:t xml:space="preserve"> بشأن "اقتصاديات النطاق العريض وتكنولوجيا المعلومات والاتصالات" وبشأن "نشر شبكة تكنولوجيا المعلومات والاتصالات وتشغيلها"، وسيقدمها مركز التدريب الذي أنشأه مصرف التنمية</w:t>
      </w:r>
      <w:r>
        <w:rPr>
          <w:rFonts w:hint="cs"/>
          <w:rtl/>
          <w:lang w:bidi="ar"/>
        </w:rPr>
        <w:t xml:space="preserve"> للبلدان الأمريكية في نيكاراغوا</w:t>
      </w:r>
      <w:r w:rsidRPr="00D2269D">
        <w:rPr>
          <w:rFonts w:hint="cs"/>
          <w:rtl/>
          <w:lang w:bidi="ar"/>
        </w:rPr>
        <w:t>.</w:t>
      </w:r>
    </w:p>
    <w:bookmarkEnd w:id="4"/>
    <w:p w:rsidR="005A3082" w:rsidRDefault="005B0FAB" w:rsidP="009B43B2">
      <w:pPr>
        <w:rPr>
          <w:rtl/>
          <w:lang w:bidi="ar"/>
        </w:rPr>
      </w:pPr>
      <w:r w:rsidRPr="00D2269D">
        <w:rPr>
          <w:rFonts w:hint="cs"/>
          <w:rtl/>
          <w:lang w:bidi="ar"/>
        </w:rPr>
        <w:t>ون</w:t>
      </w:r>
      <w:r>
        <w:rPr>
          <w:rFonts w:hint="cs"/>
          <w:rtl/>
          <w:lang w:bidi="ar"/>
        </w:rPr>
        <w:t>ُ</w:t>
      </w:r>
      <w:r w:rsidRPr="00D2269D">
        <w:rPr>
          <w:rFonts w:hint="cs"/>
          <w:rtl/>
          <w:lang w:bidi="ar"/>
        </w:rPr>
        <w:t xml:space="preserve">ظمت عدة منتديات </w:t>
      </w:r>
      <w:r>
        <w:rPr>
          <w:rFonts w:hint="cs"/>
          <w:rtl/>
          <w:lang w:bidi="ar"/>
        </w:rPr>
        <w:t>وورش</w:t>
      </w:r>
      <w:r w:rsidRPr="00D2269D">
        <w:rPr>
          <w:rFonts w:hint="cs"/>
          <w:rtl/>
          <w:lang w:bidi="ar"/>
        </w:rPr>
        <w:t xml:space="preserve"> عمل في شراكة مع إدارات (البرازيل وكوستاريكا وإكوادور والسلفادور وهندوراس والمكسيك وباراغواي) وكذلك مع منظمات دولية وإقليمية وشبه إقليمية (مثل </w:t>
      </w:r>
      <w:r w:rsidRPr="00ED42BE">
        <w:rPr>
          <w:lang w:val="en-GB" w:bidi="ar-EG"/>
        </w:rPr>
        <w:t>ASIET</w:t>
      </w:r>
      <w:r w:rsidRPr="00D2269D">
        <w:rPr>
          <w:rFonts w:hint="cs"/>
          <w:rtl/>
          <w:lang w:bidi="ar"/>
        </w:rPr>
        <w:t xml:space="preserve"> و</w:t>
      </w:r>
      <w:r w:rsidRPr="00ED42BE">
        <w:rPr>
          <w:lang w:val="en-GB" w:bidi="ar-EG"/>
        </w:rPr>
        <w:t>CITEL</w:t>
      </w:r>
      <w:r w:rsidRPr="00D2269D">
        <w:rPr>
          <w:rFonts w:hint="cs"/>
          <w:rtl/>
          <w:lang w:bidi="ar"/>
        </w:rPr>
        <w:t xml:space="preserve"> و</w:t>
      </w:r>
      <w:r w:rsidRPr="00ED42BE">
        <w:rPr>
          <w:lang w:val="en-GB" w:bidi="ar-EG"/>
        </w:rPr>
        <w:t>CTU</w:t>
      </w:r>
      <w:r w:rsidRPr="00D2269D">
        <w:rPr>
          <w:rFonts w:hint="cs"/>
          <w:rtl/>
          <w:lang w:bidi="ar"/>
        </w:rPr>
        <w:t xml:space="preserve"> و</w:t>
      </w:r>
      <w:r w:rsidRPr="00ED42BE">
        <w:rPr>
          <w:lang w:val="en-GB" w:bidi="ar-EG"/>
        </w:rPr>
        <w:t>COMTELCA</w:t>
      </w:r>
      <w:r w:rsidRPr="00D2269D">
        <w:rPr>
          <w:rFonts w:hint="cs"/>
          <w:rtl/>
          <w:lang w:bidi="ar"/>
        </w:rPr>
        <w:t xml:space="preserve"> </w:t>
      </w:r>
      <w:r>
        <w:rPr>
          <w:rFonts w:hint="cs"/>
          <w:rtl/>
          <w:lang w:bidi="ar"/>
        </w:rPr>
        <w:t>و</w:t>
      </w:r>
      <w:r w:rsidRPr="00ED42BE">
        <w:rPr>
          <w:lang w:val="en-GB" w:bidi="ar-EG"/>
        </w:rPr>
        <w:t>LACNIC</w:t>
      </w:r>
      <w:r w:rsidRPr="00D2269D">
        <w:rPr>
          <w:rFonts w:hint="cs"/>
          <w:rtl/>
          <w:lang w:bidi="ar"/>
        </w:rPr>
        <w:t xml:space="preserve"> </w:t>
      </w:r>
      <w:r>
        <w:rPr>
          <w:rFonts w:hint="cs"/>
          <w:rtl/>
          <w:lang w:bidi="ar"/>
        </w:rPr>
        <w:t>و</w:t>
      </w:r>
      <w:r w:rsidRPr="00ED42BE">
        <w:rPr>
          <w:lang w:val="en-GB" w:bidi="ar-EG"/>
        </w:rPr>
        <w:t>OAS</w:t>
      </w:r>
      <w:r w:rsidRPr="00D2269D">
        <w:rPr>
          <w:rFonts w:hint="cs"/>
          <w:rtl/>
          <w:lang w:bidi="ar"/>
        </w:rPr>
        <w:t>).</w:t>
      </w:r>
    </w:p>
    <w:p w:rsidR="000313EF" w:rsidRPr="00F338A1" w:rsidRDefault="000313EF" w:rsidP="000313EF">
      <w:pPr>
        <w:pStyle w:val="Heading2"/>
        <w:rPr>
          <w:rtl/>
        </w:rPr>
      </w:pPr>
      <w:r>
        <w:t>3.2</w:t>
      </w:r>
      <w:r>
        <w:rPr>
          <w:rtl/>
        </w:rPr>
        <w:tab/>
      </w:r>
      <w:r>
        <w:rPr>
          <w:rFonts w:hint="cs"/>
          <w:rtl/>
        </w:rPr>
        <w:t>الدول العربية</w:t>
      </w:r>
    </w:p>
    <w:p w:rsidR="000313EF" w:rsidRPr="009E6450" w:rsidRDefault="000313EF" w:rsidP="004A7024">
      <w:pPr>
        <w:rPr>
          <w:rtl/>
          <w:lang w:bidi="ar-EG"/>
        </w:rPr>
      </w:pPr>
      <w:r w:rsidRPr="009E6450">
        <w:rPr>
          <w:rFonts w:hint="cs"/>
          <w:rtl/>
          <w:lang w:bidi="ar-EG"/>
        </w:rPr>
        <w:t>نظمت ورش عمل ومنتديات واجتماعات خبراء مختلفة (مثل الشراكة بين القطاعين العام والخاص</w:t>
      </w:r>
      <w:r w:rsidR="009E6450">
        <w:rPr>
          <w:rFonts w:hint="cs"/>
          <w:rtl/>
          <w:lang w:bidi="ar-EG"/>
        </w:rPr>
        <w:t xml:space="preserve"> </w:t>
      </w:r>
      <w:r w:rsidR="009E6450" w:rsidRPr="009E6450">
        <w:rPr>
          <w:rFonts w:eastAsiaTheme="minorEastAsia" w:cstheme="minorBidi"/>
          <w:szCs w:val="22"/>
        </w:rPr>
        <w:t>(PPP)</w:t>
      </w:r>
      <w:r w:rsidRPr="009E6450">
        <w:rPr>
          <w:rFonts w:hint="cs"/>
          <w:sz w:val="30"/>
          <w:rtl/>
          <w:lang w:bidi="ar-EG"/>
        </w:rPr>
        <w:t xml:space="preserve"> </w:t>
      </w:r>
      <w:r w:rsidRPr="009E6450">
        <w:rPr>
          <w:rFonts w:hint="cs"/>
          <w:rtl/>
          <w:lang w:bidi="ar-EG"/>
        </w:rPr>
        <w:t xml:space="preserve">وتطبيقات تكنولوجيا المعلومات والاتصالات لأغراض التنمية، والبيئة التمكينية لتطوير تطبيقات تكنولوجيا المعلومات والاتصالات، </w:t>
      </w:r>
      <w:r w:rsidR="00835A07" w:rsidRPr="009E6450">
        <w:rPr>
          <w:rFonts w:hint="cs"/>
          <w:rtl/>
          <w:lang w:bidi="ar-EG"/>
        </w:rPr>
        <w:t>والخدمات المتاحة بحرية على الإنترنت</w:t>
      </w:r>
      <w:r w:rsidR="00566357" w:rsidRPr="009E6450">
        <w:rPr>
          <w:rFonts w:hint="eastAsia"/>
          <w:rtl/>
          <w:lang w:bidi="ar-EG"/>
        </w:rPr>
        <w:t> </w:t>
      </w:r>
      <w:r w:rsidR="009E6450" w:rsidRPr="009E6450">
        <w:rPr>
          <w:lang w:bidi="ar-EG"/>
        </w:rPr>
        <w:t>(</w:t>
      </w:r>
      <w:r w:rsidR="005B0FAB" w:rsidRPr="009E6450">
        <w:rPr>
          <w:rFonts w:eastAsiaTheme="minorEastAsia" w:cstheme="minorBidi"/>
        </w:rPr>
        <w:t>OTT</w:t>
      </w:r>
      <w:r w:rsidR="009E6450" w:rsidRPr="009E6450">
        <w:rPr>
          <w:lang w:bidi="ar-EG"/>
        </w:rPr>
        <w:t>)</w:t>
      </w:r>
      <w:r w:rsidRPr="009E6450">
        <w:rPr>
          <w:rFonts w:hint="cs"/>
          <w:rtl/>
          <w:lang w:bidi="ar-EG"/>
        </w:rPr>
        <w:t xml:space="preserve">، وحماية الأطفال على الخط، والمطابقة وقابلية التشغيل البيني والحوسبة السحابية </w:t>
      </w:r>
      <w:r w:rsidR="005B0FAB" w:rsidRPr="009E6450">
        <w:rPr>
          <w:rFonts w:hint="eastAsia"/>
          <w:rtl/>
          <w:lang w:bidi="ar-EG"/>
        </w:rPr>
        <w:t>والتعلم</w:t>
      </w:r>
      <w:r w:rsidR="005B0FAB" w:rsidRPr="009E6450">
        <w:rPr>
          <w:rtl/>
          <w:lang w:bidi="ar-EG"/>
        </w:rPr>
        <w:t xml:space="preserve"> </w:t>
      </w:r>
      <w:r w:rsidR="005B0FAB" w:rsidRPr="009E6450">
        <w:rPr>
          <w:rFonts w:hint="eastAsia"/>
          <w:rtl/>
          <w:lang w:bidi="ar-EG"/>
        </w:rPr>
        <w:t>الذكي،</w:t>
      </w:r>
      <w:r w:rsidR="005B0FAB" w:rsidRPr="009E6450">
        <w:rPr>
          <w:rtl/>
          <w:lang w:bidi="ar-EG"/>
        </w:rPr>
        <w:t xml:space="preserve"> </w:t>
      </w:r>
      <w:r w:rsidR="005B0FAB" w:rsidRPr="009E6450">
        <w:rPr>
          <w:rFonts w:hint="eastAsia"/>
          <w:rtl/>
          <w:lang w:bidi="ar-EG"/>
        </w:rPr>
        <w:t>والتنمية</w:t>
      </w:r>
      <w:r w:rsidR="005B0FAB" w:rsidRPr="009E6450">
        <w:rPr>
          <w:rtl/>
          <w:lang w:bidi="ar-EG"/>
        </w:rPr>
        <w:t xml:space="preserve"> </w:t>
      </w:r>
      <w:r w:rsidR="005B0FAB" w:rsidRPr="009E6450">
        <w:rPr>
          <w:rFonts w:hint="eastAsia"/>
          <w:rtl/>
          <w:lang w:bidi="ar-EG"/>
        </w:rPr>
        <w:t>الذكية</w:t>
      </w:r>
      <w:r w:rsidR="005B0FAB" w:rsidRPr="009E6450">
        <w:rPr>
          <w:rtl/>
          <w:lang w:bidi="ar-EG"/>
        </w:rPr>
        <w:t xml:space="preserve"> </w:t>
      </w:r>
      <w:r w:rsidR="005B0FAB" w:rsidRPr="009E6450">
        <w:rPr>
          <w:rFonts w:hint="eastAsia"/>
          <w:rtl/>
          <w:lang w:bidi="ar-EG"/>
        </w:rPr>
        <w:t>والمستدامة،</w:t>
      </w:r>
      <w:r w:rsidR="005B0FAB" w:rsidRPr="009E6450">
        <w:rPr>
          <w:rtl/>
          <w:lang w:bidi="ar-EG"/>
        </w:rPr>
        <w:t xml:space="preserve"> </w:t>
      </w:r>
      <w:r w:rsidR="005B0FAB" w:rsidRPr="009E6450">
        <w:rPr>
          <w:rFonts w:hint="eastAsia"/>
          <w:rtl/>
          <w:lang w:bidi="ar-EG"/>
        </w:rPr>
        <w:t>وإمكانية</w:t>
      </w:r>
      <w:r w:rsidR="005B0FAB" w:rsidRPr="009E6450">
        <w:rPr>
          <w:rtl/>
          <w:lang w:bidi="ar-EG"/>
        </w:rPr>
        <w:t xml:space="preserve"> </w:t>
      </w:r>
      <w:r w:rsidR="005B0FAB" w:rsidRPr="009E6450">
        <w:rPr>
          <w:rFonts w:hint="eastAsia"/>
          <w:rtl/>
          <w:lang w:bidi="ar-EG"/>
        </w:rPr>
        <w:t>النفاذ</w:t>
      </w:r>
      <w:r w:rsidR="005B0FAB" w:rsidRPr="009E6450">
        <w:rPr>
          <w:rtl/>
          <w:lang w:bidi="ar-EG"/>
        </w:rPr>
        <w:t xml:space="preserve"> </w:t>
      </w:r>
      <w:r w:rsidR="005B0FAB" w:rsidRPr="009E6450">
        <w:rPr>
          <w:rFonts w:hint="eastAsia"/>
          <w:rtl/>
          <w:lang w:bidi="ar-EG"/>
        </w:rPr>
        <w:t>إلى</w:t>
      </w:r>
      <w:r w:rsidR="005B0FAB" w:rsidRPr="009E6450">
        <w:rPr>
          <w:rtl/>
          <w:lang w:bidi="ar-EG"/>
        </w:rPr>
        <w:t xml:space="preserve"> </w:t>
      </w:r>
      <w:r w:rsidR="005B0FAB" w:rsidRPr="009E6450">
        <w:rPr>
          <w:rFonts w:hint="eastAsia"/>
          <w:rtl/>
          <w:lang w:bidi="ar-EG"/>
        </w:rPr>
        <w:t>تكنولوجيا</w:t>
      </w:r>
      <w:r w:rsidR="005B0FAB" w:rsidRPr="009E6450">
        <w:rPr>
          <w:rtl/>
          <w:lang w:bidi="ar-EG"/>
        </w:rPr>
        <w:t xml:space="preserve"> </w:t>
      </w:r>
      <w:r w:rsidR="005B0FAB" w:rsidRPr="009E6450">
        <w:rPr>
          <w:rFonts w:hint="eastAsia"/>
          <w:rtl/>
          <w:lang w:bidi="ar-EG"/>
        </w:rPr>
        <w:t>المعلومات</w:t>
      </w:r>
      <w:r w:rsidR="005B0FAB" w:rsidRPr="009E6450">
        <w:rPr>
          <w:rtl/>
          <w:lang w:bidi="ar-EG"/>
        </w:rPr>
        <w:t xml:space="preserve"> </w:t>
      </w:r>
      <w:r w:rsidR="005B0FAB" w:rsidRPr="009E6450">
        <w:rPr>
          <w:rFonts w:hint="eastAsia"/>
          <w:rtl/>
          <w:lang w:bidi="ar-EG"/>
        </w:rPr>
        <w:t>والاتصالات،</w:t>
      </w:r>
      <w:r w:rsidR="005B0FAB" w:rsidRPr="009E6450">
        <w:rPr>
          <w:rtl/>
          <w:lang w:bidi="ar-EG"/>
        </w:rPr>
        <w:t xml:space="preserve"> </w:t>
      </w:r>
      <w:r w:rsidR="005B0FAB" w:rsidRPr="009E6450">
        <w:rPr>
          <w:rFonts w:hint="eastAsia"/>
          <w:rtl/>
          <w:lang w:bidi="ar-EG"/>
        </w:rPr>
        <w:t>والتكنولوجيات</w:t>
      </w:r>
      <w:r w:rsidR="005B0FAB" w:rsidRPr="009E6450">
        <w:rPr>
          <w:rtl/>
          <w:lang w:bidi="ar-EG"/>
        </w:rPr>
        <w:t xml:space="preserve"> </w:t>
      </w:r>
      <w:r w:rsidR="005B0FAB" w:rsidRPr="009E6450">
        <w:rPr>
          <w:rFonts w:hint="eastAsia"/>
          <w:rtl/>
          <w:lang w:bidi="ar-EG"/>
        </w:rPr>
        <w:t>الجديدة</w:t>
      </w:r>
      <w:r w:rsidR="005B0FAB" w:rsidRPr="009E6450">
        <w:rPr>
          <w:rtl/>
          <w:lang w:bidi="ar-EG"/>
        </w:rPr>
        <w:t xml:space="preserve"> </w:t>
      </w:r>
      <w:r w:rsidR="005B0FAB" w:rsidRPr="009E6450">
        <w:rPr>
          <w:rFonts w:hint="eastAsia"/>
          <w:rtl/>
          <w:lang w:bidi="ar-EG"/>
        </w:rPr>
        <w:t>للتنمية،</w:t>
      </w:r>
      <w:r w:rsidR="005B0FAB" w:rsidRPr="009E6450">
        <w:rPr>
          <w:rtl/>
          <w:lang w:bidi="ar-EG"/>
        </w:rPr>
        <w:t xml:space="preserve"> </w:t>
      </w:r>
      <w:r w:rsidR="005B0FAB" w:rsidRPr="009E6450">
        <w:rPr>
          <w:rFonts w:hint="cs"/>
          <w:rtl/>
          <w:lang w:bidi="ar-EG"/>
        </w:rPr>
        <w:t>والمطاريف</w:t>
      </w:r>
      <w:r w:rsidR="005B0FAB" w:rsidRPr="009E6450">
        <w:rPr>
          <w:rtl/>
          <w:lang w:bidi="ar-EG"/>
        </w:rPr>
        <w:t xml:space="preserve"> </w:t>
      </w:r>
      <w:r w:rsidR="005B0FAB" w:rsidRPr="009E6450">
        <w:rPr>
          <w:rFonts w:hint="eastAsia"/>
          <w:rtl/>
          <w:lang w:bidi="ar-EG"/>
        </w:rPr>
        <w:t>ذات</w:t>
      </w:r>
      <w:r w:rsidR="005B0FAB" w:rsidRPr="009E6450">
        <w:rPr>
          <w:rtl/>
          <w:lang w:bidi="ar-EG"/>
        </w:rPr>
        <w:t xml:space="preserve"> </w:t>
      </w:r>
      <w:r w:rsidR="005B0FAB" w:rsidRPr="009E6450">
        <w:rPr>
          <w:rFonts w:hint="eastAsia"/>
          <w:rtl/>
          <w:lang w:bidi="ar-EG"/>
        </w:rPr>
        <w:t>الفتحة</w:t>
      </w:r>
      <w:r w:rsidR="005B0FAB" w:rsidRPr="009E6450">
        <w:rPr>
          <w:rtl/>
          <w:lang w:bidi="ar-EG"/>
        </w:rPr>
        <w:t xml:space="preserve"> </w:t>
      </w:r>
      <w:r w:rsidR="005B0FAB" w:rsidRPr="009E6450">
        <w:rPr>
          <w:rFonts w:hint="eastAsia"/>
          <w:rtl/>
          <w:lang w:bidi="ar-EG"/>
        </w:rPr>
        <w:t>الصغيرة</w:t>
      </w:r>
      <w:r w:rsidR="005B0FAB" w:rsidRPr="009E6450">
        <w:rPr>
          <w:rtl/>
          <w:lang w:bidi="ar-EG"/>
        </w:rPr>
        <w:t xml:space="preserve"> </w:t>
      </w:r>
      <w:r w:rsidR="005B0FAB" w:rsidRPr="009E6450">
        <w:rPr>
          <w:rFonts w:hint="eastAsia"/>
          <w:rtl/>
          <w:lang w:bidi="ar-EG"/>
        </w:rPr>
        <w:t>جدا</w:t>
      </w:r>
      <w:r w:rsidR="005B0FAB" w:rsidRPr="009E6450">
        <w:rPr>
          <w:rFonts w:hint="cs"/>
          <w:rtl/>
          <w:lang w:bidi="ar-EG"/>
        </w:rPr>
        <w:t>ً</w:t>
      </w:r>
      <w:r w:rsidR="005B0FAB" w:rsidRPr="009E6450">
        <w:rPr>
          <w:rFonts w:hint="eastAsia"/>
          <w:rtl/>
          <w:lang w:bidi="ar-EG"/>
        </w:rPr>
        <w:t>،</w:t>
      </w:r>
      <w:r w:rsidR="005B0FAB" w:rsidRPr="009E6450">
        <w:rPr>
          <w:rtl/>
          <w:lang w:bidi="ar-EG"/>
        </w:rPr>
        <w:t xml:space="preserve"> </w:t>
      </w:r>
      <w:r w:rsidR="005B0FAB" w:rsidRPr="009E6450">
        <w:rPr>
          <w:rFonts w:hint="eastAsia"/>
          <w:rtl/>
          <w:lang w:bidi="ar-EG"/>
        </w:rPr>
        <w:t>والأنظمة</w:t>
      </w:r>
      <w:r w:rsidR="005B0FAB" w:rsidRPr="009E6450">
        <w:rPr>
          <w:rtl/>
          <w:lang w:bidi="ar-EG"/>
        </w:rPr>
        <w:t xml:space="preserve"> </w:t>
      </w:r>
      <w:r w:rsidR="005B0FAB" w:rsidRPr="009E6450">
        <w:rPr>
          <w:rFonts w:hint="eastAsia"/>
          <w:rtl/>
          <w:lang w:bidi="ar-EG"/>
        </w:rPr>
        <w:t>الساتلية،</w:t>
      </w:r>
      <w:r w:rsidR="005B0FAB" w:rsidRPr="009E6450">
        <w:rPr>
          <w:rtl/>
          <w:lang w:bidi="ar-EG"/>
        </w:rPr>
        <w:t xml:space="preserve"> </w:t>
      </w:r>
      <w:r w:rsidR="005B0FAB" w:rsidRPr="009E6450">
        <w:rPr>
          <w:rFonts w:hint="cs"/>
          <w:rtl/>
          <w:lang w:bidi="ar-EG"/>
        </w:rPr>
        <w:t>و</w:t>
      </w:r>
      <w:r w:rsidR="005B0FAB" w:rsidRPr="009E6450">
        <w:rPr>
          <w:rFonts w:hint="cs"/>
          <w:rtl/>
          <w:lang w:bidi="ar"/>
        </w:rPr>
        <w:t xml:space="preserve">الإصدار السادس من بروتوكول الإنترنت </w:t>
      </w:r>
      <w:r w:rsidR="00541B90">
        <w:rPr>
          <w:lang w:bidi="ar"/>
        </w:rPr>
        <w:t>(</w:t>
      </w:r>
      <w:r w:rsidR="005B0FAB" w:rsidRPr="009E6450">
        <w:rPr>
          <w:rFonts w:hint="cs"/>
          <w:lang w:bidi="ar-EG"/>
        </w:rPr>
        <w:t>IPv6</w:t>
      </w:r>
      <w:r w:rsidR="00541B90">
        <w:rPr>
          <w:lang w:bidi="ar-EG"/>
        </w:rPr>
        <w:t>)</w:t>
      </w:r>
      <w:r w:rsidR="005B0FAB" w:rsidRPr="009E6450">
        <w:rPr>
          <w:rFonts w:hint="cs"/>
          <w:rtl/>
          <w:lang w:bidi="ar"/>
        </w:rPr>
        <w:t xml:space="preserve"> </w:t>
      </w:r>
      <w:r w:rsidRPr="009E6450">
        <w:rPr>
          <w:rFonts w:hint="cs"/>
          <w:rtl/>
          <w:lang w:bidi="ar-EG"/>
        </w:rPr>
        <w:t>وغير ذلك)، وذلك بواسطة المكتب الإقليمي للاتحاد للدول العربية بالتعاون مع مختلف</w:t>
      </w:r>
      <w:r w:rsidR="00244A9E">
        <w:rPr>
          <w:rFonts w:hint="cs"/>
          <w:rtl/>
          <w:lang w:bidi="ar-EG"/>
        </w:rPr>
        <w:t xml:space="preserve"> الجهات</w:t>
      </w:r>
      <w:r w:rsidR="002C4AA1" w:rsidRPr="009E6450">
        <w:rPr>
          <w:rFonts w:hint="cs"/>
          <w:rtl/>
          <w:lang w:bidi="ar-EG"/>
        </w:rPr>
        <w:t xml:space="preserve"> </w:t>
      </w:r>
      <w:r w:rsidR="000426B7">
        <w:rPr>
          <w:rFonts w:hint="cs"/>
          <w:rtl/>
          <w:lang w:bidi="ar-EG"/>
        </w:rPr>
        <w:t>أصحاب</w:t>
      </w:r>
      <w:r w:rsidRPr="009E6450">
        <w:rPr>
          <w:rFonts w:hint="cs"/>
          <w:rtl/>
          <w:lang w:bidi="ar-EG"/>
        </w:rPr>
        <w:t xml:space="preserve"> المصلحة مثل </w:t>
      </w:r>
      <w:r w:rsidR="005B0FAB" w:rsidRPr="009E6450">
        <w:rPr>
          <w:rFonts w:hint="cs"/>
          <w:rtl/>
          <w:lang w:bidi="ar-EG"/>
        </w:rPr>
        <w:t xml:space="preserve">البنك الدولي </w:t>
      </w:r>
      <w:r w:rsidR="002C4AA1" w:rsidRPr="009E6450">
        <w:rPr>
          <w:rFonts w:hint="eastAsia"/>
          <w:rtl/>
          <w:lang w:bidi="ar-EG"/>
        </w:rPr>
        <w:t>والمنظمة</w:t>
      </w:r>
      <w:r w:rsidR="002C4AA1" w:rsidRPr="009E6450">
        <w:rPr>
          <w:rtl/>
          <w:lang w:bidi="ar-EG"/>
        </w:rPr>
        <w:t xml:space="preserve"> </w:t>
      </w:r>
      <w:r w:rsidR="002C4AA1" w:rsidRPr="009E6450">
        <w:rPr>
          <w:rFonts w:hint="eastAsia"/>
          <w:rtl/>
          <w:lang w:bidi="ar-EG"/>
        </w:rPr>
        <w:t>الدولية</w:t>
      </w:r>
      <w:r w:rsidR="002C4AA1" w:rsidRPr="009E6450">
        <w:rPr>
          <w:rtl/>
          <w:lang w:bidi="ar-EG"/>
        </w:rPr>
        <w:t xml:space="preserve"> </w:t>
      </w:r>
      <w:r w:rsidR="002C4AA1" w:rsidRPr="009E6450">
        <w:rPr>
          <w:rFonts w:hint="eastAsia"/>
          <w:rtl/>
          <w:lang w:bidi="ar-EG"/>
        </w:rPr>
        <w:t>لسواتل</w:t>
      </w:r>
      <w:r w:rsidR="002C4AA1" w:rsidRPr="009E6450">
        <w:rPr>
          <w:rtl/>
          <w:lang w:bidi="ar-EG"/>
        </w:rPr>
        <w:t xml:space="preserve"> </w:t>
      </w:r>
      <w:r w:rsidR="002C4AA1" w:rsidRPr="009E6450">
        <w:rPr>
          <w:rFonts w:hint="eastAsia"/>
          <w:rtl/>
          <w:lang w:bidi="ar-EG"/>
        </w:rPr>
        <w:t>الاتصالات</w:t>
      </w:r>
      <w:r w:rsidR="002C4AA1" w:rsidRPr="009E6450">
        <w:rPr>
          <w:rFonts w:hint="cs"/>
          <w:rtl/>
          <w:lang w:bidi="ar-EG"/>
        </w:rPr>
        <w:t xml:space="preserve">، </w:t>
      </w:r>
      <w:r w:rsidR="005B0FAB" w:rsidRPr="009E6450">
        <w:rPr>
          <w:rFonts w:hint="cs"/>
          <w:rtl/>
          <w:lang w:bidi="ar-EG"/>
        </w:rPr>
        <w:t>و</w:t>
      </w:r>
      <w:r w:rsidRPr="009E6450">
        <w:rPr>
          <w:rFonts w:hint="cs"/>
          <w:rtl/>
          <w:lang w:bidi="ar-EG"/>
        </w:rPr>
        <w:t>اللج</w:t>
      </w:r>
      <w:r w:rsidR="005B0FAB" w:rsidRPr="009E6450">
        <w:rPr>
          <w:rFonts w:hint="cs"/>
          <w:rtl/>
          <w:lang w:bidi="ar-EG"/>
        </w:rPr>
        <w:t>ن</w:t>
      </w:r>
      <w:r w:rsidRPr="009E6450">
        <w:rPr>
          <w:rFonts w:hint="cs"/>
          <w:rtl/>
          <w:lang w:bidi="ar-EG"/>
        </w:rPr>
        <w:t xml:space="preserve">ة </w:t>
      </w:r>
      <w:r w:rsidRPr="00B91483">
        <w:rPr>
          <w:rFonts w:hint="cs"/>
          <w:spacing w:val="-6"/>
          <w:rtl/>
          <w:lang w:bidi="ar-EG"/>
        </w:rPr>
        <w:t>الاقتصادية والاجتماعية لغرب آسيا، والشبكة العربية للمجمعات التقنية وحاضنات تكنولوجيا المعلومات والاتصالات</w:t>
      </w:r>
      <w:r w:rsidR="00B91483" w:rsidRPr="00B91483">
        <w:rPr>
          <w:rFonts w:hint="eastAsia"/>
          <w:spacing w:val="-6"/>
          <w:rtl/>
          <w:lang w:bidi="ar-EG"/>
        </w:rPr>
        <w:t> </w:t>
      </w:r>
      <w:r w:rsidRPr="00B91483">
        <w:rPr>
          <w:spacing w:val="-6"/>
          <w:lang w:bidi="ar-EG"/>
        </w:rPr>
        <w:t>(</w:t>
      </w:r>
      <w:r w:rsidRPr="00B91483">
        <w:rPr>
          <w:spacing w:val="-6"/>
          <w:lang w:val="en-GB" w:bidi="ar-EG"/>
        </w:rPr>
        <w:t>ARTECNET)</w:t>
      </w:r>
      <w:r w:rsidRPr="009E6450">
        <w:rPr>
          <w:rFonts w:hint="cs"/>
          <w:rtl/>
          <w:lang w:bidi="ar-EG"/>
        </w:rPr>
        <w:t xml:space="preserve">، والشبكة العربية لهيئات تنظيم الاتصالات </w:t>
      </w:r>
      <w:r w:rsidRPr="009E6450">
        <w:rPr>
          <w:lang w:val="en-GB" w:bidi="ar-EG"/>
        </w:rPr>
        <w:t>(AREGNET)</w:t>
      </w:r>
      <w:r w:rsidRPr="009E6450">
        <w:rPr>
          <w:rFonts w:hint="cs"/>
          <w:rtl/>
          <w:lang w:bidi="ar-EG"/>
        </w:rPr>
        <w:t xml:space="preserve">، والمركز العربي الإقليمي للأمن السيبراني </w:t>
      </w:r>
      <w:r w:rsidRPr="009E6450">
        <w:rPr>
          <w:lang w:val="en-GB" w:bidi="ar-EG"/>
        </w:rPr>
        <w:t>(ARCC)</w:t>
      </w:r>
      <w:r w:rsidRPr="009E6450">
        <w:rPr>
          <w:rFonts w:hint="cs"/>
          <w:rtl/>
          <w:lang w:bidi="ar-EG"/>
        </w:rPr>
        <w:t>، وهيئة تنظيم الاتصالات بالإمارات العربية المتحدة</w:t>
      </w:r>
      <w:r w:rsidR="002C4AA1" w:rsidRPr="009E6450">
        <w:rPr>
          <w:rFonts w:hint="cs"/>
          <w:rtl/>
          <w:lang w:bidi="ar-EG"/>
        </w:rPr>
        <w:t>، والهيئة القومية للاتصالات بالسودان، وأكاديمية سوداتل للاتصالات بالسودان،</w:t>
      </w:r>
      <w:r w:rsidRPr="009E6450">
        <w:rPr>
          <w:rFonts w:hint="cs"/>
          <w:rtl/>
          <w:lang w:bidi="ar-EG"/>
        </w:rPr>
        <w:t xml:space="preserve"> ووزارة الاتصالات </w:t>
      </w:r>
      <w:r w:rsidR="0087616B">
        <w:rPr>
          <w:rFonts w:hint="cs"/>
          <w:rtl/>
          <w:lang w:bidi="ar-EG"/>
        </w:rPr>
        <w:t>وتكنولوجيا المعلومات</w:t>
      </w:r>
      <w:r w:rsidRPr="009E6450">
        <w:rPr>
          <w:rFonts w:hint="cs"/>
          <w:rtl/>
          <w:lang w:bidi="ar-EG"/>
        </w:rPr>
        <w:t xml:space="preserve"> بمصر واتحاد المغرب العربي </w:t>
      </w:r>
      <w:r w:rsidRPr="009E6450">
        <w:rPr>
          <w:lang w:val="en-GB" w:bidi="ar-EG"/>
        </w:rPr>
        <w:t>(UMA)</w:t>
      </w:r>
      <w:r w:rsidRPr="009E6450">
        <w:rPr>
          <w:rFonts w:hint="cs"/>
          <w:rtl/>
          <w:lang w:bidi="ar-EG"/>
        </w:rPr>
        <w:t xml:space="preserve"> والمنظمة العربية للتربية والثقافة والعلوم </w:t>
      </w:r>
      <w:r w:rsidRPr="009E6450">
        <w:rPr>
          <w:lang w:val="en-GB" w:bidi="ar-EG"/>
        </w:rPr>
        <w:t>(ALECSO</w:t>
      </w:r>
      <w:r w:rsidRPr="009E6450">
        <w:rPr>
          <w:lang w:bidi="ar-EG"/>
        </w:rPr>
        <w:t>)</w:t>
      </w:r>
      <w:r w:rsidR="002C4AA1" w:rsidRPr="009E6450">
        <w:rPr>
          <w:rFonts w:hint="cs"/>
          <w:rtl/>
          <w:lang w:bidi="ar-EG"/>
        </w:rPr>
        <w:t xml:space="preserve"> واليونسكو</w:t>
      </w:r>
      <w:r w:rsidRPr="009E6450">
        <w:rPr>
          <w:rFonts w:hint="cs"/>
          <w:rtl/>
          <w:lang w:bidi="ar-EG"/>
        </w:rPr>
        <w:t xml:space="preserve"> وجامعات في</w:t>
      </w:r>
      <w:r w:rsidR="004A7024">
        <w:rPr>
          <w:rFonts w:hint="eastAsia"/>
          <w:rtl/>
          <w:lang w:bidi="ar-EG"/>
        </w:rPr>
        <w:t> </w:t>
      </w:r>
      <w:r w:rsidRPr="009E6450">
        <w:rPr>
          <w:rFonts w:hint="cs"/>
          <w:rtl/>
          <w:lang w:bidi="ar-EG"/>
        </w:rPr>
        <w:t>تونس</w:t>
      </w:r>
      <w:r w:rsidR="002C4AA1" w:rsidRPr="009E6450">
        <w:rPr>
          <w:rFonts w:hint="cs"/>
          <w:rtl/>
          <w:lang w:bidi="ar-EG"/>
        </w:rPr>
        <w:t>،</w:t>
      </w:r>
      <w:r w:rsidR="002C4AA1" w:rsidRPr="009E6450">
        <w:rPr>
          <w:rFonts w:hint="cs"/>
          <w:rtl/>
          <w:lang w:bidi="ar"/>
        </w:rPr>
        <w:t xml:space="preserve"> وبرنامج محمد بن راشد للتعلم الذكي،</w:t>
      </w:r>
      <w:r w:rsidR="002C4AA1" w:rsidRPr="009E6450">
        <w:rPr>
          <w:rFonts w:hint="cs"/>
          <w:rtl/>
          <w:lang w:bidi="ar-EG"/>
        </w:rPr>
        <w:t xml:space="preserve"> وغيرها</w:t>
      </w:r>
      <w:r w:rsidRPr="009E6450">
        <w:rPr>
          <w:rFonts w:hint="cs"/>
          <w:rtl/>
          <w:lang w:bidi="ar-EG"/>
        </w:rPr>
        <w:t>.</w:t>
      </w:r>
    </w:p>
    <w:p w:rsidR="00DB30B3" w:rsidRPr="009E6450" w:rsidRDefault="00DB30B3" w:rsidP="00662582">
      <w:pPr>
        <w:rPr>
          <w:rFonts w:eastAsiaTheme="minorEastAsia"/>
          <w:rtl/>
          <w:lang w:val="en-GB"/>
        </w:rPr>
      </w:pPr>
      <w:bookmarkStart w:id="5" w:name="lt_pId055"/>
      <w:r w:rsidRPr="009E6450">
        <w:rPr>
          <w:rFonts w:hint="cs"/>
          <w:rtl/>
          <w:lang w:bidi="ar"/>
        </w:rPr>
        <w:lastRenderedPageBreak/>
        <w:t xml:space="preserve">وبالإضافة إلى ذلك، يجري منذ عام </w:t>
      </w:r>
      <w:r w:rsidR="00662582">
        <w:rPr>
          <w:lang w:bidi="ar"/>
        </w:rPr>
        <w:t>2013</w:t>
      </w:r>
      <w:r w:rsidRPr="009E6450">
        <w:rPr>
          <w:rFonts w:hint="cs"/>
          <w:rtl/>
          <w:lang w:bidi="ar"/>
        </w:rPr>
        <w:t xml:space="preserve"> تنظيم حدثين سنويين هامين للأمن السيبراني (قمة الأمن السيبراني الإقليمية والتمرين السيبراني الإقليمي) من جانب المكتب الإقليمي للدول العربية بالاتحاد بال</w:t>
      </w:r>
      <w:r w:rsidR="00566357" w:rsidRPr="009E6450">
        <w:rPr>
          <w:rFonts w:hint="cs"/>
          <w:rtl/>
          <w:lang w:bidi="ar"/>
        </w:rPr>
        <w:t>اشتراك</w:t>
      </w:r>
      <w:r w:rsidRPr="009E6450">
        <w:rPr>
          <w:rFonts w:hint="cs"/>
          <w:rtl/>
          <w:lang w:bidi="ar"/>
        </w:rPr>
        <w:t xml:space="preserve"> مع </w:t>
      </w:r>
      <w:r w:rsidRPr="009E6450">
        <w:rPr>
          <w:rFonts w:hint="eastAsia"/>
          <w:rtl/>
          <w:lang w:bidi="ar"/>
        </w:rPr>
        <w:t>المركز</w:t>
      </w:r>
      <w:r w:rsidRPr="009E6450">
        <w:rPr>
          <w:rtl/>
          <w:lang w:bidi="ar"/>
        </w:rPr>
        <w:t xml:space="preserve"> </w:t>
      </w:r>
      <w:r w:rsidRPr="009E6450">
        <w:rPr>
          <w:rFonts w:hint="eastAsia"/>
          <w:rtl/>
          <w:lang w:bidi="ar"/>
        </w:rPr>
        <w:t>الإقليمي</w:t>
      </w:r>
      <w:r w:rsidRPr="009E6450">
        <w:rPr>
          <w:rtl/>
          <w:lang w:bidi="ar"/>
        </w:rPr>
        <w:t xml:space="preserve"> </w:t>
      </w:r>
      <w:r w:rsidRPr="009E6450">
        <w:rPr>
          <w:rFonts w:hint="eastAsia"/>
          <w:rtl/>
          <w:lang w:bidi="ar"/>
        </w:rPr>
        <w:t>المعني</w:t>
      </w:r>
      <w:r w:rsidRPr="009E6450">
        <w:rPr>
          <w:rtl/>
          <w:lang w:bidi="ar"/>
        </w:rPr>
        <w:t xml:space="preserve"> </w:t>
      </w:r>
      <w:r w:rsidRPr="009E6450">
        <w:rPr>
          <w:rFonts w:hint="eastAsia"/>
          <w:rtl/>
          <w:lang w:bidi="ar"/>
        </w:rPr>
        <w:t>بالأمن</w:t>
      </w:r>
      <w:r w:rsidRPr="009E6450">
        <w:rPr>
          <w:rtl/>
          <w:lang w:bidi="ar"/>
        </w:rPr>
        <w:t xml:space="preserve"> </w:t>
      </w:r>
      <w:r w:rsidRPr="009E6450">
        <w:rPr>
          <w:rFonts w:hint="eastAsia"/>
          <w:rtl/>
          <w:lang w:bidi="ar"/>
        </w:rPr>
        <w:t>السيبراني</w:t>
      </w:r>
      <w:r w:rsidRPr="009E6450">
        <w:rPr>
          <w:rtl/>
          <w:lang w:bidi="ar"/>
        </w:rPr>
        <w:t xml:space="preserve"> </w:t>
      </w:r>
      <w:r w:rsidRPr="009E6450">
        <w:rPr>
          <w:rFonts w:hint="eastAsia"/>
          <w:rtl/>
          <w:lang w:bidi="ar"/>
        </w:rPr>
        <w:t>في</w:t>
      </w:r>
      <w:r w:rsidR="008D5834" w:rsidRPr="009E6450">
        <w:rPr>
          <w:rFonts w:hint="cs"/>
          <w:rtl/>
          <w:lang w:bidi="ar"/>
        </w:rPr>
        <w:t> </w:t>
      </w:r>
      <w:r w:rsidRPr="009E6450">
        <w:rPr>
          <w:rFonts w:hint="eastAsia"/>
          <w:rtl/>
          <w:lang w:bidi="ar"/>
        </w:rPr>
        <w:t>المنطقة</w:t>
      </w:r>
      <w:r w:rsidRPr="009E6450">
        <w:rPr>
          <w:rtl/>
          <w:lang w:bidi="ar"/>
        </w:rPr>
        <w:t xml:space="preserve"> </w:t>
      </w:r>
      <w:r w:rsidRPr="009E6450">
        <w:rPr>
          <w:rFonts w:hint="eastAsia"/>
          <w:rtl/>
          <w:lang w:bidi="ar"/>
        </w:rPr>
        <w:t>العربية</w:t>
      </w:r>
      <w:r w:rsidRPr="009E6450">
        <w:rPr>
          <w:rtl/>
          <w:lang w:bidi="ar"/>
        </w:rPr>
        <w:t xml:space="preserve"> </w:t>
      </w:r>
      <w:r w:rsidRPr="009E6450">
        <w:rPr>
          <w:rFonts w:hint="eastAsia"/>
          <w:rtl/>
          <w:lang w:bidi="ar"/>
        </w:rPr>
        <w:t>التابع</w:t>
      </w:r>
      <w:r w:rsidRPr="009E6450">
        <w:rPr>
          <w:rtl/>
          <w:lang w:bidi="ar"/>
        </w:rPr>
        <w:t xml:space="preserve"> </w:t>
      </w:r>
      <w:r w:rsidRPr="009E6450">
        <w:rPr>
          <w:rFonts w:hint="eastAsia"/>
          <w:rtl/>
          <w:lang w:bidi="ar"/>
        </w:rPr>
        <w:t>للاتحاد</w:t>
      </w:r>
      <w:r w:rsidRPr="009E6450">
        <w:rPr>
          <w:rtl/>
          <w:lang w:bidi="ar"/>
        </w:rPr>
        <w:t xml:space="preserve"> </w:t>
      </w:r>
      <w:r w:rsidR="00662582">
        <w:rPr>
          <w:lang w:bidi="ar"/>
        </w:rPr>
        <w:t>(</w:t>
      </w:r>
      <w:r w:rsidRPr="009E6450">
        <w:rPr>
          <w:lang w:bidi="ar"/>
        </w:rPr>
        <w:t>ITU-ARCC</w:t>
      </w:r>
      <w:r w:rsidR="00662582">
        <w:rPr>
          <w:lang w:bidi="ar"/>
        </w:rPr>
        <w:t>)</w:t>
      </w:r>
      <w:r w:rsidRPr="009E6450">
        <w:rPr>
          <w:rFonts w:hint="cs"/>
          <w:rtl/>
          <w:lang w:bidi="ar"/>
        </w:rPr>
        <w:t>.</w:t>
      </w:r>
    </w:p>
    <w:bookmarkEnd w:id="5"/>
    <w:p w:rsidR="002C4AA1" w:rsidRPr="00DB30B3" w:rsidRDefault="00DB30B3" w:rsidP="007C60E7">
      <w:pPr>
        <w:rPr>
          <w:rFonts w:eastAsiaTheme="minorEastAsia"/>
          <w:rtl/>
          <w:lang w:val="en-GB"/>
        </w:rPr>
      </w:pPr>
      <w:r w:rsidRPr="009E6450">
        <w:rPr>
          <w:rFonts w:hint="cs"/>
          <w:rtl/>
          <w:lang w:bidi="ar"/>
        </w:rPr>
        <w:t xml:space="preserve">وفي عام </w:t>
      </w:r>
      <w:r w:rsidR="007C60E7">
        <w:rPr>
          <w:lang w:bidi="ar"/>
        </w:rPr>
        <w:t>2016</w:t>
      </w:r>
      <w:r w:rsidRPr="009E6450">
        <w:rPr>
          <w:rFonts w:hint="cs"/>
          <w:rtl/>
          <w:lang w:bidi="ar"/>
        </w:rPr>
        <w:t>، وقع الاتحاد اتفاقي تعاون مع وزارة الاتصالات وتكنولوجيا المعلومات في مصر، أحدهما لإنشاء مركز إقليمي لإمكانية نفاذ الأشخاص ذوي الإعاقة إلى تكنولوجيا المعلومات والاتصالات والآخر لتنفيذ مشروع بشأن الإدارة الذكية للمياه الجوفية في مصر. ووُقع أيضاً اتفاق تعاون مع برنامج محمد بن راشد للتعلم الذكي وهيئة تنظيم الاتصالات في الإمارات العربية المتحدة لتنفيذ برامج بناء قدرات في مجال التعلم الذكي لدول المنطقة العربية.</w:t>
      </w:r>
    </w:p>
    <w:p w:rsidR="000313EF" w:rsidRPr="00993D79" w:rsidRDefault="00C93C69" w:rsidP="00C93C69">
      <w:pPr>
        <w:pStyle w:val="Heading2"/>
        <w:rPr>
          <w:rtl/>
        </w:rPr>
      </w:pPr>
      <w:r>
        <w:t>4</w:t>
      </w:r>
      <w:r w:rsidR="000313EF">
        <w:t>.</w:t>
      </w:r>
      <w:r>
        <w:t>2</w:t>
      </w:r>
      <w:r w:rsidR="000313EF">
        <w:rPr>
          <w:rtl/>
        </w:rPr>
        <w:tab/>
      </w:r>
      <w:r w:rsidR="000313EF">
        <w:rPr>
          <w:rFonts w:hint="cs"/>
          <w:rtl/>
        </w:rPr>
        <w:t>آسيا والمحيط الهادئ</w:t>
      </w:r>
    </w:p>
    <w:p w:rsidR="000630B8" w:rsidRPr="00413326" w:rsidRDefault="000313EF" w:rsidP="00AB1D65">
      <w:pPr>
        <w:rPr>
          <w:rtl/>
          <w:lang w:bidi="ar-EG"/>
        </w:rPr>
      </w:pPr>
      <w:r w:rsidRPr="00413326">
        <w:rPr>
          <w:rFonts w:hint="cs"/>
          <w:rtl/>
          <w:lang w:bidi="ar-EG"/>
        </w:rPr>
        <w:t>واصل المكتب الإقليمي ومكاتب المناطق التابعة للاتحاد العمل مع عدة شركاء في مجالات</w:t>
      </w:r>
      <w:r w:rsidR="004B53F8" w:rsidRPr="00413326">
        <w:rPr>
          <w:rFonts w:hint="cs"/>
          <w:rtl/>
          <w:lang w:bidi="ar-EG"/>
        </w:rPr>
        <w:t xml:space="preserve"> متنوعة تشمل</w:t>
      </w:r>
      <w:r w:rsidRPr="00413326">
        <w:rPr>
          <w:rFonts w:hint="cs"/>
          <w:rtl/>
          <w:lang w:bidi="ar-EG"/>
        </w:rPr>
        <w:t xml:space="preserve"> الزراعة الإلكترونية مع منظمة الأغذية والزراعة </w:t>
      </w:r>
      <w:r w:rsidR="004C2661">
        <w:rPr>
          <w:rFonts w:hint="cs"/>
          <w:rtl/>
          <w:lang w:bidi="ar-EG"/>
        </w:rPr>
        <w:t>والصحة</w:t>
      </w:r>
      <w:r w:rsidR="004B53F8" w:rsidRPr="00413326">
        <w:rPr>
          <w:rFonts w:hint="cs"/>
          <w:rtl/>
          <w:lang w:bidi="ar-EG"/>
        </w:rPr>
        <w:t xml:space="preserve"> المتنقلة مع منظمة الصحة </w:t>
      </w:r>
      <w:r w:rsidR="007554F6">
        <w:rPr>
          <w:rFonts w:hint="cs"/>
          <w:rtl/>
          <w:lang w:bidi="ar-EG"/>
        </w:rPr>
        <w:t>العالمية</w:t>
      </w:r>
      <w:r w:rsidR="004B53F8" w:rsidRPr="00413326">
        <w:rPr>
          <w:rFonts w:hint="cs"/>
          <w:rtl/>
          <w:lang w:bidi="ar-EG"/>
        </w:rPr>
        <w:t xml:space="preserve"> </w:t>
      </w:r>
      <w:r w:rsidRPr="00413326">
        <w:rPr>
          <w:rFonts w:hint="cs"/>
          <w:rtl/>
          <w:lang w:bidi="ar-EG"/>
        </w:rPr>
        <w:t>والإصدار السادس من بروتوكول الإنترنت</w:t>
      </w:r>
      <w:r w:rsidR="004B53F8" w:rsidRPr="00413326">
        <w:rPr>
          <w:rFonts w:hint="cs"/>
          <w:rtl/>
          <w:lang w:bidi="ar-EG"/>
        </w:rPr>
        <w:t xml:space="preserve"> ونقاط تبادل الإنترنت</w:t>
      </w:r>
      <w:r w:rsidR="00F26032">
        <w:rPr>
          <w:rFonts w:hint="eastAsia"/>
          <w:rtl/>
          <w:lang w:bidi="ar-EG"/>
        </w:rPr>
        <w:t> </w:t>
      </w:r>
      <w:r w:rsidR="00413326" w:rsidRPr="00413326">
        <w:rPr>
          <w:rStyle w:val="Hyperlink"/>
          <w:rFonts w:ascii="Calibri" w:hAnsi="Calibri"/>
          <w:color w:val="000000"/>
          <w:szCs w:val="24"/>
          <w:u w:val="none"/>
        </w:rPr>
        <w:t>(IXP)</w:t>
      </w:r>
      <w:r w:rsidRPr="00413326">
        <w:rPr>
          <w:rFonts w:hint="cs"/>
          <w:rtl/>
          <w:lang w:bidi="ar-EG"/>
        </w:rPr>
        <w:t xml:space="preserve"> مع مركز معلومات شبكات آسيا والمحيط الهادئ </w:t>
      </w:r>
      <w:r w:rsidRPr="00413326">
        <w:rPr>
          <w:lang w:bidi="ar-EG"/>
        </w:rPr>
        <w:t>(APNIC)</w:t>
      </w:r>
      <w:r w:rsidRPr="00413326">
        <w:rPr>
          <w:rFonts w:hint="cs"/>
          <w:rtl/>
          <w:lang w:bidi="ar-EG"/>
        </w:rPr>
        <w:t xml:space="preserve"> والإذاعة مع اتحاد إذاعات آسيا والمحيط الهادئ</w:t>
      </w:r>
      <w:r w:rsidR="00AB1D65">
        <w:rPr>
          <w:rFonts w:hint="eastAsia"/>
          <w:rtl/>
          <w:lang w:bidi="ar-EG"/>
        </w:rPr>
        <w:t> </w:t>
      </w:r>
      <w:r w:rsidRPr="00413326">
        <w:rPr>
          <w:lang w:bidi="ar-EG"/>
        </w:rPr>
        <w:t>(ABU)</w:t>
      </w:r>
      <w:r w:rsidRPr="00413326">
        <w:rPr>
          <w:rFonts w:hint="cs"/>
          <w:rtl/>
          <w:lang w:bidi="ar-EG"/>
        </w:rPr>
        <w:t xml:space="preserve"> ومعهد آسيا والمحيط الهادئ لتطوير البث الإذاعي </w:t>
      </w:r>
      <w:r w:rsidRPr="00413326">
        <w:rPr>
          <w:lang w:bidi="ar-EG"/>
        </w:rPr>
        <w:t>(AIBD)</w:t>
      </w:r>
      <w:r w:rsidRPr="00413326">
        <w:rPr>
          <w:rFonts w:hint="cs"/>
          <w:rtl/>
          <w:lang w:bidi="ar-EG"/>
        </w:rPr>
        <w:t xml:space="preserve"> وبناء القدرات البشرية مع </w:t>
      </w:r>
      <w:r w:rsidR="004B53F8" w:rsidRPr="00413326">
        <w:rPr>
          <w:rFonts w:hint="eastAsia"/>
          <w:rtl/>
          <w:lang w:bidi="ar-EG"/>
        </w:rPr>
        <w:t>جماعة</w:t>
      </w:r>
      <w:r w:rsidR="004B53F8" w:rsidRPr="00413326">
        <w:rPr>
          <w:rtl/>
          <w:lang w:bidi="ar-EG"/>
        </w:rPr>
        <w:t xml:space="preserve"> </w:t>
      </w:r>
      <w:r w:rsidR="004B53F8" w:rsidRPr="00413326">
        <w:rPr>
          <w:rFonts w:hint="eastAsia"/>
          <w:rtl/>
          <w:lang w:bidi="ar-EG"/>
        </w:rPr>
        <w:t>آسيا</w:t>
      </w:r>
      <w:r w:rsidR="004B53F8" w:rsidRPr="00413326">
        <w:rPr>
          <w:rtl/>
          <w:lang w:bidi="ar-EG"/>
        </w:rPr>
        <w:t xml:space="preserve"> </w:t>
      </w:r>
      <w:r w:rsidR="004B53F8" w:rsidRPr="00413326">
        <w:rPr>
          <w:rFonts w:hint="eastAsia"/>
          <w:rtl/>
          <w:lang w:bidi="ar-EG"/>
        </w:rPr>
        <w:t>والمحيط</w:t>
      </w:r>
      <w:r w:rsidR="004B53F8" w:rsidRPr="00413326">
        <w:rPr>
          <w:rtl/>
          <w:lang w:bidi="ar-EG"/>
        </w:rPr>
        <w:t xml:space="preserve"> </w:t>
      </w:r>
      <w:r w:rsidR="004B53F8" w:rsidRPr="00413326">
        <w:rPr>
          <w:rFonts w:hint="eastAsia"/>
          <w:rtl/>
          <w:lang w:bidi="ar-EG"/>
        </w:rPr>
        <w:t>الهادئ</w:t>
      </w:r>
      <w:r w:rsidR="004B53F8" w:rsidRPr="00413326">
        <w:rPr>
          <w:rtl/>
          <w:lang w:bidi="ar-EG"/>
        </w:rPr>
        <w:t xml:space="preserve"> </w:t>
      </w:r>
      <w:r w:rsidR="004B53F8" w:rsidRPr="00413326">
        <w:rPr>
          <w:rFonts w:hint="eastAsia"/>
          <w:rtl/>
          <w:lang w:bidi="ar-EG"/>
        </w:rPr>
        <w:t>للاتصالات</w:t>
      </w:r>
      <w:r w:rsidR="004B53F8" w:rsidRPr="00413326">
        <w:rPr>
          <w:rFonts w:hint="cs"/>
          <w:rtl/>
          <w:lang w:bidi="ar-EG"/>
        </w:rPr>
        <w:t xml:space="preserve"> </w:t>
      </w:r>
      <w:r w:rsidRPr="00413326">
        <w:rPr>
          <w:rFonts w:hint="cs"/>
          <w:rtl/>
          <w:lang w:bidi="ar-EG"/>
        </w:rPr>
        <w:t>و</w:t>
      </w:r>
      <w:r w:rsidR="004B53F8" w:rsidRPr="00413326">
        <w:rPr>
          <w:rFonts w:hint="cs"/>
          <w:rtl/>
          <w:lang w:bidi="ar-EG"/>
        </w:rPr>
        <w:t>عبر</w:t>
      </w:r>
      <w:r w:rsidR="00AB1D65">
        <w:rPr>
          <w:rFonts w:hint="eastAsia"/>
          <w:rtl/>
          <w:lang w:bidi="ar-EG"/>
        </w:rPr>
        <w:t> </w:t>
      </w:r>
      <w:r w:rsidRPr="00413326">
        <w:rPr>
          <w:rFonts w:hint="cs"/>
          <w:rtl/>
          <w:lang w:bidi="ar-EG"/>
        </w:rPr>
        <w:t>مراكز التميز والشركاء المرتبطين بها</w:t>
      </w:r>
      <w:r w:rsidR="004B53F8" w:rsidRPr="00413326">
        <w:rPr>
          <w:rFonts w:hint="cs"/>
          <w:rtl/>
          <w:lang w:bidi="ar-EG"/>
        </w:rPr>
        <w:t>.</w:t>
      </w:r>
    </w:p>
    <w:p w:rsidR="000630B8" w:rsidRDefault="000630B8" w:rsidP="00244631">
      <w:pPr>
        <w:rPr>
          <w:rtl/>
          <w:lang w:bidi="ar"/>
        </w:rPr>
      </w:pPr>
      <w:bookmarkStart w:id="6" w:name="lt_pId060"/>
      <w:r w:rsidRPr="00D2269D">
        <w:rPr>
          <w:rFonts w:hint="cs"/>
          <w:rtl/>
          <w:lang w:bidi="ar"/>
        </w:rPr>
        <w:t xml:space="preserve">وتناولت المكاتب الإقليمية ومكاتب المناطق احتياجات مؤشرات </w:t>
      </w:r>
      <w:r>
        <w:rPr>
          <w:rFonts w:hint="cs"/>
          <w:rtl/>
          <w:lang w:bidi="ar"/>
        </w:rPr>
        <w:t xml:space="preserve">وإحصاءات </w:t>
      </w:r>
      <w:r w:rsidRPr="00D2269D">
        <w:rPr>
          <w:rFonts w:hint="cs"/>
          <w:rtl/>
          <w:lang w:bidi="ar"/>
        </w:rPr>
        <w:t>الاتصالات/تكنولوجيا المعلومات والاتصالات في</w:t>
      </w:r>
      <w:r w:rsidR="00244631">
        <w:rPr>
          <w:rFonts w:hint="eastAsia"/>
          <w:rtl/>
          <w:lang w:bidi="ar"/>
        </w:rPr>
        <w:t> </w:t>
      </w:r>
      <w:r w:rsidRPr="00D2269D">
        <w:rPr>
          <w:rFonts w:hint="cs"/>
          <w:rtl/>
          <w:lang w:bidi="ar"/>
        </w:rPr>
        <w:t xml:space="preserve">ست من الدول الأعضاء في رابطة أمم جنوب شرق آسيا، ومعالجة </w:t>
      </w:r>
      <w:r>
        <w:rPr>
          <w:rFonts w:hint="cs"/>
          <w:rtl/>
          <w:lang w:bidi="ar"/>
        </w:rPr>
        <w:t>ال</w:t>
      </w:r>
      <w:r w:rsidRPr="00D2269D">
        <w:rPr>
          <w:rFonts w:hint="cs"/>
          <w:rtl/>
          <w:lang w:bidi="ar"/>
        </w:rPr>
        <w:t>حوادث السيبراني</w:t>
      </w:r>
      <w:r>
        <w:rPr>
          <w:rFonts w:hint="cs"/>
          <w:rtl/>
          <w:lang w:bidi="ar"/>
        </w:rPr>
        <w:t>ة</w:t>
      </w:r>
      <w:r w:rsidRPr="00D2269D">
        <w:rPr>
          <w:rFonts w:hint="cs"/>
          <w:rtl/>
          <w:lang w:bidi="ar"/>
        </w:rPr>
        <w:t>، واستراتيجية الأمن السيبراني، بما في</w:t>
      </w:r>
      <w:r w:rsidR="00244631">
        <w:rPr>
          <w:rFonts w:hint="eastAsia"/>
          <w:rtl/>
          <w:lang w:bidi="ar"/>
        </w:rPr>
        <w:t> </w:t>
      </w:r>
      <w:r w:rsidRPr="00D2269D">
        <w:rPr>
          <w:rFonts w:hint="cs"/>
          <w:rtl/>
          <w:lang w:bidi="ar"/>
        </w:rPr>
        <w:t xml:space="preserve">ذلك </w:t>
      </w:r>
      <w:r>
        <w:rPr>
          <w:rFonts w:hint="cs"/>
          <w:rtl/>
          <w:lang w:bidi="ar"/>
        </w:rPr>
        <w:t>دورة للمستجدين في مجال</w:t>
      </w:r>
      <w:r w:rsidRPr="00D2269D">
        <w:rPr>
          <w:rFonts w:hint="cs"/>
          <w:rtl/>
          <w:lang w:bidi="ar"/>
        </w:rPr>
        <w:t xml:space="preserve"> التشفير مع </w:t>
      </w:r>
      <w:r w:rsidRPr="000630B8">
        <w:rPr>
          <w:rFonts w:hint="eastAsia"/>
          <w:rtl/>
          <w:lang w:bidi="ar"/>
        </w:rPr>
        <w:t>وزارة</w:t>
      </w:r>
      <w:r w:rsidRPr="000630B8">
        <w:rPr>
          <w:rtl/>
          <w:lang w:bidi="ar"/>
        </w:rPr>
        <w:t xml:space="preserve"> </w:t>
      </w:r>
      <w:r w:rsidRPr="000630B8">
        <w:rPr>
          <w:rFonts w:hint="eastAsia"/>
          <w:rtl/>
          <w:lang w:bidi="ar"/>
        </w:rPr>
        <w:t>تكنولوجيا</w:t>
      </w:r>
      <w:r w:rsidRPr="000630B8">
        <w:rPr>
          <w:rtl/>
          <w:lang w:bidi="ar"/>
        </w:rPr>
        <w:t xml:space="preserve"> </w:t>
      </w:r>
      <w:r w:rsidRPr="000630B8">
        <w:rPr>
          <w:rFonts w:hint="eastAsia"/>
          <w:rtl/>
          <w:lang w:bidi="ar"/>
        </w:rPr>
        <w:t>المعلومات</w:t>
      </w:r>
      <w:r w:rsidRPr="000630B8">
        <w:rPr>
          <w:rtl/>
          <w:lang w:bidi="ar"/>
        </w:rPr>
        <w:t xml:space="preserve"> </w:t>
      </w:r>
      <w:r w:rsidRPr="000630B8">
        <w:rPr>
          <w:rFonts w:hint="eastAsia"/>
          <w:rtl/>
          <w:lang w:bidi="ar"/>
        </w:rPr>
        <w:t>والاتصالات</w:t>
      </w:r>
      <w:r w:rsidRPr="000630B8">
        <w:rPr>
          <w:rtl/>
          <w:lang w:bidi="ar"/>
        </w:rPr>
        <w:t xml:space="preserve"> </w:t>
      </w:r>
      <w:r w:rsidR="00244631">
        <w:rPr>
          <w:lang w:bidi="ar"/>
        </w:rPr>
        <w:t>(</w:t>
      </w:r>
      <w:r w:rsidRPr="000630B8">
        <w:rPr>
          <w:lang w:bidi="ar"/>
        </w:rPr>
        <w:t>MICT</w:t>
      </w:r>
      <w:r w:rsidR="00244631">
        <w:rPr>
          <w:lang w:bidi="ar"/>
        </w:rPr>
        <w:t>)</w:t>
      </w:r>
      <w:r w:rsidRPr="000630B8">
        <w:rPr>
          <w:rtl/>
          <w:lang w:bidi="ar"/>
        </w:rPr>
        <w:t xml:space="preserve"> </w:t>
      </w:r>
      <w:r w:rsidRPr="00D2269D">
        <w:rPr>
          <w:rFonts w:hint="cs"/>
          <w:rtl/>
          <w:lang w:bidi="ar"/>
        </w:rPr>
        <w:t>في الفلبين.</w:t>
      </w:r>
    </w:p>
    <w:p w:rsidR="000630B8" w:rsidRDefault="000630B8" w:rsidP="004E4D2A">
      <w:pPr>
        <w:rPr>
          <w:rtl/>
          <w:lang w:bidi="ar"/>
        </w:rPr>
      </w:pPr>
      <w:r w:rsidRPr="00D2269D">
        <w:rPr>
          <w:rFonts w:hint="cs"/>
          <w:rtl/>
          <w:lang w:bidi="ar"/>
        </w:rPr>
        <w:t>وشارك</w:t>
      </w:r>
      <w:r>
        <w:rPr>
          <w:rFonts w:hint="cs"/>
          <w:rtl/>
          <w:lang w:bidi="ar"/>
        </w:rPr>
        <w:t>ت</w:t>
      </w:r>
      <w:r w:rsidRPr="00D2269D">
        <w:rPr>
          <w:rFonts w:hint="cs"/>
          <w:rtl/>
          <w:lang w:bidi="ar"/>
        </w:rPr>
        <w:t xml:space="preserve"> في تنظيم </w:t>
      </w:r>
      <w:r w:rsidRPr="000630B8">
        <w:rPr>
          <w:rFonts w:hint="eastAsia"/>
          <w:rtl/>
          <w:lang w:bidi="ar"/>
        </w:rPr>
        <w:t>يوم</w:t>
      </w:r>
      <w:r w:rsidRPr="000630B8">
        <w:rPr>
          <w:rtl/>
          <w:lang w:bidi="ar"/>
        </w:rPr>
        <w:t xml:space="preserve"> </w:t>
      </w:r>
      <w:r>
        <w:rPr>
          <w:rFonts w:hint="cs"/>
          <w:rtl/>
          <w:lang w:bidi="ar"/>
        </w:rPr>
        <w:t>ا</w:t>
      </w:r>
      <w:r w:rsidRPr="000630B8">
        <w:rPr>
          <w:rFonts w:hint="eastAsia"/>
          <w:rtl/>
          <w:lang w:bidi="ar"/>
        </w:rPr>
        <w:t>لفتيات</w:t>
      </w:r>
      <w:r w:rsidRPr="000630B8">
        <w:rPr>
          <w:rtl/>
          <w:lang w:bidi="ar"/>
        </w:rPr>
        <w:t xml:space="preserve"> </w:t>
      </w:r>
      <w:r w:rsidRPr="000630B8">
        <w:rPr>
          <w:rFonts w:hint="eastAsia"/>
          <w:rtl/>
          <w:lang w:bidi="ar"/>
        </w:rPr>
        <w:t>في</w:t>
      </w:r>
      <w:r w:rsidRPr="000630B8">
        <w:rPr>
          <w:rtl/>
          <w:lang w:bidi="ar"/>
        </w:rPr>
        <w:t xml:space="preserve"> </w:t>
      </w:r>
      <w:r w:rsidRPr="000630B8">
        <w:rPr>
          <w:rFonts w:hint="eastAsia"/>
          <w:rtl/>
          <w:lang w:bidi="ar"/>
        </w:rPr>
        <w:t>مجال</w:t>
      </w:r>
      <w:r w:rsidRPr="000630B8">
        <w:rPr>
          <w:rtl/>
          <w:lang w:bidi="ar"/>
        </w:rPr>
        <w:t xml:space="preserve"> </w:t>
      </w:r>
      <w:r w:rsidRPr="000630B8">
        <w:rPr>
          <w:rFonts w:hint="eastAsia"/>
          <w:rtl/>
          <w:lang w:bidi="ar"/>
        </w:rPr>
        <w:t>تكنولوجيا</w:t>
      </w:r>
      <w:r w:rsidRPr="000630B8">
        <w:rPr>
          <w:rtl/>
          <w:lang w:bidi="ar"/>
        </w:rPr>
        <w:t xml:space="preserve"> </w:t>
      </w:r>
      <w:r w:rsidRPr="000630B8">
        <w:rPr>
          <w:rFonts w:hint="eastAsia"/>
          <w:rtl/>
          <w:lang w:bidi="ar"/>
        </w:rPr>
        <w:t>المعلومات</w:t>
      </w:r>
      <w:r w:rsidRPr="000630B8">
        <w:rPr>
          <w:rtl/>
          <w:lang w:bidi="ar"/>
        </w:rPr>
        <w:t xml:space="preserve"> </w:t>
      </w:r>
      <w:r w:rsidRPr="000630B8">
        <w:rPr>
          <w:rFonts w:hint="eastAsia"/>
          <w:rtl/>
          <w:lang w:bidi="ar"/>
        </w:rPr>
        <w:t>والاتصالات</w:t>
      </w:r>
      <w:r>
        <w:rPr>
          <w:rFonts w:hint="cs"/>
          <w:rtl/>
          <w:lang w:bidi="ar"/>
        </w:rPr>
        <w:t>،</w:t>
      </w:r>
      <w:r w:rsidRPr="000630B8">
        <w:rPr>
          <w:rFonts w:hint="cs"/>
          <w:rtl/>
          <w:lang w:bidi="ar"/>
        </w:rPr>
        <w:t xml:space="preserve"> </w:t>
      </w:r>
      <w:r w:rsidRPr="00D2269D">
        <w:rPr>
          <w:rFonts w:hint="cs"/>
          <w:rtl/>
          <w:lang w:bidi="ar"/>
        </w:rPr>
        <w:t xml:space="preserve">المكاتب الإقليمية ومكاتب المناطق بالتعاون مع </w:t>
      </w:r>
      <w:r>
        <w:rPr>
          <w:rFonts w:hint="cs"/>
          <w:rtl/>
          <w:lang w:bidi="ar"/>
        </w:rPr>
        <w:t>شركة</w:t>
      </w:r>
      <w:r w:rsidRPr="00D2269D">
        <w:rPr>
          <w:rFonts w:hint="cs"/>
          <w:rtl/>
          <w:lang w:bidi="ar"/>
        </w:rPr>
        <w:t xml:space="preserve"> سيسكو</w:t>
      </w:r>
      <w:r w:rsidR="004E4D2A">
        <w:rPr>
          <w:rFonts w:hint="eastAsia"/>
          <w:rtl/>
          <w:lang w:bidi="ar"/>
        </w:rPr>
        <w:t> </w:t>
      </w:r>
      <w:r w:rsidR="002D0B1D">
        <w:rPr>
          <w:lang w:bidi="ar"/>
        </w:rPr>
        <w:t>(</w:t>
      </w:r>
      <w:r w:rsidRPr="000630B8">
        <w:rPr>
          <w:lang w:bidi="ar"/>
        </w:rPr>
        <w:t>CISCO</w:t>
      </w:r>
      <w:r w:rsidR="002D0B1D">
        <w:rPr>
          <w:lang w:bidi="ar"/>
        </w:rPr>
        <w:t>)</w:t>
      </w:r>
      <w:r>
        <w:rPr>
          <w:rFonts w:hint="cs"/>
          <w:rtl/>
          <w:lang w:bidi="ar"/>
        </w:rPr>
        <w:t xml:space="preserve"> </w:t>
      </w:r>
      <w:r w:rsidRPr="00D2269D">
        <w:rPr>
          <w:rFonts w:hint="cs"/>
          <w:rtl/>
          <w:lang w:bidi="ar"/>
        </w:rPr>
        <w:t>في بانكوك ومع</w:t>
      </w:r>
      <w:r w:rsidRPr="000630B8">
        <w:rPr>
          <w:rFonts w:hint="cs"/>
          <w:rtl/>
          <w:lang w:bidi="ar"/>
        </w:rPr>
        <w:t xml:space="preserve"> </w:t>
      </w:r>
      <w:r>
        <w:rPr>
          <w:rFonts w:hint="cs"/>
          <w:rtl/>
          <w:lang w:bidi="ar"/>
        </w:rPr>
        <w:t>شركة</w:t>
      </w:r>
      <w:r w:rsidRPr="00D2269D">
        <w:rPr>
          <w:rFonts w:hint="cs"/>
          <w:rtl/>
          <w:lang w:bidi="ar"/>
        </w:rPr>
        <w:t xml:space="preserve"> سيسكو وشركاء آخرين في مانيلا </w:t>
      </w:r>
      <w:r>
        <w:rPr>
          <w:rFonts w:hint="cs"/>
          <w:rtl/>
          <w:lang w:bidi="ar"/>
        </w:rPr>
        <w:t>ب</w:t>
      </w:r>
      <w:r w:rsidRPr="00D2269D">
        <w:rPr>
          <w:rFonts w:hint="cs"/>
          <w:rtl/>
          <w:lang w:bidi="ar"/>
        </w:rPr>
        <w:t xml:space="preserve">الفلبين </w:t>
      </w:r>
      <w:proofErr w:type="spellStart"/>
      <w:r w:rsidRPr="00D2269D">
        <w:rPr>
          <w:rFonts w:hint="cs"/>
          <w:rtl/>
          <w:lang w:bidi="ar"/>
        </w:rPr>
        <w:t>ويوغاكارتا</w:t>
      </w:r>
      <w:proofErr w:type="spellEnd"/>
      <w:r w:rsidRPr="00D2269D">
        <w:rPr>
          <w:rFonts w:hint="cs"/>
          <w:rtl/>
          <w:lang w:bidi="ar"/>
        </w:rPr>
        <w:t xml:space="preserve"> بإندونيسيا.</w:t>
      </w:r>
    </w:p>
    <w:p w:rsidR="00E4450B" w:rsidRDefault="00E4450B" w:rsidP="003978EA">
      <w:pPr>
        <w:rPr>
          <w:rtl/>
          <w:lang w:bidi="ar"/>
        </w:rPr>
      </w:pPr>
      <w:bookmarkStart w:id="7" w:name="lt_pId062"/>
      <w:bookmarkEnd w:id="6"/>
      <w:r>
        <w:rPr>
          <w:rFonts w:hint="cs"/>
          <w:rtl/>
          <w:lang w:bidi="ar"/>
        </w:rPr>
        <w:t>و</w:t>
      </w:r>
      <w:r w:rsidRPr="00D2269D">
        <w:rPr>
          <w:rFonts w:hint="cs"/>
          <w:rtl/>
          <w:lang w:bidi="ar"/>
        </w:rPr>
        <w:t>نظمت المكاتب الإقليمية ومكاتب المناطق</w:t>
      </w:r>
      <w:r>
        <w:rPr>
          <w:rFonts w:hint="cs"/>
          <w:rtl/>
          <w:lang w:bidi="ar"/>
        </w:rPr>
        <w:t xml:space="preserve"> كذلك</w:t>
      </w:r>
      <w:r w:rsidRPr="00D2269D">
        <w:rPr>
          <w:rFonts w:hint="cs"/>
          <w:rtl/>
          <w:lang w:bidi="ar"/>
        </w:rPr>
        <w:t xml:space="preserve"> عدة منتديات واجتماعات (</w:t>
      </w:r>
      <w:r>
        <w:rPr>
          <w:rFonts w:hint="cs"/>
          <w:rtl/>
          <w:lang w:bidi="ar"/>
        </w:rPr>
        <w:t xml:space="preserve">تتناول مواضيع </w:t>
      </w:r>
      <w:r w:rsidRPr="00D2269D">
        <w:rPr>
          <w:rFonts w:hint="cs"/>
          <w:rtl/>
          <w:lang w:bidi="ar"/>
        </w:rPr>
        <w:t>مثل الاتصالات/تكنولوجيا المعلومات والاتصالات</w:t>
      </w:r>
      <w:r>
        <w:rPr>
          <w:rFonts w:hint="cs"/>
          <w:rtl/>
          <w:lang w:bidi="ar"/>
        </w:rPr>
        <w:t>،</w:t>
      </w:r>
      <w:r w:rsidRPr="00D2269D">
        <w:rPr>
          <w:rFonts w:hint="cs"/>
          <w:rtl/>
          <w:lang w:bidi="ar"/>
        </w:rPr>
        <w:t xml:space="preserve"> والحكومة الإلكترونية</w:t>
      </w:r>
      <w:r>
        <w:rPr>
          <w:rFonts w:hint="cs"/>
          <w:rtl/>
          <w:lang w:bidi="ar"/>
        </w:rPr>
        <w:t>،</w:t>
      </w:r>
      <w:r w:rsidRPr="00D2269D">
        <w:rPr>
          <w:rFonts w:hint="cs"/>
          <w:rtl/>
          <w:lang w:bidi="ar"/>
        </w:rPr>
        <w:t xml:space="preserve"> والمدن الذكية</w:t>
      </w:r>
      <w:r>
        <w:rPr>
          <w:rFonts w:hint="cs"/>
          <w:rtl/>
          <w:lang w:bidi="ar"/>
        </w:rPr>
        <w:t>،</w:t>
      </w:r>
      <w:r w:rsidRPr="00D2269D">
        <w:rPr>
          <w:rFonts w:hint="cs"/>
          <w:rtl/>
          <w:lang w:bidi="ar"/>
        </w:rPr>
        <w:t xml:space="preserve"> </w:t>
      </w:r>
      <w:r w:rsidRPr="009A62DD">
        <w:rPr>
          <w:rFonts w:hint="eastAsia"/>
          <w:rtl/>
          <w:lang w:bidi="ar"/>
        </w:rPr>
        <w:t>والمجتمعات</w:t>
      </w:r>
      <w:r w:rsidRPr="009A62DD">
        <w:rPr>
          <w:rtl/>
          <w:lang w:bidi="ar"/>
        </w:rPr>
        <w:t xml:space="preserve"> </w:t>
      </w:r>
      <w:r w:rsidRPr="009A62DD">
        <w:rPr>
          <w:rFonts w:hint="eastAsia"/>
          <w:rtl/>
          <w:lang w:bidi="ar"/>
        </w:rPr>
        <w:t>الرقمية</w:t>
      </w:r>
      <w:r w:rsidRPr="009A62DD">
        <w:rPr>
          <w:rtl/>
          <w:lang w:bidi="ar"/>
        </w:rPr>
        <w:t xml:space="preserve"> </w:t>
      </w:r>
      <w:r w:rsidRPr="009A62DD">
        <w:rPr>
          <w:rFonts w:hint="eastAsia"/>
          <w:rtl/>
          <w:lang w:bidi="ar"/>
        </w:rPr>
        <w:t>من</w:t>
      </w:r>
      <w:r w:rsidRPr="009A62DD">
        <w:rPr>
          <w:rtl/>
          <w:lang w:bidi="ar"/>
        </w:rPr>
        <w:t xml:space="preserve"> </w:t>
      </w:r>
      <w:r w:rsidRPr="009A62DD">
        <w:rPr>
          <w:rFonts w:hint="eastAsia"/>
          <w:rtl/>
          <w:lang w:bidi="ar"/>
        </w:rPr>
        <w:t>أجل</w:t>
      </w:r>
      <w:r w:rsidRPr="009A62DD">
        <w:rPr>
          <w:rtl/>
          <w:lang w:bidi="ar"/>
        </w:rPr>
        <w:t xml:space="preserve"> </w:t>
      </w:r>
      <w:r w:rsidRPr="009A62DD">
        <w:rPr>
          <w:rFonts w:hint="eastAsia"/>
          <w:rtl/>
          <w:lang w:bidi="ar"/>
        </w:rPr>
        <w:t>التنمية</w:t>
      </w:r>
      <w:r w:rsidRPr="009A62DD">
        <w:rPr>
          <w:rtl/>
          <w:lang w:bidi="ar"/>
        </w:rPr>
        <w:t xml:space="preserve"> </w:t>
      </w:r>
      <w:r w:rsidRPr="009A62DD">
        <w:rPr>
          <w:rFonts w:hint="eastAsia"/>
          <w:rtl/>
          <w:lang w:bidi="ar"/>
        </w:rPr>
        <w:t>المستدامة</w:t>
      </w:r>
      <w:r>
        <w:rPr>
          <w:rFonts w:hint="cs"/>
          <w:rtl/>
          <w:lang w:bidi="ar"/>
        </w:rPr>
        <w:t>،</w:t>
      </w:r>
      <w:r w:rsidRPr="009A62DD">
        <w:rPr>
          <w:rFonts w:hint="cs"/>
          <w:rtl/>
          <w:lang w:bidi="ar"/>
        </w:rPr>
        <w:t xml:space="preserve"> </w:t>
      </w:r>
      <w:r w:rsidRPr="00D2269D">
        <w:rPr>
          <w:rFonts w:hint="cs"/>
          <w:rtl/>
          <w:lang w:bidi="ar"/>
        </w:rPr>
        <w:t>وإدارة الطيف</w:t>
      </w:r>
      <w:r>
        <w:rPr>
          <w:rFonts w:hint="cs"/>
          <w:rtl/>
          <w:lang w:bidi="ar"/>
        </w:rPr>
        <w:t xml:space="preserve"> ومراقبته، </w:t>
      </w:r>
      <w:r w:rsidRPr="002C4AA1">
        <w:rPr>
          <w:rFonts w:hint="cs"/>
          <w:rtl/>
          <w:lang w:bidi="ar-EG"/>
        </w:rPr>
        <w:t>وحماية الأطفال على الخط</w:t>
      </w:r>
      <w:r>
        <w:rPr>
          <w:rFonts w:hint="cs"/>
          <w:rtl/>
          <w:lang w:bidi="ar-EG"/>
        </w:rPr>
        <w:t xml:space="preserve">) </w:t>
      </w:r>
      <w:r w:rsidRPr="009A62DD">
        <w:rPr>
          <w:rFonts w:hint="eastAsia"/>
          <w:rtl/>
          <w:lang w:bidi="ar"/>
        </w:rPr>
        <w:t>وذلك</w:t>
      </w:r>
      <w:r w:rsidRPr="009A62DD">
        <w:rPr>
          <w:rtl/>
          <w:lang w:bidi="ar"/>
        </w:rPr>
        <w:t xml:space="preserve"> </w:t>
      </w:r>
      <w:r w:rsidRPr="009A62DD">
        <w:rPr>
          <w:rFonts w:hint="eastAsia"/>
          <w:rtl/>
          <w:lang w:bidi="ar"/>
        </w:rPr>
        <w:t>مع</w:t>
      </w:r>
      <w:r w:rsidRPr="009A62DD">
        <w:rPr>
          <w:rtl/>
          <w:lang w:bidi="ar"/>
        </w:rPr>
        <w:t xml:space="preserve"> </w:t>
      </w:r>
      <w:r w:rsidRPr="00D2269D">
        <w:rPr>
          <w:rFonts w:hint="cs"/>
          <w:rtl/>
          <w:lang w:bidi="ar"/>
        </w:rPr>
        <w:t xml:space="preserve">شركاء مختلفين </w:t>
      </w:r>
      <w:r w:rsidRPr="009A62DD">
        <w:rPr>
          <w:rFonts w:hint="eastAsia"/>
          <w:rtl/>
          <w:lang w:bidi="ar"/>
        </w:rPr>
        <w:t>من</w:t>
      </w:r>
      <w:r w:rsidRPr="009A62DD">
        <w:rPr>
          <w:rtl/>
          <w:lang w:bidi="ar"/>
        </w:rPr>
        <w:t xml:space="preserve"> </w:t>
      </w:r>
      <w:r w:rsidRPr="009A62DD">
        <w:rPr>
          <w:rFonts w:hint="eastAsia"/>
          <w:rtl/>
          <w:lang w:bidi="ar"/>
        </w:rPr>
        <w:t>بينهم</w:t>
      </w:r>
      <w:r w:rsidRPr="009A62DD">
        <w:rPr>
          <w:rtl/>
          <w:lang w:bidi="ar"/>
        </w:rPr>
        <w:t>:</w:t>
      </w:r>
      <w:r w:rsidRPr="009A62DD">
        <w:rPr>
          <w:rFonts w:hint="eastAsia"/>
          <w:rtl/>
        </w:rPr>
        <w:t xml:space="preserve"> </w:t>
      </w:r>
      <w:r>
        <w:rPr>
          <w:rFonts w:hint="cs"/>
          <w:rtl/>
        </w:rPr>
        <w:t>و</w:t>
      </w:r>
      <w:r w:rsidRPr="009A62DD">
        <w:rPr>
          <w:rFonts w:hint="eastAsia"/>
          <w:rtl/>
          <w:lang w:bidi="ar"/>
        </w:rPr>
        <w:t>زارة</w:t>
      </w:r>
      <w:r w:rsidRPr="009A62DD">
        <w:rPr>
          <w:rtl/>
          <w:lang w:bidi="ar"/>
        </w:rPr>
        <w:t xml:space="preserve"> </w:t>
      </w:r>
      <w:r w:rsidRPr="009A62DD">
        <w:rPr>
          <w:rFonts w:hint="eastAsia"/>
          <w:rtl/>
          <w:lang w:bidi="ar"/>
        </w:rPr>
        <w:t>الاتصالات</w:t>
      </w:r>
      <w:r w:rsidRPr="009A62DD">
        <w:rPr>
          <w:rtl/>
          <w:lang w:bidi="ar"/>
        </w:rPr>
        <w:t xml:space="preserve"> </w:t>
      </w:r>
      <w:r w:rsidRPr="009A62DD">
        <w:rPr>
          <w:rFonts w:hint="eastAsia"/>
          <w:rtl/>
          <w:lang w:bidi="ar"/>
        </w:rPr>
        <w:t>والفنون</w:t>
      </w:r>
      <w:r w:rsidR="00A16021">
        <w:rPr>
          <w:rFonts w:hint="eastAsia"/>
          <w:rtl/>
          <w:lang w:bidi="ar"/>
        </w:rPr>
        <w:t> </w:t>
      </w:r>
      <w:r w:rsidR="00A16021">
        <w:rPr>
          <w:lang w:bidi="ar"/>
        </w:rPr>
        <w:t>(</w:t>
      </w:r>
      <w:proofErr w:type="spellStart"/>
      <w:r w:rsidR="00A16021">
        <w:rPr>
          <w:lang w:bidi="ar"/>
        </w:rPr>
        <w:t>DoCA</w:t>
      </w:r>
      <w:proofErr w:type="spellEnd"/>
      <w:r w:rsidR="00A16021">
        <w:rPr>
          <w:lang w:bidi="ar"/>
        </w:rPr>
        <w:t>)</w:t>
      </w:r>
      <w:r w:rsidR="003978EA">
        <w:rPr>
          <w:rFonts w:hint="cs"/>
          <w:rtl/>
          <w:lang w:bidi="ar"/>
        </w:rPr>
        <w:t xml:space="preserve"> </w:t>
      </w:r>
      <w:r w:rsidR="003978EA">
        <w:rPr>
          <w:rFonts w:hint="cs"/>
          <w:rtl/>
          <w:lang w:bidi="ar"/>
        </w:rPr>
        <w:t>ب</w:t>
      </w:r>
      <w:r w:rsidR="003978EA" w:rsidRPr="00D2269D">
        <w:rPr>
          <w:rFonts w:hint="cs"/>
          <w:rtl/>
          <w:lang w:bidi="ar"/>
        </w:rPr>
        <w:t>أستراليا</w:t>
      </w:r>
      <w:r w:rsidRPr="00D2269D">
        <w:rPr>
          <w:rFonts w:hint="cs"/>
          <w:rtl/>
          <w:lang w:bidi="ar"/>
        </w:rPr>
        <w:t xml:space="preserve">؛ </w:t>
      </w:r>
      <w:r>
        <w:rPr>
          <w:rFonts w:hint="cs"/>
          <w:rtl/>
        </w:rPr>
        <w:t>و</w:t>
      </w:r>
      <w:r w:rsidRPr="009A62DD">
        <w:rPr>
          <w:rFonts w:hint="eastAsia"/>
          <w:rtl/>
          <w:lang w:bidi="ar"/>
        </w:rPr>
        <w:t>وزارة</w:t>
      </w:r>
      <w:r w:rsidRPr="009A62DD">
        <w:rPr>
          <w:rtl/>
          <w:lang w:bidi="ar"/>
        </w:rPr>
        <w:t xml:space="preserve"> </w:t>
      </w:r>
      <w:r w:rsidRPr="009A62DD">
        <w:rPr>
          <w:rFonts w:hint="eastAsia"/>
          <w:rtl/>
          <w:lang w:bidi="ar"/>
        </w:rPr>
        <w:t>الاقتصاد</w:t>
      </w:r>
      <w:r w:rsidRPr="009A62DD">
        <w:rPr>
          <w:rtl/>
          <w:lang w:bidi="ar"/>
        </w:rPr>
        <w:t xml:space="preserve"> </w:t>
      </w:r>
      <w:r w:rsidRPr="009A62DD">
        <w:rPr>
          <w:rFonts w:hint="eastAsia"/>
          <w:rtl/>
          <w:lang w:bidi="ar"/>
        </w:rPr>
        <w:t>الرقمي</w:t>
      </w:r>
      <w:r w:rsidRPr="009A62DD">
        <w:rPr>
          <w:rtl/>
          <w:lang w:bidi="ar"/>
        </w:rPr>
        <w:t xml:space="preserve"> </w:t>
      </w:r>
      <w:r w:rsidRPr="009A62DD">
        <w:rPr>
          <w:rFonts w:hint="eastAsia"/>
          <w:rtl/>
          <w:lang w:bidi="ar"/>
        </w:rPr>
        <w:t>والمجتمع</w:t>
      </w:r>
      <w:r w:rsidRPr="009A62DD">
        <w:rPr>
          <w:rtl/>
          <w:lang w:bidi="ar"/>
        </w:rPr>
        <w:t xml:space="preserve"> </w:t>
      </w:r>
      <w:r>
        <w:rPr>
          <w:rFonts w:hint="eastAsia"/>
          <w:rtl/>
          <w:lang w:bidi="ar"/>
        </w:rPr>
        <w:t>الرقمي</w:t>
      </w:r>
      <w:r w:rsidR="00A271A1">
        <w:rPr>
          <w:rFonts w:hint="cs"/>
          <w:rtl/>
          <w:lang w:bidi="ar"/>
        </w:rPr>
        <w:t xml:space="preserve"> </w:t>
      </w:r>
      <w:r w:rsidR="00A271A1">
        <w:rPr>
          <w:lang w:bidi="ar"/>
        </w:rPr>
        <w:t>(MDES)</w:t>
      </w:r>
      <w:r w:rsidRPr="009A62DD">
        <w:rPr>
          <w:rtl/>
          <w:lang w:bidi="ar"/>
        </w:rPr>
        <w:t xml:space="preserve"> </w:t>
      </w:r>
      <w:r>
        <w:rPr>
          <w:rFonts w:hint="cs"/>
          <w:rtl/>
          <w:lang w:bidi="ar"/>
        </w:rPr>
        <w:t>ب</w:t>
      </w:r>
      <w:r>
        <w:rPr>
          <w:rFonts w:hint="eastAsia"/>
          <w:rtl/>
          <w:lang w:bidi="ar"/>
        </w:rPr>
        <w:t>تايلاند</w:t>
      </w:r>
      <w:r>
        <w:rPr>
          <w:rFonts w:hint="cs"/>
          <w:rtl/>
          <w:lang w:bidi="ar"/>
        </w:rPr>
        <w:t>؛</w:t>
      </w:r>
      <w:r w:rsidRPr="009A62DD">
        <w:rPr>
          <w:rtl/>
          <w:lang w:bidi="ar"/>
        </w:rPr>
        <w:t xml:space="preserve"> </w:t>
      </w:r>
      <w:r w:rsidRPr="009A62DD">
        <w:rPr>
          <w:rFonts w:hint="eastAsia"/>
          <w:rtl/>
          <w:lang w:bidi="ar"/>
        </w:rPr>
        <w:t>ووزارة</w:t>
      </w:r>
      <w:r w:rsidRPr="009A62DD">
        <w:rPr>
          <w:rtl/>
          <w:lang w:bidi="ar"/>
        </w:rPr>
        <w:t xml:space="preserve"> </w:t>
      </w:r>
      <w:r w:rsidRPr="009A62DD">
        <w:rPr>
          <w:rFonts w:hint="eastAsia"/>
          <w:rtl/>
          <w:lang w:bidi="ar"/>
        </w:rPr>
        <w:t>العلوم</w:t>
      </w:r>
      <w:r w:rsidRPr="009A62DD">
        <w:rPr>
          <w:rtl/>
          <w:lang w:bidi="ar"/>
        </w:rPr>
        <w:t xml:space="preserve"> </w:t>
      </w:r>
      <w:r w:rsidRPr="009A62DD">
        <w:rPr>
          <w:rFonts w:hint="eastAsia"/>
          <w:rtl/>
          <w:lang w:bidi="ar"/>
        </w:rPr>
        <w:t>وتكنولوجيا</w:t>
      </w:r>
      <w:r w:rsidRPr="009A62DD">
        <w:rPr>
          <w:rtl/>
          <w:lang w:bidi="ar"/>
        </w:rPr>
        <w:t xml:space="preserve"> </w:t>
      </w:r>
      <w:r w:rsidRPr="009A62DD">
        <w:rPr>
          <w:rFonts w:hint="eastAsia"/>
          <w:rtl/>
          <w:lang w:bidi="ar"/>
        </w:rPr>
        <w:t>المعلومات</w:t>
      </w:r>
      <w:r w:rsidRPr="009A62DD">
        <w:rPr>
          <w:rtl/>
          <w:lang w:bidi="ar"/>
        </w:rPr>
        <w:t xml:space="preserve"> </w:t>
      </w:r>
      <w:r w:rsidRPr="009A62DD">
        <w:rPr>
          <w:rFonts w:hint="eastAsia"/>
          <w:rtl/>
          <w:lang w:bidi="ar"/>
        </w:rPr>
        <w:t>والاتصالات</w:t>
      </w:r>
      <w:r w:rsidRPr="009A62DD">
        <w:rPr>
          <w:rtl/>
          <w:lang w:bidi="ar"/>
        </w:rPr>
        <w:t xml:space="preserve"> </w:t>
      </w:r>
      <w:r w:rsidRPr="009A62DD">
        <w:rPr>
          <w:rFonts w:hint="eastAsia"/>
          <w:rtl/>
          <w:lang w:bidi="ar"/>
        </w:rPr>
        <w:t>والتخطيط</w:t>
      </w:r>
      <w:r w:rsidRPr="009A62DD">
        <w:rPr>
          <w:rtl/>
          <w:lang w:bidi="ar"/>
        </w:rPr>
        <w:t xml:space="preserve"> </w:t>
      </w:r>
      <w:r w:rsidRPr="009A62DD">
        <w:rPr>
          <w:rFonts w:hint="eastAsia"/>
          <w:rtl/>
          <w:lang w:bidi="ar"/>
        </w:rPr>
        <w:t>المستقبلي</w:t>
      </w:r>
      <w:r w:rsidRPr="009A62DD">
        <w:rPr>
          <w:rtl/>
          <w:lang w:bidi="ar"/>
        </w:rPr>
        <w:t xml:space="preserve"> </w:t>
      </w:r>
      <w:r w:rsidR="00086108">
        <w:rPr>
          <w:lang w:bidi="ar"/>
        </w:rPr>
        <w:t>(</w:t>
      </w:r>
      <w:r w:rsidRPr="009A62DD">
        <w:rPr>
          <w:lang w:bidi="ar"/>
        </w:rPr>
        <w:t>MSIP</w:t>
      </w:r>
      <w:r w:rsidR="00086108">
        <w:rPr>
          <w:lang w:bidi="ar"/>
        </w:rPr>
        <w:t>)</w:t>
      </w:r>
      <w:r w:rsidRPr="009A62DD">
        <w:rPr>
          <w:rtl/>
          <w:lang w:bidi="ar"/>
        </w:rPr>
        <w:t xml:space="preserve"> </w:t>
      </w:r>
      <w:r>
        <w:rPr>
          <w:rFonts w:hint="cs"/>
          <w:rtl/>
          <w:lang w:bidi="ar"/>
        </w:rPr>
        <w:t>ب</w:t>
      </w:r>
      <w:r w:rsidRPr="009A62DD">
        <w:rPr>
          <w:rFonts w:hint="eastAsia"/>
          <w:rtl/>
          <w:lang w:bidi="ar"/>
        </w:rPr>
        <w:t>جمهورية</w:t>
      </w:r>
      <w:r w:rsidRPr="009A62DD">
        <w:rPr>
          <w:rtl/>
          <w:lang w:bidi="ar"/>
        </w:rPr>
        <w:t xml:space="preserve"> </w:t>
      </w:r>
      <w:r w:rsidRPr="009A62DD">
        <w:rPr>
          <w:rFonts w:hint="eastAsia"/>
          <w:rtl/>
          <w:lang w:bidi="ar"/>
        </w:rPr>
        <w:t>كوريا؛</w:t>
      </w:r>
      <w:r w:rsidRPr="009A62DD">
        <w:rPr>
          <w:rFonts w:hint="eastAsia"/>
          <w:rtl/>
        </w:rPr>
        <w:t xml:space="preserve"> </w:t>
      </w:r>
      <w:r w:rsidRPr="009A62DD">
        <w:rPr>
          <w:rFonts w:hint="eastAsia"/>
          <w:rtl/>
          <w:lang w:bidi="ar"/>
        </w:rPr>
        <w:t>والشركة</w:t>
      </w:r>
      <w:r w:rsidRPr="009A62DD">
        <w:rPr>
          <w:rtl/>
          <w:lang w:bidi="ar"/>
        </w:rPr>
        <w:t xml:space="preserve"> </w:t>
      </w:r>
      <w:r w:rsidRPr="009A62DD">
        <w:rPr>
          <w:rFonts w:hint="eastAsia"/>
          <w:rtl/>
          <w:lang w:bidi="ar"/>
        </w:rPr>
        <w:t>الوطنية</w:t>
      </w:r>
      <w:r w:rsidRPr="009A62DD">
        <w:rPr>
          <w:rtl/>
          <w:lang w:bidi="ar"/>
        </w:rPr>
        <w:t xml:space="preserve"> </w:t>
      </w:r>
      <w:r w:rsidRPr="009A62DD">
        <w:rPr>
          <w:rFonts w:hint="eastAsia"/>
          <w:rtl/>
          <w:lang w:bidi="ar"/>
        </w:rPr>
        <w:t>للمعلومات</w:t>
      </w:r>
      <w:r w:rsidRPr="009A62DD">
        <w:rPr>
          <w:rtl/>
          <w:lang w:bidi="ar"/>
        </w:rPr>
        <w:t xml:space="preserve"> </w:t>
      </w:r>
      <w:r w:rsidR="00086108">
        <w:rPr>
          <w:lang w:bidi="ar"/>
        </w:rPr>
        <w:t>(</w:t>
      </w:r>
      <w:r w:rsidRPr="009A62DD">
        <w:rPr>
          <w:lang w:bidi="ar"/>
        </w:rPr>
        <w:t>NIA</w:t>
      </w:r>
      <w:r w:rsidR="00086108">
        <w:rPr>
          <w:lang w:bidi="ar"/>
        </w:rPr>
        <w:t>)</w:t>
      </w:r>
      <w:r>
        <w:rPr>
          <w:rFonts w:hint="cs"/>
          <w:rtl/>
          <w:lang w:bidi="ar"/>
        </w:rPr>
        <w:t xml:space="preserve"> </w:t>
      </w:r>
      <w:r w:rsidRPr="009A62DD">
        <w:rPr>
          <w:rFonts w:hint="eastAsia"/>
          <w:rtl/>
          <w:lang w:bidi="ar"/>
        </w:rPr>
        <w:t>ومنظمة</w:t>
      </w:r>
      <w:r w:rsidRPr="009A62DD">
        <w:rPr>
          <w:rtl/>
          <w:lang w:bidi="ar"/>
        </w:rPr>
        <w:t xml:space="preserve"> </w:t>
      </w:r>
      <w:r w:rsidRPr="009A62DD">
        <w:rPr>
          <w:rFonts w:hint="eastAsia"/>
          <w:rtl/>
          <w:lang w:bidi="ar"/>
        </w:rPr>
        <w:t>الحكومات</w:t>
      </w:r>
      <w:r w:rsidRPr="009A62DD">
        <w:rPr>
          <w:rtl/>
          <w:lang w:bidi="ar"/>
        </w:rPr>
        <w:t xml:space="preserve"> </w:t>
      </w:r>
      <w:r w:rsidRPr="009A62DD">
        <w:rPr>
          <w:rFonts w:hint="eastAsia"/>
          <w:rtl/>
          <w:lang w:bidi="ar"/>
        </w:rPr>
        <w:t>الإلكترونية</w:t>
      </w:r>
      <w:r w:rsidRPr="009A62DD">
        <w:rPr>
          <w:rtl/>
          <w:lang w:bidi="ar"/>
        </w:rPr>
        <w:t xml:space="preserve"> </w:t>
      </w:r>
      <w:r w:rsidRPr="009A62DD">
        <w:rPr>
          <w:rFonts w:hint="eastAsia"/>
          <w:rtl/>
          <w:lang w:bidi="ar"/>
        </w:rPr>
        <w:t>العالمية</w:t>
      </w:r>
      <w:r w:rsidRPr="009A62DD">
        <w:rPr>
          <w:rtl/>
          <w:lang w:bidi="ar"/>
        </w:rPr>
        <w:t xml:space="preserve"> </w:t>
      </w:r>
      <w:r w:rsidR="00086108">
        <w:rPr>
          <w:lang w:bidi="ar"/>
        </w:rPr>
        <w:t>(</w:t>
      </w:r>
      <w:proofErr w:type="spellStart"/>
      <w:r w:rsidRPr="009A62DD">
        <w:rPr>
          <w:lang w:bidi="ar"/>
        </w:rPr>
        <w:t>WeGO</w:t>
      </w:r>
      <w:proofErr w:type="spellEnd"/>
      <w:r w:rsidR="00086108">
        <w:rPr>
          <w:lang w:bidi="ar"/>
        </w:rPr>
        <w:t>)</w:t>
      </w:r>
      <w:r>
        <w:rPr>
          <w:rFonts w:hint="cs"/>
          <w:rtl/>
          <w:lang w:bidi="ar"/>
        </w:rPr>
        <w:t xml:space="preserve"> </w:t>
      </w:r>
      <w:r w:rsidRPr="00D2269D">
        <w:rPr>
          <w:rFonts w:hint="cs"/>
          <w:rtl/>
          <w:lang w:bidi="ar"/>
        </w:rPr>
        <w:t xml:space="preserve">ورابطة أمم جنوب شرق آسيا </w:t>
      </w:r>
      <w:r w:rsidR="00086108">
        <w:rPr>
          <w:lang w:bidi="ar"/>
        </w:rPr>
        <w:t>(</w:t>
      </w:r>
      <w:r w:rsidRPr="000630B8">
        <w:rPr>
          <w:lang w:bidi="ar"/>
        </w:rPr>
        <w:t>ASEAN</w:t>
      </w:r>
      <w:r w:rsidR="00086108">
        <w:rPr>
          <w:lang w:bidi="ar"/>
        </w:rPr>
        <w:t>)</w:t>
      </w:r>
      <w:r w:rsidRPr="00D2269D">
        <w:rPr>
          <w:rFonts w:hint="cs"/>
          <w:rtl/>
          <w:lang w:bidi="ar"/>
        </w:rPr>
        <w:t>.</w:t>
      </w:r>
    </w:p>
    <w:bookmarkEnd w:id="7"/>
    <w:p w:rsidR="000630B8" w:rsidRPr="000630B8" w:rsidRDefault="00E4450B" w:rsidP="006034DE">
      <w:pPr>
        <w:rPr>
          <w:rtl/>
          <w:lang w:bidi="ar"/>
        </w:rPr>
      </w:pPr>
      <w:r w:rsidRPr="00D2269D">
        <w:rPr>
          <w:rFonts w:hint="cs"/>
          <w:rtl/>
          <w:lang w:bidi="ar"/>
        </w:rPr>
        <w:t>وبالإضافة إلى ذلك، نظمت المكاتب الإقليمية ومكاتب المناطق</w:t>
      </w:r>
      <w:r w:rsidRPr="00E4450B">
        <w:rPr>
          <w:rFonts w:hint="eastAsia"/>
          <w:rtl/>
        </w:rPr>
        <w:t xml:space="preserve"> </w:t>
      </w:r>
      <w:r w:rsidRPr="00E4450B">
        <w:rPr>
          <w:rFonts w:hint="eastAsia"/>
          <w:rtl/>
          <w:lang w:bidi="ar"/>
        </w:rPr>
        <w:t>منتدى</w:t>
      </w:r>
      <w:r w:rsidRPr="00E4450B">
        <w:rPr>
          <w:rtl/>
          <w:lang w:bidi="ar"/>
        </w:rPr>
        <w:t xml:space="preserve"> </w:t>
      </w:r>
      <w:r w:rsidRPr="00E4450B">
        <w:rPr>
          <w:rFonts w:hint="eastAsia"/>
          <w:rtl/>
          <w:lang w:bidi="ar"/>
        </w:rPr>
        <w:t>سياسة</w:t>
      </w:r>
      <w:r w:rsidRPr="00E4450B">
        <w:rPr>
          <w:rtl/>
          <w:lang w:bidi="ar"/>
        </w:rPr>
        <w:t xml:space="preserve"> </w:t>
      </w:r>
      <w:r w:rsidRPr="00E4450B">
        <w:rPr>
          <w:rFonts w:hint="eastAsia"/>
          <w:rtl/>
          <w:lang w:bidi="ar"/>
        </w:rPr>
        <w:t>ا</w:t>
      </w:r>
      <w:r>
        <w:rPr>
          <w:rFonts w:hint="cs"/>
          <w:rtl/>
          <w:lang w:bidi="ar"/>
        </w:rPr>
        <w:t>لمج</w:t>
      </w:r>
      <w:r w:rsidRPr="00E4450B">
        <w:rPr>
          <w:rFonts w:hint="eastAsia"/>
          <w:rtl/>
          <w:lang w:bidi="ar"/>
        </w:rPr>
        <w:t>تمعات</w:t>
      </w:r>
      <w:r w:rsidRPr="00E4450B">
        <w:rPr>
          <w:rtl/>
          <w:lang w:bidi="ar"/>
        </w:rPr>
        <w:t xml:space="preserve"> </w:t>
      </w:r>
      <w:r w:rsidRPr="00E4450B">
        <w:rPr>
          <w:rFonts w:hint="eastAsia"/>
          <w:rtl/>
          <w:lang w:bidi="ar"/>
        </w:rPr>
        <w:t>الرقمية</w:t>
      </w:r>
      <w:r w:rsidRPr="00E4450B">
        <w:rPr>
          <w:rtl/>
          <w:lang w:bidi="ar"/>
        </w:rPr>
        <w:t xml:space="preserve"> </w:t>
      </w:r>
      <w:r w:rsidRPr="00D2269D">
        <w:rPr>
          <w:rFonts w:hint="cs"/>
          <w:rtl/>
          <w:lang w:bidi="ar"/>
        </w:rPr>
        <w:t xml:space="preserve">لعام </w:t>
      </w:r>
      <w:r w:rsidR="00E57C5B">
        <w:rPr>
          <w:lang w:bidi="ar"/>
        </w:rPr>
        <w:t>2016</w:t>
      </w:r>
      <w:r w:rsidRPr="00D2269D">
        <w:rPr>
          <w:rFonts w:hint="cs"/>
          <w:rtl/>
          <w:lang w:bidi="ar"/>
        </w:rPr>
        <w:t xml:space="preserve"> </w:t>
      </w:r>
      <w:r w:rsidRPr="00E4450B">
        <w:rPr>
          <w:rFonts w:hint="eastAsia"/>
          <w:rtl/>
          <w:lang w:bidi="ar"/>
        </w:rPr>
        <w:t>برعاية</w:t>
      </w:r>
      <w:r w:rsidRPr="00E4450B">
        <w:rPr>
          <w:rtl/>
          <w:lang w:bidi="ar"/>
        </w:rPr>
        <w:t xml:space="preserve"> </w:t>
      </w:r>
      <w:r>
        <w:rPr>
          <w:rFonts w:hint="cs"/>
          <w:rtl/>
          <w:lang w:bidi="ar"/>
        </w:rPr>
        <w:t>ا</w:t>
      </w:r>
      <w:r w:rsidRPr="00D2269D">
        <w:rPr>
          <w:rFonts w:hint="cs"/>
          <w:rtl/>
          <w:lang w:bidi="ar"/>
        </w:rPr>
        <w:t xml:space="preserve">لاتحاد </w:t>
      </w:r>
      <w:r w:rsidRPr="00E4450B">
        <w:rPr>
          <w:rFonts w:hint="eastAsia"/>
          <w:rtl/>
          <w:lang w:bidi="ar"/>
        </w:rPr>
        <w:t>ورابطة</w:t>
      </w:r>
      <w:r w:rsidRPr="00E4450B">
        <w:rPr>
          <w:rtl/>
          <w:lang w:bidi="ar"/>
        </w:rPr>
        <w:t xml:space="preserve"> </w:t>
      </w:r>
      <w:r w:rsidRPr="00E4450B">
        <w:rPr>
          <w:rFonts w:hint="eastAsia"/>
          <w:rtl/>
          <w:lang w:bidi="ar"/>
        </w:rPr>
        <w:t>النظام</w:t>
      </w:r>
      <w:r w:rsidRPr="00E4450B">
        <w:rPr>
          <w:rtl/>
          <w:lang w:bidi="ar"/>
        </w:rPr>
        <w:t xml:space="preserve"> </w:t>
      </w:r>
      <w:r w:rsidRPr="00E4450B">
        <w:rPr>
          <w:rFonts w:hint="eastAsia"/>
          <w:rtl/>
          <w:lang w:bidi="ar"/>
        </w:rPr>
        <w:t>العالمي</w:t>
      </w:r>
      <w:r w:rsidRPr="00E4450B">
        <w:rPr>
          <w:rtl/>
          <w:lang w:bidi="ar"/>
        </w:rPr>
        <w:t xml:space="preserve"> </w:t>
      </w:r>
      <w:r w:rsidRPr="00E4450B">
        <w:rPr>
          <w:rFonts w:hint="eastAsia"/>
          <w:rtl/>
          <w:lang w:bidi="ar"/>
        </w:rPr>
        <w:t>للاتصالات</w:t>
      </w:r>
      <w:r w:rsidRPr="00E4450B">
        <w:rPr>
          <w:rtl/>
          <w:lang w:bidi="ar"/>
        </w:rPr>
        <w:t xml:space="preserve"> </w:t>
      </w:r>
      <w:r w:rsidRPr="00E4450B">
        <w:rPr>
          <w:rFonts w:hint="eastAsia"/>
          <w:rtl/>
          <w:lang w:bidi="ar"/>
        </w:rPr>
        <w:t>المتنقلة</w:t>
      </w:r>
      <w:r w:rsidRPr="00E4450B">
        <w:rPr>
          <w:rtl/>
          <w:lang w:bidi="ar"/>
        </w:rPr>
        <w:t xml:space="preserve"> </w:t>
      </w:r>
      <w:r w:rsidR="00E57C5B">
        <w:rPr>
          <w:lang w:bidi="ar"/>
        </w:rPr>
        <w:t>(</w:t>
      </w:r>
      <w:r w:rsidRPr="00E4450B">
        <w:rPr>
          <w:lang w:bidi="ar"/>
        </w:rPr>
        <w:t>GSMA</w:t>
      </w:r>
      <w:r w:rsidR="00E57C5B">
        <w:rPr>
          <w:lang w:bidi="ar"/>
        </w:rPr>
        <w:t>)</w:t>
      </w:r>
      <w:r w:rsidR="00D71FEA">
        <w:rPr>
          <w:rFonts w:hint="cs"/>
          <w:rtl/>
          <w:lang w:bidi="ar"/>
        </w:rPr>
        <w:t xml:space="preserve"> و</w:t>
      </w:r>
      <w:r w:rsidR="00D71FEA" w:rsidRPr="00D2269D">
        <w:rPr>
          <w:rFonts w:hint="cs"/>
          <w:rtl/>
          <w:lang w:bidi="ar"/>
        </w:rPr>
        <w:t xml:space="preserve">بالشراكة مع </w:t>
      </w:r>
      <w:r w:rsidR="00D71FEA" w:rsidRPr="009A62DD">
        <w:rPr>
          <w:rFonts w:hint="eastAsia"/>
          <w:rtl/>
          <w:lang w:bidi="ar"/>
        </w:rPr>
        <w:t>وزارة</w:t>
      </w:r>
      <w:r w:rsidR="00D71FEA" w:rsidRPr="009A62DD">
        <w:rPr>
          <w:rtl/>
          <w:lang w:bidi="ar"/>
        </w:rPr>
        <w:t xml:space="preserve"> </w:t>
      </w:r>
      <w:r w:rsidR="00D71FEA" w:rsidRPr="009A62DD">
        <w:rPr>
          <w:rFonts w:hint="eastAsia"/>
          <w:rtl/>
          <w:lang w:bidi="ar"/>
        </w:rPr>
        <w:t>الاقتصاد</w:t>
      </w:r>
      <w:r w:rsidR="00D71FEA" w:rsidRPr="009A62DD">
        <w:rPr>
          <w:rtl/>
          <w:lang w:bidi="ar"/>
        </w:rPr>
        <w:t xml:space="preserve"> </w:t>
      </w:r>
      <w:r w:rsidR="00D71FEA" w:rsidRPr="009A62DD">
        <w:rPr>
          <w:rFonts w:hint="eastAsia"/>
          <w:rtl/>
          <w:lang w:bidi="ar"/>
        </w:rPr>
        <w:t>الرقمي</w:t>
      </w:r>
      <w:r w:rsidR="00D71FEA" w:rsidRPr="009A62DD">
        <w:rPr>
          <w:rtl/>
          <w:lang w:bidi="ar"/>
        </w:rPr>
        <w:t xml:space="preserve"> </w:t>
      </w:r>
      <w:r w:rsidR="00D71FEA" w:rsidRPr="009A62DD">
        <w:rPr>
          <w:rFonts w:hint="eastAsia"/>
          <w:rtl/>
          <w:lang w:bidi="ar"/>
        </w:rPr>
        <w:t>والمجتمع</w:t>
      </w:r>
      <w:r w:rsidR="00D71FEA" w:rsidRPr="009A62DD">
        <w:rPr>
          <w:rtl/>
          <w:lang w:bidi="ar"/>
        </w:rPr>
        <w:t xml:space="preserve"> </w:t>
      </w:r>
      <w:r w:rsidR="00D71FEA">
        <w:rPr>
          <w:rFonts w:hint="eastAsia"/>
          <w:rtl/>
          <w:lang w:bidi="ar"/>
        </w:rPr>
        <w:t>الرقمي</w:t>
      </w:r>
      <w:r w:rsidR="00D71FEA" w:rsidRPr="009A62DD">
        <w:rPr>
          <w:rtl/>
          <w:lang w:bidi="ar"/>
        </w:rPr>
        <w:t xml:space="preserve"> </w:t>
      </w:r>
      <w:r w:rsidR="00D71FEA">
        <w:rPr>
          <w:rFonts w:hint="cs"/>
          <w:rtl/>
          <w:lang w:bidi="ar"/>
        </w:rPr>
        <w:t>ب</w:t>
      </w:r>
      <w:r w:rsidR="00D71FEA">
        <w:rPr>
          <w:rFonts w:hint="eastAsia"/>
          <w:rtl/>
          <w:lang w:bidi="ar"/>
        </w:rPr>
        <w:t>تايلاند</w:t>
      </w:r>
      <w:r w:rsidR="00D71FEA">
        <w:rPr>
          <w:rFonts w:hint="cs"/>
          <w:rtl/>
          <w:lang w:bidi="ar"/>
        </w:rPr>
        <w:t>،</w:t>
      </w:r>
      <w:r w:rsidR="00D71FEA" w:rsidRPr="00D2269D">
        <w:rPr>
          <w:rFonts w:hint="cs"/>
          <w:rtl/>
          <w:lang w:bidi="ar"/>
        </w:rPr>
        <w:t xml:space="preserve"> و</w:t>
      </w:r>
      <w:r w:rsidR="00D71FEA">
        <w:rPr>
          <w:rFonts w:hint="cs"/>
          <w:rtl/>
          <w:lang w:bidi="ar"/>
        </w:rPr>
        <w:t xml:space="preserve">نظمت </w:t>
      </w:r>
      <w:r w:rsidR="00D71FEA" w:rsidRPr="00D2269D">
        <w:rPr>
          <w:rFonts w:hint="cs"/>
          <w:rtl/>
          <w:lang w:bidi="ar"/>
        </w:rPr>
        <w:t xml:space="preserve">منتدى التنمية الإقليمي للاتحاد </w:t>
      </w:r>
      <w:r w:rsidR="00D71FEA">
        <w:rPr>
          <w:rFonts w:hint="cs"/>
          <w:rtl/>
          <w:lang w:bidi="ar"/>
        </w:rPr>
        <w:t xml:space="preserve">في </w:t>
      </w:r>
      <w:r w:rsidR="00D71FEA" w:rsidRPr="00D2269D">
        <w:rPr>
          <w:rFonts w:hint="cs"/>
          <w:rtl/>
          <w:lang w:bidi="ar"/>
        </w:rPr>
        <w:t xml:space="preserve">منطقة آسيا والمحيط الهادئ </w:t>
      </w:r>
      <w:r w:rsidR="006034DE">
        <w:rPr>
          <w:lang w:bidi="ar"/>
        </w:rPr>
        <w:t>(</w:t>
      </w:r>
      <w:r w:rsidR="00D71FEA" w:rsidRPr="000630B8">
        <w:rPr>
          <w:lang w:bidi="ar"/>
        </w:rPr>
        <w:t>RDF-ASP2016</w:t>
      </w:r>
      <w:r w:rsidR="006034DE">
        <w:rPr>
          <w:lang w:bidi="ar"/>
        </w:rPr>
        <w:t>)</w:t>
      </w:r>
      <w:r w:rsidR="00D71FEA" w:rsidRPr="00D2269D">
        <w:rPr>
          <w:rFonts w:hint="cs"/>
          <w:rtl/>
          <w:lang w:bidi="ar"/>
        </w:rPr>
        <w:t xml:space="preserve"> مع وزارة تكنولوجيا المعلومات والاتصالات في الفلبين.</w:t>
      </w:r>
    </w:p>
    <w:p w:rsidR="000313EF" w:rsidRPr="006B4F03" w:rsidRDefault="000313EF" w:rsidP="000313EF">
      <w:pPr>
        <w:pStyle w:val="Heading2"/>
        <w:rPr>
          <w:rtl/>
        </w:rPr>
      </w:pPr>
      <w:r>
        <w:t>5.2</w:t>
      </w:r>
      <w:r>
        <w:rPr>
          <w:rtl/>
        </w:rPr>
        <w:tab/>
      </w:r>
      <w:r>
        <w:rPr>
          <w:rFonts w:hint="cs"/>
          <w:rtl/>
        </w:rPr>
        <w:t>كومنولث الدول المستقلة</w:t>
      </w:r>
    </w:p>
    <w:p w:rsidR="00410E4A" w:rsidRPr="00D71FEA" w:rsidRDefault="00410E4A" w:rsidP="007F65D6">
      <w:pPr>
        <w:rPr>
          <w:rtl/>
          <w:lang w:val="en-GB" w:bidi="ar"/>
        </w:rPr>
      </w:pPr>
      <w:bookmarkStart w:id="8" w:name="lt_pId066"/>
      <w:r w:rsidRPr="00966BA4">
        <w:rPr>
          <w:rFonts w:hint="cs"/>
          <w:spacing w:val="-4"/>
          <w:rtl/>
          <w:lang w:bidi="ar"/>
        </w:rPr>
        <w:t xml:space="preserve">بحلول نهاية عام </w:t>
      </w:r>
      <w:r w:rsidR="00827334" w:rsidRPr="00966BA4">
        <w:rPr>
          <w:spacing w:val="-4"/>
          <w:lang w:bidi="ar"/>
        </w:rPr>
        <w:t>2016</w:t>
      </w:r>
      <w:r w:rsidRPr="00966BA4">
        <w:rPr>
          <w:rFonts w:hint="cs"/>
          <w:spacing w:val="-4"/>
          <w:rtl/>
          <w:lang w:bidi="ar"/>
        </w:rPr>
        <w:t>، نُفذت أربع مبادرات من أصل خمس مبادرات إقليمية</w:t>
      </w:r>
      <w:r w:rsidR="00A271A1">
        <w:rPr>
          <w:rFonts w:hint="cs"/>
          <w:spacing w:val="-4"/>
          <w:rtl/>
          <w:lang w:bidi="ar-EG"/>
        </w:rPr>
        <w:t xml:space="preserve"> بكومنولث الدول المستقلة</w:t>
      </w:r>
      <w:r w:rsidRPr="00966BA4">
        <w:rPr>
          <w:rFonts w:hint="cs"/>
          <w:spacing w:val="-4"/>
          <w:rtl/>
          <w:lang w:bidi="ar"/>
        </w:rPr>
        <w:t xml:space="preserve"> للمؤتمر العالمي لتنمية الاتصالات لعام</w:t>
      </w:r>
      <w:r w:rsidR="007F65D6">
        <w:rPr>
          <w:rFonts w:hint="eastAsia"/>
          <w:spacing w:val="-4"/>
          <w:rtl/>
          <w:lang w:bidi="ar"/>
        </w:rPr>
        <w:t> </w:t>
      </w:r>
      <w:r w:rsidR="00966BA4" w:rsidRPr="00966BA4">
        <w:rPr>
          <w:spacing w:val="-4"/>
          <w:lang w:bidi="ar"/>
        </w:rPr>
        <w:t>2014</w:t>
      </w:r>
      <w:r w:rsidRPr="00966BA4">
        <w:rPr>
          <w:rFonts w:hint="cs"/>
          <w:spacing w:val="-4"/>
          <w:rtl/>
          <w:lang w:bidi="ar"/>
        </w:rPr>
        <w:t xml:space="preserve"> تنفيذاً تاماً. ومن بين النواتج الرئيسية للمبادرة الإقليمية </w:t>
      </w:r>
      <w:r w:rsidR="00966BA4" w:rsidRPr="00966BA4">
        <w:rPr>
          <w:spacing w:val="-4"/>
          <w:lang w:bidi="ar"/>
        </w:rPr>
        <w:t>1</w:t>
      </w:r>
      <w:r w:rsidRPr="00966BA4">
        <w:rPr>
          <w:rFonts w:hint="cs"/>
          <w:spacing w:val="-4"/>
          <w:rtl/>
          <w:lang w:bidi="ar"/>
        </w:rPr>
        <w:t xml:space="preserve"> ب</w:t>
      </w:r>
      <w:r w:rsidRPr="00966BA4">
        <w:rPr>
          <w:rFonts w:hint="eastAsia"/>
          <w:spacing w:val="-4"/>
          <w:rtl/>
          <w:lang w:bidi="ar"/>
        </w:rPr>
        <w:t>كومنولث</w:t>
      </w:r>
      <w:r w:rsidRPr="00966BA4">
        <w:rPr>
          <w:spacing w:val="-4"/>
          <w:rtl/>
          <w:lang w:bidi="ar"/>
        </w:rPr>
        <w:t xml:space="preserve"> </w:t>
      </w:r>
      <w:r w:rsidRPr="00966BA4">
        <w:rPr>
          <w:rFonts w:hint="eastAsia"/>
          <w:spacing w:val="-4"/>
          <w:rtl/>
          <w:lang w:bidi="ar"/>
        </w:rPr>
        <w:t>الدول</w:t>
      </w:r>
      <w:r w:rsidRPr="00966BA4">
        <w:rPr>
          <w:spacing w:val="-4"/>
          <w:rtl/>
          <w:lang w:bidi="ar"/>
        </w:rPr>
        <w:t xml:space="preserve"> </w:t>
      </w:r>
      <w:r w:rsidRPr="00966BA4">
        <w:rPr>
          <w:rFonts w:hint="eastAsia"/>
          <w:spacing w:val="-4"/>
          <w:rtl/>
          <w:lang w:bidi="ar"/>
        </w:rPr>
        <w:t>المستقلة</w:t>
      </w:r>
      <w:r w:rsidRPr="00966BA4">
        <w:rPr>
          <w:rFonts w:hint="cs"/>
          <w:spacing w:val="-4"/>
          <w:rtl/>
          <w:lang w:bidi="ar"/>
        </w:rPr>
        <w:t xml:space="preserve"> </w:t>
      </w:r>
      <w:r w:rsidR="00966BA4" w:rsidRPr="00966BA4">
        <w:rPr>
          <w:spacing w:val="-4"/>
          <w:lang w:bidi="ar"/>
        </w:rPr>
        <w:t>(</w:t>
      </w:r>
      <w:r w:rsidRPr="00966BA4">
        <w:rPr>
          <w:spacing w:val="-4"/>
          <w:lang w:bidi="ar"/>
        </w:rPr>
        <w:t>CIS-RI</w:t>
      </w:r>
      <w:r w:rsidR="002B3D21">
        <w:rPr>
          <w:spacing w:val="-4"/>
          <w:lang w:bidi="ar"/>
        </w:rPr>
        <w:t>1</w:t>
      </w:r>
      <w:r w:rsidR="00966BA4" w:rsidRPr="00966BA4">
        <w:rPr>
          <w:spacing w:val="-4"/>
          <w:lang w:bidi="ar"/>
        </w:rPr>
        <w:t>)</w:t>
      </w:r>
      <w:r w:rsidRPr="00966BA4">
        <w:rPr>
          <w:rFonts w:hint="cs"/>
          <w:spacing w:val="-4"/>
          <w:rtl/>
          <w:lang w:bidi="ar"/>
        </w:rPr>
        <w:t xml:space="preserve"> في عام </w:t>
      </w:r>
      <w:r w:rsidR="00966BA4" w:rsidRPr="00966BA4">
        <w:rPr>
          <w:spacing w:val="-4"/>
          <w:lang w:bidi="ar"/>
        </w:rPr>
        <w:t>2016</w:t>
      </w:r>
      <w:r w:rsidRPr="00966BA4">
        <w:rPr>
          <w:rFonts w:hint="cs"/>
          <w:spacing w:val="-4"/>
          <w:rtl/>
          <w:lang w:bidi="ar"/>
        </w:rPr>
        <w:t xml:space="preserve">، إنشاء قاعدة بيانات لتخزين البيانات عن الحلول التقنية لحماية الأطفال على </w:t>
      </w:r>
      <w:r w:rsidR="007F65D6">
        <w:rPr>
          <w:rFonts w:hint="cs"/>
          <w:spacing w:val="-4"/>
          <w:rtl/>
          <w:lang w:bidi="ar"/>
        </w:rPr>
        <w:t>الخط</w:t>
      </w:r>
      <w:r w:rsidRPr="00966BA4">
        <w:rPr>
          <w:rFonts w:hint="cs"/>
          <w:spacing w:val="-4"/>
          <w:rtl/>
          <w:lang w:bidi="ar"/>
        </w:rPr>
        <w:t xml:space="preserve"> وبرمجيات لاختيار الحلول التقنية المثلى </w:t>
      </w:r>
      <w:r w:rsidR="00966BA4" w:rsidRPr="00966BA4">
        <w:rPr>
          <w:spacing w:val="-4"/>
          <w:lang w:bidi="ar"/>
        </w:rPr>
        <w:t>(</w:t>
      </w:r>
      <w:r w:rsidRPr="00966BA4">
        <w:rPr>
          <w:rFonts w:hint="cs"/>
          <w:spacing w:val="-4"/>
          <w:lang w:bidi="ar"/>
        </w:rPr>
        <w:t>https://contentfiltering.info</w:t>
      </w:r>
      <w:r w:rsidR="00966BA4" w:rsidRPr="00966BA4">
        <w:rPr>
          <w:spacing w:val="-4"/>
          <w:lang w:bidi="ar"/>
        </w:rPr>
        <w:t>)</w:t>
      </w:r>
      <w:r w:rsidR="00AE323E">
        <w:rPr>
          <w:rFonts w:hint="cs"/>
          <w:rtl/>
          <w:lang w:bidi="ar"/>
        </w:rPr>
        <w:t xml:space="preserve"> ونظام </w:t>
      </w:r>
      <w:r w:rsidRPr="00D2269D">
        <w:rPr>
          <w:rFonts w:hint="cs"/>
          <w:rtl/>
          <w:lang w:bidi="ar"/>
        </w:rPr>
        <w:t xml:space="preserve">توزيع </w:t>
      </w:r>
      <w:r>
        <w:rPr>
          <w:rFonts w:hint="cs"/>
          <w:rtl/>
          <w:lang w:bidi="ar"/>
        </w:rPr>
        <w:t>مؤتمت</w:t>
      </w:r>
      <w:r w:rsidRPr="00D2269D">
        <w:rPr>
          <w:rFonts w:hint="cs"/>
          <w:rtl/>
          <w:lang w:bidi="ar"/>
        </w:rPr>
        <w:t xml:space="preserve"> للقوائم غير الآمنة والآمنة من موارد الإنترنت </w:t>
      </w:r>
      <w:r w:rsidR="003E67DC">
        <w:rPr>
          <w:lang w:bidi="ar"/>
        </w:rPr>
        <w:t>(</w:t>
      </w:r>
      <w:r w:rsidRPr="00D2269D">
        <w:rPr>
          <w:rFonts w:hint="cs"/>
          <w:lang w:bidi="ar"/>
        </w:rPr>
        <w:t>http://bwld.online</w:t>
      </w:r>
      <w:r w:rsidR="003E67DC">
        <w:rPr>
          <w:lang w:bidi="ar"/>
        </w:rPr>
        <w:t>)</w:t>
      </w:r>
      <w:r w:rsidRPr="00D2269D">
        <w:rPr>
          <w:rFonts w:hint="cs"/>
          <w:rtl/>
          <w:lang w:bidi="ar"/>
        </w:rPr>
        <w:t>.</w:t>
      </w:r>
    </w:p>
    <w:p w:rsidR="00B52A61" w:rsidRDefault="00B52A61" w:rsidP="00E71462">
      <w:pPr>
        <w:rPr>
          <w:rtl/>
          <w:lang w:bidi="ar"/>
        </w:rPr>
      </w:pPr>
      <w:bookmarkStart w:id="9" w:name="lt_pId068"/>
      <w:bookmarkEnd w:id="8"/>
      <w:r>
        <w:rPr>
          <w:rFonts w:hint="cs"/>
          <w:rtl/>
          <w:lang w:bidi="ar"/>
        </w:rPr>
        <w:t xml:space="preserve">وكذلك </w:t>
      </w:r>
      <w:r w:rsidRPr="00D2269D">
        <w:rPr>
          <w:rFonts w:hint="cs"/>
          <w:rtl/>
          <w:lang w:bidi="ar"/>
        </w:rPr>
        <w:t xml:space="preserve">واصل مكتب </w:t>
      </w:r>
      <w:r w:rsidR="00D319E5">
        <w:rPr>
          <w:rFonts w:hint="cs"/>
          <w:rtl/>
          <w:lang w:bidi="ar"/>
        </w:rPr>
        <w:t>المنطقة للاتحاد</w:t>
      </w:r>
      <w:r w:rsidRPr="00D2269D">
        <w:rPr>
          <w:rFonts w:hint="cs"/>
          <w:rtl/>
          <w:lang w:bidi="ar"/>
        </w:rPr>
        <w:t xml:space="preserve"> في كومنولث الدول المستقلة تنفيذ</w:t>
      </w:r>
      <w:r w:rsidRPr="00B52A61">
        <w:rPr>
          <w:rFonts w:hint="cs"/>
          <w:rtl/>
          <w:lang w:bidi="ar"/>
        </w:rPr>
        <w:t xml:space="preserve"> </w:t>
      </w:r>
      <w:r>
        <w:rPr>
          <w:rFonts w:hint="cs"/>
          <w:rtl/>
          <w:lang w:bidi="ar"/>
        </w:rPr>
        <w:t xml:space="preserve">المبادرة الإقليمية </w:t>
      </w:r>
      <w:r w:rsidR="002B3D21">
        <w:rPr>
          <w:lang w:bidi="ar"/>
        </w:rPr>
        <w:t>2</w:t>
      </w:r>
      <w:r>
        <w:rPr>
          <w:rFonts w:hint="cs"/>
          <w:rtl/>
          <w:lang w:bidi="ar"/>
        </w:rPr>
        <w:t xml:space="preserve"> </w:t>
      </w:r>
      <w:r w:rsidR="002B3D21">
        <w:rPr>
          <w:lang w:bidi="ar"/>
        </w:rPr>
        <w:t>(</w:t>
      </w:r>
      <w:r w:rsidRPr="00D71FEA">
        <w:rPr>
          <w:lang w:bidi="ar"/>
        </w:rPr>
        <w:t>CIS-RI2</w:t>
      </w:r>
      <w:r w:rsidR="002B3D21">
        <w:rPr>
          <w:lang w:bidi="ar"/>
        </w:rPr>
        <w:t>)</w:t>
      </w:r>
      <w:r>
        <w:rPr>
          <w:rFonts w:hint="cs"/>
          <w:rtl/>
          <w:lang w:bidi="ar"/>
        </w:rPr>
        <w:t xml:space="preserve"> ب</w:t>
      </w:r>
      <w:r w:rsidRPr="00D2269D">
        <w:rPr>
          <w:rFonts w:hint="cs"/>
          <w:rtl/>
          <w:lang w:bidi="ar"/>
        </w:rPr>
        <w:t xml:space="preserve">إنشاء </w:t>
      </w:r>
      <w:r>
        <w:rPr>
          <w:rFonts w:hint="cs"/>
          <w:rtl/>
          <w:lang w:bidi="ar"/>
        </w:rPr>
        <w:t>مركز للنفاذ إلى شبكة الإنترنت والتدر</w:t>
      </w:r>
      <w:r w:rsidRPr="00D2269D">
        <w:rPr>
          <w:rFonts w:hint="cs"/>
          <w:rtl/>
          <w:lang w:bidi="ar"/>
        </w:rPr>
        <w:t>ب</w:t>
      </w:r>
      <w:r>
        <w:rPr>
          <w:rFonts w:hint="cs"/>
          <w:rtl/>
          <w:lang w:bidi="ar"/>
        </w:rPr>
        <w:t xml:space="preserve"> عليها</w:t>
      </w:r>
      <w:r w:rsidRPr="00D2269D">
        <w:rPr>
          <w:rFonts w:hint="cs"/>
          <w:rtl/>
          <w:lang w:bidi="ar"/>
        </w:rPr>
        <w:t xml:space="preserve"> للمستخدمين ذوي</w:t>
      </w:r>
      <w:r w:rsidR="0079188B">
        <w:rPr>
          <w:rFonts w:hint="cs"/>
          <w:rtl/>
          <w:lang w:bidi="ar"/>
        </w:rPr>
        <w:t xml:space="preserve"> الإعاقة الحركية والكلامية في </w:t>
      </w:r>
      <w:r w:rsidRPr="00D2269D">
        <w:rPr>
          <w:rFonts w:hint="cs"/>
          <w:rtl/>
          <w:lang w:bidi="ar"/>
        </w:rPr>
        <w:t xml:space="preserve">جمهورية ساخا </w:t>
      </w:r>
      <w:r>
        <w:rPr>
          <w:rFonts w:hint="cs"/>
          <w:rtl/>
          <w:lang w:bidi="ar"/>
        </w:rPr>
        <w:t>ب</w:t>
      </w:r>
      <w:r w:rsidRPr="00D2269D">
        <w:rPr>
          <w:rFonts w:hint="cs"/>
          <w:rtl/>
          <w:lang w:bidi="ar"/>
        </w:rPr>
        <w:t>الاتحاد الروسي (</w:t>
      </w:r>
      <w:r w:rsidR="002B3D21">
        <w:rPr>
          <w:lang w:bidi="ar"/>
        </w:rPr>
        <w:t>10</w:t>
      </w:r>
      <w:r w:rsidR="00AF2389">
        <w:rPr>
          <w:rFonts w:hint="eastAsia"/>
          <w:rtl/>
          <w:lang w:bidi="ar"/>
        </w:rPr>
        <w:t> </w:t>
      </w:r>
      <w:r w:rsidRPr="00D2269D">
        <w:rPr>
          <w:rFonts w:hint="cs"/>
          <w:rtl/>
          <w:lang w:bidi="ar"/>
        </w:rPr>
        <w:t>أماكن عمل) وللأشخاص ذوي الإعاقة السمعية في مينسك بجمهورية بيلاروس (</w:t>
      </w:r>
      <w:r w:rsidR="002D1AD4">
        <w:rPr>
          <w:lang w:bidi="ar"/>
        </w:rPr>
        <w:t>10</w:t>
      </w:r>
      <w:r w:rsidRPr="00D2269D">
        <w:rPr>
          <w:rFonts w:hint="cs"/>
          <w:rtl/>
          <w:lang w:bidi="ar"/>
        </w:rPr>
        <w:t xml:space="preserve"> أماكن عمل).</w:t>
      </w:r>
      <w:r w:rsidRPr="00B52A61">
        <w:rPr>
          <w:rFonts w:hint="cs"/>
          <w:rtl/>
          <w:lang w:bidi="ar"/>
        </w:rPr>
        <w:t xml:space="preserve"> </w:t>
      </w:r>
      <w:r w:rsidRPr="00D2269D">
        <w:rPr>
          <w:rFonts w:hint="cs"/>
          <w:rtl/>
          <w:lang w:bidi="ar"/>
        </w:rPr>
        <w:t xml:space="preserve">وتشمل النواتج الهامة الأخرى تطوير برمجيات </w:t>
      </w:r>
      <w:r w:rsidRPr="00D2269D">
        <w:rPr>
          <w:rFonts w:hint="cs"/>
          <w:rtl/>
          <w:lang w:bidi="ar"/>
        </w:rPr>
        <w:lastRenderedPageBreak/>
        <w:t>لتشخيص قابلية</w:t>
      </w:r>
      <w:r w:rsidRPr="00B52A61">
        <w:rPr>
          <w:rFonts w:hint="cs"/>
          <w:rtl/>
          <w:lang w:bidi="ar"/>
        </w:rPr>
        <w:t xml:space="preserve"> </w:t>
      </w:r>
      <w:r>
        <w:rPr>
          <w:rFonts w:hint="cs"/>
          <w:rtl/>
          <w:lang w:bidi="ar"/>
        </w:rPr>
        <w:t>ال</w:t>
      </w:r>
      <w:r w:rsidRPr="00D2269D">
        <w:rPr>
          <w:rFonts w:hint="cs"/>
          <w:rtl/>
          <w:lang w:bidi="ar"/>
        </w:rPr>
        <w:t xml:space="preserve">إدراك </w:t>
      </w:r>
      <w:r>
        <w:rPr>
          <w:rFonts w:hint="cs"/>
          <w:rtl/>
          <w:lang w:bidi="ar"/>
        </w:rPr>
        <w:t>البشري</w:t>
      </w:r>
      <w:r w:rsidRPr="00D2269D">
        <w:rPr>
          <w:rFonts w:hint="cs"/>
          <w:rtl/>
          <w:lang w:bidi="ar"/>
        </w:rPr>
        <w:t xml:space="preserve"> </w:t>
      </w:r>
      <w:r>
        <w:rPr>
          <w:rFonts w:hint="cs"/>
          <w:rtl/>
          <w:lang w:bidi="ar"/>
        </w:rPr>
        <w:t>ل</w:t>
      </w:r>
      <w:r w:rsidRPr="00D2269D">
        <w:rPr>
          <w:rFonts w:hint="cs"/>
          <w:rtl/>
          <w:lang w:bidi="ar"/>
        </w:rPr>
        <w:t>قناة</w:t>
      </w:r>
      <w:r>
        <w:rPr>
          <w:rFonts w:hint="cs"/>
          <w:rtl/>
          <w:lang w:bidi="ar"/>
        </w:rPr>
        <w:t xml:space="preserve"> واحدة</w:t>
      </w:r>
      <w:r w:rsidRPr="00D2269D">
        <w:rPr>
          <w:rFonts w:hint="cs"/>
          <w:rtl/>
          <w:lang w:bidi="ar"/>
        </w:rPr>
        <w:t xml:space="preserve"> أو أكثر من المعلومات والمتطلبات المنهجية </w:t>
      </w:r>
      <w:r w:rsidRPr="00906BF9">
        <w:rPr>
          <w:rFonts w:hint="cs"/>
          <w:rtl/>
          <w:lang w:bidi="ar"/>
        </w:rPr>
        <w:t>لموارد</w:t>
      </w:r>
      <w:r w:rsidRPr="00D2269D">
        <w:rPr>
          <w:rFonts w:hint="cs"/>
          <w:rtl/>
          <w:lang w:bidi="ar"/>
        </w:rPr>
        <w:t xml:space="preserve"> التعلم الإلكتروني</w:t>
      </w:r>
      <w:r w:rsidR="00E71462">
        <w:rPr>
          <w:rFonts w:hint="eastAsia"/>
          <w:rtl/>
          <w:lang w:bidi="ar"/>
        </w:rPr>
        <w:t> </w:t>
      </w:r>
      <w:r w:rsidR="002D1AD4">
        <w:rPr>
          <w:lang w:bidi="ar"/>
        </w:rPr>
        <w:t>(</w:t>
      </w:r>
      <w:r w:rsidRPr="00D71FEA">
        <w:rPr>
          <w:lang w:bidi="ar"/>
        </w:rPr>
        <w:t>CIS-RI3</w:t>
      </w:r>
      <w:r w:rsidR="002D1AD4">
        <w:rPr>
          <w:lang w:bidi="ar"/>
        </w:rPr>
        <w:t>)</w:t>
      </w:r>
      <w:r w:rsidRPr="00D2269D">
        <w:rPr>
          <w:rFonts w:hint="cs"/>
          <w:rtl/>
          <w:lang w:bidi="ar"/>
        </w:rPr>
        <w:t xml:space="preserve"> وتقرير عن الوضع الراهن في كومنولث الدول المستقلة بشأن بناء الثقة والأمن في استخدام تكنولوجيا المعلومات والاتصالات</w:t>
      </w:r>
      <w:r w:rsidR="00906BF9">
        <w:rPr>
          <w:rFonts w:hint="eastAsia"/>
          <w:rtl/>
          <w:lang w:bidi="ar"/>
        </w:rPr>
        <w:t> </w:t>
      </w:r>
      <w:r w:rsidR="002D1AD4">
        <w:rPr>
          <w:lang w:bidi="ar"/>
        </w:rPr>
        <w:t>(</w:t>
      </w:r>
      <w:r w:rsidRPr="00D71FEA">
        <w:rPr>
          <w:lang w:bidi="ar"/>
        </w:rPr>
        <w:t>CIS-RI5</w:t>
      </w:r>
      <w:r w:rsidR="002D1AD4">
        <w:rPr>
          <w:lang w:bidi="ar"/>
        </w:rPr>
        <w:t>)</w:t>
      </w:r>
      <w:r w:rsidRPr="00D2269D">
        <w:rPr>
          <w:rFonts w:hint="cs"/>
          <w:rtl/>
          <w:lang w:bidi="ar"/>
        </w:rPr>
        <w:t>.</w:t>
      </w:r>
    </w:p>
    <w:bookmarkEnd w:id="9"/>
    <w:p w:rsidR="00B52A61" w:rsidRDefault="00B52A61" w:rsidP="00153383">
      <w:pPr>
        <w:rPr>
          <w:rtl/>
          <w:lang w:bidi="ar"/>
        </w:rPr>
      </w:pPr>
      <w:r w:rsidRPr="00D2269D">
        <w:rPr>
          <w:rFonts w:hint="cs"/>
          <w:rtl/>
          <w:lang w:bidi="ar"/>
        </w:rPr>
        <w:t>وبناء</w:t>
      </w:r>
      <w:r w:rsidR="00267B11">
        <w:rPr>
          <w:rFonts w:hint="cs"/>
          <w:rtl/>
          <w:lang w:bidi="ar"/>
        </w:rPr>
        <w:t>ً</w:t>
      </w:r>
      <w:r w:rsidRPr="00D2269D">
        <w:rPr>
          <w:rFonts w:hint="cs"/>
          <w:rtl/>
          <w:lang w:bidi="ar"/>
        </w:rPr>
        <w:t xml:space="preserve"> على طلب أعضاء الاتحاد في كومنولث الدول المستقلة، شملت مجالات التعاون التقني وأنشطة بناء</w:t>
      </w:r>
      <w:r w:rsidR="00153383">
        <w:rPr>
          <w:rFonts w:hint="cs"/>
          <w:rtl/>
          <w:lang w:bidi="ar"/>
        </w:rPr>
        <w:t xml:space="preserve"> القدرات والمناقشة الإقليمية في</w:t>
      </w:r>
      <w:r w:rsidR="00153383">
        <w:rPr>
          <w:rFonts w:hint="eastAsia"/>
          <w:rtl/>
          <w:lang w:bidi="ar"/>
        </w:rPr>
        <w:t> </w:t>
      </w:r>
      <w:r w:rsidRPr="00D2269D">
        <w:rPr>
          <w:rFonts w:hint="cs"/>
          <w:rtl/>
          <w:lang w:bidi="ar"/>
        </w:rPr>
        <w:t xml:space="preserve">عام </w:t>
      </w:r>
      <w:r w:rsidR="007D53E3">
        <w:rPr>
          <w:lang w:bidi="ar"/>
        </w:rPr>
        <w:t>2016</w:t>
      </w:r>
      <w:r w:rsidRPr="00D2269D">
        <w:rPr>
          <w:rFonts w:hint="cs"/>
          <w:rtl/>
          <w:lang w:bidi="ar"/>
        </w:rPr>
        <w:t xml:space="preserve"> التحول</w:t>
      </w:r>
      <w:r>
        <w:rPr>
          <w:rFonts w:hint="cs"/>
          <w:rtl/>
          <w:lang w:bidi="ar"/>
        </w:rPr>
        <w:t xml:space="preserve"> إلى الإذاعة </w:t>
      </w:r>
      <w:r w:rsidRPr="00D2269D">
        <w:rPr>
          <w:rFonts w:hint="cs"/>
          <w:rtl/>
          <w:lang w:bidi="ar"/>
        </w:rPr>
        <w:t>الرقمي</w:t>
      </w:r>
      <w:r>
        <w:rPr>
          <w:rFonts w:hint="cs"/>
          <w:rtl/>
          <w:lang w:bidi="ar"/>
        </w:rPr>
        <w:t>ة</w:t>
      </w:r>
      <w:r w:rsidRPr="00D2269D">
        <w:rPr>
          <w:rFonts w:hint="cs"/>
          <w:rtl/>
          <w:lang w:bidi="ar"/>
        </w:rPr>
        <w:t xml:space="preserve"> وتنفيذ نتائج المؤتمر</w:t>
      </w:r>
      <w:r>
        <w:rPr>
          <w:rFonts w:hint="cs"/>
          <w:rtl/>
          <w:lang w:bidi="ar"/>
        </w:rPr>
        <w:t xml:space="preserve"> العالمي للاتصالات الراديوية لعام </w:t>
      </w:r>
      <w:r w:rsidR="007D53E3">
        <w:rPr>
          <w:lang w:bidi="ar"/>
        </w:rPr>
        <w:t>2015</w:t>
      </w:r>
      <w:r>
        <w:rPr>
          <w:rFonts w:hint="cs"/>
          <w:rtl/>
          <w:lang w:bidi="ar"/>
        </w:rPr>
        <w:t xml:space="preserve"> </w:t>
      </w:r>
      <w:r w:rsidR="007D53E3">
        <w:rPr>
          <w:lang w:bidi="ar"/>
        </w:rPr>
        <w:t>(</w:t>
      </w:r>
      <w:r w:rsidRPr="00D71FEA">
        <w:rPr>
          <w:lang w:bidi="ar"/>
        </w:rPr>
        <w:t>WRC-15</w:t>
      </w:r>
      <w:r w:rsidR="007D53E3">
        <w:rPr>
          <w:lang w:bidi="ar"/>
        </w:rPr>
        <w:t>)</w:t>
      </w:r>
      <w:r>
        <w:rPr>
          <w:rFonts w:hint="cs"/>
          <w:rtl/>
          <w:lang w:bidi="ar"/>
        </w:rPr>
        <w:t>، و</w:t>
      </w:r>
      <w:r w:rsidRPr="00B52A61">
        <w:rPr>
          <w:rFonts w:hint="eastAsia"/>
          <w:rtl/>
          <w:lang w:bidi="ar"/>
        </w:rPr>
        <w:t>إمكانية</w:t>
      </w:r>
      <w:r w:rsidRPr="00B52A61">
        <w:rPr>
          <w:rtl/>
          <w:lang w:bidi="ar"/>
        </w:rPr>
        <w:t xml:space="preserve"> </w:t>
      </w:r>
      <w:r w:rsidRPr="00B52A61">
        <w:rPr>
          <w:rFonts w:hint="eastAsia"/>
          <w:rtl/>
          <w:lang w:bidi="ar"/>
        </w:rPr>
        <w:t>نقل</w:t>
      </w:r>
      <w:r w:rsidRPr="00B52A61">
        <w:rPr>
          <w:rtl/>
          <w:lang w:bidi="ar"/>
        </w:rPr>
        <w:t xml:space="preserve"> </w:t>
      </w:r>
      <w:r w:rsidRPr="00B52A61">
        <w:rPr>
          <w:rFonts w:hint="eastAsia"/>
          <w:rtl/>
          <w:lang w:bidi="ar"/>
        </w:rPr>
        <w:t>أرقام</w:t>
      </w:r>
      <w:r>
        <w:rPr>
          <w:rFonts w:hint="cs"/>
          <w:rtl/>
          <w:lang w:bidi="ar"/>
        </w:rPr>
        <w:t xml:space="preserve"> الهواتف المتنقلة، والجيل الراب</w:t>
      </w:r>
      <w:r>
        <w:rPr>
          <w:rFonts w:hint="eastAsia"/>
          <w:rtl/>
          <w:lang w:bidi="ar"/>
        </w:rPr>
        <w:t>ع</w:t>
      </w:r>
      <w:r>
        <w:rPr>
          <w:rFonts w:hint="cs"/>
          <w:rtl/>
          <w:lang w:bidi="ar"/>
        </w:rPr>
        <w:t xml:space="preserve">/الجيل الخامس </w:t>
      </w:r>
      <w:r w:rsidR="007D53E3">
        <w:rPr>
          <w:lang w:bidi="ar"/>
        </w:rPr>
        <w:t>(</w:t>
      </w:r>
      <w:r w:rsidRPr="00D71FEA">
        <w:rPr>
          <w:lang w:bidi="ar"/>
        </w:rPr>
        <w:t>4G</w:t>
      </w:r>
      <w:r w:rsidR="007D53E3">
        <w:rPr>
          <w:lang w:bidi="ar"/>
        </w:rPr>
        <w:t>/</w:t>
      </w:r>
      <w:r w:rsidRPr="00D71FEA">
        <w:rPr>
          <w:lang w:bidi="ar"/>
        </w:rPr>
        <w:t>5G</w:t>
      </w:r>
      <w:r w:rsidR="007D53E3">
        <w:rPr>
          <w:lang w:bidi="ar"/>
        </w:rPr>
        <w:t>)</w:t>
      </w:r>
      <w:r>
        <w:rPr>
          <w:rFonts w:hint="cs"/>
          <w:rtl/>
          <w:lang w:bidi="ar"/>
        </w:rPr>
        <w:t>،</w:t>
      </w:r>
      <w:r w:rsidRPr="00B52A61">
        <w:rPr>
          <w:rFonts w:hint="cs"/>
          <w:rtl/>
          <w:lang w:bidi="ar"/>
        </w:rPr>
        <w:t xml:space="preserve"> </w:t>
      </w:r>
      <w:r w:rsidRPr="00D2269D">
        <w:rPr>
          <w:rFonts w:hint="cs"/>
          <w:rtl/>
          <w:lang w:bidi="ar"/>
        </w:rPr>
        <w:t>والأمن السيبراني</w:t>
      </w:r>
      <w:r>
        <w:rPr>
          <w:rFonts w:hint="cs"/>
          <w:rtl/>
          <w:lang w:bidi="ar"/>
        </w:rPr>
        <w:t>،</w:t>
      </w:r>
      <w:r w:rsidRPr="00D2269D">
        <w:rPr>
          <w:rFonts w:hint="cs"/>
          <w:rtl/>
          <w:lang w:bidi="ar"/>
        </w:rPr>
        <w:t xml:space="preserve"> وتطبيقات </w:t>
      </w:r>
      <w:r>
        <w:rPr>
          <w:rFonts w:hint="cs"/>
          <w:rtl/>
          <w:lang w:bidi="ar"/>
        </w:rPr>
        <w:t>والتوصيلية</w:t>
      </w:r>
      <w:r w:rsidRPr="00D2269D">
        <w:rPr>
          <w:rFonts w:hint="cs"/>
          <w:rtl/>
          <w:lang w:bidi="ar"/>
        </w:rPr>
        <w:t xml:space="preserve"> الريفي</w:t>
      </w:r>
      <w:r>
        <w:rPr>
          <w:rFonts w:hint="cs"/>
          <w:rtl/>
          <w:lang w:bidi="ar"/>
        </w:rPr>
        <w:t>ة</w:t>
      </w:r>
      <w:r w:rsidRPr="00D2269D">
        <w:rPr>
          <w:rFonts w:hint="cs"/>
          <w:rtl/>
          <w:lang w:bidi="ar"/>
        </w:rPr>
        <w:t>.</w:t>
      </w:r>
      <w:r w:rsidR="00D63268" w:rsidRPr="00D63268">
        <w:rPr>
          <w:rFonts w:hint="cs"/>
          <w:rtl/>
          <w:lang w:bidi="ar"/>
        </w:rPr>
        <w:t xml:space="preserve"> </w:t>
      </w:r>
      <w:r w:rsidR="00D63268" w:rsidRPr="00D2269D">
        <w:rPr>
          <w:rFonts w:hint="cs"/>
          <w:rtl/>
          <w:lang w:bidi="ar"/>
        </w:rPr>
        <w:t>وعلى مدار العام، ن</w:t>
      </w:r>
      <w:r w:rsidR="00D63268">
        <w:rPr>
          <w:rFonts w:hint="cs"/>
          <w:rtl/>
          <w:lang w:bidi="ar"/>
        </w:rPr>
        <w:t>ُ</w:t>
      </w:r>
      <w:r w:rsidR="00D63268" w:rsidRPr="00D2269D">
        <w:rPr>
          <w:rFonts w:hint="cs"/>
          <w:rtl/>
          <w:lang w:bidi="ar"/>
        </w:rPr>
        <w:t xml:space="preserve">ظمت </w:t>
      </w:r>
      <w:r w:rsidR="007D53E3">
        <w:rPr>
          <w:lang w:bidi="ar"/>
        </w:rPr>
        <w:t>11</w:t>
      </w:r>
      <w:r w:rsidR="00153383">
        <w:rPr>
          <w:rFonts w:hint="eastAsia"/>
          <w:rtl/>
          <w:lang w:bidi="ar"/>
        </w:rPr>
        <w:t> </w:t>
      </w:r>
      <w:r w:rsidR="00D63268">
        <w:rPr>
          <w:rFonts w:hint="cs"/>
          <w:rtl/>
          <w:lang w:bidi="ar"/>
        </w:rPr>
        <w:t>ورشة</w:t>
      </w:r>
      <w:r w:rsidR="00D63268" w:rsidRPr="00D2269D">
        <w:rPr>
          <w:rFonts w:hint="cs"/>
          <w:rtl/>
          <w:lang w:bidi="ar"/>
        </w:rPr>
        <w:t xml:space="preserve"> ع</w:t>
      </w:r>
      <w:r w:rsidR="00D63268">
        <w:rPr>
          <w:rFonts w:hint="cs"/>
          <w:rtl/>
          <w:lang w:bidi="ar"/>
        </w:rPr>
        <w:t>مل وحلقة دراسية ودورة تدريبية، ف</w:t>
      </w:r>
      <w:r w:rsidR="00D63268" w:rsidRPr="00D2269D">
        <w:rPr>
          <w:rFonts w:hint="cs"/>
          <w:rtl/>
          <w:lang w:bidi="ar"/>
        </w:rPr>
        <w:t xml:space="preserve">اجتذبت أكثر من </w:t>
      </w:r>
      <w:r w:rsidR="007D53E3">
        <w:rPr>
          <w:lang w:bidi="ar"/>
        </w:rPr>
        <w:t>500</w:t>
      </w:r>
      <w:r w:rsidR="00D63268" w:rsidRPr="00D2269D">
        <w:rPr>
          <w:rFonts w:hint="cs"/>
          <w:rtl/>
          <w:lang w:bidi="ar"/>
        </w:rPr>
        <w:t xml:space="preserve"> مشارك في المجموع</w:t>
      </w:r>
      <w:r w:rsidR="00D63268">
        <w:rPr>
          <w:rFonts w:hint="cs"/>
          <w:rtl/>
          <w:lang w:bidi="ar"/>
        </w:rPr>
        <w:t xml:space="preserve"> الكلي</w:t>
      </w:r>
      <w:r w:rsidR="00D63268" w:rsidRPr="00D2269D">
        <w:rPr>
          <w:rFonts w:hint="cs"/>
          <w:rtl/>
          <w:lang w:bidi="ar"/>
        </w:rPr>
        <w:t xml:space="preserve"> من أكثر من </w:t>
      </w:r>
      <w:r w:rsidR="007D53E3">
        <w:rPr>
          <w:lang w:bidi="ar"/>
        </w:rPr>
        <w:t>15</w:t>
      </w:r>
      <w:r w:rsidR="00153383">
        <w:rPr>
          <w:rFonts w:hint="eastAsia"/>
          <w:rtl/>
          <w:lang w:bidi="ar"/>
        </w:rPr>
        <w:t> </w:t>
      </w:r>
      <w:r w:rsidR="00D63268" w:rsidRPr="00D2269D">
        <w:rPr>
          <w:rFonts w:hint="cs"/>
          <w:rtl/>
          <w:lang w:bidi="ar"/>
        </w:rPr>
        <w:t>بلدا</w:t>
      </w:r>
      <w:r w:rsidR="00D63268">
        <w:rPr>
          <w:rFonts w:hint="cs"/>
          <w:rtl/>
          <w:lang w:bidi="ar"/>
        </w:rPr>
        <w:t>ً</w:t>
      </w:r>
      <w:r w:rsidR="00D63268" w:rsidRPr="00D2269D">
        <w:rPr>
          <w:rFonts w:hint="cs"/>
          <w:rtl/>
          <w:lang w:bidi="ar"/>
        </w:rPr>
        <w:t>.</w:t>
      </w:r>
    </w:p>
    <w:p w:rsidR="000313EF" w:rsidRDefault="000313EF" w:rsidP="000313EF">
      <w:pPr>
        <w:pStyle w:val="Heading2"/>
        <w:rPr>
          <w:rtl/>
        </w:rPr>
      </w:pPr>
      <w:r>
        <w:t>6.2</w:t>
      </w:r>
      <w:r>
        <w:rPr>
          <w:rtl/>
        </w:rPr>
        <w:tab/>
      </w:r>
      <w:r>
        <w:rPr>
          <w:rFonts w:hint="cs"/>
          <w:rtl/>
        </w:rPr>
        <w:t>أوروبا</w:t>
      </w:r>
    </w:p>
    <w:p w:rsidR="000313EF" w:rsidRDefault="000313EF" w:rsidP="00270644">
      <w:pPr>
        <w:rPr>
          <w:rtl/>
          <w:lang w:bidi="ar-EG"/>
        </w:rPr>
      </w:pPr>
      <w:r>
        <w:rPr>
          <w:rFonts w:hint="cs"/>
          <w:rtl/>
          <w:lang w:bidi="ar-EG"/>
        </w:rPr>
        <w:t>يركز أسلوب العمل التصاعدي المقترح لبرمجة الأنشطة المقرر تنفيذها في إطار المبادرات الإقليمية لمنطقة أوروبا</w:t>
      </w:r>
      <w:r>
        <w:rPr>
          <w:rFonts w:hint="eastAsia"/>
          <w:rtl/>
          <w:lang w:bidi="ar-EG"/>
        </w:rPr>
        <w:t> </w:t>
      </w:r>
      <w:r>
        <w:rPr>
          <w:lang w:bidi="ar-EG"/>
        </w:rPr>
        <w:t>(EUR</w:t>
      </w:r>
      <w:r>
        <w:rPr>
          <w:lang w:bidi="ar-EG"/>
        </w:rPr>
        <w:noBreakHyphen/>
        <w:t>RI)</w:t>
      </w:r>
      <w:r>
        <w:rPr>
          <w:rFonts w:hint="cs"/>
          <w:rtl/>
          <w:lang w:bidi="ar-EG"/>
        </w:rPr>
        <w:t xml:space="preserve"> بشدة على تعبئة الموارد وإقامة الشراكات وإشراك الأعضاء الجدد المحتملين بالاتحاد. وفي هذا الإطار، استهدف منتدى التنمية الإقليمي لأوروبا بشأن "النطاق العريض لأغراض التنمية المستدامة"، الذي ع</w:t>
      </w:r>
      <w:r w:rsidR="003C27E7">
        <w:rPr>
          <w:rFonts w:hint="cs"/>
          <w:rtl/>
          <w:lang w:bidi="ar-EG"/>
        </w:rPr>
        <w:t>ُ</w:t>
      </w:r>
      <w:r>
        <w:rPr>
          <w:rFonts w:hint="cs"/>
          <w:rtl/>
          <w:lang w:bidi="ar-EG"/>
        </w:rPr>
        <w:t xml:space="preserve">قد في رومانيا، جذب شركاء جدد من المهتمين لتوحيد الجهود مع مكتب تنمية الاتصالات من أجل تنفيذ المبادرات الإقليمية لمنطقة أوروبا ووضع خطة تنفيذية للأعوام </w:t>
      </w:r>
      <w:r>
        <w:rPr>
          <w:lang w:bidi="ar-EG"/>
        </w:rPr>
        <w:t>2017</w:t>
      </w:r>
      <w:r>
        <w:rPr>
          <w:lang w:bidi="ar-EG"/>
        </w:rPr>
        <w:noBreakHyphen/>
        <w:t>2015</w:t>
      </w:r>
      <w:r>
        <w:rPr>
          <w:rFonts w:hint="cs"/>
          <w:rtl/>
          <w:lang w:bidi="ar-EG"/>
        </w:rPr>
        <w:t xml:space="preserve"> استناداً إلى التزامات الشركاء. وتم تحديد كيانات جديدة وأضحت شركاء في تنفيذ المبادرات الإقليمية لمنطقة أوروبا. كما</w:t>
      </w:r>
      <w:r>
        <w:rPr>
          <w:rFonts w:hint="eastAsia"/>
          <w:rtl/>
          <w:lang w:bidi="ar-EG"/>
        </w:rPr>
        <w:t> </w:t>
      </w:r>
      <w:r>
        <w:rPr>
          <w:rFonts w:hint="cs"/>
          <w:rtl/>
          <w:lang w:bidi="ar-EG"/>
        </w:rPr>
        <w:t xml:space="preserve">بذلت الجهود لإشراك وكالات الأمم المتحدة الأخرى. وفي هذا السياق، </w:t>
      </w:r>
      <w:r w:rsidR="00270644" w:rsidRPr="00270644">
        <w:rPr>
          <w:rtl/>
          <w:lang w:bidi="ar-EG"/>
        </w:rPr>
        <w:t>استضاف الاتحاد اجتماعاً لآلية الأمم المتحدة للتنسيق الإقليمي لأوروبا وآسيا الوسطى واجتماعاً للفريق الإقليمي التابع للمجموعة الإنمائية للأمم المتحدة لمنطقة أوروبا وآسيا الوسطى</w:t>
      </w:r>
      <w:r w:rsidR="00270644">
        <w:rPr>
          <w:rFonts w:hint="cs"/>
          <w:rtl/>
          <w:lang w:bidi="ar-EG"/>
        </w:rPr>
        <w:t xml:space="preserve">. </w:t>
      </w:r>
      <w:r>
        <w:rPr>
          <w:rFonts w:hint="cs"/>
          <w:rtl/>
          <w:lang w:bidi="ar-EG"/>
        </w:rPr>
        <w:t xml:space="preserve">وتم التنسيق لضمان دمج مكونات تكنولوجيا المعلومات والاتصالات </w:t>
      </w:r>
      <w:r w:rsidR="00D724A7" w:rsidRPr="00866E42">
        <w:rPr>
          <w:color w:val="000000"/>
          <w:rtl/>
        </w:rPr>
        <w:t>في أطر عمل الأمم المتحدة للمساعدة الإنمائية</w:t>
      </w:r>
      <w:r w:rsidR="00D724A7">
        <w:rPr>
          <w:color w:val="000000"/>
          <w:rtl/>
        </w:rPr>
        <w:t xml:space="preserve"> </w:t>
      </w:r>
      <w:r w:rsidRPr="00D724A7">
        <w:rPr>
          <w:rFonts w:hint="cs"/>
          <w:rtl/>
          <w:lang w:bidi="ar-EG"/>
        </w:rPr>
        <w:t>في</w:t>
      </w:r>
      <w:r w:rsidRPr="00D724A7">
        <w:rPr>
          <w:rFonts w:hint="eastAsia"/>
          <w:rtl/>
          <w:lang w:bidi="ar-EG"/>
        </w:rPr>
        <w:t> </w:t>
      </w:r>
      <w:r w:rsidRPr="00D724A7">
        <w:rPr>
          <w:rFonts w:hint="cs"/>
          <w:rtl/>
          <w:lang w:bidi="ar-EG"/>
        </w:rPr>
        <w:t>أوروبا</w:t>
      </w:r>
      <w:r>
        <w:rPr>
          <w:rFonts w:hint="cs"/>
          <w:rtl/>
          <w:lang w:bidi="ar-EG"/>
        </w:rPr>
        <w:t>، مع مراعاة الأولويات الجديدة التي حددتها القمة المعنية بأهداف التنمية المستدامة.</w:t>
      </w:r>
    </w:p>
    <w:p w:rsidR="000313EF" w:rsidRDefault="000313EF" w:rsidP="002805B9">
      <w:pPr>
        <w:rPr>
          <w:rtl/>
          <w:lang w:bidi="ar-EG"/>
        </w:rPr>
      </w:pPr>
      <w:r>
        <w:rPr>
          <w:rFonts w:hint="cs"/>
          <w:rtl/>
          <w:lang w:bidi="ar-EG"/>
        </w:rPr>
        <w:t>وبذلت جهود مكثفة على كل الأصعدة من أجل تعزيز التعاون مع المفوضية الأوروبية لتنفيذ أعمال مشتركة في</w:t>
      </w:r>
      <w:r>
        <w:rPr>
          <w:rFonts w:hint="eastAsia"/>
          <w:rtl/>
          <w:lang w:bidi="ar-EG"/>
        </w:rPr>
        <w:t> </w:t>
      </w:r>
      <w:r>
        <w:rPr>
          <w:rFonts w:hint="cs"/>
          <w:rtl/>
          <w:lang w:bidi="ar-EG"/>
        </w:rPr>
        <w:t>المنطقة. كما</w:t>
      </w:r>
      <w:r>
        <w:rPr>
          <w:rFonts w:hint="eastAsia"/>
          <w:rtl/>
          <w:lang w:bidi="ar-EG"/>
        </w:rPr>
        <w:t> </w:t>
      </w:r>
      <w:r>
        <w:rPr>
          <w:rFonts w:hint="cs"/>
          <w:rtl/>
          <w:lang w:bidi="ar-EG"/>
        </w:rPr>
        <w:t xml:space="preserve">أجريت مناقشات مع مؤسسات أوروبية هامة أخرى بما في ذلك المصرف الأوروبي للاستثمار </w:t>
      </w:r>
      <w:r>
        <w:rPr>
          <w:lang w:bidi="ar-EG"/>
        </w:rPr>
        <w:t>(EIB)</w:t>
      </w:r>
      <w:r>
        <w:rPr>
          <w:rFonts w:hint="cs"/>
          <w:rtl/>
          <w:lang w:bidi="ar-EG"/>
        </w:rPr>
        <w:t xml:space="preserve"> والمصرف الأوروبي لإعادة البناء والتعمير</w:t>
      </w:r>
      <w:r w:rsidR="002805B9">
        <w:rPr>
          <w:rFonts w:hint="eastAsia"/>
          <w:rtl/>
          <w:lang w:bidi="ar-EG"/>
        </w:rPr>
        <w:t> </w:t>
      </w:r>
      <w:r>
        <w:rPr>
          <w:lang w:bidi="ar-EG"/>
        </w:rPr>
        <w:t>(EBRD)</w:t>
      </w:r>
      <w:r>
        <w:rPr>
          <w:rFonts w:hint="cs"/>
          <w:rtl/>
          <w:lang w:bidi="ar-EG"/>
        </w:rPr>
        <w:t xml:space="preserve"> ومركز الأبحاث المشترك التابع للمفوضية الأوروبية واتحاد الإذاعات الأوروبية </w:t>
      </w:r>
      <w:r>
        <w:rPr>
          <w:lang w:bidi="ar-EG"/>
        </w:rPr>
        <w:t>(EBU)</w:t>
      </w:r>
      <w:r>
        <w:rPr>
          <w:rFonts w:hint="cs"/>
          <w:rtl/>
          <w:lang w:bidi="ar-EG"/>
        </w:rPr>
        <w:t xml:space="preserve"> والوكالة الأوروبية لأمن الشبكات والمعلومات </w:t>
      </w:r>
      <w:r>
        <w:rPr>
          <w:lang w:bidi="ar-EG"/>
        </w:rPr>
        <w:t>(ENISA)</w:t>
      </w:r>
      <w:r>
        <w:rPr>
          <w:rFonts w:hint="cs"/>
          <w:rtl/>
          <w:lang w:bidi="ar-EG"/>
        </w:rPr>
        <w:t xml:space="preserve"> وغيرها، مما أدى إلى تنفيذ أنشطة مشتركة ملموسة في المنطقة.</w:t>
      </w:r>
    </w:p>
    <w:p w:rsidR="000313EF" w:rsidRDefault="000313EF" w:rsidP="00A71C58">
      <w:pPr>
        <w:rPr>
          <w:rtl/>
          <w:lang w:bidi="ar-EG"/>
        </w:rPr>
      </w:pPr>
      <w:r>
        <w:rPr>
          <w:rFonts w:hint="cs"/>
          <w:rtl/>
          <w:lang w:bidi="ar-EG"/>
        </w:rPr>
        <w:t>وتم التنسيق مع الدول الأعضاء في الاتحاد من أجل التماس دعمها في إشراك الأعضاء من فئة الهيئات الأكاديمية في أنشطة الاتحاد. وتم تحديد الشبكات الأكاديمية الهامة من أجل تعزيز</w:t>
      </w:r>
      <w:r w:rsidR="00D63268">
        <w:rPr>
          <w:rFonts w:hint="cs"/>
          <w:rtl/>
          <w:lang w:bidi="ar-EG"/>
        </w:rPr>
        <w:t xml:space="preserve"> أنشطة التوعية. ونتيجة</w:t>
      </w:r>
      <w:r w:rsidR="000C2971">
        <w:rPr>
          <w:rFonts w:hint="cs"/>
          <w:rtl/>
          <w:lang w:bidi="ar-EG"/>
        </w:rPr>
        <w:t>ً</w:t>
      </w:r>
      <w:r w:rsidR="00D63268">
        <w:rPr>
          <w:rFonts w:hint="cs"/>
          <w:rtl/>
          <w:lang w:bidi="ar-EG"/>
        </w:rPr>
        <w:t xml:space="preserve"> لذلك، </w:t>
      </w:r>
      <w:r w:rsidR="004E2C5E">
        <w:rPr>
          <w:rFonts w:hint="cs"/>
          <w:rtl/>
          <w:lang w:bidi="ar-EG"/>
        </w:rPr>
        <w:t>دعا</w:t>
      </w:r>
      <w:r>
        <w:rPr>
          <w:rFonts w:hint="cs"/>
          <w:rtl/>
          <w:lang w:bidi="ar-EG"/>
        </w:rPr>
        <w:t xml:space="preserve"> الاتحاد إلى دعم الاجتماع الإقليمي لأوروبا </w:t>
      </w:r>
      <w:r w:rsidR="00D63268">
        <w:rPr>
          <w:rFonts w:hint="cs"/>
          <w:rtl/>
          <w:lang w:bidi="ar-EG"/>
        </w:rPr>
        <w:t xml:space="preserve">لمجتمع الاتصالات الدولية الذي </w:t>
      </w:r>
      <w:r>
        <w:rPr>
          <w:rFonts w:hint="cs"/>
          <w:rtl/>
          <w:lang w:bidi="ar-EG"/>
        </w:rPr>
        <w:t>ع</w:t>
      </w:r>
      <w:r w:rsidR="00D63268">
        <w:rPr>
          <w:rFonts w:hint="cs"/>
          <w:rtl/>
          <w:lang w:bidi="ar-EG"/>
        </w:rPr>
        <w:t>ُ</w:t>
      </w:r>
      <w:r>
        <w:rPr>
          <w:rFonts w:hint="cs"/>
          <w:rtl/>
          <w:lang w:bidi="ar-EG"/>
        </w:rPr>
        <w:t xml:space="preserve">قد في سبتمبر </w:t>
      </w:r>
      <w:r>
        <w:rPr>
          <w:lang w:bidi="ar-EG"/>
        </w:rPr>
        <w:t>2016</w:t>
      </w:r>
      <w:r>
        <w:rPr>
          <w:rFonts w:hint="cs"/>
          <w:rtl/>
          <w:lang w:bidi="ar-EG"/>
        </w:rPr>
        <w:t>.</w:t>
      </w:r>
    </w:p>
    <w:p w:rsidR="000313EF" w:rsidRDefault="000313EF" w:rsidP="00431AB4">
      <w:pPr>
        <w:rPr>
          <w:rtl/>
          <w:lang w:bidi="ar-EG"/>
        </w:rPr>
      </w:pPr>
      <w:r>
        <w:rPr>
          <w:rFonts w:hint="cs"/>
          <w:rtl/>
          <w:lang w:bidi="ar-EG"/>
        </w:rPr>
        <w:t>وع</w:t>
      </w:r>
      <w:r w:rsidR="004E2C5E">
        <w:rPr>
          <w:rFonts w:hint="cs"/>
          <w:rtl/>
          <w:lang w:bidi="ar-EG"/>
        </w:rPr>
        <w:t>ُ</w:t>
      </w:r>
      <w:r>
        <w:rPr>
          <w:rFonts w:hint="cs"/>
          <w:rtl/>
          <w:lang w:bidi="ar-EG"/>
        </w:rPr>
        <w:t xml:space="preserve">قد مؤتمر لأوروبا الوسطى بشأن منابر الحوار بين القطاعين العام والخاص وذلك لتعزيز هذا الحوار وبناء شراكات في مجال الأمن السيبراني، وسيعقد مؤتمر مماثل في </w:t>
      </w:r>
      <w:r>
        <w:rPr>
          <w:lang w:bidi="ar-EG"/>
        </w:rPr>
        <w:t>2016</w:t>
      </w:r>
      <w:r>
        <w:rPr>
          <w:rFonts w:hint="cs"/>
          <w:rtl/>
          <w:lang w:bidi="ar-EG"/>
        </w:rPr>
        <w:t>.</w:t>
      </w:r>
    </w:p>
    <w:p w:rsidR="000313EF" w:rsidRDefault="000313EF" w:rsidP="000313EF">
      <w:pPr>
        <w:pStyle w:val="Heading1"/>
        <w:rPr>
          <w:rtl/>
        </w:rPr>
      </w:pPr>
      <w:r>
        <w:t>3</w:t>
      </w:r>
      <w:r>
        <w:tab/>
      </w:r>
      <w:r>
        <w:rPr>
          <w:rFonts w:hint="cs"/>
          <w:rtl/>
        </w:rPr>
        <w:t>التدابير العالمية ونتائجها</w:t>
      </w:r>
    </w:p>
    <w:p w:rsidR="000313EF" w:rsidRDefault="000313EF" w:rsidP="000313EF">
      <w:pPr>
        <w:pStyle w:val="Heading2"/>
        <w:rPr>
          <w:rtl/>
        </w:rPr>
      </w:pPr>
      <w:r>
        <w:t>1.3</w:t>
      </w:r>
      <w:r>
        <w:rPr>
          <w:rtl/>
        </w:rPr>
        <w:tab/>
      </w:r>
      <w:r>
        <w:rPr>
          <w:rFonts w:hint="cs"/>
          <w:rtl/>
        </w:rPr>
        <w:t>منتجات وأدوات إقامة الشراكات وتعبئة الموارد</w:t>
      </w:r>
    </w:p>
    <w:p w:rsidR="00D63268" w:rsidRDefault="00D63268" w:rsidP="00D63268">
      <w:pPr>
        <w:jc w:val="left"/>
        <w:rPr>
          <w:rtl/>
          <w:lang w:bidi="ar-EG"/>
        </w:rPr>
      </w:pPr>
      <w:r w:rsidRPr="00D2269D">
        <w:rPr>
          <w:rFonts w:hint="cs"/>
          <w:rtl/>
          <w:lang w:bidi="ar"/>
        </w:rPr>
        <w:t>أنشأ مكتب تنمية الاتصالات أدوات داخلية وخارجية مختلفة تهدف إلى دعم جهود</w:t>
      </w:r>
      <w:r>
        <w:rPr>
          <w:rFonts w:hint="cs"/>
          <w:rtl/>
          <w:lang w:bidi="ar"/>
        </w:rPr>
        <w:t>ه</w:t>
      </w:r>
      <w:r w:rsidRPr="00D2269D">
        <w:rPr>
          <w:rFonts w:hint="cs"/>
          <w:rtl/>
          <w:lang w:bidi="ar"/>
        </w:rPr>
        <w:t xml:space="preserve"> في مجال الشراكة وتعبئة الموارد </w:t>
      </w:r>
      <w:hyperlink r:id="rId12" w:history="1">
        <w:r w:rsidRPr="002805B9">
          <w:rPr>
            <w:rStyle w:val="Hyperlink"/>
            <w:rFonts w:ascii="Calibri" w:hAnsi="Calibri" w:hint="cs"/>
            <w:rtl/>
            <w:lang w:bidi="ar"/>
          </w:rPr>
          <w:t>لمشاري</w:t>
        </w:r>
        <w:r w:rsidR="00990E04">
          <w:rPr>
            <w:rStyle w:val="Hyperlink"/>
            <w:rFonts w:ascii="Calibri" w:hAnsi="Calibri" w:hint="cs"/>
            <w:rtl/>
            <w:lang w:bidi="ar"/>
          </w:rPr>
          <w:t>ع قطا</w:t>
        </w:r>
        <w:r w:rsidRPr="002805B9">
          <w:rPr>
            <w:rStyle w:val="Hyperlink"/>
            <w:rFonts w:ascii="Calibri" w:hAnsi="Calibri" w:hint="cs"/>
            <w:rtl/>
            <w:lang w:bidi="ar"/>
          </w:rPr>
          <w:t>ع تنمية الاتصالات</w:t>
        </w:r>
      </w:hyperlink>
      <w:r w:rsidRPr="00D2269D">
        <w:rPr>
          <w:rFonts w:hint="cs"/>
          <w:rtl/>
          <w:lang w:bidi="ar"/>
        </w:rPr>
        <w:t xml:space="preserve"> وتنفيذ مبادرات مثل:</w:t>
      </w:r>
    </w:p>
    <w:p w:rsidR="000313EF" w:rsidRDefault="000313EF" w:rsidP="00442A8A">
      <w:pPr>
        <w:pStyle w:val="enumlev10"/>
        <w:rPr>
          <w:rtl/>
        </w:rPr>
      </w:pPr>
      <w:r>
        <w:rPr>
          <w:rFonts w:hint="cs"/>
          <w:rtl/>
        </w:rPr>
        <w:t>-</w:t>
      </w:r>
      <w:r>
        <w:rPr>
          <w:rFonts w:hint="cs"/>
          <w:rtl/>
        </w:rPr>
        <w:tab/>
      </w:r>
      <w:r>
        <w:rPr>
          <w:rFonts w:hint="cs"/>
          <w:b/>
          <w:bCs/>
          <w:i/>
          <w:iCs/>
          <w:rtl/>
        </w:rPr>
        <w:t xml:space="preserve">قاعدة بيانات الشركاء في التمويل: </w:t>
      </w:r>
      <w:r>
        <w:rPr>
          <w:rFonts w:hint="cs"/>
          <w:rtl/>
        </w:rPr>
        <w:t>وت</w:t>
      </w:r>
      <w:r w:rsidRPr="004A39F4">
        <w:rPr>
          <w:rFonts w:hint="cs"/>
          <w:rtl/>
        </w:rPr>
        <w:t xml:space="preserve">ضم </w:t>
      </w:r>
      <w:r w:rsidRPr="00866E42">
        <w:rPr>
          <w:rFonts w:hint="cs"/>
          <w:rtl/>
        </w:rPr>
        <w:t>نبذات</w:t>
      </w:r>
      <w:r w:rsidRPr="004A39F4">
        <w:rPr>
          <w:rFonts w:hint="cs"/>
          <w:rtl/>
        </w:rPr>
        <w:t xml:space="preserve"> عن نحو </w:t>
      </w:r>
      <w:r w:rsidRPr="004A39F4">
        <w:t>110</w:t>
      </w:r>
      <w:r>
        <w:rPr>
          <w:rFonts w:hint="cs"/>
          <w:rtl/>
        </w:rPr>
        <w:t xml:space="preserve"> من الشركاء الحاليين والمحتملين من الإدارات والوكالات الثنائية/المتعددة الأطراف، وبنوك التنمية، والمؤسسات، وشركات القطاع الخاص.</w:t>
      </w:r>
    </w:p>
    <w:p w:rsidR="000313EF" w:rsidRDefault="000313EF" w:rsidP="00442A8A">
      <w:pPr>
        <w:pStyle w:val="enumlev10"/>
        <w:rPr>
          <w:rtl/>
          <w:lang w:bidi="ar-EG"/>
        </w:rPr>
      </w:pPr>
      <w:r>
        <w:rPr>
          <w:rFonts w:hint="cs"/>
          <w:rtl/>
        </w:rPr>
        <w:t>-</w:t>
      </w:r>
      <w:r>
        <w:rPr>
          <w:rFonts w:hint="cs"/>
          <w:rtl/>
        </w:rPr>
        <w:tab/>
      </w:r>
      <w:r>
        <w:rPr>
          <w:rFonts w:hint="cs"/>
          <w:b/>
          <w:bCs/>
          <w:i/>
          <w:iCs/>
          <w:rtl/>
        </w:rPr>
        <w:t>قاعدة بيانات اتفاقات الشراكة:</w:t>
      </w:r>
      <w:r>
        <w:rPr>
          <w:rFonts w:hint="cs"/>
          <w:rtl/>
        </w:rPr>
        <w:t xml:space="preserve"> </w:t>
      </w:r>
      <w:r w:rsidR="008C2F0D">
        <w:rPr>
          <w:rFonts w:hint="cs"/>
          <w:rtl/>
          <w:lang w:bidi="ar"/>
        </w:rPr>
        <w:t>نحو</w:t>
      </w:r>
      <w:r w:rsidR="008C2F0D" w:rsidRPr="00D2269D">
        <w:rPr>
          <w:rFonts w:hint="cs"/>
          <w:rtl/>
          <w:lang w:bidi="ar"/>
        </w:rPr>
        <w:t xml:space="preserve"> </w:t>
      </w:r>
      <w:r w:rsidR="00AB5201">
        <w:rPr>
          <w:lang w:bidi="ar"/>
        </w:rPr>
        <w:t>930</w:t>
      </w:r>
      <w:r w:rsidR="008C2F0D" w:rsidRPr="00D2269D">
        <w:rPr>
          <w:rFonts w:hint="cs"/>
          <w:rtl/>
          <w:lang w:bidi="ar"/>
        </w:rPr>
        <w:t xml:space="preserve"> اتفاقا</w:t>
      </w:r>
      <w:r w:rsidR="008C2F0D">
        <w:rPr>
          <w:rFonts w:hint="cs"/>
          <w:rtl/>
          <w:lang w:bidi="ar"/>
        </w:rPr>
        <w:t>ً وقعها الاتحاد/</w:t>
      </w:r>
      <w:r w:rsidR="008C2F0D" w:rsidRPr="00D2269D">
        <w:rPr>
          <w:rFonts w:hint="cs"/>
          <w:rtl/>
          <w:lang w:bidi="ar"/>
        </w:rPr>
        <w:t>مكتب تنمية الاتصا</w:t>
      </w:r>
      <w:r w:rsidR="00773595">
        <w:rPr>
          <w:rFonts w:hint="cs"/>
          <w:rtl/>
          <w:lang w:bidi="ar"/>
        </w:rPr>
        <w:t>لات مع مختلف أصحاب المصلحة فيما</w:t>
      </w:r>
      <w:r w:rsidR="00773595">
        <w:rPr>
          <w:rFonts w:hint="eastAsia"/>
          <w:rtl/>
          <w:lang w:bidi="ar"/>
        </w:rPr>
        <w:t> </w:t>
      </w:r>
      <w:r w:rsidR="008C2F0D" w:rsidRPr="00D2269D">
        <w:rPr>
          <w:rFonts w:hint="cs"/>
          <w:rtl/>
          <w:lang w:bidi="ar"/>
        </w:rPr>
        <w:t>يتعلق بالأنشطة والمبادرات والمشاريع الوطنية والإقليمية والعالمية.</w:t>
      </w:r>
    </w:p>
    <w:p w:rsidR="000313EF" w:rsidRPr="008C2F0D" w:rsidRDefault="000313EF" w:rsidP="005C1822">
      <w:pPr>
        <w:pStyle w:val="enumlev10"/>
        <w:tabs>
          <w:tab w:val="clear" w:pos="794"/>
        </w:tabs>
        <w:rPr>
          <w:rtl/>
          <w:lang w:bidi="ar-EG"/>
        </w:rPr>
      </w:pPr>
      <w:r>
        <w:rPr>
          <w:rFonts w:hint="cs"/>
          <w:rtl/>
          <w:lang w:bidi="ar-EG"/>
        </w:rPr>
        <w:lastRenderedPageBreak/>
        <w:t>-</w:t>
      </w:r>
      <w:r>
        <w:rPr>
          <w:rFonts w:hint="cs"/>
          <w:rtl/>
          <w:lang w:bidi="ar-EG"/>
        </w:rPr>
        <w:tab/>
      </w:r>
      <w:hyperlink r:id="rId13" w:history="1">
        <w:r w:rsidRPr="000313EF">
          <w:rPr>
            <w:rStyle w:val="Hyperlink"/>
            <w:rFonts w:ascii="Calibri" w:hAnsi="Calibri" w:hint="cs"/>
            <w:b/>
            <w:bCs/>
            <w:i/>
            <w:iCs/>
            <w:rtl/>
            <w:lang w:bidi="ar-EG"/>
          </w:rPr>
          <w:t>الموقع الإلكتروني لفرص إقامة الشرا</w:t>
        </w:r>
        <w:r w:rsidR="008D5834">
          <w:rPr>
            <w:rStyle w:val="Hyperlink"/>
            <w:rFonts w:ascii="Calibri" w:hAnsi="Calibri" w:hint="cs"/>
            <w:b/>
            <w:bCs/>
            <w:i/>
            <w:iCs/>
            <w:rtl/>
            <w:lang w:bidi="ar-EG"/>
          </w:rPr>
          <w:t>كات</w:t>
        </w:r>
      </w:hyperlink>
      <w:r w:rsidR="008C2F0D" w:rsidRPr="00442A8A">
        <w:rPr>
          <w:rFonts w:hint="cs"/>
          <w:rtl/>
        </w:rPr>
        <w:t>:</w:t>
      </w:r>
      <w:r w:rsidR="008C2F0D" w:rsidRPr="00AB5201">
        <w:rPr>
          <w:rStyle w:val="Hyperlink"/>
          <w:rFonts w:ascii="Calibri" w:hAnsi="Calibri" w:hint="cs"/>
          <w:color w:val="auto"/>
          <w:u w:val="none"/>
          <w:rtl/>
          <w:lang w:bidi="ar-EG"/>
        </w:rPr>
        <w:t xml:space="preserve"> </w:t>
      </w:r>
      <w:r w:rsidR="008C2F0D" w:rsidRPr="00D2269D">
        <w:rPr>
          <w:rFonts w:hint="cs"/>
          <w:rtl/>
          <w:lang w:bidi="ar"/>
        </w:rPr>
        <w:t>تقديم معلومات عن مشاريع مكتب تنمية الاتصالات</w:t>
      </w:r>
      <w:r w:rsidR="008C2F0D" w:rsidRPr="008C2F0D">
        <w:rPr>
          <w:rFonts w:hint="cs"/>
          <w:rtl/>
          <w:lang w:bidi="ar"/>
        </w:rPr>
        <w:t xml:space="preserve"> </w:t>
      </w:r>
      <w:r w:rsidR="008C2F0D" w:rsidRPr="00D2269D">
        <w:rPr>
          <w:rFonts w:hint="cs"/>
          <w:rtl/>
          <w:lang w:bidi="ar"/>
        </w:rPr>
        <w:t>ومبادرات</w:t>
      </w:r>
      <w:r w:rsidR="008C2F0D">
        <w:rPr>
          <w:rFonts w:hint="cs"/>
          <w:rtl/>
          <w:lang w:bidi="ar"/>
        </w:rPr>
        <w:t>ه</w:t>
      </w:r>
      <w:r w:rsidR="008C2F0D" w:rsidRPr="00D2269D">
        <w:rPr>
          <w:rFonts w:hint="cs"/>
          <w:rtl/>
          <w:lang w:bidi="ar"/>
        </w:rPr>
        <w:t xml:space="preserve"> لكي ينظر فيها الشركاء المحتملون من أجل الشروع في مناقشة مقترحات أكثر اكتمالا</w:t>
      </w:r>
      <w:r w:rsidR="008C2F0D">
        <w:rPr>
          <w:rFonts w:hint="cs"/>
          <w:rtl/>
          <w:lang w:bidi="ar"/>
        </w:rPr>
        <w:t>ً</w:t>
      </w:r>
      <w:r w:rsidR="008C2F0D" w:rsidRPr="008C2F0D">
        <w:rPr>
          <w:rFonts w:hint="cs"/>
          <w:rtl/>
          <w:lang w:bidi="ar"/>
        </w:rPr>
        <w:t xml:space="preserve"> </w:t>
      </w:r>
      <w:r w:rsidR="008C2F0D" w:rsidRPr="00D2269D">
        <w:rPr>
          <w:rFonts w:hint="cs"/>
          <w:rtl/>
          <w:lang w:bidi="ar"/>
        </w:rPr>
        <w:t>ومواصلة</w:t>
      </w:r>
      <w:r w:rsidR="008C2F0D">
        <w:rPr>
          <w:rFonts w:hint="cs"/>
          <w:rtl/>
          <w:lang w:bidi="ar"/>
        </w:rPr>
        <w:t xml:space="preserve"> إعدادها</w:t>
      </w:r>
      <w:r w:rsidR="008C2F0D">
        <w:rPr>
          <w:rStyle w:val="FootnoteReference"/>
          <w:rtl/>
          <w:lang w:bidi="ar"/>
        </w:rPr>
        <w:footnoteReference w:id="2"/>
      </w:r>
      <w:r w:rsidR="008C2F0D" w:rsidRPr="00D2269D">
        <w:rPr>
          <w:rFonts w:hint="cs"/>
          <w:rtl/>
          <w:lang w:bidi="ar"/>
        </w:rPr>
        <w:t>.</w:t>
      </w:r>
    </w:p>
    <w:p w:rsidR="00AA7C7D" w:rsidRPr="008C2F0D" w:rsidRDefault="000313EF" w:rsidP="00866E42">
      <w:pPr>
        <w:tabs>
          <w:tab w:val="clear" w:pos="1134"/>
        </w:tabs>
        <w:rPr>
          <w:rtl/>
          <w:lang w:bidi="ar"/>
        </w:rPr>
      </w:pPr>
      <w:r>
        <w:rPr>
          <w:rFonts w:hint="cs"/>
          <w:rtl/>
          <w:lang w:bidi="ar-EG"/>
        </w:rPr>
        <w:t>-</w:t>
      </w:r>
      <w:r>
        <w:rPr>
          <w:rFonts w:hint="cs"/>
          <w:rtl/>
          <w:lang w:bidi="ar-EG"/>
        </w:rPr>
        <w:tab/>
      </w:r>
      <w:hyperlink r:id="rId14" w:history="1">
        <w:r w:rsidRPr="004D104B">
          <w:rPr>
            <w:rStyle w:val="Hyperlink"/>
            <w:rFonts w:ascii="Calibri" w:hAnsi="Calibri" w:hint="cs"/>
            <w:b/>
            <w:bCs/>
            <w:i/>
            <w:iCs/>
            <w:rtl/>
            <w:lang w:bidi="ar-EG"/>
          </w:rPr>
          <w:t>الموقع الإلكتروني لفرص الرعاية</w:t>
        </w:r>
      </w:hyperlink>
      <w:r w:rsidRPr="00442A8A">
        <w:rPr>
          <w:rFonts w:hint="cs"/>
          <w:rtl/>
          <w:lang w:bidi="ar-EG"/>
        </w:rPr>
        <w:t xml:space="preserve">: </w:t>
      </w:r>
      <w:r w:rsidR="00585D44" w:rsidRPr="00D2269D">
        <w:rPr>
          <w:rFonts w:hint="cs"/>
          <w:rtl/>
          <w:lang w:bidi="ar"/>
        </w:rPr>
        <w:t xml:space="preserve">منصة تفاعلية للرعاية </w:t>
      </w:r>
      <w:r w:rsidR="00585D44">
        <w:rPr>
          <w:rFonts w:hint="cs"/>
          <w:rtl/>
          <w:lang w:bidi="ar"/>
        </w:rPr>
        <w:t>أُعدت</w:t>
      </w:r>
      <w:r w:rsidR="00585D44" w:rsidRPr="00D2269D">
        <w:rPr>
          <w:rFonts w:hint="cs"/>
          <w:rtl/>
          <w:lang w:bidi="ar"/>
        </w:rPr>
        <w:t xml:space="preserve"> حديثا</w:t>
      </w:r>
      <w:r w:rsidR="00585D44">
        <w:rPr>
          <w:rFonts w:hint="cs"/>
          <w:rtl/>
          <w:lang w:bidi="ar"/>
        </w:rPr>
        <w:t>ً</w:t>
      </w:r>
      <w:r w:rsidR="00585D44" w:rsidRPr="00D2269D">
        <w:rPr>
          <w:rFonts w:hint="cs"/>
          <w:rtl/>
          <w:lang w:bidi="ar"/>
        </w:rPr>
        <w:t xml:space="preserve">، وهي متاحة باللغات الرسمية الست للاتحاد، </w:t>
      </w:r>
      <w:r w:rsidR="00585D44">
        <w:rPr>
          <w:rFonts w:hint="cs"/>
          <w:rtl/>
          <w:lang w:bidi="ar"/>
        </w:rPr>
        <w:t>و</w:t>
      </w:r>
      <w:r w:rsidR="00585D44" w:rsidRPr="00D2269D">
        <w:rPr>
          <w:rFonts w:hint="cs"/>
          <w:rtl/>
          <w:lang w:bidi="ar"/>
        </w:rPr>
        <w:t>تقترح فرصا</w:t>
      </w:r>
      <w:r w:rsidR="00585D44">
        <w:rPr>
          <w:rFonts w:hint="cs"/>
          <w:rtl/>
          <w:lang w:bidi="ar"/>
        </w:rPr>
        <w:t>ً</w:t>
      </w:r>
      <w:r w:rsidR="00585D44" w:rsidRPr="00D2269D">
        <w:rPr>
          <w:rFonts w:hint="cs"/>
          <w:rtl/>
          <w:lang w:bidi="ar"/>
        </w:rPr>
        <w:t xml:space="preserve"> </w:t>
      </w:r>
      <w:r w:rsidR="00866E42">
        <w:rPr>
          <w:rFonts w:hint="cs"/>
          <w:rtl/>
          <w:lang w:bidi="ar"/>
        </w:rPr>
        <w:t>للجهات المعنية</w:t>
      </w:r>
      <w:r w:rsidR="00585D44" w:rsidRPr="00D2269D">
        <w:rPr>
          <w:rFonts w:hint="cs"/>
          <w:rtl/>
          <w:lang w:bidi="ar"/>
        </w:rPr>
        <w:t xml:space="preserve"> </w:t>
      </w:r>
      <w:r w:rsidR="00866E42">
        <w:rPr>
          <w:rFonts w:hint="cs"/>
          <w:rtl/>
          <w:lang w:bidi="ar"/>
        </w:rPr>
        <w:t>لتسليط الضوء عليها</w:t>
      </w:r>
      <w:r w:rsidR="00585D44" w:rsidRPr="00585D44">
        <w:rPr>
          <w:rtl/>
          <w:lang w:bidi="ar-SY"/>
        </w:rPr>
        <w:t xml:space="preserve"> </w:t>
      </w:r>
      <w:r w:rsidR="00585D44">
        <w:rPr>
          <w:rFonts w:hint="cs"/>
          <w:rtl/>
          <w:lang w:bidi="ar"/>
        </w:rPr>
        <w:t>وتروج</w:t>
      </w:r>
      <w:r w:rsidR="00585D44" w:rsidRPr="00D2269D">
        <w:rPr>
          <w:rFonts w:hint="cs"/>
          <w:rtl/>
          <w:lang w:bidi="ar"/>
        </w:rPr>
        <w:t xml:space="preserve"> لعلامات تجارية و</w:t>
      </w:r>
      <w:r w:rsidR="00585D44">
        <w:rPr>
          <w:rFonts w:hint="cs"/>
          <w:rtl/>
          <w:lang w:bidi="ar"/>
        </w:rPr>
        <w:t>ت</w:t>
      </w:r>
      <w:r w:rsidR="00585D44" w:rsidRPr="00D2269D">
        <w:rPr>
          <w:rFonts w:hint="cs"/>
          <w:rtl/>
          <w:lang w:bidi="ar"/>
        </w:rPr>
        <w:t xml:space="preserve">عرض منتجات تكنولوجيا المعلومات والاتصالات وحلولها من خلال الأنشطة الجانبية والاجتماعية </w:t>
      </w:r>
      <w:r w:rsidR="00585D44">
        <w:rPr>
          <w:rFonts w:hint="cs"/>
          <w:rtl/>
          <w:lang w:bidi="ar"/>
        </w:rPr>
        <w:t xml:space="preserve">المرافقة </w:t>
      </w:r>
      <w:r w:rsidR="00585D44" w:rsidRPr="00D2269D">
        <w:rPr>
          <w:rFonts w:hint="cs"/>
          <w:rtl/>
          <w:lang w:bidi="ar"/>
        </w:rPr>
        <w:t>للأح</w:t>
      </w:r>
      <w:r w:rsidR="00585D44">
        <w:rPr>
          <w:rFonts w:hint="cs"/>
          <w:rtl/>
          <w:lang w:bidi="ar"/>
        </w:rPr>
        <w:t>داث العالمية أو الإقليمية التي ي</w:t>
      </w:r>
      <w:r w:rsidR="00585D44" w:rsidRPr="00D2269D">
        <w:rPr>
          <w:rFonts w:hint="cs"/>
          <w:rtl/>
          <w:lang w:bidi="ar"/>
        </w:rPr>
        <w:t>نظمها مكتب تنمية الاتصالات.</w:t>
      </w:r>
      <w:r w:rsidR="00AA7C7D" w:rsidRPr="00AA7C7D">
        <w:rPr>
          <w:rFonts w:hint="cs"/>
          <w:rtl/>
          <w:lang w:bidi="ar"/>
        </w:rPr>
        <w:t xml:space="preserve"> </w:t>
      </w:r>
      <w:r w:rsidR="00AA7C7D" w:rsidRPr="00D2269D">
        <w:rPr>
          <w:rFonts w:hint="cs"/>
          <w:rtl/>
          <w:lang w:bidi="ar"/>
        </w:rPr>
        <w:t>وت</w:t>
      </w:r>
      <w:r w:rsidR="00AA7C7D">
        <w:rPr>
          <w:rFonts w:hint="cs"/>
          <w:rtl/>
          <w:lang w:bidi="ar"/>
        </w:rPr>
        <w:t>ُ</w:t>
      </w:r>
      <w:r w:rsidR="00AA7C7D" w:rsidRPr="00D2269D">
        <w:rPr>
          <w:rFonts w:hint="cs"/>
          <w:rtl/>
          <w:lang w:bidi="ar"/>
        </w:rPr>
        <w:t xml:space="preserve">قترح </w:t>
      </w:r>
      <w:r w:rsidR="00AA7C7D">
        <w:rPr>
          <w:rFonts w:hint="cs"/>
          <w:rtl/>
          <w:lang w:bidi="ar"/>
        </w:rPr>
        <w:t>باقات</w:t>
      </w:r>
      <w:r w:rsidR="00AA7C7D" w:rsidRPr="00D2269D">
        <w:rPr>
          <w:rFonts w:hint="cs"/>
          <w:rtl/>
          <w:lang w:bidi="ar"/>
        </w:rPr>
        <w:t xml:space="preserve"> الر</w:t>
      </w:r>
      <w:r w:rsidR="00AA7C7D">
        <w:rPr>
          <w:rFonts w:hint="cs"/>
          <w:rtl/>
          <w:lang w:bidi="ar"/>
        </w:rPr>
        <w:t>عاية الحالية للأنشطة الجانبية و</w:t>
      </w:r>
      <w:r w:rsidR="00AA7C7D" w:rsidRPr="00D2269D">
        <w:rPr>
          <w:rFonts w:hint="cs"/>
          <w:rtl/>
          <w:lang w:bidi="ar"/>
        </w:rPr>
        <w:t xml:space="preserve">/أو الاجتماعية بمناسبة </w:t>
      </w:r>
      <w:r w:rsidR="00AA7C7D" w:rsidRPr="00AA7C7D">
        <w:rPr>
          <w:rFonts w:hint="eastAsia"/>
          <w:rtl/>
          <w:lang w:bidi="ar"/>
        </w:rPr>
        <w:t>الندوة</w:t>
      </w:r>
      <w:r w:rsidR="00AA7C7D" w:rsidRPr="00AA7C7D">
        <w:rPr>
          <w:rtl/>
          <w:lang w:bidi="ar"/>
        </w:rPr>
        <w:t xml:space="preserve"> </w:t>
      </w:r>
      <w:r w:rsidR="00AA7C7D" w:rsidRPr="00AA7C7D">
        <w:rPr>
          <w:rFonts w:hint="eastAsia"/>
          <w:rtl/>
          <w:lang w:bidi="ar"/>
        </w:rPr>
        <w:t>العالمية</w:t>
      </w:r>
      <w:r w:rsidR="00AA7C7D" w:rsidRPr="00AA7C7D">
        <w:rPr>
          <w:rtl/>
          <w:lang w:bidi="ar"/>
        </w:rPr>
        <w:t xml:space="preserve"> </w:t>
      </w:r>
      <w:r w:rsidR="00AA7C7D" w:rsidRPr="00AA7C7D">
        <w:rPr>
          <w:rFonts w:hint="eastAsia"/>
          <w:rtl/>
          <w:lang w:bidi="ar"/>
        </w:rPr>
        <w:t>لمنظمي</w:t>
      </w:r>
      <w:r w:rsidR="00AA7C7D" w:rsidRPr="00AA7C7D">
        <w:rPr>
          <w:rtl/>
          <w:lang w:bidi="ar"/>
        </w:rPr>
        <w:t xml:space="preserve"> </w:t>
      </w:r>
      <w:r w:rsidR="00AA7C7D" w:rsidRPr="00AA7C7D">
        <w:rPr>
          <w:rFonts w:hint="eastAsia"/>
          <w:rtl/>
          <w:lang w:bidi="ar"/>
        </w:rPr>
        <w:t>الاتصالات</w:t>
      </w:r>
      <w:r w:rsidR="00AA7C7D" w:rsidRPr="00AA7C7D">
        <w:rPr>
          <w:rtl/>
          <w:lang w:bidi="ar"/>
        </w:rPr>
        <w:t xml:space="preserve"> </w:t>
      </w:r>
      <w:r w:rsidR="00AA7C7D" w:rsidRPr="00AA7C7D">
        <w:rPr>
          <w:rFonts w:hint="eastAsia"/>
          <w:rtl/>
          <w:lang w:bidi="ar"/>
        </w:rPr>
        <w:t>لعام</w:t>
      </w:r>
      <w:r w:rsidR="00AA7C7D" w:rsidRPr="00AA7C7D">
        <w:rPr>
          <w:rtl/>
          <w:lang w:bidi="ar"/>
        </w:rPr>
        <w:t xml:space="preserve"> </w:t>
      </w:r>
      <w:r w:rsidR="00442A8A">
        <w:rPr>
          <w:lang w:bidi="ar"/>
        </w:rPr>
        <w:t>2017</w:t>
      </w:r>
      <w:r w:rsidR="00AA7C7D">
        <w:rPr>
          <w:rFonts w:hint="cs"/>
          <w:rtl/>
          <w:lang w:bidi="ar"/>
        </w:rPr>
        <w:t xml:space="preserve"> والمؤتمر العالمي لتنمية الاتصالات </w:t>
      </w:r>
      <w:r w:rsidR="00AA7C7D" w:rsidRPr="00AA7C7D">
        <w:rPr>
          <w:rFonts w:hint="eastAsia"/>
          <w:rtl/>
          <w:lang w:bidi="ar"/>
        </w:rPr>
        <w:t>لعام</w:t>
      </w:r>
      <w:r w:rsidR="00AA7C7D" w:rsidRPr="00AA7C7D">
        <w:rPr>
          <w:rtl/>
          <w:lang w:bidi="ar"/>
        </w:rPr>
        <w:t xml:space="preserve"> </w:t>
      </w:r>
      <w:r w:rsidR="00442A8A">
        <w:rPr>
          <w:lang w:bidi="ar"/>
        </w:rPr>
        <w:t>2017</w:t>
      </w:r>
      <w:r w:rsidR="00AA7C7D">
        <w:rPr>
          <w:rFonts w:hint="cs"/>
          <w:rtl/>
          <w:lang w:bidi="ar"/>
        </w:rPr>
        <w:t xml:space="preserve"> </w:t>
      </w:r>
      <w:r w:rsidR="00AA7C7D" w:rsidRPr="00D2269D">
        <w:rPr>
          <w:rFonts w:hint="cs"/>
          <w:rtl/>
          <w:lang w:bidi="ar"/>
        </w:rPr>
        <w:t>والذكرى السنوية الخامسة والعشرين ل</w:t>
      </w:r>
      <w:r w:rsidR="00AA7C7D">
        <w:rPr>
          <w:rFonts w:hint="cs"/>
          <w:rtl/>
          <w:lang w:bidi="ar"/>
        </w:rPr>
        <w:t xml:space="preserve">إنشاء </w:t>
      </w:r>
      <w:r w:rsidR="00AA7C7D" w:rsidRPr="00D2269D">
        <w:rPr>
          <w:rFonts w:hint="cs"/>
          <w:rtl/>
          <w:lang w:bidi="ar"/>
        </w:rPr>
        <w:t>قطاع تنمية الاتصالات.</w:t>
      </w:r>
      <w:r w:rsidR="00AA7C7D" w:rsidRPr="00AA7C7D">
        <w:rPr>
          <w:rFonts w:hint="cs"/>
          <w:rtl/>
          <w:lang w:bidi="ar"/>
        </w:rPr>
        <w:t xml:space="preserve"> </w:t>
      </w:r>
      <w:r w:rsidR="00AA7C7D" w:rsidRPr="00D2269D">
        <w:rPr>
          <w:rFonts w:hint="cs"/>
          <w:rtl/>
          <w:lang w:bidi="ar"/>
        </w:rPr>
        <w:t>وتقد</w:t>
      </w:r>
      <w:r w:rsidR="00AA7C7D">
        <w:rPr>
          <w:rFonts w:hint="cs"/>
          <w:rtl/>
          <w:lang w:bidi="ar"/>
        </w:rPr>
        <w:t>َّ</w:t>
      </w:r>
      <w:r w:rsidR="00AA7C7D" w:rsidRPr="00D2269D">
        <w:rPr>
          <w:rFonts w:hint="cs"/>
          <w:rtl/>
          <w:lang w:bidi="ar"/>
        </w:rPr>
        <w:t xml:space="preserve">م </w:t>
      </w:r>
      <w:r w:rsidR="00AA7C7D" w:rsidRPr="00866E42">
        <w:rPr>
          <w:rFonts w:hint="cs"/>
          <w:rtl/>
          <w:lang w:bidi="ar"/>
        </w:rPr>
        <w:t>خصومات</w:t>
      </w:r>
      <w:r w:rsidR="00AA7C7D" w:rsidRPr="00D2269D">
        <w:rPr>
          <w:rFonts w:hint="cs"/>
          <w:rtl/>
          <w:lang w:bidi="ar"/>
        </w:rPr>
        <w:t xml:space="preserve"> إلى أعضاء قط</w:t>
      </w:r>
      <w:r w:rsidR="00AA7C7D">
        <w:rPr>
          <w:rFonts w:hint="cs"/>
          <w:rtl/>
          <w:lang w:bidi="ar"/>
        </w:rPr>
        <w:t xml:space="preserve">اع </w:t>
      </w:r>
      <w:r w:rsidR="00AA7C7D" w:rsidRPr="00FE40AB">
        <w:rPr>
          <w:rFonts w:hint="cs"/>
          <w:rtl/>
        </w:rPr>
        <w:t xml:space="preserve">تنمية الاتصالات في </w:t>
      </w:r>
      <w:r w:rsidR="00866E42">
        <w:rPr>
          <w:rFonts w:hint="cs"/>
          <w:rtl/>
        </w:rPr>
        <w:t>الفعاليات</w:t>
      </w:r>
      <w:r w:rsidR="00AA7C7D" w:rsidRPr="00FE40AB">
        <w:rPr>
          <w:rFonts w:hint="cs"/>
          <w:rtl/>
        </w:rPr>
        <w:t xml:space="preserve">/الاجتماعات المفتوحة فضلاً عن الأنشطة المتعددة التي يرعاها. </w:t>
      </w:r>
      <w:r w:rsidR="00AA7C7D" w:rsidRPr="00866E42">
        <w:rPr>
          <w:rFonts w:hint="cs"/>
          <w:rtl/>
        </w:rPr>
        <w:t>وستُستخدم</w:t>
      </w:r>
      <w:r w:rsidR="00AA7C7D" w:rsidRPr="00FE40AB">
        <w:rPr>
          <w:rFonts w:hint="cs"/>
          <w:rtl/>
        </w:rPr>
        <w:t xml:space="preserve"> جميع الموارد التي تجري تعبئتها لتنظيم الأنشطة المشمولة بالرعاية، وتنفيذ الأنشطة والمشاريع والمبادرات، بما في ذلك المبادرات الإقليمية، في إطار خطة عمل المؤتمر العالمي لتنمية الاتصالات لعام </w:t>
      </w:r>
      <w:r w:rsidR="00FE40AB">
        <w:t>2014</w:t>
      </w:r>
      <w:r w:rsidR="00AA7C7D" w:rsidRPr="00D2269D">
        <w:rPr>
          <w:rFonts w:hint="cs"/>
          <w:rtl/>
          <w:lang w:bidi="ar"/>
        </w:rPr>
        <w:t>.</w:t>
      </w:r>
      <w:r w:rsidR="00F97218">
        <w:rPr>
          <w:rStyle w:val="FootnoteReference"/>
          <w:rtl/>
          <w:lang w:bidi="ar"/>
        </w:rPr>
        <w:footnoteReference w:id="3"/>
      </w:r>
    </w:p>
    <w:p w:rsidR="004D104B" w:rsidRPr="004A39F4" w:rsidRDefault="004D104B" w:rsidP="004D104B">
      <w:pPr>
        <w:pStyle w:val="Heading2"/>
        <w:rPr>
          <w:rtl/>
        </w:rPr>
      </w:pPr>
      <w:r>
        <w:t>2.3</w:t>
      </w:r>
      <w:r>
        <w:rPr>
          <w:rtl/>
        </w:rPr>
        <w:tab/>
      </w:r>
      <w:r>
        <w:rPr>
          <w:rFonts w:hint="cs"/>
          <w:rtl/>
        </w:rPr>
        <w:t>الشراكات العالمية</w:t>
      </w:r>
    </w:p>
    <w:p w:rsidR="008C6A23" w:rsidRPr="00F97218" w:rsidRDefault="008C6A23" w:rsidP="00866E42">
      <w:pPr>
        <w:rPr>
          <w:rtl/>
          <w:lang w:bidi="ar-EG"/>
        </w:rPr>
      </w:pPr>
      <w:bookmarkStart w:id="11" w:name="lt_pId095"/>
      <w:r w:rsidRPr="00D2269D">
        <w:rPr>
          <w:rFonts w:hint="cs"/>
          <w:rtl/>
          <w:lang w:bidi="ar"/>
        </w:rPr>
        <w:t>في حين يولي مكتب تنمية الاتصالات اهتماما</w:t>
      </w:r>
      <w:r>
        <w:rPr>
          <w:rFonts w:hint="cs"/>
          <w:rtl/>
          <w:lang w:bidi="ar"/>
        </w:rPr>
        <w:t>ً</w:t>
      </w:r>
      <w:r w:rsidRPr="00D2269D">
        <w:rPr>
          <w:rFonts w:hint="cs"/>
          <w:rtl/>
          <w:lang w:bidi="ar"/>
        </w:rPr>
        <w:t xml:space="preserve"> خاصا</w:t>
      </w:r>
      <w:r>
        <w:rPr>
          <w:rFonts w:hint="cs"/>
          <w:rtl/>
          <w:lang w:bidi="ar"/>
        </w:rPr>
        <w:t>ً</w:t>
      </w:r>
      <w:r w:rsidRPr="00D2269D">
        <w:rPr>
          <w:rFonts w:hint="cs"/>
          <w:rtl/>
          <w:lang w:bidi="ar"/>
        </w:rPr>
        <w:t xml:space="preserve"> </w:t>
      </w:r>
      <w:r>
        <w:rPr>
          <w:rFonts w:hint="cs"/>
          <w:rtl/>
          <w:lang w:bidi="ar"/>
        </w:rPr>
        <w:t>بتنشئة</w:t>
      </w:r>
      <w:r w:rsidRPr="00D2269D">
        <w:rPr>
          <w:rFonts w:hint="cs"/>
          <w:rtl/>
          <w:lang w:bidi="ar"/>
        </w:rPr>
        <w:t xml:space="preserve"> العلاقة مع الشركاء </w:t>
      </w:r>
      <w:r>
        <w:rPr>
          <w:rFonts w:hint="cs"/>
          <w:rtl/>
          <w:lang w:bidi="ar"/>
        </w:rPr>
        <w:t>القائمين</w:t>
      </w:r>
      <w:r w:rsidRPr="00D2269D">
        <w:rPr>
          <w:rFonts w:hint="cs"/>
          <w:rtl/>
          <w:lang w:bidi="ar"/>
        </w:rPr>
        <w:t xml:space="preserve"> </w:t>
      </w:r>
      <w:r>
        <w:rPr>
          <w:rFonts w:hint="cs"/>
          <w:rtl/>
          <w:lang w:bidi="ar"/>
        </w:rPr>
        <w:t>والانخراط معهم</w:t>
      </w:r>
      <w:r w:rsidRPr="00D2269D">
        <w:rPr>
          <w:rFonts w:hint="cs"/>
          <w:rtl/>
          <w:lang w:bidi="ar"/>
        </w:rPr>
        <w:t xml:space="preserve"> في علاقة دائمة، يدرك مكتب تنمية الاتصالات أيضا</w:t>
      </w:r>
      <w:r w:rsidR="00773595">
        <w:rPr>
          <w:rFonts w:hint="cs"/>
          <w:rtl/>
          <w:lang w:bidi="ar"/>
        </w:rPr>
        <w:t>ً</w:t>
      </w:r>
      <w:r w:rsidRPr="00D2269D">
        <w:rPr>
          <w:rFonts w:hint="cs"/>
          <w:rtl/>
          <w:lang w:bidi="ar"/>
        </w:rPr>
        <w:t xml:space="preserve"> أهمية توسيع قاعدة شركائه</w:t>
      </w:r>
      <w:r w:rsidRPr="008C6A23">
        <w:rPr>
          <w:rFonts w:hint="cs"/>
          <w:rtl/>
          <w:lang w:bidi="ar"/>
        </w:rPr>
        <w:t xml:space="preserve"> </w:t>
      </w:r>
      <w:r w:rsidRPr="00D2269D">
        <w:rPr>
          <w:rFonts w:hint="cs"/>
          <w:rtl/>
          <w:lang w:bidi="ar"/>
        </w:rPr>
        <w:t>وتنويع</w:t>
      </w:r>
      <w:r>
        <w:rPr>
          <w:rFonts w:hint="cs"/>
          <w:rtl/>
          <w:lang w:bidi="ar"/>
        </w:rPr>
        <w:t>ها</w:t>
      </w:r>
      <w:r w:rsidRPr="00D2269D">
        <w:rPr>
          <w:rFonts w:hint="cs"/>
          <w:rtl/>
          <w:lang w:bidi="ar"/>
        </w:rPr>
        <w:t xml:space="preserve"> من خلال أنشطة</w:t>
      </w:r>
      <w:r>
        <w:rPr>
          <w:rFonts w:hint="cs"/>
          <w:rtl/>
          <w:lang w:bidi="ar"/>
        </w:rPr>
        <w:t xml:space="preserve"> </w:t>
      </w:r>
      <w:r w:rsidR="00866E42">
        <w:rPr>
          <w:rFonts w:hint="cs"/>
          <w:rtl/>
          <w:lang w:bidi="ar"/>
        </w:rPr>
        <w:t>تفتح آفاق الشراكة</w:t>
      </w:r>
      <w:r>
        <w:rPr>
          <w:rFonts w:hint="cs"/>
          <w:rtl/>
          <w:lang w:bidi="ar"/>
        </w:rPr>
        <w:t xml:space="preserve"> </w:t>
      </w:r>
      <w:r w:rsidRPr="00D2269D">
        <w:rPr>
          <w:rFonts w:hint="cs"/>
          <w:rtl/>
          <w:lang w:bidi="ar"/>
        </w:rPr>
        <w:t>نحو شركاء غير تقليديين.</w:t>
      </w:r>
    </w:p>
    <w:bookmarkEnd w:id="11"/>
    <w:p w:rsidR="008C6A23" w:rsidRDefault="008C6A23" w:rsidP="002D7CF5">
      <w:pPr>
        <w:rPr>
          <w:rtl/>
          <w:lang w:bidi="ar"/>
        </w:rPr>
      </w:pPr>
      <w:r w:rsidRPr="00D2269D">
        <w:rPr>
          <w:rFonts w:hint="cs"/>
          <w:rtl/>
          <w:lang w:bidi="ar"/>
        </w:rPr>
        <w:t>ومن ثم، يبذل مكتب تنمية الاتصالات جهودا</w:t>
      </w:r>
      <w:r>
        <w:rPr>
          <w:rFonts w:hint="cs"/>
          <w:rtl/>
          <w:lang w:bidi="ar"/>
        </w:rPr>
        <w:t>ً</w:t>
      </w:r>
      <w:r w:rsidRPr="00D2269D">
        <w:rPr>
          <w:rFonts w:hint="cs"/>
          <w:rtl/>
          <w:lang w:bidi="ar"/>
        </w:rPr>
        <w:t xml:space="preserve"> خاصة في إطار النظام </w:t>
      </w:r>
      <w:r w:rsidR="002D7CF5">
        <w:rPr>
          <w:rFonts w:hint="cs"/>
          <w:rtl/>
          <w:lang w:bidi="ar"/>
        </w:rPr>
        <w:t>الإيكولوجي</w:t>
      </w:r>
      <w:r w:rsidRPr="00D2269D">
        <w:rPr>
          <w:rFonts w:hint="cs"/>
          <w:rtl/>
          <w:lang w:bidi="ar"/>
        </w:rPr>
        <w:t xml:space="preserve"> المتقارب لتكنولوجيا المعلومات والاتصالات للوصول إلى الكيانات العاملة في قطاعات أخرى مثل قطاعات الصحة/</w:t>
      </w:r>
      <w:r w:rsidRPr="00866E42">
        <w:rPr>
          <w:rFonts w:hint="cs"/>
          <w:rtl/>
          <w:lang w:bidi="ar"/>
        </w:rPr>
        <w:t>الصيدلة</w:t>
      </w:r>
      <w:r w:rsidRPr="00D2269D">
        <w:rPr>
          <w:rFonts w:hint="cs"/>
          <w:rtl/>
          <w:lang w:bidi="ar"/>
        </w:rPr>
        <w:t xml:space="preserve"> أو التمويل أو الزراعة (</w:t>
      </w:r>
      <w:r>
        <w:rPr>
          <w:rFonts w:hint="cs"/>
          <w:rtl/>
          <w:lang w:bidi="ar"/>
        </w:rPr>
        <w:t>ف</w:t>
      </w:r>
      <w:r w:rsidRPr="00D2269D">
        <w:rPr>
          <w:rFonts w:hint="cs"/>
          <w:rtl/>
          <w:lang w:bidi="ar"/>
        </w:rPr>
        <w:t xml:space="preserve">في عام </w:t>
      </w:r>
      <w:r w:rsidR="008B716A">
        <w:rPr>
          <w:lang w:bidi="ar"/>
        </w:rPr>
        <w:t>2016</w:t>
      </w:r>
      <w:r w:rsidRPr="008C6A23">
        <w:rPr>
          <w:rFonts w:hint="cs"/>
          <w:rtl/>
          <w:lang w:bidi="ar"/>
        </w:rPr>
        <w:t xml:space="preserve"> </w:t>
      </w:r>
      <w:r>
        <w:rPr>
          <w:rFonts w:hint="cs"/>
          <w:rtl/>
          <w:lang w:bidi="ar"/>
        </w:rPr>
        <w:t>على سبيل المثال</w:t>
      </w:r>
      <w:r w:rsidRPr="00D2269D">
        <w:rPr>
          <w:rFonts w:hint="cs"/>
          <w:rtl/>
          <w:lang w:bidi="ar"/>
        </w:rPr>
        <w:t xml:space="preserve">، </w:t>
      </w:r>
      <w:r w:rsidRPr="008B716A">
        <w:rPr>
          <w:rFonts w:hint="cs"/>
          <w:spacing w:val="-4"/>
          <w:rtl/>
          <w:lang w:bidi="ar"/>
        </w:rPr>
        <w:t>وُقِّعت شراكات مع منظمة الصحة العال</w:t>
      </w:r>
      <w:r w:rsidR="008B716A" w:rsidRPr="008B716A">
        <w:rPr>
          <w:rFonts w:hint="cs"/>
          <w:spacing w:val="-4"/>
          <w:rtl/>
          <w:lang w:bidi="ar"/>
        </w:rPr>
        <w:t>مية</w:t>
      </w:r>
      <w:r w:rsidR="008B716A" w:rsidRPr="008B716A">
        <w:rPr>
          <w:rFonts w:hint="cs"/>
          <w:spacing w:val="-4"/>
          <w:rtl/>
          <w:lang w:bidi="ar-EG"/>
        </w:rPr>
        <w:t xml:space="preserve"> </w:t>
      </w:r>
      <w:r w:rsidR="008B716A" w:rsidRPr="008B716A">
        <w:rPr>
          <w:spacing w:val="-4"/>
          <w:lang w:bidi="ar-EG"/>
        </w:rPr>
        <w:t>(</w:t>
      </w:r>
      <w:r w:rsidR="008B716A" w:rsidRPr="008B716A">
        <w:rPr>
          <w:rFonts w:asciiTheme="minorHAnsi" w:hAnsiTheme="minorHAnsi"/>
          <w:spacing w:val="-4"/>
          <w:szCs w:val="22"/>
        </w:rPr>
        <w:t>WHO</w:t>
      </w:r>
      <w:r w:rsidR="008B716A" w:rsidRPr="008B716A">
        <w:rPr>
          <w:spacing w:val="-4"/>
          <w:lang w:bidi="ar-EG"/>
        </w:rPr>
        <w:t>)</w:t>
      </w:r>
      <w:r w:rsidR="008B716A" w:rsidRPr="008B716A">
        <w:rPr>
          <w:rFonts w:hint="cs"/>
          <w:spacing w:val="-4"/>
          <w:rtl/>
          <w:lang w:bidi="ar"/>
        </w:rPr>
        <w:t>، والمديرية النرويجية للصحة</w:t>
      </w:r>
      <w:r w:rsidR="008B716A" w:rsidRPr="008B716A">
        <w:rPr>
          <w:rFonts w:hint="cs"/>
          <w:spacing w:val="-4"/>
          <w:rtl/>
          <w:lang w:bidi="ar-EG"/>
        </w:rPr>
        <w:t xml:space="preserve"> </w:t>
      </w:r>
      <w:r w:rsidR="008B716A" w:rsidRPr="008B716A">
        <w:rPr>
          <w:rFonts w:asciiTheme="minorHAnsi" w:hAnsiTheme="minorHAnsi"/>
          <w:spacing w:val="-4"/>
          <w:szCs w:val="22"/>
        </w:rPr>
        <w:t>(NDH)</w:t>
      </w:r>
      <w:r w:rsidR="008B716A" w:rsidRPr="008B716A">
        <w:rPr>
          <w:rFonts w:hint="cs"/>
          <w:spacing w:val="-4"/>
          <w:rtl/>
          <w:lang w:bidi="ar"/>
        </w:rPr>
        <w:t>،</w:t>
      </w:r>
      <w:r w:rsidRPr="008B716A">
        <w:rPr>
          <w:rFonts w:hint="cs"/>
          <w:spacing w:val="-4"/>
          <w:rtl/>
          <w:lang w:bidi="ar"/>
        </w:rPr>
        <w:t xml:space="preserve"> ومجموعة سانوفي أفانتيس</w:t>
      </w:r>
      <w:r w:rsidR="008B716A" w:rsidRPr="008B716A">
        <w:rPr>
          <w:rFonts w:hint="eastAsia"/>
          <w:spacing w:val="-4"/>
          <w:rtl/>
          <w:lang w:bidi="ar"/>
        </w:rPr>
        <w:t> </w:t>
      </w:r>
      <w:r w:rsidR="008B716A" w:rsidRPr="008B716A">
        <w:rPr>
          <w:spacing w:val="-4"/>
          <w:lang w:bidi="ar"/>
        </w:rPr>
        <w:t>(</w:t>
      </w:r>
      <w:r w:rsidRPr="008B716A">
        <w:rPr>
          <w:spacing w:val="-4"/>
          <w:lang w:bidi="ar-EG"/>
        </w:rPr>
        <w:t>Sanofi</w:t>
      </w:r>
      <w:r w:rsidR="008B716A" w:rsidRPr="008B716A">
        <w:rPr>
          <w:spacing w:val="-4"/>
          <w:lang w:bidi="ar-EG"/>
        </w:rPr>
        <w:t> </w:t>
      </w:r>
      <w:proofErr w:type="spellStart"/>
      <w:r w:rsidRPr="008B716A">
        <w:rPr>
          <w:spacing w:val="-4"/>
          <w:lang w:bidi="ar-EG"/>
        </w:rPr>
        <w:t>Avantis</w:t>
      </w:r>
      <w:proofErr w:type="spellEnd"/>
      <w:r w:rsidR="008B716A" w:rsidRPr="008B716A">
        <w:rPr>
          <w:spacing w:val="-4"/>
          <w:lang w:bidi="ar"/>
        </w:rPr>
        <w:t>)</w:t>
      </w:r>
      <w:r w:rsidRPr="008B716A">
        <w:rPr>
          <w:rFonts w:hint="cs"/>
          <w:spacing w:val="-4"/>
          <w:rtl/>
          <w:lang w:bidi="ar"/>
        </w:rPr>
        <w:t>،</w:t>
      </w:r>
      <w:r w:rsidRPr="00D2269D">
        <w:rPr>
          <w:rFonts w:hint="cs"/>
          <w:rtl/>
          <w:lang w:bidi="ar"/>
        </w:rPr>
        <w:t xml:space="preserve"> والتحالف من أجل الشمول المالي</w:t>
      </w:r>
      <w:r>
        <w:rPr>
          <w:rFonts w:hint="cs"/>
          <w:rtl/>
          <w:lang w:bidi="ar"/>
        </w:rPr>
        <w:t xml:space="preserve"> </w:t>
      </w:r>
      <w:r w:rsidRPr="00F97218">
        <w:rPr>
          <w:lang w:bidi="ar-EG"/>
        </w:rPr>
        <w:t>(AFI)</w:t>
      </w:r>
      <w:r w:rsidRPr="00D2269D">
        <w:rPr>
          <w:rFonts w:hint="cs"/>
          <w:rtl/>
          <w:lang w:bidi="ar"/>
        </w:rPr>
        <w:t xml:space="preserve">، ومنظمة الأغذية والزراعة </w:t>
      </w:r>
      <w:r w:rsidR="00145959">
        <w:rPr>
          <w:lang w:bidi="ar"/>
        </w:rPr>
        <w:t>(</w:t>
      </w:r>
      <w:r w:rsidRPr="00F97218">
        <w:rPr>
          <w:lang w:bidi="ar-EG"/>
        </w:rPr>
        <w:t>FAO</w:t>
      </w:r>
      <w:r w:rsidR="00145959">
        <w:rPr>
          <w:lang w:bidi="ar"/>
        </w:rPr>
        <w:t>)</w:t>
      </w:r>
      <w:r>
        <w:rPr>
          <w:rFonts w:hint="cs"/>
          <w:rtl/>
          <w:lang w:bidi="ar"/>
        </w:rPr>
        <w:t>) لدعم تنفيذ مشاريعه</w:t>
      </w:r>
      <w:r w:rsidRPr="00D2269D">
        <w:rPr>
          <w:rFonts w:hint="cs"/>
          <w:rtl/>
          <w:lang w:bidi="ar"/>
        </w:rPr>
        <w:t>.</w:t>
      </w:r>
    </w:p>
    <w:p w:rsidR="004D104B" w:rsidRDefault="004D104B" w:rsidP="004D104B">
      <w:pPr>
        <w:pStyle w:val="Heading1"/>
        <w:rPr>
          <w:rtl/>
        </w:rPr>
      </w:pPr>
      <w:r>
        <w:t>4</w:t>
      </w:r>
      <w:r>
        <w:tab/>
      </w:r>
      <w:r w:rsidRPr="00FA076E">
        <w:rPr>
          <w:rFonts w:hint="cs"/>
          <w:rtl/>
        </w:rPr>
        <w:t>النتائج</w:t>
      </w:r>
    </w:p>
    <w:p w:rsidR="004D104B" w:rsidRDefault="004D104B" w:rsidP="00E76270">
      <w:pPr>
        <w:rPr>
          <w:rtl/>
          <w:lang w:bidi="ar-EG"/>
        </w:rPr>
      </w:pPr>
      <w:r w:rsidRPr="00E76270">
        <w:rPr>
          <w:rFonts w:eastAsia="SimSun" w:hint="cs"/>
          <w:rtl/>
          <w:lang w:bidi="ar-EG"/>
        </w:rPr>
        <w:t xml:space="preserve">نتيجة لجهود مكتب تنمية الاتصالات في مجال إقامة الشراكات وتعبئة الموارد، تم توقيع نحو </w:t>
      </w:r>
      <w:r w:rsidR="00E76270" w:rsidRPr="00E76270">
        <w:rPr>
          <w:rFonts w:eastAsia="SimSun"/>
          <w:lang w:bidi="ar-EG"/>
        </w:rPr>
        <w:t>174</w:t>
      </w:r>
      <w:r w:rsidRPr="00E76270">
        <w:rPr>
          <w:rFonts w:eastAsia="SimSun" w:hint="cs"/>
          <w:rtl/>
          <w:lang w:bidi="ar-EG"/>
        </w:rPr>
        <w:t xml:space="preserve"> اتفاقاً جديداً و</w:t>
      </w:r>
      <w:r w:rsidRPr="00E76270">
        <w:rPr>
          <w:rFonts w:eastAsia="SimSun"/>
          <w:lang w:bidi="ar-EG"/>
        </w:rPr>
        <w:t>67</w:t>
      </w:r>
      <w:r w:rsidRPr="00E76270">
        <w:rPr>
          <w:rFonts w:eastAsia="SimSun" w:hint="cs"/>
          <w:rtl/>
          <w:lang w:bidi="ar-EG"/>
        </w:rPr>
        <w:t xml:space="preserve"> إضافة/تعديلاً بقيمة تقدّر بنحو </w:t>
      </w:r>
      <w:r w:rsidRPr="00E76270">
        <w:rPr>
          <w:rFonts w:eastAsia="SimSun"/>
          <w:lang w:bidi="ar-EG"/>
        </w:rPr>
        <w:t>32,6</w:t>
      </w:r>
      <w:r w:rsidRPr="00E76270">
        <w:rPr>
          <w:rFonts w:eastAsia="SimSun" w:hint="cs"/>
          <w:rtl/>
          <w:lang w:bidi="ar-EG"/>
        </w:rPr>
        <w:t xml:space="preserve"> مليون دولار أمريكي في الفترة بين </w:t>
      </w:r>
      <w:r w:rsidRPr="00E76270">
        <w:rPr>
          <w:rFonts w:eastAsia="SimSun"/>
          <w:lang w:bidi="ar-EG"/>
        </w:rPr>
        <w:t>2013</w:t>
      </w:r>
      <w:r w:rsidRPr="00E76270">
        <w:rPr>
          <w:rFonts w:eastAsia="SimSun" w:hint="cs"/>
          <w:rtl/>
          <w:lang w:bidi="ar-EG"/>
        </w:rPr>
        <w:t xml:space="preserve"> و</w:t>
      </w:r>
      <w:r w:rsidRPr="00E76270">
        <w:rPr>
          <w:rFonts w:eastAsia="SimSun"/>
          <w:lang w:bidi="ar-EG"/>
        </w:rPr>
        <w:t>2016</w:t>
      </w:r>
      <w:r w:rsidRPr="00E76270">
        <w:rPr>
          <w:rFonts w:eastAsia="SimSun" w:hint="cs"/>
          <w:rtl/>
          <w:lang w:bidi="ar-EG"/>
        </w:rPr>
        <w:t xml:space="preserve">. </w:t>
      </w:r>
      <w:r w:rsidRPr="00E76270">
        <w:rPr>
          <w:rFonts w:eastAsia="SimSun" w:hint="cs"/>
          <w:i/>
          <w:iCs/>
          <w:rtl/>
          <w:lang w:bidi="ar-EG"/>
        </w:rPr>
        <w:t>يمكن الاطلاع على مزيد من المعلومات في</w:t>
      </w:r>
      <w:r w:rsidRPr="00E76270">
        <w:rPr>
          <w:rFonts w:eastAsia="SimSun" w:hint="eastAsia"/>
          <w:i/>
          <w:iCs/>
          <w:rtl/>
          <w:lang w:bidi="ar-EG"/>
        </w:rPr>
        <w:t> </w:t>
      </w:r>
      <w:r w:rsidRPr="00E76270">
        <w:rPr>
          <w:rFonts w:eastAsia="SimSun" w:hint="cs"/>
          <w:i/>
          <w:iCs/>
          <w:rtl/>
          <w:lang w:bidi="ar-EG"/>
        </w:rPr>
        <w:t>الوثيقة</w:t>
      </w:r>
      <w:r w:rsidRPr="00E76270">
        <w:rPr>
          <w:rFonts w:eastAsia="SimSun" w:hint="eastAsia"/>
          <w:rtl/>
          <w:lang w:bidi="ar-EG"/>
        </w:rPr>
        <w:t> </w:t>
      </w:r>
      <w:r w:rsidRPr="00E76270">
        <w:rPr>
          <w:rFonts w:eastAsia="SimSun"/>
          <w:i/>
          <w:iCs/>
          <w:lang w:val="en-GB" w:bidi="ar-EG"/>
        </w:rPr>
        <w:t>INF/</w:t>
      </w:r>
      <w:r w:rsidR="00F06ABD" w:rsidRPr="00E76270">
        <w:rPr>
          <w:rFonts w:eastAsia="SimSun"/>
          <w:i/>
          <w:iCs/>
          <w:lang w:val="en-GB" w:bidi="ar-EG"/>
        </w:rPr>
        <w:t>2</w:t>
      </w:r>
      <w:r w:rsidRPr="00F06ABD">
        <w:rPr>
          <w:rFonts w:hint="cs"/>
          <w:rtl/>
          <w:lang w:bidi="ar-EG"/>
        </w:rPr>
        <w:t>.</w:t>
      </w:r>
    </w:p>
    <w:p w:rsidR="005909C4" w:rsidRPr="005909C4" w:rsidRDefault="004D104B" w:rsidP="005909C4">
      <w:pPr>
        <w:pStyle w:val="Figuretitle"/>
        <w:rPr>
          <w:sz w:val="6"/>
          <w:szCs w:val="6"/>
          <w:rtl/>
        </w:rPr>
      </w:pPr>
      <w:r w:rsidRPr="004D104B">
        <w:rPr>
          <w:rFonts w:hint="cs"/>
          <w:i/>
          <w:iCs/>
          <w:rtl/>
          <w:lang w:bidi="ar-SA"/>
        </w:rPr>
        <w:t>مخططات بيانية:</w:t>
      </w:r>
      <w:r w:rsidR="004C44D3">
        <w:rPr>
          <w:rFonts w:hint="cs"/>
          <w:i/>
          <w:iCs/>
          <w:rtl/>
          <w:lang w:bidi="ar-SA"/>
        </w:rPr>
        <w:t xml:space="preserve"> </w:t>
      </w:r>
      <w:r w:rsidRPr="004D104B">
        <w:rPr>
          <w:i/>
          <w:iCs/>
          <w:rtl/>
          <w:lang w:bidi="ar-SA"/>
        </w:rPr>
        <w:t xml:space="preserve">تحليل الاتفاقات الجديدة </w:t>
      </w:r>
      <w:r w:rsidR="00C65A6E">
        <w:rPr>
          <w:rFonts w:hint="cs"/>
          <w:i/>
          <w:iCs/>
          <w:rtl/>
          <w:lang w:bidi="ar-SA"/>
        </w:rPr>
        <w:t>الموقعة</w:t>
      </w:r>
      <w:r w:rsidR="00850E9F">
        <w:rPr>
          <w:i/>
          <w:iCs/>
          <w:rtl/>
          <w:lang w:bidi="ar-SA"/>
        </w:rPr>
        <w:t xml:space="preserve"> في الفترة</w:t>
      </w:r>
      <w:r w:rsidRPr="004D104B">
        <w:rPr>
          <w:rFonts w:hint="cs"/>
          <w:i/>
          <w:iCs/>
          <w:rtl/>
          <w:lang w:bidi="ar-SA"/>
        </w:rPr>
        <w:t xml:space="preserve"> بين </w:t>
      </w:r>
      <w:r w:rsidRPr="004D104B">
        <w:rPr>
          <w:i/>
          <w:iCs/>
          <w:lang w:bidi="ar-SA"/>
        </w:rPr>
        <w:t>2013</w:t>
      </w:r>
      <w:r w:rsidRPr="004D104B">
        <w:rPr>
          <w:rFonts w:hint="cs"/>
          <w:i/>
          <w:iCs/>
          <w:rtl/>
        </w:rPr>
        <w:t xml:space="preserve"> و</w:t>
      </w:r>
      <w:r w:rsidRPr="004D104B">
        <w:rPr>
          <w:i/>
          <w:iCs/>
        </w:rPr>
        <w:t>2016</w:t>
      </w:r>
      <w:r w:rsidRPr="004D104B">
        <w:rPr>
          <w:rFonts w:hint="cs"/>
          <w:sz w:val="6"/>
          <w:szCs w:val="6"/>
          <w:rtl/>
        </w:rPr>
        <w:t xml:space="preserve"> </w:t>
      </w:r>
      <w:r>
        <w:rPr>
          <w:rStyle w:val="FootnoteReference"/>
          <w:rtl/>
        </w:rPr>
        <w:footnoteReference w:id="4"/>
      </w:r>
    </w:p>
    <w:p w:rsidR="005909C4" w:rsidRPr="00A565EE" w:rsidRDefault="005909C4" w:rsidP="005909C4">
      <w:pPr>
        <w:spacing w:before="0" w:line="240" w:lineRule="auto"/>
        <w:rPr>
          <w:rFonts w:cs="Calibri"/>
          <w:szCs w:val="24"/>
        </w:rPr>
      </w:pPr>
      <w:r w:rsidRPr="00A565EE">
        <w:rPr>
          <w:noProof/>
          <w:szCs w:val="24"/>
          <w:lang w:eastAsia="zh-CN"/>
        </w:rPr>
        <w:drawing>
          <wp:inline distT="0" distB="0" distL="0" distR="0" wp14:anchorId="0A4FD462" wp14:editId="33936ECC">
            <wp:extent cx="2838450" cy="1966595"/>
            <wp:effectExtent l="0" t="0" r="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A565EE">
        <w:rPr>
          <w:noProof/>
          <w:szCs w:val="24"/>
          <w:lang w:eastAsia="zh-CN"/>
        </w:rPr>
        <w:drawing>
          <wp:inline distT="0" distB="0" distL="0" distR="0" wp14:anchorId="3A0E4E9E" wp14:editId="51EADA51">
            <wp:extent cx="3057525" cy="19716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909C4" w:rsidRPr="00A565EE" w:rsidRDefault="005909C4" w:rsidP="005909C4">
      <w:pPr>
        <w:rPr>
          <w:rFonts w:cs="Calibri"/>
          <w:szCs w:val="24"/>
        </w:rPr>
      </w:pPr>
    </w:p>
    <w:p w:rsidR="00054164" w:rsidRDefault="00054164" w:rsidP="00054164">
      <w:pPr>
        <w:pStyle w:val="ListParagraph"/>
        <w:spacing w:before="0"/>
        <w:ind w:left="0"/>
        <w:jc w:val="center"/>
        <w:rPr>
          <w:rFonts w:ascii="Calibri" w:hAnsi="Calibri" w:cs="Calibri"/>
          <w:sz w:val="24"/>
          <w:szCs w:val="24"/>
        </w:rPr>
      </w:pPr>
      <w:r>
        <w:rPr>
          <w:noProof/>
          <w:sz w:val="24"/>
          <w:szCs w:val="24"/>
        </w:rPr>
        <w:lastRenderedPageBreak/>
        <w:drawing>
          <wp:inline distT="0" distB="0" distL="0" distR="0">
            <wp:extent cx="4908499" cy="3013863"/>
            <wp:effectExtent l="0" t="0" r="6985"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54164" w:rsidRDefault="00054164" w:rsidP="00054164">
      <w:pPr>
        <w:pStyle w:val="ListParagraph"/>
        <w:spacing w:before="0"/>
        <w:ind w:left="0"/>
        <w:jc w:val="center"/>
        <w:rPr>
          <w:rFonts w:ascii="Calibri" w:hAnsi="Calibri" w:cs="Calibri"/>
          <w:sz w:val="24"/>
          <w:szCs w:val="24"/>
        </w:rPr>
      </w:pPr>
    </w:p>
    <w:p w:rsidR="00054164" w:rsidRPr="00682CAF" w:rsidRDefault="00781297" w:rsidP="00054164">
      <w:pPr>
        <w:pStyle w:val="ListParagraph"/>
        <w:spacing w:before="0"/>
        <w:ind w:left="0"/>
        <w:rPr>
          <w:rFonts w:ascii="Calibri" w:hAnsi="Calibri" w:cstheme="minorBidi"/>
          <w:sz w:val="24"/>
          <w:szCs w:val="24"/>
          <w:lang w:bidi="ar-EG"/>
        </w:rPr>
      </w:pPr>
      <w:r>
        <w:rPr>
          <w:noProof/>
        </w:rPr>
        <mc:AlternateContent>
          <mc:Choice Requires="wps">
            <w:drawing>
              <wp:anchor distT="0" distB="0" distL="114300" distR="114300" simplePos="0" relativeHeight="251663360" behindDoc="0" locked="0" layoutInCell="1" allowOverlap="1" wp14:anchorId="5701EDD8" wp14:editId="000E5270">
                <wp:simplePos x="0" y="0"/>
                <wp:positionH relativeFrom="column">
                  <wp:posOffset>2125152</wp:posOffset>
                </wp:positionH>
                <wp:positionV relativeFrom="paragraph">
                  <wp:posOffset>1656714</wp:posOffset>
                </wp:positionV>
                <wp:extent cx="154940" cy="1361495"/>
                <wp:effectExtent l="6350" t="0" r="3810" b="3810"/>
                <wp:wrapNone/>
                <wp:docPr id="7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4940" cy="1361495"/>
                        </a:xfrm>
                        <a:prstGeom prst="rect">
                          <a:avLst/>
                        </a:prstGeom>
                        <a:solidFill>
                          <a:schemeClr val="bg1"/>
                        </a:solidFill>
                        <a:ln>
                          <a:noFill/>
                        </a:ln>
                        <a:extLst/>
                      </wps:spPr>
                      <wps:txbx>
                        <w:txbxContent>
                          <w:p w:rsidR="009A62DD" w:rsidRPr="00781297" w:rsidRDefault="009A62DD" w:rsidP="00DE5E83">
                            <w:pPr>
                              <w:tabs>
                                <w:tab w:val="left" w:pos="3020"/>
                              </w:tabs>
                              <w:spacing w:before="0" w:line="180" w:lineRule="auto"/>
                              <w:jc w:val="right"/>
                              <w:rPr>
                                <w:szCs w:val="22"/>
                                <w:lang w:bidi="ar-SY"/>
                              </w:rPr>
                            </w:pPr>
                            <w:r w:rsidRPr="00781297">
                              <w:rPr>
                                <w:rFonts w:hint="cs"/>
                                <w:color w:val="000000"/>
                                <w:szCs w:val="22"/>
                                <w:rtl/>
                                <w:lang w:bidi="ar-EG"/>
                              </w:rPr>
                              <w:t>من غير أعضاء قطاع تنمية الاتصالات</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01EDD8" id="Rectangle 424" o:spid="_x0000_s1026" style="position:absolute;margin-left:167.35pt;margin-top:130.45pt;width:12.2pt;height:107.2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" fillcolor="white [3212]" stroked="f">
                <v:textbox inset="0,0,0,0">
                  <w:txbxContent>
                    <w:p w:rsidR="009A62DD" w:rsidRPr="00781297" w:rsidRDefault="009A62DD" w:rsidP="00DE5E83">
                      <w:pPr>
                        <w:tabs>
                          <w:tab w:val="left" w:pos="3020"/>
                        </w:tabs>
                        <w:spacing w:before="0" w:line="180" w:lineRule="auto"/>
                        <w:jc w:val="right"/>
                        <w:rPr>
                          <w:szCs w:val="22"/>
                          <w:lang w:bidi="ar-SY"/>
                        </w:rPr>
                      </w:pPr>
                      <w:r w:rsidRPr="00781297">
                        <w:rPr>
                          <w:rFonts w:hint="cs"/>
                          <w:color w:val="000000"/>
                          <w:szCs w:val="22"/>
                          <w:rtl/>
                          <w:lang w:bidi="ar-EG"/>
                        </w:rPr>
                        <w:t xml:space="preserve">من </w:t>
                      </w:r>
                      <w:r w:rsidRPr="00781297">
                        <w:rPr>
                          <w:rFonts w:hint="cs"/>
                          <w:color w:val="000000"/>
                          <w:szCs w:val="22"/>
                          <w:rtl/>
                          <w:lang w:bidi="ar-EG"/>
                        </w:rPr>
                        <w:t>غير أعضاء قطاع تنمية الاتصالات</w:t>
                      </w:r>
                    </w:p>
                  </w:txbxContent>
                </v:textbox>
              </v:rect>
            </w:pict>
          </mc:Fallback>
        </mc:AlternateContent>
      </w:r>
      <w:r w:rsidR="00585A61">
        <w:rPr>
          <w:noProof/>
        </w:rPr>
        <mc:AlternateContent>
          <mc:Choice Requires="wps">
            <w:drawing>
              <wp:anchor distT="0" distB="0" distL="114300" distR="114300" simplePos="0" relativeHeight="251665408" behindDoc="0" locked="0" layoutInCell="1" allowOverlap="1" wp14:anchorId="306B4873" wp14:editId="1EC72ABD">
                <wp:simplePos x="0" y="0"/>
                <wp:positionH relativeFrom="column">
                  <wp:posOffset>803052</wp:posOffset>
                </wp:positionH>
                <wp:positionV relativeFrom="paragraph">
                  <wp:posOffset>1864615</wp:posOffset>
                </wp:positionV>
                <wp:extent cx="154989" cy="966561"/>
                <wp:effectExtent l="0" t="5715" r="0" b="0"/>
                <wp:wrapNone/>
                <wp:docPr id="16"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4989" cy="966561"/>
                        </a:xfrm>
                        <a:prstGeom prst="rect">
                          <a:avLst/>
                        </a:prstGeom>
                        <a:solidFill>
                          <a:schemeClr val="bg1"/>
                        </a:solidFill>
                        <a:ln>
                          <a:noFill/>
                        </a:ln>
                        <a:extLst/>
                      </wps:spPr>
                      <wps:txbx>
                        <w:txbxContent>
                          <w:p w:rsidR="009A62DD" w:rsidRPr="00781297" w:rsidRDefault="009A62DD" w:rsidP="00585A61">
                            <w:pPr>
                              <w:tabs>
                                <w:tab w:val="left" w:pos="3020"/>
                              </w:tabs>
                              <w:spacing w:before="0" w:line="180" w:lineRule="auto"/>
                              <w:jc w:val="right"/>
                              <w:rPr>
                                <w:szCs w:val="22"/>
                                <w:lang w:bidi="ar-SY"/>
                              </w:rPr>
                            </w:pPr>
                            <w:r w:rsidRPr="00781297">
                              <w:rPr>
                                <w:rFonts w:hint="cs"/>
                                <w:color w:val="000000"/>
                                <w:szCs w:val="22"/>
                                <w:rtl/>
                                <w:lang w:bidi="ar-EG"/>
                              </w:rPr>
                              <w:t>أعضاء القطاع</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6B4873" id="_x0000_s1027" style="position:absolute;margin-left:63.25pt;margin-top:146.8pt;width:12.2pt;height:76.1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" fillcolor="white [3212]" stroked="f">
                <v:textbox inset="0,0,0,0">
                  <w:txbxContent>
                    <w:p w:rsidR="009A62DD" w:rsidRPr="00781297" w:rsidRDefault="009A62DD" w:rsidP="00585A61">
                      <w:pPr>
                        <w:tabs>
                          <w:tab w:val="left" w:pos="3020"/>
                        </w:tabs>
                        <w:spacing w:before="0" w:line="180" w:lineRule="auto"/>
                        <w:jc w:val="right"/>
                        <w:rPr>
                          <w:szCs w:val="22"/>
                          <w:lang w:bidi="ar-SY"/>
                        </w:rPr>
                      </w:pPr>
                      <w:r w:rsidRPr="00781297">
                        <w:rPr>
                          <w:rFonts w:hint="cs"/>
                          <w:color w:val="000000"/>
                          <w:szCs w:val="22"/>
                          <w:rtl/>
                          <w:lang w:bidi="ar-EG"/>
                        </w:rPr>
                        <w:t>أعضاء القطاع</w:t>
                      </w:r>
                    </w:p>
                  </w:txbxContent>
                </v:textbox>
              </v:rect>
            </w:pict>
          </mc:Fallback>
        </mc:AlternateContent>
      </w:r>
      <w:r w:rsidR="00054164">
        <w:rPr>
          <w:noProof/>
          <w:sz w:val="24"/>
          <w:szCs w:val="24"/>
        </w:rPr>
        <w:drawing>
          <wp:inline distT="0" distB="0" distL="0" distR="0" wp14:anchorId="07002061" wp14:editId="2AE6E75B">
            <wp:extent cx="2903855" cy="2516505"/>
            <wp:effectExtent l="0" t="0" r="10795"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54164">
        <w:rPr>
          <w:noProof/>
          <w:sz w:val="24"/>
          <w:szCs w:val="24"/>
        </w:rPr>
        <w:drawing>
          <wp:inline distT="0" distB="0" distL="0" distR="0" wp14:anchorId="774657C9" wp14:editId="60A2B008">
            <wp:extent cx="3057525" cy="2523490"/>
            <wp:effectExtent l="0" t="0" r="9525"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104B" w:rsidRDefault="004D104B" w:rsidP="003A3353">
      <w:pPr>
        <w:pStyle w:val="Heading1"/>
        <w:rPr>
          <w:rtl/>
        </w:rPr>
      </w:pPr>
      <w:r>
        <w:t>5</w:t>
      </w:r>
      <w:r>
        <w:rPr>
          <w:rtl/>
        </w:rPr>
        <w:tab/>
      </w:r>
      <w:r w:rsidR="003A3353">
        <w:rPr>
          <w:rFonts w:hint="cs"/>
          <w:rtl/>
        </w:rPr>
        <w:t>آفاق المستقبل</w:t>
      </w:r>
    </w:p>
    <w:p w:rsidR="004D104B" w:rsidRPr="00F06ABD" w:rsidRDefault="004D104B" w:rsidP="00682CAF">
      <w:pPr>
        <w:rPr>
          <w:rtl/>
          <w:lang w:bidi="ar-EG"/>
        </w:rPr>
      </w:pPr>
      <w:r w:rsidRPr="00F06ABD">
        <w:rPr>
          <w:rFonts w:hint="cs"/>
          <w:rtl/>
          <w:lang w:bidi="ar-EG"/>
        </w:rPr>
        <w:t xml:space="preserve">سيواصل مكتب تنمية الاتصالات </w:t>
      </w:r>
      <w:r w:rsidR="00F06ABD" w:rsidRPr="00F06ABD">
        <w:rPr>
          <w:rFonts w:hint="cs"/>
          <w:rtl/>
          <w:lang w:bidi="ar-EG"/>
        </w:rPr>
        <w:t>إعداد</w:t>
      </w:r>
      <w:r w:rsidRPr="00F06ABD">
        <w:rPr>
          <w:rFonts w:hint="cs"/>
          <w:rtl/>
          <w:lang w:bidi="ar-EG"/>
        </w:rPr>
        <w:t xml:space="preserve"> وتعزيز منتجاته وأدواته لتعبئة الموارد </w:t>
      </w:r>
      <w:r w:rsidR="00F06ABD" w:rsidRPr="00F06ABD">
        <w:rPr>
          <w:rFonts w:hint="cs"/>
          <w:rtl/>
          <w:lang w:bidi="ar-EG"/>
        </w:rPr>
        <w:t>وكذلك العمل</w:t>
      </w:r>
      <w:r w:rsidRPr="00F06ABD">
        <w:rPr>
          <w:rFonts w:hint="cs"/>
          <w:rtl/>
          <w:lang w:bidi="ar-EG"/>
        </w:rPr>
        <w:t xml:space="preserve"> مع الشركاء التقليديين وغير</w:t>
      </w:r>
      <w:r w:rsidR="00682CAF">
        <w:rPr>
          <w:rFonts w:hint="eastAsia"/>
          <w:rtl/>
          <w:lang w:bidi="ar-EG"/>
        </w:rPr>
        <w:t> </w:t>
      </w:r>
      <w:r w:rsidRPr="00F06ABD">
        <w:rPr>
          <w:rFonts w:hint="cs"/>
          <w:rtl/>
          <w:lang w:bidi="ar-EG"/>
        </w:rPr>
        <w:t>التقليديين من أجل تنفيذ المشروعات والمبادرات العالمية والإقليمية، بما في ذلك المبادرات الإقليمية.</w:t>
      </w:r>
    </w:p>
    <w:p w:rsidR="004D104B" w:rsidRPr="004E134D" w:rsidRDefault="004D104B" w:rsidP="004408CC">
      <w:pPr>
        <w:rPr>
          <w:rtl/>
          <w:lang w:bidi="ar-EG"/>
        </w:rPr>
      </w:pPr>
      <w:r w:rsidRPr="004E134D">
        <w:rPr>
          <w:rFonts w:hint="cs"/>
          <w:rtl/>
          <w:lang w:bidi="ar-EG"/>
        </w:rPr>
        <w:t xml:space="preserve">ويدعى أعضاء الاتحاد إلى </w:t>
      </w:r>
      <w:r w:rsidR="00661742" w:rsidRPr="004E134D">
        <w:rPr>
          <w:rFonts w:hint="cs"/>
          <w:rtl/>
          <w:lang w:bidi="ar-EG"/>
        </w:rPr>
        <w:t>الدخول في شراكة</w:t>
      </w:r>
      <w:r w:rsidRPr="004E134D">
        <w:rPr>
          <w:rFonts w:hint="cs"/>
          <w:rtl/>
          <w:lang w:bidi="ar-EG"/>
        </w:rPr>
        <w:t xml:space="preserve"> مع مكتب تنمية الاتصالات من أجل تنفيذ نتائج المؤتمر العالمي لتنمية الاتصالات لعام</w:t>
      </w:r>
      <w:r w:rsidRPr="004E134D">
        <w:rPr>
          <w:rFonts w:hint="eastAsia"/>
          <w:rtl/>
          <w:lang w:bidi="ar-EG"/>
        </w:rPr>
        <w:t> </w:t>
      </w:r>
      <w:r w:rsidRPr="004E134D">
        <w:rPr>
          <w:lang w:bidi="ar-EG"/>
        </w:rPr>
        <w:t>2014</w:t>
      </w:r>
      <w:r w:rsidRPr="004E134D">
        <w:rPr>
          <w:rFonts w:hint="cs"/>
          <w:rtl/>
          <w:lang w:bidi="ar-EG"/>
        </w:rPr>
        <w:t xml:space="preserve"> ومؤتمر المندوبين المفوضين لعام </w:t>
      </w:r>
      <w:r w:rsidRPr="004E134D">
        <w:rPr>
          <w:lang w:bidi="ar-EG"/>
        </w:rPr>
        <w:t>2014</w:t>
      </w:r>
      <w:r w:rsidRPr="004E134D">
        <w:rPr>
          <w:rFonts w:hint="cs"/>
          <w:rtl/>
          <w:lang w:bidi="ar-EG"/>
        </w:rPr>
        <w:t xml:space="preserve"> وأهداف القمة العالمية لمجتمع المعلومات مع الإسهام في تحقيق أهداف التنمية المستدامة</w:t>
      </w:r>
      <w:r w:rsidRPr="004E134D">
        <w:rPr>
          <w:rFonts w:hint="eastAsia"/>
          <w:rtl/>
          <w:lang w:bidi="ar-EG"/>
        </w:rPr>
        <w:t> </w:t>
      </w:r>
      <w:r w:rsidRPr="004E134D">
        <w:rPr>
          <w:lang w:bidi="ar-EG"/>
        </w:rPr>
        <w:t>(SDG)</w:t>
      </w:r>
      <w:r w:rsidRPr="004E134D">
        <w:rPr>
          <w:rFonts w:hint="cs"/>
          <w:rtl/>
          <w:lang w:bidi="ar-EG"/>
        </w:rPr>
        <w:t>.</w:t>
      </w:r>
    </w:p>
    <w:p w:rsidR="000313EF" w:rsidRDefault="004C44D3" w:rsidP="004C44D3">
      <w:pPr>
        <w:spacing w:before="600"/>
        <w:jc w:val="center"/>
        <w:rPr>
          <w:rtl/>
          <w:lang w:bidi="ar-EG"/>
        </w:rPr>
      </w:pPr>
      <w:r>
        <w:rPr>
          <w:rtl/>
          <w:lang w:bidi="ar-EG"/>
        </w:rPr>
        <w:t>__</w:t>
      </w:r>
      <w:bookmarkStart w:id="12" w:name="_GoBack"/>
      <w:bookmarkEnd w:id="12"/>
      <w:r>
        <w:rPr>
          <w:rtl/>
          <w:lang w:bidi="ar-EG"/>
        </w:rPr>
        <w:t>_________</w:t>
      </w:r>
    </w:p>
    <w:sectPr w:rsidR="000313EF" w:rsidSect="008B5B5D">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101" w:rsidRDefault="004E2101" w:rsidP="00E07379">
      <w:pPr>
        <w:spacing w:before="0" w:line="240" w:lineRule="auto"/>
      </w:pPr>
      <w:r>
        <w:separator/>
      </w:r>
    </w:p>
  </w:endnote>
  <w:endnote w:type="continuationSeparator" w:id="0">
    <w:p w:rsidR="004E2101" w:rsidRDefault="004E210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2DD" w:rsidRPr="001A5B6B" w:rsidRDefault="009A62DD" w:rsidP="0038629F">
    <w:pPr>
      <w:tabs>
        <w:tab w:val="clear" w:pos="1134"/>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0E1DB4">
      <w:rPr>
        <w:rFonts w:eastAsiaTheme="minorEastAsia" w:cs="Calibri"/>
        <w:noProof/>
        <w:sz w:val="16"/>
        <w:szCs w:val="16"/>
        <w:lang w:val="es-ES" w:eastAsia="zh-CN"/>
      </w:rPr>
      <w:t>P:\ARA\ITU-D\CONF-D\TDAG17\000\029A.docx</w:t>
    </w:r>
    <w:r w:rsidRPr="0056509A">
      <w:rPr>
        <w:rFonts w:eastAsiaTheme="minorEastAsia" w:cs="Calibri"/>
        <w:sz w:val="16"/>
        <w:szCs w:val="16"/>
        <w:lang w:eastAsia="zh-CN"/>
      </w:rPr>
      <w:fldChar w:fldCharType="end"/>
    </w:r>
    <w:r w:rsidR="0038629F">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413992</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AF6ECF">
      <w:rPr>
        <w:rFonts w:eastAsiaTheme="minorEastAsia" w:cs="Calibri"/>
        <w:noProof/>
        <w:sz w:val="16"/>
        <w:szCs w:val="16"/>
        <w:lang w:val="en-GB" w:eastAsia="zh-CN"/>
      </w:rPr>
      <w:t>09.05.17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0E1DB4">
      <w:rPr>
        <w:rFonts w:eastAsiaTheme="minorEastAsia" w:cs="Calibri"/>
        <w:noProof/>
        <w:sz w:val="16"/>
        <w:szCs w:val="16"/>
        <w:lang w:val="en-GB" w:eastAsia="zh-CN"/>
      </w:rPr>
      <w:t>13.03.17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2DD" w:rsidRPr="00CB30F8" w:rsidRDefault="004E134D"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9A62DD" w:rsidRPr="00CB30F8">
        <w:rPr>
          <w:rFonts w:cs="Times New Roman"/>
          <w:color w:val="0000FF"/>
          <w:sz w:val="18"/>
          <w:szCs w:val="18"/>
          <w:u w:val="single"/>
        </w:rPr>
        <w:t>http://www.itu.int/ITU-D/TDAG/</w:t>
      </w:r>
    </w:hyperlink>
    <w:hyperlink r:id="rId2" w:history="1"/>
  </w:p>
  <w:p w:rsidR="009A62DD" w:rsidRPr="001A5B6B" w:rsidRDefault="009A62DD" w:rsidP="007D192A">
    <w:pPr>
      <w:tabs>
        <w:tab w:val="clear" w:pos="1134"/>
        <w:tab w:val="left" w:pos="5529"/>
        <w:tab w:val="right" w:pos="9639"/>
      </w:tabs>
      <w:bidi w:val="0"/>
      <w:spacing w:line="240" w:lineRule="auto"/>
      <w:rPr>
        <w:lang w:val="es-ES"/>
      </w:rPr>
    </w:pPr>
    <w:r w:rsidRPr="005C6C31">
      <w:rPr>
        <w:rFonts w:eastAsiaTheme="minorEastAsia" w:cs="Calibri"/>
        <w:sz w:val="16"/>
        <w:szCs w:val="16"/>
        <w:lang w:val="en-GB" w:eastAsia="zh-CN"/>
      </w:rPr>
      <w:fldChar w:fldCharType="begin"/>
    </w:r>
    <w:r w:rsidRPr="005C6C31">
      <w:rPr>
        <w:rFonts w:eastAsiaTheme="minorEastAsia" w:cs="Calibri"/>
        <w:sz w:val="16"/>
        <w:szCs w:val="16"/>
        <w:lang w:val="es-ES" w:eastAsia="zh-CN"/>
      </w:rPr>
      <w:instrText xml:space="preserve"> FILENAME \p \* MERGEFORMAT </w:instrText>
    </w:r>
    <w:r w:rsidRPr="005C6C31">
      <w:rPr>
        <w:rFonts w:eastAsiaTheme="minorEastAsia" w:cs="Calibri"/>
        <w:sz w:val="16"/>
        <w:szCs w:val="16"/>
        <w:lang w:val="en-GB" w:eastAsia="zh-CN"/>
      </w:rPr>
      <w:fldChar w:fldCharType="separate"/>
    </w:r>
    <w:r w:rsidR="007D192A">
      <w:rPr>
        <w:rFonts w:eastAsiaTheme="minorEastAsia" w:cs="Calibri"/>
        <w:noProof/>
        <w:sz w:val="16"/>
        <w:szCs w:val="16"/>
        <w:lang w:val="es-ES" w:eastAsia="zh-CN"/>
      </w:rPr>
      <w:t>P:\ARA\ITU-D\CONF-D\TDAG17\000\029A.docx</w:t>
    </w:r>
    <w:r w:rsidRPr="005C6C31">
      <w:rPr>
        <w:rFonts w:eastAsiaTheme="minorEastAsia" w:cs="Calibri"/>
        <w:sz w:val="16"/>
        <w:szCs w:val="16"/>
        <w:lang w:eastAsia="zh-CN"/>
      </w:rPr>
      <w:fldChar w:fldCharType="end"/>
    </w:r>
    <w:r w:rsidR="007D192A">
      <w:rPr>
        <w:rFonts w:eastAsiaTheme="minorEastAsia" w:cs="Calibri"/>
        <w:sz w:val="16"/>
        <w:szCs w:val="16"/>
        <w:lang w:val="es-ES" w:eastAsia="zh-CN"/>
      </w:rPr>
      <w:t>   </w:t>
    </w:r>
    <w:r w:rsidRPr="005C6C31">
      <w:rPr>
        <w:rFonts w:eastAsiaTheme="minorEastAsia" w:cs="Calibri"/>
        <w:sz w:val="16"/>
        <w:szCs w:val="16"/>
        <w:lang w:val="es-ES" w:eastAsia="zh-CN"/>
      </w:rPr>
      <w:t>(413992)</w:t>
    </w:r>
    <w:r w:rsidRPr="005C6C31">
      <w:rPr>
        <w:rFonts w:eastAsiaTheme="minorEastAsia" w:cs="Calibri"/>
        <w:sz w:val="16"/>
        <w:szCs w:val="16"/>
        <w:lang w:val="es-ES" w:eastAsia="zh-CN"/>
      </w:rPr>
      <w:tab/>
    </w:r>
    <w:r w:rsidRPr="005C6C31">
      <w:rPr>
        <w:rFonts w:eastAsiaTheme="minorEastAsia" w:cs="Calibri"/>
        <w:sz w:val="16"/>
        <w:szCs w:val="16"/>
        <w:lang w:val="en-GB" w:eastAsia="zh-CN"/>
      </w:rPr>
      <w:fldChar w:fldCharType="begin"/>
    </w:r>
    <w:r w:rsidRPr="005C6C31">
      <w:rPr>
        <w:rFonts w:eastAsiaTheme="minorEastAsia" w:cs="Calibri"/>
        <w:sz w:val="16"/>
        <w:szCs w:val="16"/>
        <w:lang w:val="en-GB" w:eastAsia="zh-CN"/>
      </w:rPr>
      <w:instrText xml:space="preserve"> savedate \@ dd.MM.yy </w:instrText>
    </w:r>
    <w:r w:rsidRPr="005C6C31">
      <w:rPr>
        <w:rFonts w:eastAsiaTheme="minorEastAsia" w:cs="Calibri"/>
        <w:sz w:val="16"/>
        <w:szCs w:val="16"/>
        <w:lang w:val="en-GB" w:eastAsia="zh-CN"/>
      </w:rPr>
      <w:fldChar w:fldCharType="separate"/>
    </w:r>
    <w:r w:rsidR="00AF6ECF">
      <w:rPr>
        <w:rFonts w:eastAsiaTheme="minorEastAsia" w:cs="Calibri"/>
        <w:noProof/>
        <w:sz w:val="16"/>
        <w:szCs w:val="16"/>
        <w:lang w:val="en-GB" w:eastAsia="zh-CN"/>
      </w:rPr>
      <w:t>09.05.17</w:t>
    </w:r>
    <w:r w:rsidRPr="005C6C31">
      <w:rPr>
        <w:rFonts w:eastAsiaTheme="minorEastAsia" w:cs="Calibri"/>
        <w:sz w:val="16"/>
        <w:szCs w:val="16"/>
        <w:lang w:eastAsia="zh-CN"/>
      </w:rPr>
      <w:fldChar w:fldCharType="end"/>
    </w:r>
    <w:r w:rsidRPr="005C6C31">
      <w:rPr>
        <w:rFonts w:eastAsiaTheme="minorEastAsia" w:cs="Calibri"/>
        <w:sz w:val="16"/>
        <w:szCs w:val="16"/>
        <w:lang w:val="es-ES" w:eastAsia="zh-CN"/>
      </w:rPr>
      <w:tab/>
    </w:r>
    <w:r w:rsidRPr="005C6C31">
      <w:rPr>
        <w:rFonts w:eastAsiaTheme="minorEastAsia" w:cs="Calibri"/>
        <w:sz w:val="16"/>
        <w:szCs w:val="16"/>
        <w:lang w:val="en-GB" w:eastAsia="zh-CN"/>
      </w:rPr>
      <w:fldChar w:fldCharType="begin"/>
    </w:r>
    <w:r w:rsidRPr="005C6C31">
      <w:rPr>
        <w:rFonts w:eastAsiaTheme="minorEastAsia" w:cs="Calibri"/>
        <w:sz w:val="16"/>
        <w:szCs w:val="16"/>
        <w:lang w:val="en-GB" w:eastAsia="zh-CN"/>
      </w:rPr>
      <w:instrText xml:space="preserve"> printdate \@ dd.MM.yy </w:instrText>
    </w:r>
    <w:r w:rsidRPr="005C6C31">
      <w:rPr>
        <w:rFonts w:eastAsiaTheme="minorEastAsia" w:cs="Calibri"/>
        <w:sz w:val="16"/>
        <w:szCs w:val="16"/>
        <w:lang w:val="en-GB" w:eastAsia="zh-CN"/>
      </w:rPr>
      <w:fldChar w:fldCharType="separate"/>
    </w:r>
    <w:r w:rsidR="007D192A">
      <w:rPr>
        <w:rFonts w:eastAsiaTheme="minorEastAsia" w:cs="Calibri"/>
        <w:noProof/>
        <w:sz w:val="16"/>
        <w:szCs w:val="16"/>
        <w:lang w:val="en-GB" w:eastAsia="zh-CN"/>
      </w:rPr>
      <w:t>13.03.17</w:t>
    </w:r>
    <w:r w:rsidRPr="005C6C31">
      <w:rPr>
        <w:rFonts w:eastAsiaTheme="minorEastAsia" w:cs="Calibri"/>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101" w:rsidRDefault="004E2101" w:rsidP="00E07379">
      <w:pPr>
        <w:spacing w:before="0" w:line="240" w:lineRule="auto"/>
      </w:pPr>
      <w:r>
        <w:separator/>
      </w:r>
    </w:p>
  </w:footnote>
  <w:footnote w:type="continuationSeparator" w:id="0">
    <w:p w:rsidR="004E2101" w:rsidRDefault="004E2101" w:rsidP="00E07379">
      <w:pPr>
        <w:spacing w:before="0" w:line="240" w:lineRule="auto"/>
      </w:pPr>
      <w:r>
        <w:continuationSeparator/>
      </w:r>
    </w:p>
  </w:footnote>
  <w:footnote w:id="1">
    <w:p w:rsidR="009A62DD" w:rsidRPr="008A1376" w:rsidRDefault="009A62DD" w:rsidP="00866E42">
      <w:pPr>
        <w:pStyle w:val="FootnoteText"/>
        <w:ind w:left="283" w:hanging="283"/>
        <w:rPr>
          <w:spacing w:val="-2"/>
        </w:rPr>
      </w:pPr>
      <w:r w:rsidRPr="008A1376">
        <w:rPr>
          <w:rStyle w:val="FootnoteReference"/>
          <w:spacing w:val="-2"/>
        </w:rPr>
        <w:footnoteRef/>
      </w:r>
      <w:r w:rsidR="009C0579" w:rsidRPr="008A1376">
        <w:rPr>
          <w:spacing w:val="-2"/>
        </w:rPr>
        <w:tab/>
      </w:r>
      <w:r w:rsidRPr="008A1376">
        <w:rPr>
          <w:rFonts w:hint="cs"/>
          <w:spacing w:val="-2"/>
          <w:rtl/>
          <w:lang w:bidi="ar"/>
        </w:rPr>
        <w:t xml:space="preserve">على المستوى التشغيلي، ينتظم المشروع في أربعة أقسام مستقلة يرأس كل منها أستاذ في الطب: أ) </w:t>
      </w:r>
      <w:r w:rsidR="008A1376" w:rsidRPr="008A1376">
        <w:rPr>
          <w:rFonts w:hint="cs"/>
          <w:spacing w:val="-2"/>
          <w:rtl/>
          <w:lang w:bidi="ar"/>
        </w:rPr>
        <w:t>التطبيق</w:t>
      </w:r>
      <w:r w:rsidR="00866E42">
        <w:rPr>
          <w:rFonts w:hint="cs"/>
          <w:spacing w:val="-2"/>
          <w:rtl/>
        </w:rPr>
        <w:t xml:space="preserve"> المتنقل</w:t>
      </w:r>
      <w:r w:rsidR="008A1376" w:rsidRPr="008A1376">
        <w:rPr>
          <w:rFonts w:hint="cs"/>
          <w:spacing w:val="-2"/>
          <w:rtl/>
          <w:lang w:bidi="ar"/>
        </w:rPr>
        <w:t xml:space="preserve"> الخاص بالتوعية</w:t>
      </w:r>
      <w:r w:rsidRPr="008A1376">
        <w:rPr>
          <w:rFonts w:hint="cs"/>
          <w:spacing w:val="-2"/>
          <w:rtl/>
          <w:lang w:bidi="ar"/>
        </w:rPr>
        <w:t xml:space="preserve"> </w:t>
      </w:r>
      <w:r w:rsidR="003D0432" w:rsidRPr="008A1376">
        <w:rPr>
          <w:spacing w:val="-2"/>
          <w:lang w:bidi="ar"/>
        </w:rPr>
        <w:t>(</w:t>
      </w:r>
      <w:r w:rsidRPr="008A1376">
        <w:rPr>
          <w:spacing w:val="-2"/>
          <w:lang w:bidi="ar"/>
        </w:rPr>
        <w:t>m-Sensitization</w:t>
      </w:r>
      <w:r w:rsidR="003D0432" w:rsidRPr="008A1376">
        <w:rPr>
          <w:spacing w:val="-2"/>
          <w:lang w:bidi="ar"/>
        </w:rPr>
        <w:t>)</w:t>
      </w:r>
      <w:r w:rsidRPr="008A1376">
        <w:rPr>
          <w:rFonts w:hint="cs"/>
          <w:spacing w:val="-2"/>
          <w:rtl/>
          <w:lang w:bidi="ar"/>
        </w:rPr>
        <w:t xml:space="preserve"> (</w:t>
      </w:r>
      <w:r w:rsidR="00B809A6">
        <w:rPr>
          <w:rFonts w:hint="cs"/>
          <w:spacing w:val="-2"/>
          <w:rtl/>
          <w:lang w:bidi="ar"/>
        </w:rPr>
        <w:t>يهدف</w:t>
      </w:r>
      <w:r w:rsidRPr="008A1376">
        <w:rPr>
          <w:rFonts w:hint="cs"/>
          <w:spacing w:val="-2"/>
          <w:rtl/>
          <w:lang w:bidi="ar"/>
        </w:rPr>
        <w:t xml:space="preserve"> إلى توعية السكان بشأن كيفية رعاية مرض السكري لمن يعانون بالفعل من السكري في المقام الأول، وبشأن الوقاية لمن لا</w:t>
      </w:r>
      <w:r w:rsidR="008A1376">
        <w:rPr>
          <w:rFonts w:hint="eastAsia"/>
          <w:spacing w:val="-2"/>
          <w:rtl/>
          <w:lang w:bidi="ar"/>
        </w:rPr>
        <w:t> </w:t>
      </w:r>
      <w:r w:rsidRPr="008A1376">
        <w:rPr>
          <w:rFonts w:hint="cs"/>
          <w:spacing w:val="-2"/>
          <w:rtl/>
          <w:lang w:bidi="ar"/>
        </w:rPr>
        <w:t>يعانون منه، ب)</w:t>
      </w:r>
      <w:r w:rsidR="008A1376" w:rsidRPr="008A1376">
        <w:rPr>
          <w:rFonts w:hint="eastAsia"/>
          <w:spacing w:val="-2"/>
          <w:rtl/>
          <w:lang w:bidi="ar"/>
        </w:rPr>
        <w:t> </w:t>
      </w:r>
      <w:r w:rsidR="008A1376">
        <w:rPr>
          <w:rFonts w:hint="cs"/>
          <w:spacing w:val="-2"/>
          <w:rtl/>
          <w:lang w:bidi="ar"/>
        </w:rPr>
        <w:t>التطبيق</w:t>
      </w:r>
      <w:r w:rsidRPr="008A1376">
        <w:rPr>
          <w:rFonts w:hint="cs"/>
          <w:spacing w:val="-2"/>
          <w:rtl/>
          <w:lang w:bidi="ar"/>
        </w:rPr>
        <w:t xml:space="preserve"> المتنقل</w:t>
      </w:r>
      <w:r w:rsidR="008A1376">
        <w:rPr>
          <w:rFonts w:hint="cs"/>
          <w:spacing w:val="-2"/>
          <w:rtl/>
          <w:lang w:bidi="ar"/>
        </w:rPr>
        <w:t xml:space="preserve"> الخاص بالتدريب</w:t>
      </w:r>
      <w:r w:rsidRPr="008A1376">
        <w:rPr>
          <w:rFonts w:hint="cs"/>
          <w:spacing w:val="-2"/>
          <w:rtl/>
          <w:lang w:bidi="ar"/>
        </w:rPr>
        <w:t xml:space="preserve"> </w:t>
      </w:r>
      <w:r w:rsidR="003D0432" w:rsidRPr="008A1376">
        <w:rPr>
          <w:spacing w:val="-2"/>
          <w:lang w:bidi="ar"/>
        </w:rPr>
        <w:t>(</w:t>
      </w:r>
      <w:r w:rsidRPr="008A1376">
        <w:rPr>
          <w:spacing w:val="-2"/>
          <w:lang w:bidi="ar"/>
        </w:rPr>
        <w:t>m-Training</w:t>
      </w:r>
      <w:r w:rsidR="003D0432" w:rsidRPr="008A1376">
        <w:rPr>
          <w:spacing w:val="-2"/>
          <w:lang w:bidi="ar"/>
        </w:rPr>
        <w:t>)</w:t>
      </w:r>
      <w:r w:rsidRPr="008A1376">
        <w:rPr>
          <w:rFonts w:hint="cs"/>
          <w:spacing w:val="-2"/>
          <w:rtl/>
          <w:lang w:bidi="ar"/>
        </w:rPr>
        <w:t>: يهدف إلى تدريب الأطباء والمتخصصين في الرعاية الصحية بشكل عام على كيفية علاج مرضى السكري، ج)</w:t>
      </w:r>
      <w:r w:rsidR="008A1376" w:rsidRPr="008A1376">
        <w:rPr>
          <w:rFonts w:hint="eastAsia"/>
          <w:spacing w:val="-2"/>
          <w:rtl/>
          <w:lang w:bidi="ar"/>
        </w:rPr>
        <w:t> </w:t>
      </w:r>
      <w:r w:rsidR="008A1376" w:rsidRPr="008A1376">
        <w:rPr>
          <w:rFonts w:hint="cs"/>
          <w:spacing w:val="-2"/>
          <w:rtl/>
          <w:lang w:bidi="ar"/>
        </w:rPr>
        <w:t xml:space="preserve">التطبيق </w:t>
      </w:r>
      <w:r w:rsidR="008A1376" w:rsidRPr="008A1376">
        <w:rPr>
          <w:rFonts w:hint="cs"/>
          <w:spacing w:val="-2"/>
          <w:rtl/>
        </w:rPr>
        <w:t xml:space="preserve">المتنقل </w:t>
      </w:r>
      <w:r w:rsidR="008A1376" w:rsidRPr="008A1376">
        <w:rPr>
          <w:rFonts w:hint="cs"/>
          <w:spacing w:val="-2"/>
          <w:rtl/>
          <w:lang w:bidi="ar"/>
        </w:rPr>
        <w:t>الخاص ب</w:t>
      </w:r>
      <w:r w:rsidRPr="008A1376">
        <w:rPr>
          <w:rFonts w:hint="cs"/>
          <w:spacing w:val="-2"/>
          <w:rtl/>
          <w:lang w:bidi="ar"/>
        </w:rPr>
        <w:t xml:space="preserve">تثقيف المرضى </w:t>
      </w:r>
      <w:r w:rsidR="003D0432" w:rsidRPr="008A1376">
        <w:rPr>
          <w:spacing w:val="-2"/>
          <w:lang w:bidi="ar"/>
        </w:rPr>
        <w:t>(</w:t>
      </w:r>
      <w:r w:rsidRPr="008A1376">
        <w:rPr>
          <w:spacing w:val="-2"/>
          <w:lang w:bidi="ar"/>
        </w:rPr>
        <w:t>m-Education of patients</w:t>
      </w:r>
      <w:r w:rsidR="003D0432" w:rsidRPr="008A1376">
        <w:rPr>
          <w:spacing w:val="-2"/>
          <w:lang w:bidi="ar"/>
        </w:rPr>
        <w:t>)</w:t>
      </w:r>
      <w:r w:rsidRPr="008A1376">
        <w:rPr>
          <w:rFonts w:hint="cs"/>
          <w:spacing w:val="-2"/>
          <w:rtl/>
          <w:lang w:bidi="ar"/>
        </w:rPr>
        <w:t>: يهدف إلى تثقيف المرضى بشأن كيفية التعامل مع إشكالات مرض السكري الخاصة بهم، د)</w:t>
      </w:r>
      <w:r w:rsidR="00E041E4" w:rsidRPr="008A1376">
        <w:rPr>
          <w:rFonts w:hint="eastAsia"/>
          <w:spacing w:val="-2"/>
          <w:rtl/>
          <w:lang w:bidi="ar"/>
        </w:rPr>
        <w:t> </w:t>
      </w:r>
      <w:r w:rsidR="00683E8E">
        <w:rPr>
          <w:rFonts w:hint="cs"/>
          <w:spacing w:val="-2"/>
          <w:rtl/>
          <w:lang w:bidi="ar"/>
        </w:rPr>
        <w:t>التطبيق المتنقل الخاص بالمتابعة</w:t>
      </w:r>
      <w:r w:rsidRPr="008A1376">
        <w:rPr>
          <w:rFonts w:hint="cs"/>
          <w:spacing w:val="-2"/>
          <w:rtl/>
          <w:lang w:bidi="ar"/>
        </w:rPr>
        <w:t xml:space="preserve"> </w:t>
      </w:r>
      <w:r w:rsidR="00E041E4" w:rsidRPr="008A1376">
        <w:rPr>
          <w:spacing w:val="-2"/>
          <w:lang w:bidi="ar"/>
        </w:rPr>
        <w:t>(</w:t>
      </w:r>
      <w:r w:rsidRPr="008A1376">
        <w:rPr>
          <w:spacing w:val="-2"/>
          <w:lang w:bidi="ar"/>
        </w:rPr>
        <w:t>m-Follow up</w:t>
      </w:r>
      <w:r w:rsidR="00E041E4" w:rsidRPr="008A1376">
        <w:rPr>
          <w:spacing w:val="-2"/>
          <w:lang w:bidi="ar"/>
        </w:rPr>
        <w:t>)</w:t>
      </w:r>
      <w:r w:rsidRPr="008A1376">
        <w:rPr>
          <w:rFonts w:hint="cs"/>
          <w:spacing w:val="-2"/>
          <w:rtl/>
          <w:lang w:bidi="ar"/>
        </w:rPr>
        <w:t xml:space="preserve">: </w:t>
      </w:r>
      <w:r w:rsidR="00B809A6">
        <w:rPr>
          <w:rFonts w:hint="cs"/>
          <w:spacing w:val="-2"/>
          <w:rtl/>
          <w:lang w:bidi="ar"/>
        </w:rPr>
        <w:t>يتكون</w:t>
      </w:r>
      <w:r w:rsidRPr="008A1376">
        <w:rPr>
          <w:rFonts w:hint="cs"/>
          <w:spacing w:val="-2"/>
          <w:rtl/>
          <w:lang w:bidi="ar"/>
        </w:rPr>
        <w:t xml:space="preserve"> من متابعة المرضى والمشتركين بشكل عام بشأن إشكالات مرض السكري الخاصة بهم.</w:t>
      </w:r>
    </w:p>
  </w:footnote>
  <w:footnote w:id="2">
    <w:p w:rsidR="008C2F0D" w:rsidRDefault="008C2F0D" w:rsidP="00F27DB7">
      <w:pPr>
        <w:pStyle w:val="FootnoteText"/>
        <w:ind w:left="283" w:hanging="283"/>
      </w:pPr>
      <w:r>
        <w:rPr>
          <w:rStyle w:val="FootnoteReference"/>
        </w:rPr>
        <w:footnoteRef/>
      </w:r>
      <w:r w:rsidR="00F27DB7">
        <w:tab/>
      </w:r>
      <w:r w:rsidRPr="00AA6368">
        <w:rPr>
          <w:rFonts w:cs="Calibri"/>
        </w:rPr>
        <w:t>www.itu.int/en/ITU-D/Partners/pages/call4partners/partnerships.aspx</w:t>
      </w:r>
    </w:p>
  </w:footnote>
  <w:footnote w:id="3">
    <w:p w:rsidR="00F97218" w:rsidRDefault="00F97218" w:rsidP="00281C0D">
      <w:pPr>
        <w:pStyle w:val="FootnoteText"/>
        <w:ind w:left="283" w:hanging="283"/>
      </w:pPr>
      <w:r>
        <w:rPr>
          <w:rStyle w:val="FootnoteReference"/>
        </w:rPr>
        <w:footnoteRef/>
      </w:r>
      <w:bookmarkStart w:id="10" w:name="lt_pId106"/>
      <w:r w:rsidR="00281C0D">
        <w:rPr>
          <w:rtl/>
        </w:rPr>
        <w:tab/>
      </w:r>
      <w:r w:rsidRPr="00F97218">
        <w:rPr>
          <w:lang w:val="en-GB"/>
        </w:rPr>
        <w:t>www.itu.int/go/en/itudsponsorships</w:t>
      </w:r>
      <w:bookmarkEnd w:id="10"/>
    </w:p>
  </w:footnote>
  <w:footnote w:id="4">
    <w:p w:rsidR="009A62DD" w:rsidRDefault="009A62DD" w:rsidP="00712F90">
      <w:pPr>
        <w:pStyle w:val="FootnoteText"/>
        <w:ind w:left="283" w:hanging="283"/>
      </w:pPr>
      <w:r>
        <w:rPr>
          <w:rStyle w:val="FootnoteReference"/>
        </w:rPr>
        <w:footnoteRef/>
      </w:r>
      <w:r>
        <w:rPr>
          <w:rtl/>
        </w:rPr>
        <w:tab/>
      </w:r>
      <w:r w:rsidR="00DB2C22" w:rsidRPr="00DB2C22">
        <w:rPr>
          <w:rFonts w:hint="cs"/>
          <w:rtl/>
          <w:lang w:bidi="ar"/>
        </w:rPr>
        <w:t xml:space="preserve">في عام </w:t>
      </w:r>
      <w:r w:rsidR="00281C0D">
        <w:rPr>
          <w:lang w:bidi="ar"/>
        </w:rPr>
        <w:t>2015</w:t>
      </w:r>
      <w:r w:rsidR="00DB2C22" w:rsidRPr="00DB2C22">
        <w:rPr>
          <w:rFonts w:hint="cs"/>
          <w:rtl/>
          <w:lang w:bidi="ar"/>
        </w:rPr>
        <w:t xml:space="preserve">، </w:t>
      </w:r>
      <w:r w:rsidR="00DB2C22">
        <w:rPr>
          <w:rFonts w:hint="cs"/>
          <w:rtl/>
          <w:lang w:bidi="ar"/>
        </w:rPr>
        <w:t>وُقع</w:t>
      </w:r>
      <w:r w:rsidR="00DB2C22" w:rsidRPr="00DB2C22">
        <w:rPr>
          <w:rFonts w:hint="cs"/>
          <w:rtl/>
          <w:lang w:bidi="ar"/>
        </w:rPr>
        <w:t xml:space="preserve"> </w:t>
      </w:r>
      <w:r w:rsidR="00281C0D">
        <w:rPr>
          <w:lang w:bidi="ar"/>
        </w:rPr>
        <w:t>28</w:t>
      </w:r>
      <w:r w:rsidR="00DB2C22" w:rsidRPr="00DB2C22">
        <w:rPr>
          <w:rFonts w:hint="cs"/>
          <w:rtl/>
          <w:lang w:bidi="ar"/>
        </w:rPr>
        <w:t xml:space="preserve"> اتفاقا</w:t>
      </w:r>
      <w:r w:rsidR="00DB2C22">
        <w:rPr>
          <w:rFonts w:hint="cs"/>
          <w:rtl/>
          <w:lang w:bidi="ar"/>
        </w:rPr>
        <w:t>ً</w:t>
      </w:r>
      <w:r w:rsidR="00DB2C22" w:rsidRPr="00DB2C22">
        <w:rPr>
          <w:rFonts w:hint="cs"/>
          <w:rtl/>
          <w:lang w:bidi="ar"/>
        </w:rPr>
        <w:t xml:space="preserve"> لتنفيذ "أنشطة بناء القدرات المشتركة في إطار مراكز التميُّز التابعة لأكاديمية الاتحاد"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2DD" w:rsidRPr="004F48C0" w:rsidRDefault="009A62DD" w:rsidP="00D72469">
    <w:pPr>
      <w:pStyle w:val="Header"/>
      <w:tabs>
        <w:tab w:val="clear" w:pos="4680"/>
        <w:tab w:val="clear" w:pos="9360"/>
        <w:tab w:val="center" w:pos="4819"/>
        <w:tab w:val="right" w:pos="9639"/>
      </w:tabs>
      <w:spacing w:before="120" w:after="240"/>
      <w:rPr>
        <w:rtl/>
        <w:lang w:bidi="ar-EG"/>
      </w:rPr>
    </w:pPr>
    <w:r w:rsidRPr="004F48C0">
      <w:tab/>
      <w:t>ITU-D/TDAG17-22/29-A</w:t>
    </w:r>
    <w:r w:rsidRPr="004F48C0">
      <w:rPr>
        <w:rtl/>
        <w:lang w:bidi="ar-EG"/>
      </w:rPr>
      <w:tab/>
    </w:r>
    <w:r w:rsidRPr="004F48C0">
      <w:rPr>
        <w:rFonts w:hint="cs"/>
        <w:rtl/>
      </w:rPr>
      <w:t xml:space="preserve">الصفحة </w:t>
    </w:r>
    <w:r w:rsidRPr="004F48C0">
      <w:rPr>
        <w:szCs w:val="22"/>
        <w:lang w:val="en-GB"/>
      </w:rPr>
      <w:fldChar w:fldCharType="begin"/>
    </w:r>
    <w:r w:rsidRPr="004F48C0">
      <w:rPr>
        <w:szCs w:val="22"/>
        <w:lang w:val="en-GB"/>
      </w:rPr>
      <w:instrText xml:space="preserve"> PAGE </w:instrText>
    </w:r>
    <w:r w:rsidRPr="004F48C0">
      <w:rPr>
        <w:szCs w:val="22"/>
        <w:lang w:val="en-GB"/>
      </w:rPr>
      <w:fldChar w:fldCharType="separate"/>
    </w:r>
    <w:r w:rsidR="004E134D">
      <w:rPr>
        <w:noProof/>
        <w:szCs w:val="22"/>
        <w:rtl/>
        <w:lang w:val="en-GB"/>
      </w:rPr>
      <w:t>7</w:t>
    </w:r>
    <w:r w:rsidRPr="004F48C0">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134746"/>
    <w:multiLevelType w:val="hybridMultilevel"/>
    <w:tmpl w:val="4154BDAC"/>
    <w:lvl w:ilvl="0" w:tplc="654EEA78">
      <w:start w:val="2"/>
      <w:numFmt w:val="bullet"/>
      <w:lvlText w:val="-"/>
      <w:lvlJc w:val="left"/>
      <w:pPr>
        <w:ind w:left="360" w:hanging="360"/>
      </w:pPr>
      <w:rPr>
        <w:rFonts w:ascii="Calibri" w:eastAsia="SimHei" w:hAnsi="Calibri" w:cs="Calibri" w:hint="default"/>
      </w:rPr>
    </w:lvl>
    <w:lvl w:ilvl="1" w:tplc="97E4AD84" w:tentative="1">
      <w:start w:val="1"/>
      <w:numFmt w:val="bullet"/>
      <w:lvlText w:val="o"/>
      <w:lvlJc w:val="left"/>
      <w:pPr>
        <w:ind w:left="1080" w:hanging="360"/>
      </w:pPr>
      <w:rPr>
        <w:rFonts w:ascii="Courier New" w:hAnsi="Courier New" w:cs="Courier New" w:hint="default"/>
      </w:rPr>
    </w:lvl>
    <w:lvl w:ilvl="2" w:tplc="13EA544E" w:tentative="1">
      <w:start w:val="1"/>
      <w:numFmt w:val="bullet"/>
      <w:lvlText w:val=""/>
      <w:lvlJc w:val="left"/>
      <w:pPr>
        <w:ind w:left="1800" w:hanging="360"/>
      </w:pPr>
      <w:rPr>
        <w:rFonts w:ascii="Wingdings" w:hAnsi="Wingdings" w:hint="default"/>
      </w:rPr>
    </w:lvl>
    <w:lvl w:ilvl="3" w:tplc="873697F6" w:tentative="1">
      <w:start w:val="1"/>
      <w:numFmt w:val="bullet"/>
      <w:lvlText w:val=""/>
      <w:lvlJc w:val="left"/>
      <w:pPr>
        <w:ind w:left="2520" w:hanging="360"/>
      </w:pPr>
      <w:rPr>
        <w:rFonts w:ascii="Symbol" w:hAnsi="Symbol" w:hint="default"/>
      </w:rPr>
    </w:lvl>
    <w:lvl w:ilvl="4" w:tplc="4C6646B6" w:tentative="1">
      <w:start w:val="1"/>
      <w:numFmt w:val="bullet"/>
      <w:lvlText w:val="o"/>
      <w:lvlJc w:val="left"/>
      <w:pPr>
        <w:ind w:left="3240" w:hanging="360"/>
      </w:pPr>
      <w:rPr>
        <w:rFonts w:ascii="Courier New" w:hAnsi="Courier New" w:cs="Courier New" w:hint="default"/>
      </w:rPr>
    </w:lvl>
    <w:lvl w:ilvl="5" w:tplc="1980BCC0" w:tentative="1">
      <w:start w:val="1"/>
      <w:numFmt w:val="bullet"/>
      <w:lvlText w:val=""/>
      <w:lvlJc w:val="left"/>
      <w:pPr>
        <w:ind w:left="3960" w:hanging="360"/>
      </w:pPr>
      <w:rPr>
        <w:rFonts w:ascii="Wingdings" w:hAnsi="Wingdings" w:hint="default"/>
      </w:rPr>
    </w:lvl>
    <w:lvl w:ilvl="6" w:tplc="81AAD090" w:tentative="1">
      <w:start w:val="1"/>
      <w:numFmt w:val="bullet"/>
      <w:lvlText w:val=""/>
      <w:lvlJc w:val="left"/>
      <w:pPr>
        <w:ind w:left="4680" w:hanging="360"/>
      </w:pPr>
      <w:rPr>
        <w:rFonts w:ascii="Symbol" w:hAnsi="Symbol" w:hint="default"/>
      </w:rPr>
    </w:lvl>
    <w:lvl w:ilvl="7" w:tplc="9B94F98E" w:tentative="1">
      <w:start w:val="1"/>
      <w:numFmt w:val="bullet"/>
      <w:lvlText w:val="o"/>
      <w:lvlJc w:val="left"/>
      <w:pPr>
        <w:ind w:left="5400" w:hanging="360"/>
      </w:pPr>
      <w:rPr>
        <w:rFonts w:ascii="Courier New" w:hAnsi="Courier New" w:cs="Courier New" w:hint="default"/>
      </w:rPr>
    </w:lvl>
    <w:lvl w:ilvl="8" w:tplc="5BD8C572" w:tentative="1">
      <w:start w:val="1"/>
      <w:numFmt w:val="bullet"/>
      <w:lvlText w:val=""/>
      <w:lvlJc w:val="left"/>
      <w:pPr>
        <w:ind w:left="6120" w:hanging="360"/>
      </w:pPr>
      <w:rPr>
        <w:rFonts w:ascii="Wingdings" w:hAnsi="Wingdings" w:hint="default"/>
      </w:rPr>
    </w:lvl>
  </w:abstractNum>
  <w:abstractNum w:abstractNumId="12" w15:restartNumberingAfterBreak="0">
    <w:nsid w:val="63672AF5"/>
    <w:multiLevelType w:val="multilevel"/>
    <w:tmpl w:val="1C14758A"/>
    <w:lvl w:ilvl="0">
      <w:start w:val="1"/>
      <w:numFmt w:val="decimal"/>
      <w:lvlText w:val="%1."/>
      <w:lvlJc w:val="left"/>
      <w:pPr>
        <w:ind w:left="360" w:hanging="360"/>
      </w:pPr>
    </w:lvl>
    <w:lvl w:ilvl="1">
      <w:start w:val="1"/>
      <w:numFmt w:val="decimal"/>
      <w:isLgl/>
      <w:lvlText w:val="%1.%2."/>
      <w:lvlJc w:val="left"/>
      <w:pPr>
        <w:ind w:left="862"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76"/>
    <w:rsid w:val="0000396F"/>
    <w:rsid w:val="000124CC"/>
    <w:rsid w:val="0001267C"/>
    <w:rsid w:val="000133EC"/>
    <w:rsid w:val="000151BA"/>
    <w:rsid w:val="000313EF"/>
    <w:rsid w:val="00041F8B"/>
    <w:rsid w:val="000426B7"/>
    <w:rsid w:val="00046444"/>
    <w:rsid w:val="00047623"/>
    <w:rsid w:val="00047BB4"/>
    <w:rsid w:val="00054164"/>
    <w:rsid w:val="0006023B"/>
    <w:rsid w:val="000629EC"/>
    <w:rsid w:val="000630B8"/>
    <w:rsid w:val="00086108"/>
    <w:rsid w:val="0008638B"/>
    <w:rsid w:val="00090574"/>
    <w:rsid w:val="00092FC2"/>
    <w:rsid w:val="000A1677"/>
    <w:rsid w:val="000A770D"/>
    <w:rsid w:val="000B407F"/>
    <w:rsid w:val="000C13C2"/>
    <w:rsid w:val="000C2971"/>
    <w:rsid w:val="000C5A0D"/>
    <w:rsid w:val="000D3BEF"/>
    <w:rsid w:val="000E1DB4"/>
    <w:rsid w:val="000F05A3"/>
    <w:rsid w:val="000F0B1C"/>
    <w:rsid w:val="000F1D42"/>
    <w:rsid w:val="000F4D07"/>
    <w:rsid w:val="000F5EA1"/>
    <w:rsid w:val="00102A03"/>
    <w:rsid w:val="001040A3"/>
    <w:rsid w:val="00115FDA"/>
    <w:rsid w:val="00116849"/>
    <w:rsid w:val="001273C1"/>
    <w:rsid w:val="00145959"/>
    <w:rsid w:val="00153383"/>
    <w:rsid w:val="001677E8"/>
    <w:rsid w:val="00173915"/>
    <w:rsid w:val="00186911"/>
    <w:rsid w:val="001A5B6B"/>
    <w:rsid w:val="001C0DE7"/>
    <w:rsid w:val="001E65A0"/>
    <w:rsid w:val="002200EC"/>
    <w:rsid w:val="0022345D"/>
    <w:rsid w:val="00225854"/>
    <w:rsid w:val="0023283D"/>
    <w:rsid w:val="002415F7"/>
    <w:rsid w:val="00244631"/>
    <w:rsid w:val="00244A9E"/>
    <w:rsid w:val="00252E0C"/>
    <w:rsid w:val="00257EC3"/>
    <w:rsid w:val="00262CAF"/>
    <w:rsid w:val="00267B11"/>
    <w:rsid w:val="00270644"/>
    <w:rsid w:val="00271B44"/>
    <w:rsid w:val="00276881"/>
    <w:rsid w:val="002805B9"/>
    <w:rsid w:val="00281C0D"/>
    <w:rsid w:val="002916BE"/>
    <w:rsid w:val="002978F4"/>
    <w:rsid w:val="002B028D"/>
    <w:rsid w:val="002B3D21"/>
    <w:rsid w:val="002B435E"/>
    <w:rsid w:val="002C4AA1"/>
    <w:rsid w:val="002C4DAE"/>
    <w:rsid w:val="002D0B1D"/>
    <w:rsid w:val="002D1AD4"/>
    <w:rsid w:val="002D4DD1"/>
    <w:rsid w:val="002D6488"/>
    <w:rsid w:val="002D6669"/>
    <w:rsid w:val="002D7CF5"/>
    <w:rsid w:val="002E6541"/>
    <w:rsid w:val="002F5560"/>
    <w:rsid w:val="002F7232"/>
    <w:rsid w:val="0030486B"/>
    <w:rsid w:val="00305AC3"/>
    <w:rsid w:val="003231B9"/>
    <w:rsid w:val="003275AC"/>
    <w:rsid w:val="00333D29"/>
    <w:rsid w:val="0034050C"/>
    <w:rsid w:val="003409F4"/>
    <w:rsid w:val="00357185"/>
    <w:rsid w:val="0038629F"/>
    <w:rsid w:val="0039088A"/>
    <w:rsid w:val="003978EA"/>
    <w:rsid w:val="003A3353"/>
    <w:rsid w:val="003C27E7"/>
    <w:rsid w:val="003C475F"/>
    <w:rsid w:val="003D0432"/>
    <w:rsid w:val="003D2323"/>
    <w:rsid w:val="003D3348"/>
    <w:rsid w:val="003E4132"/>
    <w:rsid w:val="003E5E3F"/>
    <w:rsid w:val="003E67DC"/>
    <w:rsid w:val="003F678F"/>
    <w:rsid w:val="003F742E"/>
    <w:rsid w:val="004049C0"/>
    <w:rsid w:val="00410E4A"/>
    <w:rsid w:val="00413326"/>
    <w:rsid w:val="00413AEB"/>
    <w:rsid w:val="0042686F"/>
    <w:rsid w:val="00431AB4"/>
    <w:rsid w:val="004367CE"/>
    <w:rsid w:val="004376A9"/>
    <w:rsid w:val="004408CC"/>
    <w:rsid w:val="00442A8A"/>
    <w:rsid w:val="00443869"/>
    <w:rsid w:val="004569F1"/>
    <w:rsid w:val="004712C6"/>
    <w:rsid w:val="00490E35"/>
    <w:rsid w:val="00497703"/>
    <w:rsid w:val="004A2BEE"/>
    <w:rsid w:val="004A7024"/>
    <w:rsid w:val="004B1E0B"/>
    <w:rsid w:val="004B53F8"/>
    <w:rsid w:val="004C2661"/>
    <w:rsid w:val="004C44D3"/>
    <w:rsid w:val="004D104B"/>
    <w:rsid w:val="004E134D"/>
    <w:rsid w:val="004E2101"/>
    <w:rsid w:val="004E2C5E"/>
    <w:rsid w:val="004E4D2A"/>
    <w:rsid w:val="004F0F06"/>
    <w:rsid w:val="004F3D79"/>
    <w:rsid w:val="004F48C0"/>
    <w:rsid w:val="004F57FB"/>
    <w:rsid w:val="00501E0E"/>
    <w:rsid w:val="00514E7B"/>
    <w:rsid w:val="005204D7"/>
    <w:rsid w:val="00530420"/>
    <w:rsid w:val="00541B90"/>
    <w:rsid w:val="00542C15"/>
    <w:rsid w:val="00552BC5"/>
    <w:rsid w:val="0055516A"/>
    <w:rsid w:val="00557376"/>
    <w:rsid w:val="0056374C"/>
    <w:rsid w:val="0056509A"/>
    <w:rsid w:val="0056614F"/>
    <w:rsid w:val="00566357"/>
    <w:rsid w:val="0057656F"/>
    <w:rsid w:val="00576731"/>
    <w:rsid w:val="00576D89"/>
    <w:rsid w:val="00585759"/>
    <w:rsid w:val="00585A61"/>
    <w:rsid w:val="00585D44"/>
    <w:rsid w:val="005909C4"/>
    <w:rsid w:val="0059285F"/>
    <w:rsid w:val="005A24B1"/>
    <w:rsid w:val="005A3082"/>
    <w:rsid w:val="005A688C"/>
    <w:rsid w:val="005B0FAB"/>
    <w:rsid w:val="005B7B8A"/>
    <w:rsid w:val="005C1822"/>
    <w:rsid w:val="005C6C31"/>
    <w:rsid w:val="005D6476"/>
    <w:rsid w:val="005D6C0D"/>
    <w:rsid w:val="005E5283"/>
    <w:rsid w:val="005E58F5"/>
    <w:rsid w:val="005E6261"/>
    <w:rsid w:val="005F248A"/>
    <w:rsid w:val="005F49B5"/>
    <w:rsid w:val="006034DE"/>
    <w:rsid w:val="00606660"/>
    <w:rsid w:val="0061234F"/>
    <w:rsid w:val="006157A3"/>
    <w:rsid w:val="00617F70"/>
    <w:rsid w:val="00620E60"/>
    <w:rsid w:val="00630992"/>
    <w:rsid w:val="0063315A"/>
    <w:rsid w:val="0064483F"/>
    <w:rsid w:val="0065591D"/>
    <w:rsid w:val="00661742"/>
    <w:rsid w:val="00662582"/>
    <w:rsid w:val="00662C5A"/>
    <w:rsid w:val="00670AF5"/>
    <w:rsid w:val="00682CAF"/>
    <w:rsid w:val="00683E8E"/>
    <w:rsid w:val="006867B3"/>
    <w:rsid w:val="006A362A"/>
    <w:rsid w:val="006C1556"/>
    <w:rsid w:val="006D45EC"/>
    <w:rsid w:val="006D57BF"/>
    <w:rsid w:val="006E77E7"/>
    <w:rsid w:val="006F267F"/>
    <w:rsid w:val="006F63F7"/>
    <w:rsid w:val="006F6F03"/>
    <w:rsid w:val="00706D7A"/>
    <w:rsid w:val="00707FC4"/>
    <w:rsid w:val="00712F90"/>
    <w:rsid w:val="00726AEC"/>
    <w:rsid w:val="007530CA"/>
    <w:rsid w:val="007554F6"/>
    <w:rsid w:val="00773595"/>
    <w:rsid w:val="00781297"/>
    <w:rsid w:val="007856EF"/>
    <w:rsid w:val="0079188B"/>
    <w:rsid w:val="007953D5"/>
    <w:rsid w:val="0079553D"/>
    <w:rsid w:val="007A23EA"/>
    <w:rsid w:val="007B0163"/>
    <w:rsid w:val="007B01CC"/>
    <w:rsid w:val="007B63BA"/>
    <w:rsid w:val="007C60E7"/>
    <w:rsid w:val="007D192A"/>
    <w:rsid w:val="007D53E3"/>
    <w:rsid w:val="007E7C6C"/>
    <w:rsid w:val="007F6238"/>
    <w:rsid w:val="007F646C"/>
    <w:rsid w:val="007F65D6"/>
    <w:rsid w:val="008005D1"/>
    <w:rsid w:val="00801FCD"/>
    <w:rsid w:val="00803D7E"/>
    <w:rsid w:val="00803F08"/>
    <w:rsid w:val="00813F4E"/>
    <w:rsid w:val="008235CD"/>
    <w:rsid w:val="00823A07"/>
    <w:rsid w:val="00827334"/>
    <w:rsid w:val="008335B3"/>
    <w:rsid w:val="00835A07"/>
    <w:rsid w:val="00835FEC"/>
    <w:rsid w:val="0085030C"/>
    <w:rsid w:val="00850E9F"/>
    <w:rsid w:val="008513CB"/>
    <w:rsid w:val="00861FDB"/>
    <w:rsid w:val="00863061"/>
    <w:rsid w:val="00866E42"/>
    <w:rsid w:val="00872D44"/>
    <w:rsid w:val="00874D9C"/>
    <w:rsid w:val="0087616B"/>
    <w:rsid w:val="00887222"/>
    <w:rsid w:val="008A1376"/>
    <w:rsid w:val="008A1810"/>
    <w:rsid w:val="008B0945"/>
    <w:rsid w:val="008B5B5D"/>
    <w:rsid w:val="008B716A"/>
    <w:rsid w:val="008C2F0D"/>
    <w:rsid w:val="008C6A23"/>
    <w:rsid w:val="008D5834"/>
    <w:rsid w:val="00906BF9"/>
    <w:rsid w:val="00917694"/>
    <w:rsid w:val="00923199"/>
    <w:rsid w:val="009263CD"/>
    <w:rsid w:val="00926559"/>
    <w:rsid w:val="00930E6D"/>
    <w:rsid w:val="009330EB"/>
    <w:rsid w:val="00942E00"/>
    <w:rsid w:val="00966BA4"/>
    <w:rsid w:val="00972CA2"/>
    <w:rsid w:val="00977C36"/>
    <w:rsid w:val="00982B28"/>
    <w:rsid w:val="00984EA5"/>
    <w:rsid w:val="009855DA"/>
    <w:rsid w:val="00990E04"/>
    <w:rsid w:val="00992593"/>
    <w:rsid w:val="009A62DD"/>
    <w:rsid w:val="009B43B2"/>
    <w:rsid w:val="009C0579"/>
    <w:rsid w:val="009C17E1"/>
    <w:rsid w:val="009C35ED"/>
    <w:rsid w:val="009C7CE8"/>
    <w:rsid w:val="009E6450"/>
    <w:rsid w:val="009F1C12"/>
    <w:rsid w:val="00A124CB"/>
    <w:rsid w:val="00A16021"/>
    <w:rsid w:val="00A2167A"/>
    <w:rsid w:val="00A25A43"/>
    <w:rsid w:val="00A271A1"/>
    <w:rsid w:val="00A3295B"/>
    <w:rsid w:val="00A42AE5"/>
    <w:rsid w:val="00A52B61"/>
    <w:rsid w:val="00A64820"/>
    <w:rsid w:val="00A71C58"/>
    <w:rsid w:val="00A71DD6"/>
    <w:rsid w:val="00A723C7"/>
    <w:rsid w:val="00A77467"/>
    <w:rsid w:val="00A80E11"/>
    <w:rsid w:val="00A97F94"/>
    <w:rsid w:val="00AA6BF1"/>
    <w:rsid w:val="00AA7C7D"/>
    <w:rsid w:val="00AB1309"/>
    <w:rsid w:val="00AB1D65"/>
    <w:rsid w:val="00AB5201"/>
    <w:rsid w:val="00AC2C52"/>
    <w:rsid w:val="00AD1503"/>
    <w:rsid w:val="00AE323E"/>
    <w:rsid w:val="00AE7244"/>
    <w:rsid w:val="00AF2389"/>
    <w:rsid w:val="00AF3FEE"/>
    <w:rsid w:val="00AF6ECF"/>
    <w:rsid w:val="00B02F46"/>
    <w:rsid w:val="00B2000C"/>
    <w:rsid w:val="00B20ADE"/>
    <w:rsid w:val="00B22201"/>
    <w:rsid w:val="00B31FFC"/>
    <w:rsid w:val="00B36809"/>
    <w:rsid w:val="00B45604"/>
    <w:rsid w:val="00B507F8"/>
    <w:rsid w:val="00B52A61"/>
    <w:rsid w:val="00B63714"/>
    <w:rsid w:val="00B66B9A"/>
    <w:rsid w:val="00B750BB"/>
    <w:rsid w:val="00B809A6"/>
    <w:rsid w:val="00B82089"/>
    <w:rsid w:val="00B906C9"/>
    <w:rsid w:val="00B91483"/>
    <w:rsid w:val="00B970AE"/>
    <w:rsid w:val="00BA1427"/>
    <w:rsid w:val="00BC222A"/>
    <w:rsid w:val="00BC2752"/>
    <w:rsid w:val="00BC5724"/>
    <w:rsid w:val="00BD2824"/>
    <w:rsid w:val="00BE49D0"/>
    <w:rsid w:val="00BF2C38"/>
    <w:rsid w:val="00C23331"/>
    <w:rsid w:val="00C265DA"/>
    <w:rsid w:val="00C442F2"/>
    <w:rsid w:val="00C5220E"/>
    <w:rsid w:val="00C55671"/>
    <w:rsid w:val="00C65A6E"/>
    <w:rsid w:val="00C674FE"/>
    <w:rsid w:val="00C7297D"/>
    <w:rsid w:val="00C75633"/>
    <w:rsid w:val="00C81DDC"/>
    <w:rsid w:val="00C8242E"/>
    <w:rsid w:val="00C82615"/>
    <w:rsid w:val="00C867DB"/>
    <w:rsid w:val="00C93C69"/>
    <w:rsid w:val="00CA2A38"/>
    <w:rsid w:val="00CA3912"/>
    <w:rsid w:val="00CA50FF"/>
    <w:rsid w:val="00CC3CD2"/>
    <w:rsid w:val="00CC43BE"/>
    <w:rsid w:val="00CD123C"/>
    <w:rsid w:val="00CD2085"/>
    <w:rsid w:val="00CE2EE1"/>
    <w:rsid w:val="00CF3FFD"/>
    <w:rsid w:val="00CF5ED3"/>
    <w:rsid w:val="00D0494C"/>
    <w:rsid w:val="00D05C27"/>
    <w:rsid w:val="00D14BEB"/>
    <w:rsid w:val="00D21C89"/>
    <w:rsid w:val="00D2269D"/>
    <w:rsid w:val="00D319E5"/>
    <w:rsid w:val="00D45542"/>
    <w:rsid w:val="00D63268"/>
    <w:rsid w:val="00D71FEA"/>
    <w:rsid w:val="00D72469"/>
    <w:rsid w:val="00D724A7"/>
    <w:rsid w:val="00D74F1A"/>
    <w:rsid w:val="00D77D0F"/>
    <w:rsid w:val="00D94196"/>
    <w:rsid w:val="00DA1CF0"/>
    <w:rsid w:val="00DB2271"/>
    <w:rsid w:val="00DB2C22"/>
    <w:rsid w:val="00DB30B3"/>
    <w:rsid w:val="00DB5659"/>
    <w:rsid w:val="00DC24B4"/>
    <w:rsid w:val="00DC5E81"/>
    <w:rsid w:val="00DD08FA"/>
    <w:rsid w:val="00DD7A05"/>
    <w:rsid w:val="00DE317E"/>
    <w:rsid w:val="00DE513F"/>
    <w:rsid w:val="00DE5E83"/>
    <w:rsid w:val="00DF16DC"/>
    <w:rsid w:val="00DF5361"/>
    <w:rsid w:val="00E009A1"/>
    <w:rsid w:val="00E00D15"/>
    <w:rsid w:val="00E041E4"/>
    <w:rsid w:val="00E060AF"/>
    <w:rsid w:val="00E071BE"/>
    <w:rsid w:val="00E07379"/>
    <w:rsid w:val="00E14494"/>
    <w:rsid w:val="00E17033"/>
    <w:rsid w:val="00E22744"/>
    <w:rsid w:val="00E32189"/>
    <w:rsid w:val="00E43825"/>
    <w:rsid w:val="00E4450B"/>
    <w:rsid w:val="00E45211"/>
    <w:rsid w:val="00E57C5B"/>
    <w:rsid w:val="00E62032"/>
    <w:rsid w:val="00E71462"/>
    <w:rsid w:val="00E7380C"/>
    <w:rsid w:val="00E74BE7"/>
    <w:rsid w:val="00E76270"/>
    <w:rsid w:val="00E86CC9"/>
    <w:rsid w:val="00E96624"/>
    <w:rsid w:val="00EC3813"/>
    <w:rsid w:val="00ED42BE"/>
    <w:rsid w:val="00EE4F30"/>
    <w:rsid w:val="00F06ABD"/>
    <w:rsid w:val="00F126F1"/>
    <w:rsid w:val="00F2106A"/>
    <w:rsid w:val="00F26032"/>
    <w:rsid w:val="00F27DB7"/>
    <w:rsid w:val="00F36D8B"/>
    <w:rsid w:val="00F401D0"/>
    <w:rsid w:val="00F45F2B"/>
    <w:rsid w:val="00F5194A"/>
    <w:rsid w:val="00F56EFC"/>
    <w:rsid w:val="00F57AE4"/>
    <w:rsid w:val="00F67150"/>
    <w:rsid w:val="00F700AD"/>
    <w:rsid w:val="00F72F17"/>
    <w:rsid w:val="00F84366"/>
    <w:rsid w:val="00F85089"/>
    <w:rsid w:val="00F85564"/>
    <w:rsid w:val="00F86482"/>
    <w:rsid w:val="00F86CFA"/>
    <w:rsid w:val="00F97218"/>
    <w:rsid w:val="00FA076E"/>
    <w:rsid w:val="00FB6E12"/>
    <w:rsid w:val="00FD2560"/>
    <w:rsid w:val="00FD58BD"/>
    <w:rsid w:val="00FE40AB"/>
    <w:rsid w:val="00FE6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2ACE5C1-26F9-4BD5-8778-4FAE9528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62CAF"/>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62CAF"/>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rsid w:val="00262CAF"/>
    <w:pPr>
      <w:tabs>
        <w:tab w:val="clear" w:pos="1134"/>
      </w:tabs>
      <w:spacing w:before="60" w:line="168" w:lineRule="auto"/>
      <w:ind w:left="397" w:hanging="397"/>
    </w:pPr>
    <w:rPr>
      <w:sz w:val="20"/>
      <w:szCs w:val="26"/>
      <w:lang w:bidi="ar-EG"/>
    </w:rPr>
  </w:style>
  <w:style w:type="character" w:styleId="FootnoteReference">
    <w:name w:val="footnote reference"/>
    <w:basedOn w:val="DefaultParagraphFont"/>
    <w:uiPriority w:val="99"/>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62CAF"/>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62CAF"/>
    <w:pPr>
      <w:spacing w:before="80"/>
      <w:ind w:left="794" w:hanging="794"/>
    </w:pPr>
  </w:style>
  <w:style w:type="character" w:customStyle="1" w:styleId="enumlev1Char">
    <w:name w:val="enumlev1 Char"/>
    <w:basedOn w:val="DefaultParagraphFont"/>
    <w:link w:val="enumlev1"/>
    <w:rsid w:val="00262CAF"/>
    <w:rPr>
      <w:rFonts w:ascii="Calibri" w:eastAsia="Times New Roman" w:hAnsi="Calibri"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0313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Figuretitle0">
    <w:name w:val="Figure title"/>
    <w:basedOn w:val="Normal"/>
    <w:qFormat/>
    <w:rsid w:val="004D104B"/>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character" w:customStyle="1" w:styleId="ListParagraphChar">
    <w:name w:val="List Paragraph Char"/>
    <w:basedOn w:val="DefaultParagraphFont"/>
    <w:link w:val="ListParagraph"/>
    <w:uiPriority w:val="99"/>
    <w:locked/>
    <w:rsid w:val="00054164"/>
    <w:rPr>
      <w:rFonts w:ascii="Verdana" w:eastAsia="SimHei" w:hAnsi="Verdana" w:cs="Simplified Arabic"/>
      <w:bCs/>
      <w:sz w:val="19"/>
      <w:szCs w:val="28"/>
    </w:rPr>
  </w:style>
  <w:style w:type="paragraph" w:styleId="ListParagraph">
    <w:name w:val="List Paragraph"/>
    <w:basedOn w:val="Normal"/>
    <w:link w:val="ListParagraphChar"/>
    <w:uiPriority w:val="99"/>
    <w:qFormat/>
    <w:rsid w:val="00054164"/>
    <w:pPr>
      <w:tabs>
        <w:tab w:val="clear" w:pos="1134"/>
      </w:tabs>
      <w:bidi w:val="0"/>
      <w:spacing w:after="120" w:line="240" w:lineRule="auto"/>
      <w:ind w:left="720"/>
      <w:contextualSpacing/>
      <w:jc w:val="left"/>
    </w:pPr>
    <w:rPr>
      <w:rFonts w:ascii="Verdana" w:eastAsia="SimHei" w:hAnsi="Verdana" w:cs="Simplified Arabic"/>
      <w:bCs/>
      <w:sz w:val="19"/>
      <w:szCs w:val="28"/>
      <w:lang w:eastAsia="zh-CN"/>
    </w:rPr>
  </w:style>
  <w:style w:type="paragraph" w:styleId="NormalWeb">
    <w:name w:val="Normal (Web)"/>
    <w:basedOn w:val="Normal"/>
    <w:uiPriority w:val="99"/>
    <w:semiHidden/>
    <w:unhideWhenUsed/>
    <w:rsid w:val="009855DA"/>
    <w:pPr>
      <w:tabs>
        <w:tab w:val="clear" w:pos="1134"/>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5258">
      <w:bodyDiv w:val="1"/>
      <w:marLeft w:val="0"/>
      <w:marRight w:val="0"/>
      <w:marTop w:val="0"/>
      <w:marBottom w:val="0"/>
      <w:divBdr>
        <w:top w:val="none" w:sz="0" w:space="0" w:color="auto"/>
        <w:left w:val="none" w:sz="0" w:space="0" w:color="auto"/>
        <w:bottom w:val="none" w:sz="0" w:space="0" w:color="auto"/>
        <w:right w:val="none" w:sz="0" w:space="0" w:color="auto"/>
      </w:divBdr>
    </w:div>
    <w:div w:id="181151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D/Partners/pages/call4partners/partnerships.aspx" TargetMode="External"/><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en/ITU-D/Projects/Pages/default.aspx" TargetMode="Externa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go/en/itudsponsorship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yots\Desktop\TDAG\2017\Charts%20TDAG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yots\Desktop\TDAG\2017\Charts%20TDAG20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uyots\Desktop\TDAG\2017\Charts%20TDAG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uyots\Desktop\TDAG\2017\Charts%20TDAG2017.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guyots\Desktop\TDAG\2017\Charts%20TDAG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nSpc>
                <a:spcPct val="80000"/>
              </a:lnSpc>
              <a:defRPr sz="1100" b="1" i="0" u="none" strike="noStrike" kern="1200" baseline="0">
                <a:solidFill>
                  <a:schemeClr val="dk1">
                    <a:lumMod val="65000"/>
                    <a:lumOff val="35000"/>
                  </a:schemeClr>
                </a:solidFill>
                <a:effectLst/>
                <a:latin typeface="+mn-lt"/>
                <a:ea typeface="+mn-ea"/>
                <a:cs typeface="+mn-cs"/>
              </a:defRPr>
            </a:pPr>
            <a:r>
              <a:rPr lang="ar-EG" sz="1300" b="1" i="0" baseline="0">
                <a:effectLst/>
                <a:cs typeface="Traditional Arabic" panose="02020603050405020304" pitchFamily="18" charset="-78"/>
              </a:rPr>
              <a:t>الاتفاقات الجديدة الموقعة</a:t>
            </a:r>
            <a:endParaRPr lang="en-US" sz="1300" baseline="0">
              <a:effectLst/>
              <a:cs typeface="Traditional Arabic" panose="02020603050405020304" pitchFamily="18" charset="-78"/>
            </a:endParaRPr>
          </a:p>
          <a:p>
            <a:pPr>
              <a:lnSpc>
                <a:spcPct val="80000"/>
              </a:lnSpc>
              <a:defRPr sz="1100" b="1"/>
            </a:pPr>
            <a:r>
              <a:rPr lang="en-US" sz="1000" b="1" i="0" baseline="0">
                <a:effectLst/>
              </a:rPr>
              <a:t>(2016-2013)</a:t>
            </a:r>
            <a:endParaRPr lang="en-US" sz="1000">
              <a:effectLst/>
            </a:endParaRPr>
          </a:p>
        </c:rich>
      </c:tx>
      <c:layout/>
      <c:overlay val="0"/>
      <c:spPr>
        <a:noFill/>
        <a:ln>
          <a:noFill/>
        </a:ln>
        <a:effectLst/>
      </c:spPr>
      <c:txPr>
        <a:bodyPr rot="0" spcFirstLastPara="1" vertOverflow="ellipsis" vert="horz" wrap="square" anchor="ctr" anchorCtr="1"/>
        <a:lstStyle/>
        <a:p>
          <a:pPr>
            <a:lnSpc>
              <a:spcPct val="80000"/>
            </a:lnSpc>
            <a:defRPr sz="1100" b="1"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solidFill>
              <a:schemeClr val="accent2">
                <a:lumMod val="75000"/>
              </a:schemeClr>
            </a:solidFill>
            <a:ln>
              <a:noFill/>
            </a:ln>
            <a:effectLst>
              <a:outerShdw blurRad="76200" dir="18900000" sy="23000" kx="-1200000" algn="bl" rotWithShape="0">
                <a:prstClr val="black">
                  <a:alpha val="20000"/>
                </a:prstClr>
              </a:outerShdw>
            </a:effectLst>
          </c:spPr>
          <c:invertIfNegative val="0"/>
          <c:dLbls>
            <c:dLbl>
              <c:idx val="2"/>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2A3E536E-1E8B-4AA5-A1E3-117C10DC6135}" type="VALUE">
                      <a:rPr lang="en-US"/>
                      <a:pPr>
                        <a:defRPr/>
                      </a:pPr>
                      <a:t>[VALUE]</a:t>
                    </a:fld>
                    <a:r>
                      <a:rPr lang="en-US" baseline="30000"/>
                      <a:t>1</a:t>
                    </a:r>
                  </a:p>
                </c:rich>
              </c:tx>
              <c:spPr>
                <a:solidFill>
                  <a:schemeClr val="dk1">
                    <a:lumMod val="65000"/>
                    <a:lumOff val="35000"/>
                    <a:alpha val="75000"/>
                  </a:schemeClr>
                </a:solidFill>
                <a:ln>
                  <a:no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Lst>
            </c:dLbl>
            <c:dLbl>
              <c:idx val="3"/>
              <c:layout>
                <c:manualLayout>
                  <c:x val="4.4742729306486055E-3"/>
                  <c:y val="0.13693922744642389"/>
                </c:manualLayout>
              </c:layout>
              <c:tx>
                <c:rich>
                  <a:bodyPr/>
                  <a:lstStyle/>
                  <a:p>
                    <a:r>
                      <a:rPr lang="en-US"/>
                      <a:t>29</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Sheet1!$B$1:$E$1</c:f>
              <c:numCache>
                <c:formatCode>General</c:formatCode>
                <c:ptCount val="4"/>
                <c:pt idx="0">
                  <c:v>2013</c:v>
                </c:pt>
                <c:pt idx="1">
                  <c:v>2014</c:v>
                </c:pt>
                <c:pt idx="2">
                  <c:v>2015</c:v>
                </c:pt>
                <c:pt idx="3">
                  <c:v>2016</c:v>
                </c:pt>
              </c:numCache>
            </c:numRef>
          </c:cat>
          <c:val>
            <c:numRef>
              <c:f>Sheet1!$B$2:$E$2</c:f>
              <c:numCache>
                <c:formatCode>General</c:formatCode>
                <c:ptCount val="4"/>
                <c:pt idx="0">
                  <c:v>36</c:v>
                </c:pt>
                <c:pt idx="1">
                  <c:v>42</c:v>
                </c:pt>
                <c:pt idx="2">
                  <c:v>68</c:v>
                </c:pt>
                <c:pt idx="3">
                  <c:v>27</c:v>
                </c:pt>
              </c:numCache>
            </c:numRef>
          </c:val>
        </c:ser>
        <c:dLbls>
          <c:dLblPos val="inEnd"/>
          <c:showLegendKey val="0"/>
          <c:showVal val="1"/>
          <c:showCatName val="0"/>
          <c:showSerName val="0"/>
          <c:showPercent val="0"/>
          <c:showBubbleSize val="0"/>
        </c:dLbls>
        <c:gapWidth val="41"/>
        <c:axId val="182643560"/>
        <c:axId val="330972512"/>
      </c:barChart>
      <c:catAx>
        <c:axId val="182643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30972512"/>
        <c:crosses val="autoZero"/>
        <c:auto val="1"/>
        <c:lblAlgn val="ctr"/>
        <c:lblOffset val="100"/>
        <c:noMultiLvlLbl val="0"/>
      </c:catAx>
      <c:valAx>
        <c:axId val="330972512"/>
        <c:scaling>
          <c:orientation val="minMax"/>
        </c:scaling>
        <c:delete val="1"/>
        <c:axPos val="l"/>
        <c:numFmt formatCode="General" sourceLinked="1"/>
        <c:majorTickMark val="none"/>
        <c:minorTickMark val="none"/>
        <c:tickLblPos val="nextTo"/>
        <c:crossAx val="18264356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nSpc>
                <a:spcPct val="80000"/>
              </a:lnSpc>
              <a:defRPr sz="1600" b="1" i="0" u="none" strike="noStrike" kern="1200" baseline="0">
                <a:solidFill>
                  <a:schemeClr val="tx2"/>
                </a:solidFill>
                <a:latin typeface="+mn-lt"/>
                <a:ea typeface="+mn-ea"/>
                <a:cs typeface="+mn-cs"/>
              </a:defRPr>
            </a:pPr>
            <a:r>
              <a:rPr lang="ar-EG" sz="1300" b="1" i="0" baseline="0">
                <a:effectLst/>
                <a:cs typeface="Traditional Arabic" panose="02020603050405020304" pitchFamily="18" charset="-78"/>
              </a:rPr>
              <a:t>المناطق المستفيدة من الاتفاقات الجديدة الموقعة</a:t>
            </a:r>
            <a:endParaRPr lang="en-US" sz="1300" baseline="0">
              <a:effectLst/>
              <a:cs typeface="Traditional Arabic" panose="02020603050405020304" pitchFamily="18" charset="-78"/>
            </a:endParaRPr>
          </a:p>
          <a:p>
            <a:pPr>
              <a:lnSpc>
                <a:spcPct val="80000"/>
              </a:lnSpc>
              <a:defRPr/>
            </a:pPr>
            <a:r>
              <a:rPr lang="en-US" sz="1000" b="1" i="0" baseline="0">
                <a:effectLst/>
              </a:rPr>
              <a:t>(2016-2013)</a:t>
            </a:r>
            <a:endParaRPr lang="en-US" sz="1000">
              <a:effectLst/>
            </a:endParaRPr>
          </a:p>
        </c:rich>
      </c:tx>
      <c:layout>
        <c:manualLayout>
          <c:xMode val="edge"/>
          <c:yMode val="edge"/>
          <c:x val="0.1187538940809969"/>
          <c:y val="5.7971014492753624E-2"/>
        </c:manualLayout>
      </c:layout>
      <c:overlay val="0"/>
      <c:spPr>
        <a:noFill/>
        <a:ln>
          <a:noFill/>
        </a:ln>
        <a:effectLst/>
      </c:spPr>
      <c:txPr>
        <a:bodyPr rot="0" spcFirstLastPara="1" vertOverflow="ellipsis" vert="horz" wrap="square" anchor="ctr" anchorCtr="1"/>
        <a:lstStyle/>
        <a:p>
          <a:pPr>
            <a:lnSpc>
              <a:spcPct val="80000"/>
            </a:lnSpc>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Sheet1!$G$7:$G$13</c:f>
              <c:strCache>
                <c:ptCount val="7"/>
                <c:pt idx="0">
                  <c:v>AFR</c:v>
                </c:pt>
                <c:pt idx="1">
                  <c:v>AMS</c:v>
                </c:pt>
                <c:pt idx="2">
                  <c:v>ARB</c:v>
                </c:pt>
                <c:pt idx="3">
                  <c:v>ASP</c:v>
                </c:pt>
                <c:pt idx="4">
                  <c:v>CIS</c:v>
                </c:pt>
                <c:pt idx="5">
                  <c:v>EUR</c:v>
                </c:pt>
                <c:pt idx="6">
                  <c:v>GLO</c:v>
                </c:pt>
              </c:strCache>
            </c:strRef>
          </c:cat>
          <c:val>
            <c:numRef>
              <c:f>Sheet1!$H$7:$H$13</c:f>
              <c:numCache>
                <c:formatCode>General</c:formatCode>
                <c:ptCount val="7"/>
                <c:pt idx="0">
                  <c:v>31.5</c:v>
                </c:pt>
                <c:pt idx="1">
                  <c:v>23</c:v>
                </c:pt>
                <c:pt idx="2">
                  <c:v>14</c:v>
                </c:pt>
                <c:pt idx="3">
                  <c:v>40</c:v>
                </c:pt>
                <c:pt idx="4">
                  <c:v>4</c:v>
                </c:pt>
                <c:pt idx="5">
                  <c:v>9.5</c:v>
                </c:pt>
                <c:pt idx="6">
                  <c:v>51</c:v>
                </c:pt>
              </c:numCache>
            </c:numRef>
          </c:val>
        </c:ser>
        <c:dLbls>
          <c:showLegendKey val="0"/>
          <c:showVal val="0"/>
          <c:showCatName val="0"/>
          <c:showSerName val="0"/>
          <c:showPercent val="0"/>
          <c:showBubbleSize val="0"/>
        </c:dLbls>
        <c:gapWidth val="100"/>
        <c:overlap val="-24"/>
        <c:axId val="330972120"/>
        <c:axId val="181064568"/>
      </c:barChart>
      <c:catAx>
        <c:axId val="3309721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1064568"/>
        <c:crosses val="autoZero"/>
        <c:auto val="1"/>
        <c:lblAlgn val="ctr"/>
        <c:lblOffset val="100"/>
        <c:noMultiLvlLbl val="0"/>
      </c:catAx>
      <c:valAx>
        <c:axId val="1810645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30972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spcBef>
          <a:spcPts val="600"/>
        </a:spcBef>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50" baseline="0">
                <a:solidFill>
                  <a:schemeClr val="tx1">
                    <a:lumMod val="65000"/>
                    <a:lumOff val="35000"/>
                  </a:schemeClr>
                </a:solidFill>
                <a:latin typeface="+mn-lt"/>
                <a:ea typeface="+mn-ea"/>
                <a:cs typeface="+mn-cs"/>
              </a:defRPr>
            </a:pPr>
            <a:r>
              <a:rPr lang="ar-EG" sz="1300" b="1" i="0" baseline="0">
                <a:effectLst/>
                <a:latin typeface="Traditional Arabic" panose="02020603050405020304" pitchFamily="18" charset="-78"/>
                <a:cs typeface="Traditional Arabic" panose="02020603050405020304" pitchFamily="18" charset="-78"/>
              </a:rPr>
              <a:t>مجالات عمل الاتفاقات الجديدة الموقعة</a:t>
            </a:r>
            <a:endParaRPr lang="en-US" sz="1300">
              <a:effectLst/>
              <a:latin typeface="Traditional Arabic" panose="02020603050405020304" pitchFamily="18" charset="-78"/>
              <a:cs typeface="Traditional Arabic" panose="02020603050405020304" pitchFamily="18" charset="-78"/>
            </a:endParaRPr>
          </a:p>
          <a:p>
            <a:pPr>
              <a:defRPr sz="1100" b="1" i="0" u="none" strike="noStrike" kern="1200" cap="none" spc="50" baseline="0">
                <a:solidFill>
                  <a:schemeClr val="tx1">
                    <a:lumMod val="65000"/>
                    <a:lumOff val="35000"/>
                  </a:schemeClr>
                </a:solidFill>
                <a:latin typeface="+mn-lt"/>
                <a:ea typeface="+mn-ea"/>
                <a:cs typeface="+mn-cs"/>
              </a:defRPr>
            </a:pPr>
            <a:r>
              <a:rPr lang="en-US" sz="1000" b="1" i="0" baseline="0">
                <a:effectLst/>
              </a:rPr>
              <a:t>(2016-2013)</a:t>
            </a:r>
            <a:endParaRPr lang="en-US" sz="1000">
              <a:effectLst/>
            </a:endParaRPr>
          </a:p>
        </c:rich>
      </c:tx>
      <c:layout/>
      <c:overlay val="0"/>
      <c:spPr>
        <a:noFill/>
        <a:ln>
          <a:noFill/>
        </a:ln>
        <a:effectLst/>
      </c:spPr>
    </c:title>
    <c:autoTitleDeleted val="0"/>
    <c:plotArea>
      <c:layout>
        <c:manualLayout>
          <c:layoutTarget val="inner"/>
          <c:xMode val="edge"/>
          <c:yMode val="edge"/>
          <c:x val="0.26260744124541685"/>
          <c:y val="0.22389380530973452"/>
          <c:w val="0.69712861775315993"/>
          <c:h val="0.68256102942884356"/>
        </c:manualLayout>
      </c:layout>
      <c:barChart>
        <c:barDir val="bar"/>
        <c:grouping val="clustered"/>
        <c:varyColors val="0"/>
        <c:ser>
          <c:idx val="0"/>
          <c:order val="0"/>
          <c:spPr>
            <a:noFill/>
            <a:ln w="25400" cap="flat" cmpd="sng" algn="ctr">
              <a:solidFill>
                <a:schemeClr val="accent1"/>
              </a:solidFill>
              <a:miter lim="800000"/>
            </a:ln>
            <a:effectLst/>
          </c:spPr>
          <c:invertIfNegative val="0"/>
          <c:cat>
            <c:strRef>
              <c:f>Sheet1!$A$34:$A$43</c:f>
              <c:strCache>
                <c:ptCount val="10"/>
                <c:pt idx="0">
                  <c:v>Capacity Building</c:v>
                </c:pt>
                <c:pt idx="1">
                  <c:v>Infrastructure</c:v>
                </c:pt>
                <c:pt idx="2">
                  <c:v>Cybersecurity</c:v>
                </c:pt>
                <c:pt idx="3">
                  <c:v>ICT Applications</c:v>
                </c:pt>
                <c:pt idx="4">
                  <c:v>Enabling Environment</c:v>
                </c:pt>
                <c:pt idx="5">
                  <c:v>Generic</c:v>
                </c:pt>
                <c:pt idx="6">
                  <c:v>Emergency Telecom</c:v>
                </c:pt>
                <c:pt idx="7">
                  <c:v>Digital Inclusion</c:v>
                </c:pt>
                <c:pt idx="8">
                  <c:v>Innovation</c:v>
                </c:pt>
                <c:pt idx="9">
                  <c:v>Statistics and Indicators</c:v>
                </c:pt>
              </c:strCache>
            </c:strRef>
          </c:cat>
          <c:val>
            <c:numRef>
              <c:f>Sheet1!$B$34:$B$43</c:f>
              <c:numCache>
                <c:formatCode>General</c:formatCode>
                <c:ptCount val="10"/>
                <c:pt idx="0">
                  <c:v>48</c:v>
                </c:pt>
                <c:pt idx="1">
                  <c:v>31</c:v>
                </c:pt>
                <c:pt idx="2">
                  <c:v>29</c:v>
                </c:pt>
                <c:pt idx="3">
                  <c:v>23</c:v>
                </c:pt>
                <c:pt idx="4">
                  <c:v>16</c:v>
                </c:pt>
                <c:pt idx="5">
                  <c:v>10</c:v>
                </c:pt>
                <c:pt idx="6">
                  <c:v>8</c:v>
                </c:pt>
                <c:pt idx="7">
                  <c:v>5</c:v>
                </c:pt>
                <c:pt idx="8">
                  <c:v>2</c:v>
                </c:pt>
                <c:pt idx="9">
                  <c:v>2</c:v>
                </c:pt>
              </c:numCache>
            </c:numRef>
          </c:val>
        </c:ser>
        <c:dLbls>
          <c:showLegendKey val="0"/>
          <c:showVal val="0"/>
          <c:showCatName val="0"/>
          <c:showSerName val="0"/>
          <c:showPercent val="0"/>
          <c:showBubbleSize val="0"/>
        </c:dLbls>
        <c:gapWidth val="227"/>
        <c:overlap val="-48"/>
        <c:axId val="332537432"/>
        <c:axId val="332537824"/>
      </c:barChart>
      <c:catAx>
        <c:axId val="332537432"/>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32537824"/>
        <c:crosses val="autoZero"/>
        <c:auto val="1"/>
        <c:lblAlgn val="ctr"/>
        <c:lblOffset val="100"/>
        <c:noMultiLvlLbl val="0"/>
      </c:catAx>
      <c:valAx>
        <c:axId val="33253782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32537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nSpc>
                <a:spcPts val="1300"/>
              </a:lnSpc>
              <a:defRPr sz="1100" b="1" i="0" u="none" strike="noStrike" kern="1200" baseline="0">
                <a:solidFill>
                  <a:schemeClr val="tx1">
                    <a:lumMod val="65000"/>
                    <a:lumOff val="35000"/>
                  </a:schemeClr>
                </a:solidFill>
                <a:latin typeface="+mn-lt"/>
                <a:ea typeface="+mn-ea"/>
                <a:cs typeface="+mn-cs"/>
              </a:defRPr>
            </a:pPr>
            <a:r>
              <a:rPr lang="ar-EG" sz="1300" b="1" i="0" baseline="0">
                <a:effectLst/>
                <a:latin typeface="Traditional Arabic" panose="02020603050405020304" pitchFamily="18" charset="-78"/>
                <a:cs typeface="Traditional Arabic" panose="02020603050405020304" pitchFamily="18" charset="-78"/>
              </a:rPr>
              <a:t>الاتفاقات الجديدة الموقعة -</a:t>
            </a:r>
            <a:br>
              <a:rPr lang="ar-EG" sz="1300" b="1" i="0" baseline="0">
                <a:effectLst/>
                <a:latin typeface="Traditional Arabic" panose="02020603050405020304" pitchFamily="18" charset="-78"/>
                <a:cs typeface="Traditional Arabic" panose="02020603050405020304" pitchFamily="18" charset="-78"/>
              </a:rPr>
            </a:br>
            <a:r>
              <a:rPr lang="ar-EG" sz="1300" b="1" i="0" baseline="0">
                <a:effectLst/>
                <a:latin typeface="Traditional Arabic" panose="02020603050405020304" pitchFamily="18" charset="-78"/>
                <a:cs typeface="Traditional Arabic" panose="02020603050405020304" pitchFamily="18" charset="-78"/>
              </a:rPr>
              <a:t>أصحاب المصلحة</a:t>
            </a:r>
            <a:endParaRPr lang="en-US" sz="1300">
              <a:effectLst/>
              <a:latin typeface="Traditional Arabic" panose="02020603050405020304" pitchFamily="18" charset="-78"/>
              <a:cs typeface="Traditional Arabic" panose="02020603050405020304" pitchFamily="18" charset="-78"/>
            </a:endParaRPr>
          </a:p>
          <a:p>
            <a:pPr>
              <a:lnSpc>
                <a:spcPts val="1300"/>
              </a:lnSpc>
              <a:defRPr sz="1100" b="1" i="0" u="none" strike="noStrike" kern="1200" baseline="0">
                <a:solidFill>
                  <a:schemeClr val="tx1">
                    <a:lumMod val="65000"/>
                    <a:lumOff val="35000"/>
                  </a:schemeClr>
                </a:solidFill>
                <a:latin typeface="+mn-lt"/>
                <a:ea typeface="+mn-ea"/>
                <a:cs typeface="+mn-cs"/>
              </a:defRPr>
            </a:pPr>
            <a:r>
              <a:rPr lang="en-US" sz="1000">
                <a:latin typeface="+mn-lt"/>
              </a:rPr>
              <a:t>(2016-2013)</a:t>
            </a:r>
          </a:p>
        </c:rich>
      </c:tx>
      <c:layout>
        <c:manualLayout>
          <c:xMode val="edge"/>
          <c:yMode val="edge"/>
          <c:x val="0.16759239011589769"/>
          <c:y val="5.0674248610672344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869692401368485E-2"/>
          <c:y val="0.28330916527611794"/>
          <c:w val="0.8171010253287716"/>
          <c:h val="0.48616804574694472"/>
        </c:manualLayout>
      </c:layout>
      <c:pie3DChart>
        <c:varyColors val="1"/>
        <c:ser>
          <c:idx val="0"/>
          <c:order val="0"/>
          <c:explosion val="4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dPt>
          <c:dLbls>
            <c:dLbl>
              <c:idx val="0"/>
              <c:layout>
                <c:manualLayout>
                  <c:x val="-6.0287246440094679E-2"/>
                  <c:y val="5.1284178911759321E-2"/>
                </c:manualLayout>
              </c:layout>
              <c:tx>
                <c:rich>
                  <a:bodyPr/>
                  <a:lstStyle/>
                  <a:p>
                    <a:r>
                      <a:rPr lang="en-US"/>
                      <a:t>%</a:t>
                    </a:r>
                    <a:fld id="{FD00352E-5A17-4559-AF6F-210EB26FF039}" type="VALUE">
                      <a:rPr lang="en-US"/>
                      <a:pPr/>
                      <a:t>[VALUE]</a:t>
                    </a:fld>
                    <a:endParaRPr lang="en-US"/>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9.9648929234164199E-2"/>
                  <c:y val="4.3658573096613876E-2"/>
                </c:manualLayout>
              </c:layout>
              <c:tx>
                <c:rich>
                  <a:bodyPr/>
                  <a:lstStyle/>
                  <a:p>
                    <a:r>
                      <a:rPr lang="en-US"/>
                      <a:t>%</a:t>
                    </a:r>
                    <a:fld id="{F47BF712-5460-482B-B731-B4DC15285376}" type="VALUE">
                      <a:rPr lang="en-US"/>
                      <a:pPr/>
                      <a:t>[VALUE]</a:t>
                    </a:fld>
                    <a:endParaRPr lang="en-US"/>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Sheet1!$G$48:$G$49</c:f>
              <c:strCache>
                <c:ptCount val="2"/>
                <c:pt idx="0">
                  <c:v>ITU-D Membership</c:v>
                </c:pt>
                <c:pt idx="1">
                  <c:v>Non ITU-D Membership</c:v>
                </c:pt>
              </c:strCache>
            </c:strRef>
          </c:cat>
          <c:val>
            <c:numRef>
              <c:f>Sheet1!$H$48:$H$49</c:f>
              <c:numCache>
                <c:formatCode>0</c:formatCode>
                <c:ptCount val="2"/>
                <c:pt idx="0">
                  <c:v>76.506024096385545</c:v>
                </c:pt>
                <c:pt idx="1">
                  <c:v>23.493975903614459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nSpc>
                <a:spcPts val="1300"/>
              </a:lnSpc>
              <a:defRPr sz="1050" b="1" i="0" u="none" strike="noStrike" kern="1200" cap="all" spc="50" baseline="0">
                <a:solidFill>
                  <a:schemeClr val="tx1">
                    <a:lumMod val="65000"/>
                    <a:lumOff val="35000"/>
                  </a:schemeClr>
                </a:solidFill>
                <a:latin typeface="+mn-lt"/>
                <a:ea typeface="+mn-ea"/>
                <a:cs typeface="+mn-cs"/>
              </a:defRPr>
            </a:pPr>
            <a:r>
              <a:rPr lang="ar-EG" sz="1300" b="1" i="0" baseline="0">
                <a:effectLst/>
                <a:latin typeface="Traditional Arabic" panose="02020603050405020304" pitchFamily="18" charset="-78"/>
                <a:cs typeface="Traditional Arabic" panose="02020603050405020304" pitchFamily="18" charset="-78"/>
              </a:rPr>
              <a:t>الاتفاقات الجديدة الموقعة -</a:t>
            </a:r>
            <a:br>
              <a:rPr lang="ar-EG" sz="1300" b="1" i="0" baseline="0">
                <a:effectLst/>
                <a:latin typeface="Traditional Arabic" panose="02020603050405020304" pitchFamily="18" charset="-78"/>
                <a:cs typeface="Traditional Arabic" panose="02020603050405020304" pitchFamily="18" charset="-78"/>
              </a:rPr>
            </a:br>
            <a:r>
              <a:rPr lang="ar-EG" sz="1300" b="1" i="0" baseline="0">
                <a:effectLst/>
                <a:latin typeface="Traditional Arabic" panose="02020603050405020304" pitchFamily="18" charset="-78"/>
                <a:cs typeface="Traditional Arabic" panose="02020603050405020304" pitchFamily="18" charset="-78"/>
              </a:rPr>
              <a:t>أصحاب المصلحة</a:t>
            </a:r>
            <a:endParaRPr lang="en-US" sz="1300">
              <a:effectLst/>
              <a:latin typeface="Traditional Arabic" panose="02020603050405020304" pitchFamily="18" charset="-78"/>
              <a:cs typeface="Traditional Arabic" panose="02020603050405020304" pitchFamily="18" charset="-78"/>
            </a:endParaRPr>
          </a:p>
          <a:p>
            <a:pPr>
              <a:lnSpc>
                <a:spcPts val="1300"/>
              </a:lnSpc>
              <a:defRPr sz="1050" b="1" i="0" u="none" strike="noStrike" kern="1200" cap="all" spc="50" baseline="0">
                <a:solidFill>
                  <a:schemeClr val="tx1">
                    <a:lumMod val="65000"/>
                    <a:lumOff val="35000"/>
                  </a:schemeClr>
                </a:solidFill>
                <a:latin typeface="+mn-lt"/>
                <a:ea typeface="+mn-ea"/>
                <a:cs typeface="+mn-cs"/>
              </a:defRPr>
            </a:pPr>
            <a:r>
              <a:rPr lang="en-US" sz="1000" b="1" i="0" cap="none" baseline="0">
                <a:effectLst/>
                <a:latin typeface="+mn-lt"/>
              </a:rPr>
              <a:t>(2016-2013)</a:t>
            </a:r>
            <a:endParaRPr lang="en-US" sz="1000" cap="none" baseline="0">
              <a:effectLst/>
              <a:latin typeface="+mn-lt"/>
            </a:endParaRPr>
          </a:p>
        </c:rich>
      </c:tx>
      <c:layout>
        <c:manualLayout>
          <c:xMode val="edge"/>
          <c:yMode val="edge"/>
          <c:x val="2.4623510846190955E-2"/>
          <c:y val="2.7872509897007715E-2"/>
        </c:manualLayout>
      </c:layout>
      <c:overlay val="0"/>
      <c:spPr>
        <a:noFill/>
        <a:ln>
          <a:noFill/>
        </a:ln>
        <a:effectLst/>
      </c:spPr>
    </c:title>
    <c:autoTitleDeleted val="0"/>
    <c:plotArea>
      <c:layout>
        <c:manualLayout>
          <c:layoutTarget val="inner"/>
          <c:xMode val="edge"/>
          <c:yMode val="edge"/>
          <c:x val="0.48095890566437483"/>
          <c:y val="0.19569166400325422"/>
          <c:w val="0.45310805391471909"/>
          <c:h val="0.55677097558377153"/>
        </c:manualLayout>
      </c:layout>
      <c:doughnutChart>
        <c:varyColors val="1"/>
        <c:ser>
          <c:idx val="0"/>
          <c:order val="0"/>
          <c:explosion val="6"/>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Sheet1!$A$66:$A$71</c:f>
              <c:strCache>
                <c:ptCount val="6"/>
                <c:pt idx="0">
                  <c:v>Administration</c:v>
                </c:pt>
                <c:pt idx="1">
                  <c:v>Private sector</c:v>
                </c:pt>
                <c:pt idx="2">
                  <c:v>UN System</c:v>
                </c:pt>
                <c:pt idx="3">
                  <c:v>Financial Instit/Foundations</c:v>
                </c:pt>
                <c:pt idx="4">
                  <c:v>Academia</c:v>
                </c:pt>
                <c:pt idx="5">
                  <c:v>Organizations (Reg/Int)</c:v>
                </c:pt>
              </c:strCache>
            </c:strRef>
          </c:cat>
          <c:val>
            <c:numRef>
              <c:f>Sheet1!$B$66:$B$71</c:f>
              <c:numCache>
                <c:formatCode>0</c:formatCode>
                <c:ptCount val="6"/>
                <c:pt idx="0">
                  <c:v>38.69047619047619</c:v>
                </c:pt>
                <c:pt idx="1">
                  <c:v>22.023809523809522</c:v>
                </c:pt>
                <c:pt idx="2">
                  <c:v>6.5476190476190483</c:v>
                </c:pt>
                <c:pt idx="3">
                  <c:v>2.9761904761904758</c:v>
                </c:pt>
                <c:pt idx="4">
                  <c:v>16.071428571428573</c:v>
                </c:pt>
                <c:pt idx="5">
                  <c:v>13.690476190476192</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2.6551914608124536E-2"/>
          <c:y val="0.48462135959942276"/>
          <c:w val="0.48243155988478548"/>
          <c:h val="0.436657853192705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0.01053</cdr:x>
      <cdr:y>0.21767</cdr:y>
    </cdr:from>
    <cdr:to>
      <cdr:x>0.26165</cdr:x>
      <cdr:y>0.91684</cdr:y>
    </cdr:to>
    <cdr:sp macro="" textlink="">
      <cdr:nvSpPr>
        <cdr:cNvPr id="2" name="Text Box 1"/>
        <cdr:cNvSpPr txBox="1"/>
      </cdr:nvSpPr>
      <cdr:spPr>
        <a:xfrm xmlns:a="http://schemas.openxmlformats.org/drawingml/2006/main">
          <a:off x="51683" y="655983"/>
          <a:ext cx="1232452" cy="2107096"/>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rtl="1">
            <a:lnSpc>
              <a:spcPct val="80000"/>
            </a:lnSpc>
            <a:spcBef>
              <a:spcPts val="400"/>
            </a:spcBef>
          </a:pPr>
          <a:r>
            <a:rPr lang="ar-EG" sz="1000" baseline="0">
              <a:cs typeface="Traditional Arabic" panose="02020603050405020304" pitchFamily="18" charset="-78"/>
            </a:rPr>
            <a:t>إحصاءات ومؤشرات</a:t>
          </a:r>
        </a:p>
        <a:p xmlns:a="http://schemas.openxmlformats.org/drawingml/2006/main">
          <a:pPr rtl="1">
            <a:lnSpc>
              <a:spcPct val="80000"/>
            </a:lnSpc>
            <a:spcBef>
              <a:spcPts val="400"/>
            </a:spcBef>
          </a:pPr>
          <a:r>
            <a:rPr lang="ar-EG" sz="1000" baseline="0">
              <a:cs typeface="Traditional Arabic" panose="02020603050405020304" pitchFamily="18" charset="-78"/>
            </a:rPr>
            <a:t>الابتكار</a:t>
          </a:r>
        </a:p>
        <a:p xmlns:a="http://schemas.openxmlformats.org/drawingml/2006/main">
          <a:pPr rtl="1">
            <a:lnSpc>
              <a:spcPct val="80000"/>
            </a:lnSpc>
            <a:spcBef>
              <a:spcPts val="400"/>
            </a:spcBef>
          </a:pPr>
          <a:r>
            <a:rPr lang="ar-EG" sz="1000" baseline="0">
              <a:cs typeface="Traditional Arabic" panose="02020603050405020304" pitchFamily="18" charset="-78"/>
            </a:rPr>
            <a:t>الشمول الرقمي</a:t>
          </a:r>
        </a:p>
        <a:p xmlns:a="http://schemas.openxmlformats.org/drawingml/2006/main">
          <a:pPr rtl="1">
            <a:lnSpc>
              <a:spcPct val="80000"/>
            </a:lnSpc>
            <a:spcBef>
              <a:spcPts val="400"/>
            </a:spcBef>
          </a:pPr>
          <a:r>
            <a:rPr lang="ar-EG" sz="1000" baseline="0">
              <a:cs typeface="Traditional Arabic" panose="02020603050405020304" pitchFamily="18" charset="-78"/>
            </a:rPr>
            <a:t>الاتصالات في حالات الطوارئ</a:t>
          </a:r>
        </a:p>
        <a:p xmlns:a="http://schemas.openxmlformats.org/drawingml/2006/main">
          <a:pPr rtl="1">
            <a:lnSpc>
              <a:spcPct val="80000"/>
            </a:lnSpc>
            <a:spcBef>
              <a:spcPts val="400"/>
            </a:spcBef>
          </a:pPr>
          <a:r>
            <a:rPr lang="ar-EG" sz="1000" baseline="0">
              <a:cs typeface="Traditional Arabic" panose="02020603050405020304" pitchFamily="18" charset="-78"/>
            </a:rPr>
            <a:t>مجالات عامة</a:t>
          </a:r>
        </a:p>
        <a:p xmlns:a="http://schemas.openxmlformats.org/drawingml/2006/main">
          <a:pPr rtl="1">
            <a:lnSpc>
              <a:spcPct val="80000"/>
            </a:lnSpc>
            <a:spcBef>
              <a:spcPts val="400"/>
            </a:spcBef>
          </a:pPr>
          <a:r>
            <a:rPr lang="ar-EG" sz="1000" baseline="0">
              <a:cs typeface="Traditional Arabic" panose="02020603050405020304" pitchFamily="18" charset="-78"/>
            </a:rPr>
            <a:t>البيئة التمكينية</a:t>
          </a:r>
        </a:p>
        <a:p xmlns:a="http://schemas.openxmlformats.org/drawingml/2006/main">
          <a:pPr rtl="1">
            <a:lnSpc>
              <a:spcPct val="60000"/>
            </a:lnSpc>
            <a:spcBef>
              <a:spcPts val="400"/>
            </a:spcBef>
          </a:pPr>
          <a:r>
            <a:rPr lang="ar-EG" sz="1000" kern="0" spc="0" baseline="0">
              <a:cs typeface="Traditional Arabic" panose="02020603050405020304" pitchFamily="18" charset="-78"/>
            </a:rPr>
            <a:t>تطبيقات تكنولوجيا المعلومات والاتصالات</a:t>
          </a:r>
        </a:p>
        <a:p xmlns:a="http://schemas.openxmlformats.org/drawingml/2006/main">
          <a:pPr rtl="1">
            <a:lnSpc>
              <a:spcPct val="80000"/>
            </a:lnSpc>
            <a:spcBef>
              <a:spcPts val="200"/>
            </a:spcBef>
          </a:pPr>
          <a:r>
            <a:rPr lang="ar-EG" sz="1000" kern="300" baseline="0">
              <a:cs typeface="Traditional Arabic" panose="02020603050405020304" pitchFamily="18" charset="-78"/>
            </a:rPr>
            <a:t>الأمن السيبراني</a:t>
          </a:r>
        </a:p>
        <a:p xmlns:a="http://schemas.openxmlformats.org/drawingml/2006/main">
          <a:pPr rtl="1">
            <a:lnSpc>
              <a:spcPct val="80000"/>
            </a:lnSpc>
            <a:spcBef>
              <a:spcPts val="300"/>
            </a:spcBef>
          </a:pPr>
          <a:r>
            <a:rPr lang="ar-EG" sz="1000" baseline="0">
              <a:cs typeface="Traditional Arabic" panose="02020603050405020304" pitchFamily="18" charset="-78"/>
            </a:rPr>
            <a:t>البنية التحتية</a:t>
          </a:r>
        </a:p>
        <a:p xmlns:a="http://schemas.openxmlformats.org/drawingml/2006/main">
          <a:pPr rtl="1">
            <a:lnSpc>
              <a:spcPct val="80000"/>
            </a:lnSpc>
            <a:spcBef>
              <a:spcPts val="300"/>
            </a:spcBef>
          </a:pPr>
          <a:r>
            <a:rPr lang="ar-EG" sz="1000" baseline="0">
              <a:cs typeface="Traditional Arabic" panose="02020603050405020304" pitchFamily="18" charset="-78"/>
            </a:rPr>
            <a:t>بناء القدرات</a:t>
          </a:r>
          <a:endParaRPr lang="en-US" sz="1000" baseline="0">
            <a:cs typeface="Traditional Arabic" panose="02020603050405020304" pitchFamily="18"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0.07802</cdr:x>
      <cdr:y>0.48839</cdr:y>
    </cdr:from>
    <cdr:to>
      <cdr:x>0.31337</cdr:x>
      <cdr:y>0.55141</cdr:y>
    </cdr:to>
    <cdr:sp macro="" textlink="">
      <cdr:nvSpPr>
        <cdr:cNvPr id="2" name="Text Box 1"/>
        <cdr:cNvSpPr txBox="1"/>
      </cdr:nvSpPr>
      <cdr:spPr>
        <a:xfrm xmlns:a="http://schemas.openxmlformats.org/drawingml/2006/main">
          <a:off x="238540" y="1232452"/>
          <a:ext cx="719593" cy="159026"/>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rtl="1">
            <a:lnSpc>
              <a:spcPct val="50000"/>
            </a:lnSpc>
          </a:pPr>
          <a:r>
            <a:rPr lang="ar-EG" sz="1100" baseline="0">
              <a:cs typeface="Traditional Arabic" panose="02020603050405020304" pitchFamily="18" charset="-78"/>
            </a:rPr>
            <a:t>الإدارة</a:t>
          </a:r>
          <a:endParaRPr lang="en-US" sz="1100" baseline="0">
            <a:cs typeface="Traditional Arabic" panose="02020603050405020304" pitchFamily="18" charset="-78"/>
          </a:endParaRPr>
        </a:p>
      </cdr:txBody>
    </cdr:sp>
  </cdr:relSizeAnchor>
  <cdr:relSizeAnchor xmlns:cdr="http://schemas.openxmlformats.org/drawingml/2006/chartDrawing">
    <cdr:from>
      <cdr:x>0.07643</cdr:x>
      <cdr:y>0.55894</cdr:y>
    </cdr:from>
    <cdr:to>
      <cdr:x>0.31178</cdr:x>
      <cdr:y>0.62196</cdr:y>
    </cdr:to>
    <cdr:sp macro="" textlink="">
      <cdr:nvSpPr>
        <cdr:cNvPr id="3" name="Text Box 1"/>
        <cdr:cNvSpPr txBox="1"/>
      </cdr:nvSpPr>
      <cdr:spPr>
        <a:xfrm xmlns:a="http://schemas.openxmlformats.org/drawingml/2006/main">
          <a:off x="233680" y="1410473"/>
          <a:ext cx="719593" cy="15902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gn="l">
            <a:lnSpc>
              <a:spcPct val="50000"/>
            </a:lnSpc>
          </a:pPr>
          <a:r>
            <a:rPr lang="ar-EG" baseline="0">
              <a:cs typeface="Traditional Arabic" panose="02020603050405020304" pitchFamily="18" charset="-78"/>
            </a:rPr>
            <a:t>القطاع الخاص</a:t>
          </a:r>
          <a:endParaRPr lang="en-US" baseline="0">
            <a:cs typeface="Traditional Arabic" panose="02020603050405020304" pitchFamily="18" charset="-78"/>
          </a:endParaRPr>
        </a:p>
      </cdr:txBody>
    </cdr:sp>
  </cdr:relSizeAnchor>
  <cdr:relSizeAnchor xmlns:cdr="http://schemas.openxmlformats.org/drawingml/2006/chartDrawing">
    <cdr:from>
      <cdr:x>0.07643</cdr:x>
      <cdr:y>0.63771</cdr:y>
    </cdr:from>
    <cdr:to>
      <cdr:x>0.446</cdr:x>
      <cdr:y>0.70073</cdr:y>
    </cdr:to>
    <cdr:sp macro="" textlink="">
      <cdr:nvSpPr>
        <cdr:cNvPr id="4" name="Text Box 1"/>
        <cdr:cNvSpPr txBox="1"/>
      </cdr:nvSpPr>
      <cdr:spPr>
        <a:xfrm xmlns:a="http://schemas.openxmlformats.org/drawingml/2006/main">
          <a:off x="233682" y="1609256"/>
          <a:ext cx="1129967" cy="15902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gn="l">
            <a:lnSpc>
              <a:spcPct val="50000"/>
            </a:lnSpc>
          </a:pPr>
          <a:r>
            <a:rPr lang="ar-EG" baseline="0">
              <a:cs typeface="Traditional Arabic" panose="02020603050405020304" pitchFamily="18" charset="-78"/>
            </a:rPr>
            <a:t>منظومة الأمم المتحدة</a:t>
          </a:r>
          <a:endParaRPr lang="en-US" baseline="0">
            <a:cs typeface="Traditional Arabic" panose="02020603050405020304" pitchFamily="18" charset="-78"/>
          </a:endParaRPr>
        </a:p>
      </cdr:txBody>
    </cdr:sp>
  </cdr:relSizeAnchor>
  <cdr:relSizeAnchor xmlns:cdr="http://schemas.openxmlformats.org/drawingml/2006/chartDrawing">
    <cdr:from>
      <cdr:x>0.07383</cdr:x>
      <cdr:y>0.71018</cdr:y>
    </cdr:from>
    <cdr:to>
      <cdr:x>0.51231</cdr:x>
      <cdr:y>0.7732</cdr:y>
    </cdr:to>
    <cdr:sp macro="" textlink="">
      <cdr:nvSpPr>
        <cdr:cNvPr id="5" name="Text Box 1"/>
        <cdr:cNvSpPr txBox="1"/>
      </cdr:nvSpPr>
      <cdr:spPr>
        <a:xfrm xmlns:a="http://schemas.openxmlformats.org/drawingml/2006/main">
          <a:off x="225731" y="1792135"/>
          <a:ext cx="1340677" cy="15902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gn="l">
            <a:lnSpc>
              <a:spcPct val="50000"/>
            </a:lnSpc>
          </a:pPr>
          <a:r>
            <a:rPr lang="ar-EG" baseline="0">
              <a:cs typeface="Traditional Arabic" panose="02020603050405020304" pitchFamily="18" charset="-78"/>
            </a:rPr>
            <a:t>الهيئات/المؤسسات المالية</a:t>
          </a:r>
          <a:endParaRPr lang="en-US" baseline="0">
            <a:cs typeface="Traditional Arabic" panose="02020603050405020304" pitchFamily="18" charset="-78"/>
          </a:endParaRPr>
        </a:p>
      </cdr:txBody>
    </cdr:sp>
  </cdr:relSizeAnchor>
  <cdr:relSizeAnchor xmlns:cdr="http://schemas.openxmlformats.org/drawingml/2006/chartDrawing">
    <cdr:from>
      <cdr:x>0.07643</cdr:x>
      <cdr:y>0.78108</cdr:y>
    </cdr:from>
    <cdr:to>
      <cdr:x>0.36668</cdr:x>
      <cdr:y>0.8441</cdr:y>
    </cdr:to>
    <cdr:sp macro="" textlink="">
      <cdr:nvSpPr>
        <cdr:cNvPr id="6" name="Text Box 1"/>
        <cdr:cNvSpPr txBox="1"/>
      </cdr:nvSpPr>
      <cdr:spPr>
        <a:xfrm xmlns:a="http://schemas.openxmlformats.org/drawingml/2006/main">
          <a:off x="233680" y="1971040"/>
          <a:ext cx="887454" cy="15902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nSpc>
              <a:spcPct val="50000"/>
            </a:lnSpc>
          </a:pPr>
          <a:r>
            <a:rPr lang="ar-EG" baseline="0">
              <a:cs typeface="Traditional Arabic" panose="02020603050405020304" pitchFamily="18" charset="-78"/>
            </a:rPr>
            <a:t>الهيئات الأكاديمية</a:t>
          </a:r>
          <a:endParaRPr lang="en-US" baseline="0">
            <a:cs typeface="Traditional Arabic" panose="02020603050405020304" pitchFamily="18" charset="-78"/>
          </a:endParaRPr>
        </a:p>
      </cdr:txBody>
    </cdr:sp>
  </cdr:relSizeAnchor>
  <cdr:relSizeAnchor xmlns:cdr="http://schemas.openxmlformats.org/drawingml/2006/chartDrawing">
    <cdr:from>
      <cdr:x>0.07513</cdr:x>
      <cdr:y>0.85512</cdr:y>
    </cdr:from>
    <cdr:to>
      <cdr:x>0.4772</cdr:x>
      <cdr:y>0.91814</cdr:y>
    </cdr:to>
    <cdr:sp macro="" textlink="">
      <cdr:nvSpPr>
        <cdr:cNvPr id="7" name="Text Box 1"/>
        <cdr:cNvSpPr txBox="1"/>
      </cdr:nvSpPr>
      <cdr:spPr>
        <a:xfrm xmlns:a="http://schemas.openxmlformats.org/drawingml/2006/main">
          <a:off x="229706" y="2157896"/>
          <a:ext cx="1229359" cy="159026"/>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pPr algn="l">
            <a:lnSpc>
              <a:spcPct val="50000"/>
            </a:lnSpc>
          </a:pPr>
          <a:r>
            <a:rPr lang="ar-EG">
              <a:cs typeface="Traditional Arabic" panose="02020603050405020304" pitchFamily="18" charset="-78"/>
            </a:rPr>
            <a:t>المنظمات</a:t>
          </a:r>
          <a:r>
            <a:rPr lang="ar-EG" baseline="0">
              <a:cs typeface="Traditional Arabic" panose="02020603050405020304" pitchFamily="18" charset="-78"/>
            </a:rPr>
            <a:t> (الإقليمية/الدولية)</a:t>
          </a:r>
          <a:endParaRPr lang="en-US">
            <a:cs typeface="Traditional Arabic" panose="02020603050405020304" pitchFamily="18"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http://schemas.microsoft.com/office/2006/documentManagement/types"/>
    <ds:schemaRef ds:uri="http://schemas.microsoft.com/office/infopath/2007/PartnerControls"/>
    <ds:schemaRef ds:uri="de10a323-94a9-4e93-88b4-ea964576960d"/>
    <ds:schemaRef ds:uri="http://schemas.microsoft.com/office/2006/metadata/properties"/>
    <ds:schemaRef ds:uri="996b2e75-67fd-4955-a3b0-5ab9934cb50b"/>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953610BF-9A69-483F-9BEB-0BC25AF2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7</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162</cp:revision>
  <cp:lastPrinted>2017-03-13T12:32:00Z</cp:lastPrinted>
  <dcterms:created xsi:type="dcterms:W3CDTF">2017-05-08T15:13:00Z</dcterms:created>
  <dcterms:modified xsi:type="dcterms:W3CDTF">2017-05-10T12:06:00Z</dcterms:modified>
  <cp:category>Conference document</cp:category>
</cp:coreProperties>
</file>