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4A0" w:firstRow="1" w:lastRow="0" w:firstColumn="1" w:lastColumn="0" w:noHBand="0" w:noVBand="1"/>
      </w:tblPr>
      <w:tblGrid>
        <w:gridCol w:w="1276"/>
        <w:gridCol w:w="5527"/>
        <w:gridCol w:w="3086"/>
      </w:tblGrid>
      <w:tr w:rsidR="00AE054B">
        <w:trPr>
          <w:trHeight w:val="1134"/>
        </w:trPr>
        <w:tc>
          <w:tcPr>
            <w:tcW w:w="1276" w:type="dxa"/>
          </w:tcPr>
          <w:p w:rsidR="00AE054B" w:rsidRDefault="005F4F6D">
            <w:pPr>
              <w:pStyle w:val="Heading1"/>
              <w:spacing w:before="120" w:after="120"/>
              <w:rPr>
                <w:sz w:val="36"/>
                <w:szCs w:val="36"/>
              </w:rPr>
            </w:pPr>
            <w:r>
              <w:rPr>
                <w:noProof/>
                <w:color w:val="3399FF"/>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771525" cy="700405"/>
                  <wp:effectExtent l="0" t="0" r="0" b="444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7" w:type="dxa"/>
          </w:tcPr>
          <w:p w:rsidR="00AE054B" w:rsidRDefault="005F4F6D">
            <w:pPr>
              <w:widowControl w:val="0"/>
              <w:tabs>
                <w:tab w:val="clear" w:pos="794"/>
                <w:tab w:val="clear" w:pos="1191"/>
                <w:tab w:val="clear" w:pos="1588"/>
                <w:tab w:val="clear" w:pos="1985"/>
              </w:tabs>
              <w:adjustRightInd/>
              <w:textAlignment w:val="auto"/>
              <w:rPr>
                <w:rFonts w:cs="SimSun"/>
                <w:b/>
                <w:bCs/>
                <w:sz w:val="32"/>
                <w:szCs w:val="22"/>
              </w:rPr>
            </w:pPr>
            <w:r>
              <w:rPr>
                <w:rFonts w:ascii="SimSun" w:hAnsi="SimSun" w:cs="SimSun" w:hint="eastAsia"/>
                <w:b/>
                <w:bCs/>
                <w:sz w:val="32"/>
                <w:szCs w:val="22"/>
              </w:rPr>
              <w:t>电信发展顾问组</w:t>
            </w:r>
            <w:r>
              <w:rPr>
                <w:rFonts w:cs="SimSun"/>
                <w:b/>
                <w:bCs/>
                <w:sz w:val="32"/>
                <w:szCs w:val="22"/>
              </w:rPr>
              <w:t>（</w:t>
            </w:r>
            <w:r>
              <w:rPr>
                <w:rFonts w:cs="Calibri"/>
                <w:b/>
                <w:bCs/>
                <w:sz w:val="32"/>
                <w:szCs w:val="22"/>
              </w:rPr>
              <w:t>TDAG</w:t>
            </w:r>
            <w:r>
              <w:rPr>
                <w:rFonts w:cs="SimSun"/>
                <w:b/>
                <w:bCs/>
                <w:sz w:val="32"/>
                <w:szCs w:val="22"/>
              </w:rPr>
              <w:t>）</w:t>
            </w:r>
          </w:p>
          <w:p w:rsidR="00AE054B" w:rsidRDefault="005F4F6D">
            <w:pPr>
              <w:widowControl w:val="0"/>
              <w:tabs>
                <w:tab w:val="clear" w:pos="794"/>
                <w:tab w:val="clear" w:pos="1191"/>
                <w:tab w:val="clear" w:pos="1588"/>
                <w:tab w:val="clear" w:pos="1985"/>
              </w:tabs>
              <w:adjustRightInd/>
              <w:spacing w:after="360"/>
              <w:textAlignment w:val="auto"/>
              <w:rPr>
                <w:rFonts w:cs="Calibri"/>
                <w:b/>
                <w:bCs/>
                <w:position w:val="6"/>
                <w:szCs w:val="24"/>
              </w:rPr>
            </w:pPr>
            <w:r>
              <w:rPr>
                <w:rFonts w:ascii="SimSun" w:hAnsi="SimSun" w:hint="eastAsia"/>
                <w:b/>
                <w:bCs/>
                <w:szCs w:val="24"/>
              </w:rPr>
              <w:t>第</w:t>
            </w:r>
            <w:r>
              <w:rPr>
                <w:b/>
                <w:bCs/>
                <w:szCs w:val="24"/>
              </w:rPr>
              <w:t>22</w:t>
            </w:r>
            <w:r>
              <w:rPr>
                <w:rFonts w:ascii="SimSun" w:hAnsi="SimSun" w:hint="eastAsia"/>
                <w:b/>
                <w:bCs/>
                <w:szCs w:val="24"/>
              </w:rPr>
              <w:t>次</w:t>
            </w:r>
            <w:r>
              <w:rPr>
                <w:rFonts w:ascii="SimSun" w:hAnsi="SimSun"/>
                <w:b/>
                <w:bCs/>
                <w:szCs w:val="24"/>
              </w:rPr>
              <w:t>会议，</w:t>
            </w:r>
            <w:r>
              <w:rPr>
                <w:b/>
                <w:bCs/>
                <w:szCs w:val="24"/>
              </w:rPr>
              <w:t>2017</w:t>
            </w:r>
            <w:r>
              <w:rPr>
                <w:rFonts w:ascii="SimSun" w:hAnsi="SimSun"/>
                <w:b/>
                <w:bCs/>
                <w:szCs w:val="24"/>
              </w:rPr>
              <w:t>年</w:t>
            </w:r>
            <w:r>
              <w:rPr>
                <w:b/>
                <w:bCs/>
                <w:szCs w:val="24"/>
              </w:rPr>
              <w:t>5</w:t>
            </w:r>
            <w:r>
              <w:rPr>
                <w:rFonts w:ascii="SimSun" w:hAnsi="SimSun"/>
                <w:b/>
                <w:bCs/>
                <w:szCs w:val="24"/>
              </w:rPr>
              <w:t>月</w:t>
            </w:r>
            <w:r>
              <w:rPr>
                <w:b/>
                <w:bCs/>
                <w:szCs w:val="24"/>
              </w:rPr>
              <w:t>9-12</w:t>
            </w:r>
            <w:r>
              <w:rPr>
                <w:rFonts w:ascii="SimSun" w:hAnsi="SimSun"/>
                <w:b/>
                <w:bCs/>
                <w:szCs w:val="24"/>
              </w:rPr>
              <w:t>日，日内瓦</w:t>
            </w:r>
          </w:p>
        </w:tc>
        <w:tc>
          <w:tcPr>
            <w:tcW w:w="3086" w:type="dxa"/>
            <w:vAlign w:val="center"/>
          </w:tcPr>
          <w:p w:rsidR="00AE054B" w:rsidRDefault="005F4F6D">
            <w:pPr>
              <w:widowControl w:val="0"/>
              <w:spacing w:before="0"/>
              <w:rPr>
                <w:szCs w:val="22"/>
              </w:rPr>
            </w:pPr>
            <w:r>
              <w:rPr>
                <w:noProof/>
              </w:rPr>
              <w:drawing>
                <wp:anchor distT="0" distB="0" distL="114300" distR="114300" simplePos="0" relativeHeight="251659264" behindDoc="0" locked="0" layoutInCell="1" allowOverlap="1">
                  <wp:simplePos x="0" y="0"/>
                  <wp:positionH relativeFrom="column">
                    <wp:posOffset>76200</wp:posOffset>
                  </wp:positionH>
                  <wp:positionV relativeFrom="paragraph">
                    <wp:posOffset>-11430</wp:posOffset>
                  </wp:positionV>
                  <wp:extent cx="1788160" cy="831215"/>
                  <wp:effectExtent l="0" t="0" r="2540" b="6985"/>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054B">
        <w:trPr>
          <w:trHeight w:val="238"/>
        </w:trPr>
        <w:tc>
          <w:tcPr>
            <w:tcW w:w="6803" w:type="dxa"/>
            <w:gridSpan w:val="2"/>
            <w:tcBorders>
              <w:top w:val="single" w:sz="12" w:space="0" w:color="auto"/>
            </w:tcBorders>
          </w:tcPr>
          <w:p w:rsidR="00AE054B" w:rsidRDefault="00AE054B">
            <w:pPr>
              <w:widowControl w:val="0"/>
              <w:spacing w:before="0"/>
              <w:rPr>
                <w:b/>
                <w:smallCaps/>
                <w:szCs w:val="24"/>
              </w:rPr>
            </w:pPr>
          </w:p>
        </w:tc>
        <w:tc>
          <w:tcPr>
            <w:tcW w:w="3086" w:type="dxa"/>
            <w:tcBorders>
              <w:top w:val="single" w:sz="12" w:space="0" w:color="auto"/>
            </w:tcBorders>
          </w:tcPr>
          <w:p w:rsidR="00AE054B" w:rsidRDefault="00AE054B">
            <w:pPr>
              <w:widowControl w:val="0"/>
              <w:spacing w:before="0"/>
              <w:rPr>
                <w:szCs w:val="24"/>
              </w:rPr>
            </w:pPr>
          </w:p>
        </w:tc>
      </w:tr>
      <w:tr w:rsidR="00AE054B">
        <w:trPr>
          <w:trHeight w:val="80"/>
        </w:trPr>
        <w:tc>
          <w:tcPr>
            <w:tcW w:w="6803" w:type="dxa"/>
            <w:gridSpan w:val="2"/>
          </w:tcPr>
          <w:p w:rsidR="00AE054B" w:rsidRDefault="00AE054B">
            <w:pPr>
              <w:widowControl w:val="0"/>
              <w:spacing w:before="0"/>
              <w:rPr>
                <w:b/>
                <w:bCs/>
                <w:smallCaps/>
                <w:szCs w:val="24"/>
              </w:rPr>
            </w:pPr>
          </w:p>
        </w:tc>
        <w:tc>
          <w:tcPr>
            <w:tcW w:w="3086" w:type="dxa"/>
          </w:tcPr>
          <w:p w:rsidR="00AE054B" w:rsidRDefault="005F4F6D">
            <w:pPr>
              <w:widowControl w:val="0"/>
              <w:spacing w:before="0"/>
              <w:rPr>
                <w:b/>
                <w:bCs/>
                <w:szCs w:val="24"/>
              </w:rPr>
            </w:pPr>
            <w:r>
              <w:rPr>
                <w:b/>
                <w:szCs w:val="24"/>
              </w:rPr>
              <w:t>文件</w:t>
            </w:r>
            <w:r>
              <w:rPr>
                <w:b/>
                <w:bCs/>
              </w:rPr>
              <w:t xml:space="preserve"> TDAG17-22/</w:t>
            </w:r>
            <w:r>
              <w:rPr>
                <w:b/>
                <w:szCs w:val="24"/>
              </w:rPr>
              <w:t>29-C</w:t>
            </w:r>
          </w:p>
        </w:tc>
      </w:tr>
      <w:tr w:rsidR="00AE054B">
        <w:tc>
          <w:tcPr>
            <w:tcW w:w="6803" w:type="dxa"/>
            <w:gridSpan w:val="2"/>
          </w:tcPr>
          <w:p w:rsidR="00AE054B" w:rsidRDefault="00AE054B">
            <w:pPr>
              <w:widowControl w:val="0"/>
              <w:spacing w:before="0"/>
              <w:rPr>
                <w:b/>
                <w:smallCaps/>
                <w:szCs w:val="24"/>
              </w:rPr>
            </w:pPr>
          </w:p>
        </w:tc>
        <w:tc>
          <w:tcPr>
            <w:tcW w:w="3086" w:type="dxa"/>
          </w:tcPr>
          <w:p w:rsidR="00AE054B" w:rsidRDefault="005F4F6D">
            <w:pPr>
              <w:widowControl w:val="0"/>
              <w:spacing w:before="0"/>
              <w:rPr>
                <w:b/>
                <w:bCs/>
                <w:szCs w:val="24"/>
              </w:rPr>
            </w:pPr>
            <w:bookmarkStart w:id="0" w:name="CreationDate"/>
            <w:bookmarkEnd w:id="0"/>
            <w:r>
              <w:rPr>
                <w:b/>
                <w:szCs w:val="24"/>
              </w:rPr>
              <w:t>2017</w:t>
            </w:r>
            <w:r>
              <w:rPr>
                <w:b/>
                <w:szCs w:val="24"/>
              </w:rPr>
              <w:t>年</w:t>
            </w:r>
            <w:r>
              <w:rPr>
                <w:b/>
                <w:szCs w:val="24"/>
              </w:rPr>
              <w:t>4</w:t>
            </w:r>
            <w:r>
              <w:rPr>
                <w:b/>
                <w:szCs w:val="24"/>
              </w:rPr>
              <w:t>月</w:t>
            </w:r>
            <w:r>
              <w:rPr>
                <w:b/>
                <w:szCs w:val="24"/>
              </w:rPr>
              <w:t>26</w:t>
            </w:r>
            <w:r>
              <w:rPr>
                <w:b/>
                <w:szCs w:val="24"/>
              </w:rPr>
              <w:t>日</w:t>
            </w:r>
          </w:p>
        </w:tc>
      </w:tr>
      <w:tr w:rsidR="00AE054B">
        <w:tc>
          <w:tcPr>
            <w:tcW w:w="6803" w:type="dxa"/>
            <w:gridSpan w:val="2"/>
          </w:tcPr>
          <w:p w:rsidR="00AE054B" w:rsidRDefault="00AE054B">
            <w:pPr>
              <w:widowControl w:val="0"/>
              <w:spacing w:before="0"/>
              <w:rPr>
                <w:b/>
                <w:smallCaps/>
                <w:szCs w:val="24"/>
              </w:rPr>
            </w:pPr>
          </w:p>
        </w:tc>
        <w:tc>
          <w:tcPr>
            <w:tcW w:w="3086" w:type="dxa"/>
          </w:tcPr>
          <w:p w:rsidR="00AE054B" w:rsidRDefault="005F4F6D">
            <w:pPr>
              <w:widowControl w:val="0"/>
              <w:spacing w:before="0"/>
              <w:rPr>
                <w:b/>
                <w:bCs/>
                <w:szCs w:val="24"/>
              </w:rPr>
            </w:pPr>
            <w:r>
              <w:rPr>
                <w:b/>
                <w:szCs w:val="24"/>
              </w:rPr>
              <w:t>原文：英文</w:t>
            </w:r>
            <w:bookmarkStart w:id="1" w:name="Original"/>
            <w:bookmarkEnd w:id="1"/>
          </w:p>
        </w:tc>
      </w:tr>
      <w:tr w:rsidR="00AE054B">
        <w:trPr>
          <w:trHeight w:val="850"/>
        </w:trPr>
        <w:tc>
          <w:tcPr>
            <w:tcW w:w="9889" w:type="dxa"/>
            <w:gridSpan w:val="3"/>
          </w:tcPr>
          <w:p w:rsidR="00AE054B" w:rsidRDefault="005F4F6D">
            <w:pPr>
              <w:pStyle w:val="Source"/>
              <w:framePr w:hSpace="0" w:wrap="auto" w:vAnchor="margin" w:hAnchor="text" w:xAlign="left" w:yAlign="inline"/>
            </w:pPr>
            <w:bookmarkStart w:id="2" w:name="Source"/>
            <w:bookmarkEnd w:id="2"/>
            <w:r>
              <w:rPr>
                <w:rFonts w:hint="eastAsia"/>
              </w:rPr>
              <w:t>电信发展局主任的报告</w:t>
            </w:r>
          </w:p>
        </w:tc>
      </w:tr>
      <w:tr w:rsidR="00AE054B">
        <w:tc>
          <w:tcPr>
            <w:tcW w:w="9889" w:type="dxa"/>
            <w:gridSpan w:val="3"/>
          </w:tcPr>
          <w:p w:rsidR="00AE054B" w:rsidRDefault="005F4F6D">
            <w:pPr>
              <w:pStyle w:val="Title1"/>
              <w:framePr w:wrap="auto" w:xAlign="left" w:yAlign="inline"/>
              <w:spacing w:before="120"/>
            </w:pPr>
            <w:bookmarkStart w:id="3" w:name="Title"/>
            <w:bookmarkEnd w:id="3"/>
            <w:r>
              <w:t>ITU-D</w:t>
            </w:r>
            <w:r>
              <w:rPr>
                <w:rFonts w:hint="eastAsia"/>
              </w:rPr>
              <w:t>的伙伴关系建设和资源筹措</w:t>
            </w:r>
          </w:p>
        </w:tc>
      </w:tr>
      <w:tr w:rsidR="00AE054B">
        <w:tc>
          <w:tcPr>
            <w:tcW w:w="9889" w:type="dxa"/>
            <w:gridSpan w:val="3"/>
            <w:tcBorders>
              <w:bottom w:val="single" w:sz="4" w:space="0" w:color="auto"/>
            </w:tcBorders>
          </w:tcPr>
          <w:p w:rsidR="00AE054B" w:rsidRDefault="00AE054B">
            <w:pPr>
              <w:spacing w:before="0"/>
            </w:pPr>
          </w:p>
        </w:tc>
      </w:tr>
      <w:tr w:rsidR="00AE054B">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AE054B" w:rsidRDefault="005F4F6D">
            <w:pPr>
              <w:spacing w:before="240"/>
              <w:rPr>
                <w:b/>
                <w:bCs/>
              </w:rPr>
            </w:pPr>
            <w:r>
              <w:rPr>
                <w:rFonts w:hint="eastAsia"/>
                <w:b/>
                <w:bCs/>
              </w:rPr>
              <w:t>概要</w:t>
            </w:r>
            <w:r>
              <w:rPr>
                <w:b/>
                <w:bCs/>
              </w:rPr>
              <w:t>：</w:t>
            </w:r>
          </w:p>
          <w:p w:rsidR="00AE054B" w:rsidRDefault="005F4F6D">
            <w:pPr>
              <w:ind w:firstLineChars="200" w:firstLine="480"/>
              <w:rPr>
                <w:b/>
                <w:bCs/>
              </w:rPr>
            </w:pPr>
            <w:r>
              <w:rPr>
                <w:szCs w:val="24"/>
              </w:rPr>
              <w:t>2014</w:t>
            </w:r>
            <w:r>
              <w:rPr>
                <w:rFonts w:hint="eastAsia"/>
                <w:szCs w:val="24"/>
              </w:rPr>
              <w:t>年世界电信发展大会（</w:t>
            </w:r>
            <w:r>
              <w:rPr>
                <w:szCs w:val="24"/>
              </w:rPr>
              <w:t>WTDC-14</w:t>
            </w:r>
            <w:r>
              <w:rPr>
                <w:rFonts w:hint="eastAsia"/>
                <w:szCs w:val="24"/>
              </w:rPr>
              <w:t>）强调了伙伴关系和资源筹措的重要性。在此框架内，电信发展局开展了各项活动、采取了相应举措、推出了系列项目以增强伙伴关系建设和资源筹措。本文简要介绍了</w:t>
            </w:r>
            <w:r>
              <w:rPr>
                <w:szCs w:val="24"/>
              </w:rPr>
              <w:t>ITU-D</w:t>
            </w:r>
            <w:r>
              <w:rPr>
                <w:rFonts w:hint="eastAsia"/>
                <w:szCs w:val="24"/>
              </w:rPr>
              <w:t>区域和全球层面伙伴关系建设和资源筹措的成果。</w:t>
            </w:r>
          </w:p>
          <w:p w:rsidR="00AE054B" w:rsidRDefault="005F4F6D">
            <w:pPr>
              <w:rPr>
                <w:b/>
                <w:bCs/>
              </w:rPr>
            </w:pPr>
            <w:r>
              <w:rPr>
                <w:rFonts w:hint="eastAsia"/>
                <w:b/>
                <w:bCs/>
              </w:rPr>
              <w:t>需</w:t>
            </w:r>
            <w:r>
              <w:rPr>
                <w:b/>
                <w:bCs/>
              </w:rPr>
              <w:t>采取</w:t>
            </w:r>
            <w:r>
              <w:rPr>
                <w:rFonts w:hint="eastAsia"/>
                <w:b/>
                <w:bCs/>
              </w:rPr>
              <w:t>的</w:t>
            </w:r>
            <w:r>
              <w:rPr>
                <w:b/>
                <w:bCs/>
              </w:rPr>
              <w:t>行动：</w:t>
            </w:r>
          </w:p>
          <w:p w:rsidR="00AE054B" w:rsidRDefault="005F4F6D">
            <w:pPr>
              <w:ind w:firstLineChars="200" w:firstLine="480"/>
              <w:rPr>
                <w:b/>
                <w:bCs/>
              </w:rPr>
            </w:pPr>
            <w:r>
              <w:rPr>
                <w:rFonts w:hint="eastAsia"/>
                <w:szCs w:val="24"/>
              </w:rPr>
              <w:t>请电信发展顾问组（</w:t>
            </w:r>
            <w:r>
              <w:rPr>
                <w:szCs w:val="24"/>
              </w:rPr>
              <w:t>TDAG</w:t>
            </w:r>
            <w:r>
              <w:rPr>
                <w:rFonts w:hint="eastAsia"/>
                <w:szCs w:val="24"/>
              </w:rPr>
              <w:t>）将此报告记录在案并酌情提供指导。</w:t>
            </w:r>
          </w:p>
          <w:p w:rsidR="00AE054B" w:rsidRDefault="005F4F6D">
            <w:pPr>
              <w:rPr>
                <w:b/>
                <w:bCs/>
              </w:rPr>
            </w:pPr>
            <w:r>
              <w:rPr>
                <w:rFonts w:hint="eastAsia"/>
                <w:b/>
                <w:bCs/>
              </w:rPr>
              <w:t>参考文件</w:t>
            </w:r>
            <w:r>
              <w:rPr>
                <w:b/>
                <w:bCs/>
              </w:rPr>
              <w:t>：</w:t>
            </w:r>
          </w:p>
          <w:p w:rsidR="00AE054B" w:rsidRDefault="005F4F6D">
            <w:pPr>
              <w:ind w:firstLineChars="200" w:firstLine="480"/>
            </w:pPr>
            <w:r>
              <w:rPr>
                <w:szCs w:val="24"/>
              </w:rPr>
              <w:t>WTDC-14</w:t>
            </w:r>
            <w:r>
              <w:rPr>
                <w:rFonts w:hint="eastAsia"/>
                <w:szCs w:val="24"/>
              </w:rPr>
              <w:t>《迪拜宣言》、</w:t>
            </w:r>
            <w:r>
              <w:rPr>
                <w:szCs w:val="24"/>
              </w:rPr>
              <w:t>WTDC-14</w:t>
            </w:r>
            <w:r>
              <w:rPr>
                <w:rFonts w:hint="eastAsia"/>
                <w:szCs w:val="24"/>
              </w:rPr>
              <w:t>目标</w:t>
            </w:r>
            <w:r>
              <w:rPr>
                <w:szCs w:val="24"/>
              </w:rPr>
              <w:t>4</w:t>
            </w:r>
            <w:r>
              <w:rPr>
                <w:rFonts w:hint="eastAsia"/>
                <w:szCs w:val="24"/>
              </w:rPr>
              <w:t>、</w:t>
            </w:r>
            <w:r>
              <w:rPr>
                <w:szCs w:val="24"/>
              </w:rPr>
              <w:t>WTDC-14</w:t>
            </w:r>
            <w:r>
              <w:rPr>
                <w:rFonts w:hint="eastAsia"/>
                <w:szCs w:val="24"/>
              </w:rPr>
              <w:t>输出成果</w:t>
            </w:r>
            <w:r>
              <w:rPr>
                <w:szCs w:val="24"/>
              </w:rPr>
              <w:t>2.3</w:t>
            </w:r>
            <w:r>
              <w:rPr>
                <w:rFonts w:hint="eastAsia"/>
                <w:szCs w:val="24"/>
              </w:rPr>
              <w:t>、</w:t>
            </w:r>
            <w:r>
              <w:rPr>
                <w:szCs w:val="24"/>
              </w:rPr>
              <w:t>WTDC</w:t>
            </w:r>
            <w:r>
              <w:rPr>
                <w:rFonts w:hint="eastAsia"/>
                <w:szCs w:val="24"/>
              </w:rPr>
              <w:t>第</w:t>
            </w:r>
            <w:r>
              <w:rPr>
                <w:szCs w:val="24"/>
              </w:rPr>
              <w:t>17</w:t>
            </w:r>
            <w:r>
              <w:rPr>
                <w:rFonts w:hint="eastAsia"/>
                <w:szCs w:val="24"/>
              </w:rPr>
              <w:t>号决议（</w:t>
            </w:r>
            <w:r>
              <w:rPr>
                <w:szCs w:val="24"/>
              </w:rPr>
              <w:t>2014</w:t>
            </w:r>
            <w:r>
              <w:rPr>
                <w:rFonts w:hint="eastAsia"/>
                <w:szCs w:val="24"/>
              </w:rPr>
              <w:t>年，迪拜，修订版）和</w:t>
            </w:r>
            <w:r>
              <w:rPr>
                <w:szCs w:val="24"/>
              </w:rPr>
              <w:t>WTDC</w:t>
            </w:r>
            <w:r>
              <w:rPr>
                <w:rFonts w:hint="eastAsia"/>
                <w:szCs w:val="24"/>
              </w:rPr>
              <w:t>第</w:t>
            </w:r>
            <w:r>
              <w:rPr>
                <w:szCs w:val="24"/>
              </w:rPr>
              <w:t>71</w:t>
            </w:r>
            <w:r>
              <w:rPr>
                <w:rFonts w:hint="eastAsia"/>
                <w:szCs w:val="24"/>
              </w:rPr>
              <w:t>号决议（</w:t>
            </w:r>
            <w:r>
              <w:rPr>
                <w:szCs w:val="24"/>
              </w:rPr>
              <w:t>2014</w:t>
            </w:r>
            <w:r>
              <w:rPr>
                <w:rFonts w:hint="eastAsia"/>
                <w:szCs w:val="24"/>
              </w:rPr>
              <w:t>年，迪拜，修订版）。</w:t>
            </w:r>
          </w:p>
        </w:tc>
      </w:tr>
    </w:tbl>
    <w:p w:rsidR="00AE054B" w:rsidRDefault="00AE054B">
      <w:bookmarkStart w:id="4" w:name="Proposal"/>
      <w:bookmarkEnd w:id="4"/>
    </w:p>
    <w:p w:rsidR="00AE054B" w:rsidRDefault="005F4F6D">
      <w:pPr>
        <w:pStyle w:val="Heading1"/>
        <w:rPr>
          <w:szCs w:val="28"/>
        </w:rPr>
      </w:pPr>
      <w:r>
        <w:rPr>
          <w:szCs w:val="28"/>
        </w:rPr>
        <w:t>1</w:t>
      </w:r>
      <w:r>
        <w:rPr>
          <w:szCs w:val="28"/>
        </w:rPr>
        <w:tab/>
      </w:r>
      <w:r>
        <w:rPr>
          <w:rFonts w:hint="eastAsia"/>
          <w:szCs w:val="28"/>
        </w:rPr>
        <w:t>背景</w:t>
      </w:r>
    </w:p>
    <w:p w:rsidR="00AE054B" w:rsidRDefault="005F4F6D">
      <w:pPr>
        <w:ind w:firstLineChars="200" w:firstLine="480"/>
        <w:rPr>
          <w:rFonts w:cs="Calibri"/>
          <w:szCs w:val="24"/>
        </w:rPr>
      </w:pPr>
      <w:r>
        <w:rPr>
          <w:rFonts w:hint="eastAsia"/>
          <w:szCs w:val="24"/>
        </w:rPr>
        <w:t>从电信发展局所承担的职能看，同时考虑到其需要实施的举措（包括区域性举措）、项目和活动的数量和种类正与日俱增，发展并强化成功的伙伴关系和筹措预算外资源对该局而言正变得日益重要。为此，电信发展局一直在</w:t>
      </w:r>
      <w:r>
        <w:rPr>
          <w:szCs w:val="24"/>
        </w:rPr>
        <w:t>开发</w:t>
      </w:r>
      <w:r>
        <w:rPr>
          <w:rFonts w:cs="Calibri"/>
          <w:szCs w:val="24"/>
        </w:rPr>
        <w:t>伙伴关系</w:t>
      </w:r>
      <w:r>
        <w:rPr>
          <w:rFonts w:cs="Calibri" w:hint="eastAsia"/>
          <w:szCs w:val="24"/>
        </w:rPr>
        <w:t>建设</w:t>
      </w:r>
      <w:r>
        <w:rPr>
          <w:rFonts w:cs="Calibri"/>
          <w:szCs w:val="24"/>
        </w:rPr>
        <w:t>和资源筹措</w:t>
      </w:r>
      <w:r>
        <w:rPr>
          <w:rFonts w:cs="Calibri" w:hint="eastAsia"/>
          <w:szCs w:val="24"/>
        </w:rPr>
        <w:t>的</w:t>
      </w:r>
      <w:r>
        <w:rPr>
          <w:szCs w:val="24"/>
        </w:rPr>
        <w:t>工具</w:t>
      </w:r>
      <w:r>
        <w:rPr>
          <w:rFonts w:hint="eastAsia"/>
          <w:szCs w:val="24"/>
        </w:rPr>
        <w:t>并</w:t>
      </w:r>
      <w:r>
        <w:rPr>
          <w:szCs w:val="24"/>
        </w:rPr>
        <w:t>制定</w:t>
      </w:r>
      <w:r>
        <w:rPr>
          <w:rFonts w:hint="eastAsia"/>
          <w:szCs w:val="24"/>
        </w:rPr>
        <w:t>相应</w:t>
      </w:r>
      <w:r>
        <w:rPr>
          <w:szCs w:val="24"/>
        </w:rPr>
        <w:t>战略，</w:t>
      </w:r>
      <w:r>
        <w:rPr>
          <w:rFonts w:hint="eastAsia"/>
          <w:szCs w:val="24"/>
        </w:rPr>
        <w:t>为</w:t>
      </w:r>
      <w:r>
        <w:rPr>
          <w:szCs w:val="24"/>
        </w:rPr>
        <w:t>在区域和全球层面落实各项</w:t>
      </w:r>
      <w:r>
        <w:rPr>
          <w:rFonts w:hint="eastAsia"/>
          <w:szCs w:val="24"/>
        </w:rPr>
        <w:t>活动</w:t>
      </w:r>
      <w:r>
        <w:rPr>
          <w:szCs w:val="24"/>
        </w:rPr>
        <w:t>、举措和项目</w:t>
      </w:r>
      <w:r>
        <w:rPr>
          <w:rFonts w:hint="eastAsia"/>
          <w:szCs w:val="24"/>
        </w:rPr>
        <w:t>提供支持</w:t>
      </w:r>
      <w:r>
        <w:rPr>
          <w:szCs w:val="24"/>
        </w:rPr>
        <w:t>。</w:t>
      </w:r>
    </w:p>
    <w:p w:rsidR="00AE054B" w:rsidRDefault="005F4F6D">
      <w:pPr>
        <w:pStyle w:val="Heading1"/>
        <w:rPr>
          <w:lang w:eastAsia="ko-KR"/>
        </w:rPr>
      </w:pPr>
      <w:r>
        <w:rPr>
          <w:rFonts w:hint="eastAsia"/>
          <w:szCs w:val="28"/>
        </w:rPr>
        <w:t>2</w:t>
      </w:r>
      <w:r>
        <w:rPr>
          <w:rFonts w:hint="eastAsia"/>
          <w:szCs w:val="28"/>
        </w:rPr>
        <w:tab/>
      </w:r>
      <w:r>
        <w:rPr>
          <w:rFonts w:hint="eastAsia"/>
          <w:szCs w:val="28"/>
        </w:rPr>
        <w:t>区域性行动</w:t>
      </w:r>
      <w:r>
        <w:rPr>
          <w:szCs w:val="28"/>
        </w:rPr>
        <w:t>和成果</w:t>
      </w:r>
    </w:p>
    <w:p w:rsidR="00AE054B" w:rsidRDefault="005F4F6D">
      <w:pPr>
        <w:pStyle w:val="Heading2"/>
        <w:rPr>
          <w:szCs w:val="24"/>
        </w:rPr>
      </w:pPr>
      <w:r>
        <w:rPr>
          <w:szCs w:val="24"/>
        </w:rPr>
        <w:t>2.1</w:t>
      </w:r>
      <w:r>
        <w:rPr>
          <w:szCs w:val="24"/>
        </w:rPr>
        <w:tab/>
      </w:r>
      <w:r>
        <w:rPr>
          <w:rFonts w:hint="eastAsia"/>
          <w:szCs w:val="24"/>
        </w:rPr>
        <w:t>非洲</w:t>
      </w:r>
    </w:p>
    <w:p w:rsidR="00AE054B" w:rsidRDefault="005F4F6D">
      <w:pPr>
        <w:ind w:firstLineChars="200" w:firstLine="480"/>
        <w:rPr>
          <w:rFonts w:ascii="Book Antiqua" w:hAnsi="Book Antiqua"/>
        </w:rPr>
      </w:pPr>
      <w:r>
        <w:rPr>
          <w:rFonts w:ascii="Book Antiqua" w:hAnsi="Book Antiqua"/>
        </w:rPr>
        <w:t>已经与牛津大学全球网络安全能力中心合作对塞拉利昂和马达加斯加的网络安全成熟度进行审</w:t>
      </w:r>
      <w:r>
        <w:rPr>
          <w:rFonts w:ascii="Book Antiqua" w:hAnsi="Book Antiqua" w:hint="eastAsia"/>
        </w:rPr>
        <w:t>核</w:t>
      </w:r>
      <w:r>
        <w:rPr>
          <w:rFonts w:ascii="Book Antiqua" w:hAnsi="Book Antiqua"/>
        </w:rPr>
        <w:t>。</w:t>
      </w:r>
    </w:p>
    <w:p w:rsidR="00AE054B" w:rsidRDefault="005F4F6D" w:rsidP="00A27382">
      <w:pPr>
        <w:ind w:firstLineChars="200" w:firstLine="480"/>
        <w:rPr>
          <w:rFonts w:ascii="Book Antiqua" w:hAnsi="Book Antiqua"/>
        </w:rPr>
      </w:pPr>
      <w:r>
        <w:rPr>
          <w:rFonts w:ascii="Book Antiqua" w:hAnsi="Book Antiqua"/>
        </w:rPr>
        <w:t>宽带</w:t>
      </w:r>
      <w:r>
        <w:rPr>
          <w:rFonts w:ascii="Book Antiqua" w:hAnsi="Book Antiqua" w:hint="eastAsia"/>
        </w:rPr>
        <w:t>方面</w:t>
      </w:r>
      <w:r>
        <w:rPr>
          <w:rFonts w:ascii="Book Antiqua" w:hAnsi="Book Antiqua"/>
        </w:rPr>
        <w:t>，实施了以下措施：</w:t>
      </w:r>
      <w:r>
        <w:rPr>
          <w:rFonts w:ascii="Book Antiqua" w:hAnsi="Book Antiqua"/>
        </w:rPr>
        <w:t>a</w:t>
      </w:r>
      <w:r w:rsidR="00A27382">
        <w:rPr>
          <w:rFonts w:ascii="Book Antiqua" w:hAnsi="Book Antiqua"/>
        </w:rPr>
        <w:t xml:space="preserve">) </w:t>
      </w:r>
      <w:r>
        <w:rPr>
          <w:rFonts w:ascii="Book Antiqua" w:hAnsi="Book Antiqua"/>
        </w:rPr>
        <w:t>布隆迪：</w:t>
      </w:r>
      <w:r>
        <w:rPr>
          <w:rFonts w:ascii="Book Antiqua" w:hAnsi="Book Antiqua" w:hint="eastAsia"/>
        </w:rPr>
        <w:t>下发</w:t>
      </w:r>
      <w:r>
        <w:rPr>
          <w:rFonts w:ascii="Book Antiqua" w:hAnsi="Book Antiqua"/>
        </w:rPr>
        <w:t>宽带战略，</w:t>
      </w:r>
      <w:r>
        <w:rPr>
          <w:rFonts w:ascii="Book Antiqua" w:hAnsi="Book Antiqua" w:hint="eastAsia"/>
        </w:rPr>
        <w:t>拓展与国际电联的体制改革合作伙伴关系以形成</w:t>
      </w:r>
      <w:r>
        <w:rPr>
          <w:rFonts w:ascii="Book Antiqua" w:hAnsi="Book Antiqua"/>
        </w:rPr>
        <w:t>新的数字经济框架；</w:t>
      </w:r>
      <w:r>
        <w:rPr>
          <w:rFonts w:ascii="Book Antiqua" w:hAnsi="Book Antiqua"/>
        </w:rPr>
        <w:t>b</w:t>
      </w:r>
      <w:r w:rsidR="00A27382">
        <w:rPr>
          <w:rFonts w:ascii="Book Antiqua" w:hAnsi="Book Antiqua"/>
        </w:rPr>
        <w:t xml:space="preserve">) </w:t>
      </w:r>
      <w:r>
        <w:rPr>
          <w:rFonts w:ascii="Book Antiqua" w:hAnsi="Book Antiqua"/>
        </w:rPr>
        <w:t>马达加斯加：努力为无线宽带项目筹集资源；</w:t>
      </w:r>
      <w:r w:rsidR="00A27382">
        <w:rPr>
          <w:rFonts w:ascii="Book Antiqua" w:hAnsi="Book Antiqua"/>
        </w:rPr>
        <w:br/>
      </w:r>
      <w:r>
        <w:rPr>
          <w:rFonts w:ascii="Book Antiqua" w:hAnsi="Book Antiqua"/>
        </w:rPr>
        <w:t>c</w:t>
      </w:r>
      <w:r w:rsidR="00A27382">
        <w:rPr>
          <w:rFonts w:ascii="Book Antiqua" w:hAnsi="Book Antiqua"/>
        </w:rPr>
        <w:t xml:space="preserve">) </w:t>
      </w:r>
      <w:r>
        <w:rPr>
          <w:rFonts w:ascii="Book Antiqua" w:hAnsi="Book Antiqua"/>
        </w:rPr>
        <w:t>布基纳法索：宽带无线网络项目涵盖了</w:t>
      </w:r>
      <w:r>
        <w:rPr>
          <w:rFonts w:ascii="Book Antiqua" w:hAnsi="Book Antiqua"/>
        </w:rPr>
        <w:t>10</w:t>
      </w:r>
      <w:r>
        <w:rPr>
          <w:rFonts w:ascii="Book Antiqua" w:hAnsi="Book Antiqua"/>
        </w:rPr>
        <w:t>个</w:t>
      </w:r>
      <w:r>
        <w:rPr>
          <w:rFonts w:ascii="Book Antiqua" w:hAnsi="Book Antiqua" w:hint="eastAsia"/>
        </w:rPr>
        <w:t>地点</w:t>
      </w:r>
      <w:r>
        <w:rPr>
          <w:rFonts w:ascii="Book Antiqua" w:hAnsi="Book Antiqua"/>
        </w:rPr>
        <w:t>——</w:t>
      </w:r>
      <w:r>
        <w:rPr>
          <w:rFonts w:ascii="Book Antiqua" w:hAnsi="Book Antiqua"/>
        </w:rPr>
        <w:t>通过部局域网署将</w:t>
      </w:r>
      <w:r>
        <w:rPr>
          <w:rFonts w:ascii="Book Antiqua" w:hAnsi="Book Antiqua" w:hint="eastAsia"/>
        </w:rPr>
        <w:t>于</w:t>
      </w:r>
      <w:r>
        <w:rPr>
          <w:rFonts w:ascii="Book Antiqua" w:hAnsi="Book Antiqua"/>
        </w:rPr>
        <w:t>2017</w:t>
      </w:r>
      <w:r>
        <w:rPr>
          <w:rFonts w:ascii="Book Antiqua" w:hAnsi="Book Antiqua"/>
        </w:rPr>
        <w:t>年</w:t>
      </w:r>
      <w:r>
        <w:rPr>
          <w:rFonts w:ascii="Book Antiqua" w:hAnsi="Book Antiqua" w:hint="eastAsia"/>
        </w:rPr>
        <w:t>在</w:t>
      </w:r>
      <w:r>
        <w:rPr>
          <w:rFonts w:ascii="Book Antiqua" w:hAnsi="Book Antiqua"/>
        </w:rPr>
        <w:t>学校</w:t>
      </w:r>
      <w:r>
        <w:rPr>
          <w:rFonts w:ascii="Book Antiqua" w:hAnsi="Book Antiqua" w:hint="eastAsia"/>
        </w:rPr>
        <w:t>、</w:t>
      </w:r>
      <w:r>
        <w:rPr>
          <w:rFonts w:ascii="Book Antiqua" w:hAnsi="Book Antiqua"/>
        </w:rPr>
        <w:t>医院和公共</w:t>
      </w:r>
      <w:r>
        <w:rPr>
          <w:rFonts w:ascii="Book Antiqua" w:hAnsi="Book Antiqua" w:hint="eastAsia"/>
        </w:rPr>
        <w:t>行政</w:t>
      </w:r>
      <w:r>
        <w:rPr>
          <w:rFonts w:ascii="Book Antiqua" w:hAnsi="Book Antiqua"/>
        </w:rPr>
        <w:t>大楼</w:t>
      </w:r>
      <w:r>
        <w:rPr>
          <w:rFonts w:ascii="Book Antiqua" w:hAnsi="Book Antiqua" w:hint="eastAsia"/>
        </w:rPr>
        <w:t>实现互连</w:t>
      </w:r>
      <w:r>
        <w:rPr>
          <w:rFonts w:ascii="Book Antiqua" w:hAnsi="Book Antiqua"/>
        </w:rPr>
        <w:t>互通</w:t>
      </w:r>
      <w:r>
        <w:rPr>
          <w:rFonts w:ascii="Book Antiqua" w:hAnsi="Book Antiqua" w:hint="eastAsia"/>
        </w:rPr>
        <w:t>；</w:t>
      </w:r>
      <w:r>
        <w:rPr>
          <w:rFonts w:ascii="Book Antiqua" w:hAnsi="Book Antiqua"/>
        </w:rPr>
        <w:t>和</w:t>
      </w:r>
      <w:r>
        <w:rPr>
          <w:rFonts w:ascii="Book Antiqua" w:hAnsi="Book Antiqua"/>
        </w:rPr>
        <w:t>d</w:t>
      </w:r>
      <w:r w:rsidR="00A27382">
        <w:rPr>
          <w:rFonts w:ascii="Book Antiqua" w:hAnsi="Book Antiqua"/>
        </w:rPr>
        <w:t xml:space="preserve">) </w:t>
      </w:r>
      <w:r>
        <w:rPr>
          <w:rFonts w:ascii="Book Antiqua" w:hAnsi="Book Antiqua"/>
        </w:rPr>
        <w:t>马里：正在准备类似的项目。</w:t>
      </w:r>
    </w:p>
    <w:p w:rsidR="00AE054B" w:rsidRDefault="005F4F6D">
      <w:pPr>
        <w:rPr>
          <w:rFonts w:ascii="Book Antiqua" w:hAnsi="Book Antiqua"/>
        </w:rPr>
      </w:pPr>
      <w:r>
        <w:rPr>
          <w:rFonts w:ascii="Book Antiqua" w:hAnsi="Book Antiqua"/>
        </w:rPr>
        <w:lastRenderedPageBreak/>
        <w:t>各国（乌干达</w:t>
      </w:r>
      <w:r>
        <w:rPr>
          <w:rFonts w:ascii="Book Antiqua" w:hAnsi="Book Antiqua" w:hint="eastAsia"/>
        </w:rPr>
        <w:t>、</w:t>
      </w:r>
      <w:r>
        <w:rPr>
          <w:rFonts w:ascii="Book Antiqua" w:hAnsi="Book Antiqua"/>
        </w:rPr>
        <w:t>津巴布韦和喀麦隆）正在部署</w:t>
      </w:r>
      <w:r>
        <w:rPr>
          <w:rFonts w:ascii="Book Antiqua" w:hAnsi="Book Antiqua"/>
        </w:rPr>
        <w:t>IPv6</w:t>
      </w:r>
      <w:r>
        <w:rPr>
          <w:rFonts w:ascii="Book Antiqua" w:hAnsi="Book Antiqua"/>
        </w:rPr>
        <w:t>试验台。这些</w:t>
      </w:r>
      <w:r>
        <w:rPr>
          <w:rFonts w:ascii="Book Antiqua" w:hAnsi="Book Antiqua" w:hint="eastAsia"/>
        </w:rPr>
        <w:t>测试场</w:t>
      </w:r>
      <w:r>
        <w:rPr>
          <w:rFonts w:ascii="Book Antiqua" w:hAnsi="Book Antiqua"/>
        </w:rPr>
        <w:t>由国际电联</w:t>
      </w:r>
      <w:r>
        <w:rPr>
          <w:rFonts w:ascii="Book Antiqua" w:hAnsi="Book Antiqua" w:hint="eastAsia"/>
        </w:rPr>
        <w:t>出</w:t>
      </w:r>
      <w:r>
        <w:rPr>
          <w:rFonts w:ascii="Book Antiqua" w:hAnsi="Book Antiqua"/>
        </w:rPr>
        <w:t>资三分之一，受益国</w:t>
      </w:r>
      <w:r>
        <w:rPr>
          <w:rFonts w:ascii="Book Antiqua" w:hAnsi="Book Antiqua" w:hint="eastAsia"/>
        </w:rPr>
        <w:t>出</w:t>
      </w:r>
      <w:r>
        <w:rPr>
          <w:rFonts w:ascii="Book Antiqua" w:hAnsi="Book Antiqua"/>
        </w:rPr>
        <w:t>资三分之二</w:t>
      </w:r>
      <w:r>
        <w:rPr>
          <w:rFonts w:ascii="Book Antiqua" w:hAnsi="Book Antiqua" w:hint="eastAsia"/>
        </w:rPr>
        <w:t>建设</w:t>
      </w:r>
      <w:r>
        <w:rPr>
          <w:rFonts w:ascii="Book Antiqua" w:hAnsi="Book Antiqua"/>
        </w:rPr>
        <w:t>。</w:t>
      </w:r>
    </w:p>
    <w:p w:rsidR="00AE054B" w:rsidRDefault="005F4F6D">
      <w:pPr>
        <w:ind w:firstLineChars="200" w:firstLine="480"/>
        <w:rPr>
          <w:rFonts w:ascii="Book Antiqua" w:hAnsi="Book Antiqua"/>
        </w:rPr>
      </w:pPr>
      <w:r>
        <w:rPr>
          <w:rFonts w:ascii="Book Antiqua" w:hAnsi="Book Antiqua"/>
        </w:rPr>
        <w:t>以人</w:t>
      </w:r>
      <w:r>
        <w:rPr>
          <w:rFonts w:ascii="Book Antiqua" w:hAnsi="Book Antiqua" w:hint="eastAsia"/>
        </w:rPr>
        <w:t>员</w:t>
      </w:r>
      <w:r>
        <w:rPr>
          <w:rFonts w:ascii="Book Antiqua" w:hAnsi="Book Antiqua"/>
        </w:rPr>
        <w:t>能力建设的</w:t>
      </w:r>
      <w:r>
        <w:rPr>
          <w:szCs w:val="24"/>
        </w:rPr>
        <w:t>形式</w:t>
      </w:r>
      <w:r>
        <w:rPr>
          <w:rFonts w:ascii="Book Antiqua" w:hAnsi="Book Antiqua"/>
        </w:rPr>
        <w:t>向塞拉利昂提供援助</w:t>
      </w:r>
      <w:r>
        <w:rPr>
          <w:rFonts w:ascii="Book Antiqua" w:hAnsi="Book Antiqua" w:hint="eastAsia"/>
        </w:rPr>
        <w:t>，</w:t>
      </w:r>
      <w:r>
        <w:rPr>
          <w:rFonts w:ascii="Book Antiqua" w:hAnsi="Book Antiqua"/>
        </w:rPr>
        <w:t>特别是与</w:t>
      </w:r>
      <w:r>
        <w:rPr>
          <w:rFonts w:ascii="Book Antiqua" w:hAnsi="Book Antiqua"/>
        </w:rPr>
        <w:t>NATCOM</w:t>
      </w:r>
      <w:r>
        <w:rPr>
          <w:rFonts w:ascii="Book Antiqua" w:hAnsi="Book Antiqua"/>
        </w:rPr>
        <w:t>合作举办</w:t>
      </w:r>
      <w:r>
        <w:rPr>
          <w:rFonts w:ascii="Book Antiqua" w:hAnsi="Book Antiqua" w:hint="eastAsia"/>
        </w:rPr>
        <w:t>研讨</w:t>
      </w:r>
      <w:r>
        <w:rPr>
          <w:rFonts w:ascii="Book Antiqua" w:hAnsi="Book Antiqua"/>
        </w:rPr>
        <w:t>班</w:t>
      </w:r>
      <w:r>
        <w:rPr>
          <w:rFonts w:ascii="Book Antiqua" w:hAnsi="Book Antiqua" w:hint="eastAsia"/>
        </w:rPr>
        <w:t>的</w:t>
      </w:r>
      <w:r>
        <w:rPr>
          <w:rFonts w:ascii="Book Antiqua" w:hAnsi="Book Antiqua"/>
        </w:rPr>
        <w:t>形式。</w:t>
      </w:r>
      <w:r>
        <w:rPr>
          <w:rFonts w:ascii="Book Antiqua" w:hAnsi="Book Antiqua" w:hint="eastAsia"/>
        </w:rPr>
        <w:t>它</w:t>
      </w:r>
      <w:r>
        <w:rPr>
          <w:rFonts w:ascii="Book Antiqua" w:hAnsi="Book Antiqua"/>
        </w:rPr>
        <w:t>涉及运营商的</w:t>
      </w:r>
      <w:r>
        <w:rPr>
          <w:rFonts w:ascii="Book Antiqua" w:hAnsi="Book Antiqua" w:hint="eastAsia"/>
        </w:rPr>
        <w:t>运作</w:t>
      </w:r>
      <w:r>
        <w:rPr>
          <w:rFonts w:ascii="Book Antiqua" w:hAnsi="Book Antiqua"/>
        </w:rPr>
        <w:t>效率</w:t>
      </w:r>
      <w:r>
        <w:rPr>
          <w:rFonts w:ascii="Book Antiqua" w:hAnsi="Book Antiqua" w:hint="eastAsia"/>
        </w:rPr>
        <w:t>、</w:t>
      </w:r>
      <w:r>
        <w:rPr>
          <w:rFonts w:ascii="Book Antiqua" w:hAnsi="Book Antiqua"/>
        </w:rPr>
        <w:t>竞争和市场</w:t>
      </w:r>
      <w:r>
        <w:rPr>
          <w:rFonts w:ascii="Book Antiqua" w:hAnsi="Book Antiqua" w:hint="eastAsia"/>
        </w:rPr>
        <w:t>、</w:t>
      </w:r>
      <w:r>
        <w:rPr>
          <w:rFonts w:ascii="Book Antiqua" w:hAnsi="Book Antiqua"/>
        </w:rPr>
        <w:t>定价和成本核算</w:t>
      </w:r>
      <w:r>
        <w:rPr>
          <w:rFonts w:ascii="Book Antiqua" w:hAnsi="Book Antiqua" w:hint="eastAsia"/>
        </w:rPr>
        <w:t>、</w:t>
      </w:r>
      <w:r>
        <w:rPr>
          <w:rFonts w:ascii="Book Antiqua" w:hAnsi="Book Antiqua"/>
        </w:rPr>
        <w:t>频谱管理和电信法。</w:t>
      </w:r>
    </w:p>
    <w:p w:rsidR="00AE054B" w:rsidRDefault="005F4F6D">
      <w:pPr>
        <w:ind w:firstLineChars="200" w:firstLine="480"/>
        <w:rPr>
          <w:rFonts w:ascii="Book Antiqua" w:hAnsi="Book Antiqua"/>
        </w:rPr>
      </w:pPr>
      <w:r>
        <w:rPr>
          <w:rFonts w:ascii="Book Antiqua" w:hAnsi="Book Antiqua"/>
        </w:rPr>
        <w:t>卫生部门</w:t>
      </w:r>
      <w:r>
        <w:rPr>
          <w:rFonts w:ascii="Book Antiqua" w:hAnsi="Book Antiqua" w:hint="eastAsia"/>
        </w:rPr>
        <w:t>相</w:t>
      </w:r>
      <w:r>
        <w:rPr>
          <w:rFonts w:ascii="Book Antiqua" w:hAnsi="Book Antiqua"/>
        </w:rPr>
        <w:t>关的若干项目正在实施，例如：</w:t>
      </w:r>
    </w:p>
    <w:p w:rsidR="00AE054B" w:rsidRDefault="005F4F6D" w:rsidP="00A27382">
      <w:pPr>
        <w:pStyle w:val="enumlev1"/>
        <w:rPr>
          <w:rFonts w:ascii="Book Antiqua" w:hAnsi="Book Antiqua"/>
        </w:rPr>
      </w:pPr>
      <w:r>
        <w:t>•</w:t>
      </w:r>
      <w:r>
        <w:tab/>
      </w:r>
      <w:r>
        <w:rPr>
          <w:rFonts w:hint="eastAsia"/>
        </w:rPr>
        <w:t>与卫生部、国家糖尿病协会（</w:t>
      </w:r>
      <w:r>
        <w:rPr>
          <w:rFonts w:hint="eastAsia"/>
        </w:rPr>
        <w:t>ASSAD</w:t>
      </w:r>
      <w:r>
        <w:rPr>
          <w:rFonts w:hint="eastAsia"/>
        </w:rPr>
        <w:t>）、诺基亚公司、</w:t>
      </w:r>
      <w:r>
        <w:rPr>
          <w:rFonts w:hint="eastAsia"/>
        </w:rPr>
        <w:t>Orange</w:t>
      </w:r>
      <w:r>
        <w:rPr>
          <w:rFonts w:hint="eastAsia"/>
        </w:rPr>
        <w:t>公司、</w:t>
      </w:r>
      <w:r>
        <w:rPr>
          <w:rFonts w:hint="eastAsia"/>
        </w:rPr>
        <w:t>SONATEL</w:t>
      </w:r>
      <w:r>
        <w:rPr>
          <w:rFonts w:hint="eastAsia"/>
        </w:rPr>
        <w:t>公司、</w:t>
      </w:r>
      <w:r>
        <w:rPr>
          <w:rFonts w:hint="eastAsia"/>
        </w:rPr>
        <w:t>Expresso</w:t>
      </w:r>
      <w:r>
        <w:rPr>
          <w:rFonts w:hint="eastAsia"/>
        </w:rPr>
        <w:t>公司和</w:t>
      </w:r>
      <w:r>
        <w:rPr>
          <w:rFonts w:hint="eastAsia"/>
        </w:rPr>
        <w:t>Tigo</w:t>
      </w:r>
      <w:r>
        <w:rPr>
          <w:rFonts w:hint="eastAsia"/>
        </w:rPr>
        <w:t>公司合作的塞内加尔移动糖尿病项目</w:t>
      </w:r>
      <w:r>
        <w:rPr>
          <w:rStyle w:val="FootnoteReference"/>
        </w:rPr>
        <w:footnoteReference w:id="1"/>
      </w:r>
      <w:r>
        <w:rPr>
          <w:rFonts w:hint="eastAsia"/>
        </w:rPr>
        <w:t>（在国际电联</w:t>
      </w:r>
      <w:r>
        <w:rPr>
          <w:rFonts w:hint="eastAsia"/>
        </w:rPr>
        <w:t>-</w:t>
      </w:r>
      <w:r>
        <w:rPr>
          <w:rFonts w:hint="eastAsia"/>
        </w:rPr>
        <w:t>世界卫生组织（</w:t>
      </w:r>
      <w:r>
        <w:rPr>
          <w:rFonts w:hint="eastAsia"/>
        </w:rPr>
        <w:t>ITU-WHO</w:t>
      </w:r>
      <w:r>
        <w:rPr>
          <w:rFonts w:hint="eastAsia"/>
        </w:rPr>
        <w:t>）联合举办的</w:t>
      </w:r>
      <w:r w:rsidR="00A27382" w:rsidRPr="00A27382">
        <w:rPr>
          <w:rFonts w:ascii="SimSun" w:hAnsi="SimSun" w:hint="eastAsia"/>
        </w:rPr>
        <w:t>“</w:t>
      </w:r>
      <w:r>
        <w:rPr>
          <w:rFonts w:eastAsia="Calibri"/>
          <w:szCs w:val="24"/>
        </w:rPr>
        <w:t>Be He@lthy, Be Mobile</w:t>
      </w:r>
      <w:r w:rsidR="00A27382" w:rsidRPr="00A27382">
        <w:rPr>
          <w:rFonts w:ascii="SimSun" w:hAnsi="SimSun"/>
          <w:szCs w:val="24"/>
        </w:rPr>
        <w:t>”</w:t>
      </w:r>
      <w:r>
        <w:rPr>
          <w:rFonts w:hint="eastAsia"/>
        </w:rPr>
        <w:t>活动范围内）。到目前为止，移动糖尿病</w:t>
      </w:r>
      <w:r>
        <w:rPr>
          <w:rFonts w:hint="eastAsia"/>
        </w:rPr>
        <w:t>(</w:t>
      </w:r>
      <w:r>
        <w:rPr>
          <w:szCs w:val="24"/>
        </w:rPr>
        <w:t>mDiabete</w:t>
      </w:r>
      <w:r>
        <w:rPr>
          <w:rFonts w:hint="eastAsia"/>
        </w:rPr>
        <w:t>)</w:t>
      </w:r>
      <w:r>
        <w:rPr>
          <w:rFonts w:hint="eastAsia"/>
        </w:rPr>
        <w:t>项目已登记约</w:t>
      </w:r>
      <w:r>
        <w:rPr>
          <w:rFonts w:hint="eastAsia"/>
        </w:rPr>
        <w:t>55,000</w:t>
      </w:r>
      <w:r>
        <w:rPr>
          <w:rFonts w:hint="eastAsia"/>
        </w:rPr>
        <w:t>人。项目组正努力</w:t>
      </w:r>
      <w:r>
        <w:rPr>
          <w:rFonts w:ascii="Book Antiqua" w:hAnsi="Book Antiqua" w:hint="eastAsia"/>
        </w:rPr>
        <w:t>在该项目第二阶段并入移动高血压（</w:t>
      </w:r>
      <w:r>
        <w:rPr>
          <w:rFonts w:ascii="Book Antiqua" w:hAnsi="Book Antiqua" w:hint="eastAsia"/>
        </w:rPr>
        <w:t>HTA</w:t>
      </w:r>
      <w:r>
        <w:rPr>
          <w:rFonts w:ascii="Book Antiqua" w:hAnsi="Book Antiqua" w:hint="eastAsia"/>
        </w:rPr>
        <w:t>）相关内容，因为糖尿病和高血压密切相关。</w:t>
      </w:r>
    </w:p>
    <w:p w:rsidR="00AE054B" w:rsidRDefault="005F4F6D">
      <w:pPr>
        <w:pStyle w:val="enumlev1"/>
      </w:pPr>
      <w:r>
        <w:rPr>
          <w:rFonts w:ascii="Book Antiqua" w:hAnsi="Book Antiqua"/>
        </w:rPr>
        <w:t>•</w:t>
      </w:r>
      <w:r>
        <w:rPr>
          <w:rFonts w:ascii="Book Antiqua" w:hAnsi="Book Antiqua"/>
        </w:rPr>
        <w:tab/>
      </w:r>
      <w:r>
        <w:rPr>
          <w:rFonts w:ascii="Book Antiqua" w:hAnsi="Book Antiqua" w:hint="eastAsia"/>
        </w:rPr>
        <w:t>赞比亚的移动宫颈癌项目（</w:t>
      </w:r>
      <w:r>
        <w:rPr>
          <w:rFonts w:ascii="Book Antiqua" w:hAnsi="Book Antiqua" w:hint="eastAsia"/>
        </w:rPr>
        <w:t>2016</w:t>
      </w:r>
      <w:r>
        <w:rPr>
          <w:rFonts w:ascii="Book Antiqua" w:hAnsi="Book Antiqua" w:hint="eastAsia"/>
        </w:rPr>
        <w:t>年</w:t>
      </w:r>
      <w:r>
        <w:rPr>
          <w:rFonts w:ascii="Book Antiqua" w:hAnsi="Book Antiqua" w:hint="eastAsia"/>
        </w:rPr>
        <w:t>10</w:t>
      </w:r>
      <w:r>
        <w:rPr>
          <w:rFonts w:ascii="Book Antiqua" w:hAnsi="Book Antiqua" w:hint="eastAsia"/>
        </w:rPr>
        <w:t>月推出），得到</w:t>
      </w:r>
      <w:r>
        <w:rPr>
          <w:rFonts w:ascii="Book Antiqua" w:hAnsi="Book Antiqua" w:hint="eastAsia"/>
        </w:rPr>
        <w:t>WHO-ITU</w:t>
      </w:r>
      <w:r>
        <w:rPr>
          <w:rFonts w:ascii="Book Antiqua" w:hAnsi="Book Antiqua" w:hint="eastAsia"/>
        </w:rPr>
        <w:t>举措的技术支持，旨在提高处于筛查年龄区间（</w:t>
      </w:r>
      <w:r>
        <w:rPr>
          <w:rFonts w:ascii="Book Antiqua" w:hAnsi="Book Antiqua" w:hint="eastAsia"/>
        </w:rPr>
        <w:t>25-59</w:t>
      </w:r>
      <w:r>
        <w:rPr>
          <w:rFonts w:ascii="Book Antiqua" w:hAnsi="Book Antiqua" w:hint="eastAsia"/>
        </w:rPr>
        <w:t>）女士的宫颈癌知识，从</w:t>
      </w:r>
      <w:r>
        <w:rPr>
          <w:rFonts w:cs="Cambria" w:hint="eastAsia"/>
        </w:rPr>
        <w:t>而让更多女性接受宫颈癌筛查服务。</w:t>
      </w:r>
    </w:p>
    <w:p w:rsidR="00AE054B" w:rsidRDefault="005F4F6D">
      <w:pPr>
        <w:pStyle w:val="enumlev1"/>
      </w:pPr>
      <w:r>
        <w:t>•</w:t>
      </w:r>
      <w:r>
        <w:tab/>
      </w:r>
      <w:r>
        <w:rPr>
          <w:rFonts w:cs="Cambria" w:hint="eastAsia"/>
        </w:rPr>
        <w:t>津巴布韦的远程医疗项目，由国际电联、联合国开发计划署（</w:t>
      </w:r>
      <w:r>
        <w:rPr>
          <w:rFonts w:cs="Cambria" w:hint="eastAsia"/>
        </w:rPr>
        <w:t>UNDP</w:t>
      </w:r>
      <w:r>
        <w:rPr>
          <w:rFonts w:cs="Cambria" w:hint="eastAsia"/>
        </w:rPr>
        <w:t>）和津巴布韦政府出资，旨在提供国内医院之间的互联互通，采用信息通信技术改善医疗服务供给。</w:t>
      </w:r>
    </w:p>
    <w:p w:rsidR="00AE054B" w:rsidRDefault="005F4F6D">
      <w:pPr>
        <w:ind w:firstLineChars="200" w:firstLine="480"/>
        <w:rPr>
          <w:rFonts w:eastAsia="Calibri"/>
          <w:szCs w:val="24"/>
        </w:rPr>
      </w:pPr>
      <w:r>
        <w:rPr>
          <w:rFonts w:cs="Calibri" w:hint="eastAsia"/>
          <w:szCs w:val="24"/>
        </w:rPr>
        <w:t>作为指导委员会的联合</w:t>
      </w:r>
      <w:r>
        <w:rPr>
          <w:rFonts w:ascii="Book Antiqua" w:hAnsi="Book Antiqua" w:hint="eastAsia"/>
        </w:rPr>
        <w:t>主席</w:t>
      </w:r>
      <w:r>
        <w:rPr>
          <w:rFonts w:cs="Calibri" w:hint="eastAsia"/>
          <w:szCs w:val="24"/>
        </w:rPr>
        <w:t>和智能非洲委员会的成员，国际电联增进了与智能非洲组织间的合作，为其提供技术援助，并主持了治理会议。在非洲联盟峰会之余，于</w:t>
      </w:r>
      <w:r>
        <w:rPr>
          <w:rFonts w:cs="Calibri" w:hint="eastAsia"/>
          <w:szCs w:val="24"/>
        </w:rPr>
        <w:t>2016</w:t>
      </w:r>
      <w:r>
        <w:rPr>
          <w:rFonts w:cs="Calibri" w:hint="eastAsia"/>
          <w:szCs w:val="24"/>
        </w:rPr>
        <w:t>年</w:t>
      </w:r>
      <w:r>
        <w:rPr>
          <w:rFonts w:cs="Calibri" w:hint="eastAsia"/>
          <w:szCs w:val="24"/>
        </w:rPr>
        <w:t>6</w:t>
      </w:r>
      <w:r>
        <w:rPr>
          <w:rFonts w:cs="Calibri" w:hint="eastAsia"/>
          <w:szCs w:val="24"/>
        </w:rPr>
        <w:t>月的会议上，智能非洲委员会通过了“非洲同一网络”举措，力图在智能非洲联盟国家之间取消国际漫游费。“非洲同一网络”举措由卢旺达和加蓬总统发起，以取消两国之间的漫游费。智能非洲奖学基金最初由</w:t>
      </w:r>
      <w:r>
        <w:rPr>
          <w:rFonts w:cs="Calibri" w:hint="eastAsia"/>
          <w:szCs w:val="24"/>
        </w:rPr>
        <w:t>ITU</w:t>
      </w:r>
      <w:r>
        <w:rPr>
          <w:rFonts w:cs="Calibri" w:hint="eastAsia"/>
          <w:szCs w:val="24"/>
        </w:rPr>
        <w:t>提供种子基金，其</w:t>
      </w:r>
      <w:r>
        <w:rPr>
          <w:rFonts w:cs="Calibri" w:hint="eastAsia"/>
          <w:szCs w:val="24"/>
        </w:rPr>
        <w:t>20</w:t>
      </w:r>
      <w:r>
        <w:rPr>
          <w:rFonts w:cs="Calibri" w:hint="eastAsia"/>
          <w:szCs w:val="24"/>
        </w:rPr>
        <w:t>万美元来自信息通信技术发展基金（</w:t>
      </w:r>
      <w:r>
        <w:rPr>
          <w:rFonts w:cs="Calibri" w:hint="eastAsia"/>
          <w:szCs w:val="24"/>
        </w:rPr>
        <w:t>ICT-DF</w:t>
      </w:r>
      <w:r>
        <w:rPr>
          <w:rFonts w:cs="Calibri" w:hint="eastAsia"/>
          <w:szCs w:val="24"/>
        </w:rPr>
        <w:t>），于</w:t>
      </w:r>
      <w:r>
        <w:rPr>
          <w:rFonts w:cs="Calibri" w:hint="eastAsia"/>
          <w:szCs w:val="24"/>
        </w:rPr>
        <w:t>2015</w:t>
      </w:r>
      <w:r>
        <w:rPr>
          <w:rFonts w:cs="Calibri" w:hint="eastAsia"/>
          <w:szCs w:val="24"/>
        </w:rPr>
        <w:t>年推出，目前这笔基金已增长到</w:t>
      </w:r>
      <w:r>
        <w:rPr>
          <w:rFonts w:cs="Calibri" w:hint="eastAsia"/>
          <w:szCs w:val="24"/>
        </w:rPr>
        <w:t>120</w:t>
      </w:r>
      <w:r>
        <w:rPr>
          <w:rFonts w:cs="Calibri" w:hint="eastAsia"/>
          <w:szCs w:val="24"/>
        </w:rPr>
        <w:t>万美元。截至</w:t>
      </w:r>
      <w:r>
        <w:rPr>
          <w:rFonts w:cs="Calibri" w:hint="eastAsia"/>
          <w:szCs w:val="24"/>
        </w:rPr>
        <w:t>2017</w:t>
      </w:r>
      <w:r>
        <w:rPr>
          <w:rFonts w:cs="Calibri" w:hint="eastAsia"/>
          <w:szCs w:val="24"/>
        </w:rPr>
        <w:t>年</w:t>
      </w:r>
      <w:r>
        <w:rPr>
          <w:rFonts w:cs="Calibri" w:hint="eastAsia"/>
          <w:szCs w:val="24"/>
        </w:rPr>
        <w:t>2</w:t>
      </w:r>
      <w:r>
        <w:rPr>
          <w:rFonts w:cs="Calibri" w:hint="eastAsia"/>
          <w:szCs w:val="24"/>
        </w:rPr>
        <w:t>月，智能非洲组织已经资助</w:t>
      </w:r>
      <w:r>
        <w:rPr>
          <w:rFonts w:cs="Calibri" w:hint="eastAsia"/>
          <w:szCs w:val="24"/>
        </w:rPr>
        <w:t>17</w:t>
      </w:r>
      <w:r>
        <w:rPr>
          <w:rFonts w:cs="Calibri" w:hint="eastAsia"/>
          <w:szCs w:val="24"/>
        </w:rPr>
        <w:t>名学生进入卢旺达的卡内基梅隆大学，其中</w:t>
      </w:r>
      <w:r>
        <w:rPr>
          <w:rFonts w:cs="Calibri" w:hint="eastAsia"/>
          <w:szCs w:val="24"/>
        </w:rPr>
        <w:t>6</w:t>
      </w:r>
      <w:r>
        <w:rPr>
          <w:rFonts w:cs="Calibri" w:hint="eastAsia"/>
          <w:szCs w:val="24"/>
        </w:rPr>
        <w:t>名为女性。</w:t>
      </w:r>
    </w:p>
    <w:p w:rsidR="00AE054B" w:rsidRDefault="005F4F6D">
      <w:pPr>
        <w:pStyle w:val="Heading2"/>
        <w:rPr>
          <w:szCs w:val="24"/>
        </w:rPr>
      </w:pPr>
      <w:r>
        <w:rPr>
          <w:szCs w:val="24"/>
        </w:rPr>
        <w:t>2.2</w:t>
      </w:r>
      <w:r>
        <w:rPr>
          <w:szCs w:val="24"/>
        </w:rPr>
        <w:tab/>
      </w:r>
      <w:r>
        <w:rPr>
          <w:rFonts w:cs="Microsoft YaHei"/>
          <w:szCs w:val="24"/>
        </w:rPr>
        <w:t>美洲</w:t>
      </w:r>
    </w:p>
    <w:p w:rsidR="00AE054B" w:rsidRDefault="005F4F6D">
      <w:pPr>
        <w:ind w:firstLineChars="200" w:firstLine="480"/>
        <w:rPr>
          <w:rFonts w:cs="SimHei"/>
          <w:szCs w:val="24"/>
        </w:rPr>
      </w:pPr>
      <w:r>
        <w:rPr>
          <w:rFonts w:cs="SimHei" w:hint="eastAsia"/>
          <w:szCs w:val="24"/>
        </w:rPr>
        <w:t>阿根廷政府推动</w:t>
      </w:r>
      <w:r>
        <w:rPr>
          <w:rFonts w:cs="SimHei" w:hint="eastAsia"/>
          <w:szCs w:val="24"/>
        </w:rPr>
        <w:t>20</w:t>
      </w:r>
      <w:r>
        <w:rPr>
          <w:rFonts w:cs="SimHei" w:hint="eastAsia"/>
          <w:szCs w:val="24"/>
        </w:rPr>
        <w:t>多所大学成为</w:t>
      </w:r>
      <w:r>
        <w:rPr>
          <w:rFonts w:cs="SimHei" w:hint="eastAsia"/>
          <w:szCs w:val="24"/>
        </w:rPr>
        <w:t>ITU</w:t>
      </w:r>
      <w:r>
        <w:rPr>
          <w:rFonts w:cs="SimHei" w:hint="eastAsia"/>
          <w:szCs w:val="24"/>
        </w:rPr>
        <w:t>活动的学术机构成员，该项目大获成功，之后</w:t>
      </w:r>
      <w:r>
        <w:rPr>
          <w:rFonts w:cs="SimHei" w:hint="eastAsia"/>
          <w:szCs w:val="24"/>
        </w:rPr>
        <w:t>ITU</w:t>
      </w:r>
      <w:r>
        <w:rPr>
          <w:rFonts w:cs="SimHei" w:hint="eastAsia"/>
          <w:szCs w:val="24"/>
        </w:rPr>
        <w:t>区域和地区代表</w:t>
      </w:r>
      <w:r>
        <w:rPr>
          <w:rFonts w:cs="Calibri" w:hint="eastAsia"/>
          <w:szCs w:val="24"/>
        </w:rPr>
        <w:t>处一直在与哥伦比亚</w:t>
      </w:r>
      <w:r>
        <w:rPr>
          <w:rFonts w:cs="SimHei" w:hint="eastAsia"/>
          <w:szCs w:val="24"/>
        </w:rPr>
        <w:t>等该区域的其他国家政府部门进行协调，以复制项目。</w:t>
      </w:r>
    </w:p>
    <w:p w:rsidR="00AE054B" w:rsidRDefault="005F4F6D">
      <w:pPr>
        <w:ind w:firstLineChars="200" w:firstLine="480"/>
        <w:rPr>
          <w:rFonts w:cs="SimHei"/>
          <w:szCs w:val="24"/>
        </w:rPr>
      </w:pPr>
      <w:r>
        <w:rPr>
          <w:rFonts w:cs="SimHei" w:hint="eastAsia"/>
          <w:szCs w:val="24"/>
        </w:rPr>
        <w:t>国际电联已经开始与公共和私营部门的利益攸关方合作开发和实施项目，例如，一个与巴西国家通讯管理局（</w:t>
      </w:r>
      <w:r>
        <w:rPr>
          <w:rFonts w:cs="SimHei" w:hint="eastAsia"/>
          <w:szCs w:val="24"/>
        </w:rPr>
        <w:t>Anatel</w:t>
      </w:r>
      <w:r>
        <w:rPr>
          <w:rFonts w:cs="SimHei" w:hint="eastAsia"/>
          <w:szCs w:val="24"/>
        </w:rPr>
        <w:t>）合作的技术项目，旨在加强巴西监管机构；在哥伦比亚与贸易、工业和旅游部（</w:t>
      </w:r>
      <w:r>
        <w:rPr>
          <w:rFonts w:cs="SimHei" w:hint="eastAsia"/>
          <w:szCs w:val="24"/>
        </w:rPr>
        <w:t>MINCIT</w:t>
      </w:r>
      <w:r>
        <w:rPr>
          <w:rFonts w:cs="SimHei" w:hint="eastAsia"/>
          <w:szCs w:val="24"/>
        </w:rPr>
        <w:t>）合作进行频谱分配。</w:t>
      </w:r>
      <w:r>
        <w:rPr>
          <w:rFonts w:cs="SimHei" w:hint="eastAsia"/>
          <w:szCs w:val="24"/>
        </w:rPr>
        <w:t>ITU</w:t>
      </w:r>
      <w:r>
        <w:rPr>
          <w:rFonts w:cs="SimHei" w:hint="eastAsia"/>
          <w:szCs w:val="24"/>
        </w:rPr>
        <w:t>与国家和区域利益攸关方合作制定陆地电视广播从模拟到数字转换的路线图（通过使用</w:t>
      </w:r>
      <w:r>
        <w:rPr>
          <w:rFonts w:cs="SimHei" w:hint="eastAsia"/>
          <w:szCs w:val="24"/>
        </w:rPr>
        <w:t>ITU</w:t>
      </w:r>
      <w:r>
        <w:rPr>
          <w:rFonts w:cs="SimHei" w:hint="eastAsia"/>
          <w:szCs w:val="24"/>
        </w:rPr>
        <w:t>指导原则），描绘全球长距离陆地和海底光纤系统的交互式地图。已经开展有关秘鲁、玻利维亚和巴拿马监管当局独立性的正式研究，研究成果将于</w:t>
      </w:r>
      <w:r>
        <w:rPr>
          <w:rFonts w:cs="SimHei" w:hint="eastAsia"/>
          <w:szCs w:val="24"/>
        </w:rPr>
        <w:t>2017</w:t>
      </w:r>
      <w:r>
        <w:rPr>
          <w:rFonts w:cs="SimHei" w:hint="eastAsia"/>
          <w:szCs w:val="24"/>
        </w:rPr>
        <w:t>年公布。</w:t>
      </w:r>
    </w:p>
    <w:p w:rsidR="00AE054B" w:rsidRDefault="005F4F6D">
      <w:pPr>
        <w:ind w:firstLineChars="200" w:firstLine="480"/>
        <w:rPr>
          <w:rFonts w:cs="SimHei"/>
          <w:szCs w:val="24"/>
        </w:rPr>
      </w:pPr>
      <w:r>
        <w:rPr>
          <w:rFonts w:cs="SimHei" w:hint="eastAsia"/>
          <w:szCs w:val="24"/>
        </w:rPr>
        <w:t>在与美洲区域</w:t>
      </w:r>
      <w:r>
        <w:rPr>
          <w:rFonts w:cs="SimHei" w:hint="eastAsia"/>
          <w:szCs w:val="24"/>
        </w:rPr>
        <w:t>ITU</w:t>
      </w:r>
      <w:r>
        <w:rPr>
          <w:rFonts w:cs="SimHei" w:hint="eastAsia"/>
          <w:szCs w:val="24"/>
        </w:rPr>
        <w:t>卓越中心（</w:t>
      </w:r>
      <w:r>
        <w:rPr>
          <w:rFonts w:cs="SimHei" w:hint="eastAsia"/>
          <w:szCs w:val="24"/>
        </w:rPr>
        <w:t>CoE</w:t>
      </w:r>
      <w:r>
        <w:rPr>
          <w:rFonts w:cs="SimHei" w:hint="eastAsia"/>
          <w:szCs w:val="24"/>
        </w:rPr>
        <w:t>）合作的框架内，通过</w:t>
      </w:r>
      <w:r>
        <w:rPr>
          <w:rFonts w:cs="SimHei" w:hint="eastAsia"/>
          <w:szCs w:val="24"/>
        </w:rPr>
        <w:t>ITU</w:t>
      </w:r>
      <w:r>
        <w:rPr>
          <w:rFonts w:cs="SimHei" w:hint="eastAsia"/>
          <w:szCs w:val="24"/>
        </w:rPr>
        <w:t>学院平台，提供以下领域的在线培训课程：先进的通信网络、频谱管理、信息通信技术应用和服务、卫星系统和无线网络。</w:t>
      </w:r>
      <w:r>
        <w:rPr>
          <w:rFonts w:cs="SimHei" w:hint="eastAsia"/>
          <w:szCs w:val="24"/>
        </w:rPr>
        <w:t>ITU</w:t>
      </w:r>
      <w:r>
        <w:rPr>
          <w:rFonts w:cs="SimHei" w:hint="eastAsia"/>
          <w:szCs w:val="24"/>
        </w:rPr>
        <w:t>和拉丁美洲和加勒比原住民发展基金向</w:t>
      </w:r>
      <w:r>
        <w:rPr>
          <w:rFonts w:cs="SimHei" w:hint="eastAsia"/>
          <w:szCs w:val="24"/>
        </w:rPr>
        <w:t>221</w:t>
      </w:r>
      <w:r>
        <w:rPr>
          <w:rFonts w:cs="SimHei" w:hint="eastAsia"/>
          <w:szCs w:val="24"/>
        </w:rPr>
        <w:t>个原住民提供以下方面的信息通信技术使用课程：信息和通信工具的使用、数字内容开发、虚拟教育和电子商务。</w:t>
      </w:r>
    </w:p>
    <w:p w:rsidR="00AE054B" w:rsidRDefault="005F4F6D">
      <w:pPr>
        <w:ind w:firstLineChars="200" w:firstLine="480"/>
        <w:rPr>
          <w:rFonts w:cs="SimHei"/>
          <w:szCs w:val="24"/>
        </w:rPr>
      </w:pPr>
      <w:r>
        <w:rPr>
          <w:rFonts w:cs="SimHei" w:hint="eastAsia"/>
          <w:szCs w:val="24"/>
        </w:rPr>
        <w:lastRenderedPageBreak/>
        <w:t>“宽带和</w:t>
      </w:r>
      <w:r>
        <w:rPr>
          <w:rFonts w:cs="SimHei" w:hint="eastAsia"/>
          <w:szCs w:val="24"/>
        </w:rPr>
        <w:t>ICT</w:t>
      </w:r>
      <w:r>
        <w:rPr>
          <w:rFonts w:cs="SimHei" w:hint="eastAsia"/>
          <w:szCs w:val="24"/>
        </w:rPr>
        <w:t>经济学”及“</w:t>
      </w:r>
      <w:r>
        <w:rPr>
          <w:rFonts w:cs="SimHei" w:hint="eastAsia"/>
          <w:szCs w:val="24"/>
        </w:rPr>
        <w:t>ICT</w:t>
      </w:r>
      <w:r>
        <w:rPr>
          <w:rFonts w:cs="SimHei" w:hint="eastAsia"/>
          <w:szCs w:val="24"/>
        </w:rPr>
        <w:t>网络部署和运作”培训材料已经与美洲开发银行（</w:t>
      </w:r>
      <w:r>
        <w:rPr>
          <w:rFonts w:cs="SimHei" w:hint="eastAsia"/>
          <w:szCs w:val="24"/>
        </w:rPr>
        <w:t>IDB</w:t>
      </w:r>
      <w:r>
        <w:rPr>
          <w:rFonts w:cs="SimHei" w:hint="eastAsia"/>
          <w:szCs w:val="24"/>
        </w:rPr>
        <w:t>）合作开发，将由</w:t>
      </w:r>
      <w:r>
        <w:rPr>
          <w:rFonts w:cs="SimHei" w:hint="eastAsia"/>
          <w:szCs w:val="24"/>
        </w:rPr>
        <w:t>CEABAD</w:t>
      </w:r>
      <w:r>
        <w:rPr>
          <w:rFonts w:cs="SimHei" w:hint="eastAsia"/>
          <w:szCs w:val="24"/>
        </w:rPr>
        <w:t>交付，美洲开发银行将在尼加拉瓜建立一个培训中心。</w:t>
      </w:r>
    </w:p>
    <w:p w:rsidR="00AE054B" w:rsidRDefault="005F4F6D">
      <w:pPr>
        <w:ind w:firstLineChars="200" w:firstLine="480"/>
        <w:rPr>
          <w:rFonts w:cs="SimHei"/>
          <w:szCs w:val="24"/>
        </w:rPr>
      </w:pPr>
      <w:r>
        <w:rPr>
          <w:rFonts w:cs="SimHei" w:hint="eastAsia"/>
          <w:szCs w:val="24"/>
        </w:rPr>
        <w:t>与政府（巴西、哥斯达黎加、厄瓜多尔、萨尔瓦多、洪都拉斯、墨西哥、巴拉圭）以及国际、区域和次区域组织（如</w:t>
      </w:r>
      <w:r>
        <w:rPr>
          <w:rFonts w:cs="SimHei" w:hint="eastAsia"/>
          <w:szCs w:val="24"/>
        </w:rPr>
        <w:t>ASIET</w:t>
      </w:r>
      <w:r>
        <w:rPr>
          <w:rFonts w:cs="SimHei" w:hint="eastAsia"/>
          <w:szCs w:val="24"/>
        </w:rPr>
        <w:t>、</w:t>
      </w:r>
      <w:r>
        <w:rPr>
          <w:rFonts w:cs="SimHei" w:hint="eastAsia"/>
          <w:szCs w:val="24"/>
        </w:rPr>
        <w:t>CITEL</w:t>
      </w:r>
      <w:r>
        <w:rPr>
          <w:rFonts w:cs="SimHei" w:hint="eastAsia"/>
          <w:szCs w:val="24"/>
        </w:rPr>
        <w:t>、</w:t>
      </w:r>
      <w:r>
        <w:rPr>
          <w:rFonts w:cs="SimHei" w:hint="eastAsia"/>
          <w:szCs w:val="24"/>
        </w:rPr>
        <w:t>CTU</w:t>
      </w:r>
      <w:r>
        <w:rPr>
          <w:rFonts w:cs="SimHei" w:hint="eastAsia"/>
          <w:szCs w:val="24"/>
        </w:rPr>
        <w:t>、</w:t>
      </w:r>
      <w:r>
        <w:rPr>
          <w:rFonts w:cs="SimHei" w:hint="eastAsia"/>
          <w:szCs w:val="24"/>
        </w:rPr>
        <w:t>COMTELCA</w:t>
      </w:r>
      <w:r>
        <w:rPr>
          <w:rFonts w:cs="SimHei" w:hint="eastAsia"/>
          <w:szCs w:val="24"/>
        </w:rPr>
        <w:t>、</w:t>
      </w:r>
      <w:r>
        <w:rPr>
          <w:rFonts w:cs="SimHei" w:hint="eastAsia"/>
          <w:szCs w:val="24"/>
        </w:rPr>
        <w:t>LACNIC</w:t>
      </w:r>
      <w:r>
        <w:rPr>
          <w:rFonts w:cs="SimHei" w:hint="eastAsia"/>
          <w:szCs w:val="24"/>
        </w:rPr>
        <w:t>、</w:t>
      </w:r>
      <w:r>
        <w:rPr>
          <w:rFonts w:cs="SimHei" w:hint="eastAsia"/>
          <w:szCs w:val="24"/>
        </w:rPr>
        <w:t>OAS</w:t>
      </w:r>
      <w:r>
        <w:rPr>
          <w:rFonts w:cs="SimHei" w:hint="eastAsia"/>
          <w:szCs w:val="24"/>
        </w:rPr>
        <w:t>）合作组织了一些论坛和研讨会。</w:t>
      </w:r>
    </w:p>
    <w:p w:rsidR="00AE054B" w:rsidRDefault="005F4F6D">
      <w:pPr>
        <w:pStyle w:val="Heading2"/>
        <w:rPr>
          <w:szCs w:val="24"/>
        </w:rPr>
      </w:pPr>
      <w:r>
        <w:rPr>
          <w:szCs w:val="24"/>
        </w:rPr>
        <w:t>2.3</w:t>
      </w:r>
      <w:r>
        <w:rPr>
          <w:szCs w:val="24"/>
        </w:rPr>
        <w:tab/>
      </w:r>
      <w:r>
        <w:rPr>
          <w:rFonts w:hint="eastAsia"/>
          <w:szCs w:val="24"/>
        </w:rPr>
        <w:t>阿拉伯国家</w:t>
      </w:r>
    </w:p>
    <w:p w:rsidR="00AE054B" w:rsidRDefault="005F4F6D" w:rsidP="009A7FDA">
      <w:pPr>
        <w:pStyle w:val="CEONormal"/>
        <w:spacing w:after="0"/>
        <w:ind w:firstLineChars="200" w:firstLine="480"/>
        <w:rPr>
          <w:sz w:val="24"/>
          <w:szCs w:val="24"/>
          <w:lang w:eastAsia="zh-CN"/>
        </w:rPr>
      </w:pPr>
      <w:bookmarkStart w:id="5" w:name="lt_pId056"/>
      <w:r>
        <w:rPr>
          <w:rFonts w:hint="eastAsia"/>
          <w:sz w:val="24"/>
          <w:szCs w:val="24"/>
          <w:lang w:eastAsia="zh-CN"/>
        </w:rPr>
        <w:t>国际电联阿拉伯国家区域代表处与世界银行、国际电信卫星组织（</w:t>
      </w:r>
      <w:r>
        <w:rPr>
          <w:rFonts w:hint="eastAsia"/>
          <w:sz w:val="24"/>
          <w:szCs w:val="24"/>
          <w:lang w:eastAsia="zh-CN"/>
        </w:rPr>
        <w:t>ITSO</w:t>
      </w:r>
      <w:r>
        <w:rPr>
          <w:rFonts w:hint="eastAsia"/>
          <w:sz w:val="24"/>
          <w:szCs w:val="24"/>
          <w:lang w:eastAsia="zh-CN"/>
        </w:rPr>
        <w:t>）、联合国</w:t>
      </w:r>
      <w:r>
        <w:rPr>
          <w:sz w:val="24"/>
          <w:szCs w:val="24"/>
          <w:lang w:eastAsia="zh-CN"/>
        </w:rPr>
        <w:t>西亚经济社会委员会（</w:t>
      </w:r>
      <w:r>
        <w:rPr>
          <w:rFonts w:hint="eastAsia"/>
          <w:sz w:val="24"/>
          <w:szCs w:val="24"/>
          <w:lang w:eastAsia="zh-CN"/>
        </w:rPr>
        <w:t>UN</w:t>
      </w:r>
      <w:r>
        <w:rPr>
          <w:sz w:val="24"/>
          <w:szCs w:val="24"/>
          <w:lang w:eastAsia="zh-CN"/>
        </w:rPr>
        <w:t>ESCWA</w:t>
      </w:r>
      <w:r>
        <w:rPr>
          <w:rFonts w:hint="eastAsia"/>
          <w:sz w:val="24"/>
          <w:szCs w:val="24"/>
          <w:lang w:eastAsia="zh-CN"/>
        </w:rPr>
        <w:t>）、阿拉伯科技园和孵化器网络（</w:t>
      </w:r>
      <w:r>
        <w:rPr>
          <w:sz w:val="24"/>
          <w:szCs w:val="24"/>
          <w:lang w:eastAsia="zh-CN"/>
        </w:rPr>
        <w:t>ARTECNET</w:t>
      </w:r>
      <w:r>
        <w:rPr>
          <w:rFonts w:hint="eastAsia"/>
          <w:sz w:val="24"/>
          <w:szCs w:val="24"/>
          <w:lang w:eastAsia="zh-CN"/>
        </w:rPr>
        <w:t>）、阿拉伯监管机构网络（</w:t>
      </w:r>
      <w:r>
        <w:rPr>
          <w:sz w:val="24"/>
          <w:szCs w:val="24"/>
          <w:lang w:eastAsia="zh-CN"/>
        </w:rPr>
        <w:t>AREGNET</w:t>
      </w:r>
      <w:r>
        <w:rPr>
          <w:rFonts w:hint="eastAsia"/>
          <w:sz w:val="24"/>
          <w:szCs w:val="24"/>
          <w:lang w:eastAsia="zh-CN"/>
        </w:rPr>
        <w:t>）、阿拉伯区域网络安全中心（</w:t>
      </w:r>
      <w:r>
        <w:rPr>
          <w:sz w:val="24"/>
          <w:szCs w:val="24"/>
          <w:lang w:eastAsia="zh-CN"/>
        </w:rPr>
        <w:t>ARCC</w:t>
      </w:r>
      <w:r>
        <w:rPr>
          <w:rFonts w:hint="eastAsia"/>
          <w:sz w:val="24"/>
          <w:szCs w:val="24"/>
          <w:lang w:eastAsia="zh-CN"/>
        </w:rPr>
        <w:t>）、阿联酋电信监管机构、埃及通信信息部、</w:t>
      </w:r>
      <w:r>
        <w:rPr>
          <w:sz w:val="24"/>
          <w:szCs w:val="24"/>
          <w:lang w:eastAsia="zh-CN"/>
        </w:rPr>
        <w:t>阿拉伯马格里布联盟</w:t>
      </w:r>
      <w:r>
        <w:rPr>
          <w:rFonts w:hint="eastAsia"/>
          <w:sz w:val="24"/>
          <w:szCs w:val="24"/>
          <w:lang w:eastAsia="zh-CN"/>
        </w:rPr>
        <w:t>（</w:t>
      </w:r>
      <w:r>
        <w:rPr>
          <w:sz w:val="24"/>
          <w:szCs w:val="24"/>
          <w:lang w:eastAsia="zh-CN"/>
        </w:rPr>
        <w:t>UMA</w:t>
      </w:r>
      <w:r>
        <w:rPr>
          <w:rFonts w:hint="eastAsia"/>
          <w:sz w:val="24"/>
          <w:szCs w:val="24"/>
          <w:lang w:eastAsia="zh-CN"/>
        </w:rPr>
        <w:t>）、文化和科学组织（</w:t>
      </w:r>
      <w:r>
        <w:rPr>
          <w:sz w:val="24"/>
          <w:szCs w:val="24"/>
          <w:lang w:eastAsia="zh-CN"/>
        </w:rPr>
        <w:t>ALECSO</w:t>
      </w:r>
      <w:r>
        <w:rPr>
          <w:rFonts w:hint="eastAsia"/>
          <w:sz w:val="24"/>
          <w:szCs w:val="24"/>
          <w:lang w:eastAsia="zh-CN"/>
        </w:rPr>
        <w:t>）、突尼斯的大学、穆罕默德·本·拉希德智能学习计划等合作，为阿拉伯国家组织安排了各种讲习班、论坛和专家会议（如</w:t>
      </w:r>
      <w:r>
        <w:rPr>
          <w:sz w:val="24"/>
          <w:szCs w:val="24"/>
          <w:lang w:eastAsia="zh-CN"/>
        </w:rPr>
        <w:t>PPP</w:t>
      </w:r>
      <w:r>
        <w:rPr>
          <w:rFonts w:hint="eastAsia"/>
          <w:sz w:val="24"/>
          <w:szCs w:val="24"/>
          <w:lang w:eastAsia="zh-CN"/>
        </w:rPr>
        <w:t>和</w:t>
      </w:r>
      <w:r>
        <w:rPr>
          <w:sz w:val="24"/>
          <w:szCs w:val="24"/>
          <w:lang w:eastAsia="zh-CN"/>
        </w:rPr>
        <w:t>ICT4D</w:t>
      </w:r>
      <w:r>
        <w:rPr>
          <w:rFonts w:hint="eastAsia"/>
          <w:sz w:val="24"/>
          <w:szCs w:val="24"/>
          <w:lang w:eastAsia="zh-CN"/>
        </w:rPr>
        <w:t>应用、促进</w:t>
      </w:r>
      <w:r>
        <w:rPr>
          <w:rFonts w:hint="eastAsia"/>
          <w:sz w:val="24"/>
          <w:szCs w:val="24"/>
          <w:lang w:eastAsia="zh-CN"/>
        </w:rPr>
        <w:t>ICT</w:t>
      </w:r>
      <w:r>
        <w:rPr>
          <w:rFonts w:hint="eastAsia"/>
          <w:sz w:val="24"/>
          <w:szCs w:val="24"/>
          <w:lang w:eastAsia="zh-CN"/>
        </w:rPr>
        <w:t>应用开发的有利环境、</w:t>
      </w:r>
      <w:r>
        <w:rPr>
          <w:sz w:val="24"/>
          <w:szCs w:val="24"/>
          <w:lang w:eastAsia="zh-CN"/>
        </w:rPr>
        <w:t>OTT</w:t>
      </w:r>
      <w:r>
        <w:rPr>
          <w:rFonts w:hint="eastAsia"/>
          <w:sz w:val="24"/>
          <w:szCs w:val="24"/>
          <w:lang w:eastAsia="zh-CN"/>
        </w:rPr>
        <w:t>、网络演习、保护上网儿童、数字内容、一致性和互操作性、云计算等）。</w:t>
      </w:r>
      <w:bookmarkEnd w:id="5"/>
    </w:p>
    <w:p w:rsidR="009A7FDA" w:rsidRDefault="005F4F6D" w:rsidP="009A7FDA">
      <w:pPr>
        <w:pStyle w:val="CEONormal"/>
        <w:ind w:firstLineChars="200" w:firstLine="480"/>
        <w:rPr>
          <w:sz w:val="24"/>
          <w:szCs w:val="24"/>
          <w:lang w:eastAsia="zh-CN"/>
        </w:rPr>
      </w:pPr>
      <w:r>
        <w:rPr>
          <w:rFonts w:hint="eastAsia"/>
          <w:sz w:val="24"/>
          <w:szCs w:val="24"/>
          <w:lang w:eastAsia="zh-CN"/>
        </w:rPr>
        <w:t>此外，自</w:t>
      </w:r>
      <w:r>
        <w:rPr>
          <w:rFonts w:hint="eastAsia"/>
          <w:sz w:val="24"/>
          <w:szCs w:val="24"/>
          <w:lang w:eastAsia="zh-CN"/>
        </w:rPr>
        <w:t>2013</w:t>
      </w:r>
      <w:r>
        <w:rPr>
          <w:rFonts w:hint="eastAsia"/>
          <w:sz w:val="24"/>
          <w:szCs w:val="24"/>
          <w:lang w:eastAsia="zh-CN"/>
        </w:rPr>
        <w:t>年起，国际电联阿拉伯国家区域代表处与国际电联阿拉伯区域网络安全中心（</w:t>
      </w:r>
      <w:r>
        <w:rPr>
          <w:rFonts w:hint="eastAsia"/>
          <w:sz w:val="24"/>
          <w:szCs w:val="24"/>
          <w:lang w:eastAsia="zh-CN"/>
        </w:rPr>
        <w:t>ITU-ARCC</w:t>
      </w:r>
      <w:r>
        <w:rPr>
          <w:rFonts w:hint="eastAsia"/>
          <w:sz w:val="24"/>
          <w:szCs w:val="24"/>
          <w:lang w:eastAsia="zh-CN"/>
        </w:rPr>
        <w:t>）合作组织了两次重要的年度网络安全活动（区域网络安全峰会和区域网络演</w:t>
      </w:r>
    </w:p>
    <w:p w:rsidR="00AE054B" w:rsidRDefault="005F4F6D">
      <w:pPr>
        <w:pStyle w:val="CEONormal"/>
        <w:spacing w:after="0"/>
        <w:rPr>
          <w:sz w:val="24"/>
          <w:szCs w:val="24"/>
          <w:lang w:eastAsia="zh-CN"/>
        </w:rPr>
      </w:pPr>
      <w:r>
        <w:rPr>
          <w:rFonts w:hint="eastAsia"/>
          <w:sz w:val="24"/>
          <w:szCs w:val="24"/>
          <w:lang w:eastAsia="zh-CN"/>
        </w:rPr>
        <w:t>2016</w:t>
      </w:r>
      <w:r>
        <w:rPr>
          <w:rFonts w:hint="eastAsia"/>
          <w:sz w:val="24"/>
          <w:szCs w:val="24"/>
          <w:lang w:eastAsia="zh-CN"/>
        </w:rPr>
        <w:t>年，</w:t>
      </w:r>
      <w:r>
        <w:rPr>
          <w:rFonts w:hint="eastAsia"/>
          <w:sz w:val="24"/>
          <w:szCs w:val="24"/>
          <w:lang w:eastAsia="zh-CN"/>
        </w:rPr>
        <w:t>ITU</w:t>
      </w:r>
      <w:r>
        <w:rPr>
          <w:rFonts w:hint="eastAsia"/>
          <w:sz w:val="24"/>
          <w:szCs w:val="24"/>
          <w:lang w:eastAsia="zh-CN"/>
        </w:rPr>
        <w:t>与埃及通信信息部（</w:t>
      </w:r>
      <w:r>
        <w:rPr>
          <w:rFonts w:hint="eastAsia"/>
          <w:sz w:val="24"/>
          <w:szCs w:val="24"/>
          <w:lang w:eastAsia="zh-CN"/>
        </w:rPr>
        <w:t>MCIT</w:t>
      </w:r>
      <w:r>
        <w:rPr>
          <w:rFonts w:hint="eastAsia"/>
          <w:sz w:val="24"/>
          <w:szCs w:val="24"/>
          <w:lang w:eastAsia="zh-CN"/>
        </w:rPr>
        <w:t>）签署了两项合作协议：一项是建立一个为残障人士提供</w:t>
      </w:r>
      <w:r>
        <w:rPr>
          <w:rFonts w:hint="eastAsia"/>
          <w:sz w:val="24"/>
          <w:szCs w:val="24"/>
          <w:lang w:eastAsia="zh-CN"/>
        </w:rPr>
        <w:t>ICT</w:t>
      </w:r>
      <w:r>
        <w:rPr>
          <w:rFonts w:hint="eastAsia"/>
          <w:sz w:val="24"/>
          <w:szCs w:val="24"/>
          <w:lang w:eastAsia="zh-CN"/>
        </w:rPr>
        <w:t>访问的区域中心，另一项是在埃及实施智能地下水管理的项目。此外，与穆罕默德·本·拉希德智能学习计划和阿联酋电信监管机构签署了一项合作协议，在阿拉伯地区各国开展智能学习领域的能力建设项目。</w:t>
      </w:r>
    </w:p>
    <w:p w:rsidR="00AE054B" w:rsidRDefault="005F4F6D">
      <w:pPr>
        <w:pStyle w:val="Heading2"/>
        <w:rPr>
          <w:szCs w:val="24"/>
        </w:rPr>
      </w:pPr>
      <w:r>
        <w:rPr>
          <w:szCs w:val="24"/>
        </w:rPr>
        <w:t>2.4</w:t>
      </w:r>
      <w:r>
        <w:rPr>
          <w:szCs w:val="24"/>
        </w:rPr>
        <w:tab/>
      </w:r>
      <w:r>
        <w:rPr>
          <w:rFonts w:hint="eastAsia"/>
          <w:szCs w:val="24"/>
        </w:rPr>
        <w:t>亚太</w:t>
      </w:r>
    </w:p>
    <w:p w:rsidR="00AE054B" w:rsidRDefault="005F4F6D" w:rsidP="009A7FDA">
      <w:pPr>
        <w:pStyle w:val="CEONormal"/>
        <w:ind w:firstLineChars="200" w:firstLine="480"/>
        <w:jc w:val="both"/>
        <w:rPr>
          <w:rStyle w:val="Hyperlink"/>
          <w:color w:val="000000"/>
          <w:sz w:val="24"/>
          <w:szCs w:val="24"/>
          <w:u w:val="none"/>
          <w:lang w:eastAsia="zh-CN"/>
        </w:rPr>
      </w:pPr>
      <w:r>
        <w:rPr>
          <w:sz w:val="24"/>
          <w:szCs w:val="24"/>
          <w:lang w:eastAsia="zh-CN"/>
        </w:rPr>
        <w:t>国际</w:t>
      </w:r>
      <w:r>
        <w:rPr>
          <w:rFonts w:hint="eastAsia"/>
          <w:sz w:val="24"/>
          <w:szCs w:val="24"/>
          <w:lang w:eastAsia="zh-CN"/>
        </w:rPr>
        <w:t>电联区域和地区代表处</w:t>
      </w:r>
      <w:r>
        <w:rPr>
          <w:sz w:val="24"/>
          <w:szCs w:val="24"/>
          <w:lang w:eastAsia="zh-CN"/>
        </w:rPr>
        <w:t>继续</w:t>
      </w:r>
      <w:r>
        <w:rPr>
          <w:rFonts w:hint="eastAsia"/>
          <w:sz w:val="24"/>
          <w:szCs w:val="24"/>
          <w:lang w:eastAsia="zh-CN"/>
        </w:rPr>
        <w:t>与多个合作伙伴携手，借助高级培训中心和相关合作伙伴</w:t>
      </w:r>
      <w:r>
        <w:rPr>
          <w:sz w:val="24"/>
          <w:szCs w:val="24"/>
          <w:lang w:eastAsia="zh-CN"/>
        </w:rPr>
        <w:t>在</w:t>
      </w:r>
      <w:r>
        <w:rPr>
          <w:rFonts w:hint="eastAsia"/>
          <w:sz w:val="24"/>
          <w:szCs w:val="24"/>
          <w:lang w:eastAsia="zh-CN"/>
        </w:rPr>
        <w:t>亚太区域开展合作：联合国</w:t>
      </w:r>
      <w:r>
        <w:rPr>
          <w:sz w:val="24"/>
          <w:szCs w:val="24"/>
          <w:lang w:eastAsia="zh-CN"/>
        </w:rPr>
        <w:t>粮农组织（</w:t>
      </w:r>
      <w:r>
        <w:rPr>
          <w:rFonts w:hint="eastAsia"/>
          <w:sz w:val="24"/>
          <w:szCs w:val="24"/>
          <w:lang w:eastAsia="zh-CN"/>
        </w:rPr>
        <w:t>FAO</w:t>
      </w:r>
      <w:r>
        <w:rPr>
          <w:sz w:val="24"/>
          <w:szCs w:val="24"/>
          <w:lang w:eastAsia="zh-CN"/>
        </w:rPr>
        <w:t>）</w:t>
      </w:r>
      <w:r>
        <w:rPr>
          <w:rFonts w:hint="eastAsia"/>
          <w:sz w:val="24"/>
          <w:szCs w:val="24"/>
          <w:lang w:eastAsia="zh-CN"/>
        </w:rPr>
        <w:t>（</w:t>
      </w:r>
      <w:r>
        <w:rPr>
          <w:sz w:val="24"/>
          <w:szCs w:val="24"/>
          <w:lang w:eastAsia="zh-CN"/>
        </w:rPr>
        <w:t>电子农业领域</w:t>
      </w:r>
      <w:r>
        <w:rPr>
          <w:rFonts w:hint="eastAsia"/>
          <w:sz w:val="24"/>
          <w:szCs w:val="24"/>
          <w:lang w:eastAsia="zh-CN"/>
        </w:rPr>
        <w:t>）、世界卫生组织（移动医疗领域）、</w:t>
      </w:r>
      <w:r>
        <w:rPr>
          <w:rFonts w:hint="eastAsia"/>
          <w:sz w:val="24"/>
          <w:szCs w:val="24"/>
          <w:lang w:eastAsia="zh-CN"/>
        </w:rPr>
        <w:t>APNIC</w:t>
      </w:r>
      <w:r>
        <w:rPr>
          <w:rStyle w:val="Hyperlink"/>
          <w:rFonts w:hint="eastAsia"/>
          <w:color w:val="000000"/>
          <w:sz w:val="24"/>
          <w:szCs w:val="24"/>
          <w:u w:val="none"/>
          <w:lang w:eastAsia="zh-CN"/>
        </w:rPr>
        <w:t>（</w:t>
      </w:r>
      <w:r>
        <w:rPr>
          <w:rStyle w:val="Hyperlink"/>
          <w:rFonts w:hint="eastAsia"/>
          <w:color w:val="000000"/>
          <w:sz w:val="24"/>
          <w:szCs w:val="24"/>
          <w:u w:val="none"/>
          <w:lang w:eastAsia="zh-CN"/>
        </w:rPr>
        <w:t>IPv6</w:t>
      </w:r>
      <w:r>
        <w:rPr>
          <w:rStyle w:val="Hyperlink"/>
          <w:rFonts w:hint="eastAsia"/>
          <w:color w:val="000000"/>
          <w:sz w:val="24"/>
          <w:szCs w:val="24"/>
          <w:u w:val="none"/>
          <w:lang w:eastAsia="zh-CN"/>
        </w:rPr>
        <w:t>和互联网交换节点）、亚洲广播联盟和</w:t>
      </w:r>
      <w:r>
        <w:rPr>
          <w:rStyle w:val="Hyperlink"/>
          <w:rFonts w:hint="eastAsia"/>
          <w:color w:val="000000"/>
          <w:sz w:val="24"/>
          <w:szCs w:val="24"/>
          <w:u w:val="none"/>
          <w:lang w:eastAsia="zh-CN"/>
        </w:rPr>
        <w:t>AIBD</w:t>
      </w:r>
      <w:r>
        <w:rPr>
          <w:rStyle w:val="Hyperlink"/>
          <w:rFonts w:hint="eastAsia"/>
          <w:color w:val="000000"/>
          <w:sz w:val="24"/>
          <w:szCs w:val="24"/>
          <w:u w:val="none"/>
          <w:lang w:eastAsia="zh-CN"/>
        </w:rPr>
        <w:t>（广播）、亚太电信组织（人力建设）。</w:t>
      </w:r>
    </w:p>
    <w:p w:rsidR="00AE054B" w:rsidRDefault="005F4F6D" w:rsidP="009A7FDA">
      <w:pPr>
        <w:pStyle w:val="CEONormal"/>
        <w:ind w:firstLineChars="200" w:firstLine="480"/>
        <w:jc w:val="both"/>
        <w:rPr>
          <w:rStyle w:val="Hyperlink"/>
          <w:color w:val="000000"/>
          <w:sz w:val="24"/>
          <w:szCs w:val="24"/>
          <w:u w:val="none"/>
          <w:lang w:eastAsia="zh-CN"/>
        </w:rPr>
      </w:pPr>
      <w:r>
        <w:rPr>
          <w:rStyle w:val="Hyperlink"/>
          <w:rFonts w:hint="eastAsia"/>
          <w:color w:val="000000"/>
          <w:sz w:val="24"/>
          <w:szCs w:val="24"/>
          <w:u w:val="none"/>
          <w:lang w:eastAsia="zh-CN"/>
        </w:rPr>
        <w:t>区域和地区代表处负责应对</w:t>
      </w:r>
      <w:r>
        <w:rPr>
          <w:rStyle w:val="Hyperlink"/>
          <w:rFonts w:hint="eastAsia"/>
          <w:color w:val="000000"/>
          <w:sz w:val="24"/>
          <w:szCs w:val="24"/>
          <w:u w:val="none"/>
          <w:lang w:eastAsia="zh-CN"/>
        </w:rPr>
        <w:t>6</w:t>
      </w:r>
      <w:r>
        <w:rPr>
          <w:rStyle w:val="Hyperlink"/>
          <w:rFonts w:hint="eastAsia"/>
          <w:color w:val="000000"/>
          <w:sz w:val="24"/>
          <w:szCs w:val="24"/>
          <w:u w:val="none"/>
          <w:lang w:eastAsia="zh-CN"/>
        </w:rPr>
        <w:t>个东盟成员国的电信</w:t>
      </w:r>
      <w:r>
        <w:rPr>
          <w:rStyle w:val="Hyperlink"/>
          <w:rFonts w:hint="eastAsia"/>
          <w:color w:val="000000"/>
          <w:sz w:val="24"/>
          <w:szCs w:val="24"/>
          <w:u w:val="none"/>
          <w:lang w:eastAsia="zh-CN"/>
        </w:rPr>
        <w:t>/ICT</w:t>
      </w:r>
      <w:r>
        <w:rPr>
          <w:rStyle w:val="Hyperlink"/>
          <w:rFonts w:hint="eastAsia"/>
          <w:color w:val="000000"/>
          <w:sz w:val="24"/>
          <w:szCs w:val="24"/>
          <w:u w:val="none"/>
          <w:lang w:eastAsia="zh-CN"/>
        </w:rPr>
        <w:t>指标和统计需求、网络事件处理和网络安全战略，包括与菲律宾通信和信息技术部合作的编码新人训练营。</w:t>
      </w:r>
    </w:p>
    <w:p w:rsidR="00AE054B" w:rsidRDefault="005F4F6D" w:rsidP="009A7FDA">
      <w:pPr>
        <w:pStyle w:val="CEONormal"/>
        <w:ind w:firstLineChars="200" w:firstLine="480"/>
        <w:jc w:val="both"/>
        <w:rPr>
          <w:rStyle w:val="Hyperlink"/>
          <w:color w:val="000000"/>
          <w:sz w:val="24"/>
          <w:szCs w:val="24"/>
          <w:u w:val="none"/>
          <w:lang w:eastAsia="zh-CN"/>
        </w:rPr>
      </w:pPr>
      <w:r>
        <w:rPr>
          <w:rStyle w:val="Hyperlink"/>
          <w:rFonts w:hint="eastAsia"/>
          <w:color w:val="000000"/>
          <w:sz w:val="24"/>
          <w:szCs w:val="24"/>
          <w:u w:val="none"/>
          <w:lang w:eastAsia="zh-CN"/>
        </w:rPr>
        <w:t>区域和地区代表处与曼谷的思科以及马尼拉、菲律宾和印度尼西亚日惹的思科和其他合作伙伴共同组织了信息通信技术日的女孩活动。</w:t>
      </w:r>
    </w:p>
    <w:p w:rsidR="00AE054B" w:rsidRDefault="005F4F6D" w:rsidP="009A7FDA">
      <w:pPr>
        <w:pStyle w:val="CEONormal"/>
        <w:ind w:firstLineChars="200" w:firstLine="480"/>
        <w:jc w:val="both"/>
        <w:rPr>
          <w:rStyle w:val="Hyperlink"/>
          <w:color w:val="000000"/>
          <w:sz w:val="24"/>
          <w:szCs w:val="24"/>
          <w:u w:val="none"/>
          <w:lang w:eastAsia="zh-CN"/>
        </w:rPr>
      </w:pPr>
      <w:r>
        <w:rPr>
          <w:rStyle w:val="Hyperlink"/>
          <w:rFonts w:hint="eastAsia"/>
          <w:color w:val="000000"/>
          <w:sz w:val="24"/>
          <w:szCs w:val="24"/>
          <w:u w:val="none"/>
          <w:lang w:eastAsia="zh-CN"/>
        </w:rPr>
        <w:t>区域和地区代表处也与各合作伙伴（其中包括澳大利亚通信和艺术部（</w:t>
      </w:r>
      <w:r>
        <w:rPr>
          <w:rStyle w:val="Hyperlink"/>
          <w:rFonts w:hint="eastAsia"/>
          <w:color w:val="000000"/>
          <w:sz w:val="24"/>
          <w:szCs w:val="24"/>
          <w:u w:val="none"/>
          <w:lang w:eastAsia="zh-CN"/>
        </w:rPr>
        <w:t>DoCA</w:t>
      </w:r>
      <w:r>
        <w:rPr>
          <w:rStyle w:val="Hyperlink"/>
          <w:rFonts w:hint="eastAsia"/>
          <w:color w:val="000000"/>
          <w:sz w:val="24"/>
          <w:szCs w:val="24"/>
          <w:u w:val="none"/>
          <w:lang w:eastAsia="zh-CN"/>
        </w:rPr>
        <w:t>）、泰国数字经济和社会部（</w:t>
      </w:r>
      <w:r>
        <w:rPr>
          <w:rStyle w:val="Hyperlink"/>
          <w:rFonts w:hint="eastAsia"/>
          <w:color w:val="000000"/>
          <w:sz w:val="24"/>
          <w:szCs w:val="24"/>
          <w:u w:val="none"/>
          <w:lang w:eastAsia="zh-CN"/>
        </w:rPr>
        <w:t>MDES</w:t>
      </w:r>
      <w:r>
        <w:rPr>
          <w:rStyle w:val="Hyperlink"/>
          <w:rFonts w:hint="eastAsia"/>
          <w:color w:val="000000"/>
          <w:sz w:val="24"/>
          <w:szCs w:val="24"/>
          <w:u w:val="none"/>
          <w:lang w:eastAsia="zh-CN"/>
        </w:rPr>
        <w:t>）、韩国科学、信息通讯技术和未来规划部（</w:t>
      </w:r>
      <w:r>
        <w:rPr>
          <w:rStyle w:val="Hyperlink"/>
          <w:rFonts w:hint="eastAsia"/>
          <w:color w:val="000000"/>
          <w:sz w:val="24"/>
          <w:szCs w:val="24"/>
          <w:u w:val="none"/>
          <w:lang w:eastAsia="zh-CN"/>
        </w:rPr>
        <w:t>MSIP</w:t>
      </w:r>
      <w:r>
        <w:rPr>
          <w:rStyle w:val="Hyperlink"/>
          <w:rFonts w:hint="eastAsia"/>
          <w:color w:val="000000"/>
          <w:sz w:val="24"/>
          <w:szCs w:val="24"/>
          <w:u w:val="none"/>
          <w:lang w:eastAsia="zh-CN"/>
        </w:rPr>
        <w:t>）、</w:t>
      </w:r>
      <w:r>
        <w:rPr>
          <w:rStyle w:val="Hyperlink"/>
          <w:rFonts w:hint="eastAsia"/>
          <w:color w:val="000000"/>
          <w:sz w:val="24"/>
          <w:szCs w:val="24"/>
          <w:u w:val="none"/>
          <w:lang w:eastAsia="zh-CN"/>
        </w:rPr>
        <w:t>NIA</w:t>
      </w:r>
      <w:r>
        <w:rPr>
          <w:rStyle w:val="Hyperlink"/>
          <w:rFonts w:hint="eastAsia"/>
          <w:color w:val="000000"/>
          <w:sz w:val="24"/>
          <w:szCs w:val="24"/>
          <w:u w:val="none"/>
          <w:lang w:eastAsia="zh-CN"/>
        </w:rPr>
        <w:t>、</w:t>
      </w:r>
      <w:r>
        <w:rPr>
          <w:rStyle w:val="Hyperlink"/>
          <w:rFonts w:hint="eastAsia"/>
          <w:color w:val="000000"/>
          <w:sz w:val="24"/>
          <w:szCs w:val="24"/>
          <w:u w:val="none"/>
          <w:lang w:eastAsia="zh-CN"/>
        </w:rPr>
        <w:t>WeGO</w:t>
      </w:r>
      <w:r>
        <w:rPr>
          <w:rStyle w:val="Hyperlink"/>
          <w:rFonts w:hint="eastAsia"/>
          <w:color w:val="000000"/>
          <w:sz w:val="24"/>
          <w:szCs w:val="24"/>
          <w:u w:val="none"/>
          <w:lang w:eastAsia="zh-CN"/>
        </w:rPr>
        <w:t>、东南亚国家联盟（</w:t>
      </w:r>
      <w:r>
        <w:rPr>
          <w:rStyle w:val="Hyperlink"/>
          <w:rFonts w:hint="eastAsia"/>
          <w:color w:val="000000"/>
          <w:sz w:val="24"/>
          <w:szCs w:val="24"/>
          <w:u w:val="none"/>
          <w:lang w:eastAsia="zh-CN"/>
        </w:rPr>
        <w:t>ASEAN</w:t>
      </w:r>
      <w:r>
        <w:rPr>
          <w:rStyle w:val="Hyperlink"/>
          <w:rFonts w:hint="eastAsia"/>
          <w:color w:val="000000"/>
          <w:sz w:val="24"/>
          <w:szCs w:val="24"/>
          <w:u w:val="none"/>
          <w:lang w:eastAsia="zh-CN"/>
        </w:rPr>
        <w:t>））组织了一些论坛和会议（如电信</w:t>
      </w:r>
      <w:r>
        <w:rPr>
          <w:rStyle w:val="Hyperlink"/>
          <w:rFonts w:hint="eastAsia"/>
          <w:color w:val="000000"/>
          <w:sz w:val="24"/>
          <w:szCs w:val="24"/>
          <w:u w:val="none"/>
          <w:lang w:eastAsia="zh-CN"/>
        </w:rPr>
        <w:t>/</w:t>
      </w:r>
      <w:r>
        <w:rPr>
          <w:rStyle w:val="Hyperlink"/>
          <w:rFonts w:hint="eastAsia"/>
          <w:color w:val="000000"/>
          <w:sz w:val="24"/>
          <w:szCs w:val="24"/>
          <w:u w:val="none"/>
          <w:lang w:eastAsia="zh-CN"/>
        </w:rPr>
        <w:t>信息通讯技术、电子政务、以实现可持续发展为目标的智能城市和数字社会、频谱管理和监测、保护上网儿童）。</w:t>
      </w:r>
    </w:p>
    <w:p w:rsidR="00AE054B" w:rsidRDefault="005F4F6D" w:rsidP="009A7FDA">
      <w:pPr>
        <w:pStyle w:val="CEONormal"/>
        <w:spacing w:after="0"/>
        <w:ind w:firstLineChars="200" w:firstLine="480"/>
        <w:jc w:val="both"/>
        <w:rPr>
          <w:rStyle w:val="Hyperlink"/>
          <w:color w:val="000000"/>
          <w:sz w:val="24"/>
          <w:szCs w:val="24"/>
          <w:u w:val="none"/>
          <w:lang w:eastAsia="zh-CN"/>
        </w:rPr>
      </w:pPr>
      <w:r>
        <w:rPr>
          <w:rStyle w:val="Hyperlink"/>
          <w:rFonts w:hint="eastAsia"/>
          <w:color w:val="000000"/>
          <w:sz w:val="24"/>
          <w:szCs w:val="24"/>
          <w:u w:val="none"/>
          <w:lang w:eastAsia="zh-CN"/>
        </w:rPr>
        <w:t>此外，区域和区域代表处与泰国数字经济和社会部、国际电联亚太区域发展论坛（</w:t>
      </w:r>
      <w:r>
        <w:rPr>
          <w:rStyle w:val="Hyperlink"/>
          <w:rFonts w:hint="eastAsia"/>
          <w:color w:val="000000"/>
          <w:sz w:val="24"/>
          <w:szCs w:val="24"/>
          <w:u w:val="none"/>
          <w:lang w:eastAsia="zh-CN"/>
        </w:rPr>
        <w:t>RDF-ASP 2016</w:t>
      </w:r>
      <w:r>
        <w:rPr>
          <w:rStyle w:val="Hyperlink"/>
          <w:rFonts w:hint="eastAsia"/>
          <w:color w:val="000000"/>
          <w:sz w:val="24"/>
          <w:szCs w:val="24"/>
          <w:u w:val="none"/>
          <w:lang w:eastAsia="zh-CN"/>
        </w:rPr>
        <w:t>）、菲律宾通信和信息技术部组织了</w:t>
      </w:r>
      <w:r>
        <w:rPr>
          <w:rStyle w:val="Hyperlink"/>
          <w:rFonts w:hint="eastAsia"/>
          <w:color w:val="000000"/>
          <w:sz w:val="24"/>
          <w:szCs w:val="24"/>
          <w:u w:val="none"/>
          <w:lang w:eastAsia="zh-CN"/>
        </w:rPr>
        <w:t>2016</w:t>
      </w:r>
      <w:r>
        <w:rPr>
          <w:rStyle w:val="Hyperlink"/>
          <w:rFonts w:hint="eastAsia"/>
          <w:color w:val="000000"/>
          <w:sz w:val="24"/>
          <w:szCs w:val="24"/>
          <w:u w:val="none"/>
          <w:lang w:eastAsia="zh-CN"/>
        </w:rPr>
        <w:t>年</w:t>
      </w:r>
      <w:r>
        <w:rPr>
          <w:rStyle w:val="Hyperlink"/>
          <w:rFonts w:hint="eastAsia"/>
          <w:color w:val="000000"/>
          <w:sz w:val="24"/>
          <w:szCs w:val="24"/>
          <w:u w:val="none"/>
          <w:lang w:eastAsia="zh-CN"/>
        </w:rPr>
        <w:t>GSMA-ITU</w:t>
      </w:r>
      <w:r>
        <w:rPr>
          <w:rStyle w:val="Hyperlink"/>
          <w:rFonts w:hint="eastAsia"/>
          <w:color w:val="000000"/>
          <w:sz w:val="24"/>
          <w:szCs w:val="24"/>
          <w:u w:val="none"/>
          <w:lang w:eastAsia="zh-CN"/>
        </w:rPr>
        <w:t>数字社会政策论坛。</w:t>
      </w:r>
    </w:p>
    <w:p w:rsidR="00AE054B" w:rsidRDefault="005F4F6D" w:rsidP="008D5D83">
      <w:pPr>
        <w:pStyle w:val="Heading2"/>
        <w:rPr>
          <w:szCs w:val="24"/>
        </w:rPr>
      </w:pPr>
      <w:r>
        <w:rPr>
          <w:szCs w:val="24"/>
        </w:rPr>
        <w:lastRenderedPageBreak/>
        <w:t>2.5</w:t>
      </w:r>
      <w:r>
        <w:rPr>
          <w:szCs w:val="24"/>
        </w:rPr>
        <w:tab/>
      </w:r>
      <w:r>
        <w:rPr>
          <w:rFonts w:hint="eastAsia"/>
          <w:szCs w:val="24"/>
        </w:rPr>
        <w:t>独联体国家（</w:t>
      </w:r>
      <w:r>
        <w:rPr>
          <w:szCs w:val="24"/>
        </w:rPr>
        <w:t>CIS</w:t>
      </w:r>
      <w:r>
        <w:rPr>
          <w:rFonts w:hint="eastAsia"/>
          <w:szCs w:val="24"/>
        </w:rPr>
        <w:t>）</w:t>
      </w:r>
    </w:p>
    <w:p w:rsidR="00AE054B" w:rsidRDefault="005F4F6D" w:rsidP="008D5D83">
      <w:pPr>
        <w:keepNext/>
        <w:keepLines/>
        <w:ind w:firstLineChars="200" w:firstLine="480"/>
        <w:rPr>
          <w:rStyle w:val="Hyperlink"/>
          <w:color w:val="000000"/>
          <w:szCs w:val="24"/>
          <w:u w:val="none"/>
        </w:rPr>
      </w:pPr>
      <w:r>
        <w:rPr>
          <w:rStyle w:val="Hyperlink"/>
          <w:rFonts w:cs="Simplified Arabic" w:hint="eastAsia"/>
          <w:color w:val="000000"/>
          <w:szCs w:val="24"/>
          <w:u w:val="none"/>
        </w:rPr>
        <w:t>截至</w:t>
      </w:r>
      <w:r>
        <w:rPr>
          <w:rStyle w:val="Hyperlink"/>
          <w:rFonts w:cs="Simplified Arabic" w:hint="eastAsia"/>
          <w:color w:val="000000"/>
          <w:szCs w:val="24"/>
          <w:u w:val="none"/>
        </w:rPr>
        <w:t>2016</w:t>
      </w:r>
      <w:r>
        <w:rPr>
          <w:rStyle w:val="Hyperlink"/>
          <w:rFonts w:cs="Simplified Arabic" w:hint="eastAsia"/>
          <w:color w:val="000000"/>
          <w:szCs w:val="24"/>
          <w:u w:val="none"/>
        </w:rPr>
        <w:t>年底，五个</w:t>
      </w:r>
      <w:r>
        <w:rPr>
          <w:rStyle w:val="Hyperlink"/>
          <w:rFonts w:cs="Simplified Arabic" w:hint="eastAsia"/>
          <w:color w:val="000000"/>
          <w:szCs w:val="24"/>
          <w:u w:val="none"/>
        </w:rPr>
        <w:t>WTDC-14</w:t>
      </w:r>
      <w:r>
        <w:rPr>
          <w:rStyle w:val="Hyperlink"/>
          <w:rFonts w:cs="Simplified Arabic" w:hint="eastAsia"/>
          <w:color w:val="000000"/>
          <w:szCs w:val="24"/>
          <w:u w:val="none"/>
        </w:rPr>
        <w:t>独联体区域举措（</w:t>
      </w:r>
      <w:r>
        <w:rPr>
          <w:rStyle w:val="Hyperlink"/>
          <w:rFonts w:cs="Simplified Arabic" w:hint="eastAsia"/>
          <w:color w:val="000000"/>
          <w:szCs w:val="24"/>
          <w:u w:val="none"/>
        </w:rPr>
        <w:t>CIS-RI</w:t>
      </w:r>
      <w:r>
        <w:rPr>
          <w:rStyle w:val="Hyperlink"/>
          <w:rFonts w:cs="Simplified Arabic" w:hint="eastAsia"/>
          <w:color w:val="000000"/>
          <w:szCs w:val="24"/>
          <w:u w:val="none"/>
        </w:rPr>
        <w:t>）中有四个已完全实施。独联体区域举措</w:t>
      </w:r>
      <w:r>
        <w:rPr>
          <w:rStyle w:val="Hyperlink"/>
          <w:rFonts w:cs="Simplified Arabic" w:hint="eastAsia"/>
          <w:color w:val="000000"/>
          <w:szCs w:val="24"/>
          <w:u w:val="none"/>
        </w:rPr>
        <w:t>1</w:t>
      </w:r>
      <w:r>
        <w:rPr>
          <w:rStyle w:val="Hyperlink"/>
          <w:rFonts w:cs="Simplified Arabic" w:hint="eastAsia"/>
          <w:color w:val="000000"/>
          <w:szCs w:val="24"/>
          <w:u w:val="none"/>
        </w:rPr>
        <w:t>的</w:t>
      </w:r>
      <w:r>
        <w:rPr>
          <w:rStyle w:val="Hyperlink"/>
          <w:rFonts w:cs="Simplified Arabic" w:hint="eastAsia"/>
          <w:color w:val="000000"/>
          <w:szCs w:val="24"/>
          <w:u w:val="none"/>
        </w:rPr>
        <w:t>2016</w:t>
      </w:r>
      <w:r>
        <w:rPr>
          <w:rStyle w:val="Hyperlink"/>
          <w:rFonts w:cs="Simplified Arabic" w:hint="eastAsia"/>
          <w:color w:val="000000"/>
          <w:szCs w:val="24"/>
          <w:u w:val="none"/>
        </w:rPr>
        <w:t>年主要输出成果包括创建一个数据库，用于存储保护上网儿童技术解决方案的数据，选择最佳技术解决方案的软件（</w:t>
      </w:r>
      <w:r>
        <w:rPr>
          <w:rStyle w:val="Hyperlink"/>
          <w:rFonts w:cs="Simplified Arabic" w:hint="eastAsia"/>
          <w:color w:val="000000"/>
          <w:szCs w:val="24"/>
          <w:u w:val="none"/>
        </w:rPr>
        <w:t>https://contentfiltering.info</w:t>
      </w:r>
      <w:r>
        <w:rPr>
          <w:rStyle w:val="Hyperlink"/>
          <w:rFonts w:cs="Simplified Arabic" w:hint="eastAsia"/>
          <w:color w:val="000000"/>
          <w:szCs w:val="24"/>
          <w:u w:val="none"/>
        </w:rPr>
        <w:t>）和一个互联网资源不安全和安全列表的自动分配系统（</w:t>
      </w:r>
      <w:r>
        <w:rPr>
          <w:rStyle w:val="Hyperlink"/>
          <w:rFonts w:hint="eastAsia"/>
          <w:color w:val="000000"/>
          <w:szCs w:val="24"/>
          <w:u w:val="none"/>
        </w:rPr>
        <w:t>http://bwld.online</w:t>
      </w:r>
      <w:r>
        <w:rPr>
          <w:rStyle w:val="Hyperlink"/>
          <w:rFonts w:cs="Simplified Arabic" w:hint="eastAsia"/>
          <w:color w:val="000000"/>
          <w:szCs w:val="24"/>
          <w:u w:val="none"/>
        </w:rPr>
        <w:t>）。</w:t>
      </w:r>
    </w:p>
    <w:p w:rsidR="00AE054B" w:rsidRDefault="005F4F6D">
      <w:pPr>
        <w:ind w:firstLineChars="200" w:firstLine="480"/>
        <w:rPr>
          <w:rStyle w:val="Hyperlink"/>
          <w:rFonts w:cs="Simplified Arabic"/>
          <w:color w:val="000000"/>
          <w:szCs w:val="24"/>
          <w:u w:val="none"/>
        </w:rPr>
      </w:pPr>
      <w:r>
        <w:rPr>
          <w:rStyle w:val="Hyperlink"/>
          <w:rFonts w:cs="Simplified Arabic" w:hint="eastAsia"/>
          <w:color w:val="000000"/>
          <w:szCs w:val="24"/>
          <w:u w:val="none"/>
        </w:rPr>
        <w:t>国际电联独联体区域代表处还通过以下方式继续实施独联体区域举措</w:t>
      </w:r>
      <w:r>
        <w:rPr>
          <w:rStyle w:val="Hyperlink"/>
          <w:rFonts w:hint="eastAsia"/>
          <w:color w:val="000000"/>
          <w:szCs w:val="24"/>
          <w:u w:val="none"/>
        </w:rPr>
        <w:t>2</w:t>
      </w:r>
      <w:r>
        <w:rPr>
          <w:rStyle w:val="Hyperlink"/>
          <w:rFonts w:cs="Simplified Arabic" w:hint="eastAsia"/>
          <w:color w:val="000000"/>
          <w:szCs w:val="24"/>
          <w:u w:val="none"/>
        </w:rPr>
        <w:t>：为俄罗斯联邦萨哈共和国（</w:t>
      </w:r>
      <w:r>
        <w:rPr>
          <w:rStyle w:val="Hyperlink"/>
          <w:rFonts w:hint="eastAsia"/>
          <w:color w:val="000000"/>
          <w:szCs w:val="24"/>
          <w:u w:val="none"/>
        </w:rPr>
        <w:t>10</w:t>
      </w:r>
      <w:r>
        <w:rPr>
          <w:rStyle w:val="Hyperlink"/>
          <w:rFonts w:cs="Simplified Arabic" w:hint="eastAsia"/>
          <w:color w:val="000000"/>
          <w:szCs w:val="24"/>
          <w:u w:val="none"/>
        </w:rPr>
        <w:t>个工作场所）的运动和语言残障用户以及白俄罗斯共和国明斯克（</w:t>
      </w:r>
      <w:r>
        <w:rPr>
          <w:rStyle w:val="Hyperlink"/>
          <w:rFonts w:hint="eastAsia"/>
          <w:color w:val="000000"/>
          <w:szCs w:val="24"/>
          <w:u w:val="none"/>
        </w:rPr>
        <w:t>10</w:t>
      </w:r>
      <w:r>
        <w:rPr>
          <w:rStyle w:val="Hyperlink"/>
          <w:rFonts w:cs="Simplified Arabic" w:hint="eastAsia"/>
          <w:color w:val="000000"/>
          <w:szCs w:val="24"/>
          <w:u w:val="none"/>
        </w:rPr>
        <w:t>个工作场所）的听力残障人士创建一个互联网接入和培训中心。其他重要输出成果包括开发用于诊断人类对一个或多个信息感知渠道敏感性的软件并明确有关电子教学资源使用方法的要求（独联体区域举措</w:t>
      </w:r>
      <w:r>
        <w:rPr>
          <w:rStyle w:val="Hyperlink"/>
          <w:rFonts w:cs="Simplified Arabic" w:hint="eastAsia"/>
          <w:color w:val="000000"/>
          <w:szCs w:val="24"/>
          <w:u w:val="none"/>
        </w:rPr>
        <w:t>3</w:t>
      </w:r>
      <w:r>
        <w:rPr>
          <w:rStyle w:val="Hyperlink"/>
          <w:rFonts w:cs="Simplified Arabic" w:hint="eastAsia"/>
          <w:color w:val="000000"/>
          <w:szCs w:val="24"/>
          <w:u w:val="none"/>
        </w:rPr>
        <w:t>），以及形成独联体树立使用</w:t>
      </w:r>
      <w:r>
        <w:rPr>
          <w:rStyle w:val="Hyperlink"/>
          <w:rFonts w:cs="Simplified Arabic" w:hint="eastAsia"/>
          <w:color w:val="000000"/>
          <w:szCs w:val="24"/>
          <w:u w:val="none"/>
        </w:rPr>
        <w:t>ICT</w:t>
      </w:r>
      <w:r>
        <w:rPr>
          <w:rStyle w:val="Hyperlink"/>
          <w:rFonts w:cs="Simplified Arabic" w:hint="eastAsia"/>
          <w:color w:val="000000"/>
          <w:szCs w:val="24"/>
          <w:u w:val="none"/>
        </w:rPr>
        <w:t>的信心并提高安全性的现状报告（独联体区域举措</w:t>
      </w:r>
      <w:r>
        <w:rPr>
          <w:rStyle w:val="Hyperlink"/>
          <w:rFonts w:cs="Simplified Arabic" w:hint="eastAsia"/>
          <w:color w:val="000000"/>
          <w:szCs w:val="24"/>
          <w:u w:val="none"/>
        </w:rPr>
        <w:t>5</w:t>
      </w:r>
      <w:r>
        <w:rPr>
          <w:rStyle w:val="Hyperlink"/>
          <w:rFonts w:cs="Simplified Arabic" w:hint="eastAsia"/>
          <w:color w:val="000000"/>
          <w:szCs w:val="24"/>
          <w:u w:val="none"/>
        </w:rPr>
        <w:t>）。</w:t>
      </w:r>
    </w:p>
    <w:p w:rsidR="00AE054B" w:rsidRDefault="005F4F6D">
      <w:pPr>
        <w:ind w:firstLineChars="200" w:firstLine="480"/>
        <w:rPr>
          <w:rStyle w:val="Hyperlink"/>
          <w:color w:val="000000"/>
          <w:szCs w:val="24"/>
          <w:u w:val="none"/>
        </w:rPr>
      </w:pPr>
      <w:r>
        <w:rPr>
          <w:rStyle w:val="Hyperlink"/>
          <w:rFonts w:cs="Simplified Arabic" w:hint="eastAsia"/>
          <w:color w:val="000000"/>
          <w:szCs w:val="24"/>
          <w:u w:val="none"/>
        </w:rPr>
        <w:t>根据独联体内国际电联成员的要求，</w:t>
      </w:r>
      <w:r>
        <w:rPr>
          <w:rStyle w:val="Hyperlink"/>
          <w:rFonts w:cs="Simplified Arabic" w:hint="eastAsia"/>
          <w:color w:val="000000"/>
          <w:szCs w:val="24"/>
          <w:u w:val="none"/>
        </w:rPr>
        <w:t>2016</w:t>
      </w:r>
      <w:r>
        <w:rPr>
          <w:rStyle w:val="Hyperlink"/>
          <w:rFonts w:cs="Simplified Arabic" w:hint="eastAsia"/>
          <w:color w:val="000000"/>
          <w:szCs w:val="24"/>
          <w:u w:val="none"/>
        </w:rPr>
        <w:t>年的技术合作领域、能力建设活动和区域讨论包括数字转换、实施</w:t>
      </w:r>
      <w:r>
        <w:rPr>
          <w:rStyle w:val="Hyperlink"/>
          <w:rFonts w:cs="Simplified Arabic" w:hint="eastAsia"/>
          <w:color w:val="000000"/>
          <w:szCs w:val="24"/>
          <w:u w:val="none"/>
        </w:rPr>
        <w:t>WRC-15</w:t>
      </w:r>
      <w:r>
        <w:rPr>
          <w:rStyle w:val="Hyperlink"/>
          <w:rFonts w:cs="Simplified Arabic" w:hint="eastAsia"/>
          <w:color w:val="000000"/>
          <w:szCs w:val="24"/>
          <w:u w:val="none"/>
        </w:rPr>
        <w:t>成果、移动号码可携性、</w:t>
      </w:r>
      <w:r>
        <w:rPr>
          <w:rStyle w:val="Hyperlink"/>
          <w:rFonts w:cs="Simplified Arabic" w:hint="eastAsia"/>
          <w:color w:val="000000"/>
          <w:szCs w:val="24"/>
          <w:u w:val="none"/>
        </w:rPr>
        <w:t>4G/5G</w:t>
      </w:r>
      <w:r>
        <w:rPr>
          <w:rStyle w:val="Hyperlink"/>
          <w:rFonts w:cs="Simplified Arabic" w:hint="eastAsia"/>
          <w:color w:val="000000"/>
          <w:szCs w:val="24"/>
          <w:u w:val="none"/>
        </w:rPr>
        <w:t>，网络安全、应用和农村连通。全年共举办了</w:t>
      </w:r>
      <w:r>
        <w:rPr>
          <w:rStyle w:val="Hyperlink"/>
          <w:rFonts w:cs="Simplified Arabic" w:hint="eastAsia"/>
          <w:color w:val="000000"/>
          <w:szCs w:val="24"/>
          <w:u w:val="none"/>
        </w:rPr>
        <w:t>11</w:t>
      </w:r>
      <w:r>
        <w:rPr>
          <w:rStyle w:val="Hyperlink"/>
          <w:rFonts w:cs="Simplified Arabic" w:hint="eastAsia"/>
          <w:color w:val="000000"/>
          <w:szCs w:val="24"/>
          <w:u w:val="none"/>
        </w:rPr>
        <w:t>场讲习班、研讨会和培训班，吸引了来自超过</w:t>
      </w:r>
      <w:r>
        <w:rPr>
          <w:rStyle w:val="Hyperlink"/>
          <w:rFonts w:cs="Simplified Arabic" w:hint="eastAsia"/>
          <w:color w:val="000000"/>
          <w:szCs w:val="24"/>
          <w:u w:val="none"/>
        </w:rPr>
        <w:t>15</w:t>
      </w:r>
      <w:r>
        <w:rPr>
          <w:rStyle w:val="Hyperlink"/>
          <w:rFonts w:cs="Simplified Arabic" w:hint="eastAsia"/>
          <w:color w:val="000000"/>
          <w:szCs w:val="24"/>
          <w:u w:val="none"/>
        </w:rPr>
        <w:t>个国家的</w:t>
      </w:r>
      <w:r>
        <w:rPr>
          <w:rStyle w:val="Hyperlink"/>
          <w:rFonts w:cs="Simplified Arabic" w:hint="eastAsia"/>
          <w:color w:val="000000"/>
          <w:szCs w:val="24"/>
          <w:u w:val="none"/>
        </w:rPr>
        <w:t>500</w:t>
      </w:r>
      <w:r>
        <w:rPr>
          <w:rStyle w:val="Hyperlink"/>
          <w:rFonts w:cs="Simplified Arabic" w:hint="eastAsia"/>
          <w:color w:val="000000"/>
          <w:szCs w:val="24"/>
          <w:u w:val="none"/>
        </w:rPr>
        <w:t>多名学员参加。</w:t>
      </w:r>
    </w:p>
    <w:p w:rsidR="00AE054B" w:rsidRDefault="005F4F6D">
      <w:pPr>
        <w:pStyle w:val="Heading2"/>
        <w:rPr>
          <w:szCs w:val="24"/>
        </w:rPr>
      </w:pPr>
      <w:r>
        <w:rPr>
          <w:rFonts w:hint="eastAsia"/>
          <w:szCs w:val="24"/>
        </w:rPr>
        <w:t>2.</w:t>
      </w:r>
      <w:r>
        <w:rPr>
          <w:szCs w:val="24"/>
        </w:rPr>
        <w:t>6</w:t>
      </w:r>
      <w:r>
        <w:rPr>
          <w:szCs w:val="24"/>
        </w:rPr>
        <w:tab/>
      </w:r>
      <w:r>
        <w:rPr>
          <w:rFonts w:hint="eastAsia"/>
          <w:szCs w:val="24"/>
        </w:rPr>
        <w:t>欧洲</w:t>
      </w:r>
    </w:p>
    <w:p w:rsidR="00AE054B" w:rsidRDefault="005F4F6D">
      <w:pPr>
        <w:ind w:firstLineChars="200" w:firstLine="480"/>
        <w:rPr>
          <w:szCs w:val="24"/>
        </w:rPr>
      </w:pPr>
      <w:r>
        <w:rPr>
          <w:rFonts w:hint="eastAsia"/>
          <w:szCs w:val="24"/>
        </w:rPr>
        <w:t>根据欧洲区域性举措（</w:t>
      </w:r>
      <w:r>
        <w:rPr>
          <w:szCs w:val="24"/>
        </w:rPr>
        <w:t>EUR-RI</w:t>
      </w:r>
      <w:r>
        <w:rPr>
          <w:rFonts w:hint="eastAsia"/>
          <w:szCs w:val="24"/>
        </w:rPr>
        <w:t>）开展活动的计划安排所采用的从下到上的工作方法尤其侧重于资源筹措、伙伴关系建设和国际电联潜在成员的加入。</w:t>
      </w:r>
      <w:bookmarkStart w:id="6" w:name="lt_pId082"/>
      <w:r>
        <w:rPr>
          <w:rFonts w:hint="eastAsia"/>
          <w:szCs w:val="24"/>
        </w:rPr>
        <w:t>在此框架内，在罗马尼亚举行的有关“宽带促可持续发展”的欧洲区域发展论坛旨在吸引感兴趣的合作伙伴与电信发展局合作，在合作伙伴所做出承诺的基础上落实欧洲区域性举措并制定</w:t>
      </w:r>
      <w:r>
        <w:rPr>
          <w:szCs w:val="24"/>
        </w:rPr>
        <w:t>2015-2017</w:t>
      </w:r>
      <w:r>
        <w:rPr>
          <w:rFonts w:hint="eastAsia"/>
          <w:szCs w:val="24"/>
        </w:rPr>
        <w:t>年的实施计划。</w:t>
      </w:r>
      <w:bookmarkStart w:id="7" w:name="lt_pId083"/>
      <w:bookmarkEnd w:id="6"/>
      <w:r>
        <w:rPr>
          <w:rFonts w:hint="eastAsia"/>
          <w:szCs w:val="24"/>
        </w:rPr>
        <w:t>新确定的实体已成为落实欧洲区域性举措的合作伙伴。</w:t>
      </w:r>
      <w:bookmarkStart w:id="8" w:name="lt_pId084"/>
      <w:bookmarkEnd w:id="7"/>
      <w:r>
        <w:rPr>
          <w:rFonts w:hint="eastAsia"/>
          <w:szCs w:val="24"/>
        </w:rPr>
        <w:t>还努力争取请其他联合国机构加入此项工作。在此方面，国际电联</w:t>
      </w:r>
      <w:bookmarkStart w:id="9" w:name="lt_pId085"/>
      <w:bookmarkEnd w:id="8"/>
      <w:r>
        <w:rPr>
          <w:rFonts w:hint="eastAsia"/>
          <w:szCs w:val="24"/>
        </w:rPr>
        <w:t>主办了一次联合国欧洲与中亚区域协调机制会议及</w:t>
      </w:r>
      <w:r>
        <w:rPr>
          <w:rFonts w:hint="eastAsia"/>
          <w:szCs w:val="24"/>
        </w:rPr>
        <w:t>ECA</w:t>
      </w:r>
      <w:r>
        <w:rPr>
          <w:rFonts w:hint="eastAsia"/>
          <w:szCs w:val="24"/>
        </w:rPr>
        <w:t>区域性联合国发展集团（</w:t>
      </w:r>
      <w:r>
        <w:rPr>
          <w:szCs w:val="24"/>
        </w:rPr>
        <w:t>UNDG</w:t>
      </w:r>
      <w:r>
        <w:rPr>
          <w:rFonts w:hint="eastAsia"/>
          <w:szCs w:val="24"/>
        </w:rPr>
        <w:t>）团队会议。</w:t>
      </w:r>
      <w:bookmarkStart w:id="10" w:name="lt_pId086"/>
      <w:bookmarkEnd w:id="9"/>
      <w:r>
        <w:rPr>
          <w:rFonts w:hint="eastAsia"/>
          <w:szCs w:val="24"/>
        </w:rPr>
        <w:t>开展了协调，以确保将</w:t>
      </w:r>
      <w:r>
        <w:rPr>
          <w:rFonts w:hint="eastAsia"/>
          <w:szCs w:val="24"/>
        </w:rPr>
        <w:t>ICT</w:t>
      </w:r>
      <w:r>
        <w:rPr>
          <w:rFonts w:hint="eastAsia"/>
          <w:szCs w:val="24"/>
        </w:rPr>
        <w:t>部分纳入到欧洲的联合国发展援助框架中，同时考虑可持续发展峰会所设定的新工作重点。</w:t>
      </w:r>
      <w:bookmarkEnd w:id="10"/>
    </w:p>
    <w:p w:rsidR="00AE054B" w:rsidRDefault="005F4F6D">
      <w:pPr>
        <w:ind w:firstLineChars="200" w:firstLine="480"/>
        <w:rPr>
          <w:szCs w:val="24"/>
        </w:rPr>
      </w:pPr>
      <w:bookmarkStart w:id="11" w:name="lt_pId087"/>
      <w:r>
        <w:rPr>
          <w:rFonts w:hint="eastAsia"/>
          <w:szCs w:val="24"/>
        </w:rPr>
        <w:t>在各个层面，为加强与欧洲委员会的协作，联合在本地区开展行动付出了大量的努力。</w:t>
      </w:r>
      <w:bookmarkStart w:id="12" w:name="lt_pId088"/>
      <w:bookmarkEnd w:id="11"/>
      <w:r>
        <w:rPr>
          <w:rFonts w:hint="eastAsia"/>
          <w:szCs w:val="24"/>
        </w:rPr>
        <w:t>还与欧洲投资银行（</w:t>
      </w:r>
      <w:r>
        <w:rPr>
          <w:rFonts w:hint="eastAsia"/>
          <w:szCs w:val="24"/>
        </w:rPr>
        <w:t>EIB</w:t>
      </w:r>
      <w:r>
        <w:rPr>
          <w:rFonts w:hint="eastAsia"/>
          <w:szCs w:val="24"/>
        </w:rPr>
        <w:t>）、欧洲重建银行（</w:t>
      </w:r>
      <w:r>
        <w:rPr>
          <w:szCs w:val="24"/>
        </w:rPr>
        <w:t>EBRD</w:t>
      </w:r>
      <w:r>
        <w:rPr>
          <w:rFonts w:hint="eastAsia"/>
          <w:szCs w:val="24"/>
        </w:rPr>
        <w:t>）、欧洲委员会联合研究中心、欧洲广播联盟（</w:t>
      </w:r>
      <w:r>
        <w:rPr>
          <w:rFonts w:hint="eastAsia"/>
          <w:szCs w:val="24"/>
        </w:rPr>
        <w:t>EBU</w:t>
      </w:r>
      <w:r>
        <w:rPr>
          <w:rFonts w:hint="eastAsia"/>
          <w:szCs w:val="24"/>
        </w:rPr>
        <w:t>）、</w:t>
      </w:r>
      <w:r>
        <w:rPr>
          <w:szCs w:val="24"/>
        </w:rPr>
        <w:t>ENISA</w:t>
      </w:r>
      <w:r>
        <w:rPr>
          <w:rFonts w:hint="eastAsia"/>
          <w:szCs w:val="24"/>
        </w:rPr>
        <w:t>等就本地区的具体联合活动开展了讨论。</w:t>
      </w:r>
      <w:bookmarkEnd w:id="12"/>
    </w:p>
    <w:p w:rsidR="00AE054B" w:rsidRDefault="005F4F6D">
      <w:pPr>
        <w:ind w:firstLineChars="200" w:firstLine="480"/>
        <w:rPr>
          <w:szCs w:val="24"/>
        </w:rPr>
      </w:pPr>
      <w:bookmarkStart w:id="13" w:name="lt_pId089"/>
      <w:r>
        <w:rPr>
          <w:rFonts w:hint="eastAsia"/>
          <w:szCs w:val="24"/>
        </w:rPr>
        <w:t>与国际电联成员国进行了协调，寻求他们对邀请学术成员参与国际电联各项活动的支持。</w:t>
      </w:r>
      <w:bookmarkStart w:id="14" w:name="lt_pId090"/>
      <w:bookmarkEnd w:id="13"/>
      <w:r>
        <w:rPr>
          <w:rFonts w:hint="eastAsia"/>
          <w:szCs w:val="24"/>
        </w:rPr>
        <w:t>确定了加强宣传的重要学术网络。</w:t>
      </w:r>
      <w:bookmarkStart w:id="15" w:name="lt_pId091"/>
      <w:bookmarkEnd w:id="14"/>
      <w:r>
        <w:rPr>
          <w:rFonts w:hint="eastAsia"/>
          <w:szCs w:val="24"/>
        </w:rPr>
        <w:t>因此，国际电联获邀为将于</w:t>
      </w:r>
      <w:r>
        <w:rPr>
          <w:rFonts w:hint="eastAsia"/>
          <w:szCs w:val="24"/>
        </w:rPr>
        <w:t>2016</w:t>
      </w:r>
      <w:r>
        <w:rPr>
          <w:rFonts w:hint="eastAsia"/>
          <w:szCs w:val="24"/>
        </w:rPr>
        <w:t>年</w:t>
      </w:r>
      <w:r>
        <w:rPr>
          <w:rFonts w:hint="eastAsia"/>
          <w:szCs w:val="24"/>
        </w:rPr>
        <w:t>9</w:t>
      </w:r>
      <w:r>
        <w:rPr>
          <w:rFonts w:hint="eastAsia"/>
          <w:szCs w:val="24"/>
        </w:rPr>
        <w:t>月举行的国际电信协会欧洲区域会议提供支持。</w:t>
      </w:r>
      <w:bookmarkEnd w:id="15"/>
    </w:p>
    <w:p w:rsidR="00AE054B" w:rsidRDefault="005F4F6D">
      <w:pPr>
        <w:ind w:firstLineChars="200" w:firstLine="480"/>
      </w:pPr>
      <w:r>
        <w:rPr>
          <w:rFonts w:hint="eastAsia"/>
          <w:szCs w:val="24"/>
        </w:rPr>
        <w:t>为在网络安全领域加强公众私营对话和伙伴关系建设，举行了公众私营对话平台中欧大会。</w:t>
      </w:r>
      <w:r>
        <w:rPr>
          <w:rFonts w:hint="eastAsia"/>
          <w:szCs w:val="24"/>
        </w:rPr>
        <w:t>2016</w:t>
      </w:r>
      <w:r>
        <w:rPr>
          <w:rFonts w:hint="eastAsia"/>
          <w:szCs w:val="24"/>
        </w:rPr>
        <w:t>年还将开展类似活动。</w:t>
      </w:r>
    </w:p>
    <w:p w:rsidR="00AE054B" w:rsidRDefault="005F4F6D" w:rsidP="008D5D83">
      <w:pPr>
        <w:pStyle w:val="Heading1"/>
        <w:rPr>
          <w:szCs w:val="28"/>
        </w:rPr>
      </w:pPr>
      <w:r>
        <w:rPr>
          <w:szCs w:val="28"/>
        </w:rPr>
        <w:lastRenderedPageBreak/>
        <w:t>3</w:t>
      </w:r>
      <w:r>
        <w:rPr>
          <w:szCs w:val="28"/>
        </w:rPr>
        <w:tab/>
      </w:r>
      <w:bookmarkStart w:id="16" w:name="_GoBack"/>
      <w:r>
        <w:rPr>
          <w:rFonts w:hint="eastAsia"/>
          <w:szCs w:val="28"/>
        </w:rPr>
        <w:t>全球行动</w:t>
      </w:r>
      <w:r>
        <w:rPr>
          <w:szCs w:val="28"/>
        </w:rPr>
        <w:t>和成果</w:t>
      </w:r>
    </w:p>
    <w:p w:rsidR="00AE054B" w:rsidRDefault="005F4F6D" w:rsidP="008D5D83">
      <w:pPr>
        <w:pStyle w:val="Heading2"/>
        <w:rPr>
          <w:szCs w:val="24"/>
        </w:rPr>
      </w:pPr>
      <w:r>
        <w:rPr>
          <w:szCs w:val="24"/>
        </w:rPr>
        <w:t>3.1</w:t>
      </w:r>
      <w:r>
        <w:rPr>
          <w:szCs w:val="24"/>
        </w:rPr>
        <w:tab/>
      </w:r>
      <w:r>
        <w:rPr>
          <w:szCs w:val="24"/>
        </w:rPr>
        <w:t>伙伴关系</w:t>
      </w:r>
      <w:r>
        <w:rPr>
          <w:rFonts w:hint="eastAsia"/>
          <w:szCs w:val="24"/>
        </w:rPr>
        <w:t>和资源筹措产品与工具</w:t>
      </w:r>
    </w:p>
    <w:p w:rsidR="00AE054B" w:rsidRDefault="005F4F6D" w:rsidP="008D5D83">
      <w:pPr>
        <w:pStyle w:val="ListParagraph1"/>
        <w:keepNext/>
        <w:keepLines/>
        <w:spacing w:after="0"/>
        <w:ind w:left="0" w:firstLineChars="200" w:firstLine="480"/>
        <w:rPr>
          <w:rFonts w:ascii="SimSun" w:eastAsia="SimSun" w:hAnsi="SimSun" w:cs="Calibri"/>
          <w:sz w:val="24"/>
          <w:szCs w:val="24"/>
        </w:rPr>
      </w:pPr>
      <w:r>
        <w:rPr>
          <w:rFonts w:ascii="SimSun" w:eastAsia="SimSun" w:hAnsi="SimSun" w:cs="Calibri" w:hint="eastAsia"/>
          <w:sz w:val="24"/>
          <w:szCs w:val="24"/>
        </w:rPr>
        <w:t>电信发展局制作了各种内部和外部工具，旨在支持电信发展局为</w:t>
      </w:r>
      <w:hyperlink r:id="rId10" w:history="1">
        <w:r>
          <w:rPr>
            <w:rStyle w:val="Hyperlink"/>
            <w:rFonts w:ascii="Calibri" w:eastAsia="SimSun" w:hAnsi="Calibri" w:cs="Calibri"/>
            <w:sz w:val="24"/>
            <w:szCs w:val="24"/>
          </w:rPr>
          <w:t>ITU-D</w:t>
        </w:r>
        <w:r>
          <w:rPr>
            <w:rStyle w:val="Hyperlink"/>
            <w:rFonts w:ascii="Calibri" w:eastAsia="SimSun" w:hAnsi="Calibri" w:cs="Calibri"/>
            <w:sz w:val="24"/>
            <w:szCs w:val="24"/>
          </w:rPr>
          <w:t>项目</w:t>
        </w:r>
      </w:hyperlink>
      <w:r>
        <w:rPr>
          <w:rFonts w:ascii="SimSun" w:eastAsia="SimSun" w:hAnsi="SimSun" w:cs="Calibri" w:hint="eastAsia"/>
          <w:sz w:val="24"/>
          <w:szCs w:val="24"/>
        </w:rPr>
        <w:t>和举措实施进行的合作和资源筹措工作，如：</w:t>
      </w:r>
      <w:r>
        <w:rPr>
          <w:rFonts w:ascii="SimSun" w:eastAsia="SimSun" w:hAnsi="SimSun" w:cs="Calibri"/>
          <w:sz w:val="24"/>
          <w:szCs w:val="24"/>
        </w:rPr>
        <w:t xml:space="preserve"> </w:t>
      </w:r>
    </w:p>
    <w:p w:rsidR="00AE054B" w:rsidRDefault="005F4F6D" w:rsidP="008D5D83">
      <w:pPr>
        <w:pStyle w:val="enumlev1"/>
        <w:keepNext/>
        <w:keepLines/>
      </w:pPr>
      <w:r>
        <w:rPr>
          <w:rFonts w:eastAsia="STKaiti"/>
        </w:rPr>
        <w:t>–</w:t>
      </w:r>
      <w:r>
        <w:rPr>
          <w:rFonts w:eastAsia="STKaiti"/>
        </w:rPr>
        <w:tab/>
      </w:r>
      <w:r>
        <w:rPr>
          <w:rFonts w:eastAsia="STKaiti" w:hint="eastAsia"/>
          <w:b/>
          <w:bCs/>
        </w:rPr>
        <w:t>融资伙伴数据库</w:t>
      </w:r>
      <w:r>
        <w:rPr>
          <w:rFonts w:hint="eastAsia"/>
        </w:rPr>
        <w:t>：涵盖</w:t>
      </w:r>
      <w:r>
        <w:rPr>
          <w:rFonts w:hint="eastAsia"/>
        </w:rPr>
        <w:t>110</w:t>
      </w:r>
      <w:r>
        <w:rPr>
          <w:rFonts w:hint="eastAsia"/>
        </w:rPr>
        <w:t>多家来自主管部门、多边</w:t>
      </w:r>
      <w:r>
        <w:rPr>
          <w:rFonts w:hint="eastAsia"/>
        </w:rPr>
        <w:t>/</w:t>
      </w:r>
      <w:r>
        <w:rPr>
          <w:rFonts w:hint="eastAsia"/>
        </w:rPr>
        <w:t>双边机构、发展银行、基金会和私营</w:t>
      </w:r>
      <w:bookmarkEnd w:id="16"/>
      <w:r>
        <w:rPr>
          <w:rFonts w:hint="eastAsia"/>
        </w:rPr>
        <w:t>部门企业的现有和潜在合作伙伴的资料。</w:t>
      </w:r>
    </w:p>
    <w:p w:rsidR="00AE054B" w:rsidRDefault="005F4F6D">
      <w:pPr>
        <w:pStyle w:val="enumlev1"/>
        <w:rPr>
          <w:rFonts w:cs="Calibri"/>
        </w:rPr>
      </w:pPr>
      <w:r>
        <w:rPr>
          <w:rFonts w:eastAsia="STKaiti"/>
        </w:rPr>
        <w:t>–</w:t>
      </w:r>
      <w:r>
        <w:rPr>
          <w:rFonts w:eastAsia="STKaiti"/>
        </w:rPr>
        <w:tab/>
      </w:r>
      <w:r>
        <w:rPr>
          <w:rFonts w:eastAsia="STKaiti" w:hint="eastAsia"/>
          <w:b/>
          <w:bCs/>
        </w:rPr>
        <w:t>合作伙伴关系协议数据库：</w:t>
      </w:r>
      <w:r>
        <w:rPr>
          <w:rFonts w:ascii="Book Antiqua" w:hAnsi="Book Antiqua"/>
        </w:rPr>
        <w:t>国际电联</w:t>
      </w:r>
      <w:r>
        <w:rPr>
          <w:rFonts w:ascii="Book Antiqua" w:hAnsi="Book Antiqua"/>
        </w:rPr>
        <w:t>/</w:t>
      </w:r>
      <w:r>
        <w:rPr>
          <w:rFonts w:ascii="Book Antiqua" w:hAnsi="Book Antiqua"/>
        </w:rPr>
        <w:t>电信发展局与国家</w:t>
      </w:r>
      <w:r>
        <w:rPr>
          <w:rFonts w:ascii="Book Antiqua" w:hAnsi="Book Antiqua" w:hint="eastAsia"/>
        </w:rPr>
        <w:t>、</w:t>
      </w:r>
      <w:r>
        <w:rPr>
          <w:rFonts w:ascii="Book Antiqua" w:hAnsi="Book Antiqua"/>
        </w:rPr>
        <w:t>区域和全球活动</w:t>
      </w:r>
      <w:r>
        <w:rPr>
          <w:rFonts w:ascii="Book Antiqua" w:hAnsi="Book Antiqua" w:hint="eastAsia"/>
        </w:rPr>
        <w:t>、</w:t>
      </w:r>
      <w:r>
        <w:rPr>
          <w:rFonts w:ascii="Book Antiqua" w:hAnsi="Book Antiqua"/>
        </w:rPr>
        <w:t>举措和项目的各利益攸关方签署</w:t>
      </w:r>
      <w:r>
        <w:rPr>
          <w:rFonts w:ascii="Book Antiqua" w:hAnsi="Book Antiqua" w:hint="eastAsia"/>
        </w:rPr>
        <w:t>的</w:t>
      </w:r>
      <w:r>
        <w:rPr>
          <w:rFonts w:ascii="Book Antiqua" w:hAnsi="Book Antiqua"/>
        </w:rPr>
        <w:t>约</w:t>
      </w:r>
      <w:r>
        <w:rPr>
          <w:rFonts w:ascii="Book Antiqua" w:hAnsi="Book Antiqua"/>
        </w:rPr>
        <w:t>930</w:t>
      </w:r>
      <w:r>
        <w:rPr>
          <w:rFonts w:ascii="Book Antiqua" w:hAnsi="Book Antiqua"/>
        </w:rPr>
        <w:t>项协议。</w:t>
      </w:r>
    </w:p>
    <w:p w:rsidR="00AE054B" w:rsidRDefault="005F4F6D">
      <w:pPr>
        <w:pStyle w:val="enumlev1"/>
        <w:rPr>
          <w:rFonts w:cs="Calibri"/>
        </w:rPr>
      </w:pPr>
      <w:r>
        <w:rPr>
          <w:rFonts w:eastAsia="STKaiti"/>
        </w:rPr>
        <w:t>–</w:t>
      </w:r>
      <w:r>
        <w:rPr>
          <w:rFonts w:eastAsia="STKaiti"/>
        </w:rPr>
        <w:tab/>
      </w:r>
      <w:hyperlink r:id="rId11" w:history="1">
        <w:r>
          <w:rPr>
            <w:rStyle w:val="Hyperlink"/>
            <w:rFonts w:eastAsia="STKaiti" w:hint="eastAsia"/>
            <w:b/>
            <w:bCs/>
            <w:szCs w:val="24"/>
          </w:rPr>
          <w:t>伙伴</w:t>
        </w:r>
        <w:r>
          <w:rPr>
            <w:rStyle w:val="Hyperlink"/>
            <w:rFonts w:eastAsia="STKaiti"/>
            <w:b/>
            <w:bCs/>
            <w:szCs w:val="24"/>
          </w:rPr>
          <w:t>关系机遇网站</w:t>
        </w:r>
      </w:hyperlink>
      <w:r>
        <w:rPr>
          <w:rFonts w:eastAsia="STKaiti" w:hint="eastAsia"/>
          <w:b/>
          <w:bCs/>
          <w:szCs w:val="24"/>
        </w:rPr>
        <w:t>：</w:t>
      </w:r>
      <w:r>
        <w:rPr>
          <w:rFonts w:ascii="Book Antiqua" w:hAnsi="Book Antiqua"/>
        </w:rPr>
        <w:t>提供关于电信发展局项目和举措的信息，供潜在合作伙伴</w:t>
      </w:r>
      <w:r>
        <w:rPr>
          <w:rFonts w:ascii="Book Antiqua" w:hAnsi="Book Antiqua" w:hint="eastAsia"/>
        </w:rPr>
        <w:t>在初</w:t>
      </w:r>
      <w:r>
        <w:rPr>
          <w:rFonts w:ascii="Book Antiqua" w:hAnsi="Book Antiqua"/>
        </w:rPr>
        <w:t>始讨论</w:t>
      </w:r>
      <w:r>
        <w:rPr>
          <w:rFonts w:ascii="Book Antiqua" w:hAnsi="Book Antiqua" w:hint="eastAsia"/>
        </w:rPr>
        <w:t>和</w:t>
      </w:r>
      <w:r>
        <w:rPr>
          <w:rFonts w:ascii="Book Antiqua" w:hAnsi="Book Antiqua"/>
        </w:rPr>
        <w:t>进一步制定更完整</w:t>
      </w:r>
      <w:r>
        <w:rPr>
          <w:rFonts w:ascii="Book Antiqua" w:hAnsi="Book Antiqua" w:hint="eastAsia"/>
        </w:rPr>
        <w:t>提案</w:t>
      </w:r>
      <w:r>
        <w:rPr>
          <w:rFonts w:ascii="Book Antiqua" w:hAnsi="Book Antiqua"/>
        </w:rPr>
        <w:t>时考虑</w:t>
      </w:r>
      <w:r>
        <w:rPr>
          <w:rStyle w:val="FootnoteReference"/>
          <w:rFonts w:cs="Calibri"/>
          <w:szCs w:val="24"/>
        </w:rPr>
        <w:footnoteReference w:id="2"/>
      </w:r>
      <w:r>
        <w:rPr>
          <w:rFonts w:cs="Calibri" w:hint="eastAsia"/>
        </w:rPr>
        <w:t>。</w:t>
      </w:r>
    </w:p>
    <w:p w:rsidR="00AE054B" w:rsidRDefault="005F4F6D">
      <w:pPr>
        <w:pStyle w:val="enumlev1"/>
        <w:rPr>
          <w:rFonts w:cs="Calibri"/>
        </w:rPr>
      </w:pPr>
      <w:r>
        <w:rPr>
          <w:rFonts w:eastAsia="STKaiti"/>
        </w:rPr>
        <w:t>–</w:t>
      </w:r>
      <w:r>
        <w:rPr>
          <w:rFonts w:eastAsia="STKaiti"/>
        </w:rPr>
        <w:tab/>
      </w:r>
      <w:hyperlink r:id="rId12" w:history="1">
        <w:r>
          <w:rPr>
            <w:rStyle w:val="Hyperlink"/>
            <w:rFonts w:eastAsia="STKaiti" w:hint="eastAsia"/>
            <w:b/>
            <w:bCs/>
            <w:szCs w:val="24"/>
          </w:rPr>
          <w:t>赞助机遇网站：</w:t>
        </w:r>
      </w:hyperlink>
      <w:r>
        <w:rPr>
          <w:rFonts w:ascii="Book Antiqua" w:hAnsi="Book Antiqua"/>
        </w:rPr>
        <w:t>一个新开发的互动赞助平台，</w:t>
      </w:r>
      <w:r>
        <w:rPr>
          <w:rFonts w:ascii="Book Antiqua" w:hAnsi="Book Antiqua" w:hint="eastAsia"/>
        </w:rPr>
        <w:t>支持</w:t>
      </w:r>
      <w:r>
        <w:rPr>
          <w:rFonts w:ascii="Book Antiqua" w:hAnsi="Book Antiqua"/>
        </w:rPr>
        <w:t>六种国际电联官方语言，为实体提供机会</w:t>
      </w:r>
      <w:r>
        <w:rPr>
          <w:rFonts w:ascii="Book Antiqua" w:hAnsi="Book Antiqua" w:hint="eastAsia"/>
        </w:rPr>
        <w:t>：</w:t>
      </w:r>
      <w:r>
        <w:rPr>
          <w:rFonts w:ascii="Book Antiqua" w:hAnsi="Book Antiqua"/>
        </w:rPr>
        <w:t>通过</w:t>
      </w:r>
      <w:r>
        <w:rPr>
          <w:rFonts w:ascii="Book Antiqua" w:hAnsi="Book Antiqua" w:hint="eastAsia"/>
        </w:rPr>
        <w:t>电信发展局为</w:t>
      </w:r>
      <w:r>
        <w:rPr>
          <w:rFonts w:ascii="Book Antiqua" w:hAnsi="Book Antiqua"/>
        </w:rPr>
        <w:t>全球或区域</w:t>
      </w:r>
      <w:r>
        <w:rPr>
          <w:rFonts w:ascii="Book Antiqua" w:hAnsi="Book Antiqua" w:hint="eastAsia"/>
        </w:rPr>
        <w:t>活动</w:t>
      </w:r>
      <w:r>
        <w:rPr>
          <w:rFonts w:ascii="Book Antiqua" w:hAnsi="Book Antiqua"/>
        </w:rPr>
        <w:t>组织的</w:t>
      </w:r>
      <w:r>
        <w:rPr>
          <w:rFonts w:ascii="Book Antiqua" w:hAnsi="Book Antiqua" w:hint="eastAsia"/>
        </w:rPr>
        <w:t>会外</w:t>
      </w:r>
      <w:r>
        <w:rPr>
          <w:rFonts w:ascii="Book Antiqua" w:hAnsi="Book Antiqua"/>
        </w:rPr>
        <w:t>和社</w:t>
      </w:r>
      <w:r>
        <w:rPr>
          <w:rFonts w:ascii="Book Antiqua" w:hAnsi="Book Antiqua" w:hint="eastAsia"/>
        </w:rPr>
        <w:t>交</w:t>
      </w:r>
      <w:r>
        <w:rPr>
          <w:rFonts w:ascii="Book Antiqua" w:hAnsi="Book Antiqua"/>
        </w:rPr>
        <w:t>活动，</w:t>
      </w:r>
      <w:r>
        <w:rPr>
          <w:rFonts w:ascii="Book Antiqua" w:hAnsi="Book Antiqua" w:hint="eastAsia"/>
        </w:rPr>
        <w:t>来</w:t>
      </w:r>
      <w:r>
        <w:rPr>
          <w:rFonts w:ascii="Book Antiqua" w:hAnsi="Book Antiqua"/>
        </w:rPr>
        <w:t>提高知名度</w:t>
      </w:r>
      <w:r>
        <w:rPr>
          <w:rFonts w:ascii="Book Antiqua" w:hAnsi="Book Antiqua" w:hint="eastAsia"/>
        </w:rPr>
        <w:t>、推广</w:t>
      </w:r>
      <w:r>
        <w:rPr>
          <w:rFonts w:ascii="Book Antiqua" w:hAnsi="Book Antiqua"/>
        </w:rPr>
        <w:t>品牌</w:t>
      </w:r>
      <w:r>
        <w:rPr>
          <w:rFonts w:ascii="Book Antiqua" w:hAnsi="Book Antiqua" w:hint="eastAsia"/>
        </w:rPr>
        <w:t>、</w:t>
      </w:r>
      <w:r>
        <w:rPr>
          <w:rFonts w:ascii="Book Antiqua" w:hAnsi="Book Antiqua"/>
        </w:rPr>
        <w:t>展示</w:t>
      </w:r>
      <w:r>
        <w:rPr>
          <w:rFonts w:ascii="Book Antiqua" w:hAnsi="Book Antiqua"/>
        </w:rPr>
        <w:t>ICT</w:t>
      </w:r>
      <w:r>
        <w:rPr>
          <w:rFonts w:ascii="Book Antiqua" w:hAnsi="Book Antiqua"/>
        </w:rPr>
        <w:t>产品和解决方案</w:t>
      </w:r>
      <w:r>
        <w:rPr>
          <w:rFonts w:ascii="Book Antiqua" w:hAnsi="Book Antiqua" w:hint="eastAsia"/>
        </w:rPr>
        <w:t>。</w:t>
      </w:r>
      <w:r>
        <w:rPr>
          <w:rFonts w:ascii="Book Antiqua" w:hAnsi="Book Antiqua"/>
        </w:rPr>
        <w:t>当前</w:t>
      </w:r>
      <w:r>
        <w:rPr>
          <w:rFonts w:ascii="Book Antiqua" w:hAnsi="Book Antiqua" w:hint="eastAsia"/>
        </w:rPr>
        <w:t>拟议</w:t>
      </w:r>
      <w:r>
        <w:rPr>
          <w:rFonts w:ascii="Book Antiqua" w:hAnsi="Book Antiqua"/>
        </w:rPr>
        <w:t>的赞助方案</w:t>
      </w:r>
      <w:r>
        <w:rPr>
          <w:rFonts w:ascii="Book Antiqua" w:hAnsi="Book Antiqua" w:hint="eastAsia"/>
        </w:rPr>
        <w:t>是</w:t>
      </w:r>
      <w:r>
        <w:rPr>
          <w:rFonts w:ascii="Book Antiqua" w:hAnsi="Book Antiqua"/>
        </w:rPr>
        <w:t>用于</w:t>
      </w:r>
      <w:r>
        <w:rPr>
          <w:rFonts w:ascii="Book Antiqua" w:hAnsi="Book Antiqua"/>
        </w:rPr>
        <w:t>GSR-17</w:t>
      </w:r>
      <w:r>
        <w:rPr>
          <w:rFonts w:ascii="Book Antiqua" w:hAnsi="Book Antiqua" w:hint="eastAsia"/>
        </w:rPr>
        <w:t>、</w:t>
      </w:r>
      <w:r>
        <w:rPr>
          <w:rFonts w:ascii="Book Antiqua" w:hAnsi="Book Antiqua"/>
        </w:rPr>
        <w:t>WTDC-17</w:t>
      </w:r>
      <w:r>
        <w:rPr>
          <w:rFonts w:ascii="Book Antiqua" w:hAnsi="Book Antiqua"/>
        </w:rPr>
        <w:t>和</w:t>
      </w:r>
      <w:r>
        <w:rPr>
          <w:rFonts w:ascii="Book Antiqua" w:hAnsi="Book Antiqua"/>
        </w:rPr>
        <w:t>ITU-D 25</w:t>
      </w:r>
      <w:r>
        <w:rPr>
          <w:rFonts w:ascii="Book Antiqua" w:hAnsi="Book Antiqua"/>
        </w:rPr>
        <w:t>周年之际</w:t>
      </w:r>
      <w:r>
        <w:rPr>
          <w:rFonts w:ascii="Book Antiqua" w:hAnsi="Book Antiqua" w:hint="eastAsia"/>
        </w:rPr>
        <w:t>的会</w:t>
      </w:r>
      <w:r>
        <w:rPr>
          <w:rFonts w:ascii="Book Antiqua" w:hAnsi="Book Antiqua"/>
        </w:rPr>
        <w:t>外和</w:t>
      </w:r>
      <w:r>
        <w:rPr>
          <w:rFonts w:ascii="Book Antiqua" w:hAnsi="Book Antiqua"/>
        </w:rPr>
        <w:t>/</w:t>
      </w:r>
      <w:r>
        <w:rPr>
          <w:rFonts w:ascii="Book Antiqua" w:hAnsi="Book Antiqua"/>
        </w:rPr>
        <w:t>或社交活动。</w:t>
      </w:r>
      <w:r>
        <w:rPr>
          <w:rFonts w:ascii="Book Antiqua" w:hAnsi="Book Antiqua"/>
        </w:rPr>
        <w:t>ITU-D</w:t>
      </w:r>
      <w:r>
        <w:rPr>
          <w:rFonts w:ascii="Book Antiqua" w:hAnsi="Book Antiqua" w:hint="eastAsia"/>
        </w:rPr>
        <w:t>成</w:t>
      </w:r>
      <w:r>
        <w:rPr>
          <w:rFonts w:ascii="Book Antiqua" w:hAnsi="Book Antiqua"/>
        </w:rPr>
        <w:t>员</w:t>
      </w:r>
      <w:r>
        <w:rPr>
          <w:rFonts w:ascii="Book Antiqua" w:hAnsi="Book Antiqua" w:hint="eastAsia"/>
        </w:rPr>
        <w:t>的</w:t>
      </w:r>
      <w:r>
        <w:rPr>
          <w:rFonts w:ascii="Book Antiqua" w:hAnsi="Book Antiqua"/>
        </w:rPr>
        <w:t>公开活动</w:t>
      </w:r>
      <w:r>
        <w:rPr>
          <w:rFonts w:ascii="Book Antiqua" w:hAnsi="Book Antiqua"/>
        </w:rPr>
        <w:t>/</w:t>
      </w:r>
      <w:r>
        <w:rPr>
          <w:rFonts w:ascii="Book Antiqua" w:hAnsi="Book Antiqua"/>
        </w:rPr>
        <w:t>会议以及多个赞助活动</w:t>
      </w:r>
      <w:r>
        <w:rPr>
          <w:rFonts w:ascii="Book Antiqua" w:hAnsi="Book Antiqua" w:hint="eastAsia"/>
        </w:rPr>
        <w:t>可以享受</w:t>
      </w:r>
      <w:r>
        <w:rPr>
          <w:rFonts w:ascii="Book Antiqua" w:hAnsi="Book Antiqua"/>
        </w:rPr>
        <w:t>优惠。</w:t>
      </w:r>
      <w:r>
        <w:rPr>
          <w:rFonts w:ascii="Book Antiqua" w:hAnsi="Book Antiqua" w:hint="eastAsia"/>
        </w:rPr>
        <w:t>筹措</w:t>
      </w:r>
      <w:r>
        <w:rPr>
          <w:rFonts w:ascii="Book Antiqua" w:hAnsi="Book Antiqua"/>
        </w:rPr>
        <w:t>的所有资源</w:t>
      </w:r>
      <w:r>
        <w:rPr>
          <w:rFonts w:ascii="Book Antiqua" w:hAnsi="Book Antiqua" w:hint="eastAsia"/>
        </w:rPr>
        <w:t>均</w:t>
      </w:r>
      <w:r>
        <w:rPr>
          <w:rFonts w:ascii="Book Antiqua" w:hAnsi="Book Antiqua"/>
        </w:rPr>
        <w:t>将用于组织</w:t>
      </w:r>
      <w:r>
        <w:rPr>
          <w:rFonts w:ascii="Book Antiqua" w:hAnsi="Book Antiqua" w:hint="eastAsia"/>
        </w:rPr>
        <w:t>赞助</w:t>
      </w:r>
      <w:r>
        <w:rPr>
          <w:rFonts w:ascii="Book Antiqua" w:hAnsi="Book Antiqua"/>
        </w:rPr>
        <w:t>活动，</w:t>
      </w:r>
      <w:r>
        <w:rPr>
          <w:rFonts w:ascii="Book Antiqua" w:hAnsi="Book Antiqua" w:hint="eastAsia"/>
        </w:rPr>
        <w:t>以</w:t>
      </w:r>
      <w:r>
        <w:rPr>
          <w:rFonts w:ascii="Book Antiqua" w:hAnsi="Book Antiqua"/>
        </w:rPr>
        <w:t>及在</w:t>
      </w:r>
      <w:r>
        <w:rPr>
          <w:rFonts w:ascii="Book Antiqua" w:hAnsi="Book Antiqua"/>
        </w:rPr>
        <w:t>WTDC-14</w:t>
      </w:r>
      <w:r>
        <w:rPr>
          <w:rFonts w:ascii="Book Antiqua" w:hAnsi="Book Antiqua"/>
        </w:rPr>
        <w:t>行动计划框架内实施活动</w:t>
      </w:r>
      <w:r>
        <w:rPr>
          <w:rFonts w:ascii="Book Antiqua" w:hAnsi="Book Antiqua" w:hint="eastAsia"/>
        </w:rPr>
        <w:t>、</w:t>
      </w:r>
      <w:r>
        <w:rPr>
          <w:rFonts w:ascii="Book Antiqua" w:hAnsi="Book Antiqua"/>
        </w:rPr>
        <w:t>项目和举措</w:t>
      </w:r>
      <w:r>
        <w:rPr>
          <w:rFonts w:ascii="Book Antiqua" w:hAnsi="Book Antiqua" w:hint="eastAsia"/>
        </w:rPr>
        <w:t>（</w:t>
      </w:r>
      <w:r>
        <w:rPr>
          <w:rFonts w:ascii="Book Antiqua" w:hAnsi="Book Antiqua"/>
        </w:rPr>
        <w:t>包括区域举措</w:t>
      </w:r>
      <w:r>
        <w:rPr>
          <w:rFonts w:ascii="Book Antiqua" w:hAnsi="Book Antiqua" w:hint="eastAsia"/>
        </w:rPr>
        <w:t>）</w:t>
      </w:r>
      <w:r>
        <w:rPr>
          <w:rStyle w:val="FootnoteReference"/>
          <w:szCs w:val="24"/>
        </w:rPr>
        <w:footnoteReference w:id="3"/>
      </w:r>
      <w:r>
        <w:rPr>
          <w:rFonts w:ascii="Book Antiqua" w:hAnsi="Book Antiqua"/>
        </w:rPr>
        <w:t>。</w:t>
      </w:r>
    </w:p>
    <w:p w:rsidR="00AE054B" w:rsidRDefault="005F4F6D">
      <w:pPr>
        <w:pStyle w:val="Heading2"/>
        <w:rPr>
          <w:szCs w:val="24"/>
        </w:rPr>
      </w:pPr>
      <w:r>
        <w:rPr>
          <w:szCs w:val="24"/>
        </w:rPr>
        <w:t>3.2</w:t>
      </w:r>
      <w:r>
        <w:rPr>
          <w:szCs w:val="24"/>
        </w:rPr>
        <w:tab/>
      </w:r>
      <w:r>
        <w:rPr>
          <w:rFonts w:hint="eastAsia"/>
          <w:szCs w:val="24"/>
        </w:rPr>
        <w:t>全球伙伴关系</w:t>
      </w:r>
    </w:p>
    <w:p w:rsidR="00AE054B" w:rsidRPr="009A7FDA" w:rsidRDefault="005F4F6D" w:rsidP="009A7FDA">
      <w:pPr>
        <w:ind w:firstLineChars="200" w:firstLine="480"/>
      </w:pPr>
      <w:r w:rsidRPr="009A7FDA">
        <w:t>电信发展局</w:t>
      </w:r>
      <w:r w:rsidRPr="009A7FDA">
        <w:rPr>
          <w:rFonts w:hint="eastAsia"/>
        </w:rPr>
        <w:t>不</w:t>
      </w:r>
      <w:r w:rsidRPr="009A7FDA">
        <w:t>仅特别注意培</w:t>
      </w:r>
      <w:r w:rsidRPr="009A7FDA">
        <w:rPr>
          <w:rFonts w:hint="eastAsia"/>
        </w:rPr>
        <w:t>养</w:t>
      </w:r>
      <w:r w:rsidRPr="009A7FDA">
        <w:t>与现有合作伙伴的关系</w:t>
      </w:r>
      <w:r w:rsidRPr="009A7FDA">
        <w:rPr>
          <w:rFonts w:hint="eastAsia"/>
        </w:rPr>
        <w:t>以</w:t>
      </w:r>
      <w:r w:rsidRPr="009A7FDA">
        <w:t>及</w:t>
      </w:r>
      <w:r w:rsidRPr="009A7FDA">
        <w:rPr>
          <w:rFonts w:hint="eastAsia"/>
        </w:rPr>
        <w:t>与</w:t>
      </w:r>
      <w:r w:rsidRPr="009A7FDA">
        <w:t>其</w:t>
      </w:r>
      <w:r w:rsidRPr="009A7FDA">
        <w:rPr>
          <w:rFonts w:hint="eastAsia"/>
        </w:rPr>
        <w:t>形成长</w:t>
      </w:r>
      <w:r w:rsidRPr="009A7FDA">
        <w:t>久的关系，电信发展局还认识到通过向非传统合作伙伴</w:t>
      </w:r>
      <w:r w:rsidRPr="009A7FDA">
        <w:rPr>
          <w:rFonts w:hint="eastAsia"/>
        </w:rPr>
        <w:t>拓</w:t>
      </w:r>
      <w:r w:rsidRPr="009A7FDA">
        <w:t>展活动来扩大和多样化合作伙伴基础的重要性。</w:t>
      </w:r>
    </w:p>
    <w:p w:rsidR="00AE054B" w:rsidRPr="009A7FDA" w:rsidRDefault="005F4F6D" w:rsidP="009A7FDA">
      <w:pPr>
        <w:ind w:firstLineChars="200" w:firstLine="480"/>
      </w:pPr>
      <w:r w:rsidRPr="009A7FDA">
        <w:t>因此，在融合</w:t>
      </w:r>
      <w:r w:rsidRPr="009A7FDA">
        <w:rPr>
          <w:rFonts w:hint="eastAsia"/>
        </w:rPr>
        <w:t>的</w:t>
      </w:r>
      <w:r w:rsidRPr="009A7FDA">
        <w:t>ICT</w:t>
      </w:r>
      <w:r w:rsidRPr="009A7FDA">
        <w:t>生态系统中，电信发展局正特别努力与卫生</w:t>
      </w:r>
      <w:r w:rsidRPr="009A7FDA">
        <w:t>/</w:t>
      </w:r>
      <w:r w:rsidRPr="009A7FDA">
        <w:t>制药</w:t>
      </w:r>
      <w:r w:rsidRPr="009A7FDA">
        <w:rPr>
          <w:rFonts w:hint="eastAsia"/>
        </w:rPr>
        <w:t>、</w:t>
      </w:r>
      <w:r w:rsidRPr="009A7FDA">
        <w:t>金融或农业部门等其他行业的实体接触（例如，</w:t>
      </w:r>
      <w:r w:rsidRPr="009A7FDA">
        <w:t>2016</w:t>
      </w:r>
      <w:r w:rsidRPr="009A7FDA">
        <w:t>年与世界卫生组织</w:t>
      </w:r>
      <w:r w:rsidRPr="009A7FDA">
        <w:rPr>
          <w:rFonts w:hint="eastAsia"/>
        </w:rPr>
        <w:t>（</w:t>
      </w:r>
      <w:r w:rsidRPr="009A7FDA">
        <w:rPr>
          <w:rFonts w:hint="eastAsia"/>
        </w:rPr>
        <w:t>WHO</w:t>
      </w:r>
      <w:r w:rsidRPr="009A7FDA">
        <w:rPr>
          <w:rFonts w:hint="eastAsia"/>
        </w:rPr>
        <w:t>）、</w:t>
      </w:r>
      <w:r w:rsidRPr="009A7FDA">
        <w:t>挪威卫生</w:t>
      </w:r>
      <w:r w:rsidRPr="009A7FDA">
        <w:rPr>
          <w:rFonts w:hint="eastAsia"/>
        </w:rPr>
        <w:t>局（</w:t>
      </w:r>
      <w:r w:rsidRPr="009A7FDA">
        <w:t>NDH</w:t>
      </w:r>
      <w:r w:rsidRPr="009A7FDA">
        <w:rPr>
          <w:rFonts w:hint="eastAsia"/>
        </w:rPr>
        <w:t>）、赛诺菲</w:t>
      </w:r>
      <w:r w:rsidRPr="009A7FDA">
        <w:rPr>
          <w:rFonts w:hint="eastAsia"/>
        </w:rPr>
        <w:t>-</w:t>
      </w:r>
      <w:r w:rsidRPr="009A7FDA">
        <w:t>安万特集团</w:t>
      </w:r>
      <w:r w:rsidRPr="009A7FDA">
        <w:rPr>
          <w:rFonts w:hint="eastAsia"/>
        </w:rPr>
        <w:t>、金融包容联盟</w:t>
      </w:r>
      <w:r w:rsidRPr="009A7FDA">
        <w:t>（</w:t>
      </w:r>
      <w:r w:rsidRPr="009A7FDA">
        <w:t>AFI</w:t>
      </w:r>
      <w:r w:rsidRPr="009A7FDA">
        <w:t>），</w:t>
      </w:r>
      <w:r w:rsidRPr="009A7FDA">
        <w:rPr>
          <w:rFonts w:hint="eastAsia"/>
        </w:rPr>
        <w:t>世界粮农组织（</w:t>
      </w:r>
      <w:r w:rsidRPr="009A7FDA">
        <w:t>FAO</w:t>
      </w:r>
      <w:r w:rsidRPr="009A7FDA">
        <w:rPr>
          <w:rFonts w:hint="eastAsia"/>
        </w:rPr>
        <w:t>）</w:t>
      </w:r>
      <w:r w:rsidRPr="009A7FDA">
        <w:t>签署的伙伴关系），以支持其项目的实施。</w:t>
      </w:r>
    </w:p>
    <w:p w:rsidR="00AE054B" w:rsidRDefault="005F4F6D">
      <w:pPr>
        <w:pStyle w:val="Heading1"/>
        <w:rPr>
          <w:szCs w:val="28"/>
        </w:rPr>
      </w:pPr>
      <w:r>
        <w:rPr>
          <w:szCs w:val="28"/>
        </w:rPr>
        <w:t>4</w:t>
      </w:r>
      <w:r>
        <w:rPr>
          <w:szCs w:val="28"/>
        </w:rPr>
        <w:tab/>
      </w:r>
      <w:r>
        <w:rPr>
          <w:rFonts w:hint="eastAsia"/>
          <w:szCs w:val="28"/>
        </w:rPr>
        <w:t>结果</w:t>
      </w:r>
    </w:p>
    <w:p w:rsidR="00AE054B" w:rsidRDefault="005F4F6D">
      <w:pPr>
        <w:ind w:firstLineChars="200" w:firstLine="480"/>
        <w:rPr>
          <w:rFonts w:cs="Calibri"/>
          <w:szCs w:val="24"/>
        </w:rPr>
      </w:pPr>
      <w:r>
        <w:rPr>
          <w:rFonts w:hint="eastAsia"/>
          <w:szCs w:val="24"/>
        </w:rPr>
        <w:t>由于电信发展局在伙伴关系建设和资源筹措方面开展的工作，自</w:t>
      </w:r>
      <w:r>
        <w:rPr>
          <w:rFonts w:hint="eastAsia"/>
          <w:szCs w:val="24"/>
        </w:rPr>
        <w:t>201</w:t>
      </w:r>
      <w:r>
        <w:rPr>
          <w:szCs w:val="24"/>
        </w:rPr>
        <w:t>3</w:t>
      </w:r>
      <w:r>
        <w:rPr>
          <w:rFonts w:hint="eastAsia"/>
          <w:szCs w:val="24"/>
        </w:rPr>
        <w:t>年</w:t>
      </w:r>
      <w:r>
        <w:rPr>
          <w:szCs w:val="24"/>
        </w:rPr>
        <w:t>至</w:t>
      </w:r>
      <w:r>
        <w:rPr>
          <w:rFonts w:hint="eastAsia"/>
          <w:szCs w:val="24"/>
        </w:rPr>
        <w:t>201</w:t>
      </w:r>
      <w:r>
        <w:rPr>
          <w:szCs w:val="24"/>
        </w:rPr>
        <w:t>6</w:t>
      </w:r>
      <w:r>
        <w:rPr>
          <w:rFonts w:hint="eastAsia"/>
          <w:szCs w:val="24"/>
        </w:rPr>
        <w:t>年，</w:t>
      </w:r>
      <w:r>
        <w:rPr>
          <w:szCs w:val="24"/>
        </w:rPr>
        <w:t>约达成</w:t>
      </w:r>
      <w:r>
        <w:rPr>
          <w:rFonts w:hint="eastAsia"/>
          <w:szCs w:val="24"/>
        </w:rPr>
        <w:t>1</w:t>
      </w:r>
      <w:r>
        <w:rPr>
          <w:szCs w:val="24"/>
        </w:rPr>
        <w:t>74</w:t>
      </w:r>
      <w:r>
        <w:rPr>
          <w:rFonts w:hint="eastAsia"/>
          <w:szCs w:val="24"/>
        </w:rPr>
        <w:t>项</w:t>
      </w:r>
      <w:r>
        <w:rPr>
          <w:szCs w:val="24"/>
        </w:rPr>
        <w:t>新的协议和</w:t>
      </w:r>
      <w:r>
        <w:rPr>
          <w:szCs w:val="24"/>
        </w:rPr>
        <w:t>67</w:t>
      </w:r>
      <w:r>
        <w:rPr>
          <w:rFonts w:hint="eastAsia"/>
          <w:szCs w:val="24"/>
        </w:rPr>
        <w:t>项</w:t>
      </w:r>
      <w:r>
        <w:rPr>
          <w:szCs w:val="24"/>
        </w:rPr>
        <w:t>增补</w:t>
      </w:r>
      <w:r>
        <w:rPr>
          <w:rFonts w:hint="eastAsia"/>
          <w:szCs w:val="24"/>
        </w:rPr>
        <w:t>/</w:t>
      </w:r>
      <w:r>
        <w:rPr>
          <w:rFonts w:hint="eastAsia"/>
          <w:szCs w:val="24"/>
        </w:rPr>
        <w:t>修订</w:t>
      </w:r>
      <w:r>
        <w:rPr>
          <w:szCs w:val="24"/>
        </w:rPr>
        <w:t>，</w:t>
      </w:r>
      <w:r>
        <w:rPr>
          <w:rFonts w:hint="eastAsia"/>
          <w:szCs w:val="24"/>
        </w:rPr>
        <w:t>估计价值</w:t>
      </w:r>
      <w:r>
        <w:rPr>
          <w:szCs w:val="24"/>
        </w:rPr>
        <w:t>3 26</w:t>
      </w:r>
      <w:r>
        <w:rPr>
          <w:rFonts w:hint="eastAsia"/>
          <w:szCs w:val="24"/>
        </w:rPr>
        <w:t>0</w:t>
      </w:r>
      <w:r>
        <w:rPr>
          <w:rFonts w:hint="eastAsia"/>
          <w:szCs w:val="24"/>
        </w:rPr>
        <w:t>万</w:t>
      </w:r>
      <w:r>
        <w:rPr>
          <w:szCs w:val="24"/>
        </w:rPr>
        <w:t>美元</w:t>
      </w:r>
      <w:r>
        <w:rPr>
          <w:rFonts w:hint="eastAsia"/>
          <w:szCs w:val="24"/>
        </w:rPr>
        <w:t>。</w:t>
      </w:r>
      <w:r>
        <w:rPr>
          <w:bCs/>
          <w:szCs w:val="24"/>
        </w:rPr>
        <w:t>（</w:t>
      </w:r>
      <w:r>
        <w:rPr>
          <w:rFonts w:ascii="STKaiti" w:eastAsia="STKaiti" w:hAnsi="STKaiti" w:hint="eastAsia"/>
          <w:bCs/>
          <w:iCs/>
          <w:szCs w:val="24"/>
        </w:rPr>
        <w:t>更</w:t>
      </w:r>
      <w:r>
        <w:rPr>
          <w:rFonts w:ascii="STKaiti" w:eastAsia="STKaiti" w:hAnsi="STKaiti"/>
          <w:bCs/>
          <w:iCs/>
          <w:szCs w:val="24"/>
        </w:rPr>
        <w:t>多信息见</w:t>
      </w:r>
      <w:r>
        <w:rPr>
          <w:rFonts w:hint="eastAsia"/>
          <w:szCs w:val="24"/>
        </w:rPr>
        <w:t>INF/</w:t>
      </w:r>
      <w:r>
        <w:rPr>
          <w:szCs w:val="24"/>
        </w:rPr>
        <w:t>2</w:t>
      </w:r>
      <w:r>
        <w:rPr>
          <w:rFonts w:ascii="STKaiti" w:eastAsia="STKaiti" w:hAnsi="STKaiti" w:hint="eastAsia"/>
          <w:bCs/>
          <w:iCs/>
          <w:szCs w:val="24"/>
        </w:rPr>
        <w:t>号</w:t>
      </w:r>
      <w:r>
        <w:rPr>
          <w:rFonts w:ascii="STKaiti" w:eastAsia="STKaiti" w:hAnsi="STKaiti"/>
          <w:bCs/>
          <w:iCs/>
          <w:szCs w:val="24"/>
        </w:rPr>
        <w:t>情况通报</w:t>
      </w:r>
      <w:r>
        <w:rPr>
          <w:rFonts w:ascii="STKaiti" w:eastAsia="STKaiti" w:hAnsi="STKaiti" w:hint="eastAsia"/>
          <w:bCs/>
          <w:iCs/>
          <w:szCs w:val="24"/>
        </w:rPr>
        <w:t>文件</w:t>
      </w:r>
      <w:r>
        <w:rPr>
          <w:bCs/>
          <w:szCs w:val="24"/>
        </w:rPr>
        <w:t>）</w:t>
      </w:r>
    </w:p>
    <w:p w:rsidR="009A7FDA" w:rsidRPr="00A565EE" w:rsidRDefault="005F4F6D" w:rsidP="009A7FDA">
      <w:pPr>
        <w:pStyle w:val="ListParagraph1"/>
        <w:keepNext/>
        <w:spacing w:before="240"/>
        <w:ind w:left="0"/>
        <w:jc w:val="center"/>
        <w:rPr>
          <w:rFonts w:ascii="Calibri" w:hAnsi="Calibri" w:cs="Calibri"/>
          <w:b/>
          <w:bCs w:val="0"/>
          <w:i/>
          <w:iCs/>
          <w:sz w:val="24"/>
          <w:szCs w:val="24"/>
        </w:rPr>
      </w:pPr>
      <w:r>
        <w:rPr>
          <w:rFonts w:ascii="Calibri" w:eastAsia="STKaiti" w:hAnsi="Calibri" w:cs="Microsoft YaHei"/>
          <w:b/>
          <w:iCs/>
          <w:sz w:val="24"/>
          <w:szCs w:val="24"/>
        </w:rPr>
        <w:lastRenderedPageBreak/>
        <w:t>图表：</w:t>
      </w:r>
      <w:r>
        <w:rPr>
          <w:rFonts w:ascii="Calibri" w:eastAsia="STKaiti" w:hAnsi="Calibri"/>
          <w:b/>
          <w:iCs/>
          <w:sz w:val="24"/>
          <w:szCs w:val="24"/>
        </w:rPr>
        <w:t>2013</w:t>
      </w:r>
      <w:r>
        <w:rPr>
          <w:rFonts w:ascii="Calibri" w:eastAsia="STKaiti" w:hAnsi="Calibri" w:cs="Microsoft YaHei"/>
          <w:b/>
          <w:iCs/>
          <w:sz w:val="24"/>
          <w:szCs w:val="24"/>
        </w:rPr>
        <w:t>年至</w:t>
      </w:r>
      <w:r>
        <w:rPr>
          <w:rFonts w:ascii="Calibri" w:eastAsia="STKaiti" w:hAnsi="Calibri"/>
          <w:b/>
          <w:iCs/>
          <w:sz w:val="24"/>
          <w:szCs w:val="24"/>
        </w:rPr>
        <w:t>2016</w:t>
      </w:r>
      <w:r>
        <w:rPr>
          <w:rFonts w:ascii="Calibri" w:eastAsia="STKaiti" w:hAnsi="Calibri" w:cs="Microsoft YaHei"/>
          <w:b/>
          <w:iCs/>
          <w:sz w:val="24"/>
          <w:szCs w:val="24"/>
        </w:rPr>
        <w:t>年期间签署的新协议分析</w:t>
      </w:r>
      <w:r>
        <w:rPr>
          <w:rStyle w:val="FootnoteReference"/>
          <w:sz w:val="24"/>
          <w:szCs w:val="24"/>
          <w:vertAlign w:val="superscript"/>
        </w:rPr>
        <w:footnoteReference w:id="4"/>
      </w:r>
    </w:p>
    <w:p w:rsidR="009A7FDA" w:rsidRPr="00A565EE" w:rsidRDefault="009A7FDA" w:rsidP="009A7FDA">
      <w:pPr>
        <w:rPr>
          <w:rFonts w:cs="Calibri"/>
          <w:szCs w:val="24"/>
        </w:rPr>
      </w:pPr>
      <w:r w:rsidRPr="00A565EE">
        <w:rPr>
          <w:noProof/>
          <w:szCs w:val="24"/>
        </w:rPr>
        <w:drawing>
          <wp:anchor distT="0" distB="0" distL="114300" distR="114300" simplePos="0" relativeHeight="251667456" behindDoc="0" locked="0" layoutInCell="1" allowOverlap="1" wp14:anchorId="4ADF3CC2" wp14:editId="712AC2BA">
            <wp:simplePos x="0" y="0"/>
            <wp:positionH relativeFrom="column">
              <wp:posOffset>3810</wp:posOffset>
            </wp:positionH>
            <wp:positionV relativeFrom="paragraph">
              <wp:posOffset>0</wp:posOffset>
            </wp:positionV>
            <wp:extent cx="2838450" cy="1966595"/>
            <wp:effectExtent l="0" t="0" r="0" b="14605"/>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A565EE">
        <w:rPr>
          <w:noProof/>
          <w:szCs w:val="24"/>
        </w:rPr>
        <w:drawing>
          <wp:inline distT="0" distB="0" distL="0" distR="0" wp14:anchorId="107D5B20" wp14:editId="341D905A">
            <wp:extent cx="3057525" cy="197167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7FDA" w:rsidRPr="00A565EE" w:rsidRDefault="009A7FDA" w:rsidP="009A7FDA">
      <w:pPr>
        <w:rPr>
          <w:rFonts w:cs="Calibri"/>
          <w:szCs w:val="24"/>
        </w:rPr>
      </w:pPr>
    </w:p>
    <w:p w:rsidR="009A7FDA" w:rsidRPr="00A565EE" w:rsidRDefault="009A7FDA" w:rsidP="009A7FDA">
      <w:pPr>
        <w:pStyle w:val="ListParagraph"/>
        <w:spacing w:before="0"/>
        <w:ind w:left="0"/>
        <w:contextualSpacing w:val="0"/>
        <w:jc w:val="center"/>
        <w:rPr>
          <w:rFonts w:ascii="Calibri" w:hAnsi="Calibri" w:cs="Calibri"/>
          <w:sz w:val="24"/>
          <w:szCs w:val="24"/>
        </w:rPr>
      </w:pPr>
      <w:r w:rsidRPr="00CD3943">
        <w:rPr>
          <w:rFonts w:cs="Calibri"/>
          <w:b/>
          <w:bCs w:val="0"/>
          <w:noProof/>
        </w:rPr>
        <mc:AlternateContent>
          <mc:Choice Requires="wps">
            <w:drawing>
              <wp:anchor distT="0" distB="0" distL="114300" distR="114300" simplePos="0" relativeHeight="251672576" behindDoc="0" locked="0" layoutInCell="1" allowOverlap="1" wp14:anchorId="6D37893C" wp14:editId="0698BA03">
                <wp:simplePos x="0" y="0"/>
                <wp:positionH relativeFrom="column">
                  <wp:posOffset>832485</wp:posOffset>
                </wp:positionH>
                <wp:positionV relativeFrom="paragraph">
                  <wp:posOffset>447039</wp:posOffset>
                </wp:positionV>
                <wp:extent cx="1152525" cy="19145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152525" cy="19145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A7FDA" w:rsidRPr="001A299F" w:rsidRDefault="009A7FDA" w:rsidP="009A7FDA">
                            <w:pPr>
                              <w:spacing w:before="0" w:after="60"/>
                              <w:jc w:val="right"/>
                              <w:rPr>
                                <w:rFonts w:eastAsiaTheme="minorEastAsia" w:cs="Calibri" w:hint="eastAsia"/>
                                <w:sz w:val="16"/>
                                <w:szCs w:val="16"/>
                              </w:rPr>
                            </w:pPr>
                            <w:r w:rsidRPr="009A7FDA">
                              <w:rPr>
                                <w:rFonts w:eastAsiaTheme="minorEastAsia" w:cs="Calibri" w:hint="eastAsia"/>
                                <w:sz w:val="18"/>
                                <w:szCs w:val="18"/>
                              </w:rPr>
                              <w:t>统计和</w:t>
                            </w:r>
                            <w:r w:rsidRPr="009A7FDA">
                              <w:rPr>
                                <w:rFonts w:eastAsiaTheme="minorEastAsia" w:cs="Calibri"/>
                                <w:sz w:val="18"/>
                                <w:szCs w:val="18"/>
                              </w:rPr>
                              <w:t>指标</w:t>
                            </w:r>
                          </w:p>
                          <w:p w:rsidR="009A7FDA" w:rsidRPr="001A299F" w:rsidRDefault="009A7FDA" w:rsidP="009A7FDA">
                            <w:pPr>
                              <w:spacing w:before="0" w:after="60"/>
                              <w:jc w:val="right"/>
                              <w:rPr>
                                <w:rFonts w:eastAsiaTheme="minorEastAsia" w:cs="Calibri" w:hint="eastAsia"/>
                                <w:sz w:val="18"/>
                                <w:szCs w:val="18"/>
                              </w:rPr>
                            </w:pPr>
                            <w:r>
                              <w:rPr>
                                <w:rFonts w:eastAsiaTheme="minorEastAsia" w:cs="Calibri" w:hint="eastAsia"/>
                                <w:sz w:val="18"/>
                                <w:szCs w:val="18"/>
                              </w:rPr>
                              <w:t>创新</w:t>
                            </w:r>
                          </w:p>
                          <w:p w:rsidR="009A7FDA" w:rsidRPr="001A299F" w:rsidRDefault="009A7FDA" w:rsidP="009A7FDA">
                            <w:pPr>
                              <w:spacing w:before="0" w:after="60"/>
                              <w:jc w:val="right"/>
                              <w:rPr>
                                <w:rFonts w:eastAsiaTheme="minorEastAsia" w:cs="Calibri"/>
                                <w:sz w:val="18"/>
                                <w:szCs w:val="18"/>
                              </w:rPr>
                            </w:pPr>
                            <w:r w:rsidRPr="001A299F">
                              <w:rPr>
                                <w:rFonts w:asciiTheme="minorEastAsia" w:eastAsiaTheme="minorEastAsia" w:hAnsiTheme="minorEastAsia" w:cs="Calibri"/>
                                <w:sz w:val="18"/>
                                <w:szCs w:val="18"/>
                              </w:rPr>
                              <w:t>数字包容性</w:t>
                            </w:r>
                          </w:p>
                          <w:p w:rsidR="009A7FDA" w:rsidRPr="001A299F" w:rsidRDefault="009A7FDA" w:rsidP="009A7FDA">
                            <w:pPr>
                              <w:spacing w:before="0" w:after="60"/>
                              <w:jc w:val="right"/>
                              <w:rPr>
                                <w:rFonts w:eastAsiaTheme="minorEastAsia" w:cs="Calibri"/>
                                <w:sz w:val="18"/>
                                <w:szCs w:val="18"/>
                              </w:rPr>
                            </w:pPr>
                            <w:r w:rsidRPr="001A299F">
                              <w:rPr>
                                <w:rFonts w:asciiTheme="minorEastAsia" w:eastAsiaTheme="minorEastAsia" w:hAnsiTheme="minorEastAsia" w:cs="Calibri"/>
                                <w:sz w:val="18"/>
                                <w:szCs w:val="18"/>
                              </w:rPr>
                              <w:t>应急通信</w:t>
                            </w:r>
                          </w:p>
                          <w:p w:rsidR="009A7FDA" w:rsidRPr="001A299F" w:rsidRDefault="009A7FDA" w:rsidP="009A7FDA">
                            <w:pPr>
                              <w:spacing w:before="0" w:after="60"/>
                              <w:jc w:val="right"/>
                              <w:rPr>
                                <w:rFonts w:eastAsiaTheme="minorEastAsia" w:cs="Calibri"/>
                                <w:sz w:val="18"/>
                                <w:szCs w:val="18"/>
                              </w:rPr>
                            </w:pPr>
                            <w:r w:rsidRPr="001A299F">
                              <w:rPr>
                                <w:rFonts w:eastAsiaTheme="minorEastAsia" w:cs="Calibri"/>
                                <w:sz w:val="18"/>
                                <w:szCs w:val="18"/>
                              </w:rPr>
                              <w:t>一般性</w:t>
                            </w:r>
                          </w:p>
                          <w:p w:rsidR="009A7FDA" w:rsidRPr="001A299F" w:rsidRDefault="009A7FDA" w:rsidP="009A7FDA">
                            <w:pPr>
                              <w:spacing w:before="0" w:after="60"/>
                              <w:jc w:val="right"/>
                              <w:rPr>
                                <w:rFonts w:eastAsiaTheme="minorEastAsia" w:cs="Calibri"/>
                                <w:sz w:val="18"/>
                                <w:szCs w:val="18"/>
                              </w:rPr>
                            </w:pPr>
                            <w:r w:rsidRPr="001A299F">
                              <w:rPr>
                                <w:rFonts w:eastAsiaTheme="minorEastAsia" w:cs="Calibri"/>
                                <w:sz w:val="18"/>
                                <w:szCs w:val="18"/>
                              </w:rPr>
                              <w:t>有利环境</w:t>
                            </w:r>
                          </w:p>
                          <w:p w:rsidR="009A7FDA" w:rsidRPr="001A299F" w:rsidRDefault="009A7FDA" w:rsidP="009A7FDA">
                            <w:pPr>
                              <w:spacing w:before="0" w:after="60"/>
                              <w:jc w:val="right"/>
                              <w:rPr>
                                <w:rFonts w:eastAsiaTheme="minorEastAsia" w:cs="Calibri"/>
                                <w:sz w:val="18"/>
                                <w:szCs w:val="18"/>
                              </w:rPr>
                            </w:pPr>
                            <w:r w:rsidRPr="001A299F">
                              <w:rPr>
                                <w:sz w:val="18"/>
                                <w:szCs w:val="18"/>
                              </w:rPr>
                              <w:t>ICT</w:t>
                            </w:r>
                            <w:r w:rsidRPr="001A299F">
                              <w:rPr>
                                <w:rFonts w:eastAsiaTheme="minorEastAsia" w:cs="Calibri"/>
                                <w:sz w:val="18"/>
                                <w:szCs w:val="18"/>
                              </w:rPr>
                              <w:t>应用</w:t>
                            </w:r>
                          </w:p>
                          <w:p w:rsidR="009A7FDA" w:rsidRPr="001A299F" w:rsidRDefault="009A7FDA" w:rsidP="009A7FDA">
                            <w:pPr>
                              <w:spacing w:before="0" w:after="60"/>
                              <w:jc w:val="right"/>
                              <w:rPr>
                                <w:rFonts w:eastAsiaTheme="minorEastAsia" w:cs="Calibri"/>
                                <w:sz w:val="18"/>
                                <w:szCs w:val="18"/>
                              </w:rPr>
                            </w:pPr>
                            <w:r w:rsidRPr="001A299F">
                              <w:rPr>
                                <w:rFonts w:eastAsiaTheme="minorEastAsia" w:cs="Calibri"/>
                                <w:sz w:val="18"/>
                                <w:szCs w:val="18"/>
                              </w:rPr>
                              <w:t>网络安全</w:t>
                            </w:r>
                          </w:p>
                          <w:p w:rsidR="009A7FDA" w:rsidRPr="001A299F" w:rsidRDefault="009A7FDA" w:rsidP="009A7FDA">
                            <w:pPr>
                              <w:spacing w:before="0" w:after="60"/>
                              <w:jc w:val="right"/>
                              <w:rPr>
                                <w:rFonts w:eastAsiaTheme="minorEastAsia" w:cs="Calibri"/>
                                <w:sz w:val="18"/>
                                <w:szCs w:val="18"/>
                              </w:rPr>
                            </w:pPr>
                            <w:r w:rsidRPr="001A299F">
                              <w:rPr>
                                <w:rFonts w:eastAsiaTheme="minorEastAsia" w:cs="Calibri"/>
                                <w:sz w:val="18"/>
                                <w:szCs w:val="18"/>
                              </w:rPr>
                              <w:t>基础实施</w:t>
                            </w:r>
                          </w:p>
                          <w:p w:rsidR="009A7FDA" w:rsidRPr="001A299F" w:rsidRDefault="009A7FDA" w:rsidP="009A7FDA">
                            <w:pPr>
                              <w:spacing w:before="0" w:after="60"/>
                              <w:jc w:val="right"/>
                              <w:rPr>
                                <w:rFonts w:eastAsiaTheme="minorEastAsia" w:cs="Calibri"/>
                                <w:sz w:val="18"/>
                                <w:szCs w:val="18"/>
                              </w:rPr>
                            </w:pPr>
                            <w:r w:rsidRPr="001A299F">
                              <w:rPr>
                                <w:rFonts w:eastAsiaTheme="minorEastAsia" w:cs="Calibri"/>
                                <w:sz w:val="18"/>
                                <w:szCs w:val="18"/>
                              </w:rPr>
                              <w:t>能力建设</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7893C" id="_x0000_t202" coordsize="21600,21600" o:spt="202" path="m,l,21600r21600,l21600,xe">
                <v:stroke joinstyle="miter"/>
                <v:path gradientshapeok="t" o:connecttype="rect"/>
              </v:shapetype>
              <v:shape id="Text Box 13" o:spid="_x0000_s1026" type="#_x0000_t202" style="position:absolute;left:0;text-align:left;margin-left:65.55pt;margin-top:35.2pt;width:90.75pt;height:15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" fillcolor="white [3212]" strokecolor="white [3212]" strokeweight=".5pt">
                <v:textbox inset="1mm,1mm,1mm,1mm">
                  <w:txbxContent>
                    <w:p w:rsidR="009A7FDA" w:rsidRPr="001A299F" w:rsidRDefault="009A7FDA" w:rsidP="009A7FDA">
                      <w:pPr>
                        <w:spacing w:before="0" w:after="60"/>
                        <w:jc w:val="right"/>
                        <w:rPr>
                          <w:rFonts w:eastAsiaTheme="minorEastAsia" w:cs="Calibri" w:hint="eastAsia"/>
                          <w:sz w:val="16"/>
                          <w:szCs w:val="16"/>
                        </w:rPr>
                      </w:pPr>
                      <w:r w:rsidRPr="009A7FDA">
                        <w:rPr>
                          <w:rFonts w:eastAsiaTheme="minorEastAsia" w:cs="Calibri" w:hint="eastAsia"/>
                          <w:sz w:val="18"/>
                          <w:szCs w:val="18"/>
                        </w:rPr>
                        <w:t>统计和</w:t>
                      </w:r>
                      <w:r w:rsidRPr="009A7FDA">
                        <w:rPr>
                          <w:rFonts w:eastAsiaTheme="minorEastAsia" w:cs="Calibri"/>
                          <w:sz w:val="18"/>
                          <w:szCs w:val="18"/>
                        </w:rPr>
                        <w:t>指标</w:t>
                      </w:r>
                    </w:p>
                    <w:p w:rsidR="009A7FDA" w:rsidRPr="001A299F" w:rsidRDefault="009A7FDA" w:rsidP="009A7FDA">
                      <w:pPr>
                        <w:spacing w:before="0" w:after="60"/>
                        <w:jc w:val="right"/>
                        <w:rPr>
                          <w:rFonts w:eastAsiaTheme="minorEastAsia" w:cs="Calibri" w:hint="eastAsia"/>
                          <w:sz w:val="18"/>
                          <w:szCs w:val="18"/>
                        </w:rPr>
                      </w:pPr>
                      <w:r>
                        <w:rPr>
                          <w:rFonts w:eastAsiaTheme="minorEastAsia" w:cs="Calibri" w:hint="eastAsia"/>
                          <w:sz w:val="18"/>
                          <w:szCs w:val="18"/>
                        </w:rPr>
                        <w:t>创新</w:t>
                      </w:r>
                    </w:p>
                    <w:p w:rsidR="009A7FDA" w:rsidRPr="001A299F" w:rsidRDefault="009A7FDA" w:rsidP="009A7FDA">
                      <w:pPr>
                        <w:spacing w:before="0" w:after="60"/>
                        <w:jc w:val="right"/>
                        <w:rPr>
                          <w:rFonts w:eastAsiaTheme="minorEastAsia" w:cs="Calibri"/>
                          <w:sz w:val="18"/>
                          <w:szCs w:val="18"/>
                        </w:rPr>
                      </w:pPr>
                      <w:r w:rsidRPr="001A299F">
                        <w:rPr>
                          <w:rFonts w:asciiTheme="minorEastAsia" w:eastAsiaTheme="minorEastAsia" w:hAnsiTheme="minorEastAsia" w:cs="Calibri"/>
                          <w:sz w:val="18"/>
                          <w:szCs w:val="18"/>
                        </w:rPr>
                        <w:t>数字包容性</w:t>
                      </w:r>
                    </w:p>
                    <w:p w:rsidR="009A7FDA" w:rsidRPr="001A299F" w:rsidRDefault="009A7FDA" w:rsidP="009A7FDA">
                      <w:pPr>
                        <w:spacing w:before="0" w:after="60"/>
                        <w:jc w:val="right"/>
                        <w:rPr>
                          <w:rFonts w:eastAsiaTheme="minorEastAsia" w:cs="Calibri"/>
                          <w:sz w:val="18"/>
                          <w:szCs w:val="18"/>
                        </w:rPr>
                      </w:pPr>
                      <w:r w:rsidRPr="001A299F">
                        <w:rPr>
                          <w:rFonts w:asciiTheme="minorEastAsia" w:eastAsiaTheme="minorEastAsia" w:hAnsiTheme="minorEastAsia" w:cs="Calibri"/>
                          <w:sz w:val="18"/>
                          <w:szCs w:val="18"/>
                        </w:rPr>
                        <w:t>应急通信</w:t>
                      </w:r>
                    </w:p>
                    <w:p w:rsidR="009A7FDA" w:rsidRPr="001A299F" w:rsidRDefault="009A7FDA" w:rsidP="009A7FDA">
                      <w:pPr>
                        <w:spacing w:before="0" w:after="60"/>
                        <w:jc w:val="right"/>
                        <w:rPr>
                          <w:rFonts w:eastAsiaTheme="minorEastAsia" w:cs="Calibri"/>
                          <w:sz w:val="18"/>
                          <w:szCs w:val="18"/>
                        </w:rPr>
                      </w:pPr>
                      <w:r w:rsidRPr="001A299F">
                        <w:rPr>
                          <w:rFonts w:eastAsiaTheme="minorEastAsia" w:cs="Calibri"/>
                          <w:sz w:val="18"/>
                          <w:szCs w:val="18"/>
                        </w:rPr>
                        <w:t>一般性</w:t>
                      </w:r>
                    </w:p>
                    <w:p w:rsidR="009A7FDA" w:rsidRPr="001A299F" w:rsidRDefault="009A7FDA" w:rsidP="009A7FDA">
                      <w:pPr>
                        <w:spacing w:before="0" w:after="60"/>
                        <w:jc w:val="right"/>
                        <w:rPr>
                          <w:rFonts w:eastAsiaTheme="minorEastAsia" w:cs="Calibri"/>
                          <w:sz w:val="18"/>
                          <w:szCs w:val="18"/>
                        </w:rPr>
                      </w:pPr>
                      <w:r w:rsidRPr="001A299F">
                        <w:rPr>
                          <w:rFonts w:eastAsiaTheme="minorEastAsia" w:cs="Calibri"/>
                          <w:sz w:val="18"/>
                          <w:szCs w:val="18"/>
                        </w:rPr>
                        <w:t>有利环境</w:t>
                      </w:r>
                    </w:p>
                    <w:p w:rsidR="009A7FDA" w:rsidRPr="001A299F" w:rsidRDefault="009A7FDA" w:rsidP="009A7FDA">
                      <w:pPr>
                        <w:spacing w:before="0" w:after="60"/>
                        <w:jc w:val="right"/>
                        <w:rPr>
                          <w:rFonts w:eastAsiaTheme="minorEastAsia" w:cs="Calibri"/>
                          <w:sz w:val="18"/>
                          <w:szCs w:val="18"/>
                        </w:rPr>
                      </w:pPr>
                      <w:r w:rsidRPr="001A299F">
                        <w:rPr>
                          <w:sz w:val="18"/>
                          <w:szCs w:val="18"/>
                        </w:rPr>
                        <w:t>ICT</w:t>
                      </w:r>
                      <w:r w:rsidRPr="001A299F">
                        <w:rPr>
                          <w:rFonts w:eastAsiaTheme="minorEastAsia" w:cs="Calibri"/>
                          <w:sz w:val="18"/>
                          <w:szCs w:val="18"/>
                        </w:rPr>
                        <w:t>应用</w:t>
                      </w:r>
                    </w:p>
                    <w:p w:rsidR="009A7FDA" w:rsidRPr="001A299F" w:rsidRDefault="009A7FDA" w:rsidP="009A7FDA">
                      <w:pPr>
                        <w:spacing w:before="0" w:after="60"/>
                        <w:jc w:val="right"/>
                        <w:rPr>
                          <w:rFonts w:eastAsiaTheme="minorEastAsia" w:cs="Calibri"/>
                          <w:sz w:val="18"/>
                          <w:szCs w:val="18"/>
                        </w:rPr>
                      </w:pPr>
                      <w:r w:rsidRPr="001A299F">
                        <w:rPr>
                          <w:rFonts w:eastAsiaTheme="minorEastAsia" w:cs="Calibri"/>
                          <w:sz w:val="18"/>
                          <w:szCs w:val="18"/>
                        </w:rPr>
                        <w:t>网络安全</w:t>
                      </w:r>
                    </w:p>
                    <w:p w:rsidR="009A7FDA" w:rsidRPr="001A299F" w:rsidRDefault="009A7FDA" w:rsidP="009A7FDA">
                      <w:pPr>
                        <w:spacing w:before="0" w:after="60"/>
                        <w:jc w:val="right"/>
                        <w:rPr>
                          <w:rFonts w:eastAsiaTheme="minorEastAsia" w:cs="Calibri"/>
                          <w:sz w:val="18"/>
                          <w:szCs w:val="18"/>
                        </w:rPr>
                      </w:pPr>
                      <w:r w:rsidRPr="001A299F">
                        <w:rPr>
                          <w:rFonts w:eastAsiaTheme="minorEastAsia" w:cs="Calibri"/>
                          <w:sz w:val="18"/>
                          <w:szCs w:val="18"/>
                        </w:rPr>
                        <w:t>基础实施</w:t>
                      </w:r>
                    </w:p>
                    <w:p w:rsidR="009A7FDA" w:rsidRPr="001A299F" w:rsidRDefault="009A7FDA" w:rsidP="009A7FDA">
                      <w:pPr>
                        <w:spacing w:before="0" w:after="60"/>
                        <w:jc w:val="right"/>
                        <w:rPr>
                          <w:rFonts w:eastAsiaTheme="minorEastAsia" w:cs="Calibri"/>
                          <w:sz w:val="18"/>
                          <w:szCs w:val="18"/>
                        </w:rPr>
                      </w:pPr>
                      <w:r w:rsidRPr="001A299F">
                        <w:rPr>
                          <w:rFonts w:eastAsiaTheme="minorEastAsia" w:cs="Calibri"/>
                          <w:sz w:val="18"/>
                          <w:szCs w:val="18"/>
                        </w:rPr>
                        <w:t>能力建设</w:t>
                      </w:r>
                    </w:p>
                  </w:txbxContent>
                </v:textbox>
              </v:shape>
            </w:pict>
          </mc:Fallback>
        </mc:AlternateContent>
      </w:r>
      <w:r w:rsidRPr="00A565EE">
        <w:rPr>
          <w:noProof/>
          <w:sz w:val="24"/>
          <w:szCs w:val="24"/>
        </w:rPr>
        <w:drawing>
          <wp:inline distT="0" distB="0" distL="0" distR="0" wp14:anchorId="2C24B844" wp14:editId="17BDE4DE">
            <wp:extent cx="4562475" cy="2590800"/>
            <wp:effectExtent l="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7FDA" w:rsidRPr="00A565EE" w:rsidRDefault="009A7FDA" w:rsidP="009A7FDA">
      <w:pPr>
        <w:pStyle w:val="ListParagraph"/>
        <w:spacing w:before="0"/>
        <w:ind w:left="0"/>
        <w:contextualSpacing w:val="0"/>
        <w:jc w:val="center"/>
        <w:rPr>
          <w:rFonts w:ascii="Calibri" w:hAnsi="Calibri" w:cs="Calibri"/>
          <w:sz w:val="24"/>
          <w:szCs w:val="24"/>
        </w:rPr>
      </w:pPr>
    </w:p>
    <w:p w:rsidR="009A7FDA" w:rsidRPr="00A565EE" w:rsidRDefault="009A7FDA" w:rsidP="009A7FDA">
      <w:pPr>
        <w:pStyle w:val="ListParagraph"/>
        <w:spacing w:before="0"/>
        <w:ind w:left="0"/>
        <w:contextualSpacing w:val="0"/>
        <w:rPr>
          <w:rFonts w:ascii="Calibri" w:hAnsi="Calibri" w:cs="Calibri"/>
          <w:sz w:val="24"/>
          <w:szCs w:val="24"/>
        </w:rPr>
      </w:pPr>
      <w:r w:rsidRPr="00CD3943">
        <w:rPr>
          <w:rFonts w:cs="Calibri"/>
          <w:b/>
          <w:bCs w:val="0"/>
          <w:noProof/>
        </w:rPr>
        <mc:AlternateContent>
          <mc:Choice Requires="wps">
            <w:drawing>
              <wp:anchor distT="0" distB="0" distL="114300" distR="114300" simplePos="0" relativeHeight="251670528" behindDoc="0" locked="0" layoutInCell="1" allowOverlap="1" wp14:anchorId="6B01DC28" wp14:editId="4167DD9F">
                <wp:simplePos x="0" y="0"/>
                <wp:positionH relativeFrom="margin">
                  <wp:posOffset>1527810</wp:posOffset>
                </wp:positionH>
                <wp:positionV relativeFrom="paragraph">
                  <wp:posOffset>2180590</wp:posOffset>
                </wp:positionV>
                <wp:extent cx="1123950" cy="2762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7FDA" w:rsidRPr="00354EE4" w:rsidRDefault="009A7FDA" w:rsidP="009A7FDA">
                            <w:pPr>
                              <w:rPr>
                                <w:rFonts w:eastAsiaTheme="minorEastAsia"/>
                                <w:sz w:val="18"/>
                                <w:szCs w:val="18"/>
                              </w:rPr>
                            </w:pPr>
                            <w:r w:rsidRPr="00680B92">
                              <w:rPr>
                                <w:rFonts w:ascii="Times New Roman" w:hAnsi="Times New Roman" w:hint="eastAsia"/>
                                <w:sz w:val="16"/>
                                <w:szCs w:val="16"/>
                              </w:rPr>
                              <w:t>非</w:t>
                            </w:r>
                            <w:r w:rsidRPr="00680B92">
                              <w:rPr>
                                <w:rFonts w:ascii="Times New Roman" w:hAnsi="Times New Roman"/>
                                <w:sz w:val="16"/>
                                <w:szCs w:val="16"/>
                              </w:rPr>
                              <w:t>ITU-D</w:t>
                            </w:r>
                            <w:r w:rsidRPr="00680B92">
                              <w:rPr>
                                <w:rFonts w:ascii="Times New Roman" w:hAnsi="Times New Roman" w:hint="eastAsia"/>
                                <w:sz w:val="16"/>
                                <w:szCs w:val="16"/>
                              </w:rPr>
                              <w:t>成员</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1DC28" id="Text Box 14" o:spid="_x0000_s1027" type="#_x0000_t202" style="position:absolute;margin-left:120.3pt;margin-top:171.7pt;width:88.5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" fillcolor="white [3212]" stroked="f" strokeweight=".5pt">
                <v:textbox inset="1mm,0,0,0">
                  <w:txbxContent>
                    <w:p w:rsidR="009A7FDA" w:rsidRPr="00354EE4" w:rsidRDefault="009A7FDA" w:rsidP="009A7FDA">
                      <w:pPr>
                        <w:rPr>
                          <w:rFonts w:eastAsiaTheme="minorEastAsia"/>
                          <w:sz w:val="18"/>
                          <w:szCs w:val="18"/>
                        </w:rPr>
                      </w:pPr>
                      <w:r w:rsidRPr="00680B92">
                        <w:rPr>
                          <w:rFonts w:ascii="Times New Roman" w:hAnsi="Times New Roman" w:hint="eastAsia"/>
                          <w:sz w:val="16"/>
                          <w:szCs w:val="16"/>
                        </w:rPr>
                        <w:t>非</w:t>
                      </w:r>
                      <w:r w:rsidRPr="00680B92">
                        <w:rPr>
                          <w:rFonts w:ascii="Times New Roman" w:hAnsi="Times New Roman"/>
                          <w:sz w:val="16"/>
                          <w:szCs w:val="16"/>
                        </w:rPr>
                        <w:t>ITU-D</w:t>
                      </w:r>
                      <w:r w:rsidRPr="00680B92">
                        <w:rPr>
                          <w:rFonts w:ascii="Times New Roman" w:hAnsi="Times New Roman" w:hint="eastAsia"/>
                          <w:sz w:val="16"/>
                          <w:szCs w:val="16"/>
                        </w:rPr>
                        <w:t>成员</w:t>
                      </w:r>
                    </w:p>
                  </w:txbxContent>
                </v:textbox>
                <w10:wrap anchorx="margin"/>
              </v:shape>
            </w:pict>
          </mc:Fallback>
        </mc:AlternateContent>
      </w:r>
      <w:r w:rsidRPr="00CD3943">
        <w:rPr>
          <w:rFonts w:cs="Calibri"/>
          <w:b/>
          <w:bCs w:val="0"/>
          <w:noProof/>
        </w:rPr>
        <mc:AlternateContent>
          <mc:Choice Requires="wps">
            <w:drawing>
              <wp:anchor distT="0" distB="0" distL="114300" distR="114300" simplePos="0" relativeHeight="251671552" behindDoc="0" locked="0" layoutInCell="1" allowOverlap="1" wp14:anchorId="48ADF69A" wp14:editId="54DA439E">
                <wp:simplePos x="0" y="0"/>
                <wp:positionH relativeFrom="margin">
                  <wp:posOffset>384811</wp:posOffset>
                </wp:positionH>
                <wp:positionV relativeFrom="paragraph">
                  <wp:posOffset>2180590</wp:posOffset>
                </wp:positionV>
                <wp:extent cx="933450" cy="2762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7FDA" w:rsidRPr="00354EE4" w:rsidRDefault="009A7FDA" w:rsidP="009A7FDA">
                            <w:pPr>
                              <w:rPr>
                                <w:rFonts w:eastAsiaTheme="minorEastAsia"/>
                                <w:sz w:val="18"/>
                                <w:szCs w:val="18"/>
                              </w:rPr>
                            </w:pPr>
                            <w:r w:rsidRPr="00680B92">
                              <w:rPr>
                                <w:rFonts w:ascii="Times New Roman" w:hAnsi="Times New Roman"/>
                                <w:sz w:val="16"/>
                                <w:szCs w:val="16"/>
                              </w:rPr>
                              <w:t>ITU-D</w:t>
                            </w:r>
                            <w:r w:rsidRPr="00680B92">
                              <w:rPr>
                                <w:rFonts w:ascii="Times New Roman" w:hAnsi="Times New Roman" w:hint="eastAsia"/>
                                <w:sz w:val="16"/>
                                <w:szCs w:val="16"/>
                              </w:rPr>
                              <w:t>成员</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DF69A" id="Text Box 15" o:spid="_x0000_s1028" type="#_x0000_t202" style="position:absolute;margin-left:30.3pt;margin-top:171.7pt;width:73.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" fillcolor="white [3212]" stroked="f" strokeweight=".5pt">
                <v:textbox inset="1mm,0,0,0">
                  <w:txbxContent>
                    <w:p w:rsidR="009A7FDA" w:rsidRPr="00354EE4" w:rsidRDefault="009A7FDA" w:rsidP="009A7FDA">
                      <w:pPr>
                        <w:rPr>
                          <w:rFonts w:eastAsiaTheme="minorEastAsia"/>
                          <w:sz w:val="18"/>
                          <w:szCs w:val="18"/>
                        </w:rPr>
                      </w:pPr>
                      <w:r w:rsidRPr="00680B92">
                        <w:rPr>
                          <w:rFonts w:ascii="Times New Roman" w:hAnsi="Times New Roman"/>
                          <w:sz w:val="16"/>
                          <w:szCs w:val="16"/>
                        </w:rPr>
                        <w:t>ITU-D</w:t>
                      </w:r>
                      <w:r w:rsidRPr="00680B92">
                        <w:rPr>
                          <w:rFonts w:ascii="Times New Roman" w:hAnsi="Times New Roman" w:hint="eastAsia"/>
                          <w:sz w:val="16"/>
                          <w:szCs w:val="16"/>
                        </w:rPr>
                        <w:t>成员</w:t>
                      </w:r>
                    </w:p>
                  </w:txbxContent>
                </v:textbox>
                <w10:wrap anchorx="margin"/>
              </v:shape>
            </w:pict>
          </mc:Fallback>
        </mc:AlternateContent>
      </w:r>
      <w:r w:rsidRPr="00CD3943">
        <w:rPr>
          <w:rFonts w:cs="Calibri"/>
          <w:b/>
          <w:bCs w:val="0"/>
          <w:noProof/>
        </w:rPr>
        <mc:AlternateContent>
          <mc:Choice Requires="wps">
            <w:drawing>
              <wp:anchor distT="0" distB="0" distL="114300" distR="114300" simplePos="0" relativeHeight="251669504" behindDoc="0" locked="0" layoutInCell="1" allowOverlap="1" wp14:anchorId="5460DDC9" wp14:editId="23295C9C">
                <wp:simplePos x="0" y="0"/>
                <wp:positionH relativeFrom="margin">
                  <wp:posOffset>4194810</wp:posOffset>
                </wp:positionH>
                <wp:positionV relativeFrom="paragraph">
                  <wp:posOffset>1751965</wp:posOffset>
                </wp:positionV>
                <wp:extent cx="438150" cy="2952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7FDA" w:rsidRPr="00354EE4" w:rsidRDefault="009A7FDA" w:rsidP="009A7FDA">
                            <w:pPr>
                              <w:rPr>
                                <w:rFonts w:eastAsiaTheme="minorEastAsia"/>
                                <w:sz w:val="18"/>
                                <w:szCs w:val="18"/>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0DDC9" id="Text Box 16" o:spid="_x0000_s1029" type="#_x0000_t202" style="position:absolute;margin-left:330.3pt;margin-top:137.95pt;width:34.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" fillcolor="white [3212]" stroked="f" strokeweight=".5pt">
                <v:textbox inset="1mm,0,0,0">
                  <w:txbxContent>
                    <w:p w:rsidR="009A7FDA" w:rsidRPr="00354EE4" w:rsidRDefault="009A7FDA" w:rsidP="009A7FDA">
                      <w:pPr>
                        <w:rPr>
                          <w:rFonts w:eastAsiaTheme="minorEastAsia"/>
                          <w:sz w:val="18"/>
                          <w:szCs w:val="18"/>
                        </w:rPr>
                      </w:pPr>
                    </w:p>
                  </w:txbxContent>
                </v:textbox>
                <w10:wrap anchorx="margin"/>
              </v:shape>
            </w:pict>
          </mc:Fallback>
        </mc:AlternateContent>
      </w:r>
      <w:r w:rsidRPr="00CD3943">
        <w:rPr>
          <w:rFonts w:cs="Calibri"/>
          <w:b/>
          <w:bCs w:val="0"/>
          <w:noProof/>
        </w:rPr>
        <mc:AlternateContent>
          <mc:Choice Requires="wps">
            <w:drawing>
              <wp:anchor distT="0" distB="0" distL="114300" distR="114300" simplePos="0" relativeHeight="251668480" behindDoc="0" locked="0" layoutInCell="1" allowOverlap="1" wp14:anchorId="04D2986E" wp14:editId="1E2E5994">
                <wp:simplePos x="0" y="0"/>
                <wp:positionH relativeFrom="margin">
                  <wp:posOffset>3137535</wp:posOffset>
                </wp:positionH>
                <wp:positionV relativeFrom="paragraph">
                  <wp:posOffset>1170940</wp:posOffset>
                </wp:positionV>
                <wp:extent cx="1190625" cy="11620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190625" cy="1162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7FDA" w:rsidRPr="00F92A54" w:rsidRDefault="009A7FDA" w:rsidP="009A7FDA">
                            <w:pPr>
                              <w:spacing w:before="60"/>
                              <w:rPr>
                                <w:rFonts w:eastAsiaTheme="minorEastAsia"/>
                                <w:sz w:val="18"/>
                                <w:szCs w:val="18"/>
                              </w:rPr>
                            </w:pPr>
                            <w:r>
                              <w:rPr>
                                <w:rFonts w:eastAsiaTheme="minorEastAsia" w:hint="eastAsia"/>
                                <w:sz w:val="18"/>
                                <w:szCs w:val="18"/>
                              </w:rPr>
                              <w:t>公共部门</w:t>
                            </w:r>
                          </w:p>
                          <w:p w:rsidR="009A7FDA" w:rsidRPr="00354EE4" w:rsidRDefault="009A7FDA" w:rsidP="009A7FDA">
                            <w:pPr>
                              <w:spacing w:before="60"/>
                              <w:rPr>
                                <w:rFonts w:eastAsiaTheme="minorEastAsia"/>
                                <w:sz w:val="18"/>
                                <w:szCs w:val="18"/>
                              </w:rPr>
                            </w:pPr>
                            <w:r>
                              <w:rPr>
                                <w:rFonts w:eastAsiaTheme="minorEastAsia" w:hint="eastAsia"/>
                                <w:sz w:val="18"/>
                                <w:szCs w:val="18"/>
                              </w:rPr>
                              <w:t>私营</w:t>
                            </w:r>
                            <w:r>
                              <w:rPr>
                                <w:rFonts w:eastAsiaTheme="minorEastAsia"/>
                                <w:sz w:val="18"/>
                                <w:szCs w:val="18"/>
                              </w:rPr>
                              <w:t>部门</w:t>
                            </w:r>
                          </w:p>
                          <w:p w:rsidR="009A7FDA" w:rsidRDefault="009A7FDA" w:rsidP="009A7FDA">
                            <w:pPr>
                              <w:spacing w:before="60"/>
                              <w:rPr>
                                <w:rFonts w:eastAsiaTheme="minorEastAsia"/>
                                <w:sz w:val="18"/>
                                <w:szCs w:val="18"/>
                              </w:rPr>
                            </w:pPr>
                            <w:r>
                              <w:rPr>
                                <w:rFonts w:eastAsiaTheme="minorEastAsia" w:hint="eastAsia"/>
                                <w:sz w:val="18"/>
                                <w:szCs w:val="18"/>
                              </w:rPr>
                              <w:t>联合国系统</w:t>
                            </w:r>
                          </w:p>
                          <w:p w:rsidR="009A7FDA" w:rsidRDefault="009A7FDA" w:rsidP="009A7FDA">
                            <w:pPr>
                              <w:spacing w:before="60"/>
                              <w:rPr>
                                <w:rFonts w:eastAsiaTheme="minorEastAsia"/>
                                <w:sz w:val="18"/>
                                <w:szCs w:val="18"/>
                              </w:rPr>
                            </w:pPr>
                            <w:r>
                              <w:rPr>
                                <w:rFonts w:eastAsiaTheme="minorEastAsia"/>
                                <w:sz w:val="18"/>
                                <w:szCs w:val="18"/>
                              </w:rPr>
                              <w:t>金融机构</w:t>
                            </w:r>
                            <w:r>
                              <w:rPr>
                                <w:rFonts w:eastAsiaTheme="minorEastAsia" w:hint="eastAsia"/>
                                <w:sz w:val="18"/>
                                <w:szCs w:val="18"/>
                              </w:rPr>
                              <w:t>/</w:t>
                            </w:r>
                            <w:r>
                              <w:rPr>
                                <w:rFonts w:eastAsiaTheme="minorEastAsia"/>
                                <w:sz w:val="18"/>
                                <w:szCs w:val="18"/>
                              </w:rPr>
                              <w:t>基金会</w:t>
                            </w:r>
                          </w:p>
                          <w:p w:rsidR="009A7FDA" w:rsidRDefault="009A7FDA" w:rsidP="009A7FDA">
                            <w:pPr>
                              <w:spacing w:before="60"/>
                              <w:rPr>
                                <w:rFonts w:eastAsiaTheme="minorEastAsia"/>
                                <w:sz w:val="18"/>
                                <w:szCs w:val="18"/>
                              </w:rPr>
                            </w:pPr>
                            <w:r>
                              <w:rPr>
                                <w:rFonts w:eastAsiaTheme="minorEastAsia" w:hint="eastAsia"/>
                                <w:sz w:val="18"/>
                                <w:szCs w:val="18"/>
                              </w:rPr>
                              <w:t>学术界</w:t>
                            </w:r>
                          </w:p>
                          <w:p w:rsidR="009A7FDA" w:rsidRPr="00354EE4" w:rsidRDefault="009A7FDA" w:rsidP="009A7FDA">
                            <w:pPr>
                              <w:spacing w:before="60"/>
                              <w:rPr>
                                <w:rFonts w:eastAsiaTheme="minorEastAsia"/>
                                <w:sz w:val="18"/>
                                <w:szCs w:val="18"/>
                              </w:rPr>
                            </w:pPr>
                            <w:r>
                              <w:rPr>
                                <w:rFonts w:eastAsiaTheme="minorEastAsia" w:hint="eastAsia"/>
                                <w:sz w:val="18"/>
                                <w:szCs w:val="18"/>
                              </w:rPr>
                              <w:t>组织</w:t>
                            </w:r>
                            <w:r>
                              <w:rPr>
                                <w:rFonts w:eastAsiaTheme="minorEastAsia" w:hint="eastAsia"/>
                                <w:sz w:val="18"/>
                                <w:szCs w:val="18"/>
                              </w:rPr>
                              <w:t xml:space="preserve"> (Reg/Int)</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2986E" id="Text Box 17" o:spid="_x0000_s1030" type="#_x0000_t202" style="position:absolute;margin-left:247.05pt;margin-top:92.2pt;width:93.75pt;height:9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" fillcolor="white [3212]" stroked="f" strokeweight=".5pt">
                <v:textbox inset="1mm,0,0,0">
                  <w:txbxContent>
                    <w:p w:rsidR="009A7FDA" w:rsidRPr="00F92A54" w:rsidRDefault="009A7FDA" w:rsidP="009A7FDA">
                      <w:pPr>
                        <w:spacing w:before="60"/>
                        <w:rPr>
                          <w:rFonts w:eastAsiaTheme="minorEastAsia"/>
                          <w:sz w:val="18"/>
                          <w:szCs w:val="18"/>
                        </w:rPr>
                      </w:pPr>
                      <w:r>
                        <w:rPr>
                          <w:rFonts w:eastAsiaTheme="minorEastAsia" w:hint="eastAsia"/>
                          <w:sz w:val="18"/>
                          <w:szCs w:val="18"/>
                        </w:rPr>
                        <w:t>公共部门</w:t>
                      </w:r>
                    </w:p>
                    <w:p w:rsidR="009A7FDA" w:rsidRPr="00354EE4" w:rsidRDefault="009A7FDA" w:rsidP="009A7FDA">
                      <w:pPr>
                        <w:spacing w:before="60"/>
                        <w:rPr>
                          <w:rFonts w:eastAsiaTheme="minorEastAsia"/>
                          <w:sz w:val="18"/>
                          <w:szCs w:val="18"/>
                        </w:rPr>
                      </w:pPr>
                      <w:r>
                        <w:rPr>
                          <w:rFonts w:eastAsiaTheme="minorEastAsia" w:hint="eastAsia"/>
                          <w:sz w:val="18"/>
                          <w:szCs w:val="18"/>
                        </w:rPr>
                        <w:t>私营</w:t>
                      </w:r>
                      <w:r>
                        <w:rPr>
                          <w:rFonts w:eastAsiaTheme="minorEastAsia"/>
                          <w:sz w:val="18"/>
                          <w:szCs w:val="18"/>
                        </w:rPr>
                        <w:t>部门</w:t>
                      </w:r>
                    </w:p>
                    <w:p w:rsidR="009A7FDA" w:rsidRDefault="009A7FDA" w:rsidP="009A7FDA">
                      <w:pPr>
                        <w:spacing w:before="60"/>
                        <w:rPr>
                          <w:rFonts w:eastAsiaTheme="minorEastAsia"/>
                          <w:sz w:val="18"/>
                          <w:szCs w:val="18"/>
                        </w:rPr>
                      </w:pPr>
                      <w:r>
                        <w:rPr>
                          <w:rFonts w:eastAsiaTheme="minorEastAsia" w:hint="eastAsia"/>
                          <w:sz w:val="18"/>
                          <w:szCs w:val="18"/>
                        </w:rPr>
                        <w:t>联合国系统</w:t>
                      </w:r>
                    </w:p>
                    <w:p w:rsidR="009A7FDA" w:rsidRDefault="009A7FDA" w:rsidP="009A7FDA">
                      <w:pPr>
                        <w:spacing w:before="60"/>
                        <w:rPr>
                          <w:rFonts w:eastAsiaTheme="minorEastAsia"/>
                          <w:sz w:val="18"/>
                          <w:szCs w:val="18"/>
                        </w:rPr>
                      </w:pPr>
                      <w:r>
                        <w:rPr>
                          <w:rFonts w:eastAsiaTheme="minorEastAsia"/>
                          <w:sz w:val="18"/>
                          <w:szCs w:val="18"/>
                        </w:rPr>
                        <w:t>金融机构</w:t>
                      </w:r>
                      <w:r>
                        <w:rPr>
                          <w:rFonts w:eastAsiaTheme="minorEastAsia" w:hint="eastAsia"/>
                          <w:sz w:val="18"/>
                          <w:szCs w:val="18"/>
                        </w:rPr>
                        <w:t>/</w:t>
                      </w:r>
                      <w:r>
                        <w:rPr>
                          <w:rFonts w:eastAsiaTheme="minorEastAsia"/>
                          <w:sz w:val="18"/>
                          <w:szCs w:val="18"/>
                        </w:rPr>
                        <w:t>基金会</w:t>
                      </w:r>
                    </w:p>
                    <w:p w:rsidR="009A7FDA" w:rsidRDefault="009A7FDA" w:rsidP="009A7FDA">
                      <w:pPr>
                        <w:spacing w:before="60"/>
                        <w:rPr>
                          <w:rFonts w:eastAsiaTheme="minorEastAsia"/>
                          <w:sz w:val="18"/>
                          <w:szCs w:val="18"/>
                        </w:rPr>
                      </w:pPr>
                      <w:r>
                        <w:rPr>
                          <w:rFonts w:eastAsiaTheme="minorEastAsia" w:hint="eastAsia"/>
                          <w:sz w:val="18"/>
                          <w:szCs w:val="18"/>
                        </w:rPr>
                        <w:t>学术界</w:t>
                      </w:r>
                    </w:p>
                    <w:p w:rsidR="009A7FDA" w:rsidRPr="00354EE4" w:rsidRDefault="009A7FDA" w:rsidP="009A7FDA">
                      <w:pPr>
                        <w:spacing w:before="60"/>
                        <w:rPr>
                          <w:rFonts w:eastAsiaTheme="minorEastAsia"/>
                          <w:sz w:val="18"/>
                          <w:szCs w:val="18"/>
                        </w:rPr>
                      </w:pPr>
                      <w:r>
                        <w:rPr>
                          <w:rFonts w:eastAsiaTheme="minorEastAsia" w:hint="eastAsia"/>
                          <w:sz w:val="18"/>
                          <w:szCs w:val="18"/>
                        </w:rPr>
                        <w:t>组织</w:t>
                      </w:r>
                      <w:r>
                        <w:rPr>
                          <w:rFonts w:eastAsiaTheme="minorEastAsia" w:hint="eastAsia"/>
                          <w:sz w:val="18"/>
                          <w:szCs w:val="18"/>
                        </w:rPr>
                        <w:t xml:space="preserve"> (Reg/Int)</w:t>
                      </w:r>
                    </w:p>
                  </w:txbxContent>
                </v:textbox>
                <w10:wrap anchorx="margin"/>
              </v:shape>
            </w:pict>
          </mc:Fallback>
        </mc:AlternateContent>
      </w:r>
      <w:r w:rsidRPr="00A565EE">
        <w:rPr>
          <w:noProof/>
          <w:sz w:val="24"/>
          <w:szCs w:val="24"/>
        </w:rPr>
        <w:drawing>
          <wp:inline distT="0" distB="0" distL="0" distR="0" wp14:anchorId="732F3D48" wp14:editId="764EEE09">
            <wp:extent cx="2895600" cy="2505075"/>
            <wp:effectExtent l="0" t="0" r="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A565EE">
        <w:rPr>
          <w:noProof/>
          <w:sz w:val="24"/>
          <w:szCs w:val="24"/>
        </w:rPr>
        <w:drawing>
          <wp:inline distT="0" distB="0" distL="0" distR="0" wp14:anchorId="4D0ECB46" wp14:editId="4B992DF2">
            <wp:extent cx="3048000" cy="25146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054B" w:rsidRDefault="005F4F6D">
      <w:pPr>
        <w:pStyle w:val="Heading1"/>
      </w:pPr>
      <w:r>
        <w:rPr>
          <w:rFonts w:hint="eastAsia"/>
          <w:szCs w:val="28"/>
        </w:rPr>
        <w:lastRenderedPageBreak/>
        <w:t>5</w:t>
      </w:r>
      <w:r>
        <w:rPr>
          <w:rFonts w:hint="eastAsia"/>
        </w:rPr>
        <w:tab/>
      </w:r>
      <w:r>
        <w:rPr>
          <w:rFonts w:hint="eastAsia"/>
          <w:szCs w:val="28"/>
        </w:rPr>
        <w:t>展望未来</w:t>
      </w:r>
    </w:p>
    <w:p w:rsidR="00AE054B" w:rsidRDefault="005F4F6D">
      <w:pPr>
        <w:pStyle w:val="CEONormal"/>
        <w:spacing w:after="0"/>
        <w:ind w:firstLineChars="200" w:firstLine="480"/>
        <w:rPr>
          <w:rFonts w:cs="Calibri"/>
          <w:sz w:val="24"/>
          <w:szCs w:val="24"/>
          <w:lang w:eastAsia="zh-CN"/>
        </w:rPr>
      </w:pPr>
      <w:bookmarkStart w:id="17" w:name="lt_pId116"/>
      <w:r>
        <w:rPr>
          <w:rFonts w:hint="eastAsia"/>
          <w:sz w:val="24"/>
          <w:szCs w:val="24"/>
          <w:lang w:eastAsia="zh-CN"/>
        </w:rPr>
        <w:t>电信发展局将继续与传统和非传统合作伙伴接触，开发并改进其资源筹措产品和工具，落实包括区域性举措在内的全球和区域性项目与举措。</w:t>
      </w:r>
      <w:bookmarkEnd w:id="17"/>
    </w:p>
    <w:p w:rsidR="00AE054B" w:rsidRDefault="005F4F6D">
      <w:pPr>
        <w:pStyle w:val="CEONormal"/>
        <w:spacing w:after="0"/>
        <w:ind w:firstLineChars="200" w:firstLine="480"/>
        <w:rPr>
          <w:rFonts w:cs="Calibri"/>
          <w:sz w:val="24"/>
          <w:szCs w:val="24"/>
          <w:lang w:eastAsia="zh-CN"/>
        </w:rPr>
      </w:pPr>
      <w:r>
        <w:rPr>
          <w:rFonts w:hint="eastAsia"/>
          <w:sz w:val="24"/>
          <w:szCs w:val="24"/>
          <w:lang w:eastAsia="zh-CN"/>
        </w:rPr>
        <w:t>请国际电联成员与电信发展局合作，落实</w:t>
      </w:r>
      <w:r>
        <w:rPr>
          <w:rFonts w:hint="eastAsia"/>
          <w:sz w:val="24"/>
          <w:szCs w:val="24"/>
          <w:lang w:eastAsia="zh-CN"/>
        </w:rPr>
        <w:t>WTDC-14</w:t>
      </w:r>
      <w:r>
        <w:rPr>
          <w:rFonts w:hint="eastAsia"/>
          <w:sz w:val="24"/>
          <w:szCs w:val="24"/>
          <w:lang w:eastAsia="zh-CN"/>
        </w:rPr>
        <w:t>、</w:t>
      </w:r>
      <w:r>
        <w:rPr>
          <w:rFonts w:hint="eastAsia"/>
          <w:sz w:val="24"/>
          <w:szCs w:val="24"/>
          <w:lang w:eastAsia="zh-CN"/>
        </w:rPr>
        <w:t>PP-14</w:t>
      </w:r>
      <w:r>
        <w:rPr>
          <w:rFonts w:hint="eastAsia"/>
          <w:sz w:val="24"/>
          <w:szCs w:val="24"/>
          <w:lang w:eastAsia="zh-CN"/>
        </w:rPr>
        <w:t>的成果并实现信息社会世界峰会（</w:t>
      </w:r>
      <w:r>
        <w:rPr>
          <w:rFonts w:hint="eastAsia"/>
          <w:sz w:val="24"/>
          <w:szCs w:val="24"/>
          <w:lang w:eastAsia="zh-CN"/>
        </w:rPr>
        <w:t>WSIS</w:t>
      </w:r>
      <w:r>
        <w:rPr>
          <w:rFonts w:hint="eastAsia"/>
          <w:sz w:val="24"/>
          <w:szCs w:val="24"/>
          <w:lang w:eastAsia="zh-CN"/>
        </w:rPr>
        <w:t>）制定的目标，为实现可持续发展目标（</w:t>
      </w:r>
      <w:r>
        <w:rPr>
          <w:rFonts w:hint="eastAsia"/>
          <w:sz w:val="24"/>
          <w:szCs w:val="24"/>
          <w:lang w:eastAsia="zh-CN"/>
        </w:rPr>
        <w:t>SDG</w:t>
      </w:r>
      <w:r>
        <w:rPr>
          <w:rFonts w:hint="eastAsia"/>
          <w:sz w:val="24"/>
          <w:szCs w:val="24"/>
          <w:lang w:eastAsia="zh-CN"/>
        </w:rPr>
        <w:t>）做出贡献。</w:t>
      </w:r>
    </w:p>
    <w:p w:rsidR="00AE054B" w:rsidRDefault="00AE054B">
      <w:pPr>
        <w:pStyle w:val="Reasons"/>
      </w:pPr>
    </w:p>
    <w:p w:rsidR="00AE054B" w:rsidRDefault="005F4F6D">
      <w:pPr>
        <w:jc w:val="center"/>
      </w:pPr>
      <w:r>
        <w:t>______________</w:t>
      </w:r>
    </w:p>
    <w:sectPr w:rsidR="00AE054B">
      <w:headerReference w:type="default" r:id="rId18"/>
      <w:footerReference w:type="default" r:id="rId19"/>
      <w:footerReference w:type="first" r:id="rId20"/>
      <w:pgSz w:w="11906" w:h="16838"/>
      <w:pgMar w:top="1418" w:right="1134" w:bottom="1418"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A97" w:rsidRDefault="005F4F6D">
      <w:pPr>
        <w:spacing w:before="0"/>
      </w:pPr>
      <w:r>
        <w:separator/>
      </w:r>
    </w:p>
  </w:endnote>
  <w:endnote w:type="continuationSeparator" w:id="0">
    <w:p w:rsidR="008D7A97" w:rsidRDefault="005F4F6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4B" w:rsidRDefault="005F4F6D">
    <w:pPr>
      <w:pStyle w:val="Footer"/>
      <w:tabs>
        <w:tab w:val="left" w:pos="794"/>
        <w:tab w:val="left" w:pos="1191"/>
        <w:tab w:val="left" w:pos="1588"/>
        <w:tab w:val="left" w:pos="1985"/>
      </w:tabs>
    </w:pPr>
    <w:fldSimple w:instr=" FILENAME \p  \* MERGEFORMAT ">
      <w:r w:rsidR="00C92603">
        <w:rPr>
          <w:noProof/>
        </w:rPr>
        <w:t>P:\CHI\ITU-D\CONF-D\TDAG17\000\029C.docx</w:t>
      </w:r>
    </w:fldSimple>
    <w:r>
      <w:t xml:space="preserve"> (413992)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4B" w:rsidRDefault="008D5D83">
    <w:pPr>
      <w:pStyle w:val="Footer"/>
      <w:tabs>
        <w:tab w:val="left" w:pos="794"/>
        <w:tab w:val="left" w:pos="1191"/>
        <w:tab w:val="left" w:pos="1588"/>
        <w:tab w:val="left" w:pos="1985"/>
      </w:tabs>
      <w:jc w:val="center"/>
    </w:pPr>
    <w:hyperlink r:id="rId1" w:history="1">
      <w:r w:rsidR="005F4F6D">
        <w:rPr>
          <w:rStyle w:val="Hyperlink"/>
          <w:caps w:val="0"/>
          <w:sz w:val="18"/>
          <w:szCs w:val="18"/>
        </w:rPr>
        <w:t>http://www.itu.int/ITU-D/TDAG/</w:t>
      </w:r>
    </w:hyperlink>
    <w:hyperlink r:id="rId2" w:history="1"/>
  </w:p>
  <w:p w:rsidR="00AE054B" w:rsidRDefault="00AE054B">
    <w:pPr>
      <w:pStyle w:val="Footer"/>
      <w:tabs>
        <w:tab w:val="left" w:pos="794"/>
        <w:tab w:val="left" w:pos="1191"/>
        <w:tab w:val="left" w:pos="1588"/>
        <w:tab w:val="left" w:pos="19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A97" w:rsidRDefault="005F4F6D">
      <w:pPr>
        <w:spacing w:before="0"/>
      </w:pPr>
      <w:r>
        <w:separator/>
      </w:r>
    </w:p>
  </w:footnote>
  <w:footnote w:type="continuationSeparator" w:id="0">
    <w:p w:rsidR="008D7A97" w:rsidRDefault="005F4F6D">
      <w:pPr>
        <w:spacing w:before="0"/>
      </w:pPr>
      <w:r>
        <w:continuationSeparator/>
      </w:r>
    </w:p>
  </w:footnote>
  <w:footnote w:id="1">
    <w:p w:rsidR="00AE054B" w:rsidRDefault="005F4F6D" w:rsidP="00A27382">
      <w:pPr>
        <w:pStyle w:val="FootnoteText"/>
        <w:tabs>
          <w:tab w:val="left" w:pos="794"/>
          <w:tab w:val="left" w:pos="1191"/>
          <w:tab w:val="left" w:pos="1588"/>
          <w:tab w:val="left" w:pos="1985"/>
        </w:tabs>
      </w:pPr>
      <w:r>
        <w:rPr>
          <w:rStyle w:val="FootnoteReference"/>
        </w:rPr>
        <w:footnoteRef/>
      </w:r>
      <w:r w:rsidR="00A27382">
        <w:tab/>
      </w:r>
      <w:r>
        <w:rPr>
          <w:rFonts w:hint="eastAsia"/>
        </w:rPr>
        <w:t>在运作层面上，该项目的组织形式包括四个独立科室，每个科室由一位医学教授领导：</w:t>
      </w:r>
      <w:r>
        <w:rPr>
          <w:rFonts w:hint="eastAsia"/>
        </w:rPr>
        <w:t>a</w:t>
      </w:r>
      <w:r>
        <w:rPr>
          <w:rFonts w:hint="eastAsia"/>
        </w:rPr>
        <w:t>）移动意识增强，旨在增强人们的意识，让其了解如何治疗糖尿病（主要针对糖尿病患者）和预防糖尿病（针对非糖尿病患者）；</w:t>
      </w:r>
      <w:r>
        <w:rPr>
          <w:rFonts w:hint="eastAsia"/>
        </w:rPr>
        <w:t>b</w:t>
      </w:r>
      <w:r>
        <w:rPr>
          <w:rFonts w:hint="eastAsia"/>
        </w:rPr>
        <w:t>）移动培训：旨在向医生和更广范围的保健专家培训如何治疗糖尿病患者；</w:t>
      </w:r>
      <w:r>
        <w:rPr>
          <w:rFonts w:hint="eastAsia"/>
        </w:rPr>
        <w:t>c</w:t>
      </w:r>
      <w:r>
        <w:rPr>
          <w:rFonts w:hint="eastAsia"/>
        </w:rPr>
        <w:t>）移动患者教育：旨在教育患者如何应对糖尿病问题；和</w:t>
      </w:r>
      <w:r>
        <w:rPr>
          <w:rFonts w:hint="eastAsia"/>
        </w:rPr>
        <w:t>d</w:t>
      </w:r>
      <w:r>
        <w:rPr>
          <w:rFonts w:hint="eastAsia"/>
        </w:rPr>
        <w:t>）移动随访：包括随访病人和更广范围订户的糖尿病问题。</w:t>
      </w:r>
    </w:p>
  </w:footnote>
  <w:footnote w:id="2">
    <w:p w:rsidR="00AE054B" w:rsidRDefault="005F4F6D">
      <w:pPr>
        <w:pStyle w:val="FootnoteText"/>
        <w:tabs>
          <w:tab w:val="clear" w:pos="256"/>
        </w:tabs>
        <w:ind w:left="142" w:hanging="142"/>
        <w:rPr>
          <w:rFonts w:cs="Calibri"/>
        </w:rPr>
      </w:pPr>
      <w:r>
        <w:rPr>
          <w:rStyle w:val="FootnoteReference"/>
          <w:szCs w:val="18"/>
        </w:rPr>
        <w:footnoteRef/>
      </w:r>
      <w:r>
        <w:rPr>
          <w:rStyle w:val="FootnoteReference"/>
          <w:szCs w:val="18"/>
        </w:rPr>
        <w:t xml:space="preserve"> </w:t>
      </w:r>
      <w:r>
        <w:rPr>
          <w:rFonts w:cs="Calibri"/>
        </w:rPr>
        <w:t>www.itu.int/en/ITU-D/Partners/pages/call4partners/partnerships.aspx</w:t>
      </w:r>
    </w:p>
  </w:footnote>
  <w:footnote w:id="3">
    <w:p w:rsidR="00AE054B" w:rsidRDefault="005F4F6D">
      <w:pPr>
        <w:pStyle w:val="FootnoteText"/>
        <w:tabs>
          <w:tab w:val="left" w:pos="794"/>
          <w:tab w:val="left" w:pos="1191"/>
          <w:tab w:val="left" w:pos="1588"/>
          <w:tab w:val="left" w:pos="1985"/>
        </w:tabs>
      </w:pPr>
      <w:r>
        <w:rPr>
          <w:rStyle w:val="FootnoteReference"/>
          <w:szCs w:val="18"/>
        </w:rPr>
        <w:footnoteRef/>
      </w:r>
      <w:r>
        <w:t xml:space="preserve"> </w:t>
      </w:r>
      <w:r>
        <w:rPr>
          <w:rFonts w:cs="Calibri"/>
        </w:rPr>
        <w:t>www.itu.int/go/en/itudsponsorships</w:t>
      </w:r>
    </w:p>
  </w:footnote>
  <w:footnote w:id="4">
    <w:p w:rsidR="00AE054B" w:rsidRDefault="005F4F6D">
      <w:pPr>
        <w:pStyle w:val="FootnoteText"/>
        <w:tabs>
          <w:tab w:val="clear" w:pos="256"/>
        </w:tabs>
        <w:ind w:left="142" w:hanging="142"/>
        <w:rPr>
          <w:sz w:val="22"/>
          <w:szCs w:val="18"/>
        </w:rPr>
      </w:pPr>
      <w:r>
        <w:rPr>
          <w:rStyle w:val="FootnoteReference"/>
          <w:szCs w:val="18"/>
        </w:rPr>
        <w:footnoteRef/>
      </w:r>
      <w:r>
        <w:rPr>
          <w:rFonts w:cs="Calibri"/>
        </w:rPr>
        <w:t xml:space="preserve"> </w:t>
      </w:r>
      <w:r>
        <w:rPr>
          <w:rFonts w:cs="Calibri" w:hint="eastAsia"/>
        </w:rPr>
        <w:t>2015</w:t>
      </w:r>
      <w:r>
        <w:rPr>
          <w:rFonts w:cs="Calibri" w:hint="eastAsia"/>
        </w:rPr>
        <w:t>年国际电联学院卓越中心签署了</w:t>
      </w:r>
      <w:r>
        <w:rPr>
          <w:rFonts w:cs="Calibri" w:hint="eastAsia"/>
        </w:rPr>
        <w:t>28</w:t>
      </w:r>
      <w:r>
        <w:rPr>
          <w:rFonts w:cs="Calibri" w:hint="eastAsia"/>
        </w:rPr>
        <w:t>项协议实施“联合能力建设活动”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54B" w:rsidRDefault="005F4F6D">
    <w:pPr>
      <w:tabs>
        <w:tab w:val="clear" w:pos="794"/>
        <w:tab w:val="clear" w:pos="1191"/>
        <w:tab w:val="clear" w:pos="1588"/>
        <w:tab w:val="clear" w:pos="1985"/>
        <w:tab w:val="center" w:pos="4536"/>
        <w:tab w:val="right" w:pos="9639"/>
      </w:tabs>
      <w:ind w:right="1"/>
      <w:rPr>
        <w:smallCaps/>
        <w:spacing w:val="24"/>
        <w:sz w:val="22"/>
        <w:szCs w:val="22"/>
      </w:rPr>
    </w:pPr>
    <w:r>
      <w:rPr>
        <w:sz w:val="22"/>
        <w:szCs w:val="22"/>
      </w:rPr>
      <w:tab/>
    </w:r>
    <w:r>
      <w:t>ITU-D/TDAG17-22/</w:t>
    </w:r>
    <w:bookmarkStart w:id="18" w:name="OLE_LINK3"/>
    <w:bookmarkStart w:id="19" w:name="OLE_LINK2"/>
    <w:bookmarkStart w:id="20" w:name="OLE_LINK1"/>
    <w:r>
      <w:t>29</w:t>
    </w:r>
    <w:bookmarkEnd w:id="18"/>
    <w:bookmarkEnd w:id="19"/>
    <w:bookmarkEnd w:id="20"/>
    <w:r>
      <w:t>-C</w:t>
    </w:r>
    <w:r>
      <w:rPr>
        <w:sz w:val="22"/>
        <w:szCs w:val="22"/>
      </w:rPr>
      <w:tab/>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8D5D83">
      <w:rPr>
        <w:rStyle w:val="PageNumber"/>
        <w:noProof/>
        <w:sz w:val="22"/>
        <w:szCs w:val="22"/>
      </w:rPr>
      <w:t>7</w:t>
    </w:r>
    <w:r>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1AD5"/>
    <w:multiLevelType w:val="multilevel"/>
    <w:tmpl w:val="0F6A1AD5"/>
    <w:lvl w:ilvl="0" w:tentative="1">
      <w:start w:val="1"/>
      <w:numFmt w:val="lowerLetter"/>
      <w:pStyle w:val="CEOParagraphabc"/>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FEB6A21"/>
    <w:multiLevelType w:val="multilevel"/>
    <w:tmpl w:val="0FEB6A21"/>
    <w:lvl w:ilvl="0" w:tentative="1">
      <w:start w:val="1"/>
      <w:numFmt w:val="decimal"/>
      <w:pStyle w:val="CEOParagraph1"/>
      <w:lvlText w:val="%1."/>
      <w:lvlJc w:val="left"/>
      <w:pPr>
        <w:ind w:left="360" w:hanging="360"/>
      </w:pPr>
    </w:lvl>
    <w:lvl w:ilvl="1" w:tentative="1">
      <w:start w:val="1"/>
      <w:numFmt w:val="decimal"/>
      <w:isLgl/>
      <w:lvlText w:val="%1.%2"/>
      <w:lvlJc w:val="left"/>
      <w:pPr>
        <w:ind w:left="570" w:hanging="570"/>
      </w:pPr>
    </w:lvl>
    <w:lvl w:ilvl="2" w:tentative="1">
      <w:start w:val="1"/>
      <w:numFmt w:val="decimal"/>
      <w:isLgl/>
      <w:lvlText w:val="%1.%2.%3"/>
      <w:lvlJc w:val="left"/>
      <w:pPr>
        <w:ind w:left="720" w:hanging="720"/>
      </w:pPr>
    </w:lvl>
    <w:lvl w:ilvl="3" w:tentative="1">
      <w:start w:val="1"/>
      <w:numFmt w:val="decimal"/>
      <w:isLgl/>
      <w:lvlText w:val="%1.%2.%3.%4"/>
      <w:lvlJc w:val="left"/>
      <w:pPr>
        <w:ind w:left="720" w:hanging="720"/>
      </w:pPr>
    </w:lvl>
    <w:lvl w:ilvl="4" w:tentative="1">
      <w:start w:val="1"/>
      <w:numFmt w:val="decimal"/>
      <w:isLgl/>
      <w:lvlText w:val="%1.%2.%3.%4.%5"/>
      <w:lvlJc w:val="left"/>
      <w:pPr>
        <w:ind w:left="1080" w:hanging="1080"/>
      </w:pPr>
    </w:lvl>
    <w:lvl w:ilvl="5" w:tentative="1">
      <w:start w:val="1"/>
      <w:numFmt w:val="decimal"/>
      <w:isLgl/>
      <w:lvlText w:val="%1.%2.%3.%4.%5.%6"/>
      <w:lvlJc w:val="left"/>
      <w:pPr>
        <w:ind w:left="1080" w:hanging="1080"/>
      </w:pPr>
    </w:lvl>
    <w:lvl w:ilvl="6" w:tentative="1">
      <w:start w:val="1"/>
      <w:numFmt w:val="decimal"/>
      <w:isLgl/>
      <w:lvlText w:val="%1.%2.%3.%4.%5.%6.%7"/>
      <w:lvlJc w:val="left"/>
      <w:pPr>
        <w:ind w:left="1440" w:hanging="1440"/>
      </w:pPr>
    </w:lvl>
    <w:lvl w:ilvl="7" w:tentative="1">
      <w:start w:val="1"/>
      <w:numFmt w:val="decimal"/>
      <w:isLgl/>
      <w:lvlText w:val="%1.%2.%3.%4.%5.%6.%7.%8"/>
      <w:lvlJc w:val="left"/>
      <w:pPr>
        <w:ind w:left="1440" w:hanging="1440"/>
      </w:pPr>
    </w:lvl>
    <w:lvl w:ilvl="8" w:tentative="1">
      <w:start w:val="1"/>
      <w:numFmt w:val="decimal"/>
      <w:isLgl/>
      <w:lvlText w:val="%1.%2.%3.%4.%5.%6.%7.%8.%9"/>
      <w:lvlJc w:val="left"/>
      <w:pPr>
        <w:ind w:left="180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08"/>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24BB1"/>
    <w:rsid w:val="000334FA"/>
    <w:rsid w:val="0004447D"/>
    <w:rsid w:val="00046702"/>
    <w:rsid w:val="00054016"/>
    <w:rsid w:val="000B4617"/>
    <w:rsid w:val="000B718F"/>
    <w:rsid w:val="00107E03"/>
    <w:rsid w:val="00124CDB"/>
    <w:rsid w:val="001A299F"/>
    <w:rsid w:val="00200946"/>
    <w:rsid w:val="002236F8"/>
    <w:rsid w:val="002717CC"/>
    <w:rsid w:val="002971AA"/>
    <w:rsid w:val="002E65BA"/>
    <w:rsid w:val="003141F7"/>
    <w:rsid w:val="00316454"/>
    <w:rsid w:val="00366978"/>
    <w:rsid w:val="00383086"/>
    <w:rsid w:val="00386D28"/>
    <w:rsid w:val="003A235E"/>
    <w:rsid w:val="003A294B"/>
    <w:rsid w:val="003B4E96"/>
    <w:rsid w:val="003D7BD0"/>
    <w:rsid w:val="00421BB1"/>
    <w:rsid w:val="00422053"/>
    <w:rsid w:val="00453540"/>
    <w:rsid w:val="00453EFC"/>
    <w:rsid w:val="00480EE0"/>
    <w:rsid w:val="00492670"/>
    <w:rsid w:val="004A11EE"/>
    <w:rsid w:val="004B7F4C"/>
    <w:rsid w:val="004D7DC7"/>
    <w:rsid w:val="0056594F"/>
    <w:rsid w:val="005834D5"/>
    <w:rsid w:val="005A66A2"/>
    <w:rsid w:val="005D4336"/>
    <w:rsid w:val="005D6CE4"/>
    <w:rsid w:val="005E78DC"/>
    <w:rsid w:val="005F4F6D"/>
    <w:rsid w:val="00603F45"/>
    <w:rsid w:val="00616C29"/>
    <w:rsid w:val="0061761B"/>
    <w:rsid w:val="00643D34"/>
    <w:rsid w:val="00655923"/>
    <w:rsid w:val="00693E64"/>
    <w:rsid w:val="006A39D1"/>
    <w:rsid w:val="006C29C9"/>
    <w:rsid w:val="00701E31"/>
    <w:rsid w:val="0073581C"/>
    <w:rsid w:val="00737124"/>
    <w:rsid w:val="00766481"/>
    <w:rsid w:val="007969E0"/>
    <w:rsid w:val="007A760D"/>
    <w:rsid w:val="00806D73"/>
    <w:rsid w:val="008129BB"/>
    <w:rsid w:val="00832155"/>
    <w:rsid w:val="008558BA"/>
    <w:rsid w:val="00881B78"/>
    <w:rsid w:val="008872A4"/>
    <w:rsid w:val="00892207"/>
    <w:rsid w:val="008962E2"/>
    <w:rsid w:val="008C576E"/>
    <w:rsid w:val="008D5D83"/>
    <w:rsid w:val="008D7A97"/>
    <w:rsid w:val="008F4E2C"/>
    <w:rsid w:val="00916B10"/>
    <w:rsid w:val="00937076"/>
    <w:rsid w:val="00956687"/>
    <w:rsid w:val="00973EA2"/>
    <w:rsid w:val="00977B73"/>
    <w:rsid w:val="009A2227"/>
    <w:rsid w:val="009A7FDA"/>
    <w:rsid w:val="009C5B8E"/>
    <w:rsid w:val="00A27382"/>
    <w:rsid w:val="00AA42F8"/>
    <w:rsid w:val="00AC7B52"/>
    <w:rsid w:val="00AE054B"/>
    <w:rsid w:val="00AE0BB7"/>
    <w:rsid w:val="00AE1BA7"/>
    <w:rsid w:val="00B52E6E"/>
    <w:rsid w:val="00B54D21"/>
    <w:rsid w:val="00B726C0"/>
    <w:rsid w:val="00B85138"/>
    <w:rsid w:val="00B969BC"/>
    <w:rsid w:val="00BA030E"/>
    <w:rsid w:val="00BB1BD3"/>
    <w:rsid w:val="00BD7A1A"/>
    <w:rsid w:val="00C2018C"/>
    <w:rsid w:val="00C45932"/>
    <w:rsid w:val="00C574C5"/>
    <w:rsid w:val="00C62E82"/>
    <w:rsid w:val="00C84CCD"/>
    <w:rsid w:val="00C92603"/>
    <w:rsid w:val="00CA78BB"/>
    <w:rsid w:val="00CE1298"/>
    <w:rsid w:val="00CE2059"/>
    <w:rsid w:val="00CE37A1"/>
    <w:rsid w:val="00CF10DE"/>
    <w:rsid w:val="00D16175"/>
    <w:rsid w:val="00D20B87"/>
    <w:rsid w:val="00D45E8E"/>
    <w:rsid w:val="00D65512"/>
    <w:rsid w:val="00D6597B"/>
    <w:rsid w:val="00D923CD"/>
    <w:rsid w:val="00DA4610"/>
    <w:rsid w:val="00DB49A4"/>
    <w:rsid w:val="00DF2909"/>
    <w:rsid w:val="00E064CD"/>
    <w:rsid w:val="00E1391D"/>
    <w:rsid w:val="00E30170"/>
    <w:rsid w:val="00E54FD2"/>
    <w:rsid w:val="00E5605C"/>
    <w:rsid w:val="00E729F4"/>
    <w:rsid w:val="00E82D31"/>
    <w:rsid w:val="00E845E1"/>
    <w:rsid w:val="00E93040"/>
    <w:rsid w:val="00E97647"/>
    <w:rsid w:val="00EC5410"/>
    <w:rsid w:val="00EE153D"/>
    <w:rsid w:val="00EE42C1"/>
    <w:rsid w:val="00F313D7"/>
    <w:rsid w:val="00F600F4"/>
    <w:rsid w:val="00F72A94"/>
    <w:rsid w:val="00F824B2"/>
    <w:rsid w:val="00FC0AAC"/>
    <w:rsid w:val="00FC1008"/>
    <w:rsid w:val="00FD2638"/>
    <w:rsid w:val="0A8C3F21"/>
    <w:rsid w:val="19B81761"/>
    <w:rsid w:val="2D90114C"/>
    <w:rsid w:val="570B4E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3C917B8-7F0E-49D8-B28B-0496978B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semiHidden="1" w:uiPriority="39" w:unhideWhenUsed="1"/>
    <w:lsdException w:name="footnote text" w:uiPriority="99"/>
    <w:lsdException w:name="annotation tex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hAnsi="Calibri"/>
      <w:sz w:val="24"/>
    </w:rPr>
  </w:style>
  <w:style w:type="paragraph" w:styleId="Heading1">
    <w:name w:val="heading 1"/>
    <w:basedOn w:val="Normal"/>
    <w:next w:val="Normal"/>
    <w:link w:val="Heading1Char"/>
    <w:qFormat/>
    <w:pPr>
      <w:keepNext/>
      <w:keepLines/>
      <w:spacing w:before="280"/>
      <w:ind w:left="794" w:hanging="79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tabs>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4"/>
    <w:next w:val="Normal"/>
    <w:link w:val="Heading7Char"/>
    <w:qFormat/>
    <w:pPr>
      <w:ind w:left="1701" w:hanging="1701"/>
      <w:outlineLvl w:val="6"/>
    </w:pPr>
  </w:style>
  <w:style w:type="paragraph" w:styleId="Heading8">
    <w:name w:val="heading 8"/>
    <w:basedOn w:val="Heading4"/>
    <w:next w:val="Normal"/>
    <w:link w:val="Heading8Char"/>
    <w:qFormat/>
    <w:pPr>
      <w:ind w:left="1701" w:hanging="1701"/>
      <w:outlineLvl w:val="7"/>
    </w:pPr>
  </w:style>
  <w:style w:type="paragraph" w:styleId="Heading9">
    <w:name w:val="heading 9"/>
    <w:basedOn w:val="Heading4"/>
    <w:next w:val="Normal"/>
    <w:link w:val="Heading9Char"/>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pPr>
      <w:tabs>
        <w:tab w:val="clear" w:pos="794"/>
        <w:tab w:val="clear" w:pos="1191"/>
        <w:tab w:val="clear" w:pos="1588"/>
        <w:tab w:val="clear" w:pos="1985"/>
        <w:tab w:val="left" w:pos="964"/>
        <w:tab w:val="left" w:leader="dot" w:pos="8789"/>
        <w:tab w:val="right" w:pos="9639"/>
      </w:tabs>
      <w:ind w:left="964" w:hanging="964"/>
    </w:pPr>
  </w:style>
  <w:style w:type="paragraph" w:styleId="NormalIndent">
    <w:name w:val="Normal Indent"/>
    <w:basedOn w:val="Normal"/>
    <w:pPr>
      <w:ind w:left="567"/>
    </w:pPr>
  </w:style>
  <w:style w:type="paragraph" w:styleId="TOC5">
    <w:name w:val="toc 5"/>
    <w:basedOn w:val="Normal"/>
    <w:next w:val="Normal"/>
    <w:pPr>
      <w:tabs>
        <w:tab w:val="clear" w:pos="794"/>
        <w:tab w:val="clear" w:pos="1191"/>
        <w:tab w:val="clear" w:pos="1588"/>
        <w:tab w:val="clear" w:pos="1985"/>
        <w:tab w:val="left" w:pos="964"/>
        <w:tab w:val="left" w:leader="dot" w:pos="8789"/>
        <w:tab w:val="right" w:pos="9639"/>
      </w:tabs>
      <w:ind w:left="964" w:hanging="964"/>
    </w:pPr>
  </w:style>
  <w:style w:type="paragraph" w:styleId="TOC3">
    <w:name w:val="toc 3"/>
    <w:basedOn w:val="Normal"/>
    <w:next w:val="Normal"/>
    <w:pPr>
      <w:tabs>
        <w:tab w:val="clear" w:pos="794"/>
        <w:tab w:val="clear" w:pos="1191"/>
        <w:tab w:val="clear" w:pos="1588"/>
        <w:tab w:val="clear" w:pos="1985"/>
        <w:tab w:val="left" w:pos="964"/>
        <w:tab w:val="left" w:leader="dot" w:pos="8789"/>
        <w:tab w:val="right" w:pos="9639"/>
      </w:tabs>
      <w:ind w:left="964" w:hanging="964"/>
    </w:pPr>
  </w:style>
  <w:style w:type="paragraph" w:styleId="TOC8">
    <w:name w:val="toc 8"/>
    <w:basedOn w:val="Normal"/>
    <w:next w:val="Normal"/>
    <w:pPr>
      <w:tabs>
        <w:tab w:val="clear" w:pos="794"/>
        <w:tab w:val="clear" w:pos="1191"/>
        <w:tab w:val="clear" w:pos="1588"/>
        <w:tab w:val="clear" w:pos="1985"/>
        <w:tab w:val="left" w:pos="964"/>
        <w:tab w:val="left" w:leader="dot" w:pos="8789"/>
        <w:tab w:val="right" w:pos="9639"/>
      </w:tabs>
      <w:ind w:left="964" w:hanging="964"/>
    </w:pPr>
  </w:style>
  <w:style w:type="paragraph" w:styleId="Date">
    <w:name w:val="Date"/>
    <w:basedOn w:val="Normal"/>
    <w:link w:val="DateChar"/>
    <w:pPr>
      <w:framePr w:hSpace="181" w:wrap="notBeside" w:vAnchor="page" w:hAnchor="page" w:x="1135" w:y="852"/>
      <w:tabs>
        <w:tab w:val="clear" w:pos="794"/>
        <w:tab w:val="clear" w:pos="1191"/>
        <w:tab w:val="clear" w:pos="1588"/>
        <w:tab w:val="clear" w:pos="1985"/>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spacing w:before="0"/>
      <w:jc w:val="center"/>
    </w:pPr>
    <w:rPr>
      <w:sz w:val="18"/>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964" w:hanging="964"/>
    </w:pPr>
  </w:style>
  <w:style w:type="paragraph" w:styleId="TOC4">
    <w:name w:val="toc 4"/>
    <w:basedOn w:val="Normal"/>
    <w:next w:val="Normal"/>
    <w:pPr>
      <w:tabs>
        <w:tab w:val="clear" w:pos="794"/>
        <w:tab w:val="clear" w:pos="1191"/>
        <w:tab w:val="clear" w:pos="1588"/>
        <w:tab w:val="clear" w:pos="1985"/>
        <w:tab w:val="left" w:pos="964"/>
        <w:tab w:val="left" w:pos="8789"/>
        <w:tab w:val="right" w:pos="9639"/>
      </w:tabs>
      <w:ind w:left="964" w:hanging="964"/>
    </w:pPr>
  </w:style>
  <w:style w:type="paragraph" w:styleId="FootnoteText">
    <w:name w:val="footnote text"/>
    <w:basedOn w:val="Normal"/>
    <w:link w:val="FootnoteTextChar"/>
    <w:uiPriority w:val="99"/>
    <w:pPr>
      <w:keepLines/>
      <w:tabs>
        <w:tab w:val="clear" w:pos="794"/>
        <w:tab w:val="clear" w:pos="1191"/>
        <w:tab w:val="clear" w:pos="1588"/>
        <w:tab w:val="clear" w:pos="1985"/>
        <w:tab w:val="left" w:pos="256"/>
      </w:tabs>
      <w:spacing w:before="60"/>
      <w:ind w:left="284" w:hanging="284"/>
    </w:pPr>
    <w:rPr>
      <w:sz w:val="20"/>
    </w:rPr>
  </w:style>
  <w:style w:type="paragraph" w:styleId="TOC6">
    <w:name w:val="toc 6"/>
    <w:basedOn w:val="Normal"/>
    <w:next w:val="Normal"/>
    <w:pPr>
      <w:tabs>
        <w:tab w:val="clear" w:pos="794"/>
        <w:tab w:val="clear" w:pos="1191"/>
        <w:tab w:val="clear" w:pos="1588"/>
        <w:tab w:val="clear" w:pos="1985"/>
        <w:tab w:val="left" w:pos="964"/>
        <w:tab w:val="left" w:leader="dot" w:pos="8789"/>
        <w:tab w:val="right" w:pos="9639"/>
      </w:tabs>
      <w:ind w:left="964" w:hanging="964"/>
    </w:pPr>
  </w:style>
  <w:style w:type="paragraph" w:styleId="TOC2">
    <w:name w:val="toc 2"/>
    <w:basedOn w:val="Normal"/>
    <w:next w:val="Normal"/>
    <w:pPr>
      <w:tabs>
        <w:tab w:val="clear" w:pos="794"/>
        <w:tab w:val="clear" w:pos="1191"/>
        <w:tab w:val="clear" w:pos="1588"/>
        <w:tab w:val="clear" w:pos="1985"/>
        <w:tab w:val="left" w:pos="964"/>
        <w:tab w:val="left" w:leader="dot" w:pos="8789"/>
        <w:tab w:val="right" w:pos="9639"/>
      </w:tabs>
      <w:ind w:left="964" w:hanging="964"/>
    </w:pPr>
  </w:style>
  <w:style w:type="character" w:styleId="PageNumber">
    <w:name w:val="page number"/>
    <w:basedOn w:val="DefaultParagraphFont"/>
    <w:rPr>
      <w:rFonts w:ascii="Calibri" w:hAnsi="Calibri"/>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FootnoteReference">
    <w:name w:val="footnote reference"/>
    <w:basedOn w:val="DefaultParagraphFont"/>
    <w:uiPriority w:val="99"/>
    <w:rPr>
      <w:rFonts w:ascii="Calibri" w:hAnsi="Calibri"/>
      <w:position w:val="6"/>
      <w:sz w:val="16"/>
    </w:rPr>
  </w:style>
  <w:style w:type="table" w:styleId="TableGrid">
    <w:name w:val="Table Grid"/>
    <w:basedOn w:val="TableNormal"/>
    <w:uiPriority w:val="59"/>
    <w:pPr>
      <w:tabs>
        <w:tab w:val="left" w:pos="794"/>
        <w:tab w:val="left" w:pos="1191"/>
        <w:tab w:val="left" w:pos="1588"/>
        <w:tab w:val="left" w:pos="1985"/>
      </w:tabs>
      <w:spacing w:after="0" w:line="240" w:lineRule="auto"/>
    </w:pPr>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nexNo">
    <w:name w:val="Annex_No"/>
    <w:basedOn w:val="Normal"/>
    <w:next w:val="Normal"/>
    <w:pPr>
      <w:spacing w:before="480" w:after="80"/>
      <w:jc w:val="center"/>
    </w:pPr>
    <w:rPr>
      <w:caps/>
      <w:sz w:val="28"/>
    </w:rPr>
  </w:style>
  <w:style w:type="paragraph" w:customStyle="1" w:styleId="Annexref">
    <w:name w:val="Annex_ref"/>
    <w:basedOn w:val="Normal"/>
    <w:next w:val="Normal"/>
    <w:pPr>
      <w:jc w:val="center"/>
    </w:pPr>
    <w:rPr>
      <w:sz w:val="28"/>
    </w:rPr>
  </w:style>
  <w:style w:type="paragraph" w:customStyle="1" w:styleId="Annextitle">
    <w:name w:val="Annex_title"/>
    <w:basedOn w:val="Normal"/>
    <w:next w:val="Normal"/>
    <w:pPr>
      <w:spacing w:before="240" w:after="280"/>
      <w:jc w:val="center"/>
    </w:pPr>
    <w:rPr>
      <w:b/>
      <w:sz w:val="28"/>
    </w:rPr>
  </w:style>
  <w:style w:type="paragraph" w:customStyle="1" w:styleId="AppendixNo">
    <w:name w:val="Appendix_No"/>
    <w:basedOn w:val="AnnexNo"/>
    <w:next w:val="Normal"/>
  </w:style>
  <w:style w:type="paragraph" w:customStyle="1" w:styleId="Appendixref">
    <w:name w:val="Appendix_ref"/>
    <w:basedOn w:val="Annexref"/>
    <w:next w:val="Normal"/>
  </w:style>
  <w:style w:type="paragraph" w:customStyle="1" w:styleId="Appendixtitle">
    <w:name w:val="Appendix_title"/>
    <w:basedOn w:val="Annextitle"/>
    <w:next w:val="Normal"/>
  </w:style>
  <w:style w:type="paragraph" w:customStyle="1" w:styleId="Artheading">
    <w:name w:val="Art_heading"/>
    <w:basedOn w:val="Normal"/>
    <w:next w:val="Normal"/>
    <w:pPr>
      <w:spacing w:before="480"/>
      <w:jc w:val="center"/>
    </w:pPr>
    <w:rPr>
      <w:b/>
    </w:rPr>
  </w:style>
  <w:style w:type="paragraph" w:customStyle="1" w:styleId="ArtNo">
    <w:name w:val="Art_No"/>
    <w:basedOn w:val="Normal"/>
    <w:next w:val="Normal"/>
    <w:pPr>
      <w:spacing w:before="480"/>
      <w:jc w:val="center"/>
    </w:pPr>
    <w:rPr>
      <w:caps/>
      <w:sz w:val="28"/>
    </w:rPr>
  </w:style>
  <w:style w:type="paragraph" w:customStyle="1" w:styleId="Arttitle">
    <w:name w:val="Art_title"/>
    <w:basedOn w:val="Normal"/>
    <w:next w:val="Normal"/>
    <w:pPr>
      <w:spacing w:before="240" w:after="120"/>
      <w:jc w:val="center"/>
    </w:pPr>
    <w:rPr>
      <w:b/>
      <w:sz w:val="28"/>
    </w:rPr>
  </w:style>
  <w:style w:type="paragraph" w:customStyle="1" w:styleId="Call">
    <w:name w:val="Call"/>
    <w:basedOn w:val="Normal"/>
    <w:next w:val="Normal"/>
    <w:pPr>
      <w:keepNext/>
      <w:keepLines/>
      <w:spacing w:before="160"/>
      <w:ind w:left="794"/>
    </w:pPr>
    <w:rPr>
      <w:rFonts w:eastAsia="STKaiti"/>
    </w:rPr>
  </w:style>
  <w:style w:type="paragraph" w:customStyle="1" w:styleId="ChapNo">
    <w:name w:val="Chap_No"/>
    <w:basedOn w:val="ArtNo"/>
    <w:next w:val="Normal"/>
  </w:style>
  <w:style w:type="paragraph" w:customStyle="1" w:styleId="Chaptitle">
    <w:name w:val="Chap_title"/>
    <w:basedOn w:val="Arttitle"/>
    <w:next w:val="Normal"/>
  </w:style>
  <w:style w:type="paragraph" w:customStyle="1" w:styleId="Committee">
    <w:name w:val="Committee"/>
    <w:basedOn w:val="Normal"/>
    <w:qFormat/>
    <w:pPr>
      <w:framePr w:hSpace="180" w:wrap="around" w:vAnchor="page" w:hAnchor="margin" w:y="1081"/>
      <w:spacing w:before="0"/>
    </w:pPr>
    <w:rPr>
      <w:rFonts w:cs="Times New Roman Bold"/>
      <w:b/>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FirstFooter">
    <w:name w:val="FirstFooter"/>
    <w:basedOn w:val="Footer"/>
    <w:rPr>
      <w:caps w:val="0"/>
    </w:rPr>
  </w:style>
  <w:style w:type="paragraph" w:customStyle="1" w:styleId="firstfooter0">
    <w:name w:val="firstfooter"/>
    <w:basedOn w:val="Normal"/>
    <w:pPr>
      <w:adjustRightInd/>
      <w:spacing w:before="100" w:beforeAutospacing="1" w:after="100" w:afterAutospacing="1"/>
      <w:textAlignment w:val="auto"/>
    </w:pPr>
    <w:rPr>
      <w:szCs w:val="24"/>
    </w:rPr>
  </w:style>
  <w:style w:type="paragraph" w:customStyle="1" w:styleId="Headingb">
    <w:name w:val="Heading_b"/>
    <w:basedOn w:val="Normal"/>
    <w:next w:val="Normal"/>
    <w:pPr>
      <w:keepNext/>
      <w:spacing w:before="160"/>
      <w:outlineLvl w:val="0"/>
    </w:pPr>
    <w:rPr>
      <w:b/>
    </w:rPr>
  </w:style>
  <w:style w:type="paragraph" w:customStyle="1" w:styleId="Headingi">
    <w:name w:val="Heading_i"/>
    <w:basedOn w:val="Heading3"/>
    <w:next w:val="Normal"/>
    <w:pPr>
      <w:spacing w:before="160"/>
      <w:outlineLvl w:val="0"/>
    </w:pPr>
    <w:rPr>
      <w:rFonts w:eastAsia="STKaiti"/>
      <w:b w:val="0"/>
    </w:rPr>
  </w:style>
  <w:style w:type="paragraph" w:customStyle="1" w:styleId="MinusFootnote">
    <w:name w:val="MinusFootnote"/>
    <w:basedOn w:val="Normal"/>
    <w:pPr>
      <w:ind w:left="-1701" w:hanging="284"/>
    </w:pPr>
  </w:style>
  <w:style w:type="paragraph" w:customStyle="1" w:styleId="Normalaftertitle">
    <w:name w:val="Normal after title"/>
    <w:basedOn w:val="Normal"/>
    <w:next w:val="Normal"/>
    <w:pPr>
      <w:spacing w:before="240"/>
    </w:pPr>
  </w:style>
  <w:style w:type="paragraph" w:customStyle="1" w:styleId="Note">
    <w:name w:val="Note"/>
    <w:basedOn w:val="Normal"/>
    <w:pPr>
      <w:spacing w:before="80"/>
    </w:pPr>
  </w:style>
  <w:style w:type="paragraph" w:customStyle="1" w:styleId="Part">
    <w:name w:val="Part"/>
    <w:basedOn w:val="Normal"/>
    <w:next w:val="Normal"/>
    <w:pPr>
      <w:spacing w:before="600"/>
      <w:jc w:val="center"/>
    </w:pPr>
    <w:rPr>
      <w:caps/>
      <w:sz w:val="26"/>
    </w:rPr>
  </w:style>
  <w:style w:type="paragraph" w:customStyle="1" w:styleId="Reasons">
    <w:name w:val="Reasons"/>
    <w:basedOn w:val="Normal"/>
    <w:qFormat/>
  </w:style>
  <w:style w:type="paragraph" w:customStyle="1" w:styleId="RecNo">
    <w:name w:val="Rec_No"/>
    <w:basedOn w:val="Normal"/>
    <w:next w:val="Rectitle"/>
    <w:pPr>
      <w:spacing w:before="48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No">
    <w:name w:val="Res_No"/>
    <w:basedOn w:val="AnnexNo"/>
    <w:next w:val="Normal"/>
  </w:style>
  <w:style w:type="paragraph" w:customStyle="1" w:styleId="Restitle">
    <w:name w:val="Res_title"/>
    <w:basedOn w:val="Annextitle"/>
    <w:next w:val="Normal"/>
  </w:style>
  <w:style w:type="paragraph" w:customStyle="1" w:styleId="Section1">
    <w:name w:val="Section 1"/>
    <w:basedOn w:val="ChapNo"/>
    <w:next w:val="Normal"/>
    <w:rPr>
      <w:caps w:val="0"/>
    </w:rPr>
  </w:style>
  <w:style w:type="paragraph" w:customStyle="1" w:styleId="Section2">
    <w:name w:val="Section 2"/>
    <w:basedOn w:val="Section1"/>
    <w:next w:val="Normal"/>
    <w:pPr>
      <w:spacing w:before="240"/>
    </w:pPr>
    <w:rPr>
      <w:b/>
      <w:i/>
    </w:rPr>
  </w:style>
  <w:style w:type="paragraph" w:customStyle="1" w:styleId="Source">
    <w:name w:val="Source"/>
    <w:basedOn w:val="Normal"/>
    <w:next w:val="Normal"/>
    <w:pPr>
      <w:framePr w:hSpace="180" w:wrap="around" w:vAnchor="page" w:hAnchor="margin" w:xAlign="center" w:y="1142"/>
      <w:spacing w:before="840"/>
      <w:jc w:val="center"/>
    </w:pPr>
    <w:rPr>
      <w:b/>
      <w:sz w:val="28"/>
      <w:szCs w:val="28"/>
    </w:rPr>
  </w:style>
  <w:style w:type="paragraph" w:customStyle="1" w:styleId="Tabletext">
    <w:name w:val="Table_text"/>
    <w:basedOn w:val="Normal"/>
    <w:pPr>
      <w:spacing w:before="40" w:after="40"/>
    </w:pPr>
    <w:rPr>
      <w:sz w:val="22"/>
    </w:rPr>
  </w:style>
  <w:style w:type="paragraph" w:customStyle="1" w:styleId="Tablehead">
    <w:name w:val="Table_head"/>
    <w:basedOn w:val="Tabletext"/>
    <w:pPr>
      <w:spacing w:before="80" w:after="80"/>
      <w:jc w:val="center"/>
    </w:pPr>
    <w:rPr>
      <w:b/>
    </w:rPr>
  </w:style>
  <w:style w:type="paragraph" w:customStyle="1" w:styleId="Tablelegend">
    <w:name w:val="Table_legend"/>
    <w:basedOn w:val="Tabletext"/>
    <w:pPr>
      <w:spacing w:before="120"/>
    </w:pPr>
  </w:style>
  <w:style w:type="paragraph" w:customStyle="1" w:styleId="TableNo">
    <w:name w:val="Table_No"/>
    <w:basedOn w:val="Normal"/>
    <w:next w:val="Normal"/>
    <w:pPr>
      <w:keepNext/>
      <w:spacing w:before="560" w:after="120"/>
      <w:jc w:val="center"/>
    </w:pPr>
    <w:rPr>
      <w:caps/>
    </w:rPr>
  </w:style>
  <w:style w:type="paragraph" w:customStyle="1" w:styleId="Tabletitle">
    <w:name w:val="Table_title"/>
    <w:basedOn w:val="Normal"/>
    <w:next w:val="Tabletext"/>
    <w:pPr>
      <w:keepNext/>
      <w:keepLines/>
      <w:spacing w:after="120"/>
      <w:jc w:val="center"/>
    </w:pPr>
    <w:rPr>
      <w:b/>
      <w:caps/>
    </w:rPr>
  </w:style>
  <w:style w:type="paragraph" w:customStyle="1" w:styleId="Title1">
    <w:name w:val="Title 1"/>
    <w:basedOn w:val="Source"/>
    <w:next w:val="Normal"/>
    <w:pPr>
      <w:framePr w:hSpace="0" w:wrap="around" w:vAnchor="margin" w:hAnchor="text" w:yAlign="top"/>
      <w:spacing w:before="240"/>
    </w:pPr>
    <w:rPr>
      <w:b w:val="0"/>
      <w:caps/>
    </w:rPr>
  </w:style>
  <w:style w:type="paragraph" w:customStyle="1" w:styleId="Title2">
    <w:name w:val="Title 2"/>
    <w:basedOn w:val="Source"/>
    <w:next w:val="Normal"/>
    <w:pPr>
      <w:framePr w:hSpace="0" w:wrap="around" w:vAnchor="margin" w:hAnchor="text" w:yAlign="top"/>
    </w:pPr>
    <w:rPr>
      <w:b w:val="0"/>
      <w:caps/>
    </w:rPr>
  </w:style>
  <w:style w:type="paragraph" w:customStyle="1" w:styleId="Title3">
    <w:name w:val="Title 3"/>
    <w:basedOn w:val="Title2"/>
    <w:next w:val="Normalaftertitle"/>
    <w:pPr>
      <w:framePr w:wrap="around"/>
    </w:pPr>
    <w:rPr>
      <w:caps w:val="0"/>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lang w:eastAsia="en-US"/>
    </w:rPr>
  </w:style>
  <w:style w:type="paragraph" w:customStyle="1" w:styleId="CEONormal">
    <w:name w:val="CEO_Normal"/>
    <w:link w:val="CEONormalChar"/>
    <w:pPr>
      <w:spacing w:before="120" w:after="120" w:line="240" w:lineRule="auto"/>
    </w:pPr>
    <w:rPr>
      <w:rFonts w:ascii="Calibri" w:hAnsi="Calibri" w:cs="Simplified Arabic"/>
      <w:sz w:val="22"/>
      <w:szCs w:val="19"/>
      <w:lang w:eastAsia="en-US"/>
    </w:rPr>
  </w:style>
  <w:style w:type="paragraph" w:customStyle="1" w:styleId="ListParagraph1">
    <w:name w:val="List Paragraph1"/>
    <w:basedOn w:val="Normal"/>
    <w:link w:val="a"/>
    <w:uiPriority w:val="99"/>
    <w:qFormat/>
    <w:pPr>
      <w:tabs>
        <w:tab w:val="clear" w:pos="794"/>
        <w:tab w:val="clear" w:pos="1191"/>
        <w:tab w:val="clear" w:pos="1588"/>
        <w:tab w:val="clear" w:pos="1985"/>
      </w:tabs>
      <w:adjustRightInd/>
      <w:spacing w:after="120"/>
      <w:ind w:left="720"/>
      <w:contextualSpacing/>
      <w:textAlignment w:val="auto"/>
    </w:pPr>
    <w:rPr>
      <w:rFonts w:ascii="Verdana" w:eastAsia="SimHei" w:hAnsi="Verdana" w:cs="Simplified Arabic"/>
      <w:bCs/>
      <w:sz w:val="19"/>
      <w:szCs w:val="28"/>
    </w:rPr>
  </w:style>
  <w:style w:type="paragraph" w:customStyle="1" w:styleId="CEOParagraph1">
    <w:name w:val="CEO_Paragraph1."/>
    <w:basedOn w:val="Normal"/>
    <w:pPr>
      <w:keepNext/>
      <w:numPr>
        <w:numId w:val="1"/>
      </w:numPr>
      <w:tabs>
        <w:tab w:val="clear" w:pos="794"/>
        <w:tab w:val="clear" w:pos="1191"/>
        <w:tab w:val="clear" w:pos="1588"/>
        <w:tab w:val="clear" w:pos="1985"/>
      </w:tabs>
      <w:adjustRightInd/>
      <w:spacing w:before="480" w:after="240"/>
      <w:textAlignment w:val="auto"/>
    </w:pPr>
    <w:rPr>
      <w:rFonts w:eastAsia="Calibri"/>
      <w:b/>
      <w:bCs/>
      <w:sz w:val="22"/>
      <w:szCs w:val="22"/>
      <w:lang w:eastAsia="en-US"/>
    </w:rPr>
  </w:style>
  <w:style w:type="paragraph" w:customStyle="1" w:styleId="CEOParagraphabc">
    <w:name w:val="CEO_Paragraph abc)"/>
    <w:basedOn w:val="Normal"/>
    <w:pPr>
      <w:numPr>
        <w:numId w:val="2"/>
      </w:numPr>
      <w:tabs>
        <w:tab w:val="clear" w:pos="794"/>
        <w:tab w:val="clear" w:pos="1191"/>
        <w:tab w:val="clear" w:pos="1588"/>
        <w:tab w:val="clear" w:pos="1985"/>
      </w:tabs>
      <w:adjustRightInd/>
      <w:spacing w:after="120"/>
      <w:textAlignment w:val="auto"/>
    </w:pPr>
    <w:rPr>
      <w:rFonts w:eastAsia="Calibri"/>
      <w:b/>
      <w:bCs/>
      <w:sz w:val="22"/>
      <w:szCs w:val="22"/>
    </w:rPr>
  </w:style>
  <w:style w:type="character" w:customStyle="1" w:styleId="DateChar">
    <w:name w:val="Date Char"/>
    <w:basedOn w:val="DefaultParagraphFont"/>
    <w:link w:val="Date"/>
    <w:rPr>
      <w:rFonts w:eastAsia="Times New Roman" w:cs="Times New Roman"/>
      <w:sz w:val="20"/>
      <w:szCs w:val="20"/>
      <w:lang w:eastAsia="en-US"/>
    </w:rPr>
  </w:style>
  <w:style w:type="character" w:customStyle="1" w:styleId="FooterChar">
    <w:name w:val="Footer Char"/>
    <w:basedOn w:val="DefaultParagraphFont"/>
    <w:link w:val="Footer"/>
    <w:rPr>
      <w:rFonts w:eastAsia="Times New Roman" w:cs="Times New Roman"/>
      <w:caps/>
      <w:sz w:val="16"/>
      <w:szCs w:val="20"/>
      <w:lang w:eastAsia="en-US"/>
    </w:rPr>
  </w:style>
  <w:style w:type="character" w:customStyle="1" w:styleId="FootnoteTextChar">
    <w:name w:val="Footnote Text Char"/>
    <w:basedOn w:val="DefaultParagraphFont"/>
    <w:link w:val="FootnoteText"/>
    <w:uiPriority w:val="99"/>
    <w:rPr>
      <w:rFonts w:eastAsia="Times New Roman" w:cs="Times New Roman"/>
      <w:sz w:val="20"/>
      <w:szCs w:val="20"/>
      <w:lang w:eastAsia="en-US"/>
    </w:rPr>
  </w:style>
  <w:style w:type="character" w:customStyle="1" w:styleId="HeaderChar">
    <w:name w:val="Header Char"/>
    <w:basedOn w:val="DefaultParagraphFont"/>
    <w:link w:val="Header"/>
    <w:uiPriority w:val="99"/>
    <w:rPr>
      <w:rFonts w:eastAsia="Times New Roman" w:cs="Times New Roman"/>
      <w:sz w:val="18"/>
      <w:szCs w:val="20"/>
      <w:lang w:eastAsia="en-US"/>
    </w:rPr>
  </w:style>
  <w:style w:type="character" w:customStyle="1" w:styleId="Heading1Char">
    <w:name w:val="Heading 1 Char"/>
    <w:basedOn w:val="DefaultParagraphFont"/>
    <w:link w:val="Heading1"/>
    <w:rPr>
      <w:rFonts w:ascii="Calibri" w:eastAsia="SimSun" w:hAnsi="Calibri" w:cs="Times New Roman"/>
      <w:b/>
      <w:sz w:val="28"/>
      <w:szCs w:val="20"/>
      <w:lang w:eastAsia="en-US"/>
    </w:rPr>
  </w:style>
  <w:style w:type="character" w:customStyle="1" w:styleId="Heading2Char">
    <w:name w:val="Heading 2 Char"/>
    <w:basedOn w:val="DefaultParagraphFont"/>
    <w:link w:val="Heading2"/>
    <w:rPr>
      <w:rFonts w:ascii="Calibri" w:eastAsia="SimSun" w:hAnsi="Calibri" w:cs="Times New Roman"/>
      <w:b/>
      <w:sz w:val="24"/>
      <w:szCs w:val="20"/>
      <w:lang w:eastAsia="en-US"/>
    </w:rPr>
  </w:style>
  <w:style w:type="character" w:customStyle="1" w:styleId="Heading3Char">
    <w:name w:val="Heading 3 Char"/>
    <w:basedOn w:val="DefaultParagraphFont"/>
    <w:link w:val="Heading3"/>
    <w:rPr>
      <w:rFonts w:ascii="Calibri" w:eastAsia="SimSun" w:hAnsi="Calibri" w:cs="Times New Roman"/>
      <w:b/>
      <w:sz w:val="24"/>
      <w:szCs w:val="20"/>
    </w:rPr>
  </w:style>
  <w:style w:type="character" w:customStyle="1" w:styleId="Heading4Char">
    <w:name w:val="Heading 4 Char"/>
    <w:basedOn w:val="DefaultParagraphFont"/>
    <w:link w:val="Heading4"/>
    <w:rPr>
      <w:rFonts w:ascii="Calibri" w:eastAsia="SimSun" w:hAnsi="Calibri" w:cs="Times New Roman"/>
      <w:b/>
      <w:sz w:val="24"/>
      <w:szCs w:val="20"/>
      <w:lang w:eastAsia="en-US"/>
    </w:rPr>
  </w:style>
  <w:style w:type="character" w:customStyle="1" w:styleId="Heading5Char">
    <w:name w:val="Heading 5 Char"/>
    <w:basedOn w:val="DefaultParagraphFont"/>
    <w:link w:val="Heading5"/>
    <w:rPr>
      <w:rFonts w:eastAsia="Times New Roman" w:cs="Times New Roman"/>
      <w:b/>
      <w:szCs w:val="20"/>
      <w:lang w:eastAsia="en-US"/>
    </w:rPr>
  </w:style>
  <w:style w:type="character" w:customStyle="1" w:styleId="Heading6Char">
    <w:name w:val="Heading 6 Char"/>
    <w:basedOn w:val="DefaultParagraphFont"/>
    <w:link w:val="Heading6"/>
    <w:rPr>
      <w:rFonts w:eastAsia="Times New Roman" w:cs="Times New Roman"/>
      <w:b/>
      <w:szCs w:val="20"/>
      <w:lang w:eastAsia="en-US"/>
    </w:rPr>
  </w:style>
  <w:style w:type="character" w:customStyle="1" w:styleId="Heading7Char">
    <w:name w:val="Heading 7 Char"/>
    <w:basedOn w:val="DefaultParagraphFont"/>
    <w:link w:val="Heading7"/>
    <w:rPr>
      <w:rFonts w:eastAsia="Times New Roman" w:cs="Times New Roman"/>
      <w:b/>
      <w:szCs w:val="20"/>
      <w:lang w:eastAsia="en-US"/>
    </w:rPr>
  </w:style>
  <w:style w:type="character" w:customStyle="1" w:styleId="Heading8Char">
    <w:name w:val="Heading 8 Char"/>
    <w:basedOn w:val="DefaultParagraphFont"/>
    <w:link w:val="Heading8"/>
    <w:rPr>
      <w:rFonts w:eastAsia="Times New Roman" w:cs="Times New Roman"/>
      <w:b/>
      <w:szCs w:val="20"/>
      <w:lang w:eastAsia="en-US"/>
    </w:rPr>
  </w:style>
  <w:style w:type="character" w:customStyle="1" w:styleId="Heading9Char">
    <w:name w:val="Heading 9 Char"/>
    <w:basedOn w:val="DefaultParagraphFont"/>
    <w:link w:val="Heading9"/>
    <w:rPr>
      <w:rFonts w:eastAsia="Times New Roman" w:cs="Times New Roman"/>
      <w:b/>
      <w:szCs w:val="20"/>
      <w:lang w:eastAsia="en-US"/>
    </w:rPr>
  </w:style>
  <w:style w:type="character" w:customStyle="1" w:styleId="CEONormalChar">
    <w:name w:val="CEO_Normal Char"/>
    <w:basedOn w:val="DefaultParagraphFont"/>
    <w:link w:val="CEONormal"/>
    <w:locked/>
    <w:rPr>
      <w:rFonts w:ascii="Calibri" w:eastAsia="SimSun" w:hAnsi="Calibri" w:cs="Simplified Arabic"/>
      <w:szCs w:val="19"/>
      <w:lang w:eastAsia="en-US"/>
    </w:rPr>
  </w:style>
  <w:style w:type="character" w:customStyle="1" w:styleId="ms-rtethemeforecolor-2-0">
    <w:name w:val="ms-rtethemeforecolor-2-0"/>
    <w:basedOn w:val="DefaultParagraphFont"/>
  </w:style>
  <w:style w:type="character" w:customStyle="1" w:styleId="a">
    <w:name w:val="列出段落 字符"/>
    <w:basedOn w:val="DefaultParagraphFont"/>
    <w:link w:val="ListParagraph1"/>
    <w:uiPriority w:val="99"/>
    <w:locked/>
    <w:rPr>
      <w:rFonts w:ascii="Verdana" w:eastAsia="SimHei" w:hAnsi="Verdana" w:cs="Simplified Arabic"/>
      <w:bCs/>
      <w:sz w:val="19"/>
      <w:szCs w:val="28"/>
      <w:lang w:val="en-US"/>
    </w:rPr>
  </w:style>
  <w:style w:type="character" w:customStyle="1" w:styleId="enumlev1Char">
    <w:name w:val="enumlev1 Char"/>
    <w:basedOn w:val="DefaultParagraphFont"/>
    <w:link w:val="enumlev1"/>
    <w:locked/>
    <w:rPr>
      <w:rFonts w:ascii="Calibri" w:eastAsia="SimSun" w:hAnsi="Calibri" w:cs="Times New Roman"/>
      <w:sz w:val="24"/>
      <w:szCs w:val="20"/>
    </w:rPr>
  </w:style>
  <w:style w:type="paragraph" w:styleId="ListParagraph">
    <w:name w:val="List Paragraph"/>
    <w:basedOn w:val="Normal"/>
    <w:link w:val="ListParagraphChar"/>
    <w:uiPriority w:val="99"/>
    <w:qFormat/>
    <w:rsid w:val="009A7FDA"/>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rPr>
  </w:style>
  <w:style w:type="character" w:customStyle="1" w:styleId="ListParagraphChar">
    <w:name w:val="List Paragraph Char"/>
    <w:basedOn w:val="DefaultParagraphFont"/>
    <w:link w:val="ListParagraph"/>
    <w:uiPriority w:val="99"/>
    <w:locked/>
    <w:rsid w:val="009A7FDA"/>
    <w:rPr>
      <w:rFonts w:ascii="Verdana" w:eastAsia="SimHei" w:hAnsi="Verdana" w:cs="Simplified Arabic"/>
      <w:bCs/>
      <w:sz w:val="19"/>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en/itudsponsorships"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Partners/pages/call4partners/partnerships.aspx"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www.itu.int/en/ITU-D/Projects/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65000"/>
                    <a:lumOff val="35000"/>
                  </a:schemeClr>
                </a:solidFill>
                <a:effectLst/>
                <a:latin typeface="+mn-lt"/>
                <a:ea typeface="+mn-ea"/>
                <a:cs typeface="+mn-cs"/>
              </a:defRPr>
            </a:pPr>
            <a:r>
              <a:rPr lang="zh-CN" altLang="en-US" sz="1100" b="1"/>
              <a:t>新签署的协议</a:t>
            </a:r>
            <a:endParaRPr lang="en-US" sz="1100" b="1"/>
          </a:p>
          <a:p>
            <a:pPr>
              <a:defRPr sz="1100" b="1"/>
            </a:pPr>
            <a:r>
              <a:rPr lang="zh-CN" altLang="en-US" sz="1100" b="1"/>
              <a:t>（</a:t>
            </a:r>
            <a:r>
              <a:rPr lang="en-US" sz="1100" b="1"/>
              <a:t>2013</a:t>
            </a:r>
            <a:r>
              <a:rPr lang="zh-CN" altLang="en-US" sz="1100" b="1"/>
              <a:t>年</a:t>
            </a:r>
            <a:r>
              <a:rPr lang="en-US" sz="1100" b="1"/>
              <a:t> - 2</a:t>
            </a:r>
            <a:r>
              <a:rPr lang="en-US" sz="1100" b="1" baseline="0"/>
              <a:t>016</a:t>
            </a:r>
            <a:r>
              <a:rPr lang="zh-CN" altLang="en-US" sz="1100" b="1" baseline="0"/>
              <a:t>年）</a:t>
            </a:r>
            <a:endParaRPr lang="en-US" sz="1100" b="1"/>
          </a:p>
        </c:rich>
      </c:tx>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2"/>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2A3E536E-1E8B-4AA5-A1E3-117C10DC6135}" type="VALUE">
                      <a:rPr lang="en-US"/>
                      <a:pPr>
                        <a:defRPr/>
                      </a:pPr>
                      <a:t>[VALUE]</a:t>
                    </a:fld>
                    <a:r>
                      <a:rPr lang="en-US" baseline="30000"/>
                      <a:t>1</a:t>
                    </a:r>
                  </a:p>
                </c:rich>
              </c:tx>
              <c:spPr>
                <a:solidFill>
                  <a:schemeClr val="dk1">
                    <a:lumMod val="65000"/>
                    <a:lumOff val="35000"/>
                    <a:alpha val="75000"/>
                  </a:schemeClr>
                </a:solid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Lst>
            </c:dLbl>
            <c:dLbl>
              <c:idx val="3"/>
              <c:layout>
                <c:manualLayout>
                  <c:x val="4.4742729306486055E-3"/>
                  <c:y val="0.13693922744642389"/>
                </c:manualLayout>
              </c:layout>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Sheet1!$B$1:$E$1</c:f>
              <c:numCache>
                <c:formatCode>General</c:formatCode>
                <c:ptCount val="4"/>
                <c:pt idx="0">
                  <c:v>2013</c:v>
                </c:pt>
                <c:pt idx="1">
                  <c:v>2014</c:v>
                </c:pt>
                <c:pt idx="2">
                  <c:v>2015</c:v>
                </c:pt>
                <c:pt idx="3">
                  <c:v>2016</c:v>
                </c:pt>
              </c:numCache>
            </c:numRef>
          </c:cat>
          <c:val>
            <c:numRef>
              <c:f>Sheet1!$B$2:$E$2</c:f>
              <c:numCache>
                <c:formatCode>General</c:formatCode>
                <c:ptCount val="4"/>
                <c:pt idx="0">
                  <c:v>36</c:v>
                </c:pt>
                <c:pt idx="1">
                  <c:v>42</c:v>
                </c:pt>
                <c:pt idx="2">
                  <c:v>68</c:v>
                </c:pt>
                <c:pt idx="3">
                  <c:v>27</c:v>
                </c:pt>
              </c:numCache>
            </c:numRef>
          </c:val>
        </c:ser>
        <c:dLbls>
          <c:dLblPos val="inEnd"/>
          <c:showLegendKey val="0"/>
          <c:showVal val="1"/>
          <c:showCatName val="0"/>
          <c:showSerName val="0"/>
          <c:showPercent val="0"/>
          <c:showBubbleSize val="0"/>
        </c:dLbls>
        <c:gapWidth val="41"/>
        <c:axId val="737185680"/>
        <c:axId val="737186072"/>
      </c:barChart>
      <c:catAx>
        <c:axId val="737185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737186072"/>
        <c:crosses val="autoZero"/>
        <c:auto val="1"/>
        <c:lblAlgn val="ctr"/>
        <c:lblOffset val="100"/>
        <c:noMultiLvlLbl val="0"/>
      </c:catAx>
      <c:valAx>
        <c:axId val="737186072"/>
        <c:scaling>
          <c:orientation val="minMax"/>
        </c:scaling>
        <c:delete val="1"/>
        <c:axPos val="l"/>
        <c:numFmt formatCode="General" sourceLinked="1"/>
        <c:majorTickMark val="none"/>
        <c:minorTickMark val="none"/>
        <c:tickLblPos val="nextTo"/>
        <c:crossAx val="73718568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zh-CN" altLang="en-US" sz="1100"/>
              <a:t>新签署协议受益区域</a:t>
            </a:r>
            <a:r>
              <a:rPr lang="en-US" sz="1100"/>
              <a:t> </a:t>
            </a:r>
          </a:p>
          <a:p>
            <a:pPr>
              <a:defRPr/>
            </a:pPr>
            <a:r>
              <a:rPr lang="zh-CN" altLang="en-US" sz="1100"/>
              <a:t>（</a:t>
            </a:r>
            <a:r>
              <a:rPr lang="en-US" sz="1100"/>
              <a:t>2013</a:t>
            </a:r>
            <a:r>
              <a:rPr lang="zh-CN" altLang="en-US" sz="1100"/>
              <a:t>年</a:t>
            </a:r>
            <a:r>
              <a:rPr lang="en-US" sz="1100"/>
              <a:t> - 2016</a:t>
            </a:r>
            <a:r>
              <a:rPr lang="zh-CN" altLang="en-US" sz="1100"/>
              <a:t>年）</a:t>
            </a:r>
            <a:endParaRPr lang="en-US" sz="1100"/>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Sheet1!$G$7:$G$13</c:f>
              <c:strCache>
                <c:ptCount val="7"/>
                <c:pt idx="0">
                  <c:v>AFR</c:v>
                </c:pt>
                <c:pt idx="1">
                  <c:v>AMS</c:v>
                </c:pt>
                <c:pt idx="2">
                  <c:v>ARB</c:v>
                </c:pt>
                <c:pt idx="3">
                  <c:v>ASP</c:v>
                </c:pt>
                <c:pt idx="4">
                  <c:v>CIS</c:v>
                </c:pt>
                <c:pt idx="5">
                  <c:v>EUR</c:v>
                </c:pt>
                <c:pt idx="6">
                  <c:v>GLO</c:v>
                </c:pt>
              </c:strCache>
            </c:strRef>
          </c:cat>
          <c:val>
            <c:numRef>
              <c:f>Sheet1!$H$7:$H$13</c:f>
              <c:numCache>
                <c:formatCode>General</c:formatCode>
                <c:ptCount val="7"/>
                <c:pt idx="0">
                  <c:v>31.5</c:v>
                </c:pt>
                <c:pt idx="1">
                  <c:v>23</c:v>
                </c:pt>
                <c:pt idx="2">
                  <c:v>14</c:v>
                </c:pt>
                <c:pt idx="3">
                  <c:v>40</c:v>
                </c:pt>
                <c:pt idx="4">
                  <c:v>4</c:v>
                </c:pt>
                <c:pt idx="5">
                  <c:v>9.5</c:v>
                </c:pt>
                <c:pt idx="6">
                  <c:v>51</c:v>
                </c:pt>
              </c:numCache>
            </c:numRef>
          </c:val>
        </c:ser>
        <c:dLbls>
          <c:showLegendKey val="0"/>
          <c:showVal val="0"/>
          <c:showCatName val="0"/>
          <c:showSerName val="0"/>
          <c:showPercent val="0"/>
          <c:showBubbleSize val="0"/>
        </c:dLbls>
        <c:gapWidth val="100"/>
        <c:overlap val="-24"/>
        <c:axId val="737186856"/>
        <c:axId val="622454272"/>
      </c:barChart>
      <c:catAx>
        <c:axId val="7371868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22454272"/>
        <c:crosses val="autoZero"/>
        <c:auto val="1"/>
        <c:lblAlgn val="ctr"/>
        <c:lblOffset val="100"/>
        <c:noMultiLvlLbl val="0"/>
      </c:catAx>
      <c:valAx>
        <c:axId val="6224542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37186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50" baseline="0">
                <a:solidFill>
                  <a:schemeClr val="tx1">
                    <a:lumMod val="65000"/>
                    <a:lumOff val="35000"/>
                  </a:schemeClr>
                </a:solidFill>
                <a:latin typeface="+mn-lt"/>
                <a:ea typeface="+mn-ea"/>
                <a:cs typeface="+mn-cs"/>
              </a:defRPr>
            </a:pPr>
            <a:r>
              <a:rPr lang="zh-CN" altLang="en-US" sz="1100" b="1" i="0" u="none" strike="noStrike" cap="none" baseline="0">
                <a:effectLst/>
              </a:rPr>
              <a:t>新签署协议 </a:t>
            </a:r>
            <a:r>
              <a:rPr lang="en-US" sz="1100" b="1" i="0" u="none" strike="noStrike" cap="none" baseline="0">
                <a:effectLst/>
              </a:rPr>
              <a:t>– </a:t>
            </a:r>
            <a:r>
              <a:rPr lang="zh-CN" altLang="en-US" sz="1100" b="1" i="0" u="none" strike="noStrike" cap="none" baseline="0">
                <a:effectLst/>
              </a:rPr>
              <a:t>按主题（</a:t>
            </a:r>
            <a:r>
              <a:rPr lang="en-US" sz="1100" b="1" baseline="0"/>
              <a:t>2013</a:t>
            </a:r>
            <a:r>
              <a:rPr lang="zh-CN" altLang="en-US" sz="1100" b="1" baseline="0"/>
              <a:t>年</a:t>
            </a:r>
            <a:r>
              <a:rPr lang="en-US" sz="1100" b="1" baseline="0"/>
              <a:t> - 2016</a:t>
            </a:r>
            <a:r>
              <a:rPr lang="zh-CN" altLang="en-US" sz="1100" b="1" baseline="0"/>
              <a:t>年）</a:t>
            </a:r>
            <a:endParaRPr lang="en-US" sz="1100" b="1"/>
          </a:p>
        </c:rich>
      </c:tx>
      <c:layout/>
      <c:overlay val="0"/>
      <c:spPr>
        <a:noFill/>
        <a:ln>
          <a:noFill/>
        </a:ln>
        <a:effectLst/>
      </c:spPr>
      <c:txPr>
        <a:bodyPr rot="0" spcFirstLastPara="1" vertOverflow="ellipsis" vert="horz" wrap="square" anchor="ctr" anchorCtr="1"/>
        <a:lstStyle/>
        <a:p>
          <a:pPr>
            <a:defRPr sz="11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noFill/>
            <a:ln w="25400" cap="flat" cmpd="sng" algn="ctr">
              <a:solidFill>
                <a:schemeClr val="accent1"/>
              </a:solidFill>
              <a:miter lim="800000"/>
            </a:ln>
            <a:effectLst/>
          </c:spPr>
          <c:invertIfNegative val="0"/>
          <c:cat>
            <c:strRef>
              <c:f>Sheet1!$A$34:$A$43</c:f>
              <c:strCache>
                <c:ptCount val="10"/>
                <c:pt idx="0">
                  <c:v>Capacity Building</c:v>
                </c:pt>
                <c:pt idx="1">
                  <c:v>Infrastructure</c:v>
                </c:pt>
                <c:pt idx="2">
                  <c:v>Cybersecurity</c:v>
                </c:pt>
                <c:pt idx="3">
                  <c:v>ICT Applications</c:v>
                </c:pt>
                <c:pt idx="4">
                  <c:v>Enabling Environment</c:v>
                </c:pt>
                <c:pt idx="5">
                  <c:v>Generic</c:v>
                </c:pt>
                <c:pt idx="6">
                  <c:v>Emergency Telecom</c:v>
                </c:pt>
                <c:pt idx="7">
                  <c:v>Digital Inclusion</c:v>
                </c:pt>
                <c:pt idx="8">
                  <c:v>Innovation</c:v>
                </c:pt>
                <c:pt idx="9">
                  <c:v>Statistics and Indicators</c:v>
                </c:pt>
              </c:strCache>
            </c:strRef>
          </c:cat>
          <c:val>
            <c:numRef>
              <c:f>Sheet1!$B$34:$B$43</c:f>
              <c:numCache>
                <c:formatCode>General</c:formatCode>
                <c:ptCount val="10"/>
                <c:pt idx="0">
                  <c:v>48</c:v>
                </c:pt>
                <c:pt idx="1">
                  <c:v>31</c:v>
                </c:pt>
                <c:pt idx="2">
                  <c:v>29</c:v>
                </c:pt>
                <c:pt idx="3">
                  <c:v>23</c:v>
                </c:pt>
                <c:pt idx="4">
                  <c:v>16</c:v>
                </c:pt>
                <c:pt idx="5">
                  <c:v>10</c:v>
                </c:pt>
                <c:pt idx="6">
                  <c:v>8</c:v>
                </c:pt>
                <c:pt idx="7">
                  <c:v>5</c:v>
                </c:pt>
                <c:pt idx="8">
                  <c:v>2</c:v>
                </c:pt>
                <c:pt idx="9">
                  <c:v>2</c:v>
                </c:pt>
              </c:numCache>
            </c:numRef>
          </c:val>
        </c:ser>
        <c:dLbls>
          <c:showLegendKey val="0"/>
          <c:showVal val="0"/>
          <c:showCatName val="0"/>
          <c:showSerName val="0"/>
          <c:showPercent val="0"/>
          <c:showBubbleSize val="0"/>
        </c:dLbls>
        <c:gapWidth val="227"/>
        <c:overlap val="-48"/>
        <c:axId val="622455056"/>
        <c:axId val="622455448"/>
      </c:barChart>
      <c:catAx>
        <c:axId val="622455056"/>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22455448"/>
        <c:crosses val="autoZero"/>
        <c:auto val="1"/>
        <c:lblAlgn val="ctr"/>
        <c:lblOffset val="100"/>
        <c:noMultiLvlLbl val="0"/>
      </c:catAx>
      <c:valAx>
        <c:axId val="62245544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2245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zh-CN" altLang="en-US" sz="1100" b="1" i="0" u="none" strike="noStrike" baseline="0">
                <a:effectLst/>
              </a:rPr>
              <a:t>新签署协议 </a:t>
            </a:r>
            <a:r>
              <a:rPr lang="en-US" sz="1100" b="1" i="0" u="none" strike="noStrike" baseline="0">
                <a:effectLst/>
              </a:rPr>
              <a:t>– </a:t>
            </a:r>
            <a:r>
              <a:rPr lang="zh-CN" altLang="en-US" sz="1100" b="1" i="0" u="none" strike="noStrike" baseline="0">
                <a:effectLst/>
              </a:rPr>
              <a:t>利益攸关各方</a:t>
            </a:r>
            <a:endParaRPr lang="en-US" altLang="zh-CN" sz="1100" b="1" i="0" u="none" strike="noStrike" baseline="0">
              <a:effectLst/>
            </a:endParaRPr>
          </a:p>
          <a:p>
            <a:pPr>
              <a:defRPr sz="1100"/>
            </a:pPr>
            <a:r>
              <a:rPr lang="zh-CN" altLang="en-US" sz="1100" b="1" i="0" u="none" strike="noStrike" baseline="0">
                <a:effectLst/>
              </a:rPr>
              <a:t>（</a:t>
            </a:r>
            <a:r>
              <a:rPr lang="en-US" sz="1100"/>
              <a:t>2013</a:t>
            </a:r>
            <a:r>
              <a:rPr lang="zh-CN" altLang="en-US" sz="1100"/>
              <a:t>年</a:t>
            </a:r>
            <a:r>
              <a:rPr lang="en-US" sz="1100"/>
              <a:t> - 2016</a:t>
            </a:r>
            <a:r>
              <a:rPr lang="zh-CN" altLang="en-US" sz="1100"/>
              <a:t>年）</a:t>
            </a:r>
            <a:endParaRPr lang="en-US" sz="1100"/>
          </a:p>
        </c:rich>
      </c:tx>
      <c:layout>
        <c:manualLayout>
          <c:xMode val="edge"/>
          <c:yMode val="edge"/>
          <c:x val="0.1632188173930488"/>
          <c:y val="4.562737642585551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869692401368485E-2"/>
          <c:y val="0.28330916527611794"/>
          <c:w val="0.8171010253287716"/>
          <c:h val="0.48616804574694472"/>
        </c:manualLayout>
      </c:layout>
      <c:pie3DChart>
        <c:varyColors val="1"/>
        <c:ser>
          <c:idx val="0"/>
          <c:order val="0"/>
          <c:explosion val="4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6.0287246440094679E-2"/>
                  <c:y val="5.1284178911759321E-2"/>
                </c:manualLayout>
              </c:layout>
              <c:tx>
                <c:rich>
                  <a:bodyPr/>
                  <a:lstStyle/>
                  <a:p>
                    <a:fld id="{FD00352E-5A17-4559-AF6F-210EB26FF039}" type="VALUE">
                      <a:rPr lang="en-US"/>
                      <a:pPr/>
                      <a:t>[VALUE]</a:t>
                    </a:fld>
                    <a:r>
                      <a:rPr lang="en-US"/>
                      <a:t> %</a:t>
                    </a:r>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9.9648929234164199E-2"/>
                  <c:y val="4.3658573096613876E-2"/>
                </c:manualLayout>
              </c:layout>
              <c:tx>
                <c:rich>
                  <a:bodyPr/>
                  <a:lstStyle/>
                  <a:p>
                    <a:fld id="{F47BF712-5460-482B-B731-B4DC15285376}" type="VALUE">
                      <a:rPr lang="en-US"/>
                      <a:pPr/>
                      <a:t>[VALUE]</a:t>
                    </a:fld>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Sheet1!$G$48:$G$49</c:f>
              <c:strCache>
                <c:ptCount val="2"/>
                <c:pt idx="0">
                  <c:v>ITU-D Membership</c:v>
                </c:pt>
                <c:pt idx="1">
                  <c:v>Non ITU-D Membership</c:v>
                </c:pt>
              </c:strCache>
            </c:strRef>
          </c:cat>
          <c:val>
            <c:numRef>
              <c:f>Sheet1!$H$48:$H$49</c:f>
              <c:numCache>
                <c:formatCode>0</c:formatCode>
                <c:ptCount val="2"/>
                <c:pt idx="0">
                  <c:v>76.506024096385545</c:v>
                </c:pt>
                <c:pt idx="1">
                  <c:v>23.493975903614459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spc="50" baseline="0">
                <a:solidFill>
                  <a:schemeClr val="tx1">
                    <a:lumMod val="65000"/>
                    <a:lumOff val="35000"/>
                  </a:schemeClr>
                </a:solidFill>
                <a:latin typeface="+mn-lt"/>
                <a:ea typeface="+mn-ea"/>
                <a:cs typeface="+mn-cs"/>
              </a:defRPr>
            </a:pPr>
            <a:r>
              <a:rPr lang="zh-CN" altLang="en-US" sz="1050" b="1" i="0" u="none" strike="noStrike" cap="all" baseline="0">
                <a:effectLst/>
              </a:rPr>
              <a:t>新签署协议 </a:t>
            </a:r>
            <a:r>
              <a:rPr lang="en-US" sz="1050" b="1" i="0" u="none" strike="noStrike" cap="all" baseline="0">
                <a:effectLst/>
              </a:rPr>
              <a:t>– </a:t>
            </a:r>
            <a:r>
              <a:rPr lang="zh-CN" altLang="en-US" sz="1050" b="1" i="0" u="none" strike="noStrike" cap="all" baseline="0">
                <a:effectLst/>
              </a:rPr>
              <a:t>利益攸关各方</a:t>
            </a:r>
            <a:endParaRPr lang="en-US" altLang="zh-CN" sz="1050" b="1" i="0" u="none" strike="noStrike" cap="all" baseline="0">
              <a:effectLst/>
            </a:endParaRPr>
          </a:p>
          <a:p>
            <a:pPr>
              <a:defRPr sz="1050"/>
            </a:pPr>
            <a:r>
              <a:rPr lang="zh-CN" altLang="en-US" sz="1050" b="1" i="0" u="none" strike="noStrike" cap="all" baseline="0">
                <a:effectLst/>
              </a:rPr>
              <a:t>（</a:t>
            </a:r>
            <a:r>
              <a:rPr lang="en-US" sz="1050" b="1" i="0" cap="none" baseline="0">
                <a:effectLst/>
              </a:rPr>
              <a:t>2013</a:t>
            </a:r>
            <a:r>
              <a:rPr lang="zh-CN" altLang="en-US" sz="1050" b="1" i="0" cap="none" baseline="0">
                <a:effectLst/>
              </a:rPr>
              <a:t>年</a:t>
            </a:r>
            <a:r>
              <a:rPr lang="en-US" sz="1050" b="1" i="0" cap="none" baseline="0">
                <a:effectLst/>
              </a:rPr>
              <a:t> - 2016</a:t>
            </a:r>
            <a:r>
              <a:rPr lang="zh-CN" altLang="en-US" sz="1050" b="1" i="0" cap="none" baseline="0">
                <a:effectLst/>
              </a:rPr>
              <a:t>年）</a:t>
            </a:r>
            <a:endParaRPr lang="en-US" sz="1050" cap="none" baseline="0">
              <a:effectLst/>
            </a:endParaRPr>
          </a:p>
        </c:rich>
      </c:tx>
      <c:layout>
        <c:manualLayout>
          <c:xMode val="edge"/>
          <c:yMode val="edge"/>
          <c:x val="6.2006561679790038E-2"/>
          <c:y val="4.8003260956016862E-2"/>
        </c:manualLayout>
      </c:layout>
      <c:overlay val="0"/>
      <c:spPr>
        <a:noFill/>
        <a:ln>
          <a:noFill/>
        </a:ln>
        <a:effectLst/>
      </c:spPr>
      <c:txPr>
        <a:bodyPr rot="0" spcFirstLastPara="1" vertOverflow="ellipsis" vert="horz" wrap="square" anchor="ctr" anchorCtr="1"/>
        <a:lstStyle/>
        <a:p>
          <a:pPr>
            <a:defRPr sz="105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8095890566437483"/>
          <c:y val="0.19569166400325422"/>
          <c:w val="0.45310805391471909"/>
          <c:h val="0.55677097558377153"/>
        </c:manualLayout>
      </c:layout>
      <c:doughnutChart>
        <c:varyColors val="1"/>
        <c:ser>
          <c:idx val="0"/>
          <c:order val="0"/>
          <c:explosion val="6"/>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Sheet1!$A$66:$A$71</c:f>
              <c:strCache>
                <c:ptCount val="6"/>
                <c:pt idx="0">
                  <c:v>Administration</c:v>
                </c:pt>
                <c:pt idx="1">
                  <c:v>Private sector</c:v>
                </c:pt>
                <c:pt idx="2">
                  <c:v>UN System</c:v>
                </c:pt>
                <c:pt idx="3">
                  <c:v>Financial Instit/Foundations</c:v>
                </c:pt>
                <c:pt idx="4">
                  <c:v>Academia</c:v>
                </c:pt>
                <c:pt idx="5">
                  <c:v>Organizations (Reg/Int)</c:v>
                </c:pt>
              </c:strCache>
            </c:strRef>
          </c:cat>
          <c:val>
            <c:numRef>
              <c:f>Sheet1!$B$66:$B$71</c:f>
              <c:numCache>
                <c:formatCode>0</c:formatCode>
                <c:ptCount val="6"/>
                <c:pt idx="0">
                  <c:v>38.69047619047619</c:v>
                </c:pt>
                <c:pt idx="1">
                  <c:v>22.023809523809522</c:v>
                </c:pt>
                <c:pt idx="2">
                  <c:v>6.5476190476190483</c:v>
                </c:pt>
                <c:pt idx="3">
                  <c:v>2.9761904761904758</c:v>
                </c:pt>
                <c:pt idx="4">
                  <c:v>16.071428571428573</c:v>
                </c:pt>
                <c:pt idx="5">
                  <c:v>13.690476190476192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2.6551914608124536E-2"/>
          <c:y val="0.48462135959942276"/>
          <c:w val="0.48243155988478548"/>
          <c:h val="0.436657853192705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32" textRotate="1"/>
    <customShpInfo spid="_x0000_s1033" textRotate="1"/>
    <customShpInfo spid="_x0000_s1034" textRotate="1"/>
    <customShpInfo spid="_x0000_s103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D14-TDAG22-C-0029!!MSW-C</vt:lpstr>
    </vt:vector>
  </TitlesOfParts>
  <Company>International Telecommunication Union (ITU)</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D14-TDAG22-C-0029!!MSW-C</dc:title>
  <dc:creator>Documents Proposals Manager (DPM)</dc:creator>
  <cp:keywords>DPM_v2017.4.27.1_prod</cp:keywords>
  <cp:lastModifiedBy>Zheng, Bingyue</cp:lastModifiedBy>
  <cp:revision>3</cp:revision>
  <cp:lastPrinted>2015-03-02T13:42:00Z</cp:lastPrinted>
  <dcterms:created xsi:type="dcterms:W3CDTF">2017-05-08T08:10:00Z</dcterms:created>
  <dcterms:modified xsi:type="dcterms:W3CDTF">2017-05-08T08:11:00Z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