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9F6682" w14:paraId="4AE37284" w14:textId="77777777" w:rsidTr="00E30B74">
        <w:trPr>
          <w:cantSplit/>
          <w:trHeight w:val="1134"/>
        </w:trPr>
        <w:tc>
          <w:tcPr>
            <w:tcW w:w="1276" w:type="dxa"/>
          </w:tcPr>
          <w:p w14:paraId="4F231EC1" w14:textId="77777777" w:rsidR="009F6682" w:rsidRPr="00844A56" w:rsidRDefault="009F6682" w:rsidP="00E30B74">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59264" behindDoc="0" locked="0" layoutInCell="1" allowOverlap="1" wp14:anchorId="78EBD603" wp14:editId="0A7E174C">
                  <wp:simplePos x="0" y="0"/>
                  <wp:positionH relativeFrom="column">
                    <wp:posOffset>-44450</wp:posOffset>
                  </wp:positionH>
                  <wp:positionV relativeFrom="paragraph">
                    <wp:posOffset>17780</wp:posOffset>
                  </wp:positionV>
                  <wp:extent cx="771525" cy="700486"/>
                  <wp:effectExtent l="0" t="0" r="0" b="4445"/>
                  <wp:wrapNone/>
                  <wp:docPr id="5" name="Picture 5"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115FB014" w14:textId="77777777" w:rsidR="009F6682" w:rsidRDefault="009F6682" w:rsidP="00E30B74">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EF29A34" w14:textId="77777777" w:rsidR="009F6682" w:rsidRPr="00844A56" w:rsidRDefault="009F6682" w:rsidP="00E30B74">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5C127370" w14:textId="77777777" w:rsidR="009F6682" w:rsidRPr="00683C32" w:rsidRDefault="009F6682" w:rsidP="00E30B74">
            <w:pPr>
              <w:spacing w:before="0"/>
              <w:ind w:right="142"/>
              <w:jc w:val="right"/>
            </w:pPr>
            <w:r w:rsidRPr="004949B5">
              <w:rPr>
                <w:noProof/>
                <w:color w:val="189CD7"/>
                <w:lang w:eastAsia="zh-CN"/>
              </w:rPr>
              <w:drawing>
                <wp:anchor distT="0" distB="0" distL="114300" distR="114300" simplePos="0" relativeHeight="251660288" behindDoc="0" locked="0" layoutInCell="1" allowOverlap="1" wp14:anchorId="225068CC" wp14:editId="01D117B4">
                  <wp:simplePos x="0" y="0"/>
                  <wp:positionH relativeFrom="column">
                    <wp:posOffset>353060</wp:posOffset>
                  </wp:positionH>
                  <wp:positionV relativeFrom="paragraph">
                    <wp:posOffset>98425</wp:posOffset>
                  </wp:positionV>
                  <wp:extent cx="1570990" cy="587785"/>
                  <wp:effectExtent l="0" t="0" r="0" b="3175"/>
                  <wp:wrapNone/>
                  <wp:docPr id="6" name="Picture 6"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F6682" w:rsidRPr="00997358" w14:paraId="511A5B91" w14:textId="77777777" w:rsidTr="00E30B74">
        <w:trPr>
          <w:cantSplit/>
        </w:trPr>
        <w:tc>
          <w:tcPr>
            <w:tcW w:w="6663" w:type="dxa"/>
            <w:gridSpan w:val="2"/>
            <w:tcBorders>
              <w:top w:val="single" w:sz="12" w:space="0" w:color="auto"/>
            </w:tcBorders>
          </w:tcPr>
          <w:p w14:paraId="12AD2233" w14:textId="77777777" w:rsidR="009F6682" w:rsidRPr="00997358" w:rsidRDefault="009F6682" w:rsidP="00E30B74">
            <w:pPr>
              <w:spacing w:before="0"/>
              <w:rPr>
                <w:rFonts w:cs="Arial"/>
                <w:b/>
                <w:bCs/>
                <w:sz w:val="20"/>
              </w:rPr>
            </w:pPr>
          </w:p>
        </w:tc>
        <w:tc>
          <w:tcPr>
            <w:tcW w:w="3225" w:type="dxa"/>
            <w:tcBorders>
              <w:top w:val="single" w:sz="12" w:space="0" w:color="auto"/>
            </w:tcBorders>
          </w:tcPr>
          <w:p w14:paraId="1705B5C1" w14:textId="77777777" w:rsidR="009F6682" w:rsidRPr="00997358" w:rsidRDefault="009F6682" w:rsidP="00E30B74">
            <w:pPr>
              <w:spacing w:before="0"/>
              <w:rPr>
                <w:b/>
                <w:bCs/>
                <w:sz w:val="20"/>
              </w:rPr>
            </w:pPr>
          </w:p>
        </w:tc>
      </w:tr>
      <w:tr w:rsidR="009F6682" w:rsidRPr="00002716" w14:paraId="5AA3191D" w14:textId="77777777" w:rsidTr="00E30B74">
        <w:trPr>
          <w:cantSplit/>
        </w:trPr>
        <w:tc>
          <w:tcPr>
            <w:tcW w:w="6663" w:type="dxa"/>
            <w:gridSpan w:val="2"/>
            <w:vMerge w:val="restart"/>
          </w:tcPr>
          <w:p w14:paraId="7B37BB30" w14:textId="77777777" w:rsidR="009F6682" w:rsidRPr="002E6963" w:rsidRDefault="009F6682" w:rsidP="00E30B74">
            <w:pPr>
              <w:pStyle w:val="Committee"/>
              <w:rPr>
                <w:b w:val="0"/>
              </w:rPr>
            </w:pPr>
            <w:bookmarkStart w:id="0" w:name="_GoBack"/>
            <w:bookmarkEnd w:id="0"/>
          </w:p>
        </w:tc>
        <w:tc>
          <w:tcPr>
            <w:tcW w:w="3225" w:type="dxa"/>
          </w:tcPr>
          <w:p w14:paraId="241527C3" w14:textId="6591EBC5" w:rsidR="009F6682" w:rsidRPr="00002716" w:rsidRDefault="009F6682" w:rsidP="00A565EE">
            <w:pPr>
              <w:spacing w:before="0"/>
              <w:jc w:val="both"/>
              <w:rPr>
                <w:bCs/>
                <w:lang w:val="en-US"/>
              </w:rPr>
            </w:pPr>
            <w:r w:rsidRPr="00002716">
              <w:rPr>
                <w:b/>
                <w:bCs/>
                <w:lang w:val="en-US"/>
              </w:rPr>
              <w:t>Document</w:t>
            </w:r>
            <w:r w:rsidRPr="00A54E72">
              <w:rPr>
                <w:b/>
                <w:bCs/>
                <w:lang w:val="en-US"/>
              </w:rPr>
              <w:t xml:space="preserve"> </w:t>
            </w:r>
            <w:bookmarkStart w:id="1" w:name="DocRef1"/>
            <w:bookmarkEnd w:id="1"/>
            <w:r>
              <w:rPr>
                <w:b/>
                <w:bCs/>
                <w:lang w:val="en-US"/>
              </w:rPr>
              <w:t>TDAG17</w:t>
            </w:r>
            <w:r w:rsidR="006D615B">
              <w:rPr>
                <w:b/>
                <w:bCs/>
                <w:lang w:val="en-US"/>
              </w:rPr>
              <w:t>-22</w:t>
            </w:r>
            <w:r w:rsidRPr="00A54E72">
              <w:rPr>
                <w:b/>
                <w:bCs/>
                <w:lang w:val="en-US"/>
              </w:rPr>
              <w:t>/</w:t>
            </w:r>
            <w:bookmarkStart w:id="2" w:name="DocNo1"/>
            <w:bookmarkEnd w:id="2"/>
            <w:r w:rsidR="00A565EE">
              <w:rPr>
                <w:b/>
                <w:bCs/>
                <w:lang w:val="en-US"/>
              </w:rPr>
              <w:t>29</w:t>
            </w:r>
            <w:r>
              <w:rPr>
                <w:b/>
                <w:bCs/>
                <w:lang w:val="en-US"/>
              </w:rPr>
              <w:t>-E</w:t>
            </w:r>
          </w:p>
        </w:tc>
      </w:tr>
      <w:tr w:rsidR="009F6682" w14:paraId="587E7D0C" w14:textId="77777777" w:rsidTr="00E30B74">
        <w:trPr>
          <w:cantSplit/>
        </w:trPr>
        <w:tc>
          <w:tcPr>
            <w:tcW w:w="6663" w:type="dxa"/>
            <w:gridSpan w:val="2"/>
            <w:vMerge/>
          </w:tcPr>
          <w:p w14:paraId="3E074CFF" w14:textId="77777777" w:rsidR="009F6682" w:rsidRPr="00002716" w:rsidRDefault="009F6682" w:rsidP="00E30B74">
            <w:pPr>
              <w:spacing w:after="120"/>
              <w:rPr>
                <w:b/>
                <w:bCs/>
                <w:smallCaps/>
                <w:lang w:val="en-US"/>
              </w:rPr>
            </w:pPr>
          </w:p>
        </w:tc>
        <w:tc>
          <w:tcPr>
            <w:tcW w:w="3225" w:type="dxa"/>
          </w:tcPr>
          <w:p w14:paraId="392195D9" w14:textId="4735FAB1" w:rsidR="009F6682" w:rsidRPr="002E6F8F" w:rsidRDefault="00F6325D" w:rsidP="00A565EE">
            <w:pPr>
              <w:spacing w:before="0"/>
              <w:rPr>
                <w:b/>
              </w:rPr>
            </w:pPr>
            <w:bookmarkStart w:id="3" w:name="CreationDate"/>
            <w:bookmarkEnd w:id="3"/>
            <w:r>
              <w:rPr>
                <w:b/>
              </w:rPr>
              <w:t>26 April</w:t>
            </w:r>
            <w:r w:rsidR="00A565EE">
              <w:rPr>
                <w:b/>
              </w:rPr>
              <w:t xml:space="preserve"> 2017</w:t>
            </w:r>
            <w:r w:rsidR="009F6682">
              <w:rPr>
                <w:b/>
              </w:rPr>
              <w:t xml:space="preserve"> </w:t>
            </w:r>
          </w:p>
        </w:tc>
      </w:tr>
      <w:tr w:rsidR="009F6682" w14:paraId="3BB922DD" w14:textId="77777777" w:rsidTr="00E30B74">
        <w:trPr>
          <w:cantSplit/>
        </w:trPr>
        <w:tc>
          <w:tcPr>
            <w:tcW w:w="6663" w:type="dxa"/>
            <w:gridSpan w:val="2"/>
            <w:vMerge/>
          </w:tcPr>
          <w:p w14:paraId="07901FB0" w14:textId="77777777" w:rsidR="009F6682" w:rsidRDefault="009F6682" w:rsidP="00E30B74">
            <w:pPr>
              <w:spacing w:after="120"/>
              <w:rPr>
                <w:b/>
                <w:bCs/>
                <w:smallCaps/>
              </w:rPr>
            </w:pPr>
          </w:p>
        </w:tc>
        <w:tc>
          <w:tcPr>
            <w:tcW w:w="3225" w:type="dxa"/>
          </w:tcPr>
          <w:p w14:paraId="3F1C4CBF" w14:textId="69810765" w:rsidR="009F6682" w:rsidRPr="00D34008" w:rsidRDefault="009F6682" w:rsidP="00E30B74">
            <w:pPr>
              <w:spacing w:before="0" w:after="240"/>
            </w:pPr>
            <w:r>
              <w:rPr>
                <w:b/>
              </w:rPr>
              <w:t xml:space="preserve">Original: </w:t>
            </w:r>
            <w:bookmarkStart w:id="4" w:name="Original"/>
            <w:bookmarkEnd w:id="4"/>
            <w:r w:rsidR="00A565EE">
              <w:rPr>
                <w:b/>
              </w:rPr>
              <w:t>English</w:t>
            </w:r>
          </w:p>
        </w:tc>
      </w:tr>
      <w:tr w:rsidR="009F6682" w14:paraId="3D275184" w14:textId="77777777" w:rsidTr="00E30B74">
        <w:trPr>
          <w:cantSplit/>
          <w:trHeight w:val="852"/>
        </w:trPr>
        <w:tc>
          <w:tcPr>
            <w:tcW w:w="9888" w:type="dxa"/>
            <w:gridSpan w:val="3"/>
          </w:tcPr>
          <w:p w14:paraId="487B4C34" w14:textId="77777777" w:rsidR="009F6682" w:rsidRPr="003604FB" w:rsidRDefault="009F6682" w:rsidP="00E30B74">
            <w:pPr>
              <w:pStyle w:val="Source"/>
              <w:spacing w:before="240" w:after="120"/>
              <w:jc w:val="center"/>
              <w:rPr>
                <w:sz w:val="28"/>
                <w:szCs w:val="28"/>
              </w:rPr>
            </w:pPr>
            <w:bookmarkStart w:id="5" w:name="Source"/>
            <w:bookmarkEnd w:id="5"/>
          </w:p>
        </w:tc>
      </w:tr>
      <w:tr w:rsidR="009F6682" w:rsidRPr="002E6963" w14:paraId="44921635" w14:textId="77777777" w:rsidTr="00E30B74">
        <w:trPr>
          <w:cantSplit/>
        </w:trPr>
        <w:tc>
          <w:tcPr>
            <w:tcW w:w="9888" w:type="dxa"/>
            <w:gridSpan w:val="3"/>
          </w:tcPr>
          <w:p w14:paraId="286EFAA3" w14:textId="43EAA42D" w:rsidR="009F6682" w:rsidRPr="00AA6368" w:rsidRDefault="009F6682" w:rsidP="00230826">
            <w:pPr>
              <w:pStyle w:val="Title1"/>
              <w:jc w:val="center"/>
              <w:rPr>
                <w:bCs/>
                <w:sz w:val="28"/>
                <w:szCs w:val="28"/>
              </w:rPr>
            </w:pPr>
            <w:bookmarkStart w:id="6" w:name="Title"/>
            <w:bookmarkEnd w:id="6"/>
            <w:r w:rsidRPr="00230826">
              <w:rPr>
                <w:bCs/>
                <w:sz w:val="28"/>
                <w:szCs w:val="28"/>
                <w:lang w:val="en-US"/>
              </w:rPr>
              <w:t>Director</w:t>
            </w:r>
            <w:r w:rsidR="00230826" w:rsidRPr="00230826">
              <w:rPr>
                <w:bCs/>
                <w:sz w:val="28"/>
                <w:szCs w:val="28"/>
                <w:lang w:val="en-US"/>
              </w:rPr>
              <w:t xml:space="preserve">, </w:t>
            </w:r>
            <w:r w:rsidR="00B36275" w:rsidRPr="00230826">
              <w:rPr>
                <w:bCs/>
                <w:sz w:val="28"/>
                <w:szCs w:val="28"/>
                <w:lang w:val="en-US"/>
              </w:rPr>
              <w:t>Telecommunication</w:t>
            </w:r>
            <w:r w:rsidR="00230826" w:rsidRPr="00230826">
              <w:rPr>
                <w:bCs/>
                <w:sz w:val="28"/>
                <w:szCs w:val="28"/>
                <w:lang w:val="en-US"/>
              </w:rPr>
              <w:t xml:space="preserve"> Development Bureau</w:t>
            </w:r>
          </w:p>
        </w:tc>
      </w:tr>
      <w:tr w:rsidR="009F6682" w:rsidRPr="002E6963" w14:paraId="2207D706" w14:textId="77777777" w:rsidTr="00E30B74">
        <w:trPr>
          <w:cantSplit/>
        </w:trPr>
        <w:tc>
          <w:tcPr>
            <w:tcW w:w="9888" w:type="dxa"/>
            <w:gridSpan w:val="3"/>
            <w:vAlign w:val="center"/>
          </w:tcPr>
          <w:p w14:paraId="336AC4AC" w14:textId="77777777" w:rsidR="009F6682" w:rsidRPr="003604FB" w:rsidRDefault="009F6682" w:rsidP="00E30B74">
            <w:pPr>
              <w:pStyle w:val="Title1"/>
              <w:jc w:val="center"/>
              <w:rPr>
                <w:bCs/>
                <w:sz w:val="28"/>
                <w:szCs w:val="28"/>
                <w:lang w:val="en-US"/>
              </w:rPr>
            </w:pPr>
            <w:r>
              <w:rPr>
                <w:b w:val="0"/>
                <w:bCs/>
                <w:sz w:val="28"/>
                <w:szCs w:val="28"/>
              </w:rPr>
              <w:t>ITU-D PARTNERSHIP AND RESOURCE MOBILIZATION</w:t>
            </w:r>
            <w:r w:rsidDel="00FA6875">
              <w:rPr>
                <w:rFonts w:ascii="Calibri" w:hAnsi="Calibri" w:cs="Calibri"/>
                <w:szCs w:val="24"/>
                <w:lang w:val="en-US"/>
              </w:rPr>
              <w:t xml:space="preserve"> </w:t>
            </w:r>
          </w:p>
        </w:tc>
      </w:tr>
    </w:tbl>
    <w:p w14:paraId="21D0C12C" w14:textId="77777777" w:rsidR="009F6682" w:rsidRDefault="009F6682" w:rsidP="009F6682">
      <w:pPr>
        <w:spacing w:before="0"/>
      </w:pPr>
    </w:p>
    <w:p w14:paraId="608F6D1B" w14:textId="77777777" w:rsidR="009F6682" w:rsidRPr="00A565EE" w:rsidRDefault="009F6682" w:rsidP="009F6682">
      <w:pPr>
        <w:pStyle w:val="Normalaftertitle"/>
        <w:pBdr>
          <w:top w:val="single" w:sz="4" w:space="1" w:color="auto"/>
          <w:left w:val="single" w:sz="4" w:space="0" w:color="auto"/>
          <w:bottom w:val="single" w:sz="4" w:space="1" w:color="auto"/>
          <w:right w:val="single" w:sz="4" w:space="4" w:color="auto"/>
        </w:pBdr>
        <w:spacing w:before="0"/>
        <w:ind w:left="284"/>
        <w:rPr>
          <w:b/>
          <w:bCs/>
          <w:szCs w:val="24"/>
        </w:rPr>
      </w:pPr>
      <w:r w:rsidRPr="00A565EE">
        <w:rPr>
          <w:b/>
          <w:bCs/>
          <w:szCs w:val="24"/>
        </w:rPr>
        <w:t xml:space="preserve">Summary: </w:t>
      </w:r>
    </w:p>
    <w:p w14:paraId="79598085" w14:textId="7CA3F6B6" w:rsidR="009F6682" w:rsidRPr="00A565EE" w:rsidRDefault="009F6682" w:rsidP="009F6682">
      <w:pPr>
        <w:pStyle w:val="Normalaftertitle"/>
        <w:pBdr>
          <w:top w:val="single" w:sz="4" w:space="1" w:color="auto"/>
          <w:left w:val="single" w:sz="4" w:space="0" w:color="auto"/>
          <w:bottom w:val="single" w:sz="4" w:space="1" w:color="auto"/>
          <w:right w:val="single" w:sz="4" w:space="4" w:color="auto"/>
        </w:pBdr>
        <w:spacing w:before="120"/>
        <w:ind w:left="284"/>
        <w:rPr>
          <w:szCs w:val="24"/>
        </w:rPr>
      </w:pPr>
      <w:bookmarkStart w:id="7" w:name="Abstract"/>
      <w:bookmarkEnd w:id="7"/>
      <w:r w:rsidRPr="00A565EE">
        <w:rPr>
          <w:szCs w:val="24"/>
        </w:rPr>
        <w:t>The importance of partnership and resource mobilization was highlighted by WTDC</w:t>
      </w:r>
      <w:r w:rsidRPr="00A565EE">
        <w:rPr>
          <w:szCs w:val="24"/>
        </w:rPr>
        <w:noBreakHyphen/>
        <w:t xml:space="preserve">14. In this framework, BDT has carried out various activities, initiatives and projects to enhance partnership and resource mobilization. This document presents an overview of the outcomes on ITU-D </w:t>
      </w:r>
      <w:r w:rsidR="007B5DD0">
        <w:rPr>
          <w:szCs w:val="24"/>
        </w:rPr>
        <w:t>p</w:t>
      </w:r>
      <w:r w:rsidRPr="00A565EE">
        <w:rPr>
          <w:szCs w:val="24"/>
        </w:rPr>
        <w:t xml:space="preserve">artnership and </w:t>
      </w:r>
      <w:r w:rsidR="007B5DD0">
        <w:rPr>
          <w:szCs w:val="24"/>
        </w:rPr>
        <w:t>r</w:t>
      </w:r>
      <w:r w:rsidRPr="00A565EE">
        <w:rPr>
          <w:szCs w:val="24"/>
        </w:rPr>
        <w:t xml:space="preserve">esource </w:t>
      </w:r>
      <w:r w:rsidR="007B5DD0">
        <w:rPr>
          <w:szCs w:val="24"/>
        </w:rPr>
        <w:t>m</w:t>
      </w:r>
      <w:r w:rsidRPr="00A565EE">
        <w:rPr>
          <w:szCs w:val="24"/>
        </w:rPr>
        <w:t>obilization at regional and global levels.</w:t>
      </w:r>
    </w:p>
    <w:p w14:paraId="79A454BD" w14:textId="77777777" w:rsidR="009F6682" w:rsidRPr="00A565EE" w:rsidRDefault="009F6682" w:rsidP="009F6682">
      <w:pPr>
        <w:pStyle w:val="Normalaftertitle"/>
        <w:pBdr>
          <w:top w:val="single" w:sz="4" w:space="1" w:color="auto"/>
          <w:left w:val="single" w:sz="4" w:space="0" w:color="auto"/>
          <w:bottom w:val="single" w:sz="4" w:space="1" w:color="auto"/>
          <w:right w:val="single" w:sz="4" w:space="4" w:color="auto"/>
        </w:pBdr>
        <w:spacing w:before="120"/>
        <w:ind w:left="284"/>
        <w:rPr>
          <w:szCs w:val="24"/>
          <w:lang w:eastAsia="pl-PL"/>
        </w:rPr>
      </w:pPr>
      <w:r w:rsidRPr="00A565EE">
        <w:rPr>
          <w:b/>
          <w:bCs/>
          <w:szCs w:val="24"/>
        </w:rPr>
        <w:t>Action required:</w:t>
      </w:r>
      <w:bookmarkStart w:id="8" w:name="ActionRequired"/>
      <w:bookmarkEnd w:id="8"/>
    </w:p>
    <w:p w14:paraId="3053E28D" w14:textId="1E44B181" w:rsidR="009F6682" w:rsidRPr="00A565EE" w:rsidRDefault="009F6682" w:rsidP="009F6682">
      <w:pPr>
        <w:pStyle w:val="Normalaftertitle"/>
        <w:pBdr>
          <w:top w:val="single" w:sz="4" w:space="1" w:color="auto"/>
          <w:left w:val="single" w:sz="4" w:space="0" w:color="auto"/>
          <w:bottom w:val="single" w:sz="4" w:space="1" w:color="auto"/>
          <w:right w:val="single" w:sz="4" w:space="4" w:color="auto"/>
        </w:pBdr>
        <w:spacing w:before="120"/>
        <w:ind w:left="284"/>
        <w:rPr>
          <w:szCs w:val="24"/>
        </w:rPr>
      </w:pPr>
      <w:r w:rsidRPr="00A565EE">
        <w:rPr>
          <w:szCs w:val="24"/>
          <w:lang w:eastAsia="pl-PL"/>
        </w:rPr>
        <w:t xml:space="preserve">TDAG is invited to note this </w:t>
      </w:r>
      <w:r w:rsidR="009E1AEE">
        <w:rPr>
          <w:szCs w:val="24"/>
          <w:lang w:eastAsia="pl-PL"/>
        </w:rPr>
        <w:t>document</w:t>
      </w:r>
      <w:r w:rsidRPr="00A565EE">
        <w:rPr>
          <w:szCs w:val="24"/>
          <w:lang w:eastAsia="pl-PL"/>
        </w:rPr>
        <w:t xml:space="preserve"> and to provide guidance as deemed appropriat</w:t>
      </w:r>
      <w:r w:rsidR="00A565EE" w:rsidRPr="00A565EE">
        <w:rPr>
          <w:szCs w:val="24"/>
          <w:lang w:eastAsia="pl-PL"/>
        </w:rPr>
        <w:t>e.</w:t>
      </w:r>
    </w:p>
    <w:p w14:paraId="1D2719DC" w14:textId="77777777" w:rsidR="009F6682" w:rsidRPr="00A565EE" w:rsidRDefault="009F6682" w:rsidP="009F6682">
      <w:pPr>
        <w:pBdr>
          <w:top w:val="single" w:sz="4" w:space="1" w:color="auto"/>
          <w:left w:val="single" w:sz="4" w:space="0" w:color="auto"/>
          <w:bottom w:val="single" w:sz="4" w:space="1" w:color="auto"/>
          <w:right w:val="single" w:sz="4" w:space="4" w:color="auto"/>
        </w:pBdr>
        <w:spacing w:before="240"/>
        <w:ind w:left="284"/>
        <w:rPr>
          <w:b/>
          <w:bCs/>
          <w:szCs w:val="24"/>
        </w:rPr>
      </w:pPr>
      <w:r w:rsidRPr="00A565EE">
        <w:rPr>
          <w:b/>
          <w:bCs/>
          <w:szCs w:val="24"/>
        </w:rPr>
        <w:t>References:</w:t>
      </w:r>
    </w:p>
    <w:p w14:paraId="0017D036" w14:textId="77777777" w:rsidR="009F6682" w:rsidRPr="00A565EE" w:rsidRDefault="009F6682" w:rsidP="009F6682">
      <w:pPr>
        <w:pBdr>
          <w:top w:val="single" w:sz="4" w:space="1" w:color="auto"/>
          <w:left w:val="single" w:sz="4" w:space="0" w:color="auto"/>
          <w:bottom w:val="single" w:sz="4" w:space="1" w:color="auto"/>
          <w:right w:val="single" w:sz="4" w:space="4" w:color="auto"/>
        </w:pBdr>
        <w:ind w:left="284"/>
        <w:rPr>
          <w:szCs w:val="24"/>
          <w:lang w:val="en-US"/>
        </w:rPr>
      </w:pPr>
      <w:bookmarkStart w:id="9" w:name="References"/>
      <w:bookmarkEnd w:id="9"/>
      <w:r w:rsidRPr="00A565EE">
        <w:rPr>
          <w:szCs w:val="24"/>
          <w:lang w:val="en-US"/>
        </w:rPr>
        <w:t>WTDC-14 Dubai Declaration; WTDC-14 Goal 4; WTDC-14 Output 2.3;</w:t>
      </w:r>
    </w:p>
    <w:p w14:paraId="2C9B5F71" w14:textId="77777777" w:rsidR="009F6682" w:rsidRPr="00A565EE" w:rsidRDefault="009F6682" w:rsidP="009F6682">
      <w:pPr>
        <w:pBdr>
          <w:top w:val="single" w:sz="4" w:space="1" w:color="auto"/>
          <w:left w:val="single" w:sz="4" w:space="0" w:color="auto"/>
          <w:bottom w:val="single" w:sz="4" w:space="1" w:color="auto"/>
          <w:right w:val="single" w:sz="4" w:space="4" w:color="auto"/>
        </w:pBdr>
        <w:ind w:left="284"/>
        <w:rPr>
          <w:szCs w:val="24"/>
        </w:rPr>
      </w:pPr>
      <w:r w:rsidRPr="00A565EE">
        <w:rPr>
          <w:rFonts w:ascii="Calibri" w:hAnsi="Calibri"/>
          <w:szCs w:val="24"/>
        </w:rPr>
        <w:t xml:space="preserve">WTDC Resolution 17 (Rev. Dubai, 2014); and </w:t>
      </w:r>
      <w:r w:rsidRPr="00A565EE">
        <w:rPr>
          <w:szCs w:val="24"/>
          <w:lang w:val="en-US"/>
        </w:rPr>
        <w:t>WTDC Resolution 71 (Rev. Dubai, 2014)</w:t>
      </w:r>
    </w:p>
    <w:p w14:paraId="6819791F" w14:textId="77777777" w:rsidR="008B5772" w:rsidRPr="00A565EE" w:rsidRDefault="008B5772" w:rsidP="00E21B56">
      <w:pPr>
        <w:pStyle w:val="BDTcontributionH1"/>
        <w:numPr>
          <w:ilvl w:val="0"/>
          <w:numId w:val="10"/>
        </w:numPr>
        <w:spacing w:after="0"/>
        <w:ind w:left="567" w:hanging="567"/>
        <w:rPr>
          <w:rFonts w:asciiTheme="minorHAnsi" w:hAnsiTheme="minorHAnsi" w:cs="Calibri"/>
          <w:sz w:val="24"/>
          <w:szCs w:val="24"/>
          <w:lang w:val="en-US"/>
        </w:rPr>
      </w:pPr>
      <w:bookmarkStart w:id="10" w:name="Proposal"/>
      <w:bookmarkEnd w:id="10"/>
      <w:r w:rsidRPr="00A565EE">
        <w:rPr>
          <w:rFonts w:asciiTheme="minorHAnsi" w:hAnsiTheme="minorHAnsi" w:cs="Calibri"/>
          <w:sz w:val="24"/>
          <w:szCs w:val="24"/>
          <w:lang w:val="en-US"/>
        </w:rPr>
        <w:t>Background</w:t>
      </w:r>
    </w:p>
    <w:p w14:paraId="34489718" w14:textId="393CB0D5" w:rsidR="000A395E" w:rsidRPr="00A565EE" w:rsidRDefault="00A565EE" w:rsidP="00E21B56">
      <w:pPr>
        <w:pStyle w:val="CEONormal"/>
        <w:spacing w:after="0"/>
        <w:rPr>
          <w:rFonts w:asciiTheme="minorHAnsi" w:hAnsiTheme="minorHAnsi"/>
          <w:sz w:val="24"/>
          <w:szCs w:val="24"/>
          <w:lang w:val="en-US"/>
        </w:rPr>
      </w:pPr>
      <w:r w:rsidRPr="00A565EE">
        <w:rPr>
          <w:rFonts w:asciiTheme="minorHAnsi" w:hAnsiTheme="minorHAnsi" w:cs="Calibri"/>
          <w:sz w:val="24"/>
          <w:szCs w:val="24"/>
          <w:lang w:val="en-US"/>
        </w:rPr>
        <w:t>S</w:t>
      </w:r>
      <w:r w:rsidR="000B20E5" w:rsidRPr="00A565EE">
        <w:rPr>
          <w:rFonts w:asciiTheme="minorHAnsi" w:hAnsiTheme="minorHAnsi" w:cs="Calibri"/>
          <w:sz w:val="24"/>
          <w:szCs w:val="24"/>
          <w:lang w:val="en-US"/>
        </w:rPr>
        <w:t xml:space="preserve">trengthening </w:t>
      </w:r>
      <w:r w:rsidR="008B5772" w:rsidRPr="00A565EE">
        <w:rPr>
          <w:rFonts w:asciiTheme="minorHAnsi" w:hAnsiTheme="minorHAnsi" w:cs="Calibri"/>
          <w:sz w:val="24"/>
          <w:szCs w:val="24"/>
          <w:lang w:val="en-US"/>
        </w:rPr>
        <w:t xml:space="preserve">partnerships and mobilizing </w:t>
      </w:r>
      <w:r w:rsidR="00450952" w:rsidRPr="00A565EE">
        <w:rPr>
          <w:rFonts w:asciiTheme="minorHAnsi" w:hAnsiTheme="minorHAnsi" w:cs="Calibri"/>
          <w:sz w:val="24"/>
          <w:szCs w:val="24"/>
          <w:lang w:val="en-US"/>
        </w:rPr>
        <w:t xml:space="preserve">extra-budgetary </w:t>
      </w:r>
      <w:r w:rsidR="008B5772" w:rsidRPr="00A565EE">
        <w:rPr>
          <w:rFonts w:asciiTheme="minorHAnsi" w:hAnsiTheme="minorHAnsi" w:cs="Calibri"/>
          <w:sz w:val="24"/>
          <w:szCs w:val="24"/>
          <w:lang w:val="en-US"/>
        </w:rPr>
        <w:t xml:space="preserve">resources </w:t>
      </w:r>
      <w:r w:rsidR="0040575F" w:rsidRPr="00A565EE">
        <w:rPr>
          <w:rFonts w:asciiTheme="minorHAnsi" w:hAnsiTheme="minorHAnsi" w:cs="Calibri"/>
          <w:sz w:val="24"/>
          <w:szCs w:val="24"/>
          <w:lang w:val="en-US"/>
        </w:rPr>
        <w:t xml:space="preserve">is </w:t>
      </w:r>
      <w:r w:rsidR="006550B1" w:rsidRPr="00A565EE">
        <w:rPr>
          <w:rFonts w:asciiTheme="minorHAnsi" w:hAnsiTheme="minorHAnsi" w:cs="Calibri"/>
          <w:sz w:val="24"/>
          <w:szCs w:val="24"/>
          <w:lang w:val="en-US"/>
        </w:rPr>
        <w:t xml:space="preserve">becoming increasingly </w:t>
      </w:r>
      <w:r w:rsidRPr="00A565EE">
        <w:rPr>
          <w:rFonts w:asciiTheme="minorHAnsi" w:hAnsiTheme="minorHAnsi" w:cs="Calibri"/>
          <w:sz w:val="24"/>
          <w:szCs w:val="24"/>
          <w:lang w:val="en-US"/>
        </w:rPr>
        <w:t xml:space="preserve">important </w:t>
      </w:r>
      <w:r w:rsidR="006550B1" w:rsidRPr="00A565EE">
        <w:rPr>
          <w:rFonts w:asciiTheme="minorHAnsi" w:hAnsiTheme="minorHAnsi" w:cs="Calibri"/>
          <w:sz w:val="24"/>
          <w:szCs w:val="24"/>
          <w:lang w:val="en-US"/>
        </w:rPr>
        <w:t xml:space="preserve">to </w:t>
      </w:r>
      <w:r w:rsidR="008B5772" w:rsidRPr="00A565EE">
        <w:rPr>
          <w:rFonts w:asciiTheme="minorHAnsi" w:hAnsiTheme="minorHAnsi" w:cs="Calibri"/>
          <w:sz w:val="24"/>
          <w:szCs w:val="24"/>
          <w:lang w:val="en-US"/>
        </w:rPr>
        <w:t>BDT given its mandate</w:t>
      </w:r>
      <w:r w:rsidR="0040575F" w:rsidRPr="00A565EE">
        <w:rPr>
          <w:rFonts w:asciiTheme="minorHAnsi" w:hAnsiTheme="minorHAnsi" w:cs="Calibri"/>
          <w:sz w:val="24"/>
          <w:szCs w:val="24"/>
          <w:lang w:val="en-US"/>
        </w:rPr>
        <w:t xml:space="preserve">, </w:t>
      </w:r>
      <w:r w:rsidR="007B5DD0">
        <w:rPr>
          <w:rFonts w:asciiTheme="minorHAnsi" w:hAnsiTheme="minorHAnsi" w:cs="Calibri"/>
          <w:sz w:val="24"/>
          <w:szCs w:val="24"/>
          <w:lang w:val="en-US"/>
        </w:rPr>
        <w:t xml:space="preserve">in </w:t>
      </w:r>
      <w:r w:rsidR="0040575F" w:rsidRPr="00A565EE">
        <w:rPr>
          <w:rFonts w:asciiTheme="minorHAnsi" w:hAnsiTheme="minorHAnsi" w:cs="Calibri"/>
          <w:sz w:val="24"/>
          <w:szCs w:val="24"/>
          <w:lang w:val="en-US"/>
        </w:rPr>
        <w:t xml:space="preserve">particular the </w:t>
      </w:r>
      <w:r w:rsidR="008B5772" w:rsidRPr="00A565EE">
        <w:rPr>
          <w:rFonts w:asciiTheme="minorHAnsi" w:hAnsiTheme="minorHAnsi" w:cs="Calibri"/>
          <w:sz w:val="24"/>
          <w:szCs w:val="24"/>
          <w:lang w:val="en-US"/>
        </w:rPr>
        <w:t>growing volume and variety of its initiatives</w:t>
      </w:r>
      <w:r w:rsidR="00C861D8" w:rsidRPr="00A565EE">
        <w:rPr>
          <w:rFonts w:asciiTheme="minorHAnsi" w:hAnsiTheme="minorHAnsi"/>
          <w:sz w:val="24"/>
          <w:szCs w:val="24"/>
          <w:lang w:val="en-US"/>
        </w:rPr>
        <w:t xml:space="preserve"> including the </w:t>
      </w:r>
      <w:r w:rsidR="00E21B56">
        <w:rPr>
          <w:rFonts w:asciiTheme="minorHAnsi" w:hAnsiTheme="minorHAnsi"/>
          <w:sz w:val="24"/>
          <w:szCs w:val="24"/>
          <w:lang w:val="en-US"/>
        </w:rPr>
        <w:t>R</w:t>
      </w:r>
      <w:r w:rsidR="00E21B56" w:rsidRPr="00A565EE">
        <w:rPr>
          <w:rFonts w:asciiTheme="minorHAnsi" w:hAnsiTheme="minorHAnsi"/>
          <w:sz w:val="24"/>
          <w:szCs w:val="24"/>
          <w:lang w:val="en-US"/>
        </w:rPr>
        <w:t xml:space="preserve">egional </w:t>
      </w:r>
      <w:r w:rsidR="00E21B56">
        <w:rPr>
          <w:rFonts w:asciiTheme="minorHAnsi" w:hAnsiTheme="minorHAnsi"/>
          <w:sz w:val="24"/>
          <w:szCs w:val="24"/>
          <w:lang w:val="en-US"/>
        </w:rPr>
        <w:t>I</w:t>
      </w:r>
      <w:r w:rsidR="00E21B56" w:rsidRPr="00A565EE">
        <w:rPr>
          <w:rFonts w:asciiTheme="minorHAnsi" w:hAnsiTheme="minorHAnsi"/>
          <w:sz w:val="24"/>
          <w:szCs w:val="24"/>
          <w:lang w:val="en-US"/>
        </w:rPr>
        <w:t>nitiatives</w:t>
      </w:r>
      <w:r w:rsidR="008B5772" w:rsidRPr="00A565EE">
        <w:rPr>
          <w:rFonts w:asciiTheme="minorHAnsi" w:hAnsiTheme="minorHAnsi" w:cs="Calibri"/>
          <w:sz w:val="24"/>
          <w:szCs w:val="24"/>
          <w:lang w:val="en-US"/>
        </w:rPr>
        <w:t>, projects and activities</w:t>
      </w:r>
      <w:r w:rsidR="000B20E5" w:rsidRPr="00A565EE">
        <w:rPr>
          <w:rFonts w:asciiTheme="minorHAnsi" w:hAnsiTheme="minorHAnsi" w:cs="Calibri"/>
          <w:sz w:val="24"/>
          <w:szCs w:val="24"/>
          <w:lang w:val="en-US"/>
        </w:rPr>
        <w:t xml:space="preserve"> </w:t>
      </w:r>
      <w:bookmarkStart w:id="11" w:name="dstart"/>
      <w:bookmarkEnd w:id="11"/>
      <w:r w:rsidR="00C820CE" w:rsidRPr="00A565EE">
        <w:rPr>
          <w:rFonts w:asciiTheme="minorHAnsi" w:hAnsiTheme="minorHAnsi"/>
          <w:sz w:val="24"/>
          <w:szCs w:val="24"/>
          <w:lang w:val="en-US"/>
        </w:rPr>
        <w:t>to implement</w:t>
      </w:r>
      <w:r w:rsidR="00C861D8" w:rsidRPr="00A565EE">
        <w:rPr>
          <w:rFonts w:asciiTheme="minorHAnsi" w:hAnsiTheme="minorHAnsi"/>
          <w:sz w:val="24"/>
          <w:szCs w:val="24"/>
          <w:lang w:val="en-US"/>
        </w:rPr>
        <w:t>.</w:t>
      </w:r>
      <w:r w:rsidR="00F90577" w:rsidRPr="00A565EE">
        <w:rPr>
          <w:rFonts w:asciiTheme="minorHAnsi" w:hAnsiTheme="minorHAnsi"/>
          <w:sz w:val="24"/>
          <w:szCs w:val="24"/>
          <w:lang w:val="en-US"/>
        </w:rPr>
        <w:t xml:space="preserve"> </w:t>
      </w:r>
      <w:r w:rsidR="005378F0" w:rsidRPr="00A565EE">
        <w:rPr>
          <w:rFonts w:asciiTheme="minorHAnsi" w:hAnsiTheme="minorHAnsi"/>
          <w:sz w:val="24"/>
          <w:szCs w:val="24"/>
          <w:lang w:val="en-US"/>
        </w:rPr>
        <w:t>T</w:t>
      </w:r>
      <w:r w:rsidR="0040575F" w:rsidRPr="00A565EE">
        <w:rPr>
          <w:rFonts w:asciiTheme="minorHAnsi" w:hAnsiTheme="minorHAnsi"/>
          <w:sz w:val="24"/>
          <w:szCs w:val="24"/>
          <w:lang w:val="en-US"/>
        </w:rPr>
        <w:t>herefore,</w:t>
      </w:r>
      <w:r w:rsidR="00F90577" w:rsidRPr="00A565EE">
        <w:rPr>
          <w:rFonts w:asciiTheme="minorHAnsi" w:hAnsiTheme="minorHAnsi"/>
          <w:sz w:val="24"/>
          <w:szCs w:val="24"/>
          <w:lang w:val="en-US"/>
        </w:rPr>
        <w:t xml:space="preserve"> </w:t>
      </w:r>
      <w:r w:rsidR="00450952" w:rsidRPr="00A565EE">
        <w:rPr>
          <w:rFonts w:asciiTheme="minorHAnsi" w:hAnsiTheme="minorHAnsi"/>
          <w:sz w:val="24"/>
          <w:szCs w:val="24"/>
          <w:lang w:val="en-US"/>
        </w:rPr>
        <w:t xml:space="preserve">BDT </w:t>
      </w:r>
      <w:r w:rsidR="00C861D8" w:rsidRPr="00A565EE">
        <w:rPr>
          <w:rFonts w:asciiTheme="minorHAnsi" w:hAnsiTheme="minorHAnsi"/>
          <w:sz w:val="24"/>
          <w:szCs w:val="24"/>
          <w:lang w:val="en-US"/>
        </w:rPr>
        <w:t xml:space="preserve">has been </w:t>
      </w:r>
      <w:r w:rsidR="008B5772" w:rsidRPr="00A565EE">
        <w:rPr>
          <w:rFonts w:asciiTheme="minorHAnsi" w:hAnsiTheme="minorHAnsi"/>
          <w:sz w:val="24"/>
          <w:szCs w:val="24"/>
          <w:lang w:val="en-US"/>
        </w:rPr>
        <w:t>develop</w:t>
      </w:r>
      <w:r w:rsidR="00450952" w:rsidRPr="00A565EE">
        <w:rPr>
          <w:rFonts w:asciiTheme="minorHAnsi" w:hAnsiTheme="minorHAnsi"/>
          <w:sz w:val="24"/>
          <w:szCs w:val="24"/>
          <w:lang w:val="en-US"/>
        </w:rPr>
        <w:t>ing</w:t>
      </w:r>
      <w:r w:rsidR="0040575F" w:rsidRPr="00A565EE">
        <w:rPr>
          <w:rFonts w:asciiTheme="minorHAnsi" w:hAnsiTheme="minorHAnsi"/>
          <w:sz w:val="24"/>
          <w:szCs w:val="24"/>
          <w:lang w:val="en-US"/>
        </w:rPr>
        <w:t xml:space="preserve"> tools</w:t>
      </w:r>
      <w:r w:rsidR="008B5772" w:rsidRPr="00A565EE">
        <w:rPr>
          <w:rFonts w:asciiTheme="minorHAnsi" w:hAnsiTheme="minorHAnsi"/>
          <w:sz w:val="24"/>
          <w:szCs w:val="24"/>
          <w:lang w:val="en-US"/>
        </w:rPr>
        <w:t xml:space="preserve"> </w:t>
      </w:r>
      <w:r w:rsidR="00B73285" w:rsidRPr="00A565EE">
        <w:rPr>
          <w:rFonts w:asciiTheme="minorHAnsi" w:hAnsiTheme="minorHAnsi"/>
          <w:sz w:val="24"/>
          <w:szCs w:val="24"/>
          <w:lang w:val="en-US"/>
        </w:rPr>
        <w:t>and strategies</w:t>
      </w:r>
      <w:r w:rsidR="00450952" w:rsidRPr="00A565EE">
        <w:rPr>
          <w:rFonts w:asciiTheme="minorHAnsi" w:hAnsiTheme="minorHAnsi"/>
          <w:sz w:val="24"/>
          <w:szCs w:val="24"/>
          <w:lang w:val="en-US"/>
        </w:rPr>
        <w:t xml:space="preserve"> </w:t>
      </w:r>
      <w:r w:rsidR="0040575F" w:rsidRPr="00A565EE">
        <w:rPr>
          <w:rFonts w:asciiTheme="minorHAnsi" w:hAnsiTheme="minorHAnsi"/>
          <w:sz w:val="24"/>
          <w:szCs w:val="24"/>
          <w:lang w:val="en-US"/>
        </w:rPr>
        <w:t xml:space="preserve">to enhance </w:t>
      </w:r>
      <w:r w:rsidR="00C861D8" w:rsidRPr="00A565EE">
        <w:rPr>
          <w:rFonts w:asciiTheme="minorHAnsi" w:hAnsiTheme="minorHAnsi"/>
          <w:sz w:val="24"/>
          <w:szCs w:val="24"/>
          <w:lang w:val="en-US"/>
        </w:rPr>
        <w:t>partnership</w:t>
      </w:r>
      <w:r w:rsidR="0040575F" w:rsidRPr="00A565EE">
        <w:rPr>
          <w:rFonts w:asciiTheme="minorHAnsi" w:hAnsiTheme="minorHAnsi"/>
          <w:sz w:val="24"/>
          <w:szCs w:val="24"/>
          <w:lang w:val="en-US"/>
        </w:rPr>
        <w:t>s</w:t>
      </w:r>
      <w:r w:rsidR="00C861D8" w:rsidRPr="00A565EE">
        <w:rPr>
          <w:rFonts w:asciiTheme="minorHAnsi" w:hAnsiTheme="minorHAnsi"/>
          <w:sz w:val="24"/>
          <w:szCs w:val="24"/>
          <w:lang w:val="en-US"/>
        </w:rPr>
        <w:t xml:space="preserve"> and resource mobilization t</w:t>
      </w:r>
      <w:r w:rsidR="00435FED" w:rsidRPr="00A565EE">
        <w:rPr>
          <w:rFonts w:asciiTheme="minorHAnsi" w:hAnsiTheme="minorHAnsi"/>
          <w:sz w:val="24"/>
          <w:szCs w:val="24"/>
          <w:lang w:val="en-US"/>
        </w:rPr>
        <w:t xml:space="preserve">o support activities, </w:t>
      </w:r>
      <w:r w:rsidR="008B5772" w:rsidRPr="00A565EE">
        <w:rPr>
          <w:rFonts w:asciiTheme="minorHAnsi" w:hAnsiTheme="minorHAnsi"/>
          <w:sz w:val="24"/>
          <w:szCs w:val="24"/>
          <w:lang w:val="en-US"/>
        </w:rPr>
        <w:t>initiatives and project</w:t>
      </w:r>
      <w:r w:rsidR="0040575F" w:rsidRPr="00A565EE">
        <w:rPr>
          <w:rFonts w:asciiTheme="minorHAnsi" w:hAnsiTheme="minorHAnsi"/>
          <w:sz w:val="24"/>
          <w:szCs w:val="24"/>
          <w:lang w:val="en-US"/>
        </w:rPr>
        <w:t xml:space="preserve"> implementation</w:t>
      </w:r>
      <w:r w:rsidR="00450952" w:rsidRPr="00A565EE">
        <w:rPr>
          <w:rFonts w:asciiTheme="minorHAnsi" w:hAnsiTheme="minorHAnsi"/>
          <w:sz w:val="24"/>
          <w:szCs w:val="24"/>
          <w:lang w:val="en-US"/>
        </w:rPr>
        <w:t xml:space="preserve"> at global and regional levels</w:t>
      </w:r>
      <w:r w:rsidR="008B5772" w:rsidRPr="00A565EE">
        <w:rPr>
          <w:rFonts w:asciiTheme="minorHAnsi" w:hAnsiTheme="minorHAnsi"/>
          <w:sz w:val="24"/>
          <w:szCs w:val="24"/>
          <w:lang w:val="en-US"/>
        </w:rPr>
        <w:t>.</w:t>
      </w:r>
    </w:p>
    <w:p w14:paraId="5FD93EB8" w14:textId="77777777" w:rsidR="008B5772" w:rsidRPr="00A565EE" w:rsidRDefault="008B5772" w:rsidP="00AA6368">
      <w:pPr>
        <w:pStyle w:val="BDTcontributionH1"/>
        <w:numPr>
          <w:ilvl w:val="0"/>
          <w:numId w:val="10"/>
        </w:numPr>
        <w:spacing w:after="0"/>
        <w:ind w:left="567" w:hanging="567"/>
        <w:rPr>
          <w:rFonts w:asciiTheme="minorHAnsi" w:hAnsiTheme="minorHAnsi" w:cs="Calibri"/>
          <w:sz w:val="24"/>
          <w:szCs w:val="24"/>
          <w:lang w:val="en-US"/>
        </w:rPr>
      </w:pPr>
      <w:r w:rsidRPr="00A565EE">
        <w:rPr>
          <w:rFonts w:asciiTheme="minorHAnsi" w:hAnsiTheme="minorHAnsi" w:cs="Calibri"/>
          <w:sz w:val="24"/>
          <w:szCs w:val="24"/>
          <w:lang w:val="en-US"/>
        </w:rPr>
        <w:t xml:space="preserve">Regional </w:t>
      </w:r>
      <w:r w:rsidR="00031F00" w:rsidRPr="00A565EE">
        <w:rPr>
          <w:rFonts w:asciiTheme="minorHAnsi" w:hAnsiTheme="minorHAnsi" w:cs="Calibri"/>
          <w:sz w:val="24"/>
          <w:szCs w:val="24"/>
          <w:lang w:val="en-US"/>
        </w:rPr>
        <w:t>a</w:t>
      </w:r>
      <w:r w:rsidR="00C70B37" w:rsidRPr="00A565EE">
        <w:rPr>
          <w:rFonts w:asciiTheme="minorHAnsi" w:hAnsiTheme="minorHAnsi" w:cs="Calibri"/>
          <w:sz w:val="24"/>
          <w:szCs w:val="24"/>
          <w:lang w:val="en-US"/>
        </w:rPr>
        <w:t xml:space="preserve">ctions and </w:t>
      </w:r>
      <w:r w:rsidR="00031F00" w:rsidRPr="00A565EE">
        <w:rPr>
          <w:rFonts w:asciiTheme="minorHAnsi" w:hAnsiTheme="minorHAnsi" w:cs="Calibri"/>
          <w:sz w:val="24"/>
          <w:szCs w:val="24"/>
          <w:lang w:val="en-US"/>
        </w:rPr>
        <w:t>o</w:t>
      </w:r>
      <w:r w:rsidRPr="00A565EE">
        <w:rPr>
          <w:rFonts w:asciiTheme="minorHAnsi" w:hAnsiTheme="minorHAnsi" w:cs="Calibri"/>
          <w:sz w:val="24"/>
          <w:szCs w:val="24"/>
          <w:lang w:val="en-US"/>
        </w:rPr>
        <w:t>utcomes</w:t>
      </w:r>
    </w:p>
    <w:p w14:paraId="2C48123B" w14:textId="77777777" w:rsidR="007055EC" w:rsidRPr="00A565EE" w:rsidRDefault="007055EC" w:rsidP="00C41B23">
      <w:pPr>
        <w:pStyle w:val="CEOParagraphabc"/>
        <w:keepNext/>
        <w:numPr>
          <w:ilvl w:val="1"/>
          <w:numId w:val="10"/>
        </w:numPr>
        <w:spacing w:after="0"/>
        <w:ind w:left="567" w:hanging="567"/>
        <w:rPr>
          <w:rFonts w:asciiTheme="minorHAnsi" w:hAnsiTheme="minorHAnsi"/>
          <w:sz w:val="24"/>
          <w:szCs w:val="24"/>
        </w:rPr>
      </w:pPr>
      <w:r w:rsidRPr="00A565EE">
        <w:rPr>
          <w:rFonts w:asciiTheme="minorHAnsi" w:hAnsiTheme="minorHAnsi"/>
          <w:sz w:val="24"/>
          <w:szCs w:val="24"/>
        </w:rPr>
        <w:t>Africa</w:t>
      </w:r>
    </w:p>
    <w:p w14:paraId="7DADC38D" w14:textId="1FA7A6D9" w:rsidR="00DC7777" w:rsidRPr="00A565EE" w:rsidRDefault="00DC7777">
      <w:pPr>
        <w:rPr>
          <w:rFonts w:eastAsiaTheme="minorHAnsi"/>
          <w:szCs w:val="24"/>
          <w:lang w:val="en-US"/>
        </w:rPr>
      </w:pPr>
      <w:r w:rsidRPr="00A565EE">
        <w:rPr>
          <w:rFonts w:eastAsiaTheme="minorHAnsi"/>
          <w:szCs w:val="24"/>
        </w:rPr>
        <w:t>Cyber</w:t>
      </w:r>
      <w:r w:rsidR="007B5DD0">
        <w:rPr>
          <w:rFonts w:eastAsiaTheme="minorHAnsi"/>
          <w:szCs w:val="24"/>
        </w:rPr>
        <w:t xml:space="preserve"> </w:t>
      </w:r>
      <w:r w:rsidRPr="00A565EE">
        <w:rPr>
          <w:rFonts w:eastAsiaTheme="minorHAnsi"/>
          <w:szCs w:val="24"/>
        </w:rPr>
        <w:t>security maturity review has been performed for Sierra Leone and Madagascar</w:t>
      </w:r>
      <w:r w:rsidR="00A25498" w:rsidRPr="00A565EE">
        <w:rPr>
          <w:rFonts w:eastAsiaTheme="minorHAnsi"/>
          <w:szCs w:val="24"/>
        </w:rPr>
        <w:t xml:space="preserve"> </w:t>
      </w:r>
      <w:r w:rsidRPr="00A565EE">
        <w:rPr>
          <w:rFonts w:eastAsiaTheme="minorHAnsi"/>
          <w:szCs w:val="24"/>
        </w:rPr>
        <w:t xml:space="preserve">in </w:t>
      </w:r>
      <w:proofErr w:type="gramStart"/>
      <w:r w:rsidRPr="00A565EE">
        <w:rPr>
          <w:rFonts w:eastAsiaTheme="minorHAnsi"/>
          <w:szCs w:val="24"/>
        </w:rPr>
        <w:t>partnership</w:t>
      </w:r>
      <w:proofErr w:type="gramEnd"/>
      <w:r w:rsidRPr="00A565EE">
        <w:rPr>
          <w:rFonts w:eastAsiaTheme="minorHAnsi"/>
          <w:szCs w:val="24"/>
        </w:rPr>
        <w:t xml:space="preserve"> with the Global Cyber Security Capacity Centre of the University of </w:t>
      </w:r>
      <w:r w:rsidR="00A25498" w:rsidRPr="00A565EE">
        <w:rPr>
          <w:rFonts w:eastAsiaTheme="minorHAnsi"/>
          <w:szCs w:val="24"/>
        </w:rPr>
        <w:t>O</w:t>
      </w:r>
      <w:r w:rsidRPr="00A565EE">
        <w:rPr>
          <w:rFonts w:eastAsiaTheme="minorHAnsi"/>
          <w:szCs w:val="24"/>
        </w:rPr>
        <w:t>xford</w:t>
      </w:r>
      <w:r w:rsidR="00A25498" w:rsidRPr="00A565EE">
        <w:rPr>
          <w:rFonts w:eastAsiaTheme="minorHAnsi"/>
          <w:szCs w:val="24"/>
        </w:rPr>
        <w:t>.</w:t>
      </w:r>
    </w:p>
    <w:p w14:paraId="7CD3A810" w14:textId="2CDFA109" w:rsidR="00DC7777" w:rsidRPr="00A565EE" w:rsidRDefault="00A25498" w:rsidP="00A565EE">
      <w:pPr>
        <w:rPr>
          <w:rFonts w:eastAsiaTheme="minorHAnsi"/>
          <w:szCs w:val="24"/>
        </w:rPr>
      </w:pPr>
      <w:r w:rsidRPr="00A565EE">
        <w:rPr>
          <w:rFonts w:eastAsiaTheme="minorHAnsi"/>
          <w:szCs w:val="24"/>
          <w:lang w:val="en-US"/>
        </w:rPr>
        <w:t xml:space="preserve">With regard to broadband, the following was implemented: a) </w:t>
      </w:r>
      <w:r w:rsidR="00DC7777" w:rsidRPr="00A565EE">
        <w:rPr>
          <w:rFonts w:eastAsiaTheme="minorHAnsi"/>
          <w:szCs w:val="24"/>
        </w:rPr>
        <w:t>Burundi</w:t>
      </w:r>
      <w:r w:rsidRPr="00A565EE">
        <w:rPr>
          <w:rFonts w:eastAsiaTheme="minorHAnsi"/>
          <w:szCs w:val="24"/>
        </w:rPr>
        <w:t xml:space="preserve">: </w:t>
      </w:r>
      <w:r w:rsidR="007B5DD0">
        <w:rPr>
          <w:rFonts w:eastAsiaTheme="minorHAnsi"/>
          <w:szCs w:val="24"/>
        </w:rPr>
        <w:t xml:space="preserve">a </w:t>
      </w:r>
      <w:r w:rsidR="00DC7777" w:rsidRPr="00A565EE">
        <w:rPr>
          <w:rFonts w:eastAsiaTheme="minorHAnsi"/>
          <w:szCs w:val="24"/>
        </w:rPr>
        <w:t>broadband strategy delivered</w:t>
      </w:r>
      <w:r w:rsidRPr="00A565EE">
        <w:rPr>
          <w:rFonts w:eastAsiaTheme="minorHAnsi"/>
          <w:szCs w:val="24"/>
        </w:rPr>
        <w:t xml:space="preserve"> and</w:t>
      </w:r>
      <w:r w:rsidR="007B5DD0">
        <w:rPr>
          <w:rFonts w:eastAsiaTheme="minorHAnsi"/>
          <w:szCs w:val="24"/>
        </w:rPr>
        <w:t xml:space="preserve"> an</w:t>
      </w:r>
      <w:r w:rsidR="00DC7777" w:rsidRPr="00A565EE">
        <w:rPr>
          <w:rFonts w:eastAsiaTheme="minorHAnsi"/>
          <w:szCs w:val="24"/>
        </w:rPr>
        <w:t xml:space="preserve"> </w:t>
      </w:r>
      <w:r w:rsidR="00B36275" w:rsidRPr="00A565EE">
        <w:rPr>
          <w:rFonts w:eastAsiaTheme="minorHAnsi"/>
          <w:szCs w:val="24"/>
        </w:rPr>
        <w:t>institutional</w:t>
      </w:r>
      <w:r w:rsidR="00DC7777" w:rsidRPr="00A565EE">
        <w:rPr>
          <w:rFonts w:eastAsiaTheme="minorHAnsi"/>
          <w:szCs w:val="24"/>
        </w:rPr>
        <w:t xml:space="preserve"> reform partnership with ITU extended for a new Digital Economy framework</w:t>
      </w:r>
      <w:r w:rsidR="00A565EE" w:rsidRPr="00A565EE">
        <w:rPr>
          <w:rFonts w:eastAsiaTheme="minorHAnsi"/>
          <w:szCs w:val="24"/>
        </w:rPr>
        <w:t>;</w:t>
      </w:r>
      <w:r w:rsidRPr="00A565EE">
        <w:rPr>
          <w:rFonts w:eastAsiaTheme="minorHAnsi"/>
          <w:szCs w:val="24"/>
        </w:rPr>
        <w:t xml:space="preserve"> b) Madagascar: e</w:t>
      </w:r>
      <w:r w:rsidR="00DC7777" w:rsidRPr="00A565EE">
        <w:rPr>
          <w:rFonts w:eastAsiaTheme="minorHAnsi"/>
          <w:szCs w:val="24"/>
        </w:rPr>
        <w:t xml:space="preserve">fforts deployed to mobilize resources for </w:t>
      </w:r>
      <w:r w:rsidR="007B5DD0">
        <w:rPr>
          <w:rFonts w:eastAsiaTheme="minorHAnsi"/>
          <w:szCs w:val="24"/>
        </w:rPr>
        <w:t xml:space="preserve">a </w:t>
      </w:r>
      <w:r w:rsidR="00DC7777" w:rsidRPr="00A565EE">
        <w:rPr>
          <w:rFonts w:eastAsiaTheme="minorHAnsi"/>
          <w:szCs w:val="24"/>
        </w:rPr>
        <w:t>wireless broadband project</w:t>
      </w:r>
      <w:r w:rsidR="00A565EE" w:rsidRPr="00A565EE">
        <w:rPr>
          <w:rFonts w:eastAsiaTheme="minorHAnsi"/>
          <w:szCs w:val="24"/>
        </w:rPr>
        <w:t>;</w:t>
      </w:r>
      <w:r w:rsidRPr="00A565EE">
        <w:rPr>
          <w:rFonts w:eastAsiaTheme="minorHAnsi"/>
          <w:szCs w:val="24"/>
        </w:rPr>
        <w:t xml:space="preserve"> c) Burkina Faso: </w:t>
      </w:r>
      <w:r w:rsidR="00DC7777" w:rsidRPr="00A565EE">
        <w:rPr>
          <w:rFonts w:eastAsiaTheme="minorHAnsi"/>
          <w:szCs w:val="24"/>
        </w:rPr>
        <w:t xml:space="preserve">broadband wireless network </w:t>
      </w:r>
      <w:r w:rsidRPr="00A565EE">
        <w:rPr>
          <w:rFonts w:eastAsiaTheme="minorHAnsi"/>
          <w:szCs w:val="24"/>
        </w:rPr>
        <w:t xml:space="preserve">project covered </w:t>
      </w:r>
      <w:r w:rsidR="00DC7777" w:rsidRPr="00A565EE">
        <w:rPr>
          <w:rFonts w:eastAsiaTheme="minorHAnsi"/>
          <w:szCs w:val="24"/>
        </w:rPr>
        <w:t>10 locations</w:t>
      </w:r>
      <w:r w:rsidRPr="00A565EE">
        <w:rPr>
          <w:rFonts w:eastAsiaTheme="minorHAnsi"/>
          <w:szCs w:val="24"/>
        </w:rPr>
        <w:t xml:space="preserve"> -</w:t>
      </w:r>
      <w:r w:rsidR="00E21B56">
        <w:rPr>
          <w:rFonts w:eastAsiaTheme="minorHAnsi"/>
          <w:szCs w:val="24"/>
        </w:rPr>
        <w:t xml:space="preserve"> </w:t>
      </w:r>
      <w:r w:rsidR="00DC7777" w:rsidRPr="00A565EE">
        <w:rPr>
          <w:rFonts w:eastAsiaTheme="minorHAnsi"/>
          <w:szCs w:val="24"/>
        </w:rPr>
        <w:t>connectivity for schools, hospitals and public administration buildings through the deployment of local area networks</w:t>
      </w:r>
      <w:r w:rsidRPr="00A565EE">
        <w:rPr>
          <w:rFonts w:eastAsiaTheme="minorHAnsi"/>
          <w:szCs w:val="24"/>
        </w:rPr>
        <w:t xml:space="preserve"> to be </w:t>
      </w:r>
      <w:r w:rsidR="00B36275" w:rsidRPr="00A565EE">
        <w:rPr>
          <w:rFonts w:eastAsiaTheme="minorHAnsi"/>
          <w:szCs w:val="24"/>
        </w:rPr>
        <w:t>implemented</w:t>
      </w:r>
      <w:r w:rsidRPr="00A565EE">
        <w:rPr>
          <w:rFonts w:eastAsiaTheme="minorHAnsi"/>
          <w:szCs w:val="24"/>
        </w:rPr>
        <w:t xml:space="preserve"> in 2017</w:t>
      </w:r>
      <w:r w:rsidR="00A565EE" w:rsidRPr="00A565EE">
        <w:rPr>
          <w:rFonts w:eastAsiaTheme="minorHAnsi"/>
          <w:szCs w:val="24"/>
        </w:rPr>
        <w:t>; and</w:t>
      </w:r>
      <w:r w:rsidRPr="00A565EE">
        <w:rPr>
          <w:rFonts w:eastAsiaTheme="minorHAnsi"/>
          <w:szCs w:val="24"/>
        </w:rPr>
        <w:t xml:space="preserve"> d) Mali: similar </w:t>
      </w:r>
      <w:r w:rsidR="00DC7777" w:rsidRPr="00A565EE">
        <w:rPr>
          <w:rFonts w:eastAsiaTheme="minorHAnsi"/>
          <w:szCs w:val="24"/>
        </w:rPr>
        <w:t>project under preparation</w:t>
      </w:r>
      <w:r w:rsidRPr="00A565EE">
        <w:rPr>
          <w:rFonts w:eastAsiaTheme="minorHAnsi"/>
          <w:szCs w:val="24"/>
        </w:rPr>
        <w:t>.</w:t>
      </w:r>
    </w:p>
    <w:p w14:paraId="5EE367A5" w14:textId="1A3193F0" w:rsidR="00DC7777" w:rsidRPr="00A565EE" w:rsidRDefault="00DC7777">
      <w:pPr>
        <w:rPr>
          <w:rFonts w:eastAsiaTheme="minorHAnsi"/>
          <w:szCs w:val="24"/>
        </w:rPr>
      </w:pPr>
      <w:r w:rsidRPr="00A565EE">
        <w:rPr>
          <w:rFonts w:eastAsiaTheme="minorHAnsi"/>
          <w:szCs w:val="24"/>
        </w:rPr>
        <w:lastRenderedPageBreak/>
        <w:t>IPv6 testbed</w:t>
      </w:r>
      <w:r w:rsidR="007B5DD0">
        <w:rPr>
          <w:rFonts w:eastAsiaTheme="minorHAnsi"/>
          <w:szCs w:val="24"/>
        </w:rPr>
        <w:t>s</w:t>
      </w:r>
      <w:r w:rsidRPr="00A565EE">
        <w:rPr>
          <w:rFonts w:eastAsiaTheme="minorHAnsi"/>
          <w:szCs w:val="24"/>
        </w:rPr>
        <w:t xml:space="preserve"> </w:t>
      </w:r>
      <w:r w:rsidR="00A25498" w:rsidRPr="00A565EE">
        <w:rPr>
          <w:rFonts w:eastAsiaTheme="minorHAnsi"/>
          <w:szCs w:val="24"/>
        </w:rPr>
        <w:t xml:space="preserve">are being </w:t>
      </w:r>
      <w:r w:rsidRPr="00A565EE">
        <w:rPr>
          <w:rFonts w:eastAsiaTheme="minorHAnsi"/>
          <w:szCs w:val="24"/>
        </w:rPr>
        <w:t xml:space="preserve">deployed </w:t>
      </w:r>
      <w:r w:rsidR="00A25498" w:rsidRPr="00A565EE">
        <w:rPr>
          <w:rFonts w:eastAsiaTheme="minorHAnsi"/>
          <w:szCs w:val="24"/>
        </w:rPr>
        <w:t>in various countries (</w:t>
      </w:r>
      <w:r w:rsidRPr="00A565EE">
        <w:rPr>
          <w:rFonts w:eastAsiaTheme="minorHAnsi"/>
          <w:szCs w:val="24"/>
        </w:rPr>
        <w:t>Uganda</w:t>
      </w:r>
      <w:r w:rsidR="00A25498" w:rsidRPr="00A565EE">
        <w:rPr>
          <w:rFonts w:eastAsiaTheme="minorHAnsi"/>
          <w:szCs w:val="24"/>
        </w:rPr>
        <w:t xml:space="preserve">, </w:t>
      </w:r>
      <w:r w:rsidRPr="00A565EE">
        <w:rPr>
          <w:rFonts w:eastAsiaTheme="minorHAnsi"/>
          <w:szCs w:val="24"/>
        </w:rPr>
        <w:t xml:space="preserve">Zimbabwe </w:t>
      </w:r>
      <w:r w:rsidR="00A25498" w:rsidRPr="00A565EE">
        <w:rPr>
          <w:rFonts w:eastAsiaTheme="minorHAnsi"/>
          <w:szCs w:val="24"/>
        </w:rPr>
        <w:t xml:space="preserve">and </w:t>
      </w:r>
      <w:r w:rsidRPr="00A565EE">
        <w:rPr>
          <w:rFonts w:eastAsiaTheme="minorHAnsi"/>
          <w:szCs w:val="24"/>
        </w:rPr>
        <w:t>Cameroon</w:t>
      </w:r>
      <w:r w:rsidR="00A25498" w:rsidRPr="00A565EE">
        <w:rPr>
          <w:rFonts w:eastAsiaTheme="minorHAnsi"/>
          <w:szCs w:val="24"/>
        </w:rPr>
        <w:t>)</w:t>
      </w:r>
      <w:r w:rsidRPr="00A565EE">
        <w:rPr>
          <w:rFonts w:eastAsiaTheme="minorHAnsi"/>
          <w:szCs w:val="24"/>
        </w:rPr>
        <w:t>. These test beds were funded one-third by ITU and two-third</w:t>
      </w:r>
      <w:r w:rsidR="00E21B56">
        <w:rPr>
          <w:rFonts w:eastAsiaTheme="minorHAnsi"/>
          <w:szCs w:val="24"/>
        </w:rPr>
        <w:t>s</w:t>
      </w:r>
      <w:r w:rsidRPr="00A565EE">
        <w:rPr>
          <w:rFonts w:eastAsiaTheme="minorHAnsi"/>
          <w:szCs w:val="24"/>
        </w:rPr>
        <w:t xml:space="preserve"> by the beneficiary countries.</w:t>
      </w:r>
    </w:p>
    <w:p w14:paraId="550C0C44" w14:textId="2522112F" w:rsidR="00DC7777" w:rsidRPr="00A565EE" w:rsidRDefault="00DC7777">
      <w:pPr>
        <w:rPr>
          <w:szCs w:val="24"/>
        </w:rPr>
      </w:pPr>
      <w:r w:rsidRPr="00A565EE">
        <w:rPr>
          <w:rFonts w:eastAsiaTheme="minorHAnsi"/>
          <w:szCs w:val="24"/>
        </w:rPr>
        <w:t>Assistance was provided to Sierra Leone in</w:t>
      </w:r>
      <w:r w:rsidR="00AA5C81">
        <w:rPr>
          <w:rFonts w:eastAsiaTheme="minorHAnsi"/>
          <w:szCs w:val="24"/>
        </w:rPr>
        <w:t xml:space="preserve"> the form of</w:t>
      </w:r>
      <w:r w:rsidRPr="00A565EE">
        <w:rPr>
          <w:rFonts w:eastAsiaTheme="minorHAnsi"/>
          <w:szCs w:val="24"/>
        </w:rPr>
        <w:t xml:space="preserve"> </w:t>
      </w:r>
      <w:r w:rsidR="00FA0F10" w:rsidRPr="00A565EE">
        <w:rPr>
          <w:rFonts w:eastAsiaTheme="minorHAnsi"/>
          <w:szCs w:val="24"/>
        </w:rPr>
        <w:t xml:space="preserve">human </w:t>
      </w:r>
      <w:r w:rsidR="00B36275" w:rsidRPr="00A565EE">
        <w:rPr>
          <w:rFonts w:eastAsiaTheme="minorHAnsi"/>
          <w:szCs w:val="24"/>
        </w:rPr>
        <w:t>capacity building</w:t>
      </w:r>
      <w:r w:rsidR="00FA0F10" w:rsidRPr="00A565EE">
        <w:rPr>
          <w:rFonts w:eastAsiaTheme="minorHAnsi"/>
          <w:szCs w:val="24"/>
        </w:rPr>
        <w:t xml:space="preserve"> in particular through </w:t>
      </w:r>
      <w:r w:rsidRPr="00A565EE">
        <w:rPr>
          <w:rFonts w:eastAsiaTheme="minorHAnsi"/>
          <w:szCs w:val="24"/>
        </w:rPr>
        <w:t xml:space="preserve">workshops </w:t>
      </w:r>
      <w:r w:rsidR="00FA0F10" w:rsidRPr="00A565EE">
        <w:rPr>
          <w:rFonts w:eastAsiaTheme="minorHAnsi"/>
          <w:szCs w:val="24"/>
        </w:rPr>
        <w:t xml:space="preserve">organized </w:t>
      </w:r>
      <w:r w:rsidRPr="00A565EE">
        <w:rPr>
          <w:rFonts w:eastAsiaTheme="minorHAnsi"/>
          <w:szCs w:val="24"/>
        </w:rPr>
        <w:t>in partnership with NATCOM</w:t>
      </w:r>
      <w:r w:rsidR="00AA5C81">
        <w:rPr>
          <w:rFonts w:eastAsiaTheme="minorHAnsi"/>
          <w:szCs w:val="24"/>
        </w:rPr>
        <w:t>.</w:t>
      </w:r>
      <w:r w:rsidRPr="00A565EE">
        <w:rPr>
          <w:rFonts w:eastAsiaTheme="minorHAnsi"/>
          <w:szCs w:val="24"/>
        </w:rPr>
        <w:t xml:space="preserve"> </w:t>
      </w:r>
      <w:r w:rsidR="00AA5C81">
        <w:rPr>
          <w:rFonts w:eastAsiaTheme="minorHAnsi"/>
          <w:szCs w:val="24"/>
        </w:rPr>
        <w:t>This</w:t>
      </w:r>
      <w:r w:rsidR="00AA5C81" w:rsidRPr="00A565EE">
        <w:rPr>
          <w:rFonts w:eastAsiaTheme="minorHAnsi"/>
          <w:szCs w:val="24"/>
        </w:rPr>
        <w:t xml:space="preserve"> </w:t>
      </w:r>
      <w:r w:rsidRPr="00A565EE">
        <w:rPr>
          <w:rFonts w:eastAsiaTheme="minorHAnsi"/>
          <w:szCs w:val="24"/>
        </w:rPr>
        <w:t xml:space="preserve">concerned </w:t>
      </w:r>
      <w:r w:rsidRPr="00A565EE">
        <w:rPr>
          <w:szCs w:val="24"/>
        </w:rPr>
        <w:t>operators</w:t>
      </w:r>
      <w:r w:rsidR="00FA0F10" w:rsidRPr="00A565EE">
        <w:rPr>
          <w:szCs w:val="24"/>
        </w:rPr>
        <w:t xml:space="preserve"> o</w:t>
      </w:r>
      <w:r w:rsidR="00AA5C81">
        <w:rPr>
          <w:szCs w:val="24"/>
        </w:rPr>
        <w:t>f</w:t>
      </w:r>
      <w:r w:rsidR="00FA0F10" w:rsidRPr="00A565EE">
        <w:rPr>
          <w:szCs w:val="24"/>
        </w:rPr>
        <w:t xml:space="preserve"> </w:t>
      </w:r>
      <w:r w:rsidRPr="00A565EE">
        <w:rPr>
          <w:szCs w:val="24"/>
        </w:rPr>
        <w:t xml:space="preserve">business efficiency, competition and market, pricing and costing, spectrum management </w:t>
      </w:r>
      <w:r w:rsidR="00FA0F10" w:rsidRPr="00A565EE">
        <w:rPr>
          <w:szCs w:val="24"/>
        </w:rPr>
        <w:t xml:space="preserve">and </w:t>
      </w:r>
      <w:r w:rsidRPr="00A565EE">
        <w:rPr>
          <w:szCs w:val="24"/>
        </w:rPr>
        <w:t>telecommunication law</w:t>
      </w:r>
      <w:r w:rsidR="00FA0F10" w:rsidRPr="00A565EE">
        <w:rPr>
          <w:szCs w:val="24"/>
        </w:rPr>
        <w:t xml:space="preserve">. </w:t>
      </w:r>
    </w:p>
    <w:p w14:paraId="4818FED0" w14:textId="77777777" w:rsidR="00A3765C" w:rsidRPr="00A565EE" w:rsidRDefault="00A3765C">
      <w:pPr>
        <w:rPr>
          <w:rFonts w:eastAsiaTheme="minorHAnsi"/>
          <w:szCs w:val="24"/>
        </w:rPr>
      </w:pPr>
      <w:r w:rsidRPr="00A565EE">
        <w:rPr>
          <w:rFonts w:eastAsiaTheme="minorHAnsi"/>
          <w:szCs w:val="24"/>
        </w:rPr>
        <w:t>Several projects related to the health sector are being implemented such as:</w:t>
      </w:r>
    </w:p>
    <w:p w14:paraId="3FCBD3C5" w14:textId="333488F1" w:rsidR="00A3765C" w:rsidRPr="00501D31" w:rsidRDefault="00DC7777">
      <w:pPr>
        <w:pStyle w:val="ListParagraph"/>
        <w:numPr>
          <w:ilvl w:val="0"/>
          <w:numId w:val="38"/>
        </w:numPr>
        <w:rPr>
          <w:rFonts w:asciiTheme="minorHAnsi" w:hAnsiTheme="minorHAnsi"/>
          <w:sz w:val="24"/>
          <w:szCs w:val="24"/>
        </w:rPr>
      </w:pPr>
      <w:proofErr w:type="spellStart"/>
      <w:proofErr w:type="gramStart"/>
      <w:r w:rsidRPr="00A565EE">
        <w:rPr>
          <w:rFonts w:asciiTheme="minorHAnsi" w:eastAsiaTheme="minorHAnsi" w:hAnsiTheme="minorHAnsi"/>
          <w:bCs w:val="0"/>
          <w:sz w:val="24"/>
          <w:szCs w:val="24"/>
        </w:rPr>
        <w:t>mDiabete</w:t>
      </w:r>
      <w:r w:rsidR="007D75DF">
        <w:rPr>
          <w:rFonts w:asciiTheme="minorHAnsi" w:eastAsiaTheme="minorHAnsi" w:hAnsiTheme="minorHAnsi"/>
          <w:bCs w:val="0"/>
          <w:sz w:val="24"/>
          <w:szCs w:val="24"/>
        </w:rPr>
        <w:t>s</w:t>
      </w:r>
      <w:proofErr w:type="spellEnd"/>
      <w:proofErr w:type="gramEnd"/>
      <w:r w:rsidRPr="00A565EE">
        <w:rPr>
          <w:rFonts w:asciiTheme="minorHAnsi" w:eastAsiaTheme="minorHAnsi" w:hAnsiTheme="minorHAnsi"/>
          <w:bCs w:val="0"/>
          <w:sz w:val="24"/>
          <w:szCs w:val="24"/>
        </w:rPr>
        <w:t xml:space="preserve"> project</w:t>
      </w:r>
      <w:r w:rsidR="00C21E0E" w:rsidRPr="00AA6368">
        <w:rPr>
          <w:rStyle w:val="FootnoteReference"/>
          <w:rFonts w:eastAsiaTheme="minorHAnsi"/>
          <w:bCs w:val="0"/>
          <w:sz w:val="24"/>
          <w:szCs w:val="24"/>
          <w:vertAlign w:val="superscript"/>
        </w:rPr>
        <w:footnoteReference w:id="1"/>
      </w:r>
      <w:r w:rsidRPr="00A565EE">
        <w:rPr>
          <w:rFonts w:asciiTheme="minorHAnsi" w:eastAsiaTheme="minorHAnsi" w:hAnsiTheme="minorHAnsi"/>
          <w:bCs w:val="0"/>
          <w:sz w:val="24"/>
          <w:szCs w:val="24"/>
        </w:rPr>
        <w:t xml:space="preserve"> </w:t>
      </w:r>
      <w:r w:rsidR="00FA0F10" w:rsidRPr="00A565EE">
        <w:rPr>
          <w:rFonts w:asciiTheme="minorHAnsi" w:eastAsiaTheme="minorHAnsi" w:hAnsiTheme="minorHAnsi"/>
          <w:bCs w:val="0"/>
          <w:sz w:val="24"/>
          <w:szCs w:val="24"/>
        </w:rPr>
        <w:t xml:space="preserve">in </w:t>
      </w:r>
      <w:r w:rsidRPr="00A565EE">
        <w:rPr>
          <w:rFonts w:asciiTheme="minorHAnsi" w:eastAsiaTheme="minorHAnsi" w:hAnsiTheme="minorHAnsi"/>
          <w:bCs w:val="0"/>
          <w:sz w:val="24"/>
          <w:szCs w:val="24"/>
        </w:rPr>
        <w:t>Senegal</w:t>
      </w:r>
      <w:r w:rsidR="00A3765C" w:rsidRPr="00A565EE">
        <w:rPr>
          <w:rFonts w:asciiTheme="minorHAnsi" w:eastAsiaTheme="minorHAnsi" w:hAnsiTheme="minorHAnsi"/>
          <w:bCs w:val="0"/>
          <w:sz w:val="24"/>
          <w:szCs w:val="24"/>
        </w:rPr>
        <w:t xml:space="preserve"> </w:t>
      </w:r>
      <w:r w:rsidRPr="00A565EE">
        <w:rPr>
          <w:rFonts w:asciiTheme="minorHAnsi" w:eastAsiaTheme="minorHAnsi" w:hAnsiTheme="minorHAnsi"/>
          <w:bCs w:val="0"/>
          <w:sz w:val="24"/>
          <w:szCs w:val="24"/>
        </w:rPr>
        <w:t>in partnership with the Ministry of Health</w:t>
      </w:r>
      <w:r w:rsidR="00FA0F10" w:rsidRPr="00A565EE">
        <w:rPr>
          <w:rFonts w:asciiTheme="minorHAnsi" w:eastAsiaTheme="minorHAnsi" w:hAnsiTheme="minorHAnsi"/>
          <w:bCs w:val="0"/>
          <w:sz w:val="24"/>
          <w:szCs w:val="24"/>
        </w:rPr>
        <w:t xml:space="preserve">, </w:t>
      </w:r>
      <w:r w:rsidRPr="00A565EE">
        <w:rPr>
          <w:rFonts w:asciiTheme="minorHAnsi" w:eastAsiaTheme="minorHAnsi" w:hAnsiTheme="minorHAnsi"/>
          <w:bCs w:val="0"/>
          <w:sz w:val="24"/>
          <w:szCs w:val="24"/>
        </w:rPr>
        <w:t xml:space="preserve">ASSAD (National diabetics </w:t>
      </w:r>
      <w:r w:rsidRPr="00501D31">
        <w:rPr>
          <w:rFonts w:asciiTheme="minorHAnsi" w:eastAsiaTheme="minorHAnsi" w:hAnsiTheme="minorHAnsi"/>
          <w:bCs w:val="0"/>
          <w:sz w:val="24"/>
          <w:szCs w:val="24"/>
        </w:rPr>
        <w:t>association), Nokia</w:t>
      </w:r>
      <w:r w:rsidR="00FA0F10" w:rsidRPr="00501D31">
        <w:rPr>
          <w:rFonts w:asciiTheme="minorHAnsi" w:eastAsiaTheme="minorHAnsi" w:hAnsiTheme="minorHAnsi"/>
          <w:bCs w:val="0"/>
          <w:sz w:val="24"/>
          <w:szCs w:val="24"/>
        </w:rPr>
        <w:t xml:space="preserve">, </w:t>
      </w:r>
      <w:r w:rsidRPr="00501D31">
        <w:rPr>
          <w:rFonts w:asciiTheme="minorHAnsi" w:eastAsiaTheme="minorHAnsi" w:hAnsiTheme="minorHAnsi"/>
          <w:bCs w:val="0"/>
          <w:sz w:val="24"/>
          <w:szCs w:val="24"/>
        </w:rPr>
        <w:t>MNC Orange</w:t>
      </w:r>
      <w:r w:rsidR="00FA0F10" w:rsidRPr="00501D31">
        <w:rPr>
          <w:rFonts w:asciiTheme="minorHAnsi" w:eastAsiaTheme="minorHAnsi" w:hAnsiTheme="minorHAnsi"/>
          <w:bCs w:val="0"/>
          <w:sz w:val="24"/>
          <w:szCs w:val="24"/>
        </w:rPr>
        <w:t xml:space="preserve">, </w:t>
      </w:r>
      <w:r w:rsidRPr="00501D31">
        <w:rPr>
          <w:rFonts w:asciiTheme="minorHAnsi" w:eastAsiaTheme="minorHAnsi" w:hAnsiTheme="minorHAnsi"/>
          <w:bCs w:val="0"/>
          <w:sz w:val="24"/>
          <w:szCs w:val="24"/>
        </w:rPr>
        <w:t xml:space="preserve">SONATEL, Expresso and </w:t>
      </w:r>
      <w:proofErr w:type="spellStart"/>
      <w:r w:rsidRPr="00501D31">
        <w:rPr>
          <w:rFonts w:asciiTheme="minorHAnsi" w:eastAsiaTheme="minorHAnsi" w:hAnsiTheme="minorHAnsi"/>
          <w:bCs w:val="0"/>
          <w:sz w:val="24"/>
          <w:szCs w:val="24"/>
        </w:rPr>
        <w:t>Tigo</w:t>
      </w:r>
      <w:proofErr w:type="spellEnd"/>
      <w:r w:rsidR="00A3765C" w:rsidRPr="00501D31">
        <w:rPr>
          <w:rFonts w:asciiTheme="minorHAnsi" w:eastAsiaTheme="minorHAnsi" w:hAnsiTheme="minorHAnsi"/>
          <w:bCs w:val="0"/>
          <w:sz w:val="24"/>
          <w:szCs w:val="24"/>
        </w:rPr>
        <w:t xml:space="preserve"> (under the ITU-WHO Initiative « Be </w:t>
      </w:r>
      <w:proofErr w:type="spellStart"/>
      <w:r w:rsidR="00A3765C" w:rsidRPr="00501D31">
        <w:rPr>
          <w:rFonts w:asciiTheme="minorHAnsi" w:eastAsiaTheme="minorHAnsi" w:hAnsiTheme="minorHAnsi"/>
          <w:bCs w:val="0"/>
          <w:sz w:val="24"/>
          <w:szCs w:val="24"/>
        </w:rPr>
        <w:t>He@lthy</w:t>
      </w:r>
      <w:proofErr w:type="spellEnd"/>
      <w:r w:rsidR="00A3765C" w:rsidRPr="00501D31">
        <w:rPr>
          <w:rFonts w:asciiTheme="minorHAnsi" w:eastAsiaTheme="minorHAnsi" w:hAnsiTheme="minorHAnsi"/>
          <w:bCs w:val="0"/>
          <w:sz w:val="24"/>
          <w:szCs w:val="24"/>
        </w:rPr>
        <w:t>, Be Mobile »).</w:t>
      </w:r>
      <w:r w:rsidR="00C21E0E" w:rsidRPr="00501D31">
        <w:rPr>
          <w:rFonts w:asciiTheme="minorHAnsi" w:hAnsiTheme="minorHAnsi"/>
          <w:bCs w:val="0"/>
          <w:sz w:val="24"/>
          <w:szCs w:val="24"/>
        </w:rPr>
        <w:t xml:space="preserve"> </w:t>
      </w:r>
      <w:r w:rsidRPr="00501D31">
        <w:rPr>
          <w:rFonts w:asciiTheme="minorHAnsi" w:hAnsiTheme="minorHAnsi"/>
          <w:bCs w:val="0"/>
          <w:sz w:val="24"/>
          <w:szCs w:val="24"/>
        </w:rPr>
        <w:t>To date, about 55</w:t>
      </w:r>
      <w:r w:rsidR="00E21B56">
        <w:rPr>
          <w:rFonts w:asciiTheme="minorHAnsi" w:hAnsiTheme="minorHAnsi"/>
          <w:bCs w:val="0"/>
          <w:sz w:val="24"/>
          <w:szCs w:val="24"/>
        </w:rPr>
        <w:t> </w:t>
      </w:r>
      <w:r w:rsidRPr="00501D31">
        <w:rPr>
          <w:rFonts w:asciiTheme="minorHAnsi" w:hAnsiTheme="minorHAnsi"/>
          <w:bCs w:val="0"/>
          <w:sz w:val="24"/>
          <w:szCs w:val="24"/>
        </w:rPr>
        <w:t>000 pe</w:t>
      </w:r>
      <w:r w:rsidR="00AA5C81">
        <w:rPr>
          <w:rFonts w:asciiTheme="minorHAnsi" w:hAnsiTheme="minorHAnsi"/>
          <w:bCs w:val="0"/>
          <w:sz w:val="24"/>
          <w:szCs w:val="24"/>
        </w:rPr>
        <w:t>ople</w:t>
      </w:r>
      <w:r w:rsidRPr="00501D31">
        <w:rPr>
          <w:rFonts w:asciiTheme="minorHAnsi" w:hAnsiTheme="minorHAnsi"/>
          <w:bCs w:val="0"/>
          <w:sz w:val="24"/>
          <w:szCs w:val="24"/>
        </w:rPr>
        <w:t xml:space="preserve"> have been registered in the </w:t>
      </w:r>
      <w:proofErr w:type="spellStart"/>
      <w:r w:rsidRPr="00501D31">
        <w:rPr>
          <w:rFonts w:asciiTheme="minorHAnsi" w:hAnsiTheme="minorHAnsi"/>
          <w:bCs w:val="0"/>
          <w:sz w:val="24"/>
          <w:szCs w:val="24"/>
        </w:rPr>
        <w:t>mDiabete</w:t>
      </w:r>
      <w:proofErr w:type="spellEnd"/>
      <w:r w:rsidRPr="00501D31">
        <w:rPr>
          <w:rFonts w:asciiTheme="minorHAnsi" w:hAnsiTheme="minorHAnsi"/>
          <w:bCs w:val="0"/>
          <w:sz w:val="24"/>
          <w:szCs w:val="24"/>
        </w:rPr>
        <w:t xml:space="preserve"> project</w:t>
      </w:r>
      <w:r w:rsidR="00FA0F10" w:rsidRPr="00501D31">
        <w:rPr>
          <w:rFonts w:asciiTheme="minorHAnsi" w:hAnsiTheme="minorHAnsi"/>
          <w:bCs w:val="0"/>
          <w:sz w:val="24"/>
          <w:szCs w:val="24"/>
        </w:rPr>
        <w:t>. The p</w:t>
      </w:r>
      <w:r w:rsidRPr="00501D31">
        <w:rPr>
          <w:rFonts w:asciiTheme="minorHAnsi" w:hAnsiTheme="minorHAnsi"/>
          <w:bCs w:val="0"/>
          <w:sz w:val="24"/>
          <w:szCs w:val="24"/>
        </w:rPr>
        <w:t>roject team is working on integrating</w:t>
      </w:r>
      <w:r w:rsidR="00AA5C81">
        <w:rPr>
          <w:rFonts w:asciiTheme="minorHAnsi" w:hAnsiTheme="minorHAnsi"/>
          <w:bCs w:val="0"/>
          <w:sz w:val="24"/>
          <w:szCs w:val="24"/>
        </w:rPr>
        <w:t xml:space="preserve"> </w:t>
      </w:r>
      <w:r w:rsidR="00B36275">
        <w:rPr>
          <w:rFonts w:asciiTheme="minorHAnsi" w:hAnsiTheme="minorHAnsi"/>
          <w:bCs w:val="0"/>
          <w:sz w:val="24"/>
          <w:szCs w:val="24"/>
        </w:rPr>
        <w:t>a</w:t>
      </w:r>
      <w:r w:rsidRPr="00501D31">
        <w:rPr>
          <w:rFonts w:asciiTheme="minorHAnsi" w:hAnsiTheme="minorHAnsi"/>
          <w:bCs w:val="0"/>
          <w:sz w:val="24"/>
          <w:szCs w:val="24"/>
        </w:rPr>
        <w:t xml:space="preserve"> </w:t>
      </w:r>
      <w:proofErr w:type="spellStart"/>
      <w:r w:rsidRPr="00501D31">
        <w:rPr>
          <w:rFonts w:asciiTheme="minorHAnsi" w:hAnsiTheme="minorHAnsi"/>
          <w:bCs w:val="0"/>
          <w:sz w:val="24"/>
          <w:szCs w:val="24"/>
        </w:rPr>
        <w:t>mHTA</w:t>
      </w:r>
      <w:proofErr w:type="spellEnd"/>
      <w:r w:rsidRPr="00501D31">
        <w:rPr>
          <w:rFonts w:asciiTheme="minorHAnsi" w:hAnsiTheme="minorHAnsi"/>
          <w:bCs w:val="0"/>
          <w:sz w:val="24"/>
          <w:szCs w:val="24"/>
        </w:rPr>
        <w:t xml:space="preserve"> (high blood pressure) component in the second phase of the project</w:t>
      </w:r>
      <w:r w:rsidR="00AA5C81">
        <w:rPr>
          <w:rFonts w:asciiTheme="minorHAnsi" w:hAnsiTheme="minorHAnsi"/>
          <w:bCs w:val="0"/>
          <w:sz w:val="24"/>
          <w:szCs w:val="24"/>
        </w:rPr>
        <w:t>,</w:t>
      </w:r>
      <w:r w:rsidRPr="00501D31">
        <w:rPr>
          <w:rFonts w:asciiTheme="minorHAnsi" w:hAnsiTheme="minorHAnsi"/>
          <w:bCs w:val="0"/>
          <w:sz w:val="24"/>
          <w:szCs w:val="24"/>
        </w:rPr>
        <w:t xml:space="preserve"> as diabetes and high blood pressure are closely related. </w:t>
      </w:r>
    </w:p>
    <w:p w14:paraId="5C6DDAE9" w14:textId="6802ACC4" w:rsidR="00A3765C" w:rsidRPr="00501D31" w:rsidRDefault="00DC7777">
      <w:pPr>
        <w:pStyle w:val="ListParagraph"/>
        <w:numPr>
          <w:ilvl w:val="0"/>
          <w:numId w:val="38"/>
        </w:numPr>
        <w:rPr>
          <w:rFonts w:asciiTheme="minorHAnsi" w:hAnsiTheme="minorHAnsi"/>
          <w:sz w:val="24"/>
          <w:szCs w:val="24"/>
        </w:rPr>
      </w:pPr>
      <w:proofErr w:type="spellStart"/>
      <w:r w:rsidRPr="00501D31">
        <w:rPr>
          <w:rFonts w:asciiTheme="minorHAnsi" w:eastAsiaTheme="minorHAnsi" w:hAnsiTheme="minorHAnsi"/>
          <w:bCs w:val="0"/>
          <w:sz w:val="24"/>
          <w:szCs w:val="24"/>
        </w:rPr>
        <w:t>MCervical</w:t>
      </w:r>
      <w:proofErr w:type="spellEnd"/>
      <w:r w:rsidRPr="00501D31">
        <w:rPr>
          <w:rFonts w:asciiTheme="minorHAnsi" w:eastAsiaTheme="minorHAnsi" w:hAnsiTheme="minorHAnsi"/>
          <w:bCs w:val="0"/>
          <w:sz w:val="24"/>
          <w:szCs w:val="24"/>
        </w:rPr>
        <w:t xml:space="preserve"> Cancer </w:t>
      </w:r>
      <w:r w:rsidR="00A3765C" w:rsidRPr="00501D31">
        <w:rPr>
          <w:rFonts w:asciiTheme="minorHAnsi" w:eastAsiaTheme="minorHAnsi" w:hAnsiTheme="minorHAnsi"/>
          <w:bCs w:val="0"/>
          <w:sz w:val="24"/>
          <w:szCs w:val="24"/>
        </w:rPr>
        <w:t xml:space="preserve">project </w:t>
      </w:r>
      <w:r w:rsidR="000E37E6" w:rsidRPr="00501D31">
        <w:rPr>
          <w:rFonts w:asciiTheme="minorHAnsi" w:eastAsiaTheme="minorHAnsi" w:hAnsiTheme="minorHAnsi"/>
          <w:bCs w:val="0"/>
          <w:sz w:val="24"/>
          <w:szCs w:val="24"/>
        </w:rPr>
        <w:t xml:space="preserve">in Zambia </w:t>
      </w:r>
      <w:r w:rsidR="00DA4D98" w:rsidRPr="00501D31">
        <w:rPr>
          <w:rFonts w:asciiTheme="minorHAnsi" w:eastAsiaTheme="minorHAnsi" w:hAnsiTheme="minorHAnsi"/>
          <w:bCs w:val="0"/>
          <w:sz w:val="24"/>
          <w:szCs w:val="24"/>
        </w:rPr>
        <w:t>(l</w:t>
      </w:r>
      <w:r w:rsidRPr="00501D31">
        <w:rPr>
          <w:rFonts w:asciiTheme="minorHAnsi" w:eastAsiaTheme="minorHAnsi" w:hAnsiTheme="minorHAnsi"/>
          <w:bCs w:val="0"/>
          <w:sz w:val="24"/>
          <w:szCs w:val="24"/>
        </w:rPr>
        <w:t xml:space="preserve">aunch </w:t>
      </w:r>
      <w:r w:rsidR="00DA4D98" w:rsidRPr="00501D31">
        <w:rPr>
          <w:rFonts w:asciiTheme="minorHAnsi" w:eastAsiaTheme="minorHAnsi" w:hAnsiTheme="minorHAnsi"/>
          <w:bCs w:val="0"/>
          <w:sz w:val="24"/>
          <w:szCs w:val="24"/>
        </w:rPr>
        <w:t xml:space="preserve">in </w:t>
      </w:r>
      <w:r w:rsidRPr="00501D31">
        <w:rPr>
          <w:rFonts w:asciiTheme="minorHAnsi" w:eastAsiaTheme="minorHAnsi" w:hAnsiTheme="minorHAnsi"/>
          <w:bCs w:val="0"/>
          <w:sz w:val="24"/>
          <w:szCs w:val="24"/>
        </w:rPr>
        <w:t>October 2016</w:t>
      </w:r>
      <w:r w:rsidR="00DA4D98" w:rsidRPr="00501D31">
        <w:rPr>
          <w:rFonts w:asciiTheme="minorHAnsi" w:eastAsiaTheme="minorHAnsi" w:hAnsiTheme="minorHAnsi"/>
          <w:bCs w:val="0"/>
          <w:sz w:val="24"/>
          <w:szCs w:val="24"/>
        </w:rPr>
        <w:t>)</w:t>
      </w:r>
      <w:r w:rsidRPr="00501D31">
        <w:rPr>
          <w:rFonts w:asciiTheme="minorHAnsi" w:eastAsiaTheme="minorHAnsi" w:hAnsiTheme="minorHAnsi"/>
          <w:bCs w:val="0"/>
          <w:sz w:val="24"/>
          <w:szCs w:val="24"/>
        </w:rPr>
        <w:t xml:space="preserve"> </w:t>
      </w:r>
      <w:r w:rsidRPr="00501D31">
        <w:rPr>
          <w:rFonts w:asciiTheme="minorHAnsi" w:hAnsiTheme="minorHAnsi" w:cstheme="majorHAnsi"/>
          <w:bCs w:val="0"/>
          <w:sz w:val="24"/>
          <w:szCs w:val="24"/>
        </w:rPr>
        <w:t xml:space="preserve">with technical support from </w:t>
      </w:r>
      <w:r w:rsidR="00E21B56">
        <w:rPr>
          <w:rFonts w:asciiTheme="minorHAnsi" w:hAnsiTheme="minorHAnsi" w:cstheme="majorHAnsi"/>
          <w:bCs w:val="0"/>
          <w:sz w:val="24"/>
          <w:szCs w:val="24"/>
        </w:rPr>
        <w:t xml:space="preserve">a </w:t>
      </w:r>
      <w:r w:rsidRPr="00501D31">
        <w:rPr>
          <w:rFonts w:asciiTheme="minorHAnsi" w:hAnsiTheme="minorHAnsi" w:cstheme="majorHAnsi"/>
          <w:bCs w:val="0"/>
          <w:sz w:val="24"/>
          <w:szCs w:val="24"/>
        </w:rPr>
        <w:t>WHO-ITU initiative</w:t>
      </w:r>
      <w:r w:rsidR="00DA4D98" w:rsidRPr="00501D31">
        <w:rPr>
          <w:rFonts w:asciiTheme="minorHAnsi" w:hAnsiTheme="minorHAnsi" w:cstheme="majorHAnsi"/>
          <w:bCs w:val="0"/>
          <w:sz w:val="24"/>
          <w:szCs w:val="24"/>
        </w:rPr>
        <w:t xml:space="preserve"> </w:t>
      </w:r>
      <w:r w:rsidR="00AA5C81">
        <w:rPr>
          <w:rFonts w:asciiTheme="minorHAnsi" w:hAnsiTheme="minorHAnsi" w:cstheme="majorHAnsi"/>
          <w:bCs w:val="0"/>
          <w:sz w:val="24"/>
          <w:szCs w:val="24"/>
        </w:rPr>
        <w:t>which</w:t>
      </w:r>
      <w:r w:rsidR="00DA4D98" w:rsidRPr="00501D31">
        <w:rPr>
          <w:rFonts w:asciiTheme="minorHAnsi" w:hAnsiTheme="minorHAnsi" w:cstheme="majorHAnsi"/>
          <w:bCs w:val="0"/>
          <w:sz w:val="24"/>
          <w:szCs w:val="24"/>
        </w:rPr>
        <w:t xml:space="preserve"> </w:t>
      </w:r>
      <w:r w:rsidRPr="00501D31">
        <w:rPr>
          <w:rFonts w:asciiTheme="minorHAnsi" w:eastAsiaTheme="minorHAnsi" w:hAnsiTheme="minorHAnsi"/>
          <w:bCs w:val="0"/>
          <w:sz w:val="24"/>
          <w:szCs w:val="24"/>
        </w:rPr>
        <w:t>aim</w:t>
      </w:r>
      <w:r w:rsidR="00DA4D98" w:rsidRPr="00501D31">
        <w:rPr>
          <w:rFonts w:asciiTheme="minorHAnsi" w:eastAsiaTheme="minorHAnsi" w:hAnsiTheme="minorHAnsi"/>
          <w:bCs w:val="0"/>
          <w:sz w:val="24"/>
          <w:szCs w:val="24"/>
        </w:rPr>
        <w:t>s</w:t>
      </w:r>
      <w:r w:rsidRPr="00501D31">
        <w:rPr>
          <w:rFonts w:asciiTheme="minorHAnsi" w:eastAsiaTheme="minorHAnsi" w:hAnsiTheme="minorHAnsi"/>
          <w:bCs w:val="0"/>
          <w:sz w:val="24"/>
          <w:szCs w:val="24"/>
        </w:rPr>
        <w:t xml:space="preserve"> </w:t>
      </w:r>
      <w:r w:rsidR="00AA5C81">
        <w:rPr>
          <w:rFonts w:asciiTheme="minorHAnsi" w:eastAsiaTheme="minorHAnsi" w:hAnsiTheme="minorHAnsi"/>
          <w:bCs w:val="0"/>
          <w:sz w:val="24"/>
          <w:szCs w:val="24"/>
        </w:rPr>
        <w:t>to</w:t>
      </w:r>
      <w:r w:rsidRPr="00501D31">
        <w:rPr>
          <w:rFonts w:asciiTheme="minorHAnsi" w:eastAsiaTheme="minorHAnsi" w:hAnsiTheme="minorHAnsi"/>
          <w:bCs w:val="0"/>
          <w:sz w:val="24"/>
          <w:szCs w:val="24"/>
        </w:rPr>
        <w:t xml:space="preserve"> </w:t>
      </w:r>
      <w:r w:rsidRPr="00501D31">
        <w:rPr>
          <w:rFonts w:asciiTheme="minorHAnsi" w:hAnsiTheme="minorHAnsi" w:cstheme="majorHAnsi"/>
          <w:bCs w:val="0"/>
          <w:sz w:val="24"/>
          <w:szCs w:val="24"/>
        </w:rPr>
        <w:t>increas</w:t>
      </w:r>
      <w:r w:rsidR="00AA5C81">
        <w:rPr>
          <w:rFonts w:asciiTheme="minorHAnsi" w:hAnsiTheme="minorHAnsi" w:cstheme="majorHAnsi"/>
          <w:bCs w:val="0"/>
          <w:sz w:val="24"/>
          <w:szCs w:val="24"/>
        </w:rPr>
        <w:t>e</w:t>
      </w:r>
      <w:r w:rsidRPr="00501D31">
        <w:rPr>
          <w:rFonts w:asciiTheme="minorHAnsi" w:hAnsiTheme="minorHAnsi" w:cstheme="majorHAnsi"/>
          <w:bCs w:val="0"/>
          <w:sz w:val="24"/>
          <w:szCs w:val="24"/>
        </w:rPr>
        <w:t xml:space="preserve"> knowledge of cervical cancer among women in the screening age interval (25-59) years, resulting in more women accessing cervical cancer screening services.</w:t>
      </w:r>
    </w:p>
    <w:p w14:paraId="272E562B" w14:textId="3F3E5D46" w:rsidR="00A3765C" w:rsidRPr="00A565EE" w:rsidRDefault="00DC7777">
      <w:pPr>
        <w:pStyle w:val="ListParagraph"/>
        <w:numPr>
          <w:ilvl w:val="0"/>
          <w:numId w:val="38"/>
        </w:numPr>
        <w:rPr>
          <w:rFonts w:asciiTheme="minorHAnsi" w:hAnsiTheme="minorHAnsi"/>
          <w:sz w:val="24"/>
          <w:szCs w:val="24"/>
        </w:rPr>
      </w:pPr>
      <w:r w:rsidRPr="00501D31">
        <w:rPr>
          <w:rFonts w:asciiTheme="minorHAnsi" w:hAnsiTheme="minorHAnsi" w:cstheme="majorHAnsi"/>
          <w:sz w:val="24"/>
          <w:szCs w:val="24"/>
        </w:rPr>
        <w:t>Telemedicine Project in Zimbabwe, funded by ITU, UNDP and the</w:t>
      </w:r>
      <w:r w:rsidRPr="00A565EE">
        <w:rPr>
          <w:rFonts w:asciiTheme="minorHAnsi" w:hAnsiTheme="minorHAnsi" w:cstheme="majorHAnsi"/>
          <w:sz w:val="24"/>
          <w:szCs w:val="24"/>
        </w:rPr>
        <w:t xml:space="preserve"> Government of Zimbabwe</w:t>
      </w:r>
      <w:r w:rsidR="00046E97" w:rsidRPr="00A565EE">
        <w:rPr>
          <w:rFonts w:asciiTheme="minorHAnsi" w:hAnsiTheme="minorHAnsi" w:cstheme="majorHAnsi"/>
          <w:sz w:val="24"/>
          <w:szCs w:val="24"/>
        </w:rPr>
        <w:t xml:space="preserve"> aiming at providing connectivity between hospital</w:t>
      </w:r>
      <w:r w:rsidR="00AA5C81">
        <w:rPr>
          <w:rFonts w:asciiTheme="minorHAnsi" w:hAnsiTheme="minorHAnsi" w:cstheme="majorHAnsi"/>
          <w:sz w:val="24"/>
          <w:szCs w:val="24"/>
        </w:rPr>
        <w:t>s</w:t>
      </w:r>
      <w:r w:rsidR="00046E97" w:rsidRPr="00A565EE">
        <w:rPr>
          <w:rFonts w:asciiTheme="minorHAnsi" w:hAnsiTheme="minorHAnsi" w:cstheme="majorHAnsi"/>
          <w:sz w:val="24"/>
          <w:szCs w:val="24"/>
        </w:rPr>
        <w:t xml:space="preserve"> in the country with ICTS to improve medical </w:t>
      </w:r>
      <w:r w:rsidR="00E21B56">
        <w:rPr>
          <w:rFonts w:asciiTheme="minorHAnsi" w:hAnsiTheme="minorHAnsi" w:cstheme="majorHAnsi"/>
          <w:sz w:val="24"/>
          <w:szCs w:val="24"/>
        </w:rPr>
        <w:t>service</w:t>
      </w:r>
      <w:r w:rsidR="00E21B56" w:rsidRPr="00A565EE">
        <w:rPr>
          <w:rFonts w:asciiTheme="minorHAnsi" w:hAnsiTheme="minorHAnsi" w:cstheme="majorHAnsi"/>
          <w:sz w:val="24"/>
          <w:szCs w:val="24"/>
        </w:rPr>
        <w:t xml:space="preserve"> </w:t>
      </w:r>
      <w:r w:rsidR="00046E97" w:rsidRPr="00A565EE">
        <w:rPr>
          <w:rFonts w:asciiTheme="minorHAnsi" w:hAnsiTheme="minorHAnsi" w:cstheme="majorHAnsi"/>
          <w:sz w:val="24"/>
          <w:szCs w:val="24"/>
        </w:rPr>
        <w:t>delivery</w:t>
      </w:r>
      <w:r w:rsidRPr="00A565EE">
        <w:rPr>
          <w:rFonts w:asciiTheme="minorHAnsi" w:hAnsiTheme="minorHAnsi" w:cstheme="majorHAnsi"/>
          <w:sz w:val="24"/>
          <w:szCs w:val="24"/>
        </w:rPr>
        <w:t>.</w:t>
      </w:r>
    </w:p>
    <w:p w14:paraId="0FEA9663" w14:textId="799A054C" w:rsidR="00567B43" w:rsidRPr="00A565EE" w:rsidRDefault="00DC7777">
      <w:pPr>
        <w:rPr>
          <w:rFonts w:eastAsiaTheme="minorHAnsi"/>
          <w:szCs w:val="24"/>
        </w:rPr>
      </w:pPr>
      <w:r w:rsidRPr="00A565EE">
        <w:rPr>
          <w:szCs w:val="24"/>
        </w:rPr>
        <w:t>As co-Chair</w:t>
      </w:r>
      <w:r w:rsidR="00E21B56">
        <w:rPr>
          <w:szCs w:val="24"/>
        </w:rPr>
        <w:t>man</w:t>
      </w:r>
      <w:r w:rsidRPr="00A565EE">
        <w:rPr>
          <w:szCs w:val="24"/>
        </w:rPr>
        <w:t xml:space="preserve"> of the Steering Committee and</w:t>
      </w:r>
      <w:r w:rsidR="00AA5C81">
        <w:rPr>
          <w:szCs w:val="24"/>
        </w:rPr>
        <w:t xml:space="preserve"> a</w:t>
      </w:r>
      <w:r w:rsidRPr="00A565EE">
        <w:rPr>
          <w:szCs w:val="24"/>
        </w:rPr>
        <w:t xml:space="preserve"> member of the </w:t>
      </w:r>
      <w:r w:rsidR="00E21B56" w:rsidRPr="00E21B56">
        <w:rPr>
          <w:szCs w:val="24"/>
        </w:rPr>
        <w:t xml:space="preserve">Smart Africa </w:t>
      </w:r>
      <w:r w:rsidRPr="00A565EE">
        <w:rPr>
          <w:szCs w:val="24"/>
        </w:rPr>
        <w:t xml:space="preserve">Board, ITU fostered collaboration with and provided technical assistance to Smart Africa and hosted both governance meetings. At their meeting in June 2016 on the </w:t>
      </w:r>
      <w:r w:rsidR="00B36275" w:rsidRPr="00A565EE">
        <w:rPr>
          <w:szCs w:val="24"/>
        </w:rPr>
        <w:t>side-line</w:t>
      </w:r>
      <w:r w:rsidRPr="00A565EE">
        <w:rPr>
          <w:szCs w:val="24"/>
        </w:rPr>
        <w:t xml:space="preserve"> of the </w:t>
      </w:r>
      <w:r w:rsidR="001F28E6" w:rsidRPr="001F28E6">
        <w:rPr>
          <w:szCs w:val="24"/>
        </w:rPr>
        <w:t>African Union</w:t>
      </w:r>
      <w:r w:rsidR="001F28E6" w:rsidRPr="001F28E6" w:rsidDel="001F28E6">
        <w:rPr>
          <w:szCs w:val="24"/>
        </w:rPr>
        <w:t xml:space="preserve"> </w:t>
      </w:r>
      <w:r w:rsidRPr="00A565EE">
        <w:rPr>
          <w:szCs w:val="24"/>
        </w:rPr>
        <w:t xml:space="preserve">Summit, the Smart Africa Board endorsed the One Africa Network, which eliminates international roaming charges among the Smart Africa Alliance countries. The </w:t>
      </w:r>
      <w:r w:rsidR="002761E2" w:rsidRPr="002761E2">
        <w:rPr>
          <w:szCs w:val="24"/>
        </w:rPr>
        <w:t xml:space="preserve">One Africa Network </w:t>
      </w:r>
      <w:r w:rsidRPr="00A565EE">
        <w:rPr>
          <w:szCs w:val="24"/>
        </w:rPr>
        <w:t xml:space="preserve">initiative was launched by the Presidents of Rwanda and Gabon </w:t>
      </w:r>
      <w:r w:rsidR="002761E2">
        <w:rPr>
          <w:szCs w:val="24"/>
        </w:rPr>
        <w:t xml:space="preserve">to remove </w:t>
      </w:r>
      <w:r w:rsidRPr="00A565EE">
        <w:rPr>
          <w:szCs w:val="24"/>
        </w:rPr>
        <w:t>roaming charge</w:t>
      </w:r>
      <w:r w:rsidR="00AA5C81">
        <w:rPr>
          <w:szCs w:val="24"/>
        </w:rPr>
        <w:t>s</w:t>
      </w:r>
      <w:r w:rsidRPr="00A565EE">
        <w:rPr>
          <w:szCs w:val="24"/>
        </w:rPr>
        <w:t xml:space="preserve"> between the two countries.</w:t>
      </w:r>
      <w:r w:rsidR="00046E97" w:rsidRPr="00A565EE">
        <w:rPr>
          <w:szCs w:val="24"/>
        </w:rPr>
        <w:t xml:space="preserve"> </w:t>
      </w:r>
      <w:r w:rsidRPr="00A565EE">
        <w:rPr>
          <w:szCs w:val="24"/>
        </w:rPr>
        <w:t xml:space="preserve">The Smart Africa Scholarship Fund initially seed-funded by ITU with </w:t>
      </w:r>
      <w:r w:rsidR="002761E2">
        <w:rPr>
          <w:szCs w:val="24"/>
        </w:rPr>
        <w:t xml:space="preserve">USD </w:t>
      </w:r>
      <w:r w:rsidRPr="00A565EE">
        <w:rPr>
          <w:szCs w:val="24"/>
        </w:rPr>
        <w:t>200</w:t>
      </w:r>
      <w:r w:rsidR="002761E2">
        <w:rPr>
          <w:szCs w:val="24"/>
        </w:rPr>
        <w:t> </w:t>
      </w:r>
      <w:r w:rsidRPr="00A565EE">
        <w:rPr>
          <w:szCs w:val="24"/>
        </w:rPr>
        <w:t xml:space="preserve">000 from </w:t>
      </w:r>
      <w:r w:rsidR="002761E2" w:rsidRPr="002761E2">
        <w:rPr>
          <w:szCs w:val="24"/>
        </w:rPr>
        <w:t>ICT Development Fund (ICT-DF)</w:t>
      </w:r>
      <w:r w:rsidR="002761E2" w:rsidRPr="002761E2" w:rsidDel="002761E2">
        <w:rPr>
          <w:szCs w:val="24"/>
        </w:rPr>
        <w:t xml:space="preserve"> </w:t>
      </w:r>
      <w:r w:rsidRPr="00A565EE">
        <w:rPr>
          <w:szCs w:val="24"/>
        </w:rPr>
        <w:t>and launched in 2015,</w:t>
      </w:r>
      <w:r w:rsidR="002761E2" w:rsidRPr="002761E2">
        <w:rPr>
          <w:szCs w:val="24"/>
        </w:rPr>
        <w:t xml:space="preserve"> </w:t>
      </w:r>
      <w:r w:rsidRPr="00A565EE">
        <w:rPr>
          <w:szCs w:val="24"/>
        </w:rPr>
        <w:t xml:space="preserve">has grown to </w:t>
      </w:r>
      <w:r w:rsidR="002761E2">
        <w:rPr>
          <w:szCs w:val="24"/>
        </w:rPr>
        <w:t>USD </w:t>
      </w:r>
      <w:r w:rsidRPr="00A565EE">
        <w:rPr>
          <w:szCs w:val="24"/>
        </w:rPr>
        <w:t>1</w:t>
      </w:r>
      <w:r w:rsidR="002761E2">
        <w:rPr>
          <w:szCs w:val="24"/>
        </w:rPr>
        <w:t> </w:t>
      </w:r>
      <w:r w:rsidRPr="00A565EE">
        <w:rPr>
          <w:szCs w:val="24"/>
        </w:rPr>
        <w:t>200</w:t>
      </w:r>
      <w:r w:rsidR="002761E2">
        <w:rPr>
          <w:szCs w:val="24"/>
        </w:rPr>
        <w:t> </w:t>
      </w:r>
      <w:r w:rsidRPr="00A565EE">
        <w:rPr>
          <w:szCs w:val="24"/>
        </w:rPr>
        <w:t xml:space="preserve">000. </w:t>
      </w:r>
      <w:r w:rsidRPr="00A565EE">
        <w:rPr>
          <w:rFonts w:cs="Calibri"/>
          <w:szCs w:val="24"/>
          <w:lang w:val="en-US" w:eastAsia="zh-CN"/>
        </w:rPr>
        <w:t xml:space="preserve">As of February 2017, Smart Africa has sponsored 17 students, 6 of whom are women, </w:t>
      </w:r>
      <w:r w:rsidR="002761E2">
        <w:rPr>
          <w:rFonts w:cs="Calibri"/>
          <w:szCs w:val="24"/>
          <w:lang w:val="en-US" w:eastAsia="zh-CN"/>
        </w:rPr>
        <w:t>to attend</w:t>
      </w:r>
      <w:r w:rsidR="002761E2" w:rsidRPr="00A565EE">
        <w:rPr>
          <w:rFonts w:cs="Calibri"/>
          <w:szCs w:val="24"/>
          <w:lang w:val="en-US" w:eastAsia="zh-CN"/>
        </w:rPr>
        <w:t xml:space="preserve"> </w:t>
      </w:r>
      <w:r w:rsidRPr="00A565EE">
        <w:rPr>
          <w:rFonts w:cs="Calibri"/>
          <w:szCs w:val="24"/>
          <w:lang w:val="en-US" w:eastAsia="zh-CN"/>
        </w:rPr>
        <w:t>Carnegie Mellon University in Rwanda.</w:t>
      </w:r>
    </w:p>
    <w:p w14:paraId="359806EB" w14:textId="77777777" w:rsidR="008B5772" w:rsidRPr="00A565EE" w:rsidRDefault="008B5772" w:rsidP="00AA6368">
      <w:pPr>
        <w:pStyle w:val="CEOParagraphabc"/>
        <w:keepNext/>
        <w:numPr>
          <w:ilvl w:val="1"/>
          <w:numId w:val="10"/>
        </w:numPr>
        <w:spacing w:before="240" w:after="0"/>
        <w:ind w:left="567" w:hanging="567"/>
        <w:rPr>
          <w:rFonts w:asciiTheme="minorHAnsi" w:hAnsiTheme="minorHAnsi"/>
          <w:sz w:val="24"/>
          <w:szCs w:val="24"/>
        </w:rPr>
      </w:pPr>
      <w:r w:rsidRPr="00A565EE">
        <w:rPr>
          <w:rFonts w:asciiTheme="minorHAnsi" w:hAnsiTheme="minorHAnsi"/>
          <w:sz w:val="24"/>
          <w:szCs w:val="24"/>
        </w:rPr>
        <w:t>Americas</w:t>
      </w:r>
    </w:p>
    <w:p w14:paraId="2D3D89CA" w14:textId="39C61A62" w:rsidR="00DD461E" w:rsidRPr="00A565EE" w:rsidRDefault="00DD461E">
      <w:pPr>
        <w:rPr>
          <w:rFonts w:eastAsiaTheme="minorEastAsia" w:cstheme="minorBidi"/>
          <w:szCs w:val="24"/>
        </w:rPr>
      </w:pPr>
      <w:r w:rsidRPr="00A565EE">
        <w:rPr>
          <w:rFonts w:eastAsiaTheme="minorEastAsia" w:cstheme="minorBidi"/>
          <w:szCs w:val="24"/>
        </w:rPr>
        <w:t xml:space="preserve">Following the </w:t>
      </w:r>
      <w:r w:rsidR="00B12F57" w:rsidRPr="00A565EE">
        <w:rPr>
          <w:rFonts w:eastAsiaTheme="minorEastAsia" w:cstheme="minorBidi"/>
          <w:szCs w:val="24"/>
        </w:rPr>
        <w:t>success of the p</w:t>
      </w:r>
      <w:r w:rsidRPr="00A565EE">
        <w:rPr>
          <w:rFonts w:eastAsiaTheme="minorEastAsia" w:cstheme="minorBidi"/>
          <w:szCs w:val="24"/>
        </w:rPr>
        <w:t xml:space="preserve">roject with the Argentine Administration </w:t>
      </w:r>
      <w:r w:rsidR="007F435B" w:rsidRPr="00A565EE">
        <w:rPr>
          <w:rFonts w:eastAsiaTheme="minorEastAsia" w:cstheme="minorBidi"/>
          <w:szCs w:val="24"/>
        </w:rPr>
        <w:t xml:space="preserve">promoting the integration of </w:t>
      </w:r>
      <w:r w:rsidRPr="00A565EE">
        <w:rPr>
          <w:rFonts w:eastAsiaTheme="minorEastAsia" w:cstheme="minorBidi"/>
          <w:szCs w:val="24"/>
        </w:rPr>
        <w:t xml:space="preserve">more than 20 universities as Academia members </w:t>
      </w:r>
      <w:r w:rsidR="007F435B" w:rsidRPr="00A565EE">
        <w:rPr>
          <w:rFonts w:eastAsiaTheme="minorEastAsia" w:cstheme="minorBidi"/>
          <w:szCs w:val="24"/>
        </w:rPr>
        <w:t xml:space="preserve">in </w:t>
      </w:r>
      <w:r w:rsidR="002761E2" w:rsidRPr="00A565EE">
        <w:rPr>
          <w:rFonts w:eastAsiaTheme="minorEastAsia" w:cstheme="minorBidi"/>
          <w:szCs w:val="24"/>
        </w:rPr>
        <w:t xml:space="preserve">ITU </w:t>
      </w:r>
      <w:r w:rsidR="007F435B" w:rsidRPr="00A565EE">
        <w:rPr>
          <w:rFonts w:eastAsiaTheme="minorEastAsia" w:cstheme="minorBidi"/>
          <w:szCs w:val="24"/>
        </w:rPr>
        <w:t xml:space="preserve">activities, </w:t>
      </w:r>
      <w:r w:rsidRPr="00A565EE">
        <w:rPr>
          <w:rFonts w:eastAsiaTheme="minorEastAsia" w:cstheme="minorBidi"/>
          <w:szCs w:val="24"/>
        </w:rPr>
        <w:t xml:space="preserve">ITU </w:t>
      </w:r>
      <w:r w:rsidR="007F435B" w:rsidRPr="00A565EE">
        <w:rPr>
          <w:rFonts w:eastAsiaTheme="minorEastAsia" w:cstheme="minorBidi"/>
          <w:szCs w:val="24"/>
        </w:rPr>
        <w:t xml:space="preserve">Regional and Area Offices are </w:t>
      </w:r>
      <w:r w:rsidRPr="00A565EE">
        <w:rPr>
          <w:rFonts w:eastAsiaTheme="minorEastAsia" w:cstheme="minorBidi"/>
          <w:szCs w:val="24"/>
        </w:rPr>
        <w:t xml:space="preserve">coordinating with </w:t>
      </w:r>
      <w:r w:rsidR="002D1F75" w:rsidRPr="00A565EE">
        <w:rPr>
          <w:rFonts w:eastAsiaTheme="minorEastAsia" w:cstheme="minorBidi"/>
          <w:szCs w:val="24"/>
        </w:rPr>
        <w:t xml:space="preserve">other </w:t>
      </w:r>
      <w:r w:rsidRPr="00A565EE">
        <w:rPr>
          <w:rFonts w:eastAsiaTheme="minorEastAsia" w:cstheme="minorBidi"/>
          <w:szCs w:val="24"/>
        </w:rPr>
        <w:t>Administration</w:t>
      </w:r>
      <w:r w:rsidR="00B12F57" w:rsidRPr="00A565EE">
        <w:rPr>
          <w:rFonts w:eastAsiaTheme="minorEastAsia" w:cstheme="minorBidi"/>
          <w:szCs w:val="24"/>
        </w:rPr>
        <w:t xml:space="preserve">s of the region, such as </w:t>
      </w:r>
      <w:r w:rsidRPr="00A565EE">
        <w:rPr>
          <w:rFonts w:eastAsiaTheme="minorEastAsia" w:cstheme="minorBidi"/>
          <w:szCs w:val="24"/>
        </w:rPr>
        <w:t>Colombia</w:t>
      </w:r>
      <w:r w:rsidR="00B12F57" w:rsidRPr="00A565EE">
        <w:rPr>
          <w:rFonts w:eastAsiaTheme="minorEastAsia" w:cstheme="minorBidi"/>
          <w:szCs w:val="24"/>
        </w:rPr>
        <w:t xml:space="preserve">, </w:t>
      </w:r>
      <w:r w:rsidRPr="00A565EE">
        <w:rPr>
          <w:rFonts w:eastAsiaTheme="minorEastAsia" w:cstheme="minorBidi"/>
          <w:szCs w:val="24"/>
        </w:rPr>
        <w:t>to replicate it.</w:t>
      </w:r>
    </w:p>
    <w:p w14:paraId="6BF1D802" w14:textId="24CA1D36" w:rsidR="002D1F75" w:rsidRPr="00A565EE" w:rsidRDefault="00B12F57">
      <w:pPr>
        <w:rPr>
          <w:szCs w:val="24"/>
        </w:rPr>
      </w:pPr>
      <w:r w:rsidRPr="00A565EE">
        <w:rPr>
          <w:szCs w:val="24"/>
        </w:rPr>
        <w:t>P</w:t>
      </w:r>
      <w:r w:rsidR="00DD461E" w:rsidRPr="00A565EE">
        <w:rPr>
          <w:szCs w:val="24"/>
        </w:rPr>
        <w:t xml:space="preserve">rojects have been developed and implemented </w:t>
      </w:r>
      <w:r w:rsidR="00343828" w:rsidRPr="00A565EE">
        <w:rPr>
          <w:szCs w:val="24"/>
        </w:rPr>
        <w:t xml:space="preserve">in cooperation </w:t>
      </w:r>
      <w:r w:rsidR="00DD461E" w:rsidRPr="00A565EE">
        <w:rPr>
          <w:szCs w:val="24"/>
        </w:rPr>
        <w:t xml:space="preserve">with </w:t>
      </w:r>
      <w:r w:rsidR="007F435B" w:rsidRPr="00A565EE">
        <w:rPr>
          <w:szCs w:val="24"/>
        </w:rPr>
        <w:t xml:space="preserve">stakeholders from the public </w:t>
      </w:r>
      <w:r w:rsidR="00DD461E" w:rsidRPr="00A565EE">
        <w:rPr>
          <w:szCs w:val="24"/>
        </w:rPr>
        <w:t xml:space="preserve">and private sector: e.g., </w:t>
      </w:r>
      <w:r w:rsidR="0099651E">
        <w:rPr>
          <w:szCs w:val="24"/>
        </w:rPr>
        <w:t xml:space="preserve">a </w:t>
      </w:r>
      <w:r w:rsidR="002D1F75" w:rsidRPr="00A565EE">
        <w:rPr>
          <w:szCs w:val="24"/>
        </w:rPr>
        <w:t>t</w:t>
      </w:r>
      <w:r w:rsidR="00DD461E" w:rsidRPr="00A565EE">
        <w:rPr>
          <w:szCs w:val="24"/>
        </w:rPr>
        <w:t xml:space="preserve">echnical cooperation project with </w:t>
      </w:r>
      <w:proofErr w:type="spellStart"/>
      <w:r w:rsidR="00DD461E" w:rsidRPr="00A565EE">
        <w:rPr>
          <w:szCs w:val="24"/>
        </w:rPr>
        <w:t>Anatel</w:t>
      </w:r>
      <w:proofErr w:type="spellEnd"/>
      <w:r w:rsidR="00DD461E" w:rsidRPr="00A565EE">
        <w:rPr>
          <w:szCs w:val="24"/>
        </w:rPr>
        <w:t xml:space="preserve"> </w:t>
      </w:r>
      <w:r w:rsidRPr="00A565EE">
        <w:rPr>
          <w:szCs w:val="24"/>
        </w:rPr>
        <w:t xml:space="preserve">aiming at </w:t>
      </w:r>
      <w:r w:rsidR="00DD461E" w:rsidRPr="00A565EE">
        <w:rPr>
          <w:szCs w:val="24"/>
        </w:rPr>
        <w:t xml:space="preserve">strengthening the Brazilian Regulatory Agency; Spectrum Allocation with MINCIT in Colombia. </w:t>
      </w:r>
      <w:r w:rsidRPr="00A565EE">
        <w:rPr>
          <w:szCs w:val="24"/>
        </w:rPr>
        <w:lastRenderedPageBreak/>
        <w:t>Roadmaps for the transition from analogue to digital terrestrial television broadcasting, through the use of ITU Guidelines</w:t>
      </w:r>
      <w:r w:rsidR="002D1F75" w:rsidRPr="00A565EE">
        <w:rPr>
          <w:szCs w:val="24"/>
        </w:rPr>
        <w:t>,</w:t>
      </w:r>
      <w:r w:rsidRPr="00A565EE">
        <w:rPr>
          <w:szCs w:val="24"/>
        </w:rPr>
        <w:t xml:space="preserve"> </w:t>
      </w:r>
      <w:r w:rsidR="002D1F75" w:rsidRPr="00A565EE">
        <w:rPr>
          <w:szCs w:val="24"/>
        </w:rPr>
        <w:t xml:space="preserve">as well as interactive maps of worldwide </w:t>
      </w:r>
      <w:r w:rsidR="002761E2">
        <w:rPr>
          <w:szCs w:val="24"/>
        </w:rPr>
        <w:t>l</w:t>
      </w:r>
      <w:r w:rsidR="002761E2" w:rsidRPr="00A565EE">
        <w:rPr>
          <w:szCs w:val="24"/>
        </w:rPr>
        <w:t xml:space="preserve">ong </w:t>
      </w:r>
      <w:r w:rsidR="002761E2">
        <w:rPr>
          <w:szCs w:val="24"/>
        </w:rPr>
        <w:t>d</w:t>
      </w:r>
      <w:r w:rsidR="002761E2" w:rsidRPr="00A565EE">
        <w:rPr>
          <w:szCs w:val="24"/>
        </w:rPr>
        <w:t xml:space="preserve">istance </w:t>
      </w:r>
      <w:r w:rsidR="002761E2">
        <w:rPr>
          <w:szCs w:val="24"/>
        </w:rPr>
        <w:t>t</w:t>
      </w:r>
      <w:r w:rsidR="002761E2" w:rsidRPr="00A565EE">
        <w:rPr>
          <w:szCs w:val="24"/>
        </w:rPr>
        <w:t xml:space="preserve">errestrial </w:t>
      </w:r>
      <w:r w:rsidR="002D1F75" w:rsidRPr="00A565EE">
        <w:rPr>
          <w:szCs w:val="24"/>
        </w:rPr>
        <w:t xml:space="preserve">and </w:t>
      </w:r>
      <w:r w:rsidR="002761E2">
        <w:rPr>
          <w:szCs w:val="24"/>
        </w:rPr>
        <w:t>s</w:t>
      </w:r>
      <w:r w:rsidR="002761E2" w:rsidRPr="00A565EE">
        <w:rPr>
          <w:szCs w:val="24"/>
        </w:rPr>
        <w:t xml:space="preserve">ubmarine </w:t>
      </w:r>
      <w:r w:rsidR="002761E2">
        <w:rPr>
          <w:szCs w:val="24"/>
        </w:rPr>
        <w:t>o</w:t>
      </w:r>
      <w:r w:rsidR="002761E2" w:rsidRPr="00A565EE">
        <w:rPr>
          <w:szCs w:val="24"/>
        </w:rPr>
        <w:t xml:space="preserve">ptical </w:t>
      </w:r>
      <w:r w:rsidR="002761E2">
        <w:rPr>
          <w:szCs w:val="24"/>
        </w:rPr>
        <w:t>f</w:t>
      </w:r>
      <w:r w:rsidR="002761E2" w:rsidRPr="00A565EE">
        <w:rPr>
          <w:szCs w:val="24"/>
        </w:rPr>
        <w:t xml:space="preserve">ibre </w:t>
      </w:r>
      <w:r w:rsidR="002761E2">
        <w:rPr>
          <w:szCs w:val="24"/>
        </w:rPr>
        <w:t>s</w:t>
      </w:r>
      <w:r w:rsidR="002761E2" w:rsidRPr="00A565EE">
        <w:rPr>
          <w:szCs w:val="24"/>
        </w:rPr>
        <w:t xml:space="preserve">ystems </w:t>
      </w:r>
      <w:r w:rsidR="002D1F75" w:rsidRPr="00A565EE">
        <w:rPr>
          <w:szCs w:val="24"/>
        </w:rPr>
        <w:t xml:space="preserve">have </w:t>
      </w:r>
      <w:r w:rsidRPr="00A565EE">
        <w:rPr>
          <w:szCs w:val="24"/>
        </w:rPr>
        <w:t>been developed by ITU i</w:t>
      </w:r>
      <w:r w:rsidR="00DD461E" w:rsidRPr="00A565EE">
        <w:rPr>
          <w:szCs w:val="24"/>
        </w:rPr>
        <w:t xml:space="preserve">n cooperation with </w:t>
      </w:r>
      <w:r w:rsidR="002D1F75" w:rsidRPr="00A565EE">
        <w:rPr>
          <w:szCs w:val="24"/>
        </w:rPr>
        <w:t xml:space="preserve">national and regional </w:t>
      </w:r>
      <w:r w:rsidR="00DD461E" w:rsidRPr="00A565EE">
        <w:rPr>
          <w:szCs w:val="24"/>
        </w:rPr>
        <w:t>stakeholders.</w:t>
      </w:r>
      <w:r w:rsidR="007F435B" w:rsidRPr="00A565EE">
        <w:rPr>
          <w:szCs w:val="24"/>
        </w:rPr>
        <w:t xml:space="preserve"> </w:t>
      </w:r>
      <w:r w:rsidR="002D1F75" w:rsidRPr="00A565EE">
        <w:rPr>
          <w:szCs w:val="24"/>
        </w:rPr>
        <w:t xml:space="preserve">Studies on the formal independence of the regulatory authorities have been developed for Peru, Bolivia and Panama </w:t>
      </w:r>
      <w:r w:rsidR="007D75DF">
        <w:rPr>
          <w:szCs w:val="24"/>
        </w:rPr>
        <w:t xml:space="preserve">which </w:t>
      </w:r>
      <w:r w:rsidR="002D1F75" w:rsidRPr="00A565EE">
        <w:rPr>
          <w:szCs w:val="24"/>
        </w:rPr>
        <w:t xml:space="preserve">will be published in 2017. </w:t>
      </w:r>
    </w:p>
    <w:p w14:paraId="53AD1AF9" w14:textId="0710C5DC" w:rsidR="00B12F57" w:rsidRPr="00A565EE" w:rsidRDefault="00B12F57">
      <w:pPr>
        <w:rPr>
          <w:szCs w:val="24"/>
        </w:rPr>
      </w:pPr>
      <w:r w:rsidRPr="00A565EE">
        <w:rPr>
          <w:szCs w:val="24"/>
        </w:rPr>
        <w:t>I</w:t>
      </w:r>
      <w:r w:rsidR="00DD461E" w:rsidRPr="00A565EE">
        <w:rPr>
          <w:szCs w:val="24"/>
        </w:rPr>
        <w:t xml:space="preserve">n the framework of cooperation with </w:t>
      </w:r>
      <w:r w:rsidR="002761E2" w:rsidRPr="00A565EE">
        <w:rPr>
          <w:szCs w:val="24"/>
        </w:rPr>
        <w:t xml:space="preserve">ITU </w:t>
      </w:r>
      <w:r w:rsidR="002761E2">
        <w:rPr>
          <w:szCs w:val="24"/>
        </w:rPr>
        <w:t>centres</w:t>
      </w:r>
      <w:r w:rsidR="00DD461E" w:rsidRPr="00A565EE">
        <w:rPr>
          <w:szCs w:val="24"/>
        </w:rPr>
        <w:t xml:space="preserve"> of </w:t>
      </w:r>
      <w:r w:rsidR="002761E2">
        <w:rPr>
          <w:szCs w:val="24"/>
        </w:rPr>
        <w:t>e</w:t>
      </w:r>
      <w:r w:rsidR="002761E2" w:rsidRPr="00A565EE">
        <w:rPr>
          <w:szCs w:val="24"/>
        </w:rPr>
        <w:t>xcellence</w:t>
      </w:r>
      <w:r w:rsidR="009A47FC">
        <w:rPr>
          <w:szCs w:val="24"/>
        </w:rPr>
        <w:t xml:space="preserve"> (</w:t>
      </w:r>
      <w:proofErr w:type="spellStart"/>
      <w:r w:rsidR="009A47FC">
        <w:rPr>
          <w:szCs w:val="24"/>
        </w:rPr>
        <w:t>CoE</w:t>
      </w:r>
      <w:proofErr w:type="spellEnd"/>
      <w:r w:rsidR="009A47FC">
        <w:rPr>
          <w:szCs w:val="24"/>
        </w:rPr>
        <w:t>)</w:t>
      </w:r>
      <w:r w:rsidR="00DD461E" w:rsidRPr="00A565EE">
        <w:rPr>
          <w:szCs w:val="24"/>
        </w:rPr>
        <w:t xml:space="preserve"> </w:t>
      </w:r>
      <w:r w:rsidR="002761E2">
        <w:rPr>
          <w:szCs w:val="24"/>
        </w:rPr>
        <w:t xml:space="preserve">in the </w:t>
      </w:r>
      <w:r w:rsidR="002761E2" w:rsidRPr="00A565EE">
        <w:rPr>
          <w:szCs w:val="24"/>
        </w:rPr>
        <w:t>Americas</w:t>
      </w:r>
      <w:r w:rsidR="002761E2">
        <w:rPr>
          <w:szCs w:val="24"/>
        </w:rPr>
        <w:t xml:space="preserve"> region</w:t>
      </w:r>
      <w:r w:rsidR="002761E2" w:rsidRPr="00A565EE">
        <w:rPr>
          <w:szCs w:val="24"/>
        </w:rPr>
        <w:t xml:space="preserve"> </w:t>
      </w:r>
      <w:r w:rsidRPr="00A565EE">
        <w:rPr>
          <w:szCs w:val="24"/>
        </w:rPr>
        <w:t xml:space="preserve">and </w:t>
      </w:r>
      <w:r w:rsidR="00DD461E" w:rsidRPr="00A565EE">
        <w:rPr>
          <w:szCs w:val="24"/>
        </w:rPr>
        <w:t>through the ITU Academy platform</w:t>
      </w:r>
      <w:r w:rsidR="002D1F75" w:rsidRPr="00A565EE">
        <w:rPr>
          <w:szCs w:val="24"/>
        </w:rPr>
        <w:t>,</w:t>
      </w:r>
      <w:r w:rsidRPr="00A565EE">
        <w:rPr>
          <w:szCs w:val="24"/>
        </w:rPr>
        <w:t xml:space="preserve"> online t</w:t>
      </w:r>
      <w:r w:rsidR="00DD461E" w:rsidRPr="00A565EE">
        <w:rPr>
          <w:szCs w:val="24"/>
        </w:rPr>
        <w:t xml:space="preserve">raining courses </w:t>
      </w:r>
      <w:r w:rsidR="007F435B" w:rsidRPr="00A565EE">
        <w:rPr>
          <w:szCs w:val="24"/>
        </w:rPr>
        <w:t xml:space="preserve">were </w:t>
      </w:r>
      <w:r w:rsidR="00DD461E" w:rsidRPr="00A565EE">
        <w:rPr>
          <w:szCs w:val="24"/>
        </w:rPr>
        <w:t>delivered in the field of advanced communication networks, spectrum management, ICT application and services</w:t>
      </w:r>
      <w:r w:rsidR="007F435B" w:rsidRPr="00A565EE">
        <w:rPr>
          <w:szCs w:val="24"/>
        </w:rPr>
        <w:t>,</w:t>
      </w:r>
      <w:r w:rsidR="00DD461E" w:rsidRPr="00A565EE">
        <w:rPr>
          <w:szCs w:val="24"/>
        </w:rPr>
        <w:t xml:space="preserve"> satellite systems and wireless network</w:t>
      </w:r>
      <w:r w:rsidR="00C04CC0">
        <w:rPr>
          <w:szCs w:val="24"/>
        </w:rPr>
        <w:t>s</w:t>
      </w:r>
      <w:r w:rsidR="00DD461E" w:rsidRPr="00A565EE">
        <w:rPr>
          <w:szCs w:val="24"/>
        </w:rPr>
        <w:t>.</w:t>
      </w:r>
      <w:r w:rsidRPr="00A565EE">
        <w:rPr>
          <w:szCs w:val="24"/>
        </w:rPr>
        <w:t xml:space="preserve"> </w:t>
      </w:r>
      <w:r w:rsidR="007F435B" w:rsidRPr="00A565EE">
        <w:rPr>
          <w:szCs w:val="24"/>
        </w:rPr>
        <w:t>C</w:t>
      </w:r>
      <w:r w:rsidRPr="00A565EE">
        <w:rPr>
          <w:szCs w:val="24"/>
        </w:rPr>
        <w:t xml:space="preserve">ourses on the use of ICT for information and communication tools, development of digital content, virtual education and e-commerce </w:t>
      </w:r>
      <w:r w:rsidR="007F435B" w:rsidRPr="00A565EE">
        <w:rPr>
          <w:szCs w:val="24"/>
        </w:rPr>
        <w:t xml:space="preserve">were provided </w:t>
      </w:r>
      <w:r w:rsidRPr="00A565EE">
        <w:rPr>
          <w:szCs w:val="24"/>
        </w:rPr>
        <w:t xml:space="preserve">by ITU </w:t>
      </w:r>
      <w:r w:rsidR="007F435B" w:rsidRPr="00A565EE">
        <w:rPr>
          <w:szCs w:val="24"/>
        </w:rPr>
        <w:t xml:space="preserve">and </w:t>
      </w:r>
      <w:r w:rsidRPr="00A565EE">
        <w:rPr>
          <w:szCs w:val="24"/>
        </w:rPr>
        <w:t>the Indigenous Development Fund for Latin America and the Caribbean to 221 indigenous</w:t>
      </w:r>
      <w:r w:rsidR="007D75DF">
        <w:rPr>
          <w:szCs w:val="24"/>
        </w:rPr>
        <w:t xml:space="preserve"> peoples</w:t>
      </w:r>
      <w:r w:rsidRPr="00A565EE">
        <w:rPr>
          <w:szCs w:val="24"/>
        </w:rPr>
        <w:t>.</w:t>
      </w:r>
    </w:p>
    <w:p w14:paraId="040AD1E0" w14:textId="6F8FF427" w:rsidR="00DD461E" w:rsidRPr="00A565EE" w:rsidRDefault="002D1F75">
      <w:pPr>
        <w:rPr>
          <w:szCs w:val="24"/>
        </w:rPr>
      </w:pPr>
      <w:r w:rsidRPr="00A565EE">
        <w:rPr>
          <w:szCs w:val="24"/>
        </w:rPr>
        <w:t xml:space="preserve">Training materials have been developed in </w:t>
      </w:r>
      <w:r w:rsidR="00DD461E" w:rsidRPr="00A565EE">
        <w:rPr>
          <w:szCs w:val="24"/>
        </w:rPr>
        <w:t xml:space="preserve">cooperation with the Inter-American Development Bank (IDB) on “Economics of Broadband and ICTs” and on “ICT network Deployment and Operation”, to be delivered by CEABAD, a </w:t>
      </w:r>
      <w:r w:rsidR="00C04CC0">
        <w:rPr>
          <w:szCs w:val="24"/>
        </w:rPr>
        <w:t>t</w:t>
      </w:r>
      <w:r w:rsidR="00C04CC0" w:rsidRPr="00A565EE">
        <w:rPr>
          <w:szCs w:val="24"/>
        </w:rPr>
        <w:t xml:space="preserve">raining </w:t>
      </w:r>
      <w:r w:rsidR="00C04CC0">
        <w:rPr>
          <w:szCs w:val="24"/>
        </w:rPr>
        <w:t>centre</w:t>
      </w:r>
      <w:r w:rsidR="00C04CC0" w:rsidRPr="00A565EE">
        <w:rPr>
          <w:szCs w:val="24"/>
        </w:rPr>
        <w:t xml:space="preserve"> </w:t>
      </w:r>
      <w:r w:rsidR="00DD461E" w:rsidRPr="00A565EE">
        <w:rPr>
          <w:szCs w:val="24"/>
        </w:rPr>
        <w:t>established by the IDB in Nicaragua.</w:t>
      </w:r>
    </w:p>
    <w:p w14:paraId="1CAAF55F" w14:textId="482148A1" w:rsidR="00EF69D8" w:rsidRPr="00A565EE" w:rsidRDefault="007F435B" w:rsidP="005C0AD5">
      <w:pPr>
        <w:rPr>
          <w:rFonts w:eastAsiaTheme="minorEastAsia" w:cstheme="minorBidi"/>
          <w:szCs w:val="24"/>
        </w:rPr>
      </w:pPr>
      <w:r w:rsidRPr="00A565EE">
        <w:rPr>
          <w:szCs w:val="24"/>
          <w:lang w:val="en-US"/>
        </w:rPr>
        <w:t>Several f</w:t>
      </w:r>
      <w:r w:rsidR="00DD461E" w:rsidRPr="00A565EE">
        <w:rPr>
          <w:szCs w:val="24"/>
          <w:lang w:val="en-US"/>
        </w:rPr>
        <w:t>or</w:t>
      </w:r>
      <w:r w:rsidR="00C04CC0">
        <w:rPr>
          <w:szCs w:val="24"/>
          <w:lang w:val="en-US"/>
        </w:rPr>
        <w:t>ums</w:t>
      </w:r>
      <w:r w:rsidR="00DD461E" w:rsidRPr="00A565EE">
        <w:rPr>
          <w:szCs w:val="24"/>
          <w:lang w:val="en-US"/>
        </w:rPr>
        <w:t xml:space="preserve"> and workshops</w:t>
      </w:r>
      <w:r w:rsidR="00DD461E" w:rsidRPr="00A565EE">
        <w:rPr>
          <w:szCs w:val="24"/>
        </w:rPr>
        <w:t xml:space="preserve"> </w:t>
      </w:r>
      <w:r w:rsidR="002D1F75" w:rsidRPr="00A565EE">
        <w:rPr>
          <w:szCs w:val="24"/>
        </w:rPr>
        <w:t xml:space="preserve">were organized </w:t>
      </w:r>
      <w:r w:rsidR="00DD461E" w:rsidRPr="00A565EE">
        <w:rPr>
          <w:szCs w:val="24"/>
        </w:rPr>
        <w:t>in partnership with Administrations (Brazil, Costa Rica, Ecuador, El Salvador, Honduras, Mexico, Paraguay</w:t>
      </w:r>
      <w:r w:rsidR="002D1F75" w:rsidRPr="00A565EE">
        <w:rPr>
          <w:szCs w:val="24"/>
        </w:rPr>
        <w:t>) as well as</w:t>
      </w:r>
      <w:r w:rsidRPr="00A565EE">
        <w:rPr>
          <w:szCs w:val="24"/>
        </w:rPr>
        <w:t xml:space="preserve"> with</w:t>
      </w:r>
      <w:r w:rsidR="00DD461E" w:rsidRPr="00A565EE">
        <w:rPr>
          <w:szCs w:val="24"/>
        </w:rPr>
        <w:t xml:space="preserve"> </w:t>
      </w:r>
      <w:r w:rsidR="00753EDA">
        <w:rPr>
          <w:szCs w:val="24"/>
        </w:rPr>
        <w:t>i</w:t>
      </w:r>
      <w:r w:rsidR="00DD461E" w:rsidRPr="00A565EE">
        <w:rPr>
          <w:szCs w:val="24"/>
        </w:rPr>
        <w:t xml:space="preserve">nternational, </w:t>
      </w:r>
      <w:r w:rsidR="00753EDA">
        <w:rPr>
          <w:szCs w:val="24"/>
        </w:rPr>
        <w:t>r</w:t>
      </w:r>
      <w:r w:rsidR="00DD461E" w:rsidRPr="00A565EE">
        <w:rPr>
          <w:szCs w:val="24"/>
        </w:rPr>
        <w:t>egional</w:t>
      </w:r>
      <w:r w:rsidR="00C04CC0">
        <w:rPr>
          <w:szCs w:val="24"/>
        </w:rPr>
        <w:t>,</w:t>
      </w:r>
      <w:r w:rsidR="00DD461E" w:rsidRPr="00A565EE">
        <w:rPr>
          <w:szCs w:val="24"/>
        </w:rPr>
        <w:t xml:space="preserve"> and </w:t>
      </w:r>
      <w:r w:rsidR="00C04CC0">
        <w:rPr>
          <w:szCs w:val="24"/>
        </w:rPr>
        <w:t>s</w:t>
      </w:r>
      <w:r w:rsidR="00DD461E" w:rsidRPr="00A565EE">
        <w:rPr>
          <w:szCs w:val="24"/>
        </w:rPr>
        <w:t xml:space="preserve">ub-regional organizations </w:t>
      </w:r>
      <w:r w:rsidR="002D1F75" w:rsidRPr="00A565EE">
        <w:rPr>
          <w:szCs w:val="24"/>
        </w:rPr>
        <w:t>(</w:t>
      </w:r>
      <w:r w:rsidRPr="00A565EE">
        <w:rPr>
          <w:szCs w:val="24"/>
        </w:rPr>
        <w:t xml:space="preserve">e.g., </w:t>
      </w:r>
      <w:r w:rsidR="00DD461E" w:rsidRPr="00A565EE">
        <w:rPr>
          <w:szCs w:val="24"/>
        </w:rPr>
        <w:t>ASIET, CITEL, CTU, COMTELCA, LACNIC</w:t>
      </w:r>
      <w:r w:rsidRPr="00A565EE">
        <w:rPr>
          <w:szCs w:val="24"/>
        </w:rPr>
        <w:t xml:space="preserve">, </w:t>
      </w:r>
      <w:r w:rsidR="00DD461E" w:rsidRPr="00A565EE">
        <w:rPr>
          <w:szCs w:val="24"/>
        </w:rPr>
        <w:t>OAS</w:t>
      </w:r>
      <w:r w:rsidRPr="00A565EE">
        <w:rPr>
          <w:szCs w:val="24"/>
        </w:rPr>
        <w:t>)</w:t>
      </w:r>
      <w:r w:rsidR="00343828" w:rsidRPr="00A565EE">
        <w:rPr>
          <w:szCs w:val="24"/>
        </w:rPr>
        <w:t>.</w:t>
      </w:r>
      <w:r w:rsidR="00343828" w:rsidRPr="00A565EE" w:rsidDel="00343828">
        <w:rPr>
          <w:szCs w:val="24"/>
        </w:rPr>
        <w:t xml:space="preserve"> </w:t>
      </w:r>
    </w:p>
    <w:p w14:paraId="65940045" w14:textId="77777777" w:rsidR="008B5772" w:rsidRPr="00A565EE" w:rsidRDefault="008B5772" w:rsidP="00AA6368">
      <w:pPr>
        <w:pStyle w:val="CEOParagraphabc"/>
        <w:keepNext/>
        <w:numPr>
          <w:ilvl w:val="1"/>
          <w:numId w:val="10"/>
        </w:numPr>
        <w:spacing w:before="240" w:after="0"/>
        <w:ind w:left="567" w:hanging="567"/>
        <w:rPr>
          <w:rFonts w:asciiTheme="minorHAnsi" w:hAnsiTheme="minorHAnsi"/>
          <w:sz w:val="24"/>
          <w:szCs w:val="24"/>
        </w:rPr>
      </w:pPr>
      <w:r w:rsidRPr="00A565EE">
        <w:rPr>
          <w:rFonts w:asciiTheme="minorHAnsi" w:hAnsiTheme="minorHAnsi"/>
          <w:sz w:val="24"/>
          <w:szCs w:val="24"/>
        </w:rPr>
        <w:t>Arab States</w:t>
      </w:r>
    </w:p>
    <w:p w14:paraId="19C3721D" w14:textId="677019D1" w:rsidR="00D95853" w:rsidRPr="00A565EE" w:rsidRDefault="00DD461E">
      <w:pPr>
        <w:pStyle w:val="CEONormal"/>
        <w:spacing w:after="0"/>
        <w:rPr>
          <w:sz w:val="24"/>
          <w:szCs w:val="24"/>
        </w:rPr>
      </w:pPr>
      <w:r w:rsidRPr="00A565EE">
        <w:rPr>
          <w:rFonts w:eastAsiaTheme="minorEastAsia" w:cstheme="minorBidi"/>
          <w:sz w:val="24"/>
          <w:szCs w:val="24"/>
        </w:rPr>
        <w:t>Various workshops, for</w:t>
      </w:r>
      <w:r w:rsidR="00C04CC0">
        <w:rPr>
          <w:rFonts w:eastAsiaTheme="minorEastAsia" w:cstheme="minorBidi"/>
          <w:sz w:val="24"/>
          <w:szCs w:val="24"/>
        </w:rPr>
        <w:t>ums</w:t>
      </w:r>
      <w:r w:rsidRPr="00A565EE">
        <w:rPr>
          <w:rFonts w:eastAsiaTheme="minorEastAsia" w:cstheme="minorBidi"/>
          <w:sz w:val="24"/>
          <w:szCs w:val="24"/>
        </w:rPr>
        <w:t xml:space="preserve"> and expert meetings (e.g. </w:t>
      </w:r>
      <w:r w:rsidR="00C04CC0" w:rsidRPr="00C04CC0">
        <w:rPr>
          <w:rFonts w:eastAsiaTheme="minorEastAsia" w:cstheme="minorBidi"/>
          <w:sz w:val="24"/>
          <w:szCs w:val="24"/>
        </w:rPr>
        <w:t>Public-private partnerships (PPP)</w:t>
      </w:r>
      <w:r w:rsidR="00C04CC0" w:rsidRPr="00C04CC0" w:rsidDel="00C04CC0">
        <w:rPr>
          <w:rFonts w:eastAsiaTheme="minorEastAsia" w:cstheme="minorBidi"/>
          <w:sz w:val="24"/>
          <w:szCs w:val="24"/>
        </w:rPr>
        <w:t xml:space="preserve"> </w:t>
      </w:r>
      <w:r w:rsidRPr="00A565EE">
        <w:rPr>
          <w:rFonts w:eastAsiaTheme="minorEastAsia" w:cstheme="minorBidi"/>
          <w:sz w:val="24"/>
          <w:szCs w:val="24"/>
        </w:rPr>
        <w:t xml:space="preserve">and ICT4D applications, enabling environment for ICT applications development, </w:t>
      </w:r>
      <w:r w:rsidR="00C04CC0">
        <w:rPr>
          <w:rFonts w:eastAsiaTheme="minorEastAsia" w:cstheme="minorBidi"/>
          <w:sz w:val="24"/>
          <w:szCs w:val="24"/>
        </w:rPr>
        <w:t>o</w:t>
      </w:r>
      <w:r w:rsidR="00C04CC0" w:rsidRPr="00C04CC0">
        <w:rPr>
          <w:rFonts w:eastAsiaTheme="minorEastAsia" w:cstheme="minorBidi"/>
          <w:sz w:val="24"/>
          <w:szCs w:val="24"/>
        </w:rPr>
        <w:t>ver-the-top (OTT) services</w:t>
      </w:r>
      <w:r w:rsidRPr="00A565EE">
        <w:rPr>
          <w:rFonts w:eastAsiaTheme="minorEastAsia" w:cstheme="minorBidi"/>
          <w:sz w:val="24"/>
          <w:szCs w:val="24"/>
        </w:rPr>
        <w:t xml:space="preserve">, </w:t>
      </w:r>
      <w:r w:rsidR="00C04CC0" w:rsidRPr="00C04CC0">
        <w:rPr>
          <w:rFonts w:eastAsiaTheme="minorEastAsia" w:cstheme="minorBidi"/>
          <w:sz w:val="24"/>
          <w:szCs w:val="24"/>
        </w:rPr>
        <w:t>child online protection</w:t>
      </w:r>
      <w:r w:rsidRPr="00A565EE">
        <w:rPr>
          <w:rFonts w:eastAsiaTheme="minorEastAsia" w:cstheme="minorBidi"/>
          <w:sz w:val="24"/>
          <w:szCs w:val="24"/>
        </w:rPr>
        <w:t xml:space="preserve">, </w:t>
      </w:r>
      <w:r w:rsidR="00C04CC0">
        <w:rPr>
          <w:rFonts w:eastAsiaTheme="minorEastAsia" w:cstheme="minorBidi"/>
          <w:sz w:val="24"/>
          <w:szCs w:val="24"/>
        </w:rPr>
        <w:t>c</w:t>
      </w:r>
      <w:r w:rsidR="00C04CC0" w:rsidRPr="00A565EE">
        <w:rPr>
          <w:rFonts w:eastAsiaTheme="minorEastAsia" w:cstheme="minorBidi"/>
          <w:sz w:val="24"/>
          <w:szCs w:val="24"/>
        </w:rPr>
        <w:t xml:space="preserve">onformance </w:t>
      </w:r>
      <w:r w:rsidRPr="00A565EE">
        <w:rPr>
          <w:rFonts w:eastAsiaTheme="minorEastAsia" w:cstheme="minorBidi"/>
          <w:sz w:val="24"/>
          <w:szCs w:val="24"/>
        </w:rPr>
        <w:t xml:space="preserve">and </w:t>
      </w:r>
      <w:r w:rsidR="00C04CC0">
        <w:rPr>
          <w:rFonts w:eastAsiaTheme="minorEastAsia" w:cstheme="minorBidi"/>
          <w:sz w:val="24"/>
          <w:szCs w:val="24"/>
        </w:rPr>
        <w:t>i</w:t>
      </w:r>
      <w:r w:rsidR="00C04CC0" w:rsidRPr="00A565EE">
        <w:rPr>
          <w:rFonts w:eastAsiaTheme="minorEastAsia" w:cstheme="minorBidi"/>
          <w:sz w:val="24"/>
          <w:szCs w:val="24"/>
        </w:rPr>
        <w:t>nteroperability</w:t>
      </w:r>
      <w:r w:rsidRPr="00A565EE">
        <w:rPr>
          <w:rFonts w:eastAsiaTheme="minorEastAsia" w:cstheme="minorBidi"/>
          <w:sz w:val="24"/>
          <w:szCs w:val="24"/>
        </w:rPr>
        <w:t xml:space="preserve">, </w:t>
      </w:r>
      <w:r w:rsidR="00C04CC0">
        <w:rPr>
          <w:rFonts w:eastAsiaTheme="minorEastAsia" w:cstheme="minorBidi"/>
          <w:sz w:val="24"/>
          <w:szCs w:val="24"/>
        </w:rPr>
        <w:t>c</w:t>
      </w:r>
      <w:r w:rsidR="00C04CC0" w:rsidRPr="00A565EE">
        <w:rPr>
          <w:rFonts w:eastAsiaTheme="minorEastAsia" w:cstheme="minorBidi"/>
          <w:sz w:val="24"/>
          <w:szCs w:val="24"/>
        </w:rPr>
        <w:t xml:space="preserve">loud </w:t>
      </w:r>
      <w:r w:rsidR="00C04CC0">
        <w:rPr>
          <w:rFonts w:eastAsiaTheme="minorEastAsia" w:cstheme="minorBidi"/>
          <w:sz w:val="24"/>
          <w:szCs w:val="24"/>
        </w:rPr>
        <w:t>c</w:t>
      </w:r>
      <w:r w:rsidR="00C04CC0" w:rsidRPr="00A565EE">
        <w:rPr>
          <w:rFonts w:eastAsiaTheme="minorEastAsia" w:cstheme="minorBidi"/>
          <w:sz w:val="24"/>
          <w:szCs w:val="24"/>
        </w:rPr>
        <w:t>omputing</w:t>
      </w:r>
      <w:r w:rsidRPr="00A565EE">
        <w:rPr>
          <w:rFonts w:eastAsiaTheme="minorEastAsia" w:cstheme="minorBidi"/>
          <w:sz w:val="24"/>
          <w:szCs w:val="24"/>
        </w:rPr>
        <w:t xml:space="preserve">, </w:t>
      </w:r>
      <w:r w:rsidR="00C04CC0">
        <w:rPr>
          <w:rFonts w:eastAsiaTheme="minorEastAsia" w:cstheme="minorBidi"/>
          <w:sz w:val="24"/>
          <w:szCs w:val="24"/>
        </w:rPr>
        <w:t>s</w:t>
      </w:r>
      <w:r w:rsidR="00C04CC0" w:rsidRPr="00A565EE">
        <w:rPr>
          <w:rFonts w:eastAsiaTheme="minorEastAsia" w:cstheme="minorBidi"/>
          <w:sz w:val="24"/>
          <w:szCs w:val="24"/>
        </w:rPr>
        <w:t xml:space="preserve">mart </w:t>
      </w:r>
      <w:r w:rsidR="00C04CC0">
        <w:rPr>
          <w:rFonts w:eastAsiaTheme="minorEastAsia" w:cstheme="minorBidi"/>
          <w:sz w:val="24"/>
          <w:szCs w:val="24"/>
        </w:rPr>
        <w:t>l</w:t>
      </w:r>
      <w:r w:rsidR="00C04CC0" w:rsidRPr="00A565EE">
        <w:rPr>
          <w:rFonts w:eastAsiaTheme="minorEastAsia" w:cstheme="minorBidi"/>
          <w:sz w:val="24"/>
          <w:szCs w:val="24"/>
        </w:rPr>
        <w:t>earning</w:t>
      </w:r>
      <w:r w:rsidRPr="00A565EE">
        <w:rPr>
          <w:rFonts w:eastAsiaTheme="minorEastAsia" w:cstheme="minorBidi"/>
          <w:sz w:val="24"/>
          <w:szCs w:val="24"/>
        </w:rPr>
        <w:t xml:space="preserve">, </w:t>
      </w:r>
      <w:r w:rsidR="00C04CC0">
        <w:rPr>
          <w:rFonts w:eastAsiaTheme="minorEastAsia" w:cstheme="minorBidi"/>
          <w:sz w:val="24"/>
          <w:szCs w:val="24"/>
        </w:rPr>
        <w:t>s</w:t>
      </w:r>
      <w:r w:rsidR="00C04CC0" w:rsidRPr="00A565EE">
        <w:rPr>
          <w:rFonts w:eastAsiaTheme="minorEastAsia" w:cstheme="minorBidi"/>
          <w:sz w:val="24"/>
          <w:szCs w:val="24"/>
        </w:rPr>
        <w:t xml:space="preserve">mart </w:t>
      </w:r>
      <w:r w:rsidR="005C0AD5" w:rsidRPr="00A565EE">
        <w:rPr>
          <w:rFonts w:eastAsiaTheme="minorEastAsia" w:cstheme="minorBidi"/>
          <w:sz w:val="24"/>
          <w:szCs w:val="24"/>
        </w:rPr>
        <w:t xml:space="preserve">and </w:t>
      </w:r>
      <w:r w:rsidR="00C04CC0">
        <w:rPr>
          <w:rFonts w:eastAsiaTheme="minorEastAsia" w:cstheme="minorBidi"/>
          <w:sz w:val="24"/>
          <w:szCs w:val="24"/>
        </w:rPr>
        <w:t>s</w:t>
      </w:r>
      <w:r w:rsidR="00C04CC0" w:rsidRPr="00A565EE">
        <w:rPr>
          <w:rFonts w:eastAsiaTheme="minorEastAsia" w:cstheme="minorBidi"/>
          <w:sz w:val="24"/>
          <w:szCs w:val="24"/>
        </w:rPr>
        <w:t xml:space="preserve">ustainable </w:t>
      </w:r>
      <w:r w:rsidR="00C04CC0">
        <w:rPr>
          <w:rFonts w:eastAsiaTheme="minorEastAsia" w:cstheme="minorBidi"/>
          <w:sz w:val="24"/>
          <w:szCs w:val="24"/>
        </w:rPr>
        <w:t>d</w:t>
      </w:r>
      <w:r w:rsidR="00C04CC0" w:rsidRPr="00A565EE">
        <w:rPr>
          <w:rFonts w:eastAsiaTheme="minorEastAsia" w:cstheme="minorBidi"/>
          <w:sz w:val="24"/>
          <w:szCs w:val="24"/>
        </w:rPr>
        <w:t>evelopment</w:t>
      </w:r>
      <w:r w:rsidR="005C0AD5" w:rsidRPr="00A565EE">
        <w:rPr>
          <w:rFonts w:eastAsiaTheme="minorEastAsia" w:cstheme="minorBidi"/>
          <w:sz w:val="24"/>
          <w:szCs w:val="24"/>
        </w:rPr>
        <w:t xml:space="preserve">, </w:t>
      </w:r>
      <w:r w:rsidRPr="00A565EE">
        <w:rPr>
          <w:rFonts w:eastAsiaTheme="minorEastAsia" w:cstheme="minorBidi"/>
          <w:sz w:val="24"/>
          <w:szCs w:val="24"/>
        </w:rPr>
        <w:t xml:space="preserve">ICT </w:t>
      </w:r>
      <w:r w:rsidR="00C04CC0">
        <w:rPr>
          <w:rFonts w:eastAsiaTheme="minorEastAsia" w:cstheme="minorBidi"/>
          <w:sz w:val="24"/>
          <w:szCs w:val="24"/>
        </w:rPr>
        <w:t>a</w:t>
      </w:r>
      <w:r w:rsidR="00C04CC0" w:rsidRPr="00A565EE">
        <w:rPr>
          <w:rFonts w:eastAsiaTheme="minorEastAsia" w:cstheme="minorBidi"/>
          <w:sz w:val="24"/>
          <w:szCs w:val="24"/>
        </w:rPr>
        <w:t>ccessibility</w:t>
      </w:r>
      <w:r w:rsidRPr="00A565EE">
        <w:rPr>
          <w:rFonts w:eastAsiaTheme="minorEastAsia" w:cstheme="minorBidi"/>
          <w:sz w:val="24"/>
          <w:szCs w:val="24"/>
        </w:rPr>
        <w:t xml:space="preserve">, </w:t>
      </w:r>
      <w:r w:rsidR="00C04CC0">
        <w:rPr>
          <w:rFonts w:eastAsiaTheme="minorEastAsia" w:cstheme="minorBidi"/>
          <w:sz w:val="24"/>
          <w:szCs w:val="24"/>
        </w:rPr>
        <w:t>n</w:t>
      </w:r>
      <w:r w:rsidR="00C04CC0" w:rsidRPr="00A565EE">
        <w:rPr>
          <w:rFonts w:eastAsiaTheme="minorEastAsia" w:cstheme="minorBidi"/>
          <w:sz w:val="24"/>
          <w:szCs w:val="24"/>
        </w:rPr>
        <w:t xml:space="preserve">ew </w:t>
      </w:r>
      <w:r w:rsidR="00C04CC0">
        <w:rPr>
          <w:rFonts w:eastAsiaTheme="minorEastAsia" w:cstheme="minorBidi"/>
          <w:sz w:val="24"/>
          <w:szCs w:val="24"/>
        </w:rPr>
        <w:t>t</w:t>
      </w:r>
      <w:r w:rsidR="00C04CC0" w:rsidRPr="00A565EE">
        <w:rPr>
          <w:rFonts w:eastAsiaTheme="minorEastAsia" w:cstheme="minorBidi"/>
          <w:sz w:val="24"/>
          <w:szCs w:val="24"/>
        </w:rPr>
        <w:t xml:space="preserve">echnologies </w:t>
      </w:r>
      <w:r w:rsidRPr="00A565EE">
        <w:rPr>
          <w:rFonts w:eastAsiaTheme="minorEastAsia" w:cstheme="minorBidi"/>
          <w:sz w:val="24"/>
          <w:szCs w:val="24"/>
        </w:rPr>
        <w:t xml:space="preserve">for </w:t>
      </w:r>
      <w:r w:rsidR="00C04CC0">
        <w:rPr>
          <w:rFonts w:eastAsiaTheme="minorEastAsia" w:cstheme="minorBidi"/>
          <w:sz w:val="24"/>
          <w:szCs w:val="24"/>
        </w:rPr>
        <w:t>d</w:t>
      </w:r>
      <w:r w:rsidR="00C04CC0" w:rsidRPr="00A565EE">
        <w:rPr>
          <w:rFonts w:eastAsiaTheme="minorEastAsia" w:cstheme="minorBidi"/>
          <w:sz w:val="24"/>
          <w:szCs w:val="24"/>
        </w:rPr>
        <w:t>evelopment</w:t>
      </w:r>
      <w:r w:rsidR="005C0AD5" w:rsidRPr="00A565EE">
        <w:rPr>
          <w:rFonts w:eastAsiaTheme="minorEastAsia" w:cstheme="minorBidi"/>
          <w:sz w:val="24"/>
          <w:szCs w:val="24"/>
        </w:rPr>
        <w:t xml:space="preserve">, VSAT and </w:t>
      </w:r>
      <w:r w:rsidR="00C04CC0">
        <w:rPr>
          <w:rFonts w:eastAsiaTheme="minorEastAsia" w:cstheme="minorBidi"/>
          <w:sz w:val="24"/>
          <w:szCs w:val="24"/>
        </w:rPr>
        <w:t>s</w:t>
      </w:r>
      <w:r w:rsidR="00C04CC0" w:rsidRPr="00A565EE">
        <w:rPr>
          <w:rFonts w:eastAsiaTheme="minorEastAsia" w:cstheme="minorBidi"/>
          <w:sz w:val="24"/>
          <w:szCs w:val="24"/>
        </w:rPr>
        <w:t xml:space="preserve">atellite </w:t>
      </w:r>
      <w:r w:rsidR="00C04CC0">
        <w:rPr>
          <w:rFonts w:eastAsiaTheme="minorEastAsia" w:cstheme="minorBidi"/>
          <w:sz w:val="24"/>
          <w:szCs w:val="24"/>
        </w:rPr>
        <w:t>s</w:t>
      </w:r>
      <w:r w:rsidR="00C04CC0" w:rsidRPr="00A565EE">
        <w:rPr>
          <w:rFonts w:eastAsiaTheme="minorEastAsia" w:cstheme="minorBidi"/>
          <w:sz w:val="24"/>
          <w:szCs w:val="24"/>
        </w:rPr>
        <w:t>ystems</w:t>
      </w:r>
      <w:r w:rsidR="005C0AD5" w:rsidRPr="00A565EE">
        <w:rPr>
          <w:rFonts w:eastAsiaTheme="minorEastAsia" w:cstheme="minorBidi"/>
          <w:sz w:val="24"/>
          <w:szCs w:val="24"/>
        </w:rPr>
        <w:t>,</w:t>
      </w:r>
      <w:r w:rsidRPr="00A565EE">
        <w:rPr>
          <w:rFonts w:eastAsiaTheme="minorEastAsia" w:cstheme="minorBidi"/>
          <w:sz w:val="24"/>
          <w:szCs w:val="24"/>
        </w:rPr>
        <w:t xml:space="preserve"> </w:t>
      </w:r>
      <w:r w:rsidR="005C0AD5" w:rsidRPr="00A565EE">
        <w:rPr>
          <w:rFonts w:eastAsiaTheme="minorEastAsia" w:cstheme="minorBidi"/>
          <w:sz w:val="24"/>
          <w:szCs w:val="24"/>
        </w:rPr>
        <w:t xml:space="preserve">IPv6, </w:t>
      </w:r>
      <w:r w:rsidRPr="00A565EE">
        <w:rPr>
          <w:rFonts w:eastAsiaTheme="minorEastAsia" w:cstheme="minorBidi"/>
          <w:sz w:val="24"/>
          <w:szCs w:val="24"/>
        </w:rPr>
        <w:t xml:space="preserve">etc.) were organized by the ITU </w:t>
      </w:r>
      <w:r w:rsidR="00753EDA">
        <w:rPr>
          <w:rFonts w:eastAsiaTheme="minorEastAsia" w:cstheme="minorBidi"/>
          <w:sz w:val="24"/>
          <w:szCs w:val="24"/>
        </w:rPr>
        <w:t>r</w:t>
      </w:r>
      <w:r w:rsidRPr="00A565EE">
        <w:rPr>
          <w:rFonts w:eastAsiaTheme="minorEastAsia" w:cstheme="minorBidi"/>
          <w:sz w:val="24"/>
          <w:szCs w:val="24"/>
        </w:rPr>
        <w:t xml:space="preserve">egional </w:t>
      </w:r>
      <w:r w:rsidR="00753EDA">
        <w:rPr>
          <w:rFonts w:eastAsiaTheme="minorEastAsia" w:cstheme="minorBidi"/>
          <w:sz w:val="24"/>
          <w:szCs w:val="24"/>
        </w:rPr>
        <w:t>o</w:t>
      </w:r>
      <w:r w:rsidRPr="00A565EE">
        <w:rPr>
          <w:rFonts w:eastAsiaTheme="minorEastAsia" w:cstheme="minorBidi"/>
          <w:sz w:val="24"/>
          <w:szCs w:val="24"/>
        </w:rPr>
        <w:t>ffice for the Arab States in cooperation with various stakeholders</w:t>
      </w:r>
      <w:r w:rsidR="00343828" w:rsidRPr="00A565EE">
        <w:rPr>
          <w:rFonts w:eastAsiaTheme="minorEastAsia" w:cstheme="minorBidi"/>
          <w:sz w:val="24"/>
          <w:szCs w:val="24"/>
        </w:rPr>
        <w:t xml:space="preserve"> (</w:t>
      </w:r>
      <w:r w:rsidRPr="00A565EE">
        <w:rPr>
          <w:rFonts w:eastAsiaTheme="minorEastAsia" w:cstheme="minorBidi"/>
          <w:sz w:val="24"/>
          <w:szCs w:val="24"/>
        </w:rPr>
        <w:t xml:space="preserve">World Bank, ITSO, UNESCWA, ARTECNET, AREGNET, ARCC, Telecommunications Regulatory Authority of the United Arab Emirates, </w:t>
      </w:r>
      <w:r w:rsidR="005C0AD5" w:rsidRPr="00A565EE">
        <w:rPr>
          <w:rFonts w:eastAsiaTheme="minorEastAsia" w:cstheme="minorBidi"/>
          <w:sz w:val="24"/>
          <w:szCs w:val="24"/>
        </w:rPr>
        <w:t xml:space="preserve">NTC of Sudan, SUDACAD-Sudan, </w:t>
      </w:r>
      <w:r w:rsidRPr="00A565EE">
        <w:rPr>
          <w:rFonts w:eastAsiaTheme="minorEastAsia" w:cstheme="minorBidi"/>
          <w:sz w:val="24"/>
          <w:szCs w:val="24"/>
        </w:rPr>
        <w:t xml:space="preserve">Ministry of Communication and Information of Egypt, UMA, ALECSO, UNESCO, </w:t>
      </w:r>
      <w:r w:rsidR="00753EDA">
        <w:rPr>
          <w:rFonts w:eastAsiaTheme="minorEastAsia" w:cstheme="minorBidi"/>
          <w:sz w:val="24"/>
          <w:szCs w:val="24"/>
        </w:rPr>
        <w:t>U</w:t>
      </w:r>
      <w:r w:rsidRPr="00A565EE">
        <w:rPr>
          <w:rFonts w:eastAsiaTheme="minorEastAsia" w:cstheme="minorBidi"/>
          <w:sz w:val="24"/>
          <w:szCs w:val="24"/>
        </w:rPr>
        <w:t>niversities in Tunis, Mohamed Bin Rashid Smart Learning Programme</w:t>
      </w:r>
      <w:r w:rsidR="00D95853" w:rsidRPr="00A565EE">
        <w:rPr>
          <w:rFonts w:eastAsiaTheme="minorEastAsia" w:cstheme="minorBidi"/>
          <w:sz w:val="24"/>
          <w:szCs w:val="24"/>
        </w:rPr>
        <w:t>, etc.</w:t>
      </w:r>
      <w:r w:rsidR="00343828" w:rsidRPr="00A565EE">
        <w:rPr>
          <w:rFonts w:eastAsiaTheme="minorEastAsia" w:cstheme="minorBidi"/>
          <w:sz w:val="24"/>
          <w:szCs w:val="24"/>
        </w:rPr>
        <w:t>)</w:t>
      </w:r>
      <w:r w:rsidRPr="00A565EE">
        <w:rPr>
          <w:rFonts w:eastAsiaTheme="minorEastAsia" w:cstheme="minorBidi"/>
          <w:sz w:val="24"/>
          <w:szCs w:val="24"/>
        </w:rPr>
        <w:t>.</w:t>
      </w:r>
      <w:r w:rsidR="00D95853" w:rsidRPr="00A565EE">
        <w:rPr>
          <w:sz w:val="24"/>
          <w:szCs w:val="24"/>
        </w:rPr>
        <w:t xml:space="preserve"> </w:t>
      </w:r>
    </w:p>
    <w:p w14:paraId="284BB308" w14:textId="2DCA9A6E" w:rsidR="005C0AD5" w:rsidRPr="00A565EE" w:rsidRDefault="00D95853">
      <w:pPr>
        <w:pStyle w:val="CEONormal"/>
        <w:spacing w:after="0"/>
        <w:rPr>
          <w:sz w:val="24"/>
          <w:szCs w:val="24"/>
        </w:rPr>
      </w:pPr>
      <w:r w:rsidRPr="00A565EE">
        <w:rPr>
          <w:sz w:val="24"/>
          <w:szCs w:val="24"/>
        </w:rPr>
        <w:t>In addition, s</w:t>
      </w:r>
      <w:r w:rsidR="005C0AD5" w:rsidRPr="00A565EE">
        <w:rPr>
          <w:sz w:val="24"/>
          <w:szCs w:val="24"/>
        </w:rPr>
        <w:t xml:space="preserve">ince 2013, </w:t>
      </w:r>
      <w:r w:rsidRPr="00A565EE">
        <w:rPr>
          <w:sz w:val="24"/>
          <w:szCs w:val="24"/>
        </w:rPr>
        <w:t xml:space="preserve">two </w:t>
      </w:r>
      <w:r w:rsidR="00C04CC0">
        <w:rPr>
          <w:sz w:val="24"/>
          <w:szCs w:val="24"/>
        </w:rPr>
        <w:t>important annual</w:t>
      </w:r>
      <w:r w:rsidR="00C04CC0" w:rsidRPr="00A565EE">
        <w:rPr>
          <w:sz w:val="24"/>
          <w:szCs w:val="24"/>
        </w:rPr>
        <w:t xml:space="preserve"> </w:t>
      </w:r>
      <w:r w:rsidRPr="00A565EE">
        <w:rPr>
          <w:sz w:val="24"/>
          <w:szCs w:val="24"/>
        </w:rPr>
        <w:t xml:space="preserve">cybersecurity events (the Regional Cybersecurity Summit and the Regional Cyber Drill) are being organized by the </w:t>
      </w:r>
      <w:r w:rsidR="005C0AD5" w:rsidRPr="00A565EE">
        <w:rPr>
          <w:sz w:val="24"/>
          <w:szCs w:val="24"/>
        </w:rPr>
        <w:t xml:space="preserve">ITU </w:t>
      </w:r>
      <w:r w:rsidR="00753EDA">
        <w:rPr>
          <w:sz w:val="24"/>
          <w:szCs w:val="24"/>
        </w:rPr>
        <w:t>r</w:t>
      </w:r>
      <w:r w:rsidR="005C0AD5" w:rsidRPr="00A565EE">
        <w:rPr>
          <w:sz w:val="24"/>
          <w:szCs w:val="24"/>
        </w:rPr>
        <w:t xml:space="preserve">egional </w:t>
      </w:r>
      <w:r w:rsidR="00753EDA">
        <w:rPr>
          <w:sz w:val="24"/>
          <w:szCs w:val="24"/>
        </w:rPr>
        <w:t>o</w:t>
      </w:r>
      <w:r w:rsidR="005C0AD5" w:rsidRPr="00A565EE">
        <w:rPr>
          <w:sz w:val="24"/>
          <w:szCs w:val="24"/>
        </w:rPr>
        <w:t xml:space="preserve">ffice for </w:t>
      </w:r>
      <w:r w:rsidRPr="00A565EE">
        <w:rPr>
          <w:sz w:val="24"/>
          <w:szCs w:val="24"/>
        </w:rPr>
        <w:t xml:space="preserve">the </w:t>
      </w:r>
      <w:r w:rsidR="005C0AD5" w:rsidRPr="00A565EE">
        <w:rPr>
          <w:sz w:val="24"/>
          <w:szCs w:val="24"/>
        </w:rPr>
        <w:t>Arab States in partnership with the ITU-ARCC.</w:t>
      </w:r>
    </w:p>
    <w:p w14:paraId="0DD8B116" w14:textId="6741D9F5" w:rsidR="00DD461E" w:rsidRPr="00A565EE" w:rsidRDefault="00C97BA6">
      <w:pPr>
        <w:pStyle w:val="CEONormal"/>
        <w:spacing w:after="0"/>
        <w:rPr>
          <w:sz w:val="24"/>
          <w:szCs w:val="24"/>
          <w:lang w:eastAsia="zh-CN"/>
        </w:rPr>
      </w:pPr>
      <w:r w:rsidRPr="00A565EE">
        <w:rPr>
          <w:rFonts w:eastAsiaTheme="minorEastAsia" w:cstheme="minorBidi"/>
          <w:sz w:val="24"/>
          <w:szCs w:val="24"/>
        </w:rPr>
        <w:t xml:space="preserve">In 2016, </w:t>
      </w:r>
      <w:r w:rsidR="00DD461E" w:rsidRPr="00A565EE">
        <w:rPr>
          <w:rFonts w:eastAsiaTheme="minorEastAsia" w:cstheme="minorBidi"/>
          <w:sz w:val="24"/>
          <w:szCs w:val="24"/>
        </w:rPr>
        <w:t xml:space="preserve">ITU signed </w:t>
      </w:r>
      <w:r w:rsidRPr="00A565EE">
        <w:rPr>
          <w:rFonts w:eastAsiaTheme="minorEastAsia" w:cstheme="minorBidi"/>
          <w:sz w:val="24"/>
          <w:szCs w:val="24"/>
        </w:rPr>
        <w:t xml:space="preserve">two </w:t>
      </w:r>
      <w:r w:rsidR="00DD461E" w:rsidRPr="00A565EE">
        <w:rPr>
          <w:rFonts w:eastAsiaTheme="minorEastAsia" w:cstheme="minorBidi"/>
          <w:sz w:val="24"/>
          <w:szCs w:val="24"/>
        </w:rPr>
        <w:t>cooperation agreement</w:t>
      </w:r>
      <w:r w:rsidRPr="00A565EE">
        <w:rPr>
          <w:rFonts w:eastAsiaTheme="minorEastAsia" w:cstheme="minorBidi"/>
          <w:sz w:val="24"/>
          <w:szCs w:val="24"/>
        </w:rPr>
        <w:t>s</w:t>
      </w:r>
      <w:r w:rsidR="00DD461E" w:rsidRPr="00A565EE">
        <w:rPr>
          <w:rFonts w:eastAsiaTheme="minorEastAsia" w:cstheme="minorBidi"/>
          <w:sz w:val="24"/>
          <w:szCs w:val="24"/>
        </w:rPr>
        <w:t xml:space="preserve"> with MCIT Egypt</w:t>
      </w:r>
      <w:r w:rsidRPr="00A565EE">
        <w:rPr>
          <w:rFonts w:eastAsiaTheme="minorEastAsia" w:cstheme="minorBidi"/>
          <w:sz w:val="24"/>
          <w:szCs w:val="24"/>
        </w:rPr>
        <w:t xml:space="preserve">, one </w:t>
      </w:r>
      <w:r w:rsidR="00DD461E" w:rsidRPr="00A565EE">
        <w:rPr>
          <w:rFonts w:eastAsiaTheme="minorEastAsia" w:cstheme="minorBidi"/>
          <w:sz w:val="24"/>
          <w:szCs w:val="24"/>
        </w:rPr>
        <w:t>to</w:t>
      </w:r>
      <w:r w:rsidRPr="00A565EE">
        <w:rPr>
          <w:rFonts w:eastAsiaTheme="minorEastAsia" w:cstheme="minorBidi"/>
          <w:sz w:val="24"/>
          <w:szCs w:val="24"/>
        </w:rPr>
        <w:t xml:space="preserve"> </w:t>
      </w:r>
      <w:r w:rsidR="00DD461E" w:rsidRPr="00A565EE">
        <w:rPr>
          <w:rFonts w:eastAsiaTheme="minorEastAsia" w:cstheme="minorBidi"/>
          <w:sz w:val="24"/>
          <w:szCs w:val="24"/>
        </w:rPr>
        <w:t>establish a regional cent</w:t>
      </w:r>
      <w:r w:rsidR="00C04CC0">
        <w:rPr>
          <w:rFonts w:eastAsiaTheme="minorEastAsia" w:cstheme="minorBidi"/>
          <w:sz w:val="24"/>
          <w:szCs w:val="24"/>
        </w:rPr>
        <w:t>re</w:t>
      </w:r>
      <w:r w:rsidR="00DD461E" w:rsidRPr="00A565EE">
        <w:rPr>
          <w:rFonts w:eastAsiaTheme="minorEastAsia" w:cstheme="minorBidi"/>
          <w:sz w:val="24"/>
          <w:szCs w:val="24"/>
        </w:rPr>
        <w:t xml:space="preserve"> for ICT </w:t>
      </w:r>
      <w:r w:rsidR="00C04CC0">
        <w:rPr>
          <w:rFonts w:eastAsiaTheme="minorEastAsia" w:cstheme="minorBidi"/>
          <w:sz w:val="24"/>
          <w:szCs w:val="24"/>
        </w:rPr>
        <w:t>a</w:t>
      </w:r>
      <w:r w:rsidR="00C04CC0" w:rsidRPr="00A565EE">
        <w:rPr>
          <w:rFonts w:eastAsiaTheme="minorEastAsia" w:cstheme="minorBidi"/>
          <w:sz w:val="24"/>
          <w:szCs w:val="24"/>
        </w:rPr>
        <w:t xml:space="preserve">ccessibility </w:t>
      </w:r>
      <w:r w:rsidR="00DD461E" w:rsidRPr="00A565EE">
        <w:rPr>
          <w:rFonts w:eastAsiaTheme="minorEastAsia" w:cstheme="minorBidi"/>
          <w:sz w:val="24"/>
          <w:szCs w:val="24"/>
        </w:rPr>
        <w:t xml:space="preserve">for </w:t>
      </w:r>
      <w:r w:rsidR="00C04CC0">
        <w:rPr>
          <w:rFonts w:eastAsiaTheme="minorEastAsia" w:cstheme="minorBidi"/>
          <w:sz w:val="24"/>
          <w:szCs w:val="24"/>
        </w:rPr>
        <w:t>p</w:t>
      </w:r>
      <w:r w:rsidR="00C04CC0" w:rsidRPr="00A565EE">
        <w:rPr>
          <w:rFonts w:eastAsiaTheme="minorEastAsia" w:cstheme="minorBidi"/>
          <w:sz w:val="24"/>
          <w:szCs w:val="24"/>
        </w:rPr>
        <w:t xml:space="preserve">ersons </w:t>
      </w:r>
      <w:r w:rsidR="00DD461E" w:rsidRPr="00A565EE">
        <w:rPr>
          <w:rFonts w:eastAsiaTheme="minorEastAsia" w:cstheme="minorBidi"/>
          <w:sz w:val="24"/>
          <w:szCs w:val="24"/>
        </w:rPr>
        <w:t xml:space="preserve">with </w:t>
      </w:r>
      <w:r w:rsidR="001D2CB2">
        <w:rPr>
          <w:rFonts w:eastAsiaTheme="minorEastAsia" w:cstheme="minorBidi"/>
          <w:sz w:val="24"/>
          <w:szCs w:val="24"/>
        </w:rPr>
        <w:t>d</w:t>
      </w:r>
      <w:r w:rsidR="00C04CC0" w:rsidRPr="00A565EE">
        <w:rPr>
          <w:rFonts w:eastAsiaTheme="minorEastAsia" w:cstheme="minorBidi"/>
          <w:sz w:val="24"/>
          <w:szCs w:val="24"/>
        </w:rPr>
        <w:t xml:space="preserve">isabilities </w:t>
      </w:r>
      <w:r w:rsidRPr="00A565EE">
        <w:rPr>
          <w:rFonts w:eastAsiaTheme="minorEastAsia" w:cstheme="minorBidi"/>
          <w:sz w:val="24"/>
          <w:szCs w:val="24"/>
        </w:rPr>
        <w:t xml:space="preserve">and one to </w:t>
      </w:r>
      <w:r w:rsidR="00DD461E" w:rsidRPr="00A565EE">
        <w:rPr>
          <w:rFonts w:eastAsiaTheme="minorEastAsia" w:cstheme="minorBidi"/>
          <w:sz w:val="24"/>
          <w:szCs w:val="24"/>
        </w:rPr>
        <w:t xml:space="preserve">implement a project on </w:t>
      </w:r>
      <w:r w:rsidR="00C04CC0">
        <w:rPr>
          <w:rFonts w:eastAsiaTheme="minorEastAsia" w:cstheme="minorBidi"/>
          <w:sz w:val="24"/>
          <w:szCs w:val="24"/>
        </w:rPr>
        <w:t>s</w:t>
      </w:r>
      <w:r w:rsidR="00C04CC0" w:rsidRPr="00A565EE">
        <w:rPr>
          <w:rFonts w:eastAsiaTheme="minorEastAsia" w:cstheme="minorBidi"/>
          <w:sz w:val="24"/>
          <w:szCs w:val="24"/>
        </w:rPr>
        <w:t xml:space="preserve">mart </w:t>
      </w:r>
      <w:r w:rsidR="00C04CC0">
        <w:rPr>
          <w:rFonts w:eastAsiaTheme="minorEastAsia" w:cstheme="minorBidi"/>
          <w:sz w:val="24"/>
          <w:szCs w:val="24"/>
        </w:rPr>
        <w:t>g</w:t>
      </w:r>
      <w:r w:rsidR="00C04CC0" w:rsidRPr="00A565EE">
        <w:rPr>
          <w:rFonts w:eastAsiaTheme="minorEastAsia" w:cstheme="minorBidi"/>
          <w:sz w:val="24"/>
          <w:szCs w:val="24"/>
        </w:rPr>
        <w:t xml:space="preserve">roundwater </w:t>
      </w:r>
      <w:r w:rsidR="00C04CC0">
        <w:rPr>
          <w:rFonts w:eastAsiaTheme="minorEastAsia" w:cstheme="minorBidi"/>
          <w:sz w:val="24"/>
          <w:szCs w:val="24"/>
        </w:rPr>
        <w:t>m</w:t>
      </w:r>
      <w:r w:rsidR="00C04CC0" w:rsidRPr="00A565EE">
        <w:rPr>
          <w:rFonts w:eastAsiaTheme="minorEastAsia" w:cstheme="minorBidi"/>
          <w:sz w:val="24"/>
          <w:szCs w:val="24"/>
        </w:rPr>
        <w:t xml:space="preserve">anagement </w:t>
      </w:r>
      <w:r w:rsidR="00DD461E" w:rsidRPr="00A565EE">
        <w:rPr>
          <w:rFonts w:eastAsiaTheme="minorEastAsia" w:cstheme="minorBidi"/>
          <w:sz w:val="24"/>
          <w:szCs w:val="24"/>
        </w:rPr>
        <w:t xml:space="preserve">in Egypt. </w:t>
      </w:r>
      <w:r w:rsidR="005C0AD5" w:rsidRPr="00A565EE">
        <w:rPr>
          <w:rFonts w:eastAsiaTheme="minorEastAsia" w:cstheme="minorBidi"/>
          <w:sz w:val="24"/>
          <w:szCs w:val="24"/>
        </w:rPr>
        <w:t xml:space="preserve">Also, </w:t>
      </w:r>
      <w:r w:rsidR="00DD461E" w:rsidRPr="00A565EE">
        <w:rPr>
          <w:rFonts w:eastAsiaTheme="minorEastAsia" w:cstheme="minorBidi"/>
          <w:sz w:val="24"/>
          <w:szCs w:val="24"/>
        </w:rPr>
        <w:t xml:space="preserve">a cooperation agreement </w:t>
      </w:r>
      <w:r w:rsidRPr="00A565EE">
        <w:rPr>
          <w:rFonts w:eastAsiaTheme="minorEastAsia" w:cstheme="minorBidi"/>
          <w:sz w:val="24"/>
          <w:szCs w:val="24"/>
        </w:rPr>
        <w:t xml:space="preserve">was signed </w:t>
      </w:r>
      <w:r w:rsidR="00DD461E" w:rsidRPr="00A565EE">
        <w:rPr>
          <w:rFonts w:eastAsiaTheme="minorEastAsia" w:cstheme="minorBidi"/>
          <w:sz w:val="24"/>
          <w:szCs w:val="24"/>
        </w:rPr>
        <w:t>with the Mohamed Bin Rashid Smart Learning Programme and the Telecommunication Regulatory Authority of the U</w:t>
      </w:r>
      <w:r w:rsidRPr="00A565EE">
        <w:rPr>
          <w:rFonts w:eastAsiaTheme="minorEastAsia" w:cstheme="minorBidi"/>
          <w:sz w:val="24"/>
          <w:szCs w:val="24"/>
        </w:rPr>
        <w:t xml:space="preserve">nited Arab Emirates </w:t>
      </w:r>
      <w:r w:rsidR="00DD461E" w:rsidRPr="00A565EE">
        <w:rPr>
          <w:rFonts w:eastAsiaTheme="minorEastAsia" w:cstheme="minorBidi"/>
          <w:sz w:val="24"/>
          <w:szCs w:val="24"/>
        </w:rPr>
        <w:t xml:space="preserve">to conduct capacity building programmes in the field of </w:t>
      </w:r>
      <w:r w:rsidR="0066335F">
        <w:rPr>
          <w:rFonts w:eastAsiaTheme="minorEastAsia" w:cstheme="minorBidi"/>
          <w:sz w:val="24"/>
          <w:szCs w:val="24"/>
        </w:rPr>
        <w:t>s</w:t>
      </w:r>
      <w:r w:rsidR="0066335F" w:rsidRPr="00A565EE">
        <w:rPr>
          <w:rFonts w:eastAsiaTheme="minorEastAsia" w:cstheme="minorBidi"/>
          <w:sz w:val="24"/>
          <w:szCs w:val="24"/>
        </w:rPr>
        <w:t xml:space="preserve">mart </w:t>
      </w:r>
      <w:r w:rsidR="0066335F">
        <w:rPr>
          <w:rFonts w:eastAsiaTheme="minorEastAsia" w:cstheme="minorBidi"/>
          <w:sz w:val="24"/>
          <w:szCs w:val="24"/>
        </w:rPr>
        <w:t>l</w:t>
      </w:r>
      <w:r w:rsidR="0066335F" w:rsidRPr="00A565EE">
        <w:rPr>
          <w:rFonts w:eastAsiaTheme="minorEastAsia" w:cstheme="minorBidi"/>
          <w:sz w:val="24"/>
          <w:szCs w:val="24"/>
        </w:rPr>
        <w:t xml:space="preserve">earning </w:t>
      </w:r>
      <w:r w:rsidR="00DD461E" w:rsidRPr="00A565EE">
        <w:rPr>
          <w:rFonts w:eastAsiaTheme="minorEastAsia" w:cstheme="minorBidi"/>
          <w:sz w:val="24"/>
          <w:szCs w:val="24"/>
        </w:rPr>
        <w:t xml:space="preserve">for countries in the Arab Region.  </w:t>
      </w:r>
    </w:p>
    <w:p w14:paraId="32605778" w14:textId="77777777" w:rsidR="008B5772" w:rsidRPr="00A565EE" w:rsidRDefault="008B5772" w:rsidP="00AA6368">
      <w:pPr>
        <w:pStyle w:val="CEOParagraphabc"/>
        <w:keepNext/>
        <w:numPr>
          <w:ilvl w:val="1"/>
          <w:numId w:val="10"/>
        </w:numPr>
        <w:spacing w:before="240" w:after="0"/>
        <w:ind w:left="567" w:hanging="567"/>
        <w:rPr>
          <w:rFonts w:asciiTheme="minorHAnsi" w:hAnsiTheme="minorHAnsi"/>
          <w:sz w:val="24"/>
          <w:szCs w:val="24"/>
        </w:rPr>
      </w:pPr>
      <w:r w:rsidRPr="00A565EE">
        <w:rPr>
          <w:rFonts w:asciiTheme="minorHAnsi" w:hAnsiTheme="minorHAnsi"/>
          <w:sz w:val="24"/>
          <w:szCs w:val="24"/>
        </w:rPr>
        <w:t>Asia</w:t>
      </w:r>
      <w:r w:rsidR="008212BA" w:rsidRPr="00A565EE">
        <w:rPr>
          <w:rFonts w:asciiTheme="minorHAnsi" w:hAnsiTheme="minorHAnsi"/>
          <w:sz w:val="24"/>
          <w:szCs w:val="24"/>
        </w:rPr>
        <w:t xml:space="preserve"> and the </w:t>
      </w:r>
      <w:r w:rsidRPr="00A565EE">
        <w:rPr>
          <w:rFonts w:asciiTheme="minorHAnsi" w:hAnsiTheme="minorHAnsi"/>
          <w:sz w:val="24"/>
          <w:szCs w:val="24"/>
        </w:rPr>
        <w:t>Pacific</w:t>
      </w:r>
    </w:p>
    <w:p w14:paraId="672CABF2" w14:textId="3BDA84CB" w:rsidR="0054175C" w:rsidRPr="00A565EE" w:rsidRDefault="0054175C" w:rsidP="009E1AEE">
      <w:pPr>
        <w:pStyle w:val="CEONormal"/>
        <w:spacing w:after="0"/>
        <w:rPr>
          <w:rStyle w:val="Hyperlink"/>
          <w:rFonts w:eastAsiaTheme="minorHAnsi" w:cs="Times New Roman"/>
          <w:b/>
          <w:bCs/>
          <w:color w:val="000000"/>
          <w:sz w:val="24"/>
          <w:szCs w:val="24"/>
          <w:u w:val="none"/>
          <w:lang w:val="en-US" w:eastAsia="zh-CN"/>
        </w:rPr>
      </w:pPr>
      <w:r w:rsidRPr="00A565EE">
        <w:rPr>
          <w:rStyle w:val="Hyperlink"/>
          <w:color w:val="000000"/>
          <w:sz w:val="24"/>
          <w:szCs w:val="24"/>
          <w:u w:val="none"/>
          <w:lang w:val="en-US"/>
        </w:rPr>
        <w:t xml:space="preserve">ITU </w:t>
      </w:r>
      <w:r w:rsidR="0066335F">
        <w:rPr>
          <w:rStyle w:val="Hyperlink"/>
          <w:color w:val="000000"/>
          <w:sz w:val="24"/>
          <w:szCs w:val="24"/>
          <w:u w:val="none"/>
          <w:lang w:val="en-US"/>
        </w:rPr>
        <w:t>r</w:t>
      </w:r>
      <w:r w:rsidR="0066335F" w:rsidRPr="00A565EE">
        <w:rPr>
          <w:rStyle w:val="Hyperlink"/>
          <w:color w:val="000000"/>
          <w:sz w:val="24"/>
          <w:szCs w:val="24"/>
          <w:u w:val="none"/>
          <w:lang w:val="en-US"/>
        </w:rPr>
        <w:t xml:space="preserve">egional </w:t>
      </w:r>
      <w:r w:rsidRPr="00A565EE">
        <w:rPr>
          <w:rStyle w:val="Hyperlink"/>
          <w:color w:val="000000"/>
          <w:sz w:val="24"/>
          <w:szCs w:val="24"/>
          <w:u w:val="none"/>
          <w:lang w:val="en-US"/>
        </w:rPr>
        <w:t xml:space="preserve">and </w:t>
      </w:r>
      <w:r w:rsidR="0066335F">
        <w:rPr>
          <w:rStyle w:val="Hyperlink"/>
          <w:color w:val="000000"/>
          <w:sz w:val="24"/>
          <w:szCs w:val="24"/>
          <w:u w:val="none"/>
          <w:lang w:val="en-US"/>
        </w:rPr>
        <w:t>a</w:t>
      </w:r>
      <w:r w:rsidR="0066335F" w:rsidRPr="00A565EE">
        <w:rPr>
          <w:rStyle w:val="Hyperlink"/>
          <w:color w:val="000000"/>
          <w:sz w:val="24"/>
          <w:szCs w:val="24"/>
          <w:u w:val="none"/>
          <w:lang w:val="en-US"/>
        </w:rPr>
        <w:t xml:space="preserve">rea </w:t>
      </w:r>
      <w:r w:rsidR="0066335F">
        <w:rPr>
          <w:rStyle w:val="Hyperlink"/>
          <w:color w:val="000000"/>
          <w:sz w:val="24"/>
          <w:szCs w:val="24"/>
          <w:u w:val="none"/>
          <w:lang w:val="en-US"/>
        </w:rPr>
        <w:t>o</w:t>
      </w:r>
      <w:r w:rsidRPr="00A565EE">
        <w:rPr>
          <w:rStyle w:val="Hyperlink"/>
          <w:color w:val="000000"/>
          <w:sz w:val="24"/>
          <w:szCs w:val="24"/>
          <w:u w:val="none"/>
          <w:lang w:val="en-US"/>
        </w:rPr>
        <w:t xml:space="preserve">ffices </w:t>
      </w:r>
      <w:r w:rsidR="00E86CF1" w:rsidRPr="00A565EE">
        <w:rPr>
          <w:rStyle w:val="Hyperlink"/>
          <w:color w:val="000000"/>
          <w:sz w:val="24"/>
          <w:szCs w:val="24"/>
          <w:u w:val="none"/>
          <w:lang w:val="en-US"/>
        </w:rPr>
        <w:t xml:space="preserve">for </w:t>
      </w:r>
      <w:r w:rsidR="0066335F">
        <w:rPr>
          <w:rStyle w:val="Hyperlink"/>
          <w:color w:val="000000"/>
          <w:sz w:val="24"/>
          <w:szCs w:val="24"/>
          <w:u w:val="none"/>
          <w:lang w:val="en-US"/>
        </w:rPr>
        <w:t xml:space="preserve">the </w:t>
      </w:r>
      <w:r w:rsidR="00E86CF1" w:rsidRPr="00A565EE">
        <w:rPr>
          <w:rStyle w:val="Hyperlink"/>
          <w:color w:val="000000"/>
          <w:sz w:val="24"/>
          <w:szCs w:val="24"/>
          <w:u w:val="none"/>
          <w:lang w:val="en-US"/>
        </w:rPr>
        <w:t>Asia</w:t>
      </w:r>
      <w:r w:rsidR="000F2BCA">
        <w:rPr>
          <w:rStyle w:val="Hyperlink"/>
          <w:color w:val="000000"/>
          <w:sz w:val="24"/>
          <w:szCs w:val="24"/>
          <w:u w:val="none"/>
          <w:lang w:val="en-US"/>
        </w:rPr>
        <w:t>-</w:t>
      </w:r>
      <w:r w:rsidR="00E86CF1" w:rsidRPr="00A565EE">
        <w:rPr>
          <w:rStyle w:val="Hyperlink"/>
          <w:color w:val="000000"/>
          <w:sz w:val="24"/>
          <w:szCs w:val="24"/>
          <w:u w:val="none"/>
          <w:lang w:val="en-US"/>
        </w:rPr>
        <w:t xml:space="preserve">Pacific </w:t>
      </w:r>
      <w:r w:rsidR="0066335F">
        <w:rPr>
          <w:rStyle w:val="Hyperlink"/>
          <w:color w:val="000000"/>
          <w:sz w:val="24"/>
          <w:szCs w:val="24"/>
          <w:u w:val="none"/>
          <w:lang w:val="en-US"/>
        </w:rPr>
        <w:t xml:space="preserve">region </w:t>
      </w:r>
      <w:r w:rsidRPr="00A565EE">
        <w:rPr>
          <w:rStyle w:val="Hyperlink"/>
          <w:color w:val="000000"/>
          <w:sz w:val="24"/>
          <w:szCs w:val="24"/>
          <w:u w:val="none"/>
          <w:lang w:val="en-US"/>
        </w:rPr>
        <w:t>continued work</w:t>
      </w:r>
      <w:r w:rsidR="0066335F">
        <w:rPr>
          <w:rStyle w:val="Hyperlink"/>
          <w:color w:val="000000"/>
          <w:sz w:val="24"/>
          <w:szCs w:val="24"/>
          <w:u w:val="none"/>
          <w:lang w:val="en-US"/>
        </w:rPr>
        <w:t>ing</w:t>
      </w:r>
      <w:r w:rsidRPr="00A565EE">
        <w:rPr>
          <w:rStyle w:val="Hyperlink"/>
          <w:color w:val="000000"/>
          <w:sz w:val="24"/>
          <w:szCs w:val="24"/>
          <w:u w:val="none"/>
          <w:lang w:val="en-US"/>
        </w:rPr>
        <w:t xml:space="preserve"> with several partners</w:t>
      </w:r>
      <w:r w:rsidR="00753EDA">
        <w:rPr>
          <w:rStyle w:val="Hyperlink"/>
          <w:color w:val="000000"/>
          <w:sz w:val="24"/>
          <w:szCs w:val="24"/>
          <w:u w:val="none"/>
          <w:lang w:val="en-US"/>
        </w:rPr>
        <w:t xml:space="preserve"> </w:t>
      </w:r>
      <w:r w:rsidR="00991752">
        <w:rPr>
          <w:rStyle w:val="Hyperlink"/>
          <w:color w:val="000000"/>
          <w:sz w:val="24"/>
          <w:szCs w:val="24"/>
          <w:u w:val="none"/>
          <w:lang w:val="en-US"/>
        </w:rPr>
        <w:t>in various areas,</w:t>
      </w:r>
      <w:r w:rsidR="0066335F">
        <w:rPr>
          <w:rStyle w:val="Hyperlink"/>
          <w:color w:val="000000"/>
          <w:sz w:val="24"/>
          <w:szCs w:val="24"/>
          <w:u w:val="none"/>
          <w:lang w:val="en-US"/>
        </w:rPr>
        <w:t xml:space="preserve"> including</w:t>
      </w:r>
      <w:r w:rsidRPr="00A565EE">
        <w:rPr>
          <w:rStyle w:val="Hyperlink"/>
          <w:color w:val="000000"/>
          <w:sz w:val="24"/>
          <w:szCs w:val="24"/>
          <w:u w:val="none"/>
          <w:lang w:val="en-US"/>
        </w:rPr>
        <w:t xml:space="preserve"> e-agriculture with FAO, m-Health with WHO, IPv6 and Internet </w:t>
      </w:r>
      <w:r w:rsidR="0066335F">
        <w:rPr>
          <w:rStyle w:val="Hyperlink"/>
          <w:color w:val="000000"/>
          <w:sz w:val="24"/>
          <w:szCs w:val="24"/>
          <w:u w:val="none"/>
          <w:lang w:val="en-US"/>
        </w:rPr>
        <w:t>e</w:t>
      </w:r>
      <w:r w:rsidR="0066335F" w:rsidRPr="00A565EE">
        <w:rPr>
          <w:rStyle w:val="Hyperlink"/>
          <w:color w:val="000000"/>
          <w:sz w:val="24"/>
          <w:szCs w:val="24"/>
          <w:u w:val="none"/>
          <w:lang w:val="en-US"/>
        </w:rPr>
        <w:t xml:space="preserve">xchange </w:t>
      </w:r>
      <w:r w:rsidR="0066335F">
        <w:rPr>
          <w:rStyle w:val="Hyperlink"/>
          <w:color w:val="000000"/>
          <w:sz w:val="24"/>
          <w:szCs w:val="24"/>
          <w:u w:val="none"/>
          <w:lang w:val="en-US"/>
        </w:rPr>
        <w:t>p</w:t>
      </w:r>
      <w:r w:rsidR="0066335F" w:rsidRPr="00A565EE">
        <w:rPr>
          <w:rStyle w:val="Hyperlink"/>
          <w:color w:val="000000"/>
          <w:sz w:val="24"/>
          <w:szCs w:val="24"/>
          <w:u w:val="none"/>
          <w:lang w:val="en-US"/>
        </w:rPr>
        <w:t xml:space="preserve">oints </w:t>
      </w:r>
      <w:r w:rsidR="0066335F">
        <w:rPr>
          <w:rStyle w:val="Hyperlink"/>
          <w:color w:val="000000"/>
          <w:sz w:val="24"/>
          <w:szCs w:val="24"/>
          <w:u w:val="none"/>
          <w:lang w:val="en-US"/>
        </w:rPr>
        <w:t xml:space="preserve">(IXPs) </w:t>
      </w:r>
      <w:r w:rsidRPr="00A565EE">
        <w:rPr>
          <w:rStyle w:val="Hyperlink"/>
          <w:color w:val="000000"/>
          <w:sz w:val="24"/>
          <w:szCs w:val="24"/>
          <w:u w:val="none"/>
          <w:lang w:val="en-US"/>
        </w:rPr>
        <w:t xml:space="preserve">with APNIC, broadcasting with ABU and AIBD, human capacity building with Asia Pacific </w:t>
      </w:r>
      <w:proofErr w:type="spellStart"/>
      <w:r w:rsidRPr="00A565EE">
        <w:rPr>
          <w:rStyle w:val="Hyperlink"/>
          <w:color w:val="000000"/>
          <w:sz w:val="24"/>
          <w:szCs w:val="24"/>
          <w:u w:val="none"/>
          <w:lang w:val="en-US"/>
        </w:rPr>
        <w:t>Telecommunity</w:t>
      </w:r>
      <w:proofErr w:type="spellEnd"/>
      <w:r w:rsidRPr="00A565EE">
        <w:rPr>
          <w:rStyle w:val="Hyperlink"/>
          <w:color w:val="000000"/>
          <w:sz w:val="24"/>
          <w:szCs w:val="24"/>
          <w:u w:val="none"/>
          <w:lang w:val="en-US"/>
        </w:rPr>
        <w:t xml:space="preserve">, and through </w:t>
      </w:r>
      <w:proofErr w:type="spellStart"/>
      <w:r w:rsidR="0066335F">
        <w:rPr>
          <w:rStyle w:val="Hyperlink"/>
          <w:color w:val="000000"/>
          <w:sz w:val="24"/>
          <w:szCs w:val="24"/>
          <w:u w:val="none"/>
          <w:lang w:val="en-US"/>
        </w:rPr>
        <w:t>c</w:t>
      </w:r>
      <w:r w:rsidRPr="00A565EE">
        <w:rPr>
          <w:rStyle w:val="Hyperlink"/>
          <w:color w:val="000000"/>
          <w:sz w:val="24"/>
          <w:szCs w:val="24"/>
          <w:u w:val="none"/>
          <w:lang w:val="en-US"/>
        </w:rPr>
        <w:t>entres</w:t>
      </w:r>
      <w:proofErr w:type="spellEnd"/>
      <w:r w:rsidRPr="00A565EE">
        <w:rPr>
          <w:rStyle w:val="Hyperlink"/>
          <w:color w:val="000000"/>
          <w:sz w:val="24"/>
          <w:szCs w:val="24"/>
          <w:u w:val="none"/>
          <w:lang w:val="en-US"/>
        </w:rPr>
        <w:t xml:space="preserve"> of </w:t>
      </w:r>
      <w:r w:rsidR="0066335F">
        <w:rPr>
          <w:rStyle w:val="Hyperlink"/>
          <w:color w:val="000000"/>
          <w:sz w:val="24"/>
          <w:szCs w:val="24"/>
          <w:u w:val="none"/>
          <w:lang w:val="en-US"/>
        </w:rPr>
        <w:t>e</w:t>
      </w:r>
      <w:r w:rsidRPr="00A565EE">
        <w:rPr>
          <w:rStyle w:val="Hyperlink"/>
          <w:color w:val="000000"/>
          <w:sz w:val="24"/>
          <w:szCs w:val="24"/>
          <w:u w:val="none"/>
          <w:lang w:val="en-US"/>
        </w:rPr>
        <w:t>xcellence and associated partners.</w:t>
      </w:r>
    </w:p>
    <w:p w14:paraId="37CD5674" w14:textId="4925390F" w:rsidR="0054175C" w:rsidRPr="009E1AEE" w:rsidRDefault="00E86CF1">
      <w:pPr>
        <w:pStyle w:val="CEONormal"/>
        <w:spacing w:after="0"/>
        <w:jc w:val="both"/>
        <w:rPr>
          <w:rStyle w:val="Hyperlink"/>
          <w:color w:val="000000"/>
          <w:sz w:val="24"/>
          <w:szCs w:val="24"/>
          <w:u w:val="none"/>
          <w:lang w:val="en-US"/>
        </w:rPr>
      </w:pPr>
      <w:r w:rsidRPr="00A565EE">
        <w:rPr>
          <w:rStyle w:val="Hyperlink"/>
          <w:color w:val="000000"/>
          <w:sz w:val="24"/>
          <w:szCs w:val="24"/>
          <w:u w:val="none"/>
          <w:lang w:val="en-US"/>
        </w:rPr>
        <w:lastRenderedPageBreak/>
        <w:t>The</w:t>
      </w:r>
      <w:r w:rsidR="0066335F">
        <w:rPr>
          <w:rStyle w:val="Hyperlink"/>
          <w:color w:val="000000"/>
          <w:sz w:val="24"/>
          <w:szCs w:val="24"/>
          <w:u w:val="none"/>
          <w:lang w:val="en-US"/>
        </w:rPr>
        <w:t xml:space="preserve"> </w:t>
      </w:r>
      <w:r w:rsidR="0066335F" w:rsidRPr="0066335F">
        <w:rPr>
          <w:rStyle w:val="Hyperlink"/>
          <w:color w:val="000000"/>
          <w:sz w:val="24"/>
          <w:szCs w:val="24"/>
          <w:u w:val="none"/>
          <w:lang w:val="en-US"/>
        </w:rPr>
        <w:t>regional and area offices</w:t>
      </w:r>
      <w:r w:rsidRPr="00A565EE">
        <w:rPr>
          <w:rStyle w:val="Hyperlink"/>
          <w:color w:val="000000"/>
          <w:sz w:val="24"/>
          <w:szCs w:val="24"/>
          <w:u w:val="none"/>
          <w:lang w:val="en-US"/>
        </w:rPr>
        <w:t xml:space="preserve"> a</w:t>
      </w:r>
      <w:r w:rsidR="0054175C" w:rsidRPr="00A565EE">
        <w:rPr>
          <w:rStyle w:val="Hyperlink"/>
          <w:color w:val="000000"/>
          <w:sz w:val="24"/>
          <w:szCs w:val="24"/>
          <w:u w:val="none"/>
          <w:lang w:val="en-US"/>
        </w:rPr>
        <w:t xml:space="preserve">ddressed </w:t>
      </w:r>
      <w:r w:rsidR="0066335F">
        <w:rPr>
          <w:rStyle w:val="Hyperlink"/>
          <w:color w:val="000000"/>
          <w:sz w:val="24"/>
          <w:szCs w:val="24"/>
          <w:u w:val="none"/>
          <w:lang w:val="en-US"/>
        </w:rPr>
        <w:t>t</w:t>
      </w:r>
      <w:r w:rsidR="0066335F" w:rsidRPr="00A565EE">
        <w:rPr>
          <w:rStyle w:val="Hyperlink"/>
          <w:color w:val="000000"/>
          <w:sz w:val="24"/>
          <w:szCs w:val="24"/>
          <w:u w:val="none"/>
          <w:lang w:val="en-US"/>
        </w:rPr>
        <w:t>elecommunication</w:t>
      </w:r>
      <w:r w:rsidR="0054175C" w:rsidRPr="00A565EE">
        <w:rPr>
          <w:rStyle w:val="Hyperlink"/>
          <w:color w:val="000000"/>
          <w:sz w:val="24"/>
          <w:szCs w:val="24"/>
          <w:u w:val="none"/>
          <w:lang w:val="en-US"/>
        </w:rPr>
        <w:t>/ICT indicators and statistics needs in six AS</w:t>
      </w:r>
      <w:r w:rsidR="0092197F">
        <w:rPr>
          <w:rStyle w:val="Hyperlink"/>
          <w:color w:val="000000"/>
          <w:sz w:val="24"/>
          <w:szCs w:val="24"/>
          <w:u w:val="none"/>
          <w:lang w:val="en-US"/>
        </w:rPr>
        <w:t>E</w:t>
      </w:r>
      <w:r w:rsidR="0054175C" w:rsidRPr="00A565EE">
        <w:rPr>
          <w:rStyle w:val="Hyperlink"/>
          <w:color w:val="000000"/>
          <w:sz w:val="24"/>
          <w:szCs w:val="24"/>
          <w:u w:val="none"/>
          <w:lang w:val="en-US"/>
        </w:rPr>
        <w:t xml:space="preserve">AN </w:t>
      </w:r>
      <w:r w:rsidR="0066335F">
        <w:rPr>
          <w:rStyle w:val="Hyperlink"/>
          <w:color w:val="000000"/>
          <w:sz w:val="24"/>
          <w:szCs w:val="24"/>
          <w:u w:val="none"/>
          <w:lang w:val="en-US"/>
        </w:rPr>
        <w:t>M</w:t>
      </w:r>
      <w:r w:rsidR="0066335F" w:rsidRPr="00A565EE">
        <w:rPr>
          <w:rStyle w:val="Hyperlink"/>
          <w:color w:val="000000"/>
          <w:sz w:val="24"/>
          <w:szCs w:val="24"/>
          <w:u w:val="none"/>
          <w:lang w:val="en-US"/>
        </w:rPr>
        <w:t xml:space="preserve">ember </w:t>
      </w:r>
      <w:r w:rsidR="0066335F">
        <w:rPr>
          <w:rStyle w:val="Hyperlink"/>
          <w:color w:val="000000"/>
          <w:sz w:val="24"/>
          <w:szCs w:val="24"/>
          <w:u w:val="none"/>
          <w:lang w:val="en-US"/>
        </w:rPr>
        <w:t>S</w:t>
      </w:r>
      <w:r w:rsidR="0066335F" w:rsidRPr="00A565EE">
        <w:rPr>
          <w:rStyle w:val="Hyperlink"/>
          <w:color w:val="000000"/>
          <w:sz w:val="24"/>
          <w:szCs w:val="24"/>
          <w:u w:val="none"/>
          <w:lang w:val="en-US"/>
        </w:rPr>
        <w:t>tates</w:t>
      </w:r>
      <w:r w:rsidR="0054175C" w:rsidRPr="00A565EE">
        <w:rPr>
          <w:rStyle w:val="Hyperlink"/>
          <w:color w:val="000000"/>
          <w:sz w:val="24"/>
          <w:szCs w:val="24"/>
          <w:u w:val="none"/>
          <w:lang w:val="en-US"/>
        </w:rPr>
        <w:t xml:space="preserve">, </w:t>
      </w:r>
      <w:r w:rsidR="0066335F">
        <w:rPr>
          <w:rStyle w:val="Hyperlink"/>
          <w:color w:val="000000"/>
          <w:sz w:val="24"/>
          <w:szCs w:val="24"/>
          <w:u w:val="none"/>
          <w:lang w:val="en-US"/>
        </w:rPr>
        <w:t>c</w:t>
      </w:r>
      <w:r w:rsidR="0066335F" w:rsidRPr="00A565EE">
        <w:rPr>
          <w:rStyle w:val="Hyperlink"/>
          <w:color w:val="000000"/>
          <w:sz w:val="24"/>
          <w:szCs w:val="24"/>
          <w:u w:val="none"/>
          <w:lang w:val="en-US"/>
        </w:rPr>
        <w:t xml:space="preserve">yber </w:t>
      </w:r>
      <w:r w:rsidR="0066335F">
        <w:rPr>
          <w:rStyle w:val="Hyperlink"/>
          <w:color w:val="000000"/>
          <w:sz w:val="24"/>
          <w:szCs w:val="24"/>
          <w:u w:val="none"/>
          <w:lang w:val="en-US"/>
        </w:rPr>
        <w:t>i</w:t>
      </w:r>
      <w:r w:rsidR="0066335F" w:rsidRPr="00A565EE">
        <w:rPr>
          <w:rStyle w:val="Hyperlink"/>
          <w:color w:val="000000"/>
          <w:sz w:val="24"/>
          <w:szCs w:val="24"/>
          <w:u w:val="none"/>
          <w:lang w:val="en-US"/>
        </w:rPr>
        <w:t xml:space="preserve">ncidence </w:t>
      </w:r>
      <w:r w:rsidR="0066335F">
        <w:rPr>
          <w:rStyle w:val="Hyperlink"/>
          <w:color w:val="000000"/>
          <w:sz w:val="24"/>
          <w:szCs w:val="24"/>
          <w:u w:val="none"/>
          <w:lang w:val="en-US"/>
        </w:rPr>
        <w:t>h</w:t>
      </w:r>
      <w:r w:rsidR="0066335F" w:rsidRPr="00A565EE">
        <w:rPr>
          <w:rStyle w:val="Hyperlink"/>
          <w:color w:val="000000"/>
          <w:sz w:val="24"/>
          <w:szCs w:val="24"/>
          <w:u w:val="none"/>
          <w:lang w:val="en-US"/>
        </w:rPr>
        <w:t xml:space="preserve">andling </w:t>
      </w:r>
      <w:r w:rsidR="0054175C" w:rsidRPr="00A565EE">
        <w:rPr>
          <w:rStyle w:val="Hyperlink"/>
          <w:color w:val="000000"/>
          <w:sz w:val="24"/>
          <w:szCs w:val="24"/>
          <w:u w:val="none"/>
          <w:lang w:val="en-US"/>
        </w:rPr>
        <w:t xml:space="preserve">and </w:t>
      </w:r>
      <w:r w:rsidR="0066335F">
        <w:rPr>
          <w:rStyle w:val="Hyperlink"/>
          <w:color w:val="000000"/>
          <w:sz w:val="24"/>
          <w:szCs w:val="24"/>
          <w:u w:val="none"/>
          <w:lang w:val="en-US"/>
        </w:rPr>
        <w:t>c</w:t>
      </w:r>
      <w:r w:rsidR="0066335F" w:rsidRPr="00A565EE">
        <w:rPr>
          <w:rStyle w:val="Hyperlink"/>
          <w:color w:val="000000"/>
          <w:sz w:val="24"/>
          <w:szCs w:val="24"/>
          <w:u w:val="none"/>
          <w:lang w:val="en-US"/>
        </w:rPr>
        <w:t xml:space="preserve">yber </w:t>
      </w:r>
      <w:r w:rsidR="0066335F">
        <w:rPr>
          <w:rStyle w:val="Hyperlink"/>
          <w:color w:val="000000"/>
          <w:sz w:val="24"/>
          <w:szCs w:val="24"/>
          <w:u w:val="none"/>
          <w:lang w:val="en-US"/>
        </w:rPr>
        <w:t>s</w:t>
      </w:r>
      <w:r w:rsidR="0066335F" w:rsidRPr="00A565EE">
        <w:rPr>
          <w:rStyle w:val="Hyperlink"/>
          <w:color w:val="000000"/>
          <w:sz w:val="24"/>
          <w:szCs w:val="24"/>
          <w:u w:val="none"/>
          <w:lang w:val="en-US"/>
        </w:rPr>
        <w:t xml:space="preserve">ecurity </w:t>
      </w:r>
      <w:r w:rsidR="0066335F">
        <w:rPr>
          <w:rStyle w:val="Hyperlink"/>
          <w:color w:val="000000"/>
          <w:sz w:val="24"/>
          <w:szCs w:val="24"/>
          <w:u w:val="none"/>
          <w:lang w:val="en-US"/>
        </w:rPr>
        <w:t>s</w:t>
      </w:r>
      <w:r w:rsidR="0066335F" w:rsidRPr="00A565EE">
        <w:rPr>
          <w:rStyle w:val="Hyperlink"/>
          <w:color w:val="000000"/>
          <w:sz w:val="24"/>
          <w:szCs w:val="24"/>
          <w:u w:val="none"/>
          <w:lang w:val="en-US"/>
        </w:rPr>
        <w:t>trategy</w:t>
      </w:r>
      <w:r w:rsidR="00753EDA">
        <w:rPr>
          <w:rStyle w:val="Hyperlink"/>
          <w:color w:val="000000"/>
          <w:sz w:val="24"/>
          <w:szCs w:val="24"/>
          <w:u w:val="none"/>
          <w:lang w:val="en-US"/>
        </w:rPr>
        <w:t>,</w:t>
      </w:r>
      <w:r w:rsidR="0066335F" w:rsidRPr="00A565EE">
        <w:rPr>
          <w:rStyle w:val="Hyperlink"/>
          <w:color w:val="000000"/>
          <w:sz w:val="24"/>
          <w:szCs w:val="24"/>
          <w:u w:val="none"/>
          <w:lang w:val="en-US"/>
        </w:rPr>
        <w:t xml:space="preserve"> </w:t>
      </w:r>
      <w:r w:rsidR="0054175C" w:rsidRPr="00A565EE">
        <w:rPr>
          <w:rStyle w:val="Hyperlink"/>
          <w:color w:val="000000"/>
          <w:sz w:val="24"/>
          <w:szCs w:val="24"/>
          <w:u w:val="none"/>
          <w:lang w:val="en-US"/>
        </w:rPr>
        <w:t xml:space="preserve">including </w:t>
      </w:r>
      <w:r w:rsidR="0066335F">
        <w:rPr>
          <w:rStyle w:val="Hyperlink"/>
          <w:color w:val="000000"/>
          <w:sz w:val="24"/>
          <w:szCs w:val="24"/>
          <w:u w:val="none"/>
          <w:lang w:val="en-US"/>
        </w:rPr>
        <w:t>c</w:t>
      </w:r>
      <w:r w:rsidR="0066335F" w:rsidRPr="00A565EE">
        <w:rPr>
          <w:rStyle w:val="Hyperlink"/>
          <w:color w:val="000000"/>
          <w:sz w:val="24"/>
          <w:szCs w:val="24"/>
          <w:u w:val="none"/>
          <w:lang w:val="en-US"/>
        </w:rPr>
        <w:t xml:space="preserve">oding </w:t>
      </w:r>
      <w:r w:rsidR="0066335F">
        <w:rPr>
          <w:rStyle w:val="Hyperlink"/>
          <w:color w:val="000000"/>
          <w:sz w:val="24"/>
          <w:szCs w:val="24"/>
          <w:u w:val="none"/>
          <w:lang w:val="en-US"/>
        </w:rPr>
        <w:t>b</w:t>
      </w:r>
      <w:r w:rsidR="0066335F" w:rsidRPr="00A565EE">
        <w:rPr>
          <w:rStyle w:val="Hyperlink"/>
          <w:color w:val="000000"/>
          <w:sz w:val="24"/>
          <w:szCs w:val="24"/>
          <w:u w:val="none"/>
          <w:lang w:val="en-US"/>
        </w:rPr>
        <w:t xml:space="preserve">oot </w:t>
      </w:r>
      <w:r w:rsidR="0066335F">
        <w:rPr>
          <w:rStyle w:val="Hyperlink"/>
          <w:color w:val="000000"/>
          <w:sz w:val="24"/>
          <w:szCs w:val="24"/>
          <w:u w:val="none"/>
          <w:lang w:val="en-US"/>
        </w:rPr>
        <w:t>c</w:t>
      </w:r>
      <w:r w:rsidR="0066335F" w:rsidRPr="00A565EE">
        <w:rPr>
          <w:rStyle w:val="Hyperlink"/>
          <w:color w:val="000000"/>
          <w:sz w:val="24"/>
          <w:szCs w:val="24"/>
          <w:u w:val="none"/>
          <w:lang w:val="en-US"/>
        </w:rPr>
        <w:t xml:space="preserve">amp </w:t>
      </w:r>
      <w:r w:rsidR="0054175C" w:rsidRPr="00A565EE">
        <w:rPr>
          <w:rStyle w:val="Hyperlink"/>
          <w:color w:val="000000"/>
          <w:sz w:val="24"/>
          <w:szCs w:val="24"/>
          <w:u w:val="none"/>
          <w:lang w:val="en-US"/>
        </w:rPr>
        <w:t>with MICT, Philippines</w:t>
      </w:r>
      <w:r w:rsidRPr="00A565EE">
        <w:rPr>
          <w:rStyle w:val="Hyperlink"/>
          <w:color w:val="000000"/>
          <w:sz w:val="24"/>
          <w:szCs w:val="24"/>
          <w:u w:val="none"/>
          <w:lang w:val="en-US"/>
        </w:rPr>
        <w:t>.</w:t>
      </w:r>
    </w:p>
    <w:p w14:paraId="5B7A7D6D" w14:textId="313DC894" w:rsidR="0054175C" w:rsidRPr="00A565EE" w:rsidRDefault="0054175C">
      <w:pPr>
        <w:jc w:val="both"/>
        <w:rPr>
          <w:rStyle w:val="Hyperlink"/>
          <w:rFonts w:ascii="Calibri" w:eastAsia="Calibri" w:hAnsi="Calibri" w:cs="Simplified Arabic"/>
          <w:color w:val="000000"/>
          <w:sz w:val="22"/>
          <w:szCs w:val="24"/>
          <w:u w:val="none"/>
          <w:lang w:val="en-US"/>
        </w:rPr>
      </w:pPr>
      <w:r w:rsidRPr="00A565EE">
        <w:rPr>
          <w:rStyle w:val="Hyperlink"/>
          <w:rFonts w:eastAsia="Calibri" w:cs="Simplified Arabic"/>
          <w:color w:val="000000"/>
          <w:szCs w:val="24"/>
          <w:u w:val="none"/>
          <w:lang w:val="en-US"/>
        </w:rPr>
        <w:t xml:space="preserve">Girls in ICT Day </w:t>
      </w:r>
      <w:r w:rsidR="00E86CF1" w:rsidRPr="00A565EE">
        <w:rPr>
          <w:rStyle w:val="Hyperlink"/>
          <w:rFonts w:eastAsia="Calibri" w:cs="Simplified Arabic"/>
          <w:color w:val="000000"/>
          <w:szCs w:val="24"/>
          <w:u w:val="none"/>
          <w:lang w:val="en-US"/>
        </w:rPr>
        <w:t xml:space="preserve">was co-organized by the </w:t>
      </w:r>
      <w:r w:rsidR="0066335F" w:rsidRPr="0066335F">
        <w:rPr>
          <w:rStyle w:val="Hyperlink"/>
          <w:rFonts w:eastAsia="Calibri" w:cs="Simplified Arabic"/>
          <w:color w:val="000000"/>
          <w:szCs w:val="24"/>
          <w:u w:val="none"/>
          <w:lang w:val="en-US"/>
        </w:rPr>
        <w:t>regional and area offices</w:t>
      </w:r>
      <w:r w:rsidR="0066335F" w:rsidRPr="0066335F" w:rsidDel="0066335F">
        <w:rPr>
          <w:rStyle w:val="Hyperlink"/>
          <w:rFonts w:eastAsia="Calibri" w:cs="Simplified Arabic"/>
          <w:color w:val="000000"/>
          <w:szCs w:val="24"/>
          <w:u w:val="none"/>
          <w:lang w:val="en-US"/>
        </w:rPr>
        <w:t xml:space="preserve"> </w:t>
      </w:r>
      <w:r w:rsidRPr="00A565EE">
        <w:rPr>
          <w:rStyle w:val="Hyperlink"/>
          <w:rFonts w:eastAsia="Calibri" w:cs="Simplified Arabic"/>
          <w:color w:val="000000"/>
          <w:szCs w:val="24"/>
          <w:u w:val="none"/>
          <w:lang w:val="en-US"/>
        </w:rPr>
        <w:t>in association with CISCO in Bangkok</w:t>
      </w:r>
      <w:r w:rsidR="0092197F">
        <w:rPr>
          <w:rStyle w:val="Hyperlink"/>
          <w:rFonts w:eastAsia="Calibri" w:cs="Simplified Arabic"/>
          <w:color w:val="000000"/>
          <w:szCs w:val="24"/>
          <w:u w:val="none"/>
          <w:lang w:val="en-US"/>
        </w:rPr>
        <w:t xml:space="preserve"> </w:t>
      </w:r>
      <w:r w:rsidRPr="00A565EE">
        <w:rPr>
          <w:rStyle w:val="Hyperlink"/>
          <w:rFonts w:eastAsia="Calibri" w:cs="Simplified Arabic"/>
          <w:color w:val="000000"/>
          <w:szCs w:val="24"/>
          <w:u w:val="none"/>
          <w:lang w:val="en-US"/>
        </w:rPr>
        <w:t>and with CISCO</w:t>
      </w:r>
      <w:r w:rsidR="0092197F">
        <w:rPr>
          <w:rStyle w:val="Hyperlink"/>
          <w:rFonts w:eastAsia="Calibri" w:cs="Simplified Arabic"/>
          <w:color w:val="000000"/>
          <w:szCs w:val="24"/>
          <w:u w:val="none"/>
          <w:lang w:val="en-US"/>
        </w:rPr>
        <w:t xml:space="preserve"> </w:t>
      </w:r>
      <w:r w:rsidRPr="00A565EE">
        <w:rPr>
          <w:rStyle w:val="Hyperlink"/>
          <w:rFonts w:eastAsia="Calibri" w:cs="Simplified Arabic"/>
          <w:color w:val="000000"/>
          <w:szCs w:val="24"/>
          <w:u w:val="none"/>
          <w:lang w:val="en-US"/>
        </w:rPr>
        <w:t>and other partners in Manila, Philippines</w:t>
      </w:r>
      <w:r w:rsidR="0092197F">
        <w:rPr>
          <w:rStyle w:val="Hyperlink"/>
          <w:rFonts w:eastAsia="Calibri" w:cs="Simplified Arabic"/>
          <w:color w:val="000000"/>
          <w:szCs w:val="24"/>
          <w:u w:val="none"/>
          <w:lang w:val="en-US"/>
        </w:rPr>
        <w:t xml:space="preserve"> </w:t>
      </w:r>
      <w:r w:rsidRPr="00A565EE">
        <w:rPr>
          <w:rStyle w:val="Hyperlink"/>
          <w:rFonts w:eastAsia="Calibri" w:cs="Simplified Arabic"/>
          <w:color w:val="000000"/>
          <w:szCs w:val="24"/>
          <w:u w:val="none"/>
          <w:lang w:val="en-US"/>
        </w:rPr>
        <w:t xml:space="preserve">and </w:t>
      </w:r>
      <w:proofErr w:type="spellStart"/>
      <w:r w:rsidRPr="00A565EE">
        <w:rPr>
          <w:rStyle w:val="Hyperlink"/>
          <w:rFonts w:eastAsia="Calibri" w:cs="Simplified Arabic"/>
          <w:color w:val="000000"/>
          <w:szCs w:val="24"/>
          <w:u w:val="none"/>
          <w:lang w:val="en-US"/>
        </w:rPr>
        <w:t>Yogjakarta</w:t>
      </w:r>
      <w:proofErr w:type="spellEnd"/>
      <w:r w:rsidRPr="00A565EE">
        <w:rPr>
          <w:rStyle w:val="Hyperlink"/>
          <w:rFonts w:eastAsia="Calibri" w:cs="Simplified Arabic"/>
          <w:color w:val="000000"/>
          <w:szCs w:val="24"/>
          <w:u w:val="none"/>
          <w:lang w:val="en-US"/>
        </w:rPr>
        <w:t>, Indonesia.</w:t>
      </w:r>
    </w:p>
    <w:p w14:paraId="223F9883" w14:textId="1A557640" w:rsidR="00E86CF1" w:rsidRPr="00A565EE" w:rsidRDefault="0054175C">
      <w:pPr>
        <w:rPr>
          <w:rStyle w:val="Hyperlink"/>
          <w:rFonts w:eastAsia="Calibri" w:cs="Simplified Arabic"/>
          <w:color w:val="000000"/>
          <w:szCs w:val="24"/>
          <w:u w:val="none"/>
          <w:lang w:val="en-US"/>
        </w:rPr>
      </w:pPr>
      <w:r w:rsidRPr="00A565EE">
        <w:rPr>
          <w:rStyle w:val="Hyperlink"/>
          <w:rFonts w:eastAsia="Calibri" w:cs="Simplified Arabic"/>
          <w:color w:val="000000"/>
          <w:szCs w:val="24"/>
          <w:u w:val="none"/>
          <w:lang w:val="en-US"/>
        </w:rPr>
        <w:t xml:space="preserve">The </w:t>
      </w:r>
      <w:r w:rsidR="0066335F" w:rsidRPr="0066335F">
        <w:rPr>
          <w:rStyle w:val="Hyperlink"/>
          <w:rFonts w:eastAsia="Calibri" w:cs="Simplified Arabic"/>
          <w:color w:val="000000"/>
          <w:szCs w:val="24"/>
          <w:u w:val="none"/>
          <w:lang w:val="en-US"/>
        </w:rPr>
        <w:t>regional and area offices</w:t>
      </w:r>
      <w:r w:rsidR="0066335F" w:rsidRPr="0066335F" w:rsidDel="0066335F">
        <w:rPr>
          <w:rStyle w:val="Hyperlink"/>
          <w:rFonts w:eastAsia="Calibri" w:cs="Simplified Arabic"/>
          <w:color w:val="000000"/>
          <w:szCs w:val="24"/>
          <w:u w:val="none"/>
          <w:lang w:val="en-US"/>
        </w:rPr>
        <w:t xml:space="preserve"> </w:t>
      </w:r>
      <w:r w:rsidRPr="00A565EE">
        <w:rPr>
          <w:rStyle w:val="Hyperlink"/>
          <w:rFonts w:eastAsia="Calibri" w:cs="Simplified Arabic"/>
          <w:color w:val="000000"/>
          <w:szCs w:val="24"/>
          <w:u w:val="none"/>
          <w:lang w:val="en-US"/>
        </w:rPr>
        <w:t>also organized several for</w:t>
      </w:r>
      <w:r w:rsidR="0066335F">
        <w:rPr>
          <w:rStyle w:val="Hyperlink"/>
          <w:rFonts w:eastAsia="Calibri" w:cs="Simplified Arabic"/>
          <w:color w:val="000000"/>
          <w:szCs w:val="24"/>
          <w:u w:val="none"/>
          <w:lang w:val="en-US"/>
        </w:rPr>
        <w:t>ums</w:t>
      </w:r>
      <w:r w:rsidRPr="00A565EE">
        <w:rPr>
          <w:rStyle w:val="Hyperlink"/>
          <w:rFonts w:eastAsia="Calibri" w:cs="Simplified Arabic"/>
          <w:color w:val="000000"/>
          <w:szCs w:val="24"/>
          <w:u w:val="none"/>
          <w:lang w:val="en-US"/>
        </w:rPr>
        <w:t xml:space="preserve"> and meetings (</w:t>
      </w:r>
      <w:r w:rsidR="00E86CF1" w:rsidRPr="00A565EE">
        <w:rPr>
          <w:rStyle w:val="Hyperlink"/>
          <w:rFonts w:eastAsia="Calibri" w:cs="Simplified Arabic"/>
          <w:color w:val="000000"/>
          <w:szCs w:val="24"/>
          <w:u w:val="none"/>
          <w:lang w:val="en-US"/>
        </w:rPr>
        <w:t xml:space="preserve">e.g., </w:t>
      </w:r>
      <w:r w:rsidR="0066335F">
        <w:rPr>
          <w:rStyle w:val="Hyperlink"/>
          <w:rFonts w:eastAsia="Calibri" w:cs="Simplified Arabic"/>
          <w:color w:val="000000"/>
          <w:szCs w:val="24"/>
          <w:u w:val="none"/>
          <w:lang w:val="en-US"/>
        </w:rPr>
        <w:t>t</w:t>
      </w:r>
      <w:r w:rsidR="0066335F" w:rsidRPr="00A565EE">
        <w:rPr>
          <w:rStyle w:val="Hyperlink"/>
          <w:rFonts w:eastAsia="Calibri" w:cs="Simplified Arabic"/>
          <w:color w:val="000000"/>
          <w:szCs w:val="24"/>
          <w:u w:val="none"/>
          <w:lang w:val="en-US"/>
        </w:rPr>
        <w:t>elecommunication</w:t>
      </w:r>
      <w:r w:rsidRPr="00A565EE">
        <w:rPr>
          <w:rStyle w:val="Hyperlink"/>
          <w:rFonts w:eastAsia="Calibri" w:cs="Simplified Arabic"/>
          <w:color w:val="000000"/>
          <w:szCs w:val="24"/>
          <w:u w:val="none"/>
          <w:lang w:val="en-US"/>
        </w:rPr>
        <w:t xml:space="preserve">/ICT, e-Government, </w:t>
      </w:r>
      <w:r w:rsidR="0066335F">
        <w:rPr>
          <w:rStyle w:val="Hyperlink"/>
          <w:rFonts w:eastAsia="Calibri" w:cs="Simplified Arabic"/>
          <w:color w:val="000000"/>
          <w:szCs w:val="24"/>
          <w:u w:val="none"/>
          <w:lang w:val="en-US"/>
        </w:rPr>
        <w:t>s</w:t>
      </w:r>
      <w:r w:rsidR="0066335F" w:rsidRPr="00A565EE">
        <w:rPr>
          <w:rStyle w:val="Hyperlink"/>
          <w:rFonts w:eastAsia="Calibri" w:cs="Simplified Arabic"/>
          <w:color w:val="000000"/>
          <w:szCs w:val="24"/>
          <w:u w:val="none"/>
          <w:lang w:val="en-US"/>
        </w:rPr>
        <w:t xml:space="preserve">mart </w:t>
      </w:r>
      <w:r w:rsidR="0066335F">
        <w:rPr>
          <w:rStyle w:val="Hyperlink"/>
          <w:rFonts w:eastAsia="Calibri" w:cs="Simplified Arabic"/>
          <w:color w:val="000000"/>
          <w:szCs w:val="24"/>
          <w:u w:val="none"/>
          <w:lang w:val="en-US"/>
        </w:rPr>
        <w:t>c</w:t>
      </w:r>
      <w:r w:rsidR="0066335F" w:rsidRPr="00A565EE">
        <w:rPr>
          <w:rStyle w:val="Hyperlink"/>
          <w:rFonts w:eastAsia="Calibri" w:cs="Simplified Arabic"/>
          <w:color w:val="000000"/>
          <w:szCs w:val="24"/>
          <w:u w:val="none"/>
          <w:lang w:val="en-US"/>
        </w:rPr>
        <w:t xml:space="preserve">ities </w:t>
      </w:r>
      <w:r w:rsidRPr="00A565EE">
        <w:rPr>
          <w:rStyle w:val="Hyperlink"/>
          <w:rFonts w:eastAsia="Calibri" w:cs="Simplified Arabic"/>
          <w:color w:val="000000"/>
          <w:szCs w:val="24"/>
          <w:u w:val="none"/>
          <w:lang w:val="en-US"/>
        </w:rPr>
        <w:t xml:space="preserve">and </w:t>
      </w:r>
      <w:r w:rsidR="0066335F">
        <w:rPr>
          <w:rStyle w:val="Hyperlink"/>
          <w:rFonts w:eastAsia="Calibri" w:cs="Simplified Arabic"/>
          <w:color w:val="000000"/>
          <w:szCs w:val="24"/>
          <w:u w:val="none"/>
          <w:lang w:val="en-US"/>
        </w:rPr>
        <w:t>d</w:t>
      </w:r>
      <w:r w:rsidR="0066335F" w:rsidRPr="00A565EE">
        <w:rPr>
          <w:rStyle w:val="Hyperlink"/>
          <w:rFonts w:eastAsia="Calibri" w:cs="Simplified Arabic"/>
          <w:color w:val="000000"/>
          <w:szCs w:val="24"/>
          <w:u w:val="none"/>
          <w:lang w:val="en-US"/>
        </w:rPr>
        <w:t xml:space="preserve">igital </w:t>
      </w:r>
      <w:r w:rsidR="0066335F">
        <w:rPr>
          <w:rStyle w:val="Hyperlink"/>
          <w:rFonts w:eastAsia="Calibri" w:cs="Simplified Arabic"/>
          <w:color w:val="000000"/>
          <w:szCs w:val="24"/>
          <w:u w:val="none"/>
          <w:lang w:val="en-US"/>
        </w:rPr>
        <w:t>s</w:t>
      </w:r>
      <w:r w:rsidR="0066335F" w:rsidRPr="00A565EE">
        <w:rPr>
          <w:rStyle w:val="Hyperlink"/>
          <w:rFonts w:eastAsia="Calibri" w:cs="Simplified Arabic"/>
          <w:color w:val="000000"/>
          <w:szCs w:val="24"/>
          <w:u w:val="none"/>
          <w:lang w:val="en-US"/>
        </w:rPr>
        <w:t xml:space="preserve">ocieties </w:t>
      </w:r>
      <w:r w:rsidRPr="00A565EE">
        <w:rPr>
          <w:rStyle w:val="Hyperlink"/>
          <w:rFonts w:eastAsia="Calibri" w:cs="Simplified Arabic"/>
          <w:color w:val="000000"/>
          <w:szCs w:val="24"/>
          <w:u w:val="none"/>
          <w:lang w:val="en-US"/>
        </w:rPr>
        <w:t xml:space="preserve">for </w:t>
      </w:r>
      <w:r w:rsidR="0066335F">
        <w:rPr>
          <w:rStyle w:val="Hyperlink"/>
          <w:rFonts w:eastAsia="Calibri" w:cs="Simplified Arabic"/>
          <w:color w:val="000000"/>
          <w:szCs w:val="24"/>
          <w:u w:val="none"/>
          <w:lang w:val="en-US"/>
        </w:rPr>
        <w:t>s</w:t>
      </w:r>
      <w:r w:rsidR="0066335F" w:rsidRPr="00A565EE">
        <w:rPr>
          <w:rStyle w:val="Hyperlink"/>
          <w:rFonts w:eastAsia="Calibri" w:cs="Simplified Arabic"/>
          <w:color w:val="000000"/>
          <w:szCs w:val="24"/>
          <w:u w:val="none"/>
          <w:lang w:val="en-US"/>
        </w:rPr>
        <w:t xml:space="preserve">ustainable </w:t>
      </w:r>
      <w:r w:rsidR="0066335F">
        <w:rPr>
          <w:rStyle w:val="Hyperlink"/>
          <w:rFonts w:eastAsia="Calibri" w:cs="Simplified Arabic"/>
          <w:color w:val="000000"/>
          <w:szCs w:val="24"/>
          <w:u w:val="none"/>
          <w:lang w:val="en-US"/>
        </w:rPr>
        <w:t>d</w:t>
      </w:r>
      <w:r w:rsidR="0066335F" w:rsidRPr="00A565EE">
        <w:rPr>
          <w:rStyle w:val="Hyperlink"/>
          <w:rFonts w:eastAsia="Calibri" w:cs="Simplified Arabic"/>
          <w:color w:val="000000"/>
          <w:szCs w:val="24"/>
          <w:u w:val="none"/>
          <w:lang w:val="en-US"/>
        </w:rPr>
        <w:t>evelopment</w:t>
      </w:r>
      <w:r w:rsidRPr="00A565EE">
        <w:rPr>
          <w:rStyle w:val="Hyperlink"/>
          <w:rFonts w:eastAsia="Calibri" w:cs="Simplified Arabic"/>
          <w:color w:val="000000"/>
          <w:szCs w:val="24"/>
          <w:u w:val="none"/>
          <w:lang w:val="en-US"/>
        </w:rPr>
        <w:t xml:space="preserve">, </w:t>
      </w:r>
      <w:r w:rsidR="0066335F">
        <w:rPr>
          <w:rStyle w:val="Hyperlink"/>
          <w:rFonts w:eastAsia="Calibri" w:cs="Simplified Arabic"/>
          <w:color w:val="000000"/>
          <w:szCs w:val="24"/>
          <w:u w:val="none"/>
          <w:lang w:val="en-US"/>
        </w:rPr>
        <w:t>s</w:t>
      </w:r>
      <w:r w:rsidR="0066335F" w:rsidRPr="00A565EE">
        <w:rPr>
          <w:rStyle w:val="Hyperlink"/>
          <w:rFonts w:eastAsia="Calibri" w:cs="Simplified Arabic"/>
          <w:color w:val="000000"/>
          <w:szCs w:val="24"/>
          <w:u w:val="none"/>
          <w:lang w:val="en-US"/>
        </w:rPr>
        <w:t xml:space="preserve">pectrum </w:t>
      </w:r>
      <w:r w:rsidR="0066335F">
        <w:rPr>
          <w:rStyle w:val="Hyperlink"/>
          <w:rFonts w:eastAsia="Calibri" w:cs="Simplified Arabic"/>
          <w:color w:val="000000"/>
          <w:szCs w:val="24"/>
          <w:u w:val="none"/>
          <w:lang w:val="en-US"/>
        </w:rPr>
        <w:t>m</w:t>
      </w:r>
      <w:r w:rsidR="0066335F" w:rsidRPr="00A565EE">
        <w:rPr>
          <w:rStyle w:val="Hyperlink"/>
          <w:rFonts w:eastAsia="Calibri" w:cs="Simplified Arabic"/>
          <w:color w:val="000000"/>
          <w:szCs w:val="24"/>
          <w:u w:val="none"/>
          <w:lang w:val="en-US"/>
        </w:rPr>
        <w:t xml:space="preserve">anagement </w:t>
      </w:r>
      <w:r w:rsidRPr="00A565EE">
        <w:rPr>
          <w:rStyle w:val="Hyperlink"/>
          <w:rFonts w:eastAsia="Calibri" w:cs="Simplified Arabic"/>
          <w:color w:val="000000"/>
          <w:szCs w:val="24"/>
          <w:u w:val="none"/>
          <w:lang w:val="en-US"/>
        </w:rPr>
        <w:t xml:space="preserve">and </w:t>
      </w:r>
      <w:r w:rsidR="0066335F">
        <w:rPr>
          <w:rStyle w:val="Hyperlink"/>
          <w:rFonts w:eastAsia="Calibri" w:cs="Simplified Arabic"/>
          <w:color w:val="000000"/>
          <w:szCs w:val="24"/>
          <w:u w:val="none"/>
          <w:lang w:val="en-US"/>
        </w:rPr>
        <w:t>m</w:t>
      </w:r>
      <w:r w:rsidR="0066335F" w:rsidRPr="00A565EE">
        <w:rPr>
          <w:rStyle w:val="Hyperlink"/>
          <w:rFonts w:eastAsia="Calibri" w:cs="Simplified Arabic"/>
          <w:color w:val="000000"/>
          <w:szCs w:val="24"/>
          <w:u w:val="none"/>
          <w:lang w:val="en-US"/>
        </w:rPr>
        <w:t>onitoring</w:t>
      </w:r>
      <w:r w:rsidRPr="00A565EE">
        <w:rPr>
          <w:rStyle w:val="Hyperlink"/>
          <w:rFonts w:eastAsia="Calibri" w:cs="Simplified Arabic"/>
          <w:color w:val="000000"/>
          <w:szCs w:val="24"/>
          <w:u w:val="none"/>
          <w:lang w:val="en-US"/>
        </w:rPr>
        <w:t xml:space="preserve">, </w:t>
      </w:r>
      <w:r w:rsidR="0066335F">
        <w:rPr>
          <w:rStyle w:val="Hyperlink"/>
          <w:rFonts w:eastAsia="Calibri" w:cs="Simplified Arabic"/>
          <w:color w:val="000000"/>
          <w:szCs w:val="24"/>
          <w:u w:val="none"/>
          <w:lang w:val="en-US"/>
        </w:rPr>
        <w:t>c</w:t>
      </w:r>
      <w:r w:rsidR="0066335F" w:rsidRPr="00A565EE">
        <w:rPr>
          <w:rStyle w:val="Hyperlink"/>
          <w:rFonts w:eastAsia="Calibri" w:cs="Simplified Arabic"/>
          <w:color w:val="000000"/>
          <w:szCs w:val="24"/>
          <w:u w:val="none"/>
          <w:lang w:val="en-US"/>
        </w:rPr>
        <w:t xml:space="preserve">hild </w:t>
      </w:r>
      <w:r w:rsidR="0066335F">
        <w:rPr>
          <w:rStyle w:val="Hyperlink"/>
          <w:rFonts w:eastAsia="Calibri" w:cs="Simplified Arabic"/>
          <w:color w:val="000000"/>
          <w:szCs w:val="24"/>
          <w:u w:val="none"/>
          <w:lang w:val="en-US"/>
        </w:rPr>
        <w:t>o</w:t>
      </w:r>
      <w:r w:rsidR="0066335F" w:rsidRPr="00A565EE">
        <w:rPr>
          <w:rStyle w:val="Hyperlink"/>
          <w:rFonts w:eastAsia="Calibri" w:cs="Simplified Arabic"/>
          <w:color w:val="000000"/>
          <w:szCs w:val="24"/>
          <w:u w:val="none"/>
          <w:lang w:val="en-US"/>
        </w:rPr>
        <w:t xml:space="preserve">nline </w:t>
      </w:r>
      <w:r w:rsidR="0066335F">
        <w:rPr>
          <w:rStyle w:val="Hyperlink"/>
          <w:rFonts w:eastAsia="Calibri" w:cs="Simplified Arabic"/>
          <w:color w:val="000000"/>
          <w:szCs w:val="24"/>
          <w:u w:val="none"/>
          <w:lang w:val="en-US"/>
        </w:rPr>
        <w:t>p</w:t>
      </w:r>
      <w:r w:rsidR="0066335F" w:rsidRPr="00A565EE">
        <w:rPr>
          <w:rStyle w:val="Hyperlink"/>
          <w:rFonts w:eastAsia="Calibri" w:cs="Simplified Arabic"/>
          <w:color w:val="000000"/>
          <w:szCs w:val="24"/>
          <w:u w:val="none"/>
          <w:lang w:val="en-US"/>
        </w:rPr>
        <w:t>rotection</w:t>
      </w:r>
      <w:r w:rsidRPr="00A565EE">
        <w:rPr>
          <w:rStyle w:val="Hyperlink"/>
          <w:rFonts w:eastAsia="Calibri" w:cs="Simplified Arabic"/>
          <w:color w:val="000000"/>
          <w:szCs w:val="24"/>
          <w:u w:val="none"/>
          <w:lang w:val="en-US"/>
        </w:rPr>
        <w:t>) with various partners</w:t>
      </w:r>
      <w:r w:rsidR="00E86CF1" w:rsidRPr="00A565EE">
        <w:rPr>
          <w:rStyle w:val="Hyperlink"/>
          <w:rFonts w:eastAsia="Calibri" w:cs="Simplified Arabic"/>
          <w:color w:val="000000"/>
          <w:szCs w:val="24"/>
          <w:u w:val="none"/>
          <w:lang w:val="en-US"/>
        </w:rPr>
        <w:t>,</w:t>
      </w:r>
      <w:r w:rsidR="0092197F">
        <w:rPr>
          <w:rStyle w:val="Hyperlink"/>
          <w:rFonts w:eastAsia="Calibri" w:cs="Simplified Arabic"/>
          <w:color w:val="000000"/>
          <w:szCs w:val="24"/>
          <w:u w:val="none"/>
          <w:lang w:val="en-US"/>
        </w:rPr>
        <w:t xml:space="preserve"> </w:t>
      </w:r>
      <w:r w:rsidRPr="00A565EE">
        <w:rPr>
          <w:rStyle w:val="Hyperlink"/>
          <w:rFonts w:eastAsia="Calibri" w:cs="Simplified Arabic"/>
          <w:color w:val="000000"/>
          <w:szCs w:val="24"/>
          <w:u w:val="none"/>
          <w:lang w:val="en-US"/>
        </w:rPr>
        <w:t xml:space="preserve">among others: </w:t>
      </w:r>
      <w:r w:rsidR="00843152">
        <w:rPr>
          <w:rStyle w:val="Hyperlink"/>
          <w:rFonts w:eastAsia="Calibri" w:cs="Simplified Arabic"/>
          <w:color w:val="000000"/>
          <w:szCs w:val="24"/>
          <w:u w:val="none"/>
          <w:lang w:val="en-US"/>
        </w:rPr>
        <w:t xml:space="preserve">the </w:t>
      </w:r>
      <w:r w:rsidRPr="00A565EE">
        <w:rPr>
          <w:rStyle w:val="Hyperlink"/>
          <w:rFonts w:eastAsia="Calibri" w:cs="Simplified Arabic"/>
          <w:color w:val="000000"/>
          <w:szCs w:val="24"/>
          <w:u w:val="none"/>
          <w:lang w:val="en-US"/>
        </w:rPr>
        <w:t>Department of Communications and the Arts</w:t>
      </w:r>
      <w:r w:rsidR="0092197F">
        <w:rPr>
          <w:rStyle w:val="Hyperlink"/>
          <w:rFonts w:eastAsia="Calibri" w:cs="Simplified Arabic"/>
          <w:color w:val="000000"/>
          <w:szCs w:val="24"/>
          <w:u w:val="none"/>
          <w:lang w:val="en-US"/>
        </w:rPr>
        <w:t xml:space="preserve"> </w:t>
      </w:r>
      <w:r w:rsidRPr="00A565EE">
        <w:rPr>
          <w:rStyle w:val="Hyperlink"/>
          <w:rFonts w:eastAsia="Calibri" w:cs="Simplified Arabic"/>
          <w:color w:val="000000"/>
          <w:szCs w:val="24"/>
          <w:u w:val="none"/>
          <w:lang w:val="en-US"/>
        </w:rPr>
        <w:t>(</w:t>
      </w:r>
      <w:proofErr w:type="spellStart"/>
      <w:r w:rsidRPr="00A565EE">
        <w:rPr>
          <w:rStyle w:val="Hyperlink"/>
          <w:rFonts w:eastAsia="Calibri" w:cs="Simplified Arabic"/>
          <w:color w:val="000000"/>
          <w:szCs w:val="24"/>
          <w:u w:val="none"/>
          <w:lang w:val="en-US"/>
        </w:rPr>
        <w:t>DoCA</w:t>
      </w:r>
      <w:proofErr w:type="spellEnd"/>
      <w:r w:rsidRPr="00A565EE">
        <w:rPr>
          <w:rStyle w:val="Hyperlink"/>
          <w:rFonts w:eastAsia="Calibri" w:cs="Simplified Arabic"/>
          <w:color w:val="000000"/>
          <w:szCs w:val="24"/>
          <w:u w:val="none"/>
          <w:lang w:val="en-US"/>
        </w:rPr>
        <w:t>), Australia</w:t>
      </w:r>
      <w:r w:rsidR="0092197F">
        <w:rPr>
          <w:rStyle w:val="Hyperlink"/>
          <w:rFonts w:eastAsia="Calibri" w:cs="Simplified Arabic"/>
          <w:color w:val="000000"/>
          <w:szCs w:val="24"/>
          <w:u w:val="none"/>
          <w:lang w:val="en-US"/>
        </w:rPr>
        <w:t>;</w:t>
      </w:r>
      <w:r w:rsidRPr="00A565EE">
        <w:rPr>
          <w:rStyle w:val="Hyperlink"/>
          <w:rFonts w:eastAsia="Calibri" w:cs="Simplified Arabic"/>
          <w:color w:val="000000"/>
          <w:szCs w:val="24"/>
          <w:u w:val="none"/>
          <w:lang w:val="en-US"/>
        </w:rPr>
        <w:t xml:space="preserve"> Ministry of Digital Economy and Society</w:t>
      </w:r>
      <w:r w:rsidR="0092197F">
        <w:rPr>
          <w:rStyle w:val="Hyperlink"/>
          <w:rFonts w:eastAsia="Calibri" w:cs="Simplified Arabic"/>
          <w:color w:val="000000"/>
          <w:szCs w:val="24"/>
          <w:u w:val="none"/>
          <w:lang w:val="en-US"/>
        </w:rPr>
        <w:t xml:space="preserve"> </w:t>
      </w:r>
      <w:r w:rsidRPr="00A565EE">
        <w:rPr>
          <w:rStyle w:val="Hyperlink"/>
          <w:rFonts w:eastAsia="Calibri" w:cs="Simplified Arabic"/>
          <w:color w:val="000000"/>
          <w:szCs w:val="24"/>
          <w:u w:val="none"/>
          <w:lang w:val="en-US"/>
        </w:rPr>
        <w:t>(MDES), Thailand</w:t>
      </w:r>
      <w:r w:rsidR="0092197F">
        <w:rPr>
          <w:rStyle w:val="Hyperlink"/>
          <w:rFonts w:eastAsia="Calibri" w:cs="Simplified Arabic"/>
          <w:color w:val="000000"/>
          <w:szCs w:val="24"/>
          <w:u w:val="none"/>
          <w:lang w:val="en-US"/>
        </w:rPr>
        <w:t>;</w:t>
      </w:r>
      <w:r w:rsidRPr="00A565EE">
        <w:rPr>
          <w:rStyle w:val="Hyperlink"/>
          <w:rFonts w:eastAsia="Calibri" w:cs="Simplified Arabic"/>
          <w:color w:val="000000"/>
          <w:szCs w:val="24"/>
          <w:u w:val="none"/>
          <w:lang w:val="en-US"/>
        </w:rPr>
        <w:t xml:space="preserve"> Ministry of Science, ICT and Future Planning (MSIP), </w:t>
      </w:r>
      <w:r w:rsidR="00843152" w:rsidRPr="00843152">
        <w:rPr>
          <w:rStyle w:val="Hyperlink"/>
          <w:rFonts w:eastAsia="Calibri" w:cs="Simplified Arabic"/>
          <w:color w:val="000000"/>
          <w:szCs w:val="24"/>
          <w:u w:val="none"/>
          <w:lang w:val="en-US"/>
        </w:rPr>
        <w:t>Republic of Korea</w:t>
      </w:r>
      <w:r w:rsidR="0092197F">
        <w:rPr>
          <w:rStyle w:val="Hyperlink"/>
          <w:rFonts w:eastAsia="Calibri" w:cs="Simplified Arabic"/>
          <w:color w:val="000000"/>
          <w:szCs w:val="24"/>
          <w:u w:val="none"/>
          <w:lang w:val="en-US"/>
        </w:rPr>
        <w:t>;</w:t>
      </w:r>
      <w:r w:rsidRPr="00A565EE">
        <w:rPr>
          <w:rStyle w:val="Hyperlink"/>
          <w:rFonts w:eastAsia="Calibri" w:cs="Simplified Arabic"/>
          <w:color w:val="000000"/>
          <w:szCs w:val="24"/>
          <w:u w:val="none"/>
          <w:lang w:val="en-US"/>
        </w:rPr>
        <w:t xml:space="preserve"> NIA, </w:t>
      </w:r>
      <w:proofErr w:type="spellStart"/>
      <w:r w:rsidRPr="00A565EE">
        <w:rPr>
          <w:rStyle w:val="Hyperlink"/>
          <w:rFonts w:eastAsia="Calibri" w:cs="Simplified Arabic"/>
          <w:color w:val="000000"/>
          <w:szCs w:val="24"/>
          <w:u w:val="none"/>
          <w:lang w:val="en-US"/>
        </w:rPr>
        <w:t>WeGO</w:t>
      </w:r>
      <w:proofErr w:type="spellEnd"/>
      <w:r w:rsidR="00843152">
        <w:rPr>
          <w:rStyle w:val="Hyperlink"/>
          <w:rFonts w:eastAsia="Calibri" w:cs="Simplified Arabic"/>
          <w:color w:val="000000"/>
          <w:szCs w:val="24"/>
          <w:u w:val="none"/>
          <w:lang w:val="en-US"/>
        </w:rPr>
        <w:t>,</w:t>
      </w:r>
      <w:r w:rsidRPr="00A565EE">
        <w:rPr>
          <w:rStyle w:val="Hyperlink"/>
          <w:rFonts w:eastAsia="Calibri" w:cs="Simplified Arabic"/>
          <w:color w:val="000000"/>
          <w:szCs w:val="24"/>
          <w:u w:val="none"/>
          <w:lang w:val="en-US"/>
        </w:rPr>
        <w:t xml:space="preserve"> and </w:t>
      </w:r>
      <w:r w:rsidR="00843152">
        <w:rPr>
          <w:rStyle w:val="Hyperlink"/>
          <w:rFonts w:eastAsia="Calibri" w:cs="Simplified Arabic"/>
          <w:color w:val="000000"/>
          <w:szCs w:val="24"/>
          <w:u w:val="none"/>
          <w:lang w:val="en-US"/>
        </w:rPr>
        <w:t xml:space="preserve">the </w:t>
      </w:r>
      <w:r w:rsidRPr="00A565EE">
        <w:rPr>
          <w:rStyle w:val="Hyperlink"/>
          <w:rFonts w:eastAsia="Calibri" w:cs="Simplified Arabic"/>
          <w:color w:val="000000"/>
          <w:szCs w:val="24"/>
          <w:u w:val="none"/>
          <w:lang w:val="en-US"/>
        </w:rPr>
        <w:t>Association of South East Asian Nations</w:t>
      </w:r>
      <w:r w:rsidR="00843152">
        <w:rPr>
          <w:rStyle w:val="Hyperlink"/>
          <w:rFonts w:eastAsia="Calibri" w:cs="Simplified Arabic"/>
          <w:color w:val="000000"/>
          <w:szCs w:val="24"/>
          <w:u w:val="none"/>
          <w:lang w:val="en-US"/>
        </w:rPr>
        <w:t xml:space="preserve"> </w:t>
      </w:r>
      <w:r w:rsidRPr="00A565EE">
        <w:rPr>
          <w:rStyle w:val="Hyperlink"/>
          <w:rFonts w:eastAsia="Calibri" w:cs="Simplified Arabic"/>
          <w:color w:val="000000"/>
          <w:szCs w:val="24"/>
          <w:u w:val="none"/>
          <w:lang w:val="en-US"/>
        </w:rPr>
        <w:t xml:space="preserve">(ASEAN).  </w:t>
      </w:r>
    </w:p>
    <w:p w14:paraId="345BF90C" w14:textId="5B7B2945" w:rsidR="0042426F" w:rsidRPr="00A565EE" w:rsidRDefault="0054175C" w:rsidP="004A47DE">
      <w:pPr>
        <w:rPr>
          <w:rStyle w:val="Hyperlink"/>
          <w:rFonts w:eastAsiaTheme="minorHAnsi" w:cs="Simplified Arabic"/>
          <w:color w:val="000000" w:themeColor="text1"/>
          <w:szCs w:val="24"/>
          <w:u w:val="none"/>
          <w:lang w:val="en-US"/>
        </w:rPr>
      </w:pPr>
      <w:r w:rsidRPr="00A565EE">
        <w:rPr>
          <w:rStyle w:val="Hyperlink"/>
          <w:rFonts w:eastAsia="Calibri" w:cs="Simplified Arabic"/>
          <w:color w:val="000000"/>
          <w:szCs w:val="24"/>
          <w:u w:val="none"/>
          <w:lang w:val="en-US"/>
        </w:rPr>
        <w:t xml:space="preserve">Additionally, </w:t>
      </w:r>
      <w:r w:rsidR="00843152">
        <w:rPr>
          <w:rStyle w:val="Hyperlink"/>
          <w:rFonts w:eastAsia="Calibri" w:cs="Simplified Arabic"/>
          <w:color w:val="000000"/>
          <w:szCs w:val="24"/>
          <w:u w:val="none"/>
          <w:lang w:val="en-US"/>
        </w:rPr>
        <w:t xml:space="preserve">the </w:t>
      </w:r>
      <w:r w:rsidR="00843152" w:rsidRPr="00843152">
        <w:rPr>
          <w:rStyle w:val="Hyperlink"/>
          <w:rFonts w:eastAsia="Calibri" w:cs="Simplified Arabic"/>
          <w:color w:val="000000"/>
          <w:szCs w:val="24"/>
          <w:u w:val="none"/>
          <w:lang w:val="en-US"/>
        </w:rPr>
        <w:t xml:space="preserve">regional offices and area offices </w:t>
      </w:r>
      <w:r w:rsidRPr="00A565EE">
        <w:rPr>
          <w:rStyle w:val="Hyperlink"/>
          <w:rFonts w:eastAsia="Calibri" w:cs="Simplified Arabic"/>
          <w:color w:val="000000"/>
          <w:szCs w:val="24"/>
          <w:u w:val="none"/>
          <w:lang w:val="en-US"/>
        </w:rPr>
        <w:t xml:space="preserve">organized the GSMA-ITU Digital Societies Policy Forum 2016 in partnership with MDES, Thailand and the </w:t>
      </w:r>
      <w:r w:rsidR="004A47DE">
        <w:rPr>
          <w:rStyle w:val="Hyperlink"/>
          <w:rFonts w:eastAsia="Calibri" w:cs="Simplified Arabic"/>
          <w:color w:val="000000"/>
          <w:szCs w:val="24"/>
          <w:u w:val="none"/>
          <w:lang w:val="en-US"/>
        </w:rPr>
        <w:t>I</w:t>
      </w:r>
      <w:r w:rsidR="004A47DE" w:rsidRPr="004A47DE">
        <w:rPr>
          <w:rStyle w:val="Hyperlink"/>
          <w:rFonts w:eastAsia="Calibri" w:cs="Simplified Arabic"/>
          <w:color w:val="000000"/>
          <w:szCs w:val="24"/>
          <w:u w:val="none"/>
          <w:lang w:val="en-US"/>
        </w:rPr>
        <w:t>TU Regional Development Forum for Asia-Pacific Region (RDF-ASP2016)</w:t>
      </w:r>
      <w:r w:rsidR="004A47DE" w:rsidRPr="004A47DE" w:rsidDel="004A47DE">
        <w:rPr>
          <w:rStyle w:val="Hyperlink"/>
          <w:rFonts w:eastAsia="Calibri" w:cs="Simplified Arabic"/>
          <w:color w:val="000000"/>
          <w:szCs w:val="24"/>
          <w:u w:val="none"/>
          <w:lang w:val="en-US"/>
        </w:rPr>
        <w:t xml:space="preserve"> </w:t>
      </w:r>
      <w:r w:rsidRPr="00A565EE">
        <w:rPr>
          <w:rStyle w:val="Hyperlink"/>
          <w:rFonts w:eastAsia="Calibri" w:cs="Simplified Arabic"/>
          <w:color w:val="000000"/>
          <w:szCs w:val="24"/>
          <w:u w:val="none"/>
          <w:lang w:val="en-US"/>
        </w:rPr>
        <w:t>with the Ministry of ICT, Philippines.</w:t>
      </w:r>
    </w:p>
    <w:p w14:paraId="476E0492" w14:textId="77777777" w:rsidR="001F5729" w:rsidRDefault="001F5729" w:rsidP="00AA6368">
      <w:pPr>
        <w:pStyle w:val="CEOParagraphabc"/>
        <w:keepNext/>
        <w:numPr>
          <w:ilvl w:val="1"/>
          <w:numId w:val="10"/>
        </w:numPr>
        <w:spacing w:before="240" w:after="0"/>
        <w:ind w:left="567" w:hanging="567"/>
        <w:rPr>
          <w:rFonts w:asciiTheme="minorHAnsi" w:hAnsiTheme="minorHAnsi"/>
          <w:sz w:val="24"/>
          <w:szCs w:val="24"/>
        </w:rPr>
      </w:pPr>
      <w:r w:rsidRPr="00A565EE">
        <w:rPr>
          <w:rFonts w:asciiTheme="minorHAnsi" w:hAnsiTheme="minorHAnsi"/>
          <w:sz w:val="24"/>
          <w:szCs w:val="24"/>
        </w:rPr>
        <w:t>CIS</w:t>
      </w:r>
    </w:p>
    <w:p w14:paraId="135D7832" w14:textId="3B3D4396" w:rsidR="00153B9E" w:rsidRPr="00153B9E" w:rsidRDefault="00153B9E">
      <w:pPr>
        <w:rPr>
          <w:rStyle w:val="Hyperlink"/>
          <w:rFonts w:ascii="Calibri" w:eastAsia="Calibri" w:hAnsi="Calibri"/>
          <w:b/>
          <w:bCs/>
          <w:color w:val="000000"/>
          <w:sz w:val="22"/>
          <w:szCs w:val="22"/>
          <w:u w:val="none"/>
          <w:lang w:val="en-US" w:eastAsia="zh-CN"/>
        </w:rPr>
      </w:pPr>
      <w:r w:rsidRPr="00153B9E">
        <w:rPr>
          <w:rStyle w:val="Hyperlink"/>
          <w:rFonts w:eastAsia="Calibri"/>
          <w:color w:val="000000"/>
          <w:u w:val="none"/>
          <w:lang w:val="en-US"/>
        </w:rPr>
        <w:t>By the end of 2016</w:t>
      </w:r>
      <w:r w:rsidR="004A47DE">
        <w:rPr>
          <w:rStyle w:val="Hyperlink"/>
          <w:rFonts w:eastAsia="Calibri"/>
          <w:color w:val="000000"/>
          <w:u w:val="none"/>
          <w:lang w:val="en-US"/>
        </w:rPr>
        <w:t>,</w:t>
      </w:r>
      <w:r w:rsidRPr="00153B9E">
        <w:rPr>
          <w:rStyle w:val="Hyperlink"/>
          <w:rFonts w:eastAsia="Calibri"/>
          <w:color w:val="000000"/>
          <w:u w:val="none"/>
          <w:lang w:val="en-US"/>
        </w:rPr>
        <w:t xml:space="preserve"> four out of five WTDC-14 CIS Regional Initiatives (CIS-RIs) were fully implement</w:t>
      </w:r>
      <w:r w:rsidR="00EC6909">
        <w:rPr>
          <w:rStyle w:val="Hyperlink"/>
          <w:rFonts w:eastAsia="Calibri"/>
          <w:color w:val="000000"/>
          <w:u w:val="none"/>
          <w:lang w:val="en-US"/>
        </w:rPr>
        <w:t>ed</w:t>
      </w:r>
      <w:r w:rsidRPr="00153B9E">
        <w:rPr>
          <w:rStyle w:val="Hyperlink"/>
          <w:rFonts w:eastAsia="Calibri"/>
          <w:color w:val="000000"/>
          <w:u w:val="none"/>
          <w:lang w:val="en-US"/>
        </w:rPr>
        <w:t>. Major outputs of CIS-RI1 in 2016 include</w:t>
      </w:r>
      <w:r w:rsidR="0092197F">
        <w:rPr>
          <w:rStyle w:val="Hyperlink"/>
          <w:rFonts w:eastAsia="Calibri"/>
          <w:color w:val="000000"/>
          <w:u w:val="none"/>
          <w:lang w:val="en-US"/>
        </w:rPr>
        <w:t>d the</w:t>
      </w:r>
      <w:r w:rsidRPr="00153B9E">
        <w:rPr>
          <w:rStyle w:val="Hyperlink"/>
          <w:rFonts w:eastAsia="Calibri"/>
          <w:color w:val="000000"/>
          <w:u w:val="none"/>
          <w:lang w:val="en-US"/>
        </w:rPr>
        <w:t xml:space="preserve"> creation of </w:t>
      </w:r>
      <w:r w:rsidR="004A47DE">
        <w:rPr>
          <w:rStyle w:val="Hyperlink"/>
          <w:rFonts w:eastAsia="Calibri"/>
          <w:color w:val="000000"/>
          <w:u w:val="none"/>
          <w:lang w:val="en-US"/>
        </w:rPr>
        <w:t>a d</w:t>
      </w:r>
      <w:r w:rsidRPr="00153B9E">
        <w:rPr>
          <w:rStyle w:val="Hyperlink"/>
          <w:rFonts w:eastAsia="Calibri"/>
          <w:color w:val="000000"/>
          <w:u w:val="none"/>
          <w:lang w:val="en-US"/>
        </w:rPr>
        <w:t>atabase for storing data on technical solutions for child online protection and software for choosing optimal technical solution</w:t>
      </w:r>
      <w:r w:rsidR="0092197F">
        <w:rPr>
          <w:rStyle w:val="Hyperlink"/>
          <w:rFonts w:eastAsia="Calibri"/>
          <w:color w:val="000000"/>
          <w:u w:val="none"/>
          <w:lang w:val="en-US"/>
        </w:rPr>
        <w:t>s</w:t>
      </w:r>
      <w:r w:rsidRPr="00153B9E">
        <w:rPr>
          <w:rStyle w:val="Hyperlink"/>
          <w:rFonts w:eastAsia="Calibri"/>
          <w:color w:val="000000"/>
          <w:u w:val="none"/>
          <w:lang w:val="en-US"/>
        </w:rPr>
        <w:t xml:space="preserve"> (</w:t>
      </w:r>
      <w:hyperlink r:id="rId14" w:history="1">
        <w:r w:rsidRPr="00153B9E">
          <w:rPr>
            <w:rStyle w:val="Hyperlink"/>
            <w:rFonts w:eastAsia="Calibri"/>
            <w:color w:val="000000"/>
            <w:szCs w:val="24"/>
            <w:u w:val="none"/>
            <w:lang w:val="en-US"/>
          </w:rPr>
          <w:t>https://contentfiltering.info)</w:t>
        </w:r>
      </w:hyperlink>
      <w:r w:rsidRPr="00153B9E">
        <w:rPr>
          <w:rStyle w:val="Hyperlink"/>
          <w:rFonts w:eastAsia="Calibri"/>
          <w:color w:val="000000"/>
          <w:u w:val="none"/>
          <w:lang w:val="en-US"/>
        </w:rPr>
        <w:t xml:space="preserve"> and </w:t>
      </w:r>
      <w:r w:rsidR="000F2BCA">
        <w:rPr>
          <w:rStyle w:val="Hyperlink"/>
          <w:rFonts w:eastAsia="Calibri"/>
          <w:color w:val="000000"/>
          <w:u w:val="none"/>
          <w:lang w:val="en-US"/>
        </w:rPr>
        <w:t xml:space="preserve">an </w:t>
      </w:r>
      <w:r w:rsidR="004A47DE">
        <w:rPr>
          <w:rStyle w:val="Hyperlink"/>
          <w:rFonts w:eastAsia="Calibri"/>
          <w:color w:val="000000"/>
          <w:u w:val="none"/>
          <w:lang w:val="en-US"/>
        </w:rPr>
        <w:t>a</w:t>
      </w:r>
      <w:r w:rsidR="004A47DE" w:rsidRPr="00153B9E">
        <w:rPr>
          <w:rStyle w:val="Hyperlink"/>
          <w:rFonts w:eastAsia="Calibri"/>
          <w:color w:val="000000"/>
          <w:u w:val="none"/>
          <w:lang w:val="en-US"/>
        </w:rPr>
        <w:t xml:space="preserve">utomated </w:t>
      </w:r>
      <w:r w:rsidRPr="00153B9E">
        <w:rPr>
          <w:rStyle w:val="Hyperlink"/>
          <w:rFonts w:eastAsia="Calibri"/>
          <w:color w:val="000000"/>
          <w:u w:val="none"/>
          <w:lang w:val="en-US"/>
        </w:rPr>
        <w:t>distribution system of unsafe and safe lists of Internet resources (</w:t>
      </w:r>
      <w:hyperlink r:id="rId15" w:history="1">
        <w:r w:rsidRPr="00153B9E">
          <w:rPr>
            <w:rStyle w:val="Hyperlink"/>
            <w:rFonts w:eastAsia="Calibri"/>
            <w:color w:val="000000"/>
            <w:szCs w:val="24"/>
            <w:u w:val="none"/>
            <w:lang w:val="en-US"/>
          </w:rPr>
          <w:t>http://bwld.online)</w:t>
        </w:r>
      </w:hyperlink>
      <w:r w:rsidRPr="00153B9E">
        <w:rPr>
          <w:rStyle w:val="Hyperlink"/>
          <w:rFonts w:eastAsia="Calibri"/>
          <w:color w:val="000000"/>
          <w:u w:val="none"/>
          <w:lang w:val="en-US"/>
        </w:rPr>
        <w:t>.</w:t>
      </w:r>
    </w:p>
    <w:p w14:paraId="03D8DE8C" w14:textId="075DDD7A" w:rsidR="00153B9E" w:rsidRPr="00153B9E" w:rsidRDefault="00EC6909">
      <w:pPr>
        <w:rPr>
          <w:rStyle w:val="Hyperlink"/>
          <w:rFonts w:eastAsia="Calibri"/>
          <w:color w:val="000000"/>
          <w:u w:val="none"/>
          <w:lang w:val="en-US"/>
        </w:rPr>
      </w:pPr>
      <w:r>
        <w:rPr>
          <w:rStyle w:val="Hyperlink"/>
          <w:rFonts w:eastAsia="Calibri"/>
          <w:color w:val="000000"/>
          <w:u w:val="none"/>
          <w:lang w:val="en-US"/>
        </w:rPr>
        <w:t xml:space="preserve">The </w:t>
      </w:r>
      <w:r w:rsidR="00153B9E" w:rsidRPr="00153B9E">
        <w:rPr>
          <w:rStyle w:val="Hyperlink"/>
          <w:rFonts w:eastAsia="Calibri"/>
          <w:color w:val="000000"/>
          <w:u w:val="none"/>
          <w:lang w:val="en-US"/>
        </w:rPr>
        <w:t xml:space="preserve">ITU Area Office for CIS also continued CIS-RI2 implementation by creating </w:t>
      </w:r>
      <w:r>
        <w:rPr>
          <w:rStyle w:val="Hyperlink"/>
          <w:rFonts w:eastAsia="Calibri"/>
          <w:color w:val="000000"/>
          <w:u w:val="none"/>
          <w:lang w:val="en-US"/>
        </w:rPr>
        <w:t xml:space="preserve">an </w:t>
      </w:r>
      <w:r w:rsidR="00153B9E" w:rsidRPr="00153B9E">
        <w:rPr>
          <w:rStyle w:val="Hyperlink"/>
          <w:rFonts w:eastAsia="Calibri"/>
          <w:color w:val="000000"/>
          <w:u w:val="none"/>
          <w:lang w:val="en-US"/>
        </w:rPr>
        <w:t xml:space="preserve">Internet </w:t>
      </w:r>
      <w:r>
        <w:rPr>
          <w:rStyle w:val="Hyperlink"/>
          <w:rFonts w:eastAsia="Calibri"/>
          <w:color w:val="000000"/>
          <w:u w:val="none"/>
          <w:lang w:val="en-US"/>
        </w:rPr>
        <w:t>a</w:t>
      </w:r>
      <w:r w:rsidRPr="00153B9E">
        <w:rPr>
          <w:rStyle w:val="Hyperlink"/>
          <w:rFonts w:eastAsia="Calibri"/>
          <w:color w:val="000000"/>
          <w:u w:val="none"/>
          <w:lang w:val="en-US"/>
        </w:rPr>
        <w:t xml:space="preserve">ccess </w:t>
      </w:r>
      <w:r w:rsidR="00153B9E" w:rsidRPr="00153B9E">
        <w:rPr>
          <w:rStyle w:val="Hyperlink"/>
          <w:rFonts w:eastAsia="Calibri"/>
          <w:color w:val="000000"/>
          <w:u w:val="none"/>
          <w:lang w:val="en-US"/>
        </w:rPr>
        <w:t xml:space="preserve">and </w:t>
      </w:r>
      <w:r>
        <w:rPr>
          <w:rStyle w:val="Hyperlink"/>
          <w:rFonts w:eastAsia="Calibri"/>
          <w:color w:val="000000"/>
          <w:u w:val="none"/>
          <w:lang w:val="en-US"/>
        </w:rPr>
        <w:t>t</w:t>
      </w:r>
      <w:r w:rsidRPr="00153B9E">
        <w:rPr>
          <w:rStyle w:val="Hyperlink"/>
          <w:rFonts w:eastAsia="Calibri"/>
          <w:color w:val="000000"/>
          <w:u w:val="none"/>
          <w:lang w:val="en-US"/>
        </w:rPr>
        <w:t xml:space="preserve">raining </w:t>
      </w:r>
      <w:proofErr w:type="spellStart"/>
      <w:r>
        <w:rPr>
          <w:rStyle w:val="Hyperlink"/>
          <w:rFonts w:eastAsia="Calibri"/>
          <w:color w:val="000000"/>
          <w:u w:val="none"/>
          <w:lang w:val="en-US"/>
        </w:rPr>
        <w:t>c</w:t>
      </w:r>
      <w:r w:rsidRPr="00153B9E">
        <w:rPr>
          <w:rStyle w:val="Hyperlink"/>
          <w:rFonts w:eastAsia="Calibri"/>
          <w:color w:val="000000"/>
          <w:u w:val="none"/>
          <w:lang w:val="en-US"/>
        </w:rPr>
        <w:t>entre</w:t>
      </w:r>
      <w:proofErr w:type="spellEnd"/>
      <w:r w:rsidRPr="00153B9E">
        <w:rPr>
          <w:rStyle w:val="Hyperlink"/>
          <w:rFonts w:eastAsia="Calibri"/>
          <w:color w:val="000000"/>
          <w:u w:val="none"/>
          <w:lang w:val="en-US"/>
        </w:rPr>
        <w:t xml:space="preserve"> </w:t>
      </w:r>
      <w:r w:rsidR="00153B9E" w:rsidRPr="00153B9E">
        <w:rPr>
          <w:rStyle w:val="Hyperlink"/>
          <w:rFonts w:eastAsia="Calibri"/>
          <w:color w:val="000000"/>
          <w:u w:val="none"/>
          <w:lang w:val="en-US"/>
        </w:rPr>
        <w:t xml:space="preserve">for users with motor and speech disabilities in Republic Sakha, Russian Federation (10 working places) and for persons with hearing disabilities in Minsk, Republic of Belarus (10 working places). Other important outputs include </w:t>
      </w:r>
      <w:r>
        <w:rPr>
          <w:rStyle w:val="Hyperlink"/>
          <w:rFonts w:eastAsia="Calibri"/>
          <w:color w:val="000000"/>
          <w:u w:val="none"/>
          <w:lang w:val="en-US"/>
        </w:rPr>
        <w:t xml:space="preserve">the </w:t>
      </w:r>
      <w:r w:rsidR="00153B9E" w:rsidRPr="00153B9E">
        <w:rPr>
          <w:rStyle w:val="Hyperlink"/>
          <w:rFonts w:eastAsia="Calibri"/>
          <w:color w:val="000000"/>
          <w:u w:val="none"/>
          <w:lang w:val="en-US"/>
        </w:rPr>
        <w:t xml:space="preserve">development of </w:t>
      </w:r>
      <w:r>
        <w:rPr>
          <w:rStyle w:val="Hyperlink"/>
          <w:rFonts w:eastAsia="Calibri"/>
          <w:color w:val="000000"/>
          <w:u w:val="none"/>
          <w:lang w:val="en-US"/>
        </w:rPr>
        <w:t>s</w:t>
      </w:r>
      <w:r w:rsidRPr="00153B9E">
        <w:rPr>
          <w:rStyle w:val="Hyperlink"/>
          <w:rFonts w:eastAsia="Calibri"/>
          <w:color w:val="000000"/>
          <w:u w:val="none"/>
          <w:lang w:val="en-US"/>
        </w:rPr>
        <w:t xml:space="preserve">oftware </w:t>
      </w:r>
      <w:r w:rsidR="00153B9E" w:rsidRPr="00153B9E">
        <w:rPr>
          <w:rStyle w:val="Hyperlink"/>
          <w:rFonts w:eastAsia="Calibri"/>
          <w:color w:val="000000"/>
          <w:u w:val="none"/>
          <w:lang w:val="en-US"/>
        </w:rPr>
        <w:t xml:space="preserve">for </w:t>
      </w:r>
      <w:r>
        <w:rPr>
          <w:rStyle w:val="Hyperlink"/>
          <w:rFonts w:eastAsia="Calibri"/>
          <w:color w:val="000000"/>
          <w:u w:val="none"/>
          <w:lang w:val="en-US"/>
        </w:rPr>
        <w:t xml:space="preserve">the </w:t>
      </w:r>
      <w:r w:rsidR="00153B9E" w:rsidRPr="00153B9E">
        <w:rPr>
          <w:rStyle w:val="Hyperlink"/>
          <w:rFonts w:eastAsia="Calibri"/>
          <w:color w:val="000000"/>
          <w:u w:val="none"/>
          <w:lang w:val="en-US"/>
        </w:rPr>
        <w:t xml:space="preserve">diagnosis of human susceptibility to one or more channels of information perception and </w:t>
      </w:r>
      <w:r>
        <w:rPr>
          <w:rStyle w:val="Hyperlink"/>
          <w:rFonts w:eastAsia="Calibri"/>
          <w:color w:val="000000"/>
          <w:u w:val="none"/>
          <w:lang w:val="en-US"/>
        </w:rPr>
        <w:t>m</w:t>
      </w:r>
      <w:r w:rsidRPr="00153B9E">
        <w:rPr>
          <w:rStyle w:val="Hyperlink"/>
          <w:rFonts w:eastAsia="Calibri"/>
          <w:color w:val="000000"/>
          <w:u w:val="none"/>
          <w:lang w:val="en-US"/>
        </w:rPr>
        <w:t xml:space="preserve">ethodological </w:t>
      </w:r>
      <w:r w:rsidR="00153B9E" w:rsidRPr="00153B9E">
        <w:rPr>
          <w:rStyle w:val="Hyperlink"/>
          <w:rFonts w:eastAsia="Calibri"/>
          <w:color w:val="000000"/>
          <w:u w:val="none"/>
          <w:lang w:val="en-US"/>
        </w:rPr>
        <w:t xml:space="preserve">requirements to e-learning resources (CIS-RI3) and </w:t>
      </w:r>
      <w:r>
        <w:rPr>
          <w:rStyle w:val="Hyperlink"/>
          <w:rFonts w:eastAsia="Calibri"/>
          <w:color w:val="000000"/>
          <w:u w:val="none"/>
          <w:lang w:val="en-US"/>
        </w:rPr>
        <w:t>a r</w:t>
      </w:r>
      <w:r w:rsidR="00153B9E" w:rsidRPr="00153B9E">
        <w:rPr>
          <w:rStyle w:val="Hyperlink"/>
          <w:rFonts w:eastAsia="Calibri"/>
          <w:color w:val="000000"/>
          <w:u w:val="none"/>
          <w:lang w:val="en-US"/>
        </w:rPr>
        <w:t xml:space="preserve">eport on the current situation in the CIS </w:t>
      </w:r>
      <w:r>
        <w:rPr>
          <w:rStyle w:val="Hyperlink"/>
          <w:rFonts w:eastAsia="Calibri"/>
          <w:color w:val="000000"/>
          <w:u w:val="none"/>
          <w:lang w:val="en-US"/>
        </w:rPr>
        <w:t>o</w:t>
      </w:r>
      <w:r w:rsidR="00153B9E" w:rsidRPr="00153B9E">
        <w:rPr>
          <w:rStyle w:val="Hyperlink"/>
          <w:rFonts w:eastAsia="Calibri"/>
          <w:color w:val="000000"/>
          <w:u w:val="none"/>
          <w:lang w:val="en-US"/>
        </w:rPr>
        <w:t>n building confidence and security in the use of ICTs (CIS-RI5).</w:t>
      </w:r>
    </w:p>
    <w:p w14:paraId="614BA979" w14:textId="5B09F6C2" w:rsidR="00367481" w:rsidRPr="00153B9E" w:rsidRDefault="00153B9E" w:rsidP="00153B9E">
      <w:pPr>
        <w:rPr>
          <w:rStyle w:val="ms-rtethemeforecolor-2-0"/>
          <w:szCs w:val="24"/>
        </w:rPr>
      </w:pPr>
      <w:r w:rsidRPr="00153B9E">
        <w:rPr>
          <w:rStyle w:val="Hyperlink"/>
          <w:rFonts w:eastAsia="Calibri"/>
          <w:color w:val="000000"/>
          <w:u w:val="none"/>
          <w:lang w:val="en-US"/>
        </w:rPr>
        <w:t>Following demand from ITU membership in the CIS, areas of technical cooperation, capacity building activities and regional discussion in 2016 included digital switchover, implementation of WRC-15 outcomes, mobile number portability, 4G/5G, cybersecurity, applications and rural connectivity. Throughout the year</w:t>
      </w:r>
      <w:r w:rsidR="00EC6909">
        <w:rPr>
          <w:rStyle w:val="Hyperlink"/>
          <w:rFonts w:eastAsia="Calibri"/>
          <w:color w:val="000000"/>
          <w:u w:val="none"/>
          <w:lang w:val="en-US"/>
        </w:rPr>
        <w:t>,</w:t>
      </w:r>
      <w:r w:rsidRPr="00153B9E">
        <w:rPr>
          <w:rStyle w:val="Hyperlink"/>
          <w:rFonts w:eastAsia="Calibri"/>
          <w:color w:val="000000"/>
          <w:u w:val="none"/>
          <w:lang w:val="en-US"/>
        </w:rPr>
        <w:t xml:space="preserve"> 11 workshops, seminars and trainings were o</w:t>
      </w:r>
      <w:proofErr w:type="spellStart"/>
      <w:r w:rsidRPr="00153B9E">
        <w:rPr>
          <w:szCs w:val="24"/>
        </w:rPr>
        <w:t>rganized</w:t>
      </w:r>
      <w:proofErr w:type="spellEnd"/>
      <w:r w:rsidRPr="00153B9E">
        <w:rPr>
          <w:szCs w:val="24"/>
        </w:rPr>
        <w:t>, attracting more than 500 participants in total from more than 15 countrie</w:t>
      </w:r>
      <w:r w:rsidR="00EC6909">
        <w:rPr>
          <w:szCs w:val="24"/>
        </w:rPr>
        <w:t>s</w:t>
      </w:r>
      <w:r w:rsidR="00F07482" w:rsidRPr="00153B9E">
        <w:rPr>
          <w:szCs w:val="24"/>
        </w:rPr>
        <w:t>.</w:t>
      </w:r>
    </w:p>
    <w:p w14:paraId="2EB17195" w14:textId="77777777" w:rsidR="008B5772" w:rsidRPr="00A565EE" w:rsidRDefault="008B5772" w:rsidP="00AA6368">
      <w:pPr>
        <w:pStyle w:val="CEOParagraphabc"/>
        <w:keepNext/>
        <w:numPr>
          <w:ilvl w:val="1"/>
          <w:numId w:val="10"/>
        </w:numPr>
        <w:spacing w:before="240" w:after="0"/>
        <w:ind w:left="567" w:hanging="567"/>
        <w:rPr>
          <w:rFonts w:asciiTheme="minorHAnsi" w:hAnsiTheme="minorHAnsi"/>
          <w:sz w:val="24"/>
          <w:szCs w:val="24"/>
        </w:rPr>
      </w:pPr>
      <w:r w:rsidRPr="00A565EE">
        <w:rPr>
          <w:rFonts w:asciiTheme="minorHAnsi" w:hAnsiTheme="minorHAnsi"/>
          <w:sz w:val="24"/>
          <w:szCs w:val="24"/>
        </w:rPr>
        <w:t>Europe</w:t>
      </w:r>
    </w:p>
    <w:p w14:paraId="685F26CF" w14:textId="0B39DC52" w:rsidR="008933F8" w:rsidRPr="00A565EE" w:rsidRDefault="008933F8">
      <w:pPr>
        <w:pStyle w:val="CEONormal"/>
        <w:spacing w:after="0"/>
        <w:rPr>
          <w:rFonts w:asciiTheme="minorHAnsi" w:hAnsiTheme="minorHAnsi" w:cs="Segoe UI"/>
          <w:sz w:val="24"/>
          <w:szCs w:val="24"/>
        </w:rPr>
      </w:pPr>
      <w:r w:rsidRPr="00A565EE">
        <w:rPr>
          <w:rFonts w:asciiTheme="minorHAnsi" w:hAnsiTheme="minorHAnsi" w:cs="Segoe UI"/>
          <w:sz w:val="24"/>
          <w:szCs w:val="24"/>
        </w:rPr>
        <w:t>The proposed bottom</w:t>
      </w:r>
      <w:r w:rsidR="007D5867" w:rsidRPr="00A565EE">
        <w:rPr>
          <w:rFonts w:asciiTheme="minorHAnsi" w:hAnsiTheme="minorHAnsi" w:cs="Segoe UI"/>
          <w:sz w:val="24"/>
          <w:szCs w:val="24"/>
        </w:rPr>
        <w:t>-</w:t>
      </w:r>
      <w:r w:rsidRPr="00A565EE">
        <w:rPr>
          <w:rFonts w:asciiTheme="minorHAnsi" w:hAnsiTheme="minorHAnsi" w:cs="Segoe UI"/>
          <w:sz w:val="24"/>
          <w:szCs w:val="24"/>
        </w:rPr>
        <w:t xml:space="preserve">up working method </w:t>
      </w:r>
      <w:r w:rsidR="008C7F88" w:rsidRPr="00A565EE">
        <w:rPr>
          <w:rFonts w:asciiTheme="minorHAnsi" w:hAnsiTheme="minorHAnsi" w:cs="Segoe UI"/>
          <w:sz w:val="24"/>
          <w:szCs w:val="24"/>
        </w:rPr>
        <w:t xml:space="preserve">of </w:t>
      </w:r>
      <w:r w:rsidRPr="00A565EE">
        <w:rPr>
          <w:rFonts w:asciiTheme="minorHAnsi" w:hAnsiTheme="minorHAnsi" w:cs="Segoe UI"/>
          <w:sz w:val="24"/>
          <w:szCs w:val="24"/>
        </w:rPr>
        <w:t xml:space="preserve">programming the activities to be carried out under the </w:t>
      </w:r>
      <w:r w:rsidR="00A257BD" w:rsidRPr="00A565EE">
        <w:rPr>
          <w:rFonts w:asciiTheme="minorHAnsi" w:hAnsiTheme="minorHAnsi" w:cs="Segoe UI"/>
          <w:sz w:val="24"/>
          <w:szCs w:val="24"/>
        </w:rPr>
        <w:t>R</w:t>
      </w:r>
      <w:r w:rsidRPr="00A565EE">
        <w:rPr>
          <w:rFonts w:asciiTheme="minorHAnsi" w:hAnsiTheme="minorHAnsi" w:cs="Segoe UI"/>
          <w:sz w:val="24"/>
          <w:szCs w:val="24"/>
        </w:rPr>
        <w:t xml:space="preserve">egional </w:t>
      </w:r>
      <w:r w:rsidR="00A257BD" w:rsidRPr="00A565EE">
        <w:rPr>
          <w:rFonts w:asciiTheme="minorHAnsi" w:hAnsiTheme="minorHAnsi" w:cs="Segoe UI"/>
          <w:sz w:val="24"/>
          <w:szCs w:val="24"/>
        </w:rPr>
        <w:t>I</w:t>
      </w:r>
      <w:r w:rsidRPr="00A565EE">
        <w:rPr>
          <w:rFonts w:asciiTheme="minorHAnsi" w:hAnsiTheme="minorHAnsi" w:cs="Segoe UI"/>
          <w:sz w:val="24"/>
          <w:szCs w:val="24"/>
        </w:rPr>
        <w:t xml:space="preserve">nitiatives for Europe  </w:t>
      </w:r>
      <w:r w:rsidR="00A257BD" w:rsidRPr="00A565EE">
        <w:rPr>
          <w:rFonts w:asciiTheme="minorHAnsi" w:hAnsiTheme="minorHAnsi" w:cs="Segoe UI"/>
          <w:sz w:val="24"/>
          <w:szCs w:val="24"/>
        </w:rPr>
        <w:t>(EUR</w:t>
      </w:r>
      <w:r w:rsidR="007D5867" w:rsidRPr="00A565EE">
        <w:rPr>
          <w:rFonts w:asciiTheme="minorHAnsi" w:hAnsiTheme="minorHAnsi" w:cs="Segoe UI"/>
          <w:sz w:val="24"/>
          <w:szCs w:val="24"/>
        </w:rPr>
        <w:t>-RIs</w:t>
      </w:r>
      <w:r w:rsidR="00A257BD" w:rsidRPr="00A565EE">
        <w:rPr>
          <w:rFonts w:asciiTheme="minorHAnsi" w:hAnsiTheme="minorHAnsi" w:cs="Segoe UI"/>
          <w:sz w:val="24"/>
          <w:szCs w:val="24"/>
        </w:rPr>
        <w:t xml:space="preserve">) </w:t>
      </w:r>
      <w:r w:rsidRPr="00A565EE">
        <w:rPr>
          <w:rFonts w:asciiTheme="minorHAnsi" w:hAnsiTheme="minorHAnsi" w:cs="Segoe UI"/>
          <w:sz w:val="24"/>
          <w:szCs w:val="24"/>
        </w:rPr>
        <w:t>strongly focus on mobilization of resources, building of partnerships and engaging potential new members of ITU.</w:t>
      </w:r>
      <w:r w:rsidR="00335AFE" w:rsidRPr="00A565EE">
        <w:rPr>
          <w:rFonts w:asciiTheme="minorHAnsi" w:hAnsiTheme="minorHAnsi" w:cs="Segoe UI"/>
          <w:sz w:val="24"/>
          <w:szCs w:val="24"/>
        </w:rPr>
        <w:t xml:space="preserve"> In this framework, the</w:t>
      </w:r>
      <w:r w:rsidRPr="00A565EE">
        <w:rPr>
          <w:rFonts w:asciiTheme="minorHAnsi" w:hAnsiTheme="minorHAnsi" w:cs="Segoe UI"/>
          <w:sz w:val="24"/>
          <w:szCs w:val="24"/>
        </w:rPr>
        <w:t xml:space="preserve"> Regional Development Forum for Europe on “Broadband for Sustainable Development”</w:t>
      </w:r>
      <w:r w:rsidR="007D5867" w:rsidRPr="00A565EE">
        <w:rPr>
          <w:rFonts w:asciiTheme="minorHAnsi" w:hAnsiTheme="minorHAnsi" w:cs="Segoe UI"/>
          <w:sz w:val="24"/>
          <w:szCs w:val="24"/>
        </w:rPr>
        <w:t xml:space="preserve">, </w:t>
      </w:r>
      <w:r w:rsidR="0092197F">
        <w:rPr>
          <w:rFonts w:asciiTheme="minorHAnsi" w:hAnsiTheme="minorHAnsi" w:cs="Segoe UI"/>
          <w:sz w:val="24"/>
          <w:szCs w:val="24"/>
        </w:rPr>
        <w:t>which</w:t>
      </w:r>
      <w:r w:rsidR="0092197F" w:rsidRPr="00A565EE">
        <w:rPr>
          <w:rFonts w:asciiTheme="minorHAnsi" w:hAnsiTheme="minorHAnsi" w:cs="Segoe UI"/>
          <w:sz w:val="24"/>
          <w:szCs w:val="24"/>
        </w:rPr>
        <w:t xml:space="preserve"> </w:t>
      </w:r>
      <w:r w:rsidR="008C7F88" w:rsidRPr="00A565EE">
        <w:rPr>
          <w:rFonts w:asciiTheme="minorHAnsi" w:hAnsiTheme="minorHAnsi" w:cs="Segoe UI"/>
          <w:sz w:val="24"/>
          <w:szCs w:val="24"/>
        </w:rPr>
        <w:t xml:space="preserve">took place in </w:t>
      </w:r>
      <w:r w:rsidRPr="00A565EE">
        <w:rPr>
          <w:rFonts w:asciiTheme="minorHAnsi" w:hAnsiTheme="minorHAnsi" w:cs="Segoe UI"/>
          <w:sz w:val="24"/>
          <w:szCs w:val="24"/>
        </w:rPr>
        <w:t>Romania</w:t>
      </w:r>
      <w:r w:rsidR="007D5867" w:rsidRPr="00A565EE">
        <w:rPr>
          <w:rFonts w:asciiTheme="minorHAnsi" w:hAnsiTheme="minorHAnsi" w:cs="Segoe UI"/>
          <w:sz w:val="24"/>
          <w:szCs w:val="24"/>
        </w:rPr>
        <w:t xml:space="preserve">, </w:t>
      </w:r>
      <w:r w:rsidR="00A257BD" w:rsidRPr="00A565EE">
        <w:rPr>
          <w:rFonts w:asciiTheme="minorHAnsi" w:hAnsiTheme="minorHAnsi" w:cs="Segoe UI"/>
          <w:sz w:val="24"/>
          <w:szCs w:val="24"/>
        </w:rPr>
        <w:t xml:space="preserve">aimed </w:t>
      </w:r>
      <w:r w:rsidRPr="00A565EE">
        <w:rPr>
          <w:rFonts w:asciiTheme="minorHAnsi" w:hAnsiTheme="minorHAnsi" w:cs="Segoe UI"/>
          <w:sz w:val="24"/>
          <w:szCs w:val="24"/>
        </w:rPr>
        <w:t xml:space="preserve">to attract new partners interested in joining forces with BDT to implement </w:t>
      </w:r>
      <w:r w:rsidR="00A257BD" w:rsidRPr="00A565EE">
        <w:rPr>
          <w:rFonts w:asciiTheme="minorHAnsi" w:hAnsiTheme="minorHAnsi" w:cs="Segoe UI"/>
          <w:sz w:val="24"/>
          <w:szCs w:val="24"/>
        </w:rPr>
        <w:t xml:space="preserve">EUR </w:t>
      </w:r>
      <w:r w:rsidR="007D5867" w:rsidRPr="00A565EE">
        <w:rPr>
          <w:rFonts w:asciiTheme="minorHAnsi" w:hAnsiTheme="minorHAnsi" w:cs="Segoe UI"/>
          <w:sz w:val="24"/>
          <w:szCs w:val="24"/>
        </w:rPr>
        <w:t xml:space="preserve">RI </w:t>
      </w:r>
      <w:r w:rsidRPr="00A565EE">
        <w:rPr>
          <w:rFonts w:asciiTheme="minorHAnsi" w:hAnsiTheme="minorHAnsi" w:cs="Segoe UI"/>
          <w:sz w:val="24"/>
          <w:szCs w:val="24"/>
        </w:rPr>
        <w:t>and to establish an implementation plan for 2015-2017</w:t>
      </w:r>
      <w:r w:rsidR="008C7F88" w:rsidRPr="00A565EE">
        <w:rPr>
          <w:rFonts w:asciiTheme="minorHAnsi" w:hAnsiTheme="minorHAnsi" w:cs="Segoe UI"/>
          <w:sz w:val="24"/>
          <w:szCs w:val="24"/>
        </w:rPr>
        <w:t>,</w:t>
      </w:r>
      <w:r w:rsidRPr="00A565EE">
        <w:rPr>
          <w:rFonts w:asciiTheme="minorHAnsi" w:hAnsiTheme="minorHAnsi" w:cs="Segoe UI"/>
          <w:sz w:val="24"/>
          <w:szCs w:val="24"/>
        </w:rPr>
        <w:t xml:space="preserve"> based on </w:t>
      </w:r>
      <w:r w:rsidR="00335AFE" w:rsidRPr="00A565EE">
        <w:rPr>
          <w:rFonts w:asciiTheme="minorHAnsi" w:hAnsiTheme="minorHAnsi" w:cs="Segoe UI"/>
          <w:sz w:val="24"/>
          <w:szCs w:val="24"/>
        </w:rPr>
        <w:t xml:space="preserve">partners’ </w:t>
      </w:r>
      <w:r w:rsidRPr="00A565EE">
        <w:rPr>
          <w:rFonts w:asciiTheme="minorHAnsi" w:hAnsiTheme="minorHAnsi" w:cs="Segoe UI"/>
          <w:sz w:val="24"/>
          <w:szCs w:val="24"/>
        </w:rPr>
        <w:t xml:space="preserve">commitments. </w:t>
      </w:r>
      <w:r w:rsidR="00335AFE" w:rsidRPr="00A565EE">
        <w:rPr>
          <w:rFonts w:asciiTheme="minorHAnsi" w:hAnsiTheme="minorHAnsi" w:cs="Segoe UI"/>
          <w:sz w:val="24"/>
          <w:szCs w:val="24"/>
        </w:rPr>
        <w:t>N</w:t>
      </w:r>
      <w:r w:rsidRPr="00A565EE">
        <w:rPr>
          <w:rFonts w:asciiTheme="minorHAnsi" w:hAnsiTheme="minorHAnsi" w:cs="Segoe UI"/>
          <w:sz w:val="24"/>
          <w:szCs w:val="24"/>
        </w:rPr>
        <w:t>ew entities were identified and bec</w:t>
      </w:r>
      <w:r w:rsidR="00335AFE" w:rsidRPr="00A565EE">
        <w:rPr>
          <w:rFonts w:asciiTheme="minorHAnsi" w:hAnsiTheme="minorHAnsi" w:cs="Segoe UI"/>
          <w:sz w:val="24"/>
          <w:szCs w:val="24"/>
        </w:rPr>
        <w:t xml:space="preserve">ame partners for the </w:t>
      </w:r>
      <w:r w:rsidRPr="00A565EE">
        <w:rPr>
          <w:rFonts w:asciiTheme="minorHAnsi" w:hAnsiTheme="minorHAnsi" w:cs="Segoe UI"/>
          <w:sz w:val="24"/>
          <w:szCs w:val="24"/>
        </w:rPr>
        <w:t xml:space="preserve">implementation </w:t>
      </w:r>
      <w:r w:rsidR="00335AFE" w:rsidRPr="00A565EE">
        <w:rPr>
          <w:rFonts w:asciiTheme="minorHAnsi" w:hAnsiTheme="minorHAnsi" w:cs="Segoe UI"/>
          <w:sz w:val="24"/>
          <w:szCs w:val="24"/>
        </w:rPr>
        <w:t xml:space="preserve">of </w:t>
      </w:r>
      <w:r w:rsidRPr="00A565EE">
        <w:rPr>
          <w:rFonts w:asciiTheme="minorHAnsi" w:hAnsiTheme="minorHAnsi" w:cs="Segoe UI"/>
          <w:sz w:val="24"/>
          <w:szCs w:val="24"/>
        </w:rPr>
        <w:t>EUR</w:t>
      </w:r>
      <w:r w:rsidR="007D5867" w:rsidRPr="00A565EE">
        <w:rPr>
          <w:rFonts w:asciiTheme="minorHAnsi" w:hAnsiTheme="minorHAnsi" w:cs="Segoe UI"/>
          <w:sz w:val="24"/>
          <w:szCs w:val="24"/>
        </w:rPr>
        <w:t>-RI</w:t>
      </w:r>
      <w:r w:rsidR="00335AFE" w:rsidRPr="00A565EE">
        <w:rPr>
          <w:rFonts w:asciiTheme="minorHAnsi" w:hAnsiTheme="minorHAnsi" w:cs="Segoe UI"/>
          <w:sz w:val="24"/>
          <w:szCs w:val="24"/>
        </w:rPr>
        <w:t>. E</w:t>
      </w:r>
      <w:r w:rsidR="00A257BD" w:rsidRPr="00A565EE">
        <w:rPr>
          <w:rFonts w:asciiTheme="minorHAnsi" w:hAnsiTheme="minorHAnsi" w:cs="Segoe UI"/>
          <w:sz w:val="24"/>
          <w:szCs w:val="24"/>
        </w:rPr>
        <w:t xml:space="preserve">fforts were </w:t>
      </w:r>
      <w:r w:rsidR="00335AFE" w:rsidRPr="00A565EE">
        <w:rPr>
          <w:rFonts w:asciiTheme="minorHAnsi" w:hAnsiTheme="minorHAnsi" w:cs="Segoe UI"/>
          <w:sz w:val="24"/>
          <w:szCs w:val="24"/>
        </w:rPr>
        <w:t xml:space="preserve">also made to </w:t>
      </w:r>
      <w:r w:rsidR="00A257BD" w:rsidRPr="00A565EE">
        <w:rPr>
          <w:rFonts w:asciiTheme="minorHAnsi" w:hAnsiTheme="minorHAnsi" w:cs="Segoe UI"/>
          <w:sz w:val="24"/>
          <w:szCs w:val="24"/>
        </w:rPr>
        <w:t>engag</w:t>
      </w:r>
      <w:r w:rsidR="00335AFE" w:rsidRPr="00A565EE">
        <w:rPr>
          <w:rFonts w:asciiTheme="minorHAnsi" w:hAnsiTheme="minorHAnsi" w:cs="Segoe UI"/>
          <w:sz w:val="24"/>
          <w:szCs w:val="24"/>
        </w:rPr>
        <w:t>e</w:t>
      </w:r>
      <w:r w:rsidR="00A257BD" w:rsidRPr="00A565EE">
        <w:rPr>
          <w:rFonts w:asciiTheme="minorHAnsi" w:hAnsiTheme="minorHAnsi" w:cs="Segoe UI"/>
          <w:sz w:val="24"/>
          <w:szCs w:val="24"/>
        </w:rPr>
        <w:t xml:space="preserve"> other UN agencies. In this context</w:t>
      </w:r>
      <w:r w:rsidR="00335AFE" w:rsidRPr="00A565EE">
        <w:rPr>
          <w:rFonts w:asciiTheme="minorHAnsi" w:hAnsiTheme="minorHAnsi" w:cs="Segoe UI"/>
          <w:sz w:val="24"/>
          <w:szCs w:val="24"/>
        </w:rPr>
        <w:t>,</w:t>
      </w:r>
      <w:r w:rsidR="00A257BD" w:rsidRPr="00A565EE">
        <w:rPr>
          <w:rFonts w:asciiTheme="minorHAnsi" w:hAnsiTheme="minorHAnsi" w:cs="Segoe UI"/>
          <w:sz w:val="24"/>
          <w:szCs w:val="24"/>
        </w:rPr>
        <w:t xml:space="preserve"> ITU hosted </w:t>
      </w:r>
      <w:r w:rsidR="007D5867" w:rsidRPr="00A565EE">
        <w:rPr>
          <w:rFonts w:asciiTheme="minorHAnsi" w:hAnsiTheme="minorHAnsi" w:cs="Segoe UI"/>
          <w:sz w:val="24"/>
          <w:szCs w:val="24"/>
        </w:rPr>
        <w:t>a</w:t>
      </w:r>
      <w:r w:rsidR="00A257BD" w:rsidRPr="00A565EE">
        <w:rPr>
          <w:rFonts w:asciiTheme="minorHAnsi" w:hAnsiTheme="minorHAnsi" w:cs="Segoe UI"/>
          <w:sz w:val="24"/>
          <w:szCs w:val="24"/>
        </w:rPr>
        <w:t xml:space="preserve"> meeting of the UN Regional Coordination Mechanism for Europe and Central Asia and a meeting of the ECA Regional UNDG Team. </w:t>
      </w:r>
      <w:r w:rsidR="00335AFE" w:rsidRPr="00A565EE">
        <w:rPr>
          <w:rFonts w:asciiTheme="minorHAnsi" w:hAnsiTheme="minorHAnsi" w:cs="Segoe UI"/>
          <w:sz w:val="24"/>
          <w:szCs w:val="24"/>
        </w:rPr>
        <w:t>C</w:t>
      </w:r>
      <w:r w:rsidR="00A257BD" w:rsidRPr="00A565EE">
        <w:rPr>
          <w:rFonts w:asciiTheme="minorHAnsi" w:hAnsiTheme="minorHAnsi" w:cs="Segoe UI"/>
          <w:sz w:val="24"/>
          <w:szCs w:val="24"/>
        </w:rPr>
        <w:t xml:space="preserve">oordination </w:t>
      </w:r>
      <w:r w:rsidR="007D5867" w:rsidRPr="00A565EE">
        <w:rPr>
          <w:rFonts w:asciiTheme="minorHAnsi" w:hAnsiTheme="minorHAnsi" w:cs="Segoe UI"/>
          <w:sz w:val="24"/>
          <w:szCs w:val="24"/>
        </w:rPr>
        <w:t>has been</w:t>
      </w:r>
      <w:r w:rsidR="00A257BD" w:rsidRPr="00A565EE">
        <w:rPr>
          <w:rFonts w:asciiTheme="minorHAnsi" w:hAnsiTheme="minorHAnsi" w:cs="Segoe UI"/>
          <w:sz w:val="24"/>
          <w:szCs w:val="24"/>
        </w:rPr>
        <w:t xml:space="preserve"> carried out to ensure integration of </w:t>
      </w:r>
      <w:r w:rsidR="008C7F88" w:rsidRPr="00A565EE">
        <w:rPr>
          <w:rFonts w:asciiTheme="minorHAnsi" w:hAnsiTheme="minorHAnsi" w:cs="Segoe UI"/>
          <w:sz w:val="24"/>
          <w:szCs w:val="24"/>
        </w:rPr>
        <w:t xml:space="preserve">the </w:t>
      </w:r>
      <w:r w:rsidR="00A257BD" w:rsidRPr="00A565EE">
        <w:rPr>
          <w:rFonts w:asciiTheme="minorHAnsi" w:hAnsiTheme="minorHAnsi" w:cs="Segoe UI"/>
          <w:sz w:val="24"/>
          <w:szCs w:val="24"/>
        </w:rPr>
        <w:t xml:space="preserve">ICT </w:t>
      </w:r>
      <w:r w:rsidR="00A257BD" w:rsidRPr="00A565EE">
        <w:rPr>
          <w:rFonts w:asciiTheme="minorHAnsi" w:hAnsiTheme="minorHAnsi" w:cs="Segoe UI"/>
          <w:sz w:val="24"/>
          <w:szCs w:val="24"/>
        </w:rPr>
        <w:lastRenderedPageBreak/>
        <w:t>component in UNDAF in Europe, taking into account the new priorities se</w:t>
      </w:r>
      <w:r w:rsidR="00335AFE" w:rsidRPr="00A565EE">
        <w:rPr>
          <w:rFonts w:asciiTheme="minorHAnsi" w:hAnsiTheme="minorHAnsi" w:cs="Segoe UI"/>
          <w:sz w:val="24"/>
          <w:szCs w:val="24"/>
        </w:rPr>
        <w:t>t</w:t>
      </w:r>
      <w:r w:rsidR="00A257BD" w:rsidRPr="00A565EE">
        <w:rPr>
          <w:rFonts w:asciiTheme="minorHAnsi" w:hAnsiTheme="minorHAnsi" w:cs="Segoe UI"/>
          <w:sz w:val="24"/>
          <w:szCs w:val="24"/>
        </w:rPr>
        <w:t xml:space="preserve"> up by </w:t>
      </w:r>
      <w:r w:rsidR="003E4AB0">
        <w:rPr>
          <w:rFonts w:asciiTheme="minorHAnsi" w:hAnsiTheme="minorHAnsi" w:cs="Segoe UI"/>
          <w:sz w:val="24"/>
          <w:szCs w:val="24"/>
        </w:rPr>
        <w:t xml:space="preserve">the </w:t>
      </w:r>
      <w:r w:rsidR="00A257BD" w:rsidRPr="00A565EE">
        <w:rPr>
          <w:rFonts w:asciiTheme="minorHAnsi" w:hAnsiTheme="minorHAnsi" w:cs="Segoe UI"/>
          <w:sz w:val="24"/>
          <w:szCs w:val="24"/>
        </w:rPr>
        <w:t>SDG</w:t>
      </w:r>
      <w:r w:rsidR="00335AFE" w:rsidRPr="00A565EE">
        <w:rPr>
          <w:rFonts w:asciiTheme="minorHAnsi" w:hAnsiTheme="minorHAnsi" w:cs="Segoe UI"/>
          <w:sz w:val="24"/>
          <w:szCs w:val="24"/>
        </w:rPr>
        <w:t xml:space="preserve"> </w:t>
      </w:r>
      <w:r w:rsidR="00367536">
        <w:rPr>
          <w:rFonts w:asciiTheme="minorHAnsi" w:hAnsiTheme="minorHAnsi" w:cs="Segoe UI"/>
          <w:sz w:val="24"/>
          <w:szCs w:val="24"/>
        </w:rPr>
        <w:t>Summit.</w:t>
      </w:r>
    </w:p>
    <w:p w14:paraId="2560D08E" w14:textId="45C5EECF" w:rsidR="008933F8" w:rsidRPr="00A565EE" w:rsidRDefault="008933F8" w:rsidP="002F4EB4">
      <w:pPr>
        <w:pStyle w:val="CEONormal"/>
        <w:spacing w:after="0"/>
        <w:rPr>
          <w:rFonts w:asciiTheme="minorHAnsi" w:hAnsiTheme="minorHAnsi" w:cs="Segoe UI"/>
          <w:sz w:val="24"/>
          <w:szCs w:val="24"/>
        </w:rPr>
      </w:pPr>
      <w:r w:rsidRPr="00A565EE">
        <w:rPr>
          <w:rFonts w:asciiTheme="minorHAnsi" w:hAnsiTheme="minorHAnsi" w:cs="Segoe UI"/>
          <w:sz w:val="24"/>
          <w:szCs w:val="24"/>
        </w:rPr>
        <w:t>Significant efforts have been dedicated</w:t>
      </w:r>
      <w:r w:rsidR="00335AFE" w:rsidRPr="00A565EE">
        <w:rPr>
          <w:rFonts w:asciiTheme="minorHAnsi" w:hAnsiTheme="minorHAnsi" w:cs="Segoe UI"/>
          <w:sz w:val="24"/>
          <w:szCs w:val="24"/>
        </w:rPr>
        <w:t>,</w:t>
      </w:r>
      <w:r w:rsidRPr="00A565EE">
        <w:rPr>
          <w:rFonts w:asciiTheme="minorHAnsi" w:hAnsiTheme="minorHAnsi" w:cs="Segoe UI"/>
          <w:sz w:val="24"/>
          <w:szCs w:val="24"/>
        </w:rPr>
        <w:t xml:space="preserve"> </w:t>
      </w:r>
      <w:r w:rsidR="00A257BD" w:rsidRPr="00A565EE">
        <w:rPr>
          <w:rFonts w:asciiTheme="minorHAnsi" w:hAnsiTheme="minorHAnsi" w:cs="Segoe UI"/>
          <w:sz w:val="24"/>
          <w:szCs w:val="24"/>
        </w:rPr>
        <w:t>at all levels</w:t>
      </w:r>
      <w:r w:rsidR="00335AFE" w:rsidRPr="00A565EE">
        <w:rPr>
          <w:rFonts w:asciiTheme="minorHAnsi" w:hAnsiTheme="minorHAnsi" w:cs="Segoe UI"/>
          <w:sz w:val="24"/>
          <w:szCs w:val="24"/>
        </w:rPr>
        <w:t>,</w:t>
      </w:r>
      <w:r w:rsidR="00A257BD" w:rsidRPr="00A565EE">
        <w:rPr>
          <w:rFonts w:asciiTheme="minorHAnsi" w:hAnsiTheme="minorHAnsi" w:cs="Segoe UI"/>
          <w:sz w:val="24"/>
          <w:szCs w:val="24"/>
        </w:rPr>
        <w:t xml:space="preserve"> </w:t>
      </w:r>
      <w:r w:rsidRPr="00A565EE">
        <w:rPr>
          <w:rFonts w:asciiTheme="minorHAnsi" w:hAnsiTheme="minorHAnsi" w:cs="Segoe UI"/>
          <w:sz w:val="24"/>
          <w:szCs w:val="24"/>
        </w:rPr>
        <w:t xml:space="preserve">towards strengthening collaboration with the European Commission </w:t>
      </w:r>
      <w:r w:rsidR="00C930FC" w:rsidRPr="00A565EE">
        <w:rPr>
          <w:rFonts w:asciiTheme="minorHAnsi" w:hAnsiTheme="minorHAnsi" w:cs="Segoe UI"/>
          <w:sz w:val="24"/>
          <w:szCs w:val="24"/>
        </w:rPr>
        <w:t xml:space="preserve">to carry out </w:t>
      </w:r>
      <w:r w:rsidRPr="00A565EE">
        <w:rPr>
          <w:rFonts w:asciiTheme="minorHAnsi" w:hAnsiTheme="minorHAnsi" w:cs="Segoe UI"/>
          <w:sz w:val="24"/>
          <w:szCs w:val="24"/>
        </w:rPr>
        <w:t xml:space="preserve">joint actions in the region. Discussions were also held with other key </w:t>
      </w:r>
      <w:r w:rsidR="00C97B05" w:rsidRPr="00A565EE">
        <w:rPr>
          <w:rFonts w:asciiTheme="minorHAnsi" w:hAnsiTheme="minorHAnsi" w:cs="Segoe UI"/>
          <w:sz w:val="24"/>
          <w:szCs w:val="24"/>
        </w:rPr>
        <w:t>European</w:t>
      </w:r>
      <w:r w:rsidRPr="00A565EE">
        <w:rPr>
          <w:rFonts w:asciiTheme="minorHAnsi" w:hAnsiTheme="minorHAnsi" w:cs="Segoe UI"/>
          <w:sz w:val="24"/>
          <w:szCs w:val="24"/>
        </w:rPr>
        <w:t xml:space="preserve"> institutions including </w:t>
      </w:r>
      <w:r w:rsidR="00F65BAC" w:rsidRPr="00A565EE">
        <w:rPr>
          <w:rFonts w:asciiTheme="minorHAnsi" w:hAnsiTheme="minorHAnsi" w:cs="Segoe UI"/>
          <w:sz w:val="24"/>
          <w:szCs w:val="24"/>
        </w:rPr>
        <w:t xml:space="preserve">the </w:t>
      </w:r>
      <w:r w:rsidRPr="00A565EE">
        <w:rPr>
          <w:rFonts w:asciiTheme="minorHAnsi" w:hAnsiTheme="minorHAnsi" w:cs="Segoe UI"/>
          <w:sz w:val="24"/>
          <w:szCs w:val="24"/>
        </w:rPr>
        <w:t>European Investment Bank</w:t>
      </w:r>
      <w:r w:rsidR="00A257BD" w:rsidRPr="00A565EE">
        <w:rPr>
          <w:rFonts w:asciiTheme="minorHAnsi" w:hAnsiTheme="minorHAnsi" w:cs="Segoe UI"/>
          <w:sz w:val="24"/>
          <w:szCs w:val="24"/>
        </w:rPr>
        <w:t xml:space="preserve"> (EIB)</w:t>
      </w:r>
      <w:r w:rsidRPr="00A565EE">
        <w:rPr>
          <w:rFonts w:asciiTheme="minorHAnsi" w:hAnsiTheme="minorHAnsi" w:cs="Segoe UI"/>
          <w:sz w:val="24"/>
          <w:szCs w:val="24"/>
        </w:rPr>
        <w:t>, European Bank for Rebuilding and Reconstruction</w:t>
      </w:r>
      <w:r w:rsidR="00A257BD" w:rsidRPr="00A565EE">
        <w:rPr>
          <w:rFonts w:asciiTheme="minorHAnsi" w:hAnsiTheme="minorHAnsi" w:cs="Segoe UI"/>
          <w:sz w:val="24"/>
          <w:szCs w:val="24"/>
        </w:rPr>
        <w:t xml:space="preserve"> (EBRD)</w:t>
      </w:r>
      <w:r w:rsidRPr="00A565EE">
        <w:rPr>
          <w:rFonts w:asciiTheme="minorHAnsi" w:hAnsiTheme="minorHAnsi" w:cs="Segoe UI"/>
          <w:sz w:val="24"/>
          <w:szCs w:val="24"/>
        </w:rPr>
        <w:t xml:space="preserve">, EC Joint Research </w:t>
      </w:r>
      <w:r w:rsidR="00B36275" w:rsidRPr="00A565EE">
        <w:rPr>
          <w:rFonts w:asciiTheme="minorHAnsi" w:hAnsiTheme="minorHAnsi" w:cs="Segoe UI"/>
          <w:sz w:val="24"/>
          <w:szCs w:val="24"/>
        </w:rPr>
        <w:t>Centre</w:t>
      </w:r>
      <w:r w:rsidRPr="00A565EE">
        <w:rPr>
          <w:rFonts w:asciiTheme="minorHAnsi" w:hAnsiTheme="minorHAnsi" w:cs="Segoe UI"/>
          <w:sz w:val="24"/>
          <w:szCs w:val="24"/>
        </w:rPr>
        <w:t>, European Broadcasting Union</w:t>
      </w:r>
      <w:r w:rsidR="00A257BD" w:rsidRPr="00A565EE">
        <w:rPr>
          <w:rFonts w:asciiTheme="minorHAnsi" w:hAnsiTheme="minorHAnsi" w:cs="Segoe UI"/>
          <w:sz w:val="24"/>
          <w:szCs w:val="24"/>
        </w:rPr>
        <w:t xml:space="preserve"> (EBU)</w:t>
      </w:r>
      <w:r w:rsidRPr="00A565EE">
        <w:rPr>
          <w:rFonts w:asciiTheme="minorHAnsi" w:hAnsiTheme="minorHAnsi" w:cs="Segoe UI"/>
          <w:sz w:val="24"/>
          <w:szCs w:val="24"/>
        </w:rPr>
        <w:t>, ENISA</w:t>
      </w:r>
      <w:r w:rsidR="00A257BD" w:rsidRPr="00A565EE">
        <w:rPr>
          <w:rFonts w:asciiTheme="minorHAnsi" w:hAnsiTheme="minorHAnsi" w:cs="Segoe UI"/>
          <w:sz w:val="24"/>
          <w:szCs w:val="24"/>
        </w:rPr>
        <w:t>, etc</w:t>
      </w:r>
      <w:r w:rsidRPr="00A565EE">
        <w:rPr>
          <w:rFonts w:asciiTheme="minorHAnsi" w:hAnsiTheme="minorHAnsi" w:cs="Segoe UI"/>
          <w:sz w:val="24"/>
          <w:szCs w:val="24"/>
        </w:rPr>
        <w:t xml:space="preserve">. </w:t>
      </w:r>
      <w:r w:rsidR="00A257BD" w:rsidRPr="00A565EE">
        <w:rPr>
          <w:rFonts w:asciiTheme="minorHAnsi" w:hAnsiTheme="minorHAnsi" w:cs="Segoe UI"/>
          <w:sz w:val="24"/>
          <w:szCs w:val="24"/>
        </w:rPr>
        <w:t xml:space="preserve">which </w:t>
      </w:r>
      <w:r w:rsidRPr="00A565EE">
        <w:rPr>
          <w:rFonts w:asciiTheme="minorHAnsi" w:hAnsiTheme="minorHAnsi" w:cs="Segoe UI"/>
          <w:sz w:val="24"/>
          <w:szCs w:val="24"/>
        </w:rPr>
        <w:t xml:space="preserve">resulted in concrete joint activities in the region. </w:t>
      </w:r>
    </w:p>
    <w:p w14:paraId="0E2DAD02" w14:textId="5A6F498D" w:rsidR="008933F8" w:rsidRPr="00A565EE" w:rsidRDefault="00A257BD" w:rsidP="005D5289">
      <w:pPr>
        <w:pStyle w:val="CEONormal"/>
        <w:spacing w:after="0"/>
        <w:rPr>
          <w:rFonts w:asciiTheme="minorHAnsi" w:hAnsiTheme="minorHAnsi" w:cs="Segoe UI"/>
          <w:sz w:val="24"/>
          <w:szCs w:val="24"/>
        </w:rPr>
      </w:pPr>
      <w:r w:rsidRPr="00A565EE">
        <w:rPr>
          <w:rFonts w:asciiTheme="minorHAnsi" w:hAnsiTheme="minorHAnsi" w:cs="Segoe UI"/>
          <w:sz w:val="24"/>
          <w:szCs w:val="24"/>
        </w:rPr>
        <w:t>C</w:t>
      </w:r>
      <w:r w:rsidR="008933F8" w:rsidRPr="00A565EE">
        <w:rPr>
          <w:rFonts w:asciiTheme="minorHAnsi" w:hAnsiTheme="minorHAnsi" w:cs="Segoe UI"/>
          <w:sz w:val="24"/>
          <w:szCs w:val="24"/>
        </w:rPr>
        <w:t xml:space="preserve">oordination with </w:t>
      </w:r>
      <w:r w:rsidRPr="00A565EE">
        <w:rPr>
          <w:rFonts w:asciiTheme="minorHAnsi" w:hAnsiTheme="minorHAnsi" w:cs="Segoe UI"/>
          <w:sz w:val="24"/>
          <w:szCs w:val="24"/>
        </w:rPr>
        <w:t>ITU M</w:t>
      </w:r>
      <w:r w:rsidR="008933F8" w:rsidRPr="00A565EE">
        <w:rPr>
          <w:rFonts w:asciiTheme="minorHAnsi" w:hAnsiTheme="minorHAnsi" w:cs="Segoe UI"/>
          <w:sz w:val="24"/>
          <w:szCs w:val="24"/>
        </w:rPr>
        <w:t xml:space="preserve">ember </w:t>
      </w:r>
      <w:r w:rsidRPr="00A565EE">
        <w:rPr>
          <w:rFonts w:asciiTheme="minorHAnsi" w:hAnsiTheme="minorHAnsi" w:cs="Segoe UI"/>
          <w:sz w:val="24"/>
          <w:szCs w:val="24"/>
        </w:rPr>
        <w:t>S</w:t>
      </w:r>
      <w:r w:rsidR="008933F8" w:rsidRPr="00A565EE">
        <w:rPr>
          <w:rFonts w:asciiTheme="minorHAnsi" w:hAnsiTheme="minorHAnsi" w:cs="Segoe UI"/>
          <w:sz w:val="24"/>
          <w:szCs w:val="24"/>
        </w:rPr>
        <w:t>tates was carried out to se</w:t>
      </w:r>
      <w:r w:rsidR="00416F89" w:rsidRPr="00A565EE">
        <w:rPr>
          <w:rFonts w:asciiTheme="minorHAnsi" w:hAnsiTheme="minorHAnsi" w:cs="Segoe UI"/>
          <w:sz w:val="24"/>
          <w:szCs w:val="24"/>
        </w:rPr>
        <w:t>e</w:t>
      </w:r>
      <w:r w:rsidR="008933F8" w:rsidRPr="00A565EE">
        <w:rPr>
          <w:rFonts w:asciiTheme="minorHAnsi" w:hAnsiTheme="minorHAnsi" w:cs="Segoe UI"/>
          <w:sz w:val="24"/>
          <w:szCs w:val="24"/>
        </w:rPr>
        <w:t xml:space="preserve">k their support in engaging </w:t>
      </w:r>
      <w:r w:rsidR="00F65BAC" w:rsidRPr="00A565EE">
        <w:rPr>
          <w:rFonts w:asciiTheme="minorHAnsi" w:hAnsiTheme="minorHAnsi" w:cs="Segoe UI"/>
          <w:sz w:val="24"/>
          <w:szCs w:val="24"/>
        </w:rPr>
        <w:t>A</w:t>
      </w:r>
      <w:r w:rsidR="008933F8" w:rsidRPr="00A565EE">
        <w:rPr>
          <w:rFonts w:asciiTheme="minorHAnsi" w:hAnsiTheme="minorHAnsi" w:cs="Segoe UI"/>
          <w:sz w:val="24"/>
          <w:szCs w:val="24"/>
        </w:rPr>
        <w:t>cademia members in ITU activities</w:t>
      </w:r>
      <w:r w:rsidR="00335AFE" w:rsidRPr="00A565EE">
        <w:rPr>
          <w:rFonts w:asciiTheme="minorHAnsi" w:hAnsiTheme="minorHAnsi" w:cs="Segoe UI"/>
          <w:sz w:val="24"/>
          <w:szCs w:val="24"/>
        </w:rPr>
        <w:t>. K</w:t>
      </w:r>
      <w:r w:rsidR="008933F8" w:rsidRPr="00A565EE">
        <w:rPr>
          <w:rFonts w:asciiTheme="minorHAnsi" w:hAnsiTheme="minorHAnsi" w:cs="Segoe UI"/>
          <w:sz w:val="24"/>
          <w:szCs w:val="24"/>
        </w:rPr>
        <w:t xml:space="preserve">ey </w:t>
      </w:r>
      <w:r w:rsidR="00F65BAC" w:rsidRPr="00A565EE">
        <w:rPr>
          <w:rFonts w:asciiTheme="minorHAnsi" w:hAnsiTheme="minorHAnsi" w:cs="Segoe UI"/>
          <w:sz w:val="24"/>
          <w:szCs w:val="24"/>
        </w:rPr>
        <w:t xml:space="preserve">Academia </w:t>
      </w:r>
      <w:r w:rsidR="008933F8" w:rsidRPr="00A565EE">
        <w:rPr>
          <w:rFonts w:asciiTheme="minorHAnsi" w:hAnsiTheme="minorHAnsi" w:cs="Segoe UI"/>
          <w:sz w:val="24"/>
          <w:szCs w:val="24"/>
        </w:rPr>
        <w:t>networks were identified to strengthen outreach. As a result</w:t>
      </w:r>
      <w:r w:rsidR="007D5867" w:rsidRPr="00A565EE">
        <w:rPr>
          <w:rFonts w:asciiTheme="minorHAnsi" w:hAnsiTheme="minorHAnsi" w:cs="Segoe UI"/>
          <w:sz w:val="24"/>
          <w:szCs w:val="24"/>
        </w:rPr>
        <w:t>,</w:t>
      </w:r>
      <w:r w:rsidR="008933F8" w:rsidRPr="00A565EE">
        <w:rPr>
          <w:rFonts w:asciiTheme="minorHAnsi" w:hAnsiTheme="minorHAnsi" w:cs="Segoe UI"/>
          <w:sz w:val="24"/>
          <w:szCs w:val="24"/>
        </w:rPr>
        <w:t xml:space="preserve"> ITU has been invited to support </w:t>
      </w:r>
      <w:r w:rsidR="003E4AB0">
        <w:rPr>
          <w:rFonts w:asciiTheme="minorHAnsi" w:hAnsiTheme="minorHAnsi" w:cs="Segoe UI"/>
          <w:sz w:val="24"/>
          <w:szCs w:val="24"/>
        </w:rPr>
        <w:t xml:space="preserve">the </w:t>
      </w:r>
      <w:r w:rsidR="008933F8" w:rsidRPr="00A565EE">
        <w:rPr>
          <w:rFonts w:asciiTheme="minorHAnsi" w:hAnsiTheme="minorHAnsi" w:cs="Segoe UI"/>
          <w:sz w:val="24"/>
          <w:szCs w:val="24"/>
        </w:rPr>
        <w:t xml:space="preserve">regional meeting for Europe of the International Telecommunication Society that </w:t>
      </w:r>
      <w:r w:rsidR="005D5289">
        <w:rPr>
          <w:rFonts w:asciiTheme="minorHAnsi" w:hAnsiTheme="minorHAnsi" w:cs="Segoe UI"/>
          <w:sz w:val="24"/>
          <w:szCs w:val="24"/>
        </w:rPr>
        <w:t>was</w:t>
      </w:r>
      <w:r w:rsidR="008933F8" w:rsidRPr="00A565EE">
        <w:rPr>
          <w:rFonts w:asciiTheme="minorHAnsi" w:hAnsiTheme="minorHAnsi" w:cs="Segoe UI"/>
          <w:sz w:val="24"/>
          <w:szCs w:val="24"/>
        </w:rPr>
        <w:t xml:space="preserve"> held in September 2016. </w:t>
      </w:r>
    </w:p>
    <w:p w14:paraId="0952DBE7" w14:textId="51BA416E" w:rsidR="008B5772" w:rsidRPr="00A565EE" w:rsidRDefault="00DA5D91">
      <w:pPr>
        <w:pStyle w:val="CEONormal"/>
        <w:spacing w:after="0"/>
        <w:rPr>
          <w:rFonts w:asciiTheme="minorHAnsi" w:hAnsiTheme="minorHAnsi" w:cs="Segoe UI"/>
          <w:sz w:val="24"/>
          <w:szCs w:val="24"/>
        </w:rPr>
      </w:pPr>
      <w:r w:rsidRPr="00A565EE">
        <w:rPr>
          <w:rFonts w:asciiTheme="minorHAnsi" w:hAnsiTheme="minorHAnsi" w:cs="Segoe UI"/>
          <w:sz w:val="24"/>
          <w:szCs w:val="24"/>
        </w:rPr>
        <w:t>A</w:t>
      </w:r>
      <w:r w:rsidR="008933F8" w:rsidRPr="00A565EE">
        <w:rPr>
          <w:rFonts w:asciiTheme="minorHAnsi" w:hAnsiTheme="minorHAnsi" w:cs="Segoe UI"/>
          <w:sz w:val="24"/>
          <w:szCs w:val="24"/>
        </w:rPr>
        <w:t xml:space="preserve"> Central European Conference </w:t>
      </w:r>
      <w:r w:rsidR="00F65BAC" w:rsidRPr="00A565EE">
        <w:rPr>
          <w:rFonts w:asciiTheme="minorHAnsi" w:hAnsiTheme="minorHAnsi" w:cs="Segoe UI"/>
          <w:sz w:val="24"/>
          <w:szCs w:val="24"/>
        </w:rPr>
        <w:t xml:space="preserve">on </w:t>
      </w:r>
      <w:r w:rsidR="008933F8" w:rsidRPr="00A565EE">
        <w:rPr>
          <w:rFonts w:asciiTheme="minorHAnsi" w:hAnsiTheme="minorHAnsi" w:cs="Segoe UI"/>
          <w:sz w:val="24"/>
          <w:szCs w:val="24"/>
        </w:rPr>
        <w:t>Public-Private Dialogue Platform</w:t>
      </w:r>
      <w:r w:rsidR="00657707" w:rsidRPr="00A565EE">
        <w:rPr>
          <w:rFonts w:asciiTheme="minorHAnsi" w:hAnsiTheme="minorHAnsi" w:cs="Segoe UI"/>
          <w:sz w:val="24"/>
          <w:szCs w:val="24"/>
        </w:rPr>
        <w:t>s</w:t>
      </w:r>
      <w:r w:rsidR="008933F8" w:rsidRPr="00A565EE">
        <w:rPr>
          <w:rFonts w:asciiTheme="minorHAnsi" w:hAnsiTheme="minorHAnsi" w:cs="Segoe UI"/>
          <w:sz w:val="24"/>
          <w:szCs w:val="24"/>
        </w:rPr>
        <w:t xml:space="preserve"> was held</w:t>
      </w:r>
      <w:r w:rsidRPr="00A565EE">
        <w:rPr>
          <w:rFonts w:asciiTheme="minorHAnsi" w:hAnsiTheme="minorHAnsi" w:cs="Segoe UI"/>
          <w:sz w:val="24"/>
          <w:szCs w:val="24"/>
        </w:rPr>
        <w:t xml:space="preserve"> to </w:t>
      </w:r>
      <w:proofErr w:type="gramStart"/>
      <w:r w:rsidRPr="00A565EE">
        <w:rPr>
          <w:rFonts w:asciiTheme="minorHAnsi" w:hAnsiTheme="minorHAnsi" w:cs="Segoe UI"/>
          <w:sz w:val="24"/>
          <w:szCs w:val="24"/>
        </w:rPr>
        <w:t xml:space="preserve">strengthen  </w:t>
      </w:r>
      <w:r w:rsidR="003E4AB0">
        <w:rPr>
          <w:rFonts w:asciiTheme="minorHAnsi" w:hAnsiTheme="minorHAnsi" w:cs="Segoe UI"/>
          <w:sz w:val="24"/>
          <w:szCs w:val="24"/>
        </w:rPr>
        <w:t>p</w:t>
      </w:r>
      <w:r w:rsidR="003E4AB0" w:rsidRPr="00A565EE">
        <w:rPr>
          <w:rFonts w:asciiTheme="minorHAnsi" w:hAnsiTheme="minorHAnsi" w:cs="Segoe UI"/>
          <w:sz w:val="24"/>
          <w:szCs w:val="24"/>
        </w:rPr>
        <w:t>ublic</w:t>
      </w:r>
      <w:proofErr w:type="gramEnd"/>
      <w:r w:rsidRPr="00A565EE">
        <w:rPr>
          <w:rFonts w:asciiTheme="minorHAnsi" w:hAnsiTheme="minorHAnsi" w:cs="Segoe UI"/>
          <w:sz w:val="24"/>
          <w:szCs w:val="24"/>
        </w:rPr>
        <w:t>-</w:t>
      </w:r>
      <w:r w:rsidR="003E4AB0">
        <w:rPr>
          <w:rFonts w:asciiTheme="minorHAnsi" w:hAnsiTheme="minorHAnsi" w:cs="Segoe UI"/>
          <w:sz w:val="24"/>
          <w:szCs w:val="24"/>
        </w:rPr>
        <w:t>p</w:t>
      </w:r>
      <w:r w:rsidR="003E4AB0" w:rsidRPr="00A565EE">
        <w:rPr>
          <w:rFonts w:asciiTheme="minorHAnsi" w:hAnsiTheme="minorHAnsi" w:cs="Segoe UI"/>
          <w:sz w:val="24"/>
          <w:szCs w:val="24"/>
        </w:rPr>
        <w:t xml:space="preserve">rivate </w:t>
      </w:r>
      <w:r w:rsidRPr="00A565EE">
        <w:rPr>
          <w:rFonts w:asciiTheme="minorHAnsi" w:hAnsiTheme="minorHAnsi" w:cs="Segoe UI"/>
          <w:sz w:val="24"/>
          <w:szCs w:val="24"/>
        </w:rPr>
        <w:t xml:space="preserve">dialogue and partnership building in cybersecurity to be reiterated in </w:t>
      </w:r>
      <w:r w:rsidR="008933F8" w:rsidRPr="00A565EE">
        <w:rPr>
          <w:rFonts w:asciiTheme="minorHAnsi" w:hAnsiTheme="minorHAnsi" w:cs="Segoe UI"/>
          <w:sz w:val="24"/>
          <w:szCs w:val="24"/>
        </w:rPr>
        <w:t>2016.</w:t>
      </w:r>
    </w:p>
    <w:p w14:paraId="4ACAECE8" w14:textId="77777777" w:rsidR="008B5772" w:rsidRPr="00A565EE" w:rsidRDefault="008B5772" w:rsidP="00AA6368">
      <w:pPr>
        <w:pStyle w:val="CEOParagraph1"/>
        <w:numPr>
          <w:ilvl w:val="0"/>
          <w:numId w:val="10"/>
        </w:numPr>
        <w:spacing w:before="240" w:after="0"/>
        <w:ind w:left="567" w:hanging="567"/>
        <w:rPr>
          <w:rFonts w:asciiTheme="minorHAnsi" w:hAnsiTheme="minorHAnsi"/>
          <w:sz w:val="24"/>
          <w:szCs w:val="24"/>
        </w:rPr>
      </w:pPr>
      <w:r w:rsidRPr="00A565EE">
        <w:rPr>
          <w:rFonts w:asciiTheme="minorHAnsi" w:hAnsiTheme="minorHAnsi"/>
          <w:sz w:val="24"/>
          <w:szCs w:val="24"/>
        </w:rPr>
        <w:t xml:space="preserve">Global </w:t>
      </w:r>
      <w:r w:rsidR="00C70B37" w:rsidRPr="00A565EE">
        <w:rPr>
          <w:rFonts w:asciiTheme="minorHAnsi" w:hAnsiTheme="minorHAnsi"/>
          <w:sz w:val="24"/>
          <w:szCs w:val="24"/>
        </w:rPr>
        <w:t>Actions and Outcomes</w:t>
      </w:r>
    </w:p>
    <w:p w14:paraId="65EF5EC4" w14:textId="77777777" w:rsidR="008B5772" w:rsidRPr="00A565EE" w:rsidRDefault="007D5867" w:rsidP="00C41B23">
      <w:pPr>
        <w:pStyle w:val="CEOParagraphabc"/>
        <w:keepNext/>
        <w:numPr>
          <w:ilvl w:val="1"/>
          <w:numId w:val="10"/>
        </w:numPr>
        <w:spacing w:after="0"/>
        <w:ind w:left="567" w:hanging="567"/>
        <w:rPr>
          <w:rFonts w:asciiTheme="minorHAnsi" w:hAnsiTheme="minorHAnsi" w:cs="Calibri"/>
          <w:sz w:val="24"/>
          <w:szCs w:val="24"/>
        </w:rPr>
      </w:pPr>
      <w:r w:rsidRPr="00A565EE">
        <w:rPr>
          <w:rFonts w:asciiTheme="minorHAnsi" w:hAnsiTheme="minorHAnsi"/>
          <w:sz w:val="24"/>
          <w:szCs w:val="24"/>
        </w:rPr>
        <w:t>Partnership</w:t>
      </w:r>
      <w:r w:rsidRPr="00A565EE">
        <w:rPr>
          <w:rFonts w:asciiTheme="minorHAnsi" w:hAnsiTheme="minorHAnsi" w:cs="Calibri"/>
          <w:sz w:val="24"/>
          <w:szCs w:val="24"/>
        </w:rPr>
        <w:t xml:space="preserve"> and Resource Mobilization Products and Tools </w:t>
      </w:r>
    </w:p>
    <w:p w14:paraId="2B1360EB" w14:textId="7E465623" w:rsidR="004E1A1B" w:rsidRPr="00A565EE" w:rsidRDefault="001E16A4" w:rsidP="001E16A4">
      <w:pPr>
        <w:pStyle w:val="ListParagraph"/>
        <w:spacing w:after="0"/>
        <w:ind w:left="0"/>
        <w:contextualSpacing w:val="0"/>
        <w:rPr>
          <w:rFonts w:asciiTheme="minorHAnsi" w:hAnsiTheme="minorHAnsi" w:cs="Calibri"/>
          <w:sz w:val="24"/>
          <w:szCs w:val="24"/>
        </w:rPr>
      </w:pPr>
      <w:r w:rsidRPr="00A565EE">
        <w:rPr>
          <w:rFonts w:asciiTheme="minorHAnsi" w:hAnsiTheme="minorHAnsi" w:cs="Calibri"/>
          <w:sz w:val="24"/>
          <w:szCs w:val="24"/>
        </w:rPr>
        <w:t xml:space="preserve">BDT has created various internal and external tools aiming at supporting BDT efforts in partnership and </w:t>
      </w:r>
      <w:r w:rsidR="008B5772" w:rsidRPr="00A565EE">
        <w:rPr>
          <w:rFonts w:asciiTheme="minorHAnsi" w:hAnsiTheme="minorHAnsi" w:cs="Calibri"/>
          <w:sz w:val="24"/>
          <w:szCs w:val="24"/>
        </w:rPr>
        <w:t xml:space="preserve">resource mobilization for </w:t>
      </w:r>
      <w:hyperlink r:id="rId16" w:history="1">
        <w:r w:rsidR="008B5772" w:rsidRPr="00DE791C">
          <w:rPr>
            <w:rStyle w:val="Hyperlink"/>
            <w:rFonts w:asciiTheme="minorHAnsi" w:hAnsiTheme="minorHAnsi" w:cs="Calibri"/>
            <w:sz w:val="24"/>
            <w:szCs w:val="24"/>
          </w:rPr>
          <w:t>ITU-D projects</w:t>
        </w:r>
      </w:hyperlink>
      <w:r w:rsidR="008B5772" w:rsidRPr="00A565EE">
        <w:rPr>
          <w:rFonts w:asciiTheme="minorHAnsi" w:hAnsiTheme="minorHAnsi" w:cs="Calibri"/>
          <w:sz w:val="24"/>
          <w:szCs w:val="24"/>
        </w:rPr>
        <w:t xml:space="preserve"> and initiative</w:t>
      </w:r>
      <w:r w:rsidRPr="00A565EE">
        <w:rPr>
          <w:rFonts w:asciiTheme="minorHAnsi" w:hAnsiTheme="minorHAnsi" w:cs="Calibri"/>
          <w:sz w:val="24"/>
          <w:szCs w:val="24"/>
        </w:rPr>
        <w:t xml:space="preserve"> implementation, such as</w:t>
      </w:r>
      <w:r w:rsidR="007D5867" w:rsidRPr="00A565EE">
        <w:rPr>
          <w:rFonts w:asciiTheme="minorHAnsi" w:hAnsiTheme="minorHAnsi" w:cs="Calibri"/>
          <w:sz w:val="24"/>
          <w:szCs w:val="24"/>
        </w:rPr>
        <w:t>:</w:t>
      </w:r>
      <w:r w:rsidR="008E3D3A" w:rsidRPr="00A565EE">
        <w:rPr>
          <w:rFonts w:asciiTheme="minorHAnsi" w:hAnsiTheme="minorHAnsi" w:cs="Calibri"/>
          <w:sz w:val="24"/>
          <w:szCs w:val="24"/>
        </w:rPr>
        <w:t xml:space="preserve"> </w:t>
      </w:r>
    </w:p>
    <w:p w14:paraId="2179D770" w14:textId="77777777" w:rsidR="008B5772" w:rsidRPr="00A565EE" w:rsidRDefault="008B5772" w:rsidP="001E16A4">
      <w:pPr>
        <w:pStyle w:val="ListParagraph"/>
        <w:numPr>
          <w:ilvl w:val="0"/>
          <w:numId w:val="5"/>
        </w:numPr>
        <w:spacing w:after="0"/>
        <w:contextualSpacing w:val="0"/>
        <w:rPr>
          <w:rFonts w:asciiTheme="minorHAnsi" w:hAnsiTheme="minorHAnsi" w:cs="Calibri"/>
          <w:sz w:val="24"/>
          <w:szCs w:val="24"/>
        </w:rPr>
      </w:pPr>
      <w:r w:rsidRPr="00A565EE">
        <w:rPr>
          <w:rFonts w:asciiTheme="minorHAnsi" w:hAnsiTheme="minorHAnsi" w:cs="Calibri"/>
          <w:b/>
          <w:bCs w:val="0"/>
          <w:i/>
          <w:iCs/>
          <w:sz w:val="24"/>
          <w:szCs w:val="24"/>
        </w:rPr>
        <w:t xml:space="preserve">The funding </w:t>
      </w:r>
      <w:r w:rsidR="00C949D4" w:rsidRPr="00A565EE">
        <w:rPr>
          <w:rFonts w:asciiTheme="minorHAnsi" w:hAnsiTheme="minorHAnsi" w:cs="Calibri"/>
          <w:b/>
          <w:bCs w:val="0"/>
          <w:i/>
          <w:iCs/>
          <w:sz w:val="24"/>
          <w:szCs w:val="24"/>
        </w:rPr>
        <w:t>partners’</w:t>
      </w:r>
      <w:r w:rsidRPr="00A565EE">
        <w:rPr>
          <w:rFonts w:asciiTheme="minorHAnsi" w:hAnsiTheme="minorHAnsi" w:cs="Calibri"/>
          <w:b/>
          <w:bCs w:val="0"/>
          <w:i/>
          <w:iCs/>
          <w:sz w:val="24"/>
          <w:szCs w:val="24"/>
        </w:rPr>
        <w:t xml:space="preserve"> database</w:t>
      </w:r>
      <w:r w:rsidR="000222F9" w:rsidRPr="00A565EE">
        <w:rPr>
          <w:rFonts w:asciiTheme="minorHAnsi" w:hAnsiTheme="minorHAnsi" w:cs="Calibri"/>
          <w:sz w:val="24"/>
          <w:szCs w:val="24"/>
        </w:rPr>
        <w:t xml:space="preserve">: </w:t>
      </w:r>
      <w:r w:rsidR="001E16A4" w:rsidRPr="00A565EE">
        <w:rPr>
          <w:rFonts w:asciiTheme="minorHAnsi" w:hAnsiTheme="minorHAnsi" w:cs="Calibri"/>
          <w:sz w:val="24"/>
          <w:szCs w:val="24"/>
        </w:rPr>
        <w:t xml:space="preserve">about </w:t>
      </w:r>
      <w:r w:rsidR="001C291A" w:rsidRPr="00A565EE">
        <w:rPr>
          <w:rFonts w:asciiTheme="minorHAnsi" w:hAnsiTheme="minorHAnsi" w:cs="Calibri"/>
          <w:sz w:val="24"/>
          <w:szCs w:val="24"/>
        </w:rPr>
        <w:t>110 p</w:t>
      </w:r>
      <w:r w:rsidRPr="00A565EE">
        <w:rPr>
          <w:rFonts w:asciiTheme="minorHAnsi" w:hAnsiTheme="minorHAnsi" w:cs="Calibri"/>
          <w:sz w:val="24"/>
          <w:szCs w:val="24"/>
        </w:rPr>
        <w:t>rofil</w:t>
      </w:r>
      <w:r w:rsidR="000222F9" w:rsidRPr="00A565EE">
        <w:rPr>
          <w:rFonts w:asciiTheme="minorHAnsi" w:hAnsiTheme="minorHAnsi" w:cs="Calibri"/>
          <w:sz w:val="24"/>
          <w:szCs w:val="24"/>
        </w:rPr>
        <w:t>e</w:t>
      </w:r>
      <w:r w:rsidR="00541309" w:rsidRPr="00A565EE">
        <w:rPr>
          <w:rFonts w:asciiTheme="minorHAnsi" w:hAnsiTheme="minorHAnsi" w:cs="Calibri"/>
          <w:sz w:val="24"/>
          <w:szCs w:val="24"/>
        </w:rPr>
        <w:t>s</w:t>
      </w:r>
      <w:r w:rsidRPr="00A565EE">
        <w:rPr>
          <w:rFonts w:asciiTheme="minorHAnsi" w:hAnsiTheme="minorHAnsi" w:cs="Calibri"/>
          <w:sz w:val="24"/>
          <w:szCs w:val="24"/>
        </w:rPr>
        <w:t xml:space="preserve"> </w:t>
      </w:r>
      <w:r w:rsidR="001E16A4" w:rsidRPr="00A565EE">
        <w:rPr>
          <w:rFonts w:asciiTheme="minorHAnsi" w:hAnsiTheme="minorHAnsi" w:cs="Calibri"/>
          <w:sz w:val="24"/>
          <w:szCs w:val="24"/>
        </w:rPr>
        <w:t xml:space="preserve">of </w:t>
      </w:r>
      <w:r w:rsidR="005D3761" w:rsidRPr="00A565EE">
        <w:rPr>
          <w:rFonts w:asciiTheme="minorHAnsi" w:hAnsiTheme="minorHAnsi" w:cs="Calibri"/>
          <w:sz w:val="24"/>
          <w:szCs w:val="24"/>
        </w:rPr>
        <w:t xml:space="preserve">existing and </w:t>
      </w:r>
      <w:r w:rsidRPr="00A565EE">
        <w:rPr>
          <w:rFonts w:asciiTheme="minorHAnsi" w:hAnsiTheme="minorHAnsi" w:cs="Calibri"/>
          <w:sz w:val="24"/>
          <w:szCs w:val="24"/>
        </w:rPr>
        <w:t xml:space="preserve">potential partners </w:t>
      </w:r>
      <w:r w:rsidR="005D3761" w:rsidRPr="00A565EE">
        <w:rPr>
          <w:rFonts w:asciiTheme="minorHAnsi" w:hAnsiTheme="minorHAnsi" w:cs="Calibri"/>
          <w:sz w:val="24"/>
          <w:szCs w:val="24"/>
        </w:rPr>
        <w:t xml:space="preserve">from </w:t>
      </w:r>
      <w:r w:rsidRPr="00A565EE">
        <w:rPr>
          <w:rFonts w:asciiTheme="minorHAnsi" w:hAnsiTheme="minorHAnsi" w:cs="Calibri"/>
          <w:sz w:val="24"/>
          <w:szCs w:val="24"/>
        </w:rPr>
        <w:t xml:space="preserve">administrations, multi-/bilateral agencies, development banks, foundations, </w:t>
      </w:r>
      <w:r w:rsidR="0063411B" w:rsidRPr="00A565EE">
        <w:rPr>
          <w:rFonts w:asciiTheme="minorHAnsi" w:hAnsiTheme="minorHAnsi" w:cs="Calibri"/>
          <w:sz w:val="24"/>
          <w:szCs w:val="24"/>
        </w:rPr>
        <w:t xml:space="preserve">and </w:t>
      </w:r>
      <w:r w:rsidR="00F3050E" w:rsidRPr="00A565EE">
        <w:rPr>
          <w:rFonts w:asciiTheme="minorHAnsi" w:hAnsiTheme="minorHAnsi" w:cs="Calibri"/>
          <w:sz w:val="24"/>
          <w:szCs w:val="24"/>
        </w:rPr>
        <w:t>private-</w:t>
      </w:r>
      <w:r w:rsidRPr="00A565EE">
        <w:rPr>
          <w:rFonts w:asciiTheme="minorHAnsi" w:hAnsiTheme="minorHAnsi" w:cs="Calibri"/>
          <w:sz w:val="24"/>
          <w:szCs w:val="24"/>
        </w:rPr>
        <w:t>sector companies</w:t>
      </w:r>
      <w:r w:rsidR="0063411B" w:rsidRPr="00A565EE">
        <w:rPr>
          <w:rFonts w:asciiTheme="minorHAnsi" w:hAnsiTheme="minorHAnsi" w:cs="Calibri"/>
          <w:sz w:val="24"/>
          <w:szCs w:val="24"/>
        </w:rPr>
        <w:t>.</w:t>
      </w:r>
      <w:r w:rsidRPr="00A565EE">
        <w:rPr>
          <w:rFonts w:asciiTheme="minorHAnsi" w:hAnsiTheme="minorHAnsi" w:cs="Calibri"/>
          <w:sz w:val="24"/>
          <w:szCs w:val="24"/>
        </w:rPr>
        <w:t xml:space="preserve">  </w:t>
      </w:r>
    </w:p>
    <w:p w14:paraId="5A4AA2C7" w14:textId="77777777" w:rsidR="004E1A1B" w:rsidRPr="00A565EE" w:rsidRDefault="008B5772" w:rsidP="001E16A4">
      <w:pPr>
        <w:pStyle w:val="ListParagraph"/>
        <w:numPr>
          <w:ilvl w:val="0"/>
          <w:numId w:val="5"/>
        </w:numPr>
        <w:spacing w:after="0"/>
        <w:ind w:left="357" w:hanging="357"/>
        <w:contextualSpacing w:val="0"/>
        <w:rPr>
          <w:rFonts w:asciiTheme="minorHAnsi" w:hAnsiTheme="minorHAnsi" w:cs="Calibri"/>
          <w:sz w:val="24"/>
          <w:szCs w:val="24"/>
        </w:rPr>
      </w:pPr>
      <w:r w:rsidRPr="00A565EE">
        <w:rPr>
          <w:rFonts w:asciiTheme="minorHAnsi" w:hAnsiTheme="minorHAnsi" w:cs="Calibri"/>
          <w:b/>
          <w:bCs w:val="0"/>
          <w:i/>
          <w:iCs/>
          <w:sz w:val="24"/>
          <w:szCs w:val="24"/>
        </w:rPr>
        <w:t>The partnership agreements</w:t>
      </w:r>
      <w:r w:rsidR="007A59A9" w:rsidRPr="00A565EE">
        <w:rPr>
          <w:rFonts w:asciiTheme="minorHAnsi" w:hAnsiTheme="minorHAnsi" w:cs="Calibri"/>
          <w:b/>
          <w:bCs w:val="0"/>
          <w:i/>
          <w:iCs/>
          <w:sz w:val="24"/>
          <w:szCs w:val="24"/>
        </w:rPr>
        <w:t>’</w:t>
      </w:r>
      <w:r w:rsidRPr="00A565EE">
        <w:rPr>
          <w:rFonts w:asciiTheme="minorHAnsi" w:hAnsiTheme="minorHAnsi" w:cs="Calibri"/>
          <w:b/>
          <w:bCs w:val="0"/>
          <w:i/>
          <w:iCs/>
          <w:sz w:val="24"/>
          <w:szCs w:val="24"/>
        </w:rPr>
        <w:t xml:space="preserve"> database</w:t>
      </w:r>
      <w:r w:rsidR="000222F9" w:rsidRPr="00A565EE">
        <w:rPr>
          <w:rFonts w:asciiTheme="minorHAnsi" w:hAnsiTheme="minorHAnsi" w:cs="Calibri"/>
          <w:sz w:val="24"/>
          <w:szCs w:val="24"/>
        </w:rPr>
        <w:t>:</w:t>
      </w:r>
      <w:r w:rsidRPr="00A565EE">
        <w:rPr>
          <w:rFonts w:asciiTheme="minorHAnsi" w:hAnsiTheme="minorHAnsi" w:cs="Calibri"/>
          <w:sz w:val="24"/>
          <w:szCs w:val="24"/>
        </w:rPr>
        <w:t xml:space="preserve"> </w:t>
      </w:r>
      <w:r w:rsidR="001E16A4" w:rsidRPr="00A565EE">
        <w:rPr>
          <w:rFonts w:asciiTheme="minorHAnsi" w:hAnsiTheme="minorHAnsi" w:cs="Calibri"/>
          <w:sz w:val="24"/>
          <w:szCs w:val="24"/>
        </w:rPr>
        <w:t xml:space="preserve">around </w:t>
      </w:r>
      <w:r w:rsidR="009405B2" w:rsidRPr="00A565EE">
        <w:rPr>
          <w:rFonts w:asciiTheme="minorHAnsi" w:hAnsiTheme="minorHAnsi" w:cs="Calibri"/>
          <w:sz w:val="24"/>
          <w:szCs w:val="24"/>
        </w:rPr>
        <w:t xml:space="preserve">930 </w:t>
      </w:r>
      <w:r w:rsidR="004E1A1B" w:rsidRPr="00A565EE">
        <w:rPr>
          <w:rFonts w:asciiTheme="minorHAnsi" w:hAnsiTheme="minorHAnsi" w:cs="Calibri"/>
          <w:sz w:val="24"/>
          <w:szCs w:val="24"/>
        </w:rPr>
        <w:t xml:space="preserve">Agreements signed by </w:t>
      </w:r>
      <w:r w:rsidR="005A4204" w:rsidRPr="00A565EE">
        <w:rPr>
          <w:rFonts w:asciiTheme="minorHAnsi" w:hAnsiTheme="minorHAnsi" w:cs="Calibri"/>
          <w:sz w:val="24"/>
          <w:szCs w:val="24"/>
        </w:rPr>
        <w:t>ITU/</w:t>
      </w:r>
      <w:r w:rsidR="004E1A1B" w:rsidRPr="00A565EE">
        <w:rPr>
          <w:rFonts w:asciiTheme="minorHAnsi" w:hAnsiTheme="minorHAnsi" w:cs="Calibri"/>
          <w:sz w:val="24"/>
          <w:szCs w:val="24"/>
        </w:rPr>
        <w:t xml:space="preserve">BDT with various </w:t>
      </w:r>
      <w:r w:rsidR="00C97B05" w:rsidRPr="00A565EE">
        <w:rPr>
          <w:rFonts w:asciiTheme="minorHAnsi" w:hAnsiTheme="minorHAnsi" w:cs="Calibri"/>
          <w:sz w:val="24"/>
          <w:szCs w:val="24"/>
        </w:rPr>
        <w:t>stakeholders</w:t>
      </w:r>
      <w:r w:rsidR="001E16A4" w:rsidRPr="00A565EE">
        <w:rPr>
          <w:rFonts w:asciiTheme="minorHAnsi" w:hAnsiTheme="minorHAnsi" w:cs="Calibri"/>
          <w:sz w:val="24"/>
          <w:szCs w:val="24"/>
        </w:rPr>
        <w:t xml:space="preserve"> related to national, regional and global activities, initiatives and projects.</w:t>
      </w:r>
    </w:p>
    <w:p w14:paraId="7C5383E1" w14:textId="5DBDFDB7" w:rsidR="004E1A1B" w:rsidRPr="00A565EE" w:rsidRDefault="004E1A1B" w:rsidP="001E16A4">
      <w:pPr>
        <w:pStyle w:val="ListParagraph"/>
        <w:numPr>
          <w:ilvl w:val="0"/>
          <w:numId w:val="5"/>
        </w:numPr>
        <w:spacing w:after="0"/>
        <w:ind w:left="357" w:hanging="357"/>
        <w:contextualSpacing w:val="0"/>
        <w:rPr>
          <w:rFonts w:asciiTheme="minorHAnsi" w:hAnsiTheme="minorHAnsi" w:cs="Calibri"/>
          <w:sz w:val="24"/>
          <w:szCs w:val="24"/>
        </w:rPr>
      </w:pPr>
      <w:r w:rsidRPr="00A565EE">
        <w:rPr>
          <w:rFonts w:asciiTheme="minorHAnsi" w:hAnsiTheme="minorHAnsi" w:cs="Calibri"/>
          <w:b/>
          <w:bCs w:val="0"/>
          <w:i/>
          <w:iCs/>
          <w:sz w:val="24"/>
          <w:szCs w:val="24"/>
        </w:rPr>
        <w:t xml:space="preserve">The </w:t>
      </w:r>
      <w:hyperlink r:id="rId17" w:history="1">
        <w:r w:rsidR="00F063AD" w:rsidRPr="00A565EE">
          <w:rPr>
            <w:rStyle w:val="Hyperlink"/>
            <w:rFonts w:asciiTheme="minorHAnsi" w:hAnsiTheme="minorHAnsi" w:cs="Calibri"/>
            <w:b/>
            <w:bCs w:val="0"/>
            <w:i/>
            <w:iCs/>
            <w:sz w:val="24"/>
            <w:szCs w:val="24"/>
          </w:rPr>
          <w:t>partnership opportunities website</w:t>
        </w:r>
      </w:hyperlink>
      <w:r w:rsidR="00B91E09" w:rsidRPr="00A565EE">
        <w:rPr>
          <w:rFonts w:asciiTheme="minorHAnsi" w:hAnsiTheme="minorHAnsi" w:cs="Calibri"/>
          <w:sz w:val="24"/>
          <w:szCs w:val="24"/>
        </w:rPr>
        <w:t xml:space="preserve">: </w:t>
      </w:r>
      <w:r w:rsidR="001E16A4" w:rsidRPr="00A565EE">
        <w:rPr>
          <w:rFonts w:asciiTheme="minorHAnsi" w:hAnsiTheme="minorHAnsi" w:cs="Calibri"/>
          <w:sz w:val="24"/>
          <w:szCs w:val="24"/>
        </w:rPr>
        <w:t xml:space="preserve">provision of </w:t>
      </w:r>
      <w:r w:rsidRPr="00A565EE">
        <w:rPr>
          <w:rFonts w:asciiTheme="minorHAnsi" w:hAnsiTheme="minorHAnsi" w:cs="Calibri"/>
          <w:sz w:val="24"/>
          <w:szCs w:val="24"/>
        </w:rPr>
        <w:t xml:space="preserve">information on </w:t>
      </w:r>
      <w:r w:rsidR="000D3EF0" w:rsidRPr="00A565EE">
        <w:rPr>
          <w:rFonts w:asciiTheme="minorHAnsi" w:hAnsiTheme="minorHAnsi" w:cs="Calibri"/>
          <w:sz w:val="24"/>
          <w:szCs w:val="24"/>
        </w:rPr>
        <w:t xml:space="preserve">BDT </w:t>
      </w:r>
      <w:r w:rsidRPr="00A565EE">
        <w:rPr>
          <w:rFonts w:asciiTheme="minorHAnsi" w:hAnsiTheme="minorHAnsi" w:cs="Calibri"/>
          <w:sz w:val="24"/>
          <w:szCs w:val="24"/>
        </w:rPr>
        <w:t>project</w:t>
      </w:r>
      <w:r w:rsidR="000D3EF0" w:rsidRPr="00A565EE">
        <w:rPr>
          <w:rFonts w:asciiTheme="minorHAnsi" w:hAnsiTheme="minorHAnsi" w:cs="Calibri"/>
          <w:sz w:val="24"/>
          <w:szCs w:val="24"/>
        </w:rPr>
        <w:t>s</w:t>
      </w:r>
      <w:r w:rsidR="001E16A4" w:rsidRPr="00A565EE">
        <w:rPr>
          <w:rFonts w:asciiTheme="minorHAnsi" w:hAnsiTheme="minorHAnsi" w:cs="Calibri"/>
          <w:sz w:val="24"/>
          <w:szCs w:val="24"/>
        </w:rPr>
        <w:t xml:space="preserve"> and </w:t>
      </w:r>
      <w:r w:rsidRPr="00A565EE">
        <w:rPr>
          <w:rFonts w:asciiTheme="minorHAnsi" w:hAnsiTheme="minorHAnsi" w:cs="Calibri"/>
          <w:sz w:val="24"/>
          <w:szCs w:val="24"/>
        </w:rPr>
        <w:t>initiative</w:t>
      </w:r>
      <w:r w:rsidR="001E16A4" w:rsidRPr="00A565EE">
        <w:rPr>
          <w:rFonts w:asciiTheme="minorHAnsi" w:hAnsiTheme="minorHAnsi" w:cs="Calibri"/>
          <w:sz w:val="24"/>
          <w:szCs w:val="24"/>
        </w:rPr>
        <w:t xml:space="preserve">s for consideration by potential partners for initiate discussion and further development of </w:t>
      </w:r>
      <w:r w:rsidRPr="00A565EE">
        <w:rPr>
          <w:rFonts w:asciiTheme="minorHAnsi" w:hAnsiTheme="minorHAnsi" w:cs="Calibri"/>
          <w:sz w:val="24"/>
          <w:szCs w:val="24"/>
        </w:rPr>
        <w:t>more complete proposal</w:t>
      </w:r>
      <w:r w:rsidR="001E16A4" w:rsidRPr="00A565EE">
        <w:rPr>
          <w:rFonts w:asciiTheme="minorHAnsi" w:hAnsiTheme="minorHAnsi" w:cs="Calibri"/>
          <w:sz w:val="24"/>
          <w:szCs w:val="24"/>
        </w:rPr>
        <w:t>s</w:t>
      </w:r>
      <w:r w:rsidR="003E4AB0">
        <w:rPr>
          <w:rStyle w:val="FootnoteReference"/>
          <w:rFonts w:cs="Calibri"/>
          <w:szCs w:val="24"/>
        </w:rPr>
        <w:footnoteReference w:id="2"/>
      </w:r>
      <w:r w:rsidRPr="00A565EE">
        <w:rPr>
          <w:rFonts w:asciiTheme="minorHAnsi" w:hAnsiTheme="minorHAnsi" w:cs="Calibri"/>
          <w:sz w:val="24"/>
          <w:szCs w:val="24"/>
        </w:rPr>
        <w:t xml:space="preserve">. </w:t>
      </w:r>
    </w:p>
    <w:p w14:paraId="2AF75BE8" w14:textId="55675DCE" w:rsidR="00D0620C" w:rsidRPr="005D5289" w:rsidRDefault="00F063AD" w:rsidP="000234B4">
      <w:pPr>
        <w:pStyle w:val="ListParagraph"/>
        <w:numPr>
          <w:ilvl w:val="0"/>
          <w:numId w:val="5"/>
        </w:numPr>
        <w:spacing w:after="0"/>
        <w:ind w:left="357" w:hanging="357"/>
        <w:contextualSpacing w:val="0"/>
        <w:rPr>
          <w:rFonts w:asciiTheme="minorHAnsi" w:hAnsiTheme="minorHAnsi" w:cs="Calibri"/>
          <w:sz w:val="24"/>
          <w:szCs w:val="24"/>
        </w:rPr>
      </w:pPr>
      <w:r w:rsidRPr="005D5289">
        <w:rPr>
          <w:rFonts w:asciiTheme="minorHAnsi" w:hAnsiTheme="minorHAnsi" w:cs="Calibri"/>
          <w:b/>
          <w:bCs w:val="0"/>
          <w:i/>
          <w:iCs/>
          <w:sz w:val="24"/>
          <w:szCs w:val="24"/>
        </w:rPr>
        <w:t xml:space="preserve">The </w:t>
      </w:r>
      <w:hyperlink r:id="rId18" w:history="1">
        <w:r w:rsidRPr="005D5289">
          <w:rPr>
            <w:rStyle w:val="Hyperlink"/>
            <w:rFonts w:asciiTheme="minorHAnsi" w:hAnsiTheme="minorHAnsi" w:cs="Calibri"/>
            <w:b/>
            <w:bCs w:val="0"/>
            <w:i/>
            <w:iCs/>
            <w:sz w:val="24"/>
            <w:szCs w:val="24"/>
          </w:rPr>
          <w:t>sponsorship opportunitie</w:t>
        </w:r>
        <w:r w:rsidR="00B415C2" w:rsidRPr="005D5289">
          <w:rPr>
            <w:rStyle w:val="Hyperlink"/>
            <w:rFonts w:asciiTheme="minorHAnsi" w:hAnsiTheme="minorHAnsi" w:cs="Calibri"/>
            <w:b/>
            <w:bCs w:val="0"/>
            <w:i/>
            <w:iCs/>
            <w:sz w:val="24"/>
            <w:szCs w:val="24"/>
          </w:rPr>
          <w:t>s website</w:t>
        </w:r>
      </w:hyperlink>
      <w:r w:rsidRPr="005D5289">
        <w:rPr>
          <w:rFonts w:asciiTheme="minorHAnsi" w:hAnsiTheme="minorHAnsi" w:cs="Calibri"/>
          <w:b/>
          <w:bCs w:val="0"/>
          <w:i/>
          <w:iCs/>
          <w:sz w:val="24"/>
          <w:szCs w:val="24"/>
        </w:rPr>
        <w:t>:</w:t>
      </w:r>
      <w:r w:rsidR="00B91E09" w:rsidRPr="005D5289">
        <w:rPr>
          <w:rFonts w:asciiTheme="minorHAnsi" w:hAnsiTheme="minorHAnsi" w:cs="Calibri"/>
          <w:sz w:val="24"/>
          <w:szCs w:val="24"/>
        </w:rPr>
        <w:t xml:space="preserve"> </w:t>
      </w:r>
      <w:r w:rsidR="0073713B" w:rsidRPr="005D5289">
        <w:rPr>
          <w:rFonts w:asciiTheme="minorHAnsi" w:hAnsiTheme="minorHAnsi" w:cs="Calibri"/>
          <w:sz w:val="24"/>
          <w:szCs w:val="24"/>
        </w:rPr>
        <w:t xml:space="preserve">a </w:t>
      </w:r>
      <w:r w:rsidR="00415E93" w:rsidRPr="005D5289">
        <w:rPr>
          <w:rFonts w:asciiTheme="minorHAnsi" w:hAnsiTheme="minorHAnsi" w:cs="Calibri"/>
          <w:sz w:val="24"/>
          <w:szCs w:val="24"/>
        </w:rPr>
        <w:t xml:space="preserve">newly developed </w:t>
      </w:r>
      <w:r w:rsidR="0073713B" w:rsidRPr="005D5289">
        <w:rPr>
          <w:rFonts w:asciiTheme="minorHAnsi" w:hAnsiTheme="minorHAnsi" w:cs="Calibri"/>
          <w:sz w:val="24"/>
          <w:szCs w:val="24"/>
        </w:rPr>
        <w:t xml:space="preserve">interactive sponsorship platform, available in the </w:t>
      </w:r>
      <w:r w:rsidR="005D5289">
        <w:rPr>
          <w:rFonts w:asciiTheme="minorHAnsi" w:hAnsiTheme="minorHAnsi" w:cs="Calibri"/>
          <w:sz w:val="24"/>
          <w:szCs w:val="24"/>
        </w:rPr>
        <w:t>six</w:t>
      </w:r>
      <w:r w:rsidR="0073713B" w:rsidRPr="005D5289">
        <w:rPr>
          <w:rFonts w:asciiTheme="minorHAnsi" w:hAnsiTheme="minorHAnsi" w:cs="Calibri"/>
          <w:sz w:val="24"/>
          <w:szCs w:val="24"/>
        </w:rPr>
        <w:t xml:space="preserve"> ITU official languages, proposes </w:t>
      </w:r>
      <w:r w:rsidR="002455E0" w:rsidRPr="005D5289">
        <w:rPr>
          <w:rFonts w:asciiTheme="minorHAnsi" w:hAnsiTheme="minorHAnsi" w:cs="Calibri"/>
          <w:sz w:val="24"/>
          <w:szCs w:val="24"/>
        </w:rPr>
        <w:t xml:space="preserve">opportunities </w:t>
      </w:r>
      <w:r w:rsidR="009772E1" w:rsidRPr="005D5289">
        <w:rPr>
          <w:rFonts w:asciiTheme="minorHAnsi" w:hAnsiTheme="minorHAnsi" w:cs="Calibri"/>
          <w:sz w:val="24"/>
          <w:szCs w:val="24"/>
        </w:rPr>
        <w:t xml:space="preserve">for </w:t>
      </w:r>
      <w:r w:rsidR="002455E0" w:rsidRPr="005D5289">
        <w:rPr>
          <w:rFonts w:asciiTheme="minorHAnsi" w:hAnsiTheme="minorHAnsi" w:cs="Calibri"/>
          <w:sz w:val="24"/>
          <w:szCs w:val="24"/>
        </w:rPr>
        <w:t xml:space="preserve">entities </w:t>
      </w:r>
      <w:r w:rsidR="001E16A4" w:rsidRPr="005D5289">
        <w:rPr>
          <w:rFonts w:asciiTheme="minorHAnsi" w:hAnsiTheme="minorHAnsi" w:cs="Calibri"/>
          <w:sz w:val="24"/>
          <w:szCs w:val="24"/>
        </w:rPr>
        <w:t xml:space="preserve">to enhance visibility, </w:t>
      </w:r>
      <w:r w:rsidR="002455E0" w:rsidRPr="005D5289">
        <w:rPr>
          <w:rFonts w:asciiTheme="minorHAnsi" w:hAnsiTheme="minorHAnsi" w:cs="Calibri"/>
          <w:sz w:val="24"/>
          <w:szCs w:val="24"/>
        </w:rPr>
        <w:t>promot</w:t>
      </w:r>
      <w:r w:rsidR="001E16A4" w:rsidRPr="005D5289">
        <w:rPr>
          <w:rFonts w:asciiTheme="minorHAnsi" w:hAnsiTheme="minorHAnsi" w:cs="Calibri"/>
          <w:sz w:val="24"/>
          <w:szCs w:val="24"/>
        </w:rPr>
        <w:t>e</w:t>
      </w:r>
      <w:r w:rsidR="002455E0" w:rsidRPr="005D5289">
        <w:rPr>
          <w:rFonts w:asciiTheme="minorHAnsi" w:hAnsiTheme="minorHAnsi" w:cs="Calibri"/>
          <w:sz w:val="24"/>
          <w:szCs w:val="24"/>
        </w:rPr>
        <w:t xml:space="preserve"> brand</w:t>
      </w:r>
      <w:r w:rsidR="00415E93">
        <w:rPr>
          <w:rFonts w:asciiTheme="minorHAnsi" w:hAnsiTheme="minorHAnsi" w:cs="Calibri"/>
          <w:sz w:val="24"/>
          <w:szCs w:val="24"/>
        </w:rPr>
        <w:t>s,</w:t>
      </w:r>
      <w:r w:rsidR="002455E0" w:rsidRPr="005D5289">
        <w:rPr>
          <w:rFonts w:asciiTheme="minorHAnsi" w:hAnsiTheme="minorHAnsi" w:cs="Calibri"/>
          <w:sz w:val="24"/>
          <w:szCs w:val="24"/>
        </w:rPr>
        <w:t xml:space="preserve"> and </w:t>
      </w:r>
      <w:r w:rsidR="00D0620C" w:rsidRPr="005D5289">
        <w:rPr>
          <w:rFonts w:asciiTheme="minorHAnsi" w:hAnsiTheme="minorHAnsi" w:cs="Calibri"/>
          <w:sz w:val="24"/>
          <w:szCs w:val="24"/>
        </w:rPr>
        <w:t xml:space="preserve">showcase </w:t>
      </w:r>
      <w:r w:rsidR="009405B2" w:rsidRPr="005D5289">
        <w:rPr>
          <w:rFonts w:asciiTheme="minorHAnsi" w:hAnsiTheme="minorHAnsi" w:cs="Calibri"/>
          <w:sz w:val="24"/>
          <w:szCs w:val="24"/>
        </w:rPr>
        <w:t xml:space="preserve">ICT </w:t>
      </w:r>
      <w:r w:rsidR="002455E0" w:rsidRPr="005D5289">
        <w:rPr>
          <w:rFonts w:asciiTheme="minorHAnsi" w:hAnsiTheme="minorHAnsi" w:cs="Calibri"/>
          <w:sz w:val="24"/>
          <w:szCs w:val="24"/>
        </w:rPr>
        <w:t xml:space="preserve">products </w:t>
      </w:r>
      <w:r w:rsidR="005A4204" w:rsidRPr="005D5289">
        <w:rPr>
          <w:rFonts w:asciiTheme="minorHAnsi" w:hAnsiTheme="minorHAnsi" w:cs="Calibri"/>
          <w:sz w:val="24"/>
          <w:szCs w:val="24"/>
        </w:rPr>
        <w:t xml:space="preserve">and solutions </w:t>
      </w:r>
      <w:r w:rsidR="000234B4">
        <w:rPr>
          <w:rFonts w:asciiTheme="minorHAnsi" w:hAnsiTheme="minorHAnsi" w:cs="Calibri"/>
          <w:sz w:val="24"/>
          <w:szCs w:val="24"/>
        </w:rPr>
        <w:t xml:space="preserve">via side and social activities of </w:t>
      </w:r>
      <w:r w:rsidR="005A4204" w:rsidRPr="005D5289">
        <w:rPr>
          <w:rFonts w:asciiTheme="minorHAnsi" w:hAnsiTheme="minorHAnsi" w:cs="Calibri"/>
          <w:sz w:val="24"/>
          <w:szCs w:val="24"/>
        </w:rPr>
        <w:t xml:space="preserve">global or regional </w:t>
      </w:r>
      <w:r w:rsidR="002455E0" w:rsidRPr="005D5289">
        <w:rPr>
          <w:rFonts w:asciiTheme="minorHAnsi" w:hAnsiTheme="minorHAnsi" w:cs="Calibri"/>
          <w:sz w:val="24"/>
          <w:szCs w:val="24"/>
        </w:rPr>
        <w:t>events organized by BDT.</w:t>
      </w:r>
      <w:r w:rsidR="004E1A1B" w:rsidRPr="005D5289">
        <w:rPr>
          <w:rFonts w:asciiTheme="minorHAnsi" w:hAnsiTheme="minorHAnsi" w:cs="Calibri"/>
          <w:sz w:val="24"/>
          <w:szCs w:val="24"/>
        </w:rPr>
        <w:t xml:space="preserve"> </w:t>
      </w:r>
      <w:r w:rsidR="00D0620C" w:rsidRPr="005D5289">
        <w:rPr>
          <w:rFonts w:asciiTheme="minorHAnsi" w:hAnsiTheme="minorHAnsi"/>
          <w:sz w:val="24"/>
          <w:szCs w:val="24"/>
        </w:rPr>
        <w:t>Current</w:t>
      </w:r>
      <w:r w:rsidR="0073713B" w:rsidRPr="005D5289">
        <w:rPr>
          <w:rFonts w:asciiTheme="minorHAnsi" w:hAnsiTheme="minorHAnsi"/>
          <w:sz w:val="24"/>
          <w:szCs w:val="24"/>
        </w:rPr>
        <w:t xml:space="preserve"> </w:t>
      </w:r>
      <w:r w:rsidR="00D0620C" w:rsidRPr="005D5289">
        <w:rPr>
          <w:rFonts w:asciiTheme="minorHAnsi" w:hAnsiTheme="minorHAnsi"/>
          <w:sz w:val="24"/>
          <w:szCs w:val="24"/>
        </w:rPr>
        <w:t xml:space="preserve">sponsorship </w:t>
      </w:r>
      <w:r w:rsidR="0073713B" w:rsidRPr="005D5289">
        <w:rPr>
          <w:rFonts w:asciiTheme="minorHAnsi" w:hAnsiTheme="minorHAnsi"/>
          <w:sz w:val="24"/>
          <w:szCs w:val="24"/>
        </w:rPr>
        <w:t xml:space="preserve">packages </w:t>
      </w:r>
      <w:r w:rsidR="00D0620C" w:rsidRPr="005D5289">
        <w:rPr>
          <w:rFonts w:asciiTheme="minorHAnsi" w:hAnsiTheme="minorHAnsi"/>
          <w:sz w:val="24"/>
          <w:szCs w:val="24"/>
        </w:rPr>
        <w:t>are proposed for side and/or social activities at the occasion of GSR-17, WTDC-17</w:t>
      </w:r>
      <w:r w:rsidR="00415E93">
        <w:rPr>
          <w:rFonts w:asciiTheme="minorHAnsi" w:hAnsiTheme="minorHAnsi"/>
          <w:sz w:val="24"/>
          <w:szCs w:val="24"/>
        </w:rPr>
        <w:t>,</w:t>
      </w:r>
      <w:r w:rsidR="00D0620C" w:rsidRPr="005D5289">
        <w:rPr>
          <w:rFonts w:asciiTheme="minorHAnsi" w:hAnsiTheme="minorHAnsi"/>
          <w:sz w:val="24"/>
          <w:szCs w:val="24"/>
        </w:rPr>
        <w:t xml:space="preserve"> and </w:t>
      </w:r>
      <w:r w:rsidR="00415E93">
        <w:rPr>
          <w:rFonts w:asciiTheme="minorHAnsi" w:hAnsiTheme="minorHAnsi"/>
          <w:sz w:val="24"/>
          <w:szCs w:val="24"/>
        </w:rPr>
        <w:t xml:space="preserve">the </w:t>
      </w:r>
      <w:r w:rsidR="00D0620C" w:rsidRPr="005D5289">
        <w:rPr>
          <w:rFonts w:asciiTheme="minorHAnsi" w:hAnsiTheme="minorHAnsi"/>
          <w:sz w:val="24"/>
          <w:szCs w:val="24"/>
        </w:rPr>
        <w:t>ITU-D 25</w:t>
      </w:r>
      <w:r w:rsidR="00D0620C" w:rsidRPr="005D5289">
        <w:rPr>
          <w:rFonts w:asciiTheme="minorHAnsi" w:hAnsiTheme="minorHAnsi"/>
          <w:sz w:val="24"/>
          <w:szCs w:val="24"/>
          <w:vertAlign w:val="superscript"/>
        </w:rPr>
        <w:t>th</w:t>
      </w:r>
      <w:r w:rsidR="00D0620C" w:rsidRPr="005D5289">
        <w:rPr>
          <w:rFonts w:asciiTheme="minorHAnsi" w:hAnsiTheme="minorHAnsi"/>
          <w:sz w:val="24"/>
          <w:szCs w:val="24"/>
        </w:rPr>
        <w:t xml:space="preserve"> Anniversary.</w:t>
      </w:r>
      <w:r w:rsidR="0079032C" w:rsidRPr="005D5289">
        <w:rPr>
          <w:rFonts w:asciiTheme="minorHAnsi" w:hAnsiTheme="minorHAnsi"/>
          <w:sz w:val="24"/>
          <w:szCs w:val="24"/>
        </w:rPr>
        <w:t xml:space="preserve"> </w:t>
      </w:r>
      <w:r w:rsidR="0073713B" w:rsidRPr="005D5289">
        <w:rPr>
          <w:rFonts w:asciiTheme="minorHAnsi" w:hAnsiTheme="minorHAnsi" w:cs="Calibri"/>
          <w:sz w:val="24"/>
          <w:szCs w:val="24"/>
        </w:rPr>
        <w:t xml:space="preserve">Discounts are offered to ITU-D </w:t>
      </w:r>
      <w:r w:rsidR="00415E93">
        <w:rPr>
          <w:rFonts w:asciiTheme="minorHAnsi" w:hAnsiTheme="minorHAnsi" w:cs="Calibri"/>
          <w:sz w:val="24"/>
          <w:szCs w:val="24"/>
        </w:rPr>
        <w:t>m</w:t>
      </w:r>
      <w:r w:rsidR="00415E93" w:rsidRPr="005D5289">
        <w:rPr>
          <w:rFonts w:asciiTheme="minorHAnsi" w:hAnsiTheme="minorHAnsi" w:cs="Calibri"/>
          <w:sz w:val="24"/>
          <w:szCs w:val="24"/>
        </w:rPr>
        <w:t xml:space="preserve">embership </w:t>
      </w:r>
      <w:r w:rsidR="0073713B" w:rsidRPr="005D5289">
        <w:rPr>
          <w:rFonts w:asciiTheme="minorHAnsi" w:hAnsiTheme="minorHAnsi" w:cs="Calibri"/>
          <w:sz w:val="24"/>
          <w:szCs w:val="24"/>
        </w:rPr>
        <w:t xml:space="preserve">for open events/meetings as well as for multiple sponsored activities. </w:t>
      </w:r>
      <w:r w:rsidR="0079032C" w:rsidRPr="005D5289">
        <w:rPr>
          <w:rFonts w:asciiTheme="minorHAnsi" w:hAnsiTheme="minorHAnsi"/>
          <w:sz w:val="24"/>
          <w:szCs w:val="24"/>
        </w:rPr>
        <w:t xml:space="preserve">All resources mobilized will be used </w:t>
      </w:r>
      <w:r w:rsidR="0073713B" w:rsidRPr="005D5289">
        <w:rPr>
          <w:rFonts w:asciiTheme="minorHAnsi" w:hAnsiTheme="minorHAnsi"/>
          <w:sz w:val="24"/>
          <w:szCs w:val="24"/>
        </w:rPr>
        <w:t xml:space="preserve">to organize </w:t>
      </w:r>
      <w:r w:rsidR="0079032C" w:rsidRPr="005D5289">
        <w:rPr>
          <w:rFonts w:asciiTheme="minorHAnsi" w:hAnsiTheme="minorHAnsi"/>
          <w:sz w:val="24"/>
          <w:szCs w:val="24"/>
        </w:rPr>
        <w:t xml:space="preserve">activities </w:t>
      </w:r>
      <w:r w:rsidR="0073713B" w:rsidRPr="005D5289">
        <w:rPr>
          <w:rFonts w:asciiTheme="minorHAnsi" w:hAnsiTheme="minorHAnsi"/>
          <w:sz w:val="24"/>
          <w:szCs w:val="24"/>
        </w:rPr>
        <w:t xml:space="preserve">sponsored and to implement </w:t>
      </w:r>
      <w:r w:rsidR="0079032C" w:rsidRPr="005D5289">
        <w:rPr>
          <w:rFonts w:asciiTheme="minorHAnsi" w:hAnsiTheme="minorHAnsi"/>
          <w:sz w:val="24"/>
          <w:szCs w:val="24"/>
        </w:rPr>
        <w:t>activities</w:t>
      </w:r>
      <w:r w:rsidR="0073713B" w:rsidRPr="005D5289">
        <w:rPr>
          <w:rFonts w:asciiTheme="minorHAnsi" w:hAnsiTheme="minorHAnsi"/>
          <w:sz w:val="24"/>
          <w:szCs w:val="24"/>
        </w:rPr>
        <w:t xml:space="preserve">, </w:t>
      </w:r>
      <w:r w:rsidR="0079032C" w:rsidRPr="005D5289">
        <w:rPr>
          <w:rFonts w:asciiTheme="minorHAnsi" w:hAnsiTheme="minorHAnsi"/>
          <w:sz w:val="24"/>
          <w:szCs w:val="24"/>
        </w:rPr>
        <w:t>projects</w:t>
      </w:r>
      <w:r w:rsidR="00415E93">
        <w:rPr>
          <w:rFonts w:asciiTheme="minorHAnsi" w:hAnsiTheme="minorHAnsi"/>
          <w:sz w:val="24"/>
          <w:szCs w:val="24"/>
        </w:rPr>
        <w:t>,</w:t>
      </w:r>
      <w:r w:rsidR="0073713B" w:rsidRPr="005D5289">
        <w:rPr>
          <w:rFonts w:asciiTheme="minorHAnsi" w:hAnsiTheme="minorHAnsi"/>
          <w:sz w:val="24"/>
          <w:szCs w:val="24"/>
        </w:rPr>
        <w:t xml:space="preserve"> and initiatives</w:t>
      </w:r>
      <w:r w:rsidR="0079032C" w:rsidRPr="005D5289">
        <w:rPr>
          <w:rFonts w:asciiTheme="minorHAnsi" w:hAnsiTheme="minorHAnsi"/>
          <w:sz w:val="24"/>
          <w:szCs w:val="24"/>
        </w:rPr>
        <w:t xml:space="preserve">, including the </w:t>
      </w:r>
      <w:r w:rsidR="00415E93">
        <w:rPr>
          <w:rFonts w:asciiTheme="minorHAnsi" w:hAnsiTheme="minorHAnsi"/>
          <w:sz w:val="24"/>
          <w:szCs w:val="24"/>
        </w:rPr>
        <w:t>R</w:t>
      </w:r>
      <w:r w:rsidR="00415E93" w:rsidRPr="005D5289">
        <w:rPr>
          <w:rFonts w:asciiTheme="minorHAnsi" w:hAnsiTheme="minorHAnsi"/>
          <w:sz w:val="24"/>
          <w:szCs w:val="24"/>
        </w:rPr>
        <w:t xml:space="preserve">egional </w:t>
      </w:r>
      <w:r w:rsidR="00415E93">
        <w:rPr>
          <w:rFonts w:asciiTheme="minorHAnsi" w:hAnsiTheme="minorHAnsi"/>
          <w:sz w:val="24"/>
          <w:szCs w:val="24"/>
        </w:rPr>
        <w:t>I</w:t>
      </w:r>
      <w:r w:rsidR="00415E93" w:rsidRPr="005D5289">
        <w:rPr>
          <w:rFonts w:asciiTheme="minorHAnsi" w:hAnsiTheme="minorHAnsi"/>
          <w:sz w:val="24"/>
          <w:szCs w:val="24"/>
        </w:rPr>
        <w:t>nitiatives</w:t>
      </w:r>
      <w:r w:rsidR="0073713B" w:rsidRPr="005D5289">
        <w:rPr>
          <w:rFonts w:asciiTheme="minorHAnsi" w:hAnsiTheme="minorHAnsi"/>
          <w:sz w:val="24"/>
          <w:szCs w:val="24"/>
        </w:rPr>
        <w:t>,</w:t>
      </w:r>
      <w:r w:rsidR="0079032C" w:rsidRPr="005D5289">
        <w:rPr>
          <w:rFonts w:asciiTheme="minorHAnsi" w:hAnsiTheme="minorHAnsi"/>
          <w:sz w:val="24"/>
          <w:szCs w:val="24"/>
        </w:rPr>
        <w:t xml:space="preserve"> in the framework of the </w:t>
      </w:r>
      <w:r w:rsidR="0079032C" w:rsidRPr="003314BF">
        <w:rPr>
          <w:rFonts w:asciiTheme="minorHAnsi" w:hAnsiTheme="minorHAnsi"/>
          <w:sz w:val="24"/>
          <w:szCs w:val="24"/>
        </w:rPr>
        <w:t>WTDC-14</w:t>
      </w:r>
      <w:r w:rsidR="00415E93" w:rsidRPr="00415E93">
        <w:rPr>
          <w:rFonts w:asciiTheme="minorHAnsi" w:hAnsiTheme="minorHAnsi"/>
          <w:sz w:val="24"/>
          <w:szCs w:val="24"/>
        </w:rPr>
        <w:t xml:space="preserve"> </w:t>
      </w:r>
      <w:r w:rsidR="00415E93" w:rsidRPr="005D5289">
        <w:rPr>
          <w:rFonts w:asciiTheme="minorHAnsi" w:hAnsiTheme="minorHAnsi"/>
          <w:sz w:val="24"/>
          <w:szCs w:val="24"/>
        </w:rPr>
        <w:t xml:space="preserve">Action </w:t>
      </w:r>
      <w:proofErr w:type="gramStart"/>
      <w:r w:rsidR="00415E93" w:rsidRPr="005D5289">
        <w:rPr>
          <w:rFonts w:asciiTheme="minorHAnsi" w:hAnsiTheme="minorHAnsi"/>
          <w:sz w:val="24"/>
          <w:szCs w:val="24"/>
        </w:rPr>
        <w:t xml:space="preserve">Plan </w:t>
      </w:r>
      <w:proofErr w:type="gramEnd"/>
      <w:r w:rsidR="003E4AB0">
        <w:rPr>
          <w:rStyle w:val="FootnoteReference"/>
          <w:szCs w:val="24"/>
        </w:rPr>
        <w:footnoteReference w:id="3"/>
      </w:r>
      <w:r w:rsidR="0079032C" w:rsidRPr="005D5289">
        <w:rPr>
          <w:rFonts w:asciiTheme="minorHAnsi" w:hAnsiTheme="minorHAnsi"/>
          <w:sz w:val="24"/>
          <w:szCs w:val="24"/>
        </w:rPr>
        <w:t>.</w:t>
      </w:r>
    </w:p>
    <w:p w14:paraId="6E8D8ED9" w14:textId="77777777" w:rsidR="00B022A1" w:rsidRPr="005D5289" w:rsidRDefault="00B022A1" w:rsidP="00C41B23">
      <w:pPr>
        <w:pStyle w:val="CEOParagraph1"/>
        <w:numPr>
          <w:ilvl w:val="1"/>
          <w:numId w:val="20"/>
        </w:numPr>
        <w:spacing w:before="120" w:after="0"/>
        <w:ind w:left="567" w:hanging="567"/>
        <w:rPr>
          <w:rFonts w:asciiTheme="minorHAnsi" w:hAnsiTheme="minorHAnsi"/>
          <w:sz w:val="24"/>
          <w:szCs w:val="24"/>
        </w:rPr>
      </w:pPr>
      <w:r w:rsidRPr="005D5289">
        <w:rPr>
          <w:rFonts w:asciiTheme="minorHAnsi" w:hAnsiTheme="minorHAnsi"/>
          <w:sz w:val="24"/>
          <w:szCs w:val="24"/>
        </w:rPr>
        <w:lastRenderedPageBreak/>
        <w:t>Glob</w:t>
      </w:r>
      <w:r w:rsidRPr="005D5289">
        <w:rPr>
          <w:rFonts w:asciiTheme="minorHAnsi" w:hAnsiTheme="minorHAnsi"/>
          <w:sz w:val="24"/>
          <w:szCs w:val="24"/>
          <w:lang w:eastAsia="zh-CN"/>
        </w:rPr>
        <w:t>a</w:t>
      </w:r>
      <w:r w:rsidRPr="005D5289">
        <w:rPr>
          <w:rFonts w:asciiTheme="minorHAnsi" w:hAnsiTheme="minorHAnsi"/>
          <w:sz w:val="24"/>
          <w:szCs w:val="24"/>
        </w:rPr>
        <w:t>l partnerships</w:t>
      </w:r>
    </w:p>
    <w:p w14:paraId="47AE042E" w14:textId="7986832C" w:rsidR="00DC1824" w:rsidRPr="00A565EE" w:rsidRDefault="00755384">
      <w:pPr>
        <w:pStyle w:val="CEOParagraph1"/>
        <w:numPr>
          <w:ilvl w:val="0"/>
          <w:numId w:val="0"/>
        </w:numPr>
        <w:spacing w:before="120" w:after="0"/>
        <w:rPr>
          <w:rFonts w:asciiTheme="minorHAnsi" w:hAnsiTheme="minorHAnsi"/>
          <w:b w:val="0"/>
          <w:bCs w:val="0"/>
          <w:sz w:val="24"/>
          <w:szCs w:val="24"/>
        </w:rPr>
      </w:pPr>
      <w:r w:rsidRPr="00A565EE">
        <w:rPr>
          <w:rFonts w:asciiTheme="minorHAnsi" w:hAnsiTheme="minorHAnsi"/>
          <w:b w:val="0"/>
          <w:bCs w:val="0"/>
          <w:sz w:val="24"/>
          <w:szCs w:val="24"/>
        </w:rPr>
        <w:t>While BDT pays particular attention at nurturing relationship</w:t>
      </w:r>
      <w:r w:rsidR="005378F0" w:rsidRPr="00A565EE">
        <w:rPr>
          <w:rFonts w:asciiTheme="minorHAnsi" w:hAnsiTheme="minorHAnsi"/>
          <w:b w:val="0"/>
          <w:bCs w:val="0"/>
          <w:sz w:val="24"/>
          <w:szCs w:val="24"/>
        </w:rPr>
        <w:t xml:space="preserve"> </w:t>
      </w:r>
      <w:r w:rsidRPr="00A565EE">
        <w:rPr>
          <w:rFonts w:asciiTheme="minorHAnsi" w:hAnsiTheme="minorHAnsi"/>
          <w:b w:val="0"/>
          <w:bCs w:val="0"/>
          <w:sz w:val="24"/>
          <w:szCs w:val="24"/>
        </w:rPr>
        <w:t>with existing partners</w:t>
      </w:r>
      <w:r w:rsidR="005378F0" w:rsidRPr="00A565EE">
        <w:rPr>
          <w:rFonts w:asciiTheme="minorHAnsi" w:hAnsiTheme="minorHAnsi"/>
          <w:b w:val="0"/>
          <w:bCs w:val="0"/>
          <w:sz w:val="24"/>
          <w:szCs w:val="24"/>
        </w:rPr>
        <w:t xml:space="preserve"> and engaging them in </w:t>
      </w:r>
      <w:r w:rsidR="00415E93">
        <w:rPr>
          <w:rFonts w:asciiTheme="minorHAnsi" w:hAnsiTheme="minorHAnsi"/>
          <w:b w:val="0"/>
          <w:bCs w:val="0"/>
          <w:sz w:val="24"/>
          <w:szCs w:val="24"/>
        </w:rPr>
        <w:t xml:space="preserve">a </w:t>
      </w:r>
      <w:r w:rsidR="005378F0" w:rsidRPr="00A565EE">
        <w:rPr>
          <w:rFonts w:asciiTheme="minorHAnsi" w:hAnsiTheme="minorHAnsi"/>
          <w:b w:val="0"/>
          <w:bCs w:val="0"/>
          <w:sz w:val="24"/>
          <w:szCs w:val="24"/>
        </w:rPr>
        <w:t>lasting relationship</w:t>
      </w:r>
      <w:r w:rsidRPr="00A565EE">
        <w:rPr>
          <w:rFonts w:asciiTheme="minorHAnsi" w:hAnsiTheme="minorHAnsi"/>
          <w:b w:val="0"/>
          <w:bCs w:val="0"/>
          <w:sz w:val="24"/>
          <w:szCs w:val="24"/>
        </w:rPr>
        <w:t xml:space="preserve">, </w:t>
      </w:r>
      <w:r w:rsidR="005378F0" w:rsidRPr="00A565EE">
        <w:rPr>
          <w:rFonts w:asciiTheme="minorHAnsi" w:hAnsiTheme="minorHAnsi"/>
          <w:b w:val="0"/>
          <w:bCs w:val="0"/>
          <w:sz w:val="24"/>
          <w:szCs w:val="24"/>
        </w:rPr>
        <w:t xml:space="preserve">BDT also </w:t>
      </w:r>
      <w:r w:rsidR="00415E93" w:rsidRPr="00A565EE">
        <w:rPr>
          <w:rFonts w:asciiTheme="minorHAnsi" w:hAnsiTheme="minorHAnsi"/>
          <w:b w:val="0"/>
          <w:bCs w:val="0"/>
          <w:sz w:val="24"/>
          <w:szCs w:val="24"/>
        </w:rPr>
        <w:t>recognize</w:t>
      </w:r>
      <w:r w:rsidR="00415E93">
        <w:rPr>
          <w:rFonts w:asciiTheme="minorHAnsi" w:hAnsiTheme="minorHAnsi"/>
          <w:b w:val="0"/>
          <w:bCs w:val="0"/>
          <w:sz w:val="24"/>
          <w:szCs w:val="24"/>
        </w:rPr>
        <w:t>s</w:t>
      </w:r>
      <w:r w:rsidR="00415E93" w:rsidRPr="00A565EE">
        <w:rPr>
          <w:rFonts w:asciiTheme="minorHAnsi" w:hAnsiTheme="minorHAnsi"/>
          <w:b w:val="0"/>
          <w:bCs w:val="0"/>
          <w:sz w:val="24"/>
          <w:szCs w:val="24"/>
        </w:rPr>
        <w:t xml:space="preserve"> </w:t>
      </w:r>
      <w:r w:rsidR="005378F0" w:rsidRPr="00A565EE">
        <w:rPr>
          <w:rFonts w:asciiTheme="minorHAnsi" w:hAnsiTheme="minorHAnsi"/>
          <w:b w:val="0"/>
          <w:bCs w:val="0"/>
          <w:sz w:val="24"/>
          <w:szCs w:val="24"/>
        </w:rPr>
        <w:t xml:space="preserve">the importance of widening and diversifying its </w:t>
      </w:r>
      <w:r w:rsidRPr="00A565EE">
        <w:rPr>
          <w:rFonts w:asciiTheme="minorHAnsi" w:hAnsiTheme="minorHAnsi"/>
          <w:b w:val="0"/>
          <w:bCs w:val="0"/>
          <w:sz w:val="24"/>
          <w:szCs w:val="24"/>
        </w:rPr>
        <w:t>partner base</w:t>
      </w:r>
      <w:r w:rsidR="005378F0" w:rsidRPr="00A565EE">
        <w:rPr>
          <w:rFonts w:asciiTheme="minorHAnsi" w:hAnsiTheme="minorHAnsi"/>
          <w:b w:val="0"/>
          <w:bCs w:val="0"/>
          <w:sz w:val="24"/>
          <w:szCs w:val="24"/>
        </w:rPr>
        <w:t xml:space="preserve"> through outreaching activities towards </w:t>
      </w:r>
      <w:r w:rsidR="00B36275" w:rsidRPr="00A565EE">
        <w:rPr>
          <w:rFonts w:asciiTheme="minorHAnsi" w:hAnsiTheme="minorHAnsi"/>
          <w:b w:val="0"/>
          <w:bCs w:val="0"/>
          <w:sz w:val="24"/>
          <w:szCs w:val="24"/>
        </w:rPr>
        <w:t>nontraditional</w:t>
      </w:r>
      <w:r w:rsidR="005378F0" w:rsidRPr="00A565EE">
        <w:rPr>
          <w:rFonts w:asciiTheme="minorHAnsi" w:hAnsiTheme="minorHAnsi"/>
          <w:b w:val="0"/>
          <w:bCs w:val="0"/>
          <w:sz w:val="24"/>
          <w:szCs w:val="24"/>
        </w:rPr>
        <w:t xml:space="preserve"> partners.</w:t>
      </w:r>
    </w:p>
    <w:p w14:paraId="79E34188" w14:textId="5B763BE5" w:rsidR="00755384" w:rsidRPr="00A565EE" w:rsidRDefault="005378F0">
      <w:pPr>
        <w:pStyle w:val="CEOParagraph1"/>
        <w:numPr>
          <w:ilvl w:val="0"/>
          <w:numId w:val="0"/>
        </w:numPr>
        <w:spacing w:before="120" w:after="0"/>
        <w:rPr>
          <w:rFonts w:asciiTheme="minorHAnsi" w:hAnsiTheme="minorHAnsi"/>
          <w:b w:val="0"/>
          <w:bCs w:val="0"/>
          <w:sz w:val="24"/>
          <w:szCs w:val="24"/>
        </w:rPr>
      </w:pPr>
      <w:r w:rsidRPr="00A565EE">
        <w:rPr>
          <w:rFonts w:asciiTheme="minorHAnsi" w:hAnsiTheme="minorHAnsi"/>
          <w:b w:val="0"/>
          <w:bCs w:val="0"/>
          <w:sz w:val="24"/>
          <w:szCs w:val="24"/>
        </w:rPr>
        <w:t>Thus, in a converge</w:t>
      </w:r>
      <w:r w:rsidR="00415E93">
        <w:rPr>
          <w:rFonts w:asciiTheme="minorHAnsi" w:hAnsiTheme="minorHAnsi"/>
          <w:b w:val="0"/>
          <w:bCs w:val="0"/>
          <w:sz w:val="24"/>
          <w:szCs w:val="24"/>
        </w:rPr>
        <w:t>n</w:t>
      </w:r>
      <w:r w:rsidRPr="00A565EE">
        <w:rPr>
          <w:rFonts w:asciiTheme="minorHAnsi" w:hAnsiTheme="minorHAnsi"/>
          <w:b w:val="0"/>
          <w:bCs w:val="0"/>
          <w:sz w:val="24"/>
          <w:szCs w:val="24"/>
        </w:rPr>
        <w:t xml:space="preserve">t ICT ecosystem, </w:t>
      </w:r>
      <w:r w:rsidR="00755384" w:rsidRPr="00A565EE">
        <w:rPr>
          <w:rFonts w:asciiTheme="minorHAnsi" w:hAnsiTheme="minorHAnsi"/>
          <w:b w:val="0"/>
          <w:bCs w:val="0"/>
          <w:sz w:val="24"/>
          <w:szCs w:val="24"/>
        </w:rPr>
        <w:t xml:space="preserve">BDT </w:t>
      </w:r>
      <w:r w:rsidR="00415E93">
        <w:rPr>
          <w:rFonts w:asciiTheme="minorHAnsi" w:hAnsiTheme="minorHAnsi"/>
          <w:b w:val="0"/>
          <w:bCs w:val="0"/>
          <w:sz w:val="24"/>
          <w:szCs w:val="24"/>
        </w:rPr>
        <w:t>is putting</w:t>
      </w:r>
      <w:r w:rsidR="00415E93" w:rsidRPr="00A565EE">
        <w:rPr>
          <w:rFonts w:asciiTheme="minorHAnsi" w:hAnsiTheme="minorHAnsi"/>
          <w:b w:val="0"/>
          <w:bCs w:val="0"/>
          <w:sz w:val="24"/>
          <w:szCs w:val="24"/>
        </w:rPr>
        <w:t xml:space="preserve"> </w:t>
      </w:r>
      <w:r w:rsidRPr="00A565EE">
        <w:rPr>
          <w:rFonts w:asciiTheme="minorHAnsi" w:hAnsiTheme="minorHAnsi"/>
          <w:b w:val="0"/>
          <w:bCs w:val="0"/>
          <w:sz w:val="24"/>
          <w:szCs w:val="24"/>
        </w:rPr>
        <w:t>special efforts in</w:t>
      </w:r>
      <w:r w:rsidR="00415E93">
        <w:rPr>
          <w:rFonts w:asciiTheme="minorHAnsi" w:hAnsiTheme="minorHAnsi"/>
          <w:b w:val="0"/>
          <w:bCs w:val="0"/>
          <w:sz w:val="24"/>
          <w:szCs w:val="24"/>
        </w:rPr>
        <w:t>to</w:t>
      </w:r>
      <w:r w:rsidRPr="00A565EE">
        <w:rPr>
          <w:rFonts w:asciiTheme="minorHAnsi" w:hAnsiTheme="minorHAnsi"/>
          <w:b w:val="0"/>
          <w:bCs w:val="0"/>
          <w:sz w:val="24"/>
          <w:szCs w:val="24"/>
        </w:rPr>
        <w:t xml:space="preserve"> reaching out </w:t>
      </w:r>
      <w:r w:rsidR="00415E93">
        <w:rPr>
          <w:rFonts w:asciiTheme="minorHAnsi" w:hAnsiTheme="minorHAnsi"/>
          <w:b w:val="0"/>
          <w:bCs w:val="0"/>
          <w:sz w:val="24"/>
          <w:szCs w:val="24"/>
        </w:rPr>
        <w:t xml:space="preserve">to </w:t>
      </w:r>
      <w:r w:rsidR="00755384" w:rsidRPr="00A565EE">
        <w:rPr>
          <w:rFonts w:asciiTheme="minorHAnsi" w:hAnsiTheme="minorHAnsi"/>
          <w:b w:val="0"/>
          <w:bCs w:val="0"/>
          <w:sz w:val="24"/>
          <w:szCs w:val="24"/>
        </w:rPr>
        <w:t xml:space="preserve">entities </w:t>
      </w:r>
      <w:r w:rsidRPr="00A565EE">
        <w:rPr>
          <w:rFonts w:asciiTheme="minorHAnsi" w:hAnsiTheme="minorHAnsi"/>
          <w:b w:val="0"/>
          <w:bCs w:val="0"/>
          <w:sz w:val="24"/>
          <w:szCs w:val="24"/>
        </w:rPr>
        <w:t xml:space="preserve">operating in </w:t>
      </w:r>
      <w:r w:rsidR="00755384" w:rsidRPr="00A565EE">
        <w:rPr>
          <w:rFonts w:asciiTheme="minorHAnsi" w:hAnsiTheme="minorHAnsi"/>
          <w:b w:val="0"/>
          <w:bCs w:val="0"/>
          <w:sz w:val="24"/>
          <w:szCs w:val="24"/>
        </w:rPr>
        <w:t xml:space="preserve">other sectors such as </w:t>
      </w:r>
      <w:r w:rsidR="00DC1824" w:rsidRPr="00A565EE">
        <w:rPr>
          <w:rFonts w:asciiTheme="minorHAnsi" w:hAnsiTheme="minorHAnsi"/>
          <w:b w:val="0"/>
          <w:bCs w:val="0"/>
          <w:sz w:val="24"/>
          <w:szCs w:val="24"/>
        </w:rPr>
        <w:t xml:space="preserve">the </w:t>
      </w:r>
      <w:r w:rsidR="00755384" w:rsidRPr="00A565EE">
        <w:rPr>
          <w:rFonts w:asciiTheme="minorHAnsi" w:hAnsiTheme="minorHAnsi"/>
          <w:b w:val="0"/>
          <w:bCs w:val="0"/>
          <w:sz w:val="24"/>
          <w:szCs w:val="24"/>
        </w:rPr>
        <w:t xml:space="preserve">health/pharmaceutical, finance or agriculture sectors (e.g. </w:t>
      </w:r>
      <w:r w:rsidR="00DC1824" w:rsidRPr="00A565EE">
        <w:rPr>
          <w:rFonts w:asciiTheme="minorHAnsi" w:hAnsiTheme="minorHAnsi"/>
          <w:b w:val="0"/>
          <w:bCs w:val="0"/>
          <w:sz w:val="24"/>
          <w:szCs w:val="24"/>
        </w:rPr>
        <w:t xml:space="preserve">in 2016, partnerships signed with </w:t>
      </w:r>
      <w:r w:rsidR="00755384" w:rsidRPr="00A565EE">
        <w:rPr>
          <w:rFonts w:asciiTheme="minorHAnsi" w:hAnsiTheme="minorHAnsi"/>
          <w:b w:val="0"/>
          <w:bCs w:val="0"/>
          <w:sz w:val="24"/>
          <w:szCs w:val="24"/>
        </w:rPr>
        <w:t xml:space="preserve">WHO, Norwegian Directorate of Health (NDH), Sanofi </w:t>
      </w:r>
      <w:proofErr w:type="spellStart"/>
      <w:r w:rsidR="00755384" w:rsidRPr="00A565EE">
        <w:rPr>
          <w:rFonts w:asciiTheme="minorHAnsi" w:hAnsiTheme="minorHAnsi"/>
          <w:b w:val="0"/>
          <w:bCs w:val="0"/>
          <w:sz w:val="24"/>
          <w:szCs w:val="24"/>
        </w:rPr>
        <w:t>Avantis</w:t>
      </w:r>
      <w:proofErr w:type="spellEnd"/>
      <w:r w:rsidR="00755384" w:rsidRPr="00A565EE">
        <w:rPr>
          <w:rFonts w:asciiTheme="minorHAnsi" w:hAnsiTheme="minorHAnsi"/>
          <w:b w:val="0"/>
          <w:bCs w:val="0"/>
          <w:sz w:val="24"/>
          <w:szCs w:val="24"/>
        </w:rPr>
        <w:t xml:space="preserve"> Group, Alliance for Financial Inclusion (AFI), FAO) to support </w:t>
      </w:r>
      <w:r w:rsidRPr="00A565EE">
        <w:rPr>
          <w:rFonts w:asciiTheme="minorHAnsi" w:hAnsiTheme="minorHAnsi"/>
          <w:b w:val="0"/>
          <w:bCs w:val="0"/>
          <w:sz w:val="24"/>
          <w:szCs w:val="24"/>
        </w:rPr>
        <w:t xml:space="preserve">implementation of its </w:t>
      </w:r>
      <w:r w:rsidR="00755384" w:rsidRPr="00A565EE">
        <w:rPr>
          <w:rFonts w:asciiTheme="minorHAnsi" w:hAnsiTheme="minorHAnsi"/>
          <w:b w:val="0"/>
          <w:bCs w:val="0"/>
          <w:sz w:val="24"/>
          <w:szCs w:val="24"/>
        </w:rPr>
        <w:t xml:space="preserve">projects. </w:t>
      </w:r>
    </w:p>
    <w:p w14:paraId="64BF10DD" w14:textId="77777777" w:rsidR="008E3D3A" w:rsidRPr="00A565EE" w:rsidRDefault="00B022A1" w:rsidP="00AA6368">
      <w:pPr>
        <w:pStyle w:val="CEOParagraph1"/>
        <w:numPr>
          <w:ilvl w:val="0"/>
          <w:numId w:val="10"/>
        </w:numPr>
        <w:spacing w:before="240" w:after="0"/>
        <w:ind w:left="567" w:hanging="567"/>
        <w:rPr>
          <w:rFonts w:asciiTheme="minorHAnsi" w:hAnsiTheme="minorHAnsi"/>
          <w:sz w:val="24"/>
          <w:szCs w:val="24"/>
        </w:rPr>
      </w:pPr>
      <w:r w:rsidRPr="00A565EE">
        <w:rPr>
          <w:rFonts w:asciiTheme="minorHAnsi" w:hAnsiTheme="minorHAnsi"/>
          <w:sz w:val="24"/>
          <w:szCs w:val="24"/>
        </w:rPr>
        <w:t>Results</w:t>
      </w:r>
    </w:p>
    <w:p w14:paraId="10F6C8A7" w14:textId="0D0F4F29" w:rsidR="00BB20EE" w:rsidRPr="00A565EE" w:rsidRDefault="008E3D3A" w:rsidP="007F25EA">
      <w:pPr>
        <w:rPr>
          <w:rFonts w:cs="Calibri"/>
          <w:szCs w:val="24"/>
        </w:rPr>
      </w:pPr>
      <w:r w:rsidRPr="00A565EE">
        <w:rPr>
          <w:rFonts w:cs="Calibri"/>
          <w:szCs w:val="24"/>
        </w:rPr>
        <w:t>As a r</w:t>
      </w:r>
      <w:r w:rsidR="00F223DB" w:rsidRPr="00A565EE">
        <w:rPr>
          <w:rFonts w:cs="Calibri"/>
          <w:szCs w:val="24"/>
        </w:rPr>
        <w:t>esult of BDT efforts in partnership and resource mobilization, s</w:t>
      </w:r>
      <w:r w:rsidR="00AD1D5E" w:rsidRPr="00A565EE">
        <w:rPr>
          <w:rFonts w:cs="Calibri"/>
          <w:szCs w:val="24"/>
        </w:rPr>
        <w:t xml:space="preserve">ome </w:t>
      </w:r>
      <w:r w:rsidR="000940BC" w:rsidRPr="00A565EE">
        <w:rPr>
          <w:rFonts w:cs="Calibri"/>
          <w:szCs w:val="24"/>
        </w:rPr>
        <w:t>17</w:t>
      </w:r>
      <w:r w:rsidR="00F74A95" w:rsidRPr="00A565EE">
        <w:rPr>
          <w:rFonts w:cs="Calibri"/>
          <w:szCs w:val="24"/>
        </w:rPr>
        <w:t>4</w:t>
      </w:r>
      <w:r w:rsidR="00AD1D5E" w:rsidRPr="00A565EE">
        <w:rPr>
          <w:rFonts w:cs="Calibri"/>
          <w:szCs w:val="24"/>
        </w:rPr>
        <w:t xml:space="preserve"> new agreements and </w:t>
      </w:r>
      <w:r w:rsidR="000940BC" w:rsidRPr="00A565EE">
        <w:rPr>
          <w:rFonts w:cs="Calibri"/>
          <w:szCs w:val="24"/>
        </w:rPr>
        <w:t>67</w:t>
      </w:r>
      <w:r w:rsidR="00AD1D5E" w:rsidRPr="00A565EE">
        <w:rPr>
          <w:rFonts w:cs="Calibri"/>
          <w:szCs w:val="24"/>
        </w:rPr>
        <w:t xml:space="preserve"> </w:t>
      </w:r>
      <w:r w:rsidR="00657707" w:rsidRPr="00A565EE">
        <w:rPr>
          <w:rFonts w:cs="Calibri"/>
          <w:szCs w:val="24"/>
        </w:rPr>
        <w:t>addenda</w:t>
      </w:r>
      <w:r w:rsidR="00AD1D5E" w:rsidRPr="00A565EE">
        <w:rPr>
          <w:rFonts w:cs="Calibri"/>
          <w:szCs w:val="24"/>
        </w:rPr>
        <w:t xml:space="preserve">/amendments with an </w:t>
      </w:r>
      <w:r w:rsidR="00AD1D5E" w:rsidRPr="005D5289">
        <w:rPr>
          <w:rFonts w:cs="Calibri"/>
          <w:szCs w:val="24"/>
        </w:rPr>
        <w:t>estimated value of USD 3</w:t>
      </w:r>
      <w:r w:rsidR="00A73AF2" w:rsidRPr="005D5289">
        <w:rPr>
          <w:rFonts w:cs="Calibri"/>
          <w:szCs w:val="24"/>
        </w:rPr>
        <w:t>2</w:t>
      </w:r>
      <w:r w:rsidR="00AD1D5E" w:rsidRPr="005D5289">
        <w:rPr>
          <w:rFonts w:cs="Calibri"/>
          <w:szCs w:val="24"/>
        </w:rPr>
        <w:t>.</w:t>
      </w:r>
      <w:r w:rsidR="00F74A95" w:rsidRPr="005D5289">
        <w:rPr>
          <w:rFonts w:cs="Calibri"/>
          <w:szCs w:val="24"/>
        </w:rPr>
        <w:t>6</w:t>
      </w:r>
      <w:r w:rsidR="00AD1D5E" w:rsidRPr="005D5289">
        <w:rPr>
          <w:rFonts w:cs="Calibri"/>
          <w:szCs w:val="24"/>
        </w:rPr>
        <w:t xml:space="preserve"> million have been signed between 201</w:t>
      </w:r>
      <w:r w:rsidR="00A73AF2" w:rsidRPr="005D5289">
        <w:rPr>
          <w:rFonts w:cs="Calibri"/>
          <w:szCs w:val="24"/>
        </w:rPr>
        <w:t>3</w:t>
      </w:r>
      <w:r w:rsidR="00AD1D5E" w:rsidRPr="005D5289">
        <w:rPr>
          <w:rFonts w:cs="Calibri"/>
          <w:szCs w:val="24"/>
        </w:rPr>
        <w:t xml:space="preserve"> and </w:t>
      </w:r>
      <w:r w:rsidR="00A73AF2" w:rsidRPr="005D5289">
        <w:rPr>
          <w:rFonts w:cs="Calibri"/>
          <w:szCs w:val="24"/>
        </w:rPr>
        <w:t>2016</w:t>
      </w:r>
      <w:r w:rsidR="00FF7F19" w:rsidRPr="005D5289">
        <w:rPr>
          <w:rFonts w:cs="Calibri"/>
          <w:szCs w:val="24"/>
        </w:rPr>
        <w:t xml:space="preserve">. </w:t>
      </w:r>
      <w:r w:rsidR="00AD1D5E" w:rsidRPr="005D5289">
        <w:rPr>
          <w:rFonts w:cs="Calibri"/>
          <w:i/>
          <w:iCs/>
          <w:szCs w:val="24"/>
        </w:rPr>
        <w:t xml:space="preserve">More information is </w:t>
      </w:r>
      <w:r w:rsidR="00AD1D5E" w:rsidRPr="003314BF">
        <w:rPr>
          <w:rFonts w:cs="Calibri"/>
          <w:i/>
          <w:iCs/>
          <w:szCs w:val="24"/>
        </w:rPr>
        <w:t xml:space="preserve">available in Document </w:t>
      </w:r>
      <w:hyperlink r:id="rId19" w:history="1">
        <w:r w:rsidR="007F25EA">
          <w:rPr>
            <w:i/>
            <w:iCs/>
            <w:szCs w:val="24"/>
          </w:rPr>
          <w:t>INF/2.</w:t>
        </w:r>
      </w:hyperlink>
    </w:p>
    <w:p w14:paraId="4D24333C" w14:textId="23B2E6BB" w:rsidR="00190D0D" w:rsidRPr="00A565EE" w:rsidRDefault="00190D0D" w:rsidP="00AA6368">
      <w:pPr>
        <w:pStyle w:val="ListParagraph"/>
        <w:keepNext/>
        <w:spacing w:before="240"/>
        <w:ind w:left="0"/>
        <w:contextualSpacing w:val="0"/>
        <w:jc w:val="center"/>
        <w:rPr>
          <w:rFonts w:ascii="Calibri" w:hAnsi="Calibri" w:cs="Calibri"/>
          <w:b/>
          <w:bCs w:val="0"/>
          <w:i/>
          <w:iCs/>
          <w:sz w:val="24"/>
          <w:szCs w:val="24"/>
        </w:rPr>
      </w:pPr>
      <w:r w:rsidRPr="00A565EE">
        <w:rPr>
          <w:rFonts w:ascii="Calibri" w:hAnsi="Calibri" w:cs="Calibri"/>
          <w:b/>
          <w:bCs w:val="0"/>
          <w:i/>
          <w:iCs/>
          <w:sz w:val="24"/>
          <w:szCs w:val="24"/>
        </w:rPr>
        <w:t>Charts: Analysis of new agreements signed between 2013 and 2016</w:t>
      </w:r>
      <w:r w:rsidR="00DB5C1A" w:rsidRPr="00AA6368">
        <w:rPr>
          <w:rStyle w:val="FootnoteReference"/>
          <w:noProof/>
          <w:sz w:val="24"/>
          <w:szCs w:val="24"/>
          <w:vertAlign w:val="superscript"/>
        </w:rPr>
        <w:footnoteReference w:id="4"/>
      </w:r>
    </w:p>
    <w:p w14:paraId="00CE55A6" w14:textId="1410A3DC" w:rsidR="00A07114" w:rsidRPr="00A565EE" w:rsidRDefault="00A07114">
      <w:pPr>
        <w:rPr>
          <w:rFonts w:ascii="Calibri" w:hAnsi="Calibri" w:cs="Calibri"/>
          <w:szCs w:val="24"/>
        </w:rPr>
      </w:pPr>
      <w:r w:rsidRPr="00A565EE">
        <w:rPr>
          <w:noProof/>
          <w:szCs w:val="24"/>
          <w:lang w:eastAsia="zh-CN"/>
        </w:rPr>
        <w:drawing>
          <wp:inline distT="0" distB="0" distL="0" distR="0" wp14:anchorId="00B7C38D" wp14:editId="6C961C85">
            <wp:extent cx="2838450" cy="1966595"/>
            <wp:effectExtent l="0" t="0" r="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A565EE">
        <w:rPr>
          <w:noProof/>
          <w:szCs w:val="24"/>
          <w:lang w:eastAsia="zh-CN"/>
        </w:rPr>
        <w:drawing>
          <wp:inline distT="0" distB="0" distL="0" distR="0" wp14:anchorId="31688363" wp14:editId="14649A74">
            <wp:extent cx="3057525" cy="19716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B87469" w14:textId="77777777" w:rsidR="00767D1E" w:rsidRPr="00A565EE" w:rsidRDefault="00767D1E" w:rsidP="00A07114">
      <w:pPr>
        <w:rPr>
          <w:rFonts w:ascii="Calibri" w:hAnsi="Calibri" w:cs="Calibri"/>
          <w:szCs w:val="24"/>
        </w:rPr>
      </w:pPr>
    </w:p>
    <w:p w14:paraId="6D568EF9" w14:textId="77777777" w:rsidR="00767D1E" w:rsidRPr="00A565EE" w:rsidRDefault="00767D1E" w:rsidP="00A07114">
      <w:pPr>
        <w:pStyle w:val="ListParagraph"/>
        <w:spacing w:before="0"/>
        <w:ind w:left="0"/>
        <w:contextualSpacing w:val="0"/>
        <w:jc w:val="center"/>
        <w:rPr>
          <w:rFonts w:ascii="Calibri" w:hAnsi="Calibri" w:cs="Calibri"/>
          <w:sz w:val="24"/>
          <w:szCs w:val="24"/>
        </w:rPr>
      </w:pPr>
      <w:r w:rsidRPr="00A565EE">
        <w:rPr>
          <w:noProof/>
          <w:sz w:val="24"/>
          <w:szCs w:val="24"/>
          <w:lang w:val="en-GB"/>
        </w:rPr>
        <w:drawing>
          <wp:inline distT="0" distB="0" distL="0" distR="0" wp14:anchorId="3EB6E891" wp14:editId="6D3FF131">
            <wp:extent cx="4562475" cy="25908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CB7DFF4" w14:textId="77777777" w:rsidR="00A07114" w:rsidRPr="00A565EE" w:rsidRDefault="00A07114" w:rsidP="00A07114">
      <w:pPr>
        <w:pStyle w:val="ListParagraph"/>
        <w:spacing w:before="0"/>
        <w:ind w:left="0"/>
        <w:contextualSpacing w:val="0"/>
        <w:jc w:val="center"/>
        <w:rPr>
          <w:rFonts w:ascii="Calibri" w:hAnsi="Calibri" w:cs="Calibri"/>
          <w:sz w:val="24"/>
          <w:szCs w:val="24"/>
        </w:rPr>
      </w:pPr>
    </w:p>
    <w:p w14:paraId="25176EAE" w14:textId="77777777" w:rsidR="009E7934" w:rsidRPr="00A565EE" w:rsidRDefault="009E7934" w:rsidP="009C05C7">
      <w:pPr>
        <w:pStyle w:val="ListParagraph"/>
        <w:spacing w:before="0"/>
        <w:ind w:left="0"/>
        <w:contextualSpacing w:val="0"/>
        <w:rPr>
          <w:rFonts w:ascii="Calibri" w:hAnsi="Calibri" w:cs="Calibri"/>
          <w:sz w:val="24"/>
          <w:szCs w:val="24"/>
        </w:rPr>
      </w:pPr>
      <w:r w:rsidRPr="00A565EE">
        <w:rPr>
          <w:noProof/>
          <w:sz w:val="24"/>
          <w:szCs w:val="24"/>
          <w:lang w:val="en-GB"/>
        </w:rPr>
        <w:lastRenderedPageBreak/>
        <w:drawing>
          <wp:inline distT="0" distB="0" distL="0" distR="0" wp14:anchorId="78516CBA" wp14:editId="1A704201">
            <wp:extent cx="2895600" cy="25050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4B5EFF" w:rsidRPr="00A565EE">
        <w:rPr>
          <w:noProof/>
          <w:sz w:val="24"/>
          <w:szCs w:val="24"/>
          <w:lang w:val="en-GB"/>
        </w:rPr>
        <w:drawing>
          <wp:inline distT="0" distB="0" distL="0" distR="0" wp14:anchorId="3020EB33" wp14:editId="72E4AE03">
            <wp:extent cx="3048000" cy="2514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B38EFB3" w14:textId="77777777" w:rsidR="008B5772" w:rsidRPr="00A565EE" w:rsidRDefault="00C70B37" w:rsidP="00C41B23">
      <w:pPr>
        <w:pStyle w:val="ListParagraph"/>
        <w:keepNext/>
        <w:numPr>
          <w:ilvl w:val="0"/>
          <w:numId w:val="10"/>
        </w:numPr>
        <w:spacing w:before="240" w:after="0"/>
        <w:ind w:left="567" w:hanging="567"/>
        <w:contextualSpacing w:val="0"/>
        <w:rPr>
          <w:rFonts w:ascii="Calibri" w:hAnsi="Calibri"/>
          <w:b/>
          <w:sz w:val="24"/>
          <w:szCs w:val="24"/>
        </w:rPr>
      </w:pPr>
      <w:r w:rsidRPr="00A565EE">
        <w:rPr>
          <w:rFonts w:ascii="Calibri" w:hAnsi="Calibri"/>
          <w:b/>
          <w:sz w:val="24"/>
          <w:szCs w:val="24"/>
        </w:rPr>
        <w:t xml:space="preserve">Way </w:t>
      </w:r>
      <w:r w:rsidR="0023382C" w:rsidRPr="00A565EE">
        <w:rPr>
          <w:rFonts w:ascii="Calibri" w:hAnsi="Calibri"/>
          <w:b/>
          <w:sz w:val="24"/>
          <w:szCs w:val="24"/>
        </w:rPr>
        <w:t>forward</w:t>
      </w:r>
    </w:p>
    <w:p w14:paraId="12507A40" w14:textId="4BBFF2A8" w:rsidR="008B5772" w:rsidRPr="00A565EE" w:rsidRDefault="008B5772">
      <w:pPr>
        <w:pStyle w:val="CEONormal"/>
        <w:spacing w:after="0"/>
        <w:rPr>
          <w:rFonts w:cs="Calibri"/>
          <w:sz w:val="24"/>
          <w:szCs w:val="24"/>
          <w:lang w:val="en-US"/>
        </w:rPr>
      </w:pPr>
      <w:r w:rsidRPr="00A565EE">
        <w:rPr>
          <w:rFonts w:cs="Calibri"/>
          <w:sz w:val="24"/>
          <w:szCs w:val="24"/>
          <w:lang w:val="en-US"/>
        </w:rPr>
        <w:t xml:space="preserve">BDT will continue </w:t>
      </w:r>
      <w:r w:rsidR="00D63271" w:rsidRPr="00A565EE">
        <w:rPr>
          <w:rFonts w:cs="Calibri"/>
          <w:sz w:val="24"/>
          <w:szCs w:val="24"/>
          <w:lang w:val="en-US"/>
        </w:rPr>
        <w:t xml:space="preserve">to develop and enhance its resource mobilization </w:t>
      </w:r>
      <w:r w:rsidR="007562CB" w:rsidRPr="00A565EE">
        <w:rPr>
          <w:rFonts w:cs="Calibri"/>
          <w:sz w:val="24"/>
          <w:szCs w:val="24"/>
          <w:lang w:val="en-US"/>
        </w:rPr>
        <w:t xml:space="preserve">products and </w:t>
      </w:r>
      <w:r w:rsidR="00D63271" w:rsidRPr="00A565EE">
        <w:rPr>
          <w:rFonts w:cs="Calibri"/>
          <w:sz w:val="24"/>
          <w:szCs w:val="24"/>
          <w:lang w:val="en-US"/>
        </w:rPr>
        <w:t xml:space="preserve">tools </w:t>
      </w:r>
      <w:r w:rsidR="0079032C" w:rsidRPr="00A565EE">
        <w:rPr>
          <w:rFonts w:cs="Calibri"/>
          <w:sz w:val="24"/>
          <w:szCs w:val="24"/>
          <w:lang w:val="en-US"/>
        </w:rPr>
        <w:t xml:space="preserve">as well as </w:t>
      </w:r>
      <w:r w:rsidR="00DB5C1A">
        <w:rPr>
          <w:rFonts w:cs="Calibri"/>
          <w:sz w:val="24"/>
          <w:szCs w:val="24"/>
          <w:lang w:val="en-US"/>
        </w:rPr>
        <w:t>work</w:t>
      </w:r>
      <w:r w:rsidR="00DB5C1A" w:rsidRPr="00A565EE">
        <w:rPr>
          <w:rFonts w:cs="Calibri"/>
          <w:sz w:val="24"/>
          <w:szCs w:val="24"/>
          <w:lang w:val="en-US"/>
        </w:rPr>
        <w:t xml:space="preserve"> </w:t>
      </w:r>
      <w:r w:rsidR="00D63271" w:rsidRPr="00A565EE">
        <w:rPr>
          <w:rFonts w:cs="Calibri"/>
          <w:sz w:val="24"/>
          <w:szCs w:val="24"/>
          <w:lang w:val="en-US"/>
        </w:rPr>
        <w:t>with traditional and non</w:t>
      </w:r>
      <w:r w:rsidR="00C97B05" w:rsidRPr="00A565EE">
        <w:rPr>
          <w:rFonts w:cs="Calibri"/>
          <w:sz w:val="24"/>
          <w:szCs w:val="24"/>
          <w:lang w:val="en-US"/>
        </w:rPr>
        <w:t>-</w:t>
      </w:r>
      <w:r w:rsidR="00D63271" w:rsidRPr="00A565EE">
        <w:rPr>
          <w:rFonts w:cs="Calibri"/>
          <w:sz w:val="24"/>
          <w:szCs w:val="24"/>
          <w:lang w:val="en-US"/>
        </w:rPr>
        <w:t>traditional</w:t>
      </w:r>
      <w:r w:rsidRPr="00A565EE">
        <w:rPr>
          <w:rFonts w:cs="Calibri"/>
          <w:sz w:val="24"/>
          <w:szCs w:val="24"/>
          <w:lang w:val="en-US"/>
        </w:rPr>
        <w:t xml:space="preserve"> partners </w:t>
      </w:r>
      <w:r w:rsidR="00D63271" w:rsidRPr="00A565EE">
        <w:rPr>
          <w:rFonts w:cs="Calibri"/>
          <w:sz w:val="24"/>
          <w:szCs w:val="24"/>
          <w:lang w:val="en-US"/>
        </w:rPr>
        <w:t xml:space="preserve">for the </w:t>
      </w:r>
      <w:r w:rsidRPr="00A565EE">
        <w:rPr>
          <w:rFonts w:cs="Calibri"/>
          <w:sz w:val="24"/>
          <w:szCs w:val="24"/>
          <w:lang w:val="en-US"/>
        </w:rPr>
        <w:t>implement</w:t>
      </w:r>
      <w:r w:rsidR="00D63271" w:rsidRPr="00A565EE">
        <w:rPr>
          <w:rFonts w:cs="Calibri"/>
          <w:sz w:val="24"/>
          <w:szCs w:val="24"/>
          <w:lang w:val="en-US"/>
        </w:rPr>
        <w:t>ation of global</w:t>
      </w:r>
      <w:r w:rsidR="0079032C" w:rsidRPr="00A565EE">
        <w:rPr>
          <w:rFonts w:cs="Calibri"/>
          <w:sz w:val="24"/>
          <w:szCs w:val="24"/>
          <w:lang w:val="en-US"/>
        </w:rPr>
        <w:t xml:space="preserve">, </w:t>
      </w:r>
      <w:r w:rsidR="00D63271" w:rsidRPr="00A565EE">
        <w:rPr>
          <w:rFonts w:cs="Calibri"/>
          <w:sz w:val="24"/>
          <w:szCs w:val="24"/>
          <w:lang w:val="en-US"/>
        </w:rPr>
        <w:t xml:space="preserve">regional </w:t>
      </w:r>
      <w:r w:rsidR="0079032C" w:rsidRPr="00A565EE">
        <w:rPr>
          <w:rFonts w:cs="Calibri"/>
          <w:sz w:val="24"/>
          <w:szCs w:val="24"/>
          <w:lang w:val="en-US"/>
        </w:rPr>
        <w:t xml:space="preserve">and national </w:t>
      </w:r>
      <w:r w:rsidRPr="00A565EE">
        <w:rPr>
          <w:rFonts w:cs="Calibri"/>
          <w:sz w:val="24"/>
          <w:szCs w:val="24"/>
          <w:lang w:val="en-US"/>
        </w:rPr>
        <w:t>projects and initiatives</w:t>
      </w:r>
      <w:r w:rsidR="0079032C" w:rsidRPr="00A565EE">
        <w:rPr>
          <w:rFonts w:cs="Calibri"/>
          <w:sz w:val="24"/>
          <w:szCs w:val="24"/>
          <w:lang w:val="en-US"/>
        </w:rPr>
        <w:t>,</w:t>
      </w:r>
      <w:r w:rsidRPr="00A565EE">
        <w:rPr>
          <w:rFonts w:cs="Calibri"/>
          <w:sz w:val="24"/>
          <w:szCs w:val="24"/>
          <w:lang w:val="en-US"/>
        </w:rPr>
        <w:t xml:space="preserve"> including </w:t>
      </w:r>
      <w:r w:rsidR="008F22D6" w:rsidRPr="00A565EE">
        <w:rPr>
          <w:rFonts w:cs="Calibri"/>
          <w:sz w:val="24"/>
          <w:szCs w:val="24"/>
          <w:lang w:val="en-US"/>
        </w:rPr>
        <w:t xml:space="preserve">the </w:t>
      </w:r>
      <w:r w:rsidR="00DB5C1A">
        <w:rPr>
          <w:rFonts w:cs="Calibri"/>
          <w:sz w:val="24"/>
          <w:szCs w:val="24"/>
          <w:lang w:val="en-US"/>
        </w:rPr>
        <w:t>R</w:t>
      </w:r>
      <w:r w:rsidR="00DB5C1A" w:rsidRPr="00A565EE">
        <w:rPr>
          <w:rFonts w:cs="Calibri"/>
          <w:sz w:val="24"/>
          <w:szCs w:val="24"/>
          <w:lang w:val="en-US"/>
        </w:rPr>
        <w:t xml:space="preserve">egional </w:t>
      </w:r>
      <w:r w:rsidR="00DB5C1A">
        <w:rPr>
          <w:rFonts w:cs="Calibri"/>
          <w:sz w:val="24"/>
          <w:szCs w:val="24"/>
          <w:lang w:val="en-US"/>
        </w:rPr>
        <w:t>I</w:t>
      </w:r>
      <w:r w:rsidR="00DB5C1A" w:rsidRPr="00A565EE">
        <w:rPr>
          <w:rFonts w:cs="Calibri"/>
          <w:sz w:val="24"/>
          <w:szCs w:val="24"/>
          <w:lang w:val="en-US"/>
        </w:rPr>
        <w:t>nitiatives</w:t>
      </w:r>
      <w:r w:rsidRPr="00A565EE">
        <w:rPr>
          <w:rFonts w:cs="Calibri"/>
          <w:sz w:val="24"/>
          <w:szCs w:val="24"/>
          <w:lang w:val="en-US"/>
        </w:rPr>
        <w:t xml:space="preserve">. </w:t>
      </w:r>
    </w:p>
    <w:p w14:paraId="346EA305" w14:textId="53887AAD" w:rsidR="008B5772" w:rsidRPr="00A565EE" w:rsidRDefault="008B5772" w:rsidP="0079032C">
      <w:pPr>
        <w:pStyle w:val="CEONormal"/>
        <w:spacing w:after="0"/>
        <w:rPr>
          <w:rFonts w:cs="Calibri"/>
          <w:sz w:val="24"/>
          <w:szCs w:val="24"/>
          <w:lang w:val="en-US"/>
        </w:rPr>
      </w:pPr>
      <w:r w:rsidRPr="00A565EE">
        <w:rPr>
          <w:rFonts w:cs="Calibri"/>
          <w:sz w:val="24"/>
          <w:szCs w:val="24"/>
          <w:lang w:val="en-US"/>
        </w:rPr>
        <w:t xml:space="preserve">ITU membership </w:t>
      </w:r>
      <w:r w:rsidR="0023382C" w:rsidRPr="00A565EE">
        <w:rPr>
          <w:rFonts w:cs="Calibri"/>
          <w:sz w:val="24"/>
          <w:szCs w:val="24"/>
          <w:lang w:val="en-US"/>
        </w:rPr>
        <w:t xml:space="preserve">is </w:t>
      </w:r>
      <w:r w:rsidRPr="00A565EE">
        <w:rPr>
          <w:rFonts w:cs="Calibri"/>
          <w:sz w:val="24"/>
          <w:szCs w:val="24"/>
          <w:lang w:val="en-US"/>
        </w:rPr>
        <w:t xml:space="preserve">invited to </w:t>
      </w:r>
      <w:r w:rsidR="00D63271" w:rsidRPr="00A565EE">
        <w:rPr>
          <w:rFonts w:cs="Calibri"/>
          <w:sz w:val="24"/>
          <w:szCs w:val="24"/>
          <w:lang w:val="en-US"/>
        </w:rPr>
        <w:t xml:space="preserve">partner with BDT </w:t>
      </w:r>
      <w:r w:rsidR="0079032C" w:rsidRPr="00A565EE">
        <w:rPr>
          <w:rFonts w:cs="Calibri"/>
          <w:sz w:val="24"/>
          <w:szCs w:val="24"/>
          <w:lang w:val="en-US"/>
        </w:rPr>
        <w:t xml:space="preserve">for </w:t>
      </w:r>
      <w:r w:rsidR="00DB5C1A">
        <w:rPr>
          <w:rFonts w:cs="Calibri"/>
          <w:sz w:val="24"/>
          <w:szCs w:val="24"/>
          <w:lang w:val="en-US"/>
        </w:rPr>
        <w:t xml:space="preserve">the </w:t>
      </w:r>
      <w:r w:rsidR="0079032C" w:rsidRPr="003314BF">
        <w:rPr>
          <w:rFonts w:cs="Calibri"/>
          <w:sz w:val="24"/>
          <w:szCs w:val="24"/>
          <w:lang w:val="en-US"/>
        </w:rPr>
        <w:t xml:space="preserve">implementation of </w:t>
      </w:r>
      <w:r w:rsidRPr="003314BF">
        <w:rPr>
          <w:rFonts w:cs="Calibri"/>
          <w:sz w:val="24"/>
          <w:szCs w:val="24"/>
          <w:lang w:val="en-US"/>
        </w:rPr>
        <w:t>WTDC</w:t>
      </w:r>
      <w:r w:rsidR="0079032C" w:rsidRPr="003314BF">
        <w:rPr>
          <w:rFonts w:cs="Calibri"/>
          <w:sz w:val="24"/>
          <w:szCs w:val="24"/>
          <w:lang w:val="en-US"/>
        </w:rPr>
        <w:t>-14 and</w:t>
      </w:r>
      <w:r w:rsidR="00D63271" w:rsidRPr="003314BF">
        <w:rPr>
          <w:rFonts w:cs="Calibri"/>
          <w:sz w:val="24"/>
          <w:szCs w:val="24"/>
          <w:lang w:val="en-US"/>
        </w:rPr>
        <w:t xml:space="preserve"> </w:t>
      </w:r>
      <w:r w:rsidR="004F5E54" w:rsidRPr="003314BF">
        <w:rPr>
          <w:rFonts w:cs="Calibri"/>
          <w:sz w:val="24"/>
          <w:szCs w:val="24"/>
          <w:lang w:val="en-US"/>
        </w:rPr>
        <w:t>PP-14</w:t>
      </w:r>
      <w:r w:rsidR="00D63271" w:rsidRPr="00A565EE">
        <w:rPr>
          <w:rFonts w:cs="Calibri"/>
          <w:sz w:val="24"/>
          <w:szCs w:val="24"/>
          <w:lang w:val="en-US"/>
        </w:rPr>
        <w:t xml:space="preserve"> outcomes</w:t>
      </w:r>
      <w:r w:rsidR="0023382C" w:rsidRPr="00A565EE">
        <w:rPr>
          <w:rFonts w:cs="Calibri"/>
          <w:sz w:val="24"/>
          <w:szCs w:val="24"/>
          <w:lang w:val="en-US"/>
        </w:rPr>
        <w:t>,</w:t>
      </w:r>
      <w:r w:rsidRPr="00A565EE">
        <w:rPr>
          <w:rFonts w:cs="Calibri"/>
          <w:sz w:val="24"/>
          <w:szCs w:val="24"/>
          <w:lang w:val="en-US"/>
        </w:rPr>
        <w:t xml:space="preserve"> </w:t>
      </w:r>
      <w:r w:rsidR="0020513A" w:rsidRPr="00A565EE">
        <w:rPr>
          <w:rFonts w:cs="Calibri"/>
          <w:sz w:val="24"/>
          <w:szCs w:val="24"/>
          <w:lang w:val="en-US"/>
        </w:rPr>
        <w:t>WSIS</w:t>
      </w:r>
      <w:r w:rsidR="00D63271" w:rsidRPr="00A565EE">
        <w:rPr>
          <w:rFonts w:cs="Calibri"/>
          <w:sz w:val="24"/>
          <w:szCs w:val="24"/>
          <w:lang w:val="en-US"/>
        </w:rPr>
        <w:t xml:space="preserve"> goals as well as to contribute to the </w:t>
      </w:r>
      <w:r w:rsidR="00C97B05" w:rsidRPr="00A565EE">
        <w:rPr>
          <w:rFonts w:cs="Calibri"/>
          <w:sz w:val="24"/>
          <w:szCs w:val="24"/>
          <w:lang w:val="en-US"/>
        </w:rPr>
        <w:t>Sustainable</w:t>
      </w:r>
      <w:r w:rsidR="00D63271" w:rsidRPr="00A565EE">
        <w:rPr>
          <w:rFonts w:cs="Calibri"/>
          <w:sz w:val="24"/>
          <w:szCs w:val="24"/>
          <w:lang w:val="en-US"/>
        </w:rPr>
        <w:t xml:space="preserve"> Development Goals (SDGs)</w:t>
      </w:r>
      <w:r w:rsidR="0020513A" w:rsidRPr="00A565EE">
        <w:rPr>
          <w:rFonts w:cs="Calibri"/>
          <w:sz w:val="24"/>
          <w:szCs w:val="24"/>
          <w:lang w:val="en-US"/>
        </w:rPr>
        <w:t>.</w:t>
      </w:r>
    </w:p>
    <w:p w14:paraId="1370D262" w14:textId="77777777" w:rsidR="003C58BF" w:rsidRPr="002F4EB4" w:rsidRDefault="008B5772" w:rsidP="00657707">
      <w:pPr>
        <w:jc w:val="center"/>
        <w:rPr>
          <w:szCs w:val="24"/>
        </w:rPr>
      </w:pPr>
      <w:r w:rsidRPr="002F4EB4">
        <w:rPr>
          <w:rFonts w:cstheme="minorHAnsi"/>
          <w:szCs w:val="24"/>
          <w:lang w:val="en-US"/>
        </w:rPr>
        <w:t>________________</w:t>
      </w:r>
    </w:p>
    <w:sectPr w:rsidR="003C58BF" w:rsidRPr="002F4EB4" w:rsidSect="005B1696">
      <w:headerReference w:type="default" r:id="rId25"/>
      <w:footerReference w:type="default" r:id="rId26"/>
      <w:footerReference w:type="first" r:id="rId27"/>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D1F1D" w14:textId="77777777" w:rsidR="00ED75D2" w:rsidRDefault="00ED75D2">
      <w:r>
        <w:separator/>
      </w:r>
    </w:p>
    <w:p w14:paraId="617F96F1" w14:textId="77777777" w:rsidR="00ED75D2" w:rsidRDefault="00ED75D2"/>
  </w:endnote>
  <w:endnote w:type="continuationSeparator" w:id="0">
    <w:p w14:paraId="6A6BC422" w14:textId="77777777" w:rsidR="00ED75D2" w:rsidRDefault="00ED75D2">
      <w:r>
        <w:continuationSeparator/>
      </w:r>
    </w:p>
    <w:p w14:paraId="43504B5B" w14:textId="77777777" w:rsidR="00ED75D2" w:rsidRDefault="00ED7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22726" w14:textId="7DC03DE3" w:rsidR="00C41B23" w:rsidRPr="00F64DB7" w:rsidRDefault="00C41B23" w:rsidP="00C41B23">
    <w:pPr>
      <w:pStyle w:val="Footer"/>
      <w:rPr>
        <w:caps w:val="0"/>
        <w:color w:val="FFFFFF" w:themeColor="background1"/>
        <w:sz w:val="18"/>
        <w:szCs w:val="18"/>
        <w:lang w:val="en-US"/>
      </w:rPr>
    </w:pPr>
    <w:r w:rsidRPr="00F64DB7">
      <w:rPr>
        <w:caps w:val="0"/>
        <w:color w:val="FFFFFF" w:themeColor="background1"/>
        <w:sz w:val="18"/>
        <w:szCs w:val="18"/>
      </w:rPr>
      <w:fldChar w:fldCharType="begin"/>
    </w:r>
    <w:r w:rsidRPr="00F64DB7">
      <w:rPr>
        <w:caps w:val="0"/>
        <w:color w:val="FFFFFF" w:themeColor="background1"/>
        <w:sz w:val="18"/>
        <w:szCs w:val="18"/>
        <w:lang w:val="en-US"/>
      </w:rPr>
      <w:instrText xml:space="preserve"> FILENAME \p \* MERGEFORMAT </w:instrText>
    </w:r>
    <w:r w:rsidRPr="00F64DB7">
      <w:rPr>
        <w:caps w:val="0"/>
        <w:color w:val="FFFFFF" w:themeColor="background1"/>
        <w:sz w:val="18"/>
        <w:szCs w:val="18"/>
      </w:rPr>
      <w:fldChar w:fldCharType="separate"/>
    </w:r>
    <w:r w:rsidR="00AD5B8E">
      <w:rPr>
        <w:caps w:val="0"/>
        <w:color w:val="FFFFFF" w:themeColor="background1"/>
        <w:sz w:val="18"/>
        <w:szCs w:val="18"/>
        <w:lang w:val="en-US"/>
      </w:rPr>
      <w:t>\\Fs3\bdt$\SUP\Meetings\TDAG\2017-22nd\Documents\TDAG17_029E_v5_REVISION TO BE SUBMITTED_RPM_CISrev2_clean.docx</w:t>
    </w:r>
    <w:r w:rsidRPr="00F64DB7">
      <w:rPr>
        <w:caps w:val="0"/>
        <w:color w:val="FFFFFF" w:themeColor="background1"/>
        <w:sz w:val="18"/>
        <w:szCs w:val="18"/>
        <w:lang w:val="en-US"/>
      </w:rPr>
      <w:fldChar w:fldCharType="end"/>
    </w:r>
    <w:r w:rsidRPr="00F64DB7">
      <w:rPr>
        <w:caps w:val="0"/>
        <w:color w:val="FFFFFF" w:themeColor="background1"/>
        <w:sz w:val="18"/>
        <w:szCs w:val="18"/>
        <w:lang w:val="en-US"/>
      </w:rPr>
      <w:tab/>
      <w:t>07.01.2015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92AFA" w14:textId="77777777" w:rsidR="007156A3" w:rsidRDefault="00F6325D" w:rsidP="007156A3">
    <w:pPr>
      <w:pStyle w:val="Footer"/>
      <w:jc w:val="center"/>
    </w:pPr>
    <w:hyperlink r:id="rId1" w:history="1">
      <w:r w:rsidR="007156A3" w:rsidRPr="00E5750F">
        <w:rPr>
          <w:rStyle w:val="Hyperlink"/>
          <w:caps w:val="0"/>
          <w:noProof w:val="0"/>
          <w:sz w:val="18"/>
          <w:szCs w:val="18"/>
          <w:lang w:val="en-US"/>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570AB" w14:textId="3743D497" w:rsidR="00ED75D2" w:rsidRDefault="00AD5B8E" w:rsidP="00AD5B8E">
      <w:r>
        <w:separator/>
      </w:r>
    </w:p>
  </w:footnote>
  <w:footnote w:type="continuationSeparator" w:id="0">
    <w:p w14:paraId="58662E5D" w14:textId="77777777" w:rsidR="00ED75D2" w:rsidRDefault="00ED75D2">
      <w:r>
        <w:continuationSeparator/>
      </w:r>
    </w:p>
    <w:p w14:paraId="630D9055" w14:textId="77777777" w:rsidR="00ED75D2" w:rsidRDefault="00ED75D2"/>
  </w:footnote>
  <w:footnote w:id="1">
    <w:p w14:paraId="1BFA3213" w14:textId="4CC05CAB" w:rsidR="00C21E0E" w:rsidRPr="00404793" w:rsidRDefault="00C21E0E" w:rsidP="007D75DF">
      <w:pPr>
        <w:rPr>
          <w:sz w:val="20"/>
          <w:szCs w:val="16"/>
        </w:rPr>
      </w:pPr>
      <w:r w:rsidRPr="00404793">
        <w:rPr>
          <w:rStyle w:val="FootnoteReference"/>
          <w:sz w:val="14"/>
          <w:szCs w:val="16"/>
        </w:rPr>
        <w:footnoteRef/>
      </w:r>
      <w:r w:rsidRPr="00404793">
        <w:rPr>
          <w:sz w:val="20"/>
          <w:szCs w:val="16"/>
        </w:rPr>
        <w:t xml:space="preserve"> </w:t>
      </w:r>
      <w:r w:rsidRPr="00404793">
        <w:rPr>
          <w:rFonts w:eastAsiaTheme="minorHAnsi"/>
          <w:sz w:val="20"/>
        </w:rPr>
        <w:t xml:space="preserve">On the operational level, the project is organized in </w:t>
      </w:r>
      <w:r w:rsidR="004A47DE">
        <w:rPr>
          <w:rFonts w:eastAsiaTheme="minorHAnsi"/>
          <w:sz w:val="20"/>
        </w:rPr>
        <w:t>four</w:t>
      </w:r>
      <w:r w:rsidR="004A47DE" w:rsidRPr="00404793">
        <w:rPr>
          <w:rFonts w:eastAsiaTheme="minorHAnsi"/>
          <w:sz w:val="20"/>
        </w:rPr>
        <w:t xml:space="preserve"> </w:t>
      </w:r>
      <w:r w:rsidRPr="00404793">
        <w:rPr>
          <w:rFonts w:eastAsiaTheme="minorHAnsi"/>
          <w:sz w:val="20"/>
        </w:rPr>
        <w:t>independent sections each chaired by a Professor of medicine: a) m-Sensitization (aims at sensitizing populations for their good awareness on how to care</w:t>
      </w:r>
      <w:r w:rsidR="007D75DF">
        <w:rPr>
          <w:rFonts w:eastAsiaTheme="minorHAnsi"/>
          <w:sz w:val="20"/>
        </w:rPr>
        <w:t xml:space="preserve"> for</w:t>
      </w:r>
      <w:r w:rsidRPr="00404793">
        <w:rPr>
          <w:rFonts w:eastAsiaTheme="minorHAnsi"/>
          <w:sz w:val="20"/>
        </w:rPr>
        <w:t xml:space="preserve"> diabetes </w:t>
      </w:r>
      <w:r w:rsidR="007D75DF">
        <w:rPr>
          <w:rFonts w:eastAsiaTheme="minorHAnsi"/>
          <w:sz w:val="20"/>
        </w:rPr>
        <w:t xml:space="preserve">primarily </w:t>
      </w:r>
      <w:r w:rsidRPr="00404793">
        <w:rPr>
          <w:rFonts w:eastAsiaTheme="minorHAnsi"/>
          <w:sz w:val="20"/>
        </w:rPr>
        <w:t xml:space="preserve">for those who are already diabetic and </w:t>
      </w:r>
      <w:r w:rsidR="007D75DF">
        <w:rPr>
          <w:rFonts w:eastAsiaTheme="minorHAnsi"/>
          <w:sz w:val="20"/>
        </w:rPr>
        <w:t>on prevention</w:t>
      </w:r>
      <w:r w:rsidRPr="00404793">
        <w:rPr>
          <w:rFonts w:eastAsiaTheme="minorHAnsi"/>
          <w:sz w:val="20"/>
        </w:rPr>
        <w:t xml:space="preserve"> for those who are not), b) m-Training: aims at training physicians and healthcare specialists in general on how to treat diabetics, c) m-Education of patients: aims at educating patients on how to deal with their diabetes issues and d)</w:t>
      </w:r>
      <w:r w:rsidR="007D75DF">
        <w:rPr>
          <w:rFonts w:eastAsiaTheme="minorHAnsi"/>
          <w:sz w:val="20"/>
        </w:rPr>
        <w:t xml:space="preserve"> </w:t>
      </w:r>
      <w:r w:rsidRPr="00404793">
        <w:rPr>
          <w:rFonts w:eastAsiaTheme="minorHAnsi"/>
          <w:sz w:val="20"/>
        </w:rPr>
        <w:t>m-Follow up: consist</w:t>
      </w:r>
      <w:r w:rsidR="007D75DF">
        <w:rPr>
          <w:rFonts w:eastAsiaTheme="minorHAnsi"/>
          <w:sz w:val="20"/>
        </w:rPr>
        <w:t>s</w:t>
      </w:r>
      <w:r w:rsidRPr="00404793">
        <w:rPr>
          <w:rFonts w:eastAsiaTheme="minorHAnsi"/>
          <w:sz w:val="20"/>
        </w:rPr>
        <w:t xml:space="preserve"> of following up</w:t>
      </w:r>
      <w:r w:rsidR="007D75DF">
        <w:rPr>
          <w:rFonts w:eastAsiaTheme="minorHAnsi"/>
          <w:sz w:val="20"/>
        </w:rPr>
        <w:t xml:space="preserve"> on</w:t>
      </w:r>
      <w:r w:rsidRPr="00404793">
        <w:rPr>
          <w:rFonts w:eastAsiaTheme="minorHAnsi"/>
          <w:sz w:val="20"/>
        </w:rPr>
        <w:t xml:space="preserve"> patients and subscribers in general on their diabetes issues.</w:t>
      </w:r>
    </w:p>
  </w:footnote>
  <w:footnote w:id="2">
    <w:p w14:paraId="5CBB3BC2" w14:textId="62C6DADE" w:rsidR="003E4AB0" w:rsidRPr="00AA6368" w:rsidRDefault="003E4AB0" w:rsidP="00AA6368">
      <w:pPr>
        <w:pStyle w:val="FootnoteText"/>
        <w:tabs>
          <w:tab w:val="clear" w:pos="255"/>
          <w:tab w:val="clear" w:pos="794"/>
          <w:tab w:val="clear" w:pos="1191"/>
          <w:tab w:val="clear" w:pos="1588"/>
          <w:tab w:val="clear" w:pos="1985"/>
        </w:tabs>
        <w:ind w:left="142" w:hanging="142"/>
        <w:rPr>
          <w:rFonts w:cs="Calibri"/>
          <w:sz w:val="20"/>
        </w:rPr>
      </w:pPr>
      <w:r w:rsidRPr="00AA6368">
        <w:rPr>
          <w:rStyle w:val="FootnoteReference"/>
          <w:sz w:val="16"/>
          <w:szCs w:val="18"/>
        </w:rPr>
        <w:footnoteRef/>
      </w:r>
      <w:r w:rsidRPr="00AA6368">
        <w:rPr>
          <w:rStyle w:val="FootnoteReference"/>
          <w:sz w:val="16"/>
          <w:szCs w:val="18"/>
        </w:rPr>
        <w:t xml:space="preserve"> </w:t>
      </w:r>
      <w:r w:rsidRPr="00AA6368">
        <w:rPr>
          <w:rFonts w:cs="Calibri"/>
          <w:sz w:val="20"/>
        </w:rPr>
        <w:t>www.itu.int/en/ITU-D/Partners/pages/call4partners/partnerships.aspx</w:t>
      </w:r>
    </w:p>
  </w:footnote>
  <w:footnote w:id="3">
    <w:p w14:paraId="5CD8EF2A" w14:textId="39C1CFAD" w:rsidR="003E4AB0" w:rsidRPr="00AA6368" w:rsidRDefault="003E4AB0">
      <w:pPr>
        <w:pStyle w:val="FootnoteText"/>
        <w:rPr>
          <w:lang w:val="en-US"/>
        </w:rPr>
      </w:pPr>
      <w:r w:rsidRPr="00AA6368">
        <w:rPr>
          <w:rStyle w:val="FootnoteReference"/>
          <w:sz w:val="16"/>
          <w:szCs w:val="18"/>
        </w:rPr>
        <w:footnoteRef/>
      </w:r>
      <w:r>
        <w:t xml:space="preserve"> </w:t>
      </w:r>
      <w:r w:rsidRPr="00AA6368">
        <w:rPr>
          <w:rFonts w:cs="Calibri"/>
          <w:sz w:val="20"/>
        </w:rPr>
        <w:t>www.itu.int/go/en/itudsponsorships</w:t>
      </w:r>
    </w:p>
  </w:footnote>
  <w:footnote w:id="4">
    <w:p w14:paraId="214A54E6" w14:textId="35D4D912" w:rsidR="00DB5C1A" w:rsidRPr="00DC1824" w:rsidRDefault="00DB5C1A">
      <w:pPr>
        <w:pStyle w:val="FootnoteText"/>
        <w:tabs>
          <w:tab w:val="clear" w:pos="255"/>
          <w:tab w:val="clear" w:pos="794"/>
          <w:tab w:val="clear" w:pos="1191"/>
          <w:tab w:val="clear" w:pos="1588"/>
          <w:tab w:val="clear" w:pos="1985"/>
        </w:tabs>
        <w:ind w:left="142" w:hanging="142"/>
        <w:rPr>
          <w:sz w:val="22"/>
          <w:szCs w:val="18"/>
          <w:lang w:val="en-US"/>
        </w:rPr>
      </w:pPr>
      <w:r w:rsidRPr="00DC1824">
        <w:rPr>
          <w:rStyle w:val="FootnoteReference"/>
          <w:sz w:val="16"/>
          <w:szCs w:val="18"/>
        </w:rPr>
        <w:footnoteRef/>
      </w:r>
      <w:r w:rsidRPr="00DC1824">
        <w:rPr>
          <w:rFonts w:cs="Calibri"/>
          <w:sz w:val="20"/>
        </w:rPr>
        <w:t xml:space="preserve"> In 2015, 28 </w:t>
      </w:r>
      <w:r>
        <w:rPr>
          <w:rFonts w:cs="Calibri"/>
          <w:sz w:val="20"/>
        </w:rPr>
        <w:t>a</w:t>
      </w:r>
      <w:r w:rsidRPr="00DC1824">
        <w:rPr>
          <w:rFonts w:cs="Calibri"/>
          <w:sz w:val="20"/>
        </w:rPr>
        <w:t xml:space="preserve">greements </w:t>
      </w:r>
      <w:r>
        <w:rPr>
          <w:rFonts w:cs="Calibri"/>
          <w:sz w:val="20"/>
        </w:rPr>
        <w:t>were</w:t>
      </w:r>
      <w:r w:rsidRPr="00DC1824">
        <w:rPr>
          <w:rFonts w:cs="Calibri"/>
          <w:sz w:val="20"/>
        </w:rPr>
        <w:t xml:space="preserve"> si</w:t>
      </w:r>
      <w:r>
        <w:rPr>
          <w:rFonts w:cs="Calibri"/>
          <w:sz w:val="20"/>
        </w:rPr>
        <w:t>gned for implementation of the “</w:t>
      </w:r>
      <w:r w:rsidRPr="00DC1824">
        <w:rPr>
          <w:rFonts w:cs="Calibri"/>
          <w:sz w:val="20"/>
        </w:rPr>
        <w:t>Joint Capacity-Building Activi</w:t>
      </w:r>
      <w:r>
        <w:rPr>
          <w:rFonts w:cs="Calibri"/>
          <w:sz w:val="20"/>
        </w:rPr>
        <w:t>ti</w:t>
      </w:r>
      <w:r w:rsidRPr="00DC1824">
        <w:rPr>
          <w:rFonts w:cs="Calibri"/>
          <w:sz w:val="20"/>
        </w:rPr>
        <w:t>es under the ITU Academy Cent</w:t>
      </w:r>
      <w:r>
        <w:rPr>
          <w:rFonts w:cs="Calibri"/>
          <w:sz w:val="20"/>
        </w:rPr>
        <w:t>res</w:t>
      </w:r>
      <w:r w:rsidRPr="00DC1824">
        <w:rPr>
          <w:rFonts w:cs="Calibri"/>
          <w:sz w:val="20"/>
        </w:rPr>
        <w:t xml:space="preserve"> of Excellence”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12213" w14:textId="7050A8EE" w:rsidR="00721657" w:rsidRPr="00D664BF" w:rsidRDefault="00A525CC" w:rsidP="006D615B">
    <w:pPr>
      <w:tabs>
        <w:tab w:val="clear" w:pos="794"/>
        <w:tab w:val="clear" w:pos="1191"/>
        <w:tab w:val="clear" w:pos="1588"/>
        <w:tab w:val="clear" w:pos="1985"/>
        <w:tab w:val="center" w:pos="4536"/>
        <w:tab w:val="right" w:pos="9639"/>
      </w:tabs>
      <w:ind w:right="1"/>
      <w:rPr>
        <w:rStyle w:val="PageNumber"/>
        <w:smallCaps/>
        <w:spacing w:val="24"/>
        <w:sz w:val="22"/>
        <w:szCs w:val="22"/>
        <w:lang w:val="de-CH"/>
      </w:rPr>
    </w:pPr>
    <w:r w:rsidRPr="00972BCD">
      <w:rPr>
        <w:sz w:val="22"/>
        <w:szCs w:val="22"/>
      </w:rPr>
      <w:tab/>
    </w:r>
    <w:r w:rsidRPr="006D271A">
      <w:rPr>
        <w:sz w:val="22"/>
        <w:szCs w:val="22"/>
        <w:lang w:val="de-CH"/>
      </w:rPr>
      <w:t>ITU-D/</w:t>
    </w:r>
    <w:bookmarkStart w:id="12" w:name="DocRef2"/>
    <w:bookmarkEnd w:id="12"/>
    <w:r w:rsidRPr="00A54E72">
      <w:rPr>
        <w:sz w:val="22"/>
        <w:szCs w:val="22"/>
        <w:lang w:val="de-CH"/>
      </w:rPr>
      <w:t>TDAG1</w:t>
    </w:r>
    <w:r w:rsidR="006D615B">
      <w:rPr>
        <w:sz w:val="22"/>
        <w:szCs w:val="22"/>
        <w:lang w:val="de-CH"/>
      </w:rPr>
      <w:t>7</w:t>
    </w:r>
    <w:r w:rsidRPr="00A54E72">
      <w:rPr>
        <w:sz w:val="22"/>
        <w:szCs w:val="22"/>
        <w:lang w:val="de-CH"/>
      </w:rPr>
      <w:t>-</w:t>
    </w:r>
    <w:r>
      <w:rPr>
        <w:sz w:val="22"/>
        <w:szCs w:val="22"/>
        <w:lang w:val="de-CH"/>
      </w:rPr>
      <w:t>2</w:t>
    </w:r>
    <w:r w:rsidR="006D615B">
      <w:rPr>
        <w:sz w:val="22"/>
        <w:szCs w:val="22"/>
        <w:lang w:val="de-CH"/>
      </w:rPr>
      <w:t>2</w:t>
    </w:r>
    <w:r w:rsidRPr="00A54E72">
      <w:rPr>
        <w:sz w:val="22"/>
        <w:szCs w:val="22"/>
        <w:lang w:val="de-CH"/>
      </w:rPr>
      <w:t>/</w:t>
    </w:r>
    <w:bookmarkStart w:id="13" w:name="DocNo2"/>
    <w:bookmarkEnd w:id="13"/>
    <w:r w:rsidR="008132AC">
      <w:rPr>
        <w:sz w:val="22"/>
        <w:szCs w:val="22"/>
        <w:lang w:val="de-CH"/>
      </w:rPr>
      <w:t>2</w:t>
    </w:r>
    <w:r w:rsidR="006D615B">
      <w:rPr>
        <w:sz w:val="22"/>
        <w:szCs w:val="22"/>
        <w:lang w:val="de-CH"/>
      </w:rPr>
      <w:t>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6325D">
      <w:rPr>
        <w:noProof/>
        <w:sz w:val="22"/>
        <w:szCs w:val="22"/>
        <w:lang w:val="de-CH"/>
      </w:rPr>
      <w:t>7</w:t>
    </w:r>
    <w:r w:rsidRPr="00972BCD">
      <w:rPr>
        <w:sz w:val="22"/>
        <w:szCs w:val="22"/>
      </w:rPr>
      <w:fldChar w:fldCharType="end"/>
    </w:r>
  </w:p>
  <w:p w14:paraId="4A45BB24" w14:textId="77777777" w:rsidR="000B6330" w:rsidRDefault="000B63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48D6"/>
    <w:multiLevelType w:val="multilevel"/>
    <w:tmpl w:val="02689036"/>
    <w:lvl w:ilvl="0">
      <w:start w:val="2"/>
      <w:numFmt w:val="bullet"/>
      <w:lvlText w:val="-"/>
      <w:lvlJc w:val="left"/>
      <w:pPr>
        <w:ind w:left="360" w:hanging="360"/>
      </w:pPr>
      <w:rPr>
        <w:rFonts w:ascii="Calibri" w:eastAsia="SimHei" w:hAnsi="Calibri" w:cs="Calibr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297B14"/>
    <w:multiLevelType w:val="hybridMultilevel"/>
    <w:tmpl w:val="0EE24F76"/>
    <w:lvl w:ilvl="0" w:tplc="5046247A">
      <w:start w:val="1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501B3"/>
    <w:multiLevelType w:val="hybridMultilevel"/>
    <w:tmpl w:val="DFFA3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A1AD5"/>
    <w:multiLevelType w:val="hybridMultilevel"/>
    <w:tmpl w:val="C728BC86"/>
    <w:lvl w:ilvl="0" w:tplc="14882620">
      <w:start w:val="1"/>
      <w:numFmt w:val="lowerLetter"/>
      <w:pStyle w:val="CEOParagraphabc"/>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12504663"/>
    <w:multiLevelType w:val="hybridMultilevel"/>
    <w:tmpl w:val="DF80E1BE"/>
    <w:lvl w:ilvl="0" w:tplc="AA701C3E">
      <w:start w:val="1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0781F"/>
    <w:multiLevelType w:val="hybridMultilevel"/>
    <w:tmpl w:val="C526B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A3F37"/>
    <w:multiLevelType w:val="multilevel"/>
    <w:tmpl w:val="E9109DD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A641F7"/>
    <w:multiLevelType w:val="hybridMultilevel"/>
    <w:tmpl w:val="CFB27DFC"/>
    <w:lvl w:ilvl="0" w:tplc="5046247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12C26"/>
    <w:multiLevelType w:val="multilevel"/>
    <w:tmpl w:val="DB4E02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B1213DF"/>
    <w:multiLevelType w:val="multilevel"/>
    <w:tmpl w:val="292864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926D78"/>
    <w:multiLevelType w:val="hybridMultilevel"/>
    <w:tmpl w:val="6C465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41334"/>
    <w:multiLevelType w:val="hybridMultilevel"/>
    <w:tmpl w:val="DB1C6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102A6C"/>
    <w:multiLevelType w:val="hybridMultilevel"/>
    <w:tmpl w:val="538E0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34746"/>
    <w:multiLevelType w:val="hybridMultilevel"/>
    <w:tmpl w:val="4154BDAC"/>
    <w:lvl w:ilvl="0" w:tplc="EFE8233A">
      <w:start w:val="2"/>
      <w:numFmt w:val="bullet"/>
      <w:lvlText w:val="-"/>
      <w:lvlJc w:val="left"/>
      <w:pPr>
        <w:ind w:left="360" w:hanging="360"/>
      </w:pPr>
      <w:rPr>
        <w:rFonts w:ascii="Calibri" w:eastAsia="SimHe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AC2E87"/>
    <w:multiLevelType w:val="hybridMultilevel"/>
    <w:tmpl w:val="791E0166"/>
    <w:lvl w:ilvl="0" w:tplc="EFE8233A">
      <w:start w:val="2"/>
      <w:numFmt w:val="bullet"/>
      <w:lvlText w:val="-"/>
      <w:lvlJc w:val="left"/>
      <w:pPr>
        <w:ind w:left="360" w:hanging="360"/>
      </w:pPr>
      <w:rPr>
        <w:rFonts w:ascii="Calibri" w:eastAsia="SimHe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A97673"/>
    <w:multiLevelType w:val="hybridMultilevel"/>
    <w:tmpl w:val="EB665022"/>
    <w:lvl w:ilvl="0" w:tplc="5046247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F36D2"/>
    <w:multiLevelType w:val="hybridMultilevel"/>
    <w:tmpl w:val="AD7E70C6"/>
    <w:lvl w:ilvl="0" w:tplc="EFE8233A">
      <w:start w:val="2"/>
      <w:numFmt w:val="bullet"/>
      <w:lvlText w:val="-"/>
      <w:lvlJc w:val="left"/>
      <w:pPr>
        <w:ind w:left="720" w:hanging="360"/>
      </w:pPr>
      <w:rPr>
        <w:rFonts w:ascii="Calibri" w:eastAsia="SimHe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A36B3"/>
    <w:multiLevelType w:val="hybridMultilevel"/>
    <w:tmpl w:val="3EFCA1CC"/>
    <w:lvl w:ilvl="0" w:tplc="EFE8233A">
      <w:start w:val="2"/>
      <w:numFmt w:val="bullet"/>
      <w:lvlText w:val="-"/>
      <w:lvlJc w:val="left"/>
      <w:pPr>
        <w:ind w:left="1515" w:hanging="360"/>
      </w:pPr>
      <w:rPr>
        <w:rFonts w:ascii="Calibri" w:eastAsia="SimHei" w:hAnsi="Calibri" w:cs="Calibri"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15:restartNumberingAfterBreak="0">
    <w:nsid w:val="5FCF53A8"/>
    <w:multiLevelType w:val="hybridMultilevel"/>
    <w:tmpl w:val="35684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EB7D82"/>
    <w:multiLevelType w:val="hybridMultilevel"/>
    <w:tmpl w:val="03BA3E2A"/>
    <w:lvl w:ilvl="0" w:tplc="EFE8233A">
      <w:start w:val="2"/>
      <w:numFmt w:val="bullet"/>
      <w:lvlText w:val="-"/>
      <w:lvlJc w:val="left"/>
      <w:pPr>
        <w:ind w:left="360" w:hanging="360"/>
      </w:pPr>
      <w:rPr>
        <w:rFonts w:ascii="Calibri" w:eastAsia="SimHe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672AF5"/>
    <w:multiLevelType w:val="multilevel"/>
    <w:tmpl w:val="1C14758A"/>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820937"/>
    <w:multiLevelType w:val="hybridMultilevel"/>
    <w:tmpl w:val="F8C8A0E2"/>
    <w:lvl w:ilvl="0" w:tplc="B406DF7A">
      <w:numFmt w:val="bullet"/>
      <w:lvlText w:val="-"/>
      <w:lvlJc w:val="left"/>
      <w:pPr>
        <w:ind w:left="720" w:hanging="360"/>
      </w:pPr>
      <w:rPr>
        <w:rFonts w:ascii="Calibri" w:eastAsia="SimSun"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E3E66"/>
    <w:multiLevelType w:val="hybridMultilevel"/>
    <w:tmpl w:val="33E06FA6"/>
    <w:lvl w:ilvl="0" w:tplc="E4AE8978">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23187"/>
    <w:multiLevelType w:val="hybridMultilevel"/>
    <w:tmpl w:val="9A8671D0"/>
    <w:lvl w:ilvl="0" w:tplc="EFE8233A">
      <w:start w:val="2"/>
      <w:numFmt w:val="bullet"/>
      <w:lvlText w:val="-"/>
      <w:lvlJc w:val="left"/>
      <w:pPr>
        <w:ind w:left="720" w:hanging="360"/>
      </w:pPr>
      <w:rPr>
        <w:rFonts w:ascii="Calibri" w:eastAsia="SimHe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93450E"/>
    <w:multiLevelType w:val="hybridMultilevel"/>
    <w:tmpl w:val="B8BEE5E0"/>
    <w:lvl w:ilvl="0" w:tplc="5046247A">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4D60DA"/>
    <w:multiLevelType w:val="hybridMultilevel"/>
    <w:tmpl w:val="B824D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40506B"/>
    <w:multiLevelType w:val="multilevel"/>
    <w:tmpl w:val="02689036"/>
    <w:lvl w:ilvl="0">
      <w:start w:val="2"/>
      <w:numFmt w:val="bullet"/>
      <w:lvlText w:val="-"/>
      <w:lvlJc w:val="left"/>
      <w:pPr>
        <w:ind w:left="360" w:hanging="360"/>
      </w:pPr>
      <w:rPr>
        <w:rFonts w:ascii="Calibri" w:eastAsia="SimHei" w:hAnsi="Calibri" w:cs="Calibr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3"/>
    </w:lvlOverride>
  </w:num>
  <w:num w:numId="5">
    <w:abstractNumId w:val="14"/>
  </w:num>
  <w:num w:numId="6">
    <w:abstractNumId w:val="4"/>
  </w:num>
  <w:num w:numId="7">
    <w:abstractNumId w:val="22"/>
  </w:num>
  <w:num w:numId="8">
    <w:abstractNumId w:val="20"/>
  </w:num>
  <w:num w:numId="9">
    <w:abstractNumId w:val="4"/>
    <w:lvlOverride w:ilvl="0">
      <w:startOverride w:val="2"/>
    </w:lvlOverride>
    <w:lvlOverride w:ilvl="1">
      <w:startOverride w:val="2"/>
    </w:lvlOverride>
  </w:num>
  <w:num w:numId="10">
    <w:abstractNumId w:val="21"/>
  </w:num>
  <w:num w:numId="11">
    <w:abstractNumId w:val="11"/>
  </w:num>
  <w:num w:numId="12">
    <w:abstractNumId w:val="12"/>
  </w:num>
  <w:num w:numId="13">
    <w:abstractNumId w:val="24"/>
  </w:num>
  <w:num w:numId="14">
    <w:abstractNumId w:val="0"/>
  </w:num>
  <w:num w:numId="15">
    <w:abstractNumId w:val="27"/>
  </w:num>
  <w:num w:numId="16">
    <w:abstractNumId w:val="13"/>
  </w:num>
  <w:num w:numId="17">
    <w:abstractNumId w:val="7"/>
  </w:num>
  <w:num w:numId="18">
    <w:abstractNumId w:val="4"/>
  </w:num>
  <w:num w:numId="19">
    <w:abstractNumId w:val="18"/>
  </w:num>
  <w:num w:numId="20">
    <w:abstractNumId w:val="10"/>
  </w:num>
  <w:num w:numId="21">
    <w:abstractNumId w:val="17"/>
  </w:num>
  <w:num w:numId="22">
    <w:abstractNumId w:val="3"/>
  </w:num>
  <w:num w:numId="23">
    <w:abstractNumId w:val="2"/>
  </w:num>
  <w:num w:numId="24">
    <w:abstractNumId w:val="6"/>
  </w:num>
  <w:num w:numId="25">
    <w:abstractNumId w:val="1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8"/>
  </w:num>
  <w:num w:numId="33">
    <w:abstractNumId w:val="5"/>
  </w:num>
  <w:num w:numId="34">
    <w:abstractNumId w:val="16"/>
  </w:num>
  <w:num w:numId="35">
    <w:abstractNumId w:val="25"/>
  </w:num>
  <w:num w:numId="36">
    <w:abstractNumId w:val="1"/>
  </w:num>
  <w:num w:numId="37">
    <w:abstractNumId w:val="20"/>
  </w:num>
  <w:num w:numId="38">
    <w:abstractNumId w:val="1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63"/>
    <w:rsid w:val="00000673"/>
    <w:rsid w:val="00000FF1"/>
    <w:rsid w:val="00001467"/>
    <w:rsid w:val="00002716"/>
    <w:rsid w:val="00005791"/>
    <w:rsid w:val="00013A55"/>
    <w:rsid w:val="000140F6"/>
    <w:rsid w:val="00016A33"/>
    <w:rsid w:val="0001746F"/>
    <w:rsid w:val="000212AA"/>
    <w:rsid w:val="00021E50"/>
    <w:rsid w:val="000222F9"/>
    <w:rsid w:val="000234B4"/>
    <w:rsid w:val="0002520B"/>
    <w:rsid w:val="00027E4F"/>
    <w:rsid w:val="00030DD0"/>
    <w:rsid w:val="00031F00"/>
    <w:rsid w:val="00035BA5"/>
    <w:rsid w:val="00035FA7"/>
    <w:rsid w:val="00037A9E"/>
    <w:rsid w:val="00037F91"/>
    <w:rsid w:val="00046E97"/>
    <w:rsid w:val="00047B46"/>
    <w:rsid w:val="000539F1"/>
    <w:rsid w:val="00055A2A"/>
    <w:rsid w:val="00056BED"/>
    <w:rsid w:val="000615C1"/>
    <w:rsid w:val="00063432"/>
    <w:rsid w:val="000700D0"/>
    <w:rsid w:val="000733D7"/>
    <w:rsid w:val="00073974"/>
    <w:rsid w:val="0007692F"/>
    <w:rsid w:val="00076D3D"/>
    <w:rsid w:val="00077155"/>
    <w:rsid w:val="000806BC"/>
    <w:rsid w:val="00082CF2"/>
    <w:rsid w:val="00084CA2"/>
    <w:rsid w:val="00087675"/>
    <w:rsid w:val="00090DAB"/>
    <w:rsid w:val="0009225C"/>
    <w:rsid w:val="000940BC"/>
    <w:rsid w:val="000A17C4"/>
    <w:rsid w:val="000A395E"/>
    <w:rsid w:val="000A4BB3"/>
    <w:rsid w:val="000B20E5"/>
    <w:rsid w:val="000B2352"/>
    <w:rsid w:val="000B5260"/>
    <w:rsid w:val="000B6330"/>
    <w:rsid w:val="000C5AF7"/>
    <w:rsid w:val="000C7B84"/>
    <w:rsid w:val="000D261B"/>
    <w:rsid w:val="000D3EF0"/>
    <w:rsid w:val="000D5479"/>
    <w:rsid w:val="000D58A3"/>
    <w:rsid w:val="000E1E12"/>
    <w:rsid w:val="000E37E6"/>
    <w:rsid w:val="000E3ED4"/>
    <w:rsid w:val="000E3F9C"/>
    <w:rsid w:val="000F1550"/>
    <w:rsid w:val="000F2BCA"/>
    <w:rsid w:val="000F6644"/>
    <w:rsid w:val="00100833"/>
    <w:rsid w:val="00102F72"/>
    <w:rsid w:val="00103464"/>
    <w:rsid w:val="00113C2C"/>
    <w:rsid w:val="00113EE8"/>
    <w:rsid w:val="0011455A"/>
    <w:rsid w:val="00114A65"/>
    <w:rsid w:val="00116C5F"/>
    <w:rsid w:val="00132D41"/>
    <w:rsid w:val="00132FD8"/>
    <w:rsid w:val="00133061"/>
    <w:rsid w:val="00134AB7"/>
    <w:rsid w:val="00141489"/>
    <w:rsid w:val="00141699"/>
    <w:rsid w:val="00141FAC"/>
    <w:rsid w:val="00147000"/>
    <w:rsid w:val="0015260A"/>
    <w:rsid w:val="00153B9E"/>
    <w:rsid w:val="00163091"/>
    <w:rsid w:val="001644C4"/>
    <w:rsid w:val="001645CB"/>
    <w:rsid w:val="00165B1D"/>
    <w:rsid w:val="00166305"/>
    <w:rsid w:val="00166467"/>
    <w:rsid w:val="001703C6"/>
    <w:rsid w:val="00173781"/>
    <w:rsid w:val="00175CAE"/>
    <w:rsid w:val="00177B08"/>
    <w:rsid w:val="001828DB"/>
    <w:rsid w:val="001850FE"/>
    <w:rsid w:val="00185135"/>
    <w:rsid w:val="0018567C"/>
    <w:rsid w:val="0019037C"/>
    <w:rsid w:val="001905A9"/>
    <w:rsid w:val="00190D0D"/>
    <w:rsid w:val="00191273"/>
    <w:rsid w:val="001942A7"/>
    <w:rsid w:val="0019587B"/>
    <w:rsid w:val="001A163D"/>
    <w:rsid w:val="001A2ED1"/>
    <w:rsid w:val="001A39A3"/>
    <w:rsid w:val="001A441E"/>
    <w:rsid w:val="001A6733"/>
    <w:rsid w:val="001A6DC9"/>
    <w:rsid w:val="001B357F"/>
    <w:rsid w:val="001B66A4"/>
    <w:rsid w:val="001C291A"/>
    <w:rsid w:val="001C3702"/>
    <w:rsid w:val="001C4656"/>
    <w:rsid w:val="001C6703"/>
    <w:rsid w:val="001C6AEB"/>
    <w:rsid w:val="001D2CB2"/>
    <w:rsid w:val="001E16A4"/>
    <w:rsid w:val="001E5172"/>
    <w:rsid w:val="001E5A87"/>
    <w:rsid w:val="001F23E6"/>
    <w:rsid w:val="001F28E6"/>
    <w:rsid w:val="001F4238"/>
    <w:rsid w:val="001F5729"/>
    <w:rsid w:val="00200A38"/>
    <w:rsid w:val="00200A46"/>
    <w:rsid w:val="0020513A"/>
    <w:rsid w:val="00206EB5"/>
    <w:rsid w:val="00211B6F"/>
    <w:rsid w:val="00211E87"/>
    <w:rsid w:val="00217CC3"/>
    <w:rsid w:val="00220AB6"/>
    <w:rsid w:val="0022120F"/>
    <w:rsid w:val="00222820"/>
    <w:rsid w:val="002266DB"/>
    <w:rsid w:val="0022754A"/>
    <w:rsid w:val="00230826"/>
    <w:rsid w:val="0023382C"/>
    <w:rsid w:val="00236560"/>
    <w:rsid w:val="0023662E"/>
    <w:rsid w:val="00237ECB"/>
    <w:rsid w:val="00241828"/>
    <w:rsid w:val="002455E0"/>
    <w:rsid w:val="00245D0F"/>
    <w:rsid w:val="002463BF"/>
    <w:rsid w:val="00252CCB"/>
    <w:rsid w:val="002548C3"/>
    <w:rsid w:val="00257ACD"/>
    <w:rsid w:val="00260D80"/>
    <w:rsid w:val="00262908"/>
    <w:rsid w:val="00265091"/>
    <w:rsid w:val="002650F4"/>
    <w:rsid w:val="0026600A"/>
    <w:rsid w:val="002662A5"/>
    <w:rsid w:val="002663BA"/>
    <w:rsid w:val="002703CC"/>
    <w:rsid w:val="002715FD"/>
    <w:rsid w:val="002756CD"/>
    <w:rsid w:val="002761E2"/>
    <w:rsid w:val="00277B46"/>
    <w:rsid w:val="002849BD"/>
    <w:rsid w:val="002854BF"/>
    <w:rsid w:val="00285B33"/>
    <w:rsid w:val="00287D3F"/>
    <w:rsid w:val="002967B0"/>
    <w:rsid w:val="00296BAB"/>
    <w:rsid w:val="002B049F"/>
    <w:rsid w:val="002B3E20"/>
    <w:rsid w:val="002B4AE9"/>
    <w:rsid w:val="002C1EC7"/>
    <w:rsid w:val="002C3A92"/>
    <w:rsid w:val="002C7D9F"/>
    <w:rsid w:val="002C7EA3"/>
    <w:rsid w:val="002D1F75"/>
    <w:rsid w:val="002D20AE"/>
    <w:rsid w:val="002D4896"/>
    <w:rsid w:val="002D6C61"/>
    <w:rsid w:val="002D6D39"/>
    <w:rsid w:val="002D7225"/>
    <w:rsid w:val="002E2104"/>
    <w:rsid w:val="002E29BE"/>
    <w:rsid w:val="002E302D"/>
    <w:rsid w:val="002E3204"/>
    <w:rsid w:val="002E42F6"/>
    <w:rsid w:val="002E5800"/>
    <w:rsid w:val="002E6963"/>
    <w:rsid w:val="002F05D8"/>
    <w:rsid w:val="002F2AE5"/>
    <w:rsid w:val="002F2DE0"/>
    <w:rsid w:val="002F4EB4"/>
    <w:rsid w:val="002F5E25"/>
    <w:rsid w:val="002F7E7A"/>
    <w:rsid w:val="0031209F"/>
    <w:rsid w:val="003125C3"/>
    <w:rsid w:val="003127AA"/>
    <w:rsid w:val="00312AE6"/>
    <w:rsid w:val="003170F9"/>
    <w:rsid w:val="00317D1A"/>
    <w:rsid w:val="003205CE"/>
    <w:rsid w:val="003211FF"/>
    <w:rsid w:val="003227BD"/>
    <w:rsid w:val="00322E6F"/>
    <w:rsid w:val="00324877"/>
    <w:rsid w:val="003255ED"/>
    <w:rsid w:val="00327247"/>
    <w:rsid w:val="00327A9D"/>
    <w:rsid w:val="0033130E"/>
    <w:rsid w:val="003314BF"/>
    <w:rsid w:val="00333B1E"/>
    <w:rsid w:val="00335AFE"/>
    <w:rsid w:val="00342EBC"/>
    <w:rsid w:val="00343828"/>
    <w:rsid w:val="0034689A"/>
    <w:rsid w:val="00352AFB"/>
    <w:rsid w:val="00355A4C"/>
    <w:rsid w:val="00360B73"/>
    <w:rsid w:val="00367481"/>
    <w:rsid w:val="00367536"/>
    <w:rsid w:val="0037445E"/>
    <w:rsid w:val="0037616F"/>
    <w:rsid w:val="0038365A"/>
    <w:rsid w:val="00385758"/>
    <w:rsid w:val="00386A89"/>
    <w:rsid w:val="00391FF3"/>
    <w:rsid w:val="003921B3"/>
    <w:rsid w:val="0039494E"/>
    <w:rsid w:val="0039648E"/>
    <w:rsid w:val="003A5310"/>
    <w:rsid w:val="003A5AFE"/>
    <w:rsid w:val="003A5D5F"/>
    <w:rsid w:val="003A7FFE"/>
    <w:rsid w:val="003B0A63"/>
    <w:rsid w:val="003B22A3"/>
    <w:rsid w:val="003B3ADB"/>
    <w:rsid w:val="003B4AAF"/>
    <w:rsid w:val="003B50E1"/>
    <w:rsid w:val="003B6FA4"/>
    <w:rsid w:val="003C1746"/>
    <w:rsid w:val="003C58BF"/>
    <w:rsid w:val="003D023C"/>
    <w:rsid w:val="003D088A"/>
    <w:rsid w:val="003D36E8"/>
    <w:rsid w:val="003D3812"/>
    <w:rsid w:val="003D451D"/>
    <w:rsid w:val="003D57E7"/>
    <w:rsid w:val="003E2C03"/>
    <w:rsid w:val="003E4AB0"/>
    <w:rsid w:val="003E66DE"/>
    <w:rsid w:val="003F2DD8"/>
    <w:rsid w:val="003F50B2"/>
    <w:rsid w:val="003F6147"/>
    <w:rsid w:val="00401BFF"/>
    <w:rsid w:val="00404424"/>
    <w:rsid w:val="00404793"/>
    <w:rsid w:val="0040575F"/>
    <w:rsid w:val="00406D11"/>
    <w:rsid w:val="00407AEC"/>
    <w:rsid w:val="004122C5"/>
    <w:rsid w:val="00413B6E"/>
    <w:rsid w:val="00413B78"/>
    <w:rsid w:val="00415E93"/>
    <w:rsid w:val="00416DDE"/>
    <w:rsid w:val="00416F89"/>
    <w:rsid w:val="00422899"/>
    <w:rsid w:val="0042426F"/>
    <w:rsid w:val="00435FED"/>
    <w:rsid w:val="00440BC2"/>
    <w:rsid w:val="00441250"/>
    <w:rsid w:val="00442412"/>
    <w:rsid w:val="0044411E"/>
    <w:rsid w:val="00450952"/>
    <w:rsid w:val="0045096D"/>
    <w:rsid w:val="00453435"/>
    <w:rsid w:val="00461F71"/>
    <w:rsid w:val="00465A95"/>
    <w:rsid w:val="00466398"/>
    <w:rsid w:val="00467BD2"/>
    <w:rsid w:val="00470C13"/>
    <w:rsid w:val="00471D35"/>
    <w:rsid w:val="00480364"/>
    <w:rsid w:val="0048295E"/>
    <w:rsid w:val="00483954"/>
    <w:rsid w:val="0049128B"/>
    <w:rsid w:val="00493B49"/>
    <w:rsid w:val="00495501"/>
    <w:rsid w:val="004A070A"/>
    <w:rsid w:val="004A320E"/>
    <w:rsid w:val="004A47DE"/>
    <w:rsid w:val="004A4E9C"/>
    <w:rsid w:val="004B09A8"/>
    <w:rsid w:val="004B1A3C"/>
    <w:rsid w:val="004B1E59"/>
    <w:rsid w:val="004B325D"/>
    <w:rsid w:val="004B5EFF"/>
    <w:rsid w:val="004C3093"/>
    <w:rsid w:val="004C3EF5"/>
    <w:rsid w:val="004C6351"/>
    <w:rsid w:val="004D2CC3"/>
    <w:rsid w:val="004D35CB"/>
    <w:rsid w:val="004D3816"/>
    <w:rsid w:val="004D496D"/>
    <w:rsid w:val="004D5ED2"/>
    <w:rsid w:val="004E02B8"/>
    <w:rsid w:val="004E057D"/>
    <w:rsid w:val="004E1A1B"/>
    <w:rsid w:val="004E20E5"/>
    <w:rsid w:val="004E5B04"/>
    <w:rsid w:val="004E64EA"/>
    <w:rsid w:val="004E7342"/>
    <w:rsid w:val="004E7828"/>
    <w:rsid w:val="004F3883"/>
    <w:rsid w:val="004F46AA"/>
    <w:rsid w:val="004F5E54"/>
    <w:rsid w:val="004F6A70"/>
    <w:rsid w:val="00501D31"/>
    <w:rsid w:val="00502ABF"/>
    <w:rsid w:val="00503720"/>
    <w:rsid w:val="00504DB0"/>
    <w:rsid w:val="00507C35"/>
    <w:rsid w:val="00514D2F"/>
    <w:rsid w:val="00521C73"/>
    <w:rsid w:val="00523E53"/>
    <w:rsid w:val="00536C63"/>
    <w:rsid w:val="005378F0"/>
    <w:rsid w:val="00541309"/>
    <w:rsid w:val="0054175C"/>
    <w:rsid w:val="0054246D"/>
    <w:rsid w:val="0054420E"/>
    <w:rsid w:val="00544D1B"/>
    <w:rsid w:val="00545DC0"/>
    <w:rsid w:val="00545F6C"/>
    <w:rsid w:val="00547255"/>
    <w:rsid w:val="00552536"/>
    <w:rsid w:val="00555A7A"/>
    <w:rsid w:val="0055720C"/>
    <w:rsid w:val="00561ED4"/>
    <w:rsid w:val="005621E5"/>
    <w:rsid w:val="0056423B"/>
    <w:rsid w:val="00567B43"/>
    <w:rsid w:val="00573424"/>
    <w:rsid w:val="0057402F"/>
    <w:rsid w:val="00574ECB"/>
    <w:rsid w:val="005756B1"/>
    <w:rsid w:val="00576D6B"/>
    <w:rsid w:val="00577576"/>
    <w:rsid w:val="005849D6"/>
    <w:rsid w:val="00585367"/>
    <w:rsid w:val="0058737E"/>
    <w:rsid w:val="00592518"/>
    <w:rsid w:val="00592B84"/>
    <w:rsid w:val="00592E87"/>
    <w:rsid w:val="00594C4D"/>
    <w:rsid w:val="005967FA"/>
    <w:rsid w:val="00597DEB"/>
    <w:rsid w:val="005A33B0"/>
    <w:rsid w:val="005A4204"/>
    <w:rsid w:val="005A59F5"/>
    <w:rsid w:val="005A73DE"/>
    <w:rsid w:val="005B1696"/>
    <w:rsid w:val="005B21F5"/>
    <w:rsid w:val="005B2826"/>
    <w:rsid w:val="005B5372"/>
    <w:rsid w:val="005C0AD5"/>
    <w:rsid w:val="005C2DC2"/>
    <w:rsid w:val="005C304A"/>
    <w:rsid w:val="005C34F6"/>
    <w:rsid w:val="005C3502"/>
    <w:rsid w:val="005C6AC0"/>
    <w:rsid w:val="005C7A7D"/>
    <w:rsid w:val="005C7C98"/>
    <w:rsid w:val="005D2D59"/>
    <w:rsid w:val="005D3761"/>
    <w:rsid w:val="005D40BF"/>
    <w:rsid w:val="005D5289"/>
    <w:rsid w:val="005D57C8"/>
    <w:rsid w:val="005D605E"/>
    <w:rsid w:val="005D7761"/>
    <w:rsid w:val="005E0278"/>
    <w:rsid w:val="005E090D"/>
    <w:rsid w:val="005E27AD"/>
    <w:rsid w:val="005E3CA0"/>
    <w:rsid w:val="005E44B1"/>
    <w:rsid w:val="005E44CA"/>
    <w:rsid w:val="005E5307"/>
    <w:rsid w:val="005E60B3"/>
    <w:rsid w:val="005E67B0"/>
    <w:rsid w:val="005E7047"/>
    <w:rsid w:val="005E777F"/>
    <w:rsid w:val="005F1CA7"/>
    <w:rsid w:val="005F43DD"/>
    <w:rsid w:val="005F51A9"/>
    <w:rsid w:val="005F658D"/>
    <w:rsid w:val="005F7416"/>
    <w:rsid w:val="006005C9"/>
    <w:rsid w:val="00600C11"/>
    <w:rsid w:val="0060615B"/>
    <w:rsid w:val="00606B89"/>
    <w:rsid w:val="0061066F"/>
    <w:rsid w:val="00612BBB"/>
    <w:rsid w:val="00614AAE"/>
    <w:rsid w:val="006153BB"/>
    <w:rsid w:val="0062133C"/>
    <w:rsid w:val="0062344B"/>
    <w:rsid w:val="00623F30"/>
    <w:rsid w:val="00624490"/>
    <w:rsid w:val="00624FCB"/>
    <w:rsid w:val="006252DA"/>
    <w:rsid w:val="00625FB8"/>
    <w:rsid w:val="006261BD"/>
    <w:rsid w:val="00626841"/>
    <w:rsid w:val="00631DCE"/>
    <w:rsid w:val="00631FFD"/>
    <w:rsid w:val="0063411B"/>
    <w:rsid w:val="00640134"/>
    <w:rsid w:val="00640718"/>
    <w:rsid w:val="00644BB3"/>
    <w:rsid w:val="0064734E"/>
    <w:rsid w:val="00650137"/>
    <w:rsid w:val="006509D7"/>
    <w:rsid w:val="0065195E"/>
    <w:rsid w:val="00651CE8"/>
    <w:rsid w:val="00653AD6"/>
    <w:rsid w:val="00654B5A"/>
    <w:rsid w:val="006550B1"/>
    <w:rsid w:val="0065521B"/>
    <w:rsid w:val="00656EFA"/>
    <w:rsid w:val="00657707"/>
    <w:rsid w:val="0066335F"/>
    <w:rsid w:val="006642AF"/>
    <w:rsid w:val="00664E01"/>
    <w:rsid w:val="00671EF6"/>
    <w:rsid w:val="0067205B"/>
    <w:rsid w:val="00672F93"/>
    <w:rsid w:val="006748F8"/>
    <w:rsid w:val="00680489"/>
    <w:rsid w:val="006818F8"/>
    <w:rsid w:val="00683C32"/>
    <w:rsid w:val="0069009D"/>
    <w:rsid w:val="00690BB2"/>
    <w:rsid w:val="006A572A"/>
    <w:rsid w:val="006A7710"/>
    <w:rsid w:val="006A7A61"/>
    <w:rsid w:val="006B1E59"/>
    <w:rsid w:val="006B2FFB"/>
    <w:rsid w:val="006B362B"/>
    <w:rsid w:val="006C10A2"/>
    <w:rsid w:val="006C1F18"/>
    <w:rsid w:val="006C5727"/>
    <w:rsid w:val="006C61C9"/>
    <w:rsid w:val="006C7DAE"/>
    <w:rsid w:val="006D11E0"/>
    <w:rsid w:val="006D1BE4"/>
    <w:rsid w:val="006D40D5"/>
    <w:rsid w:val="006D615B"/>
    <w:rsid w:val="006D7847"/>
    <w:rsid w:val="006E1567"/>
    <w:rsid w:val="006E1808"/>
    <w:rsid w:val="006E663B"/>
    <w:rsid w:val="006F009A"/>
    <w:rsid w:val="006F0FAB"/>
    <w:rsid w:val="006F3D93"/>
    <w:rsid w:val="006F42B6"/>
    <w:rsid w:val="006F60F8"/>
    <w:rsid w:val="007019B1"/>
    <w:rsid w:val="0070259A"/>
    <w:rsid w:val="007055EC"/>
    <w:rsid w:val="007073FA"/>
    <w:rsid w:val="007073FB"/>
    <w:rsid w:val="007077BF"/>
    <w:rsid w:val="00710593"/>
    <w:rsid w:val="0071082E"/>
    <w:rsid w:val="00712F8C"/>
    <w:rsid w:val="007156A3"/>
    <w:rsid w:val="007165B6"/>
    <w:rsid w:val="00721524"/>
    <w:rsid w:val="00721657"/>
    <w:rsid w:val="00723824"/>
    <w:rsid w:val="00727B1A"/>
    <w:rsid w:val="007339A8"/>
    <w:rsid w:val="00733BF8"/>
    <w:rsid w:val="007348F6"/>
    <w:rsid w:val="0073713B"/>
    <w:rsid w:val="0074139C"/>
    <w:rsid w:val="007437FD"/>
    <w:rsid w:val="00745E63"/>
    <w:rsid w:val="00746BAF"/>
    <w:rsid w:val="00752258"/>
    <w:rsid w:val="00753EDA"/>
    <w:rsid w:val="00755384"/>
    <w:rsid w:val="007562CB"/>
    <w:rsid w:val="00756808"/>
    <w:rsid w:val="00762880"/>
    <w:rsid w:val="00762AD6"/>
    <w:rsid w:val="00763258"/>
    <w:rsid w:val="00766B88"/>
    <w:rsid w:val="00767D1E"/>
    <w:rsid w:val="007714F0"/>
    <w:rsid w:val="00772290"/>
    <w:rsid w:val="0077525C"/>
    <w:rsid w:val="00777265"/>
    <w:rsid w:val="007805E7"/>
    <w:rsid w:val="0078222A"/>
    <w:rsid w:val="00787D48"/>
    <w:rsid w:val="0079032C"/>
    <w:rsid w:val="00794CB5"/>
    <w:rsid w:val="00797614"/>
    <w:rsid w:val="007A0EAC"/>
    <w:rsid w:val="007A1154"/>
    <w:rsid w:val="007A4E50"/>
    <w:rsid w:val="007A59A9"/>
    <w:rsid w:val="007B18A7"/>
    <w:rsid w:val="007B250E"/>
    <w:rsid w:val="007B5DD0"/>
    <w:rsid w:val="007C2467"/>
    <w:rsid w:val="007C27FC"/>
    <w:rsid w:val="007C51FF"/>
    <w:rsid w:val="007C5C00"/>
    <w:rsid w:val="007D50E4"/>
    <w:rsid w:val="007D54B9"/>
    <w:rsid w:val="007D5867"/>
    <w:rsid w:val="007D75DF"/>
    <w:rsid w:val="007D765B"/>
    <w:rsid w:val="007E0CBC"/>
    <w:rsid w:val="007E1626"/>
    <w:rsid w:val="007E22C3"/>
    <w:rsid w:val="007E249F"/>
    <w:rsid w:val="007E47A3"/>
    <w:rsid w:val="007E5CD4"/>
    <w:rsid w:val="007E6B95"/>
    <w:rsid w:val="007F25EA"/>
    <w:rsid w:val="007F2B4E"/>
    <w:rsid w:val="007F435B"/>
    <w:rsid w:val="007F594E"/>
    <w:rsid w:val="00800B73"/>
    <w:rsid w:val="008027AC"/>
    <w:rsid w:val="008028CE"/>
    <w:rsid w:val="0080332E"/>
    <w:rsid w:val="00811FC8"/>
    <w:rsid w:val="0081285B"/>
    <w:rsid w:val="008132AC"/>
    <w:rsid w:val="008141E0"/>
    <w:rsid w:val="00816EE1"/>
    <w:rsid w:val="00816F88"/>
    <w:rsid w:val="00817D3E"/>
    <w:rsid w:val="008212BA"/>
    <w:rsid w:val="00822323"/>
    <w:rsid w:val="00833024"/>
    <w:rsid w:val="00834D1B"/>
    <w:rsid w:val="00840CD5"/>
    <w:rsid w:val="008419B1"/>
    <w:rsid w:val="00843152"/>
    <w:rsid w:val="008439F5"/>
    <w:rsid w:val="00844A56"/>
    <w:rsid w:val="0084589A"/>
    <w:rsid w:val="00852081"/>
    <w:rsid w:val="00852B98"/>
    <w:rsid w:val="00857AD7"/>
    <w:rsid w:val="00873DA8"/>
    <w:rsid w:val="00874DFD"/>
    <w:rsid w:val="00877A02"/>
    <w:rsid w:val="008802F9"/>
    <w:rsid w:val="008816A7"/>
    <w:rsid w:val="00881BF7"/>
    <w:rsid w:val="00882E82"/>
    <w:rsid w:val="00883086"/>
    <w:rsid w:val="00884E68"/>
    <w:rsid w:val="00886184"/>
    <w:rsid w:val="008879FD"/>
    <w:rsid w:val="008933F8"/>
    <w:rsid w:val="00894C37"/>
    <w:rsid w:val="008A00EA"/>
    <w:rsid w:val="008A3F93"/>
    <w:rsid w:val="008A5C0E"/>
    <w:rsid w:val="008A5E5F"/>
    <w:rsid w:val="008A6236"/>
    <w:rsid w:val="008A6E1C"/>
    <w:rsid w:val="008A72FD"/>
    <w:rsid w:val="008B2EDF"/>
    <w:rsid w:val="008B386B"/>
    <w:rsid w:val="008B54CB"/>
    <w:rsid w:val="008B5772"/>
    <w:rsid w:val="008B5A3D"/>
    <w:rsid w:val="008B6C4A"/>
    <w:rsid w:val="008B7A57"/>
    <w:rsid w:val="008C4010"/>
    <w:rsid w:val="008C4FDF"/>
    <w:rsid w:val="008C6B1F"/>
    <w:rsid w:val="008C7F88"/>
    <w:rsid w:val="008D5E4F"/>
    <w:rsid w:val="008D6127"/>
    <w:rsid w:val="008D72DD"/>
    <w:rsid w:val="008E2FD3"/>
    <w:rsid w:val="008E330E"/>
    <w:rsid w:val="008E3D3A"/>
    <w:rsid w:val="008E468F"/>
    <w:rsid w:val="008F14F5"/>
    <w:rsid w:val="008F22D6"/>
    <w:rsid w:val="008F6DD5"/>
    <w:rsid w:val="008F71C1"/>
    <w:rsid w:val="00902777"/>
    <w:rsid w:val="00902D41"/>
    <w:rsid w:val="00902F49"/>
    <w:rsid w:val="00914004"/>
    <w:rsid w:val="009157BC"/>
    <w:rsid w:val="0092197F"/>
    <w:rsid w:val="00922EC1"/>
    <w:rsid w:val="009301F1"/>
    <w:rsid w:val="009305B6"/>
    <w:rsid w:val="00930EF3"/>
    <w:rsid w:val="009359B8"/>
    <w:rsid w:val="009405B2"/>
    <w:rsid w:val="009431F8"/>
    <w:rsid w:val="00943BD5"/>
    <w:rsid w:val="00947A35"/>
    <w:rsid w:val="009507F6"/>
    <w:rsid w:val="0095107D"/>
    <w:rsid w:val="00951C2A"/>
    <w:rsid w:val="00960DF0"/>
    <w:rsid w:val="009625CF"/>
    <w:rsid w:val="00964E57"/>
    <w:rsid w:val="00966CB5"/>
    <w:rsid w:val="009733DE"/>
    <w:rsid w:val="00975786"/>
    <w:rsid w:val="00976CA0"/>
    <w:rsid w:val="009772E1"/>
    <w:rsid w:val="0098070F"/>
    <w:rsid w:val="00981CB7"/>
    <w:rsid w:val="00983E1F"/>
    <w:rsid w:val="009848B2"/>
    <w:rsid w:val="00985BE1"/>
    <w:rsid w:val="00991752"/>
    <w:rsid w:val="00991C71"/>
    <w:rsid w:val="009922E2"/>
    <w:rsid w:val="00993F46"/>
    <w:rsid w:val="0099432B"/>
    <w:rsid w:val="0099651E"/>
    <w:rsid w:val="00996579"/>
    <w:rsid w:val="00997358"/>
    <w:rsid w:val="009A452B"/>
    <w:rsid w:val="009A47FC"/>
    <w:rsid w:val="009B050C"/>
    <w:rsid w:val="009B087F"/>
    <w:rsid w:val="009B74C3"/>
    <w:rsid w:val="009C05C7"/>
    <w:rsid w:val="009C110B"/>
    <w:rsid w:val="009C5441"/>
    <w:rsid w:val="009C5C60"/>
    <w:rsid w:val="009D119F"/>
    <w:rsid w:val="009D3CD9"/>
    <w:rsid w:val="009D49A2"/>
    <w:rsid w:val="009D6EDF"/>
    <w:rsid w:val="009E08DA"/>
    <w:rsid w:val="009E1AEE"/>
    <w:rsid w:val="009E7934"/>
    <w:rsid w:val="009F3940"/>
    <w:rsid w:val="009F3EB2"/>
    <w:rsid w:val="009F6682"/>
    <w:rsid w:val="009F6EB1"/>
    <w:rsid w:val="00A06CF5"/>
    <w:rsid w:val="00A07114"/>
    <w:rsid w:val="00A072A5"/>
    <w:rsid w:val="00A116B8"/>
    <w:rsid w:val="00A11D05"/>
    <w:rsid w:val="00A12C88"/>
    <w:rsid w:val="00A130A2"/>
    <w:rsid w:val="00A13162"/>
    <w:rsid w:val="00A1699D"/>
    <w:rsid w:val="00A20267"/>
    <w:rsid w:val="00A25157"/>
    <w:rsid w:val="00A25498"/>
    <w:rsid w:val="00A257BD"/>
    <w:rsid w:val="00A26890"/>
    <w:rsid w:val="00A3158C"/>
    <w:rsid w:val="00A317BD"/>
    <w:rsid w:val="00A32DF3"/>
    <w:rsid w:val="00A33750"/>
    <w:rsid w:val="00A33E32"/>
    <w:rsid w:val="00A34306"/>
    <w:rsid w:val="00A35E20"/>
    <w:rsid w:val="00A3722F"/>
    <w:rsid w:val="00A3765C"/>
    <w:rsid w:val="00A40D40"/>
    <w:rsid w:val="00A5093B"/>
    <w:rsid w:val="00A5188D"/>
    <w:rsid w:val="00A525CC"/>
    <w:rsid w:val="00A52A03"/>
    <w:rsid w:val="00A53E7C"/>
    <w:rsid w:val="00A546E8"/>
    <w:rsid w:val="00A55E5E"/>
    <w:rsid w:val="00A565EE"/>
    <w:rsid w:val="00A569F6"/>
    <w:rsid w:val="00A60087"/>
    <w:rsid w:val="00A66A8F"/>
    <w:rsid w:val="00A702EF"/>
    <w:rsid w:val="00A705E8"/>
    <w:rsid w:val="00A72C20"/>
    <w:rsid w:val="00A735DA"/>
    <w:rsid w:val="00A73AF2"/>
    <w:rsid w:val="00A7722F"/>
    <w:rsid w:val="00A9129A"/>
    <w:rsid w:val="00A92BF3"/>
    <w:rsid w:val="00A9392C"/>
    <w:rsid w:val="00A9462B"/>
    <w:rsid w:val="00A97D59"/>
    <w:rsid w:val="00AA2CDE"/>
    <w:rsid w:val="00AA3E09"/>
    <w:rsid w:val="00AA4BEF"/>
    <w:rsid w:val="00AA5C81"/>
    <w:rsid w:val="00AA6368"/>
    <w:rsid w:val="00AB052D"/>
    <w:rsid w:val="00AB1714"/>
    <w:rsid w:val="00AB4962"/>
    <w:rsid w:val="00AB734E"/>
    <w:rsid w:val="00AB740F"/>
    <w:rsid w:val="00AC7221"/>
    <w:rsid w:val="00AD1D5E"/>
    <w:rsid w:val="00AD2E82"/>
    <w:rsid w:val="00AD5B8E"/>
    <w:rsid w:val="00AD5F0B"/>
    <w:rsid w:val="00AD7121"/>
    <w:rsid w:val="00AE5961"/>
    <w:rsid w:val="00AF43FA"/>
    <w:rsid w:val="00AF4971"/>
    <w:rsid w:val="00AF4A94"/>
    <w:rsid w:val="00B01046"/>
    <w:rsid w:val="00B022A1"/>
    <w:rsid w:val="00B0652C"/>
    <w:rsid w:val="00B06A28"/>
    <w:rsid w:val="00B073B5"/>
    <w:rsid w:val="00B11176"/>
    <w:rsid w:val="00B12F57"/>
    <w:rsid w:val="00B219E7"/>
    <w:rsid w:val="00B26734"/>
    <w:rsid w:val="00B26C9E"/>
    <w:rsid w:val="00B30707"/>
    <w:rsid w:val="00B310F9"/>
    <w:rsid w:val="00B339D3"/>
    <w:rsid w:val="00B36275"/>
    <w:rsid w:val="00B37866"/>
    <w:rsid w:val="00B412FB"/>
    <w:rsid w:val="00B415C2"/>
    <w:rsid w:val="00B44D27"/>
    <w:rsid w:val="00B4576B"/>
    <w:rsid w:val="00B46350"/>
    <w:rsid w:val="00B51B8D"/>
    <w:rsid w:val="00B5528A"/>
    <w:rsid w:val="00B600D3"/>
    <w:rsid w:val="00B642E0"/>
    <w:rsid w:val="00B66E8F"/>
    <w:rsid w:val="00B67170"/>
    <w:rsid w:val="00B674AE"/>
    <w:rsid w:val="00B73285"/>
    <w:rsid w:val="00B75640"/>
    <w:rsid w:val="00B7628C"/>
    <w:rsid w:val="00B83D5E"/>
    <w:rsid w:val="00B8460A"/>
    <w:rsid w:val="00B85A70"/>
    <w:rsid w:val="00B8650D"/>
    <w:rsid w:val="00B879B4"/>
    <w:rsid w:val="00B90F07"/>
    <w:rsid w:val="00B91E09"/>
    <w:rsid w:val="00B92ABF"/>
    <w:rsid w:val="00B97BB9"/>
    <w:rsid w:val="00BA0009"/>
    <w:rsid w:val="00BA4CFC"/>
    <w:rsid w:val="00BA4D45"/>
    <w:rsid w:val="00BA5903"/>
    <w:rsid w:val="00BB1863"/>
    <w:rsid w:val="00BB1EEF"/>
    <w:rsid w:val="00BB20EE"/>
    <w:rsid w:val="00BB25EE"/>
    <w:rsid w:val="00BB288D"/>
    <w:rsid w:val="00BB363A"/>
    <w:rsid w:val="00BB7655"/>
    <w:rsid w:val="00BC10A0"/>
    <w:rsid w:val="00BC3666"/>
    <w:rsid w:val="00BC3689"/>
    <w:rsid w:val="00BC54F6"/>
    <w:rsid w:val="00BC79E3"/>
    <w:rsid w:val="00BC7BA2"/>
    <w:rsid w:val="00BC7CDE"/>
    <w:rsid w:val="00BD426B"/>
    <w:rsid w:val="00BD7829"/>
    <w:rsid w:val="00BD79F0"/>
    <w:rsid w:val="00BD7C18"/>
    <w:rsid w:val="00BE2B4D"/>
    <w:rsid w:val="00BE402E"/>
    <w:rsid w:val="00BF02A8"/>
    <w:rsid w:val="00BF0363"/>
    <w:rsid w:val="00BF1109"/>
    <w:rsid w:val="00BF67CA"/>
    <w:rsid w:val="00BF72B0"/>
    <w:rsid w:val="00C015F8"/>
    <w:rsid w:val="00C01D12"/>
    <w:rsid w:val="00C02B4C"/>
    <w:rsid w:val="00C032A0"/>
    <w:rsid w:val="00C04CC0"/>
    <w:rsid w:val="00C07B06"/>
    <w:rsid w:val="00C07E26"/>
    <w:rsid w:val="00C1011C"/>
    <w:rsid w:val="00C11E27"/>
    <w:rsid w:val="00C1260C"/>
    <w:rsid w:val="00C12F94"/>
    <w:rsid w:val="00C177C5"/>
    <w:rsid w:val="00C21DCA"/>
    <w:rsid w:val="00C21E0E"/>
    <w:rsid w:val="00C24EDB"/>
    <w:rsid w:val="00C27127"/>
    <w:rsid w:val="00C34EC3"/>
    <w:rsid w:val="00C37D73"/>
    <w:rsid w:val="00C37F4A"/>
    <w:rsid w:val="00C4038C"/>
    <w:rsid w:val="00C4056B"/>
    <w:rsid w:val="00C41B23"/>
    <w:rsid w:val="00C42BA2"/>
    <w:rsid w:val="00C43812"/>
    <w:rsid w:val="00C44066"/>
    <w:rsid w:val="00C44E13"/>
    <w:rsid w:val="00C60A41"/>
    <w:rsid w:val="00C62DE8"/>
    <w:rsid w:val="00C62DFB"/>
    <w:rsid w:val="00C65093"/>
    <w:rsid w:val="00C66F4D"/>
    <w:rsid w:val="00C70B37"/>
    <w:rsid w:val="00C724A2"/>
    <w:rsid w:val="00C74DDB"/>
    <w:rsid w:val="00C7757D"/>
    <w:rsid w:val="00C820CE"/>
    <w:rsid w:val="00C83BAC"/>
    <w:rsid w:val="00C861D8"/>
    <w:rsid w:val="00C86600"/>
    <w:rsid w:val="00C87246"/>
    <w:rsid w:val="00C87BCA"/>
    <w:rsid w:val="00C91B31"/>
    <w:rsid w:val="00C930FC"/>
    <w:rsid w:val="00C93292"/>
    <w:rsid w:val="00C9381B"/>
    <w:rsid w:val="00C944FE"/>
    <w:rsid w:val="00C94506"/>
    <w:rsid w:val="00C949D4"/>
    <w:rsid w:val="00C954BC"/>
    <w:rsid w:val="00C97B05"/>
    <w:rsid w:val="00C97BA6"/>
    <w:rsid w:val="00CA1F0B"/>
    <w:rsid w:val="00CB110F"/>
    <w:rsid w:val="00CB2A2E"/>
    <w:rsid w:val="00CB338A"/>
    <w:rsid w:val="00CB79C5"/>
    <w:rsid w:val="00CC3C87"/>
    <w:rsid w:val="00CC411F"/>
    <w:rsid w:val="00CC4B75"/>
    <w:rsid w:val="00CC732E"/>
    <w:rsid w:val="00CC7B8F"/>
    <w:rsid w:val="00CD16A6"/>
    <w:rsid w:val="00CD7207"/>
    <w:rsid w:val="00CD7548"/>
    <w:rsid w:val="00CE0DBE"/>
    <w:rsid w:val="00CE0F79"/>
    <w:rsid w:val="00CE4734"/>
    <w:rsid w:val="00CE5E4D"/>
    <w:rsid w:val="00CF02C4"/>
    <w:rsid w:val="00CF15CA"/>
    <w:rsid w:val="00CF167F"/>
    <w:rsid w:val="00CF3A3C"/>
    <w:rsid w:val="00CF72E5"/>
    <w:rsid w:val="00D01F54"/>
    <w:rsid w:val="00D03D7A"/>
    <w:rsid w:val="00D04B5B"/>
    <w:rsid w:val="00D05D08"/>
    <w:rsid w:val="00D06198"/>
    <w:rsid w:val="00D0620C"/>
    <w:rsid w:val="00D10FC7"/>
    <w:rsid w:val="00D1680B"/>
    <w:rsid w:val="00D209FE"/>
    <w:rsid w:val="00D20E99"/>
    <w:rsid w:val="00D21C83"/>
    <w:rsid w:val="00D23D68"/>
    <w:rsid w:val="00D23EF0"/>
    <w:rsid w:val="00D2546D"/>
    <w:rsid w:val="00D301A7"/>
    <w:rsid w:val="00D35BDD"/>
    <w:rsid w:val="00D35C44"/>
    <w:rsid w:val="00D4770B"/>
    <w:rsid w:val="00D53917"/>
    <w:rsid w:val="00D61024"/>
    <w:rsid w:val="00D63006"/>
    <w:rsid w:val="00D63271"/>
    <w:rsid w:val="00D664BF"/>
    <w:rsid w:val="00D67B98"/>
    <w:rsid w:val="00D72301"/>
    <w:rsid w:val="00D81B3E"/>
    <w:rsid w:val="00D82402"/>
    <w:rsid w:val="00D82848"/>
    <w:rsid w:val="00D911DE"/>
    <w:rsid w:val="00D91B97"/>
    <w:rsid w:val="00D93ACC"/>
    <w:rsid w:val="00D93C08"/>
    <w:rsid w:val="00D94671"/>
    <w:rsid w:val="00D94848"/>
    <w:rsid w:val="00D9534D"/>
    <w:rsid w:val="00D95853"/>
    <w:rsid w:val="00D95DAC"/>
    <w:rsid w:val="00D96BA5"/>
    <w:rsid w:val="00DA0829"/>
    <w:rsid w:val="00DA0B53"/>
    <w:rsid w:val="00DA1A7B"/>
    <w:rsid w:val="00DA31E6"/>
    <w:rsid w:val="00DA328C"/>
    <w:rsid w:val="00DA4D98"/>
    <w:rsid w:val="00DA5D91"/>
    <w:rsid w:val="00DB1171"/>
    <w:rsid w:val="00DB1519"/>
    <w:rsid w:val="00DB2840"/>
    <w:rsid w:val="00DB5C1A"/>
    <w:rsid w:val="00DC0287"/>
    <w:rsid w:val="00DC1824"/>
    <w:rsid w:val="00DC1BD3"/>
    <w:rsid w:val="00DC7777"/>
    <w:rsid w:val="00DD444A"/>
    <w:rsid w:val="00DD461E"/>
    <w:rsid w:val="00DD66B4"/>
    <w:rsid w:val="00DE1972"/>
    <w:rsid w:val="00DE27AB"/>
    <w:rsid w:val="00DE791C"/>
    <w:rsid w:val="00DF2AB3"/>
    <w:rsid w:val="00DF5323"/>
    <w:rsid w:val="00DF7250"/>
    <w:rsid w:val="00DF7FB1"/>
    <w:rsid w:val="00E00CAA"/>
    <w:rsid w:val="00E03EBF"/>
    <w:rsid w:val="00E05209"/>
    <w:rsid w:val="00E1036D"/>
    <w:rsid w:val="00E13AFC"/>
    <w:rsid w:val="00E17FB2"/>
    <w:rsid w:val="00E21B56"/>
    <w:rsid w:val="00E2258E"/>
    <w:rsid w:val="00E260C2"/>
    <w:rsid w:val="00E3000B"/>
    <w:rsid w:val="00E300F8"/>
    <w:rsid w:val="00E32596"/>
    <w:rsid w:val="00E326CD"/>
    <w:rsid w:val="00E32AD8"/>
    <w:rsid w:val="00E368F7"/>
    <w:rsid w:val="00E36EB8"/>
    <w:rsid w:val="00E37FB8"/>
    <w:rsid w:val="00E40B07"/>
    <w:rsid w:val="00E4180C"/>
    <w:rsid w:val="00E42326"/>
    <w:rsid w:val="00E43271"/>
    <w:rsid w:val="00E43544"/>
    <w:rsid w:val="00E43E47"/>
    <w:rsid w:val="00E44D89"/>
    <w:rsid w:val="00E465C4"/>
    <w:rsid w:val="00E477EA"/>
    <w:rsid w:val="00E52DB2"/>
    <w:rsid w:val="00E531B9"/>
    <w:rsid w:val="00E53BB1"/>
    <w:rsid w:val="00E5601A"/>
    <w:rsid w:val="00E56359"/>
    <w:rsid w:val="00E61308"/>
    <w:rsid w:val="00E63B14"/>
    <w:rsid w:val="00E65CA0"/>
    <w:rsid w:val="00E741BC"/>
    <w:rsid w:val="00E83810"/>
    <w:rsid w:val="00E86933"/>
    <w:rsid w:val="00E86CF1"/>
    <w:rsid w:val="00E97298"/>
    <w:rsid w:val="00E97753"/>
    <w:rsid w:val="00EA7DE7"/>
    <w:rsid w:val="00EB1FE7"/>
    <w:rsid w:val="00EB7A8A"/>
    <w:rsid w:val="00EC4C08"/>
    <w:rsid w:val="00EC58A0"/>
    <w:rsid w:val="00EC5F29"/>
    <w:rsid w:val="00EC6135"/>
    <w:rsid w:val="00EC6909"/>
    <w:rsid w:val="00ED161D"/>
    <w:rsid w:val="00ED2081"/>
    <w:rsid w:val="00ED340F"/>
    <w:rsid w:val="00ED5B31"/>
    <w:rsid w:val="00ED75D2"/>
    <w:rsid w:val="00EE3A64"/>
    <w:rsid w:val="00EE3CB2"/>
    <w:rsid w:val="00EE4A40"/>
    <w:rsid w:val="00EE50E5"/>
    <w:rsid w:val="00EF01CF"/>
    <w:rsid w:val="00EF1132"/>
    <w:rsid w:val="00EF4C17"/>
    <w:rsid w:val="00EF5806"/>
    <w:rsid w:val="00EF69D8"/>
    <w:rsid w:val="00F03590"/>
    <w:rsid w:val="00F03622"/>
    <w:rsid w:val="00F041CD"/>
    <w:rsid w:val="00F063AD"/>
    <w:rsid w:val="00F071FA"/>
    <w:rsid w:val="00F07482"/>
    <w:rsid w:val="00F077FD"/>
    <w:rsid w:val="00F112BB"/>
    <w:rsid w:val="00F12CE3"/>
    <w:rsid w:val="00F1732E"/>
    <w:rsid w:val="00F177DA"/>
    <w:rsid w:val="00F204F3"/>
    <w:rsid w:val="00F218AB"/>
    <w:rsid w:val="00F223DB"/>
    <w:rsid w:val="00F238B3"/>
    <w:rsid w:val="00F25586"/>
    <w:rsid w:val="00F260AE"/>
    <w:rsid w:val="00F2651D"/>
    <w:rsid w:val="00F27362"/>
    <w:rsid w:val="00F3050E"/>
    <w:rsid w:val="00F31498"/>
    <w:rsid w:val="00F3297C"/>
    <w:rsid w:val="00F32FEF"/>
    <w:rsid w:val="00F33B37"/>
    <w:rsid w:val="00F3433C"/>
    <w:rsid w:val="00F401EB"/>
    <w:rsid w:val="00F428B9"/>
    <w:rsid w:val="00F42E13"/>
    <w:rsid w:val="00F42F1C"/>
    <w:rsid w:val="00F43B44"/>
    <w:rsid w:val="00F440E5"/>
    <w:rsid w:val="00F4478A"/>
    <w:rsid w:val="00F448F6"/>
    <w:rsid w:val="00F46F76"/>
    <w:rsid w:val="00F52741"/>
    <w:rsid w:val="00F52DB0"/>
    <w:rsid w:val="00F53D8A"/>
    <w:rsid w:val="00F559DA"/>
    <w:rsid w:val="00F5624A"/>
    <w:rsid w:val="00F571CA"/>
    <w:rsid w:val="00F57C83"/>
    <w:rsid w:val="00F626F7"/>
    <w:rsid w:val="00F6325D"/>
    <w:rsid w:val="00F65BAC"/>
    <w:rsid w:val="00F736A5"/>
    <w:rsid w:val="00F74A95"/>
    <w:rsid w:val="00F80754"/>
    <w:rsid w:val="00F85ECB"/>
    <w:rsid w:val="00F90577"/>
    <w:rsid w:val="00F9211C"/>
    <w:rsid w:val="00F92208"/>
    <w:rsid w:val="00F93C89"/>
    <w:rsid w:val="00FA095D"/>
    <w:rsid w:val="00FA0F10"/>
    <w:rsid w:val="00FA6C8B"/>
    <w:rsid w:val="00FB2911"/>
    <w:rsid w:val="00FB3CB4"/>
    <w:rsid w:val="00FB4139"/>
    <w:rsid w:val="00FB476E"/>
    <w:rsid w:val="00FC0D90"/>
    <w:rsid w:val="00FC16B5"/>
    <w:rsid w:val="00FC3560"/>
    <w:rsid w:val="00FC7D8C"/>
    <w:rsid w:val="00FD3980"/>
    <w:rsid w:val="00FD431E"/>
    <w:rsid w:val="00FD5A2C"/>
    <w:rsid w:val="00FE0D47"/>
    <w:rsid w:val="00FE1D5C"/>
    <w:rsid w:val="00FE2F8B"/>
    <w:rsid w:val="00FE3669"/>
    <w:rsid w:val="00FE5204"/>
    <w:rsid w:val="00FE6562"/>
    <w:rsid w:val="00FE7929"/>
    <w:rsid w:val="00FF287F"/>
    <w:rsid w:val="00FF3CB3"/>
    <w:rsid w:val="00FF7150"/>
    <w:rsid w:val="00FF74A8"/>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FC2F7D"/>
  <w15:docId w15:val="{1E51D571-F59D-43CE-8A04-43FB8895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contributionH1">
    <w:name w:val="BDT_contributionH1"/>
    <w:basedOn w:val="Normal"/>
    <w:next w:val="Normal"/>
    <w:rsid w:val="008B5772"/>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Normal">
    <w:name w:val="CEO_Normal"/>
    <w:link w:val="CEONormalChar"/>
    <w:rsid w:val="008B5772"/>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B5772"/>
    <w:rPr>
      <w:rFonts w:ascii="Calibri" w:eastAsia="SimSun" w:hAnsi="Calibri" w:cs="Simplified Arabic"/>
      <w:sz w:val="22"/>
      <w:szCs w:val="19"/>
      <w:lang w:val="en-GB" w:eastAsia="en-US"/>
    </w:rPr>
  </w:style>
  <w:style w:type="paragraph" w:styleId="ListParagraph">
    <w:name w:val="List Paragraph"/>
    <w:basedOn w:val="Normal"/>
    <w:link w:val="ListParagraphChar"/>
    <w:uiPriority w:val="99"/>
    <w:qFormat/>
    <w:rsid w:val="008B5772"/>
    <w:pPr>
      <w:tabs>
        <w:tab w:val="clear" w:pos="794"/>
        <w:tab w:val="clear" w:pos="1191"/>
        <w:tab w:val="clear" w:pos="1588"/>
        <w:tab w:val="clear" w:pos="198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character" w:customStyle="1" w:styleId="FootnoteTextChar">
    <w:name w:val="Footnote Text Char"/>
    <w:basedOn w:val="DefaultParagraphFont"/>
    <w:link w:val="FootnoteText"/>
    <w:uiPriority w:val="99"/>
    <w:rsid w:val="008B5772"/>
    <w:rPr>
      <w:rFonts w:asciiTheme="minorHAnsi" w:hAnsiTheme="minorHAnsi"/>
      <w:sz w:val="24"/>
      <w:lang w:val="en-GB" w:eastAsia="en-US"/>
    </w:rPr>
  </w:style>
  <w:style w:type="character" w:styleId="CommentReference">
    <w:name w:val="annotation reference"/>
    <w:basedOn w:val="DefaultParagraphFont"/>
    <w:uiPriority w:val="99"/>
    <w:unhideWhenUsed/>
    <w:rsid w:val="008B5772"/>
    <w:rPr>
      <w:sz w:val="16"/>
      <w:szCs w:val="16"/>
    </w:rPr>
  </w:style>
  <w:style w:type="paragraph" w:styleId="CommentText">
    <w:name w:val="annotation text"/>
    <w:basedOn w:val="Normal"/>
    <w:link w:val="CommentTextChar"/>
    <w:uiPriority w:val="99"/>
    <w:unhideWhenUsed/>
    <w:rsid w:val="008B5772"/>
    <w:pPr>
      <w:tabs>
        <w:tab w:val="clear" w:pos="794"/>
        <w:tab w:val="clear" w:pos="1191"/>
        <w:tab w:val="clear" w:pos="1588"/>
        <w:tab w:val="clear" w:pos="1985"/>
      </w:tabs>
      <w:overflowPunct/>
      <w:autoSpaceDE/>
      <w:autoSpaceDN/>
      <w:adjustRightInd/>
      <w:spacing w:before="0" w:after="200"/>
      <w:textAlignment w:val="auto"/>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8B5772"/>
    <w:rPr>
      <w:rFonts w:asciiTheme="minorHAnsi" w:eastAsiaTheme="minorEastAsia" w:hAnsiTheme="minorHAnsi" w:cstheme="minorBidi"/>
    </w:rPr>
  </w:style>
  <w:style w:type="paragraph" w:customStyle="1" w:styleId="CEOParagraph1">
    <w:name w:val="CEO_Paragraph1."/>
    <w:basedOn w:val="Normal"/>
    <w:rsid w:val="008B5772"/>
    <w:pPr>
      <w:keepNext/>
      <w:numPr>
        <w:numId w:val="1"/>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paragraph" w:customStyle="1" w:styleId="CEOParagraphabc">
    <w:name w:val="CEO_Paragraph abc)"/>
    <w:basedOn w:val="Normal"/>
    <w:rsid w:val="008B5772"/>
    <w:pPr>
      <w:numPr>
        <w:numId w:val="2"/>
      </w:numPr>
      <w:tabs>
        <w:tab w:val="clear" w:pos="794"/>
        <w:tab w:val="clear" w:pos="1191"/>
        <w:tab w:val="clear" w:pos="1588"/>
        <w:tab w:val="clear" w:pos="1985"/>
      </w:tabs>
      <w:overflowPunct/>
      <w:autoSpaceDE/>
      <w:autoSpaceDN/>
      <w:adjustRightInd/>
      <w:spacing w:after="120"/>
      <w:textAlignment w:val="auto"/>
    </w:pPr>
    <w:rPr>
      <w:rFonts w:ascii="Calibri" w:eastAsiaTheme="minorHAnsi" w:hAnsi="Calibri"/>
      <w:b/>
      <w:bCs/>
      <w:sz w:val="22"/>
      <w:szCs w:val="22"/>
      <w:lang w:val="en-US" w:eastAsia="zh-CN"/>
    </w:rPr>
  </w:style>
  <w:style w:type="paragraph" w:styleId="BalloonText">
    <w:name w:val="Balloon Text"/>
    <w:basedOn w:val="Normal"/>
    <w:link w:val="BalloonTextChar"/>
    <w:semiHidden/>
    <w:unhideWhenUsed/>
    <w:rsid w:val="008B57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B5772"/>
    <w:rPr>
      <w:rFonts w:ascii="Segoe UI" w:hAnsi="Segoe UI" w:cs="Segoe UI"/>
      <w:sz w:val="18"/>
      <w:szCs w:val="18"/>
      <w:lang w:val="en-GB" w:eastAsia="en-US"/>
    </w:rPr>
  </w:style>
  <w:style w:type="character" w:styleId="Emphasis">
    <w:name w:val="Emphasis"/>
    <w:basedOn w:val="DefaultParagraphFont"/>
    <w:uiPriority w:val="20"/>
    <w:qFormat/>
    <w:rsid w:val="00D03D7A"/>
    <w:rPr>
      <w:i/>
      <w:iCs/>
    </w:rPr>
  </w:style>
  <w:style w:type="character" w:customStyle="1" w:styleId="ms-rtethemeforecolor-2-0">
    <w:name w:val="ms-rtethemeforecolor-2-0"/>
    <w:basedOn w:val="DefaultParagraphFont"/>
    <w:rsid w:val="00D03D7A"/>
  </w:style>
  <w:style w:type="paragraph" w:styleId="Revision">
    <w:name w:val="Revision"/>
    <w:hidden/>
    <w:uiPriority w:val="99"/>
    <w:semiHidden/>
    <w:rsid w:val="006B362B"/>
    <w:rPr>
      <w:rFonts w:asciiTheme="minorHAnsi" w:hAnsiTheme="minorHAnsi"/>
      <w:sz w:val="24"/>
      <w:lang w:val="en-GB" w:eastAsia="en-US"/>
    </w:rPr>
  </w:style>
  <w:style w:type="character" w:customStyle="1" w:styleId="ms-rtefontface-5">
    <w:name w:val="ms-rtefontface-5"/>
    <w:basedOn w:val="DefaultParagraphFont"/>
    <w:rsid w:val="00FB2911"/>
  </w:style>
  <w:style w:type="paragraph" w:styleId="CommentSubject">
    <w:name w:val="annotation subject"/>
    <w:basedOn w:val="CommentText"/>
    <w:next w:val="CommentText"/>
    <w:link w:val="CommentSubjectChar"/>
    <w:semiHidden/>
    <w:unhideWhenUsed/>
    <w:rsid w:val="00C65093"/>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cs="Times New Roman"/>
      <w:b/>
      <w:bCs/>
      <w:lang w:val="en-GB" w:eastAsia="en-US"/>
    </w:rPr>
  </w:style>
  <w:style w:type="character" w:customStyle="1" w:styleId="CommentSubjectChar">
    <w:name w:val="Comment Subject Char"/>
    <w:basedOn w:val="CommentTextChar"/>
    <w:link w:val="CommentSubject"/>
    <w:semiHidden/>
    <w:rsid w:val="00C65093"/>
    <w:rPr>
      <w:rFonts w:asciiTheme="minorHAnsi" w:eastAsiaTheme="minorEastAsia" w:hAnsiTheme="minorHAnsi" w:cstheme="minorBidi"/>
      <w:b/>
      <w:bCs/>
      <w:lang w:val="en-GB" w:eastAsia="en-US"/>
    </w:rPr>
  </w:style>
  <w:style w:type="character" w:customStyle="1" w:styleId="ListParagraphChar">
    <w:name w:val="List Paragraph Char"/>
    <w:basedOn w:val="DefaultParagraphFont"/>
    <w:link w:val="ListParagraph"/>
    <w:uiPriority w:val="99"/>
    <w:locked/>
    <w:rsid w:val="00DC7777"/>
    <w:rPr>
      <w:rFonts w:ascii="Verdana" w:eastAsia="SimHei" w:hAnsi="Verdana" w:cs="Simplified Arabic"/>
      <w:bCs/>
      <w:sz w:val="19"/>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7101">
      <w:bodyDiv w:val="1"/>
      <w:marLeft w:val="0"/>
      <w:marRight w:val="0"/>
      <w:marTop w:val="0"/>
      <w:marBottom w:val="0"/>
      <w:divBdr>
        <w:top w:val="none" w:sz="0" w:space="0" w:color="auto"/>
        <w:left w:val="none" w:sz="0" w:space="0" w:color="auto"/>
        <w:bottom w:val="none" w:sz="0" w:space="0" w:color="auto"/>
        <w:right w:val="none" w:sz="0" w:space="0" w:color="auto"/>
      </w:divBdr>
    </w:div>
    <w:div w:id="116604082">
      <w:bodyDiv w:val="1"/>
      <w:marLeft w:val="0"/>
      <w:marRight w:val="0"/>
      <w:marTop w:val="0"/>
      <w:marBottom w:val="0"/>
      <w:divBdr>
        <w:top w:val="none" w:sz="0" w:space="0" w:color="auto"/>
        <w:left w:val="none" w:sz="0" w:space="0" w:color="auto"/>
        <w:bottom w:val="none" w:sz="0" w:space="0" w:color="auto"/>
        <w:right w:val="none" w:sz="0" w:space="0" w:color="auto"/>
      </w:divBdr>
    </w:div>
    <w:div w:id="384371487">
      <w:bodyDiv w:val="1"/>
      <w:marLeft w:val="0"/>
      <w:marRight w:val="0"/>
      <w:marTop w:val="0"/>
      <w:marBottom w:val="0"/>
      <w:divBdr>
        <w:top w:val="none" w:sz="0" w:space="0" w:color="auto"/>
        <w:left w:val="none" w:sz="0" w:space="0" w:color="auto"/>
        <w:bottom w:val="none" w:sz="0" w:space="0" w:color="auto"/>
        <w:right w:val="none" w:sz="0" w:space="0" w:color="auto"/>
      </w:divBdr>
    </w:div>
    <w:div w:id="820390014">
      <w:bodyDiv w:val="1"/>
      <w:marLeft w:val="0"/>
      <w:marRight w:val="0"/>
      <w:marTop w:val="0"/>
      <w:marBottom w:val="0"/>
      <w:divBdr>
        <w:top w:val="none" w:sz="0" w:space="0" w:color="auto"/>
        <w:left w:val="none" w:sz="0" w:space="0" w:color="auto"/>
        <w:bottom w:val="none" w:sz="0" w:space="0" w:color="auto"/>
        <w:right w:val="none" w:sz="0" w:space="0" w:color="auto"/>
      </w:divBdr>
    </w:div>
    <w:div w:id="823819647">
      <w:bodyDiv w:val="1"/>
      <w:marLeft w:val="0"/>
      <w:marRight w:val="0"/>
      <w:marTop w:val="0"/>
      <w:marBottom w:val="0"/>
      <w:divBdr>
        <w:top w:val="none" w:sz="0" w:space="0" w:color="auto"/>
        <w:left w:val="none" w:sz="0" w:space="0" w:color="auto"/>
        <w:bottom w:val="none" w:sz="0" w:space="0" w:color="auto"/>
        <w:right w:val="none" w:sz="0" w:space="0" w:color="auto"/>
      </w:divBdr>
    </w:div>
    <w:div w:id="868228422">
      <w:bodyDiv w:val="1"/>
      <w:marLeft w:val="0"/>
      <w:marRight w:val="0"/>
      <w:marTop w:val="0"/>
      <w:marBottom w:val="0"/>
      <w:divBdr>
        <w:top w:val="none" w:sz="0" w:space="0" w:color="auto"/>
        <w:left w:val="none" w:sz="0" w:space="0" w:color="auto"/>
        <w:bottom w:val="none" w:sz="0" w:space="0" w:color="auto"/>
        <w:right w:val="none" w:sz="0" w:space="0" w:color="auto"/>
      </w:divBdr>
    </w:div>
    <w:div w:id="1027828545">
      <w:bodyDiv w:val="1"/>
      <w:marLeft w:val="0"/>
      <w:marRight w:val="0"/>
      <w:marTop w:val="0"/>
      <w:marBottom w:val="0"/>
      <w:divBdr>
        <w:top w:val="none" w:sz="0" w:space="0" w:color="auto"/>
        <w:left w:val="none" w:sz="0" w:space="0" w:color="auto"/>
        <w:bottom w:val="none" w:sz="0" w:space="0" w:color="auto"/>
        <w:right w:val="none" w:sz="0" w:space="0" w:color="auto"/>
      </w:divBdr>
    </w:div>
    <w:div w:id="19749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itu.int/go/en/itudsponsorshi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en/ITU-D/Partners/pages/call4partners/partnerships.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en/ITU-D/Projects/Pages/default.aspx" TargetMode="Externa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5.xml"/><Relationship Id="rId5" Type="http://schemas.openxmlformats.org/officeDocument/2006/relationships/customXml" Target="../customXml/item5.xml"/><Relationship Id="rId15" Type="http://schemas.openxmlformats.org/officeDocument/2006/relationships/hyperlink" Target="http://bwld.online)" TargetMode="External"/><Relationship Id="rId23" Type="http://schemas.openxmlformats.org/officeDocument/2006/relationships/chart" Target="charts/chart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md/D14-TDAG21-INF-0006/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tentfiltering.info)" TargetMode="External"/><Relationship Id="rId22" Type="http://schemas.openxmlformats.org/officeDocument/2006/relationships/chart" Target="charts/chart3.xm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on\Local%20Settings\Temporary%20Internet%20Files\Content.Outlook\1XY9WCVR\PE_WTDC14.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yots\Desktop\TDAG\2017\Charts%20TDAG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yots\Desktop\TDAG\2017\Charts%20TDAG20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uyots\Desktop\TDAG\2017\Charts%20TDAG20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uyots\Desktop\TDAG\2017\Charts%20TDAG201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uyots\Desktop\TDAG\2017\Charts%20TDAG2017.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65000"/>
                    <a:lumOff val="35000"/>
                  </a:schemeClr>
                </a:solidFill>
                <a:effectLst/>
                <a:latin typeface="+mn-lt"/>
                <a:ea typeface="+mn-ea"/>
                <a:cs typeface="+mn-cs"/>
              </a:defRPr>
            </a:pPr>
            <a:r>
              <a:rPr lang="en-US" sz="1100" b="1"/>
              <a:t>New signed agreements</a:t>
            </a:r>
          </a:p>
          <a:p>
            <a:pPr>
              <a:defRPr sz="1100" b="1"/>
            </a:pPr>
            <a:r>
              <a:rPr lang="en-US" sz="1100" b="1"/>
              <a:t>(2013 - 2</a:t>
            </a:r>
            <a:r>
              <a:rPr lang="en-US" sz="1100" b="1" baseline="0"/>
              <a:t>016)</a:t>
            </a:r>
            <a:endParaRPr lang="en-US" sz="1100" b="1"/>
          </a:p>
        </c:rich>
      </c:tx>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solidFill>
              <a:schemeClr val="accent2">
                <a:lumMod val="75000"/>
              </a:schemeClr>
            </a:solidFill>
            <a:ln>
              <a:noFill/>
            </a:ln>
            <a:effectLst>
              <a:outerShdw blurRad="76200" dir="18900000" sy="23000" kx="-1200000" algn="bl" rotWithShape="0">
                <a:prstClr val="black">
                  <a:alpha val="20000"/>
                </a:prstClr>
              </a:outerShdw>
            </a:effectLst>
          </c:spPr>
          <c:invertIfNegative val="0"/>
          <c:dLbls>
            <c:dLbl>
              <c:idx val="2"/>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2A3E536E-1E8B-4AA5-A1E3-117C10DC6135}" type="VALUE">
                      <a:rPr lang="en-US"/>
                      <a:pPr>
                        <a:defRPr/>
                      </a:pPr>
                      <a:t>[VALUE]</a:t>
                    </a:fld>
                    <a:r>
                      <a:rPr lang="en-US" baseline="30000"/>
                      <a:t>1</a:t>
                    </a:r>
                  </a:p>
                </c:rich>
              </c:tx>
              <c:spPr>
                <a:solidFill>
                  <a:schemeClr val="dk1">
                    <a:lumMod val="65000"/>
                    <a:lumOff val="35000"/>
                    <a:alpha val="75000"/>
                  </a:schemeClr>
                </a:solidFill>
                <a:ln>
                  <a:no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Lst>
            </c:dLbl>
            <c:dLbl>
              <c:idx val="3"/>
              <c:layout>
                <c:manualLayout>
                  <c:x val="4.4742729306486055E-3"/>
                  <c:y val="0.13693922744642389"/>
                </c:manualLayout>
              </c:layout>
              <c:tx>
                <c:rich>
                  <a:bodyPr/>
                  <a:lstStyle/>
                  <a:p>
                    <a:r>
                      <a:rPr lang="en-US"/>
                      <a:t>29</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Sheet1!$B$1:$E$1</c:f>
              <c:numCache>
                <c:formatCode>General</c:formatCode>
                <c:ptCount val="4"/>
                <c:pt idx="0">
                  <c:v>2013</c:v>
                </c:pt>
                <c:pt idx="1">
                  <c:v>2014</c:v>
                </c:pt>
                <c:pt idx="2">
                  <c:v>2015</c:v>
                </c:pt>
                <c:pt idx="3">
                  <c:v>2016</c:v>
                </c:pt>
              </c:numCache>
            </c:numRef>
          </c:cat>
          <c:val>
            <c:numRef>
              <c:f>Sheet1!$B$2:$E$2</c:f>
              <c:numCache>
                <c:formatCode>General</c:formatCode>
                <c:ptCount val="4"/>
                <c:pt idx="0">
                  <c:v>36</c:v>
                </c:pt>
                <c:pt idx="1">
                  <c:v>42</c:v>
                </c:pt>
                <c:pt idx="2">
                  <c:v>68</c:v>
                </c:pt>
                <c:pt idx="3">
                  <c:v>27</c:v>
                </c:pt>
              </c:numCache>
            </c:numRef>
          </c:val>
        </c:ser>
        <c:dLbls>
          <c:dLblPos val="inEnd"/>
          <c:showLegendKey val="0"/>
          <c:showVal val="1"/>
          <c:showCatName val="0"/>
          <c:showSerName val="0"/>
          <c:showPercent val="0"/>
          <c:showBubbleSize val="0"/>
        </c:dLbls>
        <c:gapWidth val="41"/>
        <c:axId val="351712440"/>
        <c:axId val="351712832"/>
      </c:barChart>
      <c:catAx>
        <c:axId val="351712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51712832"/>
        <c:crosses val="autoZero"/>
        <c:auto val="1"/>
        <c:lblAlgn val="ctr"/>
        <c:lblOffset val="100"/>
        <c:noMultiLvlLbl val="0"/>
      </c:catAx>
      <c:valAx>
        <c:axId val="351712832"/>
        <c:scaling>
          <c:orientation val="minMax"/>
        </c:scaling>
        <c:delete val="1"/>
        <c:axPos val="l"/>
        <c:numFmt formatCode="General" sourceLinked="1"/>
        <c:majorTickMark val="none"/>
        <c:minorTickMark val="none"/>
        <c:tickLblPos val="nextTo"/>
        <c:crossAx val="35171244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100"/>
              <a:t>Beneficiary regions of new signed agreements </a:t>
            </a:r>
          </a:p>
          <a:p>
            <a:pPr>
              <a:defRPr/>
            </a:pPr>
            <a:r>
              <a:rPr lang="en-US" sz="1100"/>
              <a:t>(2013 - 2016)</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Sheet1!$G$7:$G$13</c:f>
              <c:strCache>
                <c:ptCount val="7"/>
                <c:pt idx="0">
                  <c:v>AFR</c:v>
                </c:pt>
                <c:pt idx="1">
                  <c:v>AMS</c:v>
                </c:pt>
                <c:pt idx="2">
                  <c:v>ARB</c:v>
                </c:pt>
                <c:pt idx="3">
                  <c:v>ASP</c:v>
                </c:pt>
                <c:pt idx="4">
                  <c:v>CIS</c:v>
                </c:pt>
                <c:pt idx="5">
                  <c:v>EUR</c:v>
                </c:pt>
                <c:pt idx="6">
                  <c:v>GLO</c:v>
                </c:pt>
              </c:strCache>
            </c:strRef>
          </c:cat>
          <c:val>
            <c:numRef>
              <c:f>Sheet1!$H$7:$H$13</c:f>
              <c:numCache>
                <c:formatCode>General</c:formatCode>
                <c:ptCount val="7"/>
                <c:pt idx="0">
                  <c:v>31.5</c:v>
                </c:pt>
                <c:pt idx="1">
                  <c:v>23</c:v>
                </c:pt>
                <c:pt idx="2">
                  <c:v>14</c:v>
                </c:pt>
                <c:pt idx="3">
                  <c:v>40</c:v>
                </c:pt>
                <c:pt idx="4">
                  <c:v>4</c:v>
                </c:pt>
                <c:pt idx="5">
                  <c:v>9.5</c:v>
                </c:pt>
                <c:pt idx="6">
                  <c:v>51</c:v>
                </c:pt>
              </c:numCache>
            </c:numRef>
          </c:val>
        </c:ser>
        <c:dLbls>
          <c:showLegendKey val="0"/>
          <c:showVal val="0"/>
          <c:showCatName val="0"/>
          <c:showSerName val="0"/>
          <c:showPercent val="0"/>
          <c:showBubbleSize val="0"/>
        </c:dLbls>
        <c:gapWidth val="100"/>
        <c:overlap val="-24"/>
        <c:axId val="205320096"/>
        <c:axId val="205320488"/>
      </c:barChart>
      <c:catAx>
        <c:axId val="2053200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5320488"/>
        <c:crosses val="autoZero"/>
        <c:auto val="1"/>
        <c:lblAlgn val="ctr"/>
        <c:lblOffset val="100"/>
        <c:noMultiLvlLbl val="0"/>
      </c:catAx>
      <c:valAx>
        <c:axId val="2053204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5320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50" baseline="0">
                <a:solidFill>
                  <a:schemeClr val="tx1">
                    <a:lumMod val="65000"/>
                    <a:lumOff val="35000"/>
                  </a:schemeClr>
                </a:solidFill>
                <a:latin typeface="+mn-lt"/>
                <a:ea typeface="+mn-ea"/>
                <a:cs typeface="+mn-cs"/>
              </a:defRPr>
            </a:pPr>
            <a:r>
              <a:rPr lang="en-US" sz="1100" b="1"/>
              <a:t>Areas of action of new</a:t>
            </a:r>
            <a:r>
              <a:rPr lang="en-US" sz="1100" b="1" baseline="0"/>
              <a:t> signed agreements </a:t>
            </a:r>
          </a:p>
          <a:p>
            <a:pPr>
              <a:defRPr sz="1100" b="1"/>
            </a:pPr>
            <a:r>
              <a:rPr lang="en-US" sz="1100" b="1" baseline="0"/>
              <a:t>(2013 - 2016)</a:t>
            </a:r>
            <a:endParaRPr lang="en-US" sz="1100" b="1"/>
          </a:p>
        </c:rich>
      </c:tx>
      <c:layout/>
      <c:overlay val="0"/>
      <c:spPr>
        <a:noFill/>
        <a:ln>
          <a:noFill/>
        </a:ln>
        <a:effectLst/>
      </c:spPr>
      <c:txPr>
        <a:bodyPr rot="0" spcFirstLastPara="1" vertOverflow="ellipsis" vert="horz" wrap="square" anchor="ctr" anchorCtr="1"/>
        <a:lstStyle/>
        <a:p>
          <a:pPr>
            <a:defRPr sz="11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noFill/>
            <a:ln w="25400" cap="flat" cmpd="sng" algn="ctr">
              <a:solidFill>
                <a:schemeClr val="accent1"/>
              </a:solidFill>
              <a:miter lim="800000"/>
            </a:ln>
            <a:effectLst/>
          </c:spPr>
          <c:invertIfNegative val="0"/>
          <c:cat>
            <c:strRef>
              <c:f>Sheet1!$A$34:$A$43</c:f>
              <c:strCache>
                <c:ptCount val="10"/>
                <c:pt idx="0">
                  <c:v>Capacity Building</c:v>
                </c:pt>
                <c:pt idx="1">
                  <c:v>Infrastructure</c:v>
                </c:pt>
                <c:pt idx="2">
                  <c:v>Cybersecurity</c:v>
                </c:pt>
                <c:pt idx="3">
                  <c:v>ICT Applications</c:v>
                </c:pt>
                <c:pt idx="4">
                  <c:v>Enabling Environment</c:v>
                </c:pt>
                <c:pt idx="5">
                  <c:v>Generic</c:v>
                </c:pt>
                <c:pt idx="6">
                  <c:v>Emergency Telecom</c:v>
                </c:pt>
                <c:pt idx="7">
                  <c:v>Digital Inclusion</c:v>
                </c:pt>
                <c:pt idx="8">
                  <c:v>Innovation</c:v>
                </c:pt>
                <c:pt idx="9">
                  <c:v>Statistics and Indicators</c:v>
                </c:pt>
              </c:strCache>
            </c:strRef>
          </c:cat>
          <c:val>
            <c:numRef>
              <c:f>Sheet1!$B$34:$B$43</c:f>
              <c:numCache>
                <c:formatCode>General</c:formatCode>
                <c:ptCount val="10"/>
                <c:pt idx="0">
                  <c:v>48</c:v>
                </c:pt>
                <c:pt idx="1">
                  <c:v>31</c:v>
                </c:pt>
                <c:pt idx="2">
                  <c:v>29</c:v>
                </c:pt>
                <c:pt idx="3">
                  <c:v>23</c:v>
                </c:pt>
                <c:pt idx="4">
                  <c:v>16</c:v>
                </c:pt>
                <c:pt idx="5">
                  <c:v>10</c:v>
                </c:pt>
                <c:pt idx="6">
                  <c:v>8</c:v>
                </c:pt>
                <c:pt idx="7">
                  <c:v>5</c:v>
                </c:pt>
                <c:pt idx="8">
                  <c:v>2</c:v>
                </c:pt>
                <c:pt idx="9">
                  <c:v>2</c:v>
                </c:pt>
              </c:numCache>
            </c:numRef>
          </c:val>
        </c:ser>
        <c:dLbls>
          <c:showLegendKey val="0"/>
          <c:showVal val="0"/>
          <c:showCatName val="0"/>
          <c:showSerName val="0"/>
          <c:showPercent val="0"/>
          <c:showBubbleSize val="0"/>
        </c:dLbls>
        <c:gapWidth val="227"/>
        <c:overlap val="-48"/>
        <c:axId val="205321272"/>
        <c:axId val="206629016"/>
      </c:barChart>
      <c:catAx>
        <c:axId val="205321272"/>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6629016"/>
        <c:crosses val="autoZero"/>
        <c:auto val="1"/>
        <c:lblAlgn val="ctr"/>
        <c:lblOffset val="100"/>
        <c:noMultiLvlLbl val="0"/>
      </c:catAx>
      <c:valAx>
        <c:axId val="20662901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5321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a:t>New signed agreements - stakeholders</a:t>
            </a:r>
          </a:p>
          <a:p>
            <a:pPr>
              <a:defRPr sz="1100"/>
            </a:pPr>
            <a:r>
              <a:rPr lang="en-US" sz="1100"/>
              <a:t>(2013 - 2016)</a:t>
            </a:r>
          </a:p>
        </c:rich>
      </c:tx>
      <c:layout>
        <c:manualLayout>
          <c:xMode val="edge"/>
          <c:yMode val="edge"/>
          <c:x val="0.1632188173930488"/>
          <c:y val="4.5627376425855515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869692401368485E-2"/>
          <c:y val="0.28330916527611794"/>
          <c:w val="0.8171010253287716"/>
          <c:h val="0.48616804574694472"/>
        </c:manualLayout>
      </c:layout>
      <c:pie3DChart>
        <c:varyColors val="1"/>
        <c:ser>
          <c:idx val="0"/>
          <c:order val="0"/>
          <c:explosion val="4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dPt>
          <c:dLbls>
            <c:dLbl>
              <c:idx val="0"/>
              <c:layout>
                <c:manualLayout>
                  <c:x val="-6.0287246440094679E-2"/>
                  <c:y val="5.1284178911759321E-2"/>
                </c:manualLayout>
              </c:layout>
              <c:tx>
                <c:rich>
                  <a:bodyPr/>
                  <a:lstStyle/>
                  <a:p>
                    <a:fld id="{FD00352E-5A17-4559-AF6F-210EB26FF039}" type="VALUE">
                      <a:rPr lang="en-US"/>
                      <a:pPr/>
                      <a:t>[VALUE]</a:t>
                    </a:fld>
                    <a:r>
                      <a:rPr lang="en-US"/>
                      <a:t> %</a:t>
                    </a:r>
                    <a:r>
                      <a:rPr lang="en-US" baseline="0"/>
                      <a:t> </a:t>
                    </a:r>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9.9648929234164199E-2"/>
                  <c:y val="4.3658573096613876E-2"/>
                </c:manualLayout>
              </c:layout>
              <c:tx>
                <c:rich>
                  <a:bodyPr/>
                  <a:lstStyle/>
                  <a:p>
                    <a:fld id="{F47BF712-5460-482B-B731-B4DC15285376}" type="VALUE">
                      <a:rPr lang="en-US"/>
                      <a:pPr/>
                      <a:t>[VALUE]</a:t>
                    </a:fld>
                    <a:r>
                      <a:rPr lang="en-US" baseline="0"/>
                      <a:t> %</a:t>
                    </a:r>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Sheet1!$G$48:$G$49</c:f>
              <c:strCache>
                <c:ptCount val="2"/>
                <c:pt idx="0">
                  <c:v>ITU-D Membership</c:v>
                </c:pt>
                <c:pt idx="1">
                  <c:v>Non ITU-D Membership</c:v>
                </c:pt>
              </c:strCache>
            </c:strRef>
          </c:cat>
          <c:val>
            <c:numRef>
              <c:f>Sheet1!$H$48:$H$49</c:f>
              <c:numCache>
                <c:formatCode>0</c:formatCode>
                <c:ptCount val="2"/>
                <c:pt idx="0">
                  <c:v>76.506024096385545</c:v>
                </c:pt>
                <c:pt idx="1">
                  <c:v>23.493975903614459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spc="50" baseline="0">
                <a:solidFill>
                  <a:schemeClr val="tx1">
                    <a:lumMod val="65000"/>
                    <a:lumOff val="35000"/>
                  </a:schemeClr>
                </a:solidFill>
                <a:latin typeface="+mn-lt"/>
                <a:ea typeface="+mn-ea"/>
                <a:cs typeface="+mn-cs"/>
              </a:defRPr>
            </a:pPr>
            <a:r>
              <a:rPr lang="en-US" sz="1050" b="1" i="0" cap="none" baseline="0">
                <a:effectLst/>
              </a:rPr>
              <a:t>New signed agreements - stakeholders</a:t>
            </a:r>
            <a:endParaRPr lang="en-US" sz="1050" cap="none" baseline="0">
              <a:effectLst/>
            </a:endParaRPr>
          </a:p>
          <a:p>
            <a:pPr>
              <a:defRPr sz="1050"/>
            </a:pPr>
            <a:r>
              <a:rPr lang="en-US" sz="1050" b="1" i="0" cap="none" baseline="0">
                <a:effectLst/>
              </a:rPr>
              <a:t>(2013 - 2016)</a:t>
            </a:r>
            <a:endParaRPr lang="en-US" sz="1050" cap="none" baseline="0">
              <a:effectLst/>
            </a:endParaRPr>
          </a:p>
        </c:rich>
      </c:tx>
      <c:layout>
        <c:manualLayout>
          <c:xMode val="edge"/>
          <c:yMode val="edge"/>
          <c:x val="6.2006561679790038E-2"/>
          <c:y val="4.8003260956016862E-2"/>
        </c:manualLayout>
      </c:layout>
      <c:overlay val="0"/>
      <c:spPr>
        <a:noFill/>
        <a:ln>
          <a:noFill/>
        </a:ln>
        <a:effectLst/>
      </c:spPr>
      <c:txPr>
        <a:bodyPr rot="0" spcFirstLastPara="1" vertOverflow="ellipsis" vert="horz" wrap="square" anchor="ctr" anchorCtr="1"/>
        <a:lstStyle/>
        <a:p>
          <a:pPr>
            <a:defRPr sz="105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8095890566437483"/>
          <c:y val="0.19569166400325422"/>
          <c:w val="0.45310805391471909"/>
          <c:h val="0.55677097558377153"/>
        </c:manualLayout>
      </c:layout>
      <c:doughnutChart>
        <c:varyColors val="1"/>
        <c:ser>
          <c:idx val="0"/>
          <c:order val="0"/>
          <c:explosion val="6"/>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Sheet1!$A$66:$A$71</c:f>
              <c:strCache>
                <c:ptCount val="6"/>
                <c:pt idx="0">
                  <c:v>Administration</c:v>
                </c:pt>
                <c:pt idx="1">
                  <c:v>Private sector</c:v>
                </c:pt>
                <c:pt idx="2">
                  <c:v>UN System</c:v>
                </c:pt>
                <c:pt idx="3">
                  <c:v>Financial Instit/Foundations</c:v>
                </c:pt>
                <c:pt idx="4">
                  <c:v>Academia</c:v>
                </c:pt>
                <c:pt idx="5">
                  <c:v>Organizations (Reg/Int)</c:v>
                </c:pt>
              </c:strCache>
            </c:strRef>
          </c:cat>
          <c:val>
            <c:numRef>
              <c:f>Sheet1!$B$66:$B$71</c:f>
              <c:numCache>
                <c:formatCode>0</c:formatCode>
                <c:ptCount val="6"/>
                <c:pt idx="0">
                  <c:v>38.69047619047619</c:v>
                </c:pt>
                <c:pt idx="1">
                  <c:v>22.023809523809522</c:v>
                </c:pt>
                <c:pt idx="2">
                  <c:v>6.5476190476190483</c:v>
                </c:pt>
                <c:pt idx="3">
                  <c:v>2.9761904761904758</c:v>
                </c:pt>
                <c:pt idx="4">
                  <c:v>16.071428571428573</c:v>
                </c:pt>
                <c:pt idx="5">
                  <c:v>13.690476190476192</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2.6551914608124536E-2"/>
          <c:y val="0.48462135959942276"/>
          <c:w val="0.48243155988478548"/>
          <c:h val="0.436657853192705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B85016F254F43A9690BBE1A021289" ma:contentTypeVersion="9" ma:contentTypeDescription="Create a new document." ma:contentTypeScope="" ma:versionID="253abe8f2541885daa1d651e72451980">
  <xsd:schema xmlns:xsd="http://www.w3.org/2001/XMLSchema" xmlns:xs="http://www.w3.org/2001/XMLSchema" xmlns:p="http://schemas.microsoft.com/office/2006/metadata/properties" xmlns:ns1="53c86956-54ef-434e-95d4-e7889d19b441" xmlns:ns3="10bb021d-947f-43a0-81ba-2a21b0d60df9" targetNamespace="http://schemas.microsoft.com/office/2006/metadata/properties" ma:root="true" ma:fieldsID="15bb7716777880c92695e5a937fc1044" ns1:_="" ns3:_="">
    <xsd:import namespace="53c86956-54ef-434e-95d4-e7889d19b441"/>
    <xsd:import namespace="10bb021d-947f-43a0-81ba-2a21b0d60df9"/>
    <xsd:element name="properties">
      <xsd:complexType>
        <xsd:sequence>
          <xsd:element name="documentManagement">
            <xsd:complexType>
              <xsd:all>
                <xsd:element ref="ns1:Doc_x0020_number"/>
                <xsd:element ref="ns3:_dlc_DocId" minOccurs="0"/>
                <xsd:element ref="ns3:_dlc_DocIdUrl" minOccurs="0"/>
                <xsd:element ref="ns3:_dlc_DocIdPersistId" minOccurs="0"/>
                <xsd:element ref="ns1:Focal_x0020_Point"/>
                <xsd:element ref="ns1:Agenda_x0020_ite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86956-54ef-434e-95d4-e7889d19b441" elementFormDefault="qualified">
    <xsd:import namespace="http://schemas.microsoft.com/office/2006/documentManagement/types"/>
    <xsd:import namespace="http://schemas.microsoft.com/office/infopath/2007/PartnerControls"/>
    <xsd:element name="Doc_x0020_number" ma:index="0" ma:displayName="Doc number" ma:indexed="true" ma:list="{86889774-e44d-4eb5-a300-de2fa4e5d578}" ma:internalName="Doc_x0020_number" ma:readOnly="false" ma:showField="Title">
      <xsd:simpleType>
        <xsd:restriction base="dms:Lookup"/>
      </xsd:simpleType>
    </xsd:element>
    <xsd:element name="Focal_x0020_Point" ma:index="12" ma:displayName="Focal Point" ma:indexed="true" ma:list="{799c5aa8-3c4f-44e9-9e32-6979baf01702}" ma:internalName="Focal_x0020_Point" ma:showField="Title">
      <xsd:simpleType>
        <xsd:restriction base="dms:Lookup"/>
      </xsd:simpleType>
    </xsd:element>
    <xsd:element name="Agenda_x0020_item" ma:index="13" ma:displayName="Agenda item" ma:list="{5a342916-7e2e-48a8-a3dc-dcdf71d31509}" ma:internalName="Agenda_x0020_item"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XMDQHHHA4CRK-438-17</_dlc_DocId>
    <_dlc_DocIdUrl xmlns="10bb021d-947f-43a0-81ba-2a21b0d60df9">
      <Url>https://intranet.itu.int/sites/ITU-D/tdag/_layouts/15/DocIdRedir.aspx?ID=XMDQHHHA4CRK-438-17</Url>
      <Description>XMDQHHHA4CRK-438-17</Description>
    </_dlc_DocIdUrl>
    <Focal_x0020_Point xmlns="53c86956-54ef-434e-95d4-e7889d19b441">22</Focal_x0020_Point>
    <Agenda_x0020_item xmlns="53c86956-54ef-434e-95d4-e7889d19b441">15</Agenda_x0020_item>
    <Doc_x0020_number xmlns="53c86956-54ef-434e-95d4-e7889d19b441">123</Doc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C28A-12BD-4294-8419-EB484105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86956-54ef-434e-95d4-e7889d19b441"/>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4CFAF-FA7B-4752-966D-2C70E3CA06D5}">
  <ds:schemaRefs>
    <ds:schemaRef ds:uri="10bb021d-947f-43a0-81ba-2a21b0d60df9"/>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53c86956-54ef-434e-95d4-e7889d19b441"/>
    <ds:schemaRef ds:uri="http://purl.org/dc/terms/"/>
  </ds:schemaRefs>
</ds:datastoreItem>
</file>

<file path=customXml/itemProps3.xml><?xml version="1.0" encoding="utf-8"?>
<ds:datastoreItem xmlns:ds="http://schemas.openxmlformats.org/officeDocument/2006/customXml" ds:itemID="{F3AC9683-D21B-4E7B-B8E4-57334961F238}">
  <ds:schemaRefs>
    <ds:schemaRef ds:uri="http://schemas.microsoft.com/sharepoint/v3/contenttype/forms"/>
  </ds:schemaRefs>
</ds:datastoreItem>
</file>

<file path=customXml/itemProps4.xml><?xml version="1.0" encoding="utf-8"?>
<ds:datastoreItem xmlns:ds="http://schemas.openxmlformats.org/officeDocument/2006/customXml" ds:itemID="{2A2834CB-FCD7-45BD-8A9D-C67003996FBF}">
  <ds:schemaRefs>
    <ds:schemaRef ds:uri="http://schemas.microsoft.com/sharepoint/events"/>
  </ds:schemaRefs>
</ds:datastoreItem>
</file>

<file path=customXml/itemProps5.xml><?xml version="1.0" encoding="utf-8"?>
<ds:datastoreItem xmlns:ds="http://schemas.openxmlformats.org/officeDocument/2006/customXml" ds:itemID="{F5AB599E-6272-44B9-AF2F-551050D1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PE_WTDC14.dotm</Template>
  <TotalTime>1</TotalTime>
  <Pages>7</Pages>
  <Words>2357</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ITU-D PARTNERSHIP AND RESOURCE MOBILIZATION</vt:lpstr>
    </vt:vector>
  </TitlesOfParts>
  <Manager>General Secretariat - Pool</Manager>
  <Company>International Telecommunication Union (ITU)</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PARTNERSHIP AND RESOURCE MOBILIZATION</dc:title>
  <dc:creator>BDT</dc:creator>
  <cp:lastModifiedBy>Edgar, Caroline</cp:lastModifiedBy>
  <cp:revision>2</cp:revision>
  <cp:lastPrinted>2017-04-25T11:56:00Z</cp:lastPrinted>
  <dcterms:created xsi:type="dcterms:W3CDTF">2017-04-27T08:00:00Z</dcterms:created>
  <dcterms:modified xsi:type="dcterms:W3CDTF">2017-04-27T08:00:00Z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0x01010064FB85016F254F43A9690BBE1A021289</vt:lpwstr>
  </property>
  <property fmtid="{D5CDD505-2E9C-101B-9397-08002B2CF9AE}" pid="9" name="_dlc_DocIdItemGuid">
    <vt:lpwstr>2c406674-4d41-4c29-b66a-21c808e6f3e4</vt:lpwstr>
  </property>
</Properties>
</file>