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405951" w:rsidTr="000C61E9">
        <w:trPr>
          <w:cantSplit/>
          <w:trHeight w:val="1134"/>
        </w:trPr>
        <w:tc>
          <w:tcPr>
            <w:tcW w:w="1276" w:type="dxa"/>
          </w:tcPr>
          <w:p w:rsidR="00B46DF3" w:rsidRPr="00405951" w:rsidRDefault="00107E85" w:rsidP="007628A8">
            <w:pPr>
              <w:tabs>
                <w:tab w:val="clear" w:pos="1191"/>
                <w:tab w:val="clear" w:pos="1588"/>
                <w:tab w:val="clear" w:pos="1985"/>
              </w:tabs>
              <w:spacing w:before="0"/>
              <w:ind w:left="1311"/>
              <w:rPr>
                <w:rFonts w:ascii="Verdana" w:hAnsi="Verdana"/>
                <w:sz w:val="28"/>
                <w:szCs w:val="28"/>
                <w:lang w:val="fr-FR"/>
              </w:rPr>
            </w:pPr>
            <w:r w:rsidRPr="00405951">
              <w:rPr>
                <w:noProof/>
                <w:color w:val="3399FF"/>
                <w:lang w:val="en-US"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405951" w:rsidRDefault="00156BF6" w:rsidP="007628A8">
            <w:pPr>
              <w:tabs>
                <w:tab w:val="left" w:pos="1871"/>
                <w:tab w:val="left" w:pos="2268"/>
              </w:tabs>
              <w:spacing w:before="20" w:after="48"/>
              <w:ind w:left="34"/>
              <w:rPr>
                <w:b/>
                <w:bCs/>
                <w:sz w:val="32"/>
                <w:szCs w:val="32"/>
                <w:lang w:val="fr-FR"/>
              </w:rPr>
            </w:pPr>
            <w:r w:rsidRPr="00405951">
              <w:rPr>
                <w:b/>
                <w:sz w:val="32"/>
                <w:szCs w:val="32"/>
                <w:lang w:val="fr-FR"/>
              </w:rPr>
              <w:t>Groupe</w:t>
            </w:r>
            <w:r w:rsidRPr="00405951">
              <w:rPr>
                <w:b/>
                <w:bCs/>
                <w:sz w:val="32"/>
                <w:szCs w:val="32"/>
                <w:lang w:val="fr-FR"/>
              </w:rPr>
              <w:t xml:space="preserve"> consultatif pour le développement </w:t>
            </w:r>
            <w:r w:rsidRPr="00405951">
              <w:rPr>
                <w:b/>
                <w:bCs/>
                <w:sz w:val="32"/>
                <w:szCs w:val="32"/>
                <w:lang w:val="fr-FR"/>
              </w:rPr>
              <w:br/>
              <w:t>des télécommunications (GCDT)</w:t>
            </w:r>
          </w:p>
          <w:p w:rsidR="00E55807" w:rsidRPr="00405951" w:rsidRDefault="00156BF6" w:rsidP="007628A8">
            <w:pPr>
              <w:tabs>
                <w:tab w:val="clear" w:pos="1191"/>
                <w:tab w:val="clear" w:pos="1588"/>
                <w:tab w:val="clear" w:pos="1985"/>
              </w:tabs>
              <w:spacing w:before="100" w:after="120"/>
              <w:ind w:left="34"/>
              <w:rPr>
                <w:rFonts w:ascii="Verdana" w:hAnsi="Verdana"/>
                <w:sz w:val="28"/>
                <w:szCs w:val="28"/>
                <w:lang w:val="fr-FR"/>
              </w:rPr>
            </w:pPr>
            <w:r w:rsidRPr="00405951">
              <w:rPr>
                <w:b/>
                <w:bCs/>
                <w:sz w:val="26"/>
                <w:szCs w:val="26"/>
                <w:lang w:val="fr-FR"/>
              </w:rPr>
              <w:t>22ème réunion, Genève, 9-12 mai 2017</w:t>
            </w:r>
          </w:p>
        </w:tc>
        <w:tc>
          <w:tcPr>
            <w:tcW w:w="2996" w:type="dxa"/>
          </w:tcPr>
          <w:p w:rsidR="00B46DF3" w:rsidRPr="00405951" w:rsidRDefault="000C61E9" w:rsidP="007628A8">
            <w:pPr>
              <w:spacing w:before="0"/>
              <w:ind w:right="142"/>
              <w:jc w:val="right"/>
              <w:rPr>
                <w:lang w:val="fr-FR"/>
              </w:rPr>
            </w:pPr>
            <w:r w:rsidRPr="00405951">
              <w:rPr>
                <w:noProof/>
                <w:lang w:val="en-US"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405951" w:rsidTr="000C61E9">
        <w:trPr>
          <w:cantSplit/>
        </w:trPr>
        <w:tc>
          <w:tcPr>
            <w:tcW w:w="7251" w:type="dxa"/>
            <w:gridSpan w:val="2"/>
            <w:tcBorders>
              <w:top w:val="single" w:sz="12" w:space="0" w:color="auto"/>
            </w:tcBorders>
          </w:tcPr>
          <w:p w:rsidR="00683C32" w:rsidRPr="00405951" w:rsidRDefault="00683C32" w:rsidP="007628A8">
            <w:pPr>
              <w:spacing w:before="0"/>
              <w:rPr>
                <w:rFonts w:cs="Arial"/>
                <w:b/>
                <w:bCs/>
                <w:sz w:val="20"/>
                <w:lang w:val="fr-FR"/>
              </w:rPr>
            </w:pPr>
          </w:p>
        </w:tc>
        <w:tc>
          <w:tcPr>
            <w:tcW w:w="2996" w:type="dxa"/>
            <w:tcBorders>
              <w:top w:val="single" w:sz="12" w:space="0" w:color="auto"/>
            </w:tcBorders>
          </w:tcPr>
          <w:p w:rsidR="00683C32" w:rsidRPr="00405951" w:rsidRDefault="00683C32" w:rsidP="007628A8">
            <w:pPr>
              <w:spacing w:before="0"/>
              <w:rPr>
                <w:b/>
                <w:bCs/>
                <w:sz w:val="20"/>
                <w:lang w:val="fr-FR"/>
              </w:rPr>
            </w:pPr>
          </w:p>
        </w:tc>
      </w:tr>
      <w:tr w:rsidR="00683C32" w:rsidRPr="00405951" w:rsidTr="000C61E9">
        <w:trPr>
          <w:cantSplit/>
        </w:trPr>
        <w:tc>
          <w:tcPr>
            <w:tcW w:w="7251" w:type="dxa"/>
            <w:gridSpan w:val="2"/>
          </w:tcPr>
          <w:p w:rsidR="00683C32" w:rsidRPr="00405951" w:rsidRDefault="00683C32" w:rsidP="007628A8">
            <w:pPr>
              <w:pStyle w:val="Committee"/>
              <w:spacing w:before="0"/>
              <w:rPr>
                <w:b w:val="0"/>
                <w:szCs w:val="24"/>
                <w:lang w:val="fr-FR"/>
              </w:rPr>
            </w:pPr>
          </w:p>
        </w:tc>
        <w:tc>
          <w:tcPr>
            <w:tcW w:w="2996" w:type="dxa"/>
          </w:tcPr>
          <w:p w:rsidR="00683C32" w:rsidRPr="00405951" w:rsidRDefault="00323587" w:rsidP="007628A8">
            <w:pPr>
              <w:spacing w:before="0"/>
              <w:rPr>
                <w:bCs/>
                <w:szCs w:val="24"/>
                <w:lang w:val="fr-FR"/>
              </w:rPr>
            </w:pPr>
            <w:r w:rsidRPr="00405951">
              <w:rPr>
                <w:b/>
                <w:bCs/>
                <w:szCs w:val="28"/>
                <w:lang w:val="fr-FR"/>
              </w:rPr>
              <w:t xml:space="preserve">Document </w:t>
            </w:r>
            <w:bookmarkStart w:id="0" w:name="DocRef1"/>
            <w:bookmarkEnd w:id="0"/>
            <w:r w:rsidRPr="00405951">
              <w:rPr>
                <w:b/>
                <w:bCs/>
                <w:szCs w:val="28"/>
                <w:lang w:val="fr-FR"/>
              </w:rPr>
              <w:t>TDAG17-22/</w:t>
            </w:r>
            <w:bookmarkStart w:id="1" w:name="DocNo1"/>
            <w:bookmarkEnd w:id="1"/>
            <w:r w:rsidR="00897B76" w:rsidRPr="00405951">
              <w:rPr>
                <w:b/>
                <w:bCs/>
                <w:szCs w:val="28"/>
                <w:lang w:val="fr-FR"/>
              </w:rPr>
              <w:t>29</w:t>
            </w:r>
            <w:r w:rsidRPr="00405951">
              <w:rPr>
                <w:b/>
                <w:bCs/>
                <w:szCs w:val="28"/>
                <w:lang w:val="fr-FR"/>
              </w:rPr>
              <w:t>-F</w:t>
            </w:r>
          </w:p>
        </w:tc>
      </w:tr>
      <w:tr w:rsidR="00683C32" w:rsidRPr="00405951" w:rsidTr="000C61E9">
        <w:trPr>
          <w:cantSplit/>
        </w:trPr>
        <w:tc>
          <w:tcPr>
            <w:tcW w:w="7251" w:type="dxa"/>
            <w:gridSpan w:val="2"/>
          </w:tcPr>
          <w:p w:rsidR="00683C32" w:rsidRPr="00405951" w:rsidRDefault="00683C32" w:rsidP="007628A8">
            <w:pPr>
              <w:spacing w:before="0"/>
              <w:rPr>
                <w:b/>
                <w:bCs/>
                <w:smallCaps/>
                <w:szCs w:val="24"/>
                <w:lang w:val="fr-FR"/>
              </w:rPr>
            </w:pPr>
          </w:p>
        </w:tc>
        <w:tc>
          <w:tcPr>
            <w:tcW w:w="2996" w:type="dxa"/>
          </w:tcPr>
          <w:p w:rsidR="00683C32" w:rsidRPr="00405951" w:rsidRDefault="00897B76" w:rsidP="007628A8">
            <w:pPr>
              <w:spacing w:before="0"/>
              <w:rPr>
                <w:b/>
                <w:szCs w:val="24"/>
                <w:lang w:val="fr-FR"/>
              </w:rPr>
            </w:pPr>
            <w:bookmarkStart w:id="2" w:name="CreationDate"/>
            <w:bookmarkEnd w:id="2"/>
            <w:r w:rsidRPr="00405951">
              <w:rPr>
                <w:b/>
                <w:bCs/>
                <w:szCs w:val="28"/>
                <w:lang w:val="fr-FR"/>
              </w:rPr>
              <w:t>26 avril</w:t>
            </w:r>
            <w:r w:rsidR="00323587" w:rsidRPr="00405951">
              <w:rPr>
                <w:b/>
                <w:bCs/>
                <w:szCs w:val="28"/>
                <w:lang w:val="fr-FR"/>
              </w:rPr>
              <w:t xml:space="preserve"> 2017</w:t>
            </w:r>
          </w:p>
        </w:tc>
      </w:tr>
      <w:tr w:rsidR="00683C32" w:rsidRPr="00405951" w:rsidTr="000C61E9">
        <w:trPr>
          <w:cantSplit/>
        </w:trPr>
        <w:tc>
          <w:tcPr>
            <w:tcW w:w="7251" w:type="dxa"/>
            <w:gridSpan w:val="2"/>
          </w:tcPr>
          <w:p w:rsidR="00683C32" w:rsidRPr="00405951" w:rsidRDefault="00683C32" w:rsidP="007628A8">
            <w:pPr>
              <w:spacing w:before="0"/>
              <w:rPr>
                <w:b/>
                <w:bCs/>
                <w:smallCaps/>
                <w:szCs w:val="24"/>
                <w:lang w:val="fr-FR"/>
              </w:rPr>
            </w:pPr>
          </w:p>
        </w:tc>
        <w:tc>
          <w:tcPr>
            <w:tcW w:w="2996" w:type="dxa"/>
          </w:tcPr>
          <w:p w:rsidR="00514D2F" w:rsidRPr="00405951" w:rsidRDefault="00323587" w:rsidP="007628A8">
            <w:pPr>
              <w:spacing w:before="0"/>
              <w:rPr>
                <w:szCs w:val="24"/>
                <w:lang w:val="fr-FR"/>
              </w:rPr>
            </w:pPr>
            <w:r w:rsidRPr="00405951">
              <w:rPr>
                <w:b/>
                <w:szCs w:val="28"/>
                <w:lang w:val="fr-FR"/>
              </w:rPr>
              <w:t>Original:</w:t>
            </w:r>
            <w:bookmarkStart w:id="3" w:name="Original"/>
            <w:bookmarkEnd w:id="3"/>
            <w:r w:rsidR="00897B76" w:rsidRPr="00405951">
              <w:rPr>
                <w:b/>
                <w:szCs w:val="28"/>
                <w:lang w:val="fr-FR"/>
              </w:rPr>
              <w:t xml:space="preserve"> anglais</w:t>
            </w:r>
          </w:p>
        </w:tc>
      </w:tr>
      <w:tr w:rsidR="00A13162" w:rsidRPr="00405951" w:rsidTr="000C61E9">
        <w:trPr>
          <w:cantSplit/>
          <w:trHeight w:val="852"/>
        </w:trPr>
        <w:tc>
          <w:tcPr>
            <w:tcW w:w="10247" w:type="dxa"/>
            <w:gridSpan w:val="3"/>
          </w:tcPr>
          <w:p w:rsidR="00A13162" w:rsidRPr="00405951" w:rsidRDefault="00897B76" w:rsidP="007628A8">
            <w:pPr>
              <w:pStyle w:val="Source"/>
              <w:rPr>
                <w:lang w:val="fr-FR"/>
              </w:rPr>
            </w:pPr>
            <w:bookmarkStart w:id="4" w:name="Source"/>
            <w:bookmarkEnd w:id="4"/>
            <w:r w:rsidRPr="00405951">
              <w:rPr>
                <w:lang w:val="fr-FR"/>
              </w:rPr>
              <w:t>Directeur du Bureau de développement des télécommunications</w:t>
            </w:r>
          </w:p>
        </w:tc>
      </w:tr>
      <w:tr w:rsidR="00AC6F14" w:rsidRPr="00405951" w:rsidTr="000C61E9">
        <w:trPr>
          <w:cantSplit/>
        </w:trPr>
        <w:tc>
          <w:tcPr>
            <w:tcW w:w="10247" w:type="dxa"/>
            <w:gridSpan w:val="3"/>
          </w:tcPr>
          <w:p w:rsidR="00AC6F14" w:rsidRPr="00405951" w:rsidRDefault="00897B76" w:rsidP="007628A8">
            <w:pPr>
              <w:pStyle w:val="Title1"/>
              <w:rPr>
                <w:lang w:val="fr-FR"/>
              </w:rPr>
            </w:pPr>
            <w:bookmarkStart w:id="5" w:name="Title"/>
            <w:bookmarkEnd w:id="5"/>
            <w:r w:rsidRPr="00405951">
              <w:rPr>
                <w:szCs w:val="28"/>
                <w:lang w:val="fr-FR"/>
              </w:rPr>
              <w:t>PARTENARIATS ET MOBILISATION DES RESSOURCES À L'UIT</w:t>
            </w:r>
            <w:r w:rsidRPr="00405951">
              <w:rPr>
                <w:szCs w:val="28"/>
                <w:lang w:val="fr-FR"/>
              </w:rPr>
              <w:noBreakHyphen/>
              <w:t>D</w:t>
            </w:r>
          </w:p>
        </w:tc>
      </w:tr>
      <w:tr w:rsidR="00A721F4" w:rsidRPr="00405951" w:rsidTr="000C61E9">
        <w:trPr>
          <w:cantSplit/>
        </w:trPr>
        <w:tc>
          <w:tcPr>
            <w:tcW w:w="10247" w:type="dxa"/>
            <w:gridSpan w:val="3"/>
            <w:tcBorders>
              <w:bottom w:val="single" w:sz="4" w:space="0" w:color="auto"/>
            </w:tcBorders>
          </w:tcPr>
          <w:p w:rsidR="00A721F4" w:rsidRPr="00405951" w:rsidRDefault="00A721F4" w:rsidP="007628A8">
            <w:pPr>
              <w:rPr>
                <w:lang w:val="fr-FR"/>
              </w:rPr>
            </w:pPr>
          </w:p>
        </w:tc>
      </w:tr>
      <w:tr w:rsidR="00A721F4" w:rsidRPr="00405951"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897B76" w:rsidRPr="00405951" w:rsidRDefault="00897B76" w:rsidP="007628A8">
            <w:pPr>
              <w:pStyle w:val="Headingb"/>
              <w:rPr>
                <w:lang w:val="fr-FR"/>
              </w:rPr>
            </w:pPr>
            <w:r w:rsidRPr="00405951">
              <w:rPr>
                <w:lang w:val="fr-FR"/>
              </w:rPr>
              <w:t>Résumé:</w:t>
            </w:r>
          </w:p>
          <w:p w:rsidR="00897B76" w:rsidRPr="00405951" w:rsidRDefault="00897B76" w:rsidP="007628A8">
            <w:pPr>
              <w:rPr>
                <w:rFonts w:ascii="Calibri" w:hAnsi="Calibri"/>
                <w:lang w:val="fr-FR"/>
              </w:rPr>
            </w:pPr>
            <w:r w:rsidRPr="00405951">
              <w:rPr>
                <w:lang w:val="fr-FR" w:eastAsia="zh-CN"/>
              </w:rPr>
              <w:t>L'importance des partenariats et de la mobilisation des ressources a été soulignée par la CMDT</w:t>
            </w:r>
            <w:r w:rsidRPr="00405951">
              <w:rPr>
                <w:lang w:val="fr-FR" w:eastAsia="zh-CN"/>
              </w:rPr>
              <w:noBreakHyphen/>
              <w:t>14. Dans ce contexte, le BDT a mené divers</w:t>
            </w:r>
            <w:r w:rsidR="007628A8" w:rsidRPr="00405951">
              <w:rPr>
                <w:lang w:val="fr-FR" w:eastAsia="zh-CN"/>
              </w:rPr>
              <w:t>es activités et</w:t>
            </w:r>
            <w:r w:rsidRPr="00405951">
              <w:rPr>
                <w:lang w:val="fr-FR" w:eastAsia="zh-CN"/>
              </w:rPr>
              <w:t xml:space="preserve"> initiatives et </w:t>
            </w:r>
            <w:r w:rsidR="007628A8" w:rsidRPr="00405951">
              <w:rPr>
                <w:lang w:val="fr-FR" w:eastAsia="zh-CN"/>
              </w:rPr>
              <w:t xml:space="preserve">différents </w:t>
            </w:r>
            <w:r w:rsidRPr="00405951">
              <w:rPr>
                <w:lang w:val="fr-FR" w:eastAsia="zh-CN"/>
              </w:rPr>
              <w:t>projets</w:t>
            </w:r>
            <w:r w:rsidR="007628A8" w:rsidRPr="00405951">
              <w:rPr>
                <w:lang w:val="fr-FR" w:eastAsia="zh-CN"/>
              </w:rPr>
              <w:t>,</w:t>
            </w:r>
            <w:r w:rsidRPr="00405951">
              <w:rPr>
                <w:lang w:val="fr-FR" w:eastAsia="zh-CN"/>
              </w:rPr>
              <w:t xml:space="preserve"> afin de renforcer les partenariats et la mobilisation des ressources. Le présent document donne une vue d'ensemble des résultats obtenus dans ces domaines aux niveaux régional et mondial.</w:t>
            </w:r>
          </w:p>
          <w:p w:rsidR="00897B76" w:rsidRPr="00405951" w:rsidRDefault="00897B76" w:rsidP="007628A8">
            <w:pPr>
              <w:pStyle w:val="Headingb"/>
              <w:rPr>
                <w:lang w:val="fr-FR"/>
              </w:rPr>
            </w:pPr>
            <w:r w:rsidRPr="00405951">
              <w:rPr>
                <w:lang w:val="fr-FR"/>
              </w:rPr>
              <w:t>Suite à donner:</w:t>
            </w:r>
          </w:p>
          <w:p w:rsidR="00897B76" w:rsidRPr="00405951" w:rsidRDefault="00897B76" w:rsidP="007628A8">
            <w:pPr>
              <w:rPr>
                <w:rFonts w:ascii="Calibri" w:hAnsi="Calibri"/>
                <w:caps/>
                <w:sz w:val="22"/>
                <w:lang w:val="fr-FR"/>
              </w:rPr>
            </w:pPr>
            <w:r w:rsidRPr="00405951">
              <w:rPr>
                <w:lang w:val="fr-FR" w:eastAsia="zh-CN"/>
              </w:rPr>
              <w:t>Le GCDT est invité à prendre note du présent</w:t>
            </w:r>
            <w:r w:rsidR="00B16855" w:rsidRPr="00405951">
              <w:rPr>
                <w:lang w:val="fr-FR" w:eastAsia="zh-CN"/>
              </w:rPr>
              <w:t xml:space="preserve"> document </w:t>
            </w:r>
            <w:r w:rsidRPr="00405951">
              <w:rPr>
                <w:lang w:val="fr-FR" w:eastAsia="zh-CN"/>
              </w:rPr>
              <w:t xml:space="preserve">et à fournir </w:t>
            </w:r>
            <w:r w:rsidR="00B16855" w:rsidRPr="00405951">
              <w:rPr>
                <w:lang w:val="fr-FR" w:eastAsia="zh-CN"/>
              </w:rPr>
              <w:t>les orientations qu</w:t>
            </w:r>
            <w:r w:rsidR="007628A8" w:rsidRPr="00405951">
              <w:rPr>
                <w:lang w:val="fr-FR" w:eastAsia="zh-CN"/>
              </w:rPr>
              <w:t>'</w:t>
            </w:r>
            <w:r w:rsidR="00B16855" w:rsidRPr="00405951">
              <w:rPr>
                <w:lang w:val="fr-FR" w:eastAsia="zh-CN"/>
              </w:rPr>
              <w:t>il jugera utiles</w:t>
            </w:r>
            <w:r w:rsidR="007628A8" w:rsidRPr="00405951">
              <w:rPr>
                <w:lang w:val="fr-FR" w:eastAsia="zh-CN"/>
              </w:rPr>
              <w:t xml:space="preserve"> </w:t>
            </w:r>
          </w:p>
          <w:p w:rsidR="00897B76" w:rsidRPr="00405951" w:rsidRDefault="00897B76" w:rsidP="007628A8">
            <w:pPr>
              <w:jc w:val="center"/>
              <w:rPr>
                <w:rFonts w:ascii="Calibri" w:hAnsi="Calibri"/>
                <w:caps/>
                <w:sz w:val="22"/>
                <w:lang w:val="fr-FR"/>
              </w:rPr>
            </w:pPr>
            <w:r w:rsidRPr="00405951">
              <w:rPr>
                <w:rFonts w:ascii="Calibri" w:hAnsi="Calibri"/>
                <w:sz w:val="22"/>
                <w:lang w:val="fr-FR"/>
              </w:rPr>
              <w:t>____________</w:t>
            </w:r>
          </w:p>
          <w:p w:rsidR="00897B76" w:rsidRPr="00405951" w:rsidRDefault="00897B76" w:rsidP="007628A8">
            <w:pPr>
              <w:pStyle w:val="Headingb"/>
              <w:rPr>
                <w:lang w:val="fr-FR"/>
              </w:rPr>
            </w:pPr>
            <w:r w:rsidRPr="00405951">
              <w:rPr>
                <w:lang w:val="fr-FR"/>
              </w:rPr>
              <w:t>Références:</w:t>
            </w:r>
          </w:p>
          <w:p w:rsidR="00897B76" w:rsidRPr="00405951" w:rsidRDefault="00897B76" w:rsidP="007628A8">
            <w:pPr>
              <w:spacing w:after="120"/>
              <w:rPr>
                <w:lang w:val="fr-FR" w:eastAsia="zh-CN"/>
              </w:rPr>
            </w:pPr>
            <w:r w:rsidRPr="00405951">
              <w:rPr>
                <w:lang w:val="fr-FR" w:eastAsia="zh-CN"/>
              </w:rPr>
              <w:t>Déclaration de Dubaï de la CMDT-14;</w:t>
            </w:r>
            <w:r w:rsidRPr="00405951">
              <w:rPr>
                <w:rFonts w:ascii="Calibri" w:hAnsi="Calibri"/>
                <w:i/>
                <w:iCs/>
                <w:lang w:val="fr-FR"/>
              </w:rPr>
              <w:t xml:space="preserve"> </w:t>
            </w:r>
            <w:r w:rsidRPr="00405951">
              <w:rPr>
                <w:lang w:val="fr-FR" w:eastAsia="zh-CN"/>
              </w:rPr>
              <w:t>But 4 de la CMDT</w:t>
            </w:r>
            <w:r w:rsidRPr="00405951">
              <w:rPr>
                <w:lang w:val="fr-FR" w:eastAsia="zh-CN"/>
              </w:rPr>
              <w:noBreakHyphen/>
              <w:t>14; Produit 2.3 de la CMDT</w:t>
            </w:r>
            <w:r w:rsidRPr="00405951">
              <w:rPr>
                <w:lang w:val="fr-FR" w:eastAsia="zh-CN"/>
              </w:rPr>
              <w:noBreakHyphen/>
              <w:t>14;</w:t>
            </w:r>
          </w:p>
          <w:p w:rsidR="00A721F4" w:rsidRPr="00405951" w:rsidRDefault="00897B76" w:rsidP="007628A8">
            <w:pPr>
              <w:rPr>
                <w:lang w:val="fr-FR"/>
              </w:rPr>
            </w:pPr>
            <w:r w:rsidRPr="00405951">
              <w:rPr>
                <w:lang w:val="fr-FR" w:eastAsia="zh-CN"/>
              </w:rPr>
              <w:t xml:space="preserve">Résolutions 17 </w:t>
            </w:r>
            <w:r w:rsidR="00196BCD" w:rsidRPr="00405951">
              <w:rPr>
                <w:lang w:val="fr-FR" w:eastAsia="zh-CN"/>
              </w:rPr>
              <w:t>(Rév.</w:t>
            </w:r>
            <w:r w:rsidRPr="00405951">
              <w:rPr>
                <w:lang w:val="fr-FR" w:eastAsia="zh-CN"/>
              </w:rPr>
              <w:t>Dubaï, 2014) et 71 (Rév.Dubaï, 2014) de la CMDT.</w:t>
            </w:r>
          </w:p>
        </w:tc>
      </w:tr>
    </w:tbl>
    <w:p w:rsidR="00953610" w:rsidRPr="00405951" w:rsidRDefault="00953610" w:rsidP="007628A8">
      <w:pPr>
        <w:pStyle w:val="Heading1"/>
        <w:rPr>
          <w:lang w:val="fr-FR"/>
        </w:rPr>
      </w:pPr>
      <w:bookmarkStart w:id="6" w:name="Proposal"/>
      <w:bookmarkEnd w:id="6"/>
      <w:r w:rsidRPr="00405951">
        <w:rPr>
          <w:lang w:val="fr-FR"/>
        </w:rPr>
        <w:t>1</w:t>
      </w:r>
      <w:r w:rsidRPr="00405951">
        <w:rPr>
          <w:lang w:val="fr-FR"/>
        </w:rPr>
        <w:tab/>
        <w:t>Rappel</w:t>
      </w:r>
    </w:p>
    <w:p w:rsidR="00953610" w:rsidRPr="00405951" w:rsidRDefault="00B16855" w:rsidP="00196BCD">
      <w:pPr>
        <w:rPr>
          <w:rFonts w:eastAsia="SimHei"/>
          <w:noProof/>
          <w:lang w:val="fr-FR"/>
        </w:rPr>
      </w:pPr>
      <w:r w:rsidRPr="00405951">
        <w:rPr>
          <w:rFonts w:eastAsia="SimHei"/>
          <w:noProof/>
          <w:lang w:val="fr-FR"/>
        </w:rPr>
        <w:t>Le</w:t>
      </w:r>
      <w:r w:rsidR="00953610" w:rsidRPr="00405951">
        <w:rPr>
          <w:rFonts w:eastAsia="SimHei"/>
          <w:noProof/>
          <w:lang w:val="fr-FR"/>
        </w:rPr>
        <w:t xml:space="preserve"> renforcement de</w:t>
      </w:r>
      <w:r w:rsidRPr="00405951">
        <w:rPr>
          <w:rFonts w:eastAsia="SimHei"/>
          <w:noProof/>
          <w:lang w:val="fr-FR"/>
        </w:rPr>
        <w:t>s</w:t>
      </w:r>
      <w:r w:rsidR="00953610" w:rsidRPr="00405951">
        <w:rPr>
          <w:rFonts w:eastAsia="SimHei"/>
          <w:noProof/>
          <w:lang w:val="fr-FR"/>
        </w:rPr>
        <w:t xml:space="preserve"> partenariats et la mobilisation de ressources extrabudgétaires revêtent</w:t>
      </w:r>
      <w:r w:rsidR="007628A8" w:rsidRPr="00405951">
        <w:rPr>
          <w:rFonts w:eastAsia="SimHei"/>
          <w:noProof/>
          <w:lang w:val="fr-FR"/>
        </w:rPr>
        <w:t xml:space="preserve"> </w:t>
      </w:r>
      <w:r w:rsidRPr="00405951">
        <w:rPr>
          <w:rFonts w:eastAsia="SimHei"/>
          <w:noProof/>
          <w:lang w:val="fr-FR"/>
        </w:rPr>
        <w:t>de plus en plus d</w:t>
      </w:r>
      <w:r w:rsidR="007628A8" w:rsidRPr="00405951">
        <w:rPr>
          <w:rFonts w:eastAsia="SimHei"/>
          <w:noProof/>
          <w:lang w:val="fr-FR"/>
        </w:rPr>
        <w:t>'</w:t>
      </w:r>
      <w:r w:rsidRPr="00405951">
        <w:rPr>
          <w:rFonts w:eastAsia="SimHei"/>
          <w:noProof/>
          <w:lang w:val="fr-FR"/>
        </w:rPr>
        <w:t>importance</w:t>
      </w:r>
      <w:r w:rsidR="00953610" w:rsidRPr="00405951">
        <w:rPr>
          <w:rFonts w:eastAsia="SimHei"/>
          <w:noProof/>
          <w:lang w:val="fr-FR"/>
        </w:rPr>
        <w:t xml:space="preserve"> pour le BDT, compte tenu de son mandat et </w:t>
      </w:r>
      <w:r w:rsidRPr="00405951">
        <w:rPr>
          <w:rFonts w:eastAsia="SimHei"/>
          <w:noProof/>
          <w:lang w:val="fr-FR"/>
        </w:rPr>
        <w:t>du nombre grandissant</w:t>
      </w:r>
      <w:r w:rsidR="00953610" w:rsidRPr="00405951">
        <w:rPr>
          <w:rFonts w:eastAsia="SimHei"/>
          <w:noProof/>
          <w:lang w:val="fr-FR"/>
        </w:rPr>
        <w:t xml:space="preserve"> et de la diversité croissante</w:t>
      </w:r>
      <w:r w:rsidR="007628A8" w:rsidRPr="00405951">
        <w:rPr>
          <w:rFonts w:eastAsia="SimHei"/>
          <w:noProof/>
          <w:lang w:val="fr-FR"/>
        </w:rPr>
        <w:t xml:space="preserve"> </w:t>
      </w:r>
      <w:r w:rsidR="00953610" w:rsidRPr="00405951">
        <w:rPr>
          <w:rFonts w:eastAsia="SimHei"/>
          <w:noProof/>
          <w:lang w:val="fr-FR"/>
        </w:rPr>
        <w:t>des initiatives,</w:t>
      </w:r>
      <w:r w:rsidR="00196BCD" w:rsidRPr="00405951">
        <w:rPr>
          <w:rFonts w:eastAsia="SimHei"/>
          <w:noProof/>
          <w:lang w:val="fr-FR"/>
        </w:rPr>
        <w:t xml:space="preserve"> y compris des initiatives régionales,</w:t>
      </w:r>
      <w:r w:rsidR="00953610" w:rsidRPr="00405951">
        <w:rPr>
          <w:rFonts w:eastAsia="SimHei"/>
          <w:noProof/>
          <w:lang w:val="fr-FR"/>
        </w:rPr>
        <w:t xml:space="preserve"> projets et activités</w:t>
      </w:r>
      <w:r w:rsidR="00196BCD" w:rsidRPr="00405951">
        <w:rPr>
          <w:rFonts w:eastAsia="SimHei"/>
          <w:noProof/>
          <w:lang w:val="fr-FR"/>
        </w:rPr>
        <w:t xml:space="preserve"> qu'il doit mettre en oeuvre</w:t>
      </w:r>
      <w:r w:rsidR="007628A8" w:rsidRPr="00405951">
        <w:rPr>
          <w:rFonts w:eastAsia="SimHei"/>
          <w:noProof/>
          <w:lang w:val="fr-FR"/>
        </w:rPr>
        <w:t>.</w:t>
      </w:r>
      <w:r w:rsidRPr="00405951">
        <w:rPr>
          <w:rFonts w:eastAsia="SimHei"/>
          <w:noProof/>
          <w:lang w:val="fr-FR"/>
        </w:rPr>
        <w:t xml:space="preserve"> En conséquence</w:t>
      </w:r>
      <w:r w:rsidR="007628A8" w:rsidRPr="00405951">
        <w:rPr>
          <w:rFonts w:eastAsia="SimHei"/>
          <w:noProof/>
          <w:lang w:val="fr-FR"/>
        </w:rPr>
        <w:t>,</w:t>
      </w:r>
      <w:r w:rsidR="00953610" w:rsidRPr="00405951">
        <w:rPr>
          <w:rFonts w:eastAsia="SimHei"/>
          <w:noProof/>
          <w:lang w:val="fr-FR"/>
        </w:rPr>
        <w:t xml:space="preserve"> le BDT a</w:t>
      </w:r>
      <w:r w:rsidR="007628A8" w:rsidRPr="00405951">
        <w:rPr>
          <w:rFonts w:eastAsia="SimHei"/>
          <w:noProof/>
          <w:lang w:val="fr-FR"/>
        </w:rPr>
        <w:t xml:space="preserve"> </w:t>
      </w:r>
      <w:r w:rsidR="00196BCD" w:rsidRPr="00405951">
        <w:rPr>
          <w:rFonts w:eastAsia="SimHei"/>
          <w:noProof/>
          <w:lang w:val="fr-FR"/>
        </w:rPr>
        <w:t>élaboré</w:t>
      </w:r>
      <w:r w:rsidRPr="00405951">
        <w:rPr>
          <w:rFonts w:eastAsia="SimHei"/>
          <w:noProof/>
          <w:lang w:val="fr-FR"/>
        </w:rPr>
        <w:t xml:space="preserve"> </w:t>
      </w:r>
      <w:r w:rsidR="00953610" w:rsidRPr="00405951">
        <w:rPr>
          <w:rFonts w:eastAsia="SimHei"/>
          <w:noProof/>
          <w:lang w:val="fr-FR"/>
        </w:rPr>
        <w:t>des outils et des stratégies au service du renforcement des partenariats et de la mobilisation des ressources, pour appuyer la mise en oeuvre de</w:t>
      </w:r>
      <w:r w:rsidR="007628A8" w:rsidRPr="00405951">
        <w:rPr>
          <w:rFonts w:eastAsia="SimHei"/>
          <w:noProof/>
          <w:lang w:val="fr-FR"/>
        </w:rPr>
        <w:t xml:space="preserve"> </w:t>
      </w:r>
      <w:r w:rsidRPr="00405951">
        <w:rPr>
          <w:rFonts w:eastAsia="SimHei"/>
          <w:noProof/>
          <w:lang w:val="fr-FR"/>
        </w:rPr>
        <w:t>diverses</w:t>
      </w:r>
      <w:r w:rsidR="007628A8" w:rsidRPr="00405951">
        <w:rPr>
          <w:rFonts w:eastAsia="SimHei"/>
          <w:noProof/>
          <w:lang w:val="fr-FR"/>
        </w:rPr>
        <w:t xml:space="preserve"> </w:t>
      </w:r>
      <w:r w:rsidRPr="00405951">
        <w:rPr>
          <w:rFonts w:eastAsia="SimHei"/>
          <w:noProof/>
          <w:lang w:val="fr-FR"/>
        </w:rPr>
        <w:t>activités et initiatives et de différents projets</w:t>
      </w:r>
      <w:r w:rsidR="007628A8" w:rsidRPr="00405951">
        <w:rPr>
          <w:rFonts w:eastAsia="SimHei"/>
          <w:noProof/>
          <w:lang w:val="fr-FR"/>
        </w:rPr>
        <w:t>,</w:t>
      </w:r>
      <w:r w:rsidR="00953610" w:rsidRPr="00405951">
        <w:rPr>
          <w:rFonts w:eastAsia="SimHei"/>
          <w:noProof/>
          <w:lang w:val="fr-FR"/>
        </w:rPr>
        <w:t xml:space="preserve"> aux niveaux régional et mondial.</w:t>
      </w:r>
    </w:p>
    <w:p w:rsidR="00953610" w:rsidRPr="00405951" w:rsidRDefault="00953610" w:rsidP="00196BCD">
      <w:pPr>
        <w:pStyle w:val="Heading1"/>
        <w:rPr>
          <w:lang w:val="fr-FR"/>
        </w:rPr>
      </w:pPr>
      <w:r w:rsidRPr="00405951">
        <w:rPr>
          <w:rFonts w:eastAsia="SimHei"/>
          <w:lang w:val="fr-FR"/>
        </w:rPr>
        <w:t>2</w:t>
      </w:r>
      <w:r w:rsidRPr="00405951">
        <w:rPr>
          <w:lang w:val="fr-FR"/>
        </w:rPr>
        <w:tab/>
      </w:r>
      <w:r w:rsidR="00B16855" w:rsidRPr="00405951">
        <w:rPr>
          <w:lang w:val="fr-FR"/>
        </w:rPr>
        <w:t>Mesures</w:t>
      </w:r>
      <w:r w:rsidR="007628A8" w:rsidRPr="00405951">
        <w:rPr>
          <w:lang w:val="fr-FR"/>
        </w:rPr>
        <w:t xml:space="preserve"> </w:t>
      </w:r>
      <w:r w:rsidRPr="00405951">
        <w:rPr>
          <w:lang w:val="fr-FR"/>
        </w:rPr>
        <w:t>prises et résultats obtenus</w:t>
      </w:r>
      <w:r w:rsidR="00196BCD" w:rsidRPr="00405951">
        <w:rPr>
          <w:lang w:val="fr-FR"/>
        </w:rPr>
        <w:t xml:space="preserve"> au niveau régional</w:t>
      </w:r>
    </w:p>
    <w:p w:rsidR="00953610" w:rsidRPr="00405951" w:rsidRDefault="00953610" w:rsidP="007628A8">
      <w:pPr>
        <w:pStyle w:val="Heading2"/>
        <w:rPr>
          <w:lang w:val="fr-FR"/>
        </w:rPr>
      </w:pPr>
      <w:r w:rsidRPr="00405951">
        <w:rPr>
          <w:lang w:val="fr-FR"/>
        </w:rPr>
        <w:t>2.1</w:t>
      </w:r>
      <w:r w:rsidRPr="00405951">
        <w:rPr>
          <w:lang w:val="fr-FR"/>
        </w:rPr>
        <w:tab/>
        <w:t>Afrique</w:t>
      </w:r>
    </w:p>
    <w:p w:rsidR="00953610" w:rsidRPr="00405951" w:rsidRDefault="00B16855" w:rsidP="00196BCD">
      <w:pPr>
        <w:rPr>
          <w:rFonts w:eastAsiaTheme="minorHAnsi"/>
          <w:szCs w:val="24"/>
          <w:lang w:val="fr-FR"/>
        </w:rPr>
      </w:pPr>
      <w:bookmarkStart w:id="7" w:name="lt_pId026"/>
      <w:r w:rsidRPr="00405951">
        <w:rPr>
          <w:rFonts w:eastAsiaTheme="minorHAnsi"/>
          <w:szCs w:val="24"/>
          <w:lang w:val="fr-FR"/>
        </w:rPr>
        <w:t>Un examen de la situation</w:t>
      </w:r>
      <w:r w:rsidR="007628A8" w:rsidRPr="00405951">
        <w:rPr>
          <w:rFonts w:eastAsiaTheme="minorHAnsi"/>
          <w:szCs w:val="24"/>
          <w:lang w:val="fr-FR"/>
        </w:rPr>
        <w:t xml:space="preserve"> </w:t>
      </w:r>
      <w:r w:rsidR="00196BCD" w:rsidRPr="00405951">
        <w:rPr>
          <w:rFonts w:eastAsiaTheme="minorHAnsi"/>
          <w:szCs w:val="24"/>
          <w:lang w:val="fr-FR"/>
        </w:rPr>
        <w:t>dans le domaine</w:t>
      </w:r>
      <w:r w:rsidRPr="00405951">
        <w:rPr>
          <w:rFonts w:eastAsiaTheme="minorHAnsi"/>
          <w:szCs w:val="24"/>
          <w:lang w:val="fr-FR"/>
        </w:rPr>
        <w:t xml:space="preserve"> de </w:t>
      </w:r>
      <w:r w:rsidR="00196BCD" w:rsidRPr="00405951">
        <w:rPr>
          <w:rFonts w:eastAsiaTheme="minorHAnsi"/>
          <w:szCs w:val="24"/>
          <w:lang w:val="fr-FR"/>
        </w:rPr>
        <w:t xml:space="preserve">la </w:t>
      </w:r>
      <w:r w:rsidRPr="00405951">
        <w:rPr>
          <w:rFonts w:eastAsiaTheme="minorHAnsi"/>
          <w:szCs w:val="24"/>
          <w:lang w:val="fr-FR"/>
        </w:rPr>
        <w:t>cybersécurité a été effectué</w:t>
      </w:r>
      <w:r w:rsidR="007628A8" w:rsidRPr="00405951">
        <w:rPr>
          <w:rFonts w:eastAsiaTheme="minorHAnsi"/>
          <w:szCs w:val="24"/>
          <w:lang w:val="fr-FR"/>
        </w:rPr>
        <w:t xml:space="preserve"> </w:t>
      </w:r>
      <w:r w:rsidRPr="00405951">
        <w:rPr>
          <w:rFonts w:eastAsiaTheme="minorHAnsi"/>
          <w:szCs w:val="24"/>
          <w:lang w:val="fr-FR"/>
        </w:rPr>
        <w:t>pour le Sierra Leone et Madagascar en partenariat avec le</w:t>
      </w:r>
      <w:r w:rsidR="007628A8" w:rsidRPr="00405951">
        <w:rPr>
          <w:rFonts w:eastAsiaTheme="minorHAnsi"/>
          <w:szCs w:val="24"/>
          <w:lang w:val="fr-FR"/>
        </w:rPr>
        <w:t xml:space="preserve"> </w:t>
      </w:r>
      <w:r w:rsidR="00953610" w:rsidRPr="00405951">
        <w:rPr>
          <w:rFonts w:eastAsiaTheme="minorHAnsi"/>
          <w:szCs w:val="24"/>
          <w:lang w:val="fr-FR"/>
        </w:rPr>
        <w:t>Global Cyber Security Capacity Centre</w:t>
      </w:r>
      <w:r w:rsidR="007628A8" w:rsidRPr="00405951">
        <w:rPr>
          <w:rFonts w:eastAsiaTheme="minorHAnsi"/>
          <w:szCs w:val="24"/>
          <w:lang w:val="fr-FR"/>
        </w:rPr>
        <w:t xml:space="preserve"> </w:t>
      </w:r>
      <w:r w:rsidRPr="00405951">
        <w:rPr>
          <w:rFonts w:eastAsiaTheme="minorHAnsi"/>
          <w:szCs w:val="24"/>
          <w:lang w:val="fr-FR"/>
        </w:rPr>
        <w:t>de l</w:t>
      </w:r>
      <w:r w:rsidR="007628A8" w:rsidRPr="00405951">
        <w:rPr>
          <w:rFonts w:eastAsiaTheme="minorHAnsi"/>
          <w:szCs w:val="24"/>
          <w:lang w:val="fr-FR"/>
        </w:rPr>
        <w:t>'</w:t>
      </w:r>
      <w:r w:rsidR="00196BCD" w:rsidRPr="00405951">
        <w:rPr>
          <w:rFonts w:eastAsiaTheme="minorHAnsi"/>
          <w:szCs w:val="24"/>
          <w:lang w:val="fr-FR"/>
        </w:rPr>
        <w:t>U</w:t>
      </w:r>
      <w:r w:rsidRPr="00405951">
        <w:rPr>
          <w:rFonts w:eastAsiaTheme="minorHAnsi"/>
          <w:szCs w:val="24"/>
          <w:lang w:val="fr-FR"/>
        </w:rPr>
        <w:t>niversité</w:t>
      </w:r>
      <w:r w:rsidR="007628A8" w:rsidRPr="00405951">
        <w:rPr>
          <w:rFonts w:eastAsiaTheme="minorHAnsi"/>
          <w:szCs w:val="24"/>
          <w:lang w:val="fr-FR"/>
        </w:rPr>
        <w:t xml:space="preserve"> </w:t>
      </w:r>
      <w:r w:rsidRPr="00405951">
        <w:rPr>
          <w:rFonts w:eastAsiaTheme="minorHAnsi"/>
          <w:szCs w:val="24"/>
          <w:lang w:val="fr-FR"/>
        </w:rPr>
        <w:t>d</w:t>
      </w:r>
      <w:r w:rsidR="007628A8" w:rsidRPr="00405951">
        <w:rPr>
          <w:rFonts w:eastAsiaTheme="minorHAnsi"/>
          <w:szCs w:val="24"/>
          <w:lang w:val="fr-FR"/>
        </w:rPr>
        <w:t>'</w:t>
      </w:r>
      <w:r w:rsidR="00953610" w:rsidRPr="00405951">
        <w:rPr>
          <w:rFonts w:eastAsiaTheme="minorHAnsi"/>
          <w:szCs w:val="24"/>
          <w:lang w:val="fr-FR"/>
        </w:rPr>
        <w:t>Oxford.</w:t>
      </w:r>
      <w:bookmarkEnd w:id="7"/>
    </w:p>
    <w:p w:rsidR="00953610" w:rsidRPr="00405951" w:rsidRDefault="00B16855" w:rsidP="000E5095">
      <w:pPr>
        <w:rPr>
          <w:rFonts w:eastAsiaTheme="minorHAnsi"/>
          <w:lang w:val="fr-FR"/>
        </w:rPr>
      </w:pPr>
      <w:bookmarkStart w:id="8" w:name="lt_pId027"/>
      <w:r w:rsidRPr="00405951">
        <w:rPr>
          <w:rFonts w:eastAsiaTheme="minorHAnsi"/>
          <w:lang w:val="fr-FR"/>
        </w:rPr>
        <w:lastRenderedPageBreak/>
        <w:t>Pour ce qui est du large bande, les mesures ci-après ont été prises</w:t>
      </w:r>
      <w:r w:rsidR="007628A8" w:rsidRPr="00405951">
        <w:rPr>
          <w:rFonts w:eastAsiaTheme="minorHAnsi"/>
          <w:lang w:val="fr-FR"/>
        </w:rPr>
        <w:t>:</w:t>
      </w:r>
      <w:r w:rsidR="00953610" w:rsidRPr="00405951">
        <w:rPr>
          <w:rFonts w:eastAsiaTheme="minorHAnsi"/>
          <w:lang w:val="fr-FR"/>
        </w:rPr>
        <w:t xml:space="preserve"> a) Burundi:</w:t>
      </w:r>
      <w:r w:rsidRPr="00405951">
        <w:rPr>
          <w:rFonts w:eastAsiaTheme="minorHAnsi"/>
          <w:lang w:val="fr-FR"/>
        </w:rPr>
        <w:t xml:space="preserve"> une stratégie dans le domaine du</w:t>
      </w:r>
      <w:r w:rsidR="007628A8" w:rsidRPr="00405951">
        <w:rPr>
          <w:rFonts w:eastAsiaTheme="minorHAnsi"/>
          <w:lang w:val="fr-FR"/>
        </w:rPr>
        <w:t xml:space="preserve"> </w:t>
      </w:r>
      <w:r w:rsidRPr="00405951">
        <w:rPr>
          <w:rFonts w:eastAsiaTheme="minorHAnsi"/>
          <w:lang w:val="fr-FR"/>
        </w:rPr>
        <w:t>large bande a été élaborée et un partenariat</w:t>
      </w:r>
      <w:r w:rsidR="007628A8" w:rsidRPr="00405951">
        <w:rPr>
          <w:rFonts w:eastAsiaTheme="minorHAnsi"/>
          <w:lang w:val="fr-FR"/>
        </w:rPr>
        <w:t xml:space="preserve"> </w:t>
      </w:r>
      <w:r w:rsidRPr="00405951">
        <w:rPr>
          <w:rFonts w:eastAsiaTheme="minorHAnsi"/>
          <w:lang w:val="fr-FR"/>
        </w:rPr>
        <w:t>conclu</w:t>
      </w:r>
      <w:r w:rsidR="007628A8" w:rsidRPr="00405951">
        <w:rPr>
          <w:rFonts w:eastAsiaTheme="minorHAnsi"/>
          <w:lang w:val="fr-FR"/>
        </w:rPr>
        <w:t xml:space="preserve"> </w:t>
      </w:r>
      <w:r w:rsidRPr="00405951">
        <w:rPr>
          <w:rFonts w:eastAsiaTheme="minorHAnsi"/>
          <w:lang w:val="fr-FR"/>
        </w:rPr>
        <w:t>avec l</w:t>
      </w:r>
      <w:r w:rsidR="007628A8" w:rsidRPr="00405951">
        <w:rPr>
          <w:rFonts w:eastAsiaTheme="minorHAnsi"/>
          <w:lang w:val="fr-FR"/>
        </w:rPr>
        <w:t>'</w:t>
      </w:r>
      <w:r w:rsidRPr="00405951">
        <w:rPr>
          <w:rFonts w:eastAsiaTheme="minorHAnsi"/>
          <w:lang w:val="fr-FR"/>
        </w:rPr>
        <w:t>UIT au sujet d</w:t>
      </w:r>
      <w:r w:rsidR="007628A8" w:rsidRPr="00405951">
        <w:rPr>
          <w:rFonts w:eastAsiaTheme="minorHAnsi"/>
          <w:lang w:val="fr-FR"/>
        </w:rPr>
        <w:t>'</w:t>
      </w:r>
      <w:r w:rsidRPr="00405951">
        <w:rPr>
          <w:rFonts w:eastAsiaTheme="minorHAnsi"/>
          <w:lang w:val="fr-FR"/>
        </w:rPr>
        <w:t>une réforme institutionnelle a été élargi</w:t>
      </w:r>
      <w:r w:rsidR="007628A8" w:rsidRPr="00405951">
        <w:rPr>
          <w:rFonts w:eastAsiaTheme="minorHAnsi"/>
          <w:lang w:val="fr-FR"/>
        </w:rPr>
        <w:t xml:space="preserve"> </w:t>
      </w:r>
      <w:r w:rsidRPr="00405951">
        <w:rPr>
          <w:rFonts w:eastAsiaTheme="minorHAnsi"/>
          <w:lang w:val="fr-FR"/>
        </w:rPr>
        <w:t xml:space="preserve">pour </w:t>
      </w:r>
      <w:r w:rsidR="00FC66E8" w:rsidRPr="00405951">
        <w:rPr>
          <w:rFonts w:eastAsiaTheme="minorHAnsi"/>
          <w:lang w:val="fr-FR"/>
        </w:rPr>
        <w:t>inclure</w:t>
      </w:r>
      <w:r w:rsidRPr="00405951">
        <w:rPr>
          <w:rFonts w:eastAsiaTheme="minorHAnsi"/>
          <w:lang w:val="fr-FR"/>
        </w:rPr>
        <w:t xml:space="preserve"> un nouveau cadre </w:t>
      </w:r>
      <w:r w:rsidR="00FC66E8" w:rsidRPr="00405951">
        <w:rPr>
          <w:rFonts w:eastAsiaTheme="minorHAnsi"/>
          <w:lang w:val="fr-FR"/>
        </w:rPr>
        <w:t>relatif à</w:t>
      </w:r>
      <w:r w:rsidRPr="00405951">
        <w:rPr>
          <w:rFonts w:eastAsiaTheme="minorHAnsi"/>
          <w:lang w:val="fr-FR"/>
        </w:rPr>
        <w:t xml:space="preserve"> l</w:t>
      </w:r>
      <w:r w:rsidR="007628A8" w:rsidRPr="00405951">
        <w:rPr>
          <w:rFonts w:eastAsiaTheme="minorHAnsi"/>
          <w:lang w:val="fr-FR"/>
        </w:rPr>
        <w:t>'</w:t>
      </w:r>
      <w:r w:rsidRPr="00405951">
        <w:rPr>
          <w:rFonts w:eastAsiaTheme="minorHAnsi"/>
          <w:lang w:val="fr-FR"/>
        </w:rPr>
        <w:t>économie numérique</w:t>
      </w:r>
      <w:r w:rsidR="00FC66E8" w:rsidRPr="00405951">
        <w:rPr>
          <w:rFonts w:eastAsiaTheme="minorHAnsi"/>
          <w:lang w:val="fr-FR"/>
        </w:rPr>
        <w:t>;</w:t>
      </w:r>
      <w:r w:rsidR="007628A8" w:rsidRPr="00405951">
        <w:rPr>
          <w:rFonts w:eastAsiaTheme="minorHAnsi"/>
          <w:lang w:val="fr-FR"/>
        </w:rPr>
        <w:t xml:space="preserve"> </w:t>
      </w:r>
      <w:r w:rsidR="00953610" w:rsidRPr="00405951">
        <w:rPr>
          <w:rFonts w:eastAsiaTheme="minorHAnsi"/>
          <w:lang w:val="fr-FR"/>
        </w:rPr>
        <w:t>b) Madagascar:</w:t>
      </w:r>
      <w:r w:rsidR="004E3C02" w:rsidRPr="00405951">
        <w:rPr>
          <w:rFonts w:eastAsiaTheme="minorHAnsi"/>
          <w:lang w:val="fr-FR"/>
        </w:rPr>
        <w:t xml:space="preserve"> des efforts ont été entrepris en vue de mobiliser des ressources en faveur d</w:t>
      </w:r>
      <w:r w:rsidR="007628A8" w:rsidRPr="00405951">
        <w:rPr>
          <w:rFonts w:eastAsiaTheme="minorHAnsi"/>
          <w:lang w:val="fr-FR"/>
        </w:rPr>
        <w:t>'</w:t>
      </w:r>
      <w:r w:rsidR="004E3C02" w:rsidRPr="00405951">
        <w:rPr>
          <w:rFonts w:eastAsiaTheme="minorHAnsi"/>
          <w:lang w:val="fr-FR"/>
        </w:rPr>
        <w:t xml:space="preserve">un projet </w:t>
      </w:r>
      <w:r w:rsidR="00FC66E8" w:rsidRPr="00405951">
        <w:rPr>
          <w:rFonts w:eastAsiaTheme="minorHAnsi"/>
          <w:lang w:val="fr-FR"/>
        </w:rPr>
        <w:t>de réseau</w:t>
      </w:r>
      <w:r w:rsidR="004E3C02" w:rsidRPr="00405951">
        <w:rPr>
          <w:rFonts w:eastAsiaTheme="minorHAnsi"/>
          <w:lang w:val="fr-FR"/>
        </w:rPr>
        <w:t xml:space="preserve"> hertzien</w:t>
      </w:r>
      <w:r w:rsidR="00FC66E8" w:rsidRPr="00405951">
        <w:rPr>
          <w:rFonts w:eastAsiaTheme="minorHAnsi"/>
          <w:lang w:val="fr-FR"/>
        </w:rPr>
        <w:t xml:space="preserve"> large bande</w:t>
      </w:r>
      <w:r w:rsidR="00953610" w:rsidRPr="00405951">
        <w:rPr>
          <w:rFonts w:eastAsiaTheme="minorHAnsi"/>
          <w:lang w:val="fr-FR"/>
        </w:rPr>
        <w:t xml:space="preserve">; c) Burkina Faso: </w:t>
      </w:r>
      <w:r w:rsidR="00FC66E8" w:rsidRPr="00405951">
        <w:rPr>
          <w:rFonts w:eastAsiaTheme="minorHAnsi"/>
          <w:lang w:val="fr-FR"/>
        </w:rPr>
        <w:t xml:space="preserve">un </w:t>
      </w:r>
      <w:r w:rsidR="004E3C02" w:rsidRPr="00405951">
        <w:rPr>
          <w:rFonts w:eastAsiaTheme="minorHAnsi"/>
          <w:lang w:val="fr-FR"/>
        </w:rPr>
        <w:t>projet de réseau</w:t>
      </w:r>
      <w:r w:rsidR="007628A8" w:rsidRPr="00405951">
        <w:rPr>
          <w:rFonts w:eastAsiaTheme="minorHAnsi"/>
          <w:lang w:val="fr-FR"/>
        </w:rPr>
        <w:t xml:space="preserve"> </w:t>
      </w:r>
      <w:r w:rsidR="004E3C02" w:rsidRPr="00405951">
        <w:rPr>
          <w:color w:val="000000"/>
          <w:lang w:val="fr-FR"/>
        </w:rPr>
        <w:t>hertzien large bande</w:t>
      </w:r>
      <w:r w:rsidR="004E3C02" w:rsidRPr="00405951">
        <w:rPr>
          <w:rFonts w:eastAsiaTheme="minorHAnsi"/>
          <w:lang w:val="fr-FR"/>
        </w:rPr>
        <w:t xml:space="preserve"> desservant 10 sites</w:t>
      </w:r>
      <w:r w:rsidR="00FC66E8" w:rsidRPr="00405951">
        <w:rPr>
          <w:rFonts w:eastAsiaTheme="minorHAnsi"/>
          <w:lang w:val="fr-FR"/>
        </w:rPr>
        <w:t xml:space="preserve">, visant à assurer </w:t>
      </w:r>
      <w:r w:rsidR="004E3C02" w:rsidRPr="00405951">
        <w:rPr>
          <w:rFonts w:eastAsiaTheme="minorHAnsi"/>
          <w:lang w:val="fr-FR"/>
        </w:rPr>
        <w:t>une connectivité pour des établissements scolaires, des hôpitaux et des bâtiments</w:t>
      </w:r>
      <w:r w:rsidR="00FC66E8" w:rsidRPr="00405951">
        <w:rPr>
          <w:rFonts w:eastAsiaTheme="minorHAnsi"/>
          <w:lang w:val="fr-FR"/>
        </w:rPr>
        <w:t xml:space="preserve"> publics</w:t>
      </w:r>
      <w:r w:rsidR="004E3C02" w:rsidRPr="00405951">
        <w:rPr>
          <w:rFonts w:eastAsiaTheme="minorHAnsi"/>
          <w:lang w:val="fr-FR"/>
        </w:rPr>
        <w:t xml:space="preserve"> grâce au déploiement de réseaux locaux, </w:t>
      </w:r>
      <w:r w:rsidR="00FC66E8" w:rsidRPr="00405951">
        <w:rPr>
          <w:rFonts w:eastAsiaTheme="minorHAnsi"/>
          <w:lang w:val="fr-FR"/>
        </w:rPr>
        <w:t xml:space="preserve">doit être mis en oeuvre </w:t>
      </w:r>
      <w:r w:rsidR="004E3C02" w:rsidRPr="00405951">
        <w:rPr>
          <w:rFonts w:eastAsiaTheme="minorHAnsi"/>
          <w:lang w:val="fr-FR"/>
        </w:rPr>
        <w:t>en 2017</w:t>
      </w:r>
      <w:r w:rsidR="007628A8" w:rsidRPr="00405951">
        <w:rPr>
          <w:rFonts w:eastAsiaTheme="minorHAnsi"/>
          <w:lang w:val="fr-FR"/>
        </w:rPr>
        <w:t xml:space="preserve">; </w:t>
      </w:r>
      <w:r w:rsidR="004E3C02" w:rsidRPr="00405951">
        <w:rPr>
          <w:rFonts w:eastAsiaTheme="minorHAnsi"/>
          <w:lang w:val="fr-FR"/>
        </w:rPr>
        <w:t>et</w:t>
      </w:r>
      <w:r w:rsidR="007628A8" w:rsidRPr="00405951">
        <w:rPr>
          <w:rFonts w:eastAsiaTheme="minorHAnsi"/>
          <w:lang w:val="fr-FR"/>
        </w:rPr>
        <w:t xml:space="preserve"> </w:t>
      </w:r>
      <w:r w:rsidR="00953610" w:rsidRPr="00405951">
        <w:rPr>
          <w:rFonts w:eastAsiaTheme="minorHAnsi"/>
          <w:lang w:val="fr-FR"/>
        </w:rPr>
        <w:t>d) Mali:</w:t>
      </w:r>
      <w:r w:rsidR="004E3C02" w:rsidRPr="00405951">
        <w:rPr>
          <w:rFonts w:eastAsiaTheme="minorHAnsi"/>
          <w:lang w:val="fr-FR"/>
        </w:rPr>
        <w:t xml:space="preserve"> un projet analogue est en cours d</w:t>
      </w:r>
      <w:r w:rsidR="007628A8" w:rsidRPr="00405951">
        <w:rPr>
          <w:rFonts w:eastAsiaTheme="minorHAnsi"/>
          <w:lang w:val="fr-FR"/>
        </w:rPr>
        <w:t>'</w:t>
      </w:r>
      <w:r w:rsidR="004E3C02" w:rsidRPr="00405951">
        <w:rPr>
          <w:rFonts w:eastAsiaTheme="minorHAnsi"/>
          <w:lang w:val="fr-FR"/>
        </w:rPr>
        <w:t>élaboration</w:t>
      </w:r>
      <w:bookmarkEnd w:id="8"/>
      <w:r w:rsidR="00FC66E8" w:rsidRPr="00405951">
        <w:rPr>
          <w:rFonts w:eastAsiaTheme="minorHAnsi"/>
          <w:lang w:val="fr-FR"/>
        </w:rPr>
        <w:t>.</w:t>
      </w:r>
    </w:p>
    <w:p w:rsidR="00953610" w:rsidRPr="00405951" w:rsidRDefault="004E3C02" w:rsidP="000E5095">
      <w:pPr>
        <w:rPr>
          <w:rFonts w:eastAsiaTheme="minorHAnsi"/>
          <w:lang w:val="fr-FR"/>
        </w:rPr>
      </w:pPr>
      <w:bookmarkStart w:id="9" w:name="lt_pId028"/>
      <w:r w:rsidRPr="00405951">
        <w:rPr>
          <w:color w:val="000000"/>
          <w:lang w:val="fr-FR"/>
        </w:rPr>
        <w:t>Des bancs d'essai basés sur le protocole IPv6</w:t>
      </w:r>
      <w:r w:rsidRPr="00405951">
        <w:rPr>
          <w:rFonts w:eastAsiaTheme="minorHAnsi"/>
          <w:lang w:val="fr-FR"/>
        </w:rPr>
        <w:t xml:space="preserve"> sont en cours de mise en place dans différents pays</w:t>
      </w:r>
      <w:r w:rsidR="007628A8" w:rsidRPr="00405951">
        <w:rPr>
          <w:rFonts w:eastAsiaTheme="minorHAnsi"/>
          <w:lang w:val="fr-FR"/>
        </w:rPr>
        <w:t xml:space="preserve"> </w:t>
      </w:r>
      <w:r w:rsidR="00953610" w:rsidRPr="00405951">
        <w:rPr>
          <w:rFonts w:eastAsiaTheme="minorHAnsi"/>
          <w:lang w:val="fr-FR"/>
        </w:rPr>
        <w:t>(</w:t>
      </w:r>
      <w:r w:rsidRPr="00405951">
        <w:rPr>
          <w:rFonts w:eastAsiaTheme="minorHAnsi"/>
          <w:lang w:val="fr-FR"/>
        </w:rPr>
        <w:t xml:space="preserve">Ouganda, Zimbabwe et Cameroun). </w:t>
      </w:r>
      <w:r w:rsidR="00F87FD3" w:rsidRPr="00405951">
        <w:rPr>
          <w:rFonts w:eastAsiaTheme="minorHAnsi"/>
          <w:lang w:val="fr-FR"/>
        </w:rPr>
        <w:t>Ils</w:t>
      </w:r>
      <w:r w:rsidRPr="00405951">
        <w:rPr>
          <w:color w:val="000000"/>
          <w:lang w:val="fr-FR"/>
        </w:rPr>
        <w:t xml:space="preserve"> </w:t>
      </w:r>
      <w:r w:rsidRPr="00405951">
        <w:rPr>
          <w:rFonts w:eastAsiaTheme="minorHAnsi"/>
          <w:lang w:val="fr-FR"/>
        </w:rPr>
        <w:t>sont financés</w:t>
      </w:r>
      <w:r w:rsidR="007628A8" w:rsidRPr="00405951">
        <w:rPr>
          <w:rFonts w:eastAsiaTheme="minorHAnsi"/>
          <w:lang w:val="fr-FR"/>
        </w:rPr>
        <w:t xml:space="preserve"> </w:t>
      </w:r>
      <w:r w:rsidRPr="00405951">
        <w:rPr>
          <w:rFonts w:eastAsiaTheme="minorHAnsi"/>
          <w:lang w:val="fr-FR"/>
        </w:rPr>
        <w:t>au tiers par l</w:t>
      </w:r>
      <w:r w:rsidR="007628A8" w:rsidRPr="00405951">
        <w:rPr>
          <w:rFonts w:eastAsiaTheme="minorHAnsi"/>
          <w:lang w:val="fr-FR"/>
        </w:rPr>
        <w:t>'</w:t>
      </w:r>
      <w:r w:rsidRPr="00405951">
        <w:rPr>
          <w:rFonts w:eastAsiaTheme="minorHAnsi"/>
          <w:lang w:val="fr-FR"/>
        </w:rPr>
        <w:t>UIT et aux deux tiers par les pays bénéficiaires.</w:t>
      </w:r>
      <w:bookmarkEnd w:id="9"/>
    </w:p>
    <w:p w:rsidR="00953610" w:rsidRPr="00405951" w:rsidRDefault="004E3C02" w:rsidP="000E5095">
      <w:pPr>
        <w:rPr>
          <w:lang w:val="fr-FR"/>
        </w:rPr>
      </w:pPr>
      <w:bookmarkStart w:id="10" w:name="lt_pId030"/>
      <w:r w:rsidRPr="00405951">
        <w:rPr>
          <w:rFonts w:eastAsiaTheme="minorHAnsi"/>
          <w:lang w:val="fr-FR"/>
        </w:rPr>
        <w:t>Le Sierra Leone</w:t>
      </w:r>
      <w:r w:rsidR="007628A8" w:rsidRPr="00405951">
        <w:rPr>
          <w:rFonts w:eastAsiaTheme="minorHAnsi"/>
          <w:lang w:val="fr-FR"/>
        </w:rPr>
        <w:t xml:space="preserve"> </w:t>
      </w:r>
      <w:r w:rsidRPr="00405951">
        <w:rPr>
          <w:rFonts w:eastAsiaTheme="minorHAnsi"/>
          <w:lang w:val="fr-FR"/>
        </w:rPr>
        <w:t>a bénéficié d</w:t>
      </w:r>
      <w:r w:rsidR="007628A8" w:rsidRPr="00405951">
        <w:rPr>
          <w:rFonts w:eastAsiaTheme="minorHAnsi"/>
          <w:lang w:val="fr-FR"/>
        </w:rPr>
        <w:t>'</w:t>
      </w:r>
      <w:r w:rsidRPr="00405951">
        <w:rPr>
          <w:rFonts w:eastAsiaTheme="minorHAnsi"/>
          <w:lang w:val="fr-FR"/>
        </w:rPr>
        <w:t xml:space="preserve">une </w:t>
      </w:r>
      <w:r w:rsidR="00F87FD3" w:rsidRPr="00405951">
        <w:rPr>
          <w:rFonts w:eastAsiaTheme="minorHAnsi"/>
          <w:lang w:val="fr-FR"/>
        </w:rPr>
        <w:t>assistance</w:t>
      </w:r>
      <w:r w:rsidR="007628A8" w:rsidRPr="00405951">
        <w:rPr>
          <w:rFonts w:eastAsiaTheme="minorHAnsi"/>
          <w:lang w:val="fr-FR"/>
        </w:rPr>
        <w:t xml:space="preserve"> </w:t>
      </w:r>
      <w:r w:rsidRPr="00405951">
        <w:rPr>
          <w:rFonts w:eastAsiaTheme="minorHAnsi"/>
          <w:lang w:val="fr-FR"/>
        </w:rPr>
        <w:t>sous la forme d</w:t>
      </w:r>
      <w:r w:rsidR="00F87FD3" w:rsidRPr="00405951">
        <w:rPr>
          <w:rFonts w:eastAsiaTheme="minorHAnsi"/>
          <w:lang w:val="fr-FR"/>
        </w:rPr>
        <w:t>'un</w:t>
      </w:r>
      <w:r w:rsidRPr="00405951">
        <w:rPr>
          <w:rFonts w:eastAsiaTheme="minorHAnsi"/>
          <w:lang w:val="fr-FR"/>
        </w:rPr>
        <w:t xml:space="preserve"> renforcement des capacités, en particulier dans le cadre d</w:t>
      </w:r>
      <w:r w:rsidR="007628A8" w:rsidRPr="00405951">
        <w:rPr>
          <w:rFonts w:eastAsiaTheme="minorHAnsi"/>
          <w:lang w:val="fr-FR"/>
        </w:rPr>
        <w:t>'</w:t>
      </w:r>
      <w:r w:rsidRPr="00405951">
        <w:rPr>
          <w:rFonts w:eastAsiaTheme="minorHAnsi"/>
          <w:lang w:val="fr-FR"/>
        </w:rPr>
        <w:t xml:space="preserve">ateliers organisés en partenariat avec </w:t>
      </w:r>
      <w:r w:rsidR="00953610" w:rsidRPr="00405951">
        <w:rPr>
          <w:rFonts w:eastAsiaTheme="minorHAnsi"/>
          <w:lang w:val="fr-FR"/>
        </w:rPr>
        <w:t>NATCOM.</w:t>
      </w:r>
      <w:bookmarkEnd w:id="10"/>
      <w:r w:rsidR="00953610" w:rsidRPr="00405951">
        <w:rPr>
          <w:rFonts w:eastAsiaTheme="minorHAnsi"/>
          <w:lang w:val="fr-FR"/>
        </w:rPr>
        <w:t xml:space="preserve"> </w:t>
      </w:r>
      <w:bookmarkStart w:id="11" w:name="lt_pId031"/>
      <w:r w:rsidR="00AD0A7F" w:rsidRPr="00405951">
        <w:rPr>
          <w:rFonts w:eastAsiaTheme="minorHAnsi"/>
          <w:lang w:val="fr-FR"/>
        </w:rPr>
        <w:t>Les thèmes abordés étaient les suivants</w:t>
      </w:r>
      <w:r w:rsidR="007628A8" w:rsidRPr="00405951">
        <w:rPr>
          <w:rFonts w:eastAsiaTheme="minorHAnsi"/>
          <w:lang w:val="fr-FR"/>
        </w:rPr>
        <w:t>:</w:t>
      </w:r>
      <w:r w:rsidR="00AD0A7F" w:rsidRPr="00405951">
        <w:rPr>
          <w:rFonts w:eastAsiaTheme="minorHAnsi"/>
          <w:lang w:val="fr-FR"/>
        </w:rPr>
        <w:t xml:space="preserve"> les opérateurs et</w:t>
      </w:r>
      <w:r w:rsidR="007628A8" w:rsidRPr="00405951">
        <w:rPr>
          <w:rFonts w:eastAsiaTheme="minorHAnsi"/>
          <w:lang w:val="fr-FR"/>
        </w:rPr>
        <w:t xml:space="preserve"> </w:t>
      </w:r>
      <w:r w:rsidR="00AD0A7F" w:rsidRPr="00405951">
        <w:rPr>
          <w:color w:val="000000"/>
          <w:lang w:val="fr-FR"/>
        </w:rPr>
        <w:t>l'efficacité de l'activité économique, la concurrence et le marché, la tarification et la détermination des coûts, la gestion du spectre et la législation relative aux télécommunications.</w:t>
      </w:r>
      <w:bookmarkEnd w:id="11"/>
    </w:p>
    <w:p w:rsidR="00953610" w:rsidRPr="00405951" w:rsidRDefault="00AD0A7F" w:rsidP="007628A8">
      <w:pPr>
        <w:rPr>
          <w:rFonts w:eastAsiaTheme="minorHAnsi"/>
          <w:szCs w:val="24"/>
          <w:lang w:val="fr-FR"/>
        </w:rPr>
      </w:pPr>
      <w:bookmarkStart w:id="12" w:name="lt_pId032"/>
      <w:r w:rsidRPr="00405951">
        <w:rPr>
          <w:rFonts w:eastAsiaTheme="minorHAnsi"/>
          <w:szCs w:val="24"/>
          <w:lang w:val="fr-FR"/>
        </w:rPr>
        <w:t xml:space="preserve">Dans le secteur de la santé, plusieurs projets sont en cours de mise en </w:t>
      </w:r>
      <w:r w:rsidR="00F87FD3" w:rsidRPr="00405951">
        <w:rPr>
          <w:rFonts w:eastAsiaTheme="minorHAnsi"/>
          <w:szCs w:val="24"/>
          <w:lang w:val="fr-FR"/>
        </w:rPr>
        <w:t>oe</w:t>
      </w:r>
      <w:r w:rsidRPr="00405951">
        <w:rPr>
          <w:rFonts w:eastAsiaTheme="minorHAnsi"/>
          <w:szCs w:val="24"/>
          <w:lang w:val="fr-FR"/>
        </w:rPr>
        <w:t>uvre</w:t>
      </w:r>
      <w:r w:rsidR="007628A8" w:rsidRPr="00405951">
        <w:rPr>
          <w:rFonts w:eastAsiaTheme="minorHAnsi"/>
          <w:szCs w:val="24"/>
          <w:lang w:val="fr-FR"/>
        </w:rPr>
        <w:t>:</w:t>
      </w:r>
      <w:bookmarkEnd w:id="12"/>
    </w:p>
    <w:p w:rsidR="00953610" w:rsidRPr="00405951" w:rsidRDefault="00953610" w:rsidP="00602326">
      <w:pPr>
        <w:pStyle w:val="FootnoteReferenceAsianBodyCalibri"/>
        <w:rPr>
          <w:lang w:val="fr-FR"/>
        </w:rPr>
      </w:pPr>
      <w:bookmarkStart w:id="13" w:name="lt_pId033"/>
      <w:r w:rsidRPr="00405951">
        <w:rPr>
          <w:lang w:val="fr-FR"/>
        </w:rPr>
        <w:t>•</w:t>
      </w:r>
      <w:r w:rsidRPr="00405951">
        <w:rPr>
          <w:lang w:val="fr-FR"/>
        </w:rPr>
        <w:tab/>
      </w:r>
      <w:r w:rsidR="00D13339" w:rsidRPr="00405951">
        <w:rPr>
          <w:lang w:val="fr-FR"/>
        </w:rPr>
        <w:t>plateforme</w:t>
      </w:r>
      <w:r w:rsidR="007628A8" w:rsidRPr="00405951">
        <w:rPr>
          <w:lang w:val="fr-FR"/>
        </w:rPr>
        <w:t xml:space="preserve"> </w:t>
      </w:r>
      <w:r w:rsidR="00AD0A7F" w:rsidRPr="00405951">
        <w:rPr>
          <w:lang w:val="fr-FR"/>
        </w:rPr>
        <w:t>mDiabète</w:t>
      </w:r>
      <w:r w:rsidR="00643E3C" w:rsidRPr="00405951">
        <w:rPr>
          <w:rStyle w:val="FootnoteReference"/>
          <w:lang w:val="fr-FR"/>
        </w:rPr>
        <w:footnoteReference w:id="1"/>
      </w:r>
      <w:r w:rsidR="007628A8" w:rsidRPr="00405951">
        <w:rPr>
          <w:lang w:val="fr-FR"/>
        </w:rPr>
        <w:t>:</w:t>
      </w:r>
      <w:r w:rsidR="00AD0A7F" w:rsidRPr="00405951">
        <w:rPr>
          <w:lang w:val="fr-FR"/>
        </w:rPr>
        <w:t xml:space="preserve"> </w:t>
      </w:r>
      <w:r w:rsidR="00643E3C" w:rsidRPr="00405951">
        <w:rPr>
          <w:lang w:val="fr-FR"/>
        </w:rPr>
        <w:t>projet mis</w:t>
      </w:r>
      <w:r w:rsidR="007628A8" w:rsidRPr="00405951">
        <w:rPr>
          <w:lang w:val="fr-FR"/>
        </w:rPr>
        <w:t xml:space="preserve"> </w:t>
      </w:r>
      <w:r w:rsidR="00AD0A7F" w:rsidRPr="00405951">
        <w:rPr>
          <w:lang w:val="fr-FR"/>
        </w:rPr>
        <w:t xml:space="preserve">en </w:t>
      </w:r>
      <w:r w:rsidR="00F87FD3" w:rsidRPr="00405951">
        <w:rPr>
          <w:lang w:val="fr-FR"/>
        </w:rPr>
        <w:t>oe</w:t>
      </w:r>
      <w:r w:rsidR="00AD0A7F" w:rsidRPr="00405951">
        <w:rPr>
          <w:lang w:val="fr-FR"/>
        </w:rPr>
        <w:t>uvre au Sénégal, en partenariat avec le Ministère de la santé,</w:t>
      </w:r>
      <w:r w:rsidR="007628A8" w:rsidRPr="00405951">
        <w:rPr>
          <w:lang w:val="fr-FR"/>
        </w:rPr>
        <w:t xml:space="preserve"> </w:t>
      </w:r>
      <w:r w:rsidR="00AD0A7F" w:rsidRPr="00405951">
        <w:rPr>
          <w:lang w:val="fr-FR"/>
        </w:rPr>
        <w:t>l</w:t>
      </w:r>
      <w:r w:rsidR="007628A8" w:rsidRPr="00405951">
        <w:rPr>
          <w:lang w:val="fr-FR"/>
        </w:rPr>
        <w:t>'</w:t>
      </w:r>
      <w:r w:rsidR="00643E3C" w:rsidRPr="00405951">
        <w:rPr>
          <w:lang w:val="fr-FR"/>
        </w:rPr>
        <w:t>A</w:t>
      </w:r>
      <w:r w:rsidR="00AD0A7F" w:rsidRPr="00405951">
        <w:rPr>
          <w:lang w:val="fr-FR"/>
        </w:rPr>
        <w:t>ssociation</w:t>
      </w:r>
      <w:r w:rsidRPr="00405951">
        <w:rPr>
          <w:lang w:val="fr-FR"/>
        </w:rPr>
        <w:t xml:space="preserve"> ASSAD (</w:t>
      </w:r>
      <w:r w:rsidR="00AD0A7F" w:rsidRPr="00405951">
        <w:rPr>
          <w:lang w:val="fr-FR"/>
        </w:rPr>
        <w:t xml:space="preserve">Association nationale des </w:t>
      </w:r>
      <w:r w:rsidR="00405951" w:rsidRPr="00405951">
        <w:rPr>
          <w:lang w:val="fr-FR"/>
        </w:rPr>
        <w:t>diabétiques)</w:t>
      </w:r>
      <w:r w:rsidRPr="00405951">
        <w:rPr>
          <w:lang w:val="fr-FR"/>
        </w:rPr>
        <w:t xml:space="preserve">, Nokia, MNC Orange, </w:t>
      </w:r>
      <w:r w:rsidR="000E5095" w:rsidRPr="00405951">
        <w:rPr>
          <w:lang w:val="fr-FR"/>
        </w:rPr>
        <w:t xml:space="preserve">la </w:t>
      </w:r>
      <w:r w:rsidRPr="00405951">
        <w:rPr>
          <w:lang w:val="fr-FR"/>
        </w:rPr>
        <w:t>SONATEL</w:t>
      </w:r>
      <w:r w:rsidR="00602326">
        <w:rPr>
          <w:lang w:val="fr-FR"/>
        </w:rPr>
        <w:t>,</w:t>
      </w:r>
      <w:r w:rsidR="000E5095" w:rsidRPr="00405951">
        <w:rPr>
          <w:lang w:val="fr-FR"/>
        </w:rPr>
        <w:t xml:space="preserve"> </w:t>
      </w:r>
      <w:r w:rsidRPr="00405951">
        <w:rPr>
          <w:lang w:val="fr-FR"/>
        </w:rPr>
        <w:t xml:space="preserve">Expresso </w:t>
      </w:r>
      <w:r w:rsidR="00602326">
        <w:rPr>
          <w:lang w:val="fr-FR"/>
        </w:rPr>
        <w:t xml:space="preserve">et </w:t>
      </w:r>
      <w:proofErr w:type="spellStart"/>
      <w:r w:rsidRPr="00405951">
        <w:rPr>
          <w:lang w:val="fr-FR"/>
        </w:rPr>
        <w:t>Tigo</w:t>
      </w:r>
      <w:proofErr w:type="spellEnd"/>
      <w:r w:rsidRPr="00405951">
        <w:rPr>
          <w:lang w:val="fr-FR"/>
        </w:rPr>
        <w:t xml:space="preserve"> (</w:t>
      </w:r>
      <w:r w:rsidR="00AD0A7F" w:rsidRPr="00405951">
        <w:rPr>
          <w:lang w:val="fr-FR"/>
        </w:rPr>
        <w:t>dans le cadre de l</w:t>
      </w:r>
      <w:r w:rsidR="007628A8" w:rsidRPr="00405951">
        <w:rPr>
          <w:lang w:val="fr-FR"/>
        </w:rPr>
        <w:t>'</w:t>
      </w:r>
      <w:r w:rsidR="000E5095" w:rsidRPr="00405951">
        <w:rPr>
          <w:lang w:val="fr-FR"/>
        </w:rPr>
        <w:t>initiative UIT-</w:t>
      </w:r>
      <w:r w:rsidR="00AD0A7F" w:rsidRPr="00405951">
        <w:rPr>
          <w:lang w:val="fr-FR"/>
        </w:rPr>
        <w:t>OMS</w:t>
      </w:r>
      <w:r w:rsidR="007628A8" w:rsidRPr="00405951">
        <w:rPr>
          <w:lang w:val="fr-FR"/>
        </w:rPr>
        <w:t xml:space="preserve"> </w:t>
      </w:r>
      <w:r w:rsidR="00F87FD3" w:rsidRPr="00405951">
        <w:rPr>
          <w:lang w:val="fr-FR"/>
        </w:rPr>
        <w:t>"</w:t>
      </w:r>
      <w:r w:rsidR="002B285B" w:rsidRPr="00405951">
        <w:rPr>
          <w:lang w:val="fr-FR"/>
        </w:rPr>
        <w:t>Be He@lthy, Be Mobile</w:t>
      </w:r>
      <w:r w:rsidR="00F87FD3" w:rsidRPr="00405951">
        <w:rPr>
          <w:lang w:val="fr-FR"/>
        </w:rPr>
        <w:t>"</w:t>
      </w:r>
      <w:r w:rsidR="00AD0A7F" w:rsidRPr="00405951">
        <w:rPr>
          <w:lang w:val="fr-FR"/>
        </w:rPr>
        <w:t xml:space="preserve"> (La mobilité, c'est la santé)</w:t>
      </w:r>
      <w:r w:rsidR="00602326">
        <w:rPr>
          <w:lang w:val="fr-FR"/>
        </w:rPr>
        <w:t>)</w:t>
      </w:r>
      <w:r w:rsidR="00AD0A7F" w:rsidRPr="00405951">
        <w:rPr>
          <w:lang w:val="fr-FR"/>
        </w:rPr>
        <w:t>.</w:t>
      </w:r>
      <w:bookmarkEnd w:id="13"/>
      <w:r w:rsidRPr="00405951">
        <w:rPr>
          <w:lang w:val="fr-FR"/>
        </w:rPr>
        <w:t xml:space="preserve"> </w:t>
      </w:r>
      <w:bookmarkStart w:id="15" w:name="lt_pId034"/>
      <w:r w:rsidR="00643E3C" w:rsidRPr="00405951">
        <w:rPr>
          <w:lang w:val="fr-FR"/>
        </w:rPr>
        <w:t>A</w:t>
      </w:r>
      <w:r w:rsidR="00AD0A7F" w:rsidRPr="00405951">
        <w:rPr>
          <w:lang w:val="fr-FR"/>
        </w:rPr>
        <w:t xml:space="preserve"> ce jour, près de 55 000 personnes </w:t>
      </w:r>
      <w:r w:rsidR="00D13339" w:rsidRPr="00405951">
        <w:rPr>
          <w:lang w:val="fr-FR"/>
        </w:rPr>
        <w:t>sont inscrit</w:t>
      </w:r>
      <w:r w:rsidR="000E5095" w:rsidRPr="00405951">
        <w:rPr>
          <w:lang w:val="fr-FR"/>
        </w:rPr>
        <w:t>e</w:t>
      </w:r>
      <w:r w:rsidR="00D13339" w:rsidRPr="00405951">
        <w:rPr>
          <w:lang w:val="fr-FR"/>
        </w:rPr>
        <w:t>s</w:t>
      </w:r>
      <w:r w:rsidR="007628A8" w:rsidRPr="00405951">
        <w:rPr>
          <w:lang w:val="fr-FR"/>
        </w:rPr>
        <w:t xml:space="preserve"> </w:t>
      </w:r>
      <w:r w:rsidR="00D13339" w:rsidRPr="00405951">
        <w:rPr>
          <w:lang w:val="fr-FR"/>
        </w:rPr>
        <w:t>à la plate</w:t>
      </w:r>
      <w:r w:rsidR="00D147E0">
        <w:rPr>
          <w:lang w:val="fr-FR"/>
        </w:rPr>
        <w:t>-</w:t>
      </w:r>
      <w:r w:rsidR="00D13339" w:rsidRPr="00405951">
        <w:rPr>
          <w:lang w:val="fr-FR"/>
        </w:rPr>
        <w:t>forme</w:t>
      </w:r>
      <w:r w:rsidR="007628A8" w:rsidRPr="00405951">
        <w:rPr>
          <w:lang w:val="fr-FR"/>
        </w:rPr>
        <w:t xml:space="preserve"> </w:t>
      </w:r>
      <w:r w:rsidR="00B433E7" w:rsidRPr="00405951">
        <w:rPr>
          <w:lang w:val="fr-FR"/>
        </w:rPr>
        <w:t>mDiabète</w:t>
      </w:r>
      <w:r w:rsidR="007628A8" w:rsidRPr="00405951">
        <w:rPr>
          <w:lang w:val="fr-FR"/>
        </w:rPr>
        <w:t>.</w:t>
      </w:r>
      <w:bookmarkStart w:id="16" w:name="lt_pId035"/>
      <w:bookmarkEnd w:id="15"/>
      <w:r w:rsidR="00D13339" w:rsidRPr="00405951">
        <w:rPr>
          <w:lang w:val="fr-FR"/>
        </w:rPr>
        <w:t xml:space="preserve"> L</w:t>
      </w:r>
      <w:r w:rsidR="007628A8" w:rsidRPr="00405951">
        <w:rPr>
          <w:lang w:val="fr-FR"/>
        </w:rPr>
        <w:t>'</w:t>
      </w:r>
      <w:r w:rsidR="00D13339" w:rsidRPr="00405951">
        <w:rPr>
          <w:lang w:val="fr-FR"/>
        </w:rPr>
        <w:t>équipe de projet s</w:t>
      </w:r>
      <w:r w:rsidR="007628A8" w:rsidRPr="00405951">
        <w:rPr>
          <w:lang w:val="fr-FR"/>
        </w:rPr>
        <w:t>'</w:t>
      </w:r>
      <w:r w:rsidR="00D13339" w:rsidRPr="00405951">
        <w:rPr>
          <w:lang w:val="fr-FR"/>
        </w:rPr>
        <w:t>efforce d</w:t>
      </w:r>
      <w:r w:rsidR="007628A8" w:rsidRPr="00405951">
        <w:rPr>
          <w:lang w:val="fr-FR"/>
        </w:rPr>
        <w:t>'</w:t>
      </w:r>
      <w:r w:rsidR="00D13339" w:rsidRPr="00405951">
        <w:rPr>
          <w:lang w:val="fr-FR"/>
        </w:rPr>
        <w:t>intégrer une composante</w:t>
      </w:r>
      <w:r w:rsidR="007628A8" w:rsidRPr="00405951">
        <w:rPr>
          <w:lang w:val="fr-FR"/>
        </w:rPr>
        <w:t xml:space="preserve"> </w:t>
      </w:r>
      <w:r w:rsidRPr="00405951">
        <w:rPr>
          <w:lang w:val="fr-FR"/>
        </w:rPr>
        <w:t>mHTA (</w:t>
      </w:r>
      <w:r w:rsidR="00643E3C" w:rsidRPr="00405951">
        <w:rPr>
          <w:lang w:val="fr-FR"/>
        </w:rPr>
        <w:t>hypertension artérielle</w:t>
      </w:r>
      <w:r w:rsidRPr="00405951">
        <w:rPr>
          <w:lang w:val="fr-FR"/>
        </w:rPr>
        <w:t>)</w:t>
      </w:r>
      <w:r w:rsidR="00643E3C" w:rsidRPr="00405951">
        <w:rPr>
          <w:lang w:val="fr-FR"/>
        </w:rPr>
        <w:t>,</w:t>
      </w:r>
      <w:r w:rsidRPr="00405951">
        <w:rPr>
          <w:lang w:val="fr-FR"/>
        </w:rPr>
        <w:t xml:space="preserve"> </w:t>
      </w:r>
      <w:r w:rsidR="00D13339" w:rsidRPr="00405951">
        <w:rPr>
          <w:lang w:val="fr-FR"/>
        </w:rPr>
        <w:t>dans la seconde phase du projet, étant donné que le diabète et l</w:t>
      </w:r>
      <w:r w:rsidR="007628A8" w:rsidRPr="00405951">
        <w:rPr>
          <w:lang w:val="fr-FR"/>
        </w:rPr>
        <w:t>'</w:t>
      </w:r>
      <w:r w:rsidR="00D13339" w:rsidRPr="00405951">
        <w:rPr>
          <w:lang w:val="fr-FR"/>
        </w:rPr>
        <w:t>hypertension artérielle sont étroitement liés</w:t>
      </w:r>
      <w:bookmarkEnd w:id="16"/>
      <w:r w:rsidR="000E5095" w:rsidRPr="00405951">
        <w:rPr>
          <w:lang w:val="fr-FR"/>
        </w:rPr>
        <w:t>;</w:t>
      </w:r>
    </w:p>
    <w:p w:rsidR="00953610" w:rsidRPr="00405951" w:rsidRDefault="00953610" w:rsidP="000E5095">
      <w:pPr>
        <w:pStyle w:val="enumlev1"/>
        <w:rPr>
          <w:lang w:val="fr-FR"/>
        </w:rPr>
      </w:pPr>
      <w:bookmarkStart w:id="17" w:name="lt_pId036"/>
      <w:r w:rsidRPr="00405951">
        <w:rPr>
          <w:rFonts w:eastAsiaTheme="minorHAnsi"/>
          <w:lang w:val="fr-FR"/>
        </w:rPr>
        <w:t>•</w:t>
      </w:r>
      <w:r w:rsidRPr="00405951">
        <w:rPr>
          <w:rFonts w:eastAsiaTheme="minorHAnsi"/>
          <w:lang w:val="fr-FR"/>
        </w:rPr>
        <w:tab/>
      </w:r>
      <w:r w:rsidR="00D13339" w:rsidRPr="00405951">
        <w:rPr>
          <w:lang w:val="fr-FR"/>
        </w:rPr>
        <w:t>programme de lutte contre le cancer de l</w:t>
      </w:r>
      <w:r w:rsidR="007628A8" w:rsidRPr="00405951">
        <w:rPr>
          <w:lang w:val="fr-FR"/>
        </w:rPr>
        <w:t>'</w:t>
      </w:r>
      <w:r w:rsidR="00D13339" w:rsidRPr="00405951">
        <w:rPr>
          <w:lang w:val="fr-FR"/>
        </w:rPr>
        <w:t xml:space="preserve">utérus </w:t>
      </w:r>
      <w:r w:rsidR="000E5095" w:rsidRPr="00405951">
        <w:rPr>
          <w:lang w:val="fr-FR"/>
        </w:rPr>
        <w:t xml:space="preserve">(mCervical) </w:t>
      </w:r>
      <w:r w:rsidR="00D13339" w:rsidRPr="00405951">
        <w:rPr>
          <w:lang w:val="fr-FR"/>
        </w:rPr>
        <w:t xml:space="preserve">en Zambie </w:t>
      </w:r>
      <w:r w:rsidR="007A2EEF" w:rsidRPr="00405951">
        <w:rPr>
          <w:lang w:val="fr-FR"/>
        </w:rPr>
        <w:t xml:space="preserve">mis en </w:t>
      </w:r>
      <w:r w:rsidR="00F87FD3" w:rsidRPr="00405951">
        <w:rPr>
          <w:lang w:val="fr-FR"/>
        </w:rPr>
        <w:t>oe</w:t>
      </w:r>
      <w:r w:rsidR="007A2EEF" w:rsidRPr="00405951">
        <w:rPr>
          <w:lang w:val="fr-FR"/>
        </w:rPr>
        <w:t>uvre en Zambie</w:t>
      </w:r>
      <w:r w:rsidR="007628A8" w:rsidRPr="00405951">
        <w:rPr>
          <w:lang w:val="fr-FR"/>
        </w:rPr>
        <w:t xml:space="preserve"> </w:t>
      </w:r>
      <w:r w:rsidRPr="00405951">
        <w:rPr>
          <w:rFonts w:eastAsiaTheme="minorHAnsi"/>
          <w:lang w:val="fr-FR"/>
        </w:rPr>
        <w:t>(</w:t>
      </w:r>
      <w:r w:rsidR="007A2EEF" w:rsidRPr="00405951">
        <w:rPr>
          <w:rFonts w:eastAsiaTheme="minorHAnsi"/>
          <w:lang w:val="fr-FR"/>
        </w:rPr>
        <w:t>en octobre</w:t>
      </w:r>
      <w:r w:rsidR="007628A8" w:rsidRPr="00405951">
        <w:rPr>
          <w:rFonts w:eastAsiaTheme="minorHAnsi"/>
          <w:lang w:val="fr-FR"/>
        </w:rPr>
        <w:t xml:space="preserve"> </w:t>
      </w:r>
      <w:r w:rsidRPr="00405951">
        <w:rPr>
          <w:rFonts w:eastAsiaTheme="minorHAnsi"/>
          <w:lang w:val="fr-FR"/>
        </w:rPr>
        <w:t>2016)</w:t>
      </w:r>
      <w:r w:rsidR="007628A8" w:rsidRPr="00405951">
        <w:rPr>
          <w:rFonts w:eastAsiaTheme="minorHAnsi"/>
          <w:lang w:val="fr-FR"/>
        </w:rPr>
        <w:t>,</w:t>
      </w:r>
      <w:r w:rsidR="007A2EEF" w:rsidRPr="00405951">
        <w:rPr>
          <w:rFonts w:eastAsiaTheme="minorHAnsi"/>
          <w:lang w:val="fr-FR"/>
        </w:rPr>
        <w:t xml:space="preserve"> avec l</w:t>
      </w:r>
      <w:r w:rsidR="007628A8" w:rsidRPr="00405951">
        <w:rPr>
          <w:rFonts w:eastAsiaTheme="minorHAnsi"/>
          <w:lang w:val="fr-FR"/>
        </w:rPr>
        <w:t>'</w:t>
      </w:r>
      <w:r w:rsidR="007A2EEF" w:rsidRPr="00405951">
        <w:rPr>
          <w:rFonts w:eastAsiaTheme="minorHAnsi"/>
          <w:lang w:val="fr-FR"/>
        </w:rPr>
        <w:t>assistance technique de l</w:t>
      </w:r>
      <w:r w:rsidR="007628A8" w:rsidRPr="00405951">
        <w:rPr>
          <w:rFonts w:eastAsiaTheme="minorHAnsi"/>
          <w:lang w:val="fr-FR"/>
        </w:rPr>
        <w:t>'</w:t>
      </w:r>
      <w:r w:rsidR="007A2EEF" w:rsidRPr="00405951">
        <w:rPr>
          <w:rFonts w:eastAsiaTheme="minorHAnsi"/>
          <w:lang w:val="fr-FR"/>
        </w:rPr>
        <w:t>OMS et de l</w:t>
      </w:r>
      <w:r w:rsidR="007628A8" w:rsidRPr="00405951">
        <w:rPr>
          <w:rFonts w:eastAsiaTheme="minorHAnsi"/>
          <w:lang w:val="fr-FR"/>
        </w:rPr>
        <w:t>'</w:t>
      </w:r>
      <w:r w:rsidR="007A2EEF" w:rsidRPr="00405951">
        <w:rPr>
          <w:rFonts w:eastAsiaTheme="minorHAnsi"/>
          <w:lang w:val="fr-FR"/>
        </w:rPr>
        <w:t>UIT, dans le cadre d</w:t>
      </w:r>
      <w:r w:rsidR="007628A8" w:rsidRPr="00405951">
        <w:rPr>
          <w:rFonts w:eastAsiaTheme="minorHAnsi"/>
          <w:lang w:val="fr-FR"/>
        </w:rPr>
        <w:t>'</w:t>
      </w:r>
      <w:r w:rsidR="007A2EEF" w:rsidRPr="00405951">
        <w:rPr>
          <w:rFonts w:eastAsiaTheme="minorHAnsi"/>
          <w:lang w:val="fr-FR"/>
        </w:rPr>
        <w:t>une initiative visant</w:t>
      </w:r>
      <w:r w:rsidR="007628A8" w:rsidRPr="00405951">
        <w:rPr>
          <w:rFonts w:eastAsiaTheme="minorHAnsi"/>
          <w:lang w:val="fr-FR"/>
        </w:rPr>
        <w:t xml:space="preserve"> </w:t>
      </w:r>
      <w:r w:rsidR="007A2EEF" w:rsidRPr="00405951">
        <w:rPr>
          <w:rFonts w:eastAsiaTheme="minorHAnsi"/>
          <w:lang w:val="fr-FR"/>
        </w:rPr>
        <w:t>à mieux informer les</w:t>
      </w:r>
      <w:r w:rsidR="007628A8" w:rsidRPr="00405951">
        <w:rPr>
          <w:rFonts w:eastAsiaTheme="minorHAnsi"/>
          <w:lang w:val="fr-FR"/>
        </w:rPr>
        <w:t xml:space="preserve"> </w:t>
      </w:r>
      <w:r w:rsidR="007A2EEF" w:rsidRPr="00405951">
        <w:rPr>
          <w:rFonts w:eastAsiaTheme="minorHAnsi"/>
          <w:lang w:val="fr-FR"/>
        </w:rPr>
        <w:t>femmes sur le cancer de l</w:t>
      </w:r>
      <w:r w:rsidR="007628A8" w:rsidRPr="00405951">
        <w:rPr>
          <w:rFonts w:eastAsiaTheme="minorHAnsi"/>
          <w:lang w:val="fr-FR"/>
        </w:rPr>
        <w:t>'</w:t>
      </w:r>
      <w:r w:rsidR="007A2EEF" w:rsidRPr="00405951">
        <w:rPr>
          <w:rFonts w:eastAsiaTheme="minorHAnsi"/>
          <w:lang w:val="fr-FR"/>
        </w:rPr>
        <w:t xml:space="preserve">utérus </w:t>
      </w:r>
      <w:r w:rsidR="007A2EEF" w:rsidRPr="00405951">
        <w:rPr>
          <w:lang w:val="fr-FR"/>
        </w:rPr>
        <w:t>dans</w:t>
      </w:r>
      <w:r w:rsidRPr="00405951">
        <w:rPr>
          <w:lang w:val="fr-FR"/>
        </w:rPr>
        <w:t xml:space="preserve"> </w:t>
      </w:r>
      <w:r w:rsidR="007A2EEF" w:rsidRPr="00405951">
        <w:rPr>
          <w:lang w:val="fr-FR"/>
        </w:rPr>
        <w:t xml:space="preserve">l'intervalle de dépistage (25 à </w:t>
      </w:r>
      <w:r w:rsidRPr="00405951">
        <w:rPr>
          <w:lang w:val="fr-FR"/>
        </w:rPr>
        <w:t>59</w:t>
      </w:r>
      <w:r w:rsidR="000E5095" w:rsidRPr="00405951">
        <w:rPr>
          <w:lang w:val="fr-FR"/>
        </w:rPr>
        <w:t xml:space="preserve"> ans</w:t>
      </w:r>
      <w:r w:rsidRPr="00405951">
        <w:rPr>
          <w:lang w:val="fr-FR"/>
        </w:rPr>
        <w:t xml:space="preserve">) </w:t>
      </w:r>
      <w:r w:rsidR="007A2EEF" w:rsidRPr="00405951">
        <w:rPr>
          <w:lang w:val="fr-FR"/>
        </w:rPr>
        <w:t xml:space="preserve">et </w:t>
      </w:r>
      <w:r w:rsidR="000E5095" w:rsidRPr="00405951">
        <w:rPr>
          <w:lang w:val="fr-FR"/>
        </w:rPr>
        <w:t xml:space="preserve">à </w:t>
      </w:r>
      <w:r w:rsidR="007A2EEF" w:rsidRPr="00405951">
        <w:rPr>
          <w:lang w:val="fr-FR"/>
        </w:rPr>
        <w:t>permettre ainsi à un plus grand</w:t>
      </w:r>
      <w:r w:rsidR="00602326">
        <w:rPr>
          <w:lang w:val="fr-FR"/>
        </w:rPr>
        <w:t xml:space="preserve"> nombre</w:t>
      </w:r>
      <w:r w:rsidR="007A2EEF" w:rsidRPr="00405951">
        <w:rPr>
          <w:lang w:val="fr-FR"/>
        </w:rPr>
        <w:t xml:space="preserve"> de femmes d</w:t>
      </w:r>
      <w:r w:rsidR="007628A8" w:rsidRPr="00405951">
        <w:rPr>
          <w:lang w:val="fr-FR"/>
        </w:rPr>
        <w:t>'</w:t>
      </w:r>
      <w:r w:rsidR="007A2EEF" w:rsidRPr="00405951">
        <w:rPr>
          <w:lang w:val="fr-FR"/>
        </w:rPr>
        <w:t>accéder à des services de dépistage du cancer du col de</w:t>
      </w:r>
      <w:bookmarkEnd w:id="17"/>
      <w:r w:rsidR="007628A8" w:rsidRPr="00405951">
        <w:rPr>
          <w:lang w:val="fr-FR"/>
        </w:rPr>
        <w:t xml:space="preserve"> </w:t>
      </w:r>
      <w:r w:rsidR="007A2EEF" w:rsidRPr="00405951">
        <w:rPr>
          <w:rFonts w:eastAsiaTheme="minorHAnsi"/>
          <w:lang w:val="fr-FR"/>
        </w:rPr>
        <w:t>l</w:t>
      </w:r>
      <w:r w:rsidR="007628A8" w:rsidRPr="00405951">
        <w:rPr>
          <w:rFonts w:eastAsiaTheme="minorHAnsi"/>
          <w:lang w:val="fr-FR"/>
        </w:rPr>
        <w:t>'</w:t>
      </w:r>
      <w:r w:rsidR="007A2EEF" w:rsidRPr="00405951">
        <w:rPr>
          <w:rFonts w:eastAsiaTheme="minorHAnsi"/>
          <w:lang w:val="fr-FR"/>
        </w:rPr>
        <w:t>utérus</w:t>
      </w:r>
      <w:r w:rsidR="000E5095" w:rsidRPr="00405951">
        <w:rPr>
          <w:rFonts w:eastAsiaTheme="minorHAnsi"/>
          <w:lang w:val="fr-FR"/>
        </w:rPr>
        <w:t>;</w:t>
      </w:r>
    </w:p>
    <w:p w:rsidR="00953610" w:rsidRPr="00405951" w:rsidRDefault="00953610" w:rsidP="00F87FD3">
      <w:pPr>
        <w:pStyle w:val="enumlev1"/>
        <w:rPr>
          <w:lang w:val="fr-FR"/>
        </w:rPr>
      </w:pPr>
      <w:bookmarkStart w:id="18" w:name="lt_pId037"/>
      <w:r w:rsidRPr="00405951">
        <w:rPr>
          <w:lang w:val="fr-FR"/>
        </w:rPr>
        <w:t>•</w:t>
      </w:r>
      <w:r w:rsidRPr="00405951">
        <w:rPr>
          <w:lang w:val="fr-FR"/>
        </w:rPr>
        <w:tab/>
      </w:r>
      <w:r w:rsidR="007A2EEF" w:rsidRPr="00405951">
        <w:rPr>
          <w:lang w:val="fr-FR"/>
        </w:rPr>
        <w:t>projet</w:t>
      </w:r>
      <w:r w:rsidR="007628A8" w:rsidRPr="00405951">
        <w:rPr>
          <w:lang w:val="fr-FR"/>
        </w:rPr>
        <w:t xml:space="preserve"> </w:t>
      </w:r>
      <w:r w:rsidR="007A2EEF" w:rsidRPr="00405951">
        <w:rPr>
          <w:lang w:val="fr-FR"/>
        </w:rPr>
        <w:t>de télémédecine</w:t>
      </w:r>
      <w:r w:rsidR="007628A8" w:rsidRPr="00405951">
        <w:rPr>
          <w:lang w:val="fr-FR"/>
        </w:rPr>
        <w:t xml:space="preserve"> </w:t>
      </w:r>
      <w:r w:rsidR="007A2EEF" w:rsidRPr="00405951">
        <w:rPr>
          <w:lang w:val="fr-FR"/>
        </w:rPr>
        <w:t>au Zimbabwe</w:t>
      </w:r>
      <w:r w:rsidR="007628A8" w:rsidRPr="00405951">
        <w:rPr>
          <w:lang w:val="fr-FR"/>
        </w:rPr>
        <w:t>,</w:t>
      </w:r>
      <w:r w:rsidR="007A2EEF" w:rsidRPr="00405951">
        <w:rPr>
          <w:lang w:val="fr-FR"/>
        </w:rPr>
        <w:t xml:space="preserve"> financé par l</w:t>
      </w:r>
      <w:r w:rsidR="007628A8" w:rsidRPr="00405951">
        <w:rPr>
          <w:lang w:val="fr-FR"/>
        </w:rPr>
        <w:t>'</w:t>
      </w:r>
      <w:r w:rsidR="007A2EEF" w:rsidRPr="00405951">
        <w:rPr>
          <w:lang w:val="fr-FR"/>
        </w:rPr>
        <w:t>UIT,</w:t>
      </w:r>
      <w:r w:rsidR="007628A8" w:rsidRPr="00405951">
        <w:rPr>
          <w:lang w:val="fr-FR"/>
        </w:rPr>
        <w:t xml:space="preserve"> </w:t>
      </w:r>
      <w:r w:rsidR="007A2EEF" w:rsidRPr="00405951">
        <w:rPr>
          <w:lang w:val="fr-FR"/>
        </w:rPr>
        <w:t>le</w:t>
      </w:r>
      <w:r w:rsidR="00F87FD3" w:rsidRPr="00405951">
        <w:rPr>
          <w:lang w:val="fr-FR"/>
        </w:rPr>
        <w:t xml:space="preserve"> </w:t>
      </w:r>
      <w:r w:rsidR="007A2EEF" w:rsidRPr="00405951">
        <w:rPr>
          <w:lang w:val="fr-FR"/>
        </w:rPr>
        <w:t>PNUD et le</w:t>
      </w:r>
      <w:r w:rsidR="007628A8" w:rsidRPr="00405951">
        <w:rPr>
          <w:lang w:val="fr-FR"/>
        </w:rPr>
        <w:t xml:space="preserve"> </w:t>
      </w:r>
      <w:r w:rsidR="000E5095" w:rsidRPr="00405951">
        <w:rPr>
          <w:lang w:val="fr-FR"/>
        </w:rPr>
        <w:t>G</w:t>
      </w:r>
      <w:r w:rsidR="007A2EEF" w:rsidRPr="00405951">
        <w:rPr>
          <w:lang w:val="fr-FR"/>
        </w:rPr>
        <w:t>ouvernement du Zimbabwe, en vue d</w:t>
      </w:r>
      <w:r w:rsidR="007628A8" w:rsidRPr="00405951">
        <w:rPr>
          <w:lang w:val="fr-FR"/>
        </w:rPr>
        <w:t>'</w:t>
      </w:r>
      <w:r w:rsidR="007A2EEF" w:rsidRPr="00405951">
        <w:rPr>
          <w:lang w:val="fr-FR"/>
        </w:rPr>
        <w:t>assurer une connectivité entre les hôpitaux du pays grâce aux TIC</w:t>
      </w:r>
      <w:r w:rsidR="000E5095" w:rsidRPr="00405951">
        <w:rPr>
          <w:lang w:val="fr-FR"/>
        </w:rPr>
        <w:t>,</w:t>
      </w:r>
      <w:r w:rsidR="007628A8" w:rsidRPr="00405951">
        <w:rPr>
          <w:lang w:val="fr-FR"/>
        </w:rPr>
        <w:t xml:space="preserve"> </w:t>
      </w:r>
      <w:r w:rsidR="007A2EEF" w:rsidRPr="00405951">
        <w:rPr>
          <w:lang w:val="fr-FR"/>
        </w:rPr>
        <w:t>pour améliorer la prestation de services médicaux</w:t>
      </w:r>
      <w:r w:rsidR="007628A8" w:rsidRPr="00405951">
        <w:rPr>
          <w:lang w:val="fr-FR"/>
        </w:rPr>
        <w:t>.</w:t>
      </w:r>
      <w:bookmarkEnd w:id="18"/>
    </w:p>
    <w:p w:rsidR="00953610" w:rsidRPr="00405951" w:rsidRDefault="000E5095" w:rsidP="00602326">
      <w:pPr>
        <w:rPr>
          <w:rFonts w:eastAsiaTheme="minorHAnsi"/>
          <w:szCs w:val="24"/>
          <w:lang w:val="fr-FR"/>
        </w:rPr>
      </w:pPr>
      <w:bookmarkStart w:id="19" w:name="lt_pId038"/>
      <w:r w:rsidRPr="00405951">
        <w:rPr>
          <w:lang w:val="fr-FR"/>
        </w:rPr>
        <w:t>L'UIT, qui</w:t>
      </w:r>
      <w:r w:rsidR="007A2EEF" w:rsidRPr="00405951">
        <w:rPr>
          <w:lang w:val="fr-FR"/>
        </w:rPr>
        <w:t xml:space="preserve"> copréside</w:t>
      </w:r>
      <w:r w:rsidR="007628A8" w:rsidRPr="00405951">
        <w:rPr>
          <w:lang w:val="fr-FR"/>
        </w:rPr>
        <w:t xml:space="preserve"> </w:t>
      </w:r>
      <w:r w:rsidR="007A2EEF" w:rsidRPr="00405951">
        <w:rPr>
          <w:lang w:val="fr-FR"/>
        </w:rPr>
        <w:t xml:space="preserve">la Commission de direction et </w:t>
      </w:r>
      <w:r w:rsidRPr="00405951">
        <w:rPr>
          <w:lang w:val="fr-FR"/>
        </w:rPr>
        <w:t>le</w:t>
      </w:r>
      <w:r w:rsidR="007A2EEF" w:rsidRPr="00405951">
        <w:rPr>
          <w:lang w:val="fr-FR"/>
        </w:rPr>
        <w:t xml:space="preserve"> Conseil d'administration de l'initiative</w:t>
      </w:r>
      <w:r w:rsidRPr="00405951">
        <w:rPr>
          <w:lang w:val="fr-FR"/>
        </w:rPr>
        <w:t xml:space="preserve"> Smart Africa</w:t>
      </w:r>
      <w:r w:rsidR="007628A8" w:rsidRPr="00405951">
        <w:rPr>
          <w:lang w:val="fr-FR"/>
        </w:rPr>
        <w:t>,</w:t>
      </w:r>
      <w:r w:rsidR="00953610" w:rsidRPr="00405951">
        <w:rPr>
          <w:lang w:val="fr-FR"/>
        </w:rPr>
        <w:t xml:space="preserve"> </w:t>
      </w:r>
      <w:r w:rsidR="007A2EEF" w:rsidRPr="00405951">
        <w:rPr>
          <w:lang w:val="fr-FR"/>
        </w:rPr>
        <w:t>a encouragé la collaboration avec Smart Africa et lui a fourni une assistance technique,</w:t>
      </w:r>
      <w:r w:rsidR="008D1176" w:rsidRPr="00405951">
        <w:rPr>
          <w:lang w:val="fr-FR"/>
        </w:rPr>
        <w:t xml:space="preserve"> </w:t>
      </w:r>
      <w:r w:rsidRPr="00405951">
        <w:rPr>
          <w:lang w:val="fr-FR"/>
        </w:rPr>
        <w:t>et a</w:t>
      </w:r>
      <w:r w:rsidR="008D1176" w:rsidRPr="00405951">
        <w:rPr>
          <w:lang w:val="fr-FR"/>
        </w:rPr>
        <w:t xml:space="preserve"> accueill</w:t>
      </w:r>
      <w:r w:rsidRPr="00405951">
        <w:rPr>
          <w:lang w:val="fr-FR"/>
        </w:rPr>
        <w:t>i</w:t>
      </w:r>
      <w:r w:rsidR="007A2EEF" w:rsidRPr="00405951">
        <w:rPr>
          <w:lang w:val="fr-FR"/>
        </w:rPr>
        <w:t xml:space="preserve"> </w:t>
      </w:r>
      <w:r w:rsidR="008D1176" w:rsidRPr="00405951">
        <w:rPr>
          <w:lang w:val="fr-FR"/>
        </w:rPr>
        <w:t xml:space="preserve">les réunions des deux </w:t>
      </w:r>
      <w:r w:rsidRPr="00405951">
        <w:rPr>
          <w:lang w:val="fr-FR"/>
        </w:rPr>
        <w:t>organe</w:t>
      </w:r>
      <w:r w:rsidR="008D1176" w:rsidRPr="00405951">
        <w:rPr>
          <w:lang w:val="fr-FR"/>
        </w:rPr>
        <w:t>s de gouvernance</w:t>
      </w:r>
      <w:r w:rsidR="007628A8" w:rsidRPr="00405951">
        <w:rPr>
          <w:lang w:val="fr-FR"/>
        </w:rPr>
        <w:t>.</w:t>
      </w:r>
      <w:r w:rsidR="008D1176" w:rsidRPr="00405951">
        <w:rPr>
          <w:lang w:val="fr-FR"/>
        </w:rPr>
        <w:t xml:space="preserve"> Au cours de sa réunion de juin 2016, parallèlement au </w:t>
      </w:r>
      <w:r w:rsidRPr="00405951">
        <w:rPr>
          <w:lang w:val="fr-FR"/>
        </w:rPr>
        <w:t>S</w:t>
      </w:r>
      <w:r w:rsidR="008D1176" w:rsidRPr="00405951">
        <w:rPr>
          <w:lang w:val="fr-FR"/>
        </w:rPr>
        <w:t>ommet de l</w:t>
      </w:r>
      <w:r w:rsidR="007628A8" w:rsidRPr="00405951">
        <w:rPr>
          <w:lang w:val="fr-FR"/>
        </w:rPr>
        <w:t>'</w:t>
      </w:r>
      <w:r w:rsidRPr="00405951">
        <w:rPr>
          <w:lang w:val="fr-FR"/>
        </w:rPr>
        <w:t>U</w:t>
      </w:r>
      <w:r w:rsidR="008D1176" w:rsidRPr="00405951">
        <w:rPr>
          <w:lang w:val="fr-FR"/>
        </w:rPr>
        <w:t xml:space="preserve">nion africaine, le </w:t>
      </w:r>
      <w:r w:rsidRPr="00405951">
        <w:rPr>
          <w:lang w:val="fr-FR"/>
        </w:rPr>
        <w:t>C</w:t>
      </w:r>
      <w:r w:rsidR="008D1176" w:rsidRPr="00405951">
        <w:rPr>
          <w:lang w:val="fr-FR"/>
        </w:rPr>
        <w:t>onseil</w:t>
      </w:r>
      <w:r w:rsidR="008D1176" w:rsidRPr="00405951">
        <w:rPr>
          <w:szCs w:val="24"/>
          <w:lang w:val="fr-FR"/>
        </w:rPr>
        <w:t xml:space="preserve"> d</w:t>
      </w:r>
      <w:r w:rsidR="007628A8" w:rsidRPr="00405951">
        <w:rPr>
          <w:szCs w:val="24"/>
          <w:lang w:val="fr-FR"/>
        </w:rPr>
        <w:t>'</w:t>
      </w:r>
      <w:r w:rsidR="008D1176" w:rsidRPr="00405951">
        <w:rPr>
          <w:szCs w:val="24"/>
          <w:lang w:val="fr-FR"/>
        </w:rPr>
        <w:t xml:space="preserve">administration de Smart Africa a </w:t>
      </w:r>
      <w:r w:rsidR="008D1176" w:rsidRPr="00405951">
        <w:rPr>
          <w:szCs w:val="24"/>
          <w:lang w:val="fr-FR"/>
        </w:rPr>
        <w:lastRenderedPageBreak/>
        <w:t>approuvé le</w:t>
      </w:r>
      <w:bookmarkEnd w:id="19"/>
      <w:r w:rsidR="007628A8" w:rsidRPr="00405951">
        <w:rPr>
          <w:szCs w:val="24"/>
          <w:lang w:val="fr-FR"/>
        </w:rPr>
        <w:t xml:space="preserve"> </w:t>
      </w:r>
      <w:bookmarkStart w:id="20" w:name="lt_pId039"/>
      <w:r w:rsidRPr="00405951">
        <w:rPr>
          <w:color w:val="000000"/>
          <w:lang w:val="fr-FR"/>
        </w:rPr>
        <w:t>R</w:t>
      </w:r>
      <w:r w:rsidR="007A2EEF" w:rsidRPr="00405951">
        <w:rPr>
          <w:color w:val="000000"/>
          <w:lang w:val="fr-FR"/>
        </w:rPr>
        <w:t>éseau unifié de l</w:t>
      </w:r>
      <w:r w:rsidR="007628A8" w:rsidRPr="00405951">
        <w:rPr>
          <w:color w:val="000000"/>
          <w:lang w:val="fr-FR"/>
        </w:rPr>
        <w:t>'</w:t>
      </w:r>
      <w:r w:rsidR="007A2EEF" w:rsidRPr="00405951">
        <w:rPr>
          <w:color w:val="000000"/>
          <w:lang w:val="fr-FR"/>
        </w:rPr>
        <w:t>Afrique</w:t>
      </w:r>
      <w:r w:rsidR="00953610" w:rsidRPr="00405951">
        <w:rPr>
          <w:szCs w:val="24"/>
          <w:lang w:val="fr-FR"/>
        </w:rPr>
        <w:t>,</w:t>
      </w:r>
      <w:r w:rsidR="008D1176" w:rsidRPr="00405951">
        <w:rPr>
          <w:szCs w:val="24"/>
          <w:lang w:val="fr-FR"/>
        </w:rPr>
        <w:t xml:space="preserve"> qui supprime les </w:t>
      </w:r>
      <w:r w:rsidRPr="00405951">
        <w:rPr>
          <w:szCs w:val="24"/>
          <w:lang w:val="fr-FR"/>
        </w:rPr>
        <w:t>frais</w:t>
      </w:r>
      <w:r w:rsidR="008D1176" w:rsidRPr="00405951">
        <w:rPr>
          <w:szCs w:val="24"/>
          <w:lang w:val="fr-FR"/>
        </w:rPr>
        <w:t xml:space="preserve"> d</w:t>
      </w:r>
      <w:r w:rsidR="007628A8" w:rsidRPr="00405951">
        <w:rPr>
          <w:szCs w:val="24"/>
          <w:lang w:val="fr-FR"/>
        </w:rPr>
        <w:t>'</w:t>
      </w:r>
      <w:r w:rsidR="008D1176" w:rsidRPr="00405951">
        <w:rPr>
          <w:szCs w:val="24"/>
          <w:lang w:val="fr-FR"/>
        </w:rPr>
        <w:t>itinérance internationale entre les pays membres de l</w:t>
      </w:r>
      <w:r w:rsidR="007628A8" w:rsidRPr="00405951">
        <w:rPr>
          <w:szCs w:val="24"/>
          <w:lang w:val="fr-FR"/>
        </w:rPr>
        <w:t>'</w:t>
      </w:r>
      <w:r w:rsidRPr="00405951">
        <w:rPr>
          <w:szCs w:val="24"/>
          <w:lang w:val="fr-FR"/>
        </w:rPr>
        <w:t>A</w:t>
      </w:r>
      <w:r w:rsidR="008D1176" w:rsidRPr="00405951">
        <w:rPr>
          <w:szCs w:val="24"/>
          <w:lang w:val="fr-FR"/>
        </w:rPr>
        <w:t>lliance</w:t>
      </w:r>
      <w:r w:rsidR="007628A8" w:rsidRPr="00405951">
        <w:rPr>
          <w:szCs w:val="24"/>
          <w:lang w:val="fr-FR"/>
        </w:rPr>
        <w:t xml:space="preserve"> </w:t>
      </w:r>
      <w:r w:rsidR="00953610" w:rsidRPr="00405951">
        <w:rPr>
          <w:szCs w:val="24"/>
          <w:lang w:val="fr-FR"/>
        </w:rPr>
        <w:t>Smart Africa</w:t>
      </w:r>
      <w:bookmarkEnd w:id="20"/>
      <w:r w:rsidR="007628A8" w:rsidRPr="00405951">
        <w:rPr>
          <w:szCs w:val="24"/>
          <w:lang w:val="fr-FR"/>
        </w:rPr>
        <w:t>.</w:t>
      </w:r>
      <w:r w:rsidR="008D1176" w:rsidRPr="00405951">
        <w:rPr>
          <w:szCs w:val="24"/>
          <w:lang w:val="fr-FR"/>
        </w:rPr>
        <w:t xml:space="preserve"> L</w:t>
      </w:r>
      <w:r w:rsidR="007628A8" w:rsidRPr="00405951">
        <w:rPr>
          <w:szCs w:val="24"/>
          <w:lang w:val="fr-FR"/>
        </w:rPr>
        <w:t>'</w:t>
      </w:r>
      <w:r w:rsidR="008D1176" w:rsidRPr="00405951">
        <w:rPr>
          <w:szCs w:val="24"/>
          <w:lang w:val="fr-FR"/>
        </w:rPr>
        <w:t xml:space="preserve">initiative relative au </w:t>
      </w:r>
      <w:r w:rsidRPr="00405951">
        <w:rPr>
          <w:szCs w:val="24"/>
          <w:lang w:val="fr-FR"/>
        </w:rPr>
        <w:t>R</w:t>
      </w:r>
      <w:r w:rsidR="008D1176" w:rsidRPr="00405951">
        <w:rPr>
          <w:szCs w:val="24"/>
          <w:lang w:val="fr-FR"/>
        </w:rPr>
        <w:t>éseau unifié de l</w:t>
      </w:r>
      <w:r w:rsidR="007628A8" w:rsidRPr="00405951">
        <w:rPr>
          <w:szCs w:val="24"/>
          <w:lang w:val="fr-FR"/>
        </w:rPr>
        <w:t>'</w:t>
      </w:r>
      <w:r w:rsidR="008D1176" w:rsidRPr="00405951">
        <w:rPr>
          <w:szCs w:val="24"/>
          <w:lang w:val="fr-FR"/>
        </w:rPr>
        <w:t xml:space="preserve">Afrique a été prise par les </w:t>
      </w:r>
      <w:r w:rsidRPr="00405951">
        <w:rPr>
          <w:szCs w:val="24"/>
          <w:lang w:val="fr-FR"/>
        </w:rPr>
        <w:t>P</w:t>
      </w:r>
      <w:r w:rsidR="008D1176" w:rsidRPr="00405951">
        <w:rPr>
          <w:szCs w:val="24"/>
          <w:lang w:val="fr-FR"/>
        </w:rPr>
        <w:t xml:space="preserve">résidents du Rwanda et du Gabon, afin de supprimer les </w:t>
      </w:r>
      <w:r w:rsidRPr="00405951">
        <w:rPr>
          <w:szCs w:val="24"/>
          <w:lang w:val="fr-FR"/>
        </w:rPr>
        <w:t>frais</w:t>
      </w:r>
      <w:r w:rsidR="008D1176" w:rsidRPr="00405951">
        <w:rPr>
          <w:szCs w:val="24"/>
          <w:lang w:val="fr-FR"/>
        </w:rPr>
        <w:t xml:space="preserve"> d</w:t>
      </w:r>
      <w:r w:rsidR="007628A8" w:rsidRPr="00405951">
        <w:rPr>
          <w:szCs w:val="24"/>
          <w:lang w:val="fr-FR"/>
        </w:rPr>
        <w:t>'</w:t>
      </w:r>
      <w:r w:rsidR="008D1176" w:rsidRPr="00405951">
        <w:rPr>
          <w:szCs w:val="24"/>
          <w:lang w:val="fr-FR"/>
        </w:rPr>
        <w:t>itinérance entre les deux pays.</w:t>
      </w:r>
      <w:r w:rsidR="007628A8" w:rsidRPr="00405951">
        <w:rPr>
          <w:szCs w:val="24"/>
          <w:lang w:val="fr-FR"/>
        </w:rPr>
        <w:t xml:space="preserve"> </w:t>
      </w:r>
      <w:bookmarkStart w:id="21" w:name="lt_pId041"/>
      <w:r w:rsidR="008D1176" w:rsidRPr="00405951">
        <w:rPr>
          <w:szCs w:val="24"/>
          <w:lang w:val="fr-FR"/>
        </w:rPr>
        <w:t>Le</w:t>
      </w:r>
      <w:r w:rsidR="007628A8" w:rsidRPr="00405951">
        <w:rPr>
          <w:szCs w:val="24"/>
          <w:lang w:val="fr-FR"/>
        </w:rPr>
        <w:t xml:space="preserve"> </w:t>
      </w:r>
      <w:r w:rsidR="008D1176" w:rsidRPr="00405951">
        <w:rPr>
          <w:color w:val="000000"/>
          <w:lang w:val="fr-FR"/>
        </w:rPr>
        <w:t xml:space="preserve">Fonds de </w:t>
      </w:r>
      <w:r w:rsidR="00602326" w:rsidRPr="00405951">
        <w:rPr>
          <w:color w:val="000000"/>
          <w:lang w:val="fr-FR"/>
        </w:rPr>
        <w:t xml:space="preserve">Smart </w:t>
      </w:r>
      <w:proofErr w:type="spellStart"/>
      <w:r w:rsidR="008D1176" w:rsidRPr="00405951">
        <w:rPr>
          <w:color w:val="000000"/>
          <w:lang w:val="fr-FR"/>
        </w:rPr>
        <w:t>Africa</w:t>
      </w:r>
      <w:proofErr w:type="spellEnd"/>
      <w:r w:rsidR="008D1176" w:rsidRPr="00405951">
        <w:rPr>
          <w:color w:val="000000"/>
          <w:lang w:val="fr-FR"/>
        </w:rPr>
        <w:t xml:space="preserve"> pour l'octroi de bourses</w:t>
      </w:r>
      <w:r w:rsidR="007628A8" w:rsidRPr="00405951">
        <w:rPr>
          <w:color w:val="000000"/>
          <w:lang w:val="fr-FR"/>
        </w:rPr>
        <w:t>,</w:t>
      </w:r>
      <w:r w:rsidR="008D1176" w:rsidRPr="00405951">
        <w:rPr>
          <w:color w:val="000000"/>
          <w:lang w:val="fr-FR"/>
        </w:rPr>
        <w:t xml:space="preserve"> qui a bénéficié d</w:t>
      </w:r>
      <w:r w:rsidR="007628A8" w:rsidRPr="00405951">
        <w:rPr>
          <w:color w:val="000000"/>
          <w:lang w:val="fr-FR"/>
        </w:rPr>
        <w:t>'</w:t>
      </w:r>
      <w:r w:rsidR="008D1176" w:rsidRPr="00405951">
        <w:rPr>
          <w:color w:val="000000"/>
          <w:lang w:val="fr-FR"/>
        </w:rPr>
        <w:t>un financement de départ de l'UIT</w:t>
      </w:r>
      <w:r w:rsidR="007628A8" w:rsidRPr="00405951">
        <w:rPr>
          <w:szCs w:val="24"/>
          <w:lang w:val="fr-FR"/>
        </w:rPr>
        <w:t xml:space="preserve"> </w:t>
      </w:r>
      <w:r w:rsidRPr="00405951">
        <w:rPr>
          <w:szCs w:val="24"/>
          <w:lang w:val="fr-FR"/>
        </w:rPr>
        <w:t xml:space="preserve">d'un montant </w:t>
      </w:r>
      <w:r w:rsidR="008D1176" w:rsidRPr="00405951">
        <w:rPr>
          <w:szCs w:val="24"/>
          <w:lang w:val="fr-FR"/>
        </w:rPr>
        <w:t>de</w:t>
      </w:r>
      <w:r w:rsidR="007628A8" w:rsidRPr="00405951">
        <w:rPr>
          <w:szCs w:val="24"/>
          <w:lang w:val="fr-FR"/>
        </w:rPr>
        <w:t xml:space="preserve"> </w:t>
      </w:r>
      <w:r w:rsidR="00953610" w:rsidRPr="00405951">
        <w:rPr>
          <w:szCs w:val="24"/>
          <w:lang w:val="fr-FR"/>
        </w:rPr>
        <w:t>200 000</w:t>
      </w:r>
      <w:r w:rsidR="005E7C33" w:rsidRPr="005E7C33">
        <w:rPr>
          <w:szCs w:val="24"/>
          <w:lang w:val="fr-FR"/>
        </w:rPr>
        <w:t xml:space="preserve"> </w:t>
      </w:r>
      <w:r w:rsidR="005E7C33" w:rsidRPr="00405951">
        <w:rPr>
          <w:szCs w:val="24"/>
          <w:lang w:val="fr-FR"/>
        </w:rPr>
        <w:t>USD</w:t>
      </w:r>
      <w:r w:rsidRPr="00405951">
        <w:rPr>
          <w:szCs w:val="24"/>
          <w:lang w:val="fr-FR"/>
        </w:rPr>
        <w:t>,</w:t>
      </w:r>
      <w:r w:rsidR="008D1176" w:rsidRPr="00405951">
        <w:rPr>
          <w:color w:val="000000"/>
          <w:lang w:val="fr-FR"/>
        </w:rPr>
        <w:t xml:space="preserve"> </w:t>
      </w:r>
      <w:r w:rsidRPr="00405951">
        <w:rPr>
          <w:color w:val="000000"/>
          <w:lang w:val="fr-FR"/>
        </w:rPr>
        <w:t>au titre</w:t>
      </w:r>
      <w:r w:rsidR="008D1176" w:rsidRPr="00405951">
        <w:rPr>
          <w:color w:val="000000"/>
          <w:lang w:val="fr-FR"/>
        </w:rPr>
        <w:t xml:space="preserve"> du Fonds pour le développement des technologies de l'information et de la communication (FDTIC)</w:t>
      </w:r>
      <w:r w:rsidR="007628A8" w:rsidRPr="00405951">
        <w:rPr>
          <w:szCs w:val="24"/>
          <w:lang w:val="fr-FR"/>
        </w:rPr>
        <w:t xml:space="preserve"> </w:t>
      </w:r>
      <w:r w:rsidR="00FC2CF6" w:rsidRPr="00405951">
        <w:rPr>
          <w:szCs w:val="24"/>
          <w:lang w:val="fr-FR"/>
        </w:rPr>
        <w:t xml:space="preserve">et </w:t>
      </w:r>
      <w:r w:rsidR="008D1176" w:rsidRPr="00405951">
        <w:rPr>
          <w:szCs w:val="24"/>
          <w:lang w:val="fr-FR"/>
        </w:rPr>
        <w:t>a été lancé en 2015,</w:t>
      </w:r>
      <w:r w:rsidR="007628A8" w:rsidRPr="00405951">
        <w:rPr>
          <w:szCs w:val="24"/>
          <w:lang w:val="fr-FR"/>
        </w:rPr>
        <w:t xml:space="preserve"> </w:t>
      </w:r>
      <w:r w:rsidRPr="00405951">
        <w:rPr>
          <w:szCs w:val="24"/>
          <w:lang w:val="fr-FR"/>
        </w:rPr>
        <w:t xml:space="preserve">est </w:t>
      </w:r>
      <w:r w:rsidR="00FC2CF6" w:rsidRPr="00405951">
        <w:rPr>
          <w:szCs w:val="24"/>
          <w:lang w:val="fr-FR"/>
        </w:rPr>
        <w:t xml:space="preserve">actuellement </w:t>
      </w:r>
      <w:r w:rsidRPr="00405951">
        <w:rPr>
          <w:szCs w:val="24"/>
          <w:lang w:val="fr-FR"/>
        </w:rPr>
        <w:t>doté</w:t>
      </w:r>
      <w:r w:rsidR="00FC2CF6" w:rsidRPr="00405951">
        <w:rPr>
          <w:szCs w:val="24"/>
          <w:lang w:val="fr-FR"/>
        </w:rPr>
        <w:t xml:space="preserve"> de</w:t>
      </w:r>
      <w:r w:rsidRPr="00405951">
        <w:rPr>
          <w:szCs w:val="24"/>
          <w:lang w:val="fr-FR"/>
        </w:rPr>
        <w:t xml:space="preserve"> </w:t>
      </w:r>
      <w:r w:rsidR="00953610" w:rsidRPr="00405951">
        <w:rPr>
          <w:szCs w:val="24"/>
          <w:lang w:val="fr-FR"/>
        </w:rPr>
        <w:t>1 200 000</w:t>
      </w:r>
      <w:r w:rsidRPr="00405951">
        <w:rPr>
          <w:szCs w:val="24"/>
          <w:lang w:val="fr-FR"/>
        </w:rPr>
        <w:t xml:space="preserve"> USD</w:t>
      </w:r>
      <w:r w:rsidR="00953610" w:rsidRPr="00405951">
        <w:rPr>
          <w:szCs w:val="24"/>
          <w:lang w:val="fr-FR"/>
        </w:rPr>
        <w:t>.</w:t>
      </w:r>
      <w:bookmarkEnd w:id="21"/>
      <w:r w:rsidR="00953610" w:rsidRPr="00405951">
        <w:rPr>
          <w:szCs w:val="24"/>
          <w:lang w:val="fr-FR"/>
        </w:rPr>
        <w:t xml:space="preserve"> </w:t>
      </w:r>
      <w:bookmarkStart w:id="22" w:name="lt_pId042"/>
      <w:r w:rsidR="00FC2CF6" w:rsidRPr="00405951">
        <w:rPr>
          <w:szCs w:val="24"/>
          <w:lang w:val="fr-FR"/>
        </w:rPr>
        <w:t>En février 2017,</w:t>
      </w:r>
      <w:r w:rsidR="007628A8" w:rsidRPr="00405951">
        <w:rPr>
          <w:szCs w:val="24"/>
          <w:lang w:val="fr-FR"/>
        </w:rPr>
        <w:t xml:space="preserve"> </w:t>
      </w:r>
      <w:r w:rsidR="00953610" w:rsidRPr="00405951">
        <w:rPr>
          <w:rFonts w:cs="Calibri"/>
          <w:szCs w:val="24"/>
          <w:lang w:val="fr-FR" w:eastAsia="zh-CN"/>
        </w:rPr>
        <w:t xml:space="preserve">Smart </w:t>
      </w:r>
      <w:proofErr w:type="spellStart"/>
      <w:r w:rsidR="00953610" w:rsidRPr="00405951">
        <w:rPr>
          <w:rFonts w:cs="Calibri"/>
          <w:szCs w:val="24"/>
          <w:lang w:val="fr-FR" w:eastAsia="zh-CN"/>
        </w:rPr>
        <w:t>Africa</w:t>
      </w:r>
      <w:proofErr w:type="spellEnd"/>
      <w:r w:rsidR="00953610" w:rsidRPr="00405951">
        <w:rPr>
          <w:rFonts w:cs="Calibri"/>
          <w:szCs w:val="24"/>
          <w:lang w:val="fr-FR" w:eastAsia="zh-CN"/>
        </w:rPr>
        <w:t xml:space="preserve"> </w:t>
      </w:r>
      <w:r w:rsidRPr="00405951">
        <w:rPr>
          <w:rFonts w:cs="Calibri"/>
          <w:szCs w:val="24"/>
          <w:lang w:val="fr-FR" w:eastAsia="zh-CN"/>
        </w:rPr>
        <w:t xml:space="preserve">a </w:t>
      </w:r>
      <w:r w:rsidR="00FC2CF6" w:rsidRPr="00405951">
        <w:rPr>
          <w:rFonts w:cs="Calibri"/>
          <w:szCs w:val="24"/>
          <w:lang w:val="fr-FR" w:eastAsia="zh-CN"/>
        </w:rPr>
        <w:t>sponsoris</w:t>
      </w:r>
      <w:r w:rsidRPr="00405951">
        <w:rPr>
          <w:rFonts w:cs="Calibri"/>
          <w:szCs w:val="24"/>
          <w:lang w:val="fr-FR" w:eastAsia="zh-CN"/>
        </w:rPr>
        <w:t>é</w:t>
      </w:r>
      <w:r w:rsidR="007628A8" w:rsidRPr="00405951">
        <w:rPr>
          <w:rFonts w:cs="Calibri"/>
          <w:szCs w:val="24"/>
          <w:lang w:val="fr-FR" w:eastAsia="zh-CN"/>
        </w:rPr>
        <w:t xml:space="preserve"> </w:t>
      </w:r>
      <w:r w:rsidR="00602326">
        <w:rPr>
          <w:rFonts w:cs="Calibri"/>
          <w:szCs w:val="24"/>
          <w:lang w:val="fr-FR" w:eastAsia="zh-CN"/>
        </w:rPr>
        <w:t>sept</w:t>
      </w:r>
      <w:r w:rsidR="00FC2CF6" w:rsidRPr="00405951">
        <w:rPr>
          <w:rFonts w:cs="Calibri"/>
          <w:szCs w:val="24"/>
          <w:lang w:val="fr-FR" w:eastAsia="zh-CN"/>
        </w:rPr>
        <w:t xml:space="preserve"> étudiants, dont six femmes, </w:t>
      </w:r>
      <w:r w:rsidRPr="00405951">
        <w:rPr>
          <w:rFonts w:cs="Calibri"/>
          <w:szCs w:val="24"/>
          <w:lang w:val="fr-FR" w:eastAsia="zh-CN"/>
        </w:rPr>
        <w:t>pour suivre une formation</w:t>
      </w:r>
      <w:r w:rsidR="00FC2CF6" w:rsidRPr="00405951">
        <w:rPr>
          <w:rFonts w:cs="Calibri"/>
          <w:szCs w:val="24"/>
          <w:lang w:val="fr-FR" w:eastAsia="zh-CN"/>
        </w:rPr>
        <w:t xml:space="preserve"> à l</w:t>
      </w:r>
      <w:r w:rsidR="007628A8" w:rsidRPr="00405951">
        <w:rPr>
          <w:rFonts w:cs="Calibri"/>
          <w:szCs w:val="24"/>
          <w:lang w:val="fr-FR" w:eastAsia="zh-CN"/>
        </w:rPr>
        <w:t>'</w:t>
      </w:r>
      <w:r w:rsidRPr="00405951">
        <w:rPr>
          <w:rFonts w:cs="Calibri"/>
          <w:szCs w:val="24"/>
          <w:lang w:val="fr-FR" w:eastAsia="zh-CN"/>
        </w:rPr>
        <w:t>U</w:t>
      </w:r>
      <w:r w:rsidR="00FC2CF6" w:rsidRPr="00405951">
        <w:rPr>
          <w:rFonts w:cs="Calibri"/>
          <w:szCs w:val="24"/>
          <w:lang w:val="fr-FR" w:eastAsia="zh-CN"/>
        </w:rPr>
        <w:t>niversité</w:t>
      </w:r>
      <w:r w:rsidR="007628A8" w:rsidRPr="00405951">
        <w:rPr>
          <w:rFonts w:cs="Calibri"/>
          <w:szCs w:val="24"/>
          <w:lang w:val="fr-FR" w:eastAsia="zh-CN"/>
        </w:rPr>
        <w:t xml:space="preserve"> </w:t>
      </w:r>
      <w:r w:rsidR="00953610" w:rsidRPr="00405951">
        <w:rPr>
          <w:rFonts w:cs="Calibri"/>
          <w:szCs w:val="24"/>
          <w:lang w:val="fr-FR" w:eastAsia="zh-CN"/>
        </w:rPr>
        <w:t>Carnegie Mellon</w:t>
      </w:r>
      <w:r w:rsidR="007628A8" w:rsidRPr="00405951">
        <w:rPr>
          <w:rFonts w:cs="Calibri"/>
          <w:szCs w:val="24"/>
          <w:lang w:val="fr-FR" w:eastAsia="zh-CN"/>
        </w:rPr>
        <w:t xml:space="preserve"> </w:t>
      </w:r>
      <w:r w:rsidR="00FC2CF6" w:rsidRPr="00405951">
        <w:rPr>
          <w:rFonts w:cs="Calibri"/>
          <w:szCs w:val="24"/>
          <w:lang w:val="fr-FR" w:eastAsia="zh-CN"/>
        </w:rPr>
        <w:t>du</w:t>
      </w:r>
      <w:r w:rsidR="007628A8" w:rsidRPr="00405951">
        <w:rPr>
          <w:rFonts w:cs="Calibri"/>
          <w:szCs w:val="24"/>
          <w:lang w:val="fr-FR" w:eastAsia="zh-CN"/>
        </w:rPr>
        <w:t xml:space="preserve"> </w:t>
      </w:r>
      <w:r w:rsidR="00953610" w:rsidRPr="00405951">
        <w:rPr>
          <w:rFonts w:cs="Calibri"/>
          <w:szCs w:val="24"/>
          <w:lang w:val="fr-FR" w:eastAsia="zh-CN"/>
        </w:rPr>
        <w:t>Rwanda.</w:t>
      </w:r>
      <w:bookmarkEnd w:id="22"/>
    </w:p>
    <w:p w:rsidR="00953610" w:rsidRPr="00405951" w:rsidRDefault="00953610" w:rsidP="007628A8">
      <w:pPr>
        <w:pStyle w:val="Heading2"/>
        <w:rPr>
          <w:lang w:val="fr-FR"/>
        </w:rPr>
      </w:pPr>
      <w:r w:rsidRPr="00405951">
        <w:rPr>
          <w:lang w:val="fr-FR"/>
        </w:rPr>
        <w:t>2.2</w:t>
      </w:r>
      <w:r w:rsidRPr="00405951">
        <w:rPr>
          <w:lang w:val="fr-FR"/>
        </w:rPr>
        <w:tab/>
        <w:t>Amériques</w:t>
      </w:r>
    </w:p>
    <w:p w:rsidR="00953610" w:rsidRPr="00405951" w:rsidRDefault="00D06B68" w:rsidP="00D06B68">
      <w:pPr>
        <w:rPr>
          <w:rFonts w:eastAsiaTheme="minorEastAsia" w:cstheme="minorBidi"/>
          <w:szCs w:val="24"/>
          <w:lang w:val="fr-FR"/>
        </w:rPr>
      </w:pPr>
      <w:bookmarkStart w:id="23" w:name="lt_pId044"/>
      <w:r w:rsidRPr="00405951">
        <w:rPr>
          <w:rFonts w:eastAsiaTheme="minorEastAsia" w:cstheme="minorBidi"/>
          <w:szCs w:val="24"/>
          <w:lang w:val="fr-FR"/>
        </w:rPr>
        <w:t>A</w:t>
      </w:r>
      <w:r w:rsidR="00FC2CF6" w:rsidRPr="00405951">
        <w:rPr>
          <w:rFonts w:eastAsiaTheme="minorEastAsia" w:cstheme="minorBidi"/>
          <w:szCs w:val="24"/>
          <w:lang w:val="fr-FR"/>
        </w:rPr>
        <w:t xml:space="preserve"> la suite de la mise en </w:t>
      </w:r>
      <w:r w:rsidR="00F87FD3" w:rsidRPr="00405951">
        <w:rPr>
          <w:rFonts w:eastAsiaTheme="minorEastAsia" w:cstheme="minorBidi"/>
          <w:szCs w:val="24"/>
          <w:lang w:val="fr-FR"/>
        </w:rPr>
        <w:t>oe</w:t>
      </w:r>
      <w:r w:rsidR="00FC2CF6" w:rsidRPr="00405951">
        <w:rPr>
          <w:rFonts w:eastAsiaTheme="minorEastAsia" w:cstheme="minorBidi"/>
          <w:szCs w:val="24"/>
          <w:lang w:val="fr-FR"/>
        </w:rPr>
        <w:t xml:space="preserve">uvre réussie du projet </w:t>
      </w:r>
      <w:r w:rsidR="00215C1B" w:rsidRPr="00405951">
        <w:rPr>
          <w:rFonts w:eastAsiaTheme="minorEastAsia" w:cstheme="minorBidi"/>
          <w:szCs w:val="24"/>
          <w:lang w:val="fr-FR"/>
        </w:rPr>
        <w:t>réalisé en collaboration</w:t>
      </w:r>
      <w:r w:rsidR="007628A8" w:rsidRPr="00405951">
        <w:rPr>
          <w:rFonts w:eastAsiaTheme="minorEastAsia" w:cstheme="minorBidi"/>
          <w:szCs w:val="24"/>
          <w:lang w:val="fr-FR"/>
        </w:rPr>
        <w:t xml:space="preserve"> </w:t>
      </w:r>
      <w:r w:rsidR="00215C1B" w:rsidRPr="00405951">
        <w:rPr>
          <w:rFonts w:eastAsiaTheme="minorEastAsia" w:cstheme="minorBidi"/>
          <w:szCs w:val="24"/>
          <w:lang w:val="fr-FR"/>
        </w:rPr>
        <w:t>avec l</w:t>
      </w:r>
      <w:r w:rsidR="007628A8" w:rsidRPr="00405951">
        <w:rPr>
          <w:rFonts w:eastAsiaTheme="minorEastAsia" w:cstheme="minorBidi"/>
          <w:szCs w:val="24"/>
          <w:lang w:val="fr-FR"/>
        </w:rPr>
        <w:t>'</w:t>
      </w:r>
      <w:r w:rsidRPr="00405951">
        <w:rPr>
          <w:rFonts w:eastAsiaTheme="minorEastAsia" w:cstheme="minorBidi"/>
          <w:szCs w:val="24"/>
          <w:lang w:val="fr-FR"/>
        </w:rPr>
        <w:t>A</w:t>
      </w:r>
      <w:r w:rsidR="00215C1B" w:rsidRPr="00405951">
        <w:rPr>
          <w:rFonts w:eastAsiaTheme="minorEastAsia" w:cstheme="minorBidi"/>
          <w:szCs w:val="24"/>
          <w:lang w:val="fr-FR"/>
        </w:rPr>
        <w:t>dministration argentine en vue de promouvoir l</w:t>
      </w:r>
      <w:r w:rsidR="007628A8" w:rsidRPr="00405951">
        <w:rPr>
          <w:rFonts w:eastAsiaTheme="minorEastAsia" w:cstheme="minorBidi"/>
          <w:szCs w:val="24"/>
          <w:lang w:val="fr-FR"/>
        </w:rPr>
        <w:t>'</w:t>
      </w:r>
      <w:r w:rsidR="00215C1B" w:rsidRPr="00405951">
        <w:rPr>
          <w:rFonts w:eastAsiaTheme="minorEastAsia" w:cstheme="minorBidi"/>
          <w:szCs w:val="24"/>
          <w:lang w:val="fr-FR"/>
        </w:rPr>
        <w:t xml:space="preserve">intégration </w:t>
      </w:r>
      <w:r w:rsidR="00215C1B" w:rsidRPr="00405951">
        <w:rPr>
          <w:color w:val="000000"/>
          <w:lang w:val="fr-FR"/>
        </w:rPr>
        <w:t xml:space="preserve">de plus de 20 universités </w:t>
      </w:r>
      <w:r w:rsidRPr="00405951">
        <w:rPr>
          <w:color w:val="000000"/>
          <w:lang w:val="fr-FR"/>
        </w:rPr>
        <w:t>appelées à</w:t>
      </w:r>
      <w:r w:rsidR="00215C1B" w:rsidRPr="00405951">
        <w:rPr>
          <w:color w:val="000000"/>
          <w:lang w:val="fr-FR"/>
        </w:rPr>
        <w:t xml:space="preserve"> participer</w:t>
      </w:r>
      <w:r w:rsidRPr="00405951">
        <w:rPr>
          <w:color w:val="000000"/>
          <w:lang w:val="fr-FR"/>
        </w:rPr>
        <w:t xml:space="preserve"> </w:t>
      </w:r>
      <w:r w:rsidR="00215C1B" w:rsidRPr="00405951">
        <w:rPr>
          <w:color w:val="000000"/>
          <w:lang w:val="fr-FR"/>
        </w:rPr>
        <w:t>aux travaux de l'UIT en tant qu'établissements universitaires</w:t>
      </w:r>
      <w:r w:rsidR="001C13C7" w:rsidRPr="00405951">
        <w:rPr>
          <w:color w:val="000000"/>
          <w:lang w:val="fr-FR"/>
        </w:rPr>
        <w:t>, les bureaux régionaux et les bureaux de zone de l</w:t>
      </w:r>
      <w:r w:rsidR="007628A8" w:rsidRPr="00405951">
        <w:rPr>
          <w:color w:val="000000"/>
          <w:lang w:val="fr-FR"/>
        </w:rPr>
        <w:t>'</w:t>
      </w:r>
      <w:r w:rsidR="001C13C7" w:rsidRPr="00405951">
        <w:rPr>
          <w:color w:val="000000"/>
          <w:lang w:val="fr-FR"/>
        </w:rPr>
        <w:t>UIT assurent une coordination avec</w:t>
      </w:r>
      <w:r w:rsidR="007628A8" w:rsidRPr="00405951">
        <w:rPr>
          <w:color w:val="000000"/>
          <w:lang w:val="fr-FR"/>
        </w:rPr>
        <w:t xml:space="preserve"> </w:t>
      </w:r>
      <w:r w:rsidR="001C13C7" w:rsidRPr="00405951">
        <w:rPr>
          <w:color w:val="000000"/>
          <w:lang w:val="fr-FR"/>
        </w:rPr>
        <w:t>d</w:t>
      </w:r>
      <w:r w:rsidR="007628A8" w:rsidRPr="00405951">
        <w:rPr>
          <w:color w:val="000000"/>
          <w:lang w:val="fr-FR"/>
        </w:rPr>
        <w:t>'</w:t>
      </w:r>
      <w:r w:rsidR="001C13C7" w:rsidRPr="00405951">
        <w:rPr>
          <w:color w:val="000000"/>
          <w:lang w:val="fr-FR"/>
        </w:rPr>
        <w:t>autres administrations de la région,</w:t>
      </w:r>
      <w:r w:rsidR="007628A8" w:rsidRPr="00405951">
        <w:rPr>
          <w:color w:val="000000"/>
          <w:lang w:val="fr-FR"/>
        </w:rPr>
        <w:t xml:space="preserve"> </w:t>
      </w:r>
      <w:r w:rsidR="001C13C7" w:rsidRPr="00405951">
        <w:rPr>
          <w:color w:val="000000"/>
          <w:lang w:val="fr-FR"/>
        </w:rPr>
        <w:t>par exemple la Colombie, en vue de reproduire ce projet</w:t>
      </w:r>
      <w:bookmarkEnd w:id="23"/>
      <w:r w:rsidR="00FE2358" w:rsidRPr="00405951">
        <w:rPr>
          <w:color w:val="000000"/>
          <w:lang w:val="fr-FR"/>
        </w:rPr>
        <w:t>.</w:t>
      </w:r>
    </w:p>
    <w:p w:rsidR="00953610" w:rsidRPr="00405951" w:rsidRDefault="001C13C7" w:rsidP="00D06B68">
      <w:pPr>
        <w:rPr>
          <w:szCs w:val="24"/>
          <w:lang w:val="fr-FR"/>
        </w:rPr>
      </w:pPr>
      <w:bookmarkStart w:id="24" w:name="lt_pId045"/>
      <w:r w:rsidRPr="00405951">
        <w:rPr>
          <w:szCs w:val="24"/>
          <w:lang w:val="fr-FR"/>
        </w:rPr>
        <w:t xml:space="preserve">Des projets ont été </w:t>
      </w:r>
      <w:r w:rsidR="00D06B68" w:rsidRPr="00405951">
        <w:rPr>
          <w:color w:val="000000"/>
          <w:lang w:val="fr-FR"/>
        </w:rPr>
        <w:t>conçus</w:t>
      </w:r>
      <w:r w:rsidRPr="00405951">
        <w:rPr>
          <w:szCs w:val="24"/>
          <w:lang w:val="fr-FR"/>
        </w:rPr>
        <w:t xml:space="preserve"> et </w:t>
      </w:r>
      <w:r w:rsidR="00D06B68" w:rsidRPr="00405951">
        <w:rPr>
          <w:szCs w:val="24"/>
          <w:lang w:val="fr-FR"/>
        </w:rPr>
        <w:t>réalisés en coopération avec d</w:t>
      </w:r>
      <w:r w:rsidRPr="00405951">
        <w:rPr>
          <w:szCs w:val="24"/>
          <w:lang w:val="fr-FR"/>
        </w:rPr>
        <w:t>es parties prenantes du sec</w:t>
      </w:r>
      <w:r w:rsidR="00D06B68" w:rsidRPr="00405951">
        <w:rPr>
          <w:szCs w:val="24"/>
          <w:lang w:val="fr-FR"/>
        </w:rPr>
        <w:t>teur public et du secteur privé:</w:t>
      </w:r>
      <w:r w:rsidRPr="00405951">
        <w:rPr>
          <w:szCs w:val="24"/>
          <w:lang w:val="fr-FR"/>
        </w:rPr>
        <w:t xml:space="preserve"> </w:t>
      </w:r>
      <w:r w:rsidR="005E7C33">
        <w:rPr>
          <w:szCs w:val="24"/>
          <w:lang w:val="fr-FR"/>
        </w:rPr>
        <w:t xml:space="preserve">on citera </w:t>
      </w:r>
      <w:r w:rsidRPr="00405951">
        <w:rPr>
          <w:szCs w:val="24"/>
          <w:lang w:val="fr-FR"/>
        </w:rPr>
        <w:t>par exemple un</w:t>
      </w:r>
      <w:r w:rsidR="007628A8" w:rsidRPr="00405951">
        <w:rPr>
          <w:szCs w:val="24"/>
          <w:lang w:val="fr-FR"/>
        </w:rPr>
        <w:t xml:space="preserve"> </w:t>
      </w:r>
      <w:r w:rsidRPr="00405951">
        <w:rPr>
          <w:szCs w:val="24"/>
          <w:lang w:val="fr-FR"/>
        </w:rPr>
        <w:t>projet</w:t>
      </w:r>
      <w:r w:rsidR="007628A8" w:rsidRPr="00405951">
        <w:rPr>
          <w:szCs w:val="24"/>
          <w:lang w:val="fr-FR"/>
        </w:rPr>
        <w:t xml:space="preserve"> </w:t>
      </w:r>
      <w:r w:rsidRPr="00405951">
        <w:rPr>
          <w:color w:val="000000"/>
          <w:lang w:val="fr-FR"/>
        </w:rPr>
        <w:t>de coopération technique avec Anatel</w:t>
      </w:r>
      <w:r w:rsidR="00D06B68" w:rsidRPr="00405951">
        <w:rPr>
          <w:color w:val="000000"/>
          <w:lang w:val="fr-FR"/>
        </w:rPr>
        <w:t>,</w:t>
      </w:r>
      <w:r w:rsidR="007628A8" w:rsidRPr="00405951">
        <w:rPr>
          <w:color w:val="000000"/>
          <w:lang w:val="fr-FR"/>
        </w:rPr>
        <w:t xml:space="preserve"> </w:t>
      </w:r>
      <w:r w:rsidRPr="00405951">
        <w:rPr>
          <w:color w:val="000000"/>
          <w:lang w:val="fr-FR"/>
        </w:rPr>
        <w:t>relatif</w:t>
      </w:r>
      <w:r w:rsidR="007628A8" w:rsidRPr="00405951">
        <w:rPr>
          <w:color w:val="000000"/>
          <w:lang w:val="fr-FR"/>
        </w:rPr>
        <w:t xml:space="preserve"> </w:t>
      </w:r>
      <w:r w:rsidRPr="00405951">
        <w:rPr>
          <w:color w:val="000000"/>
          <w:lang w:val="fr-FR"/>
        </w:rPr>
        <w:t>au</w:t>
      </w:r>
      <w:r w:rsidR="007628A8" w:rsidRPr="00405951">
        <w:rPr>
          <w:color w:val="000000"/>
          <w:lang w:val="fr-FR"/>
        </w:rPr>
        <w:t xml:space="preserve"> </w:t>
      </w:r>
      <w:r w:rsidRPr="00405951">
        <w:rPr>
          <w:color w:val="000000"/>
          <w:lang w:val="fr-FR"/>
        </w:rPr>
        <w:t>renforcement de l'Agence de régulation du Brésil</w:t>
      </w:r>
      <w:r w:rsidR="00D06B68" w:rsidRPr="00405951">
        <w:rPr>
          <w:color w:val="000000"/>
          <w:lang w:val="fr-FR"/>
        </w:rPr>
        <w:t>,</w:t>
      </w:r>
      <w:r w:rsidR="007628A8" w:rsidRPr="00405951">
        <w:rPr>
          <w:szCs w:val="24"/>
          <w:lang w:val="fr-FR"/>
        </w:rPr>
        <w:t xml:space="preserve"> </w:t>
      </w:r>
      <w:r w:rsidRPr="00405951">
        <w:rPr>
          <w:szCs w:val="24"/>
          <w:lang w:val="fr-FR"/>
        </w:rPr>
        <w:t>et</w:t>
      </w:r>
      <w:r w:rsidR="007628A8" w:rsidRPr="00405951">
        <w:rPr>
          <w:szCs w:val="24"/>
          <w:lang w:val="fr-FR"/>
        </w:rPr>
        <w:t xml:space="preserve"> </w:t>
      </w:r>
      <w:r w:rsidRPr="00405951">
        <w:rPr>
          <w:szCs w:val="24"/>
          <w:lang w:val="fr-FR"/>
        </w:rPr>
        <w:t>un projet relatif à l</w:t>
      </w:r>
      <w:r w:rsidR="007628A8" w:rsidRPr="00405951">
        <w:rPr>
          <w:szCs w:val="24"/>
          <w:lang w:val="fr-FR"/>
        </w:rPr>
        <w:t>'</w:t>
      </w:r>
      <w:r w:rsidRPr="00405951">
        <w:rPr>
          <w:szCs w:val="24"/>
          <w:lang w:val="fr-FR"/>
        </w:rPr>
        <w:t>attribution de bandes de fréquences</w:t>
      </w:r>
      <w:r w:rsidR="007628A8" w:rsidRPr="00405951">
        <w:rPr>
          <w:szCs w:val="24"/>
          <w:lang w:val="fr-FR"/>
        </w:rPr>
        <w:t xml:space="preserve"> </w:t>
      </w:r>
      <w:r w:rsidR="00D06B68" w:rsidRPr="00405951">
        <w:rPr>
          <w:szCs w:val="24"/>
          <w:lang w:val="fr-FR"/>
        </w:rPr>
        <w:t>exécuté</w:t>
      </w:r>
      <w:r w:rsidRPr="00405951">
        <w:rPr>
          <w:szCs w:val="24"/>
          <w:lang w:val="fr-FR"/>
        </w:rPr>
        <w:t xml:space="preserve"> en collaboration avec le </w:t>
      </w:r>
      <w:r w:rsidR="00D06B68" w:rsidRPr="00405951">
        <w:rPr>
          <w:szCs w:val="24"/>
          <w:lang w:val="fr-FR"/>
        </w:rPr>
        <w:t>M</w:t>
      </w:r>
      <w:r w:rsidRPr="00405951">
        <w:rPr>
          <w:szCs w:val="24"/>
          <w:lang w:val="fr-FR"/>
        </w:rPr>
        <w:t>inistère du commerce, de l</w:t>
      </w:r>
      <w:r w:rsidR="007628A8" w:rsidRPr="00405951">
        <w:rPr>
          <w:szCs w:val="24"/>
          <w:lang w:val="fr-FR"/>
        </w:rPr>
        <w:t>'</w:t>
      </w:r>
      <w:r w:rsidRPr="00405951">
        <w:rPr>
          <w:szCs w:val="24"/>
          <w:lang w:val="fr-FR"/>
        </w:rPr>
        <w:t>industrie et du tourisme (MINCIT) de la Colombie</w:t>
      </w:r>
      <w:r w:rsidR="007628A8" w:rsidRPr="00405951">
        <w:rPr>
          <w:szCs w:val="24"/>
          <w:lang w:val="fr-FR"/>
        </w:rPr>
        <w:t>.</w:t>
      </w:r>
      <w:bookmarkStart w:id="25" w:name="lt_pId046"/>
      <w:bookmarkEnd w:id="24"/>
      <w:r w:rsidRPr="00405951">
        <w:rPr>
          <w:szCs w:val="24"/>
          <w:lang w:val="fr-FR"/>
        </w:rPr>
        <w:t xml:space="preserve"> L</w:t>
      </w:r>
      <w:r w:rsidR="007628A8" w:rsidRPr="00405951">
        <w:rPr>
          <w:szCs w:val="24"/>
          <w:lang w:val="fr-FR"/>
        </w:rPr>
        <w:t>'</w:t>
      </w:r>
      <w:r w:rsidRPr="00405951">
        <w:rPr>
          <w:szCs w:val="24"/>
          <w:lang w:val="fr-FR"/>
        </w:rPr>
        <w:t xml:space="preserve">UIT a élaboré des </w:t>
      </w:r>
      <w:r w:rsidRPr="00405951">
        <w:rPr>
          <w:color w:val="000000"/>
          <w:lang w:val="fr-FR"/>
        </w:rPr>
        <w:t>feuilles de route sur le passage de la radiodiffusion télévisuelle analogique à la radiodiffusion télévisuelle numérique de Terre</w:t>
      </w:r>
      <w:r w:rsidR="00953610" w:rsidRPr="00405951">
        <w:rPr>
          <w:szCs w:val="24"/>
          <w:lang w:val="fr-FR"/>
        </w:rPr>
        <w:t xml:space="preserve">, </w:t>
      </w:r>
      <w:r w:rsidRPr="00405951">
        <w:rPr>
          <w:szCs w:val="24"/>
          <w:lang w:val="fr-FR"/>
        </w:rPr>
        <w:t>fondées sur l</w:t>
      </w:r>
      <w:r w:rsidR="007628A8" w:rsidRPr="00405951">
        <w:rPr>
          <w:szCs w:val="24"/>
          <w:lang w:val="fr-FR"/>
        </w:rPr>
        <w:t>'</w:t>
      </w:r>
      <w:r w:rsidRPr="00405951">
        <w:rPr>
          <w:szCs w:val="24"/>
          <w:lang w:val="fr-FR"/>
        </w:rPr>
        <w:t>utilisation des lignes directrices de l</w:t>
      </w:r>
      <w:r w:rsidR="007628A8" w:rsidRPr="00405951">
        <w:rPr>
          <w:szCs w:val="24"/>
          <w:lang w:val="fr-FR"/>
        </w:rPr>
        <w:t>'</w:t>
      </w:r>
      <w:r w:rsidRPr="00405951">
        <w:rPr>
          <w:szCs w:val="24"/>
          <w:lang w:val="fr-FR"/>
        </w:rPr>
        <w:t>UIT, ainsi que des cartes interactives</w:t>
      </w:r>
      <w:r w:rsidR="00BD2101" w:rsidRPr="00405951">
        <w:rPr>
          <w:szCs w:val="24"/>
          <w:lang w:val="fr-FR"/>
        </w:rPr>
        <w:t xml:space="preserve"> d</w:t>
      </w:r>
      <w:r w:rsidR="00405951">
        <w:rPr>
          <w:szCs w:val="24"/>
          <w:lang w:val="fr-FR"/>
        </w:rPr>
        <w:t>e</w:t>
      </w:r>
      <w:r w:rsidR="00BD2101" w:rsidRPr="00405951">
        <w:rPr>
          <w:szCs w:val="24"/>
          <w:lang w:val="fr-FR"/>
        </w:rPr>
        <w:t xml:space="preserve"> systèmes internationaux </w:t>
      </w:r>
      <w:r w:rsidR="00D06B68" w:rsidRPr="00405951">
        <w:rPr>
          <w:szCs w:val="24"/>
          <w:lang w:val="fr-FR"/>
        </w:rPr>
        <w:t xml:space="preserve">longue </w:t>
      </w:r>
      <w:r w:rsidR="00BD2101" w:rsidRPr="00405951">
        <w:rPr>
          <w:szCs w:val="24"/>
          <w:lang w:val="fr-FR"/>
        </w:rPr>
        <w:t>distance de</w:t>
      </w:r>
      <w:r w:rsidR="007628A8" w:rsidRPr="00405951">
        <w:rPr>
          <w:szCs w:val="24"/>
          <w:lang w:val="fr-FR"/>
        </w:rPr>
        <w:t xml:space="preserve"> </w:t>
      </w:r>
      <w:r w:rsidRPr="00405951">
        <w:rPr>
          <w:color w:val="000000"/>
          <w:lang w:val="fr-FR"/>
        </w:rPr>
        <w:t>câbles terrestres ou sous-marins à fibres optiques,</w:t>
      </w:r>
      <w:r w:rsidR="007628A8" w:rsidRPr="00405951">
        <w:rPr>
          <w:szCs w:val="24"/>
          <w:lang w:val="fr-FR"/>
        </w:rPr>
        <w:t xml:space="preserve"> </w:t>
      </w:r>
      <w:r w:rsidR="00D223D3" w:rsidRPr="00405951">
        <w:rPr>
          <w:szCs w:val="24"/>
          <w:lang w:val="fr-FR"/>
        </w:rPr>
        <w:t>en coopération avec des partenaires nationaux ou régionaux.</w:t>
      </w:r>
      <w:bookmarkStart w:id="26" w:name="lt_pId047"/>
      <w:bookmarkEnd w:id="25"/>
      <w:r w:rsidR="00D223D3" w:rsidRPr="00405951">
        <w:rPr>
          <w:szCs w:val="24"/>
          <w:lang w:val="fr-FR"/>
        </w:rPr>
        <w:t xml:space="preserve"> Des études relatives à l</w:t>
      </w:r>
      <w:r w:rsidR="007628A8" w:rsidRPr="00405951">
        <w:rPr>
          <w:szCs w:val="24"/>
          <w:lang w:val="fr-FR"/>
        </w:rPr>
        <w:t>'</w:t>
      </w:r>
      <w:r w:rsidR="00D223D3" w:rsidRPr="00405951">
        <w:rPr>
          <w:szCs w:val="24"/>
          <w:lang w:val="fr-FR"/>
        </w:rPr>
        <w:t>indépendance formelle des autorités de régulation ont été faites pour le Pérou, la Bolivie et</w:t>
      </w:r>
      <w:r w:rsidR="007628A8" w:rsidRPr="00405951">
        <w:rPr>
          <w:szCs w:val="24"/>
          <w:lang w:val="fr-FR"/>
        </w:rPr>
        <w:t xml:space="preserve"> </w:t>
      </w:r>
      <w:r w:rsidR="00953610" w:rsidRPr="00405951">
        <w:rPr>
          <w:szCs w:val="24"/>
          <w:lang w:val="fr-FR"/>
        </w:rPr>
        <w:t>Panama</w:t>
      </w:r>
      <w:r w:rsidR="007628A8" w:rsidRPr="00405951">
        <w:rPr>
          <w:szCs w:val="24"/>
          <w:lang w:val="fr-FR"/>
        </w:rPr>
        <w:t>.</w:t>
      </w:r>
      <w:r w:rsidR="00D223D3" w:rsidRPr="00405951">
        <w:rPr>
          <w:szCs w:val="24"/>
          <w:lang w:val="fr-FR"/>
        </w:rPr>
        <w:t xml:space="preserve"> Ces études seront publiées en 2017</w:t>
      </w:r>
      <w:bookmarkEnd w:id="26"/>
      <w:r w:rsidR="00FE2358" w:rsidRPr="00405951">
        <w:rPr>
          <w:szCs w:val="24"/>
          <w:lang w:val="fr-FR"/>
        </w:rPr>
        <w:t>.</w:t>
      </w:r>
    </w:p>
    <w:p w:rsidR="00953610" w:rsidRPr="00405951" w:rsidRDefault="00D223D3" w:rsidP="00D06B68">
      <w:pPr>
        <w:rPr>
          <w:szCs w:val="24"/>
          <w:lang w:val="fr-FR"/>
        </w:rPr>
      </w:pPr>
      <w:bookmarkStart w:id="27" w:name="lt_pId048"/>
      <w:r w:rsidRPr="00405951">
        <w:rPr>
          <w:szCs w:val="24"/>
          <w:lang w:val="fr-FR"/>
        </w:rPr>
        <w:t xml:space="preserve">Dans le cadre de la coopération avec les </w:t>
      </w:r>
      <w:r w:rsidR="00D06B68" w:rsidRPr="00405951">
        <w:rPr>
          <w:szCs w:val="24"/>
          <w:lang w:val="fr-FR"/>
        </w:rPr>
        <w:t>C</w:t>
      </w:r>
      <w:r w:rsidRPr="00405951">
        <w:rPr>
          <w:szCs w:val="24"/>
          <w:lang w:val="fr-FR"/>
        </w:rPr>
        <w:t>entres d</w:t>
      </w:r>
      <w:r w:rsidR="007628A8" w:rsidRPr="00405951">
        <w:rPr>
          <w:szCs w:val="24"/>
          <w:lang w:val="fr-FR"/>
        </w:rPr>
        <w:t>'</w:t>
      </w:r>
      <w:r w:rsidRPr="00405951">
        <w:rPr>
          <w:szCs w:val="24"/>
          <w:lang w:val="fr-FR"/>
        </w:rPr>
        <w:t>excellence de l</w:t>
      </w:r>
      <w:r w:rsidR="007628A8" w:rsidRPr="00405951">
        <w:rPr>
          <w:szCs w:val="24"/>
          <w:lang w:val="fr-FR"/>
        </w:rPr>
        <w:t>'</w:t>
      </w:r>
      <w:r w:rsidRPr="00405951">
        <w:rPr>
          <w:szCs w:val="24"/>
          <w:lang w:val="fr-FR"/>
        </w:rPr>
        <w:t>UIT dans la région Amériques, et</w:t>
      </w:r>
      <w:r w:rsidR="007628A8" w:rsidRPr="00405951">
        <w:rPr>
          <w:szCs w:val="24"/>
          <w:lang w:val="fr-FR"/>
        </w:rPr>
        <w:t xml:space="preserve"> </w:t>
      </w:r>
      <w:r w:rsidR="00D06B68" w:rsidRPr="00405951">
        <w:rPr>
          <w:color w:val="000000"/>
          <w:lang w:val="fr-FR"/>
        </w:rPr>
        <w:t>par l'intermédiaire de</w:t>
      </w:r>
      <w:r w:rsidRPr="00405951">
        <w:rPr>
          <w:color w:val="000000"/>
          <w:lang w:val="fr-FR"/>
        </w:rPr>
        <w:t xml:space="preserve"> la plate-forme de l'Académie de l'UIT</w:t>
      </w:r>
      <w:r w:rsidR="007628A8" w:rsidRPr="00405951">
        <w:rPr>
          <w:szCs w:val="24"/>
          <w:lang w:val="fr-FR"/>
        </w:rPr>
        <w:t>,</w:t>
      </w:r>
      <w:r w:rsidR="00953610" w:rsidRPr="00405951">
        <w:rPr>
          <w:szCs w:val="24"/>
          <w:lang w:val="fr-FR"/>
        </w:rPr>
        <w:t xml:space="preserve"> </w:t>
      </w:r>
      <w:r w:rsidRPr="00405951">
        <w:rPr>
          <w:color w:val="000000"/>
          <w:lang w:val="fr-FR"/>
        </w:rPr>
        <w:t>des cours de formation ont été dispensés en ligne</w:t>
      </w:r>
      <w:r w:rsidRPr="00405951">
        <w:rPr>
          <w:szCs w:val="24"/>
          <w:lang w:val="fr-FR"/>
        </w:rPr>
        <w:t xml:space="preserve"> dans les domaines suivants</w:t>
      </w:r>
      <w:r w:rsidR="007628A8" w:rsidRPr="00405951">
        <w:rPr>
          <w:szCs w:val="24"/>
          <w:lang w:val="fr-FR"/>
        </w:rPr>
        <w:t>:</w:t>
      </w:r>
      <w:r w:rsidRPr="00405951">
        <w:rPr>
          <w:szCs w:val="24"/>
          <w:lang w:val="fr-FR"/>
        </w:rPr>
        <w:t xml:space="preserve"> réseaux de communication modernes, gestion du spectre, applications et services TIC, systèmes à satellites et réseaux sans fil</w:t>
      </w:r>
      <w:r w:rsidR="007628A8" w:rsidRPr="00405951">
        <w:rPr>
          <w:szCs w:val="24"/>
          <w:lang w:val="fr-FR"/>
        </w:rPr>
        <w:t>.</w:t>
      </w:r>
      <w:bookmarkEnd w:id="27"/>
      <w:r w:rsidR="00953610" w:rsidRPr="00405951">
        <w:rPr>
          <w:szCs w:val="24"/>
          <w:lang w:val="fr-FR"/>
        </w:rPr>
        <w:t xml:space="preserve"> </w:t>
      </w:r>
      <w:bookmarkStart w:id="28" w:name="lt_pId049"/>
      <w:r w:rsidRPr="00405951">
        <w:rPr>
          <w:szCs w:val="24"/>
          <w:lang w:val="fr-FR"/>
        </w:rPr>
        <w:t>Des cours portant sur l</w:t>
      </w:r>
      <w:r w:rsidR="007628A8" w:rsidRPr="00405951">
        <w:rPr>
          <w:szCs w:val="24"/>
          <w:lang w:val="fr-FR"/>
        </w:rPr>
        <w:t>'</w:t>
      </w:r>
      <w:r w:rsidRPr="00405951">
        <w:rPr>
          <w:szCs w:val="24"/>
          <w:lang w:val="fr-FR"/>
        </w:rPr>
        <w:t>utilisation des TIC pour les outils de l</w:t>
      </w:r>
      <w:r w:rsidR="007628A8" w:rsidRPr="00405951">
        <w:rPr>
          <w:szCs w:val="24"/>
          <w:lang w:val="fr-FR"/>
        </w:rPr>
        <w:t>'</w:t>
      </w:r>
      <w:r w:rsidRPr="00405951">
        <w:rPr>
          <w:szCs w:val="24"/>
          <w:lang w:val="fr-FR"/>
        </w:rPr>
        <w:t>information et de la communication,</w:t>
      </w:r>
      <w:r w:rsidR="007628A8" w:rsidRPr="00405951">
        <w:rPr>
          <w:szCs w:val="24"/>
          <w:lang w:val="fr-FR"/>
        </w:rPr>
        <w:t xml:space="preserve"> </w:t>
      </w:r>
      <w:r w:rsidRPr="00405951">
        <w:rPr>
          <w:szCs w:val="24"/>
          <w:lang w:val="fr-FR"/>
        </w:rPr>
        <w:t>l</w:t>
      </w:r>
      <w:r w:rsidR="007628A8" w:rsidRPr="00405951">
        <w:rPr>
          <w:szCs w:val="24"/>
          <w:lang w:val="fr-FR"/>
        </w:rPr>
        <w:t>'</w:t>
      </w:r>
      <w:r w:rsidRPr="00405951">
        <w:rPr>
          <w:szCs w:val="24"/>
          <w:lang w:val="fr-FR"/>
        </w:rPr>
        <w:t>élaboration de contenus numériques,</w:t>
      </w:r>
      <w:r w:rsidR="007628A8" w:rsidRPr="00405951">
        <w:rPr>
          <w:szCs w:val="24"/>
          <w:lang w:val="fr-FR"/>
        </w:rPr>
        <w:t xml:space="preserve"> </w:t>
      </w:r>
      <w:r w:rsidRPr="00405951">
        <w:rPr>
          <w:szCs w:val="24"/>
          <w:lang w:val="fr-FR"/>
        </w:rPr>
        <w:t>la</w:t>
      </w:r>
      <w:r w:rsidR="00953610" w:rsidRPr="00405951">
        <w:rPr>
          <w:szCs w:val="24"/>
          <w:lang w:val="fr-FR"/>
        </w:rPr>
        <w:t xml:space="preserve"> </w:t>
      </w:r>
      <w:r w:rsidRPr="00405951">
        <w:rPr>
          <w:color w:val="000000"/>
          <w:lang w:val="fr-FR"/>
        </w:rPr>
        <w:t>formation virtuelle</w:t>
      </w:r>
      <w:r w:rsidR="007628A8" w:rsidRPr="00405951">
        <w:rPr>
          <w:color w:val="000000"/>
          <w:lang w:val="fr-FR"/>
        </w:rPr>
        <w:t xml:space="preserve"> </w:t>
      </w:r>
      <w:r w:rsidRPr="00405951">
        <w:rPr>
          <w:szCs w:val="24"/>
          <w:lang w:val="fr-FR"/>
        </w:rPr>
        <w:t xml:space="preserve">et le </w:t>
      </w:r>
      <w:r w:rsidRPr="00405951">
        <w:rPr>
          <w:color w:val="000000"/>
          <w:lang w:val="fr-FR"/>
        </w:rPr>
        <w:t>commerce électronique ont été dispensés par l</w:t>
      </w:r>
      <w:r w:rsidR="007628A8" w:rsidRPr="00405951">
        <w:rPr>
          <w:color w:val="000000"/>
          <w:lang w:val="fr-FR"/>
        </w:rPr>
        <w:t>'</w:t>
      </w:r>
      <w:r w:rsidRPr="00405951">
        <w:rPr>
          <w:color w:val="000000"/>
          <w:lang w:val="fr-FR"/>
        </w:rPr>
        <w:t>UIT et le</w:t>
      </w:r>
      <w:r w:rsidR="007628A8" w:rsidRPr="00405951">
        <w:rPr>
          <w:szCs w:val="24"/>
          <w:lang w:val="fr-FR"/>
        </w:rPr>
        <w:t xml:space="preserve"> </w:t>
      </w:r>
      <w:r w:rsidRPr="00405951">
        <w:rPr>
          <w:color w:val="000000"/>
          <w:lang w:val="fr-FR"/>
        </w:rPr>
        <w:t>Fonds pour le développement des peuples autochtones d'Amérique latine et des Caraïbes</w:t>
      </w:r>
      <w:r w:rsidR="007628A8" w:rsidRPr="00405951">
        <w:rPr>
          <w:color w:val="000000"/>
          <w:lang w:val="fr-FR"/>
        </w:rPr>
        <w:t xml:space="preserve"> </w:t>
      </w:r>
      <w:r w:rsidRPr="00405951">
        <w:rPr>
          <w:szCs w:val="24"/>
          <w:lang w:val="fr-FR"/>
        </w:rPr>
        <w:t xml:space="preserve">à </w:t>
      </w:r>
      <w:r w:rsidR="00953610" w:rsidRPr="00405951">
        <w:rPr>
          <w:szCs w:val="24"/>
          <w:lang w:val="fr-FR"/>
        </w:rPr>
        <w:t xml:space="preserve">221 </w:t>
      </w:r>
      <w:r w:rsidRPr="00405951">
        <w:rPr>
          <w:szCs w:val="24"/>
          <w:lang w:val="fr-FR"/>
        </w:rPr>
        <w:t>personnes autochtones.</w:t>
      </w:r>
      <w:bookmarkEnd w:id="28"/>
    </w:p>
    <w:p w:rsidR="00953610" w:rsidRPr="00405951" w:rsidRDefault="00D223D3" w:rsidP="00D06B68">
      <w:pPr>
        <w:rPr>
          <w:szCs w:val="24"/>
          <w:lang w:val="fr-FR"/>
        </w:rPr>
      </w:pPr>
      <w:bookmarkStart w:id="29" w:name="lt_pId050"/>
      <w:r w:rsidRPr="00405951">
        <w:rPr>
          <w:szCs w:val="24"/>
          <w:lang w:val="fr-FR"/>
        </w:rPr>
        <w:t xml:space="preserve">Du matériel didactique </w:t>
      </w:r>
      <w:r w:rsidR="00B019E8" w:rsidRPr="00405951">
        <w:rPr>
          <w:szCs w:val="24"/>
          <w:lang w:val="fr-FR"/>
        </w:rPr>
        <w:t xml:space="preserve">portant sur les </w:t>
      </w:r>
      <w:r w:rsidR="00F87FD3" w:rsidRPr="00405951">
        <w:rPr>
          <w:szCs w:val="24"/>
          <w:lang w:val="fr-FR"/>
        </w:rPr>
        <w:t>"</w:t>
      </w:r>
      <w:r w:rsidR="00D06B68" w:rsidRPr="00405951">
        <w:rPr>
          <w:szCs w:val="24"/>
          <w:lang w:val="fr-FR"/>
        </w:rPr>
        <w:t>A</w:t>
      </w:r>
      <w:r w:rsidR="00B019E8" w:rsidRPr="00405951">
        <w:rPr>
          <w:szCs w:val="24"/>
          <w:lang w:val="fr-FR"/>
        </w:rPr>
        <w:t>spects économiques du large bande</w:t>
      </w:r>
      <w:r w:rsidR="007628A8" w:rsidRPr="00405951">
        <w:rPr>
          <w:szCs w:val="24"/>
          <w:lang w:val="fr-FR"/>
        </w:rPr>
        <w:t xml:space="preserve"> </w:t>
      </w:r>
      <w:r w:rsidR="00FF1E84" w:rsidRPr="00405951">
        <w:rPr>
          <w:szCs w:val="24"/>
          <w:lang w:val="fr-FR"/>
        </w:rPr>
        <w:t xml:space="preserve">des </w:t>
      </w:r>
      <w:r w:rsidR="00FE2358" w:rsidRPr="00405951">
        <w:rPr>
          <w:szCs w:val="24"/>
          <w:lang w:val="fr-FR"/>
        </w:rPr>
        <w:t>TIC</w:t>
      </w:r>
      <w:r w:rsidR="00F87FD3" w:rsidRPr="00405951">
        <w:rPr>
          <w:szCs w:val="24"/>
          <w:lang w:val="fr-FR"/>
        </w:rPr>
        <w:t>"</w:t>
      </w:r>
      <w:r w:rsidR="00B019E8" w:rsidRPr="00405951">
        <w:rPr>
          <w:szCs w:val="24"/>
          <w:lang w:val="fr-FR"/>
        </w:rPr>
        <w:t xml:space="preserve"> et le </w:t>
      </w:r>
      <w:r w:rsidR="00F87FD3" w:rsidRPr="00405951">
        <w:rPr>
          <w:szCs w:val="24"/>
          <w:lang w:val="fr-FR"/>
        </w:rPr>
        <w:t>"</w:t>
      </w:r>
      <w:r w:rsidR="00D06B68" w:rsidRPr="00405951">
        <w:rPr>
          <w:szCs w:val="24"/>
          <w:lang w:val="fr-FR"/>
        </w:rPr>
        <w:t>D</w:t>
      </w:r>
      <w:r w:rsidR="00B019E8" w:rsidRPr="00405951">
        <w:rPr>
          <w:szCs w:val="24"/>
          <w:lang w:val="fr-FR"/>
        </w:rPr>
        <w:t>éploiement et l</w:t>
      </w:r>
      <w:r w:rsidR="007628A8" w:rsidRPr="00405951">
        <w:rPr>
          <w:szCs w:val="24"/>
          <w:lang w:val="fr-FR"/>
        </w:rPr>
        <w:t>'</w:t>
      </w:r>
      <w:r w:rsidR="00B019E8" w:rsidRPr="00405951">
        <w:rPr>
          <w:szCs w:val="24"/>
          <w:lang w:val="fr-FR"/>
        </w:rPr>
        <w:t>exploitation des réseaux TIC</w:t>
      </w:r>
      <w:r w:rsidR="00F87FD3" w:rsidRPr="00405951">
        <w:rPr>
          <w:szCs w:val="24"/>
          <w:lang w:val="fr-FR"/>
        </w:rPr>
        <w:t>"</w:t>
      </w:r>
      <w:r w:rsidR="00B019E8" w:rsidRPr="00405951">
        <w:rPr>
          <w:szCs w:val="24"/>
          <w:lang w:val="fr-FR"/>
        </w:rPr>
        <w:t>, qui sera fourni</w:t>
      </w:r>
      <w:r w:rsidR="007628A8" w:rsidRPr="00405951">
        <w:rPr>
          <w:szCs w:val="24"/>
          <w:lang w:val="fr-FR"/>
        </w:rPr>
        <w:t xml:space="preserve"> </w:t>
      </w:r>
      <w:r w:rsidR="00B019E8" w:rsidRPr="00405951">
        <w:rPr>
          <w:szCs w:val="24"/>
          <w:lang w:val="fr-FR"/>
        </w:rPr>
        <w:t xml:space="preserve">par </w:t>
      </w:r>
      <w:r w:rsidR="00B019E8" w:rsidRPr="00405951">
        <w:rPr>
          <w:color w:val="000000"/>
          <w:lang w:val="fr-FR"/>
        </w:rPr>
        <w:t>la CEABAD, un</w:t>
      </w:r>
      <w:r w:rsidR="007628A8" w:rsidRPr="00405951">
        <w:rPr>
          <w:color w:val="000000"/>
          <w:lang w:val="fr-FR"/>
        </w:rPr>
        <w:t xml:space="preserve"> </w:t>
      </w:r>
      <w:r w:rsidR="00B019E8" w:rsidRPr="00405951">
        <w:rPr>
          <w:color w:val="000000"/>
          <w:lang w:val="fr-FR"/>
        </w:rPr>
        <w:t>centre de formation mis</w:t>
      </w:r>
      <w:r w:rsidR="007628A8" w:rsidRPr="00405951">
        <w:rPr>
          <w:color w:val="000000"/>
          <w:lang w:val="fr-FR"/>
        </w:rPr>
        <w:t xml:space="preserve"> </w:t>
      </w:r>
      <w:r w:rsidR="00B019E8" w:rsidRPr="00405951">
        <w:rPr>
          <w:color w:val="000000"/>
          <w:lang w:val="fr-FR"/>
        </w:rPr>
        <w:t xml:space="preserve">en place par la </w:t>
      </w:r>
      <w:r w:rsidR="00D06B68" w:rsidRPr="00405951">
        <w:rPr>
          <w:color w:val="000000"/>
          <w:lang w:val="fr-FR"/>
        </w:rPr>
        <w:t>Banque interaméricaine de développement</w:t>
      </w:r>
      <w:r w:rsidR="00B019E8" w:rsidRPr="00405951">
        <w:rPr>
          <w:color w:val="000000"/>
          <w:lang w:val="fr-FR"/>
        </w:rPr>
        <w:t xml:space="preserve"> </w:t>
      </w:r>
      <w:r w:rsidR="00D06B68" w:rsidRPr="00405951">
        <w:rPr>
          <w:color w:val="000000"/>
          <w:lang w:val="fr-FR"/>
        </w:rPr>
        <w:t xml:space="preserve">(BID) </w:t>
      </w:r>
      <w:r w:rsidR="00B019E8" w:rsidRPr="00405951">
        <w:rPr>
          <w:color w:val="000000"/>
          <w:lang w:val="fr-FR"/>
        </w:rPr>
        <w:t>au Nicaragua</w:t>
      </w:r>
      <w:bookmarkEnd w:id="29"/>
      <w:r w:rsidR="00B019E8" w:rsidRPr="00405951">
        <w:rPr>
          <w:color w:val="000000"/>
          <w:lang w:val="fr-FR"/>
        </w:rPr>
        <w:t>,</w:t>
      </w:r>
      <w:r w:rsidR="00B019E8" w:rsidRPr="00405951">
        <w:rPr>
          <w:szCs w:val="24"/>
          <w:lang w:val="fr-FR"/>
        </w:rPr>
        <w:t xml:space="preserve"> a été élaboré en coopération avec la</w:t>
      </w:r>
      <w:r w:rsidR="00B019E8" w:rsidRPr="00405951">
        <w:rPr>
          <w:color w:val="000000"/>
          <w:lang w:val="fr-FR"/>
        </w:rPr>
        <w:t xml:space="preserve"> BID</w:t>
      </w:r>
      <w:r w:rsidR="00FE2358" w:rsidRPr="00405951">
        <w:rPr>
          <w:szCs w:val="24"/>
          <w:lang w:val="fr-FR"/>
        </w:rPr>
        <w:t>.</w:t>
      </w:r>
    </w:p>
    <w:p w:rsidR="00953610" w:rsidRPr="00405951" w:rsidRDefault="00FF1E84" w:rsidP="007628A8">
      <w:pPr>
        <w:rPr>
          <w:rFonts w:eastAsiaTheme="minorEastAsia" w:cstheme="minorBidi"/>
          <w:szCs w:val="24"/>
          <w:lang w:val="fr-FR"/>
        </w:rPr>
      </w:pPr>
      <w:bookmarkStart w:id="30" w:name="lt_pId051"/>
      <w:r w:rsidRPr="00405951">
        <w:rPr>
          <w:szCs w:val="24"/>
          <w:lang w:val="fr-FR"/>
        </w:rPr>
        <w:t>Plusieurs forums et ateliers ont été organisés en partenariat avec des admini</w:t>
      </w:r>
      <w:r w:rsidR="00FE2358" w:rsidRPr="00405951">
        <w:rPr>
          <w:szCs w:val="24"/>
          <w:lang w:val="fr-FR"/>
        </w:rPr>
        <w:t>strations (Brésil, Costa Rica, E</w:t>
      </w:r>
      <w:r w:rsidRPr="00405951">
        <w:rPr>
          <w:szCs w:val="24"/>
          <w:lang w:val="fr-FR"/>
        </w:rPr>
        <w:t>quateur, El Salvado</w:t>
      </w:r>
      <w:r w:rsidR="00D06B68" w:rsidRPr="00405951">
        <w:rPr>
          <w:szCs w:val="24"/>
          <w:lang w:val="fr-FR"/>
        </w:rPr>
        <w:t>r, Honduras, Mexique, Paraguay)</w:t>
      </w:r>
      <w:r w:rsidRPr="00405951">
        <w:rPr>
          <w:szCs w:val="24"/>
          <w:lang w:val="fr-FR"/>
        </w:rPr>
        <w:t xml:space="preserve"> ainsi qu</w:t>
      </w:r>
      <w:r w:rsidR="007628A8" w:rsidRPr="00405951">
        <w:rPr>
          <w:szCs w:val="24"/>
          <w:lang w:val="fr-FR"/>
        </w:rPr>
        <w:t>'</w:t>
      </w:r>
      <w:r w:rsidRPr="00405951">
        <w:rPr>
          <w:szCs w:val="24"/>
          <w:lang w:val="fr-FR"/>
        </w:rPr>
        <w:t>avec des organisations internationales, régionales et s</w:t>
      </w:r>
      <w:r w:rsidR="00D06B68" w:rsidRPr="00405951">
        <w:rPr>
          <w:szCs w:val="24"/>
          <w:lang w:val="fr-FR"/>
        </w:rPr>
        <w:t>ous-</w:t>
      </w:r>
      <w:r w:rsidRPr="00405951">
        <w:rPr>
          <w:szCs w:val="24"/>
          <w:lang w:val="fr-FR"/>
        </w:rPr>
        <w:t>régionales</w:t>
      </w:r>
      <w:r w:rsidR="007628A8" w:rsidRPr="00405951">
        <w:rPr>
          <w:szCs w:val="24"/>
          <w:lang w:val="fr-FR"/>
        </w:rPr>
        <w:t xml:space="preserve"> </w:t>
      </w:r>
      <w:r w:rsidR="00953610" w:rsidRPr="00405951">
        <w:rPr>
          <w:szCs w:val="24"/>
          <w:lang w:val="fr-FR"/>
        </w:rPr>
        <w:t>(ASIET, CITEL, CTU, COMTELCA, LACNIC,</w:t>
      </w:r>
      <w:r w:rsidRPr="00405951">
        <w:rPr>
          <w:color w:val="000000"/>
          <w:lang w:val="fr-FR"/>
        </w:rPr>
        <w:t xml:space="preserve"> OEA par exemple</w:t>
      </w:r>
      <w:r w:rsidR="00953610" w:rsidRPr="00405951">
        <w:rPr>
          <w:szCs w:val="24"/>
          <w:lang w:val="fr-FR"/>
        </w:rPr>
        <w:t>).</w:t>
      </w:r>
      <w:bookmarkEnd w:id="30"/>
    </w:p>
    <w:p w:rsidR="00953610" w:rsidRPr="00405951" w:rsidRDefault="00953610" w:rsidP="007628A8">
      <w:pPr>
        <w:pStyle w:val="Heading2"/>
        <w:rPr>
          <w:lang w:val="fr-FR"/>
        </w:rPr>
      </w:pPr>
      <w:r w:rsidRPr="00405951">
        <w:rPr>
          <w:lang w:val="fr-FR"/>
        </w:rPr>
        <w:lastRenderedPageBreak/>
        <w:t>2.3</w:t>
      </w:r>
      <w:r w:rsidRPr="00405951">
        <w:rPr>
          <w:lang w:val="fr-FR"/>
        </w:rPr>
        <w:tab/>
        <w:t>Etats arabes</w:t>
      </w:r>
    </w:p>
    <w:p w:rsidR="00953610" w:rsidRPr="00405951" w:rsidRDefault="00953610" w:rsidP="00541F4D">
      <w:pPr>
        <w:rPr>
          <w:rFonts w:eastAsia="DejaVuSans" w:cs="DejaVuSans"/>
          <w:szCs w:val="24"/>
          <w:lang w:val="fr-FR" w:eastAsia="zh-CN"/>
        </w:rPr>
      </w:pPr>
      <w:r w:rsidRPr="00405951">
        <w:rPr>
          <w:lang w:val="fr-FR"/>
        </w:rPr>
        <w:t xml:space="preserve">Divers ateliers, forums et réunions d'experts (par exemple sur les partenariats public-privé </w:t>
      </w:r>
      <w:r w:rsidR="00602326">
        <w:rPr>
          <w:lang w:val="fr-FR"/>
        </w:rPr>
        <w:t xml:space="preserve">(PPP) </w:t>
      </w:r>
      <w:r w:rsidRPr="00405951">
        <w:rPr>
          <w:lang w:val="fr-FR"/>
        </w:rPr>
        <w:t xml:space="preserve">et les applications ICT4D, la mise en place d'un environnement favorable au développement d'applications TIC, les services </w:t>
      </w:r>
      <w:r w:rsidR="00303500" w:rsidRPr="00405951">
        <w:rPr>
          <w:lang w:val="fr-FR"/>
        </w:rPr>
        <w:t>over-the-top (</w:t>
      </w:r>
      <w:r w:rsidRPr="00405951">
        <w:rPr>
          <w:lang w:val="fr-FR"/>
        </w:rPr>
        <w:t>OTT</w:t>
      </w:r>
      <w:r w:rsidR="00303500" w:rsidRPr="00405951">
        <w:rPr>
          <w:lang w:val="fr-FR"/>
        </w:rPr>
        <w:t>)</w:t>
      </w:r>
      <w:r w:rsidR="007628A8" w:rsidRPr="00405951">
        <w:rPr>
          <w:lang w:val="fr-FR"/>
        </w:rPr>
        <w:t>,</w:t>
      </w:r>
      <w:r w:rsidRPr="00405951">
        <w:rPr>
          <w:lang w:val="fr-FR"/>
        </w:rPr>
        <w:t xml:space="preserve"> la protection en ligne des enfants,</w:t>
      </w:r>
      <w:r w:rsidR="007628A8" w:rsidRPr="00405951">
        <w:rPr>
          <w:lang w:val="fr-FR"/>
        </w:rPr>
        <w:t xml:space="preserve"> </w:t>
      </w:r>
      <w:r w:rsidRPr="00405951">
        <w:rPr>
          <w:lang w:val="fr-FR"/>
        </w:rPr>
        <w:t>la conformité et l'interopérabilité, l'informatique en nuage,</w:t>
      </w:r>
      <w:r w:rsidR="00E22B43" w:rsidRPr="00405951">
        <w:rPr>
          <w:lang w:val="fr-FR"/>
        </w:rPr>
        <w:t xml:space="preserve"> l</w:t>
      </w:r>
      <w:r w:rsidR="007628A8" w:rsidRPr="00405951">
        <w:rPr>
          <w:lang w:val="fr-FR"/>
        </w:rPr>
        <w:t>'</w:t>
      </w:r>
      <w:r w:rsidR="00E22B43" w:rsidRPr="00405951">
        <w:rPr>
          <w:lang w:val="fr-FR"/>
        </w:rPr>
        <w:t>apprentissage intelligent, le développement intelligent et durable, l</w:t>
      </w:r>
      <w:r w:rsidR="007628A8" w:rsidRPr="00405951">
        <w:rPr>
          <w:lang w:val="fr-FR"/>
        </w:rPr>
        <w:t>'</w:t>
      </w:r>
      <w:r w:rsidR="00E22B43" w:rsidRPr="00405951">
        <w:rPr>
          <w:lang w:val="fr-FR"/>
        </w:rPr>
        <w:t>accessibilité des TIC, les nouvelles technologies au service du développement, les microstations (VSAT) et les systèmes à satellites, le protocole IPv6,</w:t>
      </w:r>
      <w:r w:rsidR="007628A8" w:rsidRPr="00405951">
        <w:rPr>
          <w:lang w:val="fr-FR"/>
        </w:rPr>
        <w:t xml:space="preserve"> </w:t>
      </w:r>
      <w:r w:rsidR="00303500" w:rsidRPr="00405951">
        <w:rPr>
          <w:lang w:val="fr-FR"/>
        </w:rPr>
        <w:t>etc.) ont été organisés par le b</w:t>
      </w:r>
      <w:r w:rsidRPr="00405951">
        <w:rPr>
          <w:lang w:val="fr-FR"/>
        </w:rPr>
        <w:t xml:space="preserve">ureau régional de l'UIT pour les Etats arabes, </w:t>
      </w:r>
      <w:r w:rsidR="00E22B43" w:rsidRPr="00405951">
        <w:rPr>
          <w:lang w:val="fr-FR"/>
        </w:rPr>
        <w:t>en</w:t>
      </w:r>
      <w:r w:rsidRPr="00405951">
        <w:rPr>
          <w:lang w:val="fr-FR"/>
        </w:rPr>
        <w:t xml:space="preserve"> coopération </w:t>
      </w:r>
      <w:r w:rsidR="00E22B43" w:rsidRPr="00405951">
        <w:rPr>
          <w:lang w:val="fr-FR"/>
        </w:rPr>
        <w:t>avec</w:t>
      </w:r>
      <w:r w:rsidR="007628A8" w:rsidRPr="00405951">
        <w:rPr>
          <w:lang w:val="fr-FR"/>
        </w:rPr>
        <w:t xml:space="preserve"> </w:t>
      </w:r>
      <w:r w:rsidRPr="00405951">
        <w:rPr>
          <w:lang w:val="fr-FR"/>
        </w:rPr>
        <w:t>diverses parties prenantes</w:t>
      </w:r>
      <w:r w:rsidR="00E22B43" w:rsidRPr="00405951">
        <w:rPr>
          <w:lang w:val="fr-FR"/>
        </w:rPr>
        <w:t xml:space="preserve"> (</w:t>
      </w:r>
      <w:r w:rsidR="00303500" w:rsidRPr="00405951">
        <w:rPr>
          <w:lang w:val="fr-FR"/>
        </w:rPr>
        <w:t>B</w:t>
      </w:r>
      <w:r w:rsidR="00E22B43" w:rsidRPr="00405951">
        <w:rPr>
          <w:lang w:val="fr-FR"/>
        </w:rPr>
        <w:t>anque mondiale,</w:t>
      </w:r>
      <w:r w:rsidR="009F6FC7" w:rsidRPr="00405951">
        <w:rPr>
          <w:lang w:val="fr-FR"/>
        </w:rPr>
        <w:t xml:space="preserve"> </w:t>
      </w:r>
      <w:r w:rsidR="00E22B43" w:rsidRPr="00405951">
        <w:rPr>
          <w:lang w:val="fr-FR"/>
        </w:rPr>
        <w:t>ITSO</w:t>
      </w:r>
      <w:r w:rsidR="007628A8" w:rsidRPr="00405951">
        <w:rPr>
          <w:lang w:val="fr-FR"/>
        </w:rPr>
        <w:t xml:space="preserve">, </w:t>
      </w:r>
      <w:r w:rsidRPr="00405951">
        <w:rPr>
          <w:lang w:val="fr-FR"/>
        </w:rPr>
        <w:t>CESAO, le Réseau arabe de technopôles et d'incubateurs (ARTECNET), le</w:t>
      </w:r>
      <w:r w:rsidRPr="00405951">
        <w:rPr>
          <w:rFonts w:eastAsia="DejaVuSans" w:cs="DejaVuSans"/>
          <w:szCs w:val="24"/>
          <w:lang w:val="fr-FR" w:eastAsia="zh-CN"/>
        </w:rPr>
        <w:t xml:space="preserve"> Réseau arabe des régulateurs des télécommunications et des technologies de l'information (AREGNET), le Centre arabe régional pour la cybersécurité (ARCC), l'Autorité de régulation des télécommunications des Emirats arabes unis, l</w:t>
      </w:r>
      <w:r w:rsidR="00E22B43" w:rsidRPr="00405951">
        <w:rPr>
          <w:rFonts w:eastAsia="DejaVuSans" w:cs="DejaVuSans"/>
          <w:szCs w:val="24"/>
          <w:lang w:val="fr-FR" w:eastAsia="zh-CN"/>
        </w:rPr>
        <w:t>a</w:t>
      </w:r>
      <w:r w:rsidR="00E22B43" w:rsidRPr="00405951">
        <w:rPr>
          <w:color w:val="000000"/>
          <w:lang w:val="fr-FR"/>
        </w:rPr>
        <w:t xml:space="preserve"> NTC du Soudan</w:t>
      </w:r>
      <w:r w:rsidR="007628A8" w:rsidRPr="00405951">
        <w:rPr>
          <w:rFonts w:eastAsia="DejaVuSans" w:cs="DejaVuSans"/>
          <w:szCs w:val="24"/>
          <w:lang w:val="fr-FR" w:eastAsia="zh-CN"/>
        </w:rPr>
        <w:t>,</w:t>
      </w:r>
      <w:r w:rsidRPr="00405951">
        <w:rPr>
          <w:rFonts w:eastAsia="DejaVuSans" w:cs="DejaVuSans"/>
          <w:szCs w:val="24"/>
          <w:lang w:val="fr-FR" w:eastAsia="zh-CN"/>
        </w:rPr>
        <w:t xml:space="preserve"> </w:t>
      </w:r>
      <w:r w:rsidR="00303500" w:rsidRPr="00405951">
        <w:rPr>
          <w:rFonts w:eastAsia="DejaVuSans" w:cs="DejaVuSans"/>
          <w:szCs w:val="24"/>
          <w:lang w:val="fr-FR" w:eastAsia="zh-CN"/>
        </w:rPr>
        <w:t xml:space="preserve">SUDACAD-Soudan, </w:t>
      </w:r>
      <w:r w:rsidR="00E22B43" w:rsidRPr="00405951">
        <w:rPr>
          <w:rFonts w:eastAsia="DejaVuSans" w:cs="DejaVuSans"/>
          <w:szCs w:val="24"/>
          <w:lang w:val="fr-FR" w:eastAsia="zh-CN"/>
        </w:rPr>
        <w:t>le Ministère des communications et de l</w:t>
      </w:r>
      <w:r w:rsidR="007628A8" w:rsidRPr="00405951">
        <w:rPr>
          <w:rFonts w:eastAsia="DejaVuSans" w:cs="DejaVuSans"/>
          <w:szCs w:val="24"/>
          <w:lang w:val="fr-FR" w:eastAsia="zh-CN"/>
        </w:rPr>
        <w:t>'</w:t>
      </w:r>
      <w:r w:rsidR="00E22B43" w:rsidRPr="00405951">
        <w:rPr>
          <w:rFonts w:eastAsia="DejaVuSans" w:cs="DejaVuSans"/>
          <w:szCs w:val="24"/>
          <w:lang w:val="fr-FR" w:eastAsia="zh-CN"/>
        </w:rPr>
        <w:t>information de l</w:t>
      </w:r>
      <w:r w:rsidR="007628A8" w:rsidRPr="00405951">
        <w:rPr>
          <w:rFonts w:eastAsia="DejaVuSans" w:cs="DejaVuSans"/>
          <w:szCs w:val="24"/>
          <w:lang w:val="fr-FR" w:eastAsia="zh-CN"/>
        </w:rPr>
        <w:t>'</w:t>
      </w:r>
      <w:r w:rsidR="00303500" w:rsidRPr="00405951">
        <w:rPr>
          <w:rFonts w:eastAsia="DejaVuSans" w:cs="DejaVuSans"/>
          <w:szCs w:val="24"/>
          <w:lang w:val="fr-FR" w:eastAsia="zh-CN"/>
        </w:rPr>
        <w:t>E</w:t>
      </w:r>
      <w:r w:rsidR="00E22B43" w:rsidRPr="00405951">
        <w:rPr>
          <w:rFonts w:eastAsia="DejaVuSans" w:cs="DejaVuSans"/>
          <w:szCs w:val="24"/>
          <w:lang w:val="fr-FR" w:eastAsia="zh-CN"/>
        </w:rPr>
        <w:t xml:space="preserve">gypte, </w:t>
      </w:r>
      <w:r w:rsidRPr="00405951">
        <w:rPr>
          <w:rFonts w:eastAsia="DejaVuSans" w:cs="DejaVuSans"/>
          <w:szCs w:val="24"/>
          <w:lang w:val="fr-FR" w:eastAsia="zh-CN"/>
        </w:rPr>
        <w:t xml:space="preserve">l'Union du Maghreb arabe (UMA), l'ALECSO, </w:t>
      </w:r>
      <w:r w:rsidR="00303500" w:rsidRPr="00405951">
        <w:rPr>
          <w:rFonts w:eastAsia="DejaVuSans" w:cs="DejaVuSans"/>
          <w:szCs w:val="24"/>
          <w:lang w:val="fr-FR" w:eastAsia="zh-CN"/>
        </w:rPr>
        <w:t xml:space="preserve">l'UNESCO, </w:t>
      </w:r>
      <w:r w:rsidRPr="00405951">
        <w:rPr>
          <w:rFonts w:eastAsia="DejaVuSans" w:cs="DejaVuSans"/>
          <w:szCs w:val="24"/>
          <w:lang w:val="fr-FR" w:eastAsia="zh-CN"/>
        </w:rPr>
        <w:t>des universités de Tunis</w:t>
      </w:r>
      <w:r w:rsidR="00517247" w:rsidRPr="00405951">
        <w:rPr>
          <w:color w:val="000000"/>
          <w:lang w:val="fr-FR"/>
        </w:rPr>
        <w:t xml:space="preserve"> et le programme d'apprentissage intelligent Mohamed Bin Rashid</w:t>
      </w:r>
      <w:r w:rsidR="00C62DEB">
        <w:rPr>
          <w:color w:val="000000"/>
          <w:lang w:val="fr-FR"/>
        </w:rPr>
        <w:t>,</w:t>
      </w:r>
      <w:r w:rsidR="00517247" w:rsidRPr="00405951">
        <w:rPr>
          <w:rFonts w:eastAsia="DejaVuSans" w:cs="DejaVuSans"/>
          <w:szCs w:val="24"/>
          <w:lang w:val="fr-FR" w:eastAsia="zh-CN"/>
        </w:rPr>
        <w:t xml:space="preserve"> </w:t>
      </w:r>
      <w:r w:rsidR="00541F4D">
        <w:rPr>
          <w:rFonts w:eastAsia="DejaVuSans" w:cs="DejaVuSans"/>
          <w:szCs w:val="24"/>
          <w:lang w:val="fr-FR" w:eastAsia="zh-CN"/>
        </w:rPr>
        <w:t>e</w:t>
      </w:r>
      <w:r w:rsidRPr="00405951">
        <w:rPr>
          <w:rFonts w:eastAsia="DejaVuSans" w:cs="DejaVuSans"/>
          <w:szCs w:val="24"/>
          <w:lang w:val="fr-FR" w:eastAsia="zh-CN"/>
        </w:rPr>
        <w:t>tc.</w:t>
      </w:r>
      <w:r w:rsidR="00541F4D">
        <w:rPr>
          <w:rFonts w:eastAsia="DejaVuSans" w:cs="DejaVuSans"/>
          <w:szCs w:val="24"/>
          <w:lang w:val="fr-FR" w:eastAsia="zh-CN"/>
        </w:rPr>
        <w:t>).</w:t>
      </w:r>
    </w:p>
    <w:p w:rsidR="00953610" w:rsidRPr="00405951" w:rsidRDefault="00517247" w:rsidP="00A228D1">
      <w:pPr>
        <w:rPr>
          <w:lang w:val="fr-FR"/>
        </w:rPr>
      </w:pPr>
      <w:bookmarkStart w:id="31" w:name="lt_pId054"/>
      <w:r w:rsidRPr="00405951">
        <w:rPr>
          <w:lang w:val="fr-FR"/>
        </w:rPr>
        <w:t>En outre, depuis 2013, le bureau régional de</w:t>
      </w:r>
      <w:r w:rsidR="00A228D1" w:rsidRPr="00405951">
        <w:rPr>
          <w:lang w:val="fr-FR"/>
        </w:rPr>
        <w:t xml:space="preserve"> l'UIT pour les</w:t>
      </w:r>
      <w:r w:rsidRPr="00405951">
        <w:rPr>
          <w:lang w:val="fr-FR"/>
        </w:rPr>
        <w:t xml:space="preserve"> </w:t>
      </w:r>
      <w:r w:rsidR="00A228D1" w:rsidRPr="00405951">
        <w:rPr>
          <w:lang w:val="fr-FR"/>
        </w:rPr>
        <w:t>E</w:t>
      </w:r>
      <w:r w:rsidRPr="00405951">
        <w:rPr>
          <w:lang w:val="fr-FR"/>
        </w:rPr>
        <w:t>tats arabes organise, en partenariat avec</w:t>
      </w:r>
      <w:r w:rsidR="007628A8" w:rsidRPr="00405951">
        <w:rPr>
          <w:lang w:val="fr-FR"/>
        </w:rPr>
        <w:t xml:space="preserve"> </w:t>
      </w:r>
      <w:r w:rsidRPr="00405951">
        <w:rPr>
          <w:color w:val="000000"/>
          <w:lang w:val="fr-FR"/>
        </w:rPr>
        <w:t>le Centre régional de cybersécurité de l'UIT pour la région des Etats arabes (UIT-ARCC),</w:t>
      </w:r>
      <w:r w:rsidR="007628A8" w:rsidRPr="00405951">
        <w:rPr>
          <w:color w:val="000000"/>
          <w:lang w:val="fr-FR"/>
        </w:rPr>
        <w:t xml:space="preserve"> </w:t>
      </w:r>
      <w:r w:rsidRPr="00405951">
        <w:rPr>
          <w:lang w:val="fr-FR"/>
        </w:rPr>
        <w:t>deux manifestations annuelles im</w:t>
      </w:r>
      <w:r w:rsidR="00A228D1" w:rsidRPr="00405951">
        <w:rPr>
          <w:lang w:val="fr-FR"/>
        </w:rPr>
        <w:t>portantes consacrées à la cyber</w:t>
      </w:r>
      <w:r w:rsidRPr="00405951">
        <w:rPr>
          <w:lang w:val="fr-FR"/>
        </w:rPr>
        <w:t xml:space="preserve">sécurité (Sommet régional sur la </w:t>
      </w:r>
      <w:r w:rsidR="00A228D1" w:rsidRPr="00405951">
        <w:rPr>
          <w:lang w:val="fr-FR"/>
        </w:rPr>
        <w:t>cyber</w:t>
      </w:r>
      <w:r w:rsidR="003C58EA" w:rsidRPr="00405951">
        <w:rPr>
          <w:lang w:val="fr-FR"/>
        </w:rPr>
        <w:t xml:space="preserve">sécurité </w:t>
      </w:r>
      <w:r w:rsidRPr="00405951">
        <w:rPr>
          <w:lang w:val="fr-FR"/>
        </w:rPr>
        <w:t>et cyber</w:t>
      </w:r>
      <w:r w:rsidR="00A228D1" w:rsidRPr="00405951">
        <w:rPr>
          <w:lang w:val="fr-FR"/>
        </w:rPr>
        <w:t>exercice régional sur la cyber</w:t>
      </w:r>
      <w:r w:rsidRPr="00405951">
        <w:rPr>
          <w:lang w:val="fr-FR"/>
        </w:rPr>
        <w:t>sécurité).</w:t>
      </w:r>
      <w:bookmarkEnd w:id="31"/>
      <w:r w:rsidR="007628A8" w:rsidRPr="00405951">
        <w:rPr>
          <w:lang w:val="fr-FR"/>
        </w:rPr>
        <w:t xml:space="preserve"> </w:t>
      </w:r>
    </w:p>
    <w:p w:rsidR="00953610" w:rsidRPr="00405951" w:rsidRDefault="003C58EA" w:rsidP="00A228D1">
      <w:pPr>
        <w:rPr>
          <w:szCs w:val="24"/>
          <w:lang w:val="fr-FR" w:eastAsia="zh-CN"/>
        </w:rPr>
      </w:pPr>
      <w:bookmarkStart w:id="32" w:name="lt_pId055"/>
      <w:r w:rsidRPr="00405951">
        <w:rPr>
          <w:rFonts w:eastAsiaTheme="minorEastAsia" w:cstheme="minorBidi"/>
          <w:szCs w:val="24"/>
          <w:lang w:val="fr-FR"/>
        </w:rPr>
        <w:t>En 2016, l</w:t>
      </w:r>
      <w:r w:rsidR="007628A8" w:rsidRPr="00405951">
        <w:rPr>
          <w:rFonts w:eastAsiaTheme="minorEastAsia" w:cstheme="minorBidi"/>
          <w:szCs w:val="24"/>
          <w:lang w:val="fr-FR"/>
        </w:rPr>
        <w:t>'</w:t>
      </w:r>
      <w:r w:rsidRPr="00405951">
        <w:rPr>
          <w:rFonts w:eastAsiaTheme="minorEastAsia" w:cstheme="minorBidi"/>
          <w:szCs w:val="24"/>
          <w:lang w:val="fr-FR"/>
        </w:rPr>
        <w:t>UIT a signé deux accords de coopération avec</w:t>
      </w:r>
      <w:r w:rsidR="007628A8" w:rsidRPr="00405951">
        <w:rPr>
          <w:rFonts w:eastAsiaTheme="minorEastAsia" w:cstheme="minorBidi"/>
          <w:szCs w:val="24"/>
          <w:lang w:val="fr-FR"/>
        </w:rPr>
        <w:t xml:space="preserve"> </w:t>
      </w:r>
      <w:r w:rsidRPr="00405951">
        <w:rPr>
          <w:lang w:val="fr-FR"/>
        </w:rPr>
        <w:t>le Ministère égyptien des communications et des technologies de l'information</w:t>
      </w:r>
      <w:r w:rsidR="00A228D1" w:rsidRPr="00405951">
        <w:rPr>
          <w:lang w:val="fr-FR"/>
        </w:rPr>
        <w:t>:</w:t>
      </w:r>
      <w:r w:rsidRPr="00405951">
        <w:rPr>
          <w:lang w:val="fr-FR"/>
        </w:rPr>
        <w:t xml:space="preserve"> </w:t>
      </w:r>
      <w:r w:rsidR="00A228D1" w:rsidRPr="00405951">
        <w:rPr>
          <w:lang w:val="fr-FR"/>
        </w:rPr>
        <w:t>l</w:t>
      </w:r>
      <w:r w:rsidRPr="00405951">
        <w:rPr>
          <w:lang w:val="fr-FR"/>
        </w:rPr>
        <w:t>e premier de ces accords vise à établir un centre régional pour l</w:t>
      </w:r>
      <w:r w:rsidR="007628A8" w:rsidRPr="00405951">
        <w:rPr>
          <w:lang w:val="fr-FR"/>
        </w:rPr>
        <w:t>'</w:t>
      </w:r>
      <w:r w:rsidRPr="00405951">
        <w:rPr>
          <w:lang w:val="fr-FR"/>
        </w:rPr>
        <w:t xml:space="preserve">accessibilité des TIC aux personnes handicapées, tandis que le second porte sur la mise en </w:t>
      </w:r>
      <w:r w:rsidR="00F87FD3" w:rsidRPr="00405951">
        <w:rPr>
          <w:lang w:val="fr-FR"/>
        </w:rPr>
        <w:t>oe</w:t>
      </w:r>
      <w:r w:rsidRPr="00405951">
        <w:rPr>
          <w:lang w:val="fr-FR"/>
        </w:rPr>
        <w:t>uvre d</w:t>
      </w:r>
      <w:r w:rsidR="007628A8" w:rsidRPr="00405951">
        <w:rPr>
          <w:lang w:val="fr-FR"/>
        </w:rPr>
        <w:t>'</w:t>
      </w:r>
      <w:r w:rsidRPr="00405951">
        <w:rPr>
          <w:lang w:val="fr-FR"/>
        </w:rPr>
        <w:t xml:space="preserve">un projet relatif à la gestion intelligente des nappes phréatiques en </w:t>
      </w:r>
      <w:r w:rsidR="00303500" w:rsidRPr="00405951">
        <w:rPr>
          <w:lang w:val="fr-FR"/>
        </w:rPr>
        <w:t>E</w:t>
      </w:r>
      <w:r w:rsidRPr="00405951">
        <w:rPr>
          <w:lang w:val="fr-FR"/>
        </w:rPr>
        <w:t>gypte.</w:t>
      </w:r>
      <w:bookmarkStart w:id="33" w:name="lt_pId056"/>
      <w:bookmarkEnd w:id="32"/>
      <w:r w:rsidRPr="00405951">
        <w:rPr>
          <w:lang w:val="fr-FR"/>
        </w:rPr>
        <w:t xml:space="preserve"> De plus, un accord de coopération a été signé avec</w:t>
      </w:r>
      <w:r w:rsidR="007628A8" w:rsidRPr="00405951">
        <w:rPr>
          <w:lang w:val="fr-FR"/>
        </w:rPr>
        <w:t xml:space="preserve"> </w:t>
      </w:r>
      <w:r w:rsidRPr="00405951">
        <w:rPr>
          <w:lang w:val="fr-FR"/>
        </w:rPr>
        <w:t xml:space="preserve">le </w:t>
      </w:r>
      <w:r w:rsidR="00A228D1" w:rsidRPr="00405951">
        <w:rPr>
          <w:lang w:val="fr-FR"/>
        </w:rPr>
        <w:t>P</w:t>
      </w:r>
      <w:r w:rsidRPr="00405951">
        <w:rPr>
          <w:lang w:val="fr-FR"/>
        </w:rPr>
        <w:t>rogramme d'apprentissage intelligent Mohamed Bin Rashid et l'Autorité de régulation des télécommunications des Emirats arabes unis</w:t>
      </w:r>
      <w:r w:rsidR="00A228D1" w:rsidRPr="00405951">
        <w:rPr>
          <w:lang w:val="fr-FR"/>
        </w:rPr>
        <w:t>,</w:t>
      </w:r>
      <w:r w:rsidRPr="00405951">
        <w:rPr>
          <w:lang w:val="fr-FR"/>
        </w:rPr>
        <w:t xml:space="preserve"> en vue de la fourniture de</w:t>
      </w:r>
      <w:r w:rsidR="007628A8" w:rsidRPr="00405951">
        <w:rPr>
          <w:lang w:val="fr-FR"/>
        </w:rPr>
        <w:t xml:space="preserve"> </w:t>
      </w:r>
      <w:r w:rsidRPr="00405951">
        <w:rPr>
          <w:lang w:val="fr-FR"/>
        </w:rPr>
        <w:t>programmes de renforcement des capacités aux pays de la région des Etats arabes dans le domaine de l'apprentissage intelligent.</w:t>
      </w:r>
      <w:bookmarkEnd w:id="33"/>
    </w:p>
    <w:p w:rsidR="00953610" w:rsidRPr="00405951" w:rsidRDefault="00953610" w:rsidP="007628A8">
      <w:pPr>
        <w:pStyle w:val="Heading2"/>
        <w:rPr>
          <w:lang w:val="fr-FR"/>
        </w:rPr>
      </w:pPr>
      <w:bookmarkStart w:id="34" w:name="lt_pId057"/>
      <w:r w:rsidRPr="00405951">
        <w:rPr>
          <w:lang w:val="fr-FR"/>
        </w:rPr>
        <w:t>2.4</w:t>
      </w:r>
      <w:r w:rsidRPr="00405951">
        <w:rPr>
          <w:lang w:val="fr-FR"/>
        </w:rPr>
        <w:tab/>
      </w:r>
      <w:bookmarkEnd w:id="34"/>
      <w:r w:rsidR="003C58EA" w:rsidRPr="00405951">
        <w:rPr>
          <w:lang w:val="fr-FR"/>
        </w:rPr>
        <w:t>Asie-Pacifique</w:t>
      </w:r>
    </w:p>
    <w:p w:rsidR="00D040F7" w:rsidRPr="00405951" w:rsidRDefault="00953610" w:rsidP="00954A90">
      <w:pPr>
        <w:rPr>
          <w:lang w:val="fr-FR" w:eastAsia="zh-CN"/>
        </w:rPr>
      </w:pPr>
      <w:r w:rsidRPr="00405951">
        <w:rPr>
          <w:rFonts w:eastAsia="DejaVuSans" w:cs="DejaVuSans"/>
          <w:szCs w:val="24"/>
          <w:lang w:val="fr-FR" w:eastAsia="zh-CN"/>
        </w:rPr>
        <w:t>Le</w:t>
      </w:r>
      <w:r w:rsidR="00954A90" w:rsidRPr="00405951">
        <w:rPr>
          <w:rFonts w:eastAsia="DejaVuSans" w:cs="DejaVuSans"/>
          <w:szCs w:val="24"/>
          <w:lang w:val="fr-FR" w:eastAsia="zh-CN"/>
        </w:rPr>
        <w:t>s</w:t>
      </w:r>
      <w:r w:rsidRPr="00405951">
        <w:rPr>
          <w:rFonts w:eastAsia="DejaVuSans" w:cs="DejaVuSans"/>
          <w:szCs w:val="24"/>
          <w:lang w:val="fr-FR" w:eastAsia="zh-CN"/>
        </w:rPr>
        <w:t xml:space="preserve"> </w:t>
      </w:r>
      <w:r w:rsidR="003C58EA" w:rsidRPr="00405951">
        <w:rPr>
          <w:rFonts w:eastAsia="DejaVuSans" w:cs="DejaVuSans"/>
          <w:szCs w:val="24"/>
          <w:lang w:val="fr-FR" w:eastAsia="zh-CN"/>
        </w:rPr>
        <w:t>b</w:t>
      </w:r>
      <w:r w:rsidRPr="00405951">
        <w:rPr>
          <w:rFonts w:eastAsia="DejaVuSans" w:cs="DejaVuSans"/>
          <w:szCs w:val="24"/>
          <w:lang w:val="fr-FR" w:eastAsia="zh-CN"/>
        </w:rPr>
        <w:t>ureau</w:t>
      </w:r>
      <w:r w:rsidR="00954A90" w:rsidRPr="00405951">
        <w:rPr>
          <w:rFonts w:eastAsia="DejaVuSans" w:cs="DejaVuSans"/>
          <w:szCs w:val="24"/>
          <w:lang w:val="fr-FR" w:eastAsia="zh-CN"/>
        </w:rPr>
        <w:t>x</w:t>
      </w:r>
      <w:r w:rsidRPr="00405951">
        <w:rPr>
          <w:rFonts w:eastAsia="DejaVuSans" w:cs="DejaVuSans"/>
          <w:szCs w:val="24"/>
          <w:lang w:val="fr-FR" w:eastAsia="zh-CN"/>
        </w:rPr>
        <w:t xml:space="preserve"> régiona</w:t>
      </w:r>
      <w:r w:rsidR="00954A90" w:rsidRPr="00405951">
        <w:rPr>
          <w:rFonts w:eastAsia="DejaVuSans" w:cs="DejaVuSans"/>
          <w:szCs w:val="24"/>
          <w:lang w:val="fr-FR" w:eastAsia="zh-CN"/>
        </w:rPr>
        <w:t>ux</w:t>
      </w:r>
      <w:r w:rsidRPr="00405951">
        <w:rPr>
          <w:rFonts w:eastAsia="DejaVuSans" w:cs="DejaVuSans"/>
          <w:szCs w:val="24"/>
          <w:lang w:val="fr-FR" w:eastAsia="zh-CN"/>
        </w:rPr>
        <w:t xml:space="preserve"> et les </w:t>
      </w:r>
      <w:r w:rsidR="003C58EA" w:rsidRPr="00405951">
        <w:rPr>
          <w:rFonts w:eastAsia="DejaVuSans" w:cs="DejaVuSans"/>
          <w:szCs w:val="24"/>
          <w:lang w:val="fr-FR" w:eastAsia="zh-CN"/>
        </w:rPr>
        <w:t>b</w:t>
      </w:r>
      <w:r w:rsidRPr="00405951">
        <w:rPr>
          <w:rFonts w:eastAsia="DejaVuSans" w:cs="DejaVuSans"/>
          <w:szCs w:val="24"/>
          <w:lang w:val="fr-FR" w:eastAsia="zh-CN"/>
        </w:rPr>
        <w:t xml:space="preserve">ureaux de zone de l'UIT </w:t>
      </w:r>
      <w:r w:rsidR="00954A90" w:rsidRPr="00405951">
        <w:rPr>
          <w:rFonts w:eastAsia="DejaVuSans" w:cs="DejaVuSans"/>
          <w:szCs w:val="24"/>
          <w:lang w:val="fr-FR" w:eastAsia="zh-CN"/>
        </w:rPr>
        <w:t xml:space="preserve">pour la région Asie-Pacifique </w:t>
      </w:r>
      <w:r w:rsidRPr="00405951">
        <w:rPr>
          <w:rFonts w:eastAsia="DejaVuSans" w:cs="DejaVuSans"/>
          <w:szCs w:val="24"/>
          <w:lang w:val="fr-FR" w:eastAsia="zh-CN"/>
        </w:rPr>
        <w:t xml:space="preserve">ont poursuivi leur collaboration avec plusieurs partenaires </w:t>
      </w:r>
      <w:r w:rsidRPr="00405951">
        <w:rPr>
          <w:lang w:val="fr-FR" w:eastAsia="zh-CN"/>
        </w:rPr>
        <w:t xml:space="preserve">dans </w:t>
      </w:r>
      <w:r w:rsidR="00954A90" w:rsidRPr="00405951">
        <w:rPr>
          <w:lang w:val="fr-FR" w:eastAsia="zh-CN"/>
        </w:rPr>
        <w:t>divers</w:t>
      </w:r>
      <w:r w:rsidRPr="00405951">
        <w:rPr>
          <w:lang w:val="fr-FR" w:eastAsia="zh-CN"/>
        </w:rPr>
        <w:t xml:space="preserve"> domaines</w:t>
      </w:r>
      <w:r w:rsidR="00954A90" w:rsidRPr="00405951">
        <w:rPr>
          <w:lang w:val="fr-FR" w:eastAsia="zh-CN"/>
        </w:rPr>
        <w:t xml:space="preserve"> –</w:t>
      </w:r>
      <w:r w:rsidRPr="00405951">
        <w:rPr>
          <w:lang w:val="fr-FR" w:eastAsia="zh-CN"/>
        </w:rPr>
        <w:t xml:space="preserve"> cyberagriculture avec la FAO;</w:t>
      </w:r>
      <w:r w:rsidR="003C58EA" w:rsidRPr="00405951">
        <w:rPr>
          <w:color w:val="000000"/>
          <w:lang w:val="fr-FR"/>
        </w:rPr>
        <w:t xml:space="preserve"> santé sur mobile avec</w:t>
      </w:r>
      <w:r w:rsidR="007628A8" w:rsidRPr="00405951">
        <w:rPr>
          <w:color w:val="000000"/>
          <w:lang w:val="fr-FR"/>
        </w:rPr>
        <w:t xml:space="preserve"> </w:t>
      </w:r>
      <w:r w:rsidR="003C58EA" w:rsidRPr="00405951">
        <w:rPr>
          <w:color w:val="000000"/>
          <w:lang w:val="fr-FR"/>
        </w:rPr>
        <w:t>l'OMS,</w:t>
      </w:r>
      <w:r w:rsidR="007628A8" w:rsidRPr="00405951">
        <w:rPr>
          <w:color w:val="000000"/>
          <w:lang w:val="fr-FR"/>
        </w:rPr>
        <w:t xml:space="preserve"> </w:t>
      </w:r>
      <w:r w:rsidRPr="00405951">
        <w:rPr>
          <w:lang w:val="fr-FR" w:eastAsia="zh-CN"/>
        </w:rPr>
        <w:t>protocole IPv6</w:t>
      </w:r>
      <w:r w:rsidR="003C58EA" w:rsidRPr="00405951">
        <w:rPr>
          <w:lang w:val="fr-FR" w:eastAsia="zh-CN"/>
        </w:rPr>
        <w:t xml:space="preserve"> et points d</w:t>
      </w:r>
      <w:r w:rsidR="007628A8" w:rsidRPr="00405951">
        <w:rPr>
          <w:lang w:val="fr-FR" w:eastAsia="zh-CN"/>
        </w:rPr>
        <w:t>'</w:t>
      </w:r>
      <w:r w:rsidR="003C58EA" w:rsidRPr="00405951">
        <w:rPr>
          <w:lang w:val="fr-FR" w:eastAsia="zh-CN"/>
        </w:rPr>
        <w:t>échange Internet</w:t>
      </w:r>
      <w:r w:rsidR="007628A8" w:rsidRPr="00405951">
        <w:rPr>
          <w:lang w:val="fr-FR" w:eastAsia="zh-CN"/>
        </w:rPr>
        <w:t xml:space="preserve"> </w:t>
      </w:r>
      <w:r w:rsidR="003C58EA" w:rsidRPr="00405951">
        <w:rPr>
          <w:lang w:val="fr-FR" w:eastAsia="zh-CN"/>
        </w:rPr>
        <w:t xml:space="preserve">(IXP) </w:t>
      </w:r>
      <w:r w:rsidRPr="00405951">
        <w:rPr>
          <w:lang w:val="fr-FR" w:eastAsia="zh-CN"/>
        </w:rPr>
        <w:t xml:space="preserve">avec l'APNIC; radiodiffusion avec </w:t>
      </w:r>
      <w:r w:rsidR="003C58EA" w:rsidRPr="00405951">
        <w:rPr>
          <w:color w:val="000000"/>
          <w:lang w:val="fr-FR"/>
        </w:rPr>
        <w:t>l'Union africaine de radiodiffusion (</w:t>
      </w:r>
      <w:r w:rsidRPr="00405951">
        <w:rPr>
          <w:lang w:val="fr-FR" w:eastAsia="zh-CN"/>
        </w:rPr>
        <w:t>ABU</w:t>
      </w:r>
      <w:r w:rsidR="003C58EA" w:rsidRPr="00405951">
        <w:rPr>
          <w:lang w:val="fr-FR" w:eastAsia="zh-CN"/>
        </w:rPr>
        <w:t>)</w:t>
      </w:r>
      <w:r w:rsidR="007628A8" w:rsidRPr="00405951">
        <w:rPr>
          <w:lang w:val="fr-FR" w:eastAsia="zh-CN"/>
        </w:rPr>
        <w:t xml:space="preserve"> </w:t>
      </w:r>
      <w:r w:rsidRPr="00405951">
        <w:rPr>
          <w:lang w:val="fr-FR" w:eastAsia="zh-CN"/>
        </w:rPr>
        <w:t>et</w:t>
      </w:r>
      <w:r w:rsidR="003C58EA" w:rsidRPr="00405951">
        <w:rPr>
          <w:color w:val="000000"/>
          <w:lang w:val="fr-FR"/>
        </w:rPr>
        <w:t xml:space="preserve"> l'Institut de développement de la radiodiffusion pour la région Asie-Pacifique (AIBD),</w:t>
      </w:r>
      <w:r w:rsidR="007628A8" w:rsidRPr="00405951">
        <w:rPr>
          <w:lang w:val="fr-FR" w:eastAsia="zh-CN"/>
        </w:rPr>
        <w:t xml:space="preserve"> </w:t>
      </w:r>
      <w:r w:rsidRPr="00405951">
        <w:rPr>
          <w:lang w:val="fr-FR" w:eastAsia="zh-CN"/>
        </w:rPr>
        <w:t xml:space="preserve">renforcement des capacités humaines avec </w:t>
      </w:r>
      <w:r w:rsidR="00954A90" w:rsidRPr="00405951">
        <w:rPr>
          <w:lang w:val="fr-FR" w:eastAsia="zh-CN"/>
        </w:rPr>
        <w:t xml:space="preserve">la </w:t>
      </w:r>
      <w:proofErr w:type="spellStart"/>
      <w:r w:rsidR="00954A90" w:rsidRPr="00405951">
        <w:rPr>
          <w:lang w:val="fr-FR" w:eastAsia="zh-CN"/>
        </w:rPr>
        <w:t>Télé</w:t>
      </w:r>
      <w:r w:rsidR="003C58EA" w:rsidRPr="00405951">
        <w:rPr>
          <w:lang w:val="fr-FR" w:eastAsia="zh-CN"/>
        </w:rPr>
        <w:t>communauté</w:t>
      </w:r>
      <w:proofErr w:type="spellEnd"/>
      <w:r w:rsidR="003C58EA" w:rsidRPr="00405951">
        <w:rPr>
          <w:lang w:val="fr-FR" w:eastAsia="zh-CN"/>
        </w:rPr>
        <w:t xml:space="preserve"> Asie</w:t>
      </w:r>
      <w:r w:rsidR="00EC4972" w:rsidRPr="00405951">
        <w:rPr>
          <w:lang w:val="fr-FR" w:eastAsia="zh-CN"/>
        </w:rPr>
        <w:noBreakHyphen/>
      </w:r>
      <w:r w:rsidR="003C58EA" w:rsidRPr="00405951">
        <w:rPr>
          <w:lang w:val="fr-FR" w:eastAsia="zh-CN"/>
        </w:rPr>
        <w:t>Pacifique</w:t>
      </w:r>
      <w:r w:rsidR="00602326">
        <w:rPr>
          <w:lang w:val="fr-FR" w:eastAsia="zh-CN"/>
        </w:rPr>
        <w:t xml:space="preserve"> –</w:t>
      </w:r>
      <w:r w:rsidR="003C58EA" w:rsidRPr="00405951">
        <w:rPr>
          <w:lang w:val="fr-FR" w:eastAsia="zh-CN"/>
        </w:rPr>
        <w:t xml:space="preserve"> par l</w:t>
      </w:r>
      <w:r w:rsidR="007628A8" w:rsidRPr="00405951">
        <w:rPr>
          <w:lang w:val="fr-FR" w:eastAsia="zh-CN"/>
        </w:rPr>
        <w:t>'</w:t>
      </w:r>
      <w:r w:rsidR="003C58EA" w:rsidRPr="00405951">
        <w:rPr>
          <w:lang w:val="fr-FR" w:eastAsia="zh-CN"/>
        </w:rPr>
        <w:t>intermédiaire</w:t>
      </w:r>
      <w:r w:rsidR="007628A8" w:rsidRPr="00405951">
        <w:rPr>
          <w:lang w:val="fr-FR" w:eastAsia="zh-CN"/>
        </w:rPr>
        <w:t xml:space="preserve"> </w:t>
      </w:r>
      <w:r w:rsidR="003C58EA" w:rsidRPr="00405951">
        <w:rPr>
          <w:lang w:val="fr-FR" w:eastAsia="zh-CN"/>
        </w:rPr>
        <w:t xml:space="preserve">de </w:t>
      </w:r>
      <w:r w:rsidRPr="00405951">
        <w:rPr>
          <w:lang w:val="fr-FR" w:eastAsia="zh-CN"/>
        </w:rPr>
        <w:t>Centres d'excellence et</w:t>
      </w:r>
      <w:r w:rsidR="003C58EA" w:rsidRPr="00405951">
        <w:rPr>
          <w:lang w:val="fr-FR" w:eastAsia="zh-CN"/>
        </w:rPr>
        <w:t xml:space="preserve"> de</w:t>
      </w:r>
      <w:r w:rsidR="00EC4972" w:rsidRPr="00405951">
        <w:rPr>
          <w:lang w:val="fr-FR" w:eastAsia="zh-CN"/>
        </w:rPr>
        <w:t xml:space="preserve"> partenaires associés.</w:t>
      </w:r>
    </w:p>
    <w:p w:rsidR="00953610" w:rsidRPr="00405951" w:rsidRDefault="00EC4972" w:rsidP="00EC4972">
      <w:pPr>
        <w:rPr>
          <w:rStyle w:val="Hyperlink"/>
          <w:color w:val="000000"/>
          <w:szCs w:val="24"/>
          <w:u w:val="none"/>
          <w:lang w:val="fr-FR"/>
        </w:rPr>
      </w:pPr>
      <w:bookmarkStart w:id="35" w:name="lt_pId059"/>
      <w:r w:rsidRPr="00405951">
        <w:rPr>
          <w:rStyle w:val="Hyperlink"/>
          <w:color w:val="000000"/>
          <w:szCs w:val="24"/>
          <w:u w:val="none"/>
          <w:lang w:val="fr-FR"/>
        </w:rPr>
        <w:t>L</w:t>
      </w:r>
      <w:r w:rsidR="0008336C" w:rsidRPr="00405951">
        <w:rPr>
          <w:rStyle w:val="Hyperlink"/>
          <w:color w:val="000000"/>
          <w:szCs w:val="24"/>
          <w:u w:val="none"/>
          <w:lang w:val="fr-FR"/>
        </w:rPr>
        <w:t>es bureaux régionaux et les bureaux de zone</w:t>
      </w:r>
      <w:r w:rsidR="007628A8" w:rsidRPr="00405951">
        <w:rPr>
          <w:rStyle w:val="Hyperlink"/>
          <w:color w:val="000000"/>
          <w:szCs w:val="24"/>
          <w:u w:val="none"/>
          <w:lang w:val="fr-FR"/>
        </w:rPr>
        <w:t xml:space="preserve"> </w:t>
      </w:r>
      <w:r w:rsidR="0008336C" w:rsidRPr="00405951">
        <w:rPr>
          <w:rStyle w:val="Hyperlink"/>
          <w:color w:val="000000"/>
          <w:szCs w:val="24"/>
          <w:u w:val="none"/>
          <w:lang w:val="fr-FR"/>
        </w:rPr>
        <w:t>ont examiné les besoins en matière de statistiques et d</w:t>
      </w:r>
      <w:r w:rsidR="007628A8" w:rsidRPr="00405951">
        <w:rPr>
          <w:rStyle w:val="Hyperlink"/>
          <w:color w:val="000000"/>
          <w:szCs w:val="24"/>
          <w:u w:val="none"/>
          <w:lang w:val="fr-FR"/>
        </w:rPr>
        <w:t>'</w:t>
      </w:r>
      <w:r w:rsidR="0008336C" w:rsidRPr="00405951">
        <w:rPr>
          <w:rStyle w:val="Hyperlink"/>
          <w:color w:val="000000"/>
          <w:szCs w:val="24"/>
          <w:u w:val="none"/>
          <w:lang w:val="fr-FR"/>
        </w:rPr>
        <w:t>indicateurs des télécommunications/TIC</w:t>
      </w:r>
      <w:r w:rsidR="007628A8" w:rsidRPr="00405951">
        <w:rPr>
          <w:rStyle w:val="Hyperlink"/>
          <w:color w:val="000000"/>
          <w:szCs w:val="24"/>
          <w:u w:val="none"/>
          <w:lang w:val="fr-FR"/>
        </w:rPr>
        <w:t xml:space="preserve"> </w:t>
      </w:r>
      <w:r w:rsidR="0008336C" w:rsidRPr="00405951">
        <w:rPr>
          <w:rStyle w:val="Hyperlink"/>
          <w:color w:val="000000"/>
          <w:szCs w:val="24"/>
          <w:u w:val="none"/>
          <w:lang w:val="fr-FR"/>
        </w:rPr>
        <w:t>dans</w:t>
      </w:r>
      <w:r w:rsidR="007628A8" w:rsidRPr="00405951">
        <w:rPr>
          <w:rStyle w:val="Hyperlink"/>
          <w:color w:val="000000"/>
          <w:szCs w:val="24"/>
          <w:u w:val="none"/>
          <w:lang w:val="fr-FR"/>
        </w:rPr>
        <w:t xml:space="preserve"> </w:t>
      </w:r>
      <w:r w:rsidR="00953610" w:rsidRPr="00405951">
        <w:rPr>
          <w:rStyle w:val="Hyperlink"/>
          <w:color w:val="000000"/>
          <w:szCs w:val="24"/>
          <w:u w:val="none"/>
          <w:lang w:val="fr-FR"/>
        </w:rPr>
        <w:t xml:space="preserve">six </w:t>
      </w:r>
      <w:r w:rsidR="0008336C" w:rsidRPr="00405951">
        <w:rPr>
          <w:lang w:val="fr-FR"/>
        </w:rPr>
        <w:t>Etats membres de l</w:t>
      </w:r>
      <w:r w:rsidR="007628A8" w:rsidRPr="00405951">
        <w:rPr>
          <w:lang w:val="fr-FR"/>
        </w:rPr>
        <w:t>'</w:t>
      </w:r>
      <w:r w:rsidR="0008336C" w:rsidRPr="00405951">
        <w:rPr>
          <w:lang w:val="fr-FR"/>
        </w:rPr>
        <w:t>ASEAN</w:t>
      </w:r>
      <w:r w:rsidR="00953610" w:rsidRPr="00405951">
        <w:rPr>
          <w:rStyle w:val="Hyperlink"/>
          <w:color w:val="000000"/>
          <w:szCs w:val="24"/>
          <w:u w:val="none"/>
          <w:lang w:val="fr-FR"/>
        </w:rPr>
        <w:t xml:space="preserve">, </w:t>
      </w:r>
      <w:r w:rsidR="00D04855" w:rsidRPr="00405951">
        <w:rPr>
          <w:rStyle w:val="Hyperlink"/>
          <w:color w:val="000000"/>
          <w:szCs w:val="24"/>
          <w:u w:val="none"/>
          <w:lang w:val="fr-FR"/>
        </w:rPr>
        <w:t>la</w:t>
      </w:r>
      <w:r w:rsidR="0008336C" w:rsidRPr="00405951">
        <w:rPr>
          <w:rStyle w:val="Hyperlink"/>
          <w:color w:val="000000"/>
          <w:szCs w:val="24"/>
          <w:u w:val="none"/>
          <w:lang w:val="fr-FR"/>
        </w:rPr>
        <w:t xml:space="preserve"> </w:t>
      </w:r>
      <w:r w:rsidR="0008336C" w:rsidRPr="00405951">
        <w:rPr>
          <w:lang w:val="fr-FR"/>
        </w:rPr>
        <w:t xml:space="preserve">gestion des cyberincidents </w:t>
      </w:r>
      <w:r w:rsidR="00D04855" w:rsidRPr="00405951">
        <w:rPr>
          <w:lang w:val="fr-FR"/>
        </w:rPr>
        <w:t>et la</w:t>
      </w:r>
      <w:r w:rsidR="0008336C" w:rsidRPr="00405951">
        <w:rPr>
          <w:lang w:val="fr-FR"/>
        </w:rPr>
        <w:t xml:space="preserve"> straté</w:t>
      </w:r>
      <w:r w:rsidR="00D04855" w:rsidRPr="00405951">
        <w:rPr>
          <w:lang w:val="fr-FR"/>
        </w:rPr>
        <w:t>gie dans le domaine de la cyber</w:t>
      </w:r>
      <w:r w:rsidR="0008336C" w:rsidRPr="00405951">
        <w:rPr>
          <w:lang w:val="fr-FR"/>
        </w:rPr>
        <w:t>sécurité,</w:t>
      </w:r>
      <w:r w:rsidR="007628A8" w:rsidRPr="00405951">
        <w:rPr>
          <w:lang w:val="fr-FR"/>
        </w:rPr>
        <w:t xml:space="preserve"> </w:t>
      </w:r>
      <w:r w:rsidR="0008336C" w:rsidRPr="00405951">
        <w:rPr>
          <w:lang w:val="fr-FR"/>
        </w:rPr>
        <w:t xml:space="preserve">en organisant notamment </w:t>
      </w:r>
      <w:r w:rsidR="0008336C" w:rsidRPr="00405951">
        <w:rPr>
          <w:rStyle w:val="Hyperlink"/>
          <w:color w:val="000000"/>
          <w:szCs w:val="24"/>
          <w:u w:val="none"/>
          <w:lang w:val="fr-FR"/>
        </w:rPr>
        <w:t>une</w:t>
      </w:r>
      <w:r w:rsidR="007628A8" w:rsidRPr="00405951">
        <w:rPr>
          <w:rStyle w:val="Hyperlink"/>
          <w:color w:val="000000"/>
          <w:szCs w:val="24"/>
          <w:u w:val="none"/>
          <w:lang w:val="fr-FR"/>
        </w:rPr>
        <w:t xml:space="preserve"> </w:t>
      </w:r>
      <w:r w:rsidR="0008336C" w:rsidRPr="00405951">
        <w:rPr>
          <w:lang w:val="fr-FR"/>
        </w:rPr>
        <w:t>formation pratique intensive au codage avec</w:t>
      </w:r>
      <w:r w:rsidR="007628A8" w:rsidRPr="00405951">
        <w:rPr>
          <w:lang w:val="fr-FR"/>
        </w:rPr>
        <w:t xml:space="preserve"> </w:t>
      </w:r>
      <w:r w:rsidR="0008336C" w:rsidRPr="00405951">
        <w:rPr>
          <w:lang w:val="fr-FR"/>
        </w:rPr>
        <w:t>le Ministère des technologies de l'information et de la communication (MICT)</w:t>
      </w:r>
      <w:r w:rsidR="00953610" w:rsidRPr="00405951">
        <w:rPr>
          <w:rStyle w:val="Hyperlink"/>
          <w:color w:val="000000"/>
          <w:szCs w:val="24"/>
          <w:u w:val="none"/>
          <w:lang w:val="fr-FR"/>
        </w:rPr>
        <w:t xml:space="preserve"> </w:t>
      </w:r>
      <w:r w:rsidR="0008336C" w:rsidRPr="00405951">
        <w:rPr>
          <w:rStyle w:val="Hyperlink"/>
          <w:color w:val="000000"/>
          <w:szCs w:val="24"/>
          <w:u w:val="none"/>
          <w:lang w:val="fr-FR"/>
        </w:rPr>
        <w:t>des</w:t>
      </w:r>
      <w:r w:rsidR="00953610" w:rsidRPr="00405951">
        <w:rPr>
          <w:rStyle w:val="Hyperlink"/>
          <w:color w:val="000000"/>
          <w:szCs w:val="24"/>
          <w:u w:val="none"/>
          <w:lang w:val="fr-FR"/>
        </w:rPr>
        <w:t xml:space="preserve"> Philippines.</w:t>
      </w:r>
      <w:bookmarkEnd w:id="35"/>
    </w:p>
    <w:p w:rsidR="00953610" w:rsidRPr="00405951" w:rsidRDefault="0008336C" w:rsidP="00602326">
      <w:pPr>
        <w:rPr>
          <w:rStyle w:val="Hyperlink"/>
          <w:rFonts w:ascii="Calibri" w:eastAsia="Calibri" w:hAnsi="Calibri" w:cs="Simplified Arabic"/>
          <w:color w:val="000000"/>
          <w:sz w:val="22"/>
          <w:szCs w:val="24"/>
          <w:u w:val="none"/>
          <w:lang w:val="fr-FR"/>
        </w:rPr>
      </w:pPr>
      <w:bookmarkStart w:id="36" w:name="lt_pId060"/>
      <w:r w:rsidRPr="00405951">
        <w:rPr>
          <w:lang w:val="fr-FR"/>
        </w:rPr>
        <w:t>Le</w:t>
      </w:r>
      <w:r w:rsidR="00D04855" w:rsidRPr="00405951">
        <w:rPr>
          <w:lang w:val="fr-FR"/>
        </w:rPr>
        <w:t>s</w:t>
      </w:r>
      <w:r w:rsidR="007628A8" w:rsidRPr="00405951">
        <w:rPr>
          <w:lang w:val="fr-FR"/>
        </w:rPr>
        <w:t xml:space="preserve"> </w:t>
      </w:r>
      <w:r w:rsidRPr="00405951">
        <w:rPr>
          <w:lang w:val="fr-FR"/>
        </w:rPr>
        <w:t>bureau</w:t>
      </w:r>
      <w:r w:rsidR="00D04855" w:rsidRPr="00405951">
        <w:rPr>
          <w:lang w:val="fr-FR"/>
        </w:rPr>
        <w:t>x</w:t>
      </w:r>
      <w:r w:rsidR="007628A8" w:rsidRPr="00405951">
        <w:rPr>
          <w:lang w:val="fr-FR"/>
        </w:rPr>
        <w:t xml:space="preserve"> </w:t>
      </w:r>
      <w:r w:rsidRPr="00405951">
        <w:rPr>
          <w:lang w:val="fr-FR"/>
        </w:rPr>
        <w:t>régiona</w:t>
      </w:r>
      <w:r w:rsidR="00D04855" w:rsidRPr="00405951">
        <w:rPr>
          <w:lang w:val="fr-FR"/>
        </w:rPr>
        <w:t>ux</w:t>
      </w:r>
      <w:r w:rsidRPr="00405951">
        <w:rPr>
          <w:lang w:val="fr-FR"/>
        </w:rPr>
        <w:t xml:space="preserve"> et les</w:t>
      </w:r>
      <w:r w:rsidR="007628A8" w:rsidRPr="00405951">
        <w:rPr>
          <w:lang w:val="fr-FR"/>
        </w:rPr>
        <w:t xml:space="preserve"> </w:t>
      </w:r>
      <w:r w:rsidRPr="00405951">
        <w:rPr>
          <w:lang w:val="fr-FR"/>
        </w:rPr>
        <w:t>bureaux</w:t>
      </w:r>
      <w:r w:rsidR="007628A8" w:rsidRPr="00405951">
        <w:rPr>
          <w:lang w:val="fr-FR"/>
        </w:rPr>
        <w:t xml:space="preserve"> </w:t>
      </w:r>
      <w:r w:rsidRPr="00405951">
        <w:rPr>
          <w:lang w:val="fr-FR"/>
        </w:rPr>
        <w:t xml:space="preserve">de zone ont </w:t>
      </w:r>
      <w:proofErr w:type="spellStart"/>
      <w:r w:rsidRPr="00405951">
        <w:rPr>
          <w:lang w:val="fr-FR"/>
        </w:rPr>
        <w:t>coorganisé</w:t>
      </w:r>
      <w:proofErr w:type="spellEnd"/>
      <w:r w:rsidRPr="00405951">
        <w:rPr>
          <w:lang w:val="fr-FR"/>
        </w:rPr>
        <w:t xml:space="preserve">, en association avec </w:t>
      </w:r>
      <w:r w:rsidR="00D04855" w:rsidRPr="00405951">
        <w:rPr>
          <w:lang w:val="fr-FR"/>
        </w:rPr>
        <w:t>CISCO</w:t>
      </w:r>
      <w:r w:rsidRPr="00405951">
        <w:rPr>
          <w:lang w:val="fr-FR"/>
        </w:rPr>
        <w:t xml:space="preserve"> à Bangkok et</w:t>
      </w:r>
      <w:r w:rsidR="007628A8" w:rsidRPr="00405951">
        <w:rPr>
          <w:lang w:val="fr-FR"/>
        </w:rPr>
        <w:t xml:space="preserve"> </w:t>
      </w:r>
      <w:r w:rsidR="00602326" w:rsidRPr="00405951">
        <w:rPr>
          <w:lang w:val="fr-FR"/>
        </w:rPr>
        <w:t xml:space="preserve">CISCO </w:t>
      </w:r>
      <w:r w:rsidRPr="00405951">
        <w:rPr>
          <w:lang w:val="fr-FR"/>
        </w:rPr>
        <w:t>et d</w:t>
      </w:r>
      <w:r w:rsidR="007628A8" w:rsidRPr="00405951">
        <w:rPr>
          <w:lang w:val="fr-FR"/>
        </w:rPr>
        <w:t>'</w:t>
      </w:r>
      <w:r w:rsidRPr="00405951">
        <w:rPr>
          <w:lang w:val="fr-FR"/>
        </w:rPr>
        <w:t xml:space="preserve">autres partenaires à Manille (Philippines) et </w:t>
      </w:r>
      <w:proofErr w:type="spellStart"/>
      <w:r w:rsidRPr="00405951">
        <w:rPr>
          <w:rStyle w:val="Hyperlink"/>
          <w:rFonts w:eastAsia="Calibri" w:cs="Simplified Arabic"/>
          <w:color w:val="000000"/>
          <w:szCs w:val="24"/>
          <w:u w:val="none"/>
          <w:lang w:val="fr-FR"/>
        </w:rPr>
        <w:t>Yogjakarta</w:t>
      </w:r>
      <w:proofErr w:type="spellEnd"/>
      <w:r w:rsidRPr="00405951">
        <w:rPr>
          <w:rStyle w:val="Hyperlink"/>
          <w:rFonts w:eastAsia="Calibri" w:cs="Simplified Arabic"/>
          <w:color w:val="000000"/>
          <w:szCs w:val="24"/>
          <w:u w:val="none"/>
          <w:lang w:val="fr-FR"/>
        </w:rPr>
        <w:t xml:space="preserve"> (</w:t>
      </w:r>
      <w:r w:rsidR="00405951" w:rsidRPr="00405951">
        <w:rPr>
          <w:rStyle w:val="Hyperlink"/>
          <w:rFonts w:eastAsia="Calibri" w:cs="Simplified Arabic"/>
          <w:color w:val="000000"/>
          <w:szCs w:val="24"/>
          <w:u w:val="none"/>
          <w:lang w:val="fr-FR"/>
        </w:rPr>
        <w:t>Indonésie</w:t>
      </w:r>
      <w:r w:rsidRPr="00405951">
        <w:rPr>
          <w:rStyle w:val="Hyperlink"/>
          <w:rFonts w:eastAsia="Calibri" w:cs="Simplified Arabic"/>
          <w:color w:val="000000"/>
          <w:szCs w:val="24"/>
          <w:u w:val="none"/>
          <w:lang w:val="fr-FR"/>
        </w:rPr>
        <w:t>),</w:t>
      </w:r>
      <w:r w:rsidR="007628A8" w:rsidRPr="00405951">
        <w:rPr>
          <w:rStyle w:val="Hyperlink"/>
          <w:rFonts w:eastAsia="Calibri" w:cs="Simplified Arabic"/>
          <w:color w:val="000000"/>
          <w:szCs w:val="24"/>
          <w:u w:val="none"/>
          <w:lang w:val="fr-FR"/>
        </w:rPr>
        <w:t xml:space="preserve"> </w:t>
      </w:r>
      <w:r w:rsidRPr="00405951">
        <w:rPr>
          <w:lang w:val="fr-FR"/>
        </w:rPr>
        <w:t>la Journée internationale des jeunes filles dans le secteur des TIC</w:t>
      </w:r>
      <w:bookmarkEnd w:id="36"/>
      <w:r w:rsidR="00EC4972" w:rsidRPr="00405951">
        <w:rPr>
          <w:rStyle w:val="Hyperlink"/>
          <w:rFonts w:eastAsia="Calibri" w:cs="Simplified Arabic"/>
          <w:color w:val="000000"/>
          <w:szCs w:val="24"/>
          <w:u w:val="none"/>
          <w:lang w:val="fr-FR"/>
        </w:rPr>
        <w:t>.</w:t>
      </w:r>
    </w:p>
    <w:p w:rsidR="00953610" w:rsidRPr="00405951" w:rsidRDefault="0008336C" w:rsidP="00D04855">
      <w:pPr>
        <w:rPr>
          <w:rStyle w:val="Hyperlink"/>
          <w:rFonts w:eastAsia="Calibri" w:cs="Simplified Arabic"/>
          <w:color w:val="000000"/>
          <w:szCs w:val="24"/>
          <w:u w:val="none"/>
          <w:lang w:val="fr-FR"/>
        </w:rPr>
      </w:pPr>
      <w:bookmarkStart w:id="37" w:name="lt_pId061"/>
      <w:r w:rsidRPr="00405951">
        <w:rPr>
          <w:rFonts w:eastAsia="DejaVuSans" w:cs="DejaVuSans"/>
          <w:szCs w:val="24"/>
          <w:lang w:val="fr-FR" w:eastAsia="zh-CN"/>
        </w:rPr>
        <w:lastRenderedPageBreak/>
        <w:t>Le</w:t>
      </w:r>
      <w:r w:rsidR="00D04855" w:rsidRPr="00405951">
        <w:rPr>
          <w:rFonts w:eastAsia="DejaVuSans" w:cs="DejaVuSans"/>
          <w:szCs w:val="24"/>
          <w:lang w:val="fr-FR" w:eastAsia="zh-CN"/>
        </w:rPr>
        <w:t>s</w:t>
      </w:r>
      <w:r w:rsidRPr="00405951">
        <w:rPr>
          <w:rFonts w:eastAsia="DejaVuSans" w:cs="DejaVuSans"/>
          <w:szCs w:val="24"/>
          <w:lang w:val="fr-FR" w:eastAsia="zh-CN"/>
        </w:rPr>
        <w:t xml:space="preserve"> bureau</w:t>
      </w:r>
      <w:r w:rsidR="00D04855" w:rsidRPr="00405951">
        <w:rPr>
          <w:rFonts w:eastAsia="DejaVuSans" w:cs="DejaVuSans"/>
          <w:szCs w:val="24"/>
          <w:lang w:val="fr-FR" w:eastAsia="zh-CN"/>
        </w:rPr>
        <w:t>x</w:t>
      </w:r>
      <w:r w:rsidRPr="00405951">
        <w:rPr>
          <w:rFonts w:eastAsia="DejaVuSans" w:cs="DejaVuSans"/>
          <w:szCs w:val="24"/>
          <w:lang w:val="fr-FR" w:eastAsia="zh-CN"/>
        </w:rPr>
        <w:t xml:space="preserve"> régiona</w:t>
      </w:r>
      <w:r w:rsidR="00D04855" w:rsidRPr="00405951">
        <w:rPr>
          <w:rFonts w:eastAsia="DejaVuSans" w:cs="DejaVuSans"/>
          <w:szCs w:val="24"/>
          <w:lang w:val="fr-FR" w:eastAsia="zh-CN"/>
        </w:rPr>
        <w:t>ux</w:t>
      </w:r>
      <w:r w:rsidRPr="00405951">
        <w:rPr>
          <w:rFonts w:eastAsia="DejaVuSans" w:cs="DejaVuSans"/>
          <w:szCs w:val="24"/>
          <w:lang w:val="fr-FR" w:eastAsia="zh-CN"/>
        </w:rPr>
        <w:t xml:space="preserve"> et les bureaux de zone ont également organisé plusieurs forums et réunions (portant par exemple sur les thèmes suivants</w:t>
      </w:r>
      <w:r w:rsidR="007628A8" w:rsidRPr="00405951">
        <w:rPr>
          <w:rFonts w:eastAsia="DejaVuSans" w:cs="DejaVuSans"/>
          <w:szCs w:val="24"/>
          <w:lang w:val="fr-FR" w:eastAsia="zh-CN"/>
        </w:rPr>
        <w:t>:</w:t>
      </w:r>
      <w:r w:rsidRPr="00405951">
        <w:rPr>
          <w:rFonts w:eastAsia="DejaVuSans" w:cs="DejaVuSans"/>
          <w:szCs w:val="24"/>
          <w:lang w:val="fr-FR" w:eastAsia="zh-CN"/>
        </w:rPr>
        <w:t xml:space="preserve"> télécommunications/TIC, administration</w:t>
      </w:r>
      <w:r w:rsidR="007628A8" w:rsidRPr="00405951">
        <w:rPr>
          <w:rFonts w:eastAsia="DejaVuSans" w:cs="DejaVuSans"/>
          <w:szCs w:val="24"/>
          <w:lang w:val="fr-FR" w:eastAsia="zh-CN"/>
        </w:rPr>
        <w:t xml:space="preserve"> </w:t>
      </w:r>
      <w:r w:rsidRPr="00405951">
        <w:rPr>
          <w:rFonts w:eastAsia="DejaVuSans" w:cs="DejaVuSans"/>
          <w:szCs w:val="24"/>
          <w:lang w:val="fr-FR" w:eastAsia="zh-CN"/>
        </w:rPr>
        <w:t>publique</w:t>
      </w:r>
      <w:r w:rsidR="007628A8" w:rsidRPr="00405951">
        <w:rPr>
          <w:rFonts w:eastAsia="DejaVuSans" w:cs="DejaVuSans"/>
          <w:szCs w:val="24"/>
          <w:lang w:val="fr-FR" w:eastAsia="zh-CN"/>
        </w:rPr>
        <w:t xml:space="preserve"> </w:t>
      </w:r>
      <w:r w:rsidRPr="00405951">
        <w:rPr>
          <w:rFonts w:eastAsia="DejaVuSans" w:cs="DejaVuSans"/>
          <w:szCs w:val="24"/>
          <w:lang w:val="fr-FR" w:eastAsia="zh-CN"/>
        </w:rPr>
        <w:t>en ligne, villes intelligentes et sociétés numériques pour un développement durable, gestion du spectre et</w:t>
      </w:r>
      <w:r w:rsidR="007628A8" w:rsidRPr="00405951">
        <w:rPr>
          <w:rFonts w:eastAsia="DejaVuSans" w:cs="DejaVuSans"/>
          <w:szCs w:val="24"/>
          <w:lang w:val="fr-FR" w:eastAsia="zh-CN"/>
        </w:rPr>
        <w:t xml:space="preserve"> </w:t>
      </w:r>
      <w:r w:rsidRPr="00405951">
        <w:rPr>
          <w:rFonts w:eastAsia="DejaVuSans" w:cs="DejaVuSans"/>
          <w:szCs w:val="24"/>
          <w:lang w:val="fr-FR" w:eastAsia="zh-CN"/>
        </w:rPr>
        <w:t>contrôle des émissions, protection en ligne des enfants)</w:t>
      </w:r>
      <w:r w:rsidR="007628A8" w:rsidRPr="00405951">
        <w:rPr>
          <w:rFonts w:eastAsia="DejaVuSans" w:cs="DejaVuSans"/>
          <w:szCs w:val="24"/>
          <w:lang w:val="fr-FR" w:eastAsia="zh-CN"/>
        </w:rPr>
        <w:t xml:space="preserve"> </w:t>
      </w:r>
      <w:r w:rsidRPr="00405951">
        <w:rPr>
          <w:rStyle w:val="Hyperlink"/>
          <w:rFonts w:eastAsia="Calibri" w:cs="Simplified Arabic"/>
          <w:color w:val="000000"/>
          <w:szCs w:val="24"/>
          <w:u w:val="none"/>
          <w:lang w:val="fr-FR"/>
        </w:rPr>
        <w:t>avec différents partenaires, parmi lesquels on citera</w:t>
      </w:r>
      <w:r w:rsidR="007628A8" w:rsidRPr="00405951">
        <w:rPr>
          <w:rStyle w:val="Hyperlink"/>
          <w:rFonts w:eastAsia="Calibri" w:cs="Simplified Arabic"/>
          <w:color w:val="000000"/>
          <w:szCs w:val="24"/>
          <w:u w:val="none"/>
          <w:lang w:val="fr-FR"/>
        </w:rPr>
        <w:t xml:space="preserve">: </w:t>
      </w:r>
      <w:r w:rsidRPr="00405951">
        <w:rPr>
          <w:rStyle w:val="Hyperlink"/>
          <w:rFonts w:eastAsia="Calibri" w:cs="Simplified Arabic"/>
          <w:color w:val="000000"/>
          <w:szCs w:val="24"/>
          <w:u w:val="none"/>
          <w:lang w:val="fr-FR"/>
        </w:rPr>
        <w:t xml:space="preserve">le </w:t>
      </w:r>
      <w:r w:rsidR="00953610" w:rsidRPr="00405951">
        <w:rPr>
          <w:rStyle w:val="Hyperlink"/>
          <w:rFonts w:eastAsia="Calibri" w:cs="Simplified Arabic"/>
          <w:color w:val="000000"/>
          <w:szCs w:val="24"/>
          <w:u w:val="none"/>
          <w:lang w:val="fr-FR"/>
        </w:rPr>
        <w:t>Department of Communications and the Arts (DoCA), Austral</w:t>
      </w:r>
      <w:r w:rsidRPr="00405951">
        <w:rPr>
          <w:rStyle w:val="Hyperlink"/>
          <w:rFonts w:eastAsia="Calibri" w:cs="Simplified Arabic"/>
          <w:color w:val="000000"/>
          <w:szCs w:val="24"/>
          <w:u w:val="none"/>
          <w:lang w:val="fr-FR"/>
        </w:rPr>
        <w:t>ie</w:t>
      </w:r>
      <w:r w:rsidR="00953610" w:rsidRPr="00405951">
        <w:rPr>
          <w:rStyle w:val="Hyperlink"/>
          <w:rFonts w:eastAsia="Calibri" w:cs="Simplified Arabic"/>
          <w:color w:val="000000"/>
          <w:szCs w:val="24"/>
          <w:u w:val="none"/>
          <w:lang w:val="fr-FR"/>
        </w:rPr>
        <w:t xml:space="preserve">; </w:t>
      </w:r>
      <w:r w:rsidRPr="00405951">
        <w:rPr>
          <w:rStyle w:val="Hyperlink"/>
          <w:rFonts w:eastAsia="Calibri" w:cs="Simplified Arabic"/>
          <w:color w:val="000000"/>
          <w:szCs w:val="24"/>
          <w:u w:val="none"/>
          <w:lang w:val="fr-FR"/>
        </w:rPr>
        <w:t>le Ministère de l</w:t>
      </w:r>
      <w:r w:rsidR="007628A8" w:rsidRPr="00405951">
        <w:rPr>
          <w:rStyle w:val="Hyperlink"/>
          <w:rFonts w:eastAsia="Calibri" w:cs="Simplified Arabic"/>
          <w:color w:val="000000"/>
          <w:szCs w:val="24"/>
          <w:u w:val="none"/>
          <w:lang w:val="fr-FR"/>
        </w:rPr>
        <w:t>'</w:t>
      </w:r>
      <w:r w:rsidRPr="00405951">
        <w:rPr>
          <w:rStyle w:val="Hyperlink"/>
          <w:rFonts w:eastAsia="Calibri" w:cs="Simplified Arabic"/>
          <w:color w:val="000000"/>
          <w:szCs w:val="24"/>
          <w:u w:val="none"/>
          <w:lang w:val="fr-FR"/>
        </w:rPr>
        <w:t>économie et de la société</w:t>
      </w:r>
      <w:r w:rsidR="007628A8" w:rsidRPr="00405951">
        <w:rPr>
          <w:rStyle w:val="Hyperlink"/>
          <w:rFonts w:eastAsia="Calibri" w:cs="Simplified Arabic"/>
          <w:color w:val="000000"/>
          <w:szCs w:val="24"/>
          <w:u w:val="none"/>
          <w:lang w:val="fr-FR"/>
        </w:rPr>
        <w:t xml:space="preserve"> </w:t>
      </w:r>
      <w:r w:rsidRPr="00405951">
        <w:rPr>
          <w:rStyle w:val="Hyperlink"/>
          <w:rFonts w:eastAsia="Calibri" w:cs="Simplified Arabic"/>
          <w:color w:val="000000"/>
          <w:szCs w:val="24"/>
          <w:u w:val="none"/>
          <w:lang w:val="fr-FR"/>
        </w:rPr>
        <w:t>numériques (MDES)</w:t>
      </w:r>
      <w:r w:rsidR="007628A8" w:rsidRPr="00405951">
        <w:rPr>
          <w:rStyle w:val="Hyperlink"/>
          <w:rFonts w:eastAsia="Calibri" w:cs="Simplified Arabic"/>
          <w:color w:val="000000"/>
          <w:szCs w:val="24"/>
          <w:u w:val="none"/>
          <w:lang w:val="fr-FR"/>
        </w:rPr>
        <w:t xml:space="preserve"> </w:t>
      </w:r>
      <w:r w:rsidRPr="00405951">
        <w:rPr>
          <w:rStyle w:val="Hyperlink"/>
          <w:rFonts w:eastAsia="Calibri" w:cs="Simplified Arabic"/>
          <w:color w:val="000000"/>
          <w:szCs w:val="24"/>
          <w:u w:val="none"/>
          <w:lang w:val="fr-FR"/>
        </w:rPr>
        <w:t>de la Thaïlande</w:t>
      </w:r>
      <w:r w:rsidR="007628A8" w:rsidRPr="00405951">
        <w:rPr>
          <w:rStyle w:val="Hyperlink"/>
          <w:rFonts w:eastAsia="Calibri" w:cs="Simplified Arabic"/>
          <w:color w:val="000000"/>
          <w:szCs w:val="24"/>
          <w:u w:val="none"/>
          <w:lang w:val="fr-FR"/>
        </w:rPr>
        <w:t>,</w:t>
      </w:r>
      <w:r w:rsidRPr="00405951">
        <w:rPr>
          <w:rStyle w:val="Hyperlink"/>
          <w:rFonts w:eastAsia="Calibri" w:cs="Simplified Arabic"/>
          <w:color w:val="000000"/>
          <w:szCs w:val="24"/>
          <w:u w:val="none"/>
          <w:lang w:val="fr-FR"/>
        </w:rPr>
        <w:t xml:space="preserve"> le Ministère des sciences, d</w:t>
      </w:r>
      <w:r w:rsidR="001050B1" w:rsidRPr="00405951">
        <w:rPr>
          <w:rStyle w:val="Hyperlink"/>
          <w:rFonts w:eastAsia="Calibri" w:cs="Simplified Arabic"/>
          <w:color w:val="000000"/>
          <w:szCs w:val="24"/>
          <w:u w:val="none"/>
          <w:lang w:val="fr-FR"/>
        </w:rPr>
        <w:t xml:space="preserve">es </w:t>
      </w:r>
      <w:r w:rsidR="001050B1" w:rsidRPr="00405951">
        <w:rPr>
          <w:rFonts w:eastAsia="DejaVuSans" w:cs="DejaVuSans"/>
          <w:szCs w:val="24"/>
          <w:lang w:val="fr-FR" w:eastAsia="zh-CN"/>
        </w:rPr>
        <w:t>TIC</w:t>
      </w:r>
      <w:r w:rsidR="007628A8" w:rsidRPr="00405951">
        <w:rPr>
          <w:rFonts w:eastAsia="DejaVuSans" w:cs="DejaVuSans"/>
          <w:szCs w:val="24"/>
          <w:lang w:val="fr-FR" w:eastAsia="zh-CN"/>
        </w:rPr>
        <w:t xml:space="preserve"> </w:t>
      </w:r>
      <w:r w:rsidRPr="00405951">
        <w:rPr>
          <w:rStyle w:val="Hyperlink"/>
          <w:rFonts w:eastAsia="Calibri" w:cs="Simplified Arabic"/>
          <w:color w:val="000000"/>
          <w:szCs w:val="24"/>
          <w:u w:val="none"/>
          <w:lang w:val="fr-FR"/>
        </w:rPr>
        <w:t xml:space="preserve">et de la planification future </w:t>
      </w:r>
      <w:r w:rsidR="001050B1" w:rsidRPr="00405951">
        <w:rPr>
          <w:rStyle w:val="Hyperlink"/>
          <w:rFonts w:eastAsia="Calibri" w:cs="Simplified Arabic"/>
          <w:color w:val="000000"/>
          <w:szCs w:val="24"/>
          <w:u w:val="none"/>
          <w:lang w:val="fr-FR"/>
        </w:rPr>
        <w:t xml:space="preserve">(MSIP) </w:t>
      </w:r>
      <w:r w:rsidRPr="00405951">
        <w:rPr>
          <w:rStyle w:val="Hyperlink"/>
          <w:rFonts w:eastAsia="Calibri" w:cs="Simplified Arabic"/>
          <w:color w:val="000000"/>
          <w:szCs w:val="24"/>
          <w:u w:val="none"/>
          <w:lang w:val="fr-FR"/>
        </w:rPr>
        <w:t>de la République de Corée</w:t>
      </w:r>
      <w:r w:rsidR="007628A8" w:rsidRPr="00405951">
        <w:rPr>
          <w:rStyle w:val="Hyperlink"/>
          <w:rFonts w:eastAsia="Calibri" w:cs="Simplified Arabic"/>
          <w:color w:val="000000"/>
          <w:szCs w:val="24"/>
          <w:u w:val="none"/>
          <w:lang w:val="fr-FR"/>
        </w:rPr>
        <w:t>,</w:t>
      </w:r>
      <w:r w:rsidR="00D04855" w:rsidRPr="00405951">
        <w:rPr>
          <w:rStyle w:val="Hyperlink"/>
          <w:rFonts w:eastAsia="Calibri" w:cs="Simplified Arabic"/>
          <w:color w:val="000000"/>
          <w:szCs w:val="24"/>
          <w:u w:val="none"/>
          <w:lang w:val="fr-FR"/>
        </w:rPr>
        <w:t xml:space="preserve"> </w:t>
      </w:r>
      <w:r w:rsidR="001050B1" w:rsidRPr="00405951">
        <w:rPr>
          <w:rStyle w:val="Hyperlink"/>
          <w:rFonts w:eastAsia="Calibri" w:cs="Simplified Arabic"/>
          <w:color w:val="000000"/>
          <w:szCs w:val="24"/>
          <w:u w:val="none"/>
          <w:lang w:val="fr-FR"/>
        </w:rPr>
        <w:t>la</w:t>
      </w:r>
      <w:r w:rsidR="007628A8" w:rsidRPr="00405951">
        <w:rPr>
          <w:rStyle w:val="Hyperlink"/>
          <w:rFonts w:eastAsia="Calibri" w:cs="Simplified Arabic"/>
          <w:color w:val="000000"/>
          <w:szCs w:val="24"/>
          <w:u w:val="none"/>
          <w:lang w:val="fr-FR"/>
        </w:rPr>
        <w:t xml:space="preserve"> </w:t>
      </w:r>
      <w:r w:rsidR="00953610" w:rsidRPr="00405951">
        <w:rPr>
          <w:rStyle w:val="Hyperlink"/>
          <w:rFonts w:eastAsia="Calibri" w:cs="Simplified Arabic"/>
          <w:color w:val="000000"/>
          <w:szCs w:val="24"/>
          <w:u w:val="none"/>
          <w:lang w:val="fr-FR"/>
        </w:rPr>
        <w:t>NIA, WeGO,</w:t>
      </w:r>
      <w:r w:rsidR="007628A8" w:rsidRPr="00405951">
        <w:rPr>
          <w:rStyle w:val="Hyperlink"/>
          <w:rFonts w:eastAsia="Calibri" w:cs="Simplified Arabic"/>
          <w:color w:val="000000"/>
          <w:szCs w:val="24"/>
          <w:u w:val="none"/>
          <w:lang w:val="fr-FR"/>
        </w:rPr>
        <w:t xml:space="preserve"> </w:t>
      </w:r>
      <w:r w:rsidR="001050B1" w:rsidRPr="00405951">
        <w:rPr>
          <w:rStyle w:val="Hyperlink"/>
          <w:rFonts w:eastAsia="Calibri" w:cs="Simplified Arabic"/>
          <w:color w:val="000000"/>
          <w:szCs w:val="24"/>
          <w:u w:val="none"/>
          <w:lang w:val="fr-FR"/>
        </w:rPr>
        <w:t xml:space="preserve">et </w:t>
      </w:r>
      <w:r w:rsidR="001050B1" w:rsidRPr="00405951">
        <w:rPr>
          <w:lang w:val="fr-FR"/>
        </w:rPr>
        <w:t>l</w:t>
      </w:r>
      <w:r w:rsidR="007628A8" w:rsidRPr="00405951">
        <w:rPr>
          <w:lang w:val="fr-FR"/>
        </w:rPr>
        <w:t>'</w:t>
      </w:r>
      <w:r w:rsidR="001050B1" w:rsidRPr="00405951">
        <w:rPr>
          <w:lang w:val="fr-FR"/>
        </w:rPr>
        <w:t>Association des Nations d</w:t>
      </w:r>
      <w:r w:rsidR="007628A8" w:rsidRPr="00405951">
        <w:rPr>
          <w:lang w:val="fr-FR"/>
        </w:rPr>
        <w:t>'</w:t>
      </w:r>
      <w:r w:rsidR="001050B1" w:rsidRPr="00405951">
        <w:rPr>
          <w:lang w:val="fr-FR"/>
        </w:rPr>
        <w:t>Asie du Sud-Est (ASEAN)</w:t>
      </w:r>
      <w:bookmarkEnd w:id="37"/>
      <w:r w:rsidR="00D04855" w:rsidRPr="00405951">
        <w:rPr>
          <w:rStyle w:val="Hyperlink"/>
          <w:rFonts w:eastAsia="Calibri" w:cs="Simplified Arabic"/>
          <w:color w:val="000000"/>
          <w:szCs w:val="24"/>
          <w:u w:val="none"/>
          <w:lang w:val="fr-FR"/>
        </w:rPr>
        <w:t>.</w:t>
      </w:r>
    </w:p>
    <w:p w:rsidR="00953610" w:rsidRPr="00405951" w:rsidRDefault="001050B1" w:rsidP="00D04855">
      <w:pPr>
        <w:rPr>
          <w:rStyle w:val="Hyperlink"/>
          <w:rFonts w:eastAsiaTheme="minorHAnsi" w:cs="Simplified Arabic"/>
          <w:color w:val="000000" w:themeColor="text1"/>
          <w:szCs w:val="24"/>
          <w:u w:val="none"/>
          <w:lang w:val="fr-FR"/>
        </w:rPr>
      </w:pPr>
      <w:bookmarkStart w:id="38" w:name="lt_pId062"/>
      <w:r w:rsidRPr="00405951">
        <w:rPr>
          <w:rStyle w:val="Hyperlink"/>
          <w:rFonts w:eastAsia="Calibri" w:cs="Simplified Arabic"/>
          <w:color w:val="000000"/>
          <w:szCs w:val="24"/>
          <w:u w:val="none"/>
          <w:lang w:val="fr-FR"/>
        </w:rPr>
        <w:t xml:space="preserve">En outre, les bureaux régionaux et les bureaux de zone ont organisé le Forum </w:t>
      </w:r>
      <w:r w:rsidRPr="00405951">
        <w:rPr>
          <w:color w:val="000000"/>
          <w:lang w:val="fr-FR"/>
        </w:rPr>
        <w:t>GSMA</w:t>
      </w:r>
      <w:r w:rsidRPr="00405951">
        <w:rPr>
          <w:color w:val="000000"/>
          <w:lang w:val="fr-FR"/>
        </w:rPr>
        <w:noBreakHyphen/>
        <w:t>UIT des politiques sur les sociétés numériques</w:t>
      </w:r>
      <w:r w:rsidR="007628A8" w:rsidRPr="00405951">
        <w:rPr>
          <w:rStyle w:val="Hyperlink"/>
          <w:rFonts w:eastAsia="Calibri" w:cs="Simplified Arabic"/>
          <w:color w:val="000000"/>
          <w:szCs w:val="24"/>
          <w:u w:val="none"/>
          <w:lang w:val="fr-FR"/>
        </w:rPr>
        <w:t>,</w:t>
      </w:r>
      <w:r w:rsidRPr="00405951">
        <w:rPr>
          <w:rStyle w:val="Hyperlink"/>
          <w:rFonts w:eastAsia="Calibri" w:cs="Simplified Arabic"/>
          <w:color w:val="000000"/>
          <w:szCs w:val="24"/>
          <w:u w:val="none"/>
          <w:lang w:val="fr-FR"/>
        </w:rPr>
        <w:t xml:space="preserve"> en partenariat avec le Ministère de l</w:t>
      </w:r>
      <w:r w:rsidR="007628A8" w:rsidRPr="00405951">
        <w:rPr>
          <w:rStyle w:val="Hyperlink"/>
          <w:rFonts w:eastAsia="Calibri" w:cs="Simplified Arabic"/>
          <w:color w:val="000000"/>
          <w:szCs w:val="24"/>
          <w:u w:val="none"/>
          <w:lang w:val="fr-FR"/>
        </w:rPr>
        <w:t>'</w:t>
      </w:r>
      <w:r w:rsidRPr="00405951">
        <w:rPr>
          <w:rStyle w:val="Hyperlink"/>
          <w:rFonts w:eastAsia="Calibri" w:cs="Simplified Arabic"/>
          <w:color w:val="000000"/>
          <w:szCs w:val="24"/>
          <w:u w:val="none"/>
          <w:lang w:val="fr-FR"/>
        </w:rPr>
        <w:t>économie et de la société</w:t>
      </w:r>
      <w:r w:rsidR="007628A8" w:rsidRPr="00405951">
        <w:rPr>
          <w:rStyle w:val="Hyperlink"/>
          <w:rFonts w:eastAsia="Calibri" w:cs="Simplified Arabic"/>
          <w:color w:val="000000"/>
          <w:szCs w:val="24"/>
          <w:u w:val="none"/>
          <w:lang w:val="fr-FR"/>
        </w:rPr>
        <w:t xml:space="preserve"> </w:t>
      </w:r>
      <w:r w:rsidRPr="00405951">
        <w:rPr>
          <w:rStyle w:val="Hyperlink"/>
          <w:rFonts w:eastAsia="Calibri" w:cs="Simplified Arabic"/>
          <w:color w:val="000000"/>
          <w:szCs w:val="24"/>
          <w:u w:val="none"/>
          <w:lang w:val="fr-FR"/>
        </w:rPr>
        <w:t>numériques (MDES)</w:t>
      </w:r>
      <w:r w:rsidR="007628A8" w:rsidRPr="00405951">
        <w:rPr>
          <w:rStyle w:val="Hyperlink"/>
          <w:rFonts w:eastAsia="Calibri" w:cs="Simplified Arabic"/>
          <w:color w:val="000000"/>
          <w:szCs w:val="24"/>
          <w:u w:val="none"/>
          <w:lang w:val="fr-FR"/>
        </w:rPr>
        <w:t xml:space="preserve"> </w:t>
      </w:r>
      <w:r w:rsidRPr="00405951">
        <w:rPr>
          <w:rStyle w:val="Hyperlink"/>
          <w:rFonts w:eastAsia="Calibri" w:cs="Simplified Arabic"/>
          <w:color w:val="000000"/>
          <w:szCs w:val="24"/>
          <w:u w:val="none"/>
          <w:lang w:val="fr-FR"/>
        </w:rPr>
        <w:t xml:space="preserve">de la Thaïlande et </w:t>
      </w:r>
      <w:r w:rsidRPr="00405951">
        <w:rPr>
          <w:color w:val="000000"/>
          <w:lang w:val="fr-FR"/>
        </w:rPr>
        <w:t xml:space="preserve">le Forum de développement régional </w:t>
      </w:r>
      <w:r w:rsidR="00D04855" w:rsidRPr="00405951">
        <w:rPr>
          <w:color w:val="000000"/>
          <w:lang w:val="fr-FR"/>
        </w:rPr>
        <w:t xml:space="preserve">de l'UIT </w:t>
      </w:r>
      <w:r w:rsidRPr="00405951">
        <w:rPr>
          <w:color w:val="000000"/>
          <w:lang w:val="fr-FR"/>
        </w:rPr>
        <w:t>pour la région Asie-</w:t>
      </w:r>
      <w:r w:rsidR="00405951" w:rsidRPr="00405951">
        <w:rPr>
          <w:color w:val="000000"/>
          <w:lang w:val="fr-FR"/>
        </w:rPr>
        <w:t>Pacifique</w:t>
      </w:r>
      <w:r w:rsidR="00405951" w:rsidRPr="00405951">
        <w:rPr>
          <w:rStyle w:val="Hyperlink"/>
          <w:rFonts w:eastAsia="Calibri" w:cs="Simplified Arabic"/>
          <w:color w:val="000000"/>
          <w:szCs w:val="24"/>
          <w:u w:val="none"/>
          <w:lang w:val="fr-FR"/>
        </w:rPr>
        <w:t xml:space="preserve"> (</w:t>
      </w:r>
      <w:r w:rsidRPr="00405951">
        <w:rPr>
          <w:rStyle w:val="Hyperlink"/>
          <w:rFonts w:eastAsia="Calibri" w:cs="Simplified Arabic"/>
          <w:color w:val="000000"/>
          <w:szCs w:val="24"/>
          <w:u w:val="none"/>
          <w:lang w:val="fr-FR"/>
        </w:rPr>
        <w:t>RDF-ASP2016)</w:t>
      </w:r>
      <w:r w:rsidR="007628A8" w:rsidRPr="00405951">
        <w:rPr>
          <w:color w:val="000000"/>
          <w:lang w:val="fr-FR"/>
        </w:rPr>
        <w:t>,</w:t>
      </w:r>
      <w:r w:rsidRPr="00405951">
        <w:rPr>
          <w:rStyle w:val="Hyperlink"/>
          <w:rFonts w:eastAsia="Calibri" w:cs="Simplified Arabic"/>
          <w:color w:val="000000"/>
          <w:szCs w:val="24"/>
          <w:u w:val="none"/>
          <w:lang w:val="fr-FR"/>
        </w:rPr>
        <w:t xml:space="preserve"> en collaboration avec le Ministère des TIC des Philippines</w:t>
      </w:r>
      <w:bookmarkEnd w:id="38"/>
      <w:r w:rsidR="00D04855" w:rsidRPr="00405951">
        <w:rPr>
          <w:rStyle w:val="Hyperlink"/>
          <w:rFonts w:eastAsia="Calibri" w:cs="Simplified Arabic"/>
          <w:color w:val="000000"/>
          <w:szCs w:val="24"/>
          <w:u w:val="none"/>
          <w:lang w:val="fr-FR"/>
        </w:rPr>
        <w:t>.</w:t>
      </w:r>
    </w:p>
    <w:p w:rsidR="00953610" w:rsidRPr="00405951" w:rsidRDefault="00953610" w:rsidP="007628A8">
      <w:pPr>
        <w:pStyle w:val="Heading2"/>
        <w:rPr>
          <w:lang w:val="fr-FR"/>
        </w:rPr>
      </w:pPr>
      <w:r w:rsidRPr="00405951">
        <w:rPr>
          <w:lang w:val="fr-FR"/>
        </w:rPr>
        <w:t>2.5</w:t>
      </w:r>
      <w:r w:rsidRPr="00405951">
        <w:rPr>
          <w:lang w:val="fr-FR"/>
        </w:rPr>
        <w:tab/>
        <w:t>CEI</w:t>
      </w:r>
    </w:p>
    <w:p w:rsidR="00953610" w:rsidRPr="00405951" w:rsidRDefault="001050B1" w:rsidP="007628A8">
      <w:pPr>
        <w:rPr>
          <w:rStyle w:val="Hyperlink"/>
          <w:rFonts w:ascii="Calibri" w:eastAsia="Calibri" w:hAnsi="Calibri"/>
          <w:b/>
          <w:bCs/>
          <w:color w:val="000000"/>
          <w:sz w:val="22"/>
          <w:szCs w:val="22"/>
          <w:u w:val="none"/>
          <w:lang w:val="fr-FR" w:eastAsia="zh-CN"/>
        </w:rPr>
      </w:pPr>
      <w:bookmarkStart w:id="39" w:name="lt_pId064"/>
      <w:r w:rsidRPr="00405951">
        <w:rPr>
          <w:rStyle w:val="Hyperlink"/>
          <w:rFonts w:eastAsia="Calibri"/>
          <w:color w:val="000000"/>
          <w:u w:val="none"/>
          <w:lang w:val="fr-FR"/>
        </w:rPr>
        <w:t>Fin</w:t>
      </w:r>
      <w:r w:rsidR="007628A8" w:rsidRPr="00405951">
        <w:rPr>
          <w:rStyle w:val="Hyperlink"/>
          <w:rFonts w:eastAsia="Calibri"/>
          <w:color w:val="000000"/>
          <w:u w:val="none"/>
          <w:lang w:val="fr-FR"/>
        </w:rPr>
        <w:t xml:space="preserve"> </w:t>
      </w:r>
      <w:r w:rsidR="00953610" w:rsidRPr="00405951">
        <w:rPr>
          <w:rStyle w:val="Hyperlink"/>
          <w:rFonts w:eastAsia="Calibri"/>
          <w:color w:val="000000"/>
          <w:u w:val="none"/>
          <w:lang w:val="fr-FR"/>
        </w:rPr>
        <w:t xml:space="preserve">2016, </w:t>
      </w:r>
      <w:r w:rsidRPr="00405951">
        <w:rPr>
          <w:rStyle w:val="Hyperlink"/>
          <w:rFonts w:eastAsia="Calibri"/>
          <w:color w:val="000000"/>
          <w:u w:val="none"/>
          <w:lang w:val="fr-FR"/>
        </w:rPr>
        <w:t>quatre des cinq initiatives régionales définies par la CMDT-14</w:t>
      </w:r>
      <w:r w:rsidR="007628A8" w:rsidRPr="00405951">
        <w:rPr>
          <w:rStyle w:val="Hyperlink"/>
          <w:rFonts w:eastAsia="Calibri"/>
          <w:color w:val="000000"/>
          <w:u w:val="none"/>
          <w:lang w:val="fr-FR"/>
        </w:rPr>
        <w:t xml:space="preserve"> </w:t>
      </w:r>
      <w:r w:rsidRPr="00405951">
        <w:rPr>
          <w:rStyle w:val="Hyperlink"/>
          <w:rFonts w:eastAsia="Calibri"/>
          <w:color w:val="000000"/>
          <w:u w:val="none"/>
          <w:lang w:val="fr-FR"/>
        </w:rPr>
        <w:t>pour la CEI</w:t>
      </w:r>
      <w:r w:rsidR="007628A8" w:rsidRPr="00405951">
        <w:rPr>
          <w:rStyle w:val="Hyperlink"/>
          <w:rFonts w:eastAsia="Calibri"/>
          <w:color w:val="000000"/>
          <w:u w:val="none"/>
          <w:lang w:val="fr-FR"/>
        </w:rPr>
        <w:t xml:space="preserve"> </w:t>
      </w:r>
      <w:r w:rsidRPr="00405951">
        <w:rPr>
          <w:rStyle w:val="Hyperlink"/>
          <w:rFonts w:eastAsia="Calibri"/>
          <w:color w:val="000000"/>
          <w:u w:val="none"/>
          <w:lang w:val="fr-FR"/>
        </w:rPr>
        <w:t xml:space="preserve">avaient été mises en </w:t>
      </w:r>
      <w:r w:rsidR="00F87FD3" w:rsidRPr="00405951">
        <w:rPr>
          <w:rStyle w:val="Hyperlink"/>
          <w:rFonts w:eastAsia="Calibri"/>
          <w:color w:val="000000"/>
          <w:u w:val="none"/>
          <w:lang w:val="fr-FR"/>
        </w:rPr>
        <w:t>oe</w:t>
      </w:r>
      <w:r w:rsidRPr="00405951">
        <w:rPr>
          <w:rStyle w:val="Hyperlink"/>
          <w:rFonts w:eastAsia="Calibri"/>
          <w:color w:val="000000"/>
          <w:u w:val="none"/>
          <w:lang w:val="fr-FR"/>
        </w:rPr>
        <w:t>uvre dans leur intégralité.</w:t>
      </w:r>
      <w:bookmarkStart w:id="40" w:name="lt_pId065"/>
      <w:bookmarkEnd w:id="39"/>
      <w:r w:rsidRPr="00405951">
        <w:rPr>
          <w:rStyle w:val="Hyperlink"/>
          <w:rFonts w:eastAsia="Calibri"/>
          <w:color w:val="000000"/>
          <w:u w:val="none"/>
          <w:lang w:val="fr-FR"/>
        </w:rPr>
        <w:t xml:space="preserve"> Parmi les principaux produits élaborés au titre de l</w:t>
      </w:r>
      <w:r w:rsidR="007628A8" w:rsidRPr="00405951">
        <w:rPr>
          <w:rStyle w:val="Hyperlink"/>
          <w:rFonts w:eastAsia="Calibri"/>
          <w:color w:val="000000"/>
          <w:u w:val="none"/>
          <w:lang w:val="fr-FR"/>
        </w:rPr>
        <w:t>'</w:t>
      </w:r>
      <w:r w:rsidR="00D04855" w:rsidRPr="00405951">
        <w:rPr>
          <w:rStyle w:val="Hyperlink"/>
          <w:rFonts w:eastAsia="Calibri"/>
          <w:color w:val="000000"/>
          <w:u w:val="none"/>
          <w:lang w:val="fr-FR"/>
        </w:rPr>
        <w:t>I</w:t>
      </w:r>
      <w:r w:rsidRPr="00405951">
        <w:rPr>
          <w:rStyle w:val="Hyperlink"/>
          <w:rFonts w:eastAsia="Calibri"/>
          <w:color w:val="000000"/>
          <w:u w:val="none"/>
          <w:lang w:val="fr-FR"/>
        </w:rPr>
        <w:t>nitiative régionale 1 pour la CEI en 2016, il y a lieu de citer la création d</w:t>
      </w:r>
      <w:r w:rsidR="007628A8" w:rsidRPr="00405951">
        <w:rPr>
          <w:rStyle w:val="Hyperlink"/>
          <w:rFonts w:eastAsia="Calibri"/>
          <w:color w:val="000000"/>
          <w:u w:val="none"/>
          <w:lang w:val="fr-FR"/>
        </w:rPr>
        <w:t>'</w:t>
      </w:r>
      <w:r w:rsidRPr="00405951">
        <w:rPr>
          <w:rStyle w:val="Hyperlink"/>
          <w:rFonts w:eastAsia="Calibri"/>
          <w:color w:val="000000"/>
          <w:u w:val="none"/>
          <w:lang w:val="fr-FR"/>
        </w:rPr>
        <w:t>une base de données pour la mémorisation des données relatives aux solutions techniques</w:t>
      </w:r>
      <w:r w:rsidR="007628A8" w:rsidRPr="00405951">
        <w:rPr>
          <w:rStyle w:val="Hyperlink"/>
          <w:rFonts w:eastAsia="Calibri"/>
          <w:color w:val="000000"/>
          <w:u w:val="none"/>
          <w:lang w:val="fr-FR"/>
        </w:rPr>
        <w:t xml:space="preserve"> </w:t>
      </w:r>
      <w:r w:rsidRPr="00405951">
        <w:rPr>
          <w:rStyle w:val="Hyperlink"/>
          <w:rFonts w:eastAsia="Calibri"/>
          <w:color w:val="000000"/>
          <w:u w:val="none"/>
          <w:lang w:val="fr-FR"/>
        </w:rPr>
        <w:t>concernant la protection en ligne des enfants et l</w:t>
      </w:r>
      <w:r w:rsidR="007628A8" w:rsidRPr="00405951">
        <w:rPr>
          <w:rStyle w:val="Hyperlink"/>
          <w:rFonts w:eastAsia="Calibri"/>
          <w:color w:val="000000"/>
          <w:u w:val="none"/>
          <w:lang w:val="fr-FR"/>
        </w:rPr>
        <w:t>'</w:t>
      </w:r>
      <w:r w:rsidRPr="00405951">
        <w:rPr>
          <w:rStyle w:val="Hyperlink"/>
          <w:rFonts w:eastAsia="Calibri"/>
          <w:color w:val="000000"/>
          <w:u w:val="none"/>
          <w:lang w:val="fr-FR"/>
        </w:rPr>
        <w:t>élaboration d</w:t>
      </w:r>
      <w:r w:rsidR="007628A8" w:rsidRPr="00405951">
        <w:rPr>
          <w:rStyle w:val="Hyperlink"/>
          <w:rFonts w:eastAsia="Calibri"/>
          <w:color w:val="000000"/>
          <w:u w:val="none"/>
          <w:lang w:val="fr-FR"/>
        </w:rPr>
        <w:t>'</w:t>
      </w:r>
      <w:r w:rsidRPr="00405951">
        <w:rPr>
          <w:rStyle w:val="Hyperlink"/>
          <w:rFonts w:eastAsia="Calibri"/>
          <w:color w:val="000000"/>
          <w:u w:val="none"/>
          <w:lang w:val="fr-FR"/>
        </w:rPr>
        <w:t>un logiciel permettant de choisir les solutions techniques optimales (</w:t>
      </w:r>
      <w:hyperlink r:id="rId10" w:history="1">
        <w:r w:rsidRPr="00405951">
          <w:rPr>
            <w:rStyle w:val="Hyperlink"/>
            <w:rFonts w:eastAsia="Calibri"/>
            <w:color w:val="000000"/>
            <w:szCs w:val="24"/>
            <w:u w:val="none"/>
            <w:lang w:val="fr-FR"/>
          </w:rPr>
          <w:t>https://contentfiltering.info)</w:t>
        </w:r>
      </w:hyperlink>
      <w:r w:rsidRPr="00405951">
        <w:rPr>
          <w:rStyle w:val="Hyperlink"/>
          <w:rFonts w:eastAsia="Calibri"/>
          <w:color w:val="000000"/>
          <w:szCs w:val="24"/>
          <w:u w:val="none"/>
          <w:lang w:val="fr-FR"/>
        </w:rPr>
        <w:t xml:space="preserve"> </w:t>
      </w:r>
      <w:r w:rsidRPr="00405951">
        <w:rPr>
          <w:rStyle w:val="Hyperlink"/>
          <w:rFonts w:eastAsia="Calibri"/>
          <w:color w:val="000000"/>
          <w:u w:val="none"/>
          <w:lang w:val="fr-FR"/>
        </w:rPr>
        <w:t>et un système de</w:t>
      </w:r>
      <w:r w:rsidR="007628A8" w:rsidRPr="00405951">
        <w:rPr>
          <w:rStyle w:val="Hyperlink"/>
          <w:rFonts w:eastAsia="Calibri"/>
          <w:color w:val="000000"/>
          <w:u w:val="none"/>
          <w:lang w:val="fr-FR"/>
        </w:rPr>
        <w:t xml:space="preserve"> </w:t>
      </w:r>
      <w:r w:rsidRPr="00405951">
        <w:rPr>
          <w:rStyle w:val="Hyperlink"/>
          <w:rFonts w:eastAsia="Calibri"/>
          <w:color w:val="000000"/>
          <w:u w:val="none"/>
          <w:lang w:val="fr-FR"/>
        </w:rPr>
        <w:t>diffusion automatique de listes de ressources Internet sécurisées et non sécurisées</w:t>
      </w:r>
      <w:r w:rsidR="007628A8" w:rsidRPr="00405951">
        <w:rPr>
          <w:rStyle w:val="Hyperlink"/>
          <w:rFonts w:eastAsia="Calibri"/>
          <w:color w:val="000000"/>
          <w:u w:val="none"/>
          <w:lang w:val="fr-FR"/>
        </w:rPr>
        <w:t xml:space="preserve"> </w:t>
      </w:r>
      <w:r w:rsidR="00953610" w:rsidRPr="00405951">
        <w:rPr>
          <w:rStyle w:val="Hyperlink"/>
          <w:rFonts w:eastAsia="Calibri"/>
          <w:color w:val="000000"/>
          <w:u w:val="none"/>
          <w:lang w:val="fr-FR"/>
        </w:rPr>
        <w:t>(</w:t>
      </w:r>
      <w:hyperlink r:id="rId11" w:history="1">
        <w:r w:rsidR="00953610" w:rsidRPr="00405951">
          <w:rPr>
            <w:rStyle w:val="Hyperlink"/>
            <w:rFonts w:eastAsia="Calibri"/>
            <w:color w:val="000000"/>
            <w:szCs w:val="24"/>
            <w:u w:val="none"/>
            <w:lang w:val="fr-FR"/>
          </w:rPr>
          <w:t>http://bwld.online)</w:t>
        </w:r>
      </w:hyperlink>
      <w:r w:rsidR="00953610" w:rsidRPr="00405951">
        <w:rPr>
          <w:rStyle w:val="Hyperlink"/>
          <w:rFonts w:eastAsia="Calibri"/>
          <w:color w:val="000000"/>
          <w:u w:val="none"/>
          <w:lang w:val="fr-FR"/>
        </w:rPr>
        <w:t>.</w:t>
      </w:r>
      <w:bookmarkEnd w:id="40"/>
    </w:p>
    <w:p w:rsidR="00953610" w:rsidRPr="00405951" w:rsidRDefault="00274239" w:rsidP="00602326">
      <w:pPr>
        <w:rPr>
          <w:rStyle w:val="Hyperlink"/>
          <w:rFonts w:eastAsia="Calibri"/>
          <w:color w:val="000000"/>
          <w:u w:val="none"/>
          <w:lang w:val="fr-FR"/>
        </w:rPr>
      </w:pPr>
      <w:bookmarkStart w:id="41" w:name="lt_pId066"/>
      <w:r w:rsidRPr="00405951">
        <w:rPr>
          <w:rStyle w:val="Hyperlink"/>
          <w:rFonts w:eastAsia="Calibri"/>
          <w:color w:val="000000"/>
          <w:u w:val="none"/>
          <w:lang w:val="fr-FR"/>
        </w:rPr>
        <w:t>En outre, le bureau régional de l</w:t>
      </w:r>
      <w:r w:rsidR="007628A8" w:rsidRPr="00405951">
        <w:rPr>
          <w:rStyle w:val="Hyperlink"/>
          <w:rFonts w:eastAsia="Calibri"/>
          <w:color w:val="000000"/>
          <w:u w:val="none"/>
          <w:lang w:val="fr-FR"/>
        </w:rPr>
        <w:t>'</w:t>
      </w:r>
      <w:r w:rsidRPr="00405951">
        <w:rPr>
          <w:rStyle w:val="Hyperlink"/>
          <w:rFonts w:eastAsia="Calibri"/>
          <w:color w:val="000000"/>
          <w:u w:val="none"/>
          <w:lang w:val="fr-FR"/>
        </w:rPr>
        <w:t xml:space="preserve">UIT pour la CEI a continué de mettre en </w:t>
      </w:r>
      <w:r w:rsidR="00F87FD3" w:rsidRPr="00405951">
        <w:rPr>
          <w:rStyle w:val="Hyperlink"/>
          <w:rFonts w:eastAsia="Calibri"/>
          <w:color w:val="000000"/>
          <w:u w:val="none"/>
          <w:lang w:val="fr-FR"/>
        </w:rPr>
        <w:t>oe</w:t>
      </w:r>
      <w:r w:rsidRPr="00405951">
        <w:rPr>
          <w:rStyle w:val="Hyperlink"/>
          <w:rFonts w:eastAsia="Calibri"/>
          <w:color w:val="000000"/>
          <w:u w:val="none"/>
          <w:lang w:val="fr-FR"/>
        </w:rPr>
        <w:t>uvre l</w:t>
      </w:r>
      <w:r w:rsidR="007628A8" w:rsidRPr="00405951">
        <w:rPr>
          <w:rStyle w:val="Hyperlink"/>
          <w:rFonts w:eastAsia="Calibri"/>
          <w:color w:val="000000"/>
          <w:u w:val="none"/>
          <w:lang w:val="fr-FR"/>
        </w:rPr>
        <w:t>'</w:t>
      </w:r>
      <w:r w:rsidR="00FF6847" w:rsidRPr="00405951">
        <w:rPr>
          <w:rStyle w:val="Hyperlink"/>
          <w:rFonts w:eastAsia="Calibri"/>
          <w:color w:val="000000"/>
          <w:u w:val="none"/>
          <w:lang w:val="fr-FR"/>
        </w:rPr>
        <w:t>I</w:t>
      </w:r>
      <w:r w:rsidRPr="00405951">
        <w:rPr>
          <w:rStyle w:val="Hyperlink"/>
          <w:rFonts w:eastAsia="Calibri"/>
          <w:color w:val="000000"/>
          <w:u w:val="none"/>
          <w:lang w:val="fr-FR"/>
        </w:rPr>
        <w:t>nitiative régionale 2 de la CEI</w:t>
      </w:r>
      <w:r w:rsidR="00FF6847" w:rsidRPr="00405951">
        <w:rPr>
          <w:rStyle w:val="Hyperlink"/>
          <w:rFonts w:eastAsia="Calibri"/>
          <w:color w:val="000000"/>
          <w:u w:val="none"/>
          <w:lang w:val="fr-FR"/>
        </w:rPr>
        <w:t>,</w:t>
      </w:r>
      <w:r w:rsidRPr="00405951">
        <w:rPr>
          <w:rStyle w:val="Hyperlink"/>
          <w:rFonts w:eastAsia="Calibri"/>
          <w:color w:val="000000"/>
          <w:u w:val="none"/>
          <w:lang w:val="fr-FR"/>
        </w:rPr>
        <w:t xml:space="preserve"> en créant un centre d</w:t>
      </w:r>
      <w:r w:rsidR="007628A8" w:rsidRPr="00405951">
        <w:rPr>
          <w:rStyle w:val="Hyperlink"/>
          <w:rFonts w:eastAsia="Calibri"/>
          <w:color w:val="000000"/>
          <w:u w:val="none"/>
          <w:lang w:val="fr-FR"/>
        </w:rPr>
        <w:t>'</w:t>
      </w:r>
      <w:r w:rsidRPr="00405951">
        <w:rPr>
          <w:rStyle w:val="Hyperlink"/>
          <w:rFonts w:eastAsia="Calibri"/>
          <w:color w:val="000000"/>
          <w:u w:val="none"/>
          <w:lang w:val="fr-FR"/>
        </w:rPr>
        <w:t>accès et de formation à l</w:t>
      </w:r>
      <w:r w:rsidR="007628A8" w:rsidRPr="00405951">
        <w:rPr>
          <w:rStyle w:val="Hyperlink"/>
          <w:rFonts w:eastAsia="Calibri"/>
          <w:color w:val="000000"/>
          <w:u w:val="none"/>
          <w:lang w:val="fr-FR"/>
        </w:rPr>
        <w:t>'</w:t>
      </w:r>
      <w:r w:rsidRPr="00405951">
        <w:rPr>
          <w:rStyle w:val="Hyperlink"/>
          <w:rFonts w:eastAsia="Calibri"/>
          <w:color w:val="000000"/>
          <w:u w:val="none"/>
          <w:lang w:val="fr-FR"/>
        </w:rPr>
        <w:t>Internet à l</w:t>
      </w:r>
      <w:r w:rsidR="007628A8" w:rsidRPr="00405951">
        <w:rPr>
          <w:rStyle w:val="Hyperlink"/>
          <w:rFonts w:eastAsia="Calibri"/>
          <w:color w:val="000000"/>
          <w:u w:val="none"/>
          <w:lang w:val="fr-FR"/>
        </w:rPr>
        <w:t>'</w:t>
      </w:r>
      <w:r w:rsidRPr="00405951">
        <w:rPr>
          <w:rStyle w:val="Hyperlink"/>
          <w:rFonts w:eastAsia="Calibri"/>
          <w:color w:val="000000"/>
          <w:u w:val="none"/>
          <w:lang w:val="fr-FR"/>
        </w:rPr>
        <w:t>intention des utilisateurs</w:t>
      </w:r>
      <w:r w:rsidR="007628A8" w:rsidRPr="00405951">
        <w:rPr>
          <w:rStyle w:val="Hyperlink"/>
          <w:rFonts w:eastAsia="Calibri"/>
          <w:color w:val="000000"/>
          <w:u w:val="none"/>
          <w:lang w:val="fr-FR"/>
        </w:rPr>
        <w:t xml:space="preserve"> </w:t>
      </w:r>
      <w:r w:rsidRPr="00405951">
        <w:rPr>
          <w:color w:val="000000"/>
          <w:lang w:val="fr-FR"/>
        </w:rPr>
        <w:t>handicapés moteurs</w:t>
      </w:r>
      <w:r w:rsidR="007628A8" w:rsidRPr="00405951">
        <w:rPr>
          <w:color w:val="000000"/>
          <w:lang w:val="fr-FR"/>
        </w:rPr>
        <w:t xml:space="preserve"> </w:t>
      </w:r>
      <w:r w:rsidRPr="00405951">
        <w:rPr>
          <w:color w:val="000000"/>
          <w:lang w:val="fr-FR"/>
        </w:rPr>
        <w:t>ou présentant des troubles de la parole dans la</w:t>
      </w:r>
      <w:r w:rsidR="007628A8" w:rsidRPr="00405951">
        <w:rPr>
          <w:color w:val="000000"/>
          <w:lang w:val="fr-FR"/>
        </w:rPr>
        <w:t xml:space="preserve"> </w:t>
      </w:r>
      <w:r w:rsidRPr="00405951">
        <w:rPr>
          <w:color w:val="000000"/>
          <w:lang w:val="fr-FR"/>
        </w:rPr>
        <w:t xml:space="preserve">République de Sakha (Fédération de Russie) </w:t>
      </w:r>
      <w:r w:rsidR="00953610" w:rsidRPr="00405951">
        <w:rPr>
          <w:rStyle w:val="Hyperlink"/>
          <w:rFonts w:eastAsia="Calibri"/>
          <w:color w:val="000000"/>
          <w:u w:val="none"/>
          <w:lang w:val="fr-FR"/>
        </w:rPr>
        <w:t xml:space="preserve">(10 </w:t>
      </w:r>
      <w:r w:rsidRPr="00405951">
        <w:rPr>
          <w:color w:val="000000"/>
          <w:lang w:val="fr-FR"/>
        </w:rPr>
        <w:t>postes de travail</w:t>
      </w:r>
      <w:r w:rsidR="00953610" w:rsidRPr="00405951">
        <w:rPr>
          <w:rStyle w:val="Hyperlink"/>
          <w:rFonts w:eastAsia="Calibri"/>
          <w:color w:val="000000"/>
          <w:u w:val="none"/>
          <w:lang w:val="fr-FR"/>
        </w:rPr>
        <w:t>)</w:t>
      </w:r>
      <w:r w:rsidR="007628A8" w:rsidRPr="00405951">
        <w:rPr>
          <w:rStyle w:val="Hyperlink"/>
          <w:rFonts w:eastAsia="Calibri"/>
          <w:color w:val="000000"/>
          <w:u w:val="none"/>
          <w:lang w:val="fr-FR"/>
        </w:rPr>
        <w:t xml:space="preserve"> </w:t>
      </w:r>
      <w:r w:rsidRPr="00405951">
        <w:rPr>
          <w:rStyle w:val="Hyperlink"/>
          <w:rFonts w:eastAsia="Calibri"/>
          <w:color w:val="000000"/>
          <w:u w:val="none"/>
          <w:lang w:val="fr-FR"/>
        </w:rPr>
        <w:t>et des</w:t>
      </w:r>
      <w:r w:rsidR="00953610" w:rsidRPr="00405951">
        <w:rPr>
          <w:rStyle w:val="Hyperlink"/>
          <w:rFonts w:eastAsia="Calibri"/>
          <w:color w:val="000000"/>
          <w:u w:val="none"/>
          <w:lang w:val="fr-FR"/>
        </w:rPr>
        <w:t xml:space="preserve"> </w:t>
      </w:r>
      <w:r w:rsidRPr="00405951">
        <w:rPr>
          <w:color w:val="000000"/>
          <w:lang w:val="fr-FR"/>
        </w:rPr>
        <w:t>personnes présentant des troubles de l'audition à Minsk, (République du Belarus)</w:t>
      </w:r>
      <w:r w:rsidR="007628A8" w:rsidRPr="00405951">
        <w:rPr>
          <w:color w:val="000000"/>
          <w:lang w:val="fr-FR"/>
        </w:rPr>
        <w:t xml:space="preserve"> </w:t>
      </w:r>
      <w:r w:rsidR="00953610" w:rsidRPr="00405951">
        <w:rPr>
          <w:rStyle w:val="Hyperlink"/>
          <w:rFonts w:eastAsia="Calibri"/>
          <w:color w:val="000000"/>
          <w:u w:val="none"/>
          <w:lang w:val="fr-FR"/>
        </w:rPr>
        <w:t xml:space="preserve">(10 </w:t>
      </w:r>
      <w:r w:rsidRPr="00405951">
        <w:rPr>
          <w:color w:val="000000"/>
          <w:lang w:val="fr-FR"/>
        </w:rPr>
        <w:t>postes de travail</w:t>
      </w:r>
      <w:r w:rsidR="00953610" w:rsidRPr="00405951">
        <w:rPr>
          <w:rStyle w:val="Hyperlink"/>
          <w:rFonts w:eastAsia="Calibri"/>
          <w:color w:val="000000"/>
          <w:u w:val="none"/>
          <w:lang w:val="fr-FR"/>
        </w:rPr>
        <w:t>)</w:t>
      </w:r>
      <w:bookmarkEnd w:id="41"/>
      <w:r w:rsidR="007628A8" w:rsidRPr="00405951">
        <w:rPr>
          <w:rStyle w:val="Hyperlink"/>
          <w:rFonts w:eastAsia="Calibri"/>
          <w:color w:val="000000"/>
          <w:u w:val="none"/>
          <w:lang w:val="fr-FR"/>
        </w:rPr>
        <w:t>.</w:t>
      </w:r>
      <w:r w:rsidRPr="00405951">
        <w:rPr>
          <w:rStyle w:val="Hyperlink"/>
          <w:rFonts w:eastAsia="Calibri"/>
          <w:color w:val="000000"/>
          <w:u w:val="none"/>
          <w:lang w:val="fr-FR"/>
        </w:rPr>
        <w:t xml:space="preserve"> D</w:t>
      </w:r>
      <w:r w:rsidR="007628A8" w:rsidRPr="00405951">
        <w:rPr>
          <w:rStyle w:val="Hyperlink"/>
          <w:rFonts w:eastAsia="Calibri"/>
          <w:color w:val="000000"/>
          <w:u w:val="none"/>
          <w:lang w:val="fr-FR"/>
        </w:rPr>
        <w:t>'</w:t>
      </w:r>
      <w:r w:rsidRPr="00405951">
        <w:rPr>
          <w:rStyle w:val="Hyperlink"/>
          <w:rFonts w:eastAsia="Calibri"/>
          <w:color w:val="000000"/>
          <w:u w:val="none"/>
          <w:lang w:val="fr-FR"/>
        </w:rPr>
        <w:t>autres produits importants ont été mis au point</w:t>
      </w:r>
      <w:r w:rsidR="007628A8" w:rsidRPr="00405951">
        <w:rPr>
          <w:rStyle w:val="Hyperlink"/>
          <w:rFonts w:eastAsia="Calibri"/>
          <w:color w:val="000000"/>
          <w:u w:val="none"/>
          <w:lang w:val="fr-FR"/>
        </w:rPr>
        <w:t xml:space="preserve">: </w:t>
      </w:r>
      <w:bookmarkStart w:id="42" w:name="lt_pId067"/>
      <w:r w:rsidRPr="00405951">
        <w:rPr>
          <w:rStyle w:val="Hyperlink"/>
          <w:rFonts w:eastAsia="Calibri"/>
          <w:color w:val="000000"/>
          <w:u w:val="none"/>
          <w:lang w:val="fr-FR"/>
        </w:rPr>
        <w:t>élaboration d</w:t>
      </w:r>
      <w:r w:rsidR="007628A8" w:rsidRPr="00405951">
        <w:rPr>
          <w:rStyle w:val="Hyperlink"/>
          <w:rFonts w:eastAsia="Calibri"/>
          <w:color w:val="000000"/>
          <w:u w:val="none"/>
          <w:lang w:val="fr-FR"/>
        </w:rPr>
        <w:t>'</w:t>
      </w:r>
      <w:r w:rsidRPr="00405951">
        <w:rPr>
          <w:rStyle w:val="Hyperlink"/>
          <w:rFonts w:eastAsia="Calibri"/>
          <w:color w:val="000000"/>
          <w:u w:val="none"/>
          <w:lang w:val="fr-FR"/>
        </w:rPr>
        <w:t>un</w:t>
      </w:r>
      <w:r w:rsidRPr="00405951">
        <w:rPr>
          <w:color w:val="000000"/>
          <w:lang w:val="fr-FR"/>
        </w:rPr>
        <w:t xml:space="preserve"> logiciel</w:t>
      </w:r>
      <w:r w:rsidR="007628A8" w:rsidRPr="00405951">
        <w:rPr>
          <w:color w:val="000000"/>
          <w:lang w:val="fr-FR"/>
        </w:rPr>
        <w:t xml:space="preserve"> </w:t>
      </w:r>
      <w:r w:rsidRPr="00405951">
        <w:rPr>
          <w:color w:val="000000"/>
          <w:lang w:val="fr-FR"/>
        </w:rPr>
        <w:t>de diagnostic de la sensibilité humaine à un ou plusieurs canaux de réception des informations,</w:t>
      </w:r>
      <w:r w:rsidR="007628A8" w:rsidRPr="00405951">
        <w:rPr>
          <w:color w:val="000000"/>
          <w:lang w:val="fr-FR"/>
        </w:rPr>
        <w:t xml:space="preserve"> </w:t>
      </w:r>
      <w:r w:rsidRPr="00405951">
        <w:rPr>
          <w:color w:val="000000"/>
          <w:lang w:val="fr-FR"/>
        </w:rPr>
        <w:t>définition des exigences méthodologiques relatives aux ressources de formation en ligne</w:t>
      </w:r>
      <w:r w:rsidRPr="00405951">
        <w:rPr>
          <w:rStyle w:val="Hyperlink"/>
          <w:rFonts w:eastAsia="Calibri"/>
          <w:color w:val="000000"/>
          <w:u w:val="none"/>
          <w:lang w:val="fr-FR"/>
        </w:rPr>
        <w:t xml:space="preserve"> </w:t>
      </w:r>
      <w:r w:rsidR="00953610" w:rsidRPr="00405951">
        <w:rPr>
          <w:rStyle w:val="Hyperlink"/>
          <w:rFonts w:eastAsia="Calibri"/>
          <w:color w:val="000000"/>
          <w:u w:val="none"/>
          <w:lang w:val="fr-FR"/>
        </w:rPr>
        <w:t>(</w:t>
      </w:r>
      <w:r w:rsidR="00FF6847" w:rsidRPr="00405951">
        <w:rPr>
          <w:rStyle w:val="Hyperlink"/>
          <w:rFonts w:eastAsia="Calibri"/>
          <w:color w:val="000000"/>
          <w:u w:val="none"/>
          <w:lang w:val="fr-FR"/>
        </w:rPr>
        <w:t>I</w:t>
      </w:r>
      <w:r w:rsidRPr="00405951">
        <w:rPr>
          <w:rStyle w:val="Hyperlink"/>
          <w:rFonts w:eastAsia="Calibri"/>
          <w:color w:val="000000"/>
          <w:u w:val="none"/>
          <w:lang w:val="fr-FR"/>
        </w:rPr>
        <w:t>nitiative régionale 13 de la CEI</w:t>
      </w:r>
      <w:r w:rsidR="00953610" w:rsidRPr="00405951">
        <w:rPr>
          <w:rStyle w:val="Hyperlink"/>
          <w:rFonts w:eastAsia="Calibri"/>
          <w:color w:val="000000"/>
          <w:u w:val="none"/>
          <w:lang w:val="fr-FR"/>
        </w:rPr>
        <w:t xml:space="preserve">) </w:t>
      </w:r>
      <w:r w:rsidRPr="00405951">
        <w:rPr>
          <w:rStyle w:val="Hyperlink"/>
          <w:rFonts w:eastAsia="Calibri"/>
          <w:color w:val="000000"/>
          <w:u w:val="none"/>
          <w:lang w:val="fr-FR"/>
        </w:rPr>
        <w:t>et établissement</w:t>
      </w:r>
      <w:r w:rsidR="007628A8" w:rsidRPr="00405951">
        <w:rPr>
          <w:rStyle w:val="Hyperlink"/>
          <w:rFonts w:eastAsia="Calibri"/>
          <w:color w:val="000000"/>
          <w:u w:val="none"/>
          <w:lang w:val="fr-FR"/>
        </w:rPr>
        <w:t xml:space="preserve"> </w:t>
      </w:r>
      <w:r w:rsidRPr="00405951">
        <w:rPr>
          <w:rStyle w:val="Hyperlink"/>
          <w:rFonts w:eastAsia="Calibri"/>
          <w:color w:val="000000"/>
          <w:u w:val="none"/>
          <w:lang w:val="fr-FR"/>
        </w:rPr>
        <w:t>d</w:t>
      </w:r>
      <w:r w:rsidR="007628A8" w:rsidRPr="00405951">
        <w:rPr>
          <w:rStyle w:val="Hyperlink"/>
          <w:rFonts w:eastAsia="Calibri"/>
          <w:color w:val="000000"/>
          <w:u w:val="none"/>
          <w:lang w:val="fr-FR"/>
        </w:rPr>
        <w:t>'</w:t>
      </w:r>
      <w:r w:rsidRPr="00405951">
        <w:rPr>
          <w:rStyle w:val="Hyperlink"/>
          <w:rFonts w:eastAsia="Calibri"/>
          <w:color w:val="000000"/>
          <w:u w:val="none"/>
          <w:lang w:val="fr-FR"/>
        </w:rPr>
        <w:t xml:space="preserve">un rapport sur la situation actuelle dans les pays de la CEI en matière de renforcement de la confiance et </w:t>
      </w:r>
      <w:r w:rsidR="00FF6847" w:rsidRPr="00405951">
        <w:rPr>
          <w:rStyle w:val="Hyperlink"/>
          <w:rFonts w:eastAsia="Calibri"/>
          <w:color w:val="000000"/>
          <w:u w:val="none"/>
          <w:lang w:val="fr-FR"/>
        </w:rPr>
        <w:t xml:space="preserve">de </w:t>
      </w:r>
      <w:r w:rsidRPr="00405951">
        <w:rPr>
          <w:rStyle w:val="Hyperlink"/>
          <w:rFonts w:eastAsia="Calibri"/>
          <w:color w:val="000000"/>
          <w:u w:val="none"/>
          <w:lang w:val="fr-FR"/>
        </w:rPr>
        <w:t>la sécurité dans l</w:t>
      </w:r>
      <w:r w:rsidR="007628A8" w:rsidRPr="00405951">
        <w:rPr>
          <w:rStyle w:val="Hyperlink"/>
          <w:rFonts w:eastAsia="Calibri"/>
          <w:color w:val="000000"/>
          <w:u w:val="none"/>
          <w:lang w:val="fr-FR"/>
        </w:rPr>
        <w:t>'</w:t>
      </w:r>
      <w:r w:rsidRPr="00405951">
        <w:rPr>
          <w:rStyle w:val="Hyperlink"/>
          <w:rFonts w:eastAsia="Calibri"/>
          <w:color w:val="000000"/>
          <w:u w:val="none"/>
          <w:lang w:val="fr-FR"/>
        </w:rPr>
        <w:t>utilisation des TIC</w:t>
      </w:r>
      <w:r w:rsidR="007628A8" w:rsidRPr="00405951">
        <w:rPr>
          <w:rStyle w:val="Hyperlink"/>
          <w:rFonts w:eastAsia="Calibri"/>
          <w:color w:val="000000"/>
          <w:u w:val="none"/>
          <w:lang w:val="fr-FR"/>
        </w:rPr>
        <w:t xml:space="preserve"> </w:t>
      </w:r>
      <w:bookmarkEnd w:id="42"/>
      <w:r w:rsidRPr="00405951">
        <w:rPr>
          <w:rStyle w:val="Hyperlink"/>
          <w:rFonts w:eastAsia="Calibri"/>
          <w:color w:val="000000"/>
          <w:u w:val="none"/>
          <w:lang w:val="fr-FR"/>
        </w:rPr>
        <w:t>(</w:t>
      </w:r>
      <w:r w:rsidR="00FF6847" w:rsidRPr="00405951">
        <w:rPr>
          <w:rStyle w:val="Hyperlink"/>
          <w:rFonts w:eastAsia="Calibri"/>
          <w:color w:val="000000"/>
          <w:u w:val="none"/>
          <w:lang w:val="fr-FR"/>
        </w:rPr>
        <w:t>I</w:t>
      </w:r>
      <w:r w:rsidRPr="00405951">
        <w:rPr>
          <w:rStyle w:val="Hyperlink"/>
          <w:rFonts w:eastAsia="Calibri"/>
          <w:color w:val="000000"/>
          <w:u w:val="none"/>
          <w:lang w:val="fr-FR"/>
        </w:rPr>
        <w:t>nitiative régionale 15 de la CEI)</w:t>
      </w:r>
      <w:r w:rsidR="00FF6847" w:rsidRPr="00405951">
        <w:rPr>
          <w:rStyle w:val="Hyperlink"/>
          <w:rFonts w:eastAsia="Calibri"/>
          <w:color w:val="000000"/>
          <w:u w:val="none"/>
          <w:lang w:val="fr-FR"/>
        </w:rPr>
        <w:t>.</w:t>
      </w:r>
    </w:p>
    <w:p w:rsidR="00953610" w:rsidRPr="00405951" w:rsidRDefault="00FF6847" w:rsidP="007628A8">
      <w:pPr>
        <w:rPr>
          <w:rStyle w:val="ms-rtethemeforecolor-2-0"/>
          <w:szCs w:val="24"/>
          <w:lang w:val="fr-FR"/>
        </w:rPr>
      </w:pPr>
      <w:bookmarkStart w:id="43" w:name="lt_pId068"/>
      <w:r w:rsidRPr="00405951">
        <w:rPr>
          <w:rStyle w:val="Hyperlink"/>
          <w:rFonts w:eastAsia="Calibri"/>
          <w:color w:val="000000"/>
          <w:u w:val="none"/>
          <w:lang w:val="fr-FR"/>
        </w:rPr>
        <w:t>A</w:t>
      </w:r>
      <w:r w:rsidR="00274239" w:rsidRPr="00405951">
        <w:rPr>
          <w:rStyle w:val="Hyperlink"/>
          <w:rFonts w:eastAsia="Calibri"/>
          <w:color w:val="000000"/>
          <w:u w:val="none"/>
          <w:lang w:val="fr-FR"/>
        </w:rPr>
        <w:t xml:space="preserve"> la demande des</w:t>
      </w:r>
      <w:r w:rsidR="00953610" w:rsidRPr="00405951">
        <w:rPr>
          <w:rStyle w:val="Hyperlink"/>
          <w:rFonts w:eastAsia="Calibri"/>
          <w:color w:val="000000"/>
          <w:u w:val="none"/>
          <w:lang w:val="fr-FR"/>
        </w:rPr>
        <w:t xml:space="preserve"> </w:t>
      </w:r>
      <w:r w:rsidR="00274239" w:rsidRPr="00405951">
        <w:rPr>
          <w:color w:val="000000"/>
          <w:lang w:val="fr-FR"/>
        </w:rPr>
        <w:t>membres de l'UIT</w:t>
      </w:r>
      <w:r w:rsidR="007628A8" w:rsidRPr="00405951">
        <w:rPr>
          <w:color w:val="000000"/>
          <w:lang w:val="fr-FR"/>
        </w:rPr>
        <w:t xml:space="preserve"> </w:t>
      </w:r>
      <w:r w:rsidR="00274239" w:rsidRPr="00405951">
        <w:rPr>
          <w:color w:val="000000"/>
          <w:lang w:val="fr-FR"/>
        </w:rPr>
        <w:t>issus</w:t>
      </w:r>
      <w:r w:rsidR="00274239" w:rsidRPr="00405951">
        <w:rPr>
          <w:rStyle w:val="Hyperlink"/>
          <w:rFonts w:eastAsia="Calibri"/>
          <w:color w:val="000000"/>
          <w:u w:val="none"/>
          <w:lang w:val="fr-FR"/>
        </w:rPr>
        <w:t xml:space="preserve"> de la CEI</w:t>
      </w:r>
      <w:r w:rsidR="007628A8" w:rsidRPr="00405951">
        <w:rPr>
          <w:rStyle w:val="Hyperlink"/>
          <w:rFonts w:eastAsia="Calibri"/>
          <w:color w:val="000000"/>
          <w:u w:val="none"/>
          <w:lang w:val="fr-FR"/>
        </w:rPr>
        <w:t>,</w:t>
      </w:r>
      <w:r w:rsidR="00274239" w:rsidRPr="00405951">
        <w:rPr>
          <w:rStyle w:val="Hyperlink"/>
          <w:rFonts w:eastAsia="Calibri"/>
          <w:color w:val="000000"/>
          <w:u w:val="none"/>
          <w:lang w:val="fr-FR"/>
        </w:rPr>
        <w:t xml:space="preserve"> les domaines de coopération technique, les activités de renforcement des capacités et les discussions régionales en 2016 ont notamment porté sur le passage au numérique, la mise en </w:t>
      </w:r>
      <w:r w:rsidR="00F87FD3" w:rsidRPr="00405951">
        <w:rPr>
          <w:rStyle w:val="Hyperlink"/>
          <w:rFonts w:eastAsia="Calibri"/>
          <w:color w:val="000000"/>
          <w:u w:val="none"/>
          <w:lang w:val="fr-FR"/>
        </w:rPr>
        <w:t>oe</w:t>
      </w:r>
      <w:r w:rsidR="00E47D6F" w:rsidRPr="00405951">
        <w:rPr>
          <w:rStyle w:val="Hyperlink"/>
          <w:rFonts w:eastAsia="Calibri"/>
          <w:color w:val="000000"/>
          <w:u w:val="none"/>
          <w:lang w:val="fr-FR"/>
        </w:rPr>
        <w:t>uvre des résultats de la CMR</w:t>
      </w:r>
      <w:r w:rsidR="00E47D6F" w:rsidRPr="00405951">
        <w:rPr>
          <w:rStyle w:val="Hyperlink"/>
          <w:rFonts w:eastAsia="Calibri"/>
          <w:color w:val="000000"/>
          <w:u w:val="none"/>
          <w:lang w:val="fr-FR"/>
        </w:rPr>
        <w:noBreakHyphen/>
      </w:r>
      <w:r w:rsidR="00274239" w:rsidRPr="00405951">
        <w:rPr>
          <w:rStyle w:val="Hyperlink"/>
          <w:rFonts w:eastAsia="Calibri"/>
          <w:color w:val="000000"/>
          <w:u w:val="none"/>
          <w:lang w:val="fr-FR"/>
        </w:rPr>
        <w:t xml:space="preserve">15, la portabilité des numéros mobiles, les technologies </w:t>
      </w:r>
      <w:r w:rsidR="00E47D6F" w:rsidRPr="00405951">
        <w:rPr>
          <w:rStyle w:val="Hyperlink"/>
          <w:rFonts w:eastAsia="Calibri"/>
          <w:color w:val="000000"/>
          <w:u w:val="none"/>
          <w:lang w:val="fr-FR"/>
        </w:rPr>
        <w:t>4G/5G, la cyber</w:t>
      </w:r>
      <w:r w:rsidR="00274239" w:rsidRPr="00405951">
        <w:rPr>
          <w:rStyle w:val="Hyperlink"/>
          <w:rFonts w:eastAsia="Calibri"/>
          <w:color w:val="000000"/>
          <w:u w:val="none"/>
          <w:lang w:val="fr-FR"/>
        </w:rPr>
        <w:t>sécurité, les applications et la connectivité rurale</w:t>
      </w:r>
      <w:bookmarkEnd w:id="43"/>
      <w:r w:rsidR="007628A8" w:rsidRPr="00405951">
        <w:rPr>
          <w:rStyle w:val="Hyperlink"/>
          <w:rFonts w:eastAsia="Calibri"/>
          <w:color w:val="000000"/>
          <w:u w:val="none"/>
          <w:lang w:val="fr-FR"/>
        </w:rPr>
        <w:t>.</w:t>
      </w:r>
      <w:r w:rsidR="0078784B" w:rsidRPr="00405951">
        <w:rPr>
          <w:rStyle w:val="Hyperlink"/>
          <w:rFonts w:eastAsia="Calibri"/>
          <w:color w:val="000000"/>
          <w:u w:val="none"/>
          <w:lang w:val="fr-FR"/>
        </w:rPr>
        <w:t xml:space="preserve"> Tout au long de l</w:t>
      </w:r>
      <w:r w:rsidR="007628A8" w:rsidRPr="00405951">
        <w:rPr>
          <w:rStyle w:val="Hyperlink"/>
          <w:rFonts w:eastAsia="Calibri"/>
          <w:color w:val="000000"/>
          <w:u w:val="none"/>
          <w:lang w:val="fr-FR"/>
        </w:rPr>
        <w:t>'</w:t>
      </w:r>
      <w:r w:rsidR="0078784B" w:rsidRPr="00405951">
        <w:rPr>
          <w:rStyle w:val="Hyperlink"/>
          <w:rFonts w:eastAsia="Calibri"/>
          <w:color w:val="000000"/>
          <w:u w:val="none"/>
          <w:lang w:val="fr-FR"/>
        </w:rPr>
        <w:t>année, 11 ateliers, séminaires et programmes de formation ont été organisés, en présence de plus de 500 participants provenant de plus de 15 pays</w:t>
      </w:r>
      <w:r w:rsidRPr="00405951">
        <w:rPr>
          <w:rStyle w:val="Hyperlink"/>
          <w:rFonts w:eastAsia="Calibri"/>
          <w:color w:val="000000"/>
          <w:u w:val="none"/>
          <w:lang w:val="fr-FR"/>
        </w:rPr>
        <w:t>.</w:t>
      </w:r>
    </w:p>
    <w:p w:rsidR="00953610" w:rsidRPr="00405951" w:rsidRDefault="00953610" w:rsidP="007628A8">
      <w:pPr>
        <w:pStyle w:val="Heading2"/>
        <w:rPr>
          <w:lang w:val="fr-FR"/>
        </w:rPr>
      </w:pPr>
      <w:r w:rsidRPr="00405951">
        <w:rPr>
          <w:lang w:val="fr-FR"/>
        </w:rPr>
        <w:t>2.6</w:t>
      </w:r>
      <w:r w:rsidRPr="00405951">
        <w:rPr>
          <w:lang w:val="fr-FR"/>
        </w:rPr>
        <w:tab/>
        <w:t>Europe</w:t>
      </w:r>
    </w:p>
    <w:p w:rsidR="00953610" w:rsidRPr="00405951" w:rsidRDefault="00953610" w:rsidP="00602326">
      <w:pPr>
        <w:rPr>
          <w:lang w:val="fr-FR"/>
        </w:rPr>
      </w:pPr>
      <w:r w:rsidRPr="00405951">
        <w:rPr>
          <w:lang w:val="fr-FR"/>
        </w:rPr>
        <w:t xml:space="preserve">La méthode de travail ascendante proposée pour la planification des activités à mener dans le cadre des initiatives régionales pour l'Europe </w:t>
      </w:r>
      <w:r w:rsidR="00602326">
        <w:rPr>
          <w:lang w:val="fr-FR"/>
        </w:rPr>
        <w:t>[...]</w:t>
      </w:r>
      <w:r w:rsidR="00E47D6F" w:rsidRPr="00405951">
        <w:rPr>
          <w:lang w:val="fr-FR"/>
        </w:rPr>
        <w:t xml:space="preserve"> </w:t>
      </w:r>
      <w:r w:rsidRPr="00405951">
        <w:rPr>
          <w:lang w:val="fr-FR"/>
        </w:rPr>
        <w:t>accorde une place très importante à la mobilisation des ressources, à l'établissement de partenariats et à la sollicitation de nouveaux membres potentiels de l'UIT. Dans ce cadre, le Forum régional de développe</w:t>
      </w:r>
      <w:r w:rsidR="00E47D6F" w:rsidRPr="00405951">
        <w:rPr>
          <w:lang w:val="fr-FR"/>
        </w:rPr>
        <w:t xml:space="preserve">ment pour l'Europe sur le thème </w:t>
      </w:r>
      <w:r w:rsidRPr="00405951">
        <w:rPr>
          <w:lang w:val="fr-FR"/>
        </w:rPr>
        <w:t>"Le large bande au service du développement durable",</w:t>
      </w:r>
      <w:r w:rsidR="0078784B" w:rsidRPr="00405951">
        <w:rPr>
          <w:lang w:val="fr-FR"/>
        </w:rPr>
        <w:t xml:space="preserve"> qui s</w:t>
      </w:r>
      <w:r w:rsidR="007628A8" w:rsidRPr="00405951">
        <w:rPr>
          <w:lang w:val="fr-FR"/>
        </w:rPr>
        <w:t>'</w:t>
      </w:r>
      <w:r w:rsidR="0078784B" w:rsidRPr="00405951">
        <w:rPr>
          <w:lang w:val="fr-FR"/>
        </w:rPr>
        <w:t>est tenu</w:t>
      </w:r>
      <w:r w:rsidR="007628A8" w:rsidRPr="00405951">
        <w:rPr>
          <w:lang w:val="fr-FR"/>
        </w:rPr>
        <w:t xml:space="preserve"> </w:t>
      </w:r>
      <w:r w:rsidRPr="00405951">
        <w:rPr>
          <w:lang w:val="fr-FR"/>
        </w:rPr>
        <w:t>en Roumanie, visait à attirer de nouveaux partenaires souhaitant unir</w:t>
      </w:r>
      <w:r w:rsidR="007628A8" w:rsidRPr="00405951">
        <w:rPr>
          <w:lang w:val="fr-FR"/>
        </w:rPr>
        <w:t xml:space="preserve"> </w:t>
      </w:r>
      <w:r w:rsidR="0078784B" w:rsidRPr="00405951">
        <w:rPr>
          <w:lang w:val="fr-FR"/>
        </w:rPr>
        <w:t xml:space="preserve">leurs efforts à ceux </w:t>
      </w:r>
      <w:r w:rsidRPr="00405951">
        <w:rPr>
          <w:lang w:val="fr-FR"/>
        </w:rPr>
        <w:t>du BDT pour mettre en oeuvre les initiatives régionales</w:t>
      </w:r>
      <w:r w:rsidR="007628A8" w:rsidRPr="00405951">
        <w:rPr>
          <w:lang w:val="fr-FR"/>
        </w:rPr>
        <w:t xml:space="preserve"> </w:t>
      </w:r>
      <w:r w:rsidR="0078784B" w:rsidRPr="00405951">
        <w:rPr>
          <w:lang w:val="fr-FR"/>
        </w:rPr>
        <w:t>pour l</w:t>
      </w:r>
      <w:r w:rsidR="007628A8" w:rsidRPr="00405951">
        <w:rPr>
          <w:lang w:val="fr-FR"/>
        </w:rPr>
        <w:t>'</w:t>
      </w:r>
      <w:r w:rsidRPr="00405951">
        <w:rPr>
          <w:lang w:val="fr-FR"/>
        </w:rPr>
        <w:t xml:space="preserve"> Europe et établir un programme de mise en oeuvre pour la </w:t>
      </w:r>
      <w:r w:rsidRPr="00405951">
        <w:rPr>
          <w:lang w:val="fr-FR"/>
        </w:rPr>
        <w:lastRenderedPageBreak/>
        <w:t xml:space="preserve">période </w:t>
      </w:r>
      <w:r w:rsidR="00E47D6F" w:rsidRPr="00405951">
        <w:rPr>
          <w:lang w:val="fr-FR"/>
        </w:rPr>
        <w:t xml:space="preserve">[...] </w:t>
      </w:r>
      <w:r w:rsidRPr="00405951">
        <w:rPr>
          <w:lang w:val="fr-FR"/>
        </w:rPr>
        <w:t>2015-2017, sur la base des engagements</w:t>
      </w:r>
      <w:r w:rsidR="0078784B" w:rsidRPr="00405951">
        <w:rPr>
          <w:lang w:val="fr-FR"/>
        </w:rPr>
        <w:t xml:space="preserve"> pris par les </w:t>
      </w:r>
      <w:r w:rsidRPr="00405951">
        <w:rPr>
          <w:lang w:val="fr-FR"/>
        </w:rPr>
        <w:t xml:space="preserve">partenaires. De nouvelles entités ont été identifiées et se sont associées à </w:t>
      </w:r>
      <w:r w:rsidR="0078784B" w:rsidRPr="00405951">
        <w:rPr>
          <w:lang w:val="fr-FR"/>
        </w:rPr>
        <w:t xml:space="preserve">la </w:t>
      </w:r>
      <w:r w:rsidRPr="00405951">
        <w:rPr>
          <w:lang w:val="fr-FR"/>
        </w:rPr>
        <w:t xml:space="preserve">mise en </w:t>
      </w:r>
      <w:r w:rsidR="00F87FD3" w:rsidRPr="00405951">
        <w:rPr>
          <w:lang w:val="fr-FR"/>
        </w:rPr>
        <w:t>oe</w:t>
      </w:r>
      <w:r w:rsidR="0078784B" w:rsidRPr="00405951">
        <w:rPr>
          <w:lang w:val="fr-FR"/>
        </w:rPr>
        <w:t>uvre de ces initiatives</w:t>
      </w:r>
      <w:r w:rsidR="007628A8" w:rsidRPr="00405951">
        <w:rPr>
          <w:lang w:val="fr-FR"/>
        </w:rPr>
        <w:t>.</w:t>
      </w:r>
      <w:r w:rsidRPr="00405951">
        <w:rPr>
          <w:lang w:val="fr-FR"/>
        </w:rPr>
        <w:t xml:space="preserve"> Des efforts ont</w:t>
      </w:r>
      <w:r w:rsidR="0078784B" w:rsidRPr="00405951">
        <w:rPr>
          <w:lang w:val="fr-FR"/>
        </w:rPr>
        <w:t xml:space="preserve"> également </w:t>
      </w:r>
      <w:r w:rsidRPr="00405951">
        <w:rPr>
          <w:lang w:val="fr-FR"/>
        </w:rPr>
        <w:t xml:space="preserve">été déployés pour faire participer d'autres institutions </w:t>
      </w:r>
      <w:r w:rsidR="0078784B" w:rsidRPr="00405951">
        <w:rPr>
          <w:lang w:val="fr-FR"/>
        </w:rPr>
        <w:t xml:space="preserve">du système </w:t>
      </w:r>
      <w:r w:rsidRPr="00405951">
        <w:rPr>
          <w:lang w:val="fr-FR"/>
        </w:rPr>
        <w:t xml:space="preserve">des Nations Unies. Dans ce contexte, l'UIT a accueilli une réunion du </w:t>
      </w:r>
      <w:r w:rsidR="00E47D6F" w:rsidRPr="00405951">
        <w:rPr>
          <w:lang w:val="fr-FR"/>
        </w:rPr>
        <w:t>M</w:t>
      </w:r>
      <w:r w:rsidRPr="00405951">
        <w:rPr>
          <w:lang w:val="fr-FR"/>
        </w:rPr>
        <w:t xml:space="preserve">écanisme de coordination régionale pour l'Europe et l'Asie centrale mis en place au niveau des Nations Unies, ainsi qu'une réunion de l'équipe régionale du </w:t>
      </w:r>
      <w:r w:rsidR="0078784B" w:rsidRPr="00405951">
        <w:rPr>
          <w:color w:val="000000"/>
          <w:lang w:val="fr-FR"/>
        </w:rPr>
        <w:t>Groupe des Nations Unies pour le développement (UNDG) pour l</w:t>
      </w:r>
      <w:r w:rsidR="007628A8" w:rsidRPr="00405951">
        <w:rPr>
          <w:color w:val="000000"/>
          <w:lang w:val="fr-FR"/>
        </w:rPr>
        <w:t>'</w:t>
      </w:r>
      <w:r w:rsidR="0078784B" w:rsidRPr="00405951">
        <w:rPr>
          <w:color w:val="000000"/>
          <w:lang w:val="fr-FR"/>
        </w:rPr>
        <w:t>Europe et l</w:t>
      </w:r>
      <w:r w:rsidR="007628A8" w:rsidRPr="00405951">
        <w:rPr>
          <w:color w:val="000000"/>
          <w:lang w:val="fr-FR"/>
        </w:rPr>
        <w:t>'</w:t>
      </w:r>
      <w:r w:rsidR="0078784B" w:rsidRPr="00405951">
        <w:rPr>
          <w:color w:val="000000"/>
          <w:lang w:val="fr-FR"/>
        </w:rPr>
        <w:t>Asie centrale</w:t>
      </w:r>
      <w:r w:rsidRPr="00405951">
        <w:rPr>
          <w:lang w:val="fr-FR"/>
        </w:rPr>
        <w:t>. Une coordination a été assurée pour veiller à l'intégration de</w:t>
      </w:r>
      <w:r w:rsidR="00E47D6F" w:rsidRPr="00405951">
        <w:rPr>
          <w:lang w:val="fr-FR"/>
        </w:rPr>
        <w:t xml:space="preserve"> la composante TIC dans le Plan-</w:t>
      </w:r>
      <w:r w:rsidRPr="00405951">
        <w:rPr>
          <w:lang w:val="fr-FR"/>
        </w:rPr>
        <w:t>cadre des Nations Unies pour le développement</w:t>
      </w:r>
      <w:r w:rsidR="0078784B" w:rsidRPr="00405951">
        <w:rPr>
          <w:lang w:val="fr-FR"/>
        </w:rPr>
        <w:t xml:space="preserve"> </w:t>
      </w:r>
      <w:r w:rsidRPr="00405951">
        <w:rPr>
          <w:lang w:val="fr-FR"/>
        </w:rPr>
        <w:t>en Europe,</w:t>
      </w:r>
      <w:r w:rsidR="0078784B" w:rsidRPr="00405951">
        <w:rPr>
          <w:lang w:val="fr-FR"/>
        </w:rPr>
        <w:t xml:space="preserve"> compte tenu </w:t>
      </w:r>
      <w:r w:rsidRPr="00405951">
        <w:rPr>
          <w:lang w:val="fr-FR"/>
        </w:rPr>
        <w:t>des nouvelles priorités</w:t>
      </w:r>
      <w:r w:rsidR="0078784B" w:rsidRPr="00405951">
        <w:rPr>
          <w:lang w:val="fr-FR"/>
        </w:rPr>
        <w:t xml:space="preserve"> fixées </w:t>
      </w:r>
      <w:r w:rsidRPr="00405951">
        <w:rPr>
          <w:lang w:val="fr-FR"/>
        </w:rPr>
        <w:t>par le Sommet sur le développement durable.</w:t>
      </w:r>
    </w:p>
    <w:p w:rsidR="00953610" w:rsidRPr="00405951" w:rsidRDefault="00953610" w:rsidP="004B3330">
      <w:pPr>
        <w:rPr>
          <w:lang w:val="fr-FR"/>
        </w:rPr>
      </w:pPr>
      <w:r w:rsidRPr="00405951">
        <w:rPr>
          <w:lang w:val="fr-FR"/>
        </w:rPr>
        <w:t xml:space="preserve">Des efforts </w:t>
      </w:r>
      <w:r w:rsidR="004B3330" w:rsidRPr="00405951">
        <w:rPr>
          <w:lang w:val="fr-FR"/>
        </w:rPr>
        <w:t>considérables</w:t>
      </w:r>
      <w:r w:rsidRPr="00405951">
        <w:rPr>
          <w:lang w:val="fr-FR"/>
        </w:rPr>
        <w:t xml:space="preserve"> ont été consacrés, à tous les niveaux,</w:t>
      </w:r>
      <w:r w:rsidR="0078784B" w:rsidRPr="00405951">
        <w:rPr>
          <w:lang w:val="fr-FR"/>
        </w:rPr>
        <w:t xml:space="preserve"> au renforcement de </w:t>
      </w:r>
      <w:r w:rsidRPr="00405951">
        <w:rPr>
          <w:lang w:val="fr-FR"/>
        </w:rPr>
        <w:t>la collaboration avec la Commission européenne</w:t>
      </w:r>
      <w:r w:rsidR="004B3330" w:rsidRPr="00405951">
        <w:rPr>
          <w:lang w:val="fr-FR"/>
        </w:rPr>
        <w:t>,</w:t>
      </w:r>
      <w:r w:rsidRPr="00405951">
        <w:rPr>
          <w:lang w:val="fr-FR"/>
        </w:rPr>
        <w:t xml:space="preserve"> en vue de mener à bien des initiatives communes dans la région. Des discussions menées avec d'autres grandes institutions européennes comme la Banque européenne d'investissement (BEI), la Banque européenne pour la reconstruction et le développement (BERD), le Centre commun de recherche de l'Union européenne, l'Union européenne de radio-télévision (UER), l'ENISA,</w:t>
      </w:r>
      <w:r w:rsidR="007628A8" w:rsidRPr="00405951">
        <w:rPr>
          <w:lang w:val="fr-FR"/>
        </w:rPr>
        <w:t xml:space="preserve"> </w:t>
      </w:r>
      <w:r w:rsidRPr="00405951">
        <w:rPr>
          <w:lang w:val="fr-FR"/>
        </w:rPr>
        <w:t xml:space="preserve">ont abouti à </w:t>
      </w:r>
      <w:r w:rsidR="0078784B" w:rsidRPr="00405951">
        <w:rPr>
          <w:lang w:val="fr-FR"/>
        </w:rPr>
        <w:t>des activités communes concrètes</w:t>
      </w:r>
      <w:r w:rsidR="007628A8" w:rsidRPr="00405951">
        <w:rPr>
          <w:lang w:val="fr-FR"/>
        </w:rPr>
        <w:t xml:space="preserve"> </w:t>
      </w:r>
      <w:r w:rsidRPr="00405951">
        <w:rPr>
          <w:lang w:val="fr-FR"/>
        </w:rPr>
        <w:t>dans la région.</w:t>
      </w:r>
    </w:p>
    <w:p w:rsidR="00953610" w:rsidRPr="00405951" w:rsidRDefault="00953610" w:rsidP="004B3330">
      <w:pPr>
        <w:rPr>
          <w:lang w:val="fr-FR"/>
        </w:rPr>
      </w:pPr>
      <w:r w:rsidRPr="00405951">
        <w:rPr>
          <w:lang w:val="fr-FR"/>
        </w:rPr>
        <w:t xml:space="preserve">Une coordination a été assurée avec des Etats Membres de l'UIT </w:t>
      </w:r>
      <w:r w:rsidR="004B3330" w:rsidRPr="00405951">
        <w:rPr>
          <w:lang w:val="fr-FR"/>
        </w:rPr>
        <w:t>en vue d'</w:t>
      </w:r>
      <w:r w:rsidRPr="00405951">
        <w:rPr>
          <w:lang w:val="fr-FR"/>
        </w:rPr>
        <w:t>obtenir leur appui en ce qui concerne la participation d'établissements universitaires aux travaux de l'UIT. On a identifié</w:t>
      </w:r>
      <w:r w:rsidR="0078784B" w:rsidRPr="00405951">
        <w:rPr>
          <w:lang w:val="fr-FR"/>
        </w:rPr>
        <w:t xml:space="preserve"> des</w:t>
      </w:r>
      <w:r w:rsidR="007628A8" w:rsidRPr="00405951">
        <w:rPr>
          <w:lang w:val="fr-FR"/>
        </w:rPr>
        <w:t xml:space="preserve"> </w:t>
      </w:r>
      <w:r w:rsidRPr="00405951">
        <w:rPr>
          <w:lang w:val="fr-FR"/>
        </w:rPr>
        <w:t>réseaux universitaires</w:t>
      </w:r>
      <w:r w:rsidR="007628A8" w:rsidRPr="00405951">
        <w:rPr>
          <w:lang w:val="fr-FR"/>
        </w:rPr>
        <w:t xml:space="preserve"> </w:t>
      </w:r>
      <w:r w:rsidR="0078784B" w:rsidRPr="00405951">
        <w:rPr>
          <w:lang w:val="fr-FR"/>
        </w:rPr>
        <w:t xml:space="preserve">de premier plan pour </w:t>
      </w:r>
      <w:r w:rsidR="0078784B" w:rsidRPr="00405951">
        <w:rPr>
          <w:color w:val="000000"/>
          <w:lang w:val="fr-FR"/>
        </w:rPr>
        <w:t>renforcer les activités de mobilisation</w:t>
      </w:r>
      <w:r w:rsidR="007628A8" w:rsidRPr="00405951">
        <w:rPr>
          <w:color w:val="000000"/>
          <w:lang w:val="fr-FR"/>
        </w:rPr>
        <w:t>.</w:t>
      </w:r>
      <w:r w:rsidRPr="00405951">
        <w:rPr>
          <w:lang w:val="fr-FR"/>
        </w:rPr>
        <w:t xml:space="preserve"> En conséquence, l'UIT a été invitée à appuyer la</w:t>
      </w:r>
      <w:r w:rsidR="007628A8" w:rsidRPr="00405951">
        <w:rPr>
          <w:lang w:val="fr-FR"/>
        </w:rPr>
        <w:t xml:space="preserve"> </w:t>
      </w:r>
      <w:r w:rsidRPr="00405951">
        <w:rPr>
          <w:lang w:val="fr-FR"/>
        </w:rPr>
        <w:t>réunion régionale pour l'Europe de</w:t>
      </w:r>
      <w:r w:rsidR="007628A8" w:rsidRPr="00405951">
        <w:rPr>
          <w:lang w:val="fr-FR"/>
        </w:rPr>
        <w:t xml:space="preserve"> </w:t>
      </w:r>
      <w:r w:rsidR="0078784B" w:rsidRPr="00405951">
        <w:rPr>
          <w:lang w:val="fr-FR"/>
        </w:rPr>
        <w:t>l</w:t>
      </w:r>
      <w:r w:rsidR="007628A8" w:rsidRPr="00405951">
        <w:rPr>
          <w:lang w:val="fr-FR"/>
        </w:rPr>
        <w:t>'</w:t>
      </w:r>
      <w:r w:rsidRPr="00405951">
        <w:rPr>
          <w:lang w:val="fr-FR"/>
        </w:rPr>
        <w:t>International Telecommunication Society</w:t>
      </w:r>
      <w:r w:rsidR="0078784B" w:rsidRPr="00405951">
        <w:rPr>
          <w:lang w:val="fr-FR"/>
        </w:rPr>
        <w:t>, qui a eu lieu en septembre 2016</w:t>
      </w:r>
      <w:r w:rsidRPr="00405951">
        <w:rPr>
          <w:lang w:val="fr-FR"/>
        </w:rPr>
        <w:t>.</w:t>
      </w:r>
    </w:p>
    <w:p w:rsidR="00953610" w:rsidRPr="00405951" w:rsidRDefault="004B3330" w:rsidP="004B3330">
      <w:pPr>
        <w:rPr>
          <w:lang w:val="fr-FR"/>
        </w:rPr>
      </w:pPr>
      <w:r w:rsidRPr="00405951">
        <w:rPr>
          <w:lang w:val="fr-FR"/>
        </w:rPr>
        <w:t>U</w:t>
      </w:r>
      <w:r w:rsidR="00953610" w:rsidRPr="00405951">
        <w:rPr>
          <w:lang w:val="fr-FR"/>
        </w:rPr>
        <w:t xml:space="preserve">ne conférence sur les </w:t>
      </w:r>
      <w:r w:rsidR="00F13F6C" w:rsidRPr="00405951">
        <w:rPr>
          <w:lang w:val="fr-FR"/>
        </w:rPr>
        <w:t>plates-formes de dialogue</w:t>
      </w:r>
      <w:r w:rsidR="007628A8" w:rsidRPr="00405951">
        <w:rPr>
          <w:lang w:val="fr-FR"/>
        </w:rPr>
        <w:t xml:space="preserve"> </w:t>
      </w:r>
      <w:r w:rsidR="0078784B" w:rsidRPr="00405951">
        <w:rPr>
          <w:lang w:val="fr-FR"/>
        </w:rPr>
        <w:t xml:space="preserve">secteur </w:t>
      </w:r>
      <w:r w:rsidR="00953610" w:rsidRPr="00405951">
        <w:rPr>
          <w:lang w:val="fr-FR"/>
        </w:rPr>
        <w:t>public-</w:t>
      </w:r>
      <w:r w:rsidR="0078784B" w:rsidRPr="00405951">
        <w:rPr>
          <w:lang w:val="fr-FR"/>
        </w:rPr>
        <w:t xml:space="preserve">secteur </w:t>
      </w:r>
      <w:r w:rsidR="00953610" w:rsidRPr="00405951">
        <w:rPr>
          <w:lang w:val="fr-FR"/>
        </w:rPr>
        <w:t>privé dans les pays d'Europe centrale</w:t>
      </w:r>
      <w:r w:rsidR="00F13F6C" w:rsidRPr="00405951">
        <w:rPr>
          <w:lang w:val="fr-FR"/>
        </w:rPr>
        <w:t xml:space="preserve"> a été organisée en 2016,</w:t>
      </w:r>
      <w:r w:rsidR="007628A8" w:rsidRPr="00405951">
        <w:rPr>
          <w:lang w:val="fr-FR"/>
        </w:rPr>
        <w:t xml:space="preserve"> </w:t>
      </w:r>
      <w:r w:rsidR="00F13F6C" w:rsidRPr="00405951">
        <w:rPr>
          <w:lang w:val="fr-FR"/>
        </w:rPr>
        <w:t>en vue</w:t>
      </w:r>
      <w:r w:rsidR="007628A8" w:rsidRPr="00405951">
        <w:rPr>
          <w:lang w:val="fr-FR"/>
        </w:rPr>
        <w:t xml:space="preserve"> </w:t>
      </w:r>
      <w:r w:rsidR="00F13F6C" w:rsidRPr="00405951">
        <w:rPr>
          <w:lang w:val="fr-FR"/>
        </w:rPr>
        <w:t>de renforcer le dialogue entre le secteur public et le secteur privé</w:t>
      </w:r>
      <w:r w:rsidR="007628A8" w:rsidRPr="00405951">
        <w:rPr>
          <w:lang w:val="fr-FR"/>
        </w:rPr>
        <w:t xml:space="preserve"> </w:t>
      </w:r>
      <w:r w:rsidR="00F13F6C" w:rsidRPr="00405951">
        <w:rPr>
          <w:lang w:val="fr-FR"/>
        </w:rPr>
        <w:t>et l'établissement de partenariats dans le domaine de la cybersécurité</w:t>
      </w:r>
      <w:r w:rsidRPr="00405951">
        <w:rPr>
          <w:lang w:val="fr-FR"/>
        </w:rPr>
        <w:t>;</w:t>
      </w:r>
      <w:r w:rsidR="007628A8" w:rsidRPr="00405951">
        <w:rPr>
          <w:lang w:val="fr-FR"/>
        </w:rPr>
        <w:t xml:space="preserve"> </w:t>
      </w:r>
      <w:r w:rsidRPr="00405951">
        <w:rPr>
          <w:lang w:val="fr-FR"/>
        </w:rPr>
        <w:t xml:space="preserve">cette </w:t>
      </w:r>
      <w:r w:rsidR="00953610" w:rsidRPr="00405951">
        <w:rPr>
          <w:lang w:val="fr-FR"/>
        </w:rPr>
        <w:t>initiative</w:t>
      </w:r>
      <w:r w:rsidR="007628A8" w:rsidRPr="00405951">
        <w:rPr>
          <w:lang w:val="fr-FR"/>
        </w:rPr>
        <w:t xml:space="preserve"> </w:t>
      </w:r>
      <w:r w:rsidR="00F13F6C" w:rsidRPr="00405951">
        <w:rPr>
          <w:lang w:val="fr-FR"/>
        </w:rPr>
        <w:t>devrait être reconduite</w:t>
      </w:r>
      <w:r w:rsidRPr="00405951">
        <w:rPr>
          <w:lang w:val="fr-FR"/>
        </w:rPr>
        <w:t>.</w:t>
      </w:r>
    </w:p>
    <w:p w:rsidR="008923C0" w:rsidRPr="00405951" w:rsidRDefault="008923C0" w:rsidP="00CB00D2">
      <w:pPr>
        <w:pStyle w:val="Heading1"/>
        <w:rPr>
          <w:lang w:val="fr-FR"/>
        </w:rPr>
      </w:pPr>
      <w:r w:rsidRPr="00405951">
        <w:rPr>
          <w:lang w:val="fr-FR"/>
        </w:rPr>
        <w:t>3</w:t>
      </w:r>
      <w:r w:rsidRPr="00405951">
        <w:rPr>
          <w:lang w:val="fr-FR"/>
        </w:rPr>
        <w:tab/>
      </w:r>
      <w:r w:rsidR="00F13F6C" w:rsidRPr="00405951">
        <w:rPr>
          <w:lang w:val="fr-FR"/>
        </w:rPr>
        <w:t xml:space="preserve">Mesures </w:t>
      </w:r>
      <w:r w:rsidRPr="00405951">
        <w:rPr>
          <w:lang w:val="fr-FR"/>
        </w:rPr>
        <w:t>prises</w:t>
      </w:r>
      <w:r w:rsidR="00F13F6C" w:rsidRPr="00405951">
        <w:rPr>
          <w:lang w:val="fr-FR"/>
        </w:rPr>
        <w:t xml:space="preserve"> et résultats obtenus à l</w:t>
      </w:r>
      <w:r w:rsidR="007628A8" w:rsidRPr="00405951">
        <w:rPr>
          <w:lang w:val="fr-FR"/>
        </w:rPr>
        <w:t>'</w:t>
      </w:r>
      <w:r w:rsidR="00F13F6C" w:rsidRPr="00405951">
        <w:rPr>
          <w:lang w:val="fr-FR"/>
        </w:rPr>
        <w:t xml:space="preserve">échelle mondiale </w:t>
      </w:r>
    </w:p>
    <w:p w:rsidR="008923C0" w:rsidRPr="00405951" w:rsidRDefault="008923C0" w:rsidP="007628A8">
      <w:pPr>
        <w:pStyle w:val="Heading2"/>
        <w:rPr>
          <w:lang w:val="fr-FR"/>
        </w:rPr>
      </w:pPr>
      <w:r w:rsidRPr="00405951">
        <w:rPr>
          <w:lang w:val="fr-FR"/>
        </w:rPr>
        <w:t>3.1</w:t>
      </w:r>
      <w:r w:rsidRPr="00405951">
        <w:rPr>
          <w:lang w:val="fr-FR"/>
        </w:rPr>
        <w:tab/>
        <w:t>Partenariats et mobilisation des ressources – Produits et outils</w:t>
      </w:r>
    </w:p>
    <w:p w:rsidR="008923C0" w:rsidRPr="00405951" w:rsidRDefault="00F13F6C" w:rsidP="00CB00D2">
      <w:pPr>
        <w:rPr>
          <w:lang w:val="fr-FR"/>
        </w:rPr>
      </w:pPr>
      <w:bookmarkStart w:id="44" w:name="lt_pId085"/>
      <w:r w:rsidRPr="00405951">
        <w:rPr>
          <w:lang w:val="fr-FR"/>
        </w:rPr>
        <w:t xml:space="preserve">Le </w:t>
      </w:r>
      <w:r w:rsidR="008923C0" w:rsidRPr="00405951">
        <w:rPr>
          <w:lang w:val="fr-FR"/>
        </w:rPr>
        <w:t xml:space="preserve">BDT </w:t>
      </w:r>
      <w:r w:rsidRPr="00405951">
        <w:rPr>
          <w:lang w:val="fr-FR"/>
        </w:rPr>
        <w:t>a élaboré divers outils</w:t>
      </w:r>
      <w:r w:rsidR="007628A8" w:rsidRPr="00405951">
        <w:rPr>
          <w:lang w:val="fr-FR"/>
        </w:rPr>
        <w:t xml:space="preserve">, </w:t>
      </w:r>
      <w:r w:rsidRPr="00405951">
        <w:rPr>
          <w:lang w:val="fr-FR"/>
        </w:rPr>
        <w:t>internes et</w:t>
      </w:r>
      <w:r w:rsidR="007628A8" w:rsidRPr="00405951">
        <w:rPr>
          <w:lang w:val="fr-FR"/>
        </w:rPr>
        <w:t xml:space="preserve"> </w:t>
      </w:r>
      <w:r w:rsidRPr="00405951">
        <w:rPr>
          <w:lang w:val="fr-FR"/>
        </w:rPr>
        <w:t>externes</w:t>
      </w:r>
      <w:r w:rsidR="00CD7FF7" w:rsidRPr="00405951">
        <w:rPr>
          <w:lang w:val="fr-FR"/>
        </w:rPr>
        <w:t>,</w:t>
      </w:r>
      <w:r w:rsidR="007628A8" w:rsidRPr="00405951">
        <w:rPr>
          <w:lang w:val="fr-FR"/>
        </w:rPr>
        <w:t xml:space="preserve"> </w:t>
      </w:r>
      <w:r w:rsidRPr="00405951">
        <w:rPr>
          <w:lang w:val="fr-FR"/>
        </w:rPr>
        <w:t>afin d</w:t>
      </w:r>
      <w:r w:rsidR="007628A8" w:rsidRPr="00405951">
        <w:rPr>
          <w:lang w:val="fr-FR"/>
        </w:rPr>
        <w:t>'</w:t>
      </w:r>
      <w:r w:rsidRPr="00405951">
        <w:rPr>
          <w:lang w:val="fr-FR"/>
        </w:rPr>
        <w:t>appuyer les efforts qu</w:t>
      </w:r>
      <w:r w:rsidR="007628A8" w:rsidRPr="00405951">
        <w:rPr>
          <w:lang w:val="fr-FR"/>
        </w:rPr>
        <w:t>'</w:t>
      </w:r>
      <w:r w:rsidRPr="00405951">
        <w:rPr>
          <w:lang w:val="fr-FR"/>
        </w:rPr>
        <w:t>il</w:t>
      </w:r>
      <w:r w:rsidR="007628A8" w:rsidRPr="00405951">
        <w:rPr>
          <w:lang w:val="fr-FR"/>
        </w:rPr>
        <w:t xml:space="preserve"> </w:t>
      </w:r>
      <w:r w:rsidRPr="00405951">
        <w:rPr>
          <w:lang w:val="fr-FR"/>
        </w:rPr>
        <w:t>déploie dans le domaine des partenariats et de la mobilisation des ressources</w:t>
      </w:r>
      <w:r w:rsidR="007628A8" w:rsidRPr="00405951">
        <w:rPr>
          <w:lang w:val="fr-FR"/>
        </w:rPr>
        <w:t xml:space="preserve"> </w:t>
      </w:r>
      <w:r w:rsidRPr="00405951">
        <w:rPr>
          <w:lang w:val="fr-FR"/>
        </w:rPr>
        <w:t>pour</w:t>
      </w:r>
      <w:r w:rsidR="00CD7FF7" w:rsidRPr="00405951">
        <w:rPr>
          <w:lang w:val="fr-FR"/>
        </w:rPr>
        <w:t xml:space="preserve"> la mise en </w:t>
      </w:r>
      <w:r w:rsidR="00F87FD3" w:rsidRPr="00405951">
        <w:rPr>
          <w:lang w:val="fr-FR"/>
        </w:rPr>
        <w:t>oe</w:t>
      </w:r>
      <w:r w:rsidR="00CD7FF7" w:rsidRPr="00405951">
        <w:rPr>
          <w:lang w:val="fr-FR"/>
        </w:rPr>
        <w:t>uvre</w:t>
      </w:r>
      <w:r w:rsidRPr="00405951">
        <w:rPr>
          <w:lang w:val="fr-FR"/>
        </w:rPr>
        <w:t xml:space="preserve"> </w:t>
      </w:r>
      <w:r w:rsidR="00CD7FF7" w:rsidRPr="00405951">
        <w:rPr>
          <w:lang w:val="fr-FR"/>
        </w:rPr>
        <w:t>de</w:t>
      </w:r>
      <w:r w:rsidRPr="00405951">
        <w:rPr>
          <w:lang w:val="fr-FR"/>
        </w:rPr>
        <w:t xml:space="preserve"> </w:t>
      </w:r>
      <w:hyperlink r:id="rId12" w:history="1">
        <w:r w:rsidRPr="00405951">
          <w:rPr>
            <w:rStyle w:val="Hyperlink"/>
            <w:lang w:val="fr-FR"/>
          </w:rPr>
          <w:t>projets</w:t>
        </w:r>
      </w:hyperlink>
      <w:r w:rsidRPr="00405951">
        <w:rPr>
          <w:lang w:val="fr-FR"/>
        </w:rPr>
        <w:t xml:space="preserve"> </w:t>
      </w:r>
      <w:r w:rsidR="00CD7FF7" w:rsidRPr="00405951">
        <w:rPr>
          <w:lang w:val="fr-FR"/>
        </w:rPr>
        <w:t>et d</w:t>
      </w:r>
      <w:r w:rsidR="007628A8" w:rsidRPr="00405951">
        <w:rPr>
          <w:lang w:val="fr-FR"/>
        </w:rPr>
        <w:t>'</w:t>
      </w:r>
      <w:r w:rsidR="00CD7FF7" w:rsidRPr="00405951">
        <w:rPr>
          <w:lang w:val="fr-FR"/>
        </w:rPr>
        <w:t xml:space="preserve">initiatives </w:t>
      </w:r>
      <w:r w:rsidRPr="00405951">
        <w:rPr>
          <w:lang w:val="fr-FR"/>
        </w:rPr>
        <w:t>de l</w:t>
      </w:r>
      <w:r w:rsidR="007628A8" w:rsidRPr="00405951">
        <w:rPr>
          <w:lang w:val="fr-FR"/>
        </w:rPr>
        <w:t>'</w:t>
      </w:r>
      <w:r w:rsidRPr="00405951">
        <w:rPr>
          <w:lang w:val="fr-FR"/>
        </w:rPr>
        <w:t>UIT-D, par exemple</w:t>
      </w:r>
      <w:r w:rsidR="007628A8" w:rsidRPr="00405951">
        <w:rPr>
          <w:lang w:val="fr-FR"/>
        </w:rPr>
        <w:t>:</w:t>
      </w:r>
      <w:bookmarkEnd w:id="44"/>
      <w:r w:rsidR="007628A8" w:rsidRPr="00405951">
        <w:rPr>
          <w:lang w:val="fr-FR"/>
        </w:rPr>
        <w:t xml:space="preserve"> </w:t>
      </w:r>
    </w:p>
    <w:p w:rsidR="008923C0" w:rsidRPr="00405951" w:rsidRDefault="008923C0" w:rsidP="007628A8">
      <w:pPr>
        <w:pStyle w:val="enumlev1"/>
        <w:rPr>
          <w:lang w:val="fr-FR"/>
        </w:rPr>
      </w:pPr>
      <w:r w:rsidRPr="00405951">
        <w:rPr>
          <w:i/>
          <w:iCs/>
          <w:lang w:val="fr-FR"/>
        </w:rPr>
        <w:t>–</w:t>
      </w:r>
      <w:r w:rsidRPr="00405951">
        <w:rPr>
          <w:b/>
          <w:bCs/>
          <w:i/>
          <w:iCs/>
          <w:lang w:val="fr-FR"/>
        </w:rPr>
        <w:tab/>
        <w:t>base de données des partenaires de financement</w:t>
      </w:r>
      <w:r w:rsidRPr="00405951">
        <w:rPr>
          <w:lang w:val="fr-FR"/>
        </w:rPr>
        <w:t>: présente les caractéristiques de quelque 110 partenaires existants</w:t>
      </w:r>
      <w:r w:rsidR="007628A8" w:rsidRPr="00405951">
        <w:rPr>
          <w:lang w:val="fr-FR"/>
        </w:rPr>
        <w:t xml:space="preserve"> </w:t>
      </w:r>
      <w:r w:rsidR="00F13F6C" w:rsidRPr="00405951">
        <w:rPr>
          <w:lang w:val="fr-FR"/>
        </w:rPr>
        <w:t>ou</w:t>
      </w:r>
      <w:r w:rsidRPr="00405951">
        <w:rPr>
          <w:lang w:val="fr-FR"/>
        </w:rPr>
        <w:t xml:space="preserve"> potentiels (administrations, organismes multilatéraux ou bilatéraux, banques de développement, fondations et entreprises du secteur privé)</w:t>
      </w:r>
      <w:r w:rsidR="00CB00D2" w:rsidRPr="00405951">
        <w:rPr>
          <w:lang w:val="fr-FR"/>
        </w:rPr>
        <w:t>;</w:t>
      </w:r>
    </w:p>
    <w:p w:rsidR="00CD7FF7" w:rsidRPr="00405951" w:rsidRDefault="00CD7FF7" w:rsidP="00CB00D2">
      <w:pPr>
        <w:pStyle w:val="enumlev1"/>
        <w:rPr>
          <w:lang w:val="fr-FR"/>
        </w:rPr>
      </w:pPr>
      <w:r w:rsidRPr="00405951">
        <w:rPr>
          <w:lang w:val="fr-FR"/>
        </w:rPr>
        <w:t>–</w:t>
      </w:r>
      <w:r w:rsidRPr="00405951">
        <w:rPr>
          <w:lang w:val="fr-FR"/>
        </w:rPr>
        <w:tab/>
      </w:r>
      <w:r w:rsidRPr="00405951">
        <w:rPr>
          <w:b/>
          <w:bCs/>
          <w:i/>
          <w:iCs/>
          <w:lang w:val="fr-FR"/>
        </w:rPr>
        <w:t>base de données des accords de partenariat</w:t>
      </w:r>
      <w:r w:rsidR="007628A8" w:rsidRPr="00405951">
        <w:rPr>
          <w:b/>
          <w:bCs/>
          <w:i/>
          <w:iCs/>
          <w:lang w:val="fr-FR"/>
        </w:rPr>
        <w:t>:</w:t>
      </w:r>
      <w:r w:rsidRPr="00405951">
        <w:rPr>
          <w:b/>
          <w:bCs/>
          <w:i/>
          <w:iCs/>
          <w:lang w:val="fr-FR"/>
        </w:rPr>
        <w:t xml:space="preserve"> </w:t>
      </w:r>
      <w:r w:rsidRPr="00405951">
        <w:rPr>
          <w:lang w:val="fr-FR"/>
        </w:rPr>
        <w:t>près de 930 accords ont été signés par l</w:t>
      </w:r>
      <w:r w:rsidR="007628A8" w:rsidRPr="00405951">
        <w:rPr>
          <w:lang w:val="fr-FR"/>
        </w:rPr>
        <w:t>'</w:t>
      </w:r>
      <w:r w:rsidRPr="00405951">
        <w:rPr>
          <w:lang w:val="fr-FR"/>
        </w:rPr>
        <w:t>UIT/BDT avec divers partenaires concernant des activités, des initiatives et des projets à l</w:t>
      </w:r>
      <w:r w:rsidR="007628A8" w:rsidRPr="00405951">
        <w:rPr>
          <w:lang w:val="fr-FR"/>
        </w:rPr>
        <w:t>'</w:t>
      </w:r>
      <w:r w:rsidRPr="00405951">
        <w:rPr>
          <w:lang w:val="fr-FR"/>
        </w:rPr>
        <w:t>échelle nationale, régionale ou mondiale</w:t>
      </w:r>
      <w:r w:rsidR="00CB00D2" w:rsidRPr="00405951">
        <w:rPr>
          <w:lang w:val="fr-FR"/>
        </w:rPr>
        <w:t>;</w:t>
      </w:r>
    </w:p>
    <w:p w:rsidR="008923C0" w:rsidRPr="00405951" w:rsidRDefault="008923C0" w:rsidP="00CB00D2">
      <w:pPr>
        <w:pStyle w:val="enumlev1"/>
        <w:rPr>
          <w:rFonts w:cs="Calibri"/>
          <w:szCs w:val="24"/>
          <w:lang w:val="fr-FR"/>
        </w:rPr>
      </w:pPr>
      <w:r w:rsidRPr="00405951">
        <w:rPr>
          <w:lang w:val="fr-FR"/>
        </w:rPr>
        <w:t>–</w:t>
      </w:r>
      <w:r w:rsidRPr="00405951">
        <w:rPr>
          <w:lang w:val="fr-FR"/>
        </w:rPr>
        <w:tab/>
      </w:r>
      <w:hyperlink r:id="rId13" w:history="1">
        <w:r w:rsidRPr="00405951">
          <w:rPr>
            <w:rStyle w:val="Hyperlink"/>
            <w:b/>
            <w:bCs/>
            <w:i/>
            <w:iCs/>
            <w:lang w:val="fr-FR"/>
          </w:rPr>
          <w:t>base de données des</w:t>
        </w:r>
        <w:r w:rsidR="00CD7FF7" w:rsidRPr="00405951">
          <w:rPr>
            <w:rStyle w:val="Hyperlink"/>
            <w:b/>
            <w:bCs/>
            <w:i/>
            <w:iCs/>
            <w:lang w:val="fr-FR"/>
          </w:rPr>
          <w:t xml:space="preserve"> possibilités </w:t>
        </w:r>
        <w:r w:rsidRPr="00405951">
          <w:rPr>
            <w:rStyle w:val="Hyperlink"/>
            <w:b/>
            <w:bCs/>
            <w:i/>
            <w:iCs/>
            <w:lang w:val="fr-FR"/>
          </w:rPr>
          <w:t>de partenariat</w:t>
        </w:r>
      </w:hyperlink>
      <w:r w:rsidRPr="00405951">
        <w:rPr>
          <w:lang w:val="fr-FR"/>
        </w:rPr>
        <w:t>:</w:t>
      </w:r>
      <w:r w:rsidRPr="00405951">
        <w:rPr>
          <w:rFonts w:cs="Calibri"/>
          <w:szCs w:val="24"/>
          <w:lang w:val="fr-FR"/>
        </w:rPr>
        <w:t xml:space="preserve"> </w:t>
      </w:r>
      <w:r w:rsidR="001F455E" w:rsidRPr="00405951">
        <w:rPr>
          <w:rFonts w:cs="Calibri"/>
          <w:szCs w:val="24"/>
          <w:lang w:val="fr-FR"/>
        </w:rPr>
        <w:t>fourniture de renseignements sur les projets</w:t>
      </w:r>
      <w:r w:rsidR="007628A8" w:rsidRPr="00405951">
        <w:rPr>
          <w:rFonts w:cs="Calibri"/>
          <w:szCs w:val="24"/>
          <w:lang w:val="fr-FR"/>
        </w:rPr>
        <w:t xml:space="preserve"> </w:t>
      </w:r>
      <w:r w:rsidR="001F455E" w:rsidRPr="00405951">
        <w:rPr>
          <w:rFonts w:cs="Calibri"/>
          <w:szCs w:val="24"/>
          <w:lang w:val="fr-FR"/>
        </w:rPr>
        <w:t>et</w:t>
      </w:r>
      <w:r w:rsidR="007628A8" w:rsidRPr="00405951">
        <w:rPr>
          <w:rFonts w:cs="Calibri"/>
          <w:szCs w:val="24"/>
          <w:lang w:val="fr-FR"/>
        </w:rPr>
        <w:t xml:space="preserve"> </w:t>
      </w:r>
      <w:r w:rsidR="001F455E" w:rsidRPr="00405951">
        <w:rPr>
          <w:rFonts w:cs="Calibri"/>
          <w:szCs w:val="24"/>
          <w:lang w:val="fr-FR"/>
        </w:rPr>
        <w:t>initiatives du</w:t>
      </w:r>
      <w:r w:rsidRPr="00405951">
        <w:rPr>
          <w:rFonts w:cs="Calibri"/>
          <w:szCs w:val="24"/>
          <w:lang w:val="fr-FR"/>
        </w:rPr>
        <w:t xml:space="preserve"> BDT </w:t>
      </w:r>
      <w:r w:rsidR="001F455E" w:rsidRPr="00405951">
        <w:rPr>
          <w:rFonts w:cs="Calibri"/>
          <w:szCs w:val="24"/>
          <w:lang w:val="fr-FR"/>
        </w:rPr>
        <w:t xml:space="preserve">pour examen par les </w:t>
      </w:r>
      <w:r w:rsidR="001F455E" w:rsidRPr="00405951">
        <w:rPr>
          <w:lang w:val="fr-FR"/>
        </w:rPr>
        <w:t>partenaires</w:t>
      </w:r>
      <w:r w:rsidR="007628A8" w:rsidRPr="00405951">
        <w:rPr>
          <w:lang w:val="fr-FR"/>
        </w:rPr>
        <w:t xml:space="preserve"> </w:t>
      </w:r>
      <w:r w:rsidR="001F455E" w:rsidRPr="00405951">
        <w:rPr>
          <w:lang w:val="fr-FR"/>
        </w:rPr>
        <w:t>potentiels</w:t>
      </w:r>
      <w:r w:rsidR="007628A8" w:rsidRPr="00405951">
        <w:rPr>
          <w:rFonts w:cs="Calibri"/>
          <w:szCs w:val="24"/>
          <w:lang w:val="fr-FR"/>
        </w:rPr>
        <w:t xml:space="preserve"> </w:t>
      </w:r>
      <w:r w:rsidR="001F455E" w:rsidRPr="00405951">
        <w:rPr>
          <w:rFonts w:cs="Calibri"/>
          <w:szCs w:val="24"/>
          <w:lang w:val="fr-FR"/>
        </w:rPr>
        <w:t>pour engager des</w:t>
      </w:r>
      <w:r w:rsidR="007628A8" w:rsidRPr="00405951">
        <w:rPr>
          <w:rFonts w:cs="Calibri"/>
          <w:szCs w:val="24"/>
          <w:lang w:val="fr-FR"/>
        </w:rPr>
        <w:t xml:space="preserve"> </w:t>
      </w:r>
      <w:r w:rsidRPr="00405951">
        <w:rPr>
          <w:rFonts w:cs="Calibri"/>
          <w:szCs w:val="24"/>
          <w:lang w:val="fr-FR"/>
        </w:rPr>
        <w:t>discussion</w:t>
      </w:r>
      <w:r w:rsidR="001F455E" w:rsidRPr="00405951">
        <w:rPr>
          <w:rFonts w:cs="Calibri"/>
          <w:szCs w:val="24"/>
          <w:lang w:val="fr-FR"/>
        </w:rPr>
        <w:t xml:space="preserve">s et élaborer plus avant des propositions plus </w:t>
      </w:r>
      <w:r w:rsidR="00CB00D2" w:rsidRPr="00405951">
        <w:rPr>
          <w:rFonts w:cs="Calibri"/>
          <w:szCs w:val="24"/>
          <w:lang w:val="fr-FR"/>
        </w:rPr>
        <w:t>complètes</w:t>
      </w:r>
      <w:r w:rsidRPr="00405951">
        <w:rPr>
          <w:rStyle w:val="FootnoteReference"/>
          <w:rFonts w:cs="Calibri"/>
          <w:szCs w:val="24"/>
          <w:lang w:val="fr-FR"/>
        </w:rPr>
        <w:footnoteReference w:id="2"/>
      </w:r>
      <w:r w:rsidR="00CB00D2" w:rsidRPr="00405951">
        <w:rPr>
          <w:rFonts w:cs="Calibri"/>
          <w:szCs w:val="24"/>
          <w:lang w:val="fr-FR"/>
        </w:rPr>
        <w:t>;</w:t>
      </w:r>
    </w:p>
    <w:p w:rsidR="008923C0" w:rsidRPr="00405951" w:rsidRDefault="008923C0" w:rsidP="00CB00D2">
      <w:pPr>
        <w:pStyle w:val="enumlev1"/>
        <w:rPr>
          <w:lang w:val="fr-FR"/>
        </w:rPr>
      </w:pPr>
      <w:bookmarkStart w:id="46" w:name="lt_pId089"/>
      <w:r w:rsidRPr="00405951">
        <w:rPr>
          <w:bCs/>
          <w:i/>
          <w:iCs/>
          <w:lang w:val="fr-FR"/>
        </w:rPr>
        <w:lastRenderedPageBreak/>
        <w:t>–</w:t>
      </w:r>
      <w:r w:rsidRPr="00405951">
        <w:rPr>
          <w:b/>
          <w:i/>
          <w:iCs/>
          <w:lang w:val="fr-FR"/>
        </w:rPr>
        <w:tab/>
      </w:r>
      <w:hyperlink r:id="rId14" w:history="1">
        <w:r w:rsidR="001F455E" w:rsidRPr="00405951">
          <w:rPr>
            <w:rStyle w:val="Hyperlink"/>
            <w:b/>
            <w:i/>
            <w:iCs/>
            <w:lang w:val="fr-FR"/>
          </w:rPr>
          <w:t xml:space="preserve">site web des possibilités de </w:t>
        </w:r>
        <w:r w:rsidR="00CB00D2" w:rsidRPr="00405951">
          <w:rPr>
            <w:rStyle w:val="Hyperlink"/>
            <w:b/>
            <w:i/>
            <w:iCs/>
            <w:lang w:val="fr-FR"/>
          </w:rPr>
          <w:t>parrainage</w:t>
        </w:r>
      </w:hyperlink>
      <w:r w:rsidR="001F455E" w:rsidRPr="00405951">
        <w:rPr>
          <w:b/>
          <w:i/>
          <w:iCs/>
          <w:lang w:val="fr-FR"/>
        </w:rPr>
        <w:t>:</w:t>
      </w:r>
      <w:r w:rsidR="007628A8" w:rsidRPr="00405951">
        <w:rPr>
          <w:b/>
          <w:i/>
          <w:iCs/>
          <w:lang w:val="fr-FR"/>
        </w:rPr>
        <w:t xml:space="preserve"> </w:t>
      </w:r>
      <w:r w:rsidR="001F455E" w:rsidRPr="00405951">
        <w:rPr>
          <w:lang w:val="fr-FR"/>
        </w:rPr>
        <w:t>une nouvelle plate-forme</w:t>
      </w:r>
      <w:r w:rsidRPr="00405951">
        <w:rPr>
          <w:lang w:val="fr-FR"/>
        </w:rPr>
        <w:t xml:space="preserve"> </w:t>
      </w:r>
      <w:r w:rsidR="001F455E" w:rsidRPr="00405951">
        <w:rPr>
          <w:bCs/>
          <w:lang w:val="fr-FR"/>
        </w:rPr>
        <w:t xml:space="preserve">de </w:t>
      </w:r>
      <w:r w:rsidR="00CB00D2" w:rsidRPr="00405951">
        <w:rPr>
          <w:bCs/>
          <w:lang w:val="fr-FR"/>
        </w:rPr>
        <w:t>parrainage interactive</w:t>
      </w:r>
      <w:r w:rsidR="007628A8" w:rsidRPr="00405951">
        <w:rPr>
          <w:lang w:val="fr-FR"/>
        </w:rPr>
        <w:t>,</w:t>
      </w:r>
      <w:r w:rsidR="001F455E" w:rsidRPr="00405951">
        <w:rPr>
          <w:lang w:val="fr-FR"/>
        </w:rPr>
        <w:t xml:space="preserve"> disponible dans les six langues officielles de l</w:t>
      </w:r>
      <w:r w:rsidR="007628A8" w:rsidRPr="00405951">
        <w:rPr>
          <w:lang w:val="fr-FR"/>
        </w:rPr>
        <w:t>'</w:t>
      </w:r>
      <w:r w:rsidR="001F455E" w:rsidRPr="00405951">
        <w:rPr>
          <w:lang w:val="fr-FR"/>
        </w:rPr>
        <w:t>UIT, propose aux entités</w:t>
      </w:r>
      <w:r w:rsidR="007628A8" w:rsidRPr="00405951">
        <w:rPr>
          <w:lang w:val="fr-FR"/>
        </w:rPr>
        <w:t xml:space="preserve"> </w:t>
      </w:r>
      <w:r w:rsidR="001F455E" w:rsidRPr="00405951">
        <w:rPr>
          <w:lang w:val="fr-FR"/>
        </w:rPr>
        <w:t>des possibilités de mieux se faire connaître, de valoriser leur</w:t>
      </w:r>
      <w:r w:rsidR="007628A8" w:rsidRPr="00405951">
        <w:rPr>
          <w:lang w:val="fr-FR"/>
        </w:rPr>
        <w:t xml:space="preserve"> </w:t>
      </w:r>
      <w:r w:rsidR="001F455E" w:rsidRPr="00405951">
        <w:rPr>
          <w:lang w:val="fr-FR"/>
        </w:rPr>
        <w:t>marque</w:t>
      </w:r>
      <w:r w:rsidR="007628A8" w:rsidRPr="00405951">
        <w:rPr>
          <w:lang w:val="fr-FR"/>
        </w:rPr>
        <w:t xml:space="preserve"> </w:t>
      </w:r>
      <w:r w:rsidR="001F455E" w:rsidRPr="00405951">
        <w:rPr>
          <w:lang w:val="fr-FR"/>
        </w:rPr>
        <w:t>et de présenter des produits et solutions TIC</w:t>
      </w:r>
      <w:r w:rsidR="007628A8" w:rsidRPr="00405951">
        <w:rPr>
          <w:lang w:val="fr-FR"/>
        </w:rPr>
        <w:t xml:space="preserve"> </w:t>
      </w:r>
      <w:r w:rsidR="001F455E" w:rsidRPr="00405951">
        <w:rPr>
          <w:lang w:val="fr-FR"/>
        </w:rPr>
        <w:t>à l</w:t>
      </w:r>
      <w:r w:rsidR="007628A8" w:rsidRPr="00405951">
        <w:rPr>
          <w:lang w:val="fr-FR"/>
        </w:rPr>
        <w:t>'</w:t>
      </w:r>
      <w:r w:rsidR="001F455E" w:rsidRPr="00405951">
        <w:rPr>
          <w:lang w:val="fr-FR"/>
        </w:rPr>
        <w:t>occasion de manifestations parallèles et de réceptions</w:t>
      </w:r>
      <w:r w:rsidR="007628A8" w:rsidRPr="00405951">
        <w:rPr>
          <w:lang w:val="fr-FR"/>
        </w:rPr>
        <w:t xml:space="preserve"> </w:t>
      </w:r>
      <w:r w:rsidR="001F455E" w:rsidRPr="00405951">
        <w:rPr>
          <w:lang w:val="fr-FR"/>
        </w:rPr>
        <w:t xml:space="preserve">organisées par le BDT dans le cadre de manifestations mondiales ou régionales. Les offres de parrainage proposées actuellement concernent les manifestations parallèles ou </w:t>
      </w:r>
      <w:r w:rsidR="00CB00D2" w:rsidRPr="00405951">
        <w:rPr>
          <w:lang w:val="fr-FR"/>
        </w:rPr>
        <w:t>d'activités sociales</w:t>
      </w:r>
      <w:r w:rsidR="001F455E" w:rsidRPr="00405951">
        <w:rPr>
          <w:lang w:val="fr-FR"/>
        </w:rPr>
        <w:t xml:space="preserve"> organisées à l</w:t>
      </w:r>
      <w:r w:rsidR="007628A8" w:rsidRPr="00405951">
        <w:rPr>
          <w:lang w:val="fr-FR"/>
        </w:rPr>
        <w:t>'</w:t>
      </w:r>
      <w:r w:rsidR="001F455E" w:rsidRPr="00405951">
        <w:rPr>
          <w:lang w:val="fr-FR"/>
        </w:rPr>
        <w:t>occasion du</w:t>
      </w:r>
      <w:bookmarkEnd w:id="46"/>
      <w:r w:rsidR="007628A8" w:rsidRPr="00405951">
        <w:rPr>
          <w:lang w:val="fr-FR"/>
        </w:rPr>
        <w:t xml:space="preserve"> </w:t>
      </w:r>
      <w:bookmarkStart w:id="47" w:name="lt_pId090"/>
      <w:r w:rsidRPr="00405951">
        <w:rPr>
          <w:lang w:val="fr-FR"/>
        </w:rPr>
        <w:t xml:space="preserve">GSR-17, </w:t>
      </w:r>
      <w:r w:rsidR="00CB00D2" w:rsidRPr="00405951">
        <w:rPr>
          <w:lang w:val="fr-FR"/>
        </w:rPr>
        <w:t>de la CMDT</w:t>
      </w:r>
      <w:r w:rsidR="00CB00D2" w:rsidRPr="00405951">
        <w:rPr>
          <w:lang w:val="fr-FR"/>
        </w:rPr>
        <w:noBreakHyphen/>
      </w:r>
      <w:r w:rsidR="001F455E" w:rsidRPr="00405951">
        <w:rPr>
          <w:lang w:val="fr-FR"/>
        </w:rPr>
        <w:t>17 et du 25</w:t>
      </w:r>
      <w:r w:rsidR="00CB00D2" w:rsidRPr="00405951">
        <w:rPr>
          <w:lang w:val="fr-FR"/>
        </w:rPr>
        <w:t>ème</w:t>
      </w:r>
      <w:r w:rsidR="001F455E" w:rsidRPr="00405951">
        <w:rPr>
          <w:lang w:val="fr-FR"/>
        </w:rPr>
        <w:t xml:space="preserve"> anniversaire de la création de l</w:t>
      </w:r>
      <w:r w:rsidR="007628A8" w:rsidRPr="00405951">
        <w:rPr>
          <w:lang w:val="fr-FR"/>
        </w:rPr>
        <w:t>'</w:t>
      </w:r>
      <w:r w:rsidR="001F455E" w:rsidRPr="00405951">
        <w:rPr>
          <w:lang w:val="fr-FR"/>
        </w:rPr>
        <w:t>UIT-D</w:t>
      </w:r>
      <w:bookmarkEnd w:id="47"/>
      <w:r w:rsidR="007628A8" w:rsidRPr="00405951">
        <w:rPr>
          <w:lang w:val="fr-FR"/>
        </w:rPr>
        <w:t>.</w:t>
      </w:r>
      <w:r w:rsidR="001F455E" w:rsidRPr="00405951">
        <w:rPr>
          <w:lang w:val="fr-FR"/>
        </w:rPr>
        <w:t xml:space="preserve"> Des remises sont proposées aux Membres de l</w:t>
      </w:r>
      <w:r w:rsidR="007628A8" w:rsidRPr="00405951">
        <w:rPr>
          <w:lang w:val="fr-FR"/>
        </w:rPr>
        <w:t>'</w:t>
      </w:r>
      <w:r w:rsidR="001F455E" w:rsidRPr="00405951">
        <w:rPr>
          <w:lang w:val="fr-FR"/>
        </w:rPr>
        <w:t>UIT</w:t>
      </w:r>
      <w:r w:rsidR="00CB00D2" w:rsidRPr="00405951">
        <w:rPr>
          <w:lang w:val="fr-FR"/>
        </w:rPr>
        <w:noBreakHyphen/>
      </w:r>
      <w:r w:rsidR="001F455E" w:rsidRPr="00405951">
        <w:rPr>
          <w:lang w:val="fr-FR"/>
        </w:rPr>
        <w:t>D</w:t>
      </w:r>
      <w:r w:rsidR="007628A8" w:rsidRPr="00405951">
        <w:rPr>
          <w:lang w:val="fr-FR"/>
        </w:rPr>
        <w:t xml:space="preserve"> </w:t>
      </w:r>
      <w:r w:rsidR="00E911CC" w:rsidRPr="00405951">
        <w:rPr>
          <w:lang w:val="fr-FR"/>
        </w:rPr>
        <w:t>pour l</w:t>
      </w:r>
      <w:r w:rsidR="007628A8" w:rsidRPr="00405951">
        <w:rPr>
          <w:lang w:val="fr-FR"/>
        </w:rPr>
        <w:t>'</w:t>
      </w:r>
      <w:r w:rsidR="00E911CC" w:rsidRPr="00405951">
        <w:rPr>
          <w:lang w:val="fr-FR"/>
        </w:rPr>
        <w:t>organisation de manifestations/réunions ouvertes ainsi que pour plusieurs activités sponsorisées</w:t>
      </w:r>
      <w:r w:rsidR="007628A8" w:rsidRPr="00405951">
        <w:rPr>
          <w:lang w:val="fr-FR"/>
        </w:rPr>
        <w:t>.</w:t>
      </w:r>
      <w:r w:rsidR="00E911CC" w:rsidRPr="00405951">
        <w:rPr>
          <w:lang w:val="fr-FR"/>
        </w:rPr>
        <w:t xml:space="preserve"> Toutes les ressources mobilisées serviront à organiser</w:t>
      </w:r>
      <w:r w:rsidR="007628A8" w:rsidRPr="00405951">
        <w:rPr>
          <w:lang w:val="fr-FR"/>
        </w:rPr>
        <w:t xml:space="preserve"> </w:t>
      </w:r>
      <w:r w:rsidR="00E911CC" w:rsidRPr="00405951">
        <w:rPr>
          <w:lang w:val="fr-FR"/>
        </w:rPr>
        <w:t xml:space="preserve">les activités sponsorisées et à mettre en </w:t>
      </w:r>
      <w:r w:rsidR="00F87FD3" w:rsidRPr="00405951">
        <w:rPr>
          <w:lang w:val="fr-FR"/>
        </w:rPr>
        <w:t>oe</w:t>
      </w:r>
      <w:r w:rsidR="00E911CC" w:rsidRPr="00405951">
        <w:rPr>
          <w:lang w:val="fr-FR"/>
        </w:rPr>
        <w:t>uvre des activités, des projets et des initiatives, dont les initiatives régionales, dans le cadre du Plan d</w:t>
      </w:r>
      <w:r w:rsidR="007628A8" w:rsidRPr="00405951">
        <w:rPr>
          <w:lang w:val="fr-FR"/>
        </w:rPr>
        <w:t>'</w:t>
      </w:r>
      <w:r w:rsidR="00E911CC" w:rsidRPr="00405951">
        <w:rPr>
          <w:lang w:val="fr-FR"/>
        </w:rPr>
        <w:t>action de la CMDT-14</w:t>
      </w:r>
      <w:bookmarkStart w:id="48" w:name="lt_pId092"/>
      <w:r w:rsidRPr="00405951">
        <w:rPr>
          <w:rStyle w:val="FootnoteReference"/>
          <w:szCs w:val="24"/>
          <w:lang w:val="fr-FR"/>
        </w:rPr>
        <w:footnoteReference w:id="3"/>
      </w:r>
      <w:r w:rsidRPr="00405951">
        <w:rPr>
          <w:lang w:val="fr-FR"/>
        </w:rPr>
        <w:t>.</w:t>
      </w:r>
      <w:bookmarkEnd w:id="48"/>
    </w:p>
    <w:p w:rsidR="008923C0" w:rsidRPr="00405951" w:rsidRDefault="008923C0" w:rsidP="007628A8">
      <w:pPr>
        <w:pStyle w:val="Heading2"/>
        <w:rPr>
          <w:lang w:val="fr-FR"/>
        </w:rPr>
      </w:pPr>
      <w:r w:rsidRPr="00405951">
        <w:rPr>
          <w:lang w:val="fr-FR"/>
        </w:rPr>
        <w:t>3.2</w:t>
      </w:r>
      <w:r w:rsidRPr="00405951">
        <w:rPr>
          <w:lang w:val="fr-FR"/>
        </w:rPr>
        <w:tab/>
        <w:t>Partenariats à l'échelle mondiale</w:t>
      </w:r>
    </w:p>
    <w:p w:rsidR="008923C0" w:rsidRPr="00405951" w:rsidRDefault="00E911CC" w:rsidP="00CB00D2">
      <w:pPr>
        <w:rPr>
          <w:b/>
          <w:bCs/>
          <w:lang w:val="fr-FR"/>
        </w:rPr>
      </w:pPr>
      <w:bookmarkStart w:id="50" w:name="lt_pId094"/>
      <w:r w:rsidRPr="00405951">
        <w:rPr>
          <w:lang w:val="fr-FR"/>
        </w:rPr>
        <w:t>Le BDT, même s</w:t>
      </w:r>
      <w:r w:rsidR="007628A8" w:rsidRPr="00405951">
        <w:rPr>
          <w:lang w:val="fr-FR"/>
        </w:rPr>
        <w:t>'</w:t>
      </w:r>
      <w:r w:rsidRPr="00405951">
        <w:rPr>
          <w:lang w:val="fr-FR"/>
        </w:rPr>
        <w:t xml:space="preserve">il accorde une attention particulière à la nécessité </w:t>
      </w:r>
      <w:r w:rsidR="00CB00D2" w:rsidRPr="00405951">
        <w:rPr>
          <w:lang w:val="fr-FR"/>
        </w:rPr>
        <w:t>de favoriser les</w:t>
      </w:r>
      <w:r w:rsidRPr="00405951">
        <w:rPr>
          <w:lang w:val="fr-FR"/>
        </w:rPr>
        <w:t xml:space="preserve"> relations avec les partenaires existants et à faire en sorte que ces relations soient durables, reconnaît également </w:t>
      </w:r>
      <w:r w:rsidR="00CB00D2" w:rsidRPr="00405951">
        <w:rPr>
          <w:lang w:val="fr-FR"/>
        </w:rPr>
        <w:t>qu'</w:t>
      </w:r>
      <w:r w:rsidRPr="00405951">
        <w:rPr>
          <w:lang w:val="fr-FR"/>
        </w:rPr>
        <w:t>il est important d</w:t>
      </w:r>
      <w:r w:rsidR="007628A8" w:rsidRPr="00405951">
        <w:rPr>
          <w:lang w:val="fr-FR"/>
        </w:rPr>
        <w:t>'</w:t>
      </w:r>
      <w:r w:rsidRPr="00405951">
        <w:rPr>
          <w:lang w:val="fr-FR"/>
        </w:rPr>
        <w:t xml:space="preserve">élargir et de diversifier le nombre de </w:t>
      </w:r>
      <w:r w:rsidR="00CB00D2" w:rsidRPr="00405951">
        <w:rPr>
          <w:lang w:val="fr-FR"/>
        </w:rPr>
        <w:t xml:space="preserve">ses </w:t>
      </w:r>
      <w:r w:rsidRPr="00405951">
        <w:rPr>
          <w:lang w:val="fr-FR"/>
        </w:rPr>
        <w:t>partenaires, en menant à bien des activités</w:t>
      </w:r>
      <w:r w:rsidRPr="00405951">
        <w:rPr>
          <w:color w:val="000000"/>
          <w:lang w:val="fr-FR"/>
        </w:rPr>
        <w:t xml:space="preserve"> destinées à renforcer</w:t>
      </w:r>
      <w:r w:rsidR="007628A8" w:rsidRPr="00405951">
        <w:rPr>
          <w:color w:val="000000"/>
          <w:lang w:val="fr-FR"/>
        </w:rPr>
        <w:t xml:space="preserve"> </w:t>
      </w:r>
      <w:r w:rsidRPr="00405951">
        <w:rPr>
          <w:color w:val="000000"/>
          <w:lang w:val="fr-FR"/>
        </w:rPr>
        <w:t>la communication auprès des partenaires non traditionnels.</w:t>
      </w:r>
      <w:bookmarkEnd w:id="50"/>
    </w:p>
    <w:p w:rsidR="008923C0" w:rsidRPr="00405951" w:rsidRDefault="00E911CC" w:rsidP="00CB00D2">
      <w:pPr>
        <w:rPr>
          <w:b/>
          <w:bCs/>
          <w:lang w:val="fr-FR"/>
        </w:rPr>
      </w:pPr>
      <w:bookmarkStart w:id="51" w:name="lt_pId095"/>
      <w:r w:rsidRPr="00405951">
        <w:rPr>
          <w:lang w:val="fr-FR"/>
        </w:rPr>
        <w:t>Ainsi, dans</w:t>
      </w:r>
      <w:r w:rsidR="007628A8" w:rsidRPr="00405951">
        <w:rPr>
          <w:lang w:val="fr-FR"/>
        </w:rPr>
        <w:t xml:space="preserve"> </w:t>
      </w:r>
      <w:r w:rsidRPr="00405951">
        <w:rPr>
          <w:color w:val="000000"/>
          <w:lang w:val="fr-FR"/>
        </w:rPr>
        <w:t>un écosystème des TIC post-convergence, le BDT veille tout particulièrement à nouer des contacts avec des entités présentes dans d</w:t>
      </w:r>
      <w:r w:rsidR="007628A8" w:rsidRPr="00405951">
        <w:rPr>
          <w:color w:val="000000"/>
          <w:lang w:val="fr-FR"/>
        </w:rPr>
        <w:t>'</w:t>
      </w:r>
      <w:r w:rsidRPr="00405951">
        <w:rPr>
          <w:color w:val="000000"/>
          <w:lang w:val="fr-FR"/>
        </w:rPr>
        <w:t>autres secteurs</w:t>
      </w:r>
      <w:r w:rsidR="00A630D3" w:rsidRPr="00405951">
        <w:rPr>
          <w:color w:val="000000"/>
          <w:lang w:val="fr-FR"/>
        </w:rPr>
        <w:t>,</w:t>
      </w:r>
      <w:r w:rsidRPr="00405951">
        <w:rPr>
          <w:color w:val="000000"/>
          <w:lang w:val="fr-FR"/>
        </w:rPr>
        <w:t xml:space="preserve"> tels que le</w:t>
      </w:r>
      <w:r w:rsidR="00A630D3" w:rsidRPr="00405951">
        <w:rPr>
          <w:color w:val="000000"/>
          <w:lang w:val="fr-FR"/>
        </w:rPr>
        <w:t>s</w:t>
      </w:r>
      <w:r w:rsidRPr="00405951">
        <w:rPr>
          <w:color w:val="000000"/>
          <w:lang w:val="fr-FR"/>
        </w:rPr>
        <w:t xml:space="preserve"> secteur</w:t>
      </w:r>
      <w:r w:rsidR="00A630D3" w:rsidRPr="00405951">
        <w:rPr>
          <w:color w:val="000000"/>
          <w:lang w:val="fr-FR"/>
        </w:rPr>
        <w:t>s</w:t>
      </w:r>
      <w:r w:rsidRPr="00405951">
        <w:rPr>
          <w:color w:val="000000"/>
          <w:lang w:val="fr-FR"/>
        </w:rPr>
        <w:t xml:space="preserve"> de la santé et de la pharmacie, des finances </w:t>
      </w:r>
      <w:r w:rsidR="00A630D3" w:rsidRPr="00405951">
        <w:rPr>
          <w:color w:val="000000"/>
          <w:lang w:val="fr-FR"/>
        </w:rPr>
        <w:t xml:space="preserve">et </w:t>
      </w:r>
      <w:r w:rsidRPr="00405951">
        <w:rPr>
          <w:color w:val="000000"/>
          <w:lang w:val="fr-FR"/>
        </w:rPr>
        <w:t>de l</w:t>
      </w:r>
      <w:r w:rsidR="007628A8" w:rsidRPr="00405951">
        <w:rPr>
          <w:color w:val="000000"/>
          <w:lang w:val="fr-FR"/>
        </w:rPr>
        <w:t>'</w:t>
      </w:r>
      <w:r w:rsidRPr="00405951">
        <w:rPr>
          <w:color w:val="000000"/>
          <w:lang w:val="fr-FR"/>
        </w:rPr>
        <w:t>agriculture</w:t>
      </w:r>
      <w:r w:rsidR="007628A8" w:rsidRPr="00405951">
        <w:rPr>
          <w:lang w:val="fr-FR"/>
        </w:rPr>
        <w:t xml:space="preserve"> </w:t>
      </w:r>
      <w:r w:rsidR="008923C0" w:rsidRPr="00405951">
        <w:rPr>
          <w:lang w:val="fr-FR"/>
        </w:rPr>
        <w:t>(</w:t>
      </w:r>
      <w:r w:rsidR="00A630D3" w:rsidRPr="00405951">
        <w:rPr>
          <w:lang w:val="fr-FR"/>
        </w:rPr>
        <w:t>en 2016, des partenariats ont par exemple été signés avec l</w:t>
      </w:r>
      <w:r w:rsidR="007628A8" w:rsidRPr="00405951">
        <w:rPr>
          <w:lang w:val="fr-FR"/>
        </w:rPr>
        <w:t>'</w:t>
      </w:r>
      <w:r w:rsidR="00A630D3" w:rsidRPr="00405951">
        <w:rPr>
          <w:lang w:val="fr-FR"/>
        </w:rPr>
        <w:t>OMS,</w:t>
      </w:r>
      <w:r w:rsidR="007628A8" w:rsidRPr="00405951">
        <w:rPr>
          <w:lang w:val="fr-FR"/>
        </w:rPr>
        <w:t xml:space="preserve"> </w:t>
      </w:r>
      <w:r w:rsidR="00A630D3" w:rsidRPr="00405951">
        <w:rPr>
          <w:color w:val="000000"/>
          <w:lang w:val="fr-FR"/>
        </w:rPr>
        <w:t xml:space="preserve">la Direction norvégienne de la santé, </w:t>
      </w:r>
      <w:r w:rsidR="008923C0" w:rsidRPr="00405951">
        <w:rPr>
          <w:lang w:val="fr-FR"/>
        </w:rPr>
        <w:t>(NDH),</w:t>
      </w:r>
      <w:r w:rsidR="00A630D3" w:rsidRPr="00405951">
        <w:rPr>
          <w:lang w:val="fr-FR"/>
        </w:rPr>
        <w:t xml:space="preserve"> le groupe</w:t>
      </w:r>
      <w:r w:rsidR="008923C0" w:rsidRPr="00405951">
        <w:rPr>
          <w:lang w:val="fr-FR"/>
        </w:rPr>
        <w:t xml:space="preserve"> Sanofi Avantis</w:t>
      </w:r>
      <w:r w:rsidR="007628A8" w:rsidRPr="00405951">
        <w:rPr>
          <w:lang w:val="fr-FR"/>
        </w:rPr>
        <w:t>,</w:t>
      </w:r>
      <w:r w:rsidR="008923C0" w:rsidRPr="00405951">
        <w:rPr>
          <w:lang w:val="fr-FR"/>
        </w:rPr>
        <w:t xml:space="preserve"> </w:t>
      </w:r>
      <w:r w:rsidR="00A630D3" w:rsidRPr="00405951">
        <w:rPr>
          <w:color w:val="000000"/>
          <w:lang w:val="fr-FR"/>
        </w:rPr>
        <w:t>l'Alliance pour l'inclusion financière (AFI) et</w:t>
      </w:r>
      <w:r w:rsidR="007628A8" w:rsidRPr="00405951">
        <w:rPr>
          <w:color w:val="000000"/>
          <w:lang w:val="fr-FR"/>
        </w:rPr>
        <w:t xml:space="preserve"> </w:t>
      </w:r>
      <w:r w:rsidR="00A630D3" w:rsidRPr="00405951">
        <w:rPr>
          <w:lang w:val="fr-FR"/>
        </w:rPr>
        <w:t>la</w:t>
      </w:r>
      <w:r w:rsidR="007628A8" w:rsidRPr="00405951">
        <w:rPr>
          <w:lang w:val="fr-FR"/>
        </w:rPr>
        <w:t xml:space="preserve"> </w:t>
      </w:r>
      <w:r w:rsidR="008923C0" w:rsidRPr="00405951">
        <w:rPr>
          <w:lang w:val="fr-FR"/>
        </w:rPr>
        <w:t>FAO</w:t>
      </w:r>
      <w:r w:rsidR="00CB00D2" w:rsidRPr="00405951">
        <w:rPr>
          <w:lang w:val="fr-FR"/>
        </w:rPr>
        <w:t>,</w:t>
      </w:r>
      <w:r w:rsidR="008923C0" w:rsidRPr="00405951">
        <w:rPr>
          <w:lang w:val="fr-FR"/>
        </w:rPr>
        <w:t xml:space="preserve"> </w:t>
      </w:r>
      <w:r w:rsidR="00A630D3" w:rsidRPr="00405951">
        <w:rPr>
          <w:lang w:val="fr-FR"/>
        </w:rPr>
        <w:t xml:space="preserve">afin de favoriser la mise en </w:t>
      </w:r>
      <w:r w:rsidR="00F87FD3" w:rsidRPr="00405951">
        <w:rPr>
          <w:lang w:val="fr-FR"/>
        </w:rPr>
        <w:t>oe</w:t>
      </w:r>
      <w:r w:rsidR="00A630D3" w:rsidRPr="00405951">
        <w:rPr>
          <w:lang w:val="fr-FR"/>
        </w:rPr>
        <w:t>uvre de projets</w:t>
      </w:r>
      <w:bookmarkEnd w:id="51"/>
      <w:r w:rsidR="00CB00D2" w:rsidRPr="00405951">
        <w:rPr>
          <w:lang w:val="fr-FR"/>
        </w:rPr>
        <w:t>).</w:t>
      </w:r>
    </w:p>
    <w:p w:rsidR="008923C0" w:rsidRPr="00405951" w:rsidRDefault="008923C0" w:rsidP="007628A8">
      <w:pPr>
        <w:pStyle w:val="Heading1"/>
        <w:rPr>
          <w:lang w:val="fr-FR"/>
        </w:rPr>
      </w:pPr>
      <w:r w:rsidRPr="00405951">
        <w:rPr>
          <w:lang w:val="fr-FR"/>
        </w:rPr>
        <w:t>4</w:t>
      </w:r>
      <w:r w:rsidRPr="00405951">
        <w:rPr>
          <w:lang w:val="fr-FR"/>
        </w:rPr>
        <w:tab/>
        <w:t>Résultats</w:t>
      </w:r>
    </w:p>
    <w:p w:rsidR="008923C0" w:rsidRPr="00405951" w:rsidRDefault="008923C0" w:rsidP="007628A8">
      <w:pPr>
        <w:rPr>
          <w:lang w:val="fr-FR"/>
        </w:rPr>
      </w:pPr>
      <w:r w:rsidRPr="00405951">
        <w:rPr>
          <w:lang w:val="fr-FR"/>
        </w:rPr>
        <w:t>Suite aux efforts déployés par le BDT aux fins de la conclusion de partenariats et de la mobilisation de ressources, quelque 1</w:t>
      </w:r>
      <w:r w:rsidR="00A630D3" w:rsidRPr="00405951">
        <w:rPr>
          <w:lang w:val="fr-FR"/>
        </w:rPr>
        <w:t xml:space="preserve">74 </w:t>
      </w:r>
      <w:r w:rsidRPr="00405951">
        <w:rPr>
          <w:lang w:val="fr-FR"/>
        </w:rPr>
        <w:t xml:space="preserve">nouveaux accords et </w:t>
      </w:r>
      <w:r w:rsidR="00A630D3" w:rsidRPr="00405951">
        <w:rPr>
          <w:lang w:val="fr-FR"/>
        </w:rPr>
        <w:t>67</w:t>
      </w:r>
      <w:r w:rsidRPr="00405951">
        <w:rPr>
          <w:lang w:val="fr-FR"/>
        </w:rPr>
        <w:t xml:space="preserve"> addenda/amendements, </w:t>
      </w:r>
      <w:r w:rsidR="00A630D3" w:rsidRPr="00405951">
        <w:rPr>
          <w:lang w:val="fr-FR"/>
        </w:rPr>
        <w:t>d</w:t>
      </w:r>
      <w:r w:rsidR="007628A8" w:rsidRPr="00405951">
        <w:rPr>
          <w:lang w:val="fr-FR"/>
        </w:rPr>
        <w:t>'</w:t>
      </w:r>
      <w:r w:rsidR="00A630D3" w:rsidRPr="00405951">
        <w:rPr>
          <w:lang w:val="fr-FR"/>
        </w:rPr>
        <w:t>un montant estimé à</w:t>
      </w:r>
      <w:r w:rsidR="007628A8" w:rsidRPr="00405951">
        <w:rPr>
          <w:lang w:val="fr-FR"/>
        </w:rPr>
        <w:t xml:space="preserve"> </w:t>
      </w:r>
      <w:r w:rsidRPr="00405951">
        <w:rPr>
          <w:lang w:val="fr-FR"/>
        </w:rPr>
        <w:t>3</w:t>
      </w:r>
      <w:r w:rsidR="00A630D3" w:rsidRPr="00405951">
        <w:rPr>
          <w:lang w:val="fr-FR"/>
        </w:rPr>
        <w:t>2</w:t>
      </w:r>
      <w:r w:rsidRPr="00405951">
        <w:rPr>
          <w:lang w:val="fr-FR"/>
        </w:rPr>
        <w:t>,</w:t>
      </w:r>
      <w:r w:rsidR="00A630D3" w:rsidRPr="00405951">
        <w:rPr>
          <w:lang w:val="fr-FR"/>
        </w:rPr>
        <w:t>6</w:t>
      </w:r>
      <w:r w:rsidR="007628A8" w:rsidRPr="00405951">
        <w:rPr>
          <w:lang w:val="fr-FR"/>
        </w:rPr>
        <w:t xml:space="preserve"> </w:t>
      </w:r>
      <w:r w:rsidRPr="00405951">
        <w:rPr>
          <w:lang w:val="fr-FR"/>
        </w:rPr>
        <w:t>millions USD, ont été</w:t>
      </w:r>
      <w:r w:rsidR="007628A8" w:rsidRPr="00405951">
        <w:rPr>
          <w:lang w:val="fr-FR"/>
        </w:rPr>
        <w:t xml:space="preserve"> </w:t>
      </w:r>
      <w:r w:rsidR="00A630D3" w:rsidRPr="00405951">
        <w:rPr>
          <w:lang w:val="fr-FR"/>
        </w:rPr>
        <w:t>signés</w:t>
      </w:r>
      <w:r w:rsidR="007628A8" w:rsidRPr="00405951">
        <w:rPr>
          <w:lang w:val="fr-FR"/>
        </w:rPr>
        <w:t xml:space="preserve"> </w:t>
      </w:r>
      <w:r w:rsidRPr="00405951">
        <w:rPr>
          <w:lang w:val="fr-FR"/>
        </w:rPr>
        <w:t xml:space="preserve">entre </w:t>
      </w:r>
      <w:r w:rsidR="00A630D3" w:rsidRPr="00405951">
        <w:rPr>
          <w:lang w:val="fr-FR"/>
        </w:rPr>
        <w:t>2013 et 2016</w:t>
      </w:r>
      <w:r w:rsidR="007628A8" w:rsidRPr="00405951">
        <w:rPr>
          <w:lang w:val="fr-FR"/>
        </w:rPr>
        <w:t xml:space="preserve"> </w:t>
      </w:r>
      <w:r w:rsidRPr="00405951">
        <w:rPr>
          <w:i/>
          <w:iCs/>
          <w:lang w:val="fr-FR"/>
        </w:rPr>
        <w:t>(Pour de plus amples informations, voir le Document INF/2</w:t>
      </w:r>
      <w:r w:rsidRPr="00405951">
        <w:rPr>
          <w:lang w:val="fr-FR"/>
        </w:rPr>
        <w:t>).</w:t>
      </w:r>
    </w:p>
    <w:p w:rsidR="008923C0" w:rsidRPr="00405951" w:rsidRDefault="008923C0" w:rsidP="00602326">
      <w:pPr>
        <w:pStyle w:val="Figuretitle"/>
        <w:keepNext/>
        <w:spacing w:before="240"/>
        <w:rPr>
          <w:i/>
          <w:iCs/>
          <w:lang w:val="fr-FR"/>
        </w:rPr>
      </w:pPr>
      <w:r w:rsidRPr="00405951">
        <w:rPr>
          <w:i/>
          <w:iCs/>
          <w:lang w:val="fr-FR"/>
        </w:rPr>
        <w:lastRenderedPageBreak/>
        <w:t>Diagrammes: Analyse des nouveaux accords conclus entre 2013 et 2016</w:t>
      </w:r>
      <w:r w:rsidRPr="00405951">
        <w:rPr>
          <w:rStyle w:val="FootnoteReference"/>
          <w:i/>
          <w:iCs/>
          <w:lang w:val="fr-FR"/>
        </w:rPr>
        <w:footnoteReference w:id="4"/>
      </w:r>
    </w:p>
    <w:p w:rsidR="008923C0" w:rsidRPr="00405951" w:rsidRDefault="00CB34FC" w:rsidP="007628A8">
      <w:pPr>
        <w:pStyle w:val="enumlev1"/>
        <w:rPr>
          <w:lang w:val="fr-FR"/>
        </w:rPr>
      </w:pPr>
      <w:r w:rsidRPr="00405951">
        <w:rPr>
          <w:noProof/>
          <w:lang w:val="en-US" w:eastAsia="zh-CN"/>
        </w:rPr>
        <mc:AlternateContent>
          <mc:Choice Requires="wps">
            <w:drawing>
              <wp:anchor distT="45720" distB="45720" distL="114300" distR="114300" simplePos="0" relativeHeight="251672576" behindDoc="0" locked="0" layoutInCell="1" allowOverlap="1">
                <wp:simplePos x="0" y="0"/>
                <wp:positionH relativeFrom="column">
                  <wp:posOffset>75040</wp:posOffset>
                </wp:positionH>
                <wp:positionV relativeFrom="paragraph">
                  <wp:posOffset>125288</wp:posOffset>
                </wp:positionV>
                <wp:extent cx="2631882" cy="32600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326004"/>
                        </a:xfrm>
                        <a:prstGeom prst="rect">
                          <a:avLst/>
                        </a:prstGeom>
                        <a:solidFill>
                          <a:srgbClr val="F7F7F7"/>
                        </a:solidFill>
                        <a:ln w="9525">
                          <a:noFill/>
                          <a:miter lim="800000"/>
                          <a:headEnd/>
                          <a:tailEnd/>
                        </a:ln>
                      </wps:spPr>
                      <wps:txbx>
                        <w:txbxContent>
                          <w:p w:rsidR="00CB34FC" w:rsidRPr="00CB34FC" w:rsidRDefault="00CB34FC" w:rsidP="00CB34FC">
                            <w:pPr>
                              <w:spacing w:before="0"/>
                              <w:jc w:val="center"/>
                              <w:rPr>
                                <w:b/>
                                <w:bCs/>
                                <w:lang w:val="en-US"/>
                              </w:rPr>
                            </w:pPr>
                            <w:r w:rsidRPr="00CB34FC">
                              <w:rPr>
                                <w:b/>
                                <w:bCs/>
                                <w:sz w:val="22"/>
                                <w:szCs w:val="18"/>
                              </w:rPr>
                              <w:t>Nouveaux accords signés (2013-2016)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pt;margin-top:9.85pt;width:207.25pt;height:25.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" fillcolor="#f7f7f7" stroked="f">
                <v:textbox>
                  <w:txbxContent>
                    <w:p w:rsidR="00CB34FC" w:rsidRPr="00CB34FC" w:rsidRDefault="00CB34FC" w:rsidP="00CB34FC">
                      <w:pPr>
                        <w:spacing w:before="0"/>
                        <w:jc w:val="center"/>
                        <w:rPr>
                          <w:b/>
                          <w:bCs/>
                          <w:lang w:val="en-US"/>
                        </w:rPr>
                      </w:pPr>
                      <w:r w:rsidRPr="00CB34FC">
                        <w:rPr>
                          <w:b/>
                          <w:bCs/>
                          <w:sz w:val="22"/>
                          <w:szCs w:val="18"/>
                        </w:rPr>
                        <w:t>Nouveaux accords signés (2013-2016)</w:t>
                      </w:r>
                    </w:p>
                  </w:txbxContent>
                </v:textbox>
              </v:shape>
            </w:pict>
          </mc:Fallback>
        </mc:AlternateContent>
      </w:r>
      <w:r w:rsidRPr="00405951">
        <w:rPr>
          <w:noProof/>
          <w:lang w:val="en-US" w:eastAsia="zh-CN"/>
        </w:rPr>
        <mc:AlternateContent>
          <mc:Choice Requires="wps">
            <w:drawing>
              <wp:anchor distT="45720" distB="45720" distL="114300" distR="114300" simplePos="0" relativeHeight="251674624" behindDoc="0" locked="0" layoutInCell="1" allowOverlap="1" wp14:anchorId="6807DB37" wp14:editId="1071C518">
                <wp:simplePos x="0" y="0"/>
                <wp:positionH relativeFrom="column">
                  <wp:posOffset>3088585</wp:posOffset>
                </wp:positionH>
                <wp:positionV relativeFrom="paragraph">
                  <wp:posOffset>69629</wp:posOffset>
                </wp:positionV>
                <wp:extent cx="2631882" cy="5804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80445"/>
                        </a:xfrm>
                        <a:prstGeom prst="rect">
                          <a:avLst/>
                        </a:prstGeom>
                        <a:solidFill>
                          <a:schemeClr val="bg1"/>
                        </a:solidFill>
                        <a:ln w="9525">
                          <a:noFill/>
                          <a:miter lim="800000"/>
                          <a:headEnd/>
                          <a:tailEnd/>
                        </a:ln>
                      </wps:spPr>
                      <wps:txbx>
                        <w:txbxContent>
                          <w:p w:rsidR="00CB34FC" w:rsidRPr="00CB34FC" w:rsidRDefault="00CB34FC" w:rsidP="00CB34FC">
                            <w:pPr>
                              <w:spacing w:before="0"/>
                              <w:jc w:val="center"/>
                              <w:rPr>
                                <w:b/>
                                <w:bCs/>
                              </w:rPr>
                            </w:pPr>
                            <w:r>
                              <w:rPr>
                                <w:b/>
                                <w:bCs/>
                                <w:sz w:val="22"/>
                                <w:szCs w:val="18"/>
                              </w:rPr>
                              <w:t>Régions bénéficiaires des nouveaux accords signées</w:t>
                            </w:r>
                            <w:r w:rsidRPr="00CB34FC">
                              <w:rPr>
                                <w:b/>
                                <w:bCs/>
                                <w:sz w:val="22"/>
                                <w:szCs w:val="18"/>
                              </w:rPr>
                              <w:t xml:space="preserve"> </w:t>
                            </w:r>
                            <w:r>
                              <w:rPr>
                                <w:b/>
                                <w:bCs/>
                                <w:sz w:val="22"/>
                                <w:szCs w:val="18"/>
                              </w:rPr>
                              <w:br/>
                            </w:r>
                            <w:r w:rsidRPr="00CB34FC">
                              <w:rPr>
                                <w:b/>
                                <w:bCs/>
                                <w:sz w:val="22"/>
                                <w:szCs w:val="18"/>
                              </w:rPr>
                              <w:t>(2013-2016)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7DB37" id="_x0000_s1027" type="#_x0000_t202" style="position:absolute;left:0;text-align:left;margin-left:243.2pt;margin-top:5.5pt;width:207.25pt;height:45.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" fillcolor="white [3212]" stroked="f">
                <v:textbox>
                  <w:txbxContent>
                    <w:p w:rsidR="00CB34FC" w:rsidRPr="00CB34FC" w:rsidRDefault="00CB34FC" w:rsidP="00CB34FC">
                      <w:pPr>
                        <w:spacing w:before="0"/>
                        <w:jc w:val="center"/>
                        <w:rPr>
                          <w:b/>
                          <w:bCs/>
                        </w:rPr>
                      </w:pPr>
                      <w:r>
                        <w:rPr>
                          <w:b/>
                          <w:bCs/>
                          <w:sz w:val="22"/>
                          <w:szCs w:val="18"/>
                        </w:rPr>
                        <w:t>Régions bénéficiaires des nouveaux accords signées</w:t>
                      </w:r>
                      <w:r w:rsidRPr="00CB34FC">
                        <w:rPr>
                          <w:b/>
                          <w:bCs/>
                          <w:sz w:val="22"/>
                          <w:szCs w:val="18"/>
                        </w:rPr>
                        <w:t xml:space="preserve"> </w:t>
                      </w:r>
                      <w:r>
                        <w:rPr>
                          <w:b/>
                          <w:bCs/>
                          <w:sz w:val="22"/>
                          <w:szCs w:val="18"/>
                        </w:rPr>
                        <w:br/>
                      </w:r>
                      <w:r w:rsidRPr="00CB34FC">
                        <w:rPr>
                          <w:b/>
                          <w:bCs/>
                          <w:sz w:val="22"/>
                          <w:szCs w:val="18"/>
                        </w:rPr>
                        <w:t>(2013-2016)</w:t>
                      </w:r>
                    </w:p>
                  </w:txbxContent>
                </v:textbox>
              </v:shape>
            </w:pict>
          </mc:Fallback>
        </mc:AlternateContent>
      </w:r>
      <w:r w:rsidR="008923C0" w:rsidRPr="00405951">
        <w:rPr>
          <w:noProof/>
          <w:szCs w:val="24"/>
          <w:lang w:val="en-US" w:eastAsia="zh-CN"/>
        </w:rPr>
        <w:drawing>
          <wp:inline distT="0" distB="0" distL="0" distR="0" wp14:anchorId="7DAA8E17" wp14:editId="131A16CC">
            <wp:extent cx="2838450" cy="1966595"/>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923C0" w:rsidRPr="00405951">
        <w:rPr>
          <w:noProof/>
          <w:szCs w:val="24"/>
          <w:lang w:val="en-US" w:eastAsia="zh-CN"/>
        </w:rPr>
        <w:drawing>
          <wp:inline distT="0" distB="0" distL="0" distR="0" wp14:anchorId="72506621" wp14:editId="116AF04F">
            <wp:extent cx="3057525" cy="1971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23C0" w:rsidRPr="00405951" w:rsidRDefault="00517456" w:rsidP="007628A8">
      <w:pPr>
        <w:pStyle w:val="enumlev1"/>
        <w:jc w:val="center"/>
        <w:rPr>
          <w:lang w:val="fr-FR"/>
        </w:rPr>
      </w:pPr>
      <w:r w:rsidRPr="00405951">
        <w:rPr>
          <w:noProof/>
          <w:lang w:val="en-US" w:eastAsia="zh-CN"/>
        </w:rPr>
        <mc:AlternateContent>
          <mc:Choice Requires="wps">
            <w:drawing>
              <wp:anchor distT="45720" distB="45720" distL="114300" distR="114300" simplePos="0" relativeHeight="251686912" behindDoc="0" locked="0" layoutInCell="1" allowOverlap="1">
                <wp:simplePos x="0" y="0"/>
                <wp:positionH relativeFrom="column">
                  <wp:posOffset>536216</wp:posOffset>
                </wp:positionH>
                <wp:positionV relativeFrom="paragraph">
                  <wp:posOffset>640798</wp:posOffset>
                </wp:positionV>
                <wp:extent cx="1494680" cy="1757238"/>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680" cy="1757238"/>
                        </a:xfrm>
                        <a:prstGeom prst="rect">
                          <a:avLst/>
                        </a:prstGeom>
                        <a:solidFill>
                          <a:schemeClr val="bg1"/>
                        </a:solidFill>
                        <a:ln w="9525">
                          <a:noFill/>
                          <a:miter lim="800000"/>
                          <a:headEnd/>
                          <a:tailEnd/>
                        </a:ln>
                      </wps:spPr>
                      <wps:txbx>
                        <w:txbxContent>
                          <w:p w:rsidR="00517456" w:rsidRPr="00517456" w:rsidRDefault="00517456" w:rsidP="00517456">
                            <w:pPr>
                              <w:spacing w:before="0"/>
                              <w:jc w:val="right"/>
                              <w:rPr>
                                <w:sz w:val="18"/>
                                <w:szCs w:val="18"/>
                              </w:rPr>
                            </w:pPr>
                            <w:r w:rsidRPr="00517456">
                              <w:rPr>
                                <w:sz w:val="18"/>
                                <w:szCs w:val="18"/>
                              </w:rPr>
                              <w:t>Statistiques et indicateurs</w:t>
                            </w:r>
                          </w:p>
                          <w:p w:rsidR="00517456" w:rsidRPr="00517456" w:rsidRDefault="00517456" w:rsidP="00517456">
                            <w:pPr>
                              <w:spacing w:before="60"/>
                              <w:jc w:val="right"/>
                              <w:rPr>
                                <w:sz w:val="18"/>
                                <w:szCs w:val="18"/>
                              </w:rPr>
                            </w:pPr>
                            <w:r w:rsidRPr="00517456">
                              <w:rPr>
                                <w:sz w:val="18"/>
                                <w:szCs w:val="18"/>
                              </w:rPr>
                              <w:t>Innovation</w:t>
                            </w:r>
                          </w:p>
                          <w:p w:rsidR="00517456" w:rsidRPr="00517456" w:rsidRDefault="00517456" w:rsidP="00517456">
                            <w:pPr>
                              <w:spacing w:before="60"/>
                              <w:jc w:val="right"/>
                              <w:rPr>
                                <w:sz w:val="18"/>
                                <w:szCs w:val="18"/>
                              </w:rPr>
                            </w:pPr>
                            <w:r w:rsidRPr="00517456">
                              <w:rPr>
                                <w:sz w:val="18"/>
                                <w:szCs w:val="18"/>
                              </w:rPr>
                              <w:t>Inclusion numérique</w:t>
                            </w:r>
                          </w:p>
                          <w:p w:rsidR="00517456" w:rsidRPr="00517456" w:rsidRDefault="00517456" w:rsidP="00517456">
                            <w:pPr>
                              <w:spacing w:before="60"/>
                              <w:jc w:val="right"/>
                              <w:rPr>
                                <w:sz w:val="18"/>
                                <w:szCs w:val="18"/>
                              </w:rPr>
                            </w:pPr>
                            <w:r w:rsidRPr="00517456">
                              <w:rPr>
                                <w:sz w:val="18"/>
                                <w:szCs w:val="18"/>
                              </w:rPr>
                              <w:t>Télécommunications d'urgence</w:t>
                            </w:r>
                          </w:p>
                          <w:p w:rsidR="00517456" w:rsidRPr="00517456" w:rsidRDefault="00517456" w:rsidP="00517456">
                            <w:pPr>
                              <w:spacing w:before="60"/>
                              <w:jc w:val="right"/>
                              <w:rPr>
                                <w:sz w:val="18"/>
                                <w:szCs w:val="18"/>
                              </w:rPr>
                            </w:pPr>
                            <w:r w:rsidRPr="00517456">
                              <w:rPr>
                                <w:sz w:val="18"/>
                                <w:szCs w:val="18"/>
                              </w:rPr>
                              <w:t>Services génériques</w:t>
                            </w:r>
                          </w:p>
                          <w:p w:rsidR="00517456" w:rsidRPr="00517456" w:rsidRDefault="00517456" w:rsidP="00517456">
                            <w:pPr>
                              <w:spacing w:before="40"/>
                              <w:jc w:val="right"/>
                              <w:rPr>
                                <w:sz w:val="18"/>
                                <w:szCs w:val="18"/>
                              </w:rPr>
                            </w:pPr>
                            <w:r w:rsidRPr="00517456">
                              <w:rPr>
                                <w:sz w:val="18"/>
                                <w:szCs w:val="18"/>
                              </w:rPr>
                              <w:t>Environnement propice</w:t>
                            </w:r>
                          </w:p>
                          <w:p w:rsidR="00517456" w:rsidRPr="00517456" w:rsidRDefault="00517456" w:rsidP="00517456">
                            <w:pPr>
                              <w:spacing w:before="40"/>
                              <w:jc w:val="right"/>
                              <w:rPr>
                                <w:sz w:val="18"/>
                                <w:szCs w:val="18"/>
                              </w:rPr>
                            </w:pPr>
                            <w:r w:rsidRPr="00517456">
                              <w:rPr>
                                <w:sz w:val="18"/>
                                <w:szCs w:val="18"/>
                              </w:rPr>
                              <w:t>Applications des TIC</w:t>
                            </w:r>
                          </w:p>
                          <w:p w:rsidR="00517456" w:rsidRPr="00517456" w:rsidRDefault="00517456" w:rsidP="00517456">
                            <w:pPr>
                              <w:spacing w:before="60"/>
                              <w:jc w:val="right"/>
                              <w:rPr>
                                <w:sz w:val="18"/>
                                <w:szCs w:val="18"/>
                              </w:rPr>
                            </w:pPr>
                            <w:r w:rsidRPr="00517456">
                              <w:rPr>
                                <w:sz w:val="18"/>
                                <w:szCs w:val="18"/>
                              </w:rPr>
                              <w:t>Cybersécurité</w:t>
                            </w:r>
                          </w:p>
                          <w:p w:rsidR="00517456" w:rsidRPr="00517456" w:rsidRDefault="00517456" w:rsidP="00517456">
                            <w:pPr>
                              <w:spacing w:before="40"/>
                              <w:jc w:val="right"/>
                              <w:rPr>
                                <w:sz w:val="18"/>
                                <w:szCs w:val="18"/>
                              </w:rPr>
                            </w:pPr>
                            <w:r w:rsidRPr="00517456">
                              <w:rPr>
                                <w:sz w:val="18"/>
                                <w:szCs w:val="18"/>
                              </w:rPr>
                              <w:t>Infrastructures</w:t>
                            </w:r>
                          </w:p>
                          <w:p w:rsidR="00517456" w:rsidRPr="00471F26" w:rsidRDefault="00517456" w:rsidP="00517456">
                            <w:pPr>
                              <w:spacing w:before="40"/>
                              <w:jc w:val="right"/>
                            </w:pPr>
                            <w:r w:rsidRPr="00517456">
                              <w:rPr>
                                <w:sz w:val="18"/>
                                <w:szCs w:val="18"/>
                              </w:rPr>
                              <w:t>Renforcement des capacités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2pt;margin-top:50.45pt;width:117.7pt;height:138.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" fillcolor="white [3212]" stroked="f">
                <v:textbox inset="0,0,0,0">
                  <w:txbxContent>
                    <w:p w:rsidR="00517456" w:rsidRPr="00517456" w:rsidRDefault="00517456" w:rsidP="00517456">
                      <w:pPr>
                        <w:spacing w:before="0"/>
                        <w:jc w:val="right"/>
                        <w:rPr>
                          <w:sz w:val="18"/>
                          <w:szCs w:val="18"/>
                        </w:rPr>
                      </w:pPr>
                      <w:r w:rsidRPr="00517456">
                        <w:rPr>
                          <w:sz w:val="18"/>
                          <w:szCs w:val="18"/>
                        </w:rPr>
                        <w:t>Statistiques et indicateurs</w:t>
                      </w:r>
                    </w:p>
                    <w:p w:rsidR="00517456" w:rsidRPr="00517456" w:rsidRDefault="00517456" w:rsidP="00517456">
                      <w:pPr>
                        <w:spacing w:before="60"/>
                        <w:jc w:val="right"/>
                        <w:rPr>
                          <w:sz w:val="18"/>
                          <w:szCs w:val="18"/>
                        </w:rPr>
                      </w:pPr>
                      <w:r w:rsidRPr="00517456">
                        <w:rPr>
                          <w:sz w:val="18"/>
                          <w:szCs w:val="18"/>
                        </w:rPr>
                        <w:t>Innovation</w:t>
                      </w:r>
                    </w:p>
                    <w:p w:rsidR="00517456" w:rsidRPr="00517456" w:rsidRDefault="00517456" w:rsidP="00517456">
                      <w:pPr>
                        <w:spacing w:before="60"/>
                        <w:jc w:val="right"/>
                        <w:rPr>
                          <w:sz w:val="18"/>
                          <w:szCs w:val="18"/>
                        </w:rPr>
                      </w:pPr>
                      <w:r w:rsidRPr="00517456">
                        <w:rPr>
                          <w:sz w:val="18"/>
                          <w:szCs w:val="18"/>
                        </w:rPr>
                        <w:t>Inclusion numérique</w:t>
                      </w:r>
                    </w:p>
                    <w:p w:rsidR="00517456" w:rsidRPr="00517456" w:rsidRDefault="00517456" w:rsidP="00517456">
                      <w:pPr>
                        <w:spacing w:before="60"/>
                        <w:jc w:val="right"/>
                        <w:rPr>
                          <w:sz w:val="18"/>
                          <w:szCs w:val="18"/>
                        </w:rPr>
                      </w:pPr>
                      <w:r w:rsidRPr="00517456">
                        <w:rPr>
                          <w:sz w:val="18"/>
                          <w:szCs w:val="18"/>
                        </w:rPr>
                        <w:t>Télécommunications d'urgence</w:t>
                      </w:r>
                    </w:p>
                    <w:p w:rsidR="00517456" w:rsidRPr="00517456" w:rsidRDefault="00517456" w:rsidP="00517456">
                      <w:pPr>
                        <w:spacing w:before="60"/>
                        <w:jc w:val="right"/>
                        <w:rPr>
                          <w:sz w:val="18"/>
                          <w:szCs w:val="18"/>
                        </w:rPr>
                      </w:pPr>
                      <w:r w:rsidRPr="00517456">
                        <w:rPr>
                          <w:sz w:val="18"/>
                          <w:szCs w:val="18"/>
                        </w:rPr>
                        <w:t>Services génériques</w:t>
                      </w:r>
                    </w:p>
                    <w:p w:rsidR="00517456" w:rsidRPr="00517456" w:rsidRDefault="00517456" w:rsidP="00517456">
                      <w:pPr>
                        <w:spacing w:before="40"/>
                        <w:jc w:val="right"/>
                        <w:rPr>
                          <w:sz w:val="18"/>
                          <w:szCs w:val="18"/>
                        </w:rPr>
                      </w:pPr>
                      <w:r w:rsidRPr="00517456">
                        <w:rPr>
                          <w:sz w:val="18"/>
                          <w:szCs w:val="18"/>
                        </w:rPr>
                        <w:t>Environnement propice</w:t>
                      </w:r>
                    </w:p>
                    <w:p w:rsidR="00517456" w:rsidRPr="00517456" w:rsidRDefault="00517456" w:rsidP="00517456">
                      <w:pPr>
                        <w:spacing w:before="40"/>
                        <w:jc w:val="right"/>
                        <w:rPr>
                          <w:sz w:val="18"/>
                          <w:szCs w:val="18"/>
                        </w:rPr>
                      </w:pPr>
                      <w:r w:rsidRPr="00517456">
                        <w:rPr>
                          <w:sz w:val="18"/>
                          <w:szCs w:val="18"/>
                        </w:rPr>
                        <w:t>Applications des TIC</w:t>
                      </w:r>
                    </w:p>
                    <w:p w:rsidR="00517456" w:rsidRPr="00517456" w:rsidRDefault="00517456" w:rsidP="00517456">
                      <w:pPr>
                        <w:spacing w:before="60"/>
                        <w:jc w:val="right"/>
                        <w:rPr>
                          <w:sz w:val="18"/>
                          <w:szCs w:val="18"/>
                        </w:rPr>
                      </w:pPr>
                      <w:r w:rsidRPr="00517456">
                        <w:rPr>
                          <w:sz w:val="18"/>
                          <w:szCs w:val="18"/>
                        </w:rPr>
                        <w:t>Cybersécurité</w:t>
                      </w:r>
                    </w:p>
                    <w:p w:rsidR="00517456" w:rsidRPr="00517456" w:rsidRDefault="00517456" w:rsidP="00517456">
                      <w:pPr>
                        <w:spacing w:before="40"/>
                        <w:jc w:val="right"/>
                        <w:rPr>
                          <w:sz w:val="18"/>
                          <w:szCs w:val="18"/>
                        </w:rPr>
                      </w:pPr>
                      <w:r w:rsidRPr="00517456">
                        <w:rPr>
                          <w:sz w:val="18"/>
                          <w:szCs w:val="18"/>
                        </w:rPr>
                        <w:t>Infrastructures</w:t>
                      </w:r>
                    </w:p>
                    <w:p w:rsidR="00517456" w:rsidRPr="00471F26" w:rsidRDefault="00517456" w:rsidP="00517456">
                      <w:pPr>
                        <w:spacing w:before="40"/>
                        <w:jc w:val="right"/>
                      </w:pPr>
                      <w:r w:rsidRPr="00517456">
                        <w:rPr>
                          <w:sz w:val="18"/>
                          <w:szCs w:val="18"/>
                        </w:rPr>
                        <w:t>Renforcement des capacités</w:t>
                      </w:r>
                    </w:p>
                  </w:txbxContent>
                </v:textbox>
              </v:shape>
            </w:pict>
          </mc:Fallback>
        </mc:AlternateContent>
      </w:r>
      <w:r w:rsidR="00B239EB" w:rsidRPr="00405951">
        <w:rPr>
          <w:noProof/>
          <w:lang w:val="en-US" w:eastAsia="zh-CN"/>
        </w:rPr>
        <mc:AlternateContent>
          <mc:Choice Requires="wps">
            <w:drawing>
              <wp:anchor distT="45720" distB="45720" distL="114300" distR="114300" simplePos="0" relativeHeight="251676672" behindDoc="0" locked="0" layoutInCell="1" allowOverlap="1" wp14:anchorId="3E02D553" wp14:editId="0DBE9CAF">
                <wp:simplePos x="0" y="0"/>
                <wp:positionH relativeFrom="column">
                  <wp:posOffset>1219973</wp:posOffset>
                </wp:positionH>
                <wp:positionV relativeFrom="paragraph">
                  <wp:posOffset>131445</wp:posOffset>
                </wp:positionV>
                <wp:extent cx="3737113" cy="413468"/>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3" cy="413468"/>
                        </a:xfrm>
                        <a:prstGeom prst="rect">
                          <a:avLst/>
                        </a:prstGeom>
                        <a:solidFill>
                          <a:schemeClr val="bg1"/>
                        </a:solidFill>
                        <a:ln w="9525">
                          <a:noFill/>
                          <a:miter lim="800000"/>
                          <a:headEnd/>
                          <a:tailEnd/>
                        </a:ln>
                      </wps:spPr>
                      <wps:txbx>
                        <w:txbxContent>
                          <w:p w:rsidR="00B239EB" w:rsidRPr="00CB34FC" w:rsidRDefault="00B239EB" w:rsidP="00B239EB">
                            <w:pPr>
                              <w:spacing w:before="0"/>
                              <w:jc w:val="center"/>
                              <w:rPr>
                                <w:b/>
                                <w:bCs/>
                              </w:rPr>
                            </w:pPr>
                            <w:r>
                              <w:rPr>
                                <w:b/>
                                <w:bCs/>
                                <w:sz w:val="22"/>
                                <w:szCs w:val="18"/>
                              </w:rPr>
                              <w:t>Domaines d'activité visés dans les nouveaux accords signées</w:t>
                            </w:r>
                            <w:r w:rsidRPr="00CB34FC">
                              <w:rPr>
                                <w:b/>
                                <w:bCs/>
                                <w:sz w:val="22"/>
                                <w:szCs w:val="18"/>
                              </w:rPr>
                              <w:t xml:space="preserve"> </w:t>
                            </w:r>
                            <w:r>
                              <w:rPr>
                                <w:b/>
                                <w:bCs/>
                                <w:sz w:val="22"/>
                                <w:szCs w:val="18"/>
                              </w:rPr>
                              <w:br/>
                            </w:r>
                            <w:r w:rsidRPr="00CB34FC">
                              <w:rPr>
                                <w:b/>
                                <w:bCs/>
                                <w:sz w:val="22"/>
                                <w:szCs w:val="18"/>
                              </w:rPr>
                              <w:t>(2013-2016)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2D553" id="_x0000_s1029" type="#_x0000_t202" style="position:absolute;left:0;text-align:left;margin-left:96.05pt;margin-top:10.35pt;width:294.25pt;height:32.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" fillcolor="white [3212]" stroked="f">
                <v:textbox>
                  <w:txbxContent>
                    <w:p w:rsidR="00B239EB" w:rsidRPr="00CB34FC" w:rsidRDefault="00B239EB" w:rsidP="00B239EB">
                      <w:pPr>
                        <w:spacing w:before="0"/>
                        <w:jc w:val="center"/>
                        <w:rPr>
                          <w:b/>
                          <w:bCs/>
                        </w:rPr>
                      </w:pPr>
                      <w:r>
                        <w:rPr>
                          <w:b/>
                          <w:bCs/>
                          <w:sz w:val="22"/>
                          <w:szCs w:val="18"/>
                        </w:rPr>
                        <w:t>Domaines d'activité visés dans les nouveaux accords signées</w:t>
                      </w:r>
                      <w:r w:rsidRPr="00CB34FC">
                        <w:rPr>
                          <w:b/>
                          <w:bCs/>
                          <w:sz w:val="22"/>
                          <w:szCs w:val="18"/>
                        </w:rPr>
                        <w:t xml:space="preserve"> </w:t>
                      </w:r>
                      <w:r>
                        <w:rPr>
                          <w:b/>
                          <w:bCs/>
                          <w:sz w:val="22"/>
                          <w:szCs w:val="18"/>
                        </w:rPr>
                        <w:br/>
                      </w:r>
                      <w:r w:rsidRPr="00CB34FC">
                        <w:rPr>
                          <w:b/>
                          <w:bCs/>
                          <w:sz w:val="22"/>
                          <w:szCs w:val="18"/>
                        </w:rPr>
                        <w:t>(2013-2016)</w:t>
                      </w:r>
                    </w:p>
                  </w:txbxContent>
                </v:textbox>
              </v:shape>
            </w:pict>
          </mc:Fallback>
        </mc:AlternateContent>
      </w:r>
      <w:r w:rsidR="008923C0" w:rsidRPr="00405951">
        <w:rPr>
          <w:noProof/>
          <w:szCs w:val="24"/>
          <w:lang w:val="en-US" w:eastAsia="zh-CN"/>
        </w:rPr>
        <w:drawing>
          <wp:inline distT="0" distB="0" distL="0" distR="0" wp14:anchorId="5019FF31" wp14:editId="105FDCE3">
            <wp:extent cx="4562475" cy="25908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23C0" w:rsidRPr="00405951" w:rsidRDefault="00F83FA9" w:rsidP="007628A8">
      <w:pPr>
        <w:pStyle w:val="enumlev1"/>
        <w:rPr>
          <w:lang w:val="fr-FR"/>
        </w:rPr>
      </w:pPr>
      <w:r w:rsidRPr="00405951">
        <w:rPr>
          <w:noProof/>
          <w:lang w:val="en-US" w:eastAsia="zh-CN"/>
        </w:rPr>
        <mc:AlternateContent>
          <mc:Choice Requires="wps">
            <w:drawing>
              <wp:anchor distT="45720" distB="45720" distL="114300" distR="114300" simplePos="0" relativeHeight="251682816" behindDoc="0" locked="0" layoutInCell="1" allowOverlap="1" wp14:anchorId="2A8250F0" wp14:editId="6467C54D">
                <wp:simplePos x="0" y="0"/>
                <wp:positionH relativeFrom="column">
                  <wp:posOffset>394031</wp:posOffset>
                </wp:positionH>
                <wp:positionV relativeFrom="paragraph">
                  <wp:posOffset>2284730</wp:posOffset>
                </wp:positionV>
                <wp:extent cx="1001395" cy="174625"/>
                <wp:effectExtent l="0" t="0" r="825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74625"/>
                        </a:xfrm>
                        <a:prstGeom prst="rect">
                          <a:avLst/>
                        </a:prstGeom>
                        <a:solidFill>
                          <a:schemeClr val="bg1"/>
                        </a:solidFill>
                        <a:ln w="9525">
                          <a:noFill/>
                          <a:miter lim="800000"/>
                          <a:headEnd/>
                          <a:tailEnd/>
                        </a:ln>
                      </wps:spPr>
                      <wps:txbx>
                        <w:txbxContent>
                          <w:p w:rsidR="00C0144B" w:rsidRPr="00F83FA9" w:rsidRDefault="00C0144B" w:rsidP="00F83FA9">
                            <w:pPr>
                              <w:spacing w:before="0"/>
                              <w:rPr>
                                <w:sz w:val="18"/>
                                <w:szCs w:val="18"/>
                              </w:rPr>
                            </w:pPr>
                            <w:r w:rsidRPr="00F83FA9">
                              <w:rPr>
                                <w:sz w:val="18"/>
                                <w:szCs w:val="18"/>
                              </w:rPr>
                              <w:t>Membres de l'UIT</w:t>
                            </w:r>
                            <w:r w:rsidR="00F83FA9" w:rsidRPr="00F83FA9">
                              <w:rPr>
                                <w:sz w:val="18"/>
                                <w:szCs w:val="18"/>
                              </w:rPr>
                              <w:t>-D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50F0" id="_x0000_s1030" type="#_x0000_t202" style="position:absolute;left:0;text-align:left;margin-left:31.05pt;margin-top:179.9pt;width:78.85pt;height:13.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" fillcolor="white [3212]" stroked="f">
                <v:textbox inset="0,0,0,0">
                  <w:txbxContent>
                    <w:p w:rsidR="00C0144B" w:rsidRPr="00F83FA9" w:rsidRDefault="00C0144B" w:rsidP="00F83FA9">
                      <w:pPr>
                        <w:spacing w:before="0"/>
                        <w:rPr>
                          <w:sz w:val="18"/>
                          <w:szCs w:val="18"/>
                        </w:rPr>
                      </w:pPr>
                      <w:r w:rsidRPr="00F83FA9">
                        <w:rPr>
                          <w:sz w:val="18"/>
                          <w:szCs w:val="18"/>
                        </w:rPr>
                        <w:t>Membres de l'UIT</w:t>
                      </w:r>
                      <w:r w:rsidR="00F83FA9" w:rsidRPr="00F83FA9">
                        <w:rPr>
                          <w:sz w:val="18"/>
                          <w:szCs w:val="18"/>
                        </w:rPr>
                        <w:t>-D</w:t>
                      </w:r>
                    </w:p>
                  </w:txbxContent>
                </v:textbox>
              </v:shape>
            </w:pict>
          </mc:Fallback>
        </mc:AlternateContent>
      </w:r>
      <w:r w:rsidRPr="00405951">
        <w:rPr>
          <w:noProof/>
          <w:lang w:val="en-US" w:eastAsia="zh-CN"/>
        </w:rPr>
        <mc:AlternateContent>
          <mc:Choice Requires="wps">
            <w:drawing>
              <wp:anchor distT="45720" distB="45720" distL="114300" distR="114300" simplePos="0" relativeHeight="251684864" behindDoc="0" locked="0" layoutInCell="1" allowOverlap="1" wp14:anchorId="2BBB22AB" wp14:editId="452DCBDE">
                <wp:simplePos x="0" y="0"/>
                <wp:positionH relativeFrom="column">
                  <wp:posOffset>1542084</wp:posOffset>
                </wp:positionH>
                <wp:positionV relativeFrom="paragraph">
                  <wp:posOffset>2284730</wp:posOffset>
                </wp:positionV>
                <wp:extent cx="1311965" cy="174625"/>
                <wp:effectExtent l="0" t="0" r="254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65" cy="174625"/>
                        </a:xfrm>
                        <a:prstGeom prst="rect">
                          <a:avLst/>
                        </a:prstGeom>
                        <a:solidFill>
                          <a:schemeClr val="bg1"/>
                        </a:solidFill>
                        <a:ln w="9525">
                          <a:noFill/>
                          <a:miter lim="800000"/>
                          <a:headEnd/>
                          <a:tailEnd/>
                        </a:ln>
                      </wps:spPr>
                      <wps:txbx>
                        <w:txbxContent>
                          <w:p w:rsidR="00C0144B" w:rsidRPr="00C0144B" w:rsidRDefault="00F16F5C" w:rsidP="00C0144B">
                            <w:pPr>
                              <w:spacing w:before="0"/>
                              <w:jc w:val="center"/>
                            </w:pPr>
                            <w:r>
                              <w:rPr>
                                <w:sz w:val="20"/>
                                <w:szCs w:val="16"/>
                              </w:rPr>
                              <w:t>N</w:t>
                            </w:r>
                            <w:r w:rsidR="00C0144B">
                              <w:rPr>
                                <w:sz w:val="20"/>
                                <w:szCs w:val="16"/>
                              </w:rPr>
                              <w:t>on-</w:t>
                            </w:r>
                            <w:r w:rsidR="00C0144B" w:rsidRPr="00C0144B">
                              <w:rPr>
                                <w:sz w:val="20"/>
                                <w:szCs w:val="16"/>
                              </w:rPr>
                              <w:t>Membres de l'UIT</w:t>
                            </w:r>
                            <w:r w:rsidR="00F83FA9">
                              <w:rPr>
                                <w:sz w:val="20"/>
                                <w:szCs w:val="16"/>
                              </w:rPr>
                              <w:t>-D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B22AB" id="_x0000_s1031" type="#_x0000_t202" style="position:absolute;left:0;text-align:left;margin-left:121.4pt;margin-top:179.9pt;width:103.3pt;height:1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" fillcolor="white [3212]" stroked="f">
                <v:textbox inset="0,0,0,0">
                  <w:txbxContent>
                    <w:p w:rsidR="00C0144B" w:rsidRPr="00C0144B" w:rsidRDefault="00F16F5C" w:rsidP="00C0144B">
                      <w:pPr>
                        <w:spacing w:before="0"/>
                        <w:jc w:val="center"/>
                      </w:pPr>
                      <w:r>
                        <w:rPr>
                          <w:sz w:val="20"/>
                          <w:szCs w:val="16"/>
                        </w:rPr>
                        <w:t>N</w:t>
                      </w:r>
                      <w:r w:rsidR="00C0144B">
                        <w:rPr>
                          <w:sz w:val="20"/>
                          <w:szCs w:val="16"/>
                        </w:rPr>
                        <w:t>on-</w:t>
                      </w:r>
                      <w:r w:rsidR="00C0144B" w:rsidRPr="00C0144B">
                        <w:rPr>
                          <w:sz w:val="20"/>
                          <w:szCs w:val="16"/>
                        </w:rPr>
                        <w:t>Membres de l'UIT</w:t>
                      </w:r>
                      <w:r w:rsidR="00F83FA9">
                        <w:rPr>
                          <w:sz w:val="20"/>
                          <w:szCs w:val="16"/>
                        </w:rPr>
                        <w:t>-D</w:t>
                      </w:r>
                    </w:p>
                  </w:txbxContent>
                </v:textbox>
              </v:shape>
            </w:pict>
          </mc:Fallback>
        </mc:AlternateContent>
      </w:r>
      <w:r w:rsidR="00471F26" w:rsidRPr="00405951">
        <w:rPr>
          <w:noProof/>
          <w:lang w:val="en-US" w:eastAsia="zh-CN"/>
        </w:rPr>
        <mc:AlternateContent>
          <mc:Choice Requires="wps">
            <w:drawing>
              <wp:anchor distT="45720" distB="45720" distL="114300" distR="114300" simplePos="0" relativeHeight="251680768" behindDoc="0" locked="0" layoutInCell="1" allowOverlap="1" wp14:anchorId="633AF4F4" wp14:editId="67D41EF6">
                <wp:simplePos x="0" y="0"/>
                <wp:positionH relativeFrom="column">
                  <wp:posOffset>3084830</wp:posOffset>
                </wp:positionH>
                <wp:positionV relativeFrom="paragraph">
                  <wp:posOffset>133681</wp:posOffset>
                </wp:positionV>
                <wp:extent cx="1575435" cy="540385"/>
                <wp:effectExtent l="0" t="0" r="571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540385"/>
                        </a:xfrm>
                        <a:prstGeom prst="rect">
                          <a:avLst/>
                        </a:prstGeom>
                        <a:solidFill>
                          <a:schemeClr val="bg1"/>
                        </a:solidFill>
                        <a:ln w="9525">
                          <a:noFill/>
                          <a:miter lim="800000"/>
                          <a:headEnd/>
                          <a:tailEnd/>
                        </a:ln>
                      </wps:spPr>
                      <wps:txbx>
                        <w:txbxContent>
                          <w:p w:rsidR="0034686E" w:rsidRPr="0034686E" w:rsidRDefault="0034686E" w:rsidP="0034686E">
                            <w:pPr>
                              <w:spacing w:before="0"/>
                              <w:jc w:val="center"/>
                              <w:rPr>
                                <w:b/>
                                <w:bCs/>
                              </w:rPr>
                            </w:pPr>
                            <w:r w:rsidRPr="00CB34FC">
                              <w:rPr>
                                <w:b/>
                                <w:bCs/>
                                <w:sz w:val="22"/>
                                <w:szCs w:val="18"/>
                              </w:rPr>
                              <w:t xml:space="preserve">Nouveaux accords signés </w:t>
                            </w:r>
                            <w:r w:rsidRPr="0034686E">
                              <w:rPr>
                                <w:b/>
                                <w:bCs/>
                                <w:sz w:val="22"/>
                                <w:szCs w:val="18"/>
                              </w:rPr>
                              <w:t>–</w:t>
                            </w:r>
                            <w:r>
                              <w:rPr>
                                <w:b/>
                                <w:bCs/>
                                <w:sz w:val="22"/>
                                <w:szCs w:val="18"/>
                              </w:rPr>
                              <w:t xml:space="preserve"> </w:t>
                            </w:r>
                            <w:r>
                              <w:rPr>
                                <w:b/>
                                <w:bCs/>
                                <w:sz w:val="22"/>
                                <w:szCs w:val="18"/>
                              </w:rPr>
                              <w:br/>
                              <w:t>parties prenantes</w:t>
                            </w:r>
                            <w:r>
                              <w:rPr>
                                <w:b/>
                                <w:bCs/>
                                <w:sz w:val="22"/>
                                <w:szCs w:val="18"/>
                              </w:rPr>
                              <w:br/>
                            </w:r>
                            <w:r w:rsidRPr="00CB34FC">
                              <w:rPr>
                                <w:b/>
                                <w:bCs/>
                                <w:sz w:val="22"/>
                                <w:szCs w:val="18"/>
                              </w:rPr>
                              <w:t>(2013-2016)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AF4F4" id="_x0000_s1032" type="#_x0000_t202" style="position:absolute;left:0;text-align:left;margin-left:242.9pt;margin-top:10.55pt;width:124.05pt;height:4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" fillcolor="white [3212]" stroked="f">
                <v:textbox inset="0,0,0,0">
                  <w:txbxContent>
                    <w:p w:rsidR="0034686E" w:rsidRPr="0034686E" w:rsidRDefault="0034686E" w:rsidP="0034686E">
                      <w:pPr>
                        <w:spacing w:before="0"/>
                        <w:jc w:val="center"/>
                        <w:rPr>
                          <w:b/>
                          <w:bCs/>
                        </w:rPr>
                      </w:pPr>
                      <w:r w:rsidRPr="00CB34FC">
                        <w:rPr>
                          <w:b/>
                          <w:bCs/>
                          <w:sz w:val="22"/>
                          <w:szCs w:val="18"/>
                        </w:rPr>
                        <w:t xml:space="preserve">Nouveaux accords signés </w:t>
                      </w:r>
                      <w:r w:rsidRPr="0034686E">
                        <w:rPr>
                          <w:b/>
                          <w:bCs/>
                          <w:sz w:val="22"/>
                          <w:szCs w:val="18"/>
                        </w:rPr>
                        <w:t>–</w:t>
                      </w:r>
                      <w:r>
                        <w:rPr>
                          <w:b/>
                          <w:bCs/>
                          <w:sz w:val="22"/>
                          <w:szCs w:val="18"/>
                        </w:rPr>
                        <w:t xml:space="preserve"> </w:t>
                      </w:r>
                      <w:r>
                        <w:rPr>
                          <w:b/>
                          <w:bCs/>
                          <w:sz w:val="22"/>
                          <w:szCs w:val="18"/>
                        </w:rPr>
                        <w:br/>
                        <w:t>parties prenantes</w:t>
                      </w:r>
                      <w:r>
                        <w:rPr>
                          <w:b/>
                          <w:bCs/>
                          <w:sz w:val="22"/>
                          <w:szCs w:val="18"/>
                        </w:rPr>
                        <w:br/>
                      </w:r>
                      <w:r w:rsidRPr="00CB34FC">
                        <w:rPr>
                          <w:b/>
                          <w:bCs/>
                          <w:sz w:val="22"/>
                          <w:szCs w:val="18"/>
                        </w:rPr>
                        <w:t>(2013-2016)</w:t>
                      </w:r>
                    </w:p>
                  </w:txbxContent>
                </v:textbox>
              </v:shape>
            </w:pict>
          </mc:Fallback>
        </mc:AlternateContent>
      </w:r>
      <w:r w:rsidR="004A5998" w:rsidRPr="00405951">
        <w:rPr>
          <w:noProof/>
          <w:lang w:val="en-US" w:eastAsia="zh-CN"/>
        </w:rPr>
        <mc:AlternateContent>
          <mc:Choice Requires="wps">
            <w:drawing>
              <wp:anchor distT="45720" distB="45720" distL="114300" distR="114300" simplePos="0" relativeHeight="251693056" behindDoc="0" locked="0" layoutInCell="1" allowOverlap="1" wp14:anchorId="59DB36AC" wp14:editId="49CD3A94">
                <wp:simplePos x="0" y="0"/>
                <wp:positionH relativeFrom="column">
                  <wp:posOffset>3152195</wp:posOffset>
                </wp:positionH>
                <wp:positionV relativeFrom="paragraph">
                  <wp:posOffset>1998705</wp:posOffset>
                </wp:positionV>
                <wp:extent cx="2248645" cy="3657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645" cy="365760"/>
                        </a:xfrm>
                        <a:prstGeom prst="rect">
                          <a:avLst/>
                        </a:prstGeom>
                        <a:solidFill>
                          <a:schemeClr val="bg1"/>
                        </a:solidFill>
                        <a:ln w="9525">
                          <a:noFill/>
                          <a:miter lim="800000"/>
                          <a:headEnd/>
                          <a:tailEnd/>
                        </a:ln>
                      </wps:spPr>
                      <wps:txbx>
                        <w:txbxContent>
                          <w:p w:rsidR="004A5998" w:rsidRPr="004A5998" w:rsidRDefault="004A5998" w:rsidP="004A5998">
                            <w:pPr>
                              <w:pStyle w:val="Figurelegend"/>
                              <w:rPr>
                                <w:szCs w:val="18"/>
                              </w:rPr>
                            </w:pPr>
                            <w:r w:rsidRPr="004A5998">
                              <w:rPr>
                                <w:szCs w:val="18"/>
                              </w:rPr>
                              <w:t>Etablissements universitaires</w:t>
                            </w:r>
                          </w:p>
                          <w:p w:rsidR="004A5998" w:rsidRPr="00471F26" w:rsidRDefault="004A5998" w:rsidP="004A5998">
                            <w:pPr>
                              <w:spacing w:before="40"/>
                              <w:rPr>
                                <w:sz w:val="18"/>
                                <w:szCs w:val="18"/>
                              </w:rPr>
                            </w:pPr>
                            <w:r w:rsidRPr="004A5998">
                              <w:rPr>
                                <w:sz w:val="18"/>
                                <w:szCs w:val="18"/>
                              </w:rPr>
                              <w:t>Organisations (régionales ou internationales)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B36AC" id="_x0000_s1033" type="#_x0000_t202" style="position:absolute;left:0;text-align:left;margin-left:248.2pt;margin-top:157.4pt;width:177.05pt;height:28.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" fillcolor="white [3212]" stroked="f">
                <v:textbox inset="0,0,0,0">
                  <w:txbxContent>
                    <w:p w:rsidR="004A5998" w:rsidRPr="004A5998" w:rsidRDefault="004A5998" w:rsidP="004A5998">
                      <w:pPr>
                        <w:pStyle w:val="Figurelegend"/>
                        <w:rPr>
                          <w:szCs w:val="18"/>
                        </w:rPr>
                      </w:pPr>
                      <w:r w:rsidRPr="004A5998">
                        <w:rPr>
                          <w:szCs w:val="18"/>
                        </w:rPr>
                        <w:t>Etablissements universitaires</w:t>
                      </w:r>
                    </w:p>
                    <w:p w:rsidR="004A5998" w:rsidRPr="00471F26" w:rsidRDefault="004A5998" w:rsidP="004A5998">
                      <w:pPr>
                        <w:spacing w:before="40"/>
                        <w:rPr>
                          <w:sz w:val="18"/>
                          <w:szCs w:val="18"/>
                        </w:rPr>
                      </w:pPr>
                      <w:r w:rsidRPr="004A5998">
                        <w:rPr>
                          <w:sz w:val="18"/>
                          <w:szCs w:val="18"/>
                        </w:rPr>
                        <w:t>Organisations (régionales ou internationales)</w:t>
                      </w:r>
                    </w:p>
                  </w:txbxContent>
                </v:textbox>
              </v:shape>
            </w:pict>
          </mc:Fallback>
        </mc:AlternateContent>
      </w:r>
      <w:r w:rsidR="004A5998" w:rsidRPr="00405951">
        <w:rPr>
          <w:noProof/>
          <w:lang w:val="en-US" w:eastAsia="zh-CN"/>
        </w:rPr>
        <mc:AlternateContent>
          <mc:Choice Requires="wps">
            <w:drawing>
              <wp:anchor distT="45720" distB="45720" distL="114300" distR="114300" simplePos="0" relativeHeight="251695104" behindDoc="0" locked="0" layoutInCell="1" allowOverlap="1" wp14:anchorId="54EBC66C" wp14:editId="742812F2">
                <wp:simplePos x="0" y="0"/>
                <wp:positionH relativeFrom="column">
                  <wp:posOffset>3150870</wp:posOffset>
                </wp:positionH>
                <wp:positionV relativeFrom="paragraph">
                  <wp:posOffset>1844464</wp:posOffset>
                </wp:positionV>
                <wp:extent cx="1629327" cy="135488"/>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327" cy="135488"/>
                        </a:xfrm>
                        <a:prstGeom prst="rect">
                          <a:avLst/>
                        </a:prstGeom>
                        <a:solidFill>
                          <a:schemeClr val="bg1"/>
                        </a:solidFill>
                        <a:ln w="9525">
                          <a:noFill/>
                          <a:miter lim="800000"/>
                          <a:headEnd/>
                          <a:tailEnd/>
                        </a:ln>
                      </wps:spPr>
                      <wps:txbx>
                        <w:txbxContent>
                          <w:p w:rsidR="004A5998" w:rsidRPr="004A5998" w:rsidRDefault="004A5998" w:rsidP="004A5998">
                            <w:pPr>
                              <w:spacing w:before="0"/>
                              <w:rPr>
                                <w:sz w:val="18"/>
                                <w:szCs w:val="18"/>
                                <w:lang w:val="en-US"/>
                              </w:rPr>
                            </w:pPr>
                            <w:r w:rsidRPr="004A5998">
                              <w:rPr>
                                <w:sz w:val="18"/>
                                <w:szCs w:val="18"/>
                              </w:rPr>
                              <w:t>Institutions financières/fondations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BC66C" id="_x0000_s1034" type="#_x0000_t202" style="position:absolute;left:0;text-align:left;margin-left:248.1pt;margin-top:145.25pt;width:128.3pt;height:10.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" fillcolor="white [3212]" stroked="f">
                <v:textbox inset="0,0,0,0">
                  <w:txbxContent>
                    <w:p w:rsidR="004A5998" w:rsidRPr="004A5998" w:rsidRDefault="004A5998" w:rsidP="004A5998">
                      <w:pPr>
                        <w:spacing w:before="0"/>
                        <w:rPr>
                          <w:sz w:val="18"/>
                          <w:szCs w:val="18"/>
                          <w:lang w:val="en-US"/>
                        </w:rPr>
                      </w:pPr>
                      <w:r w:rsidRPr="004A5998">
                        <w:rPr>
                          <w:sz w:val="18"/>
                          <w:szCs w:val="18"/>
                        </w:rPr>
                        <w:t>Institutions financières/fondations</w:t>
                      </w:r>
                    </w:p>
                  </w:txbxContent>
                </v:textbox>
              </v:shape>
            </w:pict>
          </mc:Fallback>
        </mc:AlternateContent>
      </w:r>
      <w:r w:rsidR="004A5998" w:rsidRPr="00405951">
        <w:rPr>
          <w:noProof/>
          <w:lang w:val="en-US" w:eastAsia="zh-CN"/>
        </w:rPr>
        <mc:AlternateContent>
          <mc:Choice Requires="wps">
            <w:drawing>
              <wp:anchor distT="45720" distB="45720" distL="114300" distR="114300" simplePos="0" relativeHeight="251691008" behindDoc="0" locked="0" layoutInCell="1" allowOverlap="1" wp14:anchorId="4ED5C9AD" wp14:editId="7AA6D9EB">
                <wp:simplePos x="0" y="0"/>
                <wp:positionH relativeFrom="column">
                  <wp:posOffset>3152140</wp:posOffset>
                </wp:positionH>
                <wp:positionV relativeFrom="paragraph">
                  <wp:posOffset>1647521</wp:posOffset>
                </wp:positionV>
                <wp:extent cx="1256306" cy="166978"/>
                <wp:effectExtent l="0" t="0" r="127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06" cy="166978"/>
                        </a:xfrm>
                        <a:prstGeom prst="rect">
                          <a:avLst/>
                        </a:prstGeom>
                        <a:solidFill>
                          <a:schemeClr val="bg1"/>
                        </a:solidFill>
                        <a:ln w="9525">
                          <a:noFill/>
                          <a:miter lim="800000"/>
                          <a:headEnd/>
                          <a:tailEnd/>
                        </a:ln>
                      </wps:spPr>
                      <wps:txbx>
                        <w:txbxContent>
                          <w:p w:rsidR="004A5998" w:rsidRPr="004A5998" w:rsidRDefault="004A5998" w:rsidP="004A5998">
                            <w:pPr>
                              <w:spacing w:before="0"/>
                              <w:rPr>
                                <w:sz w:val="18"/>
                                <w:szCs w:val="18"/>
                                <w:lang w:val="en-US"/>
                              </w:rPr>
                            </w:pPr>
                            <w:r w:rsidRPr="004A5998">
                              <w:rPr>
                                <w:sz w:val="18"/>
                                <w:szCs w:val="18"/>
                              </w:rPr>
                              <w:t>Système des Nations unies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5C9AD" id="_x0000_s1035" type="#_x0000_t202" style="position:absolute;left:0;text-align:left;margin-left:248.2pt;margin-top:129.75pt;width:98.9pt;height:13.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" fillcolor="white [3212]" stroked="f">
                <v:textbox inset="0,0,0,0">
                  <w:txbxContent>
                    <w:p w:rsidR="004A5998" w:rsidRPr="004A5998" w:rsidRDefault="004A5998" w:rsidP="004A5998">
                      <w:pPr>
                        <w:spacing w:before="0"/>
                        <w:rPr>
                          <w:sz w:val="18"/>
                          <w:szCs w:val="18"/>
                          <w:lang w:val="en-US"/>
                        </w:rPr>
                      </w:pPr>
                      <w:r w:rsidRPr="004A5998">
                        <w:rPr>
                          <w:sz w:val="18"/>
                          <w:szCs w:val="18"/>
                        </w:rPr>
                        <w:t>Système des Nations unies</w:t>
                      </w:r>
                    </w:p>
                  </w:txbxContent>
                </v:textbox>
              </v:shape>
            </w:pict>
          </mc:Fallback>
        </mc:AlternateContent>
      </w:r>
      <w:r w:rsidR="004A5998" w:rsidRPr="00405951">
        <w:rPr>
          <w:noProof/>
          <w:lang w:val="en-US" w:eastAsia="zh-CN"/>
        </w:rPr>
        <mc:AlternateContent>
          <mc:Choice Requires="wps">
            <w:drawing>
              <wp:anchor distT="45720" distB="45720" distL="114300" distR="114300" simplePos="0" relativeHeight="251688960" behindDoc="0" locked="0" layoutInCell="1" allowOverlap="1" wp14:anchorId="695BB636" wp14:editId="7E6A366A">
                <wp:simplePos x="0" y="0"/>
                <wp:positionH relativeFrom="column">
                  <wp:posOffset>3152140</wp:posOffset>
                </wp:positionH>
                <wp:positionV relativeFrom="paragraph">
                  <wp:posOffset>1274749</wp:posOffset>
                </wp:positionV>
                <wp:extent cx="914400" cy="326003"/>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6003"/>
                        </a:xfrm>
                        <a:prstGeom prst="rect">
                          <a:avLst/>
                        </a:prstGeom>
                        <a:solidFill>
                          <a:schemeClr val="bg1"/>
                        </a:solidFill>
                        <a:ln w="9525">
                          <a:noFill/>
                          <a:miter lim="800000"/>
                          <a:headEnd/>
                          <a:tailEnd/>
                        </a:ln>
                      </wps:spPr>
                      <wps:txbx>
                        <w:txbxContent>
                          <w:p w:rsidR="004A5998" w:rsidRPr="004A5998" w:rsidRDefault="004A5998" w:rsidP="004A5998">
                            <w:pPr>
                              <w:pStyle w:val="Figurelegend"/>
                              <w:rPr>
                                <w:szCs w:val="18"/>
                              </w:rPr>
                            </w:pPr>
                            <w:r w:rsidRPr="004A5998">
                              <w:rPr>
                                <w:szCs w:val="18"/>
                              </w:rPr>
                              <w:t>Administrations</w:t>
                            </w:r>
                          </w:p>
                          <w:p w:rsidR="004A5998" w:rsidRPr="00517456" w:rsidRDefault="004A5998" w:rsidP="004A5998">
                            <w:pPr>
                              <w:spacing w:before="40"/>
                              <w:rPr>
                                <w:lang w:val="en-US"/>
                              </w:rPr>
                            </w:pPr>
                            <w:r w:rsidRPr="004A5998">
                              <w:rPr>
                                <w:sz w:val="18"/>
                                <w:szCs w:val="18"/>
                              </w:rPr>
                              <w:t>Secteur privé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BB636" id="_x0000_s1036" type="#_x0000_t202" style="position:absolute;left:0;text-align:left;margin-left:248.2pt;margin-top:100.35pt;width:1in;height:25.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" fillcolor="white [3212]" stroked="f">
                <v:textbox inset="0,0,0,0">
                  <w:txbxContent>
                    <w:p w:rsidR="004A5998" w:rsidRPr="004A5998" w:rsidRDefault="004A5998" w:rsidP="004A5998">
                      <w:pPr>
                        <w:pStyle w:val="Figurelegend"/>
                        <w:rPr>
                          <w:szCs w:val="18"/>
                        </w:rPr>
                      </w:pPr>
                      <w:r w:rsidRPr="004A5998">
                        <w:rPr>
                          <w:szCs w:val="18"/>
                        </w:rPr>
                        <w:t>Administrations</w:t>
                      </w:r>
                    </w:p>
                    <w:p w:rsidR="004A5998" w:rsidRPr="00517456" w:rsidRDefault="004A5998" w:rsidP="004A5998">
                      <w:pPr>
                        <w:spacing w:before="40"/>
                        <w:rPr>
                          <w:lang w:val="en-US"/>
                        </w:rPr>
                      </w:pPr>
                      <w:r w:rsidRPr="004A5998">
                        <w:rPr>
                          <w:sz w:val="18"/>
                          <w:szCs w:val="18"/>
                        </w:rPr>
                        <w:t>Secteur privé</w:t>
                      </w:r>
                    </w:p>
                  </w:txbxContent>
                </v:textbox>
              </v:shape>
            </w:pict>
          </mc:Fallback>
        </mc:AlternateContent>
      </w:r>
      <w:r w:rsidR="0034686E" w:rsidRPr="00405951">
        <w:rPr>
          <w:noProof/>
          <w:lang w:val="en-US" w:eastAsia="zh-CN"/>
        </w:rPr>
        <mc:AlternateContent>
          <mc:Choice Requires="wps">
            <w:drawing>
              <wp:anchor distT="45720" distB="45720" distL="114300" distR="114300" simplePos="0" relativeHeight="251678720" behindDoc="0" locked="0" layoutInCell="1" allowOverlap="1" wp14:anchorId="087E7DAB" wp14:editId="77A7D013">
                <wp:simplePos x="0" y="0"/>
                <wp:positionH relativeFrom="column">
                  <wp:posOffset>130700</wp:posOffset>
                </wp:positionH>
                <wp:positionV relativeFrom="paragraph">
                  <wp:posOffset>136580</wp:posOffset>
                </wp:positionV>
                <wp:extent cx="2631882" cy="5804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80445"/>
                        </a:xfrm>
                        <a:prstGeom prst="rect">
                          <a:avLst/>
                        </a:prstGeom>
                        <a:solidFill>
                          <a:schemeClr val="bg1"/>
                        </a:solidFill>
                        <a:ln w="9525">
                          <a:noFill/>
                          <a:miter lim="800000"/>
                          <a:headEnd/>
                          <a:tailEnd/>
                        </a:ln>
                      </wps:spPr>
                      <wps:txbx>
                        <w:txbxContent>
                          <w:p w:rsidR="0034686E" w:rsidRPr="0034686E" w:rsidRDefault="0034686E" w:rsidP="0034686E">
                            <w:pPr>
                              <w:spacing w:before="0"/>
                              <w:jc w:val="center"/>
                              <w:rPr>
                                <w:b/>
                                <w:bCs/>
                              </w:rPr>
                            </w:pPr>
                            <w:r w:rsidRPr="00CB34FC">
                              <w:rPr>
                                <w:b/>
                                <w:bCs/>
                                <w:sz w:val="22"/>
                                <w:szCs w:val="18"/>
                              </w:rPr>
                              <w:t xml:space="preserve">Nouveaux accords signés </w:t>
                            </w:r>
                            <w:r w:rsidRPr="0034686E">
                              <w:rPr>
                                <w:b/>
                                <w:bCs/>
                                <w:sz w:val="22"/>
                                <w:szCs w:val="18"/>
                              </w:rPr>
                              <w:t>–</w:t>
                            </w:r>
                            <w:r>
                              <w:rPr>
                                <w:b/>
                                <w:bCs/>
                                <w:sz w:val="22"/>
                                <w:szCs w:val="18"/>
                              </w:rPr>
                              <w:t xml:space="preserve"> </w:t>
                            </w:r>
                            <w:r>
                              <w:rPr>
                                <w:b/>
                                <w:bCs/>
                                <w:sz w:val="22"/>
                                <w:szCs w:val="18"/>
                              </w:rPr>
                              <w:br/>
                              <w:t>parties prenantes</w:t>
                            </w:r>
                            <w:r>
                              <w:rPr>
                                <w:b/>
                                <w:bCs/>
                                <w:sz w:val="22"/>
                                <w:szCs w:val="18"/>
                              </w:rPr>
                              <w:br/>
                            </w:r>
                            <w:r w:rsidRPr="00CB34FC">
                              <w:rPr>
                                <w:b/>
                                <w:bCs/>
                                <w:sz w:val="22"/>
                                <w:szCs w:val="18"/>
                              </w:rPr>
                              <w:t>(2013-2016)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E7DAB" id="_x0000_s1037" type="#_x0000_t202" style="position:absolute;left:0;text-align:left;margin-left:10.3pt;margin-top:10.75pt;width:207.25pt;height:45.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" fillcolor="white [3212]" stroked="f">
                <v:textbox>
                  <w:txbxContent>
                    <w:p w:rsidR="0034686E" w:rsidRPr="0034686E" w:rsidRDefault="0034686E" w:rsidP="0034686E">
                      <w:pPr>
                        <w:spacing w:before="0"/>
                        <w:jc w:val="center"/>
                        <w:rPr>
                          <w:b/>
                          <w:bCs/>
                        </w:rPr>
                      </w:pPr>
                      <w:r w:rsidRPr="00CB34FC">
                        <w:rPr>
                          <w:b/>
                          <w:bCs/>
                          <w:sz w:val="22"/>
                          <w:szCs w:val="18"/>
                        </w:rPr>
                        <w:t xml:space="preserve">Nouveaux accords signés </w:t>
                      </w:r>
                      <w:r w:rsidRPr="0034686E">
                        <w:rPr>
                          <w:b/>
                          <w:bCs/>
                          <w:sz w:val="22"/>
                          <w:szCs w:val="18"/>
                        </w:rPr>
                        <w:t>–</w:t>
                      </w:r>
                      <w:r>
                        <w:rPr>
                          <w:b/>
                          <w:bCs/>
                          <w:sz w:val="22"/>
                          <w:szCs w:val="18"/>
                        </w:rPr>
                        <w:t xml:space="preserve"> </w:t>
                      </w:r>
                      <w:r>
                        <w:rPr>
                          <w:b/>
                          <w:bCs/>
                          <w:sz w:val="22"/>
                          <w:szCs w:val="18"/>
                        </w:rPr>
                        <w:br/>
                        <w:t>parties prenantes</w:t>
                      </w:r>
                      <w:r>
                        <w:rPr>
                          <w:b/>
                          <w:bCs/>
                          <w:sz w:val="22"/>
                          <w:szCs w:val="18"/>
                        </w:rPr>
                        <w:br/>
                      </w:r>
                      <w:r w:rsidRPr="00CB34FC">
                        <w:rPr>
                          <w:b/>
                          <w:bCs/>
                          <w:sz w:val="22"/>
                          <w:szCs w:val="18"/>
                        </w:rPr>
                        <w:t>(2013-2016)</w:t>
                      </w:r>
                    </w:p>
                  </w:txbxContent>
                </v:textbox>
              </v:shape>
            </w:pict>
          </mc:Fallback>
        </mc:AlternateContent>
      </w:r>
      <w:r w:rsidR="008923C0" w:rsidRPr="00405951">
        <w:rPr>
          <w:noProof/>
          <w:szCs w:val="24"/>
          <w:lang w:val="en-US" w:eastAsia="zh-CN"/>
        </w:rPr>
        <w:drawing>
          <wp:inline distT="0" distB="0" distL="0" distR="0" wp14:anchorId="3E031796" wp14:editId="17AC9C87">
            <wp:extent cx="2895600" cy="25050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923C0" w:rsidRPr="00405951">
        <w:rPr>
          <w:noProof/>
          <w:szCs w:val="24"/>
          <w:lang w:val="en-US" w:eastAsia="zh-CN"/>
        </w:rPr>
        <w:drawing>
          <wp:inline distT="0" distB="0" distL="0" distR="0" wp14:anchorId="4E324A4F" wp14:editId="7A59924F">
            <wp:extent cx="3048000" cy="25146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23C0" w:rsidRPr="00405951" w:rsidRDefault="008923C0" w:rsidP="00471F26">
      <w:pPr>
        <w:pStyle w:val="Heading1"/>
        <w:rPr>
          <w:lang w:val="fr-FR"/>
        </w:rPr>
      </w:pPr>
      <w:r w:rsidRPr="00405951">
        <w:rPr>
          <w:lang w:val="fr-FR"/>
        </w:rPr>
        <w:lastRenderedPageBreak/>
        <w:t>5</w:t>
      </w:r>
      <w:r w:rsidRPr="00405951">
        <w:rPr>
          <w:lang w:val="fr-FR"/>
        </w:rPr>
        <w:tab/>
        <w:t>Perspectives d'avenir</w:t>
      </w:r>
    </w:p>
    <w:p w:rsidR="008923C0" w:rsidRPr="00405951" w:rsidRDefault="008923C0" w:rsidP="00471F26">
      <w:pPr>
        <w:keepNext/>
        <w:keepLines/>
        <w:rPr>
          <w:lang w:val="fr-FR"/>
        </w:rPr>
      </w:pPr>
      <w:r w:rsidRPr="00405951">
        <w:rPr>
          <w:lang w:val="fr-FR"/>
        </w:rPr>
        <w:t>Le BDT continuera de développer et d'améliorer ses produits et outils dans le domaine de la mobilisation des ressources en invitant ses partenaires, traditionnels ou non, à participer à la mise en oeuvre de projets et d'initiatives</w:t>
      </w:r>
      <w:r w:rsidR="00FE0202" w:rsidRPr="00405951">
        <w:rPr>
          <w:lang w:val="fr-FR"/>
        </w:rPr>
        <w:t xml:space="preserve"> à l</w:t>
      </w:r>
      <w:r w:rsidR="007628A8" w:rsidRPr="00405951">
        <w:rPr>
          <w:lang w:val="fr-FR"/>
        </w:rPr>
        <w:t>'</w:t>
      </w:r>
      <w:r w:rsidR="00FE0202" w:rsidRPr="00405951">
        <w:rPr>
          <w:lang w:val="fr-FR"/>
        </w:rPr>
        <w:t>échelle mondiale, régionales ou nationales</w:t>
      </w:r>
      <w:r w:rsidR="007628A8" w:rsidRPr="00405951">
        <w:rPr>
          <w:lang w:val="fr-FR"/>
        </w:rPr>
        <w:t>,</w:t>
      </w:r>
      <w:r w:rsidR="00FE0202" w:rsidRPr="00405951">
        <w:rPr>
          <w:lang w:val="fr-FR"/>
        </w:rPr>
        <w:t xml:space="preserve"> y compris des </w:t>
      </w:r>
      <w:r w:rsidRPr="00405951">
        <w:rPr>
          <w:lang w:val="fr-FR"/>
        </w:rPr>
        <w:t xml:space="preserve">initiatives régionales. </w:t>
      </w:r>
    </w:p>
    <w:p w:rsidR="008923C0" w:rsidRPr="00405951" w:rsidRDefault="00FE0202" w:rsidP="00405951">
      <w:pPr>
        <w:keepNext/>
        <w:keepLines/>
        <w:rPr>
          <w:lang w:val="fr-FR"/>
        </w:rPr>
      </w:pPr>
      <w:r w:rsidRPr="00405951">
        <w:rPr>
          <w:lang w:val="fr-FR"/>
        </w:rPr>
        <w:t>Tous les M</w:t>
      </w:r>
      <w:r w:rsidR="008923C0" w:rsidRPr="00405951">
        <w:rPr>
          <w:lang w:val="fr-FR"/>
        </w:rPr>
        <w:t xml:space="preserve">embres de l'UIT sont invités à </w:t>
      </w:r>
      <w:r w:rsidRPr="00405951">
        <w:rPr>
          <w:color w:val="000000"/>
          <w:lang w:val="fr-FR"/>
        </w:rPr>
        <w:t>oeuvrer en partenariat</w:t>
      </w:r>
      <w:r w:rsidRPr="00405951">
        <w:rPr>
          <w:lang w:val="fr-FR"/>
        </w:rPr>
        <w:t xml:space="preserve"> avec le</w:t>
      </w:r>
      <w:r w:rsidR="007628A8" w:rsidRPr="00405951">
        <w:rPr>
          <w:lang w:val="fr-FR"/>
        </w:rPr>
        <w:t xml:space="preserve"> </w:t>
      </w:r>
      <w:r w:rsidR="008923C0" w:rsidRPr="00405951">
        <w:rPr>
          <w:lang w:val="fr-FR"/>
        </w:rPr>
        <w:t>BDT</w:t>
      </w:r>
      <w:r w:rsidRPr="00405951">
        <w:rPr>
          <w:lang w:val="fr-FR"/>
        </w:rPr>
        <w:t xml:space="preserve"> pour mettre en </w:t>
      </w:r>
      <w:r w:rsidR="00F87FD3" w:rsidRPr="00405951">
        <w:rPr>
          <w:lang w:val="fr-FR"/>
        </w:rPr>
        <w:t>oe</w:t>
      </w:r>
      <w:r w:rsidRPr="00405951">
        <w:rPr>
          <w:lang w:val="fr-FR"/>
        </w:rPr>
        <w:t>uvre</w:t>
      </w:r>
      <w:r w:rsidR="007628A8" w:rsidRPr="00405951">
        <w:rPr>
          <w:lang w:val="fr-FR"/>
        </w:rPr>
        <w:t xml:space="preserve"> </w:t>
      </w:r>
      <w:r w:rsidR="008923C0" w:rsidRPr="00405951">
        <w:rPr>
          <w:lang w:val="fr-FR"/>
        </w:rPr>
        <w:t>les résultats de la CMDT</w:t>
      </w:r>
      <w:r w:rsidR="008923C0" w:rsidRPr="00405951">
        <w:rPr>
          <w:lang w:val="fr-FR"/>
        </w:rPr>
        <w:noBreakHyphen/>
        <w:t>14 et de la PP</w:t>
      </w:r>
      <w:r w:rsidR="008923C0" w:rsidRPr="00405951">
        <w:rPr>
          <w:lang w:val="fr-FR"/>
        </w:rPr>
        <w:noBreakHyphen/>
        <w:t xml:space="preserve">14, </w:t>
      </w:r>
      <w:r w:rsidRPr="00405951">
        <w:rPr>
          <w:lang w:val="fr-FR"/>
        </w:rPr>
        <w:t xml:space="preserve">et </w:t>
      </w:r>
      <w:r w:rsidR="00405951" w:rsidRPr="00405951">
        <w:rPr>
          <w:lang w:val="fr-FR"/>
        </w:rPr>
        <w:t>à</w:t>
      </w:r>
      <w:r w:rsidRPr="00405951">
        <w:rPr>
          <w:lang w:val="fr-FR"/>
        </w:rPr>
        <w:t xml:space="preserve"> contribuer</w:t>
      </w:r>
      <w:r w:rsidR="007628A8" w:rsidRPr="00405951">
        <w:rPr>
          <w:lang w:val="fr-FR"/>
        </w:rPr>
        <w:t xml:space="preserve"> </w:t>
      </w:r>
      <w:r w:rsidRPr="00405951">
        <w:rPr>
          <w:lang w:val="fr-FR"/>
        </w:rPr>
        <w:t>à la réalisation des</w:t>
      </w:r>
      <w:r w:rsidR="007628A8" w:rsidRPr="00405951">
        <w:rPr>
          <w:lang w:val="fr-FR"/>
        </w:rPr>
        <w:t xml:space="preserve"> </w:t>
      </w:r>
      <w:r w:rsidR="008923C0" w:rsidRPr="00405951">
        <w:rPr>
          <w:lang w:val="fr-FR"/>
        </w:rPr>
        <w:t>Objectifs de développement durable (ODD).</w:t>
      </w:r>
    </w:p>
    <w:p w:rsidR="00471F26" w:rsidRPr="00405951" w:rsidRDefault="00471F26" w:rsidP="0032202E">
      <w:pPr>
        <w:pStyle w:val="Reasons"/>
        <w:rPr>
          <w:lang w:val="fr-FR"/>
        </w:rPr>
      </w:pPr>
      <w:bookmarkStart w:id="53" w:name="_GoBack"/>
      <w:bookmarkEnd w:id="53"/>
    </w:p>
    <w:p w:rsidR="00471F26" w:rsidRPr="00405951" w:rsidRDefault="00471F26">
      <w:pPr>
        <w:jc w:val="center"/>
        <w:rPr>
          <w:lang w:val="fr-FR"/>
        </w:rPr>
      </w:pPr>
      <w:r w:rsidRPr="00405951">
        <w:rPr>
          <w:lang w:val="fr-FR"/>
        </w:rPr>
        <w:t>______________</w:t>
      </w:r>
    </w:p>
    <w:sectPr w:rsidR="00471F26" w:rsidRPr="00405951" w:rsidSect="00473791">
      <w:headerReference w:type="default" r:id="rId20"/>
      <w:foot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4FC" w:rsidRDefault="00CB34FC">
      <w:r>
        <w:separator/>
      </w:r>
    </w:p>
  </w:endnote>
  <w:endnote w:type="continuationSeparator" w:id="0">
    <w:p w:rsidR="00CB34FC" w:rsidRDefault="00CB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jaVu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FC" w:rsidRPr="00602326" w:rsidRDefault="00CB34FC" w:rsidP="00E47D6F">
    <w:pPr>
      <w:pStyle w:val="Footer"/>
      <w:rPr>
        <w:caps w:val="0"/>
        <w:sz w:val="18"/>
        <w:szCs w:val="18"/>
        <w:lang w:val="it-IT"/>
      </w:rPr>
    </w:pPr>
    <w:r w:rsidRPr="003125C3">
      <w:rPr>
        <w:caps w:val="0"/>
        <w:sz w:val="18"/>
        <w:szCs w:val="18"/>
      </w:rPr>
      <w:fldChar w:fldCharType="begin"/>
    </w:r>
    <w:r w:rsidRPr="00602326">
      <w:rPr>
        <w:caps w:val="0"/>
        <w:sz w:val="18"/>
        <w:szCs w:val="18"/>
        <w:lang w:val="it-IT"/>
      </w:rPr>
      <w:instrText xml:space="preserve"> FILENAME \p \* MERGEFORMAT </w:instrText>
    </w:r>
    <w:r w:rsidRPr="003125C3">
      <w:rPr>
        <w:caps w:val="0"/>
        <w:sz w:val="18"/>
        <w:szCs w:val="18"/>
      </w:rPr>
      <w:fldChar w:fldCharType="separate"/>
    </w:r>
    <w:r w:rsidR="00D147E0" w:rsidRPr="00602326">
      <w:rPr>
        <w:caps w:val="0"/>
        <w:sz w:val="18"/>
        <w:szCs w:val="18"/>
        <w:lang w:val="it-IT"/>
      </w:rPr>
      <w:t>P:\FRA\ITU-D\CONF-D\TDAG17\000\029F.docx</w:t>
    </w:r>
    <w:r w:rsidRPr="003125C3">
      <w:rPr>
        <w:caps w:val="0"/>
        <w:sz w:val="18"/>
        <w:szCs w:val="18"/>
        <w:lang w:val="en-US"/>
      </w:rPr>
      <w:fldChar w:fldCharType="end"/>
    </w:r>
    <w:r w:rsidRPr="00602326">
      <w:rPr>
        <w:caps w:val="0"/>
        <w:sz w:val="18"/>
        <w:szCs w:val="18"/>
        <w:lang w:val="it-IT"/>
      </w:rPr>
      <w:t xml:space="preserve"> (413992)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FC" w:rsidRPr="008802F9" w:rsidRDefault="00262D39" w:rsidP="00B80157">
    <w:pPr>
      <w:pStyle w:val="Footer"/>
      <w:jc w:val="center"/>
    </w:pPr>
    <w:hyperlink r:id="rId1" w:history="1">
      <w:r w:rsidR="00CB34FC"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4FC" w:rsidRDefault="00CB34FC">
      <w:r>
        <w:t>____________________</w:t>
      </w:r>
    </w:p>
  </w:footnote>
  <w:footnote w:type="continuationSeparator" w:id="0">
    <w:p w:rsidR="00CB34FC" w:rsidRDefault="00CB34FC">
      <w:r>
        <w:continuationSeparator/>
      </w:r>
    </w:p>
  </w:footnote>
  <w:footnote w:id="1">
    <w:p w:rsidR="00CB34FC" w:rsidRPr="00643E3C" w:rsidRDefault="00CB34FC" w:rsidP="00602326">
      <w:pPr>
        <w:pStyle w:val="FootnoteText"/>
        <w:rPr>
          <w:sz w:val="20"/>
          <w:lang w:val="fr-FR"/>
        </w:rPr>
      </w:pPr>
      <w:r w:rsidRPr="00643E3C">
        <w:rPr>
          <w:rStyle w:val="FootnoteReference"/>
          <w:sz w:val="20"/>
        </w:rPr>
        <w:footnoteRef/>
      </w:r>
      <w:bookmarkStart w:id="14" w:name="lt_pId104"/>
      <w:r w:rsidRPr="00643E3C">
        <w:rPr>
          <w:sz w:val="20"/>
          <w:lang w:val="fr-FR"/>
        </w:rPr>
        <w:tab/>
        <w:t xml:space="preserve">Au niveau opérationnel, le projet s'articule autour de quatre grands axes indépendants, chacun </w:t>
      </w:r>
      <w:r>
        <w:rPr>
          <w:sz w:val="20"/>
          <w:lang w:val="fr-FR"/>
        </w:rPr>
        <w:t xml:space="preserve">étant </w:t>
      </w:r>
      <w:r w:rsidRPr="00643E3C">
        <w:rPr>
          <w:sz w:val="20"/>
          <w:lang w:val="fr-FR"/>
        </w:rPr>
        <w:t>placé sous la présidence d'un professeur de médecine</w:t>
      </w:r>
      <w:r w:rsidRPr="00643E3C">
        <w:rPr>
          <w:rFonts w:eastAsiaTheme="minorHAnsi"/>
          <w:sz w:val="20"/>
          <w:lang w:val="fr-FR"/>
        </w:rPr>
        <w:t>: a</w:t>
      </w:r>
      <w:r>
        <w:rPr>
          <w:rFonts w:eastAsiaTheme="minorHAnsi"/>
          <w:sz w:val="20"/>
          <w:lang w:val="fr-FR"/>
        </w:rPr>
        <w:t xml:space="preserve">) sensibilisation au mobile </w:t>
      </w:r>
      <w:r w:rsidRPr="00643E3C">
        <w:rPr>
          <w:rFonts w:eastAsiaTheme="minorHAnsi"/>
          <w:sz w:val="20"/>
          <w:lang w:val="fr-FR"/>
        </w:rPr>
        <w:t xml:space="preserve">(vise à sensibiliser les populations afin qu'elles soient bien informées de </w:t>
      </w:r>
      <w:r>
        <w:rPr>
          <w:rFonts w:eastAsiaTheme="minorHAnsi"/>
          <w:sz w:val="20"/>
          <w:lang w:val="fr-FR"/>
        </w:rPr>
        <w:t>la manière de traiter le diabète</w:t>
      </w:r>
      <w:r w:rsidRPr="00643E3C">
        <w:rPr>
          <w:rFonts w:eastAsiaTheme="minorHAnsi"/>
          <w:sz w:val="20"/>
          <w:lang w:val="fr-FR"/>
        </w:rPr>
        <w:t>;</w:t>
      </w:r>
      <w:r>
        <w:rPr>
          <w:rFonts w:eastAsiaTheme="minorHAnsi"/>
          <w:sz w:val="20"/>
          <w:lang w:val="fr-FR"/>
        </w:rPr>
        <w:t xml:space="preserve"> cette campagne </w:t>
      </w:r>
      <w:r w:rsidRPr="00643E3C">
        <w:rPr>
          <w:rFonts w:eastAsiaTheme="minorHAnsi"/>
          <w:sz w:val="20"/>
          <w:lang w:val="fr-FR"/>
        </w:rPr>
        <w:t>s'adresse principalement aux diabétiques mais est également menée d</w:t>
      </w:r>
      <w:r>
        <w:rPr>
          <w:rFonts w:eastAsiaTheme="minorHAnsi"/>
          <w:sz w:val="20"/>
          <w:lang w:val="fr-FR"/>
        </w:rPr>
        <w:t>ans un objectif de prévention à l'intention des non diabétiques), b)</w:t>
      </w:r>
      <w:r w:rsidR="00602326">
        <w:rPr>
          <w:rFonts w:eastAsiaTheme="minorHAnsi"/>
          <w:sz w:val="20"/>
          <w:lang w:val="fr-FR"/>
        </w:rPr>
        <w:t> </w:t>
      </w:r>
      <w:r>
        <w:rPr>
          <w:rFonts w:eastAsiaTheme="minorHAnsi"/>
          <w:sz w:val="20"/>
          <w:lang w:val="fr-FR"/>
        </w:rPr>
        <w:t>f</w:t>
      </w:r>
      <w:r w:rsidRPr="00643E3C">
        <w:rPr>
          <w:rFonts w:eastAsiaTheme="minorHAnsi"/>
          <w:sz w:val="20"/>
          <w:lang w:val="fr-FR"/>
        </w:rPr>
        <w:t>ormation via le mobile</w:t>
      </w:r>
      <w:r>
        <w:rPr>
          <w:rFonts w:eastAsiaTheme="minorHAnsi"/>
          <w:sz w:val="20"/>
          <w:lang w:val="fr-FR"/>
        </w:rPr>
        <w:t>:</w:t>
      </w:r>
      <w:r w:rsidRPr="00643E3C">
        <w:rPr>
          <w:rFonts w:eastAsiaTheme="minorHAnsi"/>
          <w:sz w:val="20"/>
          <w:lang w:val="fr-FR"/>
        </w:rPr>
        <w:t xml:space="preserve"> </w:t>
      </w:r>
      <w:r>
        <w:rPr>
          <w:rFonts w:eastAsiaTheme="minorHAnsi"/>
          <w:sz w:val="20"/>
          <w:lang w:val="fr-FR"/>
        </w:rPr>
        <w:t>v</w:t>
      </w:r>
      <w:r w:rsidRPr="00643E3C">
        <w:rPr>
          <w:rFonts w:eastAsiaTheme="minorHAnsi"/>
          <w:sz w:val="20"/>
          <w:lang w:val="fr-FR"/>
        </w:rPr>
        <w:t>ise à former des médecins et des spécialistes des soins de santé en général à la façon de traiter le diabète,</w:t>
      </w:r>
      <w:r>
        <w:rPr>
          <w:rFonts w:eastAsiaTheme="minorHAnsi"/>
          <w:sz w:val="20"/>
          <w:lang w:val="fr-FR"/>
        </w:rPr>
        <w:t xml:space="preserve"> c)</w:t>
      </w:r>
      <w:r w:rsidRPr="00643E3C">
        <w:rPr>
          <w:rFonts w:eastAsiaTheme="minorHAnsi"/>
          <w:sz w:val="20"/>
          <w:lang w:val="fr-FR"/>
        </w:rPr>
        <w:t xml:space="preserve"> éducation sur mobile des patients: vise à informer </w:t>
      </w:r>
      <w:r>
        <w:rPr>
          <w:rFonts w:eastAsiaTheme="minorHAnsi"/>
          <w:sz w:val="20"/>
          <w:lang w:val="fr-FR"/>
        </w:rPr>
        <w:t>les patients et les abonnés sur la manière de</w:t>
      </w:r>
      <w:r w:rsidRPr="00643E3C">
        <w:rPr>
          <w:rFonts w:eastAsiaTheme="minorHAnsi"/>
          <w:sz w:val="20"/>
          <w:lang w:val="fr-FR"/>
        </w:rPr>
        <w:t xml:space="preserve"> faire fac</w:t>
      </w:r>
      <w:r>
        <w:rPr>
          <w:rFonts w:eastAsiaTheme="minorHAnsi"/>
          <w:sz w:val="20"/>
          <w:lang w:val="fr-FR"/>
        </w:rPr>
        <w:t xml:space="preserve">e à leurs problèmes de diabète </w:t>
      </w:r>
      <w:r w:rsidRPr="00643E3C">
        <w:rPr>
          <w:rFonts w:eastAsiaTheme="minorHAnsi"/>
          <w:sz w:val="20"/>
          <w:lang w:val="fr-FR"/>
        </w:rPr>
        <w:t xml:space="preserve">et d) </w:t>
      </w:r>
      <w:r>
        <w:rPr>
          <w:rFonts w:eastAsiaTheme="minorHAnsi"/>
          <w:sz w:val="20"/>
          <w:lang w:val="fr-FR"/>
        </w:rPr>
        <w:t>s</w:t>
      </w:r>
      <w:r w:rsidRPr="00643E3C">
        <w:rPr>
          <w:rFonts w:eastAsiaTheme="minorHAnsi"/>
          <w:sz w:val="20"/>
          <w:lang w:val="fr-FR"/>
        </w:rPr>
        <w:t xml:space="preserve">uivi via le mobile: consiste à suivre les patients et les abonnés en général </w:t>
      </w:r>
      <w:r>
        <w:rPr>
          <w:rFonts w:eastAsiaTheme="minorHAnsi"/>
          <w:sz w:val="20"/>
          <w:lang w:val="fr-FR"/>
        </w:rPr>
        <w:t>en ce qui concerne</w:t>
      </w:r>
      <w:r w:rsidRPr="00643E3C">
        <w:rPr>
          <w:rFonts w:eastAsiaTheme="minorHAnsi"/>
          <w:sz w:val="20"/>
          <w:lang w:val="fr-FR"/>
        </w:rPr>
        <w:t xml:space="preserve"> leurs problèmes de diabète</w:t>
      </w:r>
      <w:bookmarkEnd w:id="14"/>
      <w:r>
        <w:rPr>
          <w:rFonts w:eastAsiaTheme="minorHAnsi"/>
          <w:sz w:val="20"/>
          <w:lang w:val="fr-FR"/>
        </w:rPr>
        <w:t>.</w:t>
      </w:r>
    </w:p>
  </w:footnote>
  <w:footnote w:id="2">
    <w:p w:rsidR="00CB34FC" w:rsidRPr="00B433E7" w:rsidRDefault="00CB34FC" w:rsidP="008923C0">
      <w:pPr>
        <w:pStyle w:val="FootnoteText"/>
        <w:tabs>
          <w:tab w:val="clear" w:pos="255"/>
          <w:tab w:val="clear" w:pos="794"/>
          <w:tab w:val="clear" w:pos="1191"/>
          <w:tab w:val="clear" w:pos="1588"/>
          <w:tab w:val="clear" w:pos="1985"/>
        </w:tabs>
        <w:ind w:left="142" w:hanging="142"/>
        <w:rPr>
          <w:rFonts w:cs="Calibri"/>
          <w:sz w:val="20"/>
          <w:lang w:val="fr-FR"/>
        </w:rPr>
      </w:pPr>
      <w:r w:rsidRPr="00AA6368">
        <w:rPr>
          <w:rStyle w:val="FootnoteReference"/>
          <w:sz w:val="16"/>
          <w:szCs w:val="18"/>
        </w:rPr>
        <w:footnoteRef/>
      </w:r>
      <w:bookmarkStart w:id="45" w:name="lt_pId105"/>
      <w:r>
        <w:rPr>
          <w:rStyle w:val="FootnoteReference"/>
          <w:sz w:val="16"/>
          <w:szCs w:val="18"/>
          <w:lang w:val="fr-FR"/>
        </w:rPr>
        <w:tab/>
      </w:r>
      <w:hyperlink r:id="rId1" w:history="1">
        <w:r w:rsidRPr="00163053">
          <w:rPr>
            <w:rStyle w:val="Hyperlink"/>
            <w:rFonts w:cs="Calibri"/>
            <w:sz w:val="20"/>
            <w:lang w:val="fr-FR"/>
          </w:rPr>
          <w:t>www.itu.int/en/ITU-D/Partners/pages/call4partners/partnerships.aspx</w:t>
        </w:r>
      </w:hyperlink>
      <w:bookmarkEnd w:id="45"/>
      <w:r>
        <w:rPr>
          <w:rFonts w:cs="Calibri"/>
          <w:sz w:val="20"/>
          <w:lang w:val="fr-FR"/>
        </w:rPr>
        <w:t xml:space="preserve"> </w:t>
      </w:r>
    </w:p>
  </w:footnote>
  <w:footnote w:id="3">
    <w:p w:rsidR="00CB34FC" w:rsidRPr="00B019E8" w:rsidRDefault="00CB34FC" w:rsidP="00CB00D2">
      <w:pPr>
        <w:pStyle w:val="FootnoteText"/>
        <w:rPr>
          <w:lang w:val="fr-FR"/>
        </w:rPr>
      </w:pPr>
      <w:r w:rsidRPr="00AA7B5B">
        <w:rPr>
          <w:rStyle w:val="FootnoteReference"/>
          <w:sz w:val="16"/>
          <w:szCs w:val="18"/>
        </w:rPr>
        <w:footnoteRef/>
      </w:r>
      <w:bookmarkStart w:id="49" w:name="lt_pId106"/>
      <w:r>
        <w:rPr>
          <w:lang w:val="fr-FR"/>
        </w:rPr>
        <w:tab/>
      </w:r>
      <w:hyperlink r:id="rId2" w:history="1">
        <w:r w:rsidRPr="00163053">
          <w:rPr>
            <w:rStyle w:val="Hyperlink"/>
            <w:rFonts w:cs="Calibri"/>
            <w:sz w:val="20"/>
            <w:lang w:val="fr-FR"/>
          </w:rPr>
          <w:t>www.itu.int/go/en/itudsponsorships</w:t>
        </w:r>
        <w:bookmarkEnd w:id="49"/>
      </w:hyperlink>
      <w:r>
        <w:rPr>
          <w:rFonts w:cs="Calibri"/>
          <w:sz w:val="20"/>
          <w:lang w:val="fr-FR"/>
        </w:rPr>
        <w:t>.</w:t>
      </w:r>
    </w:p>
  </w:footnote>
  <w:footnote w:id="4">
    <w:p w:rsidR="00CB34FC" w:rsidRPr="00A630D3" w:rsidRDefault="00CB34FC" w:rsidP="00CB00D2">
      <w:pPr>
        <w:pStyle w:val="FootnoteText"/>
        <w:tabs>
          <w:tab w:val="clear" w:pos="255"/>
          <w:tab w:val="clear" w:pos="794"/>
          <w:tab w:val="clear" w:pos="1191"/>
          <w:tab w:val="clear" w:pos="1588"/>
          <w:tab w:val="clear" w:pos="1985"/>
        </w:tabs>
        <w:ind w:left="142" w:hanging="142"/>
        <w:rPr>
          <w:sz w:val="22"/>
          <w:szCs w:val="18"/>
        </w:rPr>
      </w:pPr>
      <w:r w:rsidRPr="00DC1824">
        <w:rPr>
          <w:rStyle w:val="FootnoteReference"/>
          <w:sz w:val="16"/>
          <w:szCs w:val="18"/>
        </w:rPr>
        <w:footnoteRef/>
      </w:r>
      <w:bookmarkStart w:id="52" w:name="lt_pId107"/>
      <w:r>
        <w:rPr>
          <w:rFonts w:cs="Calibri"/>
          <w:sz w:val="20"/>
        </w:rPr>
        <w:tab/>
      </w:r>
      <w:r w:rsidRPr="00A630D3">
        <w:rPr>
          <w:rFonts w:cs="Calibri"/>
          <w:sz w:val="20"/>
        </w:rPr>
        <w:t>En 2015, 28 accords ont été signés en vue de la mise e</w:t>
      </w:r>
      <w:r>
        <w:rPr>
          <w:rFonts w:cs="Calibri"/>
          <w:sz w:val="20"/>
        </w:rPr>
        <w:t>n oe</w:t>
      </w:r>
      <w:r w:rsidRPr="00A630D3">
        <w:rPr>
          <w:rFonts w:cs="Calibri"/>
          <w:sz w:val="20"/>
        </w:rPr>
        <w:t xml:space="preserve">uvre des </w:t>
      </w:r>
      <w:r>
        <w:rPr>
          <w:rFonts w:cs="Calibri"/>
          <w:sz w:val="20"/>
        </w:rPr>
        <w:t>"</w:t>
      </w:r>
      <w:r w:rsidR="00405951" w:rsidRPr="00A630D3">
        <w:rPr>
          <w:rFonts w:cs="Calibri"/>
          <w:sz w:val="20"/>
        </w:rPr>
        <w:t>A</w:t>
      </w:r>
      <w:r w:rsidRPr="00A630D3">
        <w:rPr>
          <w:rFonts w:cs="Calibri"/>
          <w:sz w:val="20"/>
        </w:rPr>
        <w:t xml:space="preserve">ctivités communes de renforcement des capacités relevant des </w:t>
      </w:r>
      <w:r w:rsidR="00405951" w:rsidRPr="00A630D3">
        <w:rPr>
          <w:rFonts w:cs="Calibri"/>
          <w:sz w:val="20"/>
        </w:rPr>
        <w:t>C</w:t>
      </w:r>
      <w:r w:rsidRPr="00A630D3">
        <w:rPr>
          <w:rFonts w:cs="Calibri"/>
          <w:sz w:val="20"/>
        </w:rPr>
        <w:t>entres d'excellence de l'</w:t>
      </w:r>
      <w:r w:rsidR="00405951" w:rsidRPr="00A630D3">
        <w:rPr>
          <w:rFonts w:cs="Calibri"/>
          <w:sz w:val="20"/>
        </w:rPr>
        <w:t>A</w:t>
      </w:r>
      <w:r w:rsidRPr="00A630D3">
        <w:rPr>
          <w:rFonts w:cs="Calibri"/>
          <w:sz w:val="20"/>
        </w:rPr>
        <w:t>cadémie de l'UIT</w:t>
      </w:r>
      <w:bookmarkEnd w:id="52"/>
      <w:r>
        <w:rPr>
          <w:rFonts w:cs="Calibr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FC" w:rsidRPr="00897B76" w:rsidRDefault="00CB34FC" w:rsidP="00FC66E8">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897B76">
      <w:rPr>
        <w:sz w:val="22"/>
        <w:szCs w:val="22"/>
      </w:rPr>
      <w:t>ITU-D/TDAG17-22/</w:t>
    </w:r>
    <w:r>
      <w:rPr>
        <w:sz w:val="22"/>
        <w:szCs w:val="22"/>
      </w:rPr>
      <w:t>29</w:t>
    </w:r>
    <w:r w:rsidRPr="00897B76">
      <w:rPr>
        <w:sz w:val="22"/>
        <w:szCs w:val="22"/>
      </w:rPr>
      <w:t>-F</w:t>
    </w:r>
    <w:r w:rsidRPr="00897B76">
      <w:rPr>
        <w:sz w:val="22"/>
        <w:szCs w:val="22"/>
      </w:rPr>
      <w:tab/>
      <w:t xml:space="preserve">Page </w:t>
    </w:r>
    <w:r w:rsidRPr="00972BCD">
      <w:rPr>
        <w:sz w:val="22"/>
        <w:szCs w:val="22"/>
      </w:rPr>
      <w:fldChar w:fldCharType="begin"/>
    </w:r>
    <w:r w:rsidRPr="00897B76">
      <w:rPr>
        <w:sz w:val="22"/>
        <w:szCs w:val="22"/>
      </w:rPr>
      <w:instrText xml:space="preserve"> PAGE </w:instrText>
    </w:r>
    <w:r w:rsidRPr="00972BCD">
      <w:rPr>
        <w:sz w:val="22"/>
        <w:szCs w:val="22"/>
      </w:rPr>
      <w:fldChar w:fldCharType="separate"/>
    </w:r>
    <w:r w:rsidR="00262D39">
      <w:rPr>
        <w:noProof/>
        <w:sz w:val="22"/>
        <w:szCs w:val="22"/>
      </w:rPr>
      <w:t>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1AD5"/>
    <w:multiLevelType w:val="hybridMultilevel"/>
    <w:tmpl w:val="C728BC86"/>
    <w:lvl w:ilvl="0" w:tplc="B4141060">
      <w:start w:val="1"/>
      <w:numFmt w:val="lowerLetter"/>
      <w:pStyle w:val="CEOParagraphabc"/>
      <w:lvlText w:val="%1)"/>
      <w:lvlJc w:val="left"/>
      <w:pPr>
        <w:ind w:left="720" w:hanging="360"/>
      </w:pPr>
    </w:lvl>
    <w:lvl w:ilvl="1" w:tplc="830851B6">
      <w:start w:val="1"/>
      <w:numFmt w:val="lowerLetter"/>
      <w:lvlText w:val="%2."/>
      <w:lvlJc w:val="left"/>
      <w:pPr>
        <w:ind w:left="1440" w:hanging="360"/>
      </w:pPr>
    </w:lvl>
    <w:lvl w:ilvl="2" w:tplc="28EE9640">
      <w:start w:val="1"/>
      <w:numFmt w:val="lowerRoman"/>
      <w:lvlText w:val="%3."/>
      <w:lvlJc w:val="right"/>
      <w:pPr>
        <w:ind w:left="2160" w:hanging="180"/>
      </w:pPr>
    </w:lvl>
    <w:lvl w:ilvl="3" w:tplc="9F38957C">
      <w:start w:val="1"/>
      <w:numFmt w:val="decimal"/>
      <w:lvlText w:val="%4."/>
      <w:lvlJc w:val="left"/>
      <w:pPr>
        <w:ind w:left="2880" w:hanging="360"/>
      </w:pPr>
    </w:lvl>
    <w:lvl w:ilvl="4" w:tplc="627A52D8">
      <w:start w:val="1"/>
      <w:numFmt w:val="lowerLetter"/>
      <w:lvlText w:val="%5."/>
      <w:lvlJc w:val="left"/>
      <w:pPr>
        <w:ind w:left="3600" w:hanging="360"/>
      </w:pPr>
    </w:lvl>
    <w:lvl w:ilvl="5" w:tplc="A1943FCC">
      <w:start w:val="1"/>
      <w:numFmt w:val="lowerRoman"/>
      <w:lvlText w:val="%6."/>
      <w:lvlJc w:val="right"/>
      <w:pPr>
        <w:ind w:left="4320" w:hanging="180"/>
      </w:pPr>
    </w:lvl>
    <w:lvl w:ilvl="6" w:tplc="ED9AD060">
      <w:start w:val="1"/>
      <w:numFmt w:val="decimal"/>
      <w:lvlText w:val="%7."/>
      <w:lvlJc w:val="left"/>
      <w:pPr>
        <w:ind w:left="5040" w:hanging="360"/>
      </w:pPr>
    </w:lvl>
    <w:lvl w:ilvl="7" w:tplc="A7305180">
      <w:start w:val="1"/>
      <w:numFmt w:val="lowerLetter"/>
      <w:lvlText w:val="%8."/>
      <w:lvlJc w:val="left"/>
      <w:pPr>
        <w:ind w:left="5760" w:hanging="360"/>
      </w:pPr>
    </w:lvl>
    <w:lvl w:ilvl="8" w:tplc="30E40E26">
      <w:start w:val="1"/>
      <w:numFmt w:val="lowerRoman"/>
      <w:lvlText w:val="%9."/>
      <w:lvlJc w:val="right"/>
      <w:pPr>
        <w:ind w:left="6480" w:hanging="180"/>
      </w:pPr>
    </w:lvl>
  </w:abstractNum>
  <w:abstractNum w:abstractNumId="1"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44134746"/>
    <w:multiLevelType w:val="hybridMultilevel"/>
    <w:tmpl w:val="4154BDAC"/>
    <w:lvl w:ilvl="0" w:tplc="654EEA78">
      <w:start w:val="2"/>
      <w:numFmt w:val="bullet"/>
      <w:lvlText w:val="-"/>
      <w:lvlJc w:val="left"/>
      <w:pPr>
        <w:ind w:left="360" w:hanging="360"/>
      </w:pPr>
      <w:rPr>
        <w:rFonts w:ascii="Calibri" w:eastAsia="SimHei" w:hAnsi="Calibri" w:cs="Calibri" w:hint="default"/>
      </w:rPr>
    </w:lvl>
    <w:lvl w:ilvl="1" w:tplc="97E4AD84" w:tentative="1">
      <w:start w:val="1"/>
      <w:numFmt w:val="bullet"/>
      <w:lvlText w:val="o"/>
      <w:lvlJc w:val="left"/>
      <w:pPr>
        <w:ind w:left="1080" w:hanging="360"/>
      </w:pPr>
      <w:rPr>
        <w:rFonts w:ascii="Courier New" w:hAnsi="Courier New" w:cs="Courier New" w:hint="default"/>
      </w:rPr>
    </w:lvl>
    <w:lvl w:ilvl="2" w:tplc="13EA544E" w:tentative="1">
      <w:start w:val="1"/>
      <w:numFmt w:val="bullet"/>
      <w:lvlText w:val=""/>
      <w:lvlJc w:val="left"/>
      <w:pPr>
        <w:ind w:left="1800" w:hanging="360"/>
      </w:pPr>
      <w:rPr>
        <w:rFonts w:ascii="Wingdings" w:hAnsi="Wingdings" w:hint="default"/>
      </w:rPr>
    </w:lvl>
    <w:lvl w:ilvl="3" w:tplc="873697F6" w:tentative="1">
      <w:start w:val="1"/>
      <w:numFmt w:val="bullet"/>
      <w:lvlText w:val=""/>
      <w:lvlJc w:val="left"/>
      <w:pPr>
        <w:ind w:left="2520" w:hanging="360"/>
      </w:pPr>
      <w:rPr>
        <w:rFonts w:ascii="Symbol" w:hAnsi="Symbol" w:hint="default"/>
      </w:rPr>
    </w:lvl>
    <w:lvl w:ilvl="4" w:tplc="4C6646B6" w:tentative="1">
      <w:start w:val="1"/>
      <w:numFmt w:val="bullet"/>
      <w:lvlText w:val="o"/>
      <w:lvlJc w:val="left"/>
      <w:pPr>
        <w:ind w:left="3240" w:hanging="360"/>
      </w:pPr>
      <w:rPr>
        <w:rFonts w:ascii="Courier New" w:hAnsi="Courier New" w:cs="Courier New" w:hint="default"/>
      </w:rPr>
    </w:lvl>
    <w:lvl w:ilvl="5" w:tplc="1980BCC0" w:tentative="1">
      <w:start w:val="1"/>
      <w:numFmt w:val="bullet"/>
      <w:lvlText w:val=""/>
      <w:lvlJc w:val="left"/>
      <w:pPr>
        <w:ind w:left="3960" w:hanging="360"/>
      </w:pPr>
      <w:rPr>
        <w:rFonts w:ascii="Wingdings" w:hAnsi="Wingdings" w:hint="default"/>
      </w:rPr>
    </w:lvl>
    <w:lvl w:ilvl="6" w:tplc="81AAD090" w:tentative="1">
      <w:start w:val="1"/>
      <w:numFmt w:val="bullet"/>
      <w:lvlText w:val=""/>
      <w:lvlJc w:val="left"/>
      <w:pPr>
        <w:ind w:left="4680" w:hanging="360"/>
      </w:pPr>
      <w:rPr>
        <w:rFonts w:ascii="Symbol" w:hAnsi="Symbol" w:hint="default"/>
      </w:rPr>
    </w:lvl>
    <w:lvl w:ilvl="7" w:tplc="9B94F98E" w:tentative="1">
      <w:start w:val="1"/>
      <w:numFmt w:val="bullet"/>
      <w:lvlText w:val="o"/>
      <w:lvlJc w:val="left"/>
      <w:pPr>
        <w:ind w:left="5400" w:hanging="360"/>
      </w:pPr>
      <w:rPr>
        <w:rFonts w:ascii="Courier New" w:hAnsi="Courier New" w:cs="Courier New" w:hint="default"/>
      </w:rPr>
    </w:lvl>
    <w:lvl w:ilvl="8" w:tplc="5BD8C572"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5FCF53A8"/>
    <w:multiLevelType w:val="hybridMultilevel"/>
    <w:tmpl w:val="35684F56"/>
    <w:lvl w:ilvl="0" w:tplc="EF60E4A8">
      <w:start w:val="1"/>
      <w:numFmt w:val="bullet"/>
      <w:lvlText w:val=""/>
      <w:lvlJc w:val="left"/>
      <w:pPr>
        <w:ind w:left="360" w:hanging="360"/>
      </w:pPr>
      <w:rPr>
        <w:rFonts w:ascii="Symbol" w:hAnsi="Symbol" w:hint="default"/>
      </w:rPr>
    </w:lvl>
    <w:lvl w:ilvl="1" w:tplc="87BA61EA" w:tentative="1">
      <w:start w:val="1"/>
      <w:numFmt w:val="bullet"/>
      <w:lvlText w:val="o"/>
      <w:lvlJc w:val="left"/>
      <w:pPr>
        <w:ind w:left="1080" w:hanging="360"/>
      </w:pPr>
      <w:rPr>
        <w:rFonts w:ascii="Courier New" w:hAnsi="Courier New" w:cs="Courier New" w:hint="default"/>
      </w:rPr>
    </w:lvl>
    <w:lvl w:ilvl="2" w:tplc="BFC69080" w:tentative="1">
      <w:start w:val="1"/>
      <w:numFmt w:val="bullet"/>
      <w:lvlText w:val=""/>
      <w:lvlJc w:val="left"/>
      <w:pPr>
        <w:ind w:left="1800" w:hanging="360"/>
      </w:pPr>
      <w:rPr>
        <w:rFonts w:ascii="Wingdings" w:hAnsi="Wingdings" w:hint="default"/>
      </w:rPr>
    </w:lvl>
    <w:lvl w:ilvl="3" w:tplc="E3B08E98" w:tentative="1">
      <w:start w:val="1"/>
      <w:numFmt w:val="bullet"/>
      <w:lvlText w:val=""/>
      <w:lvlJc w:val="left"/>
      <w:pPr>
        <w:ind w:left="2520" w:hanging="360"/>
      </w:pPr>
      <w:rPr>
        <w:rFonts w:ascii="Symbol" w:hAnsi="Symbol" w:hint="default"/>
      </w:rPr>
    </w:lvl>
    <w:lvl w:ilvl="4" w:tplc="E000191E" w:tentative="1">
      <w:start w:val="1"/>
      <w:numFmt w:val="bullet"/>
      <w:lvlText w:val="o"/>
      <w:lvlJc w:val="left"/>
      <w:pPr>
        <w:ind w:left="3240" w:hanging="360"/>
      </w:pPr>
      <w:rPr>
        <w:rFonts w:ascii="Courier New" w:hAnsi="Courier New" w:cs="Courier New" w:hint="default"/>
      </w:rPr>
    </w:lvl>
    <w:lvl w:ilvl="5" w:tplc="F200B1A2" w:tentative="1">
      <w:start w:val="1"/>
      <w:numFmt w:val="bullet"/>
      <w:lvlText w:val=""/>
      <w:lvlJc w:val="left"/>
      <w:pPr>
        <w:ind w:left="3960" w:hanging="360"/>
      </w:pPr>
      <w:rPr>
        <w:rFonts w:ascii="Wingdings" w:hAnsi="Wingdings" w:hint="default"/>
      </w:rPr>
    </w:lvl>
    <w:lvl w:ilvl="6" w:tplc="29502B8A" w:tentative="1">
      <w:start w:val="1"/>
      <w:numFmt w:val="bullet"/>
      <w:lvlText w:val=""/>
      <w:lvlJc w:val="left"/>
      <w:pPr>
        <w:ind w:left="4680" w:hanging="360"/>
      </w:pPr>
      <w:rPr>
        <w:rFonts w:ascii="Symbol" w:hAnsi="Symbol" w:hint="default"/>
      </w:rPr>
    </w:lvl>
    <w:lvl w:ilvl="7" w:tplc="90E64776" w:tentative="1">
      <w:start w:val="1"/>
      <w:numFmt w:val="bullet"/>
      <w:lvlText w:val="o"/>
      <w:lvlJc w:val="left"/>
      <w:pPr>
        <w:ind w:left="5400" w:hanging="360"/>
      </w:pPr>
      <w:rPr>
        <w:rFonts w:ascii="Courier New" w:hAnsi="Courier New" w:cs="Courier New" w:hint="default"/>
      </w:rPr>
    </w:lvl>
    <w:lvl w:ilvl="8" w:tplc="D1787F14" w:tentative="1">
      <w:start w:val="1"/>
      <w:numFmt w:val="bullet"/>
      <w:lvlText w:val=""/>
      <w:lvlJc w:val="left"/>
      <w:pPr>
        <w:ind w:left="6120" w:hanging="360"/>
      </w:pPr>
      <w:rPr>
        <w:rFonts w:ascii="Wingdings" w:hAnsi="Wingdings" w:hint="default"/>
      </w:rPr>
    </w:lvl>
  </w:abstractNum>
  <w:abstractNum w:abstractNumId="5"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attachedTemplate r:id="rId1"/>
  <w:linkStyle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3BB43DF-F7D7-40CD-AE2A-3455D0CCBE83}"/>
    <w:docVar w:name="dgnword-eventsink" w:val="357006832"/>
  </w:docVars>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8336C"/>
    <w:rsid w:val="0009225C"/>
    <w:rsid w:val="000A17C4"/>
    <w:rsid w:val="000A36A4"/>
    <w:rsid w:val="000B1EE1"/>
    <w:rsid w:val="000B2352"/>
    <w:rsid w:val="000C61E9"/>
    <w:rsid w:val="000C7B84"/>
    <w:rsid w:val="000D261B"/>
    <w:rsid w:val="000D58A3"/>
    <w:rsid w:val="000E3ED4"/>
    <w:rsid w:val="000E3F9C"/>
    <w:rsid w:val="000E5095"/>
    <w:rsid w:val="000F1550"/>
    <w:rsid w:val="000F251B"/>
    <w:rsid w:val="000F5FE8"/>
    <w:rsid w:val="000F6644"/>
    <w:rsid w:val="00100833"/>
    <w:rsid w:val="00102F72"/>
    <w:rsid w:val="001050B1"/>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85DA3"/>
    <w:rsid w:val="0019037C"/>
    <w:rsid w:val="001905A9"/>
    <w:rsid w:val="00191273"/>
    <w:rsid w:val="001942A7"/>
    <w:rsid w:val="0019587B"/>
    <w:rsid w:val="00196BCD"/>
    <w:rsid w:val="001A163D"/>
    <w:rsid w:val="001A441E"/>
    <w:rsid w:val="001A6733"/>
    <w:rsid w:val="001B357F"/>
    <w:rsid w:val="001C13C7"/>
    <w:rsid w:val="001C3444"/>
    <w:rsid w:val="001C3702"/>
    <w:rsid w:val="001C4656"/>
    <w:rsid w:val="001C46BC"/>
    <w:rsid w:val="001F23E6"/>
    <w:rsid w:val="001F4238"/>
    <w:rsid w:val="001F455E"/>
    <w:rsid w:val="00200A38"/>
    <w:rsid w:val="00200A46"/>
    <w:rsid w:val="00211B6F"/>
    <w:rsid w:val="00215C1B"/>
    <w:rsid w:val="00217CC3"/>
    <w:rsid w:val="00220AB6"/>
    <w:rsid w:val="0022120F"/>
    <w:rsid w:val="0022754A"/>
    <w:rsid w:val="00236560"/>
    <w:rsid w:val="0023662E"/>
    <w:rsid w:val="00245D0F"/>
    <w:rsid w:val="002548C3"/>
    <w:rsid w:val="00257ACD"/>
    <w:rsid w:val="00262908"/>
    <w:rsid w:val="00262D39"/>
    <w:rsid w:val="002650F4"/>
    <w:rsid w:val="002715FD"/>
    <w:rsid w:val="00274239"/>
    <w:rsid w:val="002770B1"/>
    <w:rsid w:val="00285B33"/>
    <w:rsid w:val="00287A3C"/>
    <w:rsid w:val="002A2FC6"/>
    <w:rsid w:val="002B285B"/>
    <w:rsid w:val="002C1EC7"/>
    <w:rsid w:val="002C4342"/>
    <w:rsid w:val="002C7EA3"/>
    <w:rsid w:val="002D20AE"/>
    <w:rsid w:val="002D6C61"/>
    <w:rsid w:val="002E2104"/>
    <w:rsid w:val="002E2DAC"/>
    <w:rsid w:val="002E6963"/>
    <w:rsid w:val="002E6F8F"/>
    <w:rsid w:val="002F05D8"/>
    <w:rsid w:val="002F0682"/>
    <w:rsid w:val="002F2DE0"/>
    <w:rsid w:val="002F5E25"/>
    <w:rsid w:val="00303500"/>
    <w:rsid w:val="0030353C"/>
    <w:rsid w:val="003125C3"/>
    <w:rsid w:val="00312AE6"/>
    <w:rsid w:val="00317D1A"/>
    <w:rsid w:val="003211FF"/>
    <w:rsid w:val="00323587"/>
    <w:rsid w:val="00327247"/>
    <w:rsid w:val="00327A9D"/>
    <w:rsid w:val="0033130E"/>
    <w:rsid w:val="0033269C"/>
    <w:rsid w:val="0034686E"/>
    <w:rsid w:val="00353F84"/>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58EA"/>
    <w:rsid w:val="003D451D"/>
    <w:rsid w:val="003F2DD8"/>
    <w:rsid w:val="003F3F2D"/>
    <w:rsid w:val="003F50B2"/>
    <w:rsid w:val="00400CCF"/>
    <w:rsid w:val="00401BFF"/>
    <w:rsid w:val="00404424"/>
    <w:rsid w:val="00405951"/>
    <w:rsid w:val="0041156B"/>
    <w:rsid w:val="004122C5"/>
    <w:rsid w:val="00413B78"/>
    <w:rsid w:val="00416DDE"/>
    <w:rsid w:val="0044411E"/>
    <w:rsid w:val="00453435"/>
    <w:rsid w:val="00466398"/>
    <w:rsid w:val="00471F26"/>
    <w:rsid w:val="0047306D"/>
    <w:rsid w:val="00473583"/>
    <w:rsid w:val="00473791"/>
    <w:rsid w:val="00476E48"/>
    <w:rsid w:val="00481DE9"/>
    <w:rsid w:val="0049128B"/>
    <w:rsid w:val="00493B49"/>
    <w:rsid w:val="00495501"/>
    <w:rsid w:val="004A070A"/>
    <w:rsid w:val="004A320E"/>
    <w:rsid w:val="004A4E9C"/>
    <w:rsid w:val="004A5998"/>
    <w:rsid w:val="004B1A3C"/>
    <w:rsid w:val="004B3330"/>
    <w:rsid w:val="004D2CC3"/>
    <w:rsid w:val="004D35CB"/>
    <w:rsid w:val="004E20E5"/>
    <w:rsid w:val="004E3C02"/>
    <w:rsid w:val="004E64EA"/>
    <w:rsid w:val="004E7828"/>
    <w:rsid w:val="004F46AA"/>
    <w:rsid w:val="004F6A70"/>
    <w:rsid w:val="00500AD7"/>
    <w:rsid w:val="00502ABF"/>
    <w:rsid w:val="00504DB0"/>
    <w:rsid w:val="00507C35"/>
    <w:rsid w:val="00510735"/>
    <w:rsid w:val="00514D2F"/>
    <w:rsid w:val="00517247"/>
    <w:rsid w:val="00517456"/>
    <w:rsid w:val="00530BA2"/>
    <w:rsid w:val="00541F4D"/>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E7C33"/>
    <w:rsid w:val="005F1CA7"/>
    <w:rsid w:val="005F43DD"/>
    <w:rsid w:val="005F51A9"/>
    <w:rsid w:val="005F6BE1"/>
    <w:rsid w:val="005F7416"/>
    <w:rsid w:val="00600C11"/>
    <w:rsid w:val="00602326"/>
    <w:rsid w:val="00606B89"/>
    <w:rsid w:val="00611EAF"/>
    <w:rsid w:val="00623F30"/>
    <w:rsid w:val="00625FB8"/>
    <w:rsid w:val="006261BD"/>
    <w:rsid w:val="00635EDB"/>
    <w:rsid w:val="00643E3C"/>
    <w:rsid w:val="006446A7"/>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8A8"/>
    <w:rsid w:val="00762AD6"/>
    <w:rsid w:val="00762E02"/>
    <w:rsid w:val="00772290"/>
    <w:rsid w:val="00777265"/>
    <w:rsid w:val="007805E7"/>
    <w:rsid w:val="0078222A"/>
    <w:rsid w:val="00783CDD"/>
    <w:rsid w:val="0078784B"/>
    <w:rsid w:val="00787D48"/>
    <w:rsid w:val="00795294"/>
    <w:rsid w:val="00797F76"/>
    <w:rsid w:val="007A2EEF"/>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23C0"/>
    <w:rsid w:val="00894C37"/>
    <w:rsid w:val="00897B76"/>
    <w:rsid w:val="008A00EA"/>
    <w:rsid w:val="008A3F93"/>
    <w:rsid w:val="008A6236"/>
    <w:rsid w:val="008A6E1C"/>
    <w:rsid w:val="008A72FD"/>
    <w:rsid w:val="008B2EDF"/>
    <w:rsid w:val="008B54CB"/>
    <w:rsid w:val="008B5A3D"/>
    <w:rsid w:val="008C4010"/>
    <w:rsid w:val="008C4FDF"/>
    <w:rsid w:val="008C6B1F"/>
    <w:rsid w:val="008D1176"/>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53610"/>
    <w:rsid w:val="00954A90"/>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9F6FC7"/>
    <w:rsid w:val="00A11D05"/>
    <w:rsid w:val="00A13162"/>
    <w:rsid w:val="00A20267"/>
    <w:rsid w:val="00A228D1"/>
    <w:rsid w:val="00A3158C"/>
    <w:rsid w:val="00A32DF3"/>
    <w:rsid w:val="00A33E32"/>
    <w:rsid w:val="00A35E20"/>
    <w:rsid w:val="00A36F6D"/>
    <w:rsid w:val="00A50CA0"/>
    <w:rsid w:val="00A525CC"/>
    <w:rsid w:val="00A53E7C"/>
    <w:rsid w:val="00A60087"/>
    <w:rsid w:val="00A630D3"/>
    <w:rsid w:val="00A705E8"/>
    <w:rsid w:val="00A721F4"/>
    <w:rsid w:val="00A9392C"/>
    <w:rsid w:val="00A9462B"/>
    <w:rsid w:val="00A97D59"/>
    <w:rsid w:val="00AA3E09"/>
    <w:rsid w:val="00AA4BEF"/>
    <w:rsid w:val="00AB1659"/>
    <w:rsid w:val="00AB4962"/>
    <w:rsid w:val="00AB734E"/>
    <w:rsid w:val="00AB740F"/>
    <w:rsid w:val="00AC6F14"/>
    <w:rsid w:val="00AC7221"/>
    <w:rsid w:val="00AD0A7F"/>
    <w:rsid w:val="00AE15E0"/>
    <w:rsid w:val="00AE5961"/>
    <w:rsid w:val="00AF0745"/>
    <w:rsid w:val="00AF4971"/>
    <w:rsid w:val="00AF5276"/>
    <w:rsid w:val="00AF7C86"/>
    <w:rsid w:val="00B01046"/>
    <w:rsid w:val="00B019E8"/>
    <w:rsid w:val="00B16855"/>
    <w:rsid w:val="00B239EB"/>
    <w:rsid w:val="00B310F9"/>
    <w:rsid w:val="00B37866"/>
    <w:rsid w:val="00B412FB"/>
    <w:rsid w:val="00B433E7"/>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2101"/>
    <w:rsid w:val="00BD426B"/>
    <w:rsid w:val="00BD79F0"/>
    <w:rsid w:val="00BE2B4D"/>
    <w:rsid w:val="00BF6326"/>
    <w:rsid w:val="00C0144B"/>
    <w:rsid w:val="00C015F8"/>
    <w:rsid w:val="00C07E26"/>
    <w:rsid w:val="00C1011C"/>
    <w:rsid w:val="00C12F94"/>
    <w:rsid w:val="00C177C5"/>
    <w:rsid w:val="00C34EC3"/>
    <w:rsid w:val="00C4038C"/>
    <w:rsid w:val="00C42BA2"/>
    <w:rsid w:val="00C44066"/>
    <w:rsid w:val="00C44E13"/>
    <w:rsid w:val="00C60A41"/>
    <w:rsid w:val="00C62DE8"/>
    <w:rsid w:val="00C62DEB"/>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3596"/>
    <w:rsid w:val="00CB00D2"/>
    <w:rsid w:val="00CB110F"/>
    <w:rsid w:val="00CB2A2E"/>
    <w:rsid w:val="00CB338A"/>
    <w:rsid w:val="00CB34FC"/>
    <w:rsid w:val="00CB79C5"/>
    <w:rsid w:val="00CC411F"/>
    <w:rsid w:val="00CC4B75"/>
    <w:rsid w:val="00CC732E"/>
    <w:rsid w:val="00CD2FCD"/>
    <w:rsid w:val="00CD7207"/>
    <w:rsid w:val="00CD7FF7"/>
    <w:rsid w:val="00CE0DBE"/>
    <w:rsid w:val="00CE5E4D"/>
    <w:rsid w:val="00CF02C4"/>
    <w:rsid w:val="00CF167F"/>
    <w:rsid w:val="00CF72E5"/>
    <w:rsid w:val="00D013EE"/>
    <w:rsid w:val="00D01F54"/>
    <w:rsid w:val="00D040F7"/>
    <w:rsid w:val="00D04855"/>
    <w:rsid w:val="00D04A76"/>
    <w:rsid w:val="00D06B68"/>
    <w:rsid w:val="00D10FC7"/>
    <w:rsid w:val="00D13339"/>
    <w:rsid w:val="00D147E0"/>
    <w:rsid w:val="00D1519F"/>
    <w:rsid w:val="00D20E99"/>
    <w:rsid w:val="00D21C83"/>
    <w:rsid w:val="00D223D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2B43"/>
    <w:rsid w:val="00E260C2"/>
    <w:rsid w:val="00E27F38"/>
    <w:rsid w:val="00E32596"/>
    <w:rsid w:val="00E368F7"/>
    <w:rsid w:val="00E36EB8"/>
    <w:rsid w:val="00E37FB8"/>
    <w:rsid w:val="00E40B07"/>
    <w:rsid w:val="00E42326"/>
    <w:rsid w:val="00E43544"/>
    <w:rsid w:val="00E44D89"/>
    <w:rsid w:val="00E477EA"/>
    <w:rsid w:val="00E47D6F"/>
    <w:rsid w:val="00E55807"/>
    <w:rsid w:val="00E5733F"/>
    <w:rsid w:val="00E63B14"/>
    <w:rsid w:val="00E65CA0"/>
    <w:rsid w:val="00E70D9F"/>
    <w:rsid w:val="00E83810"/>
    <w:rsid w:val="00E86933"/>
    <w:rsid w:val="00E911CC"/>
    <w:rsid w:val="00E9605B"/>
    <w:rsid w:val="00E97298"/>
    <w:rsid w:val="00E97753"/>
    <w:rsid w:val="00EA7DE7"/>
    <w:rsid w:val="00EB7196"/>
    <w:rsid w:val="00EB7A8A"/>
    <w:rsid w:val="00EC4972"/>
    <w:rsid w:val="00EE3A64"/>
    <w:rsid w:val="00EE50E5"/>
    <w:rsid w:val="00EF01CF"/>
    <w:rsid w:val="00F03590"/>
    <w:rsid w:val="00F03622"/>
    <w:rsid w:val="00F077FD"/>
    <w:rsid w:val="00F13F6C"/>
    <w:rsid w:val="00F16F5C"/>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3FA9"/>
    <w:rsid w:val="00F87FD3"/>
    <w:rsid w:val="00F9211C"/>
    <w:rsid w:val="00FA095D"/>
    <w:rsid w:val="00FA6C8B"/>
    <w:rsid w:val="00FA7C89"/>
    <w:rsid w:val="00FB3E99"/>
    <w:rsid w:val="00FB4139"/>
    <w:rsid w:val="00FB476E"/>
    <w:rsid w:val="00FC0D90"/>
    <w:rsid w:val="00FC1770"/>
    <w:rsid w:val="00FC2CF6"/>
    <w:rsid w:val="00FC66E8"/>
    <w:rsid w:val="00FC7D8C"/>
    <w:rsid w:val="00FD3980"/>
    <w:rsid w:val="00FD431E"/>
    <w:rsid w:val="00FD5A2C"/>
    <w:rsid w:val="00FE0202"/>
    <w:rsid w:val="00FE0D47"/>
    <w:rsid w:val="00FE1D5C"/>
    <w:rsid w:val="00FE2358"/>
    <w:rsid w:val="00FE2F8B"/>
    <w:rsid w:val="00FE3669"/>
    <w:rsid w:val="00FE5204"/>
    <w:rsid w:val="00FF1E84"/>
    <w:rsid w:val="00FF287F"/>
    <w:rsid w:val="00FF6847"/>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9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4A5998"/>
    <w:pPr>
      <w:keepNext/>
      <w:keepLines/>
      <w:spacing w:before="280"/>
      <w:ind w:left="794" w:hanging="794"/>
      <w:outlineLvl w:val="0"/>
    </w:pPr>
    <w:rPr>
      <w:b/>
      <w:sz w:val="28"/>
    </w:rPr>
  </w:style>
  <w:style w:type="paragraph" w:styleId="Heading2">
    <w:name w:val="heading 2"/>
    <w:basedOn w:val="Heading1"/>
    <w:next w:val="Normal"/>
    <w:qFormat/>
    <w:rsid w:val="004A5998"/>
    <w:pPr>
      <w:spacing w:before="200"/>
      <w:outlineLvl w:val="1"/>
    </w:pPr>
    <w:rPr>
      <w:sz w:val="24"/>
    </w:rPr>
  </w:style>
  <w:style w:type="paragraph" w:styleId="Heading3">
    <w:name w:val="heading 3"/>
    <w:basedOn w:val="Heading1"/>
    <w:next w:val="Normal"/>
    <w:qFormat/>
    <w:rsid w:val="004A5998"/>
    <w:pPr>
      <w:spacing w:before="200"/>
      <w:outlineLvl w:val="2"/>
    </w:pPr>
    <w:rPr>
      <w:sz w:val="24"/>
    </w:rPr>
  </w:style>
  <w:style w:type="paragraph" w:styleId="Heading4">
    <w:name w:val="heading 4"/>
    <w:basedOn w:val="Heading3"/>
    <w:next w:val="Normal"/>
    <w:qFormat/>
    <w:rsid w:val="004A5998"/>
    <w:pPr>
      <w:tabs>
        <w:tab w:val="clear" w:pos="794"/>
        <w:tab w:val="left" w:pos="992"/>
      </w:tabs>
      <w:ind w:left="992" w:hanging="992"/>
      <w:outlineLvl w:val="3"/>
    </w:pPr>
  </w:style>
  <w:style w:type="paragraph" w:styleId="Heading5">
    <w:name w:val="heading 5"/>
    <w:basedOn w:val="Heading4"/>
    <w:next w:val="Normal"/>
    <w:qFormat/>
    <w:rsid w:val="004A5998"/>
    <w:pPr>
      <w:outlineLvl w:val="4"/>
    </w:pPr>
  </w:style>
  <w:style w:type="paragraph" w:styleId="Heading6">
    <w:name w:val="heading 6"/>
    <w:basedOn w:val="Heading4"/>
    <w:next w:val="Normal"/>
    <w:qFormat/>
    <w:rsid w:val="004A5998"/>
    <w:pPr>
      <w:tabs>
        <w:tab w:val="clear" w:pos="992"/>
        <w:tab w:val="clear" w:pos="1191"/>
      </w:tabs>
      <w:ind w:left="1588" w:hanging="1588"/>
      <w:outlineLvl w:val="5"/>
    </w:pPr>
  </w:style>
  <w:style w:type="paragraph" w:styleId="Heading7">
    <w:name w:val="heading 7"/>
    <w:basedOn w:val="Heading6"/>
    <w:next w:val="Normal"/>
    <w:qFormat/>
    <w:rsid w:val="004A5998"/>
    <w:pPr>
      <w:outlineLvl w:val="6"/>
    </w:pPr>
  </w:style>
  <w:style w:type="paragraph" w:styleId="Heading8">
    <w:name w:val="heading 8"/>
    <w:basedOn w:val="Heading6"/>
    <w:next w:val="Normal"/>
    <w:qFormat/>
    <w:rsid w:val="004A5998"/>
    <w:pPr>
      <w:outlineLvl w:val="7"/>
    </w:pPr>
  </w:style>
  <w:style w:type="paragraph" w:styleId="Heading9">
    <w:name w:val="heading 9"/>
    <w:basedOn w:val="Heading6"/>
    <w:next w:val="Normal"/>
    <w:qFormat/>
    <w:rsid w:val="004A59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A5998"/>
  </w:style>
  <w:style w:type="paragraph" w:styleId="TOC4">
    <w:name w:val="toc 4"/>
    <w:basedOn w:val="TOC3"/>
    <w:semiHidden/>
    <w:rsid w:val="004A5998"/>
  </w:style>
  <w:style w:type="paragraph" w:styleId="TOC3">
    <w:name w:val="toc 3"/>
    <w:basedOn w:val="TOC2"/>
    <w:rsid w:val="004A5998"/>
  </w:style>
  <w:style w:type="paragraph" w:styleId="TOC2">
    <w:name w:val="toc 2"/>
    <w:basedOn w:val="TOC1"/>
    <w:rsid w:val="004A5998"/>
    <w:pPr>
      <w:spacing w:before="120"/>
    </w:pPr>
  </w:style>
  <w:style w:type="paragraph" w:styleId="TOC1">
    <w:name w:val="toc 1"/>
    <w:basedOn w:val="Normal"/>
    <w:rsid w:val="004A59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4A5998"/>
  </w:style>
  <w:style w:type="paragraph" w:styleId="TOC6">
    <w:name w:val="toc 6"/>
    <w:basedOn w:val="TOC4"/>
    <w:semiHidden/>
    <w:rsid w:val="004A5998"/>
  </w:style>
  <w:style w:type="paragraph" w:styleId="TOC5">
    <w:name w:val="toc 5"/>
    <w:basedOn w:val="TOC4"/>
    <w:semiHidden/>
    <w:rsid w:val="004A5998"/>
  </w:style>
  <w:style w:type="paragraph" w:styleId="Index7">
    <w:name w:val="index 7"/>
    <w:basedOn w:val="Normal"/>
    <w:next w:val="Normal"/>
    <w:semiHidden/>
    <w:rsid w:val="004A5998"/>
    <w:pPr>
      <w:ind w:left="1698"/>
    </w:pPr>
  </w:style>
  <w:style w:type="paragraph" w:styleId="Index6">
    <w:name w:val="index 6"/>
    <w:basedOn w:val="Normal"/>
    <w:next w:val="Normal"/>
    <w:semiHidden/>
    <w:rsid w:val="004A5998"/>
    <w:pPr>
      <w:ind w:left="1415"/>
    </w:pPr>
  </w:style>
  <w:style w:type="paragraph" w:styleId="Index5">
    <w:name w:val="index 5"/>
    <w:basedOn w:val="Normal"/>
    <w:next w:val="Normal"/>
    <w:semiHidden/>
    <w:rsid w:val="004A5998"/>
    <w:pPr>
      <w:ind w:left="1132"/>
    </w:pPr>
  </w:style>
  <w:style w:type="paragraph" w:styleId="Index4">
    <w:name w:val="index 4"/>
    <w:basedOn w:val="Normal"/>
    <w:next w:val="Normal"/>
    <w:semiHidden/>
    <w:rsid w:val="004A5998"/>
    <w:pPr>
      <w:ind w:left="849"/>
    </w:pPr>
  </w:style>
  <w:style w:type="paragraph" w:styleId="Index3">
    <w:name w:val="index 3"/>
    <w:basedOn w:val="Normal"/>
    <w:next w:val="Normal"/>
    <w:semiHidden/>
    <w:rsid w:val="004A5998"/>
    <w:pPr>
      <w:ind w:left="566"/>
    </w:pPr>
  </w:style>
  <w:style w:type="paragraph" w:styleId="Index2">
    <w:name w:val="index 2"/>
    <w:basedOn w:val="Normal"/>
    <w:next w:val="Normal"/>
    <w:semiHidden/>
    <w:rsid w:val="004A5998"/>
    <w:pPr>
      <w:ind w:left="283"/>
    </w:pPr>
  </w:style>
  <w:style w:type="paragraph" w:styleId="Index1">
    <w:name w:val="index 1"/>
    <w:basedOn w:val="Normal"/>
    <w:next w:val="Normal"/>
    <w:semiHidden/>
    <w:rsid w:val="004A5998"/>
  </w:style>
  <w:style w:type="character" w:styleId="LineNumber">
    <w:name w:val="line number"/>
    <w:basedOn w:val="DefaultParagraphFont"/>
    <w:rsid w:val="004A5998"/>
  </w:style>
  <w:style w:type="paragraph" w:styleId="IndexHeading">
    <w:name w:val="index heading"/>
    <w:basedOn w:val="Normal"/>
    <w:next w:val="Index1"/>
    <w:semiHidden/>
    <w:rsid w:val="004A5998"/>
  </w:style>
  <w:style w:type="paragraph" w:styleId="Footer">
    <w:name w:val="footer"/>
    <w:basedOn w:val="Normal"/>
    <w:link w:val="FooterChar"/>
    <w:rsid w:val="004A599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4A599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4A5998"/>
    <w:rPr>
      <w:rFonts w:asciiTheme="minorHAnsi" w:hAnsiTheme="minorHAnsi"/>
      <w:position w:val="6"/>
      <w:sz w:val="18"/>
    </w:rPr>
  </w:style>
  <w:style w:type="paragraph" w:styleId="FootnoteText">
    <w:name w:val="footnote text"/>
    <w:basedOn w:val="Normal"/>
    <w:link w:val="FootnoteTextChar"/>
    <w:rsid w:val="004A5998"/>
    <w:pPr>
      <w:keepLines/>
      <w:tabs>
        <w:tab w:val="left" w:pos="255"/>
      </w:tabs>
      <w:ind w:left="255" w:hanging="255"/>
    </w:pPr>
  </w:style>
  <w:style w:type="paragraph" w:styleId="NormalIndent">
    <w:name w:val="Normal Indent"/>
    <w:basedOn w:val="Normal"/>
    <w:rsid w:val="004A5998"/>
    <w:pPr>
      <w:ind w:left="794"/>
    </w:pPr>
  </w:style>
  <w:style w:type="paragraph" w:customStyle="1" w:styleId="enumlev1">
    <w:name w:val="enumlev1"/>
    <w:basedOn w:val="Normal"/>
    <w:rsid w:val="004A5998"/>
    <w:pPr>
      <w:spacing w:before="80"/>
      <w:ind w:left="794" w:hanging="794"/>
    </w:pPr>
  </w:style>
  <w:style w:type="paragraph" w:customStyle="1" w:styleId="enumlev2">
    <w:name w:val="enumlev2"/>
    <w:basedOn w:val="enumlev1"/>
    <w:rsid w:val="004A5998"/>
    <w:pPr>
      <w:ind w:left="1191" w:hanging="397"/>
    </w:pPr>
  </w:style>
  <w:style w:type="paragraph" w:customStyle="1" w:styleId="enumlev3">
    <w:name w:val="enumlev3"/>
    <w:basedOn w:val="enumlev2"/>
    <w:rsid w:val="004A5998"/>
    <w:pPr>
      <w:ind w:left="1588"/>
    </w:pPr>
  </w:style>
  <w:style w:type="paragraph" w:customStyle="1" w:styleId="Normalaftertitle">
    <w:name w:val="Normal after title"/>
    <w:basedOn w:val="Normal"/>
    <w:next w:val="Normal"/>
    <w:rsid w:val="004A5998"/>
    <w:pPr>
      <w:spacing w:before="280"/>
    </w:pPr>
  </w:style>
  <w:style w:type="paragraph" w:customStyle="1" w:styleId="Equation">
    <w:name w:val="Equation"/>
    <w:basedOn w:val="Normal"/>
    <w:rsid w:val="004A5998"/>
    <w:pPr>
      <w:tabs>
        <w:tab w:val="clear" w:pos="1191"/>
        <w:tab w:val="clear" w:pos="1588"/>
        <w:tab w:val="clear" w:pos="1985"/>
        <w:tab w:val="center" w:pos="4820"/>
        <w:tab w:val="right" w:pos="9639"/>
      </w:tabs>
    </w:pPr>
  </w:style>
  <w:style w:type="paragraph" w:customStyle="1" w:styleId="toc0">
    <w:name w:val="toc 0"/>
    <w:basedOn w:val="Normal"/>
    <w:next w:val="TOC1"/>
    <w:rsid w:val="004A599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4A5998"/>
    <w:pPr>
      <w:keepNext/>
      <w:keepLines/>
      <w:spacing w:before="480" w:after="80"/>
      <w:jc w:val="center"/>
    </w:pPr>
    <w:rPr>
      <w:caps/>
      <w:sz w:val="28"/>
    </w:rPr>
  </w:style>
  <w:style w:type="paragraph" w:customStyle="1" w:styleId="ASN1">
    <w:name w:val="ASN.1"/>
    <w:basedOn w:val="Normal"/>
    <w:rsid w:val="004A59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4A5998"/>
    <w:pPr>
      <w:spacing w:before="80"/>
    </w:pPr>
  </w:style>
  <w:style w:type="paragraph" w:styleId="TOC9">
    <w:name w:val="toc 9"/>
    <w:basedOn w:val="TOC3"/>
    <w:next w:val="Normal"/>
    <w:semiHidden/>
    <w:rsid w:val="004A5998"/>
  </w:style>
  <w:style w:type="paragraph" w:customStyle="1" w:styleId="Source">
    <w:name w:val="Source"/>
    <w:basedOn w:val="Normal"/>
    <w:next w:val="Normalaftertitle"/>
    <w:rsid w:val="004A5998"/>
    <w:pPr>
      <w:spacing w:before="840"/>
      <w:jc w:val="center"/>
    </w:pPr>
    <w:rPr>
      <w:b/>
      <w:sz w:val="28"/>
    </w:rPr>
  </w:style>
  <w:style w:type="paragraph" w:customStyle="1" w:styleId="Title1">
    <w:name w:val="Title 1"/>
    <w:basedOn w:val="Source"/>
    <w:next w:val="Title2"/>
    <w:rsid w:val="004A59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4A5998"/>
  </w:style>
  <w:style w:type="paragraph" w:customStyle="1" w:styleId="Title3">
    <w:name w:val="Title 3"/>
    <w:basedOn w:val="Title2"/>
    <w:next w:val="Title4"/>
    <w:rsid w:val="004A5998"/>
  </w:style>
  <w:style w:type="paragraph" w:customStyle="1" w:styleId="Title4">
    <w:name w:val="Title 4"/>
    <w:basedOn w:val="Title3"/>
    <w:next w:val="Heading1"/>
    <w:rsid w:val="004A5998"/>
  </w:style>
  <w:style w:type="paragraph" w:customStyle="1" w:styleId="FirstFooter">
    <w:name w:val="FirstFooter"/>
    <w:basedOn w:val="Footer"/>
    <w:rsid w:val="004A599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4A5998"/>
    <w:pPr>
      <w:keepNext/>
      <w:keepLines/>
      <w:spacing w:after="280"/>
      <w:jc w:val="center"/>
    </w:pPr>
  </w:style>
  <w:style w:type="paragraph" w:customStyle="1" w:styleId="Annextitle">
    <w:name w:val="Annex_title"/>
    <w:basedOn w:val="Normal"/>
    <w:next w:val="Normalaftertitle"/>
    <w:rsid w:val="004A5998"/>
    <w:pPr>
      <w:keepNext/>
      <w:keepLines/>
      <w:spacing w:before="240" w:after="280"/>
      <w:jc w:val="center"/>
    </w:pPr>
    <w:rPr>
      <w:b/>
      <w:sz w:val="28"/>
    </w:rPr>
  </w:style>
  <w:style w:type="character" w:customStyle="1" w:styleId="Appdef">
    <w:name w:val="App_def"/>
    <w:basedOn w:val="DefaultParagraphFont"/>
    <w:rsid w:val="004A5998"/>
    <w:rPr>
      <w:rFonts w:asciiTheme="minorHAnsi" w:hAnsiTheme="minorHAnsi"/>
      <w:b/>
    </w:rPr>
  </w:style>
  <w:style w:type="character" w:customStyle="1" w:styleId="Appref">
    <w:name w:val="App_ref"/>
    <w:basedOn w:val="DefaultParagraphFont"/>
    <w:rsid w:val="004A5998"/>
    <w:rPr>
      <w:rFonts w:asciiTheme="minorHAnsi" w:hAnsiTheme="minorHAnsi"/>
    </w:rPr>
  </w:style>
  <w:style w:type="paragraph" w:customStyle="1" w:styleId="AppendixNo">
    <w:name w:val="Appendix_No"/>
    <w:basedOn w:val="AnnexNo"/>
    <w:next w:val="Annexref"/>
    <w:rsid w:val="004A5998"/>
  </w:style>
  <w:style w:type="paragraph" w:customStyle="1" w:styleId="Appendixref">
    <w:name w:val="Appendix_ref"/>
    <w:basedOn w:val="Annexref"/>
    <w:next w:val="Annextitle"/>
    <w:rsid w:val="004A5998"/>
  </w:style>
  <w:style w:type="paragraph" w:customStyle="1" w:styleId="Appendixtitle">
    <w:name w:val="Appendix_title"/>
    <w:basedOn w:val="Annextitle"/>
    <w:next w:val="Normalaftertitle"/>
    <w:rsid w:val="004A5998"/>
  </w:style>
  <w:style w:type="character" w:customStyle="1" w:styleId="Artdef">
    <w:name w:val="Art_def"/>
    <w:basedOn w:val="DefaultParagraphFont"/>
    <w:rsid w:val="004A5998"/>
    <w:rPr>
      <w:rFonts w:asciiTheme="minorHAnsi" w:hAnsiTheme="minorHAnsi"/>
      <w:b/>
    </w:rPr>
  </w:style>
  <w:style w:type="paragraph" w:customStyle="1" w:styleId="Artheading">
    <w:name w:val="Art_heading"/>
    <w:basedOn w:val="Normal"/>
    <w:next w:val="Normalaftertitle"/>
    <w:rsid w:val="004A5998"/>
    <w:pPr>
      <w:spacing w:before="480"/>
      <w:jc w:val="center"/>
    </w:pPr>
    <w:rPr>
      <w:b/>
      <w:sz w:val="28"/>
    </w:rPr>
  </w:style>
  <w:style w:type="paragraph" w:customStyle="1" w:styleId="ArtNo">
    <w:name w:val="Art_No"/>
    <w:basedOn w:val="Normal"/>
    <w:next w:val="Arttitle"/>
    <w:rsid w:val="004A5998"/>
    <w:pPr>
      <w:keepNext/>
      <w:keepLines/>
      <w:spacing w:before="480"/>
      <w:jc w:val="center"/>
    </w:pPr>
    <w:rPr>
      <w:caps/>
      <w:sz w:val="28"/>
    </w:rPr>
  </w:style>
  <w:style w:type="paragraph" w:customStyle="1" w:styleId="Arttitle">
    <w:name w:val="Art_title"/>
    <w:basedOn w:val="Normal"/>
    <w:next w:val="Normalaftertitle"/>
    <w:rsid w:val="004A5998"/>
    <w:pPr>
      <w:keepNext/>
      <w:keepLines/>
      <w:spacing w:before="240"/>
      <w:jc w:val="center"/>
    </w:pPr>
    <w:rPr>
      <w:b/>
      <w:sz w:val="28"/>
    </w:rPr>
  </w:style>
  <w:style w:type="character" w:customStyle="1" w:styleId="Artref">
    <w:name w:val="Art_ref"/>
    <w:basedOn w:val="DefaultParagraphFont"/>
    <w:rsid w:val="004A5998"/>
  </w:style>
  <w:style w:type="paragraph" w:customStyle="1" w:styleId="Call">
    <w:name w:val="Call"/>
    <w:basedOn w:val="Normal"/>
    <w:next w:val="Normal"/>
    <w:rsid w:val="004A5998"/>
    <w:pPr>
      <w:keepNext/>
      <w:keepLines/>
      <w:spacing w:before="160"/>
      <w:ind w:left="794"/>
    </w:pPr>
    <w:rPr>
      <w:i/>
    </w:rPr>
  </w:style>
  <w:style w:type="paragraph" w:customStyle="1" w:styleId="ChapNo">
    <w:name w:val="Chap_No"/>
    <w:basedOn w:val="ArtNo"/>
    <w:next w:val="Chaptitle"/>
    <w:rsid w:val="004A5998"/>
    <w:rPr>
      <w:b/>
    </w:rPr>
  </w:style>
  <w:style w:type="paragraph" w:customStyle="1" w:styleId="Chaptitle">
    <w:name w:val="Chap_title"/>
    <w:basedOn w:val="Arttitle"/>
    <w:next w:val="Normalaftertitle"/>
    <w:rsid w:val="004A5998"/>
  </w:style>
  <w:style w:type="paragraph" w:customStyle="1" w:styleId="ddate">
    <w:name w:val="ddate"/>
    <w:basedOn w:val="Normal"/>
    <w:rsid w:val="004A59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A59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A59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A5998"/>
    <w:rPr>
      <w:vertAlign w:val="superscript"/>
    </w:rPr>
  </w:style>
  <w:style w:type="paragraph" w:customStyle="1" w:styleId="Equationlegend">
    <w:name w:val="Equation_legend"/>
    <w:basedOn w:val="Normal"/>
    <w:rsid w:val="004A59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4A59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A5998"/>
    <w:pPr>
      <w:keepNext/>
      <w:keepLines/>
      <w:spacing w:before="480" w:after="120"/>
      <w:jc w:val="center"/>
    </w:pPr>
    <w:rPr>
      <w:caps/>
    </w:rPr>
  </w:style>
  <w:style w:type="paragraph" w:customStyle="1" w:styleId="Figuretitle">
    <w:name w:val="Figure_title"/>
    <w:basedOn w:val="Tabletitle"/>
    <w:next w:val="Normal"/>
    <w:rsid w:val="004A5998"/>
    <w:pPr>
      <w:keepNext w:val="0"/>
      <w:spacing w:after="480"/>
    </w:pPr>
  </w:style>
  <w:style w:type="paragraph" w:customStyle="1" w:styleId="Tabletitle">
    <w:name w:val="Table_title"/>
    <w:basedOn w:val="Normal"/>
    <w:next w:val="Tabletext"/>
    <w:rsid w:val="004A5998"/>
    <w:pPr>
      <w:keepNext/>
      <w:keepLines/>
      <w:spacing w:before="0" w:after="120"/>
      <w:jc w:val="center"/>
    </w:pPr>
    <w:rPr>
      <w:b/>
    </w:rPr>
  </w:style>
  <w:style w:type="paragraph" w:customStyle="1" w:styleId="Tabletext">
    <w:name w:val="Table_text"/>
    <w:basedOn w:val="Normal"/>
    <w:rsid w:val="004A59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4A5998"/>
    <w:pPr>
      <w:keepNext w:val="0"/>
    </w:pPr>
  </w:style>
  <w:style w:type="paragraph" w:customStyle="1" w:styleId="Headingb">
    <w:name w:val="Heading_b"/>
    <w:basedOn w:val="Normal"/>
    <w:next w:val="Normal"/>
    <w:rsid w:val="004A5998"/>
    <w:pPr>
      <w:keepNext/>
      <w:spacing w:before="160"/>
    </w:pPr>
    <w:rPr>
      <w:b/>
    </w:rPr>
  </w:style>
  <w:style w:type="paragraph" w:customStyle="1" w:styleId="Headingi">
    <w:name w:val="Heading_i"/>
    <w:basedOn w:val="Normal"/>
    <w:next w:val="Normal"/>
    <w:rsid w:val="004A5998"/>
    <w:pPr>
      <w:keepNext/>
      <w:spacing w:before="160"/>
    </w:pPr>
    <w:rPr>
      <w:i/>
    </w:rPr>
  </w:style>
  <w:style w:type="paragraph" w:customStyle="1" w:styleId="PartNo">
    <w:name w:val="Part_No"/>
    <w:basedOn w:val="AnnexNo"/>
    <w:next w:val="Partref"/>
    <w:rsid w:val="004A5998"/>
  </w:style>
  <w:style w:type="paragraph" w:customStyle="1" w:styleId="Partref">
    <w:name w:val="Part_ref"/>
    <w:basedOn w:val="Annexref"/>
    <w:next w:val="Parttitle"/>
    <w:rsid w:val="004A5998"/>
  </w:style>
  <w:style w:type="paragraph" w:customStyle="1" w:styleId="Parttitle">
    <w:name w:val="Part_title"/>
    <w:basedOn w:val="Annextitle"/>
    <w:next w:val="Normalaftertitle"/>
    <w:rsid w:val="004A5998"/>
  </w:style>
  <w:style w:type="paragraph" w:customStyle="1" w:styleId="RecNo">
    <w:name w:val="Rec_No"/>
    <w:basedOn w:val="Normal"/>
    <w:next w:val="Rectitle"/>
    <w:rsid w:val="004A5998"/>
    <w:pPr>
      <w:keepNext/>
      <w:keepLines/>
      <w:spacing w:before="480"/>
      <w:jc w:val="center"/>
    </w:pPr>
    <w:rPr>
      <w:caps/>
      <w:sz w:val="28"/>
    </w:rPr>
  </w:style>
  <w:style w:type="paragraph" w:customStyle="1" w:styleId="Rectitle">
    <w:name w:val="Rec_title"/>
    <w:basedOn w:val="RecNo"/>
    <w:next w:val="Recref"/>
    <w:rsid w:val="004A5998"/>
    <w:pPr>
      <w:spacing w:before="240"/>
    </w:pPr>
    <w:rPr>
      <w:b/>
      <w:caps w:val="0"/>
    </w:rPr>
  </w:style>
  <w:style w:type="paragraph" w:customStyle="1" w:styleId="Recref">
    <w:name w:val="Rec_ref"/>
    <w:basedOn w:val="Rectitle"/>
    <w:next w:val="Recdate"/>
    <w:rsid w:val="004A59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4A5998"/>
    <w:pPr>
      <w:jc w:val="right"/>
    </w:pPr>
    <w:rPr>
      <w:sz w:val="22"/>
    </w:rPr>
  </w:style>
  <w:style w:type="paragraph" w:customStyle="1" w:styleId="Questiondate">
    <w:name w:val="Question_date"/>
    <w:basedOn w:val="Recdate"/>
    <w:next w:val="Normalaftertitle"/>
    <w:rsid w:val="004A5998"/>
  </w:style>
  <w:style w:type="paragraph" w:customStyle="1" w:styleId="QuestionNo">
    <w:name w:val="Question_No"/>
    <w:basedOn w:val="RecNo"/>
    <w:next w:val="Questiontitle"/>
    <w:rsid w:val="004A5998"/>
  </w:style>
  <w:style w:type="paragraph" w:customStyle="1" w:styleId="Questiontitle">
    <w:name w:val="Question_title"/>
    <w:basedOn w:val="Rectitle"/>
    <w:next w:val="Questionref"/>
    <w:rsid w:val="004A5998"/>
  </w:style>
  <w:style w:type="paragraph" w:customStyle="1" w:styleId="Questionref">
    <w:name w:val="Question_ref"/>
    <w:basedOn w:val="Recref"/>
    <w:next w:val="Questiondate"/>
    <w:rsid w:val="004A5998"/>
  </w:style>
  <w:style w:type="character" w:customStyle="1" w:styleId="Recdef">
    <w:name w:val="Rec_def"/>
    <w:basedOn w:val="DefaultParagraphFont"/>
    <w:rsid w:val="004A5998"/>
    <w:rPr>
      <w:rFonts w:asciiTheme="minorHAnsi" w:hAnsiTheme="minorHAnsi"/>
      <w:b/>
    </w:rPr>
  </w:style>
  <w:style w:type="paragraph" w:customStyle="1" w:styleId="Reftext">
    <w:name w:val="Ref_text"/>
    <w:basedOn w:val="Normal"/>
    <w:rsid w:val="004A5998"/>
    <w:pPr>
      <w:ind w:left="794" w:hanging="794"/>
    </w:pPr>
  </w:style>
  <w:style w:type="paragraph" w:customStyle="1" w:styleId="Reftitle">
    <w:name w:val="Ref_title"/>
    <w:basedOn w:val="Normal"/>
    <w:next w:val="Reftext"/>
    <w:rsid w:val="004A5998"/>
    <w:pPr>
      <w:spacing w:before="480"/>
      <w:jc w:val="center"/>
    </w:pPr>
    <w:rPr>
      <w:caps/>
    </w:rPr>
  </w:style>
  <w:style w:type="paragraph" w:customStyle="1" w:styleId="Repdate">
    <w:name w:val="Rep_date"/>
    <w:basedOn w:val="Recdate"/>
    <w:next w:val="Normalaftertitle"/>
    <w:rsid w:val="004A5998"/>
  </w:style>
  <w:style w:type="paragraph" w:customStyle="1" w:styleId="RepNo">
    <w:name w:val="Rep_No"/>
    <w:basedOn w:val="RecNo"/>
    <w:next w:val="Reptitle"/>
    <w:rsid w:val="004A5998"/>
  </w:style>
  <w:style w:type="paragraph" w:customStyle="1" w:styleId="Reptitle">
    <w:name w:val="Rep_title"/>
    <w:basedOn w:val="Rectitle"/>
    <w:next w:val="Repref"/>
    <w:rsid w:val="004A5998"/>
  </w:style>
  <w:style w:type="paragraph" w:customStyle="1" w:styleId="Repref">
    <w:name w:val="Rep_ref"/>
    <w:basedOn w:val="Recref"/>
    <w:next w:val="Repdate"/>
    <w:rsid w:val="004A5998"/>
  </w:style>
  <w:style w:type="paragraph" w:customStyle="1" w:styleId="Resdate">
    <w:name w:val="Res_date"/>
    <w:basedOn w:val="Recdate"/>
    <w:next w:val="Normalaftertitle"/>
    <w:rsid w:val="004A5998"/>
  </w:style>
  <w:style w:type="character" w:customStyle="1" w:styleId="Resdef">
    <w:name w:val="Res_def"/>
    <w:basedOn w:val="DefaultParagraphFont"/>
    <w:rsid w:val="004A5998"/>
    <w:rPr>
      <w:rFonts w:asciiTheme="minorHAnsi" w:hAnsiTheme="minorHAnsi"/>
      <w:b/>
    </w:rPr>
  </w:style>
  <w:style w:type="paragraph" w:customStyle="1" w:styleId="ResNo">
    <w:name w:val="Res_No"/>
    <w:basedOn w:val="RecNo"/>
    <w:next w:val="Restitle"/>
    <w:rsid w:val="004A5998"/>
  </w:style>
  <w:style w:type="paragraph" w:customStyle="1" w:styleId="Restitle">
    <w:name w:val="Res_title"/>
    <w:basedOn w:val="Rectitle"/>
    <w:next w:val="Resref"/>
    <w:rsid w:val="004A5998"/>
  </w:style>
  <w:style w:type="paragraph" w:customStyle="1" w:styleId="Resref">
    <w:name w:val="Res_ref"/>
    <w:basedOn w:val="Recref"/>
    <w:next w:val="Resdate"/>
    <w:rsid w:val="004A5998"/>
  </w:style>
  <w:style w:type="paragraph" w:customStyle="1" w:styleId="SectionNo">
    <w:name w:val="Section_No"/>
    <w:basedOn w:val="AnnexNo"/>
    <w:next w:val="Sectiontitle"/>
    <w:rsid w:val="004A5998"/>
  </w:style>
  <w:style w:type="paragraph" w:customStyle="1" w:styleId="Sectiontitle">
    <w:name w:val="Section_title"/>
    <w:basedOn w:val="Annextitle"/>
    <w:next w:val="Normalaftertitle"/>
    <w:rsid w:val="004A5998"/>
  </w:style>
  <w:style w:type="paragraph" w:customStyle="1" w:styleId="SpecialFooter">
    <w:name w:val="Special Footer"/>
    <w:basedOn w:val="Footer"/>
    <w:rsid w:val="004A599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A5998"/>
    <w:rPr>
      <w:rFonts w:asciiTheme="minorHAnsi" w:hAnsiTheme="minorHAnsi"/>
      <w:b/>
      <w:color w:val="auto"/>
    </w:rPr>
  </w:style>
  <w:style w:type="paragraph" w:customStyle="1" w:styleId="Tablehead">
    <w:name w:val="Table_head"/>
    <w:basedOn w:val="Tabletext"/>
    <w:next w:val="Tabletext"/>
    <w:rsid w:val="004A5998"/>
    <w:pPr>
      <w:keepNext/>
      <w:spacing w:before="80" w:after="80"/>
      <w:jc w:val="center"/>
    </w:pPr>
    <w:rPr>
      <w:b/>
    </w:rPr>
  </w:style>
  <w:style w:type="paragraph" w:customStyle="1" w:styleId="Tablelegend">
    <w:name w:val="Table_legend"/>
    <w:basedOn w:val="Tabletext"/>
    <w:rsid w:val="004A5998"/>
    <w:pPr>
      <w:spacing w:before="120"/>
    </w:pPr>
  </w:style>
  <w:style w:type="paragraph" w:customStyle="1" w:styleId="TableNo">
    <w:name w:val="Table_No"/>
    <w:basedOn w:val="Normal"/>
    <w:next w:val="Tabletitle"/>
    <w:rsid w:val="004A5998"/>
    <w:pPr>
      <w:keepNext/>
      <w:spacing w:before="560" w:after="120"/>
      <w:jc w:val="center"/>
    </w:pPr>
    <w:rPr>
      <w:caps/>
    </w:rPr>
  </w:style>
  <w:style w:type="paragraph" w:customStyle="1" w:styleId="Tableref">
    <w:name w:val="Table_ref"/>
    <w:basedOn w:val="Normal"/>
    <w:next w:val="Tabletitle"/>
    <w:rsid w:val="004A5998"/>
    <w:pPr>
      <w:keepNext/>
      <w:spacing w:before="0" w:after="120"/>
      <w:jc w:val="center"/>
    </w:pPr>
  </w:style>
  <w:style w:type="character" w:styleId="PageNumber">
    <w:name w:val="page number"/>
    <w:basedOn w:val="DefaultParagraphFont"/>
    <w:rsid w:val="004A5998"/>
    <w:rPr>
      <w:rFonts w:asciiTheme="minorHAnsi" w:hAnsiTheme="minorHAnsi"/>
    </w:rPr>
  </w:style>
  <w:style w:type="character" w:customStyle="1" w:styleId="HeaderChar">
    <w:name w:val="Header Char"/>
    <w:basedOn w:val="DefaultParagraphFont"/>
    <w:link w:val="Header"/>
    <w:uiPriority w:val="99"/>
    <w:rsid w:val="004A5998"/>
    <w:rPr>
      <w:rFonts w:asciiTheme="minorHAnsi" w:hAnsiTheme="minorHAnsi"/>
      <w:sz w:val="18"/>
      <w:lang w:val="fr-FR" w:eastAsia="en-US"/>
    </w:rPr>
  </w:style>
  <w:style w:type="character" w:customStyle="1" w:styleId="FooterChar">
    <w:name w:val="Footer Char"/>
    <w:basedOn w:val="DefaultParagraphFont"/>
    <w:link w:val="Footer"/>
    <w:rsid w:val="004A5998"/>
    <w:rPr>
      <w:rFonts w:asciiTheme="minorHAnsi" w:hAnsiTheme="minorHAnsi"/>
      <w:caps/>
      <w:noProof/>
      <w:sz w:val="16"/>
      <w:lang w:val="fr-FR" w:eastAsia="en-US"/>
    </w:rPr>
  </w:style>
  <w:style w:type="table" w:styleId="TableGrid">
    <w:name w:val="Table Grid"/>
    <w:basedOn w:val="TableNormal"/>
    <w:uiPriority w:val="59"/>
    <w:rsid w:val="004A59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4A5998"/>
    <w:rPr>
      <w:rFonts w:cs="Times New Roman Bold"/>
      <w:b/>
      <w:caps/>
    </w:rPr>
  </w:style>
  <w:style w:type="character" w:styleId="Hyperlink">
    <w:name w:val="Hyperlink"/>
    <w:basedOn w:val="DefaultParagraphFont"/>
    <w:rsid w:val="004A5998"/>
    <w:rPr>
      <w:color w:val="0000FF" w:themeColor="hyperlink"/>
      <w:u w:val="single"/>
    </w:rPr>
  </w:style>
  <w:style w:type="paragraph" w:customStyle="1" w:styleId="BDTLogo">
    <w:name w:val="BDT_Logo"/>
    <w:uiPriority w:val="99"/>
    <w:rsid w:val="004A5998"/>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4A5998"/>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4A599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4A599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4A5998"/>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4A5998"/>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4A599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4A5998"/>
    <w:pPr>
      <w:tabs>
        <w:tab w:val="clear" w:pos="794"/>
        <w:tab w:val="clear" w:pos="1191"/>
        <w:tab w:val="left" w:pos="1134"/>
        <w:tab w:val="left" w:pos="1871"/>
      </w:tabs>
    </w:pPr>
  </w:style>
  <w:style w:type="character" w:customStyle="1" w:styleId="ListParagraphChar">
    <w:name w:val="List Paragraph Char"/>
    <w:basedOn w:val="DefaultParagraphFont"/>
    <w:link w:val="ListParagraph"/>
    <w:uiPriority w:val="34"/>
    <w:locked/>
    <w:rsid w:val="00953610"/>
    <w:rPr>
      <w:rFonts w:asciiTheme="minorHAnsi" w:hAnsiTheme="minorHAnsi"/>
      <w:sz w:val="24"/>
      <w:lang w:val="fr-CH" w:eastAsia="en-US"/>
    </w:rPr>
  </w:style>
  <w:style w:type="paragraph" w:customStyle="1" w:styleId="CEONormal">
    <w:name w:val="CEO_Normal"/>
    <w:link w:val="CEONormalChar"/>
    <w:rsid w:val="00953610"/>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953610"/>
    <w:rPr>
      <w:rFonts w:ascii="Calibri" w:eastAsia="SimSun" w:hAnsi="Calibri" w:cs="Simplified Arabic"/>
      <w:sz w:val="22"/>
      <w:szCs w:val="19"/>
      <w:lang w:val="en-GB" w:eastAsia="en-US"/>
    </w:rPr>
  </w:style>
  <w:style w:type="paragraph" w:customStyle="1" w:styleId="CEOParagraphabc">
    <w:name w:val="CEO_Paragraph abc)"/>
    <w:basedOn w:val="Normal"/>
    <w:rsid w:val="00953610"/>
    <w:pPr>
      <w:numPr>
        <w:numId w:val="3"/>
      </w:numPr>
      <w:tabs>
        <w:tab w:val="clear" w:pos="794"/>
        <w:tab w:val="clear" w:pos="1191"/>
        <w:tab w:val="clear" w:pos="1588"/>
        <w:tab w:val="clear" w:pos="1985"/>
      </w:tabs>
      <w:overflowPunct/>
      <w:autoSpaceDE/>
      <w:autoSpaceDN/>
      <w:adjustRightInd/>
      <w:spacing w:after="120"/>
      <w:textAlignment w:val="auto"/>
    </w:pPr>
    <w:rPr>
      <w:rFonts w:ascii="Calibri" w:eastAsiaTheme="minorHAnsi" w:hAnsi="Calibri"/>
      <w:b/>
      <w:bCs/>
      <w:sz w:val="22"/>
      <w:szCs w:val="22"/>
      <w:lang w:val="en-US" w:eastAsia="zh-CN"/>
    </w:rPr>
  </w:style>
  <w:style w:type="character" w:customStyle="1" w:styleId="ms-rtethemeforecolor-2-0">
    <w:name w:val="ms-rtethemeforecolor-2-0"/>
    <w:basedOn w:val="DefaultParagraphFont"/>
    <w:rsid w:val="00953610"/>
  </w:style>
  <w:style w:type="character" w:customStyle="1" w:styleId="FootnoteTextChar">
    <w:name w:val="Footnote Text Char"/>
    <w:basedOn w:val="DefaultParagraphFont"/>
    <w:link w:val="FootnoteText"/>
    <w:rsid w:val="008923C0"/>
    <w:rPr>
      <w:rFonts w:asciiTheme="minorHAnsi" w:hAnsiTheme="minorHAnsi"/>
      <w:sz w:val="24"/>
      <w:lang w:val="fr-CH" w:eastAsia="en-US"/>
    </w:rPr>
  </w:style>
  <w:style w:type="paragraph" w:customStyle="1" w:styleId="CEOParagraph1">
    <w:name w:val="CEO_Paragraph1."/>
    <w:basedOn w:val="Normal"/>
    <w:rsid w:val="008923C0"/>
    <w:pPr>
      <w:keepNext/>
      <w:numPr>
        <w:numId w:val="6"/>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FootnoteReferenceAsianBodyCalibri">
    <w:name w:val="Footnote Reference + (Asian) +Body (Calibri)"/>
    <w:aliases w:val="(Latin) 12 pt,Not Raised by / ..."/>
    <w:basedOn w:val="enumlev1"/>
    <w:rsid w:val="00643E3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Partners/pages/call4partners/partnerships.aspx"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D/Projects/Pages/default.aspx"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wld.onl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s://contentfiltering.info)"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go/en/itudsponsorship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go/en/itudsponsorships" TargetMode="External"/><Relationship Id="rId1" Type="http://schemas.openxmlformats.org/officeDocument/2006/relationships/hyperlink" Target="http://www.itu.int/en/ITU-D/Partners/pages/call4partners/partnership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7.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uyots\Desktop\TDAG\2017\Charts%20TDAG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uyots\Desktop\TDAG\2017\Charts%20TDAG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uyots\Desktop\TDAG\2017\Charts%20TDAG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uyots\Desktop\TDAG\2017\Charts%20TDAG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uyots\Desktop\TDAG\2017\Charts%20TDAG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65000"/>
                    <a:lumOff val="35000"/>
                  </a:schemeClr>
                </a:solidFill>
                <a:effectLst/>
                <a:latin typeface="+mn-lt"/>
                <a:ea typeface="+mn-ea"/>
                <a:cs typeface="+mn-cs"/>
              </a:defRPr>
            </a:pPr>
            <a:r>
              <a:rPr lang="en-US" sz="1100" b="1"/>
              <a:t>New signed agreements</a:t>
            </a:r>
          </a:p>
          <a:p>
            <a:pPr>
              <a:defRPr sz="1100" b="1" i="0" u="none" strike="noStrike" kern="1200" baseline="0">
                <a:solidFill>
                  <a:schemeClr val="dk1">
                    <a:lumMod val="65000"/>
                    <a:lumOff val="35000"/>
                  </a:schemeClr>
                </a:solidFill>
                <a:effectLst/>
                <a:latin typeface="+mn-lt"/>
                <a:ea typeface="+mn-ea"/>
                <a:cs typeface="+mn-cs"/>
              </a:defRPr>
            </a:pPr>
            <a:r>
              <a:rPr lang="en-US" sz="1100" b="1"/>
              <a:t>(2013 - 2</a:t>
            </a:r>
            <a:r>
              <a:rPr lang="en-US" sz="1100" b="1" baseline="0"/>
              <a:t>016)</a:t>
            </a:r>
            <a:endParaRPr lang="en-US" sz="1100" b="1"/>
          </a:p>
        </c:rich>
      </c:tx>
      <c:layout/>
      <c:overlay val="0"/>
      <c:spPr>
        <a:noFill/>
        <a:ln>
          <a:noFill/>
        </a:ln>
        <a:effectLst/>
      </c:spPr>
    </c:title>
    <c:autoTitleDeleted val="0"/>
    <c:plotArea>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2"/>
              <c:layout/>
              <c:tx>
                <c:rich>
                  <a:bodyPr rot="0" spcFirstLastPara="1" vertOverflow="clip" horzOverflow="clip"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fld id="{2A3E536E-1E8B-4AA5-A1E3-117C10DC6135}" type="VALUE">
                      <a:rPr lang="en-US"/>
                      <a:pPr rtl="0">
                        <a:defRPr sz="1000" b="1" i="0" u="none" strike="noStrike" kern="1200" baseline="0">
                          <a:solidFill>
                            <a:schemeClr val="lt1"/>
                          </a:solidFill>
                          <a:latin typeface="+mn-lt"/>
                          <a:ea typeface="+mn-ea"/>
                          <a:cs typeface="+mn-cs"/>
                        </a:defRPr>
                      </a:pPr>
                      <a:t>[VALUE]</a:t>
                    </a:fld>
                    <a:r>
                      <a:rPr lang="en-US" baseline="30000"/>
                      <a:t>1</a:t>
                    </a:r>
                  </a:p>
                </c:rich>
              </c:tx>
              <c:spPr>
                <a:solidFill>
                  <a:schemeClr val="dk1">
                    <a:lumMod val="65000"/>
                    <a:lumOff val="35000"/>
                    <a:alpha val="75000"/>
                  </a:schemeClr>
                </a:solid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15:dlblFieldTable/>
                  <c15:showDataLabelsRange val="0"/>
                </c:ext>
              </c:extLst>
            </c:dLbl>
            <c:dLbl>
              <c:idx val="3"/>
              <c:layout>
                <c:manualLayout>
                  <c:x val="4.4742729306486055E-3"/>
                  <c:y val="0.13693922744642389"/>
                </c:manualLayout>
              </c:layout>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Sheet1!$B$1:$E$1</c:f>
              <c:numCache>
                <c:formatCode>General</c:formatCode>
                <c:ptCount val="4"/>
                <c:pt idx="0">
                  <c:v>2013</c:v>
                </c:pt>
                <c:pt idx="1">
                  <c:v>2014</c:v>
                </c:pt>
                <c:pt idx="2">
                  <c:v>2015</c:v>
                </c:pt>
                <c:pt idx="3">
                  <c:v>2016</c:v>
                </c:pt>
              </c:numCache>
            </c:numRef>
          </c:cat>
          <c:val>
            <c:numRef>
              <c:f>Sheet1!$B$2:$E$2</c:f>
              <c:numCache>
                <c:formatCode>General</c:formatCode>
                <c:ptCount val="4"/>
                <c:pt idx="0">
                  <c:v>36</c:v>
                </c:pt>
                <c:pt idx="1">
                  <c:v>42</c:v>
                </c:pt>
                <c:pt idx="2">
                  <c:v>68</c:v>
                </c:pt>
                <c:pt idx="3">
                  <c:v>27</c:v>
                </c:pt>
              </c:numCache>
            </c:numRef>
          </c:val>
        </c:ser>
        <c:dLbls>
          <c:dLblPos val="inEnd"/>
          <c:showLegendKey val="0"/>
          <c:showVal val="1"/>
          <c:showCatName val="0"/>
          <c:showSerName val="0"/>
          <c:showPercent val="0"/>
          <c:showBubbleSize val="0"/>
        </c:dLbls>
        <c:gapWidth val="41"/>
        <c:axId val="612557816"/>
        <c:axId val="612556640"/>
      </c:barChart>
      <c:catAx>
        <c:axId val="612557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612556640"/>
        <c:crosses val="autoZero"/>
        <c:auto val="1"/>
        <c:lblAlgn val="ctr"/>
        <c:lblOffset val="100"/>
        <c:noMultiLvlLbl val="0"/>
      </c:catAx>
      <c:valAx>
        <c:axId val="612556640"/>
        <c:scaling>
          <c:orientation val="minMax"/>
        </c:scaling>
        <c:delete val="1"/>
        <c:axPos val="l"/>
        <c:numFmt formatCode="General" sourceLinked="1"/>
        <c:majorTickMark val="none"/>
        <c:minorTickMark val="none"/>
        <c:tickLblPos val="nextTo"/>
        <c:crossAx val="61255781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100"/>
              <a:t>Beneficiary regions of new signed agreements </a:t>
            </a:r>
          </a:p>
          <a:p>
            <a:pPr>
              <a:defRPr sz="1600" b="1" i="0" u="none" strike="noStrike" kern="1200" baseline="0">
                <a:solidFill>
                  <a:schemeClr val="tx2"/>
                </a:solidFill>
                <a:latin typeface="+mn-lt"/>
                <a:ea typeface="+mn-ea"/>
                <a:cs typeface="+mn-cs"/>
              </a:defRPr>
            </a:pPr>
            <a:r>
              <a:rPr lang="en-US" sz="1100"/>
              <a:t>(2013 - 2016)</a:t>
            </a:r>
          </a:p>
        </c:rich>
      </c:tx>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Sheet1!$G$7:$G$13</c:f>
              <c:strCache>
                <c:ptCount val="7"/>
                <c:pt idx="0">
                  <c:v>AFR</c:v>
                </c:pt>
                <c:pt idx="1">
                  <c:v>AMS</c:v>
                </c:pt>
                <c:pt idx="2">
                  <c:v>ARB</c:v>
                </c:pt>
                <c:pt idx="3">
                  <c:v>ASP</c:v>
                </c:pt>
                <c:pt idx="4">
                  <c:v>CIS</c:v>
                </c:pt>
                <c:pt idx="5">
                  <c:v>EUR</c:v>
                </c:pt>
                <c:pt idx="6">
                  <c:v>GLO</c:v>
                </c:pt>
              </c:strCache>
            </c:strRef>
          </c:cat>
          <c:val>
            <c:numRef>
              <c:f>Sheet1!$H$7:$H$13</c:f>
              <c:numCache>
                <c:formatCode>General</c:formatCode>
                <c:ptCount val="7"/>
                <c:pt idx="0">
                  <c:v>31.5</c:v>
                </c:pt>
                <c:pt idx="1">
                  <c:v>23</c:v>
                </c:pt>
                <c:pt idx="2">
                  <c:v>14</c:v>
                </c:pt>
                <c:pt idx="3">
                  <c:v>40</c:v>
                </c:pt>
                <c:pt idx="4">
                  <c:v>4</c:v>
                </c:pt>
                <c:pt idx="5">
                  <c:v>9.5</c:v>
                </c:pt>
                <c:pt idx="6">
                  <c:v>51</c:v>
                </c:pt>
              </c:numCache>
            </c:numRef>
          </c:val>
        </c:ser>
        <c:dLbls>
          <c:showLegendKey val="0"/>
          <c:showVal val="0"/>
          <c:showCatName val="0"/>
          <c:showSerName val="0"/>
          <c:showPercent val="0"/>
          <c:showBubbleSize val="0"/>
        </c:dLbls>
        <c:gapWidth val="100"/>
        <c:overlap val="-24"/>
        <c:axId val="612557032"/>
        <c:axId val="607779400"/>
      </c:barChart>
      <c:catAx>
        <c:axId val="612557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07779400"/>
        <c:crosses val="autoZero"/>
        <c:auto val="1"/>
        <c:lblAlgn val="ctr"/>
        <c:lblOffset val="100"/>
        <c:noMultiLvlLbl val="0"/>
      </c:catAx>
      <c:valAx>
        <c:axId val="6077794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12557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50" baseline="0">
                <a:solidFill>
                  <a:schemeClr val="tx1">
                    <a:lumMod val="65000"/>
                    <a:lumOff val="35000"/>
                  </a:schemeClr>
                </a:solidFill>
                <a:latin typeface="+mn-lt"/>
                <a:ea typeface="+mn-ea"/>
                <a:cs typeface="+mn-cs"/>
              </a:defRPr>
            </a:pPr>
            <a:r>
              <a:rPr lang="en-US" sz="1100" b="1"/>
              <a:t>Areas of action of new</a:t>
            </a:r>
            <a:r>
              <a:rPr lang="en-US" sz="1100" b="1" baseline="0"/>
              <a:t> signed agreements </a:t>
            </a:r>
          </a:p>
          <a:p>
            <a:pPr>
              <a:defRPr sz="1100" b="1" i="0" u="none" strike="noStrike" kern="1200" cap="none" spc="50" baseline="0">
                <a:solidFill>
                  <a:schemeClr val="tx1">
                    <a:lumMod val="65000"/>
                    <a:lumOff val="35000"/>
                  </a:schemeClr>
                </a:solidFill>
                <a:latin typeface="+mn-lt"/>
                <a:ea typeface="+mn-ea"/>
                <a:cs typeface="+mn-cs"/>
              </a:defRPr>
            </a:pPr>
            <a:r>
              <a:rPr lang="en-US" sz="1100" b="1" baseline="0"/>
              <a:t>(2013 - 2016)</a:t>
            </a:r>
            <a:endParaRPr lang="en-US" sz="1100" b="1"/>
          </a:p>
        </c:rich>
      </c:tx>
      <c:layout/>
      <c:overlay val="0"/>
      <c:spPr>
        <a:noFill/>
        <a:ln>
          <a:noFill/>
        </a:ln>
        <a:effectLst/>
      </c:spPr>
    </c:title>
    <c:autoTitleDeleted val="0"/>
    <c:plotArea>
      <c:layout/>
      <c:barChart>
        <c:barDir val="bar"/>
        <c:grouping val="clustered"/>
        <c:varyColors val="0"/>
        <c:ser>
          <c:idx val="0"/>
          <c:order val="0"/>
          <c:spPr>
            <a:noFill/>
            <a:ln w="25400" cap="flat" cmpd="sng" algn="ctr">
              <a:solidFill>
                <a:schemeClr val="accent1"/>
              </a:solidFill>
              <a:miter lim="800000"/>
            </a:ln>
            <a:effectLst/>
          </c:spPr>
          <c:invertIfNegative val="0"/>
          <c:cat>
            <c:strRef>
              <c:f>Sheet1!$A$34:$A$43</c:f>
              <c:strCache>
                <c:ptCount val="10"/>
                <c:pt idx="0">
                  <c:v>Capacity Building</c:v>
                </c:pt>
                <c:pt idx="1">
                  <c:v>Infrastructure</c:v>
                </c:pt>
                <c:pt idx="2">
                  <c:v>Cybersecurity</c:v>
                </c:pt>
                <c:pt idx="3">
                  <c:v>ICT Applications</c:v>
                </c:pt>
                <c:pt idx="4">
                  <c:v>Enabling Environment</c:v>
                </c:pt>
                <c:pt idx="5">
                  <c:v>Generic</c:v>
                </c:pt>
                <c:pt idx="6">
                  <c:v>Emergency Telecom</c:v>
                </c:pt>
                <c:pt idx="7">
                  <c:v>Digital Inclusion</c:v>
                </c:pt>
                <c:pt idx="8">
                  <c:v>Innovation</c:v>
                </c:pt>
                <c:pt idx="9">
                  <c:v>Statistics and Indicators</c:v>
                </c:pt>
              </c:strCache>
            </c:strRef>
          </c:cat>
          <c:val>
            <c:numRef>
              <c:f>Sheet1!$B$34:$B$43</c:f>
              <c:numCache>
                <c:formatCode>General</c:formatCode>
                <c:ptCount val="10"/>
                <c:pt idx="0">
                  <c:v>48</c:v>
                </c:pt>
                <c:pt idx="1">
                  <c:v>31</c:v>
                </c:pt>
                <c:pt idx="2">
                  <c:v>29</c:v>
                </c:pt>
                <c:pt idx="3">
                  <c:v>23</c:v>
                </c:pt>
                <c:pt idx="4">
                  <c:v>16</c:v>
                </c:pt>
                <c:pt idx="5">
                  <c:v>10</c:v>
                </c:pt>
                <c:pt idx="6">
                  <c:v>8</c:v>
                </c:pt>
                <c:pt idx="7">
                  <c:v>5</c:v>
                </c:pt>
                <c:pt idx="8">
                  <c:v>2</c:v>
                </c:pt>
                <c:pt idx="9">
                  <c:v>2</c:v>
                </c:pt>
              </c:numCache>
            </c:numRef>
          </c:val>
        </c:ser>
        <c:dLbls>
          <c:showLegendKey val="0"/>
          <c:showVal val="0"/>
          <c:showCatName val="0"/>
          <c:showSerName val="0"/>
          <c:showPercent val="0"/>
          <c:showBubbleSize val="0"/>
        </c:dLbls>
        <c:gapWidth val="227"/>
        <c:overlap val="-48"/>
        <c:axId val="607778616"/>
        <c:axId val="607779008"/>
      </c:barChart>
      <c:catAx>
        <c:axId val="60777861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07779008"/>
        <c:crosses val="autoZero"/>
        <c:auto val="1"/>
        <c:lblAlgn val="ctr"/>
        <c:lblOffset val="100"/>
        <c:noMultiLvlLbl val="0"/>
      </c:catAx>
      <c:valAx>
        <c:axId val="6077790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0777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a:t>New signed agreements - stakeholders</a:t>
            </a:r>
          </a:p>
          <a:p>
            <a:pPr>
              <a:defRPr sz="1100" b="1" i="0" u="none" strike="noStrike" kern="1200" baseline="0">
                <a:solidFill>
                  <a:schemeClr val="tx1">
                    <a:lumMod val="65000"/>
                    <a:lumOff val="35000"/>
                  </a:schemeClr>
                </a:solidFill>
                <a:latin typeface="+mn-lt"/>
                <a:ea typeface="+mn-ea"/>
                <a:cs typeface="+mn-cs"/>
              </a:defRPr>
            </a:pPr>
            <a:r>
              <a:rPr lang="en-US" sz="1100"/>
              <a:t>(2013 - 2016)</a:t>
            </a:r>
          </a:p>
        </c:rich>
      </c:tx>
      <c:layout>
        <c:manualLayout>
          <c:xMode val="edge"/>
          <c:yMode val="edge"/>
          <c:x val="0.1632188173930488"/>
          <c:y val="4.5627376425855515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869692401368485E-2"/>
          <c:y val="0.28330916527611794"/>
          <c:w val="0.8171010253287716"/>
          <c:h val="0.48616804574694472"/>
        </c:manualLayout>
      </c:layout>
      <c:pie3DChart>
        <c:varyColors val="1"/>
        <c:ser>
          <c:idx val="0"/>
          <c:order val="0"/>
          <c:explosion val="4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Pt>
          <c:dLbls>
            <c:dLbl>
              <c:idx val="0"/>
              <c:layout>
                <c:manualLayout>
                  <c:x val="-6.0287246440094679E-2"/>
                  <c:y val="5.1284178911759321E-2"/>
                </c:manualLayout>
              </c:layout>
              <c:tx>
                <c:rich>
                  <a:bodyPr/>
                  <a:lstStyle/>
                  <a:p>
                    <a:fld id="{FD00352E-5A17-4559-AF6F-210EB26FF039}" type="VALUE">
                      <a:rPr lang="en-US"/>
                      <a:pPr/>
                      <a:t>[VALUE]</a:t>
                    </a:fld>
                    <a:r>
                      <a:rPr lang="en-US"/>
                      <a:t> %</a:t>
                    </a:r>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9.9648929234164199E-2"/>
                  <c:y val="4.3658573096613876E-2"/>
                </c:manualLayout>
              </c:layout>
              <c:tx>
                <c:rich>
                  <a:bodyPr/>
                  <a:lstStyle/>
                  <a:p>
                    <a:fld id="{F47BF712-5460-482B-B731-B4DC15285376}" type="VALUE">
                      <a:rPr lang="en-US"/>
                      <a:pPr/>
                      <a:t>[VALUE]</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Sheet1!$G$48:$G$49</c:f>
              <c:strCache>
                <c:ptCount val="2"/>
                <c:pt idx="0">
                  <c:v>ITU-D Membership</c:v>
                </c:pt>
                <c:pt idx="1">
                  <c:v>Non ITU-D Membership</c:v>
                </c:pt>
              </c:strCache>
            </c:strRef>
          </c:cat>
          <c:val>
            <c:numRef>
              <c:f>Sheet1!$H$48:$H$49</c:f>
              <c:numCache>
                <c:formatCode>0</c:formatCode>
                <c:ptCount val="2"/>
                <c:pt idx="0">
                  <c:v>76.506024096385545</c:v>
                </c:pt>
                <c:pt idx="1">
                  <c:v>23.493975903614459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50" baseline="0">
                <a:solidFill>
                  <a:schemeClr val="tx1">
                    <a:lumMod val="65000"/>
                    <a:lumOff val="35000"/>
                  </a:schemeClr>
                </a:solidFill>
                <a:latin typeface="+mn-lt"/>
                <a:ea typeface="+mn-ea"/>
                <a:cs typeface="+mn-cs"/>
              </a:defRPr>
            </a:pPr>
            <a:r>
              <a:rPr lang="en-US" sz="1050" b="1" i="0" cap="none" baseline="0">
                <a:effectLst/>
              </a:rPr>
              <a:t>New signed agreements - stakeholders</a:t>
            </a:r>
            <a:endParaRPr lang="en-US" sz="1050" cap="none" baseline="0">
              <a:effectLst/>
            </a:endParaRPr>
          </a:p>
          <a:p>
            <a:pPr>
              <a:defRPr sz="1050" b="1" i="0" u="none" strike="noStrike" kern="1200" cap="all" spc="50" baseline="0">
                <a:solidFill>
                  <a:schemeClr val="tx1">
                    <a:lumMod val="65000"/>
                    <a:lumOff val="35000"/>
                  </a:schemeClr>
                </a:solidFill>
                <a:latin typeface="+mn-lt"/>
                <a:ea typeface="+mn-ea"/>
                <a:cs typeface="+mn-cs"/>
              </a:defRPr>
            </a:pPr>
            <a:r>
              <a:rPr lang="en-US" sz="1050" b="1" i="0" cap="none" baseline="0">
                <a:effectLst/>
              </a:rPr>
              <a:t>(2013 - 2016)</a:t>
            </a:r>
            <a:endParaRPr lang="en-US" sz="1050" cap="none" baseline="0">
              <a:effectLst/>
            </a:endParaRPr>
          </a:p>
        </c:rich>
      </c:tx>
      <c:layout>
        <c:manualLayout>
          <c:xMode val="edge"/>
          <c:yMode val="edge"/>
          <c:x val="6.2006561679790038E-2"/>
          <c:y val="4.8003260956016862E-2"/>
        </c:manualLayout>
      </c:layout>
      <c:overlay val="0"/>
      <c:spPr>
        <a:noFill/>
        <a:ln>
          <a:noFill/>
        </a:ln>
        <a:effectLst/>
      </c:spPr>
    </c:title>
    <c:autoTitleDeleted val="0"/>
    <c:plotArea>
      <c:layout>
        <c:manualLayout>
          <c:layoutTarget val="inner"/>
          <c:xMode val="edge"/>
          <c:yMode val="edge"/>
          <c:x val="0.48095890566437483"/>
          <c:y val="0.19569166400325422"/>
          <c:w val="0.45310805391471909"/>
          <c:h val="0.55677097558377153"/>
        </c:manualLayout>
      </c:layout>
      <c:doughnutChart>
        <c:varyColors val="1"/>
        <c:ser>
          <c:idx val="0"/>
          <c:order val="0"/>
          <c:explosion val="6"/>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Sheet1!$A$66:$A$71</c:f>
              <c:strCache>
                <c:ptCount val="6"/>
                <c:pt idx="0">
                  <c:v>Administration</c:v>
                </c:pt>
                <c:pt idx="1">
                  <c:v>Private sector</c:v>
                </c:pt>
                <c:pt idx="2">
                  <c:v>UN System</c:v>
                </c:pt>
                <c:pt idx="3">
                  <c:v>Financial Instit/Foundations</c:v>
                </c:pt>
                <c:pt idx="4">
                  <c:v>Academia</c:v>
                </c:pt>
                <c:pt idx="5">
                  <c:v>Organizations (Reg/Int)</c:v>
                </c:pt>
              </c:strCache>
            </c:strRef>
          </c:cat>
          <c:val>
            <c:numRef>
              <c:f>Sheet1!$B$66:$B$71</c:f>
              <c:numCache>
                <c:formatCode>0</c:formatCode>
                <c:ptCount val="6"/>
                <c:pt idx="0">
                  <c:v>38.69047619047619</c:v>
                </c:pt>
                <c:pt idx="1">
                  <c:v>22.023809523809522</c:v>
                </c:pt>
                <c:pt idx="2">
                  <c:v>6.5476190476190483</c:v>
                </c:pt>
                <c:pt idx="3">
                  <c:v>2.9761904761904758</c:v>
                </c:pt>
                <c:pt idx="4">
                  <c:v>16.071428571428573</c:v>
                </c:pt>
                <c:pt idx="5">
                  <c:v>13.690476190476192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2.6551914608124536E-2"/>
          <c:y val="0.48462135959942276"/>
          <c:w val="0.48243155988478548"/>
          <c:h val="0.436657853192705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8DC5-8A86-4C0E-A321-152131AF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PF_TDAG17.docx</Template>
  <TotalTime>132</TotalTime>
  <Pages>9</Pages>
  <Words>3352</Words>
  <Characters>19148</Characters>
  <Application>Microsoft Office Word</Application>
  <DocSecurity>0</DocSecurity>
  <Lines>3191</Lines>
  <Paragraphs>1323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Ferrer, Jacqueline</dc:creator>
  <cp:lastModifiedBy>baba</cp:lastModifiedBy>
  <cp:revision>44</cp:revision>
  <cp:lastPrinted>2017-05-04T12:49:00Z</cp:lastPrinted>
  <dcterms:created xsi:type="dcterms:W3CDTF">2017-05-04T06:42:00Z</dcterms:created>
  <dcterms:modified xsi:type="dcterms:W3CDTF">2017-05-08T14:12:00Z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