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33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1276"/>
        <w:gridCol w:w="5386"/>
        <w:gridCol w:w="3261"/>
      </w:tblGrid>
      <w:tr w:rsidR="00CD34AE" w:rsidRPr="006938EE" w:rsidTr="00DA23FC">
        <w:trPr>
          <w:trHeight w:val="1134"/>
        </w:trPr>
        <w:tc>
          <w:tcPr>
            <w:tcW w:w="1276" w:type="dxa"/>
          </w:tcPr>
          <w:p w:rsidR="00CD34AE" w:rsidRPr="006938EE" w:rsidRDefault="00CD34AE" w:rsidP="00453A95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6938EE">
              <w:rPr>
                <w:color w:val="3399FF"/>
                <w:lang w:eastAsia="zh-CN"/>
              </w:rPr>
              <w:drawing>
                <wp:anchor distT="0" distB="0" distL="114300" distR="114300" simplePos="0" relativeHeight="251659264" behindDoc="0" locked="0" layoutInCell="1" allowOverlap="1" wp14:anchorId="64647FF8" wp14:editId="7E8E2AC0">
                  <wp:simplePos x="0" y="0"/>
                  <wp:positionH relativeFrom="column">
                    <wp:posOffset>-46028</wp:posOffset>
                  </wp:positionH>
                  <wp:positionV relativeFrom="paragraph">
                    <wp:posOffset>41255</wp:posOffset>
                  </wp:positionV>
                  <wp:extent cx="771525" cy="700486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6" w:type="dxa"/>
          </w:tcPr>
          <w:p w:rsidR="00CD34AE" w:rsidRPr="006938EE" w:rsidRDefault="00E65A2C" w:rsidP="00453A95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6938EE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 </w:t>
            </w:r>
            <w:r w:rsidR="00CD34AE" w:rsidRPr="006938EE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развитию электросвязи (</w:t>
            </w:r>
            <w:proofErr w:type="spellStart"/>
            <w:r w:rsidR="00CD34AE" w:rsidRPr="006938EE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КГРЭ</w:t>
            </w:r>
            <w:proofErr w:type="spellEnd"/>
            <w:r w:rsidR="00CD34AE" w:rsidRPr="006938EE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)</w:t>
            </w:r>
          </w:p>
          <w:p w:rsidR="00CD34AE" w:rsidRPr="006938EE" w:rsidRDefault="00CD34AE" w:rsidP="00453A95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60"/>
              <w:textAlignment w:val="auto"/>
              <w:rPr>
                <w:rFonts w:cstheme="minorHAnsi"/>
                <w:b/>
                <w:position w:val="6"/>
                <w:sz w:val="26"/>
                <w:szCs w:val="26"/>
                <w:lang w:eastAsia="zh-CN"/>
              </w:rPr>
            </w:pPr>
            <w:r w:rsidRPr="006938EE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22-е собрание, </w:t>
            </w:r>
            <w:r w:rsidRPr="006938EE">
              <w:rPr>
                <w:b/>
                <w:bCs/>
                <w:sz w:val="24"/>
                <w:szCs w:val="24"/>
              </w:rPr>
              <w:t>Женева, 9−12 мая 2017 года</w:t>
            </w:r>
          </w:p>
        </w:tc>
        <w:tc>
          <w:tcPr>
            <w:tcW w:w="3261" w:type="dxa"/>
            <w:vAlign w:val="center"/>
          </w:tcPr>
          <w:p w:rsidR="00CD34AE" w:rsidRPr="006938EE" w:rsidRDefault="00CD34AE" w:rsidP="00453A95">
            <w:pPr>
              <w:widowControl w:val="0"/>
              <w:spacing w:before="40"/>
              <w:rPr>
                <w:szCs w:val="22"/>
              </w:rPr>
            </w:pPr>
            <w:r w:rsidRPr="006938EE">
              <w:rPr>
                <w:lang w:eastAsia="zh-CN"/>
              </w:rPr>
              <w:drawing>
                <wp:anchor distT="0" distB="0" distL="114300" distR="114300" simplePos="0" relativeHeight="251661312" behindDoc="0" locked="0" layoutInCell="1" allowOverlap="1" wp14:anchorId="3F1D455C" wp14:editId="60FAAE44">
                  <wp:simplePos x="0" y="0"/>
                  <wp:positionH relativeFrom="column">
                    <wp:posOffset>262890</wp:posOffset>
                  </wp:positionH>
                  <wp:positionV relativeFrom="paragraph">
                    <wp:posOffset>-6985</wp:posOffset>
                  </wp:positionV>
                  <wp:extent cx="1709420" cy="863600"/>
                  <wp:effectExtent l="0" t="0" r="5080" b="0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42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D34AE" w:rsidRPr="006938EE" w:rsidTr="00DA23FC">
        <w:tc>
          <w:tcPr>
            <w:tcW w:w="6662" w:type="dxa"/>
            <w:gridSpan w:val="2"/>
            <w:tcBorders>
              <w:top w:val="single" w:sz="12" w:space="0" w:color="auto"/>
            </w:tcBorders>
          </w:tcPr>
          <w:p w:rsidR="00CD34AE" w:rsidRPr="006938EE" w:rsidRDefault="00CD34AE" w:rsidP="00453A95">
            <w:pPr>
              <w:widowControl w:val="0"/>
              <w:spacing w:before="0"/>
              <w:rPr>
                <w:b/>
                <w:smallCaps/>
                <w:szCs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CD34AE" w:rsidRPr="006938EE" w:rsidRDefault="00CD34AE" w:rsidP="00453A95">
            <w:pPr>
              <w:widowControl w:val="0"/>
              <w:spacing w:before="0"/>
              <w:rPr>
                <w:szCs w:val="22"/>
              </w:rPr>
            </w:pPr>
          </w:p>
        </w:tc>
      </w:tr>
      <w:tr w:rsidR="00CD34AE" w:rsidRPr="006938EE" w:rsidTr="00DA23FC">
        <w:tc>
          <w:tcPr>
            <w:tcW w:w="6662" w:type="dxa"/>
            <w:gridSpan w:val="2"/>
          </w:tcPr>
          <w:p w:rsidR="00CD34AE" w:rsidRPr="006938EE" w:rsidRDefault="00CD34AE" w:rsidP="00453A95">
            <w:pPr>
              <w:widowControl w:val="0"/>
              <w:spacing w:before="0"/>
              <w:rPr>
                <w:b/>
                <w:bCs/>
                <w:smallCaps/>
                <w:szCs w:val="22"/>
              </w:rPr>
            </w:pPr>
          </w:p>
        </w:tc>
        <w:tc>
          <w:tcPr>
            <w:tcW w:w="3261" w:type="dxa"/>
          </w:tcPr>
          <w:p w:rsidR="00CD34AE" w:rsidRPr="006938EE" w:rsidRDefault="003E6E87" w:rsidP="00D71423">
            <w:pPr>
              <w:widowControl w:val="0"/>
              <w:spacing w:before="0"/>
              <w:rPr>
                <w:b/>
                <w:bCs/>
                <w:szCs w:val="22"/>
              </w:rPr>
            </w:pPr>
            <w:r w:rsidRPr="006938EE">
              <w:rPr>
                <w:rFonts w:cstheme="minorHAnsi"/>
                <w:b/>
                <w:bCs/>
                <w:szCs w:val="22"/>
              </w:rPr>
              <w:t xml:space="preserve">Документ </w:t>
            </w:r>
            <w:bookmarkStart w:id="0" w:name="DocRef1"/>
            <w:bookmarkEnd w:id="0"/>
            <w:proofErr w:type="spellStart"/>
            <w:r w:rsidRPr="006938EE">
              <w:rPr>
                <w:rFonts w:cstheme="minorHAnsi"/>
                <w:b/>
                <w:bCs/>
                <w:szCs w:val="22"/>
              </w:rPr>
              <w:t>TDAG17</w:t>
            </w:r>
            <w:proofErr w:type="spellEnd"/>
            <w:r w:rsidRPr="006938EE">
              <w:rPr>
                <w:rFonts w:cstheme="minorHAnsi"/>
                <w:b/>
                <w:bCs/>
                <w:szCs w:val="22"/>
              </w:rPr>
              <w:t>-22/</w:t>
            </w:r>
            <w:bookmarkStart w:id="1" w:name="DocNo1"/>
            <w:bookmarkEnd w:id="1"/>
            <w:r w:rsidR="00D71423" w:rsidRPr="006938EE">
              <w:rPr>
                <w:rFonts w:cstheme="minorHAnsi"/>
                <w:b/>
                <w:bCs/>
                <w:szCs w:val="22"/>
              </w:rPr>
              <w:t>29</w:t>
            </w:r>
            <w:r w:rsidRPr="006938EE">
              <w:rPr>
                <w:rFonts w:cstheme="minorHAnsi"/>
                <w:b/>
                <w:bCs/>
                <w:szCs w:val="22"/>
              </w:rPr>
              <w:t>-R</w:t>
            </w:r>
          </w:p>
        </w:tc>
      </w:tr>
      <w:tr w:rsidR="00CD34AE" w:rsidRPr="006938EE" w:rsidTr="00DA23FC">
        <w:tc>
          <w:tcPr>
            <w:tcW w:w="6662" w:type="dxa"/>
            <w:gridSpan w:val="2"/>
          </w:tcPr>
          <w:p w:rsidR="00CD34AE" w:rsidRPr="006938EE" w:rsidRDefault="00CD34AE" w:rsidP="00453A95">
            <w:pPr>
              <w:spacing w:before="0"/>
              <w:rPr>
                <w:b/>
                <w:bCs/>
                <w:smallCaps/>
                <w:szCs w:val="22"/>
              </w:rPr>
            </w:pPr>
          </w:p>
        </w:tc>
        <w:tc>
          <w:tcPr>
            <w:tcW w:w="3261" w:type="dxa"/>
          </w:tcPr>
          <w:p w:rsidR="00CD34AE" w:rsidRPr="006938EE" w:rsidRDefault="00D71423" w:rsidP="00453A95">
            <w:pPr>
              <w:widowControl w:val="0"/>
              <w:spacing w:before="0"/>
              <w:rPr>
                <w:b/>
                <w:bCs/>
                <w:szCs w:val="22"/>
              </w:rPr>
            </w:pPr>
            <w:bookmarkStart w:id="2" w:name="CreationDate"/>
            <w:bookmarkEnd w:id="2"/>
            <w:r w:rsidRPr="006938EE">
              <w:rPr>
                <w:b/>
                <w:bCs/>
                <w:szCs w:val="22"/>
              </w:rPr>
              <w:t>26 апреля</w:t>
            </w:r>
            <w:r w:rsidR="00A73D91" w:rsidRPr="006938EE">
              <w:rPr>
                <w:b/>
                <w:bCs/>
                <w:szCs w:val="22"/>
              </w:rPr>
              <w:t xml:space="preserve"> 2017 года</w:t>
            </w:r>
          </w:p>
        </w:tc>
      </w:tr>
      <w:tr w:rsidR="00CD34AE" w:rsidRPr="006938EE" w:rsidTr="00DA23FC">
        <w:tc>
          <w:tcPr>
            <w:tcW w:w="6662" w:type="dxa"/>
            <w:gridSpan w:val="2"/>
          </w:tcPr>
          <w:p w:rsidR="00CD34AE" w:rsidRPr="006938EE" w:rsidRDefault="00CD34AE" w:rsidP="00453A95">
            <w:pPr>
              <w:widowControl w:val="0"/>
              <w:spacing w:before="0"/>
              <w:rPr>
                <w:b/>
                <w:bCs/>
                <w:smallCaps/>
                <w:szCs w:val="22"/>
              </w:rPr>
            </w:pPr>
          </w:p>
        </w:tc>
        <w:tc>
          <w:tcPr>
            <w:tcW w:w="3261" w:type="dxa"/>
          </w:tcPr>
          <w:p w:rsidR="00CD34AE" w:rsidRPr="006938EE" w:rsidRDefault="003E6E87" w:rsidP="00453A95">
            <w:pPr>
              <w:widowControl w:val="0"/>
              <w:spacing w:before="0"/>
              <w:rPr>
                <w:b/>
                <w:bCs/>
                <w:szCs w:val="22"/>
              </w:rPr>
            </w:pPr>
            <w:r w:rsidRPr="006938EE">
              <w:rPr>
                <w:rFonts w:cstheme="minorHAnsi"/>
                <w:b/>
                <w:bCs/>
                <w:szCs w:val="22"/>
              </w:rPr>
              <w:t>Оригинал:</w:t>
            </w:r>
            <w:bookmarkStart w:id="3" w:name="Original"/>
            <w:bookmarkEnd w:id="3"/>
            <w:r w:rsidR="00A73D91" w:rsidRPr="006938EE">
              <w:rPr>
                <w:rFonts w:cstheme="minorHAnsi"/>
                <w:b/>
                <w:bCs/>
                <w:szCs w:val="22"/>
              </w:rPr>
              <w:t xml:space="preserve"> </w:t>
            </w:r>
            <w:r w:rsidR="00DA23FC" w:rsidRPr="006938EE">
              <w:rPr>
                <w:rFonts w:cstheme="minorHAnsi"/>
                <w:b/>
                <w:bCs/>
                <w:szCs w:val="22"/>
              </w:rPr>
              <w:t>английский</w:t>
            </w:r>
          </w:p>
        </w:tc>
      </w:tr>
      <w:tr w:rsidR="00CD34AE" w:rsidRPr="006938EE" w:rsidTr="00DA23FC">
        <w:trPr>
          <w:trHeight w:val="850"/>
        </w:trPr>
        <w:tc>
          <w:tcPr>
            <w:tcW w:w="9923" w:type="dxa"/>
            <w:gridSpan w:val="3"/>
          </w:tcPr>
          <w:p w:rsidR="00CD34AE" w:rsidRPr="006938EE" w:rsidRDefault="00DA23FC" w:rsidP="00453A95">
            <w:pPr>
              <w:pStyle w:val="Source"/>
              <w:framePr w:hSpace="0" w:wrap="auto" w:vAnchor="margin" w:hAnchor="text" w:xAlign="left" w:yAlign="inline"/>
            </w:pPr>
            <w:bookmarkStart w:id="4" w:name="Source"/>
            <w:bookmarkEnd w:id="4"/>
            <w:r w:rsidRPr="006938EE">
              <w:t>Директор Бюро развития электросвязи</w:t>
            </w:r>
          </w:p>
        </w:tc>
      </w:tr>
      <w:tr w:rsidR="00CD34AE" w:rsidRPr="006938EE" w:rsidTr="000D3FE5">
        <w:tc>
          <w:tcPr>
            <w:tcW w:w="9923" w:type="dxa"/>
            <w:gridSpan w:val="3"/>
          </w:tcPr>
          <w:p w:rsidR="00CD34AE" w:rsidRPr="006938EE" w:rsidRDefault="00D71423" w:rsidP="00453A95">
            <w:pPr>
              <w:pStyle w:val="Title1"/>
              <w:framePr w:wrap="auto" w:xAlign="left"/>
              <w:rPr>
                <w:caps w:val="0"/>
              </w:rPr>
            </w:pPr>
            <w:bookmarkStart w:id="5" w:name="Title"/>
            <w:bookmarkEnd w:id="5"/>
            <w:r w:rsidRPr="006938EE">
              <w:t>партнерские отношения и мобилизация ресурсов в мсэ-D</w:t>
            </w:r>
          </w:p>
        </w:tc>
      </w:tr>
      <w:tr w:rsidR="00CD34AE" w:rsidRPr="006938EE" w:rsidTr="000D3FE5">
        <w:tc>
          <w:tcPr>
            <w:tcW w:w="9923" w:type="dxa"/>
            <w:gridSpan w:val="3"/>
          </w:tcPr>
          <w:p w:rsidR="00CD34AE" w:rsidRPr="006938EE" w:rsidRDefault="00CD34AE" w:rsidP="00453A95"/>
        </w:tc>
      </w:tr>
    </w:tbl>
    <w:p w:rsidR="00DA23FC" w:rsidRPr="006938EE" w:rsidRDefault="00DA23FC" w:rsidP="00453A95"/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9639"/>
      </w:tblGrid>
      <w:tr w:rsidR="00CD34AE" w:rsidRPr="006938EE" w:rsidTr="000D3FE5">
        <w:trPr>
          <w:trHeight w:val="70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AE" w:rsidRPr="006938EE" w:rsidRDefault="00CD34AE" w:rsidP="00453A95">
            <w:pPr>
              <w:pStyle w:val="Headingb"/>
            </w:pPr>
            <w:r w:rsidRPr="006938EE">
              <w:t>Резюме</w:t>
            </w:r>
          </w:p>
          <w:p w:rsidR="00B07E97" w:rsidRPr="006938EE" w:rsidRDefault="00F673B9" w:rsidP="00B06382">
            <w:r w:rsidRPr="006938EE">
              <w:t xml:space="preserve">На </w:t>
            </w:r>
            <w:proofErr w:type="spellStart"/>
            <w:r w:rsidRPr="006938EE">
              <w:t>ВКРЭ</w:t>
            </w:r>
            <w:proofErr w:type="spellEnd"/>
            <w:r w:rsidRPr="006938EE">
              <w:t xml:space="preserve">-14 </w:t>
            </w:r>
            <w:r w:rsidR="00B06382" w:rsidRPr="006938EE">
              <w:t xml:space="preserve">подчеркивалась </w:t>
            </w:r>
            <w:r w:rsidRPr="006938EE">
              <w:t>в</w:t>
            </w:r>
            <w:r w:rsidR="00D71423" w:rsidRPr="006938EE">
              <w:t xml:space="preserve">ажность партнерских отношений и мобилизации ресурсов. На этой основе </w:t>
            </w:r>
            <w:proofErr w:type="spellStart"/>
            <w:r w:rsidR="00D71423" w:rsidRPr="006938EE">
              <w:t>БРЭ</w:t>
            </w:r>
            <w:proofErr w:type="spellEnd"/>
            <w:r w:rsidR="00D71423" w:rsidRPr="006938EE">
              <w:t xml:space="preserve"> осуществляет различные виды деятельности, инициативы и проекты, направленные на укрепление партнерских отношений и мобилизацию ресурсов. В настоящем документе представлен обзор результатов деятельности в области партнерских отношений и мобилизации ресурсов </w:t>
            </w:r>
            <w:r w:rsidR="00C31374" w:rsidRPr="006938EE">
              <w:t xml:space="preserve">МСЭ-D </w:t>
            </w:r>
            <w:r w:rsidR="00D71423" w:rsidRPr="006938EE">
              <w:t>на региональном и глобальном уровнях.</w:t>
            </w:r>
          </w:p>
          <w:p w:rsidR="00CD34AE" w:rsidRPr="006938EE" w:rsidRDefault="00CD34AE" w:rsidP="00453A95">
            <w:pPr>
              <w:pStyle w:val="Headingb"/>
            </w:pPr>
            <w:r w:rsidRPr="006938EE">
              <w:t>Необходимые действия</w:t>
            </w:r>
          </w:p>
          <w:p w:rsidR="00CD34AE" w:rsidRPr="006938EE" w:rsidRDefault="00D71423" w:rsidP="00D71423">
            <w:proofErr w:type="spellStart"/>
            <w:r w:rsidRPr="006938EE">
              <w:t>КГРЭ</w:t>
            </w:r>
            <w:proofErr w:type="spellEnd"/>
            <w:r w:rsidRPr="006938EE">
              <w:t xml:space="preserve"> предлагается принять документ к сведению и обеспечить руководящие указания по мере необходимости.</w:t>
            </w:r>
          </w:p>
          <w:p w:rsidR="00CD34AE" w:rsidRPr="006938EE" w:rsidRDefault="00CD34AE" w:rsidP="00453A95">
            <w:pPr>
              <w:pStyle w:val="Headingb"/>
            </w:pPr>
            <w:r w:rsidRPr="006938EE">
              <w:t>Справочные материалы</w:t>
            </w:r>
          </w:p>
          <w:p w:rsidR="00CD34AE" w:rsidRPr="006938EE" w:rsidRDefault="00D71423" w:rsidP="00D71423">
            <w:pPr>
              <w:spacing w:after="120"/>
              <w:rPr>
                <w:b/>
                <w:bCs/>
              </w:rPr>
            </w:pPr>
            <w:proofErr w:type="spellStart"/>
            <w:r w:rsidRPr="006938EE">
              <w:t>Дубайская</w:t>
            </w:r>
            <w:proofErr w:type="spellEnd"/>
            <w:r w:rsidRPr="006938EE">
              <w:t xml:space="preserve"> декларация </w:t>
            </w:r>
            <w:proofErr w:type="spellStart"/>
            <w:r w:rsidRPr="006938EE">
              <w:t>ВКРЭ</w:t>
            </w:r>
            <w:proofErr w:type="spellEnd"/>
            <w:r w:rsidRPr="006938EE">
              <w:t xml:space="preserve">-14; Цель 4 </w:t>
            </w:r>
            <w:proofErr w:type="spellStart"/>
            <w:r w:rsidRPr="006938EE">
              <w:t>ВКРЭ</w:t>
            </w:r>
            <w:proofErr w:type="spellEnd"/>
            <w:r w:rsidRPr="006938EE">
              <w:t xml:space="preserve">-14; Намеченный результат деятельности 2.3 </w:t>
            </w:r>
            <w:proofErr w:type="spellStart"/>
            <w:r w:rsidRPr="006938EE">
              <w:t>ВКРЭ</w:t>
            </w:r>
            <w:proofErr w:type="spellEnd"/>
            <w:r w:rsidRPr="006938EE">
              <w:t xml:space="preserve"> 14; Резолюция 17 (</w:t>
            </w:r>
            <w:proofErr w:type="spellStart"/>
            <w:r w:rsidRPr="006938EE">
              <w:t>Пересм</w:t>
            </w:r>
            <w:proofErr w:type="spellEnd"/>
            <w:r w:rsidRPr="006938EE">
              <w:t xml:space="preserve">. Дубай, 2014 г.) </w:t>
            </w:r>
            <w:proofErr w:type="spellStart"/>
            <w:r w:rsidRPr="006938EE">
              <w:t>ВКРЭ</w:t>
            </w:r>
            <w:proofErr w:type="spellEnd"/>
            <w:r w:rsidRPr="006938EE">
              <w:t xml:space="preserve"> и Резолюция 71 (</w:t>
            </w:r>
            <w:proofErr w:type="spellStart"/>
            <w:r w:rsidRPr="006938EE">
              <w:t>Пересм</w:t>
            </w:r>
            <w:proofErr w:type="spellEnd"/>
            <w:r w:rsidRPr="006938EE">
              <w:t xml:space="preserve">. Дубай, 2014 г.) </w:t>
            </w:r>
            <w:proofErr w:type="spellStart"/>
            <w:r w:rsidRPr="006938EE">
              <w:t>ВКРЭ</w:t>
            </w:r>
            <w:proofErr w:type="spellEnd"/>
          </w:p>
        </w:tc>
      </w:tr>
    </w:tbl>
    <w:p w:rsidR="00D71423" w:rsidRPr="006938EE" w:rsidRDefault="00D71423" w:rsidP="00D71423">
      <w:pPr>
        <w:pStyle w:val="Heading1"/>
        <w:spacing w:before="240"/>
      </w:pPr>
      <w:r w:rsidRPr="006938EE">
        <w:t>1</w:t>
      </w:r>
      <w:r w:rsidRPr="006938EE">
        <w:tab/>
        <w:t>Базовая информация</w:t>
      </w:r>
    </w:p>
    <w:p w:rsidR="00D71423" w:rsidRPr="006938EE" w:rsidRDefault="002F0848" w:rsidP="00526147">
      <w:pPr>
        <w:rPr>
          <w:rFonts w:eastAsiaTheme="minorHAnsi"/>
          <w:b/>
          <w:bCs/>
        </w:rPr>
      </w:pPr>
      <w:r w:rsidRPr="006938EE">
        <w:t>У</w:t>
      </w:r>
      <w:r w:rsidR="00D71423" w:rsidRPr="006938EE">
        <w:t xml:space="preserve">крепление партнерских отношений и мобилизация внебюджетных ресурсов становятся для </w:t>
      </w:r>
      <w:proofErr w:type="spellStart"/>
      <w:r w:rsidR="00D71423" w:rsidRPr="006938EE">
        <w:t>БРЭ</w:t>
      </w:r>
      <w:proofErr w:type="spellEnd"/>
      <w:r w:rsidR="00D71423" w:rsidRPr="006938EE">
        <w:t xml:space="preserve"> все более важными, принимая во внимание его мандат</w:t>
      </w:r>
      <w:r w:rsidR="00C31374" w:rsidRPr="006938EE">
        <w:t>, в частности</w:t>
      </w:r>
      <w:r w:rsidR="00D71423" w:rsidRPr="006938EE">
        <w:t xml:space="preserve"> растущий объем и разнообразие его инициатив, включая региональные инициативы, </w:t>
      </w:r>
      <w:r w:rsidR="00C31374" w:rsidRPr="006938EE">
        <w:t xml:space="preserve">а также реализуемых </w:t>
      </w:r>
      <w:r w:rsidR="00D71423" w:rsidRPr="006938EE">
        <w:t xml:space="preserve">проектов и видов деятельности. Для этого </w:t>
      </w:r>
      <w:proofErr w:type="spellStart"/>
      <w:r w:rsidR="00D71423" w:rsidRPr="006938EE">
        <w:t>БРЭ</w:t>
      </w:r>
      <w:proofErr w:type="spellEnd"/>
      <w:r w:rsidR="00D71423" w:rsidRPr="006938EE">
        <w:t xml:space="preserve"> разрабатывает инструменты и стратегии</w:t>
      </w:r>
      <w:r w:rsidR="00C31374" w:rsidRPr="006938EE">
        <w:t>, направленные на укрепление</w:t>
      </w:r>
      <w:r w:rsidR="00D71423" w:rsidRPr="006938EE">
        <w:t xml:space="preserve"> партнерских отношений и мобилизаци</w:t>
      </w:r>
      <w:r w:rsidR="00C31374" w:rsidRPr="006938EE">
        <w:t>ю</w:t>
      </w:r>
      <w:r w:rsidR="00D71423" w:rsidRPr="006938EE">
        <w:t xml:space="preserve"> ресурсов в целях поддержки осуществления различных видов деятельности, инициатив и проектов на глобальном и региональном уровнях. </w:t>
      </w:r>
    </w:p>
    <w:p w:rsidR="00D71423" w:rsidRPr="006938EE" w:rsidRDefault="00D71423" w:rsidP="00D71423">
      <w:pPr>
        <w:pStyle w:val="Heading1"/>
        <w:spacing w:before="240"/>
      </w:pPr>
      <w:r w:rsidRPr="006938EE">
        <w:t>2</w:t>
      </w:r>
      <w:r w:rsidRPr="006938EE">
        <w:tab/>
        <w:t>Региональные действия и их результаты</w:t>
      </w:r>
    </w:p>
    <w:p w:rsidR="00D71423" w:rsidRPr="006938EE" w:rsidRDefault="00D71423" w:rsidP="00D71423">
      <w:pPr>
        <w:pStyle w:val="Heading2"/>
        <w:spacing w:before="120"/>
      </w:pPr>
      <w:r w:rsidRPr="006938EE">
        <w:t>2.1</w:t>
      </w:r>
      <w:r w:rsidRPr="006938EE">
        <w:tab/>
        <w:t>Африка</w:t>
      </w:r>
    </w:p>
    <w:p w:rsidR="005463C7" w:rsidRPr="006938EE" w:rsidRDefault="005B66E1" w:rsidP="00526147">
      <w:pPr>
        <w:rPr>
          <w:rFonts w:eastAsiaTheme="minorHAnsi"/>
        </w:rPr>
      </w:pPr>
      <w:bookmarkStart w:id="6" w:name="lt_pId026"/>
      <w:r w:rsidRPr="006938EE">
        <w:rPr>
          <w:rFonts w:eastAsiaTheme="minorHAnsi"/>
        </w:rPr>
        <w:t xml:space="preserve">Обзор уровня обеспечения </w:t>
      </w:r>
      <w:proofErr w:type="spellStart"/>
      <w:r w:rsidRPr="006938EE">
        <w:rPr>
          <w:rFonts w:eastAsiaTheme="minorHAnsi"/>
        </w:rPr>
        <w:t>кибербезопасности</w:t>
      </w:r>
      <w:proofErr w:type="spellEnd"/>
      <w:r w:rsidRPr="006938EE">
        <w:rPr>
          <w:rFonts w:eastAsiaTheme="minorHAnsi"/>
        </w:rPr>
        <w:t xml:space="preserve"> был осуществлен для Сьерра-Леоне и Мадагаскара в партнерстве с </w:t>
      </w:r>
      <w:r w:rsidRPr="006938EE">
        <w:rPr>
          <w:color w:val="000000"/>
        </w:rPr>
        <w:t xml:space="preserve">Всемирным центром развития потенциала в области </w:t>
      </w:r>
      <w:proofErr w:type="spellStart"/>
      <w:r w:rsidRPr="006938EE">
        <w:rPr>
          <w:color w:val="000000"/>
        </w:rPr>
        <w:t>кибербезопасности</w:t>
      </w:r>
      <w:proofErr w:type="spellEnd"/>
      <w:r w:rsidRPr="006938EE">
        <w:rPr>
          <w:color w:val="000000"/>
        </w:rPr>
        <w:t xml:space="preserve"> Оксфордского университета</w:t>
      </w:r>
      <w:r w:rsidR="005463C7" w:rsidRPr="006938EE">
        <w:rPr>
          <w:rFonts w:eastAsiaTheme="minorHAnsi"/>
        </w:rPr>
        <w:t>.</w:t>
      </w:r>
      <w:bookmarkEnd w:id="6"/>
    </w:p>
    <w:p w:rsidR="005463C7" w:rsidRPr="006938EE" w:rsidRDefault="005B66E1" w:rsidP="00526147">
      <w:pPr>
        <w:rPr>
          <w:rFonts w:eastAsiaTheme="minorHAnsi"/>
        </w:rPr>
      </w:pPr>
      <w:bookmarkStart w:id="7" w:name="lt_pId027"/>
      <w:r w:rsidRPr="006938EE">
        <w:rPr>
          <w:rFonts w:eastAsiaTheme="minorHAnsi"/>
        </w:rPr>
        <w:t>Что касается широкополосной связи, то была выполнена следующая работа</w:t>
      </w:r>
      <w:r w:rsidR="005463C7" w:rsidRPr="006938EE">
        <w:rPr>
          <w:rFonts w:eastAsiaTheme="minorHAnsi"/>
        </w:rPr>
        <w:t xml:space="preserve">: a) </w:t>
      </w:r>
      <w:r w:rsidRPr="006938EE">
        <w:rPr>
          <w:rFonts w:eastAsiaTheme="minorHAnsi"/>
        </w:rPr>
        <w:t>Бурунди</w:t>
      </w:r>
      <w:r w:rsidR="005463C7" w:rsidRPr="006938EE">
        <w:rPr>
          <w:rFonts w:eastAsiaTheme="minorHAnsi"/>
        </w:rPr>
        <w:t xml:space="preserve">: </w:t>
      </w:r>
      <w:r w:rsidRPr="006938EE">
        <w:rPr>
          <w:rFonts w:eastAsiaTheme="minorHAnsi"/>
        </w:rPr>
        <w:t xml:space="preserve">разработана стратегия обеспечения широкополосной связи и расширяется партнерство с МСЭ </w:t>
      </w:r>
      <w:r w:rsidR="00C31374" w:rsidRPr="006938EE">
        <w:rPr>
          <w:rFonts w:eastAsiaTheme="minorHAnsi"/>
        </w:rPr>
        <w:t>с целью</w:t>
      </w:r>
      <w:r w:rsidRPr="006938EE">
        <w:rPr>
          <w:rFonts w:eastAsiaTheme="minorHAnsi"/>
        </w:rPr>
        <w:t xml:space="preserve"> проведения институциональной реформы для формирования основ новой цифровой экономики</w:t>
      </w:r>
      <w:r w:rsidR="005463C7" w:rsidRPr="006938EE">
        <w:rPr>
          <w:rFonts w:eastAsiaTheme="minorHAnsi"/>
        </w:rPr>
        <w:t xml:space="preserve">; b) </w:t>
      </w:r>
      <w:r w:rsidRPr="006938EE">
        <w:rPr>
          <w:rFonts w:eastAsiaTheme="minorHAnsi"/>
        </w:rPr>
        <w:t>Мадагаскар</w:t>
      </w:r>
      <w:r w:rsidR="005463C7" w:rsidRPr="006938EE">
        <w:rPr>
          <w:rFonts w:eastAsiaTheme="minorHAnsi"/>
        </w:rPr>
        <w:t xml:space="preserve">: </w:t>
      </w:r>
      <w:r w:rsidRPr="006938EE">
        <w:rPr>
          <w:rFonts w:eastAsiaTheme="minorHAnsi"/>
        </w:rPr>
        <w:lastRenderedPageBreak/>
        <w:t>прилагаются усилия для мобилизации ресурсов с целью реализации проекта обеспечения беспроводной широкополосной связи</w:t>
      </w:r>
      <w:r w:rsidR="005463C7" w:rsidRPr="006938EE">
        <w:rPr>
          <w:rFonts w:eastAsiaTheme="minorHAnsi"/>
        </w:rPr>
        <w:t xml:space="preserve">; c) </w:t>
      </w:r>
      <w:r w:rsidRPr="006938EE">
        <w:rPr>
          <w:rFonts w:eastAsiaTheme="minorHAnsi"/>
        </w:rPr>
        <w:t>Буркина-Фасо</w:t>
      </w:r>
      <w:r w:rsidR="005463C7" w:rsidRPr="006938EE">
        <w:rPr>
          <w:rFonts w:eastAsiaTheme="minorHAnsi"/>
        </w:rPr>
        <w:t xml:space="preserve">: </w:t>
      </w:r>
      <w:r w:rsidR="009E6019" w:rsidRPr="006938EE">
        <w:rPr>
          <w:rFonts w:eastAsiaTheme="minorHAnsi"/>
        </w:rPr>
        <w:t xml:space="preserve">в 2017 году должен быть осуществлен </w:t>
      </w:r>
      <w:r w:rsidRPr="006938EE">
        <w:rPr>
          <w:rFonts w:eastAsiaTheme="minorHAnsi"/>
        </w:rPr>
        <w:t>проект широкополосной беспроводной сети</w:t>
      </w:r>
      <w:r w:rsidR="009E6019" w:rsidRPr="006938EE">
        <w:rPr>
          <w:rFonts w:eastAsiaTheme="minorHAnsi"/>
        </w:rPr>
        <w:t xml:space="preserve">, </w:t>
      </w:r>
      <w:r w:rsidRPr="006938EE">
        <w:rPr>
          <w:rFonts w:eastAsiaTheme="minorHAnsi"/>
        </w:rPr>
        <w:t>охватыва</w:t>
      </w:r>
      <w:r w:rsidR="009E6019" w:rsidRPr="006938EE">
        <w:rPr>
          <w:rFonts w:eastAsiaTheme="minorHAnsi"/>
        </w:rPr>
        <w:t>ющий</w:t>
      </w:r>
      <w:r w:rsidR="005463C7" w:rsidRPr="006938EE">
        <w:rPr>
          <w:rFonts w:eastAsiaTheme="minorHAnsi"/>
        </w:rPr>
        <w:t xml:space="preserve"> 10 </w:t>
      </w:r>
      <w:r w:rsidRPr="006938EE">
        <w:rPr>
          <w:rFonts w:eastAsiaTheme="minorHAnsi"/>
        </w:rPr>
        <w:t>мест с целью обеспечения возможности для установления соединений в школах, больницах</w:t>
      </w:r>
      <w:r w:rsidR="009E6019" w:rsidRPr="006938EE">
        <w:rPr>
          <w:rFonts w:eastAsiaTheme="minorHAnsi"/>
        </w:rPr>
        <w:t xml:space="preserve"> и в общественных административных зданиях за счет развертывания местных сете</w:t>
      </w:r>
      <w:r w:rsidR="00B75258" w:rsidRPr="006938EE">
        <w:rPr>
          <w:rFonts w:eastAsiaTheme="minorHAnsi"/>
        </w:rPr>
        <w:t>й</w:t>
      </w:r>
      <w:r w:rsidR="005463C7" w:rsidRPr="006938EE">
        <w:rPr>
          <w:rFonts w:eastAsiaTheme="minorHAnsi"/>
        </w:rPr>
        <w:t xml:space="preserve">; </w:t>
      </w:r>
      <w:r w:rsidR="009E6019" w:rsidRPr="006938EE">
        <w:rPr>
          <w:rFonts w:eastAsiaTheme="minorHAnsi"/>
        </w:rPr>
        <w:t>и</w:t>
      </w:r>
      <w:r w:rsidR="005463C7" w:rsidRPr="006938EE">
        <w:rPr>
          <w:rFonts w:eastAsiaTheme="minorHAnsi"/>
        </w:rPr>
        <w:t xml:space="preserve"> d) </w:t>
      </w:r>
      <w:r w:rsidR="009E6019" w:rsidRPr="006938EE">
        <w:rPr>
          <w:rFonts w:eastAsiaTheme="minorHAnsi"/>
        </w:rPr>
        <w:t>Мали</w:t>
      </w:r>
      <w:r w:rsidR="005463C7" w:rsidRPr="006938EE">
        <w:rPr>
          <w:rFonts w:eastAsiaTheme="minorHAnsi"/>
        </w:rPr>
        <w:t xml:space="preserve">: </w:t>
      </w:r>
      <w:r w:rsidR="009E6019" w:rsidRPr="006938EE">
        <w:rPr>
          <w:rFonts w:eastAsiaTheme="minorHAnsi"/>
        </w:rPr>
        <w:t>осуществляется подготовка к реализации аналогичного проекта</w:t>
      </w:r>
      <w:r w:rsidR="005463C7" w:rsidRPr="006938EE">
        <w:rPr>
          <w:rFonts w:eastAsiaTheme="minorHAnsi"/>
        </w:rPr>
        <w:t>.</w:t>
      </w:r>
      <w:bookmarkEnd w:id="7"/>
    </w:p>
    <w:p w:rsidR="005463C7" w:rsidRPr="006938EE" w:rsidRDefault="002F0848" w:rsidP="00526147">
      <w:pPr>
        <w:rPr>
          <w:rFonts w:eastAsiaTheme="minorHAnsi"/>
        </w:rPr>
      </w:pPr>
      <w:bookmarkStart w:id="8" w:name="lt_pId028"/>
      <w:r w:rsidRPr="006938EE">
        <w:rPr>
          <w:rFonts w:eastAsiaTheme="minorHAnsi"/>
        </w:rPr>
        <w:t>Испытательные стенды</w:t>
      </w:r>
      <w:r w:rsidR="006760A9" w:rsidRPr="006938EE">
        <w:rPr>
          <w:rFonts w:eastAsiaTheme="minorHAnsi"/>
        </w:rPr>
        <w:t xml:space="preserve"> </w:t>
      </w:r>
      <w:proofErr w:type="spellStart"/>
      <w:r w:rsidR="005463C7" w:rsidRPr="006938EE">
        <w:rPr>
          <w:rFonts w:eastAsiaTheme="minorHAnsi"/>
        </w:rPr>
        <w:t>IPv6</w:t>
      </w:r>
      <w:proofErr w:type="spellEnd"/>
      <w:r w:rsidR="006760A9" w:rsidRPr="006938EE">
        <w:rPr>
          <w:rFonts w:eastAsiaTheme="minorHAnsi"/>
        </w:rPr>
        <w:t xml:space="preserve"> развертываются в различных странах</w:t>
      </w:r>
      <w:r w:rsidR="005463C7" w:rsidRPr="006938EE">
        <w:rPr>
          <w:rFonts w:eastAsiaTheme="minorHAnsi"/>
        </w:rPr>
        <w:t xml:space="preserve"> (</w:t>
      </w:r>
      <w:r w:rsidR="006760A9" w:rsidRPr="006938EE">
        <w:rPr>
          <w:rFonts w:eastAsiaTheme="minorHAnsi"/>
        </w:rPr>
        <w:t>Уганда, Зимбабве и Камерун</w:t>
      </w:r>
      <w:r w:rsidR="005463C7" w:rsidRPr="006938EE">
        <w:rPr>
          <w:rFonts w:eastAsiaTheme="minorHAnsi"/>
        </w:rPr>
        <w:t>).</w:t>
      </w:r>
      <w:bookmarkEnd w:id="8"/>
      <w:r w:rsidR="005463C7" w:rsidRPr="006938EE">
        <w:rPr>
          <w:rFonts w:eastAsiaTheme="minorHAnsi"/>
        </w:rPr>
        <w:t xml:space="preserve"> </w:t>
      </w:r>
      <w:bookmarkStart w:id="9" w:name="lt_pId029"/>
      <w:r w:rsidR="006760A9" w:rsidRPr="006938EE">
        <w:rPr>
          <w:rFonts w:eastAsiaTheme="minorHAnsi"/>
        </w:rPr>
        <w:t xml:space="preserve">Треть финансирования этих </w:t>
      </w:r>
      <w:r w:rsidRPr="006938EE">
        <w:rPr>
          <w:rFonts w:eastAsiaTheme="minorHAnsi"/>
        </w:rPr>
        <w:t>испытательных стендов</w:t>
      </w:r>
      <w:r w:rsidR="006760A9" w:rsidRPr="006938EE">
        <w:rPr>
          <w:rFonts w:eastAsiaTheme="minorHAnsi"/>
        </w:rPr>
        <w:t xml:space="preserve"> обеспечивается за счет МСЭ, а две трети – за счет стран, получающих помощь</w:t>
      </w:r>
      <w:r w:rsidR="005463C7" w:rsidRPr="006938EE">
        <w:rPr>
          <w:rFonts w:eastAsiaTheme="minorHAnsi"/>
        </w:rPr>
        <w:t>.</w:t>
      </w:r>
      <w:bookmarkEnd w:id="9"/>
    </w:p>
    <w:p w:rsidR="005463C7" w:rsidRPr="006938EE" w:rsidRDefault="006760A9" w:rsidP="00526147">
      <w:bookmarkStart w:id="10" w:name="lt_pId030"/>
      <w:r w:rsidRPr="006938EE">
        <w:rPr>
          <w:rFonts w:eastAsiaTheme="minorHAnsi"/>
        </w:rPr>
        <w:t>Сьерра-Леоне была оказана помощь в виде создания человеческого потенциала, в частности в рамках семинара-практикума, организованного в партнерстве с Национальной комиссией электросвязи (</w:t>
      </w:r>
      <w:proofErr w:type="spellStart"/>
      <w:r w:rsidR="005463C7" w:rsidRPr="006938EE">
        <w:rPr>
          <w:rFonts w:eastAsiaTheme="minorHAnsi"/>
        </w:rPr>
        <w:t>NATCOM</w:t>
      </w:r>
      <w:proofErr w:type="spellEnd"/>
      <w:r w:rsidRPr="006938EE">
        <w:rPr>
          <w:rFonts w:eastAsiaTheme="minorHAnsi"/>
        </w:rPr>
        <w:t>)</w:t>
      </w:r>
      <w:r w:rsidR="005463C7" w:rsidRPr="006938EE">
        <w:rPr>
          <w:rFonts w:eastAsiaTheme="minorHAnsi"/>
        </w:rPr>
        <w:t>.</w:t>
      </w:r>
      <w:bookmarkEnd w:id="10"/>
      <w:r w:rsidR="005463C7" w:rsidRPr="006938EE">
        <w:rPr>
          <w:rFonts w:eastAsiaTheme="minorHAnsi"/>
        </w:rPr>
        <w:t xml:space="preserve"> </w:t>
      </w:r>
      <w:bookmarkStart w:id="11" w:name="lt_pId031"/>
      <w:r w:rsidRPr="006938EE">
        <w:rPr>
          <w:rFonts w:eastAsiaTheme="minorHAnsi"/>
        </w:rPr>
        <w:t>Он был посвящен</w:t>
      </w:r>
      <w:r w:rsidR="005463C7" w:rsidRPr="006938EE">
        <w:rPr>
          <w:rFonts w:eastAsiaTheme="minorHAnsi"/>
        </w:rPr>
        <w:t xml:space="preserve"> </w:t>
      </w:r>
      <w:r w:rsidR="00437CE7" w:rsidRPr="006938EE">
        <w:rPr>
          <w:rFonts w:eastAsiaTheme="minorHAnsi"/>
        </w:rPr>
        <w:t>вопросам эффективности работы операторов, конкуренции и рынков, ценообразования</w:t>
      </w:r>
      <w:r w:rsidR="005463C7" w:rsidRPr="006938EE">
        <w:t xml:space="preserve"> </w:t>
      </w:r>
      <w:r w:rsidR="00EA1785" w:rsidRPr="006938EE">
        <w:t xml:space="preserve">и </w:t>
      </w:r>
      <w:r w:rsidR="00193A22" w:rsidRPr="006938EE">
        <w:t>определе</w:t>
      </w:r>
      <w:r w:rsidR="002F0848" w:rsidRPr="006938EE">
        <w:t>ния</w:t>
      </w:r>
      <w:r w:rsidR="00EA1785" w:rsidRPr="006938EE">
        <w:t xml:space="preserve"> затрат</w:t>
      </w:r>
      <w:r w:rsidR="005463C7" w:rsidRPr="006938EE">
        <w:t xml:space="preserve">, </w:t>
      </w:r>
      <w:r w:rsidR="00EA1785" w:rsidRPr="006938EE">
        <w:t>управления использованием спектра и законодательства в области электросвязи</w:t>
      </w:r>
      <w:r w:rsidR="005463C7" w:rsidRPr="006938EE">
        <w:t>.</w:t>
      </w:r>
      <w:bookmarkEnd w:id="11"/>
      <w:r w:rsidR="005463C7" w:rsidRPr="006938EE">
        <w:t xml:space="preserve"> </w:t>
      </w:r>
    </w:p>
    <w:p w:rsidR="005463C7" w:rsidRPr="006938EE" w:rsidRDefault="00EA1785" w:rsidP="00526147">
      <w:pPr>
        <w:rPr>
          <w:rFonts w:eastAsiaTheme="minorHAnsi"/>
        </w:rPr>
      </w:pPr>
      <w:bookmarkStart w:id="12" w:name="lt_pId032"/>
      <w:r w:rsidRPr="006938EE">
        <w:rPr>
          <w:rFonts w:eastAsiaTheme="minorHAnsi"/>
        </w:rPr>
        <w:t xml:space="preserve">В настоящее время выполняются некоторые проекты, касающиеся сектора здравоохранения, </w:t>
      </w:r>
      <w:r w:rsidR="00FD5ECB" w:rsidRPr="006938EE">
        <w:rPr>
          <w:rFonts w:eastAsiaTheme="minorHAnsi"/>
        </w:rPr>
        <w:t>такие </w:t>
      </w:r>
      <w:r w:rsidRPr="006938EE">
        <w:rPr>
          <w:rFonts w:eastAsiaTheme="minorHAnsi"/>
        </w:rPr>
        <w:t>как</w:t>
      </w:r>
      <w:r w:rsidR="005463C7" w:rsidRPr="006938EE">
        <w:rPr>
          <w:rFonts w:eastAsiaTheme="minorHAnsi"/>
        </w:rPr>
        <w:t>:</w:t>
      </w:r>
      <w:bookmarkEnd w:id="12"/>
    </w:p>
    <w:p w:rsidR="005463C7" w:rsidRPr="006938EE" w:rsidRDefault="005463C7" w:rsidP="00526147">
      <w:pPr>
        <w:pStyle w:val="enumlev1"/>
      </w:pPr>
      <w:bookmarkStart w:id="13" w:name="lt_pId033"/>
      <w:r w:rsidRPr="006938EE">
        <w:rPr>
          <w:rFonts w:eastAsiaTheme="minorHAnsi"/>
        </w:rPr>
        <w:t>•</w:t>
      </w:r>
      <w:r w:rsidRPr="006938EE">
        <w:rPr>
          <w:rFonts w:eastAsiaTheme="minorHAnsi"/>
        </w:rPr>
        <w:tab/>
      </w:r>
      <w:r w:rsidR="00525B7E" w:rsidRPr="006938EE">
        <w:rPr>
          <w:rFonts w:eastAsiaTheme="minorHAnsi"/>
        </w:rPr>
        <w:t xml:space="preserve">проект </w:t>
      </w:r>
      <w:r w:rsidR="00933ED3" w:rsidRPr="006938EE">
        <w:rPr>
          <w:rFonts w:eastAsiaTheme="minorHAnsi"/>
        </w:rPr>
        <w:t>"Лечение диабета с помощью мобильных средств (</w:t>
      </w:r>
      <w:proofErr w:type="spellStart"/>
      <w:r w:rsidRPr="006938EE">
        <w:rPr>
          <w:rFonts w:eastAsiaTheme="minorHAnsi"/>
        </w:rPr>
        <w:t>mDiabetes</w:t>
      </w:r>
      <w:proofErr w:type="spellEnd"/>
      <w:r w:rsidR="00933ED3" w:rsidRPr="006938EE">
        <w:rPr>
          <w:rFonts w:eastAsiaTheme="minorHAnsi"/>
        </w:rPr>
        <w:t>)</w:t>
      </w:r>
      <w:r w:rsidR="003C07CE" w:rsidRPr="006938EE">
        <w:rPr>
          <w:rFonts w:eastAsiaTheme="minorHAnsi"/>
        </w:rPr>
        <w:t>"</w:t>
      </w:r>
      <w:r w:rsidRPr="006938EE">
        <w:rPr>
          <w:rStyle w:val="FootnoteReference"/>
          <w:rFonts w:eastAsiaTheme="minorHAnsi"/>
        </w:rPr>
        <w:footnoteReference w:id="1"/>
      </w:r>
      <w:r w:rsidRPr="006938EE">
        <w:rPr>
          <w:rFonts w:eastAsiaTheme="minorHAnsi"/>
        </w:rPr>
        <w:t xml:space="preserve"> </w:t>
      </w:r>
      <w:r w:rsidR="00525B7E" w:rsidRPr="006938EE">
        <w:rPr>
          <w:rFonts w:eastAsiaTheme="minorHAnsi"/>
        </w:rPr>
        <w:t>осуществляется в Сенегале в партнерстве с Министерством здравоохранения</w:t>
      </w:r>
      <w:r w:rsidRPr="006938EE">
        <w:rPr>
          <w:rFonts w:eastAsiaTheme="minorHAnsi"/>
        </w:rPr>
        <w:t xml:space="preserve">, </w:t>
      </w:r>
      <w:r w:rsidR="00525B7E" w:rsidRPr="006938EE">
        <w:rPr>
          <w:rFonts w:eastAsiaTheme="minorHAnsi"/>
        </w:rPr>
        <w:t>Национальной ассоциацией диабета (</w:t>
      </w:r>
      <w:proofErr w:type="spellStart"/>
      <w:r w:rsidRPr="006938EE">
        <w:rPr>
          <w:rFonts w:eastAsiaTheme="minorHAnsi"/>
        </w:rPr>
        <w:t>ASSAD</w:t>
      </w:r>
      <w:proofErr w:type="spellEnd"/>
      <w:r w:rsidRPr="006938EE">
        <w:rPr>
          <w:rFonts w:eastAsiaTheme="minorHAnsi"/>
        </w:rPr>
        <w:t xml:space="preserve">), </w:t>
      </w:r>
      <w:r w:rsidR="00525B7E" w:rsidRPr="006938EE">
        <w:rPr>
          <w:rFonts w:eastAsiaTheme="minorHAnsi"/>
        </w:rPr>
        <w:t>компаниями Нокиа</w:t>
      </w:r>
      <w:r w:rsidRPr="006938EE">
        <w:rPr>
          <w:rFonts w:eastAsiaTheme="minorHAnsi"/>
        </w:rPr>
        <w:t xml:space="preserve">, </w:t>
      </w:r>
      <w:proofErr w:type="spellStart"/>
      <w:r w:rsidRPr="006938EE">
        <w:rPr>
          <w:rFonts w:eastAsiaTheme="minorHAnsi"/>
        </w:rPr>
        <w:t>MNC</w:t>
      </w:r>
      <w:proofErr w:type="spellEnd"/>
      <w:r w:rsidRPr="006938EE">
        <w:rPr>
          <w:rFonts w:eastAsiaTheme="minorHAnsi"/>
        </w:rPr>
        <w:t xml:space="preserve"> </w:t>
      </w:r>
      <w:proofErr w:type="spellStart"/>
      <w:r w:rsidRPr="006938EE">
        <w:rPr>
          <w:rFonts w:eastAsiaTheme="minorHAnsi"/>
        </w:rPr>
        <w:t>Orange</w:t>
      </w:r>
      <w:proofErr w:type="spellEnd"/>
      <w:r w:rsidRPr="006938EE">
        <w:rPr>
          <w:rFonts w:eastAsiaTheme="minorHAnsi"/>
        </w:rPr>
        <w:t xml:space="preserve">, </w:t>
      </w:r>
      <w:proofErr w:type="spellStart"/>
      <w:r w:rsidRPr="006938EE">
        <w:rPr>
          <w:rFonts w:eastAsiaTheme="minorHAnsi"/>
        </w:rPr>
        <w:t>SONATEL</w:t>
      </w:r>
      <w:proofErr w:type="spellEnd"/>
      <w:r w:rsidRPr="006938EE">
        <w:rPr>
          <w:rFonts w:eastAsiaTheme="minorHAnsi"/>
        </w:rPr>
        <w:t xml:space="preserve">, </w:t>
      </w:r>
      <w:proofErr w:type="spellStart"/>
      <w:r w:rsidRPr="006938EE">
        <w:rPr>
          <w:rFonts w:eastAsiaTheme="minorHAnsi"/>
        </w:rPr>
        <w:t>Expresso</w:t>
      </w:r>
      <w:proofErr w:type="spellEnd"/>
      <w:r w:rsidRPr="006938EE">
        <w:rPr>
          <w:rFonts w:eastAsiaTheme="minorHAnsi"/>
        </w:rPr>
        <w:t xml:space="preserve"> </w:t>
      </w:r>
      <w:r w:rsidR="00525B7E" w:rsidRPr="006938EE">
        <w:rPr>
          <w:rFonts w:eastAsiaTheme="minorHAnsi"/>
        </w:rPr>
        <w:t>и</w:t>
      </w:r>
      <w:r w:rsidRPr="006938EE">
        <w:rPr>
          <w:rFonts w:eastAsiaTheme="minorHAnsi"/>
        </w:rPr>
        <w:t xml:space="preserve"> </w:t>
      </w:r>
      <w:proofErr w:type="spellStart"/>
      <w:r w:rsidRPr="006938EE">
        <w:rPr>
          <w:rFonts w:eastAsiaTheme="minorHAnsi"/>
        </w:rPr>
        <w:t>Tigo</w:t>
      </w:r>
      <w:proofErr w:type="spellEnd"/>
      <w:r w:rsidRPr="006938EE">
        <w:rPr>
          <w:rFonts w:eastAsiaTheme="minorHAnsi"/>
        </w:rPr>
        <w:t xml:space="preserve"> (</w:t>
      </w:r>
      <w:r w:rsidR="00525B7E" w:rsidRPr="006938EE">
        <w:rPr>
          <w:rFonts w:eastAsiaTheme="minorHAnsi"/>
        </w:rPr>
        <w:t>в рамках инициативы МСЭ-ВОЗ "Будь здоровым, будь мобильным</w:t>
      </w:r>
      <w:r w:rsidR="006C07C5" w:rsidRPr="006938EE">
        <w:rPr>
          <w:rFonts w:eastAsiaTheme="minorHAnsi"/>
        </w:rPr>
        <w:t>"</w:t>
      </w:r>
      <w:r w:rsidRPr="006938EE">
        <w:rPr>
          <w:rFonts w:eastAsiaTheme="minorHAnsi"/>
        </w:rPr>
        <w:t>).</w:t>
      </w:r>
      <w:bookmarkEnd w:id="13"/>
      <w:r w:rsidRPr="006938EE">
        <w:t xml:space="preserve"> </w:t>
      </w:r>
      <w:bookmarkStart w:id="14" w:name="lt_pId034"/>
      <w:r w:rsidR="00525B7E" w:rsidRPr="006938EE">
        <w:t xml:space="preserve">До настоящего времени в рамках этого проекта </w:t>
      </w:r>
      <w:proofErr w:type="spellStart"/>
      <w:r w:rsidR="00525B7E" w:rsidRPr="006938EE">
        <w:t>mDiabetes</w:t>
      </w:r>
      <w:proofErr w:type="spellEnd"/>
      <w:r w:rsidR="00525B7E" w:rsidRPr="006938EE">
        <w:t xml:space="preserve"> зарегистрировано примерно</w:t>
      </w:r>
      <w:r w:rsidRPr="006938EE">
        <w:t xml:space="preserve"> 55 000 </w:t>
      </w:r>
      <w:r w:rsidR="00525B7E" w:rsidRPr="006938EE">
        <w:t>человек</w:t>
      </w:r>
      <w:r w:rsidRPr="006938EE">
        <w:t>.</w:t>
      </w:r>
      <w:bookmarkEnd w:id="14"/>
      <w:r w:rsidRPr="006938EE">
        <w:t xml:space="preserve"> </w:t>
      </w:r>
      <w:bookmarkStart w:id="15" w:name="lt_pId035"/>
      <w:r w:rsidR="00CB1FBA" w:rsidRPr="006938EE">
        <w:t>Сейчас</w:t>
      </w:r>
      <w:r w:rsidR="00525B7E" w:rsidRPr="006938EE">
        <w:t xml:space="preserve"> проектная группа проводит работу с целью включения во вторую фазу этого проекта компонента</w:t>
      </w:r>
      <w:r w:rsidRPr="006938EE">
        <w:t xml:space="preserve"> </w:t>
      </w:r>
      <w:proofErr w:type="spellStart"/>
      <w:r w:rsidRPr="006938EE">
        <w:t>mHTA</w:t>
      </w:r>
      <w:proofErr w:type="spellEnd"/>
      <w:r w:rsidRPr="006938EE">
        <w:t xml:space="preserve"> (</w:t>
      </w:r>
      <w:r w:rsidR="00525B7E" w:rsidRPr="006938EE">
        <w:t>высокое артериальное давление</w:t>
      </w:r>
      <w:r w:rsidRPr="006938EE">
        <w:t xml:space="preserve">), </w:t>
      </w:r>
      <w:r w:rsidR="00525B7E" w:rsidRPr="006938EE">
        <w:t>поскольку существует тесная связь между диабетом и высоким артериальным давлением</w:t>
      </w:r>
      <w:bookmarkEnd w:id="15"/>
      <w:r w:rsidR="00933ED3" w:rsidRPr="006938EE">
        <w:t>;</w:t>
      </w:r>
      <w:r w:rsidRPr="006938EE">
        <w:t xml:space="preserve"> </w:t>
      </w:r>
    </w:p>
    <w:p w:rsidR="005463C7" w:rsidRPr="006938EE" w:rsidRDefault="005463C7" w:rsidP="00FD5ECB">
      <w:pPr>
        <w:pStyle w:val="enumlev1"/>
      </w:pPr>
      <w:bookmarkStart w:id="16" w:name="lt_pId036"/>
      <w:r w:rsidRPr="006938EE">
        <w:rPr>
          <w:rFonts w:eastAsiaTheme="minorHAnsi"/>
        </w:rPr>
        <w:t>•</w:t>
      </w:r>
      <w:r w:rsidRPr="006938EE">
        <w:rPr>
          <w:rFonts w:eastAsiaTheme="minorHAnsi"/>
        </w:rPr>
        <w:tab/>
      </w:r>
      <w:r w:rsidR="00933ED3" w:rsidRPr="006938EE">
        <w:rPr>
          <w:rFonts w:eastAsiaTheme="minorHAnsi"/>
        </w:rPr>
        <w:t>в Замбии осуществляется проект "Лечение рака шейки матки с помощью мобильных средств</w:t>
      </w:r>
      <w:r w:rsidR="003C07CE" w:rsidRPr="006938EE">
        <w:rPr>
          <w:rFonts w:eastAsiaTheme="minorHAnsi"/>
        </w:rPr>
        <w:t>"</w:t>
      </w:r>
      <w:r w:rsidR="00933ED3" w:rsidRPr="006938EE">
        <w:rPr>
          <w:rFonts w:eastAsiaTheme="minorHAnsi"/>
        </w:rPr>
        <w:t xml:space="preserve"> (</w:t>
      </w:r>
      <w:proofErr w:type="spellStart"/>
      <w:r w:rsidR="00933ED3" w:rsidRPr="006938EE">
        <w:rPr>
          <w:rFonts w:eastAsiaTheme="minorHAnsi"/>
        </w:rPr>
        <w:t>m</w:t>
      </w:r>
      <w:r w:rsidRPr="006938EE">
        <w:rPr>
          <w:rFonts w:eastAsiaTheme="minorHAnsi"/>
        </w:rPr>
        <w:t>Cervical</w:t>
      </w:r>
      <w:proofErr w:type="spellEnd"/>
      <w:r w:rsidRPr="006938EE">
        <w:rPr>
          <w:rFonts w:eastAsiaTheme="minorHAnsi"/>
        </w:rPr>
        <w:t xml:space="preserve"> </w:t>
      </w:r>
      <w:proofErr w:type="spellStart"/>
      <w:r w:rsidRPr="006938EE">
        <w:rPr>
          <w:rFonts w:eastAsiaTheme="minorHAnsi"/>
        </w:rPr>
        <w:t>Cancer</w:t>
      </w:r>
      <w:proofErr w:type="spellEnd"/>
      <w:r w:rsidR="00933ED3" w:rsidRPr="006938EE">
        <w:rPr>
          <w:rFonts w:eastAsiaTheme="minorHAnsi"/>
        </w:rPr>
        <w:t>)</w:t>
      </w:r>
      <w:r w:rsidRPr="006938EE">
        <w:rPr>
          <w:rFonts w:eastAsiaTheme="minorHAnsi"/>
        </w:rPr>
        <w:t xml:space="preserve"> (</w:t>
      </w:r>
      <w:r w:rsidR="00933ED3" w:rsidRPr="006938EE">
        <w:rPr>
          <w:rFonts w:eastAsiaTheme="minorHAnsi"/>
        </w:rPr>
        <w:t>запущенный в октябре</w:t>
      </w:r>
      <w:r w:rsidRPr="006938EE">
        <w:rPr>
          <w:rFonts w:eastAsiaTheme="minorHAnsi"/>
        </w:rPr>
        <w:t xml:space="preserve"> 2016</w:t>
      </w:r>
      <w:r w:rsidR="00933ED3" w:rsidRPr="006938EE">
        <w:rPr>
          <w:rFonts w:eastAsiaTheme="minorHAnsi"/>
        </w:rPr>
        <w:t xml:space="preserve"> г</w:t>
      </w:r>
      <w:r w:rsidR="00FD5ECB" w:rsidRPr="006938EE">
        <w:rPr>
          <w:rFonts w:eastAsiaTheme="minorHAnsi"/>
        </w:rPr>
        <w:t>.</w:t>
      </w:r>
      <w:r w:rsidRPr="006938EE">
        <w:rPr>
          <w:rFonts w:eastAsiaTheme="minorHAnsi"/>
        </w:rPr>
        <w:t xml:space="preserve">) </w:t>
      </w:r>
      <w:r w:rsidR="00933ED3" w:rsidRPr="006938EE">
        <w:rPr>
          <w:rFonts w:eastAsiaTheme="minorHAnsi"/>
        </w:rPr>
        <w:t xml:space="preserve">при технической поддержке со стороны инициативы ВОЗ-МСЭ, цель которого заключается в повышении уровня знаний о раке шейки матки среди женщин в </w:t>
      </w:r>
      <w:r w:rsidR="00E40812" w:rsidRPr="006938EE">
        <w:rPr>
          <w:rFonts w:eastAsiaTheme="minorHAnsi"/>
        </w:rPr>
        <w:t>возрастной группе, подлежащей медицинскому обследованию</w:t>
      </w:r>
      <w:r w:rsidRPr="006938EE">
        <w:rPr>
          <w:rFonts w:cstheme="majorHAnsi"/>
        </w:rPr>
        <w:t xml:space="preserve"> (25−59</w:t>
      </w:r>
      <w:r w:rsidR="00526147" w:rsidRPr="006938EE">
        <w:rPr>
          <w:rFonts w:cstheme="majorHAnsi"/>
        </w:rPr>
        <w:t> </w:t>
      </w:r>
      <w:r w:rsidR="00E40812" w:rsidRPr="006938EE">
        <w:rPr>
          <w:rFonts w:cstheme="majorHAnsi"/>
        </w:rPr>
        <w:t>лет</w:t>
      </w:r>
      <w:r w:rsidRPr="006938EE">
        <w:rPr>
          <w:rFonts w:cstheme="majorHAnsi"/>
        </w:rPr>
        <w:t xml:space="preserve">), </w:t>
      </w:r>
      <w:r w:rsidR="00E40812" w:rsidRPr="006938EE">
        <w:rPr>
          <w:rFonts w:cstheme="majorHAnsi"/>
        </w:rPr>
        <w:t>в результате чего все больше женщин обращаются к медицинским службам для обследовани</w:t>
      </w:r>
      <w:r w:rsidR="00CB1FBA" w:rsidRPr="006938EE">
        <w:rPr>
          <w:rFonts w:cstheme="majorHAnsi"/>
        </w:rPr>
        <w:t>я</w:t>
      </w:r>
      <w:r w:rsidR="00E40812" w:rsidRPr="006938EE">
        <w:rPr>
          <w:rFonts w:cstheme="majorHAnsi"/>
        </w:rPr>
        <w:t xml:space="preserve"> с целью выявления рака шейки матки</w:t>
      </w:r>
      <w:bookmarkEnd w:id="16"/>
      <w:r w:rsidR="00CB1FBA" w:rsidRPr="006938EE">
        <w:rPr>
          <w:rFonts w:cstheme="majorHAnsi"/>
        </w:rPr>
        <w:t>;</w:t>
      </w:r>
    </w:p>
    <w:p w:rsidR="005463C7" w:rsidRPr="006938EE" w:rsidRDefault="005463C7" w:rsidP="00526147">
      <w:pPr>
        <w:pStyle w:val="enumlev1"/>
      </w:pPr>
      <w:bookmarkStart w:id="17" w:name="lt_pId037"/>
      <w:r w:rsidRPr="006938EE">
        <w:rPr>
          <w:rFonts w:eastAsiaTheme="minorHAnsi"/>
        </w:rPr>
        <w:t>•</w:t>
      </w:r>
      <w:r w:rsidRPr="006938EE">
        <w:rPr>
          <w:rFonts w:eastAsiaTheme="minorHAnsi"/>
        </w:rPr>
        <w:tab/>
      </w:r>
      <w:r w:rsidR="00CB1FBA" w:rsidRPr="006938EE">
        <w:rPr>
          <w:rFonts w:eastAsiaTheme="minorHAnsi"/>
        </w:rPr>
        <w:t>проект телемедицины</w:t>
      </w:r>
      <w:r w:rsidR="003C07CE" w:rsidRPr="006938EE">
        <w:rPr>
          <w:rFonts w:eastAsiaTheme="minorHAnsi"/>
        </w:rPr>
        <w:t>,</w:t>
      </w:r>
      <w:r w:rsidR="00CB1FBA" w:rsidRPr="006938EE">
        <w:rPr>
          <w:rFonts w:eastAsiaTheme="minorHAnsi"/>
        </w:rPr>
        <w:t xml:space="preserve"> </w:t>
      </w:r>
      <w:r w:rsidR="003C07CE" w:rsidRPr="006938EE">
        <w:rPr>
          <w:rFonts w:eastAsiaTheme="minorHAnsi"/>
        </w:rPr>
        <w:t xml:space="preserve">реализуемый </w:t>
      </w:r>
      <w:r w:rsidR="00CB1FBA" w:rsidRPr="006938EE">
        <w:rPr>
          <w:rFonts w:eastAsiaTheme="minorHAnsi"/>
        </w:rPr>
        <w:t>в Зимбабве</w:t>
      </w:r>
      <w:r w:rsidR="003C07CE" w:rsidRPr="006938EE">
        <w:rPr>
          <w:rFonts w:eastAsiaTheme="minorHAnsi"/>
        </w:rPr>
        <w:t xml:space="preserve"> и</w:t>
      </w:r>
      <w:r w:rsidR="00CB1FBA" w:rsidRPr="006938EE">
        <w:rPr>
          <w:rFonts w:eastAsiaTheme="minorHAnsi"/>
        </w:rPr>
        <w:t xml:space="preserve"> финансируе</w:t>
      </w:r>
      <w:r w:rsidR="003C07CE" w:rsidRPr="006938EE">
        <w:rPr>
          <w:rFonts w:eastAsiaTheme="minorHAnsi"/>
        </w:rPr>
        <w:t>мый</w:t>
      </w:r>
      <w:r w:rsidR="00CB1FBA" w:rsidRPr="006938EE">
        <w:rPr>
          <w:rFonts w:eastAsiaTheme="minorHAnsi"/>
        </w:rPr>
        <w:t xml:space="preserve"> МСЭ, </w:t>
      </w:r>
      <w:proofErr w:type="spellStart"/>
      <w:r w:rsidR="00CB1FBA" w:rsidRPr="006938EE">
        <w:rPr>
          <w:rFonts w:eastAsiaTheme="minorHAnsi"/>
        </w:rPr>
        <w:t>ПРООН</w:t>
      </w:r>
      <w:proofErr w:type="spellEnd"/>
      <w:r w:rsidR="00CB1FBA" w:rsidRPr="006938EE">
        <w:rPr>
          <w:rFonts w:eastAsiaTheme="minorHAnsi"/>
        </w:rPr>
        <w:t xml:space="preserve"> и правительством Зимбабве, </w:t>
      </w:r>
      <w:r w:rsidR="003C07CE" w:rsidRPr="006938EE">
        <w:rPr>
          <w:rFonts w:eastAsiaTheme="minorHAnsi"/>
        </w:rPr>
        <w:t>направлен на</w:t>
      </w:r>
      <w:r w:rsidR="00CB1FBA" w:rsidRPr="006938EE">
        <w:rPr>
          <w:rFonts w:eastAsiaTheme="minorHAnsi"/>
        </w:rPr>
        <w:t xml:space="preserve"> обеспечени</w:t>
      </w:r>
      <w:r w:rsidR="003C07CE" w:rsidRPr="006938EE">
        <w:rPr>
          <w:rFonts w:eastAsiaTheme="minorHAnsi"/>
        </w:rPr>
        <w:t>е</w:t>
      </w:r>
      <w:r w:rsidR="00CB1FBA" w:rsidRPr="006938EE">
        <w:rPr>
          <w:rFonts w:eastAsiaTheme="minorHAnsi"/>
        </w:rPr>
        <w:t xml:space="preserve"> возможности для установления соединения между больницами страны с</w:t>
      </w:r>
      <w:r w:rsidRPr="006938EE">
        <w:rPr>
          <w:rFonts w:cstheme="majorHAnsi"/>
        </w:rPr>
        <w:t xml:space="preserve"> </w:t>
      </w:r>
      <w:r w:rsidR="00CB1FBA" w:rsidRPr="006938EE">
        <w:rPr>
          <w:rFonts w:cstheme="majorHAnsi"/>
        </w:rPr>
        <w:t xml:space="preserve">помощью ИКТ для </w:t>
      </w:r>
      <w:r w:rsidR="00CB1FBA" w:rsidRPr="006938EE">
        <w:t>совершенствования</w:t>
      </w:r>
      <w:r w:rsidR="00CB1FBA" w:rsidRPr="006938EE">
        <w:rPr>
          <w:rFonts w:cstheme="majorHAnsi"/>
        </w:rPr>
        <w:t xml:space="preserve"> оказания медицинских услуг</w:t>
      </w:r>
      <w:r w:rsidRPr="006938EE">
        <w:rPr>
          <w:rFonts w:cstheme="majorHAnsi"/>
        </w:rPr>
        <w:t>.</w:t>
      </w:r>
      <w:bookmarkEnd w:id="17"/>
    </w:p>
    <w:p w:rsidR="005463C7" w:rsidRPr="006938EE" w:rsidRDefault="00600107" w:rsidP="00526147">
      <w:pPr>
        <w:rPr>
          <w:rFonts w:eastAsiaTheme="minorHAnsi"/>
        </w:rPr>
      </w:pPr>
      <w:bookmarkStart w:id="18" w:name="lt_pId038"/>
      <w:r w:rsidRPr="006938EE">
        <w:t>Как сопредседатель Руководящего комитета и член Совета "Умная Африка", МСЭ развивает сотрудничество и оказывает техническую помощь инициативе "Умная Африка" и принимает у себя собрания обоих руководящих органов</w:t>
      </w:r>
      <w:r w:rsidR="005463C7" w:rsidRPr="006938EE">
        <w:t>.</w:t>
      </w:r>
      <w:bookmarkEnd w:id="18"/>
      <w:r w:rsidRPr="006938EE">
        <w:t xml:space="preserve"> На своем собрании в июне </w:t>
      </w:r>
      <w:bookmarkStart w:id="19" w:name="lt_pId039"/>
      <w:r w:rsidR="005463C7" w:rsidRPr="006938EE">
        <w:t>2016</w:t>
      </w:r>
      <w:r w:rsidRPr="006938EE">
        <w:t xml:space="preserve"> года, которое проходило на полях саммита Африканского союза, Совет "Умная Африка" поддержал инициативу</w:t>
      </w:r>
      <w:r w:rsidR="00BE1EC3" w:rsidRPr="006938EE">
        <w:t xml:space="preserve"> по созданию</w:t>
      </w:r>
      <w:r w:rsidR="005463C7" w:rsidRPr="006938EE">
        <w:t xml:space="preserve"> </w:t>
      </w:r>
      <w:r w:rsidRPr="006938EE">
        <w:lastRenderedPageBreak/>
        <w:t>"Единой африканской сети"</w:t>
      </w:r>
      <w:r w:rsidR="005463C7" w:rsidRPr="006938EE">
        <w:t xml:space="preserve">, </w:t>
      </w:r>
      <w:r w:rsidRPr="006938EE">
        <w:t xml:space="preserve">которая позволяет устранить плату за международный роуминг между странами, входящими </w:t>
      </w:r>
      <w:r w:rsidR="00453596" w:rsidRPr="006938EE">
        <w:t>в альянс</w:t>
      </w:r>
      <w:r w:rsidRPr="006938EE">
        <w:t xml:space="preserve"> "Умная Африка"</w:t>
      </w:r>
      <w:r w:rsidR="005463C7" w:rsidRPr="006938EE">
        <w:t>.</w:t>
      </w:r>
      <w:bookmarkEnd w:id="19"/>
      <w:r w:rsidR="005463C7" w:rsidRPr="006938EE">
        <w:t xml:space="preserve"> </w:t>
      </w:r>
      <w:bookmarkStart w:id="20" w:name="lt_pId040"/>
      <w:r w:rsidRPr="006938EE">
        <w:t>С инициативой "Единая африканская сеть" выступил</w:t>
      </w:r>
      <w:r w:rsidR="00453596" w:rsidRPr="006938EE">
        <w:t>и</w:t>
      </w:r>
      <w:r w:rsidRPr="006938EE">
        <w:t xml:space="preserve"> президент</w:t>
      </w:r>
      <w:r w:rsidR="00453596" w:rsidRPr="006938EE">
        <w:t>ы Руанды и Габона, чтобы отказаться от платежей за роуминг между двумя странами</w:t>
      </w:r>
      <w:r w:rsidR="005463C7" w:rsidRPr="006938EE">
        <w:t>.</w:t>
      </w:r>
      <w:bookmarkEnd w:id="20"/>
      <w:r w:rsidR="00453596" w:rsidRPr="006938EE">
        <w:t xml:space="preserve"> </w:t>
      </w:r>
      <w:bookmarkStart w:id="21" w:name="lt_pId041"/>
      <w:r w:rsidR="00453596" w:rsidRPr="006938EE">
        <w:t>Фонд стипендий "Умная Африка", в который МСЭ внес первоначально</w:t>
      </w:r>
      <w:r w:rsidR="005463C7" w:rsidRPr="006938EE">
        <w:t xml:space="preserve"> 200 000 </w:t>
      </w:r>
      <w:r w:rsidR="00453596" w:rsidRPr="006938EE">
        <w:t>долл. США из средств Фонда развития ИКТ</w:t>
      </w:r>
      <w:r w:rsidR="005463C7" w:rsidRPr="006938EE">
        <w:t xml:space="preserve"> (</w:t>
      </w:r>
      <w:proofErr w:type="spellStart"/>
      <w:r w:rsidR="00453596" w:rsidRPr="006938EE">
        <w:t>ФР</w:t>
      </w:r>
      <w:proofErr w:type="spellEnd"/>
      <w:r w:rsidR="00453596" w:rsidRPr="006938EE">
        <w:t>-ИКТ</w:t>
      </w:r>
      <w:r w:rsidR="005463C7" w:rsidRPr="006938EE">
        <w:t>)</w:t>
      </w:r>
      <w:r w:rsidR="00453596" w:rsidRPr="006938EE">
        <w:t>, начал свою деятельность в</w:t>
      </w:r>
      <w:r w:rsidR="005463C7" w:rsidRPr="006938EE">
        <w:t xml:space="preserve"> 2015</w:t>
      </w:r>
      <w:r w:rsidR="00453596" w:rsidRPr="006938EE">
        <w:t xml:space="preserve"> году</w:t>
      </w:r>
      <w:r w:rsidR="005463C7" w:rsidRPr="006938EE">
        <w:t xml:space="preserve">, </w:t>
      </w:r>
      <w:r w:rsidR="00453596" w:rsidRPr="006938EE">
        <w:t>а объем его средств вырос до</w:t>
      </w:r>
      <w:r w:rsidR="005463C7" w:rsidRPr="006938EE">
        <w:t> 1 200 000</w:t>
      </w:r>
      <w:r w:rsidR="00453596" w:rsidRPr="006938EE">
        <w:t xml:space="preserve"> долл. США</w:t>
      </w:r>
      <w:r w:rsidR="005463C7" w:rsidRPr="006938EE">
        <w:t>.</w:t>
      </w:r>
      <w:bookmarkEnd w:id="21"/>
      <w:r w:rsidR="00453596" w:rsidRPr="006938EE">
        <w:t xml:space="preserve"> По состоянию на февраль</w:t>
      </w:r>
      <w:r w:rsidR="005463C7" w:rsidRPr="006938EE">
        <w:rPr>
          <w:rFonts w:cs="Calibri"/>
          <w:lang w:eastAsia="zh-CN"/>
        </w:rPr>
        <w:t xml:space="preserve"> 2017</w:t>
      </w:r>
      <w:r w:rsidR="00453596" w:rsidRPr="006938EE">
        <w:rPr>
          <w:rFonts w:cs="Calibri"/>
          <w:lang w:eastAsia="zh-CN"/>
        </w:rPr>
        <w:t xml:space="preserve"> года</w:t>
      </w:r>
      <w:r w:rsidR="005463C7" w:rsidRPr="006938EE">
        <w:rPr>
          <w:rFonts w:cs="Calibri"/>
          <w:lang w:eastAsia="zh-CN"/>
        </w:rPr>
        <w:t>,</w:t>
      </w:r>
      <w:r w:rsidR="00453596" w:rsidRPr="006938EE">
        <w:rPr>
          <w:rFonts w:cs="Calibri"/>
          <w:lang w:eastAsia="zh-CN"/>
        </w:rPr>
        <w:t xml:space="preserve"> </w:t>
      </w:r>
      <w:r w:rsidR="0077011F" w:rsidRPr="006938EE">
        <w:rPr>
          <w:rFonts w:cs="Calibri"/>
          <w:lang w:eastAsia="zh-CN"/>
        </w:rPr>
        <w:t>Ф</w:t>
      </w:r>
      <w:r w:rsidR="00E3270A" w:rsidRPr="006938EE">
        <w:rPr>
          <w:rFonts w:cs="Calibri"/>
          <w:lang w:eastAsia="zh-CN"/>
        </w:rPr>
        <w:t xml:space="preserve">онд стипендий "Умная Африка" обеспечил финансирование для обучения 17 студентов, включая шесть женщин, в Университете Карнеги </w:t>
      </w:r>
      <w:proofErr w:type="spellStart"/>
      <w:r w:rsidR="00E3270A" w:rsidRPr="006938EE">
        <w:rPr>
          <w:rFonts w:cs="Calibri"/>
          <w:lang w:eastAsia="zh-CN"/>
        </w:rPr>
        <w:t>Меллон</w:t>
      </w:r>
      <w:proofErr w:type="spellEnd"/>
      <w:r w:rsidR="00E3270A" w:rsidRPr="006938EE">
        <w:rPr>
          <w:rFonts w:cs="Calibri"/>
          <w:lang w:eastAsia="zh-CN"/>
        </w:rPr>
        <w:t xml:space="preserve"> в Руанде</w:t>
      </w:r>
      <w:r w:rsidR="005463C7" w:rsidRPr="006938EE">
        <w:rPr>
          <w:rFonts w:cs="Calibri"/>
          <w:lang w:eastAsia="zh-CN"/>
        </w:rPr>
        <w:t>.</w:t>
      </w:r>
    </w:p>
    <w:p w:rsidR="00D71423" w:rsidRPr="006938EE" w:rsidRDefault="00D71423" w:rsidP="00D71423">
      <w:pPr>
        <w:pStyle w:val="Heading2"/>
        <w:rPr>
          <w:sz w:val="24"/>
          <w:szCs w:val="24"/>
        </w:rPr>
      </w:pPr>
      <w:r w:rsidRPr="006938EE">
        <w:t>2.2</w:t>
      </w:r>
      <w:r w:rsidRPr="006938EE">
        <w:tab/>
        <w:t>Северная и Южная Америка</w:t>
      </w:r>
    </w:p>
    <w:p w:rsidR="005463C7" w:rsidRPr="006938EE" w:rsidRDefault="0089291A" w:rsidP="00526147">
      <w:pPr>
        <w:rPr>
          <w:rFonts w:eastAsiaTheme="minorEastAsia"/>
        </w:rPr>
      </w:pPr>
      <w:bookmarkStart w:id="22" w:name="lt_pId042"/>
      <w:r w:rsidRPr="006938EE">
        <w:rPr>
          <w:rFonts w:eastAsiaTheme="minorEastAsia"/>
        </w:rPr>
        <w:t>После успешной реализации проекта совместно с администрацией Аргентины с целью содействия интеграции более чем</w:t>
      </w:r>
      <w:r w:rsidR="005463C7" w:rsidRPr="006938EE">
        <w:rPr>
          <w:rFonts w:eastAsiaTheme="minorEastAsia"/>
        </w:rPr>
        <w:t xml:space="preserve"> 20 </w:t>
      </w:r>
      <w:r w:rsidRPr="006938EE">
        <w:rPr>
          <w:rFonts w:eastAsiaTheme="minorEastAsia"/>
        </w:rPr>
        <w:t>университетов в качестве академических организаций, участвующих в деятельности МСЭ</w:t>
      </w:r>
      <w:r w:rsidR="005463C7" w:rsidRPr="006938EE">
        <w:rPr>
          <w:rFonts w:eastAsiaTheme="minorEastAsia"/>
        </w:rPr>
        <w:t xml:space="preserve">, </w:t>
      </w:r>
      <w:r w:rsidR="002F0848" w:rsidRPr="006938EE">
        <w:rPr>
          <w:rFonts w:eastAsiaTheme="minorEastAsia"/>
        </w:rPr>
        <w:t>р</w:t>
      </w:r>
      <w:r w:rsidR="0080561C" w:rsidRPr="006938EE">
        <w:rPr>
          <w:rFonts w:eastAsiaTheme="minorEastAsia"/>
        </w:rPr>
        <w:t>егиональное и з</w:t>
      </w:r>
      <w:r w:rsidRPr="006938EE">
        <w:rPr>
          <w:rFonts w:eastAsiaTheme="minorEastAsia"/>
        </w:rPr>
        <w:t>ональн</w:t>
      </w:r>
      <w:r w:rsidR="0080561C" w:rsidRPr="006938EE">
        <w:rPr>
          <w:rFonts w:eastAsiaTheme="minorEastAsia"/>
        </w:rPr>
        <w:t>ы</w:t>
      </w:r>
      <w:r w:rsidRPr="006938EE">
        <w:rPr>
          <w:rFonts w:eastAsiaTheme="minorEastAsia"/>
        </w:rPr>
        <w:t xml:space="preserve">е </w:t>
      </w:r>
      <w:r w:rsidR="002F0848" w:rsidRPr="006938EE">
        <w:rPr>
          <w:rFonts w:eastAsiaTheme="minorEastAsia"/>
        </w:rPr>
        <w:t>отделения</w:t>
      </w:r>
      <w:r w:rsidRPr="006938EE">
        <w:rPr>
          <w:rFonts w:eastAsiaTheme="minorEastAsia"/>
        </w:rPr>
        <w:t xml:space="preserve"> МСЭ координируют свою деятельность с администрациями других стран в регионе, </w:t>
      </w:r>
      <w:r w:rsidR="0072318F" w:rsidRPr="006938EE">
        <w:rPr>
          <w:rFonts w:eastAsiaTheme="minorEastAsia"/>
        </w:rPr>
        <w:t xml:space="preserve">таких как Колумбия, </w:t>
      </w:r>
      <w:r w:rsidRPr="006938EE">
        <w:rPr>
          <w:rFonts w:eastAsiaTheme="minorEastAsia"/>
        </w:rPr>
        <w:t xml:space="preserve">чтобы воспроизвести </w:t>
      </w:r>
      <w:r w:rsidR="00BF3558" w:rsidRPr="006938EE">
        <w:rPr>
          <w:rFonts w:eastAsiaTheme="minorEastAsia"/>
        </w:rPr>
        <w:t>этот успешный опыт</w:t>
      </w:r>
      <w:r w:rsidR="005463C7" w:rsidRPr="006938EE">
        <w:rPr>
          <w:rFonts w:eastAsiaTheme="minorEastAsia"/>
        </w:rPr>
        <w:t>.</w:t>
      </w:r>
    </w:p>
    <w:p w:rsidR="005463C7" w:rsidRPr="006938EE" w:rsidRDefault="0089291A" w:rsidP="00526147">
      <w:r w:rsidRPr="006938EE">
        <w:t>Проекты разрабатывались и осуществлялись в сотрудничестве с заинтересованными сторонами из государственного и частного секторов</w:t>
      </w:r>
      <w:r w:rsidR="005463C7" w:rsidRPr="006938EE">
        <w:t xml:space="preserve">: </w:t>
      </w:r>
      <w:r w:rsidRPr="006938EE">
        <w:t>например</w:t>
      </w:r>
      <w:r w:rsidR="005463C7" w:rsidRPr="006938EE">
        <w:t xml:space="preserve">, </w:t>
      </w:r>
      <w:r w:rsidRPr="006938EE">
        <w:t xml:space="preserve">проект технического сотрудничества с </w:t>
      </w:r>
      <w:proofErr w:type="spellStart"/>
      <w:r w:rsidR="005463C7" w:rsidRPr="006938EE">
        <w:t>Anatel</w:t>
      </w:r>
      <w:proofErr w:type="spellEnd"/>
      <w:r w:rsidR="002F0848" w:rsidRPr="006938EE">
        <w:t>,</w:t>
      </w:r>
      <w:r w:rsidR="005463C7" w:rsidRPr="006938EE">
        <w:t xml:space="preserve"> </w:t>
      </w:r>
      <w:r w:rsidRPr="006938EE">
        <w:t>направлен</w:t>
      </w:r>
      <w:r w:rsidR="00193A22" w:rsidRPr="006938EE">
        <w:t>н</w:t>
      </w:r>
      <w:r w:rsidR="002F0848" w:rsidRPr="006938EE">
        <w:t>ый</w:t>
      </w:r>
      <w:r w:rsidRPr="006938EE">
        <w:t xml:space="preserve"> на укрепление </w:t>
      </w:r>
      <w:r w:rsidR="002F0848" w:rsidRPr="006938EE">
        <w:t>р</w:t>
      </w:r>
      <w:r w:rsidRPr="006938EE">
        <w:t>ег</w:t>
      </w:r>
      <w:r w:rsidR="00536809" w:rsidRPr="006938EE">
        <w:t>уляторного</w:t>
      </w:r>
      <w:r w:rsidRPr="006938EE">
        <w:t xml:space="preserve"> органа Бразилии</w:t>
      </w:r>
      <w:r w:rsidR="005463C7" w:rsidRPr="006938EE">
        <w:t xml:space="preserve">; </w:t>
      </w:r>
      <w:r w:rsidR="002F0848" w:rsidRPr="006938EE">
        <w:t xml:space="preserve">проект по </w:t>
      </w:r>
      <w:r w:rsidRPr="006938EE">
        <w:t>распределени</w:t>
      </w:r>
      <w:r w:rsidR="002F0848" w:rsidRPr="006938EE">
        <w:t>ю</w:t>
      </w:r>
      <w:r w:rsidRPr="006938EE">
        <w:t xml:space="preserve"> спектра</w:t>
      </w:r>
      <w:r w:rsidR="002F0848" w:rsidRPr="006938EE">
        <w:t>,</w:t>
      </w:r>
      <w:r w:rsidRPr="006938EE">
        <w:t xml:space="preserve"> осуществляе</w:t>
      </w:r>
      <w:r w:rsidR="002F0848" w:rsidRPr="006938EE">
        <w:t>мый</w:t>
      </w:r>
      <w:r w:rsidRPr="006938EE">
        <w:t xml:space="preserve"> совместно с </w:t>
      </w:r>
      <w:r w:rsidR="00257107" w:rsidRPr="006938EE">
        <w:t>Министерством связи и информационных технологий в</w:t>
      </w:r>
      <w:r w:rsidRPr="006938EE">
        <w:t xml:space="preserve"> Колумбии</w:t>
      </w:r>
      <w:r w:rsidR="005463C7" w:rsidRPr="006938EE">
        <w:t xml:space="preserve">. </w:t>
      </w:r>
      <w:r w:rsidRPr="006938EE">
        <w:t xml:space="preserve">Дорожные карты для перехода от аналогового наземного телевизионного радиовещания к цифровому на основе использования Руководящих указаний МСЭ, а также интерактивные карты мировых </w:t>
      </w:r>
      <w:r w:rsidR="00536809" w:rsidRPr="006938EE">
        <w:rPr>
          <w:color w:val="000000"/>
        </w:rPr>
        <w:t>наземных и подводных волоконно-оптических систем дальней связи</w:t>
      </w:r>
      <w:r w:rsidR="00536809" w:rsidRPr="006938EE">
        <w:t xml:space="preserve"> были разработаны МСЭ в сотрудничестве с национальными и региональными заинтересованными сторонами</w:t>
      </w:r>
      <w:r w:rsidR="005463C7" w:rsidRPr="006938EE">
        <w:t>.</w:t>
      </w:r>
      <w:r w:rsidR="00536809" w:rsidRPr="006938EE">
        <w:t xml:space="preserve"> Были </w:t>
      </w:r>
      <w:r w:rsidR="002F0848" w:rsidRPr="006938EE">
        <w:t>проведены</w:t>
      </w:r>
      <w:r w:rsidR="00536809" w:rsidRPr="006938EE">
        <w:t xml:space="preserve"> исследования о формальной независимости регуляторных органов для Перу, Боливии и Панамы, </w:t>
      </w:r>
      <w:r w:rsidR="002F0848" w:rsidRPr="006938EE">
        <w:t xml:space="preserve">результаты </w:t>
      </w:r>
      <w:r w:rsidR="00536809" w:rsidRPr="006938EE">
        <w:t>которы</w:t>
      </w:r>
      <w:r w:rsidR="002F0848" w:rsidRPr="006938EE">
        <w:t>х</w:t>
      </w:r>
      <w:r w:rsidR="00536809" w:rsidRPr="006938EE">
        <w:t xml:space="preserve"> будут опубликованы в</w:t>
      </w:r>
      <w:r w:rsidR="005463C7" w:rsidRPr="006938EE">
        <w:t xml:space="preserve"> 2017</w:t>
      </w:r>
      <w:r w:rsidR="00536809" w:rsidRPr="006938EE">
        <w:t xml:space="preserve"> году</w:t>
      </w:r>
      <w:r w:rsidR="005463C7" w:rsidRPr="006938EE">
        <w:t xml:space="preserve">. </w:t>
      </w:r>
    </w:p>
    <w:p w:rsidR="005463C7" w:rsidRPr="006938EE" w:rsidRDefault="00E3749B" w:rsidP="00526147">
      <w:r w:rsidRPr="006938EE">
        <w:t>В рамках сотрудничества с центрами профессионального мастерства</w:t>
      </w:r>
      <w:r w:rsidR="005463C7" w:rsidRPr="006938EE">
        <w:t xml:space="preserve"> (</w:t>
      </w:r>
      <w:proofErr w:type="spellStart"/>
      <w:r w:rsidR="002F0848" w:rsidRPr="006938EE">
        <w:t>ЦПМ</w:t>
      </w:r>
      <w:proofErr w:type="spellEnd"/>
      <w:r w:rsidR="005463C7" w:rsidRPr="006938EE">
        <w:t xml:space="preserve">) </w:t>
      </w:r>
      <w:r w:rsidRPr="006938EE">
        <w:t xml:space="preserve">в регионе Северной и Южной Америки, а также на основе платформы Академии МСЭ проводились онлайновые учебные курсы по таким вопросам, как </w:t>
      </w:r>
      <w:r w:rsidRPr="006938EE">
        <w:rPr>
          <w:color w:val="000000"/>
        </w:rPr>
        <w:t>усовершенствованные сети связи</w:t>
      </w:r>
      <w:r w:rsidR="005463C7" w:rsidRPr="006938EE">
        <w:t xml:space="preserve">, </w:t>
      </w:r>
      <w:r w:rsidRPr="006938EE">
        <w:t>управление использованием спектра</w:t>
      </w:r>
      <w:r w:rsidR="005463C7" w:rsidRPr="006938EE">
        <w:t xml:space="preserve">, </w:t>
      </w:r>
      <w:r w:rsidRPr="006938EE">
        <w:t>приложения и услуги ИКТ</w:t>
      </w:r>
      <w:r w:rsidR="005463C7" w:rsidRPr="006938EE">
        <w:t xml:space="preserve">, </w:t>
      </w:r>
      <w:r w:rsidRPr="006938EE">
        <w:t>спутниковые системы и беспроводные сети</w:t>
      </w:r>
      <w:r w:rsidR="005463C7" w:rsidRPr="006938EE">
        <w:t xml:space="preserve">. </w:t>
      </w:r>
      <w:r w:rsidRPr="006938EE">
        <w:t>На курсах по использованию ИКТ в качестве информационно-коммуникационных инструментов, разработке цифрового контента</w:t>
      </w:r>
      <w:r w:rsidR="0052270F" w:rsidRPr="006938EE">
        <w:t>, виртуальному контенту и электронной коммерции, которые проводились МСЭ и Фондом развития коренных народов Латинской Америки и Карибского бассейна, прошли обучение</w:t>
      </w:r>
      <w:r w:rsidR="005463C7" w:rsidRPr="006938EE">
        <w:t xml:space="preserve"> 221 </w:t>
      </w:r>
      <w:r w:rsidR="0052270F" w:rsidRPr="006938EE">
        <w:t>человек из числа коренных народов</w:t>
      </w:r>
      <w:r w:rsidR="005463C7" w:rsidRPr="006938EE">
        <w:t>.</w:t>
      </w:r>
    </w:p>
    <w:p w:rsidR="005463C7" w:rsidRPr="006938EE" w:rsidRDefault="0037333E" w:rsidP="00526147">
      <w:r w:rsidRPr="006938EE">
        <w:t>Учебные материалы были разработаны в сотрудничестве с Межамериканским банком развития</w:t>
      </w:r>
      <w:r w:rsidR="005463C7" w:rsidRPr="006938EE">
        <w:t xml:space="preserve"> (</w:t>
      </w:r>
      <w:proofErr w:type="spellStart"/>
      <w:r w:rsidRPr="006938EE">
        <w:t>МБР</w:t>
      </w:r>
      <w:proofErr w:type="spellEnd"/>
      <w:r w:rsidR="005463C7" w:rsidRPr="006938EE">
        <w:t xml:space="preserve">) </w:t>
      </w:r>
      <w:r w:rsidRPr="006938EE">
        <w:t>по таким темам, как</w:t>
      </w:r>
      <w:r w:rsidR="005463C7" w:rsidRPr="006938EE">
        <w:t xml:space="preserve"> </w:t>
      </w:r>
      <w:r w:rsidR="006C07C5" w:rsidRPr="006938EE">
        <w:t>"</w:t>
      </w:r>
      <w:r w:rsidRPr="006938EE">
        <w:t xml:space="preserve">Экономика широкополосной связи и ИКТ </w:t>
      </w:r>
      <w:r w:rsidR="006C07C5" w:rsidRPr="006938EE">
        <w:t>"</w:t>
      </w:r>
      <w:r w:rsidR="005463C7" w:rsidRPr="006938EE">
        <w:t xml:space="preserve"> </w:t>
      </w:r>
      <w:r w:rsidRPr="006938EE">
        <w:t>и</w:t>
      </w:r>
      <w:r w:rsidR="005463C7" w:rsidRPr="006938EE">
        <w:t xml:space="preserve"> </w:t>
      </w:r>
      <w:r w:rsidR="006C07C5" w:rsidRPr="006938EE">
        <w:t>"</w:t>
      </w:r>
      <w:r w:rsidRPr="006938EE">
        <w:t>Развертывание и эксплуатация сети ИКТ</w:t>
      </w:r>
      <w:r w:rsidR="006C07C5" w:rsidRPr="006938EE">
        <w:t>"</w:t>
      </w:r>
      <w:r w:rsidR="005463C7" w:rsidRPr="006938EE">
        <w:t xml:space="preserve">, </w:t>
      </w:r>
      <w:r w:rsidRPr="006938EE">
        <w:t>которые будут использоваться учебным центром</w:t>
      </w:r>
      <w:r w:rsidR="005463C7" w:rsidRPr="006938EE">
        <w:t xml:space="preserve"> </w:t>
      </w:r>
      <w:proofErr w:type="spellStart"/>
      <w:r w:rsidR="005463C7" w:rsidRPr="006938EE">
        <w:t>CEABAD</w:t>
      </w:r>
      <w:proofErr w:type="spellEnd"/>
      <w:r w:rsidR="005463C7" w:rsidRPr="006938EE">
        <w:t xml:space="preserve">, </w:t>
      </w:r>
      <w:r w:rsidRPr="006938EE">
        <w:t xml:space="preserve">созданным </w:t>
      </w:r>
      <w:proofErr w:type="spellStart"/>
      <w:r w:rsidRPr="006938EE">
        <w:t>МБР</w:t>
      </w:r>
      <w:proofErr w:type="spellEnd"/>
      <w:r w:rsidRPr="006938EE">
        <w:t xml:space="preserve"> в Никарагуа</w:t>
      </w:r>
      <w:r w:rsidR="005463C7" w:rsidRPr="006938EE">
        <w:t>.</w:t>
      </w:r>
    </w:p>
    <w:p w:rsidR="005463C7" w:rsidRPr="006938EE" w:rsidRDefault="000852D3" w:rsidP="00526147">
      <w:pPr>
        <w:rPr>
          <w:rFonts w:eastAsiaTheme="minorEastAsia" w:cstheme="minorBidi"/>
        </w:rPr>
      </w:pPr>
      <w:r w:rsidRPr="006938EE">
        <w:t>Ряд форумов и семинаров-практикумов был организован в партнерстве с администрациями</w:t>
      </w:r>
      <w:r w:rsidR="005463C7" w:rsidRPr="006938EE">
        <w:t xml:space="preserve"> (</w:t>
      </w:r>
      <w:r w:rsidRPr="006938EE">
        <w:t>Бразилии</w:t>
      </w:r>
      <w:r w:rsidR="005463C7" w:rsidRPr="006938EE">
        <w:t xml:space="preserve">, </w:t>
      </w:r>
      <w:r w:rsidRPr="006938EE">
        <w:t>Коста-Рики</w:t>
      </w:r>
      <w:r w:rsidR="005463C7" w:rsidRPr="006938EE">
        <w:t xml:space="preserve">, </w:t>
      </w:r>
      <w:r w:rsidRPr="006938EE">
        <w:t>Эквадора</w:t>
      </w:r>
      <w:r w:rsidR="005463C7" w:rsidRPr="006938EE">
        <w:t xml:space="preserve">, </w:t>
      </w:r>
      <w:r w:rsidRPr="006938EE">
        <w:t>Сальвадора</w:t>
      </w:r>
      <w:r w:rsidR="005463C7" w:rsidRPr="006938EE">
        <w:t xml:space="preserve">, </w:t>
      </w:r>
      <w:r w:rsidRPr="006938EE">
        <w:t>Гондураса</w:t>
      </w:r>
      <w:r w:rsidR="005463C7" w:rsidRPr="006938EE">
        <w:t xml:space="preserve">, </w:t>
      </w:r>
      <w:r w:rsidRPr="006938EE">
        <w:t>Мексики, Парагвая</w:t>
      </w:r>
      <w:r w:rsidR="005463C7" w:rsidRPr="006938EE">
        <w:t>)</w:t>
      </w:r>
      <w:r w:rsidRPr="006938EE">
        <w:t>, а также с международными, региональными и субрегиональными организациями</w:t>
      </w:r>
      <w:r w:rsidR="005463C7" w:rsidRPr="006938EE">
        <w:t xml:space="preserve"> (</w:t>
      </w:r>
      <w:r w:rsidRPr="006938EE">
        <w:t>такими</w:t>
      </w:r>
      <w:r w:rsidR="006938EE" w:rsidRPr="006938EE">
        <w:t>,</w:t>
      </w:r>
      <w:r w:rsidRPr="006938EE">
        <w:t xml:space="preserve"> как</w:t>
      </w:r>
      <w:r w:rsidR="005463C7" w:rsidRPr="006938EE">
        <w:t xml:space="preserve"> </w:t>
      </w:r>
      <w:proofErr w:type="spellStart"/>
      <w:r w:rsidR="005463C7" w:rsidRPr="006938EE">
        <w:t>ASIET</w:t>
      </w:r>
      <w:proofErr w:type="spellEnd"/>
      <w:r w:rsidR="005463C7" w:rsidRPr="006938EE">
        <w:t xml:space="preserve">, </w:t>
      </w:r>
      <w:proofErr w:type="spellStart"/>
      <w:r w:rsidRPr="006938EE">
        <w:t>СИТЕЛ</w:t>
      </w:r>
      <w:proofErr w:type="spellEnd"/>
      <w:r w:rsidR="005463C7" w:rsidRPr="006938EE">
        <w:t xml:space="preserve">, </w:t>
      </w:r>
      <w:proofErr w:type="spellStart"/>
      <w:r w:rsidR="002F0848" w:rsidRPr="006938EE">
        <w:t>КСЭ</w:t>
      </w:r>
      <w:proofErr w:type="spellEnd"/>
      <w:r w:rsidR="005463C7" w:rsidRPr="006938EE">
        <w:t xml:space="preserve">, </w:t>
      </w:r>
      <w:proofErr w:type="spellStart"/>
      <w:r w:rsidR="005463C7" w:rsidRPr="006938EE">
        <w:t>COMTELCA</w:t>
      </w:r>
      <w:proofErr w:type="spellEnd"/>
      <w:r w:rsidR="005463C7" w:rsidRPr="006938EE">
        <w:t xml:space="preserve">, </w:t>
      </w:r>
      <w:proofErr w:type="spellStart"/>
      <w:r w:rsidR="005463C7" w:rsidRPr="006938EE">
        <w:t>LACNIC</w:t>
      </w:r>
      <w:proofErr w:type="spellEnd"/>
      <w:r w:rsidR="005463C7" w:rsidRPr="006938EE">
        <w:t xml:space="preserve">, </w:t>
      </w:r>
      <w:proofErr w:type="spellStart"/>
      <w:r w:rsidR="002F0848" w:rsidRPr="006938EE">
        <w:t>ОАГ</w:t>
      </w:r>
      <w:proofErr w:type="spellEnd"/>
      <w:r w:rsidR="005463C7" w:rsidRPr="006938EE">
        <w:t xml:space="preserve">). </w:t>
      </w:r>
    </w:p>
    <w:p w:rsidR="00D71423" w:rsidRPr="006938EE" w:rsidRDefault="00D71423" w:rsidP="00D71423">
      <w:pPr>
        <w:pStyle w:val="Heading2"/>
      </w:pPr>
      <w:bookmarkStart w:id="23" w:name="lt_pId055"/>
      <w:bookmarkEnd w:id="22"/>
      <w:r w:rsidRPr="006938EE">
        <w:t>2.3</w:t>
      </w:r>
      <w:r w:rsidRPr="006938EE">
        <w:tab/>
      </w:r>
      <w:bookmarkEnd w:id="23"/>
      <w:r w:rsidRPr="006938EE">
        <w:t>Арабские государства</w:t>
      </w:r>
    </w:p>
    <w:p w:rsidR="00D71423" w:rsidRPr="006938EE" w:rsidRDefault="00D71423" w:rsidP="00526147">
      <w:pPr>
        <w:rPr>
          <w:rFonts w:eastAsiaTheme="minorEastAsia"/>
        </w:rPr>
      </w:pPr>
      <w:bookmarkStart w:id="24" w:name="lt_pId056"/>
      <w:r w:rsidRPr="006938EE">
        <w:rPr>
          <w:rFonts w:eastAsiaTheme="minorEastAsia"/>
        </w:rPr>
        <w:t>Региональное отделение МСЭ для арабских государств проводило различные семинары-практикумы, форумы и собрания экспертов (</w:t>
      </w:r>
      <w:r w:rsidR="00742AA8" w:rsidRPr="006938EE">
        <w:rPr>
          <w:rFonts w:eastAsiaTheme="minorEastAsia"/>
        </w:rPr>
        <w:t>по таким темам, как</w:t>
      </w:r>
      <w:r w:rsidRPr="006938EE">
        <w:rPr>
          <w:rFonts w:eastAsiaTheme="minorEastAsia"/>
        </w:rPr>
        <w:t xml:space="preserve"> </w:t>
      </w:r>
      <w:r w:rsidR="002F0848" w:rsidRPr="006938EE">
        <w:rPr>
          <w:rFonts w:eastAsiaTheme="minorEastAsia"/>
        </w:rPr>
        <w:t>партнерство государственного и частного секторов (</w:t>
      </w:r>
      <w:proofErr w:type="spellStart"/>
      <w:r w:rsidR="002F0848" w:rsidRPr="006938EE">
        <w:rPr>
          <w:rFonts w:eastAsiaTheme="minorEastAsia"/>
        </w:rPr>
        <w:t>ПГЧ</w:t>
      </w:r>
      <w:proofErr w:type="spellEnd"/>
      <w:r w:rsidR="002F0848" w:rsidRPr="006938EE">
        <w:rPr>
          <w:rFonts w:eastAsiaTheme="minorEastAsia"/>
        </w:rPr>
        <w:t>)</w:t>
      </w:r>
      <w:r w:rsidRPr="006938EE">
        <w:rPr>
          <w:rFonts w:eastAsiaTheme="minorEastAsia"/>
        </w:rPr>
        <w:t xml:space="preserve"> и </w:t>
      </w:r>
      <w:r w:rsidR="002F0848" w:rsidRPr="006938EE">
        <w:rPr>
          <w:rFonts w:eastAsiaTheme="minorEastAsia"/>
        </w:rPr>
        <w:t xml:space="preserve">приложения </w:t>
      </w:r>
      <w:r w:rsidR="00970ABC" w:rsidRPr="006938EE">
        <w:rPr>
          <w:rFonts w:eastAsiaTheme="minorEastAsia"/>
        </w:rPr>
        <w:t>ИКТ в целях развития (</w:t>
      </w:r>
      <w:proofErr w:type="spellStart"/>
      <w:r w:rsidRPr="006938EE">
        <w:rPr>
          <w:rFonts w:eastAsiaTheme="minorEastAsia"/>
        </w:rPr>
        <w:t>ICT4D</w:t>
      </w:r>
      <w:proofErr w:type="spellEnd"/>
      <w:r w:rsidR="00970ABC" w:rsidRPr="006938EE">
        <w:rPr>
          <w:rFonts w:eastAsiaTheme="minorEastAsia"/>
        </w:rPr>
        <w:t>)</w:t>
      </w:r>
      <w:r w:rsidRPr="006938EE">
        <w:rPr>
          <w:rFonts w:eastAsiaTheme="minorEastAsia"/>
        </w:rPr>
        <w:t>, благоприятная среда для раз</w:t>
      </w:r>
      <w:r w:rsidR="002F0848" w:rsidRPr="006938EE">
        <w:rPr>
          <w:rFonts w:eastAsiaTheme="minorEastAsia"/>
        </w:rPr>
        <w:t>работки</w:t>
      </w:r>
      <w:r w:rsidRPr="006938EE">
        <w:rPr>
          <w:rFonts w:eastAsiaTheme="minorEastAsia"/>
        </w:rPr>
        <w:t xml:space="preserve"> приложений ИКТ, </w:t>
      </w:r>
      <w:r w:rsidR="003202F3" w:rsidRPr="006938EE">
        <w:rPr>
          <w:rFonts w:eastAsiaTheme="minorEastAsia"/>
        </w:rPr>
        <w:t xml:space="preserve">услуги </w:t>
      </w:r>
      <w:proofErr w:type="spellStart"/>
      <w:r w:rsidRPr="006938EE">
        <w:rPr>
          <w:rFonts w:eastAsiaTheme="minorEastAsia"/>
        </w:rPr>
        <w:t>OTT</w:t>
      </w:r>
      <w:proofErr w:type="spellEnd"/>
      <w:r w:rsidRPr="006938EE">
        <w:rPr>
          <w:rFonts w:eastAsiaTheme="minorEastAsia"/>
        </w:rPr>
        <w:t>, защита ребенка в онлайновой среде, соответствие и функциональная совместимость, облачные вычисления</w:t>
      </w:r>
      <w:r w:rsidR="003202F3" w:rsidRPr="006938EE">
        <w:rPr>
          <w:rFonts w:eastAsiaTheme="minorEastAsia"/>
        </w:rPr>
        <w:t xml:space="preserve">, "умное" обучение, "умное" и устойчивое развитие, доступность ИКТ, новые технологии для развития, </w:t>
      </w:r>
      <w:proofErr w:type="spellStart"/>
      <w:r w:rsidR="003202F3" w:rsidRPr="006938EE">
        <w:rPr>
          <w:rFonts w:eastAsiaTheme="minorEastAsia"/>
        </w:rPr>
        <w:t>VSAT</w:t>
      </w:r>
      <w:proofErr w:type="spellEnd"/>
      <w:r w:rsidR="003202F3" w:rsidRPr="006938EE">
        <w:rPr>
          <w:rFonts w:eastAsiaTheme="minorEastAsia"/>
        </w:rPr>
        <w:t xml:space="preserve"> и спутниковые системы, </w:t>
      </w:r>
      <w:proofErr w:type="spellStart"/>
      <w:r w:rsidR="003202F3" w:rsidRPr="006938EE">
        <w:rPr>
          <w:rFonts w:eastAsiaTheme="minorEastAsia"/>
        </w:rPr>
        <w:t>IPv6</w:t>
      </w:r>
      <w:proofErr w:type="spellEnd"/>
      <w:r w:rsidRPr="006938EE">
        <w:rPr>
          <w:rFonts w:eastAsiaTheme="minorEastAsia"/>
        </w:rPr>
        <w:t xml:space="preserve"> и т. д.), которые </w:t>
      </w:r>
      <w:r w:rsidRPr="006938EE">
        <w:rPr>
          <w:rFonts w:eastAsiaTheme="minorEastAsia"/>
        </w:rPr>
        <w:lastRenderedPageBreak/>
        <w:t xml:space="preserve">организовывались в сотрудничестве с </w:t>
      </w:r>
      <w:r w:rsidR="003202F3" w:rsidRPr="006938EE">
        <w:rPr>
          <w:rFonts w:eastAsiaTheme="minorEastAsia"/>
        </w:rPr>
        <w:t>различны</w:t>
      </w:r>
      <w:r w:rsidRPr="006938EE">
        <w:rPr>
          <w:rFonts w:eastAsiaTheme="minorEastAsia"/>
        </w:rPr>
        <w:t xml:space="preserve">ми заинтересованными сторонами </w:t>
      </w:r>
      <w:r w:rsidR="003202F3" w:rsidRPr="006938EE">
        <w:rPr>
          <w:rFonts w:eastAsiaTheme="minorEastAsia"/>
        </w:rPr>
        <w:t xml:space="preserve">(Всемирный банк, </w:t>
      </w:r>
      <w:proofErr w:type="spellStart"/>
      <w:r w:rsidR="003202F3" w:rsidRPr="006938EE">
        <w:rPr>
          <w:rFonts w:eastAsiaTheme="minorEastAsia"/>
        </w:rPr>
        <w:t>ITSO</w:t>
      </w:r>
      <w:proofErr w:type="spellEnd"/>
      <w:r w:rsidR="003202F3" w:rsidRPr="006938EE">
        <w:rPr>
          <w:rFonts w:eastAsiaTheme="minorEastAsia"/>
        </w:rPr>
        <w:t xml:space="preserve">, </w:t>
      </w:r>
      <w:r w:rsidRPr="006938EE">
        <w:rPr>
          <w:rFonts w:eastAsiaTheme="minorEastAsia"/>
        </w:rPr>
        <w:t>Экономическая и социальная комиссия ООН для Западной Азии (</w:t>
      </w:r>
      <w:proofErr w:type="spellStart"/>
      <w:r w:rsidRPr="006938EE">
        <w:rPr>
          <w:rFonts w:eastAsiaTheme="minorEastAsia"/>
        </w:rPr>
        <w:t>ЭСКЗА</w:t>
      </w:r>
      <w:proofErr w:type="spellEnd"/>
      <w:r w:rsidRPr="006938EE">
        <w:rPr>
          <w:rFonts w:eastAsiaTheme="minorEastAsia"/>
        </w:rPr>
        <w:t xml:space="preserve"> ООН), Арабская сеть технопарков и инкубаторов (</w:t>
      </w:r>
      <w:proofErr w:type="spellStart"/>
      <w:r w:rsidRPr="006938EE">
        <w:rPr>
          <w:rFonts w:eastAsiaTheme="minorEastAsia"/>
        </w:rPr>
        <w:t>ARTECNET</w:t>
      </w:r>
      <w:proofErr w:type="spellEnd"/>
      <w:r w:rsidRPr="006938EE">
        <w:rPr>
          <w:rFonts w:eastAsiaTheme="minorEastAsia"/>
        </w:rPr>
        <w:t>), Арабская сеть регуляторных органов (</w:t>
      </w:r>
      <w:proofErr w:type="spellStart"/>
      <w:r w:rsidRPr="006938EE">
        <w:rPr>
          <w:rFonts w:eastAsiaTheme="minorEastAsia"/>
        </w:rPr>
        <w:t>AREGNET</w:t>
      </w:r>
      <w:proofErr w:type="spellEnd"/>
      <w:r w:rsidRPr="006938EE">
        <w:rPr>
          <w:rFonts w:eastAsiaTheme="minorEastAsia"/>
        </w:rPr>
        <w:t xml:space="preserve">), Арабский региональный центр </w:t>
      </w:r>
      <w:proofErr w:type="spellStart"/>
      <w:r w:rsidRPr="006938EE">
        <w:rPr>
          <w:rFonts w:eastAsiaTheme="minorEastAsia"/>
        </w:rPr>
        <w:t>кибербезопасности</w:t>
      </w:r>
      <w:proofErr w:type="spellEnd"/>
      <w:r w:rsidRPr="006938EE">
        <w:rPr>
          <w:rFonts w:eastAsiaTheme="minorEastAsia"/>
        </w:rPr>
        <w:t xml:space="preserve"> (</w:t>
      </w:r>
      <w:proofErr w:type="spellStart"/>
      <w:r w:rsidRPr="006938EE">
        <w:rPr>
          <w:rFonts w:eastAsiaTheme="minorEastAsia"/>
        </w:rPr>
        <w:t>ARCC</w:t>
      </w:r>
      <w:proofErr w:type="spellEnd"/>
      <w:r w:rsidRPr="006938EE">
        <w:rPr>
          <w:rFonts w:eastAsiaTheme="minorEastAsia"/>
        </w:rPr>
        <w:t xml:space="preserve">), Регуляторный орган электросвязи Объединенных Арабских Эмиратов, </w:t>
      </w:r>
      <w:proofErr w:type="spellStart"/>
      <w:r w:rsidR="002F0848" w:rsidRPr="006938EE">
        <w:rPr>
          <w:rFonts w:eastAsiaTheme="minorEastAsia"/>
        </w:rPr>
        <w:t>NTC</w:t>
      </w:r>
      <w:proofErr w:type="spellEnd"/>
      <w:r w:rsidR="003202F3" w:rsidRPr="006938EE">
        <w:rPr>
          <w:rFonts w:eastAsiaTheme="minorEastAsia"/>
        </w:rPr>
        <w:t xml:space="preserve"> Судана, </w:t>
      </w:r>
      <w:proofErr w:type="spellStart"/>
      <w:r w:rsidR="003202F3" w:rsidRPr="006938EE">
        <w:rPr>
          <w:rFonts w:eastAsiaTheme="minorEastAsia"/>
        </w:rPr>
        <w:t>SUDACAD</w:t>
      </w:r>
      <w:proofErr w:type="spellEnd"/>
      <w:r w:rsidR="003202F3" w:rsidRPr="006938EE">
        <w:rPr>
          <w:rFonts w:eastAsiaTheme="minorEastAsia"/>
        </w:rPr>
        <w:t xml:space="preserve"> (Судан), </w:t>
      </w:r>
      <w:r w:rsidRPr="006938EE">
        <w:rPr>
          <w:rFonts w:eastAsiaTheme="minorEastAsia"/>
        </w:rPr>
        <w:t>Министерство связи и информаци</w:t>
      </w:r>
      <w:r w:rsidR="008B1215" w:rsidRPr="006938EE">
        <w:rPr>
          <w:rFonts w:eastAsiaTheme="minorEastAsia"/>
        </w:rPr>
        <w:t>онных технологий (</w:t>
      </w:r>
      <w:proofErr w:type="spellStart"/>
      <w:r w:rsidR="008B1215" w:rsidRPr="006938EE">
        <w:rPr>
          <w:rFonts w:eastAsiaTheme="minorEastAsia"/>
        </w:rPr>
        <w:t>МСИТ</w:t>
      </w:r>
      <w:proofErr w:type="spellEnd"/>
      <w:r w:rsidR="008B1215" w:rsidRPr="006938EE">
        <w:rPr>
          <w:rFonts w:eastAsiaTheme="minorEastAsia"/>
        </w:rPr>
        <w:t>)</w:t>
      </w:r>
      <w:r w:rsidRPr="006938EE">
        <w:rPr>
          <w:rFonts w:eastAsiaTheme="minorEastAsia"/>
        </w:rPr>
        <w:t xml:space="preserve"> Египта, Союз арабского Магриба (САМ), </w:t>
      </w:r>
      <w:proofErr w:type="spellStart"/>
      <w:r w:rsidRPr="006938EE">
        <w:rPr>
          <w:rFonts w:eastAsiaTheme="minorEastAsia"/>
        </w:rPr>
        <w:t>ALECSO</w:t>
      </w:r>
      <w:proofErr w:type="spellEnd"/>
      <w:r w:rsidRPr="006938EE">
        <w:rPr>
          <w:rFonts w:eastAsiaTheme="minorEastAsia"/>
        </w:rPr>
        <w:t xml:space="preserve">, </w:t>
      </w:r>
      <w:r w:rsidR="00453FB9" w:rsidRPr="006938EE">
        <w:rPr>
          <w:rFonts w:eastAsiaTheme="minorEastAsia"/>
        </w:rPr>
        <w:t xml:space="preserve">ЮНЕСКО, </w:t>
      </w:r>
      <w:r w:rsidRPr="006938EE">
        <w:rPr>
          <w:rFonts w:eastAsiaTheme="minorEastAsia"/>
        </w:rPr>
        <w:t>университеты Туниса</w:t>
      </w:r>
      <w:r w:rsidR="00677A73" w:rsidRPr="006938EE">
        <w:rPr>
          <w:rFonts w:eastAsiaTheme="minorEastAsia"/>
        </w:rPr>
        <w:t>,</w:t>
      </w:r>
      <w:r w:rsidRPr="006938EE">
        <w:rPr>
          <w:rFonts w:eastAsiaTheme="minorEastAsia"/>
        </w:rPr>
        <w:t xml:space="preserve"> </w:t>
      </w:r>
      <w:r w:rsidR="00DF2C7A" w:rsidRPr="006938EE">
        <w:rPr>
          <w:color w:val="000000"/>
        </w:rPr>
        <w:t>Программа "умного" обучения Мохаммеда бин-Рашида</w:t>
      </w:r>
      <w:r w:rsidR="00DF2C7A" w:rsidRPr="006938EE">
        <w:rPr>
          <w:rFonts w:eastAsiaTheme="minorEastAsia"/>
        </w:rPr>
        <w:t xml:space="preserve"> </w:t>
      </w:r>
      <w:r w:rsidRPr="006938EE">
        <w:rPr>
          <w:rFonts w:eastAsiaTheme="minorEastAsia"/>
        </w:rPr>
        <w:t>и т. д.</w:t>
      </w:r>
      <w:bookmarkEnd w:id="24"/>
      <w:r w:rsidR="00453FB9" w:rsidRPr="006938EE">
        <w:rPr>
          <w:rFonts w:eastAsiaTheme="minorEastAsia"/>
        </w:rPr>
        <w:t>).</w:t>
      </w:r>
    </w:p>
    <w:p w:rsidR="005463C7" w:rsidRPr="006938EE" w:rsidRDefault="00861D99" w:rsidP="00526147">
      <w:pPr>
        <w:rPr>
          <w:rFonts w:eastAsiaTheme="minorEastAsia"/>
        </w:rPr>
      </w:pPr>
      <w:bookmarkStart w:id="25" w:name="lt_pId054"/>
      <w:r w:rsidRPr="006938EE">
        <w:rPr>
          <w:rFonts w:eastAsiaTheme="minorEastAsia"/>
        </w:rPr>
        <w:t xml:space="preserve">Кроме того, после </w:t>
      </w:r>
      <w:r w:rsidR="005463C7" w:rsidRPr="006938EE">
        <w:rPr>
          <w:rFonts w:eastAsiaTheme="minorEastAsia"/>
        </w:rPr>
        <w:t>2013</w:t>
      </w:r>
      <w:r w:rsidRPr="006938EE">
        <w:rPr>
          <w:rFonts w:eastAsiaTheme="minorEastAsia"/>
        </w:rPr>
        <w:t xml:space="preserve"> года ежегодно </w:t>
      </w:r>
      <w:r w:rsidR="00DD411F" w:rsidRPr="006938EE">
        <w:rPr>
          <w:rFonts w:eastAsiaTheme="minorEastAsia"/>
        </w:rPr>
        <w:t xml:space="preserve">проводятся </w:t>
      </w:r>
      <w:r w:rsidRPr="006938EE">
        <w:rPr>
          <w:rFonts w:eastAsiaTheme="minorEastAsia"/>
        </w:rPr>
        <w:t xml:space="preserve">два важных мероприятия по </w:t>
      </w:r>
      <w:proofErr w:type="spellStart"/>
      <w:r w:rsidRPr="006938EE">
        <w:rPr>
          <w:rFonts w:eastAsiaTheme="minorEastAsia"/>
        </w:rPr>
        <w:t>кибербезопасности</w:t>
      </w:r>
      <w:proofErr w:type="spellEnd"/>
      <w:r w:rsidR="005463C7" w:rsidRPr="006938EE">
        <w:rPr>
          <w:rFonts w:eastAsiaTheme="minorEastAsia"/>
        </w:rPr>
        <w:t xml:space="preserve"> (</w:t>
      </w:r>
      <w:r w:rsidRPr="006938EE">
        <w:rPr>
          <w:rFonts w:eastAsiaTheme="minorEastAsia"/>
        </w:rPr>
        <w:t xml:space="preserve">Региональный саммит по </w:t>
      </w:r>
      <w:proofErr w:type="spellStart"/>
      <w:r w:rsidRPr="006938EE">
        <w:rPr>
          <w:rFonts w:eastAsiaTheme="minorEastAsia"/>
        </w:rPr>
        <w:t>кибе</w:t>
      </w:r>
      <w:r w:rsidR="00DD411F" w:rsidRPr="006938EE">
        <w:rPr>
          <w:rFonts w:eastAsiaTheme="minorEastAsia"/>
        </w:rPr>
        <w:t>рбезопасности</w:t>
      </w:r>
      <w:proofErr w:type="spellEnd"/>
      <w:r w:rsidR="00DD411F" w:rsidRPr="006938EE">
        <w:rPr>
          <w:rFonts w:eastAsiaTheme="minorEastAsia"/>
        </w:rPr>
        <w:t xml:space="preserve"> и</w:t>
      </w:r>
      <w:r w:rsidR="005463C7" w:rsidRPr="006938EE">
        <w:rPr>
          <w:rFonts w:eastAsiaTheme="minorEastAsia"/>
        </w:rPr>
        <w:t xml:space="preserve"> </w:t>
      </w:r>
      <w:r w:rsidR="00DD411F" w:rsidRPr="006938EE">
        <w:rPr>
          <w:rFonts w:eastAsiaTheme="minorEastAsia"/>
        </w:rPr>
        <w:t xml:space="preserve">Региональное тренировочное занятие по </w:t>
      </w:r>
      <w:proofErr w:type="spellStart"/>
      <w:r w:rsidR="00DD411F" w:rsidRPr="006938EE">
        <w:rPr>
          <w:rFonts w:eastAsiaTheme="minorEastAsia"/>
        </w:rPr>
        <w:t>кибербезопасности</w:t>
      </w:r>
      <w:proofErr w:type="spellEnd"/>
      <w:r w:rsidR="005463C7" w:rsidRPr="006938EE">
        <w:rPr>
          <w:rFonts w:eastAsiaTheme="minorEastAsia"/>
        </w:rPr>
        <w:t>)</w:t>
      </w:r>
      <w:r w:rsidR="00DD411F" w:rsidRPr="006938EE">
        <w:rPr>
          <w:rFonts w:eastAsiaTheme="minorEastAsia"/>
        </w:rPr>
        <w:t xml:space="preserve">, организацию которых обеспечивает </w:t>
      </w:r>
      <w:r w:rsidR="00742AA8" w:rsidRPr="006938EE">
        <w:rPr>
          <w:rFonts w:eastAsiaTheme="minorEastAsia"/>
        </w:rPr>
        <w:t>Региональное отделение МСЭ для а</w:t>
      </w:r>
      <w:r w:rsidR="00DD411F" w:rsidRPr="006938EE">
        <w:rPr>
          <w:rFonts w:eastAsiaTheme="minorEastAsia"/>
        </w:rPr>
        <w:t>рабских государств в партнерстве с МСЭ</w:t>
      </w:r>
      <w:r w:rsidR="005463C7" w:rsidRPr="006938EE">
        <w:rPr>
          <w:rFonts w:eastAsiaTheme="minorEastAsia"/>
        </w:rPr>
        <w:t>-</w:t>
      </w:r>
      <w:proofErr w:type="spellStart"/>
      <w:r w:rsidR="005463C7" w:rsidRPr="006938EE">
        <w:rPr>
          <w:rFonts w:eastAsiaTheme="minorEastAsia"/>
        </w:rPr>
        <w:t>ARCC</w:t>
      </w:r>
      <w:proofErr w:type="spellEnd"/>
      <w:r w:rsidR="005463C7" w:rsidRPr="006938EE">
        <w:rPr>
          <w:rFonts w:eastAsiaTheme="minorEastAsia"/>
        </w:rPr>
        <w:t>.</w:t>
      </w:r>
      <w:bookmarkEnd w:id="25"/>
    </w:p>
    <w:p w:rsidR="005463C7" w:rsidRPr="006938EE" w:rsidRDefault="00133EA6" w:rsidP="00526147">
      <w:pPr>
        <w:rPr>
          <w:rFonts w:eastAsiaTheme="minorEastAsia"/>
        </w:rPr>
      </w:pPr>
      <w:r w:rsidRPr="006938EE">
        <w:rPr>
          <w:rFonts w:eastAsiaTheme="minorEastAsia"/>
        </w:rPr>
        <w:t xml:space="preserve">В </w:t>
      </w:r>
      <w:r w:rsidR="005463C7" w:rsidRPr="006938EE">
        <w:rPr>
          <w:rFonts w:eastAsiaTheme="minorEastAsia"/>
        </w:rPr>
        <w:t>2016</w:t>
      </w:r>
      <w:r w:rsidRPr="006938EE">
        <w:rPr>
          <w:rFonts w:eastAsiaTheme="minorEastAsia"/>
        </w:rPr>
        <w:t xml:space="preserve"> году МСЭ подписал два соглашения о сотрудничестве с </w:t>
      </w:r>
      <w:r w:rsidR="003B6EEC" w:rsidRPr="006938EE">
        <w:rPr>
          <w:rFonts w:eastAsiaTheme="minorEastAsia"/>
        </w:rPr>
        <w:t>Министерством связи и информационных технологий (</w:t>
      </w:r>
      <w:proofErr w:type="spellStart"/>
      <w:r w:rsidR="003B6EEC" w:rsidRPr="006938EE">
        <w:rPr>
          <w:rFonts w:eastAsiaTheme="minorEastAsia"/>
        </w:rPr>
        <w:t>МСИТ</w:t>
      </w:r>
      <w:proofErr w:type="spellEnd"/>
      <w:r w:rsidR="003B6EEC" w:rsidRPr="006938EE">
        <w:rPr>
          <w:rFonts w:eastAsiaTheme="minorEastAsia"/>
        </w:rPr>
        <w:t>)</w:t>
      </w:r>
      <w:r w:rsidR="005463C7" w:rsidRPr="006938EE">
        <w:rPr>
          <w:rFonts w:eastAsiaTheme="minorEastAsia"/>
        </w:rPr>
        <w:t xml:space="preserve"> </w:t>
      </w:r>
      <w:r w:rsidRPr="006938EE">
        <w:rPr>
          <w:rFonts w:eastAsiaTheme="minorEastAsia"/>
        </w:rPr>
        <w:t>Египта</w:t>
      </w:r>
      <w:r w:rsidR="005463C7" w:rsidRPr="006938EE">
        <w:rPr>
          <w:rFonts w:eastAsiaTheme="minorEastAsia"/>
        </w:rPr>
        <w:t xml:space="preserve">, </w:t>
      </w:r>
      <w:r w:rsidRPr="006938EE">
        <w:rPr>
          <w:rFonts w:eastAsiaTheme="minorEastAsia"/>
        </w:rPr>
        <w:t>одно о создании регионального центра по доступности ИКТ для лиц с ограниченными возможностями, а другое – об осуществлении проекта по "умному" управлению подземными водами в Египте</w:t>
      </w:r>
      <w:r w:rsidR="005463C7" w:rsidRPr="006938EE">
        <w:rPr>
          <w:rFonts w:eastAsiaTheme="minorEastAsia"/>
        </w:rPr>
        <w:t>.</w:t>
      </w:r>
      <w:r w:rsidR="00AC4143" w:rsidRPr="006938EE">
        <w:rPr>
          <w:rFonts w:eastAsiaTheme="minorEastAsia"/>
        </w:rPr>
        <w:t xml:space="preserve"> Кроме того, было подписано соглашение о сотрудничестве с Программой "умного" обучения Мохаммеда Бин Рашида</w:t>
      </w:r>
      <w:r w:rsidR="005463C7" w:rsidRPr="006938EE">
        <w:rPr>
          <w:rFonts w:eastAsiaTheme="minorEastAsia"/>
        </w:rPr>
        <w:t xml:space="preserve"> </w:t>
      </w:r>
      <w:r w:rsidR="0064570A" w:rsidRPr="006938EE">
        <w:rPr>
          <w:rFonts w:eastAsiaTheme="minorEastAsia"/>
        </w:rPr>
        <w:t>и с Регуляторным органом электросвязи Объединенных Арабских Эмиратов с целью проведения программ создания потенциала в области "умного" обучения для стран арабского региона</w:t>
      </w:r>
      <w:r w:rsidR="005463C7" w:rsidRPr="006938EE">
        <w:rPr>
          <w:rFonts w:eastAsiaTheme="minorEastAsia"/>
        </w:rPr>
        <w:t>.</w:t>
      </w:r>
    </w:p>
    <w:p w:rsidR="00D71423" w:rsidRPr="006938EE" w:rsidRDefault="00D71423" w:rsidP="00D71423">
      <w:pPr>
        <w:pStyle w:val="Heading2"/>
      </w:pPr>
      <w:bookmarkStart w:id="26" w:name="lt_pId060"/>
      <w:r w:rsidRPr="006938EE">
        <w:t>2.4</w:t>
      </w:r>
      <w:r w:rsidRPr="006938EE">
        <w:tab/>
      </w:r>
      <w:bookmarkEnd w:id="26"/>
      <w:r w:rsidRPr="006938EE">
        <w:t>Азиатско-Тихоокеанский регион</w:t>
      </w:r>
    </w:p>
    <w:p w:rsidR="00D71423" w:rsidRPr="006938EE" w:rsidRDefault="00D71423" w:rsidP="009707EA">
      <w:pPr>
        <w:rPr>
          <w:rFonts w:eastAsiaTheme="minorEastAsia"/>
        </w:rPr>
      </w:pPr>
      <w:bookmarkStart w:id="27" w:name="lt_pId061"/>
      <w:r w:rsidRPr="006938EE">
        <w:rPr>
          <w:rFonts w:eastAsiaTheme="minorEastAsia"/>
        </w:rPr>
        <w:t>Региональн</w:t>
      </w:r>
      <w:r w:rsidR="00F32728" w:rsidRPr="006938EE">
        <w:rPr>
          <w:rFonts w:eastAsiaTheme="minorEastAsia"/>
        </w:rPr>
        <w:t>о</w:t>
      </w:r>
      <w:r w:rsidRPr="006938EE">
        <w:rPr>
          <w:rFonts w:eastAsiaTheme="minorEastAsia"/>
        </w:rPr>
        <w:t>е и зональные отделения МСЭ продолжали взаимодействовать с рядом партнеров в различных областях</w:t>
      </w:r>
      <w:r w:rsidR="008B1215" w:rsidRPr="006938EE">
        <w:rPr>
          <w:rFonts w:eastAsiaTheme="minorEastAsia"/>
        </w:rPr>
        <w:t>, включая</w:t>
      </w:r>
      <w:r w:rsidRPr="006938EE">
        <w:rPr>
          <w:rFonts w:eastAsiaTheme="minorEastAsia"/>
        </w:rPr>
        <w:t xml:space="preserve"> электронное сельское хозяйство – с </w:t>
      </w:r>
      <w:proofErr w:type="spellStart"/>
      <w:r w:rsidRPr="006938EE">
        <w:rPr>
          <w:rFonts w:eastAsiaTheme="minorEastAsia"/>
        </w:rPr>
        <w:t>ФАО</w:t>
      </w:r>
      <w:proofErr w:type="spellEnd"/>
      <w:r w:rsidR="009707EA" w:rsidRPr="006938EE">
        <w:rPr>
          <w:rFonts w:eastAsiaTheme="minorEastAsia"/>
        </w:rPr>
        <w:t>; мобильное здравоохранение </w:t>
      </w:r>
      <w:r w:rsidR="00D446F8" w:rsidRPr="006938EE">
        <w:rPr>
          <w:rFonts w:eastAsiaTheme="minorEastAsia"/>
        </w:rPr>
        <w:t xml:space="preserve">– с ВОЗ; </w:t>
      </w:r>
      <w:proofErr w:type="spellStart"/>
      <w:r w:rsidRPr="006938EE">
        <w:rPr>
          <w:rFonts w:eastAsiaTheme="minorEastAsia"/>
        </w:rPr>
        <w:t>IPv6</w:t>
      </w:r>
      <w:proofErr w:type="spellEnd"/>
      <w:r w:rsidRPr="006938EE">
        <w:rPr>
          <w:rFonts w:eastAsiaTheme="minorEastAsia"/>
        </w:rPr>
        <w:t xml:space="preserve"> </w:t>
      </w:r>
      <w:r w:rsidR="00D446F8" w:rsidRPr="006938EE">
        <w:rPr>
          <w:rFonts w:eastAsiaTheme="minorEastAsia"/>
        </w:rPr>
        <w:t>и пункты обмена трафиком интернета (</w:t>
      </w:r>
      <w:proofErr w:type="spellStart"/>
      <w:r w:rsidR="00D446F8" w:rsidRPr="006938EE">
        <w:rPr>
          <w:rFonts w:eastAsiaTheme="minorEastAsia"/>
        </w:rPr>
        <w:t>IXP</w:t>
      </w:r>
      <w:proofErr w:type="spellEnd"/>
      <w:r w:rsidR="00D446F8" w:rsidRPr="006938EE">
        <w:rPr>
          <w:rFonts w:eastAsiaTheme="minorEastAsia"/>
        </w:rPr>
        <w:t xml:space="preserve">) </w:t>
      </w:r>
      <w:r w:rsidRPr="006938EE">
        <w:rPr>
          <w:rFonts w:eastAsiaTheme="minorEastAsia"/>
        </w:rPr>
        <w:t>– с Азиатско-Тихоокеанским сетевым информационным центром (</w:t>
      </w:r>
      <w:proofErr w:type="spellStart"/>
      <w:r w:rsidRPr="006938EE">
        <w:rPr>
          <w:rFonts w:eastAsiaTheme="minorEastAsia"/>
        </w:rPr>
        <w:t>APNIC</w:t>
      </w:r>
      <w:proofErr w:type="spellEnd"/>
      <w:r w:rsidRPr="006938EE">
        <w:rPr>
          <w:rFonts w:eastAsiaTheme="minorEastAsia"/>
        </w:rPr>
        <w:t>)</w:t>
      </w:r>
      <w:r w:rsidR="003C7E08" w:rsidRPr="006938EE">
        <w:rPr>
          <w:rFonts w:eastAsiaTheme="minorEastAsia"/>
        </w:rPr>
        <w:t>;</w:t>
      </w:r>
      <w:r w:rsidRPr="006938EE">
        <w:rPr>
          <w:rFonts w:eastAsiaTheme="minorEastAsia"/>
        </w:rPr>
        <w:t xml:space="preserve"> радиовещание – с Азиатско-Тихоокеанским радиовещательным союзом (</w:t>
      </w:r>
      <w:proofErr w:type="spellStart"/>
      <w:r w:rsidRPr="006938EE">
        <w:rPr>
          <w:rFonts w:eastAsiaTheme="minorEastAsia"/>
        </w:rPr>
        <w:t>АТРС</w:t>
      </w:r>
      <w:proofErr w:type="spellEnd"/>
      <w:r w:rsidRPr="006938EE">
        <w:rPr>
          <w:rFonts w:eastAsiaTheme="minorEastAsia"/>
        </w:rPr>
        <w:t>) и Азиатско-Тихоокеанским институтом развития радиовещания (</w:t>
      </w:r>
      <w:proofErr w:type="spellStart"/>
      <w:r w:rsidRPr="006938EE">
        <w:rPr>
          <w:rFonts w:eastAsiaTheme="minorEastAsia"/>
        </w:rPr>
        <w:t>AIBD</w:t>
      </w:r>
      <w:proofErr w:type="spellEnd"/>
      <w:r w:rsidRPr="006938EE">
        <w:rPr>
          <w:rFonts w:eastAsiaTheme="minorEastAsia"/>
        </w:rPr>
        <w:t>); создан</w:t>
      </w:r>
      <w:r w:rsidR="00D446F8" w:rsidRPr="006938EE">
        <w:rPr>
          <w:rFonts w:eastAsiaTheme="minorEastAsia"/>
        </w:rPr>
        <w:t xml:space="preserve">ие человеческого потенциала – с Азиатско-Тихоокеанским </w:t>
      </w:r>
      <w:r w:rsidR="002F0848" w:rsidRPr="006938EE">
        <w:rPr>
          <w:rFonts w:eastAsiaTheme="minorEastAsia"/>
        </w:rPr>
        <w:t>сообществом</w:t>
      </w:r>
      <w:r w:rsidR="00D446F8" w:rsidRPr="006938EE">
        <w:rPr>
          <w:rFonts w:eastAsiaTheme="minorEastAsia"/>
        </w:rPr>
        <w:t xml:space="preserve"> электросвязи</w:t>
      </w:r>
      <w:r w:rsidR="003C7E08" w:rsidRPr="006938EE">
        <w:rPr>
          <w:rFonts w:eastAsiaTheme="minorEastAsia"/>
        </w:rPr>
        <w:t>;</w:t>
      </w:r>
      <w:r w:rsidRPr="006938EE">
        <w:rPr>
          <w:rFonts w:eastAsiaTheme="minorEastAsia"/>
        </w:rPr>
        <w:t xml:space="preserve"> </w:t>
      </w:r>
      <w:r w:rsidR="008B1215" w:rsidRPr="006938EE">
        <w:rPr>
          <w:rFonts w:eastAsiaTheme="minorEastAsia"/>
        </w:rPr>
        <w:t xml:space="preserve">а также посредством </w:t>
      </w:r>
      <w:r w:rsidRPr="006938EE">
        <w:rPr>
          <w:rFonts w:eastAsiaTheme="minorEastAsia"/>
        </w:rPr>
        <w:t>центр</w:t>
      </w:r>
      <w:r w:rsidR="008B1215" w:rsidRPr="006938EE">
        <w:rPr>
          <w:rFonts w:eastAsiaTheme="minorEastAsia"/>
        </w:rPr>
        <w:t>ов</w:t>
      </w:r>
      <w:r w:rsidRPr="006938EE">
        <w:rPr>
          <w:rFonts w:eastAsiaTheme="minorEastAsia"/>
        </w:rPr>
        <w:t xml:space="preserve"> профессионального мастерства и связанны</w:t>
      </w:r>
      <w:r w:rsidR="008B1215" w:rsidRPr="006938EE">
        <w:rPr>
          <w:rFonts w:eastAsiaTheme="minorEastAsia"/>
        </w:rPr>
        <w:t>х</w:t>
      </w:r>
      <w:r w:rsidRPr="006938EE">
        <w:rPr>
          <w:rFonts w:eastAsiaTheme="minorEastAsia"/>
        </w:rPr>
        <w:t xml:space="preserve"> с ними партнер</w:t>
      </w:r>
      <w:r w:rsidR="008B1215" w:rsidRPr="006938EE">
        <w:rPr>
          <w:rFonts w:eastAsiaTheme="minorEastAsia"/>
        </w:rPr>
        <w:t>ов</w:t>
      </w:r>
      <w:r w:rsidRPr="006938EE">
        <w:rPr>
          <w:rFonts w:eastAsiaTheme="minorEastAsia"/>
        </w:rPr>
        <w:t>.</w:t>
      </w:r>
      <w:bookmarkEnd w:id="27"/>
    </w:p>
    <w:p w:rsidR="005463C7" w:rsidRPr="006938EE" w:rsidRDefault="00D446F8" w:rsidP="00F32728">
      <w:pPr>
        <w:rPr>
          <w:rFonts w:eastAsiaTheme="minorEastAsia"/>
        </w:rPr>
      </w:pPr>
      <w:bookmarkStart w:id="28" w:name="lt_pId059"/>
      <w:r w:rsidRPr="006938EE">
        <w:rPr>
          <w:rFonts w:eastAsiaTheme="minorEastAsia"/>
        </w:rPr>
        <w:t>Региональн</w:t>
      </w:r>
      <w:r w:rsidR="00F32728" w:rsidRPr="006938EE">
        <w:rPr>
          <w:rFonts w:eastAsiaTheme="minorEastAsia"/>
        </w:rPr>
        <w:t>о</w:t>
      </w:r>
      <w:r w:rsidRPr="006938EE">
        <w:rPr>
          <w:rFonts w:eastAsiaTheme="minorEastAsia"/>
        </w:rPr>
        <w:t xml:space="preserve">е и зональные отделения МСЭ обеспечивали удовлетворение потребностей в показателях и статистических данных в области электросвязи/ИКТ в шести Государствах-Членах </w:t>
      </w:r>
      <w:proofErr w:type="spellStart"/>
      <w:r w:rsidRPr="006938EE">
        <w:rPr>
          <w:rFonts w:eastAsiaTheme="minorEastAsia"/>
        </w:rPr>
        <w:t>АСЕАН</w:t>
      </w:r>
      <w:proofErr w:type="spellEnd"/>
      <w:r w:rsidR="005463C7" w:rsidRPr="006938EE">
        <w:rPr>
          <w:rFonts w:eastAsiaTheme="minorEastAsia"/>
        </w:rPr>
        <w:t xml:space="preserve">, </w:t>
      </w:r>
      <w:r w:rsidR="00F32728" w:rsidRPr="006938EE">
        <w:rPr>
          <w:rFonts w:eastAsiaTheme="minorEastAsia"/>
        </w:rPr>
        <w:t xml:space="preserve">в стратегии устранения </w:t>
      </w:r>
      <w:proofErr w:type="spellStart"/>
      <w:r w:rsidR="00F32728" w:rsidRPr="006938EE">
        <w:rPr>
          <w:rFonts w:eastAsiaTheme="minorEastAsia"/>
        </w:rPr>
        <w:t>киберинцидентов</w:t>
      </w:r>
      <w:proofErr w:type="spellEnd"/>
      <w:r w:rsidR="00F32728" w:rsidRPr="006938EE">
        <w:rPr>
          <w:rFonts w:eastAsiaTheme="minorEastAsia"/>
        </w:rPr>
        <w:t xml:space="preserve"> и обеспечения </w:t>
      </w:r>
      <w:proofErr w:type="spellStart"/>
      <w:r w:rsidR="00F32728" w:rsidRPr="006938EE">
        <w:rPr>
          <w:rFonts w:eastAsiaTheme="minorEastAsia"/>
        </w:rPr>
        <w:t>кибербезопасности</w:t>
      </w:r>
      <w:proofErr w:type="spellEnd"/>
      <w:r w:rsidR="005463C7" w:rsidRPr="006938EE">
        <w:rPr>
          <w:rFonts w:eastAsiaTheme="minorEastAsia"/>
        </w:rPr>
        <w:t xml:space="preserve">, </w:t>
      </w:r>
      <w:r w:rsidR="00F32728" w:rsidRPr="006938EE">
        <w:rPr>
          <w:rFonts w:eastAsiaTheme="minorEastAsia"/>
        </w:rPr>
        <w:t>включая</w:t>
      </w:r>
      <w:r w:rsidR="005463C7" w:rsidRPr="006938EE">
        <w:rPr>
          <w:rFonts w:eastAsiaTheme="minorEastAsia"/>
        </w:rPr>
        <w:t xml:space="preserve"> </w:t>
      </w:r>
      <w:r w:rsidR="00F32728" w:rsidRPr="006938EE">
        <w:rPr>
          <w:rFonts w:eastAsiaTheme="minorEastAsia"/>
        </w:rPr>
        <w:t>организацию учебного лагеря по кодированию совместно с</w:t>
      </w:r>
      <w:r w:rsidR="005463C7" w:rsidRPr="006938EE">
        <w:rPr>
          <w:rFonts w:eastAsiaTheme="minorEastAsia"/>
        </w:rPr>
        <w:t xml:space="preserve"> </w:t>
      </w:r>
      <w:r w:rsidR="00F32728" w:rsidRPr="006938EE">
        <w:rPr>
          <w:rFonts w:eastAsiaTheme="minorEastAsia"/>
        </w:rPr>
        <w:t>Министерством связи и информационных технологий</w:t>
      </w:r>
      <w:r w:rsidR="005463C7" w:rsidRPr="006938EE">
        <w:rPr>
          <w:rFonts w:eastAsiaTheme="minorEastAsia"/>
        </w:rPr>
        <w:t xml:space="preserve"> </w:t>
      </w:r>
      <w:r w:rsidR="00F32728" w:rsidRPr="006938EE">
        <w:rPr>
          <w:rFonts w:eastAsiaTheme="minorEastAsia"/>
        </w:rPr>
        <w:t>Филиппин</w:t>
      </w:r>
      <w:r w:rsidR="005463C7" w:rsidRPr="006938EE">
        <w:rPr>
          <w:rFonts w:eastAsiaTheme="minorEastAsia"/>
        </w:rPr>
        <w:t>.</w:t>
      </w:r>
      <w:bookmarkEnd w:id="28"/>
    </w:p>
    <w:p w:rsidR="005463C7" w:rsidRPr="006938EE" w:rsidRDefault="00F32728" w:rsidP="00F32728">
      <w:pPr>
        <w:rPr>
          <w:rFonts w:eastAsiaTheme="minorEastAsia"/>
        </w:rPr>
      </w:pPr>
      <w:r w:rsidRPr="006938EE">
        <w:rPr>
          <w:rFonts w:eastAsiaTheme="minorEastAsia"/>
        </w:rPr>
        <w:t xml:space="preserve">Международный день "Девушки в ИКТ" был организован совместно Региональным и зональными отделениями в ассоциации с </w:t>
      </w:r>
      <w:proofErr w:type="spellStart"/>
      <w:r w:rsidR="005463C7" w:rsidRPr="006938EE">
        <w:rPr>
          <w:rFonts w:eastAsiaTheme="minorEastAsia"/>
        </w:rPr>
        <w:t>CISCO</w:t>
      </w:r>
      <w:proofErr w:type="spellEnd"/>
      <w:r w:rsidR="005463C7" w:rsidRPr="006938EE">
        <w:rPr>
          <w:rFonts w:eastAsiaTheme="minorEastAsia"/>
        </w:rPr>
        <w:t xml:space="preserve"> </w:t>
      </w:r>
      <w:r w:rsidRPr="006938EE">
        <w:rPr>
          <w:rFonts w:eastAsiaTheme="minorEastAsia"/>
        </w:rPr>
        <w:t xml:space="preserve">в Бангкоке, а также с </w:t>
      </w:r>
      <w:proofErr w:type="spellStart"/>
      <w:r w:rsidR="005463C7" w:rsidRPr="006938EE">
        <w:rPr>
          <w:rFonts w:eastAsiaTheme="minorEastAsia"/>
        </w:rPr>
        <w:t>CISCO</w:t>
      </w:r>
      <w:proofErr w:type="spellEnd"/>
      <w:r w:rsidR="005463C7" w:rsidRPr="006938EE">
        <w:rPr>
          <w:rFonts w:eastAsiaTheme="minorEastAsia"/>
        </w:rPr>
        <w:t xml:space="preserve"> </w:t>
      </w:r>
      <w:r w:rsidRPr="006938EE">
        <w:rPr>
          <w:rFonts w:eastAsiaTheme="minorEastAsia"/>
        </w:rPr>
        <w:t xml:space="preserve">и другими партнерами в Маниле, Филиппины, и в </w:t>
      </w:r>
      <w:proofErr w:type="spellStart"/>
      <w:r w:rsidRPr="006938EE">
        <w:rPr>
          <w:color w:val="000000"/>
        </w:rPr>
        <w:t>Джокьякарте</w:t>
      </w:r>
      <w:proofErr w:type="spellEnd"/>
      <w:r w:rsidR="005463C7" w:rsidRPr="006938EE">
        <w:rPr>
          <w:rFonts w:eastAsiaTheme="minorEastAsia"/>
        </w:rPr>
        <w:t xml:space="preserve">, </w:t>
      </w:r>
      <w:r w:rsidRPr="006938EE">
        <w:rPr>
          <w:rFonts w:eastAsiaTheme="minorEastAsia"/>
        </w:rPr>
        <w:t>Индонезия</w:t>
      </w:r>
      <w:r w:rsidR="005463C7" w:rsidRPr="006938EE">
        <w:rPr>
          <w:rFonts w:eastAsiaTheme="minorEastAsia"/>
        </w:rPr>
        <w:t>.</w:t>
      </w:r>
    </w:p>
    <w:p w:rsidR="005463C7" w:rsidRPr="006938EE" w:rsidRDefault="00D446F8" w:rsidP="004C1084">
      <w:pPr>
        <w:rPr>
          <w:rFonts w:eastAsiaTheme="minorEastAsia"/>
        </w:rPr>
      </w:pPr>
      <w:r w:rsidRPr="006938EE">
        <w:rPr>
          <w:rFonts w:eastAsiaTheme="minorEastAsia"/>
        </w:rPr>
        <w:t>Региональн</w:t>
      </w:r>
      <w:r w:rsidR="003D7BF0" w:rsidRPr="006938EE">
        <w:rPr>
          <w:rFonts w:eastAsiaTheme="minorEastAsia"/>
        </w:rPr>
        <w:t>о</w:t>
      </w:r>
      <w:r w:rsidRPr="006938EE">
        <w:rPr>
          <w:rFonts w:eastAsiaTheme="minorEastAsia"/>
        </w:rPr>
        <w:t>е и зональные отделения МСЭ</w:t>
      </w:r>
      <w:r w:rsidR="005463C7" w:rsidRPr="006938EE">
        <w:rPr>
          <w:rFonts w:eastAsiaTheme="minorEastAsia"/>
        </w:rPr>
        <w:t xml:space="preserve"> </w:t>
      </w:r>
      <w:r w:rsidR="003D7BF0" w:rsidRPr="006938EE">
        <w:rPr>
          <w:rFonts w:eastAsiaTheme="minorEastAsia"/>
        </w:rPr>
        <w:t>также организовали ряд форумов и собраний</w:t>
      </w:r>
      <w:r w:rsidR="005463C7" w:rsidRPr="006938EE">
        <w:rPr>
          <w:rFonts w:eastAsiaTheme="minorEastAsia"/>
        </w:rPr>
        <w:t xml:space="preserve"> (</w:t>
      </w:r>
      <w:r w:rsidR="00BA13BC" w:rsidRPr="006938EE">
        <w:rPr>
          <w:rFonts w:eastAsiaTheme="minorEastAsia"/>
        </w:rPr>
        <w:t>по таким темам, как электросвязь/ИКТ</w:t>
      </w:r>
      <w:r w:rsidR="005463C7" w:rsidRPr="006938EE">
        <w:rPr>
          <w:rFonts w:eastAsiaTheme="minorEastAsia"/>
        </w:rPr>
        <w:t xml:space="preserve">, </w:t>
      </w:r>
      <w:r w:rsidR="00BA13BC" w:rsidRPr="006938EE">
        <w:rPr>
          <w:rFonts w:eastAsiaTheme="minorEastAsia"/>
        </w:rPr>
        <w:t>электронное правительство</w:t>
      </w:r>
      <w:r w:rsidR="005463C7" w:rsidRPr="006938EE">
        <w:rPr>
          <w:rFonts w:eastAsiaTheme="minorEastAsia"/>
        </w:rPr>
        <w:t xml:space="preserve">, </w:t>
      </w:r>
      <w:r w:rsidR="00BA13BC" w:rsidRPr="006938EE">
        <w:rPr>
          <w:rFonts w:eastAsiaTheme="minorEastAsia"/>
        </w:rPr>
        <w:t>"умные" города и цифровое общество для устойчивого развития</w:t>
      </w:r>
      <w:r w:rsidR="005463C7" w:rsidRPr="006938EE">
        <w:rPr>
          <w:rFonts w:eastAsiaTheme="minorEastAsia"/>
        </w:rPr>
        <w:t xml:space="preserve">, </w:t>
      </w:r>
      <w:r w:rsidR="00BA13BC" w:rsidRPr="006938EE">
        <w:rPr>
          <w:rFonts w:eastAsiaTheme="minorEastAsia"/>
        </w:rPr>
        <w:t>управление использованием спектра и мониторинг</w:t>
      </w:r>
      <w:r w:rsidR="005463C7" w:rsidRPr="006938EE">
        <w:rPr>
          <w:rFonts w:eastAsiaTheme="minorEastAsia"/>
        </w:rPr>
        <w:t xml:space="preserve">, </w:t>
      </w:r>
      <w:r w:rsidR="00BA13BC" w:rsidRPr="006938EE">
        <w:rPr>
          <w:rFonts w:eastAsiaTheme="minorEastAsia"/>
        </w:rPr>
        <w:t>защита ребенка в онлайновой среде</w:t>
      </w:r>
      <w:r w:rsidR="005463C7" w:rsidRPr="006938EE">
        <w:rPr>
          <w:rFonts w:eastAsiaTheme="minorEastAsia"/>
        </w:rPr>
        <w:t xml:space="preserve">) </w:t>
      </w:r>
      <w:r w:rsidR="00BA13BC" w:rsidRPr="006938EE">
        <w:rPr>
          <w:rFonts w:eastAsiaTheme="minorEastAsia"/>
        </w:rPr>
        <w:t>с различными партнерами, такими как</w:t>
      </w:r>
      <w:r w:rsidR="005463C7" w:rsidRPr="006938EE">
        <w:rPr>
          <w:rFonts w:eastAsiaTheme="minorEastAsia"/>
        </w:rPr>
        <w:t xml:space="preserve">: </w:t>
      </w:r>
      <w:r w:rsidR="00BA13BC" w:rsidRPr="006938EE">
        <w:rPr>
          <w:color w:val="000000"/>
        </w:rPr>
        <w:t>Министерство связи и искусств (</w:t>
      </w:r>
      <w:proofErr w:type="spellStart"/>
      <w:r w:rsidR="00BA13BC" w:rsidRPr="006938EE">
        <w:rPr>
          <w:color w:val="000000"/>
        </w:rPr>
        <w:t>DoCA</w:t>
      </w:r>
      <w:proofErr w:type="spellEnd"/>
      <w:r w:rsidR="00BA13BC" w:rsidRPr="006938EE">
        <w:rPr>
          <w:color w:val="000000"/>
        </w:rPr>
        <w:t>) Австралии</w:t>
      </w:r>
      <w:r w:rsidR="005463C7" w:rsidRPr="006938EE">
        <w:rPr>
          <w:rFonts w:eastAsiaTheme="minorEastAsia"/>
        </w:rPr>
        <w:t xml:space="preserve">; </w:t>
      </w:r>
      <w:r w:rsidR="004C1084" w:rsidRPr="006938EE">
        <w:rPr>
          <w:rFonts w:eastAsiaTheme="minorEastAsia"/>
        </w:rPr>
        <w:t>Министерство цифровой экономики и цифрового общества</w:t>
      </w:r>
      <w:r w:rsidR="005463C7" w:rsidRPr="006938EE">
        <w:rPr>
          <w:rFonts w:eastAsiaTheme="minorEastAsia"/>
        </w:rPr>
        <w:t xml:space="preserve"> (</w:t>
      </w:r>
      <w:proofErr w:type="spellStart"/>
      <w:r w:rsidR="005463C7" w:rsidRPr="006938EE">
        <w:rPr>
          <w:rFonts w:eastAsiaTheme="minorEastAsia"/>
        </w:rPr>
        <w:t>MDES</w:t>
      </w:r>
      <w:proofErr w:type="spellEnd"/>
      <w:r w:rsidR="005463C7" w:rsidRPr="006938EE">
        <w:rPr>
          <w:rFonts w:eastAsiaTheme="minorEastAsia"/>
        </w:rPr>
        <w:t>)</w:t>
      </w:r>
      <w:r w:rsidR="004C1084" w:rsidRPr="006938EE">
        <w:rPr>
          <w:rFonts w:eastAsiaTheme="minorEastAsia"/>
        </w:rPr>
        <w:t xml:space="preserve"> Таиланда</w:t>
      </w:r>
      <w:r w:rsidR="005463C7" w:rsidRPr="006938EE">
        <w:rPr>
          <w:rFonts w:eastAsiaTheme="minorEastAsia"/>
        </w:rPr>
        <w:t xml:space="preserve">; </w:t>
      </w:r>
      <w:r w:rsidR="004C1084" w:rsidRPr="006938EE">
        <w:rPr>
          <w:color w:val="000000"/>
        </w:rPr>
        <w:t>Министерство науки, ИКТ и перспективного планирования (</w:t>
      </w:r>
      <w:proofErr w:type="spellStart"/>
      <w:r w:rsidR="004C1084" w:rsidRPr="006938EE">
        <w:rPr>
          <w:color w:val="000000"/>
        </w:rPr>
        <w:t>MSIP</w:t>
      </w:r>
      <w:proofErr w:type="spellEnd"/>
      <w:r w:rsidR="004C1084" w:rsidRPr="006938EE">
        <w:rPr>
          <w:color w:val="000000"/>
        </w:rPr>
        <w:t>) Республики Корея</w:t>
      </w:r>
      <w:r w:rsidR="005463C7" w:rsidRPr="006938EE">
        <w:rPr>
          <w:rFonts w:eastAsiaTheme="minorEastAsia"/>
        </w:rPr>
        <w:t xml:space="preserve">; </w:t>
      </w:r>
      <w:proofErr w:type="spellStart"/>
      <w:r w:rsidR="005463C7" w:rsidRPr="006938EE">
        <w:rPr>
          <w:rFonts w:eastAsiaTheme="minorEastAsia"/>
        </w:rPr>
        <w:t>NIA</w:t>
      </w:r>
      <w:proofErr w:type="spellEnd"/>
      <w:r w:rsidR="005463C7" w:rsidRPr="006938EE">
        <w:rPr>
          <w:rFonts w:eastAsiaTheme="minorEastAsia"/>
        </w:rPr>
        <w:t xml:space="preserve">, </w:t>
      </w:r>
      <w:proofErr w:type="spellStart"/>
      <w:r w:rsidR="005463C7" w:rsidRPr="006938EE">
        <w:rPr>
          <w:rFonts w:eastAsiaTheme="minorEastAsia"/>
        </w:rPr>
        <w:t>WeGO</w:t>
      </w:r>
      <w:proofErr w:type="spellEnd"/>
      <w:r w:rsidR="004C1084" w:rsidRPr="006938EE">
        <w:rPr>
          <w:rFonts w:eastAsiaTheme="minorEastAsia"/>
        </w:rPr>
        <w:t xml:space="preserve"> и Ассоциация стран Юго-Восточной Азии</w:t>
      </w:r>
      <w:r w:rsidR="005463C7" w:rsidRPr="006938EE">
        <w:rPr>
          <w:rFonts w:eastAsiaTheme="minorEastAsia"/>
        </w:rPr>
        <w:t xml:space="preserve"> (</w:t>
      </w:r>
      <w:proofErr w:type="spellStart"/>
      <w:r w:rsidR="004C1084" w:rsidRPr="006938EE">
        <w:rPr>
          <w:rFonts w:eastAsiaTheme="minorEastAsia"/>
        </w:rPr>
        <w:t>АСЕАН</w:t>
      </w:r>
      <w:proofErr w:type="spellEnd"/>
      <w:r w:rsidR="005463C7" w:rsidRPr="006938EE">
        <w:rPr>
          <w:rFonts w:eastAsiaTheme="minorEastAsia"/>
        </w:rPr>
        <w:t>).</w:t>
      </w:r>
      <w:r w:rsidR="006C07C5" w:rsidRPr="006938EE">
        <w:rPr>
          <w:rFonts w:eastAsiaTheme="minorEastAsia"/>
        </w:rPr>
        <w:t xml:space="preserve"> </w:t>
      </w:r>
    </w:p>
    <w:p w:rsidR="005463C7" w:rsidRPr="006938EE" w:rsidRDefault="004C1084" w:rsidP="002F0848">
      <w:pPr>
        <w:rPr>
          <w:rFonts w:eastAsiaTheme="minorEastAsia"/>
        </w:rPr>
      </w:pPr>
      <w:r w:rsidRPr="006938EE">
        <w:rPr>
          <w:rFonts w:eastAsiaTheme="minorEastAsia"/>
        </w:rPr>
        <w:t>Кроме того</w:t>
      </w:r>
      <w:r w:rsidR="005463C7" w:rsidRPr="006938EE">
        <w:rPr>
          <w:rFonts w:eastAsiaTheme="minorEastAsia"/>
        </w:rPr>
        <w:t xml:space="preserve">, </w:t>
      </w:r>
      <w:r w:rsidR="00D446F8" w:rsidRPr="006938EE">
        <w:rPr>
          <w:rFonts w:eastAsiaTheme="minorEastAsia"/>
        </w:rPr>
        <w:t>Региональн</w:t>
      </w:r>
      <w:r w:rsidRPr="006938EE">
        <w:rPr>
          <w:rFonts w:eastAsiaTheme="minorEastAsia"/>
        </w:rPr>
        <w:t>о</w:t>
      </w:r>
      <w:r w:rsidR="00D446F8" w:rsidRPr="006938EE">
        <w:rPr>
          <w:rFonts w:eastAsiaTheme="minorEastAsia"/>
        </w:rPr>
        <w:t xml:space="preserve">е и зональные отделения МСЭ </w:t>
      </w:r>
      <w:r w:rsidRPr="006938EE">
        <w:rPr>
          <w:rFonts w:eastAsiaTheme="minorEastAsia"/>
        </w:rPr>
        <w:t xml:space="preserve">организовали </w:t>
      </w:r>
      <w:r w:rsidRPr="006938EE">
        <w:rPr>
          <w:color w:val="000000"/>
        </w:rPr>
        <w:t xml:space="preserve">Форум </w:t>
      </w:r>
      <w:proofErr w:type="spellStart"/>
      <w:r w:rsidRPr="006938EE">
        <w:rPr>
          <w:color w:val="000000"/>
        </w:rPr>
        <w:t>GSMA</w:t>
      </w:r>
      <w:proofErr w:type="spellEnd"/>
      <w:r w:rsidRPr="006938EE">
        <w:rPr>
          <w:color w:val="000000"/>
        </w:rPr>
        <w:t>-МСЭ по политике развития цифрового общества в</w:t>
      </w:r>
      <w:r w:rsidR="005463C7" w:rsidRPr="006938EE">
        <w:rPr>
          <w:rFonts w:eastAsiaTheme="minorEastAsia"/>
        </w:rPr>
        <w:t xml:space="preserve"> 2016</w:t>
      </w:r>
      <w:r w:rsidRPr="006938EE">
        <w:rPr>
          <w:rFonts w:eastAsiaTheme="minorEastAsia"/>
        </w:rPr>
        <w:t xml:space="preserve"> году в партнерстве с</w:t>
      </w:r>
      <w:r w:rsidR="005463C7" w:rsidRPr="006938EE">
        <w:rPr>
          <w:rFonts w:eastAsiaTheme="minorEastAsia"/>
        </w:rPr>
        <w:t xml:space="preserve"> </w:t>
      </w:r>
      <w:r w:rsidR="003C7E08" w:rsidRPr="006938EE">
        <w:rPr>
          <w:rFonts w:eastAsiaTheme="minorEastAsia"/>
        </w:rPr>
        <w:t>Министерством цифровой экономики и цифрового общества (</w:t>
      </w:r>
      <w:proofErr w:type="spellStart"/>
      <w:r w:rsidR="003C7E08" w:rsidRPr="006938EE">
        <w:rPr>
          <w:rFonts w:eastAsiaTheme="minorEastAsia"/>
        </w:rPr>
        <w:t>MDES</w:t>
      </w:r>
      <w:proofErr w:type="spellEnd"/>
      <w:r w:rsidR="003C7E08" w:rsidRPr="006938EE">
        <w:rPr>
          <w:rFonts w:eastAsiaTheme="minorEastAsia"/>
        </w:rPr>
        <w:t>) Таиланда</w:t>
      </w:r>
      <w:r w:rsidRPr="006938EE">
        <w:rPr>
          <w:rFonts w:eastAsiaTheme="minorEastAsia"/>
        </w:rPr>
        <w:t xml:space="preserve">, а также </w:t>
      </w:r>
      <w:r w:rsidR="002F0848" w:rsidRPr="006938EE">
        <w:rPr>
          <w:rFonts w:eastAsiaTheme="minorEastAsia"/>
        </w:rPr>
        <w:t>Региональный ф</w:t>
      </w:r>
      <w:r w:rsidRPr="006938EE">
        <w:rPr>
          <w:rFonts w:eastAsiaTheme="minorEastAsia"/>
        </w:rPr>
        <w:t>орум МСЭ</w:t>
      </w:r>
      <w:r w:rsidR="002F0848" w:rsidRPr="006938EE">
        <w:rPr>
          <w:rFonts w:eastAsiaTheme="minorEastAsia"/>
        </w:rPr>
        <w:t xml:space="preserve"> по вопросам развития</w:t>
      </w:r>
      <w:r w:rsidRPr="006938EE">
        <w:rPr>
          <w:rFonts w:eastAsiaTheme="minorEastAsia"/>
        </w:rPr>
        <w:t xml:space="preserve"> для Азиатско-Тихоокеанского региона</w:t>
      </w:r>
      <w:r w:rsidR="005463C7" w:rsidRPr="006938EE">
        <w:rPr>
          <w:rFonts w:eastAsiaTheme="minorEastAsia"/>
        </w:rPr>
        <w:t xml:space="preserve"> (</w:t>
      </w:r>
      <w:proofErr w:type="spellStart"/>
      <w:r w:rsidR="002F0848" w:rsidRPr="006938EE">
        <w:rPr>
          <w:rFonts w:eastAsiaTheme="minorEastAsia"/>
        </w:rPr>
        <w:t>РФР</w:t>
      </w:r>
      <w:r w:rsidR="005463C7" w:rsidRPr="006938EE">
        <w:rPr>
          <w:rFonts w:eastAsiaTheme="minorEastAsia"/>
        </w:rPr>
        <w:t>-</w:t>
      </w:r>
      <w:r w:rsidRPr="006938EE">
        <w:rPr>
          <w:rFonts w:eastAsiaTheme="minorEastAsia"/>
        </w:rPr>
        <w:t>АТР</w:t>
      </w:r>
      <w:r w:rsidR="005463C7" w:rsidRPr="006938EE">
        <w:rPr>
          <w:rFonts w:eastAsiaTheme="minorEastAsia"/>
        </w:rPr>
        <w:t>2016</w:t>
      </w:r>
      <w:proofErr w:type="spellEnd"/>
      <w:r w:rsidR="005463C7" w:rsidRPr="006938EE">
        <w:rPr>
          <w:rFonts w:eastAsiaTheme="minorEastAsia"/>
        </w:rPr>
        <w:t xml:space="preserve">) </w:t>
      </w:r>
      <w:r w:rsidRPr="006938EE">
        <w:rPr>
          <w:rFonts w:eastAsiaTheme="minorEastAsia"/>
        </w:rPr>
        <w:t>совместно с Министерством ИКТ Филиппин</w:t>
      </w:r>
      <w:r w:rsidR="005463C7" w:rsidRPr="006938EE">
        <w:rPr>
          <w:rFonts w:eastAsiaTheme="minorEastAsia"/>
        </w:rPr>
        <w:t>.</w:t>
      </w:r>
    </w:p>
    <w:p w:rsidR="00D71423" w:rsidRPr="006938EE" w:rsidRDefault="00D71423" w:rsidP="00F2422B">
      <w:pPr>
        <w:pStyle w:val="Heading2"/>
        <w:jc w:val="both"/>
      </w:pPr>
      <w:bookmarkStart w:id="29" w:name="lt_pId066"/>
      <w:r w:rsidRPr="006938EE">
        <w:lastRenderedPageBreak/>
        <w:t>2.5</w:t>
      </w:r>
      <w:r w:rsidRPr="006938EE">
        <w:tab/>
      </w:r>
      <w:bookmarkEnd w:id="29"/>
      <w:r w:rsidRPr="006938EE">
        <w:t>СНГ</w:t>
      </w:r>
    </w:p>
    <w:p w:rsidR="005463C7" w:rsidRPr="006938EE" w:rsidRDefault="000F37AD" w:rsidP="00526147">
      <w:pPr>
        <w:rPr>
          <w:rFonts w:eastAsiaTheme="minorEastAsia"/>
        </w:rPr>
      </w:pPr>
      <w:bookmarkStart w:id="30" w:name="lt_pId064"/>
      <w:bookmarkStart w:id="31" w:name="lt_pId067"/>
      <w:r w:rsidRPr="006938EE">
        <w:rPr>
          <w:rFonts w:eastAsiaTheme="minorEastAsia"/>
        </w:rPr>
        <w:t>К концу</w:t>
      </w:r>
      <w:r w:rsidR="005463C7" w:rsidRPr="006938EE">
        <w:rPr>
          <w:rFonts w:eastAsiaTheme="minorEastAsia"/>
        </w:rPr>
        <w:t xml:space="preserve"> 2016</w:t>
      </w:r>
      <w:r w:rsidRPr="006938EE">
        <w:rPr>
          <w:rFonts w:eastAsiaTheme="minorEastAsia"/>
        </w:rPr>
        <w:t xml:space="preserve"> года четыре из пяти региональных инициатив СНГ для </w:t>
      </w:r>
      <w:proofErr w:type="spellStart"/>
      <w:r w:rsidRPr="006938EE">
        <w:rPr>
          <w:rFonts w:eastAsiaTheme="minorEastAsia"/>
        </w:rPr>
        <w:t>ВКРЭ</w:t>
      </w:r>
      <w:proofErr w:type="spellEnd"/>
      <w:r w:rsidR="005463C7" w:rsidRPr="006938EE">
        <w:rPr>
          <w:rFonts w:eastAsiaTheme="minorEastAsia"/>
        </w:rPr>
        <w:t>-14 (</w:t>
      </w:r>
      <w:proofErr w:type="spellStart"/>
      <w:r w:rsidRPr="006938EE">
        <w:rPr>
          <w:rFonts w:eastAsiaTheme="minorEastAsia"/>
        </w:rPr>
        <w:t>РИ</w:t>
      </w:r>
      <w:r w:rsidR="005463C7" w:rsidRPr="006938EE">
        <w:rPr>
          <w:rFonts w:eastAsiaTheme="minorEastAsia"/>
        </w:rPr>
        <w:t>-</w:t>
      </w:r>
      <w:r w:rsidR="002F0848" w:rsidRPr="006938EE">
        <w:rPr>
          <w:rFonts w:eastAsiaTheme="minorEastAsia"/>
        </w:rPr>
        <w:t>CIS</w:t>
      </w:r>
      <w:proofErr w:type="spellEnd"/>
      <w:r w:rsidR="005463C7" w:rsidRPr="006938EE">
        <w:rPr>
          <w:rFonts w:eastAsiaTheme="minorEastAsia"/>
        </w:rPr>
        <w:t>)</w:t>
      </w:r>
      <w:r w:rsidRPr="006938EE">
        <w:rPr>
          <w:rFonts w:eastAsiaTheme="minorEastAsia"/>
        </w:rPr>
        <w:t xml:space="preserve"> были выполнены в полном объеме</w:t>
      </w:r>
      <w:r w:rsidR="005463C7" w:rsidRPr="006938EE">
        <w:rPr>
          <w:rFonts w:eastAsiaTheme="minorEastAsia"/>
        </w:rPr>
        <w:t>.</w:t>
      </w:r>
      <w:bookmarkEnd w:id="30"/>
      <w:r w:rsidR="005463C7" w:rsidRPr="006938EE">
        <w:rPr>
          <w:rFonts w:eastAsiaTheme="minorEastAsia"/>
        </w:rPr>
        <w:t xml:space="preserve"> </w:t>
      </w:r>
      <w:bookmarkStart w:id="32" w:name="lt_pId065"/>
      <w:r w:rsidRPr="006938EE">
        <w:rPr>
          <w:rFonts w:eastAsiaTheme="minorEastAsia"/>
        </w:rPr>
        <w:t xml:space="preserve">Основные результаты, связанные с </w:t>
      </w:r>
      <w:proofErr w:type="spellStart"/>
      <w:r w:rsidRPr="006938EE">
        <w:rPr>
          <w:rFonts w:eastAsiaTheme="minorEastAsia"/>
        </w:rPr>
        <w:t>РИ-</w:t>
      </w:r>
      <w:r w:rsidR="002F0848" w:rsidRPr="006938EE">
        <w:rPr>
          <w:rFonts w:eastAsiaTheme="minorEastAsia"/>
        </w:rPr>
        <w:t>CIS1</w:t>
      </w:r>
      <w:proofErr w:type="spellEnd"/>
      <w:r w:rsidR="00C164F1" w:rsidRPr="006938EE">
        <w:rPr>
          <w:rFonts w:eastAsiaTheme="minorEastAsia"/>
        </w:rPr>
        <w:t>,</w:t>
      </w:r>
      <w:r w:rsidRPr="006938EE">
        <w:rPr>
          <w:rFonts w:eastAsiaTheme="minorEastAsia"/>
        </w:rPr>
        <w:t xml:space="preserve"> в</w:t>
      </w:r>
      <w:r w:rsidR="005463C7" w:rsidRPr="006938EE">
        <w:rPr>
          <w:rFonts w:eastAsiaTheme="minorEastAsia"/>
        </w:rPr>
        <w:t xml:space="preserve"> 2016</w:t>
      </w:r>
      <w:r w:rsidRPr="006938EE">
        <w:rPr>
          <w:rFonts w:eastAsiaTheme="minorEastAsia"/>
        </w:rPr>
        <w:t xml:space="preserve"> году включали создание базы данных для хранения данных о технических решениях, связанных с защитой ребенка в онлайновой среде, и программного обеспечения для выбора оптимальных технических решений</w:t>
      </w:r>
      <w:r w:rsidR="005463C7" w:rsidRPr="006938EE">
        <w:rPr>
          <w:rFonts w:eastAsiaTheme="minorEastAsia"/>
        </w:rPr>
        <w:t xml:space="preserve"> (</w:t>
      </w:r>
      <w:hyperlink r:id="rId10" w:history="1">
        <w:r w:rsidR="005463C7" w:rsidRPr="006938EE">
          <w:rPr>
            <w:rStyle w:val="Hyperlink"/>
            <w:rFonts w:eastAsiaTheme="minorEastAsia"/>
          </w:rPr>
          <w:t>https://contentfiltering.info</w:t>
        </w:r>
        <w:r w:rsidR="005463C7" w:rsidRPr="006938EE">
          <w:rPr>
            <w:rFonts w:eastAsiaTheme="minorEastAsia"/>
          </w:rPr>
          <w:t>)</w:t>
        </w:r>
      </w:hyperlink>
      <w:r w:rsidRPr="006938EE">
        <w:rPr>
          <w:rFonts w:eastAsiaTheme="minorEastAsia"/>
        </w:rPr>
        <w:t>, а также создание автоматизированной системы</w:t>
      </w:r>
      <w:r w:rsidRPr="006938EE">
        <w:rPr>
          <w:color w:val="000000"/>
        </w:rPr>
        <w:t xml:space="preserve"> распределения ресурсов интернета на опасный и безопасный списки</w:t>
      </w:r>
      <w:r w:rsidR="005463C7" w:rsidRPr="006938EE">
        <w:rPr>
          <w:rFonts w:eastAsiaTheme="minorEastAsia"/>
        </w:rPr>
        <w:t xml:space="preserve"> (</w:t>
      </w:r>
      <w:hyperlink r:id="rId11" w:history="1">
        <w:r w:rsidR="00FD5ECB" w:rsidRPr="006938EE">
          <w:rPr>
            <w:rStyle w:val="Hyperlink"/>
            <w:rFonts w:eastAsiaTheme="minorEastAsia"/>
          </w:rPr>
          <w:t>http://bwld.online</w:t>
        </w:r>
      </w:hyperlink>
      <w:r w:rsidR="00FD5ECB" w:rsidRPr="006938EE">
        <w:rPr>
          <w:rFonts w:eastAsiaTheme="minorHAnsi"/>
          <w:szCs w:val="22"/>
        </w:rPr>
        <w:t>)</w:t>
      </w:r>
      <w:r w:rsidR="005463C7" w:rsidRPr="006938EE">
        <w:rPr>
          <w:rFonts w:eastAsiaTheme="minorEastAsia"/>
        </w:rPr>
        <w:t>.</w:t>
      </w:r>
      <w:bookmarkEnd w:id="32"/>
    </w:p>
    <w:p w:rsidR="005463C7" w:rsidRPr="006938EE" w:rsidRDefault="00E0248F" w:rsidP="00526147">
      <w:pPr>
        <w:rPr>
          <w:rFonts w:eastAsiaTheme="minorEastAsia"/>
        </w:rPr>
      </w:pPr>
      <w:r w:rsidRPr="006938EE">
        <w:rPr>
          <w:rFonts w:eastAsiaTheme="minorEastAsia"/>
        </w:rPr>
        <w:t xml:space="preserve">Зональное отделение МСЭ для СНГ также продолжило осуществление </w:t>
      </w:r>
      <w:proofErr w:type="spellStart"/>
      <w:r w:rsidRPr="006938EE">
        <w:rPr>
          <w:rFonts w:eastAsiaTheme="minorEastAsia"/>
        </w:rPr>
        <w:t>РИ-</w:t>
      </w:r>
      <w:r w:rsidR="002F0848" w:rsidRPr="006938EE">
        <w:rPr>
          <w:rFonts w:eastAsiaTheme="minorEastAsia"/>
        </w:rPr>
        <w:t>CIS2</w:t>
      </w:r>
      <w:proofErr w:type="spellEnd"/>
      <w:r w:rsidRPr="006938EE">
        <w:rPr>
          <w:rFonts w:eastAsiaTheme="minorEastAsia"/>
        </w:rPr>
        <w:t xml:space="preserve"> за счет создания </w:t>
      </w:r>
      <w:r w:rsidRPr="006938EE">
        <w:t>Центра доступа в интернет и обучения на базе интернета для пользователей с нарушениями опорно-двигательного аппарата и речи в Республике Саха, Российская Федерация (10 рабочих мест) и для лиц с нарушениями слуха в Минске</w:t>
      </w:r>
      <w:r w:rsidR="005463C7" w:rsidRPr="006938EE">
        <w:rPr>
          <w:rFonts w:eastAsiaTheme="minorEastAsia"/>
        </w:rPr>
        <w:t xml:space="preserve">, </w:t>
      </w:r>
      <w:r w:rsidRPr="006938EE">
        <w:rPr>
          <w:rFonts w:eastAsiaTheme="minorEastAsia"/>
        </w:rPr>
        <w:t>Республика Беларусь</w:t>
      </w:r>
      <w:r w:rsidR="005463C7" w:rsidRPr="006938EE">
        <w:rPr>
          <w:rFonts w:eastAsiaTheme="minorEastAsia"/>
        </w:rPr>
        <w:t xml:space="preserve"> (10 </w:t>
      </w:r>
      <w:r w:rsidRPr="006938EE">
        <w:rPr>
          <w:rFonts w:eastAsiaTheme="minorEastAsia"/>
        </w:rPr>
        <w:t>рабочих мест</w:t>
      </w:r>
      <w:r w:rsidR="005463C7" w:rsidRPr="006938EE">
        <w:rPr>
          <w:rFonts w:eastAsiaTheme="minorEastAsia"/>
        </w:rPr>
        <w:t xml:space="preserve">). </w:t>
      </w:r>
      <w:r w:rsidRPr="006938EE">
        <w:rPr>
          <w:rFonts w:eastAsiaTheme="minorEastAsia"/>
        </w:rPr>
        <w:t xml:space="preserve">Другие важные результаты включают разработку программного обеспечения для </w:t>
      </w:r>
      <w:r w:rsidRPr="006938EE">
        <w:rPr>
          <w:rFonts w:eastAsiaTheme="minorHAnsi"/>
          <w:szCs w:val="22"/>
        </w:rPr>
        <w:t>диагностики восприимчивости человека к одному или нескольким каналам восприятия информации и методических требований к ресурсам для электронного обучения (</w:t>
      </w:r>
      <w:proofErr w:type="spellStart"/>
      <w:r w:rsidRPr="006938EE">
        <w:rPr>
          <w:rFonts w:eastAsiaTheme="minorHAnsi"/>
          <w:szCs w:val="22"/>
        </w:rPr>
        <w:t>РИ-</w:t>
      </w:r>
      <w:r w:rsidR="002F0848" w:rsidRPr="006938EE">
        <w:rPr>
          <w:rFonts w:eastAsiaTheme="minorHAnsi"/>
          <w:szCs w:val="22"/>
        </w:rPr>
        <w:t>CIS3</w:t>
      </w:r>
      <w:proofErr w:type="spellEnd"/>
      <w:r w:rsidRPr="006938EE">
        <w:rPr>
          <w:rFonts w:eastAsiaTheme="minorHAnsi"/>
          <w:szCs w:val="22"/>
        </w:rPr>
        <w:t>); а также доклад о текущей ситуации в СНГ в области укрепления доверия и повышения безопасности при использовании ИКТ (</w:t>
      </w:r>
      <w:proofErr w:type="spellStart"/>
      <w:r w:rsidRPr="006938EE">
        <w:rPr>
          <w:rFonts w:eastAsiaTheme="minorHAnsi"/>
          <w:szCs w:val="22"/>
        </w:rPr>
        <w:t>РИ-</w:t>
      </w:r>
      <w:r w:rsidR="002F0848" w:rsidRPr="006938EE">
        <w:rPr>
          <w:rFonts w:eastAsiaTheme="minorHAnsi"/>
          <w:szCs w:val="22"/>
        </w:rPr>
        <w:t>CIS5</w:t>
      </w:r>
      <w:proofErr w:type="spellEnd"/>
      <w:r w:rsidRPr="006938EE">
        <w:rPr>
          <w:rFonts w:eastAsiaTheme="minorHAnsi"/>
          <w:szCs w:val="22"/>
        </w:rPr>
        <w:t>)</w:t>
      </w:r>
      <w:r w:rsidR="005463C7" w:rsidRPr="006938EE">
        <w:rPr>
          <w:rFonts w:eastAsiaTheme="minorEastAsia"/>
        </w:rPr>
        <w:t>.</w:t>
      </w:r>
    </w:p>
    <w:p w:rsidR="005463C7" w:rsidRPr="006938EE" w:rsidRDefault="00FE6708" w:rsidP="00526147">
      <w:pPr>
        <w:rPr>
          <w:rFonts w:eastAsiaTheme="minorEastAsia"/>
        </w:rPr>
      </w:pPr>
      <w:r w:rsidRPr="006938EE">
        <w:rPr>
          <w:rFonts w:eastAsiaTheme="minorHAnsi"/>
        </w:rPr>
        <w:t xml:space="preserve">По запросам членов МСЭ из региона СНГ техническое сотрудничество, мероприятия по наращиванию потенциала и региональные обсуждения в 2016 году были сосредоточены на таких областях, как переход на цифровое радиовещание, выполнение решений </w:t>
      </w:r>
      <w:proofErr w:type="spellStart"/>
      <w:r w:rsidRPr="006938EE">
        <w:rPr>
          <w:rFonts w:eastAsiaTheme="minorHAnsi"/>
        </w:rPr>
        <w:t>ВКР</w:t>
      </w:r>
      <w:proofErr w:type="spellEnd"/>
      <w:r w:rsidRPr="006938EE">
        <w:rPr>
          <w:rFonts w:eastAsiaTheme="minorHAnsi"/>
        </w:rPr>
        <w:t xml:space="preserve">-15, переносимость номеров подвижной связи, </w:t>
      </w:r>
      <w:proofErr w:type="spellStart"/>
      <w:r w:rsidRPr="006938EE">
        <w:rPr>
          <w:rFonts w:eastAsiaTheme="minorHAnsi"/>
        </w:rPr>
        <w:t>4G</w:t>
      </w:r>
      <w:proofErr w:type="spellEnd"/>
      <w:r w:rsidRPr="006938EE">
        <w:rPr>
          <w:rFonts w:eastAsiaTheme="minorHAnsi"/>
        </w:rPr>
        <w:t>/</w:t>
      </w:r>
      <w:proofErr w:type="spellStart"/>
      <w:r w:rsidRPr="006938EE">
        <w:rPr>
          <w:rFonts w:eastAsiaTheme="minorHAnsi"/>
        </w:rPr>
        <w:t>5G</w:t>
      </w:r>
      <w:proofErr w:type="spellEnd"/>
      <w:r w:rsidRPr="006938EE">
        <w:rPr>
          <w:rFonts w:eastAsiaTheme="minorHAnsi"/>
        </w:rPr>
        <w:t xml:space="preserve">, </w:t>
      </w:r>
      <w:proofErr w:type="spellStart"/>
      <w:r w:rsidRPr="006938EE">
        <w:rPr>
          <w:rFonts w:eastAsiaTheme="minorHAnsi"/>
        </w:rPr>
        <w:t>кибербезопасность</w:t>
      </w:r>
      <w:proofErr w:type="spellEnd"/>
      <w:r w:rsidRPr="006938EE">
        <w:rPr>
          <w:rFonts w:eastAsiaTheme="minorHAnsi"/>
        </w:rPr>
        <w:t>, приложения и возможность</w:t>
      </w:r>
      <w:r w:rsidR="002F0848" w:rsidRPr="006938EE">
        <w:rPr>
          <w:rFonts w:eastAsiaTheme="minorHAnsi"/>
        </w:rPr>
        <w:t xml:space="preserve"> установления</w:t>
      </w:r>
      <w:r w:rsidRPr="006938EE">
        <w:rPr>
          <w:rFonts w:eastAsiaTheme="minorHAnsi"/>
        </w:rPr>
        <w:t xml:space="preserve"> соединени</w:t>
      </w:r>
      <w:r w:rsidR="002F0848" w:rsidRPr="006938EE">
        <w:rPr>
          <w:rFonts w:eastAsiaTheme="minorHAnsi"/>
        </w:rPr>
        <w:t>й</w:t>
      </w:r>
      <w:r w:rsidRPr="006938EE">
        <w:rPr>
          <w:rFonts w:eastAsiaTheme="minorHAnsi"/>
        </w:rPr>
        <w:t xml:space="preserve"> в сельских районах. В течение года было организовано 11 семинаров-практикумов, семинаров и учебных курсов, в которых приняли участие свыше 500 </w:t>
      </w:r>
      <w:r w:rsidRPr="006938EE">
        <w:t>представителей</w:t>
      </w:r>
      <w:r w:rsidRPr="006938EE">
        <w:rPr>
          <w:rFonts w:eastAsiaTheme="minorHAnsi"/>
        </w:rPr>
        <w:t xml:space="preserve"> из более чем 15 стран</w:t>
      </w:r>
      <w:r w:rsidR="005463C7" w:rsidRPr="006938EE">
        <w:rPr>
          <w:rFonts w:eastAsiaTheme="minorEastAsia"/>
        </w:rPr>
        <w:t>.</w:t>
      </w:r>
    </w:p>
    <w:p w:rsidR="00D71423" w:rsidRPr="006938EE" w:rsidRDefault="00D71423" w:rsidP="00D71423">
      <w:pPr>
        <w:pStyle w:val="Heading2"/>
      </w:pPr>
      <w:bookmarkStart w:id="33" w:name="lt_pId080"/>
      <w:bookmarkEnd w:id="31"/>
      <w:r w:rsidRPr="006938EE">
        <w:t>2.6</w:t>
      </w:r>
      <w:r w:rsidRPr="006938EE">
        <w:tab/>
      </w:r>
      <w:bookmarkEnd w:id="33"/>
      <w:r w:rsidRPr="006938EE">
        <w:t>Европа</w:t>
      </w:r>
    </w:p>
    <w:p w:rsidR="00D71423" w:rsidRPr="006938EE" w:rsidRDefault="00D71423" w:rsidP="00193A22">
      <w:pPr>
        <w:rPr>
          <w:rFonts w:cs="Segoe UI"/>
        </w:rPr>
      </w:pPr>
      <w:bookmarkStart w:id="34" w:name="lt_pId081"/>
      <w:r w:rsidRPr="006938EE">
        <w:t xml:space="preserve">Предложенный метод работы </w:t>
      </w:r>
      <w:proofErr w:type="gramStart"/>
      <w:r w:rsidRPr="006938EE">
        <w:t>снизу вверх</w:t>
      </w:r>
      <w:proofErr w:type="gramEnd"/>
      <w:r w:rsidRPr="006938EE">
        <w:t xml:space="preserve"> по составлению программы видов деятельности, которые должны осуществляться в рамках региональных инициатив для Европейского региона (</w:t>
      </w:r>
      <w:proofErr w:type="spellStart"/>
      <w:r w:rsidR="00193A22" w:rsidRPr="006938EE">
        <w:t>РИ</w:t>
      </w:r>
      <w:r w:rsidR="002F0848" w:rsidRPr="006938EE">
        <w:t>-EUR</w:t>
      </w:r>
      <w:proofErr w:type="spellEnd"/>
      <w:r w:rsidRPr="006938EE">
        <w:t xml:space="preserve">), четко направлен на мобилизацию ресурсов, создание партнерств и задействование потенциальных новых членов МСЭ. </w:t>
      </w:r>
      <w:bookmarkStart w:id="35" w:name="lt_pId082"/>
      <w:bookmarkEnd w:id="34"/>
      <w:r w:rsidRPr="006938EE">
        <w:t xml:space="preserve">В этих рамках состоявшийся в Румынии региональный форум по вопросам развития для Европы </w:t>
      </w:r>
      <w:r w:rsidR="006C07C5" w:rsidRPr="006938EE">
        <w:t>"</w:t>
      </w:r>
      <w:r w:rsidRPr="006938EE">
        <w:t>Широкополосная связь для устойчивого развития</w:t>
      </w:r>
      <w:r w:rsidR="006C07C5" w:rsidRPr="006938EE">
        <w:t>"</w:t>
      </w:r>
      <w:r w:rsidRPr="006938EE">
        <w:t xml:space="preserve"> был посвящен привлечению новых партнеров, заинтересованных в объединении усилий с </w:t>
      </w:r>
      <w:proofErr w:type="spellStart"/>
      <w:r w:rsidRPr="006938EE">
        <w:t>БРЭ</w:t>
      </w:r>
      <w:proofErr w:type="spellEnd"/>
      <w:r w:rsidRPr="006938EE">
        <w:t xml:space="preserve"> в целях реализации</w:t>
      </w:r>
      <w:r w:rsidRPr="006938EE">
        <w:rPr>
          <w:rFonts w:cs="Segoe UI"/>
        </w:rPr>
        <w:t xml:space="preserve"> </w:t>
      </w:r>
      <w:proofErr w:type="spellStart"/>
      <w:r w:rsidR="00193A22" w:rsidRPr="006938EE">
        <w:rPr>
          <w:rFonts w:cs="Segoe UI"/>
        </w:rPr>
        <w:t>РИ</w:t>
      </w:r>
      <w:r w:rsidR="002F0848" w:rsidRPr="006938EE">
        <w:t>-EUR</w:t>
      </w:r>
      <w:proofErr w:type="spellEnd"/>
      <w:r w:rsidRPr="006938EE">
        <w:rPr>
          <w:rFonts w:cs="Segoe UI"/>
        </w:rPr>
        <w:t xml:space="preserve"> и создания плана реализации на 2015–2017 годы на основе обязательств партнеров.</w:t>
      </w:r>
      <w:bookmarkEnd w:id="35"/>
      <w:r w:rsidRPr="006938EE">
        <w:rPr>
          <w:rFonts w:cs="Segoe UI"/>
        </w:rPr>
        <w:t xml:space="preserve"> </w:t>
      </w:r>
      <w:bookmarkStart w:id="36" w:name="lt_pId083"/>
      <w:r w:rsidRPr="006938EE">
        <w:rPr>
          <w:rFonts w:cs="Segoe UI"/>
        </w:rPr>
        <w:t xml:space="preserve">Были определены новые организации, которые стали партнерами по осуществлению </w:t>
      </w:r>
      <w:proofErr w:type="spellStart"/>
      <w:r w:rsidR="00193A22" w:rsidRPr="006938EE">
        <w:rPr>
          <w:rFonts w:cs="Segoe UI"/>
        </w:rPr>
        <w:t>РИ</w:t>
      </w:r>
      <w:r w:rsidR="002F0848" w:rsidRPr="006938EE">
        <w:t>-EUR</w:t>
      </w:r>
      <w:proofErr w:type="spellEnd"/>
      <w:r w:rsidRPr="006938EE">
        <w:rPr>
          <w:rFonts w:cs="Segoe UI"/>
        </w:rPr>
        <w:t>.</w:t>
      </w:r>
      <w:bookmarkEnd w:id="36"/>
      <w:r w:rsidRPr="006938EE">
        <w:rPr>
          <w:rFonts w:cs="Segoe UI"/>
        </w:rPr>
        <w:t xml:space="preserve"> </w:t>
      </w:r>
      <w:bookmarkStart w:id="37" w:name="lt_pId084"/>
      <w:r w:rsidRPr="006938EE">
        <w:rPr>
          <w:rFonts w:cs="Segoe UI"/>
        </w:rPr>
        <w:t>Проводилась также работа по привлечению других учреждений Организации Объединенных Наций.</w:t>
      </w:r>
      <w:bookmarkEnd w:id="37"/>
      <w:r w:rsidRPr="006938EE">
        <w:rPr>
          <w:rFonts w:cs="Segoe UI"/>
        </w:rPr>
        <w:t xml:space="preserve"> </w:t>
      </w:r>
      <w:bookmarkStart w:id="38" w:name="lt_pId085"/>
      <w:r w:rsidRPr="006938EE">
        <w:rPr>
          <w:rFonts w:cs="Segoe UI"/>
        </w:rPr>
        <w:t xml:space="preserve">В этом контексте МСЭ принял у себя собрание, проводимое Региональным координационным механизмом ООН для Европы и Центральной Азии, и собрание региональной группы </w:t>
      </w:r>
      <w:proofErr w:type="spellStart"/>
      <w:r w:rsidRPr="006938EE">
        <w:rPr>
          <w:rFonts w:cs="Segoe UI"/>
        </w:rPr>
        <w:t>ГООНВР</w:t>
      </w:r>
      <w:proofErr w:type="spellEnd"/>
      <w:r w:rsidRPr="006938EE">
        <w:rPr>
          <w:rFonts w:cs="Segoe UI"/>
        </w:rPr>
        <w:t xml:space="preserve"> ЭКА.</w:t>
      </w:r>
      <w:bookmarkEnd w:id="38"/>
      <w:r w:rsidRPr="006938EE">
        <w:rPr>
          <w:rFonts w:cs="Segoe UI"/>
        </w:rPr>
        <w:t xml:space="preserve"> </w:t>
      </w:r>
      <w:bookmarkStart w:id="39" w:name="lt_pId086"/>
      <w:r w:rsidRPr="006938EE">
        <w:rPr>
          <w:rFonts w:cs="Segoe UI"/>
        </w:rPr>
        <w:t xml:space="preserve">Осуществлялась координация для обеспечения интеграции компонента ИКТ в </w:t>
      </w:r>
      <w:proofErr w:type="spellStart"/>
      <w:r w:rsidRPr="006938EE">
        <w:rPr>
          <w:color w:val="000000"/>
        </w:rPr>
        <w:t>РПООНПР</w:t>
      </w:r>
      <w:proofErr w:type="spellEnd"/>
      <w:r w:rsidRPr="006938EE">
        <w:rPr>
          <w:rFonts w:cs="Segoe UI"/>
        </w:rPr>
        <w:t xml:space="preserve"> в Европе с учетом новых приоритетов, установленных Саммитом по </w:t>
      </w:r>
      <w:proofErr w:type="spellStart"/>
      <w:r w:rsidRPr="006938EE">
        <w:rPr>
          <w:rFonts w:cs="Segoe UI"/>
        </w:rPr>
        <w:t>ЦУР</w:t>
      </w:r>
      <w:proofErr w:type="spellEnd"/>
      <w:r w:rsidRPr="006938EE">
        <w:rPr>
          <w:rFonts w:cs="Segoe UI"/>
        </w:rPr>
        <w:t>.</w:t>
      </w:r>
      <w:bookmarkEnd w:id="39"/>
    </w:p>
    <w:p w:rsidR="00D71423" w:rsidRPr="006938EE" w:rsidRDefault="004338E8" w:rsidP="00526147">
      <w:bookmarkStart w:id="40" w:name="lt_pId087"/>
      <w:r w:rsidRPr="006938EE">
        <w:t>На всех уровнях з</w:t>
      </w:r>
      <w:r w:rsidR="00D71423" w:rsidRPr="006938EE">
        <w:t>начительные усилия были направлены на укрепление сотрудничества с Европейской комиссий для осуществления совместной деятельности в регионе.</w:t>
      </w:r>
      <w:bookmarkEnd w:id="40"/>
      <w:r w:rsidR="00D71423" w:rsidRPr="006938EE">
        <w:t xml:space="preserve"> </w:t>
      </w:r>
      <w:bookmarkStart w:id="41" w:name="lt_pId088"/>
      <w:r w:rsidR="00D71423" w:rsidRPr="006938EE">
        <w:t>Состоялись также обсуждения с ключевыми европейскими учреждениями, включая Европейский инвестиционный банк (</w:t>
      </w:r>
      <w:proofErr w:type="spellStart"/>
      <w:r w:rsidR="00D71423" w:rsidRPr="006938EE">
        <w:t>ЕИБ</w:t>
      </w:r>
      <w:proofErr w:type="spellEnd"/>
      <w:r w:rsidR="00D71423" w:rsidRPr="006938EE">
        <w:t xml:space="preserve">), </w:t>
      </w:r>
      <w:r w:rsidR="00D71423" w:rsidRPr="006938EE">
        <w:rPr>
          <w:color w:val="000000"/>
        </w:rPr>
        <w:t>Европейский банк реконструкции и развития</w:t>
      </w:r>
      <w:r w:rsidR="00D71423" w:rsidRPr="006938EE">
        <w:t xml:space="preserve"> (</w:t>
      </w:r>
      <w:proofErr w:type="spellStart"/>
      <w:r w:rsidR="00D71423" w:rsidRPr="006938EE">
        <w:t>ЕБРР</w:t>
      </w:r>
      <w:proofErr w:type="spellEnd"/>
      <w:r w:rsidR="00D71423" w:rsidRPr="006938EE">
        <w:t>), Объединенный исследовательский центр Европейской комиссии, Европейский радиовещательный союз (</w:t>
      </w:r>
      <w:proofErr w:type="spellStart"/>
      <w:r w:rsidR="00D71423" w:rsidRPr="006938EE">
        <w:t>ЕРС</w:t>
      </w:r>
      <w:proofErr w:type="spellEnd"/>
      <w:r w:rsidR="00D71423" w:rsidRPr="006938EE">
        <w:t>), Европейское агентство по сетевой и информационной безопасности (</w:t>
      </w:r>
      <w:proofErr w:type="spellStart"/>
      <w:r w:rsidR="00D71423" w:rsidRPr="006938EE">
        <w:t>ENISA</w:t>
      </w:r>
      <w:proofErr w:type="spellEnd"/>
      <w:r w:rsidR="00D71423" w:rsidRPr="006938EE">
        <w:t>) и т. д., результатом которых стала совместная деятельность в регионе.</w:t>
      </w:r>
      <w:bookmarkEnd w:id="41"/>
      <w:r w:rsidR="00D71423" w:rsidRPr="006938EE">
        <w:t xml:space="preserve"> </w:t>
      </w:r>
    </w:p>
    <w:p w:rsidR="00D71423" w:rsidRPr="006938EE" w:rsidRDefault="00D71423" w:rsidP="00526147">
      <w:bookmarkStart w:id="42" w:name="lt_pId089"/>
      <w:r w:rsidRPr="006938EE">
        <w:t>Проводилась координация с Государствами – Членами МСЭ, с тем чтобы получить их поддержку в привлечении Академических организаций – Членов к деятельности МСЭ. Для расширения охвата были определены ключевые сети академических организаций</w:t>
      </w:r>
      <w:bookmarkStart w:id="43" w:name="lt_pId090"/>
      <w:bookmarkEnd w:id="42"/>
      <w:r w:rsidRPr="006938EE">
        <w:t>.</w:t>
      </w:r>
      <w:bookmarkEnd w:id="43"/>
      <w:r w:rsidRPr="006938EE">
        <w:t xml:space="preserve"> </w:t>
      </w:r>
      <w:bookmarkStart w:id="44" w:name="lt_pId091"/>
      <w:r w:rsidRPr="006938EE">
        <w:t xml:space="preserve">По результатам этой работы МСЭ было предложено поддержать региональное собрание для Европы Международного общества электросвязи, которое </w:t>
      </w:r>
      <w:r w:rsidR="0017515E" w:rsidRPr="006938EE">
        <w:t>состоялось</w:t>
      </w:r>
      <w:r w:rsidRPr="006938EE">
        <w:t xml:space="preserve"> в сентябре 2016 года. </w:t>
      </w:r>
      <w:bookmarkEnd w:id="44"/>
    </w:p>
    <w:p w:rsidR="00D71423" w:rsidRPr="006938EE" w:rsidRDefault="00D71423" w:rsidP="00526147">
      <w:pPr>
        <w:rPr>
          <w:rFonts w:cs="Segoe UI"/>
        </w:rPr>
      </w:pPr>
      <w:r w:rsidRPr="006938EE">
        <w:lastRenderedPageBreak/>
        <w:t xml:space="preserve">С целью укрепления диалога и создания партнерств между государственным и частным секторами в области </w:t>
      </w:r>
      <w:proofErr w:type="spellStart"/>
      <w:r w:rsidRPr="006938EE">
        <w:t>кибербезопасности</w:t>
      </w:r>
      <w:proofErr w:type="spellEnd"/>
      <w:r w:rsidRPr="006938EE">
        <w:t xml:space="preserve"> была проведена конференция для стран Центральной Европы по платформе для диалога между государственным и частным секторами, и аналогичное мероприятие планир</w:t>
      </w:r>
      <w:r w:rsidR="00F736B1" w:rsidRPr="006938EE">
        <w:t>овалось</w:t>
      </w:r>
      <w:r w:rsidRPr="006938EE">
        <w:t xml:space="preserve"> провести в 2016 году.</w:t>
      </w:r>
    </w:p>
    <w:p w:rsidR="00D71423" w:rsidRPr="006938EE" w:rsidRDefault="00D71423" w:rsidP="00D71423">
      <w:pPr>
        <w:pStyle w:val="Heading1"/>
      </w:pPr>
      <w:r w:rsidRPr="006938EE">
        <w:t>3</w:t>
      </w:r>
      <w:r w:rsidRPr="006938EE">
        <w:tab/>
        <w:t>Глобальные действия и их результаты</w:t>
      </w:r>
    </w:p>
    <w:p w:rsidR="00D71423" w:rsidRPr="006938EE" w:rsidRDefault="00D71423" w:rsidP="00D71423">
      <w:pPr>
        <w:pStyle w:val="Heading2"/>
        <w:rPr>
          <w:rFonts w:cs="Calibri"/>
        </w:rPr>
      </w:pPr>
      <w:bookmarkStart w:id="45" w:name="lt_pId094"/>
      <w:r w:rsidRPr="006938EE">
        <w:t>3.1</w:t>
      </w:r>
      <w:r w:rsidRPr="006938EE">
        <w:tab/>
        <w:t>Продукты и инструменты создания партнерств и мобилизации</w:t>
      </w:r>
      <w:bookmarkEnd w:id="45"/>
      <w:r w:rsidRPr="006938EE">
        <w:t xml:space="preserve"> ресурсов</w:t>
      </w:r>
      <w:r w:rsidRPr="006938EE">
        <w:rPr>
          <w:rFonts w:cs="Calibri"/>
        </w:rPr>
        <w:t xml:space="preserve"> </w:t>
      </w:r>
    </w:p>
    <w:p w:rsidR="006D534D" w:rsidRPr="006938EE" w:rsidRDefault="00955C2D" w:rsidP="00526147">
      <w:bookmarkStart w:id="46" w:name="lt_pId095"/>
      <w:proofErr w:type="spellStart"/>
      <w:r w:rsidRPr="006938EE">
        <w:t>БРЭ</w:t>
      </w:r>
      <w:proofErr w:type="spellEnd"/>
      <w:r w:rsidRPr="006938EE">
        <w:t xml:space="preserve"> создало различные внутренние и внешние инструменты, направленные на оказание поддержки усилиям </w:t>
      </w:r>
      <w:proofErr w:type="spellStart"/>
      <w:r w:rsidRPr="006938EE">
        <w:t>БРЭ</w:t>
      </w:r>
      <w:proofErr w:type="spellEnd"/>
      <w:r w:rsidRPr="006938EE">
        <w:t xml:space="preserve"> в области создания партнерств и мобилизации ресурсов для</w:t>
      </w:r>
      <w:r w:rsidR="006D534D" w:rsidRPr="006938EE">
        <w:t xml:space="preserve"> </w:t>
      </w:r>
      <w:hyperlink r:id="rId12" w:history="1">
        <w:r w:rsidRPr="006938EE">
          <w:rPr>
            <w:rStyle w:val="Hyperlink"/>
          </w:rPr>
          <w:t>проектов МСЭ</w:t>
        </w:r>
        <w:r w:rsidR="006D534D" w:rsidRPr="006938EE">
          <w:rPr>
            <w:rStyle w:val="Hyperlink"/>
          </w:rPr>
          <w:t>-D</w:t>
        </w:r>
      </w:hyperlink>
      <w:r w:rsidR="006D534D" w:rsidRPr="006938EE">
        <w:t xml:space="preserve"> </w:t>
      </w:r>
      <w:r w:rsidRPr="006938EE">
        <w:t>и</w:t>
      </w:r>
      <w:r w:rsidR="006D534D" w:rsidRPr="006938EE">
        <w:t xml:space="preserve"> </w:t>
      </w:r>
      <w:r w:rsidRPr="006938EE">
        <w:t>реализации инициатив, такие как</w:t>
      </w:r>
      <w:r w:rsidR="006D534D" w:rsidRPr="006938EE">
        <w:t xml:space="preserve">: </w:t>
      </w:r>
    </w:p>
    <w:p w:rsidR="00D71423" w:rsidRPr="006938EE" w:rsidRDefault="00D71423" w:rsidP="00526147">
      <w:pPr>
        <w:pStyle w:val="enumlev1"/>
      </w:pPr>
      <w:bookmarkStart w:id="47" w:name="lt_pId096"/>
      <w:bookmarkEnd w:id="46"/>
      <w:r w:rsidRPr="006938EE">
        <w:rPr>
          <w:rStyle w:val="ms-rtethemeforecolor-2-0"/>
          <w:szCs w:val="22"/>
        </w:rPr>
        <w:t>−</w:t>
      </w:r>
      <w:r w:rsidRPr="006938EE">
        <w:rPr>
          <w:rStyle w:val="ms-rtethemeforecolor-2-0"/>
          <w:szCs w:val="22"/>
        </w:rPr>
        <w:tab/>
      </w:r>
      <w:r w:rsidRPr="006938EE">
        <w:rPr>
          <w:b/>
          <w:i/>
          <w:iCs/>
        </w:rPr>
        <w:t>База данных партнеров по финансированию</w:t>
      </w:r>
      <w:r w:rsidRPr="006938EE">
        <w:t>:</w:t>
      </w:r>
      <w:bookmarkEnd w:id="47"/>
      <w:r w:rsidRPr="006938EE">
        <w:t xml:space="preserve"> </w:t>
      </w:r>
      <w:bookmarkStart w:id="48" w:name="lt_pId097"/>
      <w:r w:rsidRPr="006938EE">
        <w:t xml:space="preserve">включает </w:t>
      </w:r>
      <w:r w:rsidR="0017515E" w:rsidRPr="006938EE">
        <w:t>около</w:t>
      </w:r>
      <w:r w:rsidRPr="006938EE">
        <w:t xml:space="preserve"> 110 досье существующих и потенциальных партнер</w:t>
      </w:r>
      <w:r w:rsidR="00955C2D" w:rsidRPr="006938EE">
        <w:t>ов от администраций, много-/дву</w:t>
      </w:r>
      <w:r w:rsidRPr="006938EE">
        <w:t>сторонних учреждений, банков развития, фондов и компаний частного сектора.</w:t>
      </w:r>
      <w:bookmarkEnd w:id="48"/>
    </w:p>
    <w:p w:rsidR="00D71423" w:rsidRPr="006938EE" w:rsidRDefault="00D71423" w:rsidP="00526147">
      <w:pPr>
        <w:pStyle w:val="enumlev1"/>
      </w:pPr>
      <w:bookmarkStart w:id="49" w:name="lt_pId098"/>
      <w:r w:rsidRPr="006938EE">
        <w:rPr>
          <w:rStyle w:val="ms-rtethemeforecolor-2-0"/>
          <w:szCs w:val="22"/>
        </w:rPr>
        <w:t>−</w:t>
      </w:r>
      <w:r w:rsidRPr="006938EE">
        <w:rPr>
          <w:rStyle w:val="ms-rtethemeforecolor-2-0"/>
          <w:szCs w:val="22"/>
        </w:rPr>
        <w:tab/>
      </w:r>
      <w:r w:rsidRPr="006938EE">
        <w:rPr>
          <w:b/>
          <w:bCs/>
          <w:i/>
          <w:iCs/>
        </w:rPr>
        <w:t>База данных по соглашениям о партнерстве</w:t>
      </w:r>
      <w:r w:rsidRPr="006938EE">
        <w:t>:</w:t>
      </w:r>
      <w:bookmarkEnd w:id="49"/>
      <w:r w:rsidRPr="006938EE">
        <w:t xml:space="preserve"> </w:t>
      </w:r>
      <w:bookmarkStart w:id="50" w:name="lt_pId099"/>
      <w:r w:rsidRPr="006938EE">
        <w:t xml:space="preserve">включает более </w:t>
      </w:r>
      <w:r w:rsidR="006D534D" w:rsidRPr="006938EE">
        <w:t>930</w:t>
      </w:r>
      <w:r w:rsidRPr="006938EE">
        <w:t xml:space="preserve"> соглашений, подписанных </w:t>
      </w:r>
      <w:r w:rsidR="006D534D" w:rsidRPr="006938EE">
        <w:t>МСЭ/</w:t>
      </w:r>
      <w:proofErr w:type="spellStart"/>
      <w:r w:rsidRPr="006938EE">
        <w:t>БРЭ</w:t>
      </w:r>
      <w:proofErr w:type="spellEnd"/>
      <w:r w:rsidRPr="006938EE">
        <w:t xml:space="preserve"> с </w:t>
      </w:r>
      <w:r w:rsidR="00955C2D" w:rsidRPr="006938EE">
        <w:t>различными заинтересованными сторонами относительно национальных, региональных и глобальных видов деятельности, инициатив и проектов</w:t>
      </w:r>
      <w:r w:rsidRPr="006938EE">
        <w:t>.</w:t>
      </w:r>
      <w:bookmarkEnd w:id="50"/>
      <w:r w:rsidRPr="006938EE">
        <w:t xml:space="preserve"> </w:t>
      </w:r>
    </w:p>
    <w:p w:rsidR="006D534D" w:rsidRPr="006938EE" w:rsidRDefault="00D71423" w:rsidP="00526147">
      <w:pPr>
        <w:pStyle w:val="enumlev1"/>
      </w:pPr>
      <w:bookmarkStart w:id="51" w:name="lt_pId100"/>
      <w:r w:rsidRPr="006938EE">
        <w:rPr>
          <w:rStyle w:val="ms-rtethemeforecolor-2-0"/>
          <w:szCs w:val="22"/>
        </w:rPr>
        <w:t>−</w:t>
      </w:r>
      <w:r w:rsidRPr="006938EE">
        <w:rPr>
          <w:rStyle w:val="ms-rtethemeforecolor-2-0"/>
          <w:szCs w:val="22"/>
        </w:rPr>
        <w:tab/>
      </w:r>
      <w:hyperlink r:id="rId13" w:history="1">
        <w:r w:rsidRPr="006938EE">
          <w:rPr>
            <w:rStyle w:val="Hyperlink"/>
            <w:b/>
            <w:i/>
            <w:iCs/>
          </w:rPr>
          <w:t>Веб-сайт возможностей установления партнерских отношений</w:t>
        </w:r>
      </w:hyperlink>
      <w:r w:rsidRPr="006938EE">
        <w:rPr>
          <w:bCs/>
        </w:rPr>
        <w:t>:</w:t>
      </w:r>
      <w:bookmarkEnd w:id="51"/>
      <w:r w:rsidRPr="006938EE">
        <w:rPr>
          <w:bCs/>
        </w:rPr>
        <w:t xml:space="preserve"> </w:t>
      </w:r>
      <w:bookmarkStart w:id="52" w:name="lt_pId101"/>
      <w:r w:rsidR="00C141CA" w:rsidRPr="006938EE">
        <w:t>представление</w:t>
      </w:r>
      <w:r w:rsidR="00C141CA" w:rsidRPr="006938EE">
        <w:rPr>
          <w:bCs/>
        </w:rPr>
        <w:t xml:space="preserve"> информации о проектах и деятельности </w:t>
      </w:r>
      <w:proofErr w:type="spellStart"/>
      <w:r w:rsidR="00C141CA" w:rsidRPr="006938EE">
        <w:rPr>
          <w:bCs/>
        </w:rPr>
        <w:t>БРЭ</w:t>
      </w:r>
      <w:proofErr w:type="spellEnd"/>
      <w:r w:rsidR="00C141CA" w:rsidRPr="006938EE">
        <w:rPr>
          <w:bCs/>
        </w:rPr>
        <w:t xml:space="preserve"> для рассмотрения потенциальными партнерами с целью начала обсуждения и дальнейшей разработки более полных предложений</w:t>
      </w:r>
      <w:r w:rsidR="006D534D" w:rsidRPr="006938EE">
        <w:rPr>
          <w:rStyle w:val="FootnoteReference"/>
        </w:rPr>
        <w:footnoteReference w:id="2"/>
      </w:r>
      <w:r w:rsidR="006D534D" w:rsidRPr="006938EE">
        <w:t>.</w:t>
      </w:r>
    </w:p>
    <w:bookmarkEnd w:id="52"/>
    <w:p w:rsidR="006D534D" w:rsidRPr="006938EE" w:rsidRDefault="006D534D" w:rsidP="00526147">
      <w:pPr>
        <w:pStyle w:val="enumlev1"/>
      </w:pPr>
      <w:r w:rsidRPr="006938EE">
        <w:t>−</w:t>
      </w:r>
      <w:r w:rsidRPr="006938EE">
        <w:tab/>
      </w:r>
      <w:hyperlink r:id="rId14" w:history="1">
        <w:r w:rsidR="00677A73" w:rsidRPr="006938EE">
          <w:rPr>
            <w:rStyle w:val="Hyperlink"/>
            <w:b/>
            <w:bCs/>
            <w:i/>
            <w:iCs/>
          </w:rPr>
          <w:t>Веб-сайт возможностей спонсорской поддержки</w:t>
        </w:r>
      </w:hyperlink>
      <w:r w:rsidRPr="006938EE">
        <w:t xml:space="preserve">: </w:t>
      </w:r>
      <w:r w:rsidR="00C141CA" w:rsidRPr="006938EE">
        <w:t>вновь разработанная интерактивная платформа спонсорской поддержки, имеющаяся на шести официальных языках МСЭ, обеспечивает возможность для объединений повысить наглядность их деятельности</w:t>
      </w:r>
      <w:r w:rsidRPr="006938EE">
        <w:t xml:space="preserve">, </w:t>
      </w:r>
      <w:r w:rsidR="00C141CA" w:rsidRPr="006938EE">
        <w:t>способствовать популяризации бренда</w:t>
      </w:r>
      <w:r w:rsidRPr="006938EE">
        <w:t xml:space="preserve">, </w:t>
      </w:r>
      <w:r w:rsidR="00C141CA" w:rsidRPr="006938EE">
        <w:t xml:space="preserve">а также демонстрировать продукты и решения в области ИКТ посредством сопутствующих мероприятий и социальной деятельности в рамках проводимых </w:t>
      </w:r>
      <w:proofErr w:type="spellStart"/>
      <w:r w:rsidR="00C141CA" w:rsidRPr="006938EE">
        <w:t>БРЭ</w:t>
      </w:r>
      <w:proofErr w:type="spellEnd"/>
      <w:r w:rsidR="00C141CA" w:rsidRPr="006938EE">
        <w:t xml:space="preserve"> глобальных или региональных мероприятий</w:t>
      </w:r>
      <w:r w:rsidRPr="006938EE">
        <w:t>.</w:t>
      </w:r>
      <w:r w:rsidR="00C141CA" w:rsidRPr="006938EE">
        <w:t xml:space="preserve"> Нынешние пакеты спонсорской поддержки предлагаются для сопутствующих и/или социальных мероприятий, проводимых в связи с </w:t>
      </w:r>
      <w:proofErr w:type="spellStart"/>
      <w:r w:rsidR="00C141CA" w:rsidRPr="006938EE">
        <w:t>ГСР</w:t>
      </w:r>
      <w:proofErr w:type="spellEnd"/>
      <w:r w:rsidRPr="006938EE">
        <w:t xml:space="preserve">-17, </w:t>
      </w:r>
      <w:proofErr w:type="spellStart"/>
      <w:r w:rsidR="00C141CA" w:rsidRPr="006938EE">
        <w:t>ВКРЭ</w:t>
      </w:r>
      <w:proofErr w:type="spellEnd"/>
      <w:r w:rsidRPr="006938EE">
        <w:t>-17</w:t>
      </w:r>
      <w:r w:rsidR="00C141CA" w:rsidRPr="006938EE">
        <w:t xml:space="preserve"> и 25-й годовщиной МСЭ</w:t>
      </w:r>
      <w:r w:rsidRPr="006938EE">
        <w:t xml:space="preserve">-D. </w:t>
      </w:r>
      <w:r w:rsidR="00C141CA" w:rsidRPr="006938EE">
        <w:t>Скидки предлагаются членам МСЭ</w:t>
      </w:r>
      <w:r w:rsidRPr="006938EE">
        <w:t>-D</w:t>
      </w:r>
      <w:r w:rsidR="009C1E0B" w:rsidRPr="006938EE">
        <w:t xml:space="preserve"> для открытых мероприятий/собраний, а также для многочисленных видов спонсорской деятельности</w:t>
      </w:r>
      <w:r w:rsidRPr="006938EE">
        <w:t xml:space="preserve">. </w:t>
      </w:r>
      <w:bookmarkStart w:id="53" w:name="lt_pId092"/>
      <w:r w:rsidR="009C1E0B" w:rsidRPr="006938EE">
        <w:t xml:space="preserve">Все мобилизованные ресурсы будут использоваться для организации спонсируемой деятельности и для осуществления мероприятий, проектов и инициатив, в том числе региональных инициатив, в рамках Плана действий </w:t>
      </w:r>
      <w:proofErr w:type="spellStart"/>
      <w:r w:rsidR="009C1E0B" w:rsidRPr="006938EE">
        <w:t>ВКРЭ</w:t>
      </w:r>
      <w:proofErr w:type="spellEnd"/>
      <w:r w:rsidR="009C1E0B" w:rsidRPr="006938EE">
        <w:t>-14</w:t>
      </w:r>
      <w:r w:rsidRPr="006938EE">
        <w:rPr>
          <w:rStyle w:val="FootnoteReference"/>
        </w:rPr>
        <w:footnoteReference w:id="3"/>
      </w:r>
      <w:r w:rsidRPr="006938EE">
        <w:t>.</w:t>
      </w:r>
      <w:bookmarkEnd w:id="53"/>
    </w:p>
    <w:p w:rsidR="00D71423" w:rsidRPr="006938EE" w:rsidRDefault="00D71423" w:rsidP="00D71423">
      <w:pPr>
        <w:pStyle w:val="Heading2"/>
      </w:pPr>
      <w:r w:rsidRPr="006938EE">
        <w:t>3.2</w:t>
      </w:r>
      <w:r w:rsidRPr="006938EE">
        <w:tab/>
        <w:t>Глобальные партнерства</w:t>
      </w:r>
    </w:p>
    <w:p w:rsidR="00017EC1" w:rsidRPr="006938EE" w:rsidRDefault="002E54C6" w:rsidP="005C78AD">
      <w:bookmarkStart w:id="55" w:name="lt_pId107"/>
      <w:r w:rsidRPr="006938EE">
        <w:t xml:space="preserve">Несмотря на то что </w:t>
      </w:r>
      <w:proofErr w:type="spellStart"/>
      <w:r w:rsidRPr="006938EE">
        <w:t>БРЭ</w:t>
      </w:r>
      <w:proofErr w:type="spellEnd"/>
      <w:r w:rsidRPr="006938EE">
        <w:t xml:space="preserve"> уделяет особое внимание поддержани</w:t>
      </w:r>
      <w:r w:rsidR="002F0848" w:rsidRPr="006938EE">
        <w:t>ю</w:t>
      </w:r>
      <w:r w:rsidRPr="006938EE">
        <w:t xml:space="preserve"> отношений с существующими партнерами и преобразованию их в прочные отношения долгосрочного характера, </w:t>
      </w:r>
      <w:proofErr w:type="spellStart"/>
      <w:r w:rsidRPr="006938EE">
        <w:t>БРЭ</w:t>
      </w:r>
      <w:proofErr w:type="spellEnd"/>
      <w:r w:rsidRPr="006938EE">
        <w:t xml:space="preserve"> также признает важность расширения и диверсификации своей партнерской базы с помощью деятельности, направленной на охват нет</w:t>
      </w:r>
      <w:r w:rsidR="0036676C" w:rsidRPr="006938EE">
        <w:t>ипичных</w:t>
      </w:r>
      <w:r w:rsidRPr="006938EE">
        <w:t xml:space="preserve"> партнеров</w:t>
      </w:r>
      <w:r w:rsidR="00017EC1" w:rsidRPr="006938EE">
        <w:t>.</w:t>
      </w:r>
    </w:p>
    <w:p w:rsidR="00017EC1" w:rsidRPr="006938EE" w:rsidRDefault="002E54C6" w:rsidP="00526147">
      <w:r w:rsidRPr="006938EE">
        <w:t>Так</w:t>
      </w:r>
      <w:r w:rsidR="00017EC1" w:rsidRPr="006938EE">
        <w:t xml:space="preserve"> </w:t>
      </w:r>
      <w:r w:rsidRPr="006938EE">
        <w:t xml:space="preserve">в рамках конвергентной </w:t>
      </w:r>
      <w:r w:rsidR="00DD2B82" w:rsidRPr="006938EE">
        <w:t>эко</w:t>
      </w:r>
      <w:r w:rsidRPr="006938EE">
        <w:t>системы ИКТ</w:t>
      </w:r>
      <w:r w:rsidR="00961169" w:rsidRPr="006938EE">
        <w:t>,</w:t>
      </w:r>
      <w:r w:rsidRPr="006938EE">
        <w:t xml:space="preserve"> </w:t>
      </w:r>
      <w:proofErr w:type="spellStart"/>
      <w:r w:rsidRPr="006938EE">
        <w:t>БРЭ</w:t>
      </w:r>
      <w:proofErr w:type="spellEnd"/>
      <w:r w:rsidRPr="006938EE">
        <w:t xml:space="preserve"> направляет особые усилия для охвата объединений, действующих в других секторах, таких как здравоохранение/фармацевтика</w:t>
      </w:r>
      <w:r w:rsidR="00017EC1" w:rsidRPr="006938EE">
        <w:t xml:space="preserve">, </w:t>
      </w:r>
      <w:r w:rsidRPr="006938EE">
        <w:t>финансы или сельскохозяйственный сектор</w:t>
      </w:r>
      <w:r w:rsidR="00017EC1" w:rsidRPr="006938EE">
        <w:t xml:space="preserve"> (</w:t>
      </w:r>
      <w:r w:rsidRPr="006938EE">
        <w:t>например, в 2016 году были установлены партнерские отношения с ВОЗ</w:t>
      </w:r>
      <w:r w:rsidR="00017EC1" w:rsidRPr="006938EE">
        <w:t>,</w:t>
      </w:r>
      <w:r w:rsidRPr="006938EE">
        <w:t xml:space="preserve"> Норвежским директоратом здравоохранения</w:t>
      </w:r>
      <w:r w:rsidR="00017EC1" w:rsidRPr="006938EE">
        <w:t xml:space="preserve"> (</w:t>
      </w:r>
      <w:proofErr w:type="spellStart"/>
      <w:r w:rsidR="00017EC1" w:rsidRPr="006938EE">
        <w:t>NDH</w:t>
      </w:r>
      <w:proofErr w:type="spellEnd"/>
      <w:r w:rsidR="00017EC1" w:rsidRPr="006938EE">
        <w:t xml:space="preserve">), </w:t>
      </w:r>
      <w:proofErr w:type="spellStart"/>
      <w:r w:rsidR="00017EC1" w:rsidRPr="006938EE">
        <w:t>Sanofi</w:t>
      </w:r>
      <w:proofErr w:type="spellEnd"/>
      <w:r w:rsidR="00017EC1" w:rsidRPr="006938EE">
        <w:t xml:space="preserve"> </w:t>
      </w:r>
      <w:proofErr w:type="spellStart"/>
      <w:r w:rsidR="00017EC1" w:rsidRPr="006938EE">
        <w:t>Avantis</w:t>
      </w:r>
      <w:proofErr w:type="spellEnd"/>
      <w:r w:rsidR="00017EC1" w:rsidRPr="006938EE">
        <w:t xml:space="preserve"> </w:t>
      </w:r>
      <w:proofErr w:type="spellStart"/>
      <w:r w:rsidR="00017EC1" w:rsidRPr="006938EE">
        <w:t>Group</w:t>
      </w:r>
      <w:proofErr w:type="spellEnd"/>
      <w:r w:rsidR="00017EC1" w:rsidRPr="006938EE">
        <w:t xml:space="preserve">, </w:t>
      </w:r>
      <w:r w:rsidRPr="006938EE">
        <w:t>Альянсом за включение в финансовую деятельность</w:t>
      </w:r>
      <w:r w:rsidR="00017EC1" w:rsidRPr="006938EE">
        <w:t xml:space="preserve"> (</w:t>
      </w:r>
      <w:proofErr w:type="spellStart"/>
      <w:r w:rsidR="00017EC1" w:rsidRPr="006938EE">
        <w:t>AFI</w:t>
      </w:r>
      <w:proofErr w:type="spellEnd"/>
      <w:r w:rsidR="00017EC1" w:rsidRPr="006938EE">
        <w:t xml:space="preserve">), </w:t>
      </w:r>
      <w:proofErr w:type="spellStart"/>
      <w:r w:rsidRPr="006938EE">
        <w:t>ФАО</w:t>
      </w:r>
      <w:proofErr w:type="spellEnd"/>
      <w:r w:rsidRPr="006938EE">
        <w:t>, чтобы поддержать осуществление своих проектов</w:t>
      </w:r>
      <w:r w:rsidR="00017EC1" w:rsidRPr="006938EE">
        <w:t xml:space="preserve">. </w:t>
      </w:r>
    </w:p>
    <w:bookmarkEnd w:id="55"/>
    <w:p w:rsidR="00D71423" w:rsidRPr="006938EE" w:rsidRDefault="00D71423" w:rsidP="00D71423">
      <w:pPr>
        <w:pStyle w:val="Heading1"/>
      </w:pPr>
      <w:r w:rsidRPr="006938EE">
        <w:lastRenderedPageBreak/>
        <w:t>4</w:t>
      </w:r>
      <w:r w:rsidRPr="006938EE">
        <w:tab/>
        <w:t>Результаты</w:t>
      </w:r>
    </w:p>
    <w:p w:rsidR="00D71423" w:rsidRPr="006938EE" w:rsidRDefault="00D71423" w:rsidP="006938EE">
      <w:pPr>
        <w:rPr>
          <w:i/>
          <w:iCs/>
        </w:rPr>
      </w:pPr>
      <w:bookmarkStart w:id="56" w:name="lt_pId112"/>
      <w:r w:rsidRPr="006938EE">
        <w:t xml:space="preserve">Результатами деятельности </w:t>
      </w:r>
      <w:proofErr w:type="spellStart"/>
      <w:r w:rsidRPr="006938EE">
        <w:t>БРЭ</w:t>
      </w:r>
      <w:proofErr w:type="spellEnd"/>
      <w:r w:rsidRPr="006938EE">
        <w:t xml:space="preserve"> по созданию партнерств и мобилизации ресурсов стали </w:t>
      </w:r>
      <w:r w:rsidR="00017EC1" w:rsidRPr="006938EE">
        <w:t>174 новых соглашения</w:t>
      </w:r>
      <w:r w:rsidRPr="006938EE">
        <w:t xml:space="preserve"> и </w:t>
      </w:r>
      <w:r w:rsidR="00017EC1" w:rsidRPr="006938EE">
        <w:t>67</w:t>
      </w:r>
      <w:r w:rsidRPr="006938EE">
        <w:t> дополнений/поправок, оценочная стоимость которых составляет 3</w:t>
      </w:r>
      <w:r w:rsidR="00017EC1" w:rsidRPr="006938EE">
        <w:t>2</w:t>
      </w:r>
      <w:r w:rsidRPr="006938EE">
        <w:t>,</w:t>
      </w:r>
      <w:r w:rsidR="00017EC1" w:rsidRPr="006938EE">
        <w:t>6</w:t>
      </w:r>
      <w:r w:rsidRPr="006938EE">
        <w:t> млн. долл. США, подписанных в период с 201</w:t>
      </w:r>
      <w:r w:rsidR="00017EC1" w:rsidRPr="006938EE">
        <w:t>3</w:t>
      </w:r>
      <w:r w:rsidRPr="006938EE">
        <w:t xml:space="preserve"> по 201</w:t>
      </w:r>
      <w:r w:rsidR="00017EC1" w:rsidRPr="006938EE">
        <w:t>6</w:t>
      </w:r>
      <w:r w:rsidRPr="006938EE">
        <w:t xml:space="preserve"> год. </w:t>
      </w:r>
      <w:r w:rsidRPr="006938EE">
        <w:rPr>
          <w:i/>
          <w:iCs/>
        </w:rPr>
        <w:t>(Более подробная информация представлена в Документе </w:t>
      </w:r>
      <w:proofErr w:type="spellStart"/>
      <w:r w:rsidR="006938EE" w:rsidRPr="006938EE">
        <w:fldChar w:fldCharType="begin"/>
      </w:r>
      <w:r w:rsidR="006938EE" w:rsidRPr="006938EE">
        <w:instrText xml:space="preserve"> HYPERLINK "https://www.itu.int/md/D14-TDAG21-INF-0006/en" </w:instrText>
      </w:r>
      <w:r w:rsidR="006938EE" w:rsidRPr="006938EE">
        <w:fldChar w:fldCharType="separate"/>
      </w:r>
      <w:r w:rsidRPr="006938EE">
        <w:rPr>
          <w:i/>
          <w:iCs/>
        </w:rPr>
        <w:t>INF</w:t>
      </w:r>
      <w:proofErr w:type="spellEnd"/>
      <w:r w:rsidRPr="006938EE">
        <w:t>/</w:t>
      </w:r>
      <w:r w:rsidR="006938EE" w:rsidRPr="006938EE">
        <w:fldChar w:fldCharType="end"/>
      </w:r>
      <w:r w:rsidR="00017EC1" w:rsidRPr="006938EE">
        <w:rPr>
          <w:i/>
          <w:iCs/>
        </w:rPr>
        <w:t>2</w:t>
      </w:r>
      <w:r w:rsidRPr="006938EE">
        <w:rPr>
          <w:i/>
          <w:iCs/>
        </w:rPr>
        <w:t>).</w:t>
      </w:r>
      <w:bookmarkEnd w:id="56"/>
    </w:p>
    <w:p w:rsidR="00017EC1" w:rsidRPr="006938EE" w:rsidRDefault="00017EC1" w:rsidP="006938EE">
      <w:pPr>
        <w:pStyle w:val="Tabletitle"/>
        <w:spacing w:before="360"/>
      </w:pPr>
      <w:r w:rsidRPr="006938EE">
        <w:t>Схемы: Анализ новых соглашений, подписанных в период с 2013 по 2016 год</w:t>
      </w:r>
      <w:r w:rsidRPr="006938EE">
        <w:rPr>
          <w:rStyle w:val="FootnoteReference"/>
          <w:b w:val="0"/>
        </w:rPr>
        <w:footnoteReference w:id="4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1"/>
        <w:gridCol w:w="4997"/>
      </w:tblGrid>
      <w:tr w:rsidR="00954721" w:rsidRPr="006938EE" w:rsidTr="00017EC1">
        <w:trPr>
          <w:trHeight w:val="3447"/>
        </w:trPr>
        <w:tc>
          <w:tcPr>
            <w:tcW w:w="4641" w:type="dxa"/>
          </w:tcPr>
          <w:p w:rsidR="00954721" w:rsidRPr="006938EE" w:rsidRDefault="00954721" w:rsidP="0089291A">
            <w:r w:rsidRPr="006938EE">
              <w:rPr>
                <w:szCs w:val="24"/>
                <w:lang w:eastAsia="zh-CN"/>
              </w:rPr>
              <w:drawing>
                <wp:inline distT="0" distB="0" distL="0" distR="0" wp14:anchorId="79BAECDA" wp14:editId="131D690D">
                  <wp:extent cx="2838450" cy="1966595"/>
                  <wp:effectExtent l="0" t="0" r="0" b="14605"/>
                  <wp:docPr id="26" name="Chart 2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  <w:tc>
          <w:tcPr>
            <w:tcW w:w="4997" w:type="dxa"/>
          </w:tcPr>
          <w:p w:rsidR="00954721" w:rsidRPr="006938EE" w:rsidRDefault="00954721" w:rsidP="0089291A">
            <w:r w:rsidRPr="006938EE">
              <w:rPr>
                <w:szCs w:val="24"/>
                <w:lang w:eastAsia="zh-CN"/>
              </w:rPr>
              <w:drawing>
                <wp:inline distT="0" distB="0" distL="0" distR="0" wp14:anchorId="6A53C2F4" wp14:editId="2A6B036D">
                  <wp:extent cx="3057525" cy="1971675"/>
                  <wp:effectExtent l="0" t="0" r="9525" b="9525"/>
                  <wp:docPr id="27" name="Chart 2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</w:tbl>
    <w:p w:rsidR="00954721" w:rsidRPr="006938EE" w:rsidRDefault="00954721" w:rsidP="00677A73"/>
    <w:p w:rsidR="00954721" w:rsidRPr="006938EE" w:rsidRDefault="00165F7C" w:rsidP="00954721">
      <w:pPr>
        <w:jc w:val="center"/>
        <w:rPr>
          <w:rFonts w:cs="Calibri"/>
          <w:sz w:val="18"/>
          <w:szCs w:val="18"/>
        </w:rPr>
      </w:pPr>
      <w:r w:rsidRPr="006938EE">
        <w:rPr>
          <w:rFonts w:cs="Calibri"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9C3E92" wp14:editId="3D191A4A">
                <wp:simplePos x="0" y="0"/>
                <wp:positionH relativeFrom="margin">
                  <wp:posOffset>270510</wp:posOffset>
                </wp:positionH>
                <wp:positionV relativeFrom="paragraph">
                  <wp:posOffset>591820</wp:posOffset>
                </wp:positionV>
                <wp:extent cx="1857375" cy="177165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07EA" w:rsidRPr="009707EA" w:rsidRDefault="009707EA" w:rsidP="00165F7C">
                            <w:pPr>
                              <w:spacing w:before="0"/>
                              <w:jc w:val="right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9707EA">
                              <w:rPr>
                                <w:rFonts w:cs="Calibri"/>
                                <w:sz w:val="16"/>
                                <w:szCs w:val="16"/>
                              </w:rPr>
                              <w:t>Статистика и показатели</w:t>
                            </w:r>
                          </w:p>
                          <w:p w:rsidR="009707EA" w:rsidRPr="009707EA" w:rsidRDefault="009707EA" w:rsidP="00165F7C">
                            <w:pPr>
                              <w:spacing w:before="60"/>
                              <w:jc w:val="right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9707EA">
                              <w:rPr>
                                <w:rFonts w:cs="Calibri"/>
                                <w:sz w:val="16"/>
                                <w:szCs w:val="16"/>
                              </w:rPr>
                              <w:t>Инновации</w:t>
                            </w:r>
                          </w:p>
                          <w:p w:rsidR="009707EA" w:rsidRPr="009707EA" w:rsidRDefault="009707EA" w:rsidP="00165F7C">
                            <w:pPr>
                              <w:spacing w:before="80"/>
                              <w:jc w:val="right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9707EA">
                              <w:rPr>
                                <w:rFonts w:cs="Calibri"/>
                                <w:sz w:val="16"/>
                                <w:szCs w:val="16"/>
                              </w:rPr>
                              <w:t>Охват цифровыми технологиями</w:t>
                            </w:r>
                          </w:p>
                          <w:p w:rsidR="009707EA" w:rsidRPr="009707EA" w:rsidRDefault="009707EA" w:rsidP="00165F7C">
                            <w:pPr>
                              <w:spacing w:before="8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9707EA">
                              <w:rPr>
                                <w:sz w:val="16"/>
                                <w:szCs w:val="16"/>
                              </w:rPr>
                              <w:t>Электросвязь в чрезвычайных ситуациях</w:t>
                            </w:r>
                          </w:p>
                          <w:p w:rsidR="009707EA" w:rsidRPr="009707EA" w:rsidRDefault="009707EA" w:rsidP="00165F7C">
                            <w:pPr>
                              <w:spacing w:before="8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9707EA">
                              <w:rPr>
                                <w:sz w:val="16"/>
                                <w:szCs w:val="16"/>
                              </w:rPr>
                              <w:t>Деятельность общего характера</w:t>
                            </w:r>
                          </w:p>
                          <w:p w:rsidR="009707EA" w:rsidRPr="009707EA" w:rsidRDefault="009707EA" w:rsidP="00165F7C">
                            <w:pPr>
                              <w:spacing w:before="80"/>
                              <w:jc w:val="right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9707EA">
                              <w:rPr>
                                <w:rFonts w:cs="Calibri"/>
                                <w:sz w:val="16"/>
                                <w:szCs w:val="16"/>
                              </w:rPr>
                              <w:t>Благоприятная среда</w:t>
                            </w:r>
                          </w:p>
                          <w:p w:rsidR="009707EA" w:rsidRPr="009707EA" w:rsidRDefault="009707EA" w:rsidP="00165F7C">
                            <w:pPr>
                              <w:spacing w:before="80"/>
                              <w:jc w:val="right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9707EA">
                              <w:rPr>
                                <w:rFonts w:cs="Calibri"/>
                                <w:sz w:val="16"/>
                                <w:szCs w:val="16"/>
                              </w:rPr>
                              <w:t>Приложения ИКТ</w:t>
                            </w:r>
                          </w:p>
                          <w:p w:rsidR="009707EA" w:rsidRPr="009707EA" w:rsidRDefault="009707EA" w:rsidP="00165F7C">
                            <w:pPr>
                              <w:spacing w:before="80"/>
                              <w:jc w:val="right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9707EA">
                              <w:rPr>
                                <w:rFonts w:cs="Calibri"/>
                                <w:sz w:val="16"/>
                                <w:szCs w:val="16"/>
                              </w:rPr>
                              <w:t>Кибербезопасность</w:t>
                            </w:r>
                          </w:p>
                          <w:p w:rsidR="009707EA" w:rsidRPr="009707EA" w:rsidRDefault="009707EA" w:rsidP="00165F7C">
                            <w:pPr>
                              <w:spacing w:before="80"/>
                              <w:jc w:val="right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9707EA">
                              <w:rPr>
                                <w:rFonts w:cs="Calibri"/>
                                <w:sz w:val="16"/>
                                <w:szCs w:val="16"/>
                              </w:rPr>
                              <w:t>Инфраструктура</w:t>
                            </w:r>
                          </w:p>
                          <w:p w:rsidR="009707EA" w:rsidRPr="009707EA" w:rsidRDefault="009707EA" w:rsidP="00165F7C">
                            <w:pPr>
                              <w:spacing w:before="80"/>
                              <w:jc w:val="right"/>
                              <w:rPr>
                                <w:rFonts w:cs="Calibri"/>
                                <w:sz w:val="16"/>
                                <w:szCs w:val="16"/>
                                <w:lang w:val="fr-CH"/>
                              </w:rPr>
                            </w:pPr>
                            <w:r>
                              <w:rPr>
                                <w:rFonts w:eastAsiaTheme="minorHAnsi"/>
                                <w:sz w:val="16"/>
                                <w:szCs w:val="16"/>
                              </w:rPr>
                              <w:t>Создание</w:t>
                            </w:r>
                            <w:r w:rsidRPr="009707EA">
                              <w:rPr>
                                <w:rFonts w:eastAsiaTheme="minorHAnsi"/>
                                <w:sz w:val="16"/>
                                <w:szCs w:val="16"/>
                              </w:rPr>
                              <w:t xml:space="preserve"> потенциала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9C3E9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.3pt;margin-top:46.6pt;width:146.25pt;height:139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" fillcolor="white [3201]" stroked="f" strokeweight=".5pt">
                <v:textbox inset="1mm,1mm,1mm,1mm">
                  <w:txbxContent>
                    <w:p w:rsidR="009707EA" w:rsidRPr="009707EA" w:rsidRDefault="009707EA" w:rsidP="00165F7C">
                      <w:pPr>
                        <w:spacing w:before="0"/>
                        <w:jc w:val="right"/>
                        <w:rPr>
                          <w:rFonts w:cs="Calibri"/>
                          <w:sz w:val="16"/>
                          <w:szCs w:val="16"/>
                        </w:rPr>
                      </w:pPr>
                      <w:r w:rsidRPr="009707EA">
                        <w:rPr>
                          <w:rFonts w:cs="Calibri"/>
                          <w:sz w:val="16"/>
                          <w:szCs w:val="16"/>
                        </w:rPr>
                        <w:t>Статистика и показатели</w:t>
                      </w:r>
                    </w:p>
                    <w:p w:rsidR="009707EA" w:rsidRPr="009707EA" w:rsidRDefault="009707EA" w:rsidP="00165F7C">
                      <w:pPr>
                        <w:spacing w:before="60"/>
                        <w:jc w:val="right"/>
                        <w:rPr>
                          <w:rFonts w:cs="Calibri"/>
                          <w:sz w:val="16"/>
                          <w:szCs w:val="16"/>
                        </w:rPr>
                      </w:pPr>
                      <w:r w:rsidRPr="009707EA">
                        <w:rPr>
                          <w:rFonts w:cs="Calibri"/>
                          <w:sz w:val="16"/>
                          <w:szCs w:val="16"/>
                        </w:rPr>
                        <w:t>Инновации</w:t>
                      </w:r>
                    </w:p>
                    <w:p w:rsidR="009707EA" w:rsidRPr="009707EA" w:rsidRDefault="009707EA" w:rsidP="00165F7C">
                      <w:pPr>
                        <w:spacing w:before="80"/>
                        <w:jc w:val="right"/>
                        <w:rPr>
                          <w:rFonts w:cs="Calibri"/>
                          <w:sz w:val="16"/>
                          <w:szCs w:val="16"/>
                        </w:rPr>
                      </w:pPr>
                      <w:r w:rsidRPr="009707EA">
                        <w:rPr>
                          <w:rFonts w:cs="Calibri"/>
                          <w:sz w:val="16"/>
                          <w:szCs w:val="16"/>
                        </w:rPr>
                        <w:t>Охват цифровыми технологиями</w:t>
                      </w:r>
                    </w:p>
                    <w:p w:rsidR="009707EA" w:rsidRPr="009707EA" w:rsidRDefault="009707EA" w:rsidP="00165F7C">
                      <w:pPr>
                        <w:spacing w:before="80"/>
                        <w:jc w:val="right"/>
                        <w:rPr>
                          <w:sz w:val="16"/>
                          <w:szCs w:val="16"/>
                        </w:rPr>
                      </w:pPr>
                      <w:r w:rsidRPr="009707EA">
                        <w:rPr>
                          <w:sz w:val="16"/>
                          <w:szCs w:val="16"/>
                        </w:rPr>
                        <w:t>Электросвязь в чрезвычайных ситуациях</w:t>
                      </w:r>
                    </w:p>
                    <w:p w:rsidR="009707EA" w:rsidRPr="009707EA" w:rsidRDefault="009707EA" w:rsidP="00165F7C">
                      <w:pPr>
                        <w:spacing w:before="80"/>
                        <w:jc w:val="right"/>
                        <w:rPr>
                          <w:sz w:val="16"/>
                          <w:szCs w:val="16"/>
                        </w:rPr>
                      </w:pPr>
                      <w:r w:rsidRPr="009707EA">
                        <w:rPr>
                          <w:sz w:val="16"/>
                          <w:szCs w:val="16"/>
                        </w:rPr>
                        <w:t>Деятельность общего характера</w:t>
                      </w:r>
                    </w:p>
                    <w:p w:rsidR="009707EA" w:rsidRPr="009707EA" w:rsidRDefault="009707EA" w:rsidP="00165F7C">
                      <w:pPr>
                        <w:spacing w:before="80"/>
                        <w:jc w:val="right"/>
                        <w:rPr>
                          <w:rFonts w:cs="Calibri"/>
                          <w:sz w:val="16"/>
                          <w:szCs w:val="16"/>
                        </w:rPr>
                      </w:pPr>
                      <w:r w:rsidRPr="009707EA">
                        <w:rPr>
                          <w:rFonts w:cs="Calibri"/>
                          <w:sz w:val="16"/>
                          <w:szCs w:val="16"/>
                        </w:rPr>
                        <w:t>Благоприятная среда</w:t>
                      </w:r>
                    </w:p>
                    <w:p w:rsidR="009707EA" w:rsidRPr="009707EA" w:rsidRDefault="009707EA" w:rsidP="00165F7C">
                      <w:pPr>
                        <w:spacing w:before="80"/>
                        <w:jc w:val="right"/>
                        <w:rPr>
                          <w:rFonts w:cs="Calibri"/>
                          <w:sz w:val="16"/>
                          <w:szCs w:val="16"/>
                        </w:rPr>
                      </w:pPr>
                      <w:r w:rsidRPr="009707EA">
                        <w:rPr>
                          <w:rFonts w:cs="Calibri"/>
                          <w:sz w:val="16"/>
                          <w:szCs w:val="16"/>
                        </w:rPr>
                        <w:t>Приложения ИКТ</w:t>
                      </w:r>
                    </w:p>
                    <w:p w:rsidR="009707EA" w:rsidRPr="009707EA" w:rsidRDefault="009707EA" w:rsidP="00165F7C">
                      <w:pPr>
                        <w:spacing w:before="80"/>
                        <w:jc w:val="right"/>
                        <w:rPr>
                          <w:rFonts w:cs="Calibri"/>
                          <w:sz w:val="16"/>
                          <w:szCs w:val="16"/>
                        </w:rPr>
                      </w:pPr>
                      <w:r w:rsidRPr="009707EA">
                        <w:rPr>
                          <w:rFonts w:cs="Calibri"/>
                          <w:sz w:val="16"/>
                          <w:szCs w:val="16"/>
                        </w:rPr>
                        <w:t>Кибербезопасность</w:t>
                      </w:r>
                    </w:p>
                    <w:p w:rsidR="009707EA" w:rsidRPr="009707EA" w:rsidRDefault="009707EA" w:rsidP="00165F7C">
                      <w:pPr>
                        <w:spacing w:before="80"/>
                        <w:jc w:val="right"/>
                        <w:rPr>
                          <w:rFonts w:cs="Calibri"/>
                          <w:sz w:val="16"/>
                          <w:szCs w:val="16"/>
                        </w:rPr>
                      </w:pPr>
                      <w:r w:rsidRPr="009707EA">
                        <w:rPr>
                          <w:rFonts w:cs="Calibri"/>
                          <w:sz w:val="16"/>
                          <w:szCs w:val="16"/>
                        </w:rPr>
                        <w:t>Инфраструктура</w:t>
                      </w:r>
                    </w:p>
                    <w:p w:rsidR="009707EA" w:rsidRPr="009707EA" w:rsidRDefault="009707EA" w:rsidP="00165F7C">
                      <w:pPr>
                        <w:spacing w:before="80"/>
                        <w:jc w:val="right"/>
                        <w:rPr>
                          <w:rFonts w:cs="Calibri"/>
                          <w:sz w:val="16"/>
                          <w:szCs w:val="16"/>
                          <w:lang w:val="fr-CH"/>
                        </w:rPr>
                      </w:pPr>
                      <w:r>
                        <w:rPr>
                          <w:rFonts w:eastAsiaTheme="minorHAnsi"/>
                          <w:sz w:val="16"/>
                          <w:szCs w:val="16"/>
                        </w:rPr>
                        <w:t>Создание</w:t>
                      </w:r>
                      <w:r w:rsidRPr="009707EA">
                        <w:rPr>
                          <w:rFonts w:eastAsiaTheme="minorHAnsi"/>
                          <w:sz w:val="16"/>
                          <w:szCs w:val="16"/>
                        </w:rPr>
                        <w:t xml:space="preserve"> потенциала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4721" w:rsidRPr="006938EE">
        <w:rPr>
          <w:sz w:val="24"/>
          <w:szCs w:val="24"/>
          <w:lang w:eastAsia="zh-CN"/>
        </w:rPr>
        <w:drawing>
          <wp:inline distT="0" distB="0" distL="0" distR="0" wp14:anchorId="2A614653" wp14:editId="70D39CCA">
            <wp:extent cx="5657850" cy="2590800"/>
            <wp:effectExtent l="0" t="0" r="0" b="0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A54C8" w:rsidRPr="006938EE" w:rsidRDefault="004A54C8" w:rsidP="004A54C8">
      <w:pPr>
        <w:spacing w:before="0"/>
        <w:rPr>
          <w:rFonts w:cs="Calibri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6"/>
        <w:gridCol w:w="5022"/>
      </w:tblGrid>
      <w:tr w:rsidR="00D71423" w:rsidRPr="006938EE" w:rsidTr="00954721">
        <w:trPr>
          <w:trHeight w:val="3678"/>
        </w:trPr>
        <w:tc>
          <w:tcPr>
            <w:tcW w:w="4616" w:type="dxa"/>
          </w:tcPr>
          <w:p w:rsidR="001027D5" w:rsidRPr="006938EE" w:rsidRDefault="001027D5" w:rsidP="001027D5">
            <w:r w:rsidRPr="006938EE">
              <w:rPr>
                <w:lang w:eastAsia="zh-CN"/>
              </w:rPr>
              <w:lastRenderedPageBreak/>
              <w:drawing>
                <wp:inline distT="0" distB="0" distL="0" distR="0" wp14:anchorId="576AB75B" wp14:editId="340913FF">
                  <wp:extent cx="2886075" cy="2466975"/>
                  <wp:effectExtent l="0" t="0" r="9525" b="9525"/>
                  <wp:docPr id="14" name="Chart 1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  <w:p w:rsidR="001027D5" w:rsidRPr="006938EE" w:rsidRDefault="001027D5" w:rsidP="001027D5">
            <w:pPr>
              <w:spacing w:before="0"/>
              <w:rPr>
                <w:sz w:val="10"/>
                <w:szCs w:val="10"/>
              </w:rPr>
            </w:pPr>
          </w:p>
        </w:tc>
        <w:tc>
          <w:tcPr>
            <w:tcW w:w="5022" w:type="dxa"/>
          </w:tcPr>
          <w:p w:rsidR="00D71423" w:rsidRPr="006938EE" w:rsidRDefault="00FB2814" w:rsidP="0089291A">
            <w:r w:rsidRPr="006938EE">
              <w:rPr>
                <w:lang w:eastAsia="zh-CN"/>
              </w:rPr>
              <w:drawing>
                <wp:inline distT="0" distB="0" distL="0" distR="0" wp14:anchorId="5B50F3BA" wp14:editId="4BA31B75">
                  <wp:extent cx="3162300" cy="2486025"/>
                  <wp:effectExtent l="0" t="0" r="0" b="9525"/>
                  <wp:docPr id="22" name="Chart 2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</w:tr>
    </w:tbl>
    <w:p w:rsidR="00D71423" w:rsidRPr="006938EE" w:rsidRDefault="00D71423" w:rsidP="00D71423">
      <w:pPr>
        <w:pStyle w:val="Heading1"/>
      </w:pPr>
      <w:r w:rsidRPr="006938EE">
        <w:t>5</w:t>
      </w:r>
      <w:r w:rsidRPr="006938EE">
        <w:tab/>
        <w:t>Направление дальнейших действий</w:t>
      </w:r>
    </w:p>
    <w:p w:rsidR="00D71423" w:rsidRPr="006938EE" w:rsidRDefault="00D71423" w:rsidP="00526147">
      <w:bookmarkStart w:id="57" w:name="lt_pId116"/>
      <w:proofErr w:type="spellStart"/>
      <w:r w:rsidRPr="006938EE">
        <w:t>БРЭ</w:t>
      </w:r>
      <w:proofErr w:type="spellEnd"/>
      <w:r w:rsidRPr="006938EE">
        <w:t xml:space="preserve"> будет и д</w:t>
      </w:r>
      <w:bookmarkStart w:id="58" w:name="_GoBack"/>
      <w:r w:rsidRPr="006938EE">
        <w:t>а</w:t>
      </w:r>
      <w:bookmarkEnd w:id="58"/>
      <w:r w:rsidRPr="006938EE">
        <w:t>лее вести деятельность по развитию и расширению своих продуктов и инструментов мобилизации ресурсов путем привлечения традиционных и нетипичных партнеров к осуществлению глобальных</w:t>
      </w:r>
      <w:r w:rsidR="00A96A05" w:rsidRPr="006938EE">
        <w:t>,</w:t>
      </w:r>
      <w:r w:rsidRPr="006938EE">
        <w:t xml:space="preserve"> региональных</w:t>
      </w:r>
      <w:r w:rsidR="00A96A05" w:rsidRPr="006938EE">
        <w:t xml:space="preserve"> и национальных</w:t>
      </w:r>
      <w:r w:rsidRPr="006938EE">
        <w:t xml:space="preserve"> проектов и инициатив, в том числе региональных инициатив</w:t>
      </w:r>
      <w:bookmarkEnd w:id="57"/>
      <w:r w:rsidRPr="006938EE">
        <w:t xml:space="preserve">. </w:t>
      </w:r>
    </w:p>
    <w:p w:rsidR="00D71423" w:rsidRPr="006938EE" w:rsidRDefault="0039377C" w:rsidP="00526147">
      <w:bookmarkStart w:id="59" w:name="lt_pId117"/>
      <w:r w:rsidRPr="006938EE">
        <w:t>В</w:t>
      </w:r>
      <w:r w:rsidR="00D71423" w:rsidRPr="006938EE">
        <w:t xml:space="preserve">сем членам МСЭ </w:t>
      </w:r>
      <w:r w:rsidRPr="006938EE">
        <w:t xml:space="preserve">предлагается </w:t>
      </w:r>
      <w:r w:rsidR="00D71423" w:rsidRPr="006938EE">
        <w:t xml:space="preserve">стать партнерами </w:t>
      </w:r>
      <w:proofErr w:type="spellStart"/>
      <w:r w:rsidR="00D71423" w:rsidRPr="006938EE">
        <w:t>БРЭ</w:t>
      </w:r>
      <w:proofErr w:type="spellEnd"/>
      <w:r w:rsidR="00D71423" w:rsidRPr="006938EE">
        <w:t xml:space="preserve"> в выполнении решений </w:t>
      </w:r>
      <w:proofErr w:type="spellStart"/>
      <w:r w:rsidR="00D71423" w:rsidRPr="006938EE">
        <w:t>ВКРЭ</w:t>
      </w:r>
      <w:proofErr w:type="spellEnd"/>
      <w:r w:rsidR="00D71423" w:rsidRPr="006938EE">
        <w:t xml:space="preserve">-14 и ПК-14, достижении целей </w:t>
      </w:r>
      <w:proofErr w:type="spellStart"/>
      <w:r w:rsidR="00D71423" w:rsidRPr="006938EE">
        <w:t>ВВУИО</w:t>
      </w:r>
      <w:proofErr w:type="spellEnd"/>
      <w:r w:rsidR="00D71423" w:rsidRPr="006938EE">
        <w:t>, а также внесении вклада в достижение Целей в области устойчивого развития (</w:t>
      </w:r>
      <w:proofErr w:type="spellStart"/>
      <w:r w:rsidR="00D71423" w:rsidRPr="006938EE">
        <w:t>ЦУР</w:t>
      </w:r>
      <w:proofErr w:type="spellEnd"/>
      <w:r w:rsidR="00D71423" w:rsidRPr="006938EE">
        <w:t>).</w:t>
      </w:r>
      <w:bookmarkEnd w:id="59"/>
    </w:p>
    <w:p w:rsidR="00D71423" w:rsidRPr="006938EE" w:rsidRDefault="00D71423" w:rsidP="00017EC1">
      <w:pPr>
        <w:spacing w:before="600"/>
        <w:jc w:val="center"/>
      </w:pPr>
      <w:r w:rsidRPr="006938EE">
        <w:t>______________</w:t>
      </w:r>
    </w:p>
    <w:sectPr w:rsidR="00D71423" w:rsidRPr="006938EE" w:rsidSect="003E3A63">
      <w:headerReference w:type="default" r:id="rId20"/>
      <w:footerReference w:type="default" r:id="rId21"/>
      <w:footerReference w:type="first" r:id="rId22"/>
      <w:pgSz w:w="11906" w:h="16838" w:code="9"/>
      <w:pgMar w:top="1418" w:right="1134" w:bottom="1418" w:left="1134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91A" w:rsidRDefault="0089291A" w:rsidP="00E54FD2">
      <w:pPr>
        <w:spacing w:before="0"/>
      </w:pPr>
      <w:r>
        <w:separator/>
      </w:r>
    </w:p>
  </w:endnote>
  <w:endnote w:type="continuationSeparator" w:id="0">
    <w:p w:rsidR="0089291A" w:rsidRDefault="0089291A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91A" w:rsidRPr="00F673B9" w:rsidRDefault="00437CF7" w:rsidP="00D71423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  <w:r>
      <w:fldChar w:fldCharType="begin"/>
    </w:r>
    <w:r w:rsidRPr="00F673B9">
      <w:rPr>
        <w:lang w:val="en-US"/>
      </w:rPr>
      <w:instrText xml:space="preserve"> FILENAME \p  \* MERGEFORMAT </w:instrText>
    </w:r>
    <w:r>
      <w:fldChar w:fldCharType="separate"/>
    </w:r>
    <w:r w:rsidR="00502434">
      <w:rPr>
        <w:lang w:val="en-US"/>
      </w:rPr>
      <w:t>P:\RUS\ITU-D\CONF-D\TDAG17\000\029R.docx</w:t>
    </w:r>
    <w:r>
      <w:fldChar w:fldCharType="end"/>
    </w:r>
    <w:r w:rsidR="0089291A" w:rsidRPr="00F673B9">
      <w:rPr>
        <w:lang w:val="en-US"/>
      </w:rPr>
      <w:t xml:space="preserve"> (413992)</w:t>
    </w:r>
    <w:r w:rsidR="0089291A" w:rsidRPr="00F673B9">
      <w:rPr>
        <w:lang w:val="en-US"/>
      </w:rPr>
      <w:tab/>
    </w:r>
    <w:r w:rsidR="0089291A">
      <w:fldChar w:fldCharType="begin"/>
    </w:r>
    <w:r w:rsidR="0089291A">
      <w:instrText xml:space="preserve"> SAVEDATE \@ DD.MM.YY </w:instrText>
    </w:r>
    <w:r w:rsidR="0089291A">
      <w:fldChar w:fldCharType="separate"/>
    </w:r>
    <w:r w:rsidR="006938EE">
      <w:t>08.05.17</w:t>
    </w:r>
    <w:r w:rsidR="0089291A">
      <w:fldChar w:fldCharType="end"/>
    </w:r>
    <w:r w:rsidR="0089291A" w:rsidRPr="00F673B9">
      <w:rPr>
        <w:lang w:val="en-US"/>
      </w:rPr>
      <w:tab/>
    </w:r>
    <w:r w:rsidR="0089291A">
      <w:fldChar w:fldCharType="begin"/>
    </w:r>
    <w:r w:rsidR="0089291A">
      <w:instrText xml:space="preserve"> PRINTDATE \@ DD.MM.YY </w:instrText>
    </w:r>
    <w:r w:rsidR="0089291A">
      <w:fldChar w:fldCharType="separate"/>
    </w:r>
    <w:r w:rsidR="00502434">
      <w:t>08.05.17</w:t>
    </w:r>
    <w:r w:rsidR="0089291A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91A" w:rsidRDefault="006938EE" w:rsidP="00B52E6E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color w:val="0000FF"/>
        <w:sz w:val="18"/>
        <w:szCs w:val="18"/>
        <w:u w:val="single"/>
        <w:lang w:val="en-US"/>
      </w:rPr>
    </w:pPr>
    <w:hyperlink r:id="rId1" w:history="1">
      <w:r w:rsidR="0089291A" w:rsidRPr="006E4AB3">
        <w:rPr>
          <w:color w:val="0000FF"/>
          <w:sz w:val="18"/>
          <w:szCs w:val="18"/>
          <w:u w:val="single"/>
          <w:lang w:val="en-US"/>
        </w:rPr>
        <w:t>http://www.itu.int/ITU-D/TDAG/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91A" w:rsidRDefault="0089291A" w:rsidP="00E54FD2">
      <w:pPr>
        <w:spacing w:before="0"/>
      </w:pPr>
      <w:r>
        <w:separator/>
      </w:r>
    </w:p>
  </w:footnote>
  <w:footnote w:type="continuationSeparator" w:id="0">
    <w:p w:rsidR="0089291A" w:rsidRDefault="0089291A" w:rsidP="00E54FD2">
      <w:pPr>
        <w:spacing w:before="0"/>
      </w:pPr>
      <w:r>
        <w:continuationSeparator/>
      </w:r>
    </w:p>
  </w:footnote>
  <w:footnote w:id="1">
    <w:p w:rsidR="0089291A" w:rsidRPr="003D4CD0" w:rsidRDefault="0089291A" w:rsidP="00526147">
      <w:pPr>
        <w:pStyle w:val="FootnoteText"/>
        <w:rPr>
          <w:rStyle w:val="FootnoteTextChar"/>
        </w:rPr>
      </w:pPr>
      <w:r w:rsidRPr="005463C7">
        <w:rPr>
          <w:rStyle w:val="FootnoteReference"/>
        </w:rPr>
        <w:footnoteRef/>
      </w:r>
      <w:r w:rsidRPr="003D4CD0">
        <w:rPr>
          <w:szCs w:val="16"/>
        </w:rPr>
        <w:tab/>
      </w:r>
      <w:r>
        <w:rPr>
          <w:szCs w:val="16"/>
        </w:rPr>
        <w:t>На</w:t>
      </w:r>
      <w:r w:rsidRPr="003D4CD0">
        <w:rPr>
          <w:szCs w:val="16"/>
        </w:rPr>
        <w:t xml:space="preserve"> </w:t>
      </w:r>
      <w:r>
        <w:rPr>
          <w:szCs w:val="16"/>
        </w:rPr>
        <w:t>оперативном</w:t>
      </w:r>
      <w:r w:rsidRPr="003D4CD0">
        <w:rPr>
          <w:szCs w:val="16"/>
        </w:rPr>
        <w:t xml:space="preserve"> </w:t>
      </w:r>
      <w:r>
        <w:rPr>
          <w:szCs w:val="16"/>
        </w:rPr>
        <w:t>уровне</w:t>
      </w:r>
      <w:r w:rsidRPr="003D4CD0">
        <w:rPr>
          <w:szCs w:val="16"/>
        </w:rPr>
        <w:t xml:space="preserve"> </w:t>
      </w:r>
      <w:r>
        <w:rPr>
          <w:szCs w:val="16"/>
        </w:rPr>
        <w:t>проект</w:t>
      </w:r>
      <w:r w:rsidRPr="003D4CD0">
        <w:rPr>
          <w:szCs w:val="16"/>
        </w:rPr>
        <w:t xml:space="preserve"> </w:t>
      </w:r>
      <w:r>
        <w:rPr>
          <w:szCs w:val="16"/>
        </w:rPr>
        <w:t>организован</w:t>
      </w:r>
      <w:r w:rsidRPr="003D4CD0">
        <w:rPr>
          <w:szCs w:val="16"/>
        </w:rPr>
        <w:t xml:space="preserve"> </w:t>
      </w:r>
      <w:r>
        <w:rPr>
          <w:szCs w:val="16"/>
        </w:rPr>
        <w:t>в</w:t>
      </w:r>
      <w:r w:rsidRPr="003D4CD0">
        <w:rPr>
          <w:szCs w:val="16"/>
        </w:rPr>
        <w:t xml:space="preserve"> </w:t>
      </w:r>
      <w:r>
        <w:rPr>
          <w:szCs w:val="16"/>
        </w:rPr>
        <w:t>четырех</w:t>
      </w:r>
      <w:r w:rsidRPr="003D4CD0">
        <w:rPr>
          <w:szCs w:val="16"/>
        </w:rPr>
        <w:t xml:space="preserve"> </w:t>
      </w:r>
      <w:r>
        <w:rPr>
          <w:szCs w:val="16"/>
        </w:rPr>
        <w:t>независимых</w:t>
      </w:r>
      <w:r w:rsidRPr="003D4CD0">
        <w:rPr>
          <w:szCs w:val="16"/>
        </w:rPr>
        <w:t xml:space="preserve"> </w:t>
      </w:r>
      <w:r>
        <w:rPr>
          <w:szCs w:val="16"/>
        </w:rPr>
        <w:t>секциях</w:t>
      </w:r>
      <w:r w:rsidRPr="003D4CD0">
        <w:rPr>
          <w:szCs w:val="16"/>
        </w:rPr>
        <w:t xml:space="preserve">, </w:t>
      </w:r>
      <w:r>
        <w:rPr>
          <w:szCs w:val="16"/>
        </w:rPr>
        <w:t>каждую</w:t>
      </w:r>
      <w:r w:rsidRPr="003D4CD0">
        <w:rPr>
          <w:szCs w:val="16"/>
        </w:rPr>
        <w:t xml:space="preserve"> </w:t>
      </w:r>
      <w:r>
        <w:rPr>
          <w:szCs w:val="16"/>
        </w:rPr>
        <w:t>из</w:t>
      </w:r>
      <w:r w:rsidRPr="003D4CD0">
        <w:rPr>
          <w:szCs w:val="16"/>
        </w:rPr>
        <w:t xml:space="preserve"> </w:t>
      </w:r>
      <w:r>
        <w:rPr>
          <w:szCs w:val="16"/>
        </w:rPr>
        <w:t>которых</w:t>
      </w:r>
      <w:r w:rsidRPr="003D4CD0">
        <w:rPr>
          <w:szCs w:val="16"/>
        </w:rPr>
        <w:t xml:space="preserve"> </w:t>
      </w:r>
      <w:r>
        <w:rPr>
          <w:szCs w:val="16"/>
        </w:rPr>
        <w:t>возглавляет</w:t>
      </w:r>
      <w:r w:rsidRPr="003D4CD0">
        <w:rPr>
          <w:szCs w:val="16"/>
        </w:rPr>
        <w:t xml:space="preserve"> </w:t>
      </w:r>
      <w:r>
        <w:rPr>
          <w:szCs w:val="16"/>
        </w:rPr>
        <w:t>профессор</w:t>
      </w:r>
      <w:r w:rsidRPr="003D4CD0">
        <w:rPr>
          <w:szCs w:val="16"/>
        </w:rPr>
        <w:t xml:space="preserve"> </w:t>
      </w:r>
      <w:r>
        <w:rPr>
          <w:szCs w:val="16"/>
        </w:rPr>
        <w:t>медицины</w:t>
      </w:r>
      <w:r w:rsidRPr="003D4CD0">
        <w:rPr>
          <w:rStyle w:val="FootnoteTextChar"/>
          <w:rFonts w:eastAsiaTheme="minorHAnsi"/>
        </w:rPr>
        <w:t xml:space="preserve">: </w:t>
      </w:r>
      <w:r w:rsidRPr="005B66E1">
        <w:rPr>
          <w:rStyle w:val="FootnoteTextChar"/>
          <w:rFonts w:eastAsiaTheme="minorHAnsi"/>
          <w:lang w:val="en-US"/>
        </w:rPr>
        <w:t>a</w:t>
      </w:r>
      <w:r w:rsidRPr="003D4CD0">
        <w:rPr>
          <w:rStyle w:val="FootnoteTextChar"/>
          <w:rFonts w:eastAsiaTheme="minorHAnsi"/>
        </w:rPr>
        <w:t xml:space="preserve">) </w:t>
      </w:r>
      <w:r>
        <w:rPr>
          <w:rStyle w:val="FootnoteTextChar"/>
          <w:rFonts w:eastAsiaTheme="minorHAnsi"/>
        </w:rPr>
        <w:t>разъяснительная</w:t>
      </w:r>
      <w:r w:rsidRPr="003D4CD0">
        <w:rPr>
          <w:rStyle w:val="FootnoteTextChar"/>
          <w:rFonts w:eastAsiaTheme="minorHAnsi"/>
        </w:rPr>
        <w:t xml:space="preserve"> </w:t>
      </w:r>
      <w:r>
        <w:rPr>
          <w:rStyle w:val="FootnoteTextChar"/>
          <w:rFonts w:eastAsiaTheme="minorHAnsi"/>
        </w:rPr>
        <w:t>работа</w:t>
      </w:r>
      <w:r w:rsidRPr="003D4CD0">
        <w:rPr>
          <w:rStyle w:val="FootnoteTextChar"/>
          <w:rFonts w:eastAsiaTheme="minorHAnsi"/>
        </w:rPr>
        <w:t xml:space="preserve"> </w:t>
      </w:r>
      <w:r>
        <w:rPr>
          <w:rStyle w:val="FootnoteTextChar"/>
          <w:rFonts w:eastAsiaTheme="minorHAnsi"/>
        </w:rPr>
        <w:t>с</w:t>
      </w:r>
      <w:r w:rsidRPr="003D4CD0">
        <w:rPr>
          <w:rStyle w:val="FootnoteTextChar"/>
          <w:rFonts w:eastAsiaTheme="minorHAnsi"/>
        </w:rPr>
        <w:t xml:space="preserve"> </w:t>
      </w:r>
      <w:r>
        <w:rPr>
          <w:rStyle w:val="FootnoteTextChar"/>
          <w:rFonts w:eastAsiaTheme="minorHAnsi"/>
        </w:rPr>
        <w:t>помощью</w:t>
      </w:r>
      <w:r w:rsidRPr="003D4CD0">
        <w:rPr>
          <w:rStyle w:val="FootnoteTextChar"/>
          <w:rFonts w:eastAsiaTheme="minorHAnsi"/>
        </w:rPr>
        <w:t xml:space="preserve"> </w:t>
      </w:r>
      <w:r>
        <w:rPr>
          <w:rStyle w:val="FootnoteTextChar"/>
          <w:rFonts w:eastAsiaTheme="minorHAnsi"/>
        </w:rPr>
        <w:t>мобильных</w:t>
      </w:r>
      <w:r w:rsidRPr="003D4CD0">
        <w:rPr>
          <w:rStyle w:val="FootnoteTextChar"/>
          <w:rFonts w:eastAsiaTheme="minorHAnsi"/>
        </w:rPr>
        <w:t xml:space="preserve"> </w:t>
      </w:r>
      <w:r>
        <w:rPr>
          <w:rStyle w:val="FootnoteTextChar"/>
          <w:rFonts w:eastAsiaTheme="minorHAnsi"/>
        </w:rPr>
        <w:t>средств</w:t>
      </w:r>
      <w:r w:rsidRPr="003D4CD0">
        <w:rPr>
          <w:rStyle w:val="FootnoteTextChar"/>
          <w:rFonts w:eastAsiaTheme="minorHAnsi"/>
        </w:rPr>
        <w:t xml:space="preserve"> (</w:t>
      </w:r>
      <w:r w:rsidRPr="005B66E1">
        <w:rPr>
          <w:rStyle w:val="FootnoteTextChar"/>
          <w:rFonts w:eastAsiaTheme="minorHAnsi"/>
          <w:lang w:val="en-US"/>
        </w:rPr>
        <w:t>m</w:t>
      </w:r>
      <w:r w:rsidR="00FD5ECB">
        <w:rPr>
          <w:rStyle w:val="FootnoteTextChar"/>
          <w:rFonts w:eastAsiaTheme="minorHAnsi"/>
        </w:rPr>
        <w:noBreakHyphen/>
      </w:r>
      <w:r w:rsidRPr="005B66E1">
        <w:rPr>
          <w:rStyle w:val="FootnoteTextChar"/>
          <w:rFonts w:eastAsiaTheme="minorHAnsi"/>
          <w:lang w:val="en-US"/>
        </w:rPr>
        <w:t>Sensitization</w:t>
      </w:r>
      <w:r w:rsidRPr="003D4CD0">
        <w:rPr>
          <w:rStyle w:val="FootnoteTextChar"/>
          <w:rFonts w:eastAsiaTheme="minorHAnsi"/>
        </w:rPr>
        <w:t>) (</w:t>
      </w:r>
      <w:r>
        <w:rPr>
          <w:rStyle w:val="FootnoteTextChar"/>
          <w:rFonts w:eastAsiaTheme="minorHAnsi"/>
        </w:rPr>
        <w:t>направленная на проведение разъяснительной работы среди населения для обеспечения лучшего понимания в первую очередь того, каким образом осуществляется уход за теми, кто уже болен диабетом, и о профилактике заболевания среди здоровых людей</w:t>
      </w:r>
      <w:r w:rsidRPr="003D4CD0">
        <w:rPr>
          <w:rStyle w:val="FootnoteTextChar"/>
          <w:rFonts w:eastAsiaTheme="minorHAnsi"/>
        </w:rPr>
        <w:t xml:space="preserve">); </w:t>
      </w:r>
      <w:r w:rsidRPr="005B66E1">
        <w:rPr>
          <w:rStyle w:val="FootnoteTextChar"/>
          <w:rFonts w:eastAsiaTheme="minorHAnsi"/>
          <w:lang w:val="en-US"/>
        </w:rPr>
        <w:t>b</w:t>
      </w:r>
      <w:r w:rsidRPr="003D4CD0">
        <w:rPr>
          <w:rStyle w:val="FootnoteTextChar"/>
          <w:rFonts w:eastAsiaTheme="minorHAnsi"/>
        </w:rPr>
        <w:t xml:space="preserve">) </w:t>
      </w:r>
      <w:r>
        <w:rPr>
          <w:rStyle w:val="FootnoteTextChar"/>
          <w:rFonts w:eastAsiaTheme="minorHAnsi"/>
        </w:rPr>
        <w:t>подготовка с помощью мобильных средств (</w:t>
      </w:r>
      <w:r w:rsidRPr="005B66E1">
        <w:rPr>
          <w:rStyle w:val="FootnoteTextChar"/>
          <w:rFonts w:eastAsiaTheme="minorHAnsi"/>
          <w:lang w:val="en-US"/>
        </w:rPr>
        <w:t>m</w:t>
      </w:r>
      <w:r w:rsidRPr="003D4CD0">
        <w:rPr>
          <w:rStyle w:val="FootnoteTextChar"/>
          <w:rFonts w:eastAsiaTheme="minorHAnsi"/>
        </w:rPr>
        <w:t>-</w:t>
      </w:r>
      <w:r w:rsidRPr="005B66E1">
        <w:rPr>
          <w:rStyle w:val="FootnoteTextChar"/>
          <w:rFonts w:eastAsiaTheme="minorHAnsi"/>
          <w:lang w:val="en-US"/>
        </w:rPr>
        <w:t>Training</w:t>
      </w:r>
      <w:r>
        <w:rPr>
          <w:rStyle w:val="FootnoteTextChar"/>
          <w:rFonts w:eastAsiaTheme="minorHAnsi"/>
        </w:rPr>
        <w:t>)</w:t>
      </w:r>
      <w:r w:rsidRPr="003D4CD0">
        <w:rPr>
          <w:rStyle w:val="FootnoteTextChar"/>
          <w:rFonts w:eastAsiaTheme="minorHAnsi"/>
        </w:rPr>
        <w:t xml:space="preserve">: </w:t>
      </w:r>
      <w:r>
        <w:rPr>
          <w:rStyle w:val="FootnoteTextChar"/>
          <w:rFonts w:eastAsiaTheme="minorHAnsi"/>
        </w:rPr>
        <w:t>цель заключается в подготовке врачей и специалистов по медицинскому уходу в целом по вопросам лечения больных диабетом</w:t>
      </w:r>
      <w:r w:rsidRPr="003D4CD0">
        <w:rPr>
          <w:rStyle w:val="FootnoteTextChar"/>
          <w:rFonts w:eastAsiaTheme="minorHAnsi"/>
        </w:rPr>
        <w:t xml:space="preserve">; </w:t>
      </w:r>
      <w:r w:rsidRPr="005B66E1">
        <w:rPr>
          <w:rStyle w:val="FootnoteTextChar"/>
          <w:rFonts w:eastAsiaTheme="minorHAnsi"/>
          <w:lang w:val="en-US"/>
        </w:rPr>
        <w:t>c</w:t>
      </w:r>
      <w:r w:rsidRPr="003D4CD0">
        <w:rPr>
          <w:rStyle w:val="FootnoteTextChar"/>
          <w:rFonts w:eastAsiaTheme="minorHAnsi"/>
        </w:rPr>
        <w:t xml:space="preserve">) </w:t>
      </w:r>
      <w:r>
        <w:rPr>
          <w:rStyle w:val="FootnoteTextChar"/>
          <w:rFonts w:eastAsiaTheme="minorHAnsi"/>
        </w:rPr>
        <w:t>обучение пациентов с помощью мобильных средств (</w:t>
      </w:r>
      <w:r w:rsidRPr="005B66E1">
        <w:rPr>
          <w:rStyle w:val="FootnoteTextChar"/>
          <w:rFonts w:eastAsiaTheme="minorHAnsi"/>
          <w:lang w:val="en-US"/>
        </w:rPr>
        <w:t>m</w:t>
      </w:r>
      <w:r w:rsidR="00FD5ECB">
        <w:rPr>
          <w:rStyle w:val="FootnoteTextChar"/>
          <w:rFonts w:eastAsiaTheme="minorHAnsi"/>
        </w:rPr>
        <w:noBreakHyphen/>
      </w:r>
      <w:r w:rsidRPr="005B66E1">
        <w:rPr>
          <w:rStyle w:val="FootnoteTextChar"/>
          <w:rFonts w:eastAsiaTheme="minorHAnsi"/>
          <w:lang w:val="en-US"/>
        </w:rPr>
        <w:t>Education</w:t>
      </w:r>
      <w:r w:rsidRPr="003D4CD0">
        <w:rPr>
          <w:rStyle w:val="FootnoteTextChar"/>
          <w:rFonts w:eastAsiaTheme="minorHAnsi"/>
        </w:rPr>
        <w:t xml:space="preserve"> </w:t>
      </w:r>
      <w:r w:rsidRPr="005B66E1">
        <w:rPr>
          <w:rStyle w:val="FootnoteTextChar"/>
          <w:rFonts w:eastAsiaTheme="minorHAnsi"/>
          <w:lang w:val="en-US"/>
        </w:rPr>
        <w:t>of</w:t>
      </w:r>
      <w:r w:rsidRPr="003D4CD0">
        <w:rPr>
          <w:rStyle w:val="FootnoteTextChar"/>
          <w:rFonts w:eastAsiaTheme="minorHAnsi"/>
        </w:rPr>
        <w:t xml:space="preserve"> </w:t>
      </w:r>
      <w:r w:rsidRPr="005B66E1">
        <w:rPr>
          <w:rStyle w:val="FootnoteTextChar"/>
          <w:rFonts w:eastAsiaTheme="minorHAnsi"/>
          <w:lang w:val="en-US"/>
        </w:rPr>
        <w:t>patients</w:t>
      </w:r>
      <w:r>
        <w:rPr>
          <w:rStyle w:val="FootnoteTextChar"/>
          <w:rFonts w:eastAsiaTheme="minorHAnsi"/>
        </w:rPr>
        <w:t>)</w:t>
      </w:r>
      <w:r w:rsidRPr="003D4CD0">
        <w:rPr>
          <w:rStyle w:val="FootnoteTextChar"/>
          <w:rFonts w:eastAsiaTheme="minorHAnsi"/>
        </w:rPr>
        <w:t xml:space="preserve">: </w:t>
      </w:r>
      <w:r>
        <w:rPr>
          <w:rStyle w:val="FootnoteTextChar"/>
          <w:rFonts w:eastAsiaTheme="minorHAnsi"/>
        </w:rPr>
        <w:t>цель заключается в обучении пациентов тому, как решать свои проблемы, связанные с диабетом</w:t>
      </w:r>
      <w:r w:rsidRPr="003D4CD0">
        <w:rPr>
          <w:rStyle w:val="FootnoteTextChar"/>
          <w:rFonts w:eastAsiaTheme="minorHAnsi"/>
        </w:rPr>
        <w:t xml:space="preserve">; </w:t>
      </w:r>
      <w:r>
        <w:rPr>
          <w:rStyle w:val="FootnoteTextChar"/>
          <w:rFonts w:eastAsiaTheme="minorHAnsi"/>
        </w:rPr>
        <w:t>и</w:t>
      </w:r>
      <w:r w:rsidRPr="003D4CD0">
        <w:rPr>
          <w:rStyle w:val="FootnoteTextChar"/>
          <w:rFonts w:eastAsiaTheme="minorHAnsi"/>
        </w:rPr>
        <w:t xml:space="preserve"> </w:t>
      </w:r>
      <w:r w:rsidRPr="005B66E1">
        <w:rPr>
          <w:rStyle w:val="FootnoteTextChar"/>
          <w:rFonts w:eastAsiaTheme="minorHAnsi"/>
          <w:lang w:val="en-US"/>
        </w:rPr>
        <w:t>d</w:t>
      </w:r>
      <w:r w:rsidRPr="003D4CD0">
        <w:rPr>
          <w:rStyle w:val="FootnoteTextChar"/>
          <w:rFonts w:eastAsiaTheme="minorHAnsi"/>
        </w:rPr>
        <w:t xml:space="preserve">) </w:t>
      </w:r>
      <w:r>
        <w:rPr>
          <w:rStyle w:val="FootnoteTextChar"/>
          <w:rFonts w:eastAsiaTheme="minorHAnsi"/>
        </w:rPr>
        <w:t>последующие меры с помощью мобильных средств (</w:t>
      </w:r>
      <w:r w:rsidRPr="005B66E1">
        <w:rPr>
          <w:rStyle w:val="FootnoteTextChar"/>
          <w:rFonts w:eastAsiaTheme="minorHAnsi"/>
          <w:lang w:val="en-US"/>
        </w:rPr>
        <w:t>m</w:t>
      </w:r>
      <w:r w:rsidRPr="003D4CD0">
        <w:rPr>
          <w:rStyle w:val="FootnoteTextChar"/>
          <w:rFonts w:eastAsiaTheme="minorHAnsi"/>
        </w:rPr>
        <w:t>-</w:t>
      </w:r>
      <w:r w:rsidRPr="005B66E1">
        <w:rPr>
          <w:rStyle w:val="FootnoteTextChar"/>
          <w:rFonts w:eastAsiaTheme="minorHAnsi"/>
          <w:lang w:val="en-US"/>
        </w:rPr>
        <w:t>Follow</w:t>
      </w:r>
      <w:r w:rsidRPr="003D4CD0">
        <w:rPr>
          <w:rStyle w:val="FootnoteTextChar"/>
          <w:rFonts w:eastAsiaTheme="minorHAnsi"/>
        </w:rPr>
        <w:t xml:space="preserve"> </w:t>
      </w:r>
      <w:r w:rsidRPr="005B66E1">
        <w:rPr>
          <w:rStyle w:val="FootnoteTextChar"/>
          <w:rFonts w:eastAsiaTheme="minorHAnsi"/>
          <w:lang w:val="en-US"/>
        </w:rPr>
        <w:t>up</w:t>
      </w:r>
      <w:r>
        <w:rPr>
          <w:rStyle w:val="FootnoteTextChar"/>
          <w:rFonts w:eastAsiaTheme="minorHAnsi"/>
        </w:rPr>
        <w:t>)</w:t>
      </w:r>
      <w:r w:rsidRPr="003D4CD0">
        <w:rPr>
          <w:rStyle w:val="FootnoteTextChar"/>
          <w:rFonts w:eastAsiaTheme="minorHAnsi"/>
        </w:rPr>
        <w:t xml:space="preserve">: </w:t>
      </w:r>
      <w:r>
        <w:rPr>
          <w:rStyle w:val="FootnoteTextChar"/>
          <w:rFonts w:eastAsiaTheme="minorHAnsi"/>
        </w:rPr>
        <w:t>которые заключаются в осуществлении последующего контроля за пациентами и  участниками в целом с точки зрения преодоления проблем, связанных с диабетом</w:t>
      </w:r>
      <w:r w:rsidRPr="003D4CD0">
        <w:rPr>
          <w:rStyle w:val="FootnoteTextChar"/>
          <w:rFonts w:eastAsiaTheme="minorHAnsi"/>
        </w:rPr>
        <w:t>.</w:t>
      </w:r>
    </w:p>
  </w:footnote>
  <w:footnote w:id="2">
    <w:p w:rsidR="0089291A" w:rsidRPr="00C31374" w:rsidRDefault="0089291A" w:rsidP="006D534D">
      <w:pPr>
        <w:pStyle w:val="FootnoteText"/>
      </w:pPr>
      <w:r w:rsidRPr="006D534D">
        <w:rPr>
          <w:rStyle w:val="FootnoteReference"/>
        </w:rPr>
        <w:footnoteRef/>
      </w:r>
      <w:r w:rsidRPr="00C31374">
        <w:tab/>
      </w:r>
      <w:hyperlink r:id="rId1" w:history="1">
        <w:r w:rsidRPr="005B66E1">
          <w:rPr>
            <w:rStyle w:val="Hyperlink"/>
            <w:lang w:val="en-US"/>
          </w:rPr>
          <w:t>www</w:t>
        </w:r>
        <w:r w:rsidRPr="00C31374">
          <w:rPr>
            <w:rStyle w:val="Hyperlink"/>
          </w:rPr>
          <w:t>.</w:t>
        </w:r>
        <w:r w:rsidRPr="005B66E1">
          <w:rPr>
            <w:rStyle w:val="Hyperlink"/>
            <w:lang w:val="en-US"/>
          </w:rPr>
          <w:t>itu</w:t>
        </w:r>
        <w:r w:rsidRPr="00C31374">
          <w:rPr>
            <w:rStyle w:val="Hyperlink"/>
          </w:rPr>
          <w:t>.</w:t>
        </w:r>
        <w:r w:rsidRPr="005B66E1">
          <w:rPr>
            <w:rStyle w:val="Hyperlink"/>
            <w:lang w:val="en-US"/>
          </w:rPr>
          <w:t>int</w:t>
        </w:r>
        <w:r w:rsidRPr="00C31374">
          <w:rPr>
            <w:rStyle w:val="Hyperlink"/>
          </w:rPr>
          <w:t>/</w:t>
        </w:r>
        <w:r w:rsidRPr="005B66E1">
          <w:rPr>
            <w:rStyle w:val="Hyperlink"/>
            <w:lang w:val="en-US"/>
          </w:rPr>
          <w:t>en</w:t>
        </w:r>
        <w:r w:rsidRPr="00C31374">
          <w:rPr>
            <w:rStyle w:val="Hyperlink"/>
          </w:rPr>
          <w:t>/</w:t>
        </w:r>
        <w:r w:rsidRPr="005B66E1">
          <w:rPr>
            <w:rStyle w:val="Hyperlink"/>
            <w:lang w:val="en-US"/>
          </w:rPr>
          <w:t>ITU</w:t>
        </w:r>
        <w:r w:rsidRPr="00C31374">
          <w:rPr>
            <w:rStyle w:val="Hyperlink"/>
          </w:rPr>
          <w:t>-</w:t>
        </w:r>
        <w:r w:rsidRPr="005B66E1">
          <w:rPr>
            <w:rStyle w:val="Hyperlink"/>
            <w:lang w:val="en-US"/>
          </w:rPr>
          <w:t>D</w:t>
        </w:r>
        <w:r w:rsidRPr="00C31374">
          <w:rPr>
            <w:rStyle w:val="Hyperlink"/>
          </w:rPr>
          <w:t>/</w:t>
        </w:r>
        <w:r w:rsidRPr="005B66E1">
          <w:rPr>
            <w:rStyle w:val="Hyperlink"/>
            <w:lang w:val="en-US"/>
          </w:rPr>
          <w:t>Partners</w:t>
        </w:r>
        <w:r w:rsidRPr="00C31374">
          <w:rPr>
            <w:rStyle w:val="Hyperlink"/>
          </w:rPr>
          <w:t>/</w:t>
        </w:r>
        <w:r w:rsidRPr="005B66E1">
          <w:rPr>
            <w:rStyle w:val="Hyperlink"/>
            <w:lang w:val="en-US"/>
          </w:rPr>
          <w:t>pages</w:t>
        </w:r>
        <w:r w:rsidRPr="00C31374">
          <w:rPr>
            <w:rStyle w:val="Hyperlink"/>
          </w:rPr>
          <w:t>/</w:t>
        </w:r>
        <w:r w:rsidRPr="005B66E1">
          <w:rPr>
            <w:rStyle w:val="Hyperlink"/>
            <w:lang w:val="en-US"/>
          </w:rPr>
          <w:t>call</w:t>
        </w:r>
        <w:r w:rsidRPr="00C31374">
          <w:rPr>
            <w:rStyle w:val="Hyperlink"/>
          </w:rPr>
          <w:t>4</w:t>
        </w:r>
        <w:r w:rsidRPr="005B66E1">
          <w:rPr>
            <w:rStyle w:val="Hyperlink"/>
            <w:lang w:val="en-US"/>
          </w:rPr>
          <w:t>partners</w:t>
        </w:r>
        <w:r w:rsidRPr="00C31374">
          <w:rPr>
            <w:rStyle w:val="Hyperlink"/>
          </w:rPr>
          <w:t>/</w:t>
        </w:r>
        <w:r w:rsidRPr="005B66E1">
          <w:rPr>
            <w:rStyle w:val="Hyperlink"/>
            <w:lang w:val="en-US"/>
          </w:rPr>
          <w:t>partnerships</w:t>
        </w:r>
        <w:r w:rsidRPr="00C31374">
          <w:rPr>
            <w:rStyle w:val="Hyperlink"/>
          </w:rPr>
          <w:t>.</w:t>
        </w:r>
        <w:r w:rsidRPr="005B66E1">
          <w:rPr>
            <w:rStyle w:val="Hyperlink"/>
            <w:lang w:val="en-US"/>
          </w:rPr>
          <w:t>aspx</w:t>
        </w:r>
      </w:hyperlink>
      <w:r w:rsidRPr="00C31374">
        <w:t>.</w:t>
      </w:r>
    </w:p>
  </w:footnote>
  <w:footnote w:id="3">
    <w:p w:rsidR="0089291A" w:rsidRPr="00C31374" w:rsidRDefault="0089291A" w:rsidP="006D534D">
      <w:pPr>
        <w:pStyle w:val="FootnoteText"/>
      </w:pPr>
      <w:r w:rsidRPr="00AA7B5B">
        <w:rPr>
          <w:rStyle w:val="FootnoteReference"/>
          <w:szCs w:val="18"/>
        </w:rPr>
        <w:footnoteRef/>
      </w:r>
      <w:bookmarkStart w:id="54" w:name="lt_pId106"/>
      <w:r w:rsidRPr="00C31374">
        <w:rPr>
          <w:rFonts w:cs="Calibri"/>
        </w:rPr>
        <w:tab/>
      </w:r>
      <w:hyperlink r:id="rId2" w:history="1">
        <w:r w:rsidRPr="005B66E1">
          <w:rPr>
            <w:rStyle w:val="Hyperlink"/>
            <w:rFonts w:cs="Calibri"/>
            <w:lang w:val="en-US"/>
          </w:rPr>
          <w:t>www</w:t>
        </w:r>
        <w:r w:rsidRPr="00C31374">
          <w:rPr>
            <w:rStyle w:val="Hyperlink"/>
            <w:rFonts w:cs="Calibri"/>
          </w:rPr>
          <w:t>.</w:t>
        </w:r>
        <w:r w:rsidRPr="005B66E1">
          <w:rPr>
            <w:rStyle w:val="Hyperlink"/>
            <w:rFonts w:cs="Calibri"/>
            <w:lang w:val="en-US"/>
          </w:rPr>
          <w:t>itu</w:t>
        </w:r>
        <w:r w:rsidRPr="00C31374">
          <w:rPr>
            <w:rStyle w:val="Hyperlink"/>
            <w:rFonts w:cs="Calibri"/>
          </w:rPr>
          <w:t>.</w:t>
        </w:r>
        <w:r w:rsidRPr="005B66E1">
          <w:rPr>
            <w:rStyle w:val="Hyperlink"/>
            <w:rFonts w:cs="Calibri"/>
            <w:lang w:val="en-US"/>
          </w:rPr>
          <w:t>int</w:t>
        </w:r>
        <w:r w:rsidRPr="00C31374">
          <w:rPr>
            <w:rStyle w:val="Hyperlink"/>
            <w:rFonts w:cs="Calibri"/>
          </w:rPr>
          <w:t>/</w:t>
        </w:r>
        <w:r w:rsidRPr="005B66E1">
          <w:rPr>
            <w:rStyle w:val="Hyperlink"/>
            <w:rFonts w:cs="Calibri"/>
            <w:lang w:val="en-US"/>
          </w:rPr>
          <w:t>go</w:t>
        </w:r>
        <w:r w:rsidRPr="00C31374">
          <w:rPr>
            <w:rStyle w:val="Hyperlink"/>
            <w:rFonts w:cs="Calibri"/>
          </w:rPr>
          <w:t>/</w:t>
        </w:r>
        <w:r w:rsidRPr="005B66E1">
          <w:rPr>
            <w:rStyle w:val="Hyperlink"/>
            <w:rFonts w:cs="Calibri"/>
            <w:lang w:val="en-US"/>
          </w:rPr>
          <w:t>en</w:t>
        </w:r>
        <w:r w:rsidRPr="00C31374">
          <w:rPr>
            <w:rStyle w:val="Hyperlink"/>
            <w:rFonts w:cs="Calibri"/>
          </w:rPr>
          <w:t>/</w:t>
        </w:r>
        <w:r w:rsidRPr="005B66E1">
          <w:rPr>
            <w:rStyle w:val="Hyperlink"/>
            <w:rFonts w:cs="Calibri"/>
            <w:lang w:val="en-US"/>
          </w:rPr>
          <w:t>itudsponsorships</w:t>
        </w:r>
      </w:hyperlink>
      <w:bookmarkEnd w:id="54"/>
      <w:r w:rsidRPr="00C31374">
        <w:rPr>
          <w:rFonts w:cs="Calibri"/>
        </w:rPr>
        <w:t>.</w:t>
      </w:r>
    </w:p>
  </w:footnote>
  <w:footnote w:id="4">
    <w:p w:rsidR="0089291A" w:rsidRPr="000610B8" w:rsidRDefault="0089291A" w:rsidP="000610B8">
      <w:pPr>
        <w:pStyle w:val="FootnoteText"/>
        <w:ind w:left="142" w:hanging="142"/>
        <w:rPr>
          <w:sz w:val="22"/>
          <w:szCs w:val="18"/>
        </w:rPr>
      </w:pPr>
      <w:r w:rsidRPr="00017EC1">
        <w:rPr>
          <w:rStyle w:val="FootnoteReference"/>
        </w:rPr>
        <w:footnoteRef/>
      </w:r>
      <w:r w:rsidRPr="000610B8">
        <w:rPr>
          <w:rFonts w:cs="Calibri"/>
        </w:rPr>
        <w:tab/>
      </w:r>
      <w:r w:rsidR="000610B8">
        <w:rPr>
          <w:rFonts w:cs="Calibri"/>
        </w:rPr>
        <w:t>В</w:t>
      </w:r>
      <w:r w:rsidRPr="000610B8">
        <w:rPr>
          <w:rFonts w:cs="Calibri"/>
        </w:rPr>
        <w:t xml:space="preserve"> 2015</w:t>
      </w:r>
      <w:r w:rsidR="000610B8" w:rsidRPr="000610B8">
        <w:rPr>
          <w:rFonts w:cs="Calibri"/>
        </w:rPr>
        <w:t xml:space="preserve"> </w:t>
      </w:r>
      <w:r w:rsidR="000610B8">
        <w:rPr>
          <w:rFonts w:cs="Calibri"/>
        </w:rPr>
        <w:t>году</w:t>
      </w:r>
      <w:r w:rsidR="000610B8" w:rsidRPr="000610B8">
        <w:rPr>
          <w:rFonts w:cs="Calibri"/>
        </w:rPr>
        <w:t xml:space="preserve"> </w:t>
      </w:r>
      <w:r w:rsidR="000610B8">
        <w:rPr>
          <w:rFonts w:cs="Calibri"/>
        </w:rPr>
        <w:t>было</w:t>
      </w:r>
      <w:r w:rsidR="000610B8" w:rsidRPr="000610B8">
        <w:rPr>
          <w:rFonts w:cs="Calibri"/>
        </w:rPr>
        <w:t xml:space="preserve"> </w:t>
      </w:r>
      <w:r w:rsidR="000610B8">
        <w:rPr>
          <w:rFonts w:cs="Calibri"/>
        </w:rPr>
        <w:t>подписано</w:t>
      </w:r>
      <w:r w:rsidRPr="000610B8">
        <w:rPr>
          <w:rFonts w:cs="Calibri"/>
        </w:rPr>
        <w:t xml:space="preserve"> 28 </w:t>
      </w:r>
      <w:r w:rsidR="000610B8">
        <w:rPr>
          <w:rFonts w:cs="Calibri"/>
        </w:rPr>
        <w:t>соглашений</w:t>
      </w:r>
      <w:r w:rsidR="000610B8" w:rsidRPr="000610B8">
        <w:rPr>
          <w:rFonts w:cs="Calibri"/>
        </w:rPr>
        <w:t xml:space="preserve"> </w:t>
      </w:r>
      <w:r w:rsidR="000610B8">
        <w:rPr>
          <w:rFonts w:cs="Calibri"/>
        </w:rPr>
        <w:t>для</w:t>
      </w:r>
      <w:r w:rsidR="000610B8" w:rsidRPr="000610B8">
        <w:rPr>
          <w:rFonts w:cs="Calibri"/>
        </w:rPr>
        <w:t xml:space="preserve"> </w:t>
      </w:r>
      <w:r w:rsidR="000610B8">
        <w:rPr>
          <w:rFonts w:cs="Calibri"/>
        </w:rPr>
        <w:t>осуществления</w:t>
      </w:r>
      <w:r w:rsidR="000610B8" w:rsidRPr="000610B8">
        <w:rPr>
          <w:rFonts w:cs="Calibri"/>
        </w:rPr>
        <w:t xml:space="preserve"> </w:t>
      </w:r>
      <w:r w:rsidRPr="000610B8">
        <w:rPr>
          <w:rFonts w:cs="Calibri"/>
        </w:rPr>
        <w:t>"</w:t>
      </w:r>
      <w:r w:rsidR="000610B8">
        <w:rPr>
          <w:rFonts w:cs="Calibri"/>
        </w:rPr>
        <w:t>Совместной деятельности по созданию потенциала в рамках центров профессионального мастерства Академии МСЭ</w:t>
      </w:r>
      <w:r w:rsidRPr="000610B8">
        <w:rPr>
          <w:rFonts w:cs="Calibri"/>
        </w:rPr>
        <w:t>".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91A" w:rsidRPr="00701E31" w:rsidRDefault="0089291A" w:rsidP="00D71423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spacing w:before="0"/>
      <w:rPr>
        <w:smallCaps/>
        <w:spacing w:val="24"/>
        <w:szCs w:val="22"/>
      </w:rPr>
    </w:pPr>
    <w:r w:rsidRPr="00972BCD">
      <w:rPr>
        <w:szCs w:val="22"/>
      </w:rPr>
      <w:tab/>
    </w:r>
    <w:r w:rsidRPr="00D923CD">
      <w:rPr>
        <w:szCs w:val="22"/>
      </w:rPr>
      <w:t>ITU</w:t>
    </w:r>
    <w:r w:rsidRPr="00701E31">
      <w:rPr>
        <w:szCs w:val="22"/>
      </w:rPr>
      <w:t>-</w:t>
    </w:r>
    <w:r w:rsidRPr="00D923CD">
      <w:rPr>
        <w:szCs w:val="22"/>
      </w:rPr>
      <w:t>D</w:t>
    </w:r>
    <w:r w:rsidRPr="00701E31">
      <w:rPr>
        <w:szCs w:val="22"/>
      </w:rPr>
      <w:t>/</w:t>
    </w:r>
    <w:r w:rsidRPr="002236F8">
      <w:rPr>
        <w:szCs w:val="22"/>
      </w:rPr>
      <w:t>TDAG</w:t>
    </w:r>
    <w:r w:rsidRPr="00701E31">
      <w:rPr>
        <w:szCs w:val="22"/>
      </w:rPr>
      <w:t>1</w:t>
    </w:r>
    <w:r w:rsidRPr="00F961B7">
      <w:rPr>
        <w:szCs w:val="22"/>
      </w:rPr>
      <w:t>7</w:t>
    </w:r>
    <w:r w:rsidRPr="00701E31">
      <w:rPr>
        <w:szCs w:val="22"/>
      </w:rPr>
      <w:t>-</w:t>
    </w:r>
    <w:r>
      <w:rPr>
        <w:szCs w:val="22"/>
      </w:rPr>
      <w:t>2</w:t>
    </w:r>
    <w:r w:rsidRPr="00F961B7">
      <w:rPr>
        <w:szCs w:val="22"/>
      </w:rPr>
      <w:t>2</w:t>
    </w:r>
    <w:r w:rsidRPr="00701E31">
      <w:rPr>
        <w:szCs w:val="22"/>
      </w:rPr>
      <w:t>/</w:t>
    </w:r>
    <w:r>
      <w:rPr>
        <w:szCs w:val="22"/>
      </w:rPr>
      <w:t>29</w:t>
    </w:r>
    <w:r w:rsidRPr="00701E31">
      <w:rPr>
        <w:szCs w:val="22"/>
      </w:rPr>
      <w:t>-</w:t>
    </w:r>
    <w:r w:rsidRPr="00D923CD">
      <w:rPr>
        <w:szCs w:val="22"/>
      </w:rPr>
      <w:t>R</w:t>
    </w:r>
    <w:r w:rsidRPr="00701E31">
      <w:rPr>
        <w:szCs w:val="22"/>
      </w:rPr>
      <w:tab/>
      <w:t>Страница</w:t>
    </w:r>
    <w:r w:rsidRPr="00701E31">
      <w:rPr>
        <w:rStyle w:val="PageNumber"/>
        <w:szCs w:val="22"/>
      </w:rPr>
      <w:t xml:space="preserve"> </w:t>
    </w:r>
    <w:r w:rsidRPr="00DE3BA6">
      <w:rPr>
        <w:rStyle w:val="PageNumber"/>
        <w:szCs w:val="22"/>
      </w:rPr>
      <w:fldChar w:fldCharType="begin"/>
    </w:r>
    <w:r w:rsidRPr="00701E31">
      <w:rPr>
        <w:rStyle w:val="PageNumber"/>
        <w:szCs w:val="22"/>
      </w:rPr>
      <w:instrText xml:space="preserve"> </w:instrText>
    </w:r>
    <w:r w:rsidRPr="00DE3BA6">
      <w:rPr>
        <w:rStyle w:val="PageNumber"/>
        <w:szCs w:val="22"/>
      </w:rPr>
      <w:instrText>PAGE</w:instrText>
    </w:r>
    <w:r w:rsidRPr="00701E31">
      <w:rPr>
        <w:rStyle w:val="PageNumber"/>
        <w:szCs w:val="22"/>
      </w:rPr>
      <w:instrText xml:space="preserve"> </w:instrText>
    </w:r>
    <w:r w:rsidRPr="00DE3BA6">
      <w:rPr>
        <w:rStyle w:val="PageNumber"/>
        <w:szCs w:val="22"/>
      </w:rPr>
      <w:fldChar w:fldCharType="separate"/>
    </w:r>
    <w:r w:rsidR="006938EE">
      <w:rPr>
        <w:rStyle w:val="PageNumber"/>
        <w:noProof/>
        <w:szCs w:val="22"/>
      </w:rPr>
      <w:t>8</w:t>
    </w:r>
    <w:r w:rsidRPr="00DE3BA6">
      <w:rPr>
        <w:rStyle w:val="PageNumber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B6A21"/>
    <w:multiLevelType w:val="multilevel"/>
    <w:tmpl w:val="A940A97E"/>
    <w:lvl w:ilvl="0">
      <w:start w:val="1"/>
      <w:numFmt w:val="decimal"/>
      <w:pStyle w:val="CEOParagraph1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70" w:hanging="57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1">
    <w:nsid w:val="44134746"/>
    <w:multiLevelType w:val="hybridMultilevel"/>
    <w:tmpl w:val="4154BDAC"/>
    <w:lvl w:ilvl="0" w:tplc="654EEA78">
      <w:start w:val="2"/>
      <w:numFmt w:val="bullet"/>
      <w:lvlText w:val="-"/>
      <w:lvlJc w:val="left"/>
      <w:pPr>
        <w:ind w:left="360" w:hanging="360"/>
      </w:pPr>
      <w:rPr>
        <w:rFonts w:ascii="Calibri" w:eastAsia="SimHei" w:hAnsi="Calibri" w:cs="Calibri" w:hint="default"/>
      </w:rPr>
    </w:lvl>
    <w:lvl w:ilvl="1" w:tplc="97E4AD8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3EA544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73697F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6646B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980BCC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1AAD09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B94F98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BD8C57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FCF53A8"/>
    <w:multiLevelType w:val="hybridMultilevel"/>
    <w:tmpl w:val="35684F56"/>
    <w:lvl w:ilvl="0" w:tplc="EF60E4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7BA61E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FC6908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3B08E9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000191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200B1A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9502B8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0E6477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1787F1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AE"/>
    <w:rsid w:val="00017EC1"/>
    <w:rsid w:val="000610B8"/>
    <w:rsid w:val="000852D3"/>
    <w:rsid w:val="000B4E89"/>
    <w:rsid w:val="000D3FE5"/>
    <w:rsid w:val="000F37AD"/>
    <w:rsid w:val="001027D5"/>
    <w:rsid w:val="00107E03"/>
    <w:rsid w:val="00111662"/>
    <w:rsid w:val="00133EA6"/>
    <w:rsid w:val="00134D3C"/>
    <w:rsid w:val="001379B1"/>
    <w:rsid w:val="00165F7C"/>
    <w:rsid w:val="0017515E"/>
    <w:rsid w:val="00191479"/>
    <w:rsid w:val="00193A22"/>
    <w:rsid w:val="001C009D"/>
    <w:rsid w:val="001C2CD5"/>
    <w:rsid w:val="001D526E"/>
    <w:rsid w:val="001D7E24"/>
    <w:rsid w:val="001E3E78"/>
    <w:rsid w:val="00202D0A"/>
    <w:rsid w:val="002236F8"/>
    <w:rsid w:val="00257107"/>
    <w:rsid w:val="00257C2C"/>
    <w:rsid w:val="00266468"/>
    <w:rsid w:val="00270876"/>
    <w:rsid w:val="002717CC"/>
    <w:rsid w:val="002C17BE"/>
    <w:rsid w:val="002D0E00"/>
    <w:rsid w:val="002D38F1"/>
    <w:rsid w:val="002D6E7D"/>
    <w:rsid w:val="002D6FDE"/>
    <w:rsid w:val="002D7A3C"/>
    <w:rsid w:val="002E54C6"/>
    <w:rsid w:val="002F0848"/>
    <w:rsid w:val="00316454"/>
    <w:rsid w:val="003202F3"/>
    <w:rsid w:val="0036676C"/>
    <w:rsid w:val="00366978"/>
    <w:rsid w:val="0037333E"/>
    <w:rsid w:val="003750D9"/>
    <w:rsid w:val="0039377C"/>
    <w:rsid w:val="003A294B"/>
    <w:rsid w:val="003B6EEC"/>
    <w:rsid w:val="003C07CE"/>
    <w:rsid w:val="003C6E83"/>
    <w:rsid w:val="003C7E08"/>
    <w:rsid w:val="003D4CD0"/>
    <w:rsid w:val="003D7BF0"/>
    <w:rsid w:val="003E3A63"/>
    <w:rsid w:val="003E6E87"/>
    <w:rsid w:val="00422053"/>
    <w:rsid w:val="0043071D"/>
    <w:rsid w:val="004338E8"/>
    <w:rsid w:val="00437CE7"/>
    <w:rsid w:val="00437CF7"/>
    <w:rsid w:val="00453596"/>
    <w:rsid w:val="00453A95"/>
    <w:rsid w:val="00453FB9"/>
    <w:rsid w:val="0046601B"/>
    <w:rsid w:val="00492670"/>
    <w:rsid w:val="004929D2"/>
    <w:rsid w:val="004A54C8"/>
    <w:rsid w:val="004C1084"/>
    <w:rsid w:val="004E327C"/>
    <w:rsid w:val="004E4490"/>
    <w:rsid w:val="00502434"/>
    <w:rsid w:val="0052270F"/>
    <w:rsid w:val="00525B7E"/>
    <w:rsid w:val="00526147"/>
    <w:rsid w:val="00536809"/>
    <w:rsid w:val="00540A25"/>
    <w:rsid w:val="005463C7"/>
    <w:rsid w:val="00551365"/>
    <w:rsid w:val="00581C5E"/>
    <w:rsid w:val="005A437C"/>
    <w:rsid w:val="005B66E1"/>
    <w:rsid w:val="005C6DC2"/>
    <w:rsid w:val="005C78AD"/>
    <w:rsid w:val="00600107"/>
    <w:rsid w:val="0064570A"/>
    <w:rsid w:val="00655923"/>
    <w:rsid w:val="0066774E"/>
    <w:rsid w:val="006679EE"/>
    <w:rsid w:val="006760A9"/>
    <w:rsid w:val="00677A73"/>
    <w:rsid w:val="00681166"/>
    <w:rsid w:val="006938EE"/>
    <w:rsid w:val="00697C38"/>
    <w:rsid w:val="006C07C5"/>
    <w:rsid w:val="006D4EC8"/>
    <w:rsid w:val="006D534D"/>
    <w:rsid w:val="00701E31"/>
    <w:rsid w:val="0072318F"/>
    <w:rsid w:val="00742AA8"/>
    <w:rsid w:val="007608F3"/>
    <w:rsid w:val="00767C28"/>
    <w:rsid w:val="0077011F"/>
    <w:rsid w:val="007951E5"/>
    <w:rsid w:val="007E10E5"/>
    <w:rsid w:val="0080561C"/>
    <w:rsid w:val="008112E9"/>
    <w:rsid w:val="00861D99"/>
    <w:rsid w:val="0086527C"/>
    <w:rsid w:val="00875722"/>
    <w:rsid w:val="0089291A"/>
    <w:rsid w:val="008B1215"/>
    <w:rsid w:val="008C576E"/>
    <w:rsid w:val="008D6A59"/>
    <w:rsid w:val="00916B10"/>
    <w:rsid w:val="00933ED3"/>
    <w:rsid w:val="00954721"/>
    <w:rsid w:val="00955C2D"/>
    <w:rsid w:val="00961169"/>
    <w:rsid w:val="009707EA"/>
    <w:rsid w:val="00970ABC"/>
    <w:rsid w:val="00981B59"/>
    <w:rsid w:val="009A5BB2"/>
    <w:rsid w:val="009C1E0B"/>
    <w:rsid w:val="009C5B8E"/>
    <w:rsid w:val="009E6019"/>
    <w:rsid w:val="00A30897"/>
    <w:rsid w:val="00A35111"/>
    <w:rsid w:val="00A64F9D"/>
    <w:rsid w:val="00A73D91"/>
    <w:rsid w:val="00A96A05"/>
    <w:rsid w:val="00AA42F8"/>
    <w:rsid w:val="00AC2E0E"/>
    <w:rsid w:val="00AC4143"/>
    <w:rsid w:val="00AC6023"/>
    <w:rsid w:val="00AE0BB7"/>
    <w:rsid w:val="00AE1BA7"/>
    <w:rsid w:val="00B06382"/>
    <w:rsid w:val="00B07E97"/>
    <w:rsid w:val="00B15DFC"/>
    <w:rsid w:val="00B222FE"/>
    <w:rsid w:val="00B23861"/>
    <w:rsid w:val="00B52E6E"/>
    <w:rsid w:val="00B726C0"/>
    <w:rsid w:val="00B75258"/>
    <w:rsid w:val="00B75868"/>
    <w:rsid w:val="00BA13BC"/>
    <w:rsid w:val="00BD7A1A"/>
    <w:rsid w:val="00BE1EC3"/>
    <w:rsid w:val="00BF3558"/>
    <w:rsid w:val="00C141CA"/>
    <w:rsid w:val="00C15BED"/>
    <w:rsid w:val="00C164F1"/>
    <w:rsid w:val="00C31374"/>
    <w:rsid w:val="00C62E82"/>
    <w:rsid w:val="00C71A6F"/>
    <w:rsid w:val="00C84CCD"/>
    <w:rsid w:val="00CB1FBA"/>
    <w:rsid w:val="00CD34AE"/>
    <w:rsid w:val="00CE37A1"/>
    <w:rsid w:val="00CE5E7B"/>
    <w:rsid w:val="00D16175"/>
    <w:rsid w:val="00D446F8"/>
    <w:rsid w:val="00D712FE"/>
    <w:rsid w:val="00D71423"/>
    <w:rsid w:val="00D72284"/>
    <w:rsid w:val="00D73A5D"/>
    <w:rsid w:val="00D923CD"/>
    <w:rsid w:val="00D93FCC"/>
    <w:rsid w:val="00DA23FC"/>
    <w:rsid w:val="00DA4610"/>
    <w:rsid w:val="00DC37EC"/>
    <w:rsid w:val="00DC6ECD"/>
    <w:rsid w:val="00DD19E1"/>
    <w:rsid w:val="00DD2B82"/>
    <w:rsid w:val="00DD411F"/>
    <w:rsid w:val="00DD5D8C"/>
    <w:rsid w:val="00DD7E36"/>
    <w:rsid w:val="00DF2C7A"/>
    <w:rsid w:val="00E0248F"/>
    <w:rsid w:val="00E06A7D"/>
    <w:rsid w:val="00E30170"/>
    <w:rsid w:val="00E3270A"/>
    <w:rsid w:val="00E3749B"/>
    <w:rsid w:val="00E40812"/>
    <w:rsid w:val="00E54FD2"/>
    <w:rsid w:val="00E6221D"/>
    <w:rsid w:val="00E65A2C"/>
    <w:rsid w:val="00E82D31"/>
    <w:rsid w:val="00EA1785"/>
    <w:rsid w:val="00EA4D11"/>
    <w:rsid w:val="00EE153D"/>
    <w:rsid w:val="00F04F0D"/>
    <w:rsid w:val="00F2422B"/>
    <w:rsid w:val="00F325A4"/>
    <w:rsid w:val="00F32728"/>
    <w:rsid w:val="00F53DF5"/>
    <w:rsid w:val="00F560A1"/>
    <w:rsid w:val="00F673B9"/>
    <w:rsid w:val="00F72A94"/>
    <w:rsid w:val="00F736B1"/>
    <w:rsid w:val="00F746B3"/>
    <w:rsid w:val="00F8624D"/>
    <w:rsid w:val="00F961B7"/>
    <w:rsid w:val="00FA2BC3"/>
    <w:rsid w:val="00FB2814"/>
    <w:rsid w:val="00FC1008"/>
    <w:rsid w:val="00FC5ABC"/>
    <w:rsid w:val="00FD5ECB"/>
    <w:rsid w:val="00FE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B7C1350B-35EB-4097-B065-1C64925F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A6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szCs w:val="20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93A22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677A73"/>
    <w:pPr>
      <w:spacing w:before="240"/>
      <w:outlineLvl w:val="1"/>
    </w:pPr>
    <w:rPr>
      <w:rFonts w:cs="Times New Roman Bold"/>
      <w:bCs/>
      <w:szCs w:val="22"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93A22"/>
    <w:pPr>
      <w:spacing w:before="80"/>
      <w:ind w:left="794" w:hanging="794"/>
    </w:pPr>
  </w:style>
  <w:style w:type="paragraph" w:customStyle="1" w:styleId="enumlev2">
    <w:name w:val="enumlev2"/>
    <w:basedOn w:val="enumlev1"/>
    <w:rsid w:val="00CE37A1"/>
    <w:pPr>
      <w:ind w:left="1134"/>
    </w:pPr>
  </w:style>
  <w:style w:type="paragraph" w:customStyle="1" w:styleId="enumlev3">
    <w:name w:val="enumlev3"/>
    <w:basedOn w:val="enumlev2"/>
    <w:rsid w:val="00CE37A1"/>
    <w:pPr>
      <w:ind w:left="1701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51365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51365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93A22"/>
    <w:rPr>
      <w:rFonts w:ascii="Calibri" w:eastAsia="Times New Roman" w:hAnsi="Calibri" w:cs="Times New Roman"/>
      <w:b/>
      <w:szCs w:val="20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677A73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257C2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961B7"/>
    <w:pPr>
      <w:framePr w:hSpace="180" w:wrap="around" w:vAnchor="page" w:hAnchor="margin" w:xAlign="center" w:y="1142"/>
      <w:spacing w:before="8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F961B7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pPr>
      <w:framePr w:wrap="auto"/>
    </w:pPr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ListParagraph">
    <w:name w:val="List Paragraph"/>
    <w:basedOn w:val="Normal"/>
    <w:link w:val="ListParagraphChar"/>
    <w:uiPriority w:val="99"/>
    <w:qFormat/>
    <w:rsid w:val="00D7142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6" w:lineRule="auto"/>
      <w:ind w:left="720"/>
      <w:contextualSpacing/>
      <w:textAlignment w:val="auto"/>
    </w:pPr>
    <w:rPr>
      <w:rFonts w:asciiTheme="minorHAnsi" w:eastAsiaTheme="minorEastAsia" w:hAnsiTheme="minorHAnsi" w:cstheme="minorBidi"/>
      <w:szCs w:val="22"/>
      <w:lang w:val="en-US" w:eastAsia="zh-CN"/>
    </w:rPr>
  </w:style>
  <w:style w:type="character" w:customStyle="1" w:styleId="ms-rtethemeforecolor-2-0">
    <w:name w:val="ms-rtethemeforecolor-2-0"/>
    <w:basedOn w:val="DefaultParagraphFont"/>
    <w:rsid w:val="00D71423"/>
  </w:style>
  <w:style w:type="character" w:customStyle="1" w:styleId="ms-rtefontface-5">
    <w:name w:val="ms-rtefontface-5"/>
    <w:basedOn w:val="DefaultParagraphFont"/>
    <w:rsid w:val="00D71423"/>
  </w:style>
  <w:style w:type="character" w:customStyle="1" w:styleId="preferred">
    <w:name w:val="preferred"/>
    <w:basedOn w:val="DefaultParagraphFont"/>
    <w:rsid w:val="00D71423"/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5463C7"/>
    <w:rPr>
      <w:lang w:val="en-US"/>
    </w:rPr>
  </w:style>
  <w:style w:type="paragraph" w:customStyle="1" w:styleId="CEONormal">
    <w:name w:val="CEO_Normal"/>
    <w:link w:val="CEONormalChar"/>
    <w:rsid w:val="005463C7"/>
    <w:pPr>
      <w:spacing w:before="120" w:after="120" w:line="240" w:lineRule="auto"/>
    </w:pPr>
    <w:rPr>
      <w:rFonts w:ascii="Calibri" w:eastAsia="SimSun" w:hAnsi="Calibri" w:cs="Simplified Arabic"/>
      <w:szCs w:val="19"/>
      <w:lang w:val="en-GB" w:eastAsia="en-US"/>
    </w:rPr>
  </w:style>
  <w:style w:type="character" w:customStyle="1" w:styleId="CEONormalChar">
    <w:name w:val="CEO_Normal Char"/>
    <w:basedOn w:val="DefaultParagraphFont"/>
    <w:link w:val="CEONormal"/>
    <w:locked/>
    <w:rsid w:val="005463C7"/>
    <w:rPr>
      <w:rFonts w:ascii="Calibri" w:eastAsia="SimSun" w:hAnsi="Calibri" w:cs="Simplified Arabic"/>
      <w:szCs w:val="19"/>
      <w:lang w:val="en-GB" w:eastAsia="en-US"/>
    </w:rPr>
  </w:style>
  <w:style w:type="paragraph" w:customStyle="1" w:styleId="CEOParagraph1">
    <w:name w:val="CEO_Paragraph1."/>
    <w:basedOn w:val="Normal"/>
    <w:rsid w:val="00017EC1"/>
    <w:pPr>
      <w:keepNext/>
      <w:numPr>
        <w:numId w:val="3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240"/>
      <w:textAlignment w:val="auto"/>
    </w:pPr>
    <w:rPr>
      <w:rFonts w:eastAsiaTheme="minorHAnsi"/>
      <w:b/>
      <w:bCs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ITU-D/Partners/pages/call4partners/partnerships.aspx" TargetMode="External"/><Relationship Id="rId18" Type="http://schemas.openxmlformats.org/officeDocument/2006/relationships/chart" Target="charts/chart4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D/Projects/Pages/default.aspx" TargetMode="External"/><Relationship Id="rId17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wld.online)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23" Type="http://schemas.openxmlformats.org/officeDocument/2006/relationships/fontTable" Target="fontTable.xml"/><Relationship Id="rId10" Type="http://schemas.openxmlformats.org/officeDocument/2006/relationships/hyperlink" Target="https://contentfiltering.info)/" TargetMode="External"/><Relationship Id="rId19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itu.int/go/en/itudsponsorships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ITU-D/TDAG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go/en/itudsponsorships" TargetMode="External"/><Relationship Id="rId1" Type="http://schemas.openxmlformats.org/officeDocument/2006/relationships/hyperlink" Target="http://www.itu.int/en/ITU-D/Partners/pages/call4partners/partnerships.asp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guyots\Desktop\TDAG\2017\Charts%20TDAG2017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guyots\Desktop\TDAG\2017\Charts%20TDAG2017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guyots\Desktop\TDAG\2017\Charts%20TDAG2017.xlsx" TargetMode="Externa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000" b="1" i="0" baseline="0">
                <a:solidFill>
                  <a:sysClr val="windowText" lastClr="000000"/>
                </a:solidFill>
                <a:effectLst/>
              </a:rPr>
              <a:t>Новые подписанные соглашения </a:t>
            </a:r>
            <a:endParaRPr lang="en-GB" sz="1000">
              <a:solidFill>
                <a:sysClr val="windowText" lastClr="000000"/>
              </a:solidFill>
              <a:effectLst/>
            </a:endParaRPr>
          </a:p>
          <a:p>
            <a:pPr>
              <a:defRPr sz="1000" b="1">
                <a:solidFill>
                  <a:sysClr val="windowText" lastClr="000000"/>
                </a:solidFill>
              </a:defRPr>
            </a:pPr>
            <a:r>
              <a:rPr lang="ru-RU" sz="1000" b="1" i="0" baseline="0">
                <a:solidFill>
                  <a:sysClr val="windowText" lastClr="000000"/>
                </a:solidFill>
                <a:effectLst/>
              </a:rPr>
              <a:t>(2013−2016 гг.)</a:t>
            </a:r>
            <a:endParaRPr lang="en-GB" sz="1000">
              <a:solidFill>
                <a:sysClr val="windowText" lastClr="000000"/>
              </a:solidFill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effectLst/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2">
                <a:lumMod val="75000"/>
              </a:schemeClr>
            </a:soli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dLbl>
              <c:idx val="2"/>
              <c:layout/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2A3E536E-1E8B-4AA5-A1E3-117C10DC6135}" type="VALUE">
                      <a:rPr lang="en-US"/>
                      <a:pPr>
                        <a:defRPr/>
                      </a:pPr>
                      <a:t>[VALUE]</a:t>
                    </a:fld>
                    <a:r>
                      <a:rPr lang="en-US" baseline="30000"/>
                      <a:t>1</a:t>
                    </a:r>
                  </a:p>
                </c:rich>
              </c:tx>
              <c:spPr>
                <a:solidFill>
                  <a:schemeClr val="dk1">
                    <a:lumMod val="65000"/>
                    <a:lumOff val="35000"/>
                    <a:alpha val="75000"/>
                  </a:schemeClr>
                </a:solidFill>
                <a:ln>
                  <a:noFill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  <c15:layout/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4.4742729306486055E-3"/>
                  <c:y val="0.13693922744642389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29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36</c:v>
                </c:pt>
                <c:pt idx="1">
                  <c:v>42</c:v>
                </c:pt>
                <c:pt idx="2">
                  <c:v>68</c:v>
                </c:pt>
                <c:pt idx="3">
                  <c:v>27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626243768"/>
        <c:axId val="626243376"/>
      </c:barChart>
      <c:catAx>
        <c:axId val="626243768"/>
        <c:scaling>
          <c:orientation val="minMax"/>
        </c:scaling>
        <c:delete val="0"/>
        <c:axPos val="b"/>
        <c:numFmt formatCode="##0\ \г.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effectLst/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6243376"/>
        <c:crosses val="autoZero"/>
        <c:auto val="1"/>
        <c:lblAlgn val="ctr"/>
        <c:lblOffset val="100"/>
        <c:noMultiLvlLbl val="0"/>
      </c:catAx>
      <c:valAx>
        <c:axId val="62624337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6262437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00" b="1" i="0" baseline="0">
                <a:solidFill>
                  <a:sysClr val="windowText" lastClr="000000"/>
                </a:solidFill>
                <a:effectLst/>
              </a:rPr>
              <a:t>Регионы-бенефициары новых подписанных соглашений </a:t>
            </a:r>
            <a:endParaRPr lang="en-GB" sz="1000">
              <a:solidFill>
                <a:sysClr val="windowText" lastClr="000000"/>
              </a:solidFill>
              <a:effectLst/>
            </a:endParaRPr>
          </a:p>
          <a:p>
            <a:pPr>
              <a:defRPr sz="1000">
                <a:solidFill>
                  <a:sysClr val="windowText" lastClr="000000"/>
                </a:solidFill>
              </a:defRPr>
            </a:pPr>
            <a:r>
              <a:rPr lang="ru-RU" sz="1000" b="1" i="0" baseline="0">
                <a:solidFill>
                  <a:sysClr val="windowText" lastClr="000000"/>
                </a:solidFill>
                <a:effectLst/>
              </a:rPr>
              <a:t>(2013−2016 гг.)</a:t>
            </a:r>
            <a:endParaRPr lang="en-GB" sz="1000">
              <a:solidFill>
                <a:sysClr val="windowText" lastClr="000000"/>
              </a:solidFill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Sheet1!$G$7:$G$13</c:f>
              <c:strCache>
                <c:ptCount val="7"/>
                <c:pt idx="0">
                  <c:v>AFR</c:v>
                </c:pt>
                <c:pt idx="1">
                  <c:v>AMS</c:v>
                </c:pt>
                <c:pt idx="2">
                  <c:v>ARB</c:v>
                </c:pt>
                <c:pt idx="3">
                  <c:v>ASP</c:v>
                </c:pt>
                <c:pt idx="4">
                  <c:v>CIS</c:v>
                </c:pt>
                <c:pt idx="5">
                  <c:v>EUR</c:v>
                </c:pt>
                <c:pt idx="6">
                  <c:v>GLO</c:v>
                </c:pt>
              </c:strCache>
            </c:strRef>
          </c:cat>
          <c:val>
            <c:numRef>
              <c:f>Sheet1!$H$7:$H$13</c:f>
              <c:numCache>
                <c:formatCode>General</c:formatCode>
                <c:ptCount val="7"/>
                <c:pt idx="0">
                  <c:v>31.5</c:v>
                </c:pt>
                <c:pt idx="1">
                  <c:v>23</c:v>
                </c:pt>
                <c:pt idx="2">
                  <c:v>14</c:v>
                </c:pt>
                <c:pt idx="3">
                  <c:v>40</c:v>
                </c:pt>
                <c:pt idx="4">
                  <c:v>4</c:v>
                </c:pt>
                <c:pt idx="5">
                  <c:v>9.5</c:v>
                </c:pt>
                <c:pt idx="6">
                  <c:v>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626302136"/>
        <c:axId val="626301744"/>
      </c:barChart>
      <c:catAx>
        <c:axId val="626302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6301744"/>
        <c:crosses val="autoZero"/>
        <c:auto val="1"/>
        <c:lblAlgn val="ctr"/>
        <c:lblOffset val="100"/>
        <c:noMultiLvlLbl val="0"/>
      </c:catAx>
      <c:valAx>
        <c:axId val="626301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63021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cap="none" spc="5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00" b="1" i="0" baseline="0">
                <a:solidFill>
                  <a:sysClr val="windowText" lastClr="000000"/>
                </a:solidFill>
                <a:effectLst/>
              </a:rPr>
              <a:t>Новые подписанные соглашения – темы</a:t>
            </a:r>
            <a:endParaRPr lang="en-GB" sz="1000">
              <a:solidFill>
                <a:sysClr val="windowText" lastClr="000000"/>
              </a:solidFill>
              <a:effectLst/>
            </a:endParaRPr>
          </a:p>
          <a:p>
            <a:pPr>
              <a:defRPr sz="1000" b="1">
                <a:solidFill>
                  <a:sysClr val="windowText" lastClr="000000"/>
                </a:solidFill>
              </a:defRPr>
            </a:pPr>
            <a:r>
              <a:rPr lang="ru-RU" sz="1000" b="1" i="0" baseline="0">
                <a:solidFill>
                  <a:sysClr val="windowText" lastClr="000000"/>
                </a:solidFill>
                <a:effectLst/>
              </a:rPr>
              <a:t>(2013−2016 гг.)</a:t>
            </a:r>
            <a:endParaRPr lang="en-GB" sz="1000">
              <a:solidFill>
                <a:sysClr val="windowText" lastClr="000000"/>
              </a:solidFill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cap="none" spc="5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34860538897284299"/>
          <c:y val="0.20299019607843138"/>
          <c:w val="0.54737488622003061"/>
          <c:h val="0.66858692295815969"/>
        </c:manualLayout>
      </c:layout>
      <c:barChart>
        <c:barDir val="bar"/>
        <c:grouping val="clustered"/>
        <c:varyColors val="0"/>
        <c:ser>
          <c:idx val="0"/>
          <c:order val="0"/>
          <c:spPr>
            <a:noFill/>
            <a:ln w="25400" cap="flat" cmpd="sng" algn="ctr">
              <a:solidFill>
                <a:schemeClr val="accent1"/>
              </a:solidFill>
              <a:miter lim="800000"/>
            </a:ln>
            <a:effectLst/>
          </c:spPr>
          <c:invertIfNegative val="0"/>
          <c:cat>
            <c:strRef>
              <c:f>Sheet1!$A$34:$A$43</c:f>
              <c:strCache>
                <c:ptCount val="10"/>
                <c:pt idx="0">
                  <c:v>Capacity Building</c:v>
                </c:pt>
                <c:pt idx="1">
                  <c:v>Infrastructure</c:v>
                </c:pt>
                <c:pt idx="2">
                  <c:v>Cybersecurity</c:v>
                </c:pt>
                <c:pt idx="3">
                  <c:v>ICT Applications</c:v>
                </c:pt>
                <c:pt idx="4">
                  <c:v>Enabling Environment</c:v>
                </c:pt>
                <c:pt idx="5">
                  <c:v>Generic</c:v>
                </c:pt>
                <c:pt idx="6">
                  <c:v>Emergency Telecom</c:v>
                </c:pt>
                <c:pt idx="7">
                  <c:v>Digital Inclusion</c:v>
                </c:pt>
                <c:pt idx="8">
                  <c:v>Innovation</c:v>
                </c:pt>
                <c:pt idx="9">
                  <c:v>Statistics and Indicators</c:v>
                </c:pt>
              </c:strCache>
            </c:strRef>
          </c:cat>
          <c:val>
            <c:numRef>
              <c:f>Sheet1!$B$34:$B$43</c:f>
              <c:numCache>
                <c:formatCode>General</c:formatCode>
                <c:ptCount val="10"/>
                <c:pt idx="0">
                  <c:v>48</c:v>
                </c:pt>
                <c:pt idx="1">
                  <c:v>31</c:v>
                </c:pt>
                <c:pt idx="2">
                  <c:v>29</c:v>
                </c:pt>
                <c:pt idx="3">
                  <c:v>23</c:v>
                </c:pt>
                <c:pt idx="4">
                  <c:v>16</c:v>
                </c:pt>
                <c:pt idx="5">
                  <c:v>10</c:v>
                </c:pt>
                <c:pt idx="6">
                  <c:v>8</c:v>
                </c:pt>
                <c:pt idx="7">
                  <c:v>5</c:v>
                </c:pt>
                <c:pt idx="8">
                  <c:v>2</c:v>
                </c:pt>
                <c:pt idx="9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7"/>
        <c:overlap val="-48"/>
        <c:axId val="352082920"/>
        <c:axId val="352081744"/>
      </c:barChart>
      <c:catAx>
        <c:axId val="35208292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2081744"/>
        <c:crosses val="autoZero"/>
        <c:auto val="1"/>
        <c:lblAlgn val="ctr"/>
        <c:lblOffset val="100"/>
        <c:noMultiLvlLbl val="0"/>
      </c:catAx>
      <c:valAx>
        <c:axId val="352081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20829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00">
                <a:solidFill>
                  <a:sysClr val="windowText" lastClr="000000"/>
                </a:solidFill>
              </a:rPr>
              <a:t>Новые подписанные соглашения –</a:t>
            </a:r>
            <a:r>
              <a:rPr lang="en-GB" sz="1000">
                <a:solidFill>
                  <a:sysClr val="windowText" lastClr="000000"/>
                </a:solidFill>
              </a:rPr>
              <a:t> </a:t>
            </a:r>
          </a:p>
          <a:p>
            <a:pPr>
              <a:defRPr sz="1000">
                <a:solidFill>
                  <a:sysClr val="windowText" lastClr="000000"/>
                </a:solidFill>
              </a:defRPr>
            </a:pPr>
            <a:r>
              <a:rPr lang="ru-RU" sz="1000">
                <a:solidFill>
                  <a:sysClr val="windowText" lastClr="000000"/>
                </a:solidFill>
              </a:rPr>
              <a:t>заинтересованные стороны</a:t>
            </a:r>
            <a:r>
              <a:rPr lang="en-GB" sz="1000">
                <a:solidFill>
                  <a:sysClr val="windowText" lastClr="000000"/>
                </a:solidFill>
              </a:rPr>
              <a:t> </a:t>
            </a:r>
            <a:endParaRPr lang="ru-RU" sz="1000">
              <a:solidFill>
                <a:sysClr val="windowText" lastClr="000000"/>
              </a:solidFill>
            </a:endParaRPr>
          </a:p>
          <a:p>
            <a:pPr>
              <a:defRPr sz="1000">
                <a:solidFill>
                  <a:sysClr val="windowText" lastClr="000000"/>
                </a:solidFill>
              </a:defRPr>
            </a:pPr>
            <a:r>
              <a:rPr lang="ru-RU" sz="1000">
                <a:solidFill>
                  <a:sysClr val="windowText" lastClr="000000"/>
                </a:solidFill>
              </a:rPr>
              <a:t>(2013−2016 гг.)</a:t>
            </a:r>
            <a:endParaRPr lang="en-GB" sz="1000">
              <a:solidFill>
                <a:sysClr val="windowText" lastClr="000000"/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explosion val="38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</c:dPt>
          <c:dPt>
            <c:idx val="1"/>
            <c:bubble3D val="0"/>
            <c:explosion val="43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Sheet1!$A$1:$A$2</c:f>
              <c:strCache>
                <c:ptCount val="2"/>
                <c:pt idx="0">
                  <c:v>Члены МСЭ-D</c:v>
                </c:pt>
                <c:pt idx="1">
                  <c:v>Нечлены МСЭ-D</c:v>
                </c:pt>
              </c:strCache>
            </c:strRef>
          </c:cat>
          <c:val>
            <c:numRef>
              <c:f>Sheet1!$B$1:$B$2</c:f>
              <c:numCache>
                <c:formatCode>0%</c:formatCode>
                <c:ptCount val="2"/>
                <c:pt idx="0">
                  <c:v>0.77</c:v>
                </c:pt>
                <c:pt idx="1">
                  <c:v>0.23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057342584652166"/>
          <c:y val="0.88786706808707738"/>
          <c:w val="0.78413069653422041"/>
          <c:h val="8.2721167207040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cap="none" spc="5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00" b="1" i="0" cap="none" baseline="0">
                <a:solidFill>
                  <a:sysClr val="windowText" lastClr="000000"/>
                </a:solidFill>
                <a:effectLst/>
              </a:rPr>
              <a:t>Новые подписанные соглашения –</a:t>
            </a:r>
            <a:r>
              <a:rPr lang="en-GB" sz="1000" b="1" i="0" cap="none" baseline="0">
                <a:solidFill>
                  <a:sysClr val="windowText" lastClr="000000"/>
                </a:solidFill>
                <a:effectLst/>
              </a:rPr>
              <a:t> </a:t>
            </a:r>
            <a:endParaRPr lang="en-GB" sz="1000" cap="none" baseline="0">
              <a:solidFill>
                <a:sysClr val="windowText" lastClr="000000"/>
              </a:solidFill>
              <a:effectLst/>
            </a:endParaRPr>
          </a:p>
          <a:p>
            <a:pPr>
              <a:defRPr sz="1000" cap="none">
                <a:solidFill>
                  <a:sysClr val="windowText" lastClr="000000"/>
                </a:solidFill>
              </a:defRPr>
            </a:pPr>
            <a:r>
              <a:rPr lang="ru-RU" sz="1000" b="1" i="0" cap="none" baseline="0">
                <a:solidFill>
                  <a:sysClr val="windowText" lastClr="000000"/>
                </a:solidFill>
                <a:effectLst/>
              </a:rPr>
              <a:t>заинтересованные стороны</a:t>
            </a:r>
            <a:r>
              <a:rPr lang="en-GB" sz="1000" b="1" i="0" cap="none" baseline="0">
                <a:solidFill>
                  <a:sysClr val="windowText" lastClr="000000"/>
                </a:solidFill>
                <a:effectLst/>
              </a:rPr>
              <a:t> </a:t>
            </a:r>
            <a:endParaRPr lang="en-GB" sz="1000" cap="none" baseline="0">
              <a:solidFill>
                <a:sysClr val="windowText" lastClr="000000"/>
              </a:solidFill>
              <a:effectLst/>
            </a:endParaRPr>
          </a:p>
          <a:p>
            <a:pPr>
              <a:defRPr sz="1000" cap="none">
                <a:solidFill>
                  <a:sysClr val="windowText" lastClr="000000"/>
                </a:solidFill>
              </a:defRPr>
            </a:pPr>
            <a:r>
              <a:rPr lang="ru-RU" sz="1000" b="1" i="0" cap="none" baseline="0">
                <a:solidFill>
                  <a:sysClr val="windowText" lastClr="000000"/>
                </a:solidFill>
                <a:effectLst/>
              </a:rPr>
              <a:t>(2013−2016 гг.)</a:t>
            </a:r>
            <a:endParaRPr lang="en-GB" sz="1000" cap="none" baseline="0">
              <a:solidFill>
                <a:sysClr val="windowText" lastClr="000000"/>
              </a:solidFill>
              <a:effectLst/>
            </a:endParaRPr>
          </a:p>
        </c:rich>
      </c:tx>
      <c:layout>
        <c:manualLayout>
          <c:xMode val="edge"/>
          <c:yMode val="edge"/>
          <c:x val="1.2681169091151741E-2"/>
          <c:y val="3.41456206863030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cap="none" spc="5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47696635378204844"/>
          <c:y val="0.21442130844755516"/>
          <c:w val="0.43417856666221805"/>
          <c:h val="0.56925634295713035"/>
        </c:manualLayout>
      </c:layout>
      <c:doughnutChart>
        <c:varyColors val="1"/>
        <c:ser>
          <c:idx val="0"/>
          <c:order val="0"/>
          <c:dPt>
            <c:idx val="0"/>
            <c:bubble3D val="0"/>
            <c:explosion val="5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1"/>
            <c:bubble3D val="0"/>
            <c:explosion val="7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2"/>
            <c:bubble3D val="0"/>
            <c:explosion val="6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3"/>
            <c:bubble3D val="0"/>
            <c:explosion val="5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4"/>
            <c:bubble3D val="0"/>
            <c:explosion val="6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5"/>
            <c:bubble3D val="0"/>
            <c:explosion val="5"/>
            <c:spPr>
              <a:solidFill>
                <a:schemeClr val="accent6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Sheet2!$A$1:$A$6</c:f>
              <c:strCache>
                <c:ptCount val="6"/>
                <c:pt idx="0">
                  <c:v>Государственный сектор</c:v>
                </c:pt>
                <c:pt idx="1">
                  <c:v>Частный сектор</c:v>
                </c:pt>
                <c:pt idx="2">
                  <c:v>Система ООН</c:v>
                </c:pt>
                <c:pt idx="3">
                  <c:v>Фонды и финансовые учреждения</c:v>
                </c:pt>
                <c:pt idx="4">
                  <c:v>Академические организации</c:v>
                </c:pt>
                <c:pt idx="5">
                  <c:v>Организации (региональные/международные)</c:v>
                </c:pt>
              </c:strCache>
            </c:strRef>
          </c:cat>
          <c:val>
            <c:numRef>
              <c:f>Sheet2!$B$1:$B$6</c:f>
              <c:numCache>
                <c:formatCode>General</c:formatCode>
                <c:ptCount val="6"/>
                <c:pt idx="0">
                  <c:v>39</c:v>
                </c:pt>
                <c:pt idx="1">
                  <c:v>22</c:v>
                </c:pt>
                <c:pt idx="2">
                  <c:v>7</c:v>
                </c:pt>
                <c:pt idx="3">
                  <c:v>3</c:v>
                </c:pt>
                <c:pt idx="4">
                  <c:v>16</c:v>
                </c:pt>
                <c:pt idx="5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l"/>
      <c:layout>
        <c:manualLayout>
          <c:xMode val="edge"/>
          <c:yMode val="edge"/>
          <c:x val="8.3744633961571127E-3"/>
          <c:y val="0.63699801892579522"/>
          <c:w val="0.72251336052872905"/>
          <c:h val="0.3288803344026441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2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35000"/>
          <a:lumOff val="65000"/>
        </a:schemeClr>
      </a:solidFill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/>
    <cs:effectRef idx="0"/>
    <cs:fontRef idx="minor">
      <a:schemeClr val="dk1"/>
    </cs:fontRef>
    <cs:spPr>
      <a:noFill/>
      <a:ln w="25400" cap="flat" cmpd="sng" algn="ctr">
        <a:solidFill>
          <a:schemeClr val="phClr"/>
        </a:solidFill>
        <a:miter lim="800000"/>
      </a:ln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dk1"/>
    </cs:fontRef>
    <cs:spPr>
      <a:ln w="19050" cap="flat" cmpd="sng" algn="ctr">
        <a:solidFill>
          <a:schemeClr val="phClr"/>
        </a:solidFill>
        <a:miter lim="800000"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1"/>
    <cs:effectRef idx="0"/>
    <cs:fontRef idx="minor">
      <a:schemeClr val="tx1"/>
    </cs:fontRef>
    <cs:spPr>
      <a:ln w="9525">
        <a:solidFill>
          <a:schemeClr val="phClr"/>
        </a:solidFill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0" kern="1200" cap="none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0.02091</cdr:x>
      <cdr:y>0.2087</cdr:y>
    </cdr:from>
    <cdr:to>
      <cdr:x>0.27536</cdr:x>
      <cdr:y>0.90537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95416" y="540689"/>
          <a:ext cx="1160890" cy="180494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GB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EE98C-90A9-4A8B-A1BD-EA805E0F9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3069</Words>
  <Characters>17496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20524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Komissarova, Olga</dc:creator>
  <cp:keywords/>
  <dc:description/>
  <cp:lastModifiedBy>Antipina, Nadezda</cp:lastModifiedBy>
  <cp:revision>13</cp:revision>
  <cp:lastPrinted>2017-05-08T10:06:00Z</cp:lastPrinted>
  <dcterms:created xsi:type="dcterms:W3CDTF">2017-05-08T08:38:00Z</dcterms:created>
  <dcterms:modified xsi:type="dcterms:W3CDTF">2017-05-08T15:15:00Z</dcterms:modified>
</cp:coreProperties>
</file>