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2B7136" w:rsidTr="000C61E9">
        <w:trPr>
          <w:cantSplit/>
          <w:trHeight w:val="1134"/>
        </w:trPr>
        <w:tc>
          <w:tcPr>
            <w:tcW w:w="1276" w:type="dxa"/>
          </w:tcPr>
          <w:p w:rsidR="00B46DF3" w:rsidRPr="002B7136" w:rsidRDefault="00107E85" w:rsidP="00123C13">
            <w:pPr>
              <w:tabs>
                <w:tab w:val="clear" w:pos="1191"/>
                <w:tab w:val="clear" w:pos="1588"/>
                <w:tab w:val="clear" w:pos="1985"/>
              </w:tabs>
              <w:spacing w:before="0"/>
              <w:ind w:left="1311"/>
              <w:rPr>
                <w:rFonts w:ascii="Verdana" w:hAnsi="Verdana"/>
                <w:sz w:val="28"/>
                <w:szCs w:val="28"/>
                <w:lang w:val="fr-FR"/>
              </w:rPr>
            </w:pPr>
            <w:r w:rsidRPr="002B7136">
              <w:rPr>
                <w:noProof/>
                <w:color w:val="3399FF"/>
                <w:lang w:val="en-GB"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2B7136" w:rsidRDefault="00156BF6" w:rsidP="00123C13">
            <w:pPr>
              <w:tabs>
                <w:tab w:val="left" w:pos="1871"/>
                <w:tab w:val="left" w:pos="2268"/>
              </w:tabs>
              <w:spacing w:before="20" w:after="48"/>
              <w:ind w:left="34"/>
              <w:rPr>
                <w:b/>
                <w:bCs/>
                <w:sz w:val="32"/>
                <w:szCs w:val="32"/>
                <w:lang w:val="fr-FR"/>
              </w:rPr>
            </w:pPr>
            <w:r w:rsidRPr="002B7136">
              <w:rPr>
                <w:b/>
                <w:sz w:val="32"/>
                <w:szCs w:val="32"/>
                <w:lang w:val="fr-FR"/>
              </w:rPr>
              <w:t>Groupe</w:t>
            </w:r>
            <w:r w:rsidRPr="002B7136">
              <w:rPr>
                <w:b/>
                <w:bCs/>
                <w:sz w:val="32"/>
                <w:szCs w:val="32"/>
                <w:lang w:val="fr-FR"/>
              </w:rPr>
              <w:t xml:space="preserve"> consultatif pour le développement </w:t>
            </w:r>
            <w:r w:rsidRPr="002B7136">
              <w:rPr>
                <w:b/>
                <w:bCs/>
                <w:sz w:val="32"/>
                <w:szCs w:val="32"/>
                <w:lang w:val="fr-FR"/>
              </w:rPr>
              <w:br/>
              <w:t>des télécommunications (GCDT)</w:t>
            </w:r>
          </w:p>
          <w:p w:rsidR="00E55807" w:rsidRPr="002B7136" w:rsidRDefault="00156BF6" w:rsidP="00123C13">
            <w:pPr>
              <w:tabs>
                <w:tab w:val="clear" w:pos="1191"/>
                <w:tab w:val="clear" w:pos="1588"/>
                <w:tab w:val="clear" w:pos="1985"/>
              </w:tabs>
              <w:spacing w:before="100" w:after="120"/>
              <w:ind w:left="34"/>
              <w:rPr>
                <w:rFonts w:ascii="Verdana" w:hAnsi="Verdana"/>
                <w:sz w:val="28"/>
                <w:szCs w:val="28"/>
                <w:lang w:val="fr-FR"/>
              </w:rPr>
            </w:pPr>
            <w:r w:rsidRPr="002B7136">
              <w:rPr>
                <w:b/>
                <w:bCs/>
                <w:sz w:val="26"/>
                <w:szCs w:val="26"/>
                <w:lang w:val="fr-FR"/>
              </w:rPr>
              <w:t>22ème réunion, Genève, 9-12 mai 2017</w:t>
            </w:r>
          </w:p>
        </w:tc>
        <w:tc>
          <w:tcPr>
            <w:tcW w:w="2996" w:type="dxa"/>
          </w:tcPr>
          <w:p w:rsidR="00B46DF3" w:rsidRPr="002B7136" w:rsidRDefault="000C61E9" w:rsidP="00123C13">
            <w:pPr>
              <w:spacing w:before="0"/>
              <w:ind w:right="142"/>
              <w:jc w:val="right"/>
              <w:rPr>
                <w:lang w:val="fr-FR"/>
              </w:rPr>
            </w:pPr>
            <w:r w:rsidRPr="002B7136">
              <w:rPr>
                <w:noProof/>
                <w:lang w:val="en-GB"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2B7136" w:rsidTr="000C61E9">
        <w:trPr>
          <w:cantSplit/>
        </w:trPr>
        <w:tc>
          <w:tcPr>
            <w:tcW w:w="7251" w:type="dxa"/>
            <w:gridSpan w:val="2"/>
            <w:tcBorders>
              <w:top w:val="single" w:sz="12" w:space="0" w:color="auto"/>
            </w:tcBorders>
          </w:tcPr>
          <w:p w:rsidR="00683C32" w:rsidRPr="002B7136" w:rsidRDefault="00683C32" w:rsidP="00123C13">
            <w:pPr>
              <w:spacing w:before="0"/>
              <w:rPr>
                <w:rFonts w:cs="Arial"/>
                <w:b/>
                <w:bCs/>
                <w:sz w:val="20"/>
                <w:lang w:val="fr-FR"/>
              </w:rPr>
            </w:pPr>
          </w:p>
        </w:tc>
        <w:tc>
          <w:tcPr>
            <w:tcW w:w="2996" w:type="dxa"/>
            <w:tcBorders>
              <w:top w:val="single" w:sz="12" w:space="0" w:color="auto"/>
            </w:tcBorders>
          </w:tcPr>
          <w:p w:rsidR="00683C32" w:rsidRPr="002B7136" w:rsidRDefault="00683C32" w:rsidP="00123C13">
            <w:pPr>
              <w:spacing w:before="0"/>
              <w:rPr>
                <w:b/>
                <w:bCs/>
                <w:sz w:val="20"/>
                <w:lang w:val="fr-FR"/>
              </w:rPr>
            </w:pPr>
          </w:p>
        </w:tc>
      </w:tr>
      <w:tr w:rsidR="00683C32" w:rsidRPr="002B7136" w:rsidTr="000C61E9">
        <w:trPr>
          <w:cantSplit/>
        </w:trPr>
        <w:tc>
          <w:tcPr>
            <w:tcW w:w="7251" w:type="dxa"/>
            <w:gridSpan w:val="2"/>
          </w:tcPr>
          <w:p w:rsidR="00683C32" w:rsidRPr="002B7136" w:rsidRDefault="00683C32" w:rsidP="00123C13">
            <w:pPr>
              <w:pStyle w:val="Committee"/>
              <w:spacing w:before="0"/>
              <w:rPr>
                <w:b w:val="0"/>
                <w:szCs w:val="24"/>
                <w:lang w:val="fr-FR"/>
              </w:rPr>
            </w:pPr>
          </w:p>
        </w:tc>
        <w:tc>
          <w:tcPr>
            <w:tcW w:w="2996" w:type="dxa"/>
          </w:tcPr>
          <w:p w:rsidR="00683C32" w:rsidRPr="002B7136" w:rsidRDefault="00323587" w:rsidP="00123C13">
            <w:pPr>
              <w:spacing w:before="0"/>
              <w:rPr>
                <w:bCs/>
                <w:szCs w:val="24"/>
                <w:lang w:val="fr-FR"/>
              </w:rPr>
            </w:pPr>
            <w:r w:rsidRPr="002B7136">
              <w:rPr>
                <w:b/>
                <w:bCs/>
                <w:szCs w:val="28"/>
                <w:lang w:val="fr-FR"/>
              </w:rPr>
              <w:t xml:space="preserve">Document </w:t>
            </w:r>
            <w:bookmarkStart w:id="0" w:name="DocRef1"/>
            <w:bookmarkEnd w:id="0"/>
            <w:r w:rsidRPr="002B7136">
              <w:rPr>
                <w:b/>
                <w:bCs/>
                <w:szCs w:val="28"/>
                <w:lang w:val="fr-FR"/>
              </w:rPr>
              <w:t>TDAG17-22/</w:t>
            </w:r>
            <w:bookmarkStart w:id="1" w:name="DocNo1"/>
            <w:bookmarkEnd w:id="1"/>
            <w:r w:rsidR="00952085" w:rsidRPr="002B7136">
              <w:rPr>
                <w:b/>
                <w:bCs/>
                <w:szCs w:val="28"/>
                <w:lang w:val="fr-FR"/>
              </w:rPr>
              <w:t>3</w:t>
            </w:r>
            <w:r w:rsidR="003207EB">
              <w:rPr>
                <w:b/>
                <w:bCs/>
                <w:szCs w:val="28"/>
                <w:lang w:val="fr-FR"/>
              </w:rPr>
              <w:t>1</w:t>
            </w:r>
            <w:r w:rsidRPr="002B7136">
              <w:rPr>
                <w:b/>
                <w:bCs/>
                <w:szCs w:val="28"/>
                <w:lang w:val="fr-FR"/>
              </w:rPr>
              <w:t>-F</w:t>
            </w:r>
          </w:p>
        </w:tc>
      </w:tr>
      <w:tr w:rsidR="00683C32" w:rsidRPr="002B7136" w:rsidTr="000C61E9">
        <w:trPr>
          <w:cantSplit/>
        </w:trPr>
        <w:tc>
          <w:tcPr>
            <w:tcW w:w="7251" w:type="dxa"/>
            <w:gridSpan w:val="2"/>
          </w:tcPr>
          <w:p w:rsidR="00683C32" w:rsidRPr="002B7136" w:rsidRDefault="00683C32" w:rsidP="00123C13">
            <w:pPr>
              <w:spacing w:before="0"/>
              <w:rPr>
                <w:b/>
                <w:bCs/>
                <w:smallCaps/>
                <w:szCs w:val="24"/>
                <w:lang w:val="fr-FR"/>
              </w:rPr>
            </w:pPr>
          </w:p>
        </w:tc>
        <w:tc>
          <w:tcPr>
            <w:tcW w:w="2996" w:type="dxa"/>
          </w:tcPr>
          <w:p w:rsidR="00683C32" w:rsidRPr="002B7136" w:rsidRDefault="003207EB" w:rsidP="00123C13">
            <w:pPr>
              <w:spacing w:before="0"/>
              <w:rPr>
                <w:b/>
                <w:szCs w:val="24"/>
                <w:lang w:val="fr-FR"/>
              </w:rPr>
            </w:pPr>
            <w:bookmarkStart w:id="2" w:name="CreationDate"/>
            <w:bookmarkEnd w:id="2"/>
            <w:r>
              <w:rPr>
                <w:b/>
                <w:bCs/>
                <w:szCs w:val="28"/>
                <w:lang w:val="fr-FR"/>
              </w:rPr>
              <w:t>10 mai</w:t>
            </w:r>
            <w:r w:rsidR="00323587" w:rsidRPr="002B7136">
              <w:rPr>
                <w:b/>
                <w:bCs/>
                <w:szCs w:val="28"/>
                <w:lang w:val="fr-FR"/>
              </w:rPr>
              <w:t xml:space="preserve"> 2017</w:t>
            </w:r>
          </w:p>
        </w:tc>
      </w:tr>
      <w:tr w:rsidR="00683C32" w:rsidRPr="002B7136" w:rsidTr="000C61E9">
        <w:trPr>
          <w:cantSplit/>
        </w:trPr>
        <w:tc>
          <w:tcPr>
            <w:tcW w:w="7251" w:type="dxa"/>
            <w:gridSpan w:val="2"/>
          </w:tcPr>
          <w:p w:rsidR="00683C32" w:rsidRPr="002B7136" w:rsidRDefault="00683C32" w:rsidP="00123C13">
            <w:pPr>
              <w:spacing w:before="0"/>
              <w:rPr>
                <w:b/>
                <w:bCs/>
                <w:smallCaps/>
                <w:szCs w:val="24"/>
                <w:lang w:val="fr-FR"/>
              </w:rPr>
            </w:pPr>
          </w:p>
        </w:tc>
        <w:tc>
          <w:tcPr>
            <w:tcW w:w="2996" w:type="dxa"/>
          </w:tcPr>
          <w:p w:rsidR="00514D2F" w:rsidRPr="002B7136" w:rsidRDefault="00323587" w:rsidP="00123C13">
            <w:pPr>
              <w:spacing w:before="0"/>
              <w:rPr>
                <w:szCs w:val="24"/>
                <w:lang w:val="fr-FR"/>
              </w:rPr>
            </w:pPr>
            <w:r w:rsidRPr="002B7136">
              <w:rPr>
                <w:b/>
                <w:szCs w:val="28"/>
                <w:lang w:val="fr-FR"/>
              </w:rPr>
              <w:t>Original:</w:t>
            </w:r>
            <w:bookmarkStart w:id="3" w:name="Original"/>
            <w:bookmarkEnd w:id="3"/>
            <w:r w:rsidR="00522A0C">
              <w:rPr>
                <w:b/>
                <w:szCs w:val="28"/>
                <w:lang w:val="fr-FR"/>
              </w:rPr>
              <w:t xml:space="preserve"> anglais</w:t>
            </w:r>
          </w:p>
        </w:tc>
      </w:tr>
      <w:tr w:rsidR="00A13162" w:rsidRPr="002B7136" w:rsidTr="000C61E9">
        <w:trPr>
          <w:cantSplit/>
          <w:trHeight w:val="852"/>
        </w:trPr>
        <w:tc>
          <w:tcPr>
            <w:tcW w:w="10247" w:type="dxa"/>
            <w:gridSpan w:val="3"/>
          </w:tcPr>
          <w:p w:rsidR="00A13162" w:rsidRPr="002B7136" w:rsidRDefault="003207EB" w:rsidP="00A43BA9">
            <w:pPr>
              <w:pStyle w:val="Source"/>
              <w:rPr>
                <w:lang w:val="fr-FR"/>
              </w:rPr>
            </w:pPr>
            <w:bookmarkStart w:id="4" w:name="Source"/>
            <w:bookmarkEnd w:id="4"/>
            <w:r w:rsidRPr="003207EB">
              <w:rPr>
                <w:szCs w:val="28"/>
                <w:lang w:val="fr-FR"/>
              </w:rPr>
              <w:t>Président du Groupe de tra</w:t>
            </w:r>
            <w:r w:rsidR="00A43BA9">
              <w:rPr>
                <w:szCs w:val="28"/>
                <w:lang w:val="fr-FR"/>
              </w:rPr>
              <w:t xml:space="preserve">vail par correspondance du GCDT </w:t>
            </w:r>
            <w:r w:rsidRPr="003207EB">
              <w:rPr>
                <w:szCs w:val="28"/>
                <w:lang w:val="fr-FR"/>
              </w:rPr>
              <w:t>sur le Plan stratégique,</w:t>
            </w:r>
            <w:r w:rsidR="00A43BA9">
              <w:rPr>
                <w:szCs w:val="28"/>
                <w:lang w:val="fr-FR"/>
              </w:rPr>
              <w:br/>
            </w:r>
            <w:r w:rsidRPr="003207EB">
              <w:rPr>
                <w:szCs w:val="28"/>
                <w:lang w:val="fr-FR"/>
              </w:rPr>
              <w:t>le Plan opérationnel et la Déclaration</w:t>
            </w:r>
          </w:p>
        </w:tc>
      </w:tr>
      <w:tr w:rsidR="00AC6F14" w:rsidRPr="002B7136" w:rsidTr="000C61E9">
        <w:trPr>
          <w:cantSplit/>
        </w:trPr>
        <w:tc>
          <w:tcPr>
            <w:tcW w:w="10247" w:type="dxa"/>
            <w:gridSpan w:val="3"/>
          </w:tcPr>
          <w:p w:rsidR="00AC6F14" w:rsidRPr="002B7136" w:rsidRDefault="003207EB" w:rsidP="00123C13">
            <w:pPr>
              <w:pStyle w:val="Title1"/>
              <w:rPr>
                <w:lang w:val="fr-FR"/>
              </w:rPr>
            </w:pPr>
            <w:bookmarkStart w:id="5" w:name="Title"/>
            <w:bookmarkEnd w:id="5"/>
            <w:r w:rsidRPr="003207EB">
              <w:rPr>
                <w:szCs w:val="28"/>
                <w:lang w:val="fr-FR"/>
              </w:rPr>
              <w:t>RAPPORT DU PRÉSIDENT DU GROUPE DE TRAVAIL PAR CORRESPONDANCE DU</w:t>
            </w:r>
            <w:r>
              <w:rPr>
                <w:szCs w:val="28"/>
                <w:lang w:val="fr-FR"/>
              </w:rPr>
              <w:t xml:space="preserve"> </w:t>
            </w:r>
            <w:r w:rsidRPr="003207EB">
              <w:rPr>
                <w:szCs w:val="28"/>
                <w:lang w:val="fr-FR"/>
              </w:rPr>
              <w:t>GCDT SUR LE PLAN STRATÉGIQUE, LE PLAN OPÉRATIONNEL ET LA DÉCLARATION</w:t>
            </w:r>
          </w:p>
        </w:tc>
      </w:tr>
      <w:tr w:rsidR="00A721F4" w:rsidRPr="002B7136" w:rsidTr="000C61E9">
        <w:trPr>
          <w:cantSplit/>
        </w:trPr>
        <w:tc>
          <w:tcPr>
            <w:tcW w:w="10247" w:type="dxa"/>
            <w:gridSpan w:val="3"/>
            <w:tcBorders>
              <w:bottom w:val="single" w:sz="4" w:space="0" w:color="auto"/>
            </w:tcBorders>
          </w:tcPr>
          <w:p w:rsidR="00A721F4" w:rsidRPr="002B7136" w:rsidRDefault="00A721F4" w:rsidP="00123C13">
            <w:pPr>
              <w:rPr>
                <w:lang w:val="fr-FR"/>
              </w:rPr>
            </w:pPr>
          </w:p>
        </w:tc>
      </w:tr>
      <w:tr w:rsidR="00A721F4" w:rsidRPr="002B7136"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2B7136" w:rsidRDefault="00156BF6" w:rsidP="00123C13">
            <w:pPr>
              <w:spacing w:before="240"/>
              <w:rPr>
                <w:b/>
                <w:bCs/>
                <w:szCs w:val="24"/>
                <w:lang w:val="fr-FR"/>
              </w:rPr>
            </w:pPr>
            <w:r w:rsidRPr="002B7136">
              <w:rPr>
                <w:b/>
                <w:bCs/>
                <w:szCs w:val="24"/>
                <w:lang w:val="fr-FR"/>
              </w:rPr>
              <w:t>Résumé:</w:t>
            </w:r>
          </w:p>
          <w:p w:rsidR="00A721F4" w:rsidRDefault="003207EB" w:rsidP="00A43BA9">
            <w:pPr>
              <w:rPr>
                <w:lang w:val="fr-FR"/>
              </w:rPr>
            </w:pPr>
            <w:r w:rsidRPr="003207EB">
              <w:rPr>
                <w:lang w:val="fr-FR"/>
              </w:rPr>
              <w:t>Le présent document est le rapport de la réunion du 9 mai 2017 du Groupe de travail par correspondance du GCDT sur le Plan stratégique, le Plan opérationnel et la Déclaration (CG-SPOPD). Il retrace l</w:t>
            </w:r>
            <w:r w:rsidR="00123C13">
              <w:rPr>
                <w:lang w:val="fr-FR"/>
              </w:rPr>
              <w:t>'</w:t>
            </w:r>
            <w:r w:rsidRPr="003207EB">
              <w:rPr>
                <w:lang w:val="fr-FR"/>
              </w:rPr>
              <w:t>évolution de l</w:t>
            </w:r>
            <w:r w:rsidR="00123C13">
              <w:rPr>
                <w:lang w:val="fr-FR"/>
              </w:rPr>
              <w:t>'</w:t>
            </w:r>
            <w:r w:rsidRPr="003207EB">
              <w:rPr>
                <w:lang w:val="fr-FR"/>
              </w:rPr>
              <w:t>élaboration, par le CG-SPOPD, de l</w:t>
            </w:r>
            <w:r w:rsidR="00123C13">
              <w:rPr>
                <w:lang w:val="fr-FR"/>
              </w:rPr>
              <w:t>'</w:t>
            </w:r>
            <w:r w:rsidRPr="003207EB">
              <w:rPr>
                <w:lang w:val="fr-FR"/>
              </w:rPr>
              <w:t>avant-projet de contribution de l</w:t>
            </w:r>
            <w:r w:rsidR="00123C13">
              <w:rPr>
                <w:lang w:val="fr-FR"/>
              </w:rPr>
              <w:t>'</w:t>
            </w:r>
            <w:r w:rsidRPr="003207EB">
              <w:rPr>
                <w:lang w:val="fr-FR"/>
              </w:rPr>
              <w:t>UIT</w:t>
            </w:r>
            <w:r w:rsidR="00A43BA9">
              <w:rPr>
                <w:lang w:val="fr-FR"/>
              </w:rPr>
              <w:t>-</w:t>
            </w:r>
            <w:r w:rsidRPr="003207EB">
              <w:rPr>
                <w:lang w:val="fr-FR"/>
              </w:rPr>
              <w:t>D au Plan stratégique de l</w:t>
            </w:r>
            <w:r w:rsidR="00123C13">
              <w:rPr>
                <w:lang w:val="fr-FR"/>
              </w:rPr>
              <w:t>'</w:t>
            </w:r>
            <w:r w:rsidRPr="003207EB">
              <w:rPr>
                <w:lang w:val="fr-FR"/>
              </w:rPr>
              <w:t>UIT pour la période 2020-2023, de l</w:t>
            </w:r>
            <w:r w:rsidR="00123C13">
              <w:rPr>
                <w:lang w:val="fr-FR"/>
              </w:rPr>
              <w:t>'</w:t>
            </w:r>
            <w:r w:rsidRPr="003207EB">
              <w:rPr>
                <w:lang w:val="fr-FR"/>
              </w:rPr>
              <w:t>avant-projet de Plan d</w:t>
            </w:r>
            <w:r w:rsidR="00123C13">
              <w:rPr>
                <w:lang w:val="fr-FR"/>
              </w:rPr>
              <w:t>'</w:t>
            </w:r>
            <w:r w:rsidRPr="003207EB">
              <w:rPr>
                <w:lang w:val="fr-FR"/>
              </w:rPr>
              <w:t>action de l</w:t>
            </w:r>
            <w:r w:rsidR="00123C13">
              <w:rPr>
                <w:lang w:val="fr-FR"/>
              </w:rPr>
              <w:t>'</w:t>
            </w:r>
            <w:r w:rsidRPr="003207EB">
              <w:rPr>
                <w:lang w:val="fr-FR"/>
              </w:rPr>
              <w:t>UIT</w:t>
            </w:r>
            <w:r w:rsidR="00A43BA9">
              <w:rPr>
                <w:lang w:val="fr-FR"/>
              </w:rPr>
              <w:t>-</w:t>
            </w:r>
            <w:r w:rsidRPr="003207EB">
              <w:rPr>
                <w:lang w:val="fr-FR"/>
              </w:rPr>
              <w:t>D pour la période 2018-2021 et de l</w:t>
            </w:r>
            <w:r w:rsidR="00123C13">
              <w:rPr>
                <w:lang w:val="fr-FR"/>
              </w:rPr>
              <w:t>'</w:t>
            </w:r>
            <w:r w:rsidRPr="003207EB">
              <w:rPr>
                <w:lang w:val="fr-FR"/>
              </w:rPr>
              <w:t>avant-projet de Déclaration de la CMDT-17 ainsi que l</w:t>
            </w:r>
            <w:r w:rsidR="00123C13">
              <w:rPr>
                <w:lang w:val="fr-FR"/>
              </w:rPr>
              <w:t>'</w:t>
            </w:r>
            <w:r w:rsidRPr="003207EB">
              <w:rPr>
                <w:lang w:val="fr-FR"/>
              </w:rPr>
              <w:t>examen de ces documents par le GCDT et les six Réunions préparatoires régionales en vue de la CMDT-17.</w:t>
            </w:r>
          </w:p>
          <w:p w:rsidR="003207EB" w:rsidRPr="002B7136" w:rsidRDefault="003207EB" w:rsidP="00123C13">
            <w:pPr>
              <w:rPr>
                <w:szCs w:val="24"/>
                <w:lang w:val="fr-FR"/>
              </w:rPr>
            </w:pPr>
            <w:r w:rsidRPr="003207EB">
              <w:rPr>
                <w:szCs w:val="24"/>
                <w:lang w:val="fr-FR"/>
              </w:rPr>
              <w:t xml:space="preserve">Le CG-SPOPD est convenu </w:t>
            </w:r>
            <w:r>
              <w:rPr>
                <w:szCs w:val="24"/>
                <w:lang w:val="fr-FR"/>
              </w:rPr>
              <w:t>que des</w:t>
            </w:r>
            <w:r w:rsidRPr="003207EB">
              <w:rPr>
                <w:szCs w:val="24"/>
                <w:lang w:val="fr-FR"/>
              </w:rPr>
              <w:t xml:space="preserve"> compilation</w:t>
            </w:r>
            <w:r>
              <w:rPr>
                <w:szCs w:val="24"/>
                <w:lang w:val="fr-FR"/>
              </w:rPr>
              <w:t>s</w:t>
            </w:r>
            <w:r w:rsidRPr="003207EB">
              <w:rPr>
                <w:szCs w:val="24"/>
                <w:lang w:val="fr-FR"/>
              </w:rPr>
              <w:t xml:space="preserve"> des propositions relatives au Plan stratégique, au Plan d</w:t>
            </w:r>
            <w:r w:rsidR="00123C13">
              <w:rPr>
                <w:szCs w:val="24"/>
                <w:lang w:val="fr-FR"/>
              </w:rPr>
              <w:t>'</w:t>
            </w:r>
            <w:r w:rsidRPr="003207EB">
              <w:rPr>
                <w:szCs w:val="24"/>
                <w:lang w:val="fr-FR"/>
              </w:rPr>
              <w:t>action et à la Déclaration</w:t>
            </w:r>
            <w:r w:rsidR="00A43BA9">
              <w:rPr>
                <w:szCs w:val="24"/>
                <w:lang w:val="fr-FR"/>
              </w:rPr>
              <w:t>,</w:t>
            </w:r>
            <w:r w:rsidRPr="003207EB">
              <w:rPr>
                <w:szCs w:val="24"/>
                <w:lang w:val="fr-FR"/>
              </w:rPr>
              <w:t xml:space="preserve"> contenues dans les documents TDAG17/7, 8 et 9</w:t>
            </w:r>
            <w:r>
              <w:rPr>
                <w:szCs w:val="24"/>
                <w:lang w:val="fr-FR"/>
              </w:rPr>
              <w:t>,</w:t>
            </w:r>
            <w:r w:rsidRPr="003207EB">
              <w:rPr>
                <w:szCs w:val="24"/>
                <w:lang w:val="fr-FR"/>
              </w:rPr>
              <w:t xml:space="preserve"> serai</w:t>
            </w:r>
            <w:r>
              <w:rPr>
                <w:szCs w:val="24"/>
                <w:lang w:val="fr-FR"/>
              </w:rPr>
              <w:t>en</w:t>
            </w:r>
            <w:r w:rsidRPr="003207EB">
              <w:rPr>
                <w:szCs w:val="24"/>
                <w:lang w:val="fr-FR"/>
              </w:rPr>
              <w:t>t soumise</w:t>
            </w:r>
            <w:r>
              <w:rPr>
                <w:szCs w:val="24"/>
                <w:lang w:val="fr-FR"/>
              </w:rPr>
              <w:t>s</w:t>
            </w:r>
            <w:r w:rsidRPr="003207EB">
              <w:rPr>
                <w:szCs w:val="24"/>
                <w:lang w:val="fr-FR"/>
              </w:rPr>
              <w:t xml:space="preserve"> au GCDT pour être examinée</w:t>
            </w:r>
            <w:r>
              <w:rPr>
                <w:szCs w:val="24"/>
                <w:lang w:val="fr-FR"/>
              </w:rPr>
              <w:t>s</w:t>
            </w:r>
            <w:r w:rsidRPr="003207EB">
              <w:rPr>
                <w:szCs w:val="24"/>
                <w:lang w:val="fr-FR"/>
              </w:rPr>
              <w:t xml:space="preserve"> plus avant, et pourrai</w:t>
            </w:r>
            <w:r>
              <w:rPr>
                <w:szCs w:val="24"/>
                <w:lang w:val="fr-FR"/>
              </w:rPr>
              <w:t>en</w:t>
            </w:r>
            <w:r w:rsidRPr="003207EB">
              <w:rPr>
                <w:szCs w:val="24"/>
                <w:lang w:val="fr-FR"/>
              </w:rPr>
              <w:t>t être utilisée</w:t>
            </w:r>
            <w:r w:rsidR="00A43BA9">
              <w:rPr>
                <w:szCs w:val="24"/>
                <w:lang w:val="fr-FR"/>
              </w:rPr>
              <w:t>s</w:t>
            </w:r>
            <w:r w:rsidRPr="003207EB">
              <w:rPr>
                <w:szCs w:val="24"/>
                <w:lang w:val="fr-FR"/>
              </w:rPr>
              <w:t xml:space="preserve"> par les groupes régionaux pour élaborer leurs propositions communes à la CMDT-17, ainsi que par les États Membres pour leurs propositions soumises à la Conférence.</w:t>
            </w:r>
          </w:p>
          <w:p w:rsidR="00A721F4" w:rsidRPr="002B7136" w:rsidRDefault="00156BF6" w:rsidP="00123C13">
            <w:pPr>
              <w:rPr>
                <w:b/>
                <w:bCs/>
                <w:szCs w:val="24"/>
                <w:lang w:val="fr-FR"/>
              </w:rPr>
            </w:pPr>
            <w:r w:rsidRPr="002B7136">
              <w:rPr>
                <w:b/>
                <w:bCs/>
                <w:szCs w:val="24"/>
                <w:lang w:val="fr-FR"/>
              </w:rPr>
              <w:t>Suite à donner:</w:t>
            </w:r>
          </w:p>
          <w:p w:rsidR="00A721F4" w:rsidRPr="002B7136" w:rsidRDefault="003207EB" w:rsidP="00123C13">
            <w:pPr>
              <w:rPr>
                <w:szCs w:val="24"/>
                <w:lang w:val="fr-FR"/>
              </w:rPr>
            </w:pPr>
            <w:r w:rsidRPr="003207EB">
              <w:rPr>
                <w:szCs w:val="24"/>
                <w:lang w:val="fr-FR"/>
              </w:rPr>
              <w:t>Le GCDT est invité à examiner le présent rapport et à donner les indications qu</w:t>
            </w:r>
            <w:r w:rsidR="00123C13">
              <w:rPr>
                <w:szCs w:val="24"/>
                <w:lang w:val="fr-FR"/>
              </w:rPr>
              <w:t>'</w:t>
            </w:r>
            <w:r w:rsidRPr="003207EB">
              <w:rPr>
                <w:szCs w:val="24"/>
                <w:lang w:val="fr-FR"/>
              </w:rPr>
              <w:t>il jugera nécessaires. Les résultats de la réunion de 2017 du GCDT seront communiqués aux membres, sous forme d</w:t>
            </w:r>
            <w:r w:rsidR="00123C13">
              <w:rPr>
                <w:szCs w:val="24"/>
                <w:lang w:val="fr-FR"/>
              </w:rPr>
              <w:t>'</w:t>
            </w:r>
            <w:r w:rsidRPr="003207EB">
              <w:rPr>
                <w:szCs w:val="24"/>
                <w:lang w:val="fr-FR"/>
              </w:rPr>
              <w:t>un document de référence, en vue de l</w:t>
            </w:r>
            <w:r w:rsidR="00123C13">
              <w:rPr>
                <w:szCs w:val="24"/>
                <w:lang w:val="fr-FR"/>
              </w:rPr>
              <w:t>'</w:t>
            </w:r>
            <w:r w:rsidRPr="003207EB">
              <w:rPr>
                <w:szCs w:val="24"/>
                <w:lang w:val="fr-FR"/>
              </w:rPr>
              <w:t>élaboration de leurs contributions pour la CMDT-17.</w:t>
            </w:r>
          </w:p>
          <w:p w:rsidR="00A721F4" w:rsidRPr="002B7136" w:rsidRDefault="00156BF6" w:rsidP="00123C13">
            <w:pPr>
              <w:rPr>
                <w:b/>
                <w:bCs/>
                <w:szCs w:val="24"/>
                <w:lang w:val="fr-FR"/>
              </w:rPr>
            </w:pPr>
            <w:r w:rsidRPr="002B7136">
              <w:rPr>
                <w:b/>
                <w:bCs/>
                <w:szCs w:val="24"/>
                <w:lang w:val="fr-FR"/>
              </w:rPr>
              <w:t>Références:</w:t>
            </w:r>
          </w:p>
          <w:p w:rsidR="00A721F4" w:rsidRPr="002B7136" w:rsidRDefault="003207EB" w:rsidP="00A43BA9">
            <w:pPr>
              <w:spacing w:after="120"/>
              <w:rPr>
                <w:lang w:val="fr-FR"/>
              </w:rPr>
            </w:pPr>
            <w:bookmarkStart w:id="6" w:name="lt_pId021"/>
            <w:r w:rsidRPr="009507F5">
              <w:rPr>
                <w:szCs w:val="24"/>
              </w:rPr>
              <w:t>Documents TDAG17/</w:t>
            </w:r>
            <w:bookmarkEnd w:id="6"/>
            <w:r w:rsidR="00A43BA9">
              <w:fldChar w:fldCharType="begin"/>
            </w:r>
            <w:r w:rsidR="00A43BA9">
              <w:instrText xml:space="preserve"> HYPERLINK "https://www.itu.int/md/D14-TDAG22-C-0007/en" </w:instrText>
            </w:r>
            <w:r w:rsidR="00A43BA9">
              <w:fldChar w:fldCharType="separate"/>
            </w:r>
            <w:r w:rsidR="00A43BA9" w:rsidRPr="00D529B2">
              <w:rPr>
                <w:rStyle w:val="Hyperlink"/>
              </w:rPr>
              <w:t>7</w:t>
            </w:r>
            <w:r w:rsidR="00A43BA9">
              <w:rPr>
                <w:rStyle w:val="Hyperlink"/>
              </w:rPr>
              <w:fldChar w:fldCharType="end"/>
            </w:r>
            <w:r w:rsidR="00A43BA9">
              <w:t xml:space="preserve">, </w:t>
            </w:r>
            <w:hyperlink r:id="rId10" w:history="1">
              <w:r w:rsidR="00A43BA9" w:rsidRPr="00D529B2">
                <w:rPr>
                  <w:rStyle w:val="Hyperlink"/>
                </w:rPr>
                <w:t>8</w:t>
              </w:r>
            </w:hyperlink>
            <w:r w:rsidR="00A43BA9">
              <w:t xml:space="preserve"> and </w:t>
            </w:r>
            <w:hyperlink r:id="rId11" w:history="1">
              <w:r w:rsidR="00A43BA9" w:rsidRPr="00D529B2">
                <w:rPr>
                  <w:rStyle w:val="Hyperlink"/>
                </w:rPr>
                <w:t>9</w:t>
              </w:r>
            </w:hyperlink>
          </w:p>
        </w:tc>
      </w:tr>
    </w:tbl>
    <w:p w:rsidR="00952085" w:rsidRPr="002B7136" w:rsidRDefault="00952085" w:rsidP="00123C13">
      <w:pPr>
        <w:rPr>
          <w:lang w:val="fr-FR"/>
        </w:rPr>
      </w:pPr>
    </w:p>
    <w:p w:rsidR="00952085" w:rsidRPr="002B7136" w:rsidRDefault="00952085" w:rsidP="00123C13">
      <w:pPr>
        <w:tabs>
          <w:tab w:val="clear" w:pos="794"/>
          <w:tab w:val="clear" w:pos="1191"/>
          <w:tab w:val="clear" w:pos="1588"/>
          <w:tab w:val="clear" w:pos="1985"/>
        </w:tabs>
        <w:overflowPunct/>
        <w:autoSpaceDE/>
        <w:autoSpaceDN/>
        <w:adjustRightInd/>
        <w:spacing w:before="0"/>
        <w:textAlignment w:val="auto"/>
        <w:rPr>
          <w:lang w:val="fr-FR"/>
        </w:rPr>
      </w:pPr>
    </w:p>
    <w:p w:rsidR="003207EB" w:rsidRPr="00196455" w:rsidRDefault="00952085" w:rsidP="00123C13">
      <w:r w:rsidRPr="002B7136">
        <w:rPr>
          <w:lang w:val="fr-FR"/>
        </w:rPr>
        <w:br w:type="page"/>
      </w:r>
      <w:bookmarkStart w:id="7" w:name="lt_pId022"/>
      <w:r w:rsidR="003207EB" w:rsidRPr="00196455">
        <w:lastRenderedPageBreak/>
        <w:t xml:space="preserve">Le présent document est le rapport de la réunion du 9 mai 2017 du </w:t>
      </w:r>
      <w:r w:rsidR="003207EB" w:rsidRPr="00196455">
        <w:rPr>
          <w:rFonts w:eastAsiaTheme="minorEastAsia"/>
          <w:lang w:eastAsia="zh-CN"/>
        </w:rPr>
        <w:t>Groupe de travail par correspondance du GCDT sur le Plan stratégique, le Plan opérationnel et la Déclaration</w:t>
      </w:r>
      <w:r w:rsidR="003207EB" w:rsidRPr="00196455">
        <w:rPr>
          <w:rFonts w:ascii="Calibri" w:eastAsiaTheme="minorEastAsia" w:hAnsi="Calibri"/>
          <w:color w:val="800000"/>
          <w:sz w:val="22"/>
          <w:lang w:eastAsia="zh-CN"/>
        </w:rPr>
        <w:t xml:space="preserve"> </w:t>
      </w:r>
      <w:r w:rsidR="00123C13">
        <w:t>(CG</w:t>
      </w:r>
      <w:r w:rsidR="00123C13">
        <w:noBreakHyphen/>
      </w:r>
      <w:r w:rsidR="003207EB" w:rsidRPr="00196455">
        <w:t>SPOPD</w:t>
      </w:r>
      <w:bookmarkEnd w:id="7"/>
      <w:r w:rsidR="003207EB" w:rsidRPr="00196455">
        <w:t>).</w:t>
      </w:r>
    </w:p>
    <w:p w:rsidR="003207EB" w:rsidRPr="00196455" w:rsidRDefault="003207EB" w:rsidP="00123C13">
      <w:bookmarkStart w:id="8" w:name="lt_pId023"/>
      <w:r w:rsidRPr="00196455">
        <w:t>Le CG-SPOPD a élaboré les projets de version pour l</w:t>
      </w:r>
      <w:r w:rsidR="00123C13">
        <w:t>'</w:t>
      </w:r>
      <w:r w:rsidRPr="00196455">
        <w:t>avant-projet de contribution de l</w:t>
      </w:r>
      <w:r w:rsidR="00123C13">
        <w:t>'</w:t>
      </w:r>
      <w:r w:rsidRPr="00196455">
        <w:t>UIT</w:t>
      </w:r>
      <w:r w:rsidR="00123C13">
        <w:t>-</w:t>
      </w:r>
      <w:r w:rsidRPr="00196455">
        <w:t>D au Plan stratégique de l</w:t>
      </w:r>
      <w:r w:rsidR="00123C13">
        <w:t>'</w:t>
      </w:r>
      <w:r w:rsidRPr="00196455">
        <w:t>UIT pour la période 2020</w:t>
      </w:r>
      <w:r w:rsidR="00123C13">
        <w:t>-</w:t>
      </w:r>
      <w:r w:rsidRPr="00196455">
        <w:t>2023, l</w:t>
      </w:r>
      <w:r w:rsidR="00123C13">
        <w:t>'</w:t>
      </w:r>
      <w:r w:rsidRPr="00196455">
        <w:t>avant-projet de Plan d</w:t>
      </w:r>
      <w:r w:rsidR="00123C13">
        <w:t>'</w:t>
      </w:r>
      <w:r w:rsidRPr="00196455">
        <w:t>action de l</w:t>
      </w:r>
      <w:r w:rsidR="00123C13">
        <w:t>'</w:t>
      </w:r>
      <w:r w:rsidRPr="00196455">
        <w:t>UIT</w:t>
      </w:r>
      <w:r w:rsidR="00123C13">
        <w:t>-</w:t>
      </w:r>
      <w:r w:rsidRPr="00196455">
        <w:t>D pour la période 2018</w:t>
      </w:r>
      <w:r w:rsidR="00123C13">
        <w:t>-</w:t>
      </w:r>
      <w:r w:rsidRPr="00196455">
        <w:t>2021 et l</w:t>
      </w:r>
      <w:r w:rsidR="00123C13">
        <w:t>'</w:t>
      </w:r>
      <w:r w:rsidRPr="00196455">
        <w:t xml:space="preserve">avant-projet de Déclaration de la CMDT-17. </w:t>
      </w:r>
    </w:p>
    <w:p w:rsidR="003207EB" w:rsidRPr="00196455" w:rsidRDefault="003207EB" w:rsidP="00A43BA9">
      <w:pPr>
        <w:rPr>
          <w:szCs w:val="24"/>
        </w:rPr>
      </w:pPr>
      <w:r w:rsidRPr="00196455">
        <w:t xml:space="preserve">Ces projets ont été examinés par le </w:t>
      </w:r>
      <w:bookmarkStart w:id="9" w:name="lt_pId024"/>
      <w:bookmarkEnd w:id="8"/>
      <w:r w:rsidRPr="00196455">
        <w:t>CG-SPOPD pendant ses réunions</w:t>
      </w:r>
      <w:r>
        <w:t xml:space="preserve"> d</w:t>
      </w:r>
      <w:r w:rsidR="00123C13">
        <w:t>'</w:t>
      </w:r>
      <w:r>
        <w:t xml:space="preserve">avril 2015 et de mars 2016. </w:t>
      </w:r>
      <w:r w:rsidRPr="008D0671">
        <w:t>En mars 2016,</w:t>
      </w:r>
      <w:r>
        <w:t xml:space="preserve"> l</w:t>
      </w:r>
      <w:r w:rsidRPr="00196455">
        <w:t>e GCDT a décidé de poster les trois documents, y compris les modifications apportées spécifiquement au Plan d</w:t>
      </w:r>
      <w:r w:rsidR="00123C13">
        <w:t>'</w:t>
      </w:r>
      <w:r w:rsidRPr="00196455">
        <w:t>action et adoptées par le GCDT en 2016</w:t>
      </w:r>
      <w:bookmarkStart w:id="10" w:name="lt_pId025"/>
      <w:bookmarkEnd w:id="9"/>
      <w:r w:rsidRPr="00196455">
        <w:t xml:space="preserve">, sur le site web du </w:t>
      </w:r>
      <w:r w:rsidRPr="00196455">
        <w:rPr>
          <w:szCs w:val="24"/>
        </w:rPr>
        <w:t>CG-SPOPD afin que les membres de l</w:t>
      </w:r>
      <w:r w:rsidR="00123C13">
        <w:rPr>
          <w:szCs w:val="24"/>
        </w:rPr>
        <w:t>'</w:t>
      </w:r>
      <w:r w:rsidRPr="00196455">
        <w:rPr>
          <w:szCs w:val="24"/>
        </w:rPr>
        <w:t>UIT</w:t>
      </w:r>
      <w:r w:rsidR="00A43BA9">
        <w:rPr>
          <w:szCs w:val="24"/>
        </w:rPr>
        <w:t>-</w:t>
      </w:r>
      <w:r w:rsidRPr="00196455">
        <w:rPr>
          <w:szCs w:val="24"/>
        </w:rPr>
        <w:t>D puissent les consulter en ligne avant le 30 juin 2016. Aucune nouvelle modification n</w:t>
      </w:r>
      <w:r w:rsidR="00123C13">
        <w:rPr>
          <w:szCs w:val="24"/>
        </w:rPr>
        <w:t>'</w:t>
      </w:r>
      <w:r w:rsidRPr="00196455">
        <w:rPr>
          <w:szCs w:val="24"/>
        </w:rPr>
        <w:t>a été proposée avant ce délai pour ce qui est du Plan stratégique et du Plan d</w:t>
      </w:r>
      <w:r w:rsidR="00123C13">
        <w:rPr>
          <w:szCs w:val="24"/>
        </w:rPr>
        <w:t>'</w:t>
      </w:r>
      <w:r w:rsidRPr="00196455">
        <w:rPr>
          <w:szCs w:val="24"/>
        </w:rPr>
        <w:t xml:space="preserve">action. </w:t>
      </w:r>
    </w:p>
    <w:p w:rsidR="003207EB" w:rsidRPr="00196455" w:rsidRDefault="003207EB" w:rsidP="00123C13">
      <w:r w:rsidRPr="00196455">
        <w:t>Les modifications qu</w:t>
      </w:r>
      <w:r w:rsidR="00123C13">
        <w:t>'</w:t>
      </w:r>
      <w:r w:rsidRPr="00196455">
        <w:t>il a été proposé d</w:t>
      </w:r>
      <w:r w:rsidR="00123C13">
        <w:t>'</w:t>
      </w:r>
      <w:r w:rsidRPr="00196455">
        <w:t>apporter à la Déclaration pendant la consultation en ligne ont été intégrées dans l</w:t>
      </w:r>
      <w:r w:rsidR="00123C13">
        <w:t>'</w:t>
      </w:r>
      <w:r w:rsidRPr="00196455">
        <w:t xml:space="preserve">avant-projet de Déclaration de la CMDT-17. </w:t>
      </w:r>
      <w:bookmarkEnd w:id="10"/>
    </w:p>
    <w:p w:rsidR="003207EB" w:rsidRPr="00B4306C" w:rsidRDefault="003207EB" w:rsidP="00123C13">
      <w:bookmarkStart w:id="11" w:name="lt_pId028"/>
      <w:r>
        <w:t>C</w:t>
      </w:r>
      <w:r w:rsidRPr="00B4306C">
        <w:t xml:space="preserve">es trois documents ont ensuite été soumis </w:t>
      </w:r>
      <w:r w:rsidRPr="00196455">
        <w:t>comme contribution aux 6 Réunions préparatoires régionales (RPM) en vue de la Conférence mondiale de développement des télécommunications de 2017 (CMDT-17).</w:t>
      </w:r>
      <w:bookmarkStart w:id="12" w:name="lt_pId029"/>
      <w:bookmarkEnd w:id="11"/>
    </w:p>
    <w:p w:rsidR="003207EB" w:rsidRPr="00B4306C" w:rsidRDefault="003207EB" w:rsidP="00123C13">
      <w:r>
        <w:t>Toutes les</w:t>
      </w:r>
      <w:r w:rsidRPr="00B4306C">
        <w:t xml:space="preserve"> </w:t>
      </w:r>
      <w:r w:rsidRPr="00196455">
        <w:t>RPM ont accueilli favorablement l</w:t>
      </w:r>
      <w:r w:rsidR="00123C13">
        <w:t>'</w:t>
      </w:r>
      <w:r w:rsidRPr="00196455">
        <w:t>avant-projet de contribution de l</w:t>
      </w:r>
      <w:r w:rsidR="00123C13">
        <w:t>'</w:t>
      </w:r>
      <w:r w:rsidR="00A43BA9">
        <w:t>UIT-</w:t>
      </w:r>
      <w:r w:rsidRPr="00196455">
        <w:t>D au Plan s</w:t>
      </w:r>
      <w:r w:rsidR="00A43BA9">
        <w:t>tratégique pour la période 2020-</w:t>
      </w:r>
      <w:r w:rsidRPr="00196455">
        <w:t>2023 ainsi que l</w:t>
      </w:r>
      <w:r w:rsidR="00123C13">
        <w:t>'</w:t>
      </w:r>
      <w:r w:rsidRPr="00196455">
        <w:t>avant-projet de Plan d</w:t>
      </w:r>
      <w:r w:rsidR="00123C13">
        <w:t>'</w:t>
      </w:r>
      <w:r w:rsidR="00A43BA9">
        <w:t>action pour la période 2018-</w:t>
      </w:r>
      <w:r w:rsidRPr="00196455">
        <w:t>2021 et ont convenu que le Plan stratégique et le Plan d</w:t>
      </w:r>
      <w:r w:rsidR="00123C13">
        <w:t>'</w:t>
      </w:r>
      <w:r w:rsidRPr="00196455">
        <w:t>action devaient faire l</w:t>
      </w:r>
      <w:r w:rsidR="00123C13">
        <w:t>'</w:t>
      </w:r>
      <w:r w:rsidRPr="00196455">
        <w:t>objet de discussions plus approfondies pour élaborer les contributions régionales sur le Plan stratégique et le Plan d</w:t>
      </w:r>
      <w:r w:rsidR="00123C13">
        <w:t>'</w:t>
      </w:r>
      <w:r w:rsidRPr="00196455">
        <w:t>action qui seront soumises au GCDT et à la CMDT-17.</w:t>
      </w:r>
      <w:bookmarkEnd w:id="12"/>
    </w:p>
    <w:p w:rsidR="003207EB" w:rsidRPr="00B4306C" w:rsidRDefault="003207EB" w:rsidP="00123C13">
      <w:bookmarkStart w:id="13" w:name="lt_pId030"/>
      <w:r w:rsidRPr="00B4306C">
        <w:t xml:space="preserve">La RPM-CEI, la RPM-AFR, </w:t>
      </w:r>
      <w:r>
        <w:t>la RPM-ARB et la RPM-EUR</w:t>
      </w:r>
      <w:r w:rsidRPr="00B4306C">
        <w:t xml:space="preserve"> </w:t>
      </w:r>
      <w:r w:rsidRPr="00196455">
        <w:t>ont chacune convenu que l</w:t>
      </w:r>
      <w:r w:rsidR="00123C13">
        <w:t>'</w:t>
      </w:r>
      <w:r w:rsidRPr="00196455">
        <w:t>avant-p</w:t>
      </w:r>
      <w:r w:rsidR="00A43BA9">
        <w:t>rojet de Déclaration de la CMDT-</w:t>
      </w:r>
      <w:r w:rsidRPr="00196455">
        <w:t>17 devait faire l</w:t>
      </w:r>
      <w:r w:rsidR="00123C13">
        <w:t>'</w:t>
      </w:r>
      <w:r w:rsidRPr="00196455">
        <w:t>objet de discussions plus approfondies pour élaborer les contributions régionales sur l</w:t>
      </w:r>
      <w:r w:rsidR="00123C13">
        <w:t>'</w:t>
      </w:r>
      <w:r w:rsidRPr="00196455">
        <w:t>avant-projet de Déclaration de la CMDT-17 qui seront soumises au GCDT et à la CMDT-17</w:t>
      </w:r>
      <w:r>
        <w:t>.</w:t>
      </w:r>
      <w:bookmarkEnd w:id="13"/>
    </w:p>
    <w:p w:rsidR="003207EB" w:rsidRPr="00196455" w:rsidRDefault="003207EB" w:rsidP="00123C13">
      <w:pPr>
        <w:rPr>
          <w:rFonts w:ascii="Calibri" w:hAnsi="Calibri"/>
        </w:rPr>
      </w:pPr>
      <w:bookmarkStart w:id="14" w:name="lt_pId031"/>
      <w:r w:rsidRPr="00196455">
        <w:t>La RPM-CEI a souscrit à la révision de cet avant-projet de Déclaration, tel qu</w:t>
      </w:r>
      <w:r w:rsidR="00123C13">
        <w:t>'</w:t>
      </w:r>
      <w:r w:rsidRPr="00196455">
        <w:t xml:space="preserve">il figure dans le Document </w:t>
      </w:r>
      <w:hyperlink r:id="rId12" w:history="1">
        <w:r w:rsidRPr="005C0BF8">
          <w:rPr>
            <w:rStyle w:val="Hyperlink"/>
            <w:rFonts w:ascii="Calibri" w:hAnsi="Calibri"/>
          </w:rPr>
          <w:t>RPM-CIS16/26</w:t>
        </w:r>
      </w:hyperlink>
      <w:r w:rsidRPr="00196455">
        <w:rPr>
          <w:rFonts w:ascii="Calibri" w:hAnsi="Calibri"/>
        </w:rPr>
        <w:t xml:space="preserve"> et a décidé d</w:t>
      </w:r>
      <w:r w:rsidR="00123C13">
        <w:rPr>
          <w:rFonts w:ascii="Calibri" w:hAnsi="Calibri"/>
        </w:rPr>
        <w:t>'</w:t>
      </w:r>
      <w:r w:rsidRPr="00196455">
        <w:rPr>
          <w:rFonts w:ascii="Calibri" w:hAnsi="Calibri"/>
        </w:rPr>
        <w:t>élaborer sur cette base, une proposition commune régionale pour la CMDT-17</w:t>
      </w:r>
      <w:bookmarkEnd w:id="14"/>
      <w:r w:rsidRPr="00196455">
        <w:rPr>
          <w:rFonts w:ascii="Calibri" w:hAnsi="Calibri"/>
        </w:rPr>
        <w:t>.</w:t>
      </w:r>
    </w:p>
    <w:p w:rsidR="003207EB" w:rsidRPr="00196455" w:rsidRDefault="003207EB" w:rsidP="00A43BA9">
      <w:pPr>
        <w:rPr>
          <w:rFonts w:ascii="Calibri" w:hAnsi="Calibri"/>
        </w:rPr>
      </w:pPr>
      <w:r w:rsidRPr="00196455">
        <w:rPr>
          <w:rFonts w:ascii="Calibri" w:hAnsi="Calibri"/>
        </w:rPr>
        <w:t>La RPM-AMS,</w:t>
      </w:r>
      <w:r w:rsidRPr="00196455">
        <w:t xml:space="preserve"> qui a créé un Groupe ad hoc sur l</w:t>
      </w:r>
      <w:r w:rsidR="00123C13">
        <w:t>'</w:t>
      </w:r>
      <w:r w:rsidRPr="00196455">
        <w:t>avant-projet de Déclaration de la CMDT</w:t>
      </w:r>
      <w:r w:rsidR="00A43BA9">
        <w:t>-</w:t>
      </w:r>
      <w:r w:rsidRPr="00196455">
        <w:t>17, est parvenu à un consensus sur l</w:t>
      </w:r>
      <w:r w:rsidR="00123C13">
        <w:t>'</w:t>
      </w:r>
      <w:r w:rsidRPr="00196455">
        <w:t>avant-p</w:t>
      </w:r>
      <w:r w:rsidR="00A43BA9">
        <w:t>rojet de Déclaration de la CMDT-</w:t>
      </w:r>
      <w:r w:rsidRPr="00196455">
        <w:t>17 qui figure dans l</w:t>
      </w:r>
      <w:r w:rsidR="00123C13">
        <w:t>'</w:t>
      </w:r>
      <w:hyperlink r:id="rId13" w:history="1">
        <w:r w:rsidRPr="005C0BF8">
          <w:rPr>
            <w:rStyle w:val="Hyperlink"/>
          </w:rPr>
          <w:t>Annexe 2 du Rapport du Président de la RPM-AMS</w:t>
        </w:r>
      </w:hyperlink>
      <w:r w:rsidRPr="00196455">
        <w:t>.</w:t>
      </w:r>
    </w:p>
    <w:p w:rsidR="003207EB" w:rsidRPr="00196455" w:rsidRDefault="003207EB" w:rsidP="00123C13">
      <w:r w:rsidRPr="00196455">
        <w:t>La RPM-ASP, qui a créé un Groupe ad hoc sur l</w:t>
      </w:r>
      <w:r w:rsidR="00123C13">
        <w:t>'</w:t>
      </w:r>
      <w:r w:rsidRPr="00196455">
        <w:t>avant-p</w:t>
      </w:r>
      <w:r w:rsidR="00A43BA9">
        <w:t>rojet de Déclaration de la CMDT-</w:t>
      </w:r>
      <w:r w:rsidRPr="00196455">
        <w:t>17, a pris note du Rapport du Président de ce Groupe ad hoc et a convenu d</w:t>
      </w:r>
      <w:r w:rsidR="00123C13">
        <w:t>'</w:t>
      </w:r>
      <w:r w:rsidRPr="00196455">
        <w:t>utiliser ce rapport comme base pour poursuivre ses travaux en vue de l</w:t>
      </w:r>
      <w:r w:rsidR="00123C13">
        <w:t>'</w:t>
      </w:r>
      <w:r w:rsidRPr="00196455">
        <w:t>élaboration d</w:t>
      </w:r>
      <w:r w:rsidR="00123C13">
        <w:t>'</w:t>
      </w:r>
      <w:r w:rsidRPr="00196455">
        <w:t>une contribution de synthèse pour la région. Ce rapport est disponible dans l</w:t>
      </w:r>
      <w:r w:rsidR="00123C13">
        <w:t>'</w:t>
      </w:r>
      <w:hyperlink r:id="rId14" w:history="1">
        <w:r w:rsidRPr="005C0BF8">
          <w:rPr>
            <w:rStyle w:val="Hyperlink"/>
            <w:szCs w:val="24"/>
          </w:rPr>
          <w:t>Annexe 2 du Rapport du Président de la RPM-ASP</w:t>
        </w:r>
      </w:hyperlink>
      <w:r w:rsidRPr="005C0BF8">
        <w:rPr>
          <w:rStyle w:val="Hyperlink"/>
          <w:szCs w:val="24"/>
          <w:u w:val="none"/>
        </w:rPr>
        <w:t>.</w:t>
      </w:r>
    </w:p>
    <w:p w:rsidR="003207EB" w:rsidRDefault="003207EB" w:rsidP="00123C13">
      <w:bookmarkStart w:id="15" w:name="lt_pId035"/>
      <w:r>
        <w:t>Lors de</w:t>
      </w:r>
      <w:r w:rsidRPr="009507F5">
        <w:t xml:space="preserve"> </w:t>
      </w:r>
      <w:r>
        <w:t>s</w:t>
      </w:r>
      <w:r w:rsidRPr="009507F5">
        <w:t xml:space="preserve">a réunion </w:t>
      </w:r>
      <w:r>
        <w:t>du</w:t>
      </w:r>
      <w:r w:rsidRPr="009507F5">
        <w:t xml:space="preserve"> 9 mai 2017, le CG-SPOPD </w:t>
      </w:r>
      <w:r>
        <w:t>s</w:t>
      </w:r>
      <w:r w:rsidR="00123C13">
        <w:t>'</w:t>
      </w:r>
      <w:r>
        <w:t xml:space="preserve">est félicité des </w:t>
      </w:r>
      <w:r w:rsidRPr="009507F5">
        <w:t xml:space="preserve">travaux </w:t>
      </w:r>
      <w:r>
        <w:t xml:space="preserve">des </w:t>
      </w:r>
      <w:r w:rsidRPr="009507F5">
        <w:t>RPM</w:t>
      </w:r>
      <w:r>
        <w:t xml:space="preserve"> et a examiné, concernant le projet de contribution de l</w:t>
      </w:r>
      <w:r w:rsidR="00123C13">
        <w:t>'</w:t>
      </w:r>
      <w:r>
        <w:t>UIT-D au Plan stratégique</w:t>
      </w:r>
      <w:r w:rsidR="00123C13">
        <w:t xml:space="preserve"> de l'UIT</w:t>
      </w:r>
      <w:r>
        <w:t xml:space="preserve"> pour la période </w:t>
      </w:r>
      <w:r w:rsidR="00A43BA9">
        <w:t>2020</w:t>
      </w:r>
      <w:r w:rsidR="00A43BA9">
        <w:noBreakHyphen/>
      </w:r>
      <w:r>
        <w:t>2023, les documents TDAG17/DT/4 et 10</w:t>
      </w:r>
      <w:r w:rsidR="00123C13">
        <w:t xml:space="preserve"> ainsi que</w:t>
      </w:r>
      <w:r>
        <w:t xml:space="preserve"> les documents</w:t>
      </w:r>
      <w:r w:rsidR="00123C13">
        <w:t xml:space="preserve"> TDAG17/</w:t>
      </w:r>
      <w:r>
        <w:t>47, 48 et 59.</w:t>
      </w:r>
    </w:p>
    <w:p w:rsidR="003207EB" w:rsidRPr="000E4619" w:rsidRDefault="003207EB" w:rsidP="00123C13">
      <w:r w:rsidRPr="000E4619">
        <w:t>Le projet de contribution de l</w:t>
      </w:r>
      <w:r w:rsidR="00123C13">
        <w:t>'</w:t>
      </w:r>
      <w:r w:rsidRPr="000E4619">
        <w:t>UIT-D au projet de Plan stratégiqu</w:t>
      </w:r>
      <w:r>
        <w:t>e de l</w:t>
      </w:r>
      <w:r w:rsidR="00123C13">
        <w:t>'</w:t>
      </w:r>
      <w:r w:rsidR="00A43BA9">
        <w:t>UIT pour la période 2020</w:t>
      </w:r>
      <w:r w:rsidR="00A43BA9">
        <w:noBreakHyphen/>
      </w:r>
      <w:r w:rsidRPr="000E4619">
        <w:t xml:space="preserve">2023 comporte quatre objectifs conformes aux trois points suivants: </w:t>
      </w:r>
    </w:p>
    <w:p w:rsidR="003207EB" w:rsidRPr="000E4619" w:rsidRDefault="00123C13" w:rsidP="00123C13">
      <w:pPr>
        <w:pStyle w:val="enumlev1"/>
      </w:pPr>
      <w:r>
        <w:t>1)</w:t>
      </w:r>
      <w:r w:rsidR="003207EB" w:rsidRPr="000E4619">
        <w:tab/>
        <w:t>Ce projet, plus axé sur les résultats que le Plan stratégique</w:t>
      </w:r>
      <w:r w:rsidR="00A43BA9">
        <w:t xml:space="preserve"> pour la période actuelle (2016</w:t>
      </w:r>
      <w:r w:rsidR="00A43BA9">
        <w:noBreakHyphen/>
      </w:r>
      <w:r w:rsidR="003207EB" w:rsidRPr="000E4619">
        <w:t xml:space="preserve">2019), a été élaboré conformément à la méthode de gestion axée sur les résultats. </w:t>
      </w:r>
    </w:p>
    <w:p w:rsidR="003207EB" w:rsidRPr="000E4619" w:rsidRDefault="00123C13" w:rsidP="00123C13">
      <w:pPr>
        <w:pStyle w:val="enumlev1"/>
      </w:pPr>
      <w:r>
        <w:lastRenderedPageBreak/>
        <w:t>2)</w:t>
      </w:r>
      <w:r w:rsidR="003207EB" w:rsidRPr="000E4619">
        <w:tab/>
        <w:t xml:space="preserve">Il </w:t>
      </w:r>
      <w:r w:rsidR="003207EB" w:rsidRPr="000E4619">
        <w:rPr>
          <w:b/>
          <w:bCs/>
        </w:rPr>
        <w:t>conserve l</w:t>
      </w:r>
      <w:r>
        <w:rPr>
          <w:b/>
          <w:bCs/>
        </w:rPr>
        <w:t>'</w:t>
      </w:r>
      <w:r w:rsidR="003207EB" w:rsidRPr="000E4619">
        <w:rPr>
          <w:b/>
          <w:bCs/>
        </w:rPr>
        <w:t>ensemble des éléments</w:t>
      </w:r>
      <w:r w:rsidR="003207EB" w:rsidRPr="000E4619">
        <w:t xml:space="preserve"> ayant été adaptés du Plan stratégique de l</w:t>
      </w:r>
      <w:r>
        <w:t>'</w:t>
      </w:r>
      <w:r w:rsidR="003207EB" w:rsidRPr="000E4619">
        <w:t>UIT-D pour la période 2016-2019, et intègre les références aux résultats et produits correspondants du Plan stratégique actuel. En outre, le Plan stratégique pour la période 2016-2019 est présenté dans l</w:t>
      </w:r>
      <w:r>
        <w:t>'</w:t>
      </w:r>
      <w:r w:rsidR="003207EB" w:rsidRPr="000E4619">
        <w:t>Annexe E à des fins de référence.</w:t>
      </w:r>
    </w:p>
    <w:p w:rsidR="003207EB" w:rsidRPr="000E4619" w:rsidRDefault="00123C13" w:rsidP="00123C13">
      <w:pPr>
        <w:pStyle w:val="enumlev1"/>
      </w:pPr>
      <w:r>
        <w:t>3)</w:t>
      </w:r>
      <w:r w:rsidR="003207EB" w:rsidRPr="000E4619">
        <w:tab/>
        <w:t>Les cinq objectifs actuels du Plan stratégique pour la période 2016-2019 sont présentés sous forme de quatre objectifs qui utilisent une formulation accessible aussi bien aux Membres de l</w:t>
      </w:r>
      <w:r>
        <w:t>'</w:t>
      </w:r>
      <w:r w:rsidR="003207EB" w:rsidRPr="000E4619">
        <w:t>UIT et aux parties prenantes qu</w:t>
      </w:r>
      <w:r>
        <w:t>'</w:t>
      </w:r>
      <w:r w:rsidR="003207EB" w:rsidRPr="000E4619">
        <w:t>au grand public, afin que des personnes qui ne participent pas actuellement aux activités de l</w:t>
      </w:r>
      <w:r>
        <w:t>'</w:t>
      </w:r>
      <w:r w:rsidR="003207EB" w:rsidRPr="000E4619">
        <w:t>UIT-D puissent s</w:t>
      </w:r>
      <w:r>
        <w:t>'</w:t>
      </w:r>
      <w:r w:rsidR="003207EB" w:rsidRPr="000E4619">
        <w:t>y associer. L</w:t>
      </w:r>
      <w:r>
        <w:t>'</w:t>
      </w:r>
      <w:r w:rsidR="003207EB" w:rsidRPr="000E4619">
        <w:t>objectif de la présente contribution est de simplifier la formulation utilisée dans le Plan stratégique actuel et, notamment, d</w:t>
      </w:r>
      <w:r>
        <w:t>'</w:t>
      </w:r>
      <w:r w:rsidR="003207EB" w:rsidRPr="000E4619">
        <w:t>éviter tout double emploi.</w:t>
      </w:r>
    </w:p>
    <w:bookmarkEnd w:id="15"/>
    <w:p w:rsidR="003207EB" w:rsidRPr="00EE5C93" w:rsidRDefault="003207EB" w:rsidP="00123C13">
      <w:pPr>
        <w:tabs>
          <w:tab w:val="clear" w:pos="794"/>
          <w:tab w:val="clear" w:pos="1191"/>
          <w:tab w:val="clear" w:pos="1588"/>
          <w:tab w:val="clear" w:pos="1985"/>
        </w:tabs>
        <w:spacing w:after="120"/>
      </w:pPr>
      <w:r>
        <w:t>En ce qui concerne le projet de Plan d</w:t>
      </w:r>
      <w:r w:rsidR="00123C13">
        <w:t>'</w:t>
      </w:r>
      <w:r>
        <w:t>action,</w:t>
      </w:r>
      <w:r w:rsidRPr="00EE5C93">
        <w:t xml:space="preserve"> </w:t>
      </w:r>
      <w:r>
        <w:t>l</w:t>
      </w:r>
      <w:r w:rsidRPr="00EE5C93">
        <w:t>e CG-SPOPD a examiné</w:t>
      </w:r>
      <w:r>
        <w:t xml:space="preserve"> les documents TDAG17/</w:t>
      </w:r>
      <w:r w:rsidR="00123C13">
        <w:t>DT</w:t>
      </w:r>
      <w:r>
        <w:t>5 et 11 ainsi que les documents</w:t>
      </w:r>
      <w:r w:rsidR="00123C13">
        <w:t xml:space="preserve"> TDAG17/</w:t>
      </w:r>
      <w:r>
        <w:t xml:space="preserve">50 et 54. La Chine, à la suite de consultations informelles avec les délégués du GCDT, a accepté de préparer une révision du document 54 à soumettre à la </w:t>
      </w:r>
      <w:r w:rsidR="00123C13">
        <w:t>réunion</w:t>
      </w:r>
      <w:r>
        <w:t xml:space="preserve"> de 2017 du GCDT.</w:t>
      </w:r>
    </w:p>
    <w:p w:rsidR="00123C13" w:rsidRDefault="003207EB" w:rsidP="00123C13">
      <w:pPr>
        <w:tabs>
          <w:tab w:val="clear" w:pos="794"/>
          <w:tab w:val="clear" w:pos="1191"/>
          <w:tab w:val="clear" w:pos="1588"/>
          <w:tab w:val="clear" w:pos="1985"/>
        </w:tabs>
        <w:spacing w:after="120"/>
      </w:pPr>
      <w:r>
        <w:t xml:space="preserve">En ce qui concerne </w:t>
      </w:r>
      <w:r w:rsidRPr="00CC2306">
        <w:t>la Déclaration</w:t>
      </w:r>
      <w:r>
        <w:t>,</w:t>
      </w:r>
      <w:r w:rsidRPr="00CC2306">
        <w:t xml:space="preserve"> </w:t>
      </w:r>
      <w:r>
        <w:t>l</w:t>
      </w:r>
      <w:r w:rsidRPr="00CC2306">
        <w:t>e CG-SPOPD a examiné</w:t>
      </w:r>
      <w:r>
        <w:t xml:space="preserve"> </w:t>
      </w:r>
      <w:r w:rsidRPr="00CC2306">
        <w:t>le</w:t>
      </w:r>
      <w:r>
        <w:t>s</w:t>
      </w:r>
      <w:r w:rsidRPr="00CC2306">
        <w:t xml:space="preserve"> document</w:t>
      </w:r>
      <w:r>
        <w:t>s</w:t>
      </w:r>
      <w:r w:rsidRPr="00CC2306">
        <w:t xml:space="preserve"> TGAD17/DT/6 et 12</w:t>
      </w:r>
      <w:r>
        <w:t xml:space="preserve"> ainsi que les documents </w:t>
      </w:r>
      <w:r w:rsidR="00123C13">
        <w:t>TDAG17/45, 49, 52, 60 et 68.</w:t>
      </w:r>
    </w:p>
    <w:p w:rsidR="003207EB" w:rsidRPr="00AB6942" w:rsidRDefault="003207EB" w:rsidP="00123C13">
      <w:pPr>
        <w:tabs>
          <w:tab w:val="clear" w:pos="794"/>
          <w:tab w:val="clear" w:pos="1191"/>
          <w:tab w:val="clear" w:pos="1588"/>
          <w:tab w:val="clear" w:pos="1985"/>
        </w:tabs>
        <w:spacing w:after="120"/>
      </w:pPr>
      <w:r w:rsidRPr="00AB6942">
        <w:t>Au cours de l</w:t>
      </w:r>
      <w:r w:rsidR="00123C13">
        <w:t>'</w:t>
      </w:r>
      <w:r w:rsidRPr="00AB6942">
        <w:t>examen de</w:t>
      </w:r>
      <w:r w:rsidR="00123C13">
        <w:t xml:space="preserve"> tous</w:t>
      </w:r>
      <w:r w:rsidRPr="00AB6942">
        <w:t xml:space="preserve"> ces documents</w:t>
      </w:r>
      <w:r>
        <w:t>, le Président a rappelé que le Plan stratégique et la Déclaration devraient rester des instruments de haut niveau plutôt que de devenir trop détaillés, étant donné que les éléments opérationnels devraient figurer dans le Plan d</w:t>
      </w:r>
      <w:r w:rsidR="00123C13">
        <w:t>'</w:t>
      </w:r>
      <w:r>
        <w:t>action ou dans le</w:t>
      </w:r>
      <w:r w:rsidR="00123C13">
        <w:t>s</w:t>
      </w:r>
      <w:r>
        <w:t xml:space="preserve"> </w:t>
      </w:r>
      <w:r w:rsidR="00123C13">
        <w:t>P</w:t>
      </w:r>
      <w:r w:rsidRPr="00AB6942">
        <w:t>lan</w:t>
      </w:r>
      <w:r w:rsidR="00123C13">
        <w:t>s</w:t>
      </w:r>
      <w:r w:rsidRPr="00AB6942">
        <w:t xml:space="preserve"> opérationnel</w:t>
      </w:r>
      <w:r w:rsidR="00123C13">
        <w:t>s</w:t>
      </w:r>
      <w:r w:rsidRPr="00AB6942">
        <w:t xml:space="preserve"> </w:t>
      </w:r>
      <w:r>
        <w:t>annuel</w:t>
      </w:r>
      <w:r w:rsidR="00123C13">
        <w:t>s et</w:t>
      </w:r>
      <w:r>
        <w:t xml:space="preserve"> </w:t>
      </w:r>
      <w:r w:rsidRPr="00AB6942">
        <w:t>glissant</w:t>
      </w:r>
      <w:r w:rsidR="00123C13">
        <w:t>s</w:t>
      </w:r>
      <w:r w:rsidRPr="00AB6942">
        <w:t xml:space="preserve"> de l</w:t>
      </w:r>
      <w:r w:rsidR="00123C13">
        <w:t>'</w:t>
      </w:r>
      <w:r w:rsidRPr="00AB6942">
        <w:t>UIT-D</w:t>
      </w:r>
      <w:r>
        <w:t>.</w:t>
      </w:r>
    </w:p>
    <w:p w:rsidR="003207EB" w:rsidRDefault="003207EB" w:rsidP="00123C13">
      <w:pPr>
        <w:spacing w:after="120"/>
      </w:pPr>
      <w:r w:rsidRPr="00C737C2">
        <w:t xml:space="preserve">Le CG-SPOPD est convenu </w:t>
      </w:r>
      <w:r w:rsidR="00123C13">
        <w:t>que des</w:t>
      </w:r>
      <w:r w:rsidRPr="00C737C2">
        <w:t xml:space="preserve"> compilation</w:t>
      </w:r>
      <w:r w:rsidR="00123C13">
        <w:t>s des propositions relatives au</w:t>
      </w:r>
      <w:r w:rsidRPr="00C737C2">
        <w:t xml:space="preserve"> Plan stratégique, au Plan d</w:t>
      </w:r>
      <w:r w:rsidR="00123C13">
        <w:t>'</w:t>
      </w:r>
      <w:r w:rsidRPr="00C737C2">
        <w:t>action et à la Déclaration</w:t>
      </w:r>
      <w:r w:rsidR="00123C13">
        <w:t>,</w:t>
      </w:r>
      <w:r w:rsidRPr="00C737C2">
        <w:t xml:space="preserve"> contenues dans les documents TDAG17/7, 8 et 9</w:t>
      </w:r>
      <w:r w:rsidR="00123C13">
        <w:t>,</w:t>
      </w:r>
      <w:r w:rsidRPr="00C737C2">
        <w:t xml:space="preserve"> serai</w:t>
      </w:r>
      <w:r w:rsidR="00123C13">
        <w:t>en</w:t>
      </w:r>
      <w:r w:rsidRPr="00C737C2">
        <w:t>t soumise</w:t>
      </w:r>
      <w:r w:rsidR="00123C13">
        <w:t>s</w:t>
      </w:r>
      <w:r w:rsidRPr="00C737C2">
        <w:t xml:space="preserve"> au GCDT pour être examinée</w:t>
      </w:r>
      <w:r w:rsidR="00123C13">
        <w:t>s</w:t>
      </w:r>
      <w:r w:rsidRPr="00C737C2">
        <w:t xml:space="preserve"> plus avant, et pourrai</w:t>
      </w:r>
      <w:r w:rsidR="00123C13">
        <w:t>en</w:t>
      </w:r>
      <w:r w:rsidRPr="00C737C2">
        <w:t>t être utilisée</w:t>
      </w:r>
      <w:r w:rsidR="00123C13">
        <w:t>s</w:t>
      </w:r>
      <w:r w:rsidRPr="00C737C2">
        <w:t xml:space="preserve"> par les groupes régionaux pour élaborer leurs propositions communes à la CMDT-17, ainsi que par les États Membres pour leurs propositions soumises à la Conférence.</w:t>
      </w:r>
    </w:p>
    <w:p w:rsidR="003207EB" w:rsidRPr="00C9388E" w:rsidRDefault="003207EB" w:rsidP="00123C13">
      <w:pPr>
        <w:spacing w:after="120"/>
      </w:pPr>
      <w:r>
        <w:t>On trouvera d</w:t>
      </w:r>
      <w:r w:rsidRPr="00A80F81">
        <w:t>es liens vers les compilations de</w:t>
      </w:r>
      <w:r w:rsidR="00123C13">
        <w:t>s</w:t>
      </w:r>
      <w:r w:rsidRPr="00A80F81">
        <w:t xml:space="preserve"> propositions relatives au Plan stratégique, au Plan </w:t>
      </w:r>
      <w:r>
        <w:t>d</w:t>
      </w:r>
      <w:r w:rsidR="00123C13">
        <w:t>'</w:t>
      </w:r>
      <w:r>
        <w:t>action</w:t>
      </w:r>
      <w:r w:rsidRPr="00A80F81">
        <w:t xml:space="preserve"> et à la Déclaration</w:t>
      </w:r>
      <w:r>
        <w:t xml:space="preserve"> dans les annexes 1,2 et 3.</w:t>
      </w:r>
    </w:p>
    <w:p w:rsidR="003207EB" w:rsidRPr="004A02CB" w:rsidRDefault="003207EB" w:rsidP="005C0BF8">
      <w:pPr>
        <w:rPr>
          <w:b/>
        </w:rPr>
      </w:pPr>
      <w:r w:rsidRPr="00A80F81">
        <w:t xml:space="preserve">En outre, le CG-SPOPD a appuyé le </w:t>
      </w:r>
      <w:r>
        <w:t>p</w:t>
      </w:r>
      <w:r w:rsidRPr="00A80F81">
        <w:t>lan opérationnel quadriennal glissant de l</w:t>
      </w:r>
      <w:r w:rsidR="00123C13">
        <w:t>'</w:t>
      </w:r>
      <w:r w:rsidRPr="00A80F81">
        <w:t>UIT</w:t>
      </w:r>
      <w:r>
        <w:t>-D pour la période 2017-2020.</w:t>
      </w:r>
    </w:p>
    <w:p w:rsidR="003207EB" w:rsidRPr="004A02CB" w:rsidRDefault="003207EB" w:rsidP="00123C13">
      <w:pPr>
        <w:pStyle w:val="Headingb"/>
      </w:pPr>
      <w:r w:rsidRPr="004A02CB">
        <w:t>Suite à donner</w:t>
      </w:r>
    </w:p>
    <w:p w:rsidR="003207EB" w:rsidRDefault="003207EB" w:rsidP="00123C13">
      <w:pPr>
        <w:rPr>
          <w:szCs w:val="24"/>
        </w:rPr>
      </w:pPr>
      <w:bookmarkStart w:id="16" w:name="lt_pId038"/>
      <w:r w:rsidRPr="004A02CB">
        <w:t>Le GCDT est i</w:t>
      </w:r>
      <w:r w:rsidRPr="00123C13">
        <w:t>n</w:t>
      </w:r>
      <w:r w:rsidRPr="004A02CB">
        <w:t>vité à examiner le présent rapport et à donner les indications qu</w:t>
      </w:r>
      <w:r w:rsidR="00123C13">
        <w:t>'</w:t>
      </w:r>
      <w:r w:rsidRPr="004A02CB">
        <w:t>il jugera nécessaires. Les résultats de la réunion de 2017 du GCDT seront communiqués aux membres, comme document de référence, en vue de l</w:t>
      </w:r>
      <w:r w:rsidR="00123C13">
        <w:t>'</w:t>
      </w:r>
      <w:r w:rsidRPr="004A02CB">
        <w:t>élaboration de leurs contributions à la CMDT-17</w:t>
      </w:r>
      <w:r w:rsidRPr="004A02CB">
        <w:rPr>
          <w:szCs w:val="24"/>
        </w:rPr>
        <w:t>.</w:t>
      </w:r>
      <w:bookmarkEnd w:id="16"/>
    </w:p>
    <w:p w:rsidR="003207EB" w:rsidRDefault="003207EB" w:rsidP="00123C13">
      <w:pPr>
        <w:rPr>
          <w:szCs w:val="24"/>
        </w:rPr>
      </w:pPr>
    </w:p>
    <w:p w:rsidR="00123C13" w:rsidRDefault="00123C13" w:rsidP="00123C13">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3207EB" w:rsidRPr="00DA07B8" w:rsidRDefault="003207EB" w:rsidP="00123C13">
      <w:pPr>
        <w:jc w:val="center"/>
        <w:rPr>
          <w:szCs w:val="24"/>
        </w:rPr>
      </w:pPr>
      <w:r w:rsidRPr="00DA07B8">
        <w:rPr>
          <w:szCs w:val="24"/>
        </w:rPr>
        <w:lastRenderedPageBreak/>
        <w:t>ANNEXE 1</w:t>
      </w:r>
    </w:p>
    <w:p w:rsidR="003207EB" w:rsidRPr="004A02CB" w:rsidRDefault="003207EB" w:rsidP="00123C13">
      <w:pPr>
        <w:rPr>
          <w:szCs w:val="24"/>
        </w:rPr>
      </w:pPr>
      <w:r w:rsidRPr="004A02CB">
        <w:rPr>
          <w:szCs w:val="24"/>
        </w:rPr>
        <w:t>Compilation des résultat</w:t>
      </w:r>
      <w:r>
        <w:rPr>
          <w:szCs w:val="24"/>
        </w:rPr>
        <w:t>s des RPM et des contributions soumises a</w:t>
      </w:r>
      <w:r w:rsidRPr="004A02CB">
        <w:rPr>
          <w:szCs w:val="24"/>
        </w:rPr>
        <w:t>u GCDT concernant l</w:t>
      </w:r>
      <w:r w:rsidR="00123C13">
        <w:rPr>
          <w:szCs w:val="24"/>
        </w:rPr>
        <w:t>'</w:t>
      </w:r>
      <w:r>
        <w:rPr>
          <w:szCs w:val="24"/>
        </w:rPr>
        <w:t>avant-</w:t>
      </w:r>
      <w:r w:rsidRPr="004A02CB">
        <w:rPr>
          <w:szCs w:val="24"/>
        </w:rPr>
        <w:t>projet de contribution de l</w:t>
      </w:r>
      <w:r w:rsidR="00123C13">
        <w:rPr>
          <w:szCs w:val="24"/>
        </w:rPr>
        <w:t>'</w:t>
      </w:r>
      <w:r w:rsidRPr="004A02CB">
        <w:rPr>
          <w:szCs w:val="24"/>
        </w:rPr>
        <w:t>UIT-D au Plan stratégique de l</w:t>
      </w:r>
      <w:r w:rsidR="00123C13">
        <w:rPr>
          <w:szCs w:val="24"/>
        </w:rPr>
        <w:t>'</w:t>
      </w:r>
      <w:r w:rsidRPr="004A02CB">
        <w:rPr>
          <w:szCs w:val="24"/>
        </w:rPr>
        <w:t xml:space="preserve">UIT pour </w:t>
      </w:r>
      <w:r>
        <w:rPr>
          <w:szCs w:val="24"/>
        </w:rPr>
        <w:t xml:space="preserve">la période </w:t>
      </w:r>
      <w:r w:rsidR="00123C13">
        <w:rPr>
          <w:szCs w:val="24"/>
        </w:rPr>
        <w:t>202</w:t>
      </w:r>
      <w:r w:rsidRPr="004A02CB">
        <w:rPr>
          <w:szCs w:val="24"/>
        </w:rPr>
        <w:t>0-2023</w:t>
      </w:r>
      <w:r>
        <w:rPr>
          <w:szCs w:val="24"/>
        </w:rPr>
        <w:t xml:space="preserve"> </w:t>
      </w:r>
      <w:r w:rsidRPr="004A02CB">
        <w:rPr>
          <w:szCs w:val="24"/>
        </w:rPr>
        <w:t>(</w:t>
      </w:r>
      <w:r w:rsidR="00A43BA9">
        <w:rPr>
          <w:szCs w:val="24"/>
        </w:rPr>
        <w:t>D</w:t>
      </w:r>
      <w:r w:rsidRPr="004A02CB">
        <w:rPr>
          <w:szCs w:val="24"/>
        </w:rPr>
        <w:t xml:space="preserve">ocument </w:t>
      </w:r>
      <w:hyperlink r:id="rId15" w:history="1">
        <w:r w:rsidRPr="004A02CB">
          <w:rPr>
            <w:rStyle w:val="Hyperlink"/>
            <w:szCs w:val="24"/>
          </w:rPr>
          <w:t>TDAG17-22/7</w:t>
        </w:r>
      </w:hyperlink>
      <w:r w:rsidRPr="004A02CB">
        <w:rPr>
          <w:szCs w:val="24"/>
        </w:rPr>
        <w:t>)</w:t>
      </w:r>
    </w:p>
    <w:p w:rsidR="003207EB" w:rsidRPr="004A02CB" w:rsidRDefault="003207EB" w:rsidP="00123C13">
      <w:pPr>
        <w:jc w:val="center"/>
        <w:rPr>
          <w:szCs w:val="24"/>
        </w:rPr>
      </w:pPr>
    </w:p>
    <w:p w:rsidR="003207EB" w:rsidRPr="003207EB" w:rsidRDefault="003207EB" w:rsidP="00123C13">
      <w:pPr>
        <w:jc w:val="center"/>
        <w:rPr>
          <w:szCs w:val="24"/>
          <w:lang w:val="fr-FR"/>
        </w:rPr>
      </w:pPr>
      <w:r w:rsidRPr="003207EB">
        <w:rPr>
          <w:szCs w:val="24"/>
          <w:lang w:val="fr-FR"/>
        </w:rPr>
        <w:t>ANNEXE 2</w:t>
      </w:r>
    </w:p>
    <w:p w:rsidR="003207EB" w:rsidRPr="004A02CB" w:rsidRDefault="003207EB" w:rsidP="00123C13">
      <w:pPr>
        <w:rPr>
          <w:szCs w:val="24"/>
        </w:rPr>
      </w:pPr>
      <w:r w:rsidRPr="004A02CB">
        <w:rPr>
          <w:szCs w:val="24"/>
        </w:rPr>
        <w:t xml:space="preserve">Compilation des résultats des RPM et des contributions </w:t>
      </w:r>
      <w:r>
        <w:rPr>
          <w:szCs w:val="24"/>
        </w:rPr>
        <w:t>soumises au GCDT concernant l</w:t>
      </w:r>
      <w:r w:rsidR="00123C13">
        <w:rPr>
          <w:szCs w:val="24"/>
        </w:rPr>
        <w:t>'</w:t>
      </w:r>
      <w:r>
        <w:rPr>
          <w:szCs w:val="24"/>
        </w:rPr>
        <w:t>avant-</w:t>
      </w:r>
      <w:r w:rsidRPr="004A02CB">
        <w:rPr>
          <w:szCs w:val="24"/>
        </w:rPr>
        <w:t xml:space="preserve">projet </w:t>
      </w:r>
      <w:r>
        <w:rPr>
          <w:szCs w:val="24"/>
        </w:rPr>
        <w:t>de Plan d</w:t>
      </w:r>
      <w:r w:rsidR="00123C13">
        <w:rPr>
          <w:szCs w:val="24"/>
        </w:rPr>
        <w:t>'</w:t>
      </w:r>
      <w:r>
        <w:rPr>
          <w:szCs w:val="24"/>
        </w:rPr>
        <w:t>action de l</w:t>
      </w:r>
      <w:r w:rsidR="00123C13">
        <w:rPr>
          <w:szCs w:val="24"/>
        </w:rPr>
        <w:t>'</w:t>
      </w:r>
      <w:r>
        <w:rPr>
          <w:szCs w:val="24"/>
        </w:rPr>
        <w:t xml:space="preserve">UIT-D pour la période 2018-2021 </w:t>
      </w:r>
      <w:r w:rsidRPr="004A02CB">
        <w:rPr>
          <w:szCs w:val="24"/>
        </w:rPr>
        <w:t>(</w:t>
      </w:r>
      <w:r w:rsidR="00A43BA9">
        <w:rPr>
          <w:szCs w:val="24"/>
        </w:rPr>
        <w:t>D</w:t>
      </w:r>
      <w:r w:rsidR="00A43BA9" w:rsidRPr="004A02CB">
        <w:rPr>
          <w:szCs w:val="24"/>
        </w:rPr>
        <w:t xml:space="preserve">ocument </w:t>
      </w:r>
      <w:hyperlink r:id="rId16" w:history="1">
        <w:r w:rsidRPr="004A02CB">
          <w:rPr>
            <w:rStyle w:val="Hyperlink"/>
            <w:szCs w:val="24"/>
          </w:rPr>
          <w:t>TDAG17-22/8</w:t>
        </w:r>
      </w:hyperlink>
      <w:r w:rsidRPr="004A02CB">
        <w:rPr>
          <w:szCs w:val="24"/>
        </w:rPr>
        <w:t>)</w:t>
      </w:r>
    </w:p>
    <w:p w:rsidR="003207EB" w:rsidRPr="004A02CB" w:rsidRDefault="003207EB" w:rsidP="00123C13">
      <w:pPr>
        <w:jc w:val="center"/>
        <w:rPr>
          <w:szCs w:val="24"/>
        </w:rPr>
      </w:pPr>
    </w:p>
    <w:p w:rsidR="003207EB" w:rsidRPr="003207EB" w:rsidRDefault="003207EB" w:rsidP="00123C13">
      <w:pPr>
        <w:jc w:val="center"/>
        <w:rPr>
          <w:szCs w:val="24"/>
          <w:lang w:val="fr-FR"/>
        </w:rPr>
      </w:pPr>
      <w:r w:rsidRPr="003207EB">
        <w:rPr>
          <w:szCs w:val="24"/>
          <w:lang w:val="fr-FR"/>
        </w:rPr>
        <w:t xml:space="preserve">ANNEXE 3 </w:t>
      </w:r>
    </w:p>
    <w:p w:rsidR="003207EB" w:rsidRPr="004A02CB" w:rsidRDefault="003207EB" w:rsidP="00123C13">
      <w:pPr>
        <w:rPr>
          <w:szCs w:val="24"/>
        </w:rPr>
      </w:pPr>
      <w:r w:rsidRPr="004A02CB">
        <w:rPr>
          <w:szCs w:val="24"/>
        </w:rPr>
        <w:t xml:space="preserve">Compilation des résultats des RPM et des contributions </w:t>
      </w:r>
      <w:r>
        <w:rPr>
          <w:szCs w:val="24"/>
        </w:rPr>
        <w:t>soumises au GCDT concernant l</w:t>
      </w:r>
      <w:r w:rsidR="00123C13">
        <w:rPr>
          <w:szCs w:val="24"/>
        </w:rPr>
        <w:t>'</w:t>
      </w:r>
      <w:r>
        <w:rPr>
          <w:szCs w:val="24"/>
        </w:rPr>
        <w:t>avant-</w:t>
      </w:r>
      <w:r w:rsidRPr="004A02CB">
        <w:rPr>
          <w:szCs w:val="24"/>
        </w:rPr>
        <w:t xml:space="preserve">projet </w:t>
      </w:r>
      <w:r>
        <w:rPr>
          <w:szCs w:val="24"/>
        </w:rPr>
        <w:t xml:space="preserve">de Déclaration de la CMDT-17 </w:t>
      </w:r>
      <w:r w:rsidRPr="004A02CB">
        <w:rPr>
          <w:szCs w:val="24"/>
        </w:rPr>
        <w:t>(</w:t>
      </w:r>
      <w:r w:rsidR="00A43BA9">
        <w:rPr>
          <w:szCs w:val="24"/>
        </w:rPr>
        <w:t>D</w:t>
      </w:r>
      <w:r w:rsidR="00A43BA9" w:rsidRPr="004A02CB">
        <w:rPr>
          <w:szCs w:val="24"/>
        </w:rPr>
        <w:t xml:space="preserve">ocument </w:t>
      </w:r>
      <w:hyperlink r:id="rId17" w:history="1">
        <w:r w:rsidRPr="004A02CB">
          <w:rPr>
            <w:rStyle w:val="Hyperlink"/>
            <w:szCs w:val="24"/>
          </w:rPr>
          <w:t>TDAG17-22/9</w:t>
        </w:r>
      </w:hyperlink>
      <w:r w:rsidR="00123C13">
        <w:rPr>
          <w:szCs w:val="24"/>
        </w:rPr>
        <w:t>)</w:t>
      </w:r>
    </w:p>
    <w:p w:rsidR="003207EB" w:rsidRPr="004A02CB" w:rsidRDefault="003207EB" w:rsidP="00123C13">
      <w:pPr>
        <w:rPr>
          <w:szCs w:val="24"/>
          <w:u w:val="dash"/>
        </w:rPr>
      </w:pPr>
    </w:p>
    <w:p w:rsidR="003207EB" w:rsidRPr="00880484" w:rsidRDefault="003207EB" w:rsidP="00123C13">
      <w:pPr>
        <w:jc w:val="center"/>
        <w:rPr>
          <w:szCs w:val="24"/>
        </w:rPr>
      </w:pPr>
      <w:r>
        <w:rPr>
          <w:szCs w:val="24"/>
        </w:rPr>
        <w:t>_______________</w:t>
      </w:r>
    </w:p>
    <w:p w:rsidR="00952085" w:rsidRPr="002B7136" w:rsidRDefault="00952085" w:rsidP="00123C13">
      <w:pPr>
        <w:tabs>
          <w:tab w:val="clear" w:pos="794"/>
          <w:tab w:val="clear" w:pos="1191"/>
          <w:tab w:val="clear" w:pos="1588"/>
          <w:tab w:val="clear" w:pos="1985"/>
        </w:tabs>
        <w:overflowPunct/>
        <w:autoSpaceDE/>
        <w:autoSpaceDN/>
        <w:adjustRightInd/>
        <w:spacing w:before="0"/>
        <w:textAlignment w:val="auto"/>
        <w:rPr>
          <w:lang w:val="fr-FR"/>
        </w:rPr>
      </w:pPr>
      <w:bookmarkStart w:id="17" w:name="_GoBack"/>
      <w:bookmarkEnd w:id="17"/>
    </w:p>
    <w:sectPr w:rsidR="00952085" w:rsidRPr="002B7136" w:rsidSect="00473791">
      <w:headerReference w:type="default" r:id="rId18"/>
      <w:foot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70" w:rsidRDefault="00132370">
      <w:r>
        <w:separator/>
      </w:r>
    </w:p>
  </w:endnote>
  <w:endnote w:type="continuationSeparator" w:id="0">
    <w:p w:rsidR="00132370" w:rsidRDefault="0013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952085" w:rsidRDefault="00952085" w:rsidP="00952085">
    <w:pPr>
      <w:pStyle w:val="Footer"/>
      <w:rPr>
        <w:lang w:val="es-ES_tradnl"/>
      </w:rPr>
    </w:pPr>
    <w:r>
      <w:fldChar w:fldCharType="begin"/>
    </w:r>
    <w:r w:rsidRPr="00952085">
      <w:rPr>
        <w:lang w:val="es-ES_tradnl"/>
      </w:rPr>
      <w:instrText xml:space="preserve"> FILENAME \p  \* MERGEFORMAT </w:instrText>
    </w:r>
    <w:r>
      <w:fldChar w:fldCharType="separate"/>
    </w:r>
    <w:r w:rsidR="00A43BA9">
      <w:rPr>
        <w:lang w:val="es-ES_tradnl"/>
      </w:rPr>
      <w:t>P:\FRA\ITU-D\CONF-D\TDAG17\000\031F.docx</w:t>
    </w:r>
    <w:r>
      <w:fldChar w:fldCharType="end"/>
    </w:r>
    <w:r>
      <w:rPr>
        <w:lang w:val="es-ES_tradnl"/>
      </w:rPr>
      <w:t xml:space="preserve"> (414007</w:t>
    </w:r>
    <w:r w:rsidRPr="00952085">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5C0BF8"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70" w:rsidRDefault="00132370">
      <w:r>
        <w:t>____________________</w:t>
      </w:r>
    </w:p>
  </w:footnote>
  <w:footnote w:type="continuationSeparator" w:id="0">
    <w:p w:rsidR="00132370" w:rsidRDefault="00132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3207EB">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952085">
      <w:rPr>
        <w:sz w:val="22"/>
        <w:szCs w:val="22"/>
        <w:lang w:val="de-CH"/>
      </w:rPr>
      <w:t>3</w:t>
    </w:r>
    <w:r w:rsidR="003207EB">
      <w:rPr>
        <w:sz w:val="22"/>
        <w:szCs w:val="22"/>
        <w:lang w:val="de-CH"/>
      </w:rPr>
      <w:t>1</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C0BF8">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62BED"/>
    <w:rsid w:val="000743AA"/>
    <w:rsid w:val="0009225C"/>
    <w:rsid w:val="000964BD"/>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26FD"/>
    <w:rsid w:val="00113EE8"/>
    <w:rsid w:val="0011455A"/>
    <w:rsid w:val="00114A65"/>
    <w:rsid w:val="00123C13"/>
    <w:rsid w:val="0013219D"/>
    <w:rsid w:val="00132370"/>
    <w:rsid w:val="00133061"/>
    <w:rsid w:val="00141699"/>
    <w:rsid w:val="00147000"/>
    <w:rsid w:val="00156BF6"/>
    <w:rsid w:val="00163091"/>
    <w:rsid w:val="001645CB"/>
    <w:rsid w:val="00166305"/>
    <w:rsid w:val="00167545"/>
    <w:rsid w:val="001676D7"/>
    <w:rsid w:val="001703C6"/>
    <w:rsid w:val="00170A61"/>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713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07EB"/>
    <w:rsid w:val="003211FF"/>
    <w:rsid w:val="00323587"/>
    <w:rsid w:val="00325A6A"/>
    <w:rsid w:val="00327247"/>
    <w:rsid w:val="00327A9D"/>
    <w:rsid w:val="0033130E"/>
    <w:rsid w:val="0033269C"/>
    <w:rsid w:val="0035516C"/>
    <w:rsid w:val="00355A4C"/>
    <w:rsid w:val="003604FB"/>
    <w:rsid w:val="00360B73"/>
    <w:rsid w:val="00364F8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4D66"/>
    <w:rsid w:val="0044411E"/>
    <w:rsid w:val="00453435"/>
    <w:rsid w:val="00466398"/>
    <w:rsid w:val="0047306D"/>
    <w:rsid w:val="00473791"/>
    <w:rsid w:val="00476E48"/>
    <w:rsid w:val="004777C1"/>
    <w:rsid w:val="00477B6A"/>
    <w:rsid w:val="00481DE9"/>
    <w:rsid w:val="00486BEA"/>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22A0C"/>
    <w:rsid w:val="00540C09"/>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0BF8"/>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42A9"/>
    <w:rsid w:val="00795294"/>
    <w:rsid w:val="007A4E50"/>
    <w:rsid w:val="007B18A7"/>
    <w:rsid w:val="007B250E"/>
    <w:rsid w:val="007C27FC"/>
    <w:rsid w:val="007C51FF"/>
    <w:rsid w:val="007D50E4"/>
    <w:rsid w:val="007F1CC7"/>
    <w:rsid w:val="008027AC"/>
    <w:rsid w:val="008028CE"/>
    <w:rsid w:val="0080332E"/>
    <w:rsid w:val="008141E0"/>
    <w:rsid w:val="00815A6E"/>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441"/>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5208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43BA9"/>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0D57"/>
    <w:rsid w:val="00AE5961"/>
    <w:rsid w:val="00AF0745"/>
    <w:rsid w:val="00AF4971"/>
    <w:rsid w:val="00AF5276"/>
    <w:rsid w:val="00AF7C86"/>
    <w:rsid w:val="00B01046"/>
    <w:rsid w:val="00B310F9"/>
    <w:rsid w:val="00B37866"/>
    <w:rsid w:val="00B412FB"/>
    <w:rsid w:val="00B4576B"/>
    <w:rsid w:val="00B46350"/>
    <w:rsid w:val="00B46DF3"/>
    <w:rsid w:val="00B533E9"/>
    <w:rsid w:val="00B62E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528D"/>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4B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7C81"/>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67D83"/>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6A01"/>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styleId="FollowedHyperlink">
    <w:name w:val="FollowedHyperlink"/>
    <w:basedOn w:val="DefaultParagraphFont"/>
    <w:semiHidden/>
    <w:unhideWhenUsed/>
    <w:rsid w:val="00A43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RPMAMS-C-0041/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14-RPMCIS-C-0026/fr" TargetMode="External"/><Relationship Id="rId17" Type="http://schemas.openxmlformats.org/officeDocument/2006/relationships/hyperlink" Target="https://www.itu.int/md/D14-TDAG22-C-0009/" TargetMode="External"/><Relationship Id="rId2" Type="http://schemas.openxmlformats.org/officeDocument/2006/relationships/numbering" Target="numbering.xml"/><Relationship Id="rId16" Type="http://schemas.openxmlformats.org/officeDocument/2006/relationships/hyperlink" Target="https://www.itu.int/md/D14-TDAG22-C-000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2-C-0009/en" TargetMode="External"/><Relationship Id="rId5" Type="http://schemas.openxmlformats.org/officeDocument/2006/relationships/webSettings" Target="webSettings.xml"/><Relationship Id="rId15" Type="http://schemas.openxmlformats.org/officeDocument/2006/relationships/hyperlink" Target="https://www.itu.int/md/D14-TDAG22-C-0007/" TargetMode="External"/><Relationship Id="rId10" Type="http://schemas.openxmlformats.org/officeDocument/2006/relationships/hyperlink" Target="https://www.itu.int/md/D14-TDAG22-C-0008/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RPMASP-170321-TD-0005/f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3798-F196-48ED-9E54-D518DCC0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1340</Words>
  <Characters>7677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6</cp:revision>
  <cp:lastPrinted>2017-04-25T06:57:00Z</cp:lastPrinted>
  <dcterms:created xsi:type="dcterms:W3CDTF">2017-05-11T10:06:00Z</dcterms:created>
  <dcterms:modified xsi:type="dcterms:W3CDTF">2017-05-11T10:44:00Z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