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002716" w:rsidRDefault="005200E0" w:rsidP="002C0879">
            <w:pPr>
              <w:spacing w:before="0"/>
              <w:jc w:val="both"/>
              <w:rPr>
                <w:bCs/>
                <w:lang w:val="en-US"/>
              </w:rPr>
            </w:pPr>
            <w:r>
              <w:rPr>
                <w:b/>
                <w:bCs/>
                <w:lang w:val="en-US"/>
              </w:rPr>
              <w:t>Revision 1 to</w:t>
            </w:r>
            <w:r>
              <w:rPr>
                <w:b/>
                <w:bCs/>
                <w:lang w:val="en-US"/>
              </w:rPr>
              <w:br/>
            </w:r>
            <w:r w:rsidR="00380B71" w:rsidRPr="00002716">
              <w:rPr>
                <w:b/>
                <w:bCs/>
                <w:lang w:val="en-US"/>
              </w:rPr>
              <w:t>Document</w:t>
            </w:r>
            <w:r w:rsidR="00380B71" w:rsidRPr="00A54E72">
              <w:rPr>
                <w:b/>
                <w:bCs/>
                <w:lang w:val="en-US"/>
              </w:rPr>
              <w:t xml:space="preserve"> </w:t>
            </w:r>
            <w:bookmarkStart w:id="0" w:name="DocRef1"/>
            <w:bookmarkEnd w:id="0"/>
            <w:r w:rsidR="00107E85">
              <w:rPr>
                <w:b/>
                <w:bCs/>
                <w:lang w:val="en-US"/>
              </w:rPr>
              <w:t>TDAG17</w:t>
            </w:r>
            <w:r w:rsidR="002C0879">
              <w:rPr>
                <w:b/>
                <w:bCs/>
                <w:lang w:val="en-US"/>
              </w:rPr>
              <w:t>-22</w:t>
            </w:r>
            <w:r w:rsidR="00380B71" w:rsidRPr="00A54E72">
              <w:rPr>
                <w:b/>
                <w:bCs/>
                <w:lang w:val="en-US"/>
              </w:rPr>
              <w:t>/</w:t>
            </w:r>
            <w:bookmarkStart w:id="1" w:name="DocNo1"/>
            <w:bookmarkEnd w:id="1"/>
            <w:r w:rsidR="002C0879">
              <w:rPr>
                <w:b/>
                <w:bCs/>
                <w:lang w:val="en-US"/>
              </w:rPr>
              <w:t>32</w:t>
            </w:r>
            <w:r w:rsidR="00107E85">
              <w:rPr>
                <w:b/>
                <w:bCs/>
                <w:lang w:val="en-US"/>
              </w:rPr>
              <w:t>-E</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5200E0" w:rsidP="00107E85">
            <w:pPr>
              <w:spacing w:before="0"/>
              <w:rPr>
                <w:b/>
              </w:rPr>
            </w:pPr>
            <w:bookmarkStart w:id="2" w:name="CreationDate"/>
            <w:bookmarkEnd w:id="2"/>
            <w:r>
              <w:rPr>
                <w:b/>
              </w:rPr>
              <w:t>4 May</w:t>
            </w:r>
            <w:r w:rsidR="002C0879">
              <w:rPr>
                <w:b/>
              </w:rPr>
              <w:t xml:space="preserve"> 2017</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683C32" w:rsidP="00107E85">
            <w:pPr>
              <w:spacing w:before="0" w:after="240"/>
            </w:pPr>
            <w:r>
              <w:rPr>
                <w:b/>
              </w:rPr>
              <w:t>Original</w:t>
            </w:r>
            <w:r w:rsidR="00A525CC">
              <w:rPr>
                <w:b/>
              </w:rPr>
              <w:t xml:space="preserve">: </w:t>
            </w:r>
            <w:bookmarkStart w:id="3" w:name="Original"/>
            <w:bookmarkEnd w:id="3"/>
            <w:r w:rsidR="002C0879">
              <w:rPr>
                <w:b/>
              </w:rPr>
              <w:t>English</w:t>
            </w:r>
          </w:p>
        </w:tc>
      </w:tr>
      <w:tr w:rsidR="00A13162" w:rsidTr="00107E85">
        <w:trPr>
          <w:cantSplit/>
          <w:trHeight w:val="852"/>
        </w:trPr>
        <w:tc>
          <w:tcPr>
            <w:tcW w:w="9888" w:type="dxa"/>
            <w:gridSpan w:val="3"/>
          </w:tcPr>
          <w:p w:rsidR="00A13162" w:rsidRPr="00A721F4" w:rsidRDefault="002C0879" w:rsidP="00935FF0">
            <w:pPr>
              <w:pStyle w:val="Source"/>
              <w:spacing w:before="240" w:after="240"/>
              <w:jc w:val="center"/>
              <w:rPr>
                <w:sz w:val="28"/>
                <w:szCs w:val="28"/>
              </w:rPr>
            </w:pPr>
            <w:bookmarkStart w:id="4" w:name="Source"/>
            <w:bookmarkEnd w:id="4"/>
            <w:r>
              <w:rPr>
                <w:bCs/>
                <w:sz w:val="28"/>
                <w:szCs w:val="28"/>
                <w:lang w:val="en-US"/>
              </w:rPr>
              <w:t>Director, Telecommunication Development Bureau</w:t>
            </w:r>
            <w:r w:rsidR="00811389" w:rsidRPr="00A721F4">
              <w:rPr>
                <w:sz w:val="28"/>
                <w:szCs w:val="28"/>
              </w:rPr>
              <w:t xml:space="preserve"> </w:t>
            </w:r>
          </w:p>
        </w:tc>
      </w:tr>
      <w:tr w:rsidR="00AC6F14" w:rsidRPr="002E6963" w:rsidTr="00107E85">
        <w:trPr>
          <w:cantSplit/>
        </w:trPr>
        <w:tc>
          <w:tcPr>
            <w:tcW w:w="9888" w:type="dxa"/>
            <w:gridSpan w:val="3"/>
          </w:tcPr>
          <w:p w:rsidR="00AC6F14" w:rsidRPr="00A721F4" w:rsidRDefault="002C0879" w:rsidP="002C0879">
            <w:pPr>
              <w:pStyle w:val="Title1"/>
              <w:spacing w:before="120" w:after="120"/>
              <w:jc w:val="center"/>
              <w:rPr>
                <w:b w:val="0"/>
                <w:bCs/>
                <w:sz w:val="28"/>
                <w:szCs w:val="28"/>
              </w:rPr>
            </w:pPr>
            <w:bookmarkStart w:id="5" w:name="Title"/>
            <w:bookmarkEnd w:id="5"/>
            <w:r>
              <w:rPr>
                <w:b w:val="0"/>
                <w:bCs/>
                <w:sz w:val="28"/>
                <w:szCs w:val="28"/>
              </w:rPr>
              <w:t xml:space="preserve">ITU-D </w:t>
            </w:r>
            <w:r w:rsidR="00811389">
              <w:rPr>
                <w:b w:val="0"/>
                <w:bCs/>
                <w:sz w:val="28"/>
                <w:szCs w:val="28"/>
              </w:rPr>
              <w:t>PROJECTS</w:t>
            </w:r>
            <w:r w:rsidR="00811389" w:rsidRPr="00A721F4">
              <w:rPr>
                <w:b w:val="0"/>
                <w:bCs/>
                <w:sz w:val="28"/>
                <w:szCs w:val="28"/>
              </w:rPr>
              <w:t xml:space="preserve"> </w:t>
            </w: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811389" w:rsidRPr="00811389" w:rsidRDefault="00811389" w:rsidP="00BC0574">
            <w:pPr>
              <w:rPr>
                <w:b/>
                <w:bCs/>
              </w:rPr>
            </w:pPr>
            <w:r w:rsidRPr="00811389">
              <w:rPr>
                <w:b/>
                <w:bCs/>
              </w:rPr>
              <w:t xml:space="preserve">Summary: </w:t>
            </w:r>
          </w:p>
          <w:p w:rsidR="00811389" w:rsidRPr="00811389" w:rsidRDefault="00811389" w:rsidP="00BC0574">
            <w:r w:rsidRPr="00811389">
              <w:t>As stipulated by the ITU Constitution, a key function of the ITU Telecommunication Development Sector is to fulfil the purposes of the Union's dual responsibility, as a United Nations specialized agency and as an executing agency, by implementing projects to facilitate and enhance telecommunications development technology by offering, organizing and coordinating technical cooperation and assistance activities.</w:t>
            </w:r>
          </w:p>
          <w:p w:rsidR="00811389" w:rsidRPr="00811389" w:rsidRDefault="00811389" w:rsidP="00811389">
            <w:r w:rsidRPr="00811389">
              <w:t>This document presents an overview of the outcomes related to ITU project</w:t>
            </w:r>
            <w:r>
              <w:t xml:space="preserve"> implementation in</w:t>
            </w:r>
            <w:r w:rsidRPr="00811389">
              <w:t xml:space="preserve"> six regions of ITU’s Telecommunication Development Sector, namely Africa, Americas, Arab States, Asia-Pacific, Commonwealth of Independent States (CIS) and Europe.</w:t>
            </w:r>
          </w:p>
          <w:p w:rsidR="00811389" w:rsidRPr="00811389" w:rsidRDefault="00811389" w:rsidP="00811389">
            <w:pPr>
              <w:rPr>
                <w:b/>
                <w:bCs/>
              </w:rPr>
            </w:pPr>
            <w:r w:rsidRPr="00811389">
              <w:rPr>
                <w:b/>
                <w:bCs/>
              </w:rPr>
              <w:t>Action required:</w:t>
            </w:r>
          </w:p>
          <w:p w:rsidR="00811389" w:rsidRPr="00811389" w:rsidRDefault="00811389" w:rsidP="00811389">
            <w:pPr>
              <w:rPr>
                <w:b/>
                <w:bCs/>
              </w:rPr>
            </w:pPr>
            <w:r w:rsidRPr="00811389">
              <w:t>TDAG is invited to note this report and to provide guidance as deemed appropriate.</w:t>
            </w:r>
          </w:p>
          <w:p w:rsidR="00811389" w:rsidRPr="00811389" w:rsidRDefault="00811389" w:rsidP="00811389">
            <w:pPr>
              <w:rPr>
                <w:b/>
                <w:bCs/>
              </w:rPr>
            </w:pPr>
            <w:r w:rsidRPr="00811389">
              <w:rPr>
                <w:b/>
                <w:bCs/>
              </w:rPr>
              <w:t>Reference:</w:t>
            </w:r>
          </w:p>
          <w:p w:rsidR="00A721F4" w:rsidRPr="00D9621A" w:rsidRDefault="00811389" w:rsidP="00317E1C">
            <w:r w:rsidRPr="00811389">
              <w:t>WTDC Resolutions 17 and 52 (Rev. Dubai, 2014), PP Resolution 157 (Rev. Busan, 2014) and Decision 13 (Busan, 2014)</w:t>
            </w:r>
          </w:p>
        </w:tc>
      </w:tr>
    </w:tbl>
    <w:p w:rsidR="00811389" w:rsidRPr="00D41F2E" w:rsidRDefault="00811389" w:rsidP="00811389">
      <w:pPr>
        <w:pStyle w:val="Heading2"/>
        <w:keepLines w:val="0"/>
        <w:numPr>
          <w:ilvl w:val="0"/>
          <w:numId w:val="8"/>
        </w:numPr>
        <w:tabs>
          <w:tab w:val="clear" w:pos="794"/>
        </w:tabs>
        <w:spacing w:before="240"/>
        <w:ind w:left="357" w:hanging="357"/>
      </w:pPr>
      <w:bookmarkStart w:id="6" w:name="Proposal"/>
      <w:bookmarkStart w:id="7" w:name="dbreak"/>
      <w:bookmarkEnd w:id="6"/>
      <w:bookmarkEnd w:id="7"/>
      <w:r>
        <w:t>Introduction</w:t>
      </w:r>
    </w:p>
    <w:p w:rsidR="00811389" w:rsidRDefault="00811389" w:rsidP="00811389">
      <w:pPr>
        <w:pStyle w:val="ListParagraph"/>
        <w:ind w:left="0"/>
        <w:contextualSpacing w:val="0"/>
      </w:pPr>
      <w:r>
        <w:t>Considering WTDC-14 Resolutions 17 and 52, and PP-14 Resolution 157 and Decision 13 in relation to strengthening the executing agency role of the ITU Telecommunication Development Sector, to strengthen the project execution function in the ITU, and to implement regionally approved Initiatives at the national, regional, interregional and global levels, the BDT has undertaken a significant number of actions and activities to develop and implement projects.</w:t>
      </w:r>
    </w:p>
    <w:p w:rsidR="00811389" w:rsidRDefault="00811389" w:rsidP="00811389">
      <w:pPr>
        <w:pStyle w:val="ListParagraph"/>
        <w:ind w:left="0"/>
        <w:contextualSpacing w:val="0"/>
      </w:pPr>
      <w:r w:rsidRPr="0072021E">
        <w:rPr>
          <w:lang w:val="en-US"/>
        </w:rPr>
        <w:t xml:space="preserve">ITU projects </w:t>
      </w:r>
      <w:r>
        <w:rPr>
          <w:lang w:val="en-US"/>
        </w:rPr>
        <w:t>are making a</w:t>
      </w:r>
      <w:r w:rsidRPr="0072021E">
        <w:rPr>
          <w:lang w:val="en-US"/>
        </w:rPr>
        <w:t xml:space="preserve"> difference in the lives of people and offer sustainable and innovative solutions around the world to achieve development through ICT.</w:t>
      </w:r>
      <w:r>
        <w:rPr>
          <w:lang w:val="en-US"/>
        </w:rPr>
        <w:t xml:space="preserve"> ITU offers</w:t>
      </w:r>
      <w:r w:rsidRPr="00A11CCE">
        <w:rPr>
          <w:lang w:val="en-US"/>
        </w:rPr>
        <w:t xml:space="preserve"> tailor</w:t>
      </w:r>
      <w:r>
        <w:rPr>
          <w:lang w:val="en-US"/>
        </w:rPr>
        <w:t>-</w:t>
      </w:r>
      <w:r w:rsidRPr="00A11CCE">
        <w:rPr>
          <w:lang w:val="en-US"/>
        </w:rPr>
        <w:t>made projects for multi-stakeholder needs, with recognized long</w:t>
      </w:r>
      <w:r>
        <w:rPr>
          <w:lang w:val="en-US"/>
        </w:rPr>
        <w:t>-</w:t>
      </w:r>
      <w:r w:rsidRPr="00A11CCE">
        <w:rPr>
          <w:lang w:val="en-US"/>
        </w:rPr>
        <w:t>standing tech</w:t>
      </w:r>
      <w:bookmarkStart w:id="8" w:name="_GoBack"/>
      <w:bookmarkEnd w:id="8"/>
      <w:r w:rsidRPr="00A11CCE">
        <w:rPr>
          <w:lang w:val="en-US"/>
        </w:rPr>
        <w:t>nical expertise in the ICT fie</w:t>
      </w:r>
      <w:r>
        <w:rPr>
          <w:lang w:val="en-US"/>
        </w:rPr>
        <w:t xml:space="preserve">ld and comprehensive project management experience. </w:t>
      </w:r>
    </w:p>
    <w:p w:rsidR="00811389" w:rsidRDefault="00811389" w:rsidP="00811389">
      <w:pPr>
        <w:pStyle w:val="ListParagraph"/>
        <w:ind w:left="0"/>
        <w:contextualSpacing w:val="0"/>
      </w:pPr>
      <w:r>
        <w:t xml:space="preserve">BDT has continued to improve and take the necessary steps to strengthen its project execution role, by developing and refining the necessary tools, methodologies, guidelines, templates, standards, </w:t>
      </w:r>
      <w:proofErr w:type="gramStart"/>
      <w:r>
        <w:t>database</w:t>
      </w:r>
      <w:proofErr w:type="gramEnd"/>
      <w:r>
        <w:t xml:space="preserve">, website and training related to projects and project management. </w:t>
      </w:r>
    </w:p>
    <w:p w:rsidR="00811389" w:rsidRDefault="00811389" w:rsidP="00811389">
      <w:pPr>
        <w:pStyle w:val="ListParagraph"/>
        <w:ind w:left="0"/>
        <w:contextualSpacing w:val="0"/>
      </w:pPr>
      <w:r>
        <w:t>The ongoing application of a results-based management approach, has also resulted in improved management, better implementation, enhanced auditing and monitoring, better accountability and the achievement of the planned results and objectives of projects.</w:t>
      </w:r>
    </w:p>
    <w:p w:rsidR="00811389" w:rsidRDefault="00811389" w:rsidP="00811389">
      <w:pPr>
        <w:pStyle w:val="Heading2"/>
        <w:keepLines w:val="0"/>
        <w:numPr>
          <w:ilvl w:val="0"/>
          <w:numId w:val="8"/>
        </w:numPr>
        <w:tabs>
          <w:tab w:val="clear" w:pos="794"/>
        </w:tabs>
        <w:spacing w:before="120"/>
        <w:ind w:left="357" w:hanging="357"/>
      </w:pPr>
      <w:r>
        <w:lastRenderedPageBreak/>
        <w:t>Overall project i</w:t>
      </w:r>
      <w:r w:rsidRPr="008F7D7F">
        <w:t xml:space="preserve">mplementation </w:t>
      </w:r>
    </w:p>
    <w:p w:rsidR="00811389" w:rsidRDefault="00811389" w:rsidP="00811389">
      <w:pPr>
        <w:pStyle w:val="ListParagraph"/>
        <w:ind w:left="0"/>
        <w:contextualSpacing w:val="0"/>
      </w:pPr>
      <w:r>
        <w:t xml:space="preserve">Since 2007, BDT has implemented a total of </w:t>
      </w:r>
      <w:r w:rsidR="00EB4349">
        <w:t>211</w:t>
      </w:r>
      <w:r>
        <w:t xml:space="preserve"> small, medium and large projects at national, regional, interregional and global levels. </w:t>
      </w:r>
      <w:r w:rsidR="00EB4349">
        <w:t>128</w:t>
      </w:r>
      <w:r>
        <w:t xml:space="preserve"> developing and least developed countries have benefited from the above mentioned implemented projects. </w:t>
      </w:r>
    </w:p>
    <w:p w:rsidR="00811389" w:rsidRDefault="00811389" w:rsidP="00811389">
      <w:pPr>
        <w:pStyle w:val="Heading2"/>
        <w:keepLines w:val="0"/>
        <w:numPr>
          <w:ilvl w:val="0"/>
          <w:numId w:val="8"/>
        </w:numPr>
        <w:tabs>
          <w:tab w:val="clear" w:pos="794"/>
        </w:tabs>
        <w:spacing w:before="120"/>
        <w:ind w:left="357" w:hanging="357"/>
      </w:pPr>
      <w:r w:rsidRPr="000307D5">
        <w:t xml:space="preserve">Project portfolio </w:t>
      </w:r>
    </w:p>
    <w:p w:rsidR="00811389" w:rsidRPr="002140BD" w:rsidRDefault="00811389" w:rsidP="00811389">
      <w:pPr>
        <w:pStyle w:val="Heading2"/>
        <w:keepNext w:val="0"/>
        <w:keepLines w:val="0"/>
        <w:tabs>
          <w:tab w:val="clear" w:pos="794"/>
        </w:tabs>
        <w:spacing w:before="120"/>
        <w:ind w:left="0" w:firstLine="0"/>
        <w:rPr>
          <w:b w:val="0"/>
          <w:bCs/>
        </w:rPr>
      </w:pPr>
      <w:r w:rsidRPr="002140BD">
        <w:rPr>
          <w:b w:val="0"/>
          <w:bCs/>
        </w:rPr>
        <w:t xml:space="preserve">The current ITU project portfolio </w:t>
      </w:r>
      <w:r>
        <w:rPr>
          <w:b w:val="0"/>
          <w:bCs/>
        </w:rPr>
        <w:t>has</w:t>
      </w:r>
      <w:r w:rsidRPr="002140BD">
        <w:rPr>
          <w:b w:val="0"/>
          <w:bCs/>
        </w:rPr>
        <w:t xml:space="preserve"> 6</w:t>
      </w:r>
      <w:r>
        <w:rPr>
          <w:b w:val="0"/>
          <w:bCs/>
        </w:rPr>
        <w:t>1</w:t>
      </w:r>
      <w:r w:rsidRPr="002140BD">
        <w:rPr>
          <w:b w:val="0"/>
          <w:bCs/>
        </w:rPr>
        <w:t xml:space="preserve"> ongoing projects, with an implementation budget of </w:t>
      </w:r>
      <w:r>
        <w:rPr>
          <w:b w:val="0"/>
          <w:bCs/>
        </w:rPr>
        <w:t xml:space="preserve">CHF </w:t>
      </w:r>
      <w:r w:rsidRPr="00EB4349">
        <w:rPr>
          <w:b w:val="0"/>
          <w:bCs/>
        </w:rPr>
        <w:t>62,674,960 as of December 2016</w:t>
      </w:r>
      <w:r w:rsidRPr="002140BD">
        <w:rPr>
          <w:b w:val="0"/>
          <w:bCs/>
        </w:rPr>
        <w:t xml:space="preserve"> (Annex 1). </w:t>
      </w:r>
      <w:r w:rsidR="00EB4349">
        <w:rPr>
          <w:b w:val="0"/>
          <w:bCs/>
        </w:rPr>
        <w:t>18</w:t>
      </w:r>
      <w:r w:rsidRPr="002140BD">
        <w:rPr>
          <w:b w:val="0"/>
          <w:bCs/>
        </w:rPr>
        <w:t xml:space="preserve"> new projects</w:t>
      </w:r>
      <w:r w:rsidR="00BD18EB">
        <w:rPr>
          <w:b w:val="0"/>
          <w:bCs/>
        </w:rPr>
        <w:t>, with an implementation budget of around CHF</w:t>
      </w:r>
      <w:r w:rsidRPr="002140BD">
        <w:rPr>
          <w:b w:val="0"/>
          <w:bCs/>
        </w:rPr>
        <w:t xml:space="preserve"> </w:t>
      </w:r>
      <w:r w:rsidR="00BD18EB">
        <w:rPr>
          <w:b w:val="0"/>
          <w:bCs/>
        </w:rPr>
        <w:t xml:space="preserve">3 million </w:t>
      </w:r>
      <w:r w:rsidRPr="002140BD">
        <w:rPr>
          <w:b w:val="0"/>
          <w:bCs/>
        </w:rPr>
        <w:t>were developed and signed in 201</w:t>
      </w:r>
      <w:r>
        <w:rPr>
          <w:b w:val="0"/>
          <w:bCs/>
        </w:rPr>
        <w:t>6</w:t>
      </w:r>
      <w:r w:rsidRPr="002140BD">
        <w:rPr>
          <w:b w:val="0"/>
          <w:bCs/>
        </w:rPr>
        <w:t xml:space="preserve"> (Annex 2).</w:t>
      </w:r>
    </w:p>
    <w:p w:rsidR="00811389" w:rsidRDefault="00811389" w:rsidP="000B35F4">
      <w:pPr>
        <w:pStyle w:val="ListParagraph"/>
        <w:ind w:left="0"/>
        <w:contextualSpacing w:val="0"/>
      </w:pPr>
      <w:r>
        <w:t>Most projects are developed for Member States, co-financed by ITU and external partners.</w:t>
      </w:r>
    </w:p>
    <w:p w:rsidR="00811389" w:rsidRPr="002140BD" w:rsidRDefault="00811389" w:rsidP="00811389">
      <w:pPr>
        <w:pStyle w:val="ListParagraph"/>
        <w:keepNext/>
        <w:numPr>
          <w:ilvl w:val="0"/>
          <w:numId w:val="8"/>
        </w:numPr>
        <w:tabs>
          <w:tab w:val="clear" w:pos="1134"/>
          <w:tab w:val="clear" w:pos="1871"/>
          <w:tab w:val="clear" w:pos="2268"/>
          <w:tab w:val="left" w:pos="1191"/>
          <w:tab w:val="left" w:pos="1588"/>
          <w:tab w:val="left" w:pos="1985"/>
        </w:tabs>
        <w:ind w:left="357" w:hanging="357"/>
        <w:contextualSpacing w:val="0"/>
        <w:rPr>
          <w:b/>
          <w:bCs/>
        </w:rPr>
      </w:pPr>
      <w:r w:rsidRPr="002140BD">
        <w:rPr>
          <w:b/>
          <w:bCs/>
        </w:rPr>
        <w:t>Ongoing projects by region</w:t>
      </w:r>
    </w:p>
    <w:p w:rsidR="00811389" w:rsidRDefault="00811389" w:rsidP="00811389">
      <w:pPr>
        <w:tabs>
          <w:tab w:val="clear" w:pos="794"/>
        </w:tabs>
      </w:pPr>
      <w:r w:rsidRPr="003F6E72">
        <w:t>The following is a distribution of the 6</w:t>
      </w:r>
      <w:r>
        <w:t>1</w:t>
      </w:r>
      <w:r w:rsidRPr="003F6E72">
        <w:t xml:space="preserve"> ongoing projects as of December 201</w:t>
      </w:r>
      <w:r>
        <w:t>6</w:t>
      </w:r>
      <w:r w:rsidRPr="003F6E72">
        <w:t xml:space="preserve">, based on regional distribution. The Asia-Pacific region currently has </w:t>
      </w:r>
      <w:r>
        <w:t>17</w:t>
      </w:r>
      <w:r w:rsidRPr="003F6E72">
        <w:t xml:space="preserve"> projects, 15 in the Africa region, </w:t>
      </w:r>
      <w:r>
        <w:t>6</w:t>
      </w:r>
      <w:r w:rsidRPr="003F6E72">
        <w:t xml:space="preserve"> projects in the Americas region and </w:t>
      </w:r>
      <w:r>
        <w:t>10</w:t>
      </w:r>
      <w:r w:rsidRPr="003F6E72">
        <w:t xml:space="preserve"> projects in the Arab region. In addition to the regional</w:t>
      </w:r>
      <w:r>
        <w:t xml:space="preserve"> projects there are 13 global projects.</w:t>
      </w:r>
    </w:p>
    <w:p w:rsidR="00811389" w:rsidRDefault="005873B6" w:rsidP="00C25C02">
      <w:pPr>
        <w:tabs>
          <w:tab w:val="clear" w:pos="794"/>
        </w:tabs>
      </w:pPr>
      <w:r>
        <w:rPr>
          <w:noProof/>
          <w:lang w:eastAsia="zh-CN"/>
        </w:rPr>
        <w:drawing>
          <wp:anchor distT="0" distB="0" distL="114300" distR="114300" simplePos="0" relativeHeight="251671552" behindDoc="1" locked="0" layoutInCell="1" allowOverlap="1">
            <wp:simplePos x="0" y="0"/>
            <wp:positionH relativeFrom="margin">
              <wp:posOffset>1146175</wp:posOffset>
            </wp:positionH>
            <wp:positionV relativeFrom="paragraph">
              <wp:posOffset>76200</wp:posOffset>
            </wp:positionV>
            <wp:extent cx="4543425" cy="2695575"/>
            <wp:effectExtent l="0" t="0" r="9525" b="9525"/>
            <wp:wrapTight wrapText="bothSides">
              <wp:wrapPolygon edited="0">
                <wp:start x="0" y="0"/>
                <wp:lineTo x="0" y="21524"/>
                <wp:lineTo x="21555" y="21524"/>
                <wp:lineTo x="21555"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811389" w:rsidRDefault="00811389" w:rsidP="00811389">
      <w:pPr>
        <w:tabs>
          <w:tab w:val="clear" w:pos="794"/>
        </w:tabs>
        <w:ind w:left="142"/>
        <w:jc w:val="center"/>
      </w:pPr>
    </w:p>
    <w:p w:rsidR="00811389" w:rsidRDefault="00811389"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5873B6" w:rsidP="00811389">
      <w:pPr>
        <w:jc w:val="center"/>
        <w:rPr>
          <w:noProof/>
          <w:lang w:val="en-US" w:eastAsia="zh-CN"/>
        </w:rPr>
      </w:pPr>
      <w:r>
        <w:rPr>
          <w:noProof/>
          <w:lang w:eastAsia="zh-CN"/>
        </w:rPr>
        <w:drawing>
          <wp:anchor distT="0" distB="0" distL="114300" distR="114300" simplePos="0" relativeHeight="251670528" behindDoc="0" locked="0" layoutInCell="1" allowOverlap="1">
            <wp:simplePos x="0" y="0"/>
            <wp:positionH relativeFrom="column">
              <wp:posOffset>1127760</wp:posOffset>
            </wp:positionH>
            <wp:positionV relativeFrom="paragraph">
              <wp:posOffset>49530</wp:posOffset>
            </wp:positionV>
            <wp:extent cx="4552950" cy="2752725"/>
            <wp:effectExtent l="0" t="0" r="0" b="9525"/>
            <wp:wrapThrough wrapText="bothSides">
              <wp:wrapPolygon edited="0">
                <wp:start x="0" y="0"/>
                <wp:lineTo x="0" y="21525"/>
                <wp:lineTo x="21510" y="21525"/>
                <wp:lineTo x="21510" y="0"/>
                <wp:lineTo x="0" y="0"/>
              </wp:wrapPolygon>
            </wp:wrapThrough>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3B3936" w:rsidRDefault="003B3936" w:rsidP="00811389">
      <w:pPr>
        <w:jc w:val="center"/>
        <w:rPr>
          <w:noProof/>
          <w:lang w:val="en-US" w:eastAsia="zh-CN"/>
        </w:rPr>
      </w:pPr>
    </w:p>
    <w:p w:rsidR="00015448" w:rsidRPr="00015448" w:rsidRDefault="00015448" w:rsidP="00015448">
      <w:pPr>
        <w:pStyle w:val="Footer"/>
        <w:jc w:val="center"/>
        <w:rPr>
          <w:lang w:val="en-US"/>
        </w:rPr>
      </w:pPr>
    </w:p>
    <w:p w:rsidR="003B3936" w:rsidRDefault="003B3936" w:rsidP="00811389">
      <w:pPr>
        <w:jc w:val="center"/>
        <w:rPr>
          <w:noProof/>
          <w:lang w:val="en-US" w:eastAsia="zh-CN"/>
        </w:rPr>
      </w:pPr>
    </w:p>
    <w:p w:rsidR="00811389" w:rsidRPr="000307D5" w:rsidRDefault="00811389" w:rsidP="00811389">
      <w:pPr>
        <w:pStyle w:val="Heading2"/>
        <w:keepLines w:val="0"/>
        <w:numPr>
          <w:ilvl w:val="0"/>
          <w:numId w:val="8"/>
        </w:numPr>
        <w:tabs>
          <w:tab w:val="clear" w:pos="794"/>
        </w:tabs>
        <w:spacing w:before="120"/>
        <w:ind w:left="357" w:hanging="357"/>
      </w:pPr>
      <w:r>
        <w:lastRenderedPageBreak/>
        <w:t>Ongoing projects by areas of action</w:t>
      </w:r>
      <w:r w:rsidRPr="000307D5">
        <w:t xml:space="preserve"> </w:t>
      </w:r>
    </w:p>
    <w:p w:rsidR="00811389" w:rsidRDefault="00811389" w:rsidP="00811389">
      <w:pPr>
        <w:pStyle w:val="ListParagraph"/>
        <w:ind w:left="0"/>
      </w:pPr>
      <w:r>
        <w:t>The following is a distribution of the 61 ongoing projects (</w:t>
      </w:r>
      <w:r w:rsidR="00C25C02">
        <w:t xml:space="preserve">as of </w:t>
      </w:r>
      <w:r>
        <w:t>December 2016), based on the BDT areas of action. Most projects fall into the areas of action of Technology and Network Development; Regulatory and Market Environment and Capacity Building.</w:t>
      </w:r>
      <w:r w:rsidRPr="001A3B3F">
        <w:t xml:space="preserve"> </w:t>
      </w:r>
      <w:r w:rsidRPr="00CE1C77">
        <w:rPr>
          <w:rStyle w:val="FootnoteReference"/>
        </w:rPr>
        <w:t xml:space="preserve"> </w:t>
      </w:r>
      <w:r>
        <w:rPr>
          <w:rStyle w:val="FootnoteReference"/>
        </w:rPr>
        <w:footnoteReference w:id="1"/>
      </w:r>
    </w:p>
    <w:p w:rsidR="00811389" w:rsidRDefault="00811389" w:rsidP="00811389">
      <w:pPr>
        <w:pStyle w:val="ListParagraph"/>
        <w:ind w:left="0"/>
      </w:pPr>
    </w:p>
    <w:p w:rsidR="00811389" w:rsidRDefault="00811389" w:rsidP="00B22D4D">
      <w:pPr>
        <w:pStyle w:val="ListParagraph"/>
        <w:ind w:left="142"/>
      </w:pPr>
      <w:r>
        <w:rPr>
          <w:noProof/>
          <w:lang w:eastAsia="zh-CN"/>
        </w:rPr>
        <w:drawing>
          <wp:inline distT="0" distB="0" distL="0" distR="0" wp14:anchorId="5217CD45" wp14:editId="762AA572">
            <wp:extent cx="5920740" cy="2461260"/>
            <wp:effectExtent l="0" t="0" r="381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1389" w:rsidRDefault="00811389" w:rsidP="00811389">
      <w:pPr>
        <w:pStyle w:val="Heading2"/>
        <w:keepLines w:val="0"/>
        <w:numPr>
          <w:ilvl w:val="0"/>
          <w:numId w:val="8"/>
        </w:numPr>
        <w:tabs>
          <w:tab w:val="clear" w:pos="794"/>
        </w:tabs>
        <w:spacing w:before="120"/>
        <w:ind w:left="357" w:hanging="357"/>
      </w:pPr>
      <w:r>
        <w:t>Funding sources for projects</w:t>
      </w:r>
    </w:p>
    <w:p w:rsidR="00811389" w:rsidRDefault="00811389" w:rsidP="00811389">
      <w:r>
        <w:t xml:space="preserve">ITU Projects are funded mostly through extra-budgetary resources. Projects have four types of funding sources: Funds in Trust (FIT), ICT Development Fund (ICTDF), Voluntary contributions and Regular Budget.  Most projects have at least two funding sources. </w:t>
      </w:r>
    </w:p>
    <w:p w:rsidR="00811389" w:rsidRDefault="00811389" w:rsidP="00811389">
      <w:r>
        <w:t>Based on the ongoing budget for the implementation of projects, 88% corresponds to Funds in Trust, 9% to the ICTDF and 3% to the BDT Operational Plan.</w:t>
      </w:r>
    </w:p>
    <w:p w:rsidR="00811389" w:rsidRDefault="00811389" w:rsidP="00811389">
      <w:r>
        <w:t xml:space="preserve">ICTDF funds are granted as seed money for projects in developing and least developed countries. Projects are chosen, based on their potential long-term sustainable impact and their facilitation of multi-national cooperation and partnership. </w:t>
      </w:r>
    </w:p>
    <w:p w:rsidR="00811389" w:rsidRDefault="00811389" w:rsidP="00811389">
      <w:pPr>
        <w:pStyle w:val="Heading2"/>
        <w:keepLines w:val="0"/>
        <w:numPr>
          <w:ilvl w:val="0"/>
          <w:numId w:val="8"/>
        </w:numPr>
        <w:tabs>
          <w:tab w:val="clear" w:pos="794"/>
        </w:tabs>
        <w:spacing w:before="120"/>
        <w:ind w:left="357" w:hanging="357"/>
      </w:pPr>
      <w:r>
        <w:t>Lessons learned, challenges and opportunities</w:t>
      </w:r>
    </w:p>
    <w:p w:rsidR="00811389" w:rsidRPr="00965E2F" w:rsidRDefault="00C25C02" w:rsidP="000B35F4">
      <w:pPr>
        <w:pStyle w:val="ListParagraph"/>
        <w:numPr>
          <w:ilvl w:val="0"/>
          <w:numId w:val="9"/>
        </w:numPr>
        <w:ind w:left="567" w:hanging="567"/>
        <w:rPr>
          <w:lang w:val="en-US"/>
        </w:rPr>
      </w:pPr>
      <w:r w:rsidRPr="00965E2F">
        <w:rPr>
          <w:lang w:val="en-US"/>
        </w:rPr>
        <w:t xml:space="preserve">The </w:t>
      </w:r>
      <w:r w:rsidR="00811389" w:rsidRPr="00965E2F">
        <w:rPr>
          <w:lang w:val="en-US"/>
        </w:rPr>
        <w:t xml:space="preserve">project execution function of BDT </w:t>
      </w:r>
      <w:r w:rsidRPr="00965E2F">
        <w:rPr>
          <w:lang w:val="en-US"/>
        </w:rPr>
        <w:t>is</w:t>
      </w:r>
      <w:r w:rsidR="00811389" w:rsidRPr="00965E2F">
        <w:rPr>
          <w:lang w:val="en-US"/>
        </w:rPr>
        <w:t xml:space="preserve"> one </w:t>
      </w:r>
      <w:r w:rsidRPr="00965E2F">
        <w:rPr>
          <w:lang w:val="en-US"/>
        </w:rPr>
        <w:t xml:space="preserve">of the </w:t>
      </w:r>
      <w:r w:rsidR="00BA5F7B" w:rsidRPr="00965E2F">
        <w:rPr>
          <w:lang w:val="en-US"/>
        </w:rPr>
        <w:t>strengths</w:t>
      </w:r>
      <w:r w:rsidR="00811389" w:rsidRPr="00965E2F">
        <w:rPr>
          <w:lang w:val="en-US"/>
        </w:rPr>
        <w:t xml:space="preserve"> </w:t>
      </w:r>
      <w:r w:rsidR="00BA5F7B" w:rsidRPr="00965E2F">
        <w:rPr>
          <w:lang w:val="en-US"/>
        </w:rPr>
        <w:t xml:space="preserve">of </w:t>
      </w:r>
      <w:r w:rsidR="00811389" w:rsidRPr="00965E2F">
        <w:rPr>
          <w:lang w:val="en-US"/>
        </w:rPr>
        <w:t>BDT</w:t>
      </w:r>
      <w:r w:rsidRPr="00965E2F">
        <w:rPr>
          <w:lang w:val="en-US"/>
        </w:rPr>
        <w:t xml:space="preserve">. To this end, </w:t>
      </w:r>
      <w:r w:rsidR="00BA5F7B" w:rsidRPr="00965E2F">
        <w:rPr>
          <w:lang w:val="en-US"/>
        </w:rPr>
        <w:t xml:space="preserve">the </w:t>
      </w:r>
      <w:r w:rsidRPr="00965E2F">
        <w:rPr>
          <w:lang w:val="en-US"/>
        </w:rPr>
        <w:t>BDT continues</w:t>
      </w:r>
      <w:r w:rsidR="00BA5F7B" w:rsidRPr="00965E2F">
        <w:rPr>
          <w:lang w:val="en-US"/>
        </w:rPr>
        <w:t xml:space="preserve"> to monitor, analyze the challenges as well as</w:t>
      </w:r>
      <w:r w:rsidR="00811389" w:rsidRPr="00965E2F">
        <w:rPr>
          <w:lang w:val="en-US"/>
        </w:rPr>
        <w:t xml:space="preserve"> opportunities </w:t>
      </w:r>
      <w:r w:rsidR="00BA5F7B" w:rsidRPr="00965E2F">
        <w:rPr>
          <w:lang w:val="en-US"/>
        </w:rPr>
        <w:t xml:space="preserve">in the area of project execution. In order to promote transparency and accountability, </w:t>
      </w:r>
      <w:r w:rsidRPr="00965E2F">
        <w:rPr>
          <w:lang w:val="en-US"/>
        </w:rPr>
        <w:t xml:space="preserve">BDT </w:t>
      </w:r>
      <w:r w:rsidR="00BA5F7B" w:rsidRPr="00965E2F">
        <w:rPr>
          <w:lang w:val="en-US"/>
        </w:rPr>
        <w:t xml:space="preserve">strictly </w:t>
      </w:r>
      <w:r w:rsidRPr="00965E2F">
        <w:rPr>
          <w:lang w:val="en-US"/>
        </w:rPr>
        <w:t>follow</w:t>
      </w:r>
      <w:r w:rsidR="00BA5F7B" w:rsidRPr="00965E2F">
        <w:rPr>
          <w:lang w:val="en-US"/>
        </w:rPr>
        <w:t>s</w:t>
      </w:r>
      <w:r w:rsidR="00811389" w:rsidRPr="00965E2F">
        <w:rPr>
          <w:lang w:val="en-US"/>
        </w:rPr>
        <w:t xml:space="preserve"> R</w:t>
      </w:r>
      <w:r w:rsidR="00BA5F7B" w:rsidRPr="00965E2F">
        <w:rPr>
          <w:lang w:val="en-US"/>
        </w:rPr>
        <w:t xml:space="preserve">esults Based Management guidelines as we implement a host of projects. </w:t>
      </w:r>
      <w:r w:rsidR="00811389" w:rsidRPr="00965E2F">
        <w:rPr>
          <w:lang w:val="en-US"/>
        </w:rPr>
        <w:t xml:space="preserve"> </w:t>
      </w:r>
      <w:r w:rsidR="00965E2F" w:rsidRPr="00965E2F">
        <w:rPr>
          <w:lang w:val="en-US"/>
        </w:rPr>
        <w:t>S</w:t>
      </w:r>
      <w:r w:rsidRPr="00965E2F">
        <w:rPr>
          <w:lang w:val="en-US"/>
        </w:rPr>
        <w:t xml:space="preserve">pecial attention is </w:t>
      </w:r>
      <w:r w:rsidR="00965E2F" w:rsidRPr="00965E2F">
        <w:rPr>
          <w:lang w:val="en-US"/>
        </w:rPr>
        <w:t>given</w:t>
      </w:r>
      <w:r w:rsidR="00811389" w:rsidRPr="00965E2F">
        <w:rPr>
          <w:lang w:val="en-US"/>
        </w:rPr>
        <w:t xml:space="preserve"> </w:t>
      </w:r>
      <w:r w:rsidRPr="00965E2F">
        <w:rPr>
          <w:lang w:val="en-US"/>
        </w:rPr>
        <w:t xml:space="preserve">to ensure that </w:t>
      </w:r>
      <w:r w:rsidR="00811389" w:rsidRPr="00965E2F">
        <w:rPr>
          <w:lang w:val="en-US"/>
        </w:rPr>
        <w:t xml:space="preserve">Key Performance Indicators </w:t>
      </w:r>
      <w:r w:rsidR="00965E2F" w:rsidRPr="00965E2F">
        <w:rPr>
          <w:lang w:val="en-US"/>
        </w:rPr>
        <w:t xml:space="preserve">(KPIs) </w:t>
      </w:r>
      <w:r w:rsidRPr="00965E2F">
        <w:rPr>
          <w:lang w:val="en-US"/>
        </w:rPr>
        <w:t xml:space="preserve">are </w:t>
      </w:r>
      <w:r w:rsidR="00965E2F" w:rsidRPr="00965E2F">
        <w:rPr>
          <w:lang w:val="en-US"/>
        </w:rPr>
        <w:t xml:space="preserve">clearly </w:t>
      </w:r>
      <w:r w:rsidRPr="00965E2F">
        <w:rPr>
          <w:lang w:val="en-US"/>
        </w:rPr>
        <w:t xml:space="preserve">defined </w:t>
      </w:r>
      <w:r w:rsidR="00965E2F" w:rsidRPr="00965E2F">
        <w:rPr>
          <w:lang w:val="en-US"/>
        </w:rPr>
        <w:t>for each project. During the course of carrying out project evaluations, assessments are carried out against the set KPIs.</w:t>
      </w:r>
      <w:r w:rsidR="00811389" w:rsidRPr="00965E2F">
        <w:rPr>
          <w:lang w:val="en-US"/>
        </w:rPr>
        <w:t xml:space="preserve"> </w:t>
      </w:r>
    </w:p>
    <w:p w:rsidR="00811389" w:rsidRPr="00965E2F" w:rsidRDefault="00965E2F" w:rsidP="000B35F4">
      <w:pPr>
        <w:pStyle w:val="ListParagraph"/>
        <w:numPr>
          <w:ilvl w:val="0"/>
          <w:numId w:val="9"/>
        </w:numPr>
        <w:ind w:left="567" w:hanging="567"/>
        <w:rPr>
          <w:lang w:val="en-US"/>
        </w:rPr>
      </w:pPr>
      <w:r w:rsidRPr="00965E2F">
        <w:rPr>
          <w:lang w:val="en-US"/>
        </w:rPr>
        <w:t>It was evident that internal capacity building was needed on continuous basis as project management practices are evolving all the time. For that reason, t</w:t>
      </w:r>
      <w:r w:rsidR="00C25C02" w:rsidRPr="00965E2F">
        <w:rPr>
          <w:lang w:val="en-US"/>
        </w:rPr>
        <w:t xml:space="preserve">raining courses were run </w:t>
      </w:r>
      <w:r w:rsidRPr="00965E2F">
        <w:rPr>
          <w:lang w:val="en-US"/>
        </w:rPr>
        <w:t>for the project division team who in turn delivered training to other BDT staff as a way of upgrading skills. This included staff at headquarters and those in the field.</w:t>
      </w:r>
      <w:r w:rsidR="00811389" w:rsidRPr="00965E2F">
        <w:rPr>
          <w:lang w:val="en-US"/>
        </w:rPr>
        <w:t xml:space="preserve"> </w:t>
      </w:r>
    </w:p>
    <w:p w:rsidR="00811389" w:rsidRPr="00965E2F" w:rsidRDefault="00965E2F" w:rsidP="000B35F4">
      <w:pPr>
        <w:pStyle w:val="ListParagraph"/>
        <w:numPr>
          <w:ilvl w:val="0"/>
          <w:numId w:val="9"/>
        </w:numPr>
        <w:ind w:left="567" w:hanging="567"/>
        <w:rPr>
          <w:lang w:val="en-US"/>
        </w:rPr>
      </w:pPr>
      <w:r w:rsidRPr="00965E2F">
        <w:rPr>
          <w:lang w:val="en-US"/>
        </w:rPr>
        <w:t xml:space="preserve">Owing to the importance of carrying out </w:t>
      </w:r>
      <w:r w:rsidR="00FB74D0" w:rsidRPr="00965E2F">
        <w:rPr>
          <w:lang w:val="en-US"/>
        </w:rPr>
        <w:t>post-implementation review of the executed</w:t>
      </w:r>
      <w:r w:rsidRPr="00965E2F">
        <w:rPr>
          <w:lang w:val="en-US"/>
        </w:rPr>
        <w:t xml:space="preserve"> projects, several</w:t>
      </w:r>
      <w:r w:rsidR="00FB74D0" w:rsidRPr="00965E2F">
        <w:rPr>
          <w:lang w:val="en-US"/>
        </w:rPr>
        <w:t xml:space="preserve"> evaluation missions were undertaken </w:t>
      </w:r>
      <w:r w:rsidR="00C17E9F" w:rsidRPr="00965E2F">
        <w:rPr>
          <w:lang w:val="en-US"/>
        </w:rPr>
        <w:t>during</w:t>
      </w:r>
      <w:r w:rsidR="00FB74D0" w:rsidRPr="00965E2F">
        <w:rPr>
          <w:lang w:val="en-US"/>
        </w:rPr>
        <w:t xml:space="preserve"> 2016.  Further planning is being undertaken to plan evaluations of implemented projects in 2017. Given the overall number of ongo</w:t>
      </w:r>
      <w:r w:rsidR="003B25F1" w:rsidRPr="00965E2F">
        <w:rPr>
          <w:lang w:val="en-US"/>
        </w:rPr>
        <w:t>ing projects and limited resource</w:t>
      </w:r>
      <w:r w:rsidRPr="00965E2F">
        <w:rPr>
          <w:lang w:val="en-US"/>
        </w:rPr>
        <w:t>s</w:t>
      </w:r>
      <w:r w:rsidR="003B25F1" w:rsidRPr="00965E2F">
        <w:rPr>
          <w:lang w:val="en-US"/>
        </w:rPr>
        <w:t xml:space="preserve">, BDT will continue </w:t>
      </w:r>
      <w:r w:rsidRPr="00965E2F">
        <w:rPr>
          <w:lang w:val="en-US"/>
        </w:rPr>
        <w:t xml:space="preserve">to carry out project </w:t>
      </w:r>
      <w:r w:rsidR="003B25F1" w:rsidRPr="00965E2F">
        <w:rPr>
          <w:lang w:val="en-US"/>
        </w:rPr>
        <w:t>evaluation</w:t>
      </w:r>
      <w:r w:rsidRPr="00965E2F">
        <w:rPr>
          <w:lang w:val="en-US"/>
        </w:rPr>
        <w:t>s</w:t>
      </w:r>
      <w:r w:rsidR="003B25F1" w:rsidRPr="00965E2F">
        <w:rPr>
          <w:lang w:val="en-US"/>
        </w:rPr>
        <w:t xml:space="preserve"> on a selective basis where priority will be given to those projects with high impact. The results of the first ro</w:t>
      </w:r>
      <w:r>
        <w:rPr>
          <w:lang w:val="en-US"/>
        </w:rPr>
        <w:t xml:space="preserve">und </w:t>
      </w:r>
      <w:r>
        <w:rPr>
          <w:lang w:val="en-US"/>
        </w:rPr>
        <w:lastRenderedPageBreak/>
        <w:t>of evaluations underscored the importance of post-implementation site visits, engagement of beneficiary communities, and impact assessments.</w:t>
      </w:r>
      <w:r w:rsidR="00811389" w:rsidRPr="00965E2F">
        <w:rPr>
          <w:lang w:val="en-US"/>
        </w:rPr>
        <w:t xml:space="preserve"> </w:t>
      </w:r>
      <w:r>
        <w:rPr>
          <w:lang w:val="en-US"/>
        </w:rPr>
        <w:t xml:space="preserve">Out of such evaluations, lessons are learnt and serve as inputs to future projects. </w:t>
      </w:r>
      <w:r w:rsidR="00811389" w:rsidRPr="00965E2F">
        <w:rPr>
          <w:lang w:val="en-US"/>
        </w:rPr>
        <w:t xml:space="preserve"> </w:t>
      </w:r>
    </w:p>
    <w:p w:rsidR="002A375E" w:rsidRDefault="003B25F1" w:rsidP="000B35F4">
      <w:pPr>
        <w:pStyle w:val="ListParagraph"/>
        <w:numPr>
          <w:ilvl w:val="0"/>
          <w:numId w:val="9"/>
        </w:numPr>
        <w:ind w:left="567" w:hanging="567"/>
        <w:rPr>
          <w:lang w:val="en-US"/>
        </w:rPr>
      </w:pPr>
      <w:r w:rsidRPr="00965E2F">
        <w:rPr>
          <w:lang w:val="en-US"/>
        </w:rPr>
        <w:t>Externalities</w:t>
      </w:r>
      <w:r w:rsidR="00811389" w:rsidRPr="00965E2F">
        <w:rPr>
          <w:lang w:val="en-US"/>
        </w:rPr>
        <w:t xml:space="preserve"> such as the remaining effects of the global financial crisis, political and civil strife in some of the beneficiary countries and disruption of project implementation resulting from natural disasters</w:t>
      </w:r>
      <w:r w:rsidRPr="00965E2F">
        <w:rPr>
          <w:lang w:val="en-US"/>
        </w:rPr>
        <w:t xml:space="preserve"> continue to </w:t>
      </w:r>
      <w:r w:rsidR="00C53C46">
        <w:rPr>
          <w:lang w:val="en-US"/>
        </w:rPr>
        <w:t>delay</w:t>
      </w:r>
      <w:r w:rsidRPr="00965E2F">
        <w:rPr>
          <w:lang w:val="en-US"/>
        </w:rPr>
        <w:t xml:space="preserve"> project </w:t>
      </w:r>
      <w:r w:rsidR="00C53C46">
        <w:rPr>
          <w:lang w:val="en-US"/>
        </w:rPr>
        <w:t>formulation</w:t>
      </w:r>
      <w:r w:rsidRPr="00965E2F">
        <w:rPr>
          <w:lang w:val="en-US"/>
        </w:rPr>
        <w:t xml:space="preserve"> and implementation</w:t>
      </w:r>
      <w:r w:rsidR="00811389" w:rsidRPr="00965E2F">
        <w:rPr>
          <w:lang w:val="en-US"/>
        </w:rPr>
        <w:t xml:space="preserve">. </w:t>
      </w:r>
    </w:p>
    <w:p w:rsidR="00C53C46" w:rsidRDefault="00C53C46" w:rsidP="00C53C46">
      <w:pPr>
        <w:pStyle w:val="ListParagraph"/>
        <w:ind w:left="567"/>
        <w:rPr>
          <w:lang w:val="en-US"/>
        </w:rPr>
      </w:pPr>
    </w:p>
    <w:p w:rsidR="00811389" w:rsidRPr="00965E2F" w:rsidRDefault="002A375E" w:rsidP="000B35F4">
      <w:pPr>
        <w:pStyle w:val="ListParagraph"/>
        <w:numPr>
          <w:ilvl w:val="0"/>
          <w:numId w:val="9"/>
        </w:numPr>
        <w:ind w:left="567" w:hanging="567"/>
        <w:rPr>
          <w:lang w:val="en-US"/>
        </w:rPr>
      </w:pPr>
      <w:r>
        <w:rPr>
          <w:lang w:val="en-US"/>
        </w:rPr>
        <w:t xml:space="preserve">Resource mobilization in order to raise </w:t>
      </w:r>
      <w:r w:rsidR="00811389" w:rsidRPr="00965E2F">
        <w:rPr>
          <w:lang w:val="en-US"/>
        </w:rPr>
        <w:t>more</w:t>
      </w:r>
      <w:r>
        <w:rPr>
          <w:lang w:val="en-US"/>
        </w:rPr>
        <w:t xml:space="preserve"> financial resources remains key</w:t>
      </w:r>
      <w:r w:rsidR="00811389" w:rsidRPr="00965E2F">
        <w:rPr>
          <w:lang w:val="en-US"/>
        </w:rPr>
        <w:t>.</w:t>
      </w:r>
      <w:r>
        <w:rPr>
          <w:lang w:val="en-US"/>
        </w:rPr>
        <w:t xml:space="preserve"> For this reason, the newly agreed funding of ITU projects by the European Commission to the tune of Euros 5’000’000 is welcome. A number of agreements have recently been concluded with development partners resulting in more co-financing arrangements being concluded.</w:t>
      </w:r>
      <w:r w:rsidR="00811389" w:rsidRPr="00965E2F">
        <w:rPr>
          <w:lang w:val="en-US"/>
        </w:rPr>
        <w:t xml:space="preserve"> </w:t>
      </w:r>
    </w:p>
    <w:p w:rsidR="00811389" w:rsidRPr="0052639D" w:rsidRDefault="00811389" w:rsidP="00811389">
      <w:pPr>
        <w:keepNext/>
        <w:ind w:left="357" w:hanging="357"/>
        <w:rPr>
          <w:b/>
          <w:bCs/>
          <w:lang w:val="en-US"/>
        </w:rPr>
      </w:pPr>
      <w:r w:rsidRPr="0052639D">
        <w:rPr>
          <w:b/>
          <w:bCs/>
          <w:lang w:val="en-US"/>
        </w:rPr>
        <w:t>Conclusion</w:t>
      </w:r>
    </w:p>
    <w:p w:rsidR="00095ED6" w:rsidRDefault="00BD18EB" w:rsidP="00BA5F7B">
      <w:pPr>
        <w:rPr>
          <w:lang w:val="en-US"/>
        </w:rPr>
      </w:pPr>
      <w:r>
        <w:rPr>
          <w:lang w:val="en-US"/>
        </w:rPr>
        <w:t xml:space="preserve">BDT projects </w:t>
      </w:r>
      <w:r w:rsidR="00016B6B">
        <w:rPr>
          <w:lang w:val="en-US"/>
        </w:rPr>
        <w:t xml:space="preserve">under various funding mechanisms </w:t>
      </w:r>
      <w:r>
        <w:rPr>
          <w:lang w:val="en-US"/>
        </w:rPr>
        <w:t xml:space="preserve">continue to be a </w:t>
      </w:r>
      <w:r w:rsidR="0027364E">
        <w:rPr>
          <w:lang w:val="en-US"/>
        </w:rPr>
        <w:t>significant part</w:t>
      </w:r>
      <w:r>
        <w:rPr>
          <w:lang w:val="en-US"/>
        </w:rPr>
        <w:t xml:space="preserve"> of the BDT activities in terms of </w:t>
      </w:r>
      <w:r w:rsidR="00016B6B">
        <w:rPr>
          <w:lang w:val="en-US"/>
        </w:rPr>
        <w:t xml:space="preserve">the </w:t>
      </w:r>
      <w:r>
        <w:rPr>
          <w:lang w:val="en-US"/>
        </w:rPr>
        <w:t>budget</w:t>
      </w:r>
      <w:r w:rsidR="0027364E">
        <w:rPr>
          <w:lang w:val="en-US"/>
        </w:rPr>
        <w:t xml:space="preserve">, </w:t>
      </w:r>
      <w:r w:rsidR="00016B6B">
        <w:rPr>
          <w:lang w:val="en-US"/>
        </w:rPr>
        <w:t>and volume of direct assistance provided to d</w:t>
      </w:r>
      <w:r>
        <w:rPr>
          <w:lang w:val="en-US"/>
        </w:rPr>
        <w:t>eveloping countries. Project</w:t>
      </w:r>
      <w:r w:rsidR="00016B6B">
        <w:rPr>
          <w:lang w:val="en-US"/>
        </w:rPr>
        <w:t xml:space="preserve"> execution has proved to be </w:t>
      </w:r>
      <w:r w:rsidR="0027364E">
        <w:rPr>
          <w:lang w:val="en-US"/>
        </w:rPr>
        <w:t xml:space="preserve">an </w:t>
      </w:r>
      <w:r>
        <w:rPr>
          <w:lang w:val="en-US"/>
        </w:rPr>
        <w:t xml:space="preserve">efficient </w:t>
      </w:r>
      <w:r w:rsidR="00BA5F7B">
        <w:rPr>
          <w:lang w:val="en-US"/>
        </w:rPr>
        <w:t>way</w:t>
      </w:r>
      <w:r>
        <w:rPr>
          <w:lang w:val="en-US"/>
        </w:rPr>
        <w:t xml:space="preserve"> of </w:t>
      </w:r>
      <w:r w:rsidR="00095ED6">
        <w:rPr>
          <w:lang w:val="en-US"/>
        </w:rPr>
        <w:t>responding</w:t>
      </w:r>
      <w:r>
        <w:rPr>
          <w:lang w:val="en-US"/>
        </w:rPr>
        <w:t xml:space="preserve"> </w:t>
      </w:r>
      <w:r w:rsidR="0027364E">
        <w:rPr>
          <w:lang w:val="en-US"/>
        </w:rPr>
        <w:t xml:space="preserve">to the </w:t>
      </w:r>
      <w:r>
        <w:rPr>
          <w:lang w:val="en-US"/>
        </w:rPr>
        <w:t xml:space="preserve">specific needs of ITU Member States and </w:t>
      </w:r>
      <w:r w:rsidR="00095ED6">
        <w:rPr>
          <w:lang w:val="en-US"/>
        </w:rPr>
        <w:t>serve</w:t>
      </w:r>
      <w:r w:rsidR="00BA5F7B">
        <w:rPr>
          <w:lang w:val="en-US"/>
        </w:rPr>
        <w:t>s as an excellent mechanism of</w:t>
      </w:r>
      <w:r w:rsidR="00095ED6">
        <w:rPr>
          <w:lang w:val="en-US"/>
        </w:rPr>
        <w:t xml:space="preserve"> </w:t>
      </w:r>
      <w:r w:rsidR="00BA5F7B">
        <w:rPr>
          <w:lang w:val="en-US"/>
        </w:rPr>
        <w:t xml:space="preserve">matching BDT seed money, </w:t>
      </w:r>
      <w:r>
        <w:rPr>
          <w:lang w:val="en-US"/>
        </w:rPr>
        <w:t>external funding partners</w:t>
      </w:r>
      <w:r w:rsidR="00BA5F7B">
        <w:rPr>
          <w:lang w:val="en-US"/>
        </w:rPr>
        <w:t xml:space="preserve">, and </w:t>
      </w:r>
      <w:r w:rsidR="0027364E">
        <w:rPr>
          <w:lang w:val="en-US"/>
        </w:rPr>
        <w:t>beneficiary countries</w:t>
      </w:r>
      <w:r>
        <w:rPr>
          <w:lang w:val="en-US"/>
        </w:rPr>
        <w:t xml:space="preserve">.  </w:t>
      </w:r>
      <w:r w:rsidR="00095ED6">
        <w:rPr>
          <w:lang w:val="en-US"/>
        </w:rPr>
        <w:t>BDT proj</w:t>
      </w:r>
      <w:r w:rsidR="0027364E">
        <w:rPr>
          <w:lang w:val="en-US"/>
        </w:rPr>
        <w:t>ects</w:t>
      </w:r>
      <w:r w:rsidR="00BA5F7B">
        <w:rPr>
          <w:lang w:val="en-US"/>
        </w:rPr>
        <w:t xml:space="preserve"> under Regional Initiatives arrangement, have the potential to impact even more countries as they are designed to benefit more than one country and are even more relevant to the countries as the initiatives are identified by the Member States themselves. </w:t>
      </w:r>
    </w:p>
    <w:p w:rsidR="00BA5F7B" w:rsidRDefault="00BA5F7B" w:rsidP="00BA5F7B">
      <w:pPr>
        <w:rPr>
          <w:lang w:val="en-US"/>
        </w:rPr>
      </w:pPr>
      <w:r>
        <w:rPr>
          <w:lang w:val="en-US"/>
        </w:rPr>
        <w:t>The BDT is continuously innovating in order to respond to market imperatives</w:t>
      </w:r>
      <w:r w:rsidR="00A74A08">
        <w:rPr>
          <w:lang w:val="en-US"/>
        </w:rPr>
        <w:t>, improving processes and reporting in order to uphold accountability and getting more out of less</w:t>
      </w:r>
      <w:r>
        <w:rPr>
          <w:lang w:val="en-US"/>
        </w:rPr>
        <w:t>.</w:t>
      </w:r>
    </w:p>
    <w:p w:rsidR="00811389" w:rsidRPr="009274ED" w:rsidRDefault="00811389" w:rsidP="00811389">
      <w:pPr>
        <w:rPr>
          <w:lang w:val="en-US"/>
        </w:rPr>
      </w:pPr>
      <w:r>
        <w:rPr>
          <w:lang w:val="en-US"/>
        </w:rPr>
        <w:t xml:space="preserve">For more information on projects implemented by ITU, visit: </w:t>
      </w:r>
      <w:hyperlink r:id="rId13" w:history="1">
        <w:r w:rsidRPr="00E726EF">
          <w:rPr>
            <w:rStyle w:val="Hyperlink"/>
            <w:lang w:val="en-US"/>
          </w:rPr>
          <w:t>http://www.itu.int/en/ITU-D/Projects/Pages/default.aspx</w:t>
        </w:r>
      </w:hyperlink>
      <w:r>
        <w:rPr>
          <w:lang w:val="en-US"/>
        </w:rPr>
        <w:t xml:space="preserve"> </w:t>
      </w:r>
    </w:p>
    <w:p w:rsidR="002C0879" w:rsidRDefault="002C0879">
      <w:pPr>
        <w:tabs>
          <w:tab w:val="clear" w:pos="794"/>
          <w:tab w:val="clear" w:pos="1191"/>
          <w:tab w:val="clear" w:pos="1588"/>
          <w:tab w:val="clear" w:pos="1985"/>
        </w:tabs>
        <w:overflowPunct/>
        <w:autoSpaceDE/>
        <w:autoSpaceDN/>
        <w:adjustRightInd/>
        <w:spacing w:before="0"/>
        <w:textAlignment w:val="auto"/>
      </w:pPr>
      <w:r>
        <w:br w:type="page"/>
      </w:r>
    </w:p>
    <w:p w:rsidR="00811389" w:rsidRPr="00637E54" w:rsidRDefault="00811389" w:rsidP="00811389">
      <w:pPr>
        <w:ind w:right="-567"/>
        <w:jc w:val="center"/>
        <w:rPr>
          <w:b/>
          <w:bCs/>
          <w:sz w:val="28"/>
          <w:szCs w:val="28"/>
        </w:rPr>
      </w:pPr>
      <w:r w:rsidRPr="00637E54">
        <w:rPr>
          <w:b/>
          <w:bCs/>
          <w:sz w:val="28"/>
          <w:szCs w:val="28"/>
        </w:rPr>
        <w:lastRenderedPageBreak/>
        <w:t>Annex 1</w:t>
      </w:r>
    </w:p>
    <w:p w:rsidR="00811389" w:rsidRPr="00637E54" w:rsidRDefault="00811389" w:rsidP="00811389">
      <w:pPr>
        <w:ind w:right="-708"/>
        <w:jc w:val="center"/>
        <w:rPr>
          <w:b/>
          <w:bCs/>
          <w:sz w:val="28"/>
          <w:szCs w:val="28"/>
        </w:rPr>
      </w:pPr>
      <w:r w:rsidRPr="00637E54">
        <w:rPr>
          <w:b/>
          <w:bCs/>
          <w:sz w:val="28"/>
          <w:szCs w:val="28"/>
        </w:rPr>
        <w:t>6</w:t>
      </w:r>
      <w:r>
        <w:rPr>
          <w:b/>
          <w:bCs/>
          <w:sz w:val="28"/>
          <w:szCs w:val="28"/>
        </w:rPr>
        <w:t>1</w:t>
      </w:r>
      <w:r w:rsidR="002A375E">
        <w:rPr>
          <w:b/>
          <w:bCs/>
          <w:sz w:val="28"/>
          <w:szCs w:val="28"/>
        </w:rPr>
        <w:t xml:space="preserve"> Ongoing projects as of </w:t>
      </w:r>
      <w:r w:rsidRPr="00637E54">
        <w:rPr>
          <w:b/>
          <w:bCs/>
          <w:sz w:val="28"/>
          <w:szCs w:val="28"/>
        </w:rPr>
        <w:t>December 201</w:t>
      </w:r>
      <w:r>
        <w:rPr>
          <w:b/>
          <w:bCs/>
          <w:sz w:val="28"/>
          <w:szCs w:val="28"/>
        </w:rPr>
        <w:t>6</w:t>
      </w:r>
    </w:p>
    <w:p w:rsidR="00811389" w:rsidRPr="00781F80" w:rsidRDefault="00811389" w:rsidP="000B35F4">
      <w:pPr>
        <w:jc w:val="right"/>
        <w:rPr>
          <w:b/>
        </w:rPr>
      </w:pPr>
      <w:r w:rsidRPr="00781F80">
        <w:rPr>
          <w:b/>
        </w:rPr>
        <w:t>(CHF)</w:t>
      </w:r>
    </w:p>
    <w:tbl>
      <w:tblPr>
        <w:tblW w:w="9943" w:type="dxa"/>
        <w:tblInd w:w="-25" w:type="dxa"/>
        <w:tblLook w:val="04A0" w:firstRow="1" w:lastRow="0" w:firstColumn="1" w:lastColumn="0" w:noHBand="0" w:noVBand="1"/>
      </w:tblPr>
      <w:tblGrid>
        <w:gridCol w:w="404"/>
        <w:gridCol w:w="5812"/>
        <w:gridCol w:w="1410"/>
        <w:gridCol w:w="1269"/>
        <w:gridCol w:w="1185"/>
      </w:tblGrid>
      <w:tr w:rsidR="00811389" w:rsidRPr="00596A68" w:rsidTr="005200E0">
        <w:trPr>
          <w:trHeight w:val="675"/>
        </w:trPr>
        <w:tc>
          <w:tcPr>
            <w:tcW w:w="406" w:type="dxa"/>
            <w:tcBorders>
              <w:top w:val="single" w:sz="4" w:space="0" w:color="auto"/>
              <w:left w:val="single" w:sz="4" w:space="0" w:color="auto"/>
              <w:bottom w:val="single" w:sz="4" w:space="0" w:color="auto"/>
              <w:right w:val="single" w:sz="4" w:space="0" w:color="auto"/>
            </w:tcBorders>
            <w:shd w:val="clear" w:color="auto" w:fill="auto"/>
            <w:hideMark/>
          </w:tcPr>
          <w:p w:rsidR="00811389" w:rsidRPr="00596A68" w:rsidRDefault="00811389" w:rsidP="002C087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22"/>
                <w:szCs w:val="22"/>
                <w:lang w:val="en-US" w:eastAsia="zh-CN"/>
              </w:rPr>
            </w:pPr>
            <w:r w:rsidRPr="00596A68">
              <w:rPr>
                <w:rFonts w:ascii="Calibri" w:hAnsi="Calibri"/>
                <w:b/>
                <w:bCs/>
                <w:color w:val="000000"/>
                <w:sz w:val="22"/>
                <w:szCs w:val="22"/>
                <w:lang w:val="en-US" w:eastAsia="zh-CN"/>
              </w:rPr>
              <w:t>#</w:t>
            </w:r>
          </w:p>
        </w:tc>
        <w:tc>
          <w:tcPr>
            <w:tcW w:w="5851" w:type="dxa"/>
            <w:tcBorders>
              <w:top w:val="single" w:sz="4" w:space="0" w:color="auto"/>
              <w:left w:val="nil"/>
              <w:bottom w:val="single" w:sz="4" w:space="0" w:color="auto"/>
              <w:right w:val="single" w:sz="4" w:space="0" w:color="auto"/>
            </w:tcBorders>
            <w:shd w:val="clear" w:color="auto" w:fill="auto"/>
            <w:hideMark/>
          </w:tcPr>
          <w:p w:rsidR="00811389" w:rsidRPr="00596A68" w:rsidRDefault="00811389" w:rsidP="00EB4349">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22"/>
                <w:szCs w:val="22"/>
                <w:lang w:val="en-US" w:eastAsia="zh-CN"/>
              </w:rPr>
            </w:pPr>
            <w:r w:rsidRPr="00596A68">
              <w:rPr>
                <w:rFonts w:ascii="Calibri" w:hAnsi="Calibri"/>
                <w:b/>
                <w:bCs/>
                <w:color w:val="000000"/>
                <w:sz w:val="22"/>
                <w:szCs w:val="22"/>
                <w:lang w:val="en-US" w:eastAsia="zh-CN"/>
              </w:rPr>
              <w:t>Title</w:t>
            </w:r>
          </w:p>
        </w:tc>
        <w:tc>
          <w:tcPr>
            <w:tcW w:w="1418" w:type="dxa"/>
            <w:tcBorders>
              <w:top w:val="single" w:sz="4" w:space="0" w:color="auto"/>
              <w:left w:val="nil"/>
              <w:bottom w:val="single" w:sz="4" w:space="0" w:color="auto"/>
              <w:right w:val="single" w:sz="4" w:space="0" w:color="auto"/>
            </w:tcBorders>
            <w:shd w:val="clear" w:color="auto" w:fill="auto"/>
            <w:hideMark/>
          </w:tcPr>
          <w:p w:rsidR="00811389" w:rsidRPr="00596A68" w:rsidRDefault="00811389" w:rsidP="007D7E7B">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22"/>
                <w:szCs w:val="22"/>
                <w:lang w:val="en-US" w:eastAsia="zh-CN"/>
              </w:rPr>
            </w:pPr>
            <w:r w:rsidRPr="00596A68">
              <w:rPr>
                <w:rFonts w:ascii="Calibri" w:hAnsi="Calibri"/>
                <w:b/>
                <w:bCs/>
                <w:color w:val="000000"/>
                <w:sz w:val="22"/>
                <w:szCs w:val="22"/>
                <w:lang w:val="en-US" w:eastAsia="zh-CN"/>
              </w:rPr>
              <w:t>in-cash external</w:t>
            </w:r>
          </w:p>
        </w:tc>
        <w:tc>
          <w:tcPr>
            <w:tcW w:w="1276" w:type="dxa"/>
            <w:tcBorders>
              <w:top w:val="single" w:sz="4" w:space="0" w:color="auto"/>
              <w:left w:val="nil"/>
              <w:bottom w:val="single" w:sz="4" w:space="0" w:color="auto"/>
              <w:right w:val="single" w:sz="4" w:space="0" w:color="auto"/>
            </w:tcBorders>
            <w:shd w:val="clear" w:color="auto" w:fill="auto"/>
            <w:hideMark/>
          </w:tcPr>
          <w:p w:rsidR="00811389" w:rsidRPr="00596A68" w:rsidRDefault="00811389" w:rsidP="007D7E7B">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22"/>
                <w:szCs w:val="22"/>
                <w:lang w:val="en-US" w:eastAsia="zh-CN"/>
              </w:rPr>
            </w:pPr>
            <w:r w:rsidRPr="00596A68">
              <w:rPr>
                <w:rFonts w:ascii="Calibri" w:hAnsi="Calibri"/>
                <w:b/>
                <w:bCs/>
                <w:color w:val="000000"/>
                <w:sz w:val="22"/>
                <w:szCs w:val="22"/>
                <w:lang w:val="en-US" w:eastAsia="zh-CN"/>
              </w:rPr>
              <w:t>in-cash ICT-DF</w:t>
            </w:r>
          </w:p>
        </w:tc>
        <w:tc>
          <w:tcPr>
            <w:tcW w:w="992" w:type="dxa"/>
            <w:tcBorders>
              <w:top w:val="single" w:sz="4" w:space="0" w:color="auto"/>
              <w:left w:val="nil"/>
              <w:bottom w:val="single" w:sz="4" w:space="0" w:color="auto"/>
              <w:right w:val="single" w:sz="4" w:space="0" w:color="auto"/>
            </w:tcBorders>
            <w:shd w:val="clear" w:color="auto" w:fill="auto"/>
            <w:hideMark/>
          </w:tcPr>
          <w:p w:rsidR="00811389" w:rsidRPr="00596A68" w:rsidRDefault="00811389" w:rsidP="007D7E7B">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22"/>
                <w:szCs w:val="22"/>
                <w:lang w:val="en-US" w:eastAsia="zh-CN"/>
              </w:rPr>
            </w:pPr>
            <w:r w:rsidRPr="00596A68">
              <w:rPr>
                <w:rFonts w:ascii="Calibri" w:hAnsi="Calibri"/>
                <w:b/>
                <w:bCs/>
                <w:color w:val="000000"/>
                <w:sz w:val="22"/>
                <w:szCs w:val="22"/>
                <w:lang w:val="en-US" w:eastAsia="zh-CN"/>
              </w:rPr>
              <w:t>in-cash OP</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1</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Strengthening institutional, regulatory and technical capabilities of Burundi for sustainable broadband development</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5,375</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179,000</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2</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Connect a School, Connect a Community in the Comoros</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xml:space="preserve">150,000 </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3</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Smart Groundwater Management</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20,280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26,000</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4</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National CIRT Establishment in The Gambia</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101,400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40,560</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5</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Development of platform to foster open access to international fiber</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200,000</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6</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ICT-Eye: keeping an eye on ICT data</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600,000</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7</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Big Data for Measuring the Information Society</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 xml:space="preserve">101,400 </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37,000</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8</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Capacity Building of Kenya Judiciary in ICT Laws Interpretation and Application</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 xml:space="preserve">101,400 </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20,280</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9</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Connect a School, Connect a Community in the State of Palestine</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74,950</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10</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Support for Transition from Analogue to Digital Broadcasting in the Americas Region</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304,200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60,840</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11</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Natural Disaster Early Warning System - Zambia</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100,000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200,000</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12</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Rural Telecommunications Development in Least Developed Countries</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s>
              <w:spacing w:before="0"/>
              <w:ind w:right="17"/>
              <w:jc w:val="right"/>
              <w:rPr>
                <w:sz w:val="22"/>
                <w:szCs w:val="22"/>
              </w:rPr>
            </w:pPr>
            <w:r w:rsidRPr="002C0879">
              <w:rPr>
                <w:sz w:val="22"/>
                <w:szCs w:val="22"/>
              </w:rPr>
              <w:t>202,894</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2,056,392</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13</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Establishment of a Cybersecurity Innovation Centre for the Arab Region</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2,028,000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763,035</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14</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Connect a School, Connect a Community Initiative in the State of Palestine Project II</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40,000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110,000</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3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15</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Regional Center ICT Accessibility for Persons with Disabilities</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50,700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76,050</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25,000</w:t>
            </w:r>
          </w:p>
        </w:tc>
      </w:tr>
      <w:tr w:rsidR="007D7E7B" w:rsidRPr="00596A68" w:rsidTr="005200E0">
        <w:trPr>
          <w:trHeight w:val="454"/>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16</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Broadband Wireless Network in Africa</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 xml:space="preserve">81,120 </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176,637</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138,500</w:t>
            </w:r>
          </w:p>
        </w:tc>
      </w:tr>
      <w:tr w:rsidR="007D7E7B" w:rsidRPr="00596A68" w:rsidTr="005200E0">
        <w:trPr>
          <w:trHeight w:val="397"/>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17</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Broadband Wireless Network - Djibouti</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 xml:space="preserve">866,970 </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397"/>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18</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Broadband Wireless Network - Mali</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xml:space="preserve">866,970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397"/>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19</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Broadband Wireless Network - Burkina Faso</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866,970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397"/>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20</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Broadband Wireless Network - Rwanda</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866,970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21</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Broadband Wireless Network in the Kingdom of Lesotho</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382,278</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484,692</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48"/>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22</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Broadband Wireless Network - Swaziland</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461,370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405,600</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48"/>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23</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ICT Applications Against Ebola Disease - Phase I</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180,000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191,200</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675"/>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24</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Development of Satellite Communications Capacity and Emergency Communications Solutions for the Pacific Islands</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101,400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507,000</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25</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Extension of Telemedicine to cover remote Areas in Zimbabwe</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291,659</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70,980</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26</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Fostering integration of Argentine Universities in the work of ITU (SECOM, Argentina)</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274,084</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4"/>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lastRenderedPageBreak/>
              <w:t>27</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National CIRT Establishment in Burundi</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138,163</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4"/>
        </w:trPr>
        <w:tc>
          <w:tcPr>
            <w:tcW w:w="406" w:type="dxa"/>
            <w:tcBorders>
              <w:top w:val="single" w:sz="4" w:space="0" w:color="auto"/>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28</w:t>
            </w:r>
          </w:p>
        </w:tc>
        <w:tc>
          <w:tcPr>
            <w:tcW w:w="5851" w:type="dxa"/>
            <w:tcBorders>
              <w:top w:val="single" w:sz="4" w:space="0" w:color="auto"/>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Support the Implementation of National Telecommunications Agency (ANATEL, Brazil)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36,875,858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4"/>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29</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Policy Development on Broadcasting</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821,194</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4"/>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30</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proofErr w:type="spellStart"/>
            <w:r w:rsidRPr="00596A68">
              <w:rPr>
                <w:rFonts w:ascii="Calibri" w:hAnsi="Calibri"/>
                <w:color w:val="000000"/>
                <w:sz w:val="22"/>
                <w:szCs w:val="22"/>
                <w:lang w:val="en-US" w:eastAsia="zh-CN"/>
              </w:rPr>
              <w:t>mHealth</w:t>
            </w:r>
            <w:proofErr w:type="spellEnd"/>
            <w:r w:rsidRPr="00596A68">
              <w:rPr>
                <w:rFonts w:ascii="Calibri" w:hAnsi="Calibri"/>
                <w:color w:val="000000"/>
                <w:sz w:val="22"/>
                <w:szCs w:val="22"/>
                <w:lang w:val="en-US" w:eastAsia="zh-CN"/>
              </w:rPr>
              <w:t xml:space="preserve"> for NCDs Joint </w:t>
            </w:r>
            <w:proofErr w:type="spellStart"/>
            <w:r w:rsidRPr="00596A68">
              <w:rPr>
                <w:rFonts w:ascii="Calibri" w:hAnsi="Calibri"/>
                <w:color w:val="000000"/>
                <w:sz w:val="22"/>
                <w:szCs w:val="22"/>
                <w:lang w:val="en-US" w:eastAsia="zh-CN"/>
              </w:rPr>
              <w:t>Programme</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172,429</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31</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xml:space="preserve">Project Be </w:t>
            </w:r>
            <w:proofErr w:type="spellStart"/>
            <w:r w:rsidRPr="00596A68">
              <w:rPr>
                <w:rFonts w:ascii="Calibri" w:hAnsi="Calibri"/>
                <w:color w:val="000000"/>
                <w:sz w:val="22"/>
                <w:szCs w:val="22"/>
                <w:lang w:val="en-US" w:eastAsia="zh-CN"/>
              </w:rPr>
              <w:t>He@lthy</w:t>
            </w:r>
            <w:proofErr w:type="spellEnd"/>
            <w:r w:rsidRPr="00596A68">
              <w:rPr>
                <w:rFonts w:ascii="Calibri" w:hAnsi="Calibri"/>
                <w:color w:val="000000"/>
                <w:sz w:val="22"/>
                <w:szCs w:val="22"/>
                <w:lang w:val="en-US" w:eastAsia="zh-CN"/>
              </w:rPr>
              <w:t xml:space="preserve"> Be Mobile - m-Diabetes - Phase 1</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167,310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32</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Further developments to Spectrum Management System for Developing Countries (SMS4DC) software</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126,000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63,000</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33</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Development of a toolkit for ICT innovation policy/governance and ICT innovation ecosystem</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142,282</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4"/>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34</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proofErr w:type="spellStart"/>
            <w:r w:rsidRPr="00596A68">
              <w:rPr>
                <w:rFonts w:ascii="Calibri" w:hAnsi="Calibri"/>
                <w:color w:val="000000"/>
                <w:sz w:val="22"/>
                <w:szCs w:val="22"/>
                <w:lang w:val="en-US" w:eastAsia="zh-CN"/>
              </w:rPr>
              <w:t>mHealth</w:t>
            </w:r>
            <w:proofErr w:type="spellEnd"/>
            <w:r w:rsidRPr="00596A68">
              <w:rPr>
                <w:rFonts w:ascii="Calibri" w:hAnsi="Calibri"/>
                <w:color w:val="000000"/>
                <w:sz w:val="22"/>
                <w:szCs w:val="22"/>
                <w:lang w:val="en-US" w:eastAsia="zh-CN"/>
              </w:rPr>
              <w:t xml:space="preserve"> for non-communicable diseases in Norway</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152,252</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4"/>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35</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proofErr w:type="spellStart"/>
            <w:r w:rsidRPr="00596A68">
              <w:rPr>
                <w:rFonts w:ascii="Calibri" w:hAnsi="Calibri"/>
                <w:color w:val="000000"/>
                <w:sz w:val="22"/>
                <w:szCs w:val="22"/>
                <w:lang w:val="en-US" w:eastAsia="zh-CN"/>
              </w:rPr>
              <w:t>eMCM</w:t>
            </w:r>
            <w:proofErr w:type="spellEnd"/>
            <w:r w:rsidRPr="00596A68">
              <w:rPr>
                <w:rFonts w:ascii="Calibri" w:hAnsi="Calibri"/>
                <w:color w:val="000000"/>
                <w:sz w:val="22"/>
                <w:szCs w:val="22"/>
                <w:lang w:val="en-US" w:eastAsia="zh-CN"/>
              </w:rPr>
              <w:t xml:space="preserve"> Master of Communications Management</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36</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Delivery of the Spectrum Management Training Program (SMTP)</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37</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Delivery of the Spectrum Management Training Program (SMTP)</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4"/>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38</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proofErr w:type="spellStart"/>
            <w:r w:rsidRPr="00596A68">
              <w:rPr>
                <w:rFonts w:ascii="Calibri" w:hAnsi="Calibri"/>
                <w:color w:val="000000"/>
                <w:sz w:val="22"/>
                <w:szCs w:val="22"/>
                <w:lang w:val="en-US" w:eastAsia="zh-CN"/>
              </w:rPr>
              <w:t>mHealth</w:t>
            </w:r>
            <w:proofErr w:type="spellEnd"/>
            <w:r w:rsidRPr="00596A68">
              <w:rPr>
                <w:rFonts w:ascii="Calibri" w:hAnsi="Calibri"/>
                <w:color w:val="000000"/>
                <w:sz w:val="22"/>
                <w:szCs w:val="22"/>
                <w:lang w:val="en-US" w:eastAsia="zh-CN"/>
              </w:rPr>
              <w:t xml:space="preserve"> for non-communicable diseases in Norway</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152,252</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4"/>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39</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Enhanced Kenya CIRT/CC</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310,000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4"/>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40</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ICT Cooperation and partnership-TRA-UAE</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152,100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41</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Human Capacity Building on Internet Protocol version 6</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36,504</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2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42</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Master Plans for Spectrum Management</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 xml:space="preserve">142,247 </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826"/>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43</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Implementing the Climate Change Adaptation Component of the Satellite Communications, Capacity, and Emergency Communications Solutions Project for the Small Island Developing States of the Pacific</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107,643</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24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44</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ICB4PAC II</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152,100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45</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Supporting implementation of the ITU Asia-Pacific Regional Initiatives</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591,000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46</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Master Plans for Spectrum Management and Country Assistance in Spectrum Management</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156,959</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47</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Master Plans for Spectrum Management (Caribbean countries)</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144,307</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48</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Support for Harmonization of ICT Policies in the Caribbean</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304,200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49</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Roadmap development for digital terrestrial radio broadcasting roll-out in Thailand</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561,497</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675"/>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50</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Study on Spectrum Licensing of the 1800MHz band and related spectrum under the concession (Thailand)</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614,640</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51</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DTTB Frequency Planning &amp; Measurement (Thailand)</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B22D4D">
            <w:pPr>
              <w:spacing w:before="0"/>
              <w:jc w:val="right"/>
              <w:rPr>
                <w:sz w:val="22"/>
                <w:szCs w:val="22"/>
              </w:rPr>
            </w:pPr>
            <w:r w:rsidRPr="002C0879">
              <w:rPr>
                <w:sz w:val="22"/>
                <w:szCs w:val="22"/>
              </w:rPr>
              <w:t>472,801</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675"/>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52</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Development of a Roadmap for Mobile Television Broadcasting Deployment and Regulation in Thailand</w:t>
            </w:r>
          </w:p>
        </w:tc>
        <w:tc>
          <w:tcPr>
            <w:tcW w:w="1418"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spacing w:before="0"/>
              <w:jc w:val="right"/>
              <w:rPr>
                <w:sz w:val="22"/>
                <w:szCs w:val="22"/>
              </w:rPr>
            </w:pPr>
            <w:r w:rsidRPr="002C0879">
              <w:rPr>
                <w:sz w:val="22"/>
                <w:szCs w:val="22"/>
              </w:rPr>
              <w:t>576,485</w:t>
            </w:r>
          </w:p>
        </w:tc>
        <w:tc>
          <w:tcPr>
            <w:tcW w:w="1276"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2C0879" w:rsidRDefault="007D7E7B" w:rsidP="004C38D4">
            <w:pPr>
              <w:tabs>
                <w:tab w:val="clear" w:pos="794"/>
                <w:tab w:val="clear" w:pos="1191"/>
                <w:tab w:val="clear" w:pos="1588"/>
                <w:tab w:val="clear" w:pos="1985"/>
              </w:tabs>
              <w:overflowPunct/>
              <w:autoSpaceDE/>
              <w:autoSpaceDN/>
              <w:adjustRightInd/>
              <w:spacing w:before="0"/>
              <w:jc w:val="right"/>
              <w:textAlignment w:val="auto"/>
              <w:rPr>
                <w:color w:val="000000"/>
                <w:sz w:val="22"/>
                <w:szCs w:val="22"/>
                <w:lang w:val="en-US" w:eastAsia="zh-CN"/>
              </w:rPr>
            </w:pPr>
            <w:r w:rsidRPr="002C0879">
              <w:rPr>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53</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Human Capacity Building in Telecom/ICT Statistics and Indicators</w:t>
            </w:r>
          </w:p>
        </w:tc>
        <w:tc>
          <w:tcPr>
            <w:tcW w:w="1418" w:type="dxa"/>
            <w:tcBorders>
              <w:top w:val="nil"/>
              <w:left w:val="nil"/>
              <w:bottom w:val="single" w:sz="4" w:space="0" w:color="auto"/>
              <w:right w:val="single" w:sz="4" w:space="0" w:color="auto"/>
            </w:tcBorders>
            <w:shd w:val="clear" w:color="auto" w:fill="auto"/>
            <w:vAlign w:val="center"/>
            <w:hideMark/>
          </w:tcPr>
          <w:p w:rsidR="007D7E7B" w:rsidRPr="00704301" w:rsidRDefault="007D7E7B" w:rsidP="00B22D4D">
            <w:pPr>
              <w:spacing w:before="0"/>
              <w:jc w:val="right"/>
            </w:pPr>
            <w:r w:rsidRPr="00704301">
              <w:t>314,223</w:t>
            </w:r>
          </w:p>
        </w:tc>
        <w:tc>
          <w:tcPr>
            <w:tcW w:w="1276"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lastRenderedPageBreak/>
              <w:t>54</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Development of a framework for introducing community TV broadcasting services in Thailand</w:t>
            </w:r>
          </w:p>
        </w:tc>
        <w:tc>
          <w:tcPr>
            <w:tcW w:w="1418" w:type="dxa"/>
            <w:tcBorders>
              <w:top w:val="nil"/>
              <w:left w:val="nil"/>
              <w:bottom w:val="single" w:sz="4" w:space="0" w:color="auto"/>
              <w:right w:val="single" w:sz="4" w:space="0" w:color="auto"/>
            </w:tcBorders>
            <w:shd w:val="clear" w:color="auto" w:fill="auto"/>
            <w:vAlign w:val="center"/>
            <w:hideMark/>
          </w:tcPr>
          <w:p w:rsidR="007D7E7B" w:rsidRPr="00704301" w:rsidRDefault="007D7E7B" w:rsidP="00B22D4D">
            <w:pPr>
              <w:spacing w:before="0"/>
              <w:jc w:val="right"/>
            </w:pPr>
            <w:r w:rsidRPr="00704301">
              <w:t>217,930</w:t>
            </w:r>
          </w:p>
        </w:tc>
        <w:tc>
          <w:tcPr>
            <w:tcW w:w="1276"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55</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Terrestrial Radio Broadcasting Frequency Planning in Thailand (Phase 1)</w:t>
            </w:r>
          </w:p>
        </w:tc>
        <w:tc>
          <w:tcPr>
            <w:tcW w:w="1418" w:type="dxa"/>
            <w:tcBorders>
              <w:top w:val="nil"/>
              <w:left w:val="nil"/>
              <w:bottom w:val="single" w:sz="4" w:space="0" w:color="auto"/>
              <w:right w:val="single" w:sz="4" w:space="0" w:color="auto"/>
            </w:tcBorders>
            <w:shd w:val="clear" w:color="auto" w:fill="auto"/>
            <w:vAlign w:val="center"/>
            <w:hideMark/>
          </w:tcPr>
          <w:p w:rsidR="007D7E7B" w:rsidRPr="00704301" w:rsidRDefault="007D7E7B" w:rsidP="00B22D4D">
            <w:pPr>
              <w:spacing w:before="0"/>
              <w:jc w:val="right"/>
            </w:pPr>
            <w:r w:rsidRPr="00704301">
              <w:t>209,876</w:t>
            </w:r>
          </w:p>
        </w:tc>
        <w:tc>
          <w:tcPr>
            <w:tcW w:w="1276"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r>
      <w:tr w:rsidR="007D7E7B" w:rsidRPr="00596A68" w:rsidTr="005200E0">
        <w:trPr>
          <w:trHeight w:val="450"/>
        </w:trPr>
        <w:tc>
          <w:tcPr>
            <w:tcW w:w="406" w:type="dxa"/>
            <w:tcBorders>
              <w:top w:val="single" w:sz="4" w:space="0" w:color="auto"/>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56</w:t>
            </w:r>
          </w:p>
        </w:tc>
        <w:tc>
          <w:tcPr>
            <w:tcW w:w="5851" w:type="dxa"/>
            <w:tcBorders>
              <w:top w:val="single" w:sz="4" w:space="0" w:color="auto"/>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xml:space="preserve">Capacity Building at Rural Internet </w:t>
            </w:r>
            <w:proofErr w:type="spellStart"/>
            <w:r w:rsidRPr="00596A68">
              <w:rPr>
                <w:rFonts w:ascii="Calibri" w:hAnsi="Calibri"/>
                <w:color w:val="000000"/>
                <w:sz w:val="22"/>
                <w:szCs w:val="22"/>
                <w:lang w:val="en-US" w:eastAsia="zh-CN"/>
              </w:rPr>
              <w:t>Centres</w:t>
            </w:r>
            <w:proofErr w:type="spellEnd"/>
            <w:r w:rsidRPr="00596A68">
              <w:rPr>
                <w:rFonts w:ascii="Calibri" w:hAnsi="Calibri"/>
                <w:color w:val="000000"/>
                <w:sz w:val="22"/>
                <w:szCs w:val="22"/>
                <w:lang w:val="en-US" w:eastAsia="zh-CN"/>
              </w:rPr>
              <w:t xml:space="preserve"> in Thailand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D7E7B" w:rsidRPr="00704301" w:rsidRDefault="007D7E7B" w:rsidP="00B22D4D">
            <w:pPr>
              <w:spacing w:before="0"/>
              <w:jc w:val="right"/>
            </w:pPr>
            <w:r w:rsidRPr="00704301">
              <w:t>222,429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r>
      <w:tr w:rsidR="007D7E7B" w:rsidRPr="00596A68" w:rsidTr="005200E0">
        <w:trPr>
          <w:trHeight w:val="454"/>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57</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Study on Convergence Licensing Trends</w:t>
            </w:r>
          </w:p>
        </w:tc>
        <w:tc>
          <w:tcPr>
            <w:tcW w:w="1418" w:type="dxa"/>
            <w:tcBorders>
              <w:top w:val="nil"/>
              <w:left w:val="nil"/>
              <w:bottom w:val="single" w:sz="4" w:space="0" w:color="auto"/>
              <w:right w:val="single" w:sz="4" w:space="0" w:color="auto"/>
            </w:tcBorders>
            <w:shd w:val="clear" w:color="auto" w:fill="auto"/>
            <w:vAlign w:val="center"/>
            <w:hideMark/>
          </w:tcPr>
          <w:p w:rsidR="007D7E7B" w:rsidRPr="00704301" w:rsidRDefault="007D7E7B" w:rsidP="00B22D4D">
            <w:pPr>
              <w:spacing w:before="0"/>
              <w:jc w:val="right"/>
            </w:pPr>
            <w:r w:rsidRPr="00704301">
              <w:t>194,626</w:t>
            </w:r>
          </w:p>
        </w:tc>
        <w:tc>
          <w:tcPr>
            <w:tcW w:w="1276"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r>
      <w:tr w:rsidR="007D7E7B" w:rsidRPr="00596A68" w:rsidTr="005200E0">
        <w:trPr>
          <w:trHeight w:val="454"/>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58</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xml:space="preserve">ITU NBTC Training </w:t>
            </w:r>
            <w:proofErr w:type="spellStart"/>
            <w:r w:rsidRPr="00596A68">
              <w:rPr>
                <w:rFonts w:ascii="Calibri" w:hAnsi="Calibri"/>
                <w:color w:val="000000"/>
                <w:sz w:val="22"/>
                <w:szCs w:val="22"/>
                <w:lang w:val="en-US" w:eastAsia="zh-CN"/>
              </w:rPr>
              <w:t>Programme</w:t>
            </w:r>
            <w:proofErr w:type="spellEnd"/>
            <w:r w:rsidRPr="00596A68">
              <w:rPr>
                <w:rFonts w:ascii="Calibri" w:hAnsi="Calibri"/>
                <w:color w:val="000000"/>
                <w:sz w:val="22"/>
                <w:szCs w:val="22"/>
                <w:lang w:val="en-US" w:eastAsia="zh-CN"/>
              </w:rPr>
              <w:t xml:space="preserve"> 2016</w:t>
            </w:r>
          </w:p>
        </w:tc>
        <w:tc>
          <w:tcPr>
            <w:tcW w:w="1418" w:type="dxa"/>
            <w:tcBorders>
              <w:top w:val="nil"/>
              <w:left w:val="nil"/>
              <w:bottom w:val="single" w:sz="4" w:space="0" w:color="auto"/>
              <w:right w:val="single" w:sz="4" w:space="0" w:color="auto"/>
            </w:tcBorders>
            <w:shd w:val="clear" w:color="auto" w:fill="auto"/>
            <w:vAlign w:val="center"/>
            <w:hideMark/>
          </w:tcPr>
          <w:p w:rsidR="007D7E7B" w:rsidRPr="00704301" w:rsidRDefault="007D7E7B" w:rsidP="00B22D4D">
            <w:pPr>
              <w:spacing w:before="0"/>
              <w:jc w:val="right"/>
            </w:pPr>
            <w:r w:rsidRPr="00704301">
              <w:t>52,045</w:t>
            </w:r>
          </w:p>
        </w:tc>
        <w:tc>
          <w:tcPr>
            <w:tcW w:w="1276"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59</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Development of a Detailed Frequency Plan for FM Radio Services in Thailand</w:t>
            </w:r>
          </w:p>
        </w:tc>
        <w:tc>
          <w:tcPr>
            <w:tcW w:w="1418" w:type="dxa"/>
            <w:tcBorders>
              <w:top w:val="nil"/>
              <w:left w:val="nil"/>
              <w:bottom w:val="single" w:sz="4" w:space="0" w:color="auto"/>
              <w:right w:val="single" w:sz="4" w:space="0" w:color="auto"/>
            </w:tcBorders>
            <w:shd w:val="clear" w:color="auto" w:fill="auto"/>
            <w:vAlign w:val="center"/>
            <w:hideMark/>
          </w:tcPr>
          <w:p w:rsidR="007D7E7B" w:rsidRPr="00704301" w:rsidRDefault="007D7E7B" w:rsidP="00B22D4D">
            <w:pPr>
              <w:spacing w:before="0"/>
              <w:jc w:val="right"/>
            </w:pPr>
            <w:r w:rsidRPr="00704301">
              <w:t>284,034</w:t>
            </w:r>
          </w:p>
        </w:tc>
        <w:tc>
          <w:tcPr>
            <w:tcW w:w="1276"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60</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xml:space="preserve">Capacity Building through </w:t>
            </w:r>
            <w:proofErr w:type="spellStart"/>
            <w:r w:rsidRPr="00596A68">
              <w:rPr>
                <w:rFonts w:ascii="Calibri" w:hAnsi="Calibri"/>
                <w:color w:val="000000"/>
                <w:sz w:val="22"/>
                <w:szCs w:val="22"/>
                <w:lang w:val="en-US" w:eastAsia="zh-CN"/>
              </w:rPr>
              <w:t>Centres</w:t>
            </w:r>
            <w:proofErr w:type="spellEnd"/>
            <w:r w:rsidRPr="00596A68">
              <w:rPr>
                <w:rFonts w:ascii="Calibri" w:hAnsi="Calibri"/>
                <w:color w:val="000000"/>
                <w:sz w:val="22"/>
                <w:szCs w:val="22"/>
                <w:lang w:val="en-US" w:eastAsia="zh-CN"/>
              </w:rPr>
              <w:t xml:space="preserve"> of Excellence (</w:t>
            </w:r>
            <w:proofErr w:type="spellStart"/>
            <w:r w:rsidRPr="00596A68">
              <w:rPr>
                <w:rFonts w:ascii="Calibri" w:hAnsi="Calibri"/>
                <w:color w:val="000000"/>
                <w:sz w:val="22"/>
                <w:szCs w:val="22"/>
                <w:lang w:val="en-US" w:eastAsia="zh-CN"/>
              </w:rPr>
              <w:t>CoEs</w:t>
            </w:r>
            <w:proofErr w:type="spellEnd"/>
            <w:r w:rsidRPr="00596A68">
              <w:rPr>
                <w:rFonts w:ascii="Calibri" w:hAnsi="Calibri"/>
                <w:color w:val="000000"/>
                <w:sz w:val="22"/>
                <w:szCs w:val="22"/>
                <w:lang w:val="en-US" w:eastAsia="zh-CN"/>
              </w:rPr>
              <w:t>)</w:t>
            </w:r>
          </w:p>
        </w:tc>
        <w:tc>
          <w:tcPr>
            <w:tcW w:w="1418" w:type="dxa"/>
            <w:tcBorders>
              <w:top w:val="nil"/>
              <w:left w:val="nil"/>
              <w:bottom w:val="single" w:sz="4" w:space="0" w:color="auto"/>
              <w:right w:val="single" w:sz="4" w:space="0" w:color="auto"/>
            </w:tcBorders>
            <w:shd w:val="clear" w:color="auto" w:fill="auto"/>
            <w:vAlign w:val="center"/>
            <w:hideMark/>
          </w:tcPr>
          <w:p w:rsidR="007D7E7B" w:rsidRPr="00704301" w:rsidRDefault="007D7E7B" w:rsidP="00B22D4D">
            <w:pPr>
              <w:spacing w:before="0"/>
              <w:jc w:val="right"/>
            </w:pPr>
            <w:r w:rsidRPr="00704301">
              <w:t>253,500</w:t>
            </w:r>
          </w:p>
        </w:tc>
        <w:tc>
          <w:tcPr>
            <w:tcW w:w="1276"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r>
      <w:tr w:rsidR="007D7E7B" w:rsidRPr="00596A68" w:rsidTr="005200E0">
        <w:trPr>
          <w:trHeight w:val="450"/>
        </w:trPr>
        <w:tc>
          <w:tcPr>
            <w:tcW w:w="406" w:type="dxa"/>
            <w:tcBorders>
              <w:top w:val="nil"/>
              <w:left w:val="single" w:sz="4" w:space="0" w:color="auto"/>
              <w:bottom w:val="single" w:sz="4" w:space="0" w:color="auto"/>
              <w:right w:val="single" w:sz="4" w:space="0" w:color="auto"/>
            </w:tcBorders>
            <w:shd w:val="clear" w:color="auto" w:fill="auto"/>
            <w:hideMark/>
          </w:tcPr>
          <w:p w:rsidR="007D7E7B" w:rsidRPr="00596A68" w:rsidRDefault="007D7E7B"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61</w:t>
            </w:r>
          </w:p>
        </w:tc>
        <w:tc>
          <w:tcPr>
            <w:tcW w:w="5851" w:type="dxa"/>
            <w:tcBorders>
              <w:top w:val="nil"/>
              <w:left w:val="nil"/>
              <w:bottom w:val="single" w:sz="4" w:space="0" w:color="auto"/>
              <w:right w:val="single" w:sz="4" w:space="0" w:color="auto"/>
            </w:tcBorders>
            <w:shd w:val="clear" w:color="auto" w:fill="auto"/>
            <w:hideMark/>
          </w:tcPr>
          <w:p w:rsidR="007D7E7B" w:rsidRPr="00596A68" w:rsidRDefault="007D7E7B" w:rsidP="007D7E7B">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Advisory Services to Saudi Arabia's Communication and Information Technology Commission (CITC)</w:t>
            </w:r>
          </w:p>
        </w:tc>
        <w:tc>
          <w:tcPr>
            <w:tcW w:w="1418" w:type="dxa"/>
            <w:tcBorders>
              <w:top w:val="nil"/>
              <w:left w:val="nil"/>
              <w:bottom w:val="single" w:sz="4" w:space="0" w:color="auto"/>
              <w:right w:val="single" w:sz="4" w:space="0" w:color="auto"/>
            </w:tcBorders>
            <w:shd w:val="clear" w:color="auto" w:fill="auto"/>
            <w:vAlign w:val="center"/>
            <w:hideMark/>
          </w:tcPr>
          <w:p w:rsidR="007D7E7B" w:rsidRDefault="007D7E7B" w:rsidP="00B22D4D">
            <w:pPr>
              <w:spacing w:before="0"/>
              <w:jc w:val="right"/>
            </w:pPr>
            <w:r w:rsidRPr="00704301">
              <w:t>2,903,917</w:t>
            </w:r>
          </w:p>
        </w:tc>
        <w:tc>
          <w:tcPr>
            <w:tcW w:w="1276"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rsidR="007D7E7B" w:rsidRPr="00596A68" w:rsidRDefault="007D7E7B" w:rsidP="004C38D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596A68">
              <w:rPr>
                <w:rFonts w:ascii="Calibri" w:hAnsi="Calibri"/>
                <w:color w:val="000000"/>
                <w:sz w:val="22"/>
                <w:szCs w:val="22"/>
                <w:lang w:val="en-US" w:eastAsia="zh-CN"/>
              </w:rPr>
              <w:t> </w:t>
            </w:r>
          </w:p>
        </w:tc>
      </w:tr>
      <w:tr w:rsidR="00811389" w:rsidRPr="00596A68" w:rsidTr="005200E0">
        <w:trPr>
          <w:trHeight w:val="309"/>
        </w:trPr>
        <w:tc>
          <w:tcPr>
            <w:tcW w:w="406" w:type="dxa"/>
            <w:tcBorders>
              <w:top w:val="nil"/>
              <w:left w:val="single" w:sz="4" w:space="0" w:color="auto"/>
              <w:bottom w:val="single" w:sz="4" w:space="0" w:color="auto"/>
              <w:right w:val="single" w:sz="4" w:space="0" w:color="auto"/>
            </w:tcBorders>
            <w:shd w:val="clear" w:color="auto" w:fill="auto"/>
            <w:noWrap/>
            <w:hideMark/>
          </w:tcPr>
          <w:p w:rsidR="00811389" w:rsidRPr="00596A68" w:rsidRDefault="00811389" w:rsidP="002C2D78">
            <w:pPr>
              <w:tabs>
                <w:tab w:val="clear" w:pos="794"/>
                <w:tab w:val="clear" w:pos="1191"/>
                <w:tab w:val="clear" w:pos="1588"/>
                <w:tab w:val="clear" w:pos="1985"/>
              </w:tabs>
              <w:overflowPunct/>
              <w:autoSpaceDE/>
              <w:autoSpaceDN/>
              <w:adjustRightInd/>
              <w:ind w:left="-113" w:right="-107"/>
              <w:jc w:val="center"/>
              <w:textAlignment w:val="auto"/>
              <w:rPr>
                <w:rFonts w:ascii="Calibri" w:hAnsi="Calibri"/>
                <w:color w:val="000000"/>
                <w:sz w:val="22"/>
                <w:szCs w:val="22"/>
                <w:lang w:val="en-US" w:eastAsia="zh-CN"/>
              </w:rPr>
            </w:pPr>
          </w:p>
        </w:tc>
        <w:tc>
          <w:tcPr>
            <w:tcW w:w="5851" w:type="dxa"/>
            <w:tcBorders>
              <w:top w:val="nil"/>
              <w:left w:val="nil"/>
              <w:bottom w:val="single" w:sz="4" w:space="0" w:color="auto"/>
              <w:right w:val="single" w:sz="4" w:space="0" w:color="auto"/>
            </w:tcBorders>
            <w:shd w:val="clear" w:color="auto" w:fill="auto"/>
            <w:noWrap/>
            <w:vAlign w:val="bottom"/>
            <w:hideMark/>
          </w:tcPr>
          <w:p w:rsidR="00811389" w:rsidRPr="002C2D78" w:rsidRDefault="00811389" w:rsidP="002C2D78">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00"/>
                <w:szCs w:val="24"/>
                <w:lang w:val="en-US" w:eastAsia="zh-CN"/>
              </w:rPr>
            </w:pPr>
            <w:r w:rsidRPr="002C2D78">
              <w:rPr>
                <w:rFonts w:ascii="Calibri" w:hAnsi="Calibri"/>
                <w:color w:val="000000"/>
                <w:szCs w:val="24"/>
                <w:lang w:val="en-US" w:eastAsia="zh-CN"/>
              </w:rPr>
              <w:t> </w:t>
            </w:r>
            <w:r w:rsidRPr="002C2D78">
              <w:rPr>
                <w:rFonts w:ascii="Calibri" w:hAnsi="Calibri"/>
                <w:b/>
                <w:bCs/>
                <w:color w:val="000000"/>
                <w:szCs w:val="24"/>
                <w:lang w:val="en-US" w:eastAsia="zh-CN"/>
              </w:rPr>
              <w:t>TOTAL</w:t>
            </w:r>
          </w:p>
        </w:tc>
        <w:tc>
          <w:tcPr>
            <w:tcW w:w="1418" w:type="dxa"/>
            <w:tcBorders>
              <w:top w:val="nil"/>
              <w:left w:val="nil"/>
              <w:bottom w:val="single" w:sz="4" w:space="0" w:color="auto"/>
              <w:right w:val="single" w:sz="4" w:space="0" w:color="auto"/>
            </w:tcBorders>
            <w:shd w:val="clear" w:color="auto" w:fill="auto"/>
            <w:noWrap/>
            <w:vAlign w:val="center"/>
            <w:hideMark/>
          </w:tcPr>
          <w:p w:rsidR="00811389" w:rsidRPr="002C2D78" w:rsidRDefault="00811389" w:rsidP="002C2D78">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00"/>
                <w:szCs w:val="24"/>
                <w:lang w:val="en-US" w:eastAsia="zh-CN"/>
              </w:rPr>
            </w:pPr>
            <w:r w:rsidRPr="002C2D78">
              <w:rPr>
                <w:rFonts w:ascii="Calibri" w:hAnsi="Calibri"/>
                <w:b/>
                <w:bCs/>
                <w:color w:val="000000"/>
                <w:szCs w:val="24"/>
                <w:lang w:val="en-US" w:eastAsia="zh-CN"/>
              </w:rPr>
              <w:t>55,151,274</w:t>
            </w:r>
          </w:p>
        </w:tc>
        <w:tc>
          <w:tcPr>
            <w:tcW w:w="1276" w:type="dxa"/>
            <w:tcBorders>
              <w:top w:val="nil"/>
              <w:left w:val="nil"/>
              <w:bottom w:val="single" w:sz="4" w:space="0" w:color="auto"/>
              <w:right w:val="single" w:sz="4" w:space="0" w:color="auto"/>
            </w:tcBorders>
            <w:shd w:val="clear" w:color="auto" w:fill="auto"/>
            <w:noWrap/>
            <w:vAlign w:val="center"/>
            <w:hideMark/>
          </w:tcPr>
          <w:p w:rsidR="00811389" w:rsidRPr="002C2D78" w:rsidRDefault="00811389" w:rsidP="002C2D78">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00"/>
                <w:szCs w:val="24"/>
                <w:lang w:val="en-US" w:eastAsia="zh-CN"/>
              </w:rPr>
            </w:pPr>
            <w:r w:rsidRPr="002C2D78">
              <w:rPr>
                <w:rFonts w:ascii="Calibri" w:hAnsi="Calibri"/>
                <w:b/>
                <w:bCs/>
                <w:color w:val="000000"/>
                <w:szCs w:val="24"/>
                <w:lang w:val="en-US" w:eastAsia="zh-CN"/>
              </w:rPr>
              <w:t>5,771,556</w:t>
            </w:r>
          </w:p>
        </w:tc>
        <w:tc>
          <w:tcPr>
            <w:tcW w:w="992" w:type="dxa"/>
            <w:tcBorders>
              <w:top w:val="nil"/>
              <w:left w:val="nil"/>
              <w:bottom w:val="single" w:sz="4" w:space="0" w:color="auto"/>
              <w:right w:val="single" w:sz="4" w:space="0" w:color="auto"/>
            </w:tcBorders>
            <w:shd w:val="clear" w:color="auto" w:fill="auto"/>
            <w:noWrap/>
            <w:vAlign w:val="center"/>
            <w:hideMark/>
          </w:tcPr>
          <w:p w:rsidR="00811389" w:rsidRPr="002C2D78" w:rsidRDefault="00811389" w:rsidP="002C2D78">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00"/>
                <w:szCs w:val="24"/>
                <w:lang w:val="en-US" w:eastAsia="zh-CN"/>
              </w:rPr>
            </w:pPr>
            <w:r w:rsidRPr="002C2D78">
              <w:rPr>
                <w:rFonts w:ascii="Calibri" w:hAnsi="Calibri"/>
                <w:b/>
                <w:bCs/>
                <w:color w:val="000000"/>
                <w:szCs w:val="24"/>
                <w:lang w:val="en-US" w:eastAsia="zh-CN"/>
              </w:rPr>
              <w:t>1,752,130</w:t>
            </w:r>
          </w:p>
        </w:tc>
      </w:tr>
      <w:tr w:rsidR="00811389" w:rsidRPr="00596A68" w:rsidTr="005200E0">
        <w:trPr>
          <w:trHeight w:val="454"/>
        </w:trPr>
        <w:tc>
          <w:tcPr>
            <w:tcW w:w="406" w:type="dxa"/>
            <w:tcBorders>
              <w:top w:val="single" w:sz="4" w:space="0" w:color="auto"/>
              <w:left w:val="single" w:sz="4" w:space="0" w:color="auto"/>
              <w:bottom w:val="single" w:sz="4" w:space="0" w:color="auto"/>
              <w:right w:val="single" w:sz="4" w:space="0" w:color="auto"/>
            </w:tcBorders>
            <w:shd w:val="clear" w:color="auto" w:fill="auto"/>
            <w:noWrap/>
          </w:tcPr>
          <w:p w:rsidR="00811389" w:rsidRPr="00596A68" w:rsidRDefault="00811389" w:rsidP="002C0879">
            <w:pPr>
              <w:tabs>
                <w:tab w:val="clear" w:pos="794"/>
                <w:tab w:val="clear" w:pos="1191"/>
                <w:tab w:val="clear" w:pos="1588"/>
                <w:tab w:val="clear" w:pos="1985"/>
              </w:tabs>
              <w:overflowPunct/>
              <w:autoSpaceDE/>
              <w:autoSpaceDN/>
              <w:adjustRightInd/>
              <w:spacing w:before="0"/>
              <w:ind w:left="-113" w:right="-107"/>
              <w:jc w:val="center"/>
              <w:textAlignment w:val="auto"/>
              <w:rPr>
                <w:rFonts w:ascii="Calibri" w:hAnsi="Calibri"/>
                <w:color w:val="000000"/>
                <w:sz w:val="22"/>
                <w:szCs w:val="22"/>
                <w:lang w:val="en-US" w:eastAsia="zh-CN"/>
              </w:rPr>
            </w:pPr>
          </w:p>
        </w:tc>
        <w:tc>
          <w:tcPr>
            <w:tcW w:w="5851" w:type="dxa"/>
            <w:tcBorders>
              <w:top w:val="single" w:sz="4" w:space="0" w:color="auto"/>
              <w:left w:val="nil"/>
              <w:bottom w:val="single" w:sz="4" w:space="0" w:color="auto"/>
              <w:right w:val="single" w:sz="4" w:space="0" w:color="auto"/>
            </w:tcBorders>
            <w:shd w:val="clear" w:color="auto" w:fill="auto"/>
            <w:noWrap/>
            <w:vAlign w:val="bottom"/>
          </w:tcPr>
          <w:p w:rsidR="00811389" w:rsidRPr="00596A68" w:rsidRDefault="00811389" w:rsidP="00EB4349">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11389" w:rsidRPr="00596A68"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88%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11389" w:rsidRPr="00596A68"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11389" w:rsidRPr="00596A68"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3%</w:t>
            </w:r>
          </w:p>
        </w:tc>
      </w:tr>
    </w:tbl>
    <w:p w:rsidR="00811389" w:rsidRDefault="00811389" w:rsidP="00811389">
      <w:pPr>
        <w:tabs>
          <w:tab w:val="clear" w:pos="794"/>
          <w:tab w:val="clear" w:pos="1191"/>
          <w:tab w:val="clear" w:pos="1588"/>
          <w:tab w:val="clear" w:pos="1985"/>
        </w:tabs>
        <w:overflowPunct/>
        <w:autoSpaceDE/>
        <w:autoSpaceDN/>
        <w:adjustRightInd/>
        <w:spacing w:before="0" w:after="200" w:line="276" w:lineRule="auto"/>
        <w:textAlignment w:val="auto"/>
        <w:rPr>
          <w:b/>
          <w:sz w:val="28"/>
        </w:rPr>
      </w:pPr>
      <w:r>
        <w:rPr>
          <w:b/>
          <w:sz w:val="28"/>
        </w:rPr>
        <w:br w:type="page"/>
      </w:r>
    </w:p>
    <w:p w:rsidR="00811389" w:rsidRPr="00803E74" w:rsidRDefault="00811389" w:rsidP="00811389">
      <w:pPr>
        <w:jc w:val="center"/>
        <w:rPr>
          <w:b/>
          <w:bCs/>
          <w:sz w:val="28"/>
          <w:szCs w:val="28"/>
        </w:rPr>
      </w:pPr>
      <w:r w:rsidRPr="00803E74">
        <w:rPr>
          <w:b/>
          <w:bCs/>
          <w:sz w:val="28"/>
          <w:szCs w:val="28"/>
        </w:rPr>
        <w:lastRenderedPageBreak/>
        <w:t>Annex 2</w:t>
      </w:r>
    </w:p>
    <w:p w:rsidR="00811389" w:rsidRDefault="00811389" w:rsidP="00811389">
      <w:pPr>
        <w:jc w:val="center"/>
        <w:rPr>
          <w:b/>
          <w:bCs/>
          <w:color w:val="000000" w:themeColor="text1"/>
          <w:sz w:val="28"/>
          <w:szCs w:val="28"/>
        </w:rPr>
      </w:pPr>
      <w:r w:rsidRPr="00803E74">
        <w:rPr>
          <w:b/>
          <w:bCs/>
          <w:color w:val="000000" w:themeColor="text1"/>
          <w:sz w:val="28"/>
          <w:szCs w:val="28"/>
        </w:rPr>
        <w:t>Newly signed projects in 201</w:t>
      </w:r>
      <w:r>
        <w:rPr>
          <w:b/>
          <w:bCs/>
          <w:color w:val="000000" w:themeColor="text1"/>
          <w:sz w:val="28"/>
          <w:szCs w:val="28"/>
        </w:rPr>
        <w:t>6</w:t>
      </w:r>
      <w:r w:rsidRPr="00803E74">
        <w:rPr>
          <w:b/>
          <w:bCs/>
          <w:color w:val="000000" w:themeColor="text1"/>
          <w:sz w:val="28"/>
          <w:szCs w:val="28"/>
        </w:rPr>
        <w:t xml:space="preserve"> (</w:t>
      </w:r>
      <w:r>
        <w:rPr>
          <w:b/>
          <w:bCs/>
          <w:color w:val="000000" w:themeColor="text1"/>
          <w:sz w:val="28"/>
          <w:szCs w:val="28"/>
        </w:rPr>
        <w:t>18</w:t>
      </w:r>
      <w:r w:rsidRPr="00803E74">
        <w:rPr>
          <w:b/>
          <w:bCs/>
          <w:color w:val="000000" w:themeColor="text1"/>
          <w:sz w:val="28"/>
          <w:szCs w:val="28"/>
        </w:rPr>
        <w:t xml:space="preserve"> projects)</w:t>
      </w:r>
    </w:p>
    <w:p w:rsidR="00811389" w:rsidRDefault="00811389" w:rsidP="00811389">
      <w:pPr>
        <w:ind w:right="142"/>
        <w:jc w:val="right"/>
        <w:rPr>
          <w:b/>
          <w:bCs/>
          <w:color w:val="000000" w:themeColor="text1"/>
          <w:szCs w:val="24"/>
        </w:rPr>
      </w:pPr>
      <w:r w:rsidRPr="00637E54">
        <w:rPr>
          <w:b/>
          <w:bCs/>
          <w:color w:val="000000" w:themeColor="text1"/>
          <w:szCs w:val="24"/>
        </w:rPr>
        <w:t>(CHF)</w:t>
      </w:r>
    </w:p>
    <w:tbl>
      <w:tblPr>
        <w:tblW w:w="10060" w:type="dxa"/>
        <w:tblLook w:val="04A0" w:firstRow="1" w:lastRow="0" w:firstColumn="1" w:lastColumn="0" w:noHBand="0" w:noVBand="1"/>
      </w:tblPr>
      <w:tblGrid>
        <w:gridCol w:w="704"/>
        <w:gridCol w:w="4394"/>
        <w:gridCol w:w="1843"/>
        <w:gridCol w:w="1110"/>
        <w:gridCol w:w="851"/>
        <w:gridCol w:w="1276"/>
      </w:tblGrid>
      <w:tr w:rsidR="00811389" w:rsidRPr="00E46B11" w:rsidTr="00B22D4D">
        <w:trPr>
          <w:trHeight w:val="79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p>
        </w:tc>
        <w:tc>
          <w:tcPr>
            <w:tcW w:w="4394" w:type="dxa"/>
            <w:tcBorders>
              <w:top w:val="single" w:sz="4" w:space="0" w:color="auto"/>
              <w:left w:val="nil"/>
              <w:bottom w:val="single" w:sz="4" w:space="0" w:color="auto"/>
              <w:right w:val="single" w:sz="4" w:space="0" w:color="auto"/>
            </w:tcBorders>
            <w:shd w:val="clear" w:color="auto" w:fill="auto"/>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22"/>
                <w:szCs w:val="22"/>
                <w:lang w:val="en-US" w:eastAsia="zh-CN"/>
              </w:rPr>
            </w:pPr>
            <w:r w:rsidRPr="00E46B11">
              <w:rPr>
                <w:rFonts w:ascii="Calibri" w:hAnsi="Calibri"/>
                <w:b/>
                <w:bCs/>
                <w:color w:val="000000"/>
                <w:sz w:val="22"/>
                <w:szCs w:val="22"/>
                <w:lang w:val="en-US" w:eastAsia="zh-CN"/>
              </w:rPr>
              <w:t>Title</w:t>
            </w:r>
          </w:p>
        </w:tc>
        <w:tc>
          <w:tcPr>
            <w:tcW w:w="1843" w:type="dxa"/>
            <w:tcBorders>
              <w:top w:val="single" w:sz="4" w:space="0" w:color="auto"/>
              <w:left w:val="nil"/>
              <w:bottom w:val="single" w:sz="4" w:space="0" w:color="auto"/>
              <w:right w:val="single" w:sz="4" w:space="0" w:color="auto"/>
            </w:tcBorders>
            <w:shd w:val="clear" w:color="auto" w:fill="auto"/>
            <w:hideMark/>
          </w:tcPr>
          <w:p w:rsidR="00811389" w:rsidRPr="00E46B11" w:rsidRDefault="00811389" w:rsidP="00EB434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22"/>
                <w:szCs w:val="22"/>
                <w:lang w:val="en-US" w:eastAsia="zh-CN"/>
              </w:rPr>
            </w:pPr>
            <w:r w:rsidRPr="00E46B11">
              <w:rPr>
                <w:rFonts w:ascii="Calibri" w:hAnsi="Calibri"/>
                <w:b/>
                <w:bCs/>
                <w:color w:val="000000"/>
                <w:sz w:val="22"/>
                <w:szCs w:val="22"/>
                <w:lang w:val="en-US" w:eastAsia="zh-CN"/>
              </w:rPr>
              <w:t>Region</w:t>
            </w:r>
          </w:p>
        </w:tc>
        <w:tc>
          <w:tcPr>
            <w:tcW w:w="992" w:type="dxa"/>
            <w:tcBorders>
              <w:top w:val="single" w:sz="4" w:space="0" w:color="auto"/>
              <w:left w:val="nil"/>
              <w:bottom w:val="single" w:sz="4" w:space="0" w:color="auto"/>
              <w:right w:val="single" w:sz="4" w:space="0" w:color="auto"/>
            </w:tcBorders>
            <w:shd w:val="clear" w:color="auto" w:fill="auto"/>
            <w:hideMark/>
          </w:tcPr>
          <w:p w:rsidR="00811389" w:rsidRPr="00E46B11" w:rsidRDefault="00811389" w:rsidP="00EB434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22"/>
                <w:szCs w:val="22"/>
                <w:lang w:val="en-US" w:eastAsia="zh-CN"/>
              </w:rPr>
            </w:pPr>
            <w:r w:rsidRPr="00E46B11">
              <w:rPr>
                <w:rFonts w:ascii="Calibri" w:hAnsi="Calibri"/>
                <w:b/>
                <w:bCs/>
                <w:color w:val="000000"/>
                <w:sz w:val="22"/>
                <w:szCs w:val="22"/>
                <w:lang w:val="en-US" w:eastAsia="zh-CN"/>
              </w:rPr>
              <w:t>in-cash external</w:t>
            </w:r>
          </w:p>
        </w:tc>
        <w:tc>
          <w:tcPr>
            <w:tcW w:w="851" w:type="dxa"/>
            <w:tcBorders>
              <w:top w:val="single" w:sz="4" w:space="0" w:color="auto"/>
              <w:left w:val="nil"/>
              <w:bottom w:val="single" w:sz="4" w:space="0" w:color="auto"/>
              <w:right w:val="single" w:sz="4" w:space="0" w:color="auto"/>
            </w:tcBorders>
            <w:shd w:val="clear" w:color="auto" w:fill="auto"/>
            <w:hideMark/>
          </w:tcPr>
          <w:p w:rsidR="00811389" w:rsidRPr="00E46B11" w:rsidRDefault="00811389" w:rsidP="00EB434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22"/>
                <w:szCs w:val="22"/>
                <w:lang w:val="en-US" w:eastAsia="zh-CN"/>
              </w:rPr>
            </w:pPr>
            <w:r w:rsidRPr="00E46B11">
              <w:rPr>
                <w:rFonts w:ascii="Calibri" w:hAnsi="Calibri"/>
                <w:b/>
                <w:bCs/>
                <w:color w:val="000000"/>
                <w:sz w:val="22"/>
                <w:szCs w:val="22"/>
                <w:lang w:val="en-US" w:eastAsia="zh-CN"/>
              </w:rPr>
              <w:t>in-cash ICT-DF</w:t>
            </w:r>
          </w:p>
        </w:tc>
        <w:tc>
          <w:tcPr>
            <w:tcW w:w="1276" w:type="dxa"/>
            <w:tcBorders>
              <w:top w:val="single" w:sz="4" w:space="0" w:color="auto"/>
              <w:left w:val="nil"/>
              <w:bottom w:val="single" w:sz="4" w:space="0" w:color="auto"/>
              <w:right w:val="single" w:sz="4" w:space="0" w:color="auto"/>
            </w:tcBorders>
            <w:shd w:val="clear" w:color="auto" w:fill="auto"/>
            <w:hideMark/>
          </w:tcPr>
          <w:p w:rsidR="00811389" w:rsidRPr="00E46B11" w:rsidRDefault="00811389" w:rsidP="00EB434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22"/>
                <w:szCs w:val="22"/>
                <w:lang w:val="en-US" w:eastAsia="zh-CN"/>
              </w:rPr>
            </w:pPr>
            <w:r w:rsidRPr="00E46B11">
              <w:rPr>
                <w:rFonts w:ascii="Calibri" w:hAnsi="Calibri"/>
                <w:b/>
                <w:bCs/>
                <w:color w:val="000000"/>
                <w:sz w:val="22"/>
                <w:szCs w:val="22"/>
                <w:lang w:val="en-US" w:eastAsia="zh-CN"/>
              </w:rPr>
              <w:t>in-cash OP</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Smart Groundwater Management</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Arab States</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20,120</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26,000</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2</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National CIRT Establishment in The Gambia</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Africa</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100,600</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40,240</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3</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ICT-Eye: keeping an eye on ICT data</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World or Multi-Regional</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600,000</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4</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Big Data for Measuring the Information Society</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World or Multi-Regional</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100,600</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37,000</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5</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Capacity Building of Kenya Judiciary in ICT Laws Interpretation and Application</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Africa</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100,600</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20,120</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6</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Support to the Caribbean Countries through a contribution to upgrading Caribbean Telecommunications Union</w:t>
            </w:r>
            <w:r w:rsidRPr="00E46B11">
              <w:rPr>
                <w:rFonts w:ascii="Calibri" w:hAnsi="Calibri" w:cs="Calibri"/>
                <w:color w:val="000000"/>
                <w:sz w:val="22"/>
                <w:szCs w:val="22"/>
                <w:lang w:val="en-US" w:eastAsia="zh-CN"/>
              </w:rPr>
              <w:t>’</w:t>
            </w:r>
            <w:r w:rsidRPr="00E46B11">
              <w:rPr>
                <w:rFonts w:ascii="Calibri" w:hAnsi="Calibri"/>
                <w:color w:val="000000"/>
                <w:sz w:val="22"/>
                <w:szCs w:val="22"/>
                <w:lang w:val="en-US" w:eastAsia="zh-CN"/>
              </w:rPr>
              <w:t>s (CTU) ICT Network Infrastructure</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The Americas</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64,000</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7</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Regional Center ICT Accessibility for Persons with Disabilities</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Arab States</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50,300</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75,450</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25,000</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8</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Policy Development on Broadcasting</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The Americas</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806,443</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9</w:t>
            </w:r>
          </w:p>
        </w:tc>
        <w:tc>
          <w:tcPr>
            <w:tcW w:w="4394" w:type="dxa"/>
            <w:tcBorders>
              <w:top w:val="nil"/>
              <w:left w:val="nil"/>
              <w:bottom w:val="single" w:sz="4" w:space="0" w:color="auto"/>
              <w:right w:val="single" w:sz="4" w:space="0" w:color="auto"/>
            </w:tcBorders>
            <w:shd w:val="clear" w:color="auto" w:fill="auto"/>
            <w:vAlign w:val="center"/>
            <w:hideMark/>
          </w:tcPr>
          <w:p w:rsidR="00811389" w:rsidRPr="00CF7F37"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s-ES_tradnl" w:eastAsia="zh-CN"/>
              </w:rPr>
            </w:pPr>
            <w:r w:rsidRPr="00CF7F37">
              <w:rPr>
                <w:rFonts w:ascii="Calibri" w:hAnsi="Calibri"/>
                <w:color w:val="000000"/>
                <w:sz w:val="22"/>
                <w:szCs w:val="22"/>
                <w:lang w:val="es-ES_tradnl" w:eastAsia="zh-CN"/>
              </w:rPr>
              <w:t>Diagnóstico y Auditoría al Proceso de Selección Objetiva para la Asignación del Espectro del MINTIC</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The Americas</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82,894</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10</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National CIRT Establishment</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Europe</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163,174</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11</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Delivery of the Spectrum Management Training Program (SMTP)</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World or Multi-Regional</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12</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proofErr w:type="spellStart"/>
            <w:r w:rsidRPr="00E46B11">
              <w:rPr>
                <w:rFonts w:ascii="Calibri" w:hAnsi="Calibri"/>
                <w:color w:val="000000"/>
                <w:sz w:val="22"/>
                <w:szCs w:val="22"/>
                <w:lang w:val="en-US" w:eastAsia="zh-CN"/>
              </w:rPr>
              <w:t>mHealth</w:t>
            </w:r>
            <w:proofErr w:type="spellEnd"/>
            <w:r w:rsidRPr="00E46B11">
              <w:rPr>
                <w:rFonts w:ascii="Calibri" w:hAnsi="Calibri"/>
                <w:color w:val="000000"/>
                <w:sz w:val="22"/>
                <w:szCs w:val="22"/>
                <w:lang w:val="en-US" w:eastAsia="zh-CN"/>
              </w:rPr>
              <w:t xml:space="preserve"> for non-communicable diseases in Norway</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World or Multi-Regional</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151,051</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13</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Development of a toolkit for ICT innovation policy/governance and ICT innovation ecosystem-II</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World or Multi-Regional</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88,734</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14</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Basic National Spectrum Management System</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World or Multi-Regional</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88,734</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15</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Further developments to Spectrum Management System for Developing Countries (SMS4DC) software</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World or Multi-Regional</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88,734</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16</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Human Capacity Building on Internet Protocol version 6</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Arab States</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36,216</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17</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xml:space="preserve">ITU NBTC Training </w:t>
            </w:r>
            <w:proofErr w:type="spellStart"/>
            <w:r w:rsidRPr="00E46B11">
              <w:rPr>
                <w:rFonts w:ascii="Calibri" w:hAnsi="Calibri"/>
                <w:color w:val="000000"/>
                <w:sz w:val="22"/>
                <w:szCs w:val="22"/>
                <w:lang w:val="en-US" w:eastAsia="zh-CN"/>
              </w:rPr>
              <w:t>Programme</w:t>
            </w:r>
            <w:proofErr w:type="spellEnd"/>
            <w:r w:rsidRPr="00E46B11">
              <w:rPr>
                <w:rFonts w:ascii="Calibri" w:hAnsi="Calibri"/>
                <w:color w:val="000000"/>
                <w:sz w:val="22"/>
                <w:szCs w:val="22"/>
                <w:lang w:val="en-US" w:eastAsia="zh-CN"/>
              </w:rPr>
              <w:t xml:space="preserve"> 2016</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Asia &amp; Pacific</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35,343</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r>
      <w:tr w:rsidR="00811389" w:rsidRPr="00E46B11" w:rsidTr="00B22D4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18</w:t>
            </w:r>
          </w:p>
        </w:tc>
        <w:tc>
          <w:tcPr>
            <w:tcW w:w="4394"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Development of a Detailed Frequency Plan for FM Radio Services in Thailand</w:t>
            </w:r>
          </w:p>
        </w:tc>
        <w:tc>
          <w:tcPr>
            <w:tcW w:w="1843"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Asia &amp; Pacific</w:t>
            </w:r>
          </w:p>
        </w:tc>
        <w:tc>
          <w:tcPr>
            <w:tcW w:w="992"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281,793</w:t>
            </w:r>
          </w:p>
        </w:tc>
        <w:tc>
          <w:tcPr>
            <w:tcW w:w="851"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00"/>
                <w:sz w:val="22"/>
                <w:szCs w:val="22"/>
                <w:lang w:val="en-US" w:eastAsia="zh-CN"/>
              </w:rPr>
            </w:pPr>
            <w:r w:rsidRPr="00E46B11">
              <w:rPr>
                <w:rFonts w:ascii="Calibri" w:hAnsi="Calibri"/>
                <w:color w:val="000000"/>
                <w:sz w:val="22"/>
                <w:szCs w:val="22"/>
                <w:lang w:val="en-US" w:eastAsia="zh-CN"/>
              </w:rPr>
              <w:t> </w:t>
            </w:r>
          </w:p>
        </w:tc>
      </w:tr>
      <w:tr w:rsidR="00811389" w:rsidRPr="00E46B11" w:rsidTr="00B22D4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389" w:rsidRPr="00E46B11" w:rsidRDefault="00811389" w:rsidP="00EB434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22"/>
                <w:szCs w:val="22"/>
                <w:lang w:val="en-US" w:eastAsia="zh-CN"/>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389" w:rsidRPr="00E46B11" w:rsidRDefault="00811389" w:rsidP="00EB4349">
            <w:pPr>
              <w:tabs>
                <w:tab w:val="clear" w:pos="794"/>
                <w:tab w:val="clear" w:pos="1191"/>
                <w:tab w:val="clear" w:pos="1588"/>
                <w:tab w:val="clear" w:pos="1985"/>
              </w:tabs>
              <w:overflowPunct/>
              <w:autoSpaceDE/>
              <w:autoSpaceDN/>
              <w:adjustRightInd/>
              <w:spacing w:before="0"/>
              <w:textAlignment w:val="auto"/>
              <w:rPr>
                <w:rFonts w:ascii="Times New Roman" w:hAnsi="Times New Roman"/>
                <w:sz w:val="20"/>
                <w:lang w:val="en-US" w:eastAsia="zh-CN"/>
              </w:rPr>
            </w:pP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center"/>
              <w:textAlignment w:val="auto"/>
              <w:rPr>
                <w:rFonts w:ascii="Times New Roman" w:hAnsi="Times New Roman"/>
                <w:sz w:val="20"/>
                <w:lang w:val="en-US" w:eastAsia="zh-CN"/>
              </w:rPr>
            </w:pPr>
            <w:r w:rsidRPr="00803E74">
              <w:rPr>
                <w:rFonts w:ascii="Calibri" w:hAnsi="Calibri"/>
                <w:b/>
                <w:bCs/>
                <w:color w:val="000000"/>
                <w:sz w:val="22"/>
                <w:szCs w:val="22"/>
              </w:rPr>
              <w:t>TOTAL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00"/>
                <w:sz w:val="22"/>
                <w:szCs w:val="22"/>
                <w:lang w:val="en-US" w:eastAsia="zh-CN"/>
              </w:rPr>
            </w:pPr>
            <w:r w:rsidRPr="00E46B11">
              <w:rPr>
                <w:rFonts w:ascii="Calibri" w:hAnsi="Calibri"/>
                <w:b/>
                <w:bCs/>
                <w:color w:val="000000"/>
                <w:sz w:val="22"/>
                <w:szCs w:val="22"/>
                <w:lang w:val="en-US" w:eastAsia="zh-CN"/>
              </w:rPr>
              <w:t>2,195,335</w:t>
            </w:r>
          </w:p>
        </w:tc>
        <w:tc>
          <w:tcPr>
            <w:tcW w:w="851" w:type="dxa"/>
            <w:tcBorders>
              <w:top w:val="nil"/>
              <w:left w:val="nil"/>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00"/>
                <w:sz w:val="22"/>
                <w:szCs w:val="22"/>
                <w:lang w:val="en-US" w:eastAsia="zh-CN"/>
              </w:rPr>
            </w:pPr>
            <w:r w:rsidRPr="00E46B11">
              <w:rPr>
                <w:rFonts w:ascii="Calibri" w:hAnsi="Calibri"/>
                <w:b/>
                <w:bCs/>
                <w:color w:val="000000"/>
                <w:sz w:val="22"/>
                <w:szCs w:val="22"/>
                <w:lang w:val="en-US" w:eastAsia="zh-CN"/>
              </w:rPr>
              <w:t>75,450</w:t>
            </w:r>
          </w:p>
        </w:tc>
        <w:tc>
          <w:tcPr>
            <w:tcW w:w="1276" w:type="dxa"/>
            <w:tcBorders>
              <w:top w:val="nil"/>
              <w:left w:val="nil"/>
              <w:bottom w:val="single" w:sz="4" w:space="0" w:color="auto"/>
              <w:right w:val="single" w:sz="4" w:space="0" w:color="auto"/>
            </w:tcBorders>
            <w:shd w:val="clear" w:color="auto" w:fill="auto"/>
            <w:noWrap/>
            <w:vAlign w:val="center"/>
            <w:hideMark/>
          </w:tcPr>
          <w:p w:rsidR="00811389" w:rsidRPr="00E46B11" w:rsidRDefault="00811389" w:rsidP="00B22D4D">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00"/>
                <w:sz w:val="22"/>
                <w:szCs w:val="22"/>
                <w:lang w:val="en-US" w:eastAsia="zh-CN"/>
              </w:rPr>
            </w:pPr>
            <w:r w:rsidRPr="00E46B11">
              <w:rPr>
                <w:rFonts w:ascii="Calibri" w:hAnsi="Calibri"/>
                <w:b/>
                <w:bCs/>
                <w:color w:val="000000"/>
                <w:sz w:val="22"/>
                <w:szCs w:val="22"/>
                <w:lang w:val="en-US" w:eastAsia="zh-CN"/>
              </w:rPr>
              <w:t>812,360</w:t>
            </w:r>
          </w:p>
        </w:tc>
      </w:tr>
    </w:tbl>
    <w:p w:rsidR="003C58BF" w:rsidRPr="00C86600" w:rsidRDefault="003C58BF" w:rsidP="00816EE1">
      <w:pPr>
        <w:tabs>
          <w:tab w:val="clear" w:pos="794"/>
          <w:tab w:val="clear" w:pos="1191"/>
          <w:tab w:val="clear" w:pos="1588"/>
          <w:tab w:val="clear" w:pos="1985"/>
        </w:tabs>
        <w:spacing w:after="120"/>
        <w:jc w:val="center"/>
      </w:pPr>
      <w:r>
        <w:t>_____________</w:t>
      </w:r>
      <w:r w:rsidR="004122C5">
        <w:t>_</w:t>
      </w:r>
      <w:r w:rsidR="00922EC1">
        <w:t>_</w:t>
      </w:r>
    </w:p>
    <w:sectPr w:rsidR="003C58BF" w:rsidRPr="00C86600" w:rsidSect="00B22D4D">
      <w:headerReference w:type="default" r:id="rId14"/>
      <w:footerReference w:type="first" r:id="rId15"/>
      <w:pgSz w:w="11907" w:h="16834" w:code="9"/>
      <w:pgMar w:top="1418" w:right="708"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26" w:rsidRDefault="008E2026">
      <w:r>
        <w:separator/>
      </w:r>
    </w:p>
  </w:endnote>
  <w:endnote w:type="continuationSeparator" w:id="0">
    <w:p w:rsidR="008E2026" w:rsidRDefault="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46" w:rsidRPr="008802F9" w:rsidRDefault="005200E0" w:rsidP="00B80157">
    <w:pPr>
      <w:pStyle w:val="Footer"/>
      <w:jc w:val="center"/>
    </w:pPr>
    <w:hyperlink r:id="rId1" w:history="1">
      <w:r w:rsidR="00C53C46"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26" w:rsidRDefault="008E2026">
      <w:r>
        <w:t>____________________</w:t>
      </w:r>
    </w:p>
  </w:footnote>
  <w:footnote w:type="continuationSeparator" w:id="0">
    <w:p w:rsidR="008E2026" w:rsidRDefault="008E2026">
      <w:r>
        <w:continuationSeparator/>
      </w:r>
    </w:p>
  </w:footnote>
  <w:footnote w:id="1">
    <w:p w:rsidR="00C53C46" w:rsidRPr="00673E6D" w:rsidRDefault="00C53C46" w:rsidP="00811389">
      <w:pPr>
        <w:pStyle w:val="FootnoteText"/>
        <w:rPr>
          <w:sz w:val="20"/>
          <w:szCs w:val="16"/>
        </w:rPr>
      </w:pPr>
      <w:r w:rsidRPr="00673E6D">
        <w:rPr>
          <w:rStyle w:val="FootnoteReference"/>
          <w:sz w:val="14"/>
          <w:szCs w:val="16"/>
        </w:rPr>
        <w:footnoteRef/>
      </w:r>
      <w:r w:rsidRPr="00673E6D">
        <w:rPr>
          <w:sz w:val="20"/>
          <w:szCs w:val="16"/>
        </w:rPr>
        <w:t xml:space="preserve"> Please note that some projects fall under more than one area of action</w:t>
      </w:r>
      <w:r>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46" w:rsidRPr="006D271A" w:rsidRDefault="00C53C46" w:rsidP="000B35F4">
    <w:pPr>
      <w:tabs>
        <w:tab w:val="clear" w:pos="794"/>
        <w:tab w:val="clear" w:pos="1191"/>
        <w:tab w:val="clear" w:pos="1588"/>
        <w:tab w:val="clear" w:pos="1985"/>
        <w:tab w:val="center" w:pos="4962"/>
        <w:tab w:val="right" w:pos="9923"/>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17</w:t>
    </w:r>
    <w:r w:rsidRPr="00A54E72">
      <w:rPr>
        <w:sz w:val="22"/>
        <w:szCs w:val="22"/>
        <w:lang w:val="de-CH"/>
      </w:rPr>
      <w:t>-</w:t>
    </w:r>
    <w:r>
      <w:rPr>
        <w:sz w:val="22"/>
        <w:szCs w:val="22"/>
        <w:lang w:val="de-CH"/>
      </w:rPr>
      <w:t>22</w:t>
    </w:r>
    <w:r w:rsidRPr="00A54E72">
      <w:rPr>
        <w:sz w:val="22"/>
        <w:szCs w:val="22"/>
        <w:lang w:val="de-CH"/>
      </w:rPr>
      <w:t>/</w:t>
    </w:r>
    <w:r>
      <w:rPr>
        <w:sz w:val="22"/>
        <w:szCs w:val="22"/>
        <w:lang w:val="de-CH"/>
      </w:rPr>
      <w:t>32</w:t>
    </w:r>
    <w:r w:rsidR="005200E0">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200E0">
      <w:rPr>
        <w:noProof/>
        <w:sz w:val="22"/>
        <w:szCs w:val="22"/>
        <w:lang w:val="de-CH"/>
      </w:rPr>
      <w:t>8</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564D"/>
    <w:multiLevelType w:val="multilevel"/>
    <w:tmpl w:val="0194D0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A80310"/>
    <w:multiLevelType w:val="hybridMultilevel"/>
    <w:tmpl w:val="10A2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5A5B"/>
    <w:multiLevelType w:val="hybridMultilevel"/>
    <w:tmpl w:val="FA3A25BA"/>
    <w:lvl w:ilvl="0" w:tplc="4A945C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B2322"/>
    <w:multiLevelType w:val="hybridMultilevel"/>
    <w:tmpl w:val="D75E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530A4"/>
    <w:multiLevelType w:val="hybridMultilevel"/>
    <w:tmpl w:val="56EE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264C2"/>
    <w:multiLevelType w:val="hybridMultilevel"/>
    <w:tmpl w:val="2E50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21EA4"/>
    <w:multiLevelType w:val="hybridMultilevel"/>
    <w:tmpl w:val="B178C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73DE6C48"/>
    <w:multiLevelType w:val="hybridMultilevel"/>
    <w:tmpl w:val="B15EDEA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3"/>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15448"/>
    <w:rsid w:val="00016B6B"/>
    <w:rsid w:val="0002520B"/>
    <w:rsid w:val="00037A9E"/>
    <w:rsid w:val="00037F91"/>
    <w:rsid w:val="000539F1"/>
    <w:rsid w:val="00054747"/>
    <w:rsid w:val="00055A2A"/>
    <w:rsid w:val="00057918"/>
    <w:rsid w:val="000615C1"/>
    <w:rsid w:val="00061675"/>
    <w:rsid w:val="00064EA4"/>
    <w:rsid w:val="000743AA"/>
    <w:rsid w:val="0009225C"/>
    <w:rsid w:val="00095ED6"/>
    <w:rsid w:val="000A17C4"/>
    <w:rsid w:val="000A36A4"/>
    <w:rsid w:val="000B2352"/>
    <w:rsid w:val="000B35F4"/>
    <w:rsid w:val="000C7B84"/>
    <w:rsid w:val="000D0FF0"/>
    <w:rsid w:val="000D261B"/>
    <w:rsid w:val="000D58A3"/>
    <w:rsid w:val="000E3ED4"/>
    <w:rsid w:val="000E3F9C"/>
    <w:rsid w:val="000F1550"/>
    <w:rsid w:val="000F205C"/>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364E"/>
    <w:rsid w:val="00285B33"/>
    <w:rsid w:val="00287A3C"/>
    <w:rsid w:val="002A2FC6"/>
    <w:rsid w:val="002A375E"/>
    <w:rsid w:val="002B45B6"/>
    <w:rsid w:val="002C0879"/>
    <w:rsid w:val="002C1EC7"/>
    <w:rsid w:val="002C2D78"/>
    <w:rsid w:val="002C4342"/>
    <w:rsid w:val="002C7EA3"/>
    <w:rsid w:val="002D20AE"/>
    <w:rsid w:val="002D6C61"/>
    <w:rsid w:val="002E2104"/>
    <w:rsid w:val="002E2DAC"/>
    <w:rsid w:val="002E392B"/>
    <w:rsid w:val="002E6963"/>
    <w:rsid w:val="002E6F8F"/>
    <w:rsid w:val="002F05D8"/>
    <w:rsid w:val="002F2DE0"/>
    <w:rsid w:val="002F5E25"/>
    <w:rsid w:val="003125C3"/>
    <w:rsid w:val="00312AE6"/>
    <w:rsid w:val="00317D1A"/>
    <w:rsid w:val="00317E1C"/>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25F1"/>
    <w:rsid w:val="003B3936"/>
    <w:rsid w:val="003B50E1"/>
    <w:rsid w:val="003C1746"/>
    <w:rsid w:val="003C2AA9"/>
    <w:rsid w:val="003C3772"/>
    <w:rsid w:val="003C58BF"/>
    <w:rsid w:val="003D451D"/>
    <w:rsid w:val="003F2294"/>
    <w:rsid w:val="003F2DD8"/>
    <w:rsid w:val="003F3F2D"/>
    <w:rsid w:val="003F50B2"/>
    <w:rsid w:val="00401BFF"/>
    <w:rsid w:val="00404424"/>
    <w:rsid w:val="0041156B"/>
    <w:rsid w:val="004122C5"/>
    <w:rsid w:val="00413B78"/>
    <w:rsid w:val="00416DDE"/>
    <w:rsid w:val="0044411E"/>
    <w:rsid w:val="00453435"/>
    <w:rsid w:val="00466398"/>
    <w:rsid w:val="00470CAE"/>
    <w:rsid w:val="0047306D"/>
    <w:rsid w:val="00476E48"/>
    <w:rsid w:val="00481DE9"/>
    <w:rsid w:val="0049128B"/>
    <w:rsid w:val="00493B49"/>
    <w:rsid w:val="00495501"/>
    <w:rsid w:val="004A070A"/>
    <w:rsid w:val="004A320E"/>
    <w:rsid w:val="004A4E9C"/>
    <w:rsid w:val="004B1A3C"/>
    <w:rsid w:val="004C38D4"/>
    <w:rsid w:val="004D2CC3"/>
    <w:rsid w:val="004D35CB"/>
    <w:rsid w:val="004E20E5"/>
    <w:rsid w:val="004E64EA"/>
    <w:rsid w:val="004E7828"/>
    <w:rsid w:val="004F46AA"/>
    <w:rsid w:val="004F6A70"/>
    <w:rsid w:val="00502ABF"/>
    <w:rsid w:val="00504DB0"/>
    <w:rsid w:val="00507C35"/>
    <w:rsid w:val="00510735"/>
    <w:rsid w:val="00514D2F"/>
    <w:rsid w:val="005200E0"/>
    <w:rsid w:val="0054420E"/>
    <w:rsid w:val="00544D1B"/>
    <w:rsid w:val="00545DC0"/>
    <w:rsid w:val="00545F6C"/>
    <w:rsid w:val="0055720C"/>
    <w:rsid w:val="005632DD"/>
    <w:rsid w:val="0056423B"/>
    <w:rsid w:val="00573424"/>
    <w:rsid w:val="0057402F"/>
    <w:rsid w:val="005849D6"/>
    <w:rsid w:val="00585367"/>
    <w:rsid w:val="005871A1"/>
    <w:rsid w:val="0058737E"/>
    <w:rsid w:val="005873B6"/>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1007A"/>
    <w:rsid w:val="00721657"/>
    <w:rsid w:val="007279A8"/>
    <w:rsid w:val="00727B1A"/>
    <w:rsid w:val="00741337"/>
    <w:rsid w:val="00752258"/>
    <w:rsid w:val="00762880"/>
    <w:rsid w:val="00762AD6"/>
    <w:rsid w:val="00762E02"/>
    <w:rsid w:val="00772290"/>
    <w:rsid w:val="0077270D"/>
    <w:rsid w:val="00777265"/>
    <w:rsid w:val="007805E7"/>
    <w:rsid w:val="00781F80"/>
    <w:rsid w:val="0078222A"/>
    <w:rsid w:val="00787D48"/>
    <w:rsid w:val="00795294"/>
    <w:rsid w:val="007A4E50"/>
    <w:rsid w:val="007B18A7"/>
    <w:rsid w:val="007B250E"/>
    <w:rsid w:val="007C27FC"/>
    <w:rsid w:val="007C51FF"/>
    <w:rsid w:val="007D50E4"/>
    <w:rsid w:val="007D7E7B"/>
    <w:rsid w:val="008027AC"/>
    <w:rsid w:val="008028CE"/>
    <w:rsid w:val="0080332E"/>
    <w:rsid w:val="00811389"/>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A7D05"/>
    <w:rsid w:val="008B0CF3"/>
    <w:rsid w:val="008B2EDF"/>
    <w:rsid w:val="008B54CB"/>
    <w:rsid w:val="008B5A3D"/>
    <w:rsid w:val="008C4010"/>
    <w:rsid w:val="008C4FDF"/>
    <w:rsid w:val="008C6B1F"/>
    <w:rsid w:val="008D5E4F"/>
    <w:rsid w:val="008E2026"/>
    <w:rsid w:val="008F14F5"/>
    <w:rsid w:val="008F71C1"/>
    <w:rsid w:val="00902D41"/>
    <w:rsid w:val="00902F49"/>
    <w:rsid w:val="00914004"/>
    <w:rsid w:val="00922EC1"/>
    <w:rsid w:val="009301F1"/>
    <w:rsid w:val="009307DF"/>
    <w:rsid w:val="009355F2"/>
    <w:rsid w:val="009359B8"/>
    <w:rsid w:val="00935FF0"/>
    <w:rsid w:val="009431F8"/>
    <w:rsid w:val="00947A35"/>
    <w:rsid w:val="00962081"/>
    <w:rsid w:val="00965E2F"/>
    <w:rsid w:val="00966CB5"/>
    <w:rsid w:val="00975786"/>
    <w:rsid w:val="00981CB7"/>
    <w:rsid w:val="00983E1F"/>
    <w:rsid w:val="00993F46"/>
    <w:rsid w:val="00996225"/>
    <w:rsid w:val="00997358"/>
    <w:rsid w:val="009A452B"/>
    <w:rsid w:val="009B050C"/>
    <w:rsid w:val="009B087F"/>
    <w:rsid w:val="009B2AF4"/>
    <w:rsid w:val="009C110B"/>
    <w:rsid w:val="009C5441"/>
    <w:rsid w:val="009D119F"/>
    <w:rsid w:val="009D49A2"/>
    <w:rsid w:val="009F3940"/>
    <w:rsid w:val="009F3EB2"/>
    <w:rsid w:val="009F6EB1"/>
    <w:rsid w:val="009F7DA8"/>
    <w:rsid w:val="00A11D05"/>
    <w:rsid w:val="00A13162"/>
    <w:rsid w:val="00A20267"/>
    <w:rsid w:val="00A3158C"/>
    <w:rsid w:val="00A32DF3"/>
    <w:rsid w:val="00A33E32"/>
    <w:rsid w:val="00A35E20"/>
    <w:rsid w:val="00A36F6D"/>
    <w:rsid w:val="00A525CC"/>
    <w:rsid w:val="00A53E7C"/>
    <w:rsid w:val="00A60087"/>
    <w:rsid w:val="00A705E8"/>
    <w:rsid w:val="00A721F4"/>
    <w:rsid w:val="00A74A08"/>
    <w:rsid w:val="00A9392C"/>
    <w:rsid w:val="00A9462B"/>
    <w:rsid w:val="00A97D59"/>
    <w:rsid w:val="00AA3E09"/>
    <w:rsid w:val="00AA4BEF"/>
    <w:rsid w:val="00AB1659"/>
    <w:rsid w:val="00AB4962"/>
    <w:rsid w:val="00AB734E"/>
    <w:rsid w:val="00AB740F"/>
    <w:rsid w:val="00AC3C6E"/>
    <w:rsid w:val="00AC6F14"/>
    <w:rsid w:val="00AC7221"/>
    <w:rsid w:val="00AE5961"/>
    <w:rsid w:val="00AF0745"/>
    <w:rsid w:val="00AF4971"/>
    <w:rsid w:val="00AF5276"/>
    <w:rsid w:val="00B01046"/>
    <w:rsid w:val="00B22D4D"/>
    <w:rsid w:val="00B24BE8"/>
    <w:rsid w:val="00B310F9"/>
    <w:rsid w:val="00B37866"/>
    <w:rsid w:val="00B412FB"/>
    <w:rsid w:val="00B4576B"/>
    <w:rsid w:val="00B46350"/>
    <w:rsid w:val="00B46DF3"/>
    <w:rsid w:val="00B55E2A"/>
    <w:rsid w:val="00B66E8F"/>
    <w:rsid w:val="00B71484"/>
    <w:rsid w:val="00B80157"/>
    <w:rsid w:val="00B83D5E"/>
    <w:rsid w:val="00B8460A"/>
    <w:rsid w:val="00B8549F"/>
    <w:rsid w:val="00B8650D"/>
    <w:rsid w:val="00B879B4"/>
    <w:rsid w:val="00B90F07"/>
    <w:rsid w:val="00B97BB9"/>
    <w:rsid w:val="00BA0009"/>
    <w:rsid w:val="00BA5F7B"/>
    <w:rsid w:val="00BB1863"/>
    <w:rsid w:val="00BB1CA8"/>
    <w:rsid w:val="00BB25EE"/>
    <w:rsid w:val="00BB363A"/>
    <w:rsid w:val="00BC0574"/>
    <w:rsid w:val="00BC10A0"/>
    <w:rsid w:val="00BC7BA2"/>
    <w:rsid w:val="00BD18EB"/>
    <w:rsid w:val="00BD426B"/>
    <w:rsid w:val="00BD79F0"/>
    <w:rsid w:val="00BE2B4D"/>
    <w:rsid w:val="00C015F8"/>
    <w:rsid w:val="00C07E26"/>
    <w:rsid w:val="00C1011C"/>
    <w:rsid w:val="00C12F94"/>
    <w:rsid w:val="00C177C5"/>
    <w:rsid w:val="00C17E9F"/>
    <w:rsid w:val="00C25C02"/>
    <w:rsid w:val="00C34EC3"/>
    <w:rsid w:val="00C4038C"/>
    <w:rsid w:val="00C42BA2"/>
    <w:rsid w:val="00C44066"/>
    <w:rsid w:val="00C44E13"/>
    <w:rsid w:val="00C53C46"/>
    <w:rsid w:val="00C551EE"/>
    <w:rsid w:val="00C60A41"/>
    <w:rsid w:val="00C62DE8"/>
    <w:rsid w:val="00C62DFB"/>
    <w:rsid w:val="00C630E6"/>
    <w:rsid w:val="00C63812"/>
    <w:rsid w:val="00C64AF3"/>
    <w:rsid w:val="00C66F4D"/>
    <w:rsid w:val="00C67BB5"/>
    <w:rsid w:val="00C72713"/>
    <w:rsid w:val="00C765BB"/>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5AF3"/>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334"/>
    <w:rsid w:val="00E55807"/>
    <w:rsid w:val="00E63B14"/>
    <w:rsid w:val="00E65CA0"/>
    <w:rsid w:val="00E70D9F"/>
    <w:rsid w:val="00E83810"/>
    <w:rsid w:val="00E86933"/>
    <w:rsid w:val="00E9605B"/>
    <w:rsid w:val="00E97298"/>
    <w:rsid w:val="00E97753"/>
    <w:rsid w:val="00EA460E"/>
    <w:rsid w:val="00EA7DE7"/>
    <w:rsid w:val="00EB4349"/>
    <w:rsid w:val="00EB7A8A"/>
    <w:rsid w:val="00EE0AC0"/>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042D"/>
    <w:rsid w:val="00F9211C"/>
    <w:rsid w:val="00FA095D"/>
    <w:rsid w:val="00FA6C8B"/>
    <w:rsid w:val="00FA7C89"/>
    <w:rsid w:val="00FB4139"/>
    <w:rsid w:val="00FB476E"/>
    <w:rsid w:val="00FB74D0"/>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38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389"/>
    <w:rPr>
      <w:rFonts w:asciiTheme="minorHAnsi" w:hAnsiTheme="minorHAnsi"/>
      <w:b/>
      <w:sz w:val="28"/>
      <w:lang w:val="en-GB" w:eastAsia="en-US"/>
    </w:rPr>
  </w:style>
  <w:style w:type="character" w:customStyle="1" w:styleId="Heading2Char">
    <w:name w:val="Heading 2 Char"/>
    <w:basedOn w:val="DefaultParagraphFont"/>
    <w:link w:val="Heading2"/>
    <w:rsid w:val="00811389"/>
    <w:rPr>
      <w:rFonts w:asciiTheme="minorHAnsi" w:hAnsiTheme="minorHAnsi"/>
      <w:b/>
      <w:sz w:val="24"/>
      <w:lang w:val="en-GB" w:eastAsia="en-US"/>
    </w:rPr>
  </w:style>
  <w:style w:type="character" w:customStyle="1" w:styleId="Heading3Char">
    <w:name w:val="Heading 3 Char"/>
    <w:basedOn w:val="DefaultParagraphFont"/>
    <w:link w:val="Heading3"/>
    <w:rsid w:val="00811389"/>
    <w:rPr>
      <w:rFonts w:asciiTheme="minorHAnsi" w:hAnsiTheme="minorHAnsi"/>
      <w:b/>
      <w:sz w:val="24"/>
      <w:lang w:val="en-GB" w:eastAsia="en-US"/>
    </w:rPr>
  </w:style>
  <w:style w:type="character" w:customStyle="1" w:styleId="Heading4Char">
    <w:name w:val="Heading 4 Char"/>
    <w:basedOn w:val="DefaultParagraphFont"/>
    <w:link w:val="Heading4"/>
    <w:rsid w:val="00811389"/>
    <w:rPr>
      <w:rFonts w:asciiTheme="minorHAnsi" w:hAnsiTheme="minorHAnsi"/>
      <w:b/>
      <w:sz w:val="24"/>
      <w:lang w:val="en-GB" w:eastAsia="en-US"/>
    </w:rPr>
  </w:style>
  <w:style w:type="character" w:customStyle="1" w:styleId="Heading5Char">
    <w:name w:val="Heading 5 Char"/>
    <w:basedOn w:val="DefaultParagraphFont"/>
    <w:link w:val="Heading5"/>
    <w:rsid w:val="00811389"/>
    <w:rPr>
      <w:rFonts w:asciiTheme="minorHAnsi" w:hAnsiTheme="minorHAnsi"/>
      <w:b/>
      <w:sz w:val="24"/>
      <w:lang w:val="en-GB" w:eastAsia="en-US"/>
    </w:rPr>
  </w:style>
  <w:style w:type="character" w:customStyle="1" w:styleId="Heading6Char">
    <w:name w:val="Heading 6 Char"/>
    <w:basedOn w:val="DefaultParagraphFont"/>
    <w:link w:val="Heading6"/>
    <w:rsid w:val="00811389"/>
    <w:rPr>
      <w:rFonts w:asciiTheme="minorHAnsi" w:hAnsiTheme="minorHAnsi"/>
      <w:b/>
      <w:sz w:val="24"/>
      <w:lang w:val="en-GB" w:eastAsia="en-US"/>
    </w:rPr>
  </w:style>
  <w:style w:type="character" w:customStyle="1" w:styleId="Heading7Char">
    <w:name w:val="Heading 7 Char"/>
    <w:basedOn w:val="DefaultParagraphFont"/>
    <w:link w:val="Heading7"/>
    <w:rsid w:val="00811389"/>
    <w:rPr>
      <w:rFonts w:asciiTheme="minorHAnsi" w:hAnsiTheme="minorHAnsi"/>
      <w:b/>
      <w:sz w:val="24"/>
      <w:lang w:val="en-GB" w:eastAsia="en-US"/>
    </w:rPr>
  </w:style>
  <w:style w:type="character" w:customStyle="1" w:styleId="Heading8Char">
    <w:name w:val="Heading 8 Char"/>
    <w:basedOn w:val="DefaultParagraphFont"/>
    <w:link w:val="Heading8"/>
    <w:rsid w:val="00811389"/>
    <w:rPr>
      <w:rFonts w:asciiTheme="minorHAnsi" w:hAnsiTheme="minorHAnsi"/>
      <w:b/>
      <w:sz w:val="24"/>
      <w:lang w:val="en-GB" w:eastAsia="en-US"/>
    </w:rPr>
  </w:style>
  <w:style w:type="character" w:customStyle="1" w:styleId="Heading9Char">
    <w:name w:val="Heading 9 Char"/>
    <w:basedOn w:val="DefaultParagraphFont"/>
    <w:link w:val="Heading9"/>
    <w:rsid w:val="00811389"/>
    <w:rPr>
      <w:rFonts w:asciiTheme="minorHAnsi" w:hAnsiTheme="minorHAnsi"/>
      <w:b/>
      <w:sz w:val="24"/>
      <w:lang w:val="en-GB" w:eastAsia="en-US"/>
    </w:rPr>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character" w:customStyle="1" w:styleId="FootnoteTextChar">
    <w:name w:val="Footnote Text Char"/>
    <w:basedOn w:val="DefaultParagraphFont"/>
    <w:link w:val="FootnoteText"/>
    <w:rsid w:val="00811389"/>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basedOn w:val="DefaultParagraphFont"/>
    <w:link w:val="ListParagraph"/>
    <w:uiPriority w:val="34"/>
    <w:rsid w:val="00811389"/>
    <w:rPr>
      <w:rFonts w:asciiTheme="minorHAnsi" w:hAnsiTheme="minorHAnsi"/>
      <w:sz w:val="24"/>
      <w:lang w:val="en-GB" w:eastAsia="en-US"/>
    </w:rPr>
  </w:style>
  <w:style w:type="character" w:customStyle="1" w:styleId="BalloonTextChar">
    <w:name w:val="Balloon Text Char"/>
    <w:basedOn w:val="DefaultParagraphFont"/>
    <w:link w:val="BalloonText"/>
    <w:semiHidden/>
    <w:rsid w:val="00811389"/>
    <w:rPr>
      <w:rFonts w:ascii="Tahoma" w:hAnsi="Tahoma" w:cs="Tahoma"/>
      <w:sz w:val="16"/>
      <w:szCs w:val="16"/>
      <w:lang w:val="en-GB" w:eastAsia="en-US"/>
    </w:rPr>
  </w:style>
  <w:style w:type="paragraph" w:styleId="BalloonText">
    <w:name w:val="Balloon Text"/>
    <w:basedOn w:val="Normal"/>
    <w:link w:val="BalloonTextChar"/>
    <w:semiHidden/>
    <w:unhideWhenUsed/>
    <w:rsid w:val="00811389"/>
    <w:pPr>
      <w:spacing w:before="0"/>
    </w:pPr>
    <w:rPr>
      <w:rFonts w:ascii="Tahoma" w:hAnsi="Tahoma" w:cs="Tahoma"/>
      <w:sz w:val="16"/>
      <w:szCs w:val="16"/>
    </w:rPr>
  </w:style>
  <w:style w:type="paragraph" w:customStyle="1" w:styleId="HTMLBody">
    <w:name w:val="HTML Body"/>
    <w:rsid w:val="00811389"/>
    <w:pPr>
      <w:overflowPunct w:val="0"/>
      <w:autoSpaceDE w:val="0"/>
      <w:autoSpaceDN w:val="0"/>
      <w:adjustRightInd w:val="0"/>
      <w:textAlignment w:val="baseline"/>
    </w:pPr>
    <w:rPr>
      <w:rFonts w:ascii="Arial" w:eastAsia="MS Mincho" w:hAnsi="Arial"/>
      <w:lang w:eastAsia="en-US"/>
    </w:rPr>
  </w:style>
  <w:style w:type="paragraph" w:styleId="NormalWeb">
    <w:name w:val="Normal (Web)"/>
    <w:basedOn w:val="Normal"/>
    <w:uiPriority w:val="99"/>
    <w:unhideWhenUsed/>
    <w:rsid w:val="0081138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CommentReference">
    <w:name w:val="annotation reference"/>
    <w:basedOn w:val="DefaultParagraphFont"/>
    <w:uiPriority w:val="99"/>
    <w:rsid w:val="00811389"/>
    <w:rPr>
      <w:rFonts w:cs="Times New Roman"/>
      <w:sz w:val="16"/>
      <w:szCs w:val="16"/>
    </w:rPr>
  </w:style>
  <w:style w:type="paragraph" w:customStyle="1" w:styleId="BDTNormal">
    <w:name w:val="BDT_Normal"/>
    <w:link w:val="BDTNormalChar"/>
    <w:rsid w:val="00811389"/>
    <w:pPr>
      <w:spacing w:before="120" w:after="120"/>
    </w:pPr>
    <w:rPr>
      <w:rFonts w:ascii="Verdana" w:eastAsia="SimSun" w:hAnsi="Verdana"/>
      <w:sz w:val="19"/>
      <w:szCs w:val="19"/>
      <w:lang w:val="en-GB" w:eastAsia="en-US"/>
    </w:rPr>
  </w:style>
  <w:style w:type="character" w:customStyle="1" w:styleId="BDTNormalChar">
    <w:name w:val="BDT_Normal Char"/>
    <w:link w:val="BDTNormal"/>
    <w:rsid w:val="00811389"/>
    <w:rPr>
      <w:rFonts w:ascii="Verdana" w:eastAsia="SimSun" w:hAnsi="Verdana"/>
      <w:sz w:val="19"/>
      <w:szCs w:val="19"/>
      <w:lang w:val="en-GB" w:eastAsia="en-US"/>
    </w:rPr>
  </w:style>
  <w:style w:type="paragraph" w:customStyle="1" w:styleId="BDTcontributionH1">
    <w:name w:val="BDT_contributionH1"/>
    <w:basedOn w:val="Normal"/>
    <w:next w:val="BDTNormal"/>
    <w:rsid w:val="00811389"/>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character" w:styleId="IntenseEmphasis">
    <w:name w:val="Intense Emphasis"/>
    <w:basedOn w:val="DefaultParagraphFont"/>
    <w:uiPriority w:val="21"/>
    <w:qFormat/>
    <w:rsid w:val="00811389"/>
    <w:rPr>
      <w:b/>
      <w:bCs/>
      <w:i/>
      <w:iCs/>
      <w:color w:val="4F81BD" w:themeColor="accent1"/>
    </w:rPr>
  </w:style>
  <w:style w:type="paragraph" w:styleId="NoSpacing">
    <w:name w:val="No Spacing"/>
    <w:uiPriority w:val="1"/>
    <w:qFormat/>
    <w:rsid w:val="00811389"/>
    <w:pPr>
      <w:suppressAutoHyphens/>
    </w:pPr>
    <w:rPr>
      <w:rFonts w:ascii="Calibri" w:eastAsia="SimSun" w:hAnsi="Calibri" w:cs="Arial"/>
      <w:kern w:val="1"/>
      <w:sz w:val="22"/>
      <w:szCs w:val="22"/>
    </w:rPr>
  </w:style>
  <w:style w:type="character" w:styleId="Strong">
    <w:name w:val="Strong"/>
    <w:basedOn w:val="DefaultParagraphFont"/>
    <w:uiPriority w:val="22"/>
    <w:qFormat/>
    <w:rsid w:val="00811389"/>
    <w:rPr>
      <w:b/>
      <w:bCs/>
    </w:rPr>
  </w:style>
  <w:style w:type="paragraph" w:customStyle="1" w:styleId="Event">
    <w:name w:val="Event"/>
    <w:basedOn w:val="Normal"/>
    <w:qFormat/>
    <w:rsid w:val="00811389"/>
    <w:pPr>
      <w:tabs>
        <w:tab w:val="clear" w:pos="794"/>
        <w:tab w:val="clear" w:pos="1191"/>
        <w:tab w:val="clear" w:pos="1588"/>
        <w:tab w:val="clear" w:pos="1985"/>
      </w:tabs>
      <w:overflowPunct/>
      <w:autoSpaceDE/>
      <w:autoSpaceDN/>
      <w:adjustRightInd/>
      <w:spacing w:before="0" w:after="80"/>
      <w:textAlignment w:val="auto"/>
    </w:pPr>
    <w:rPr>
      <w:rFonts w:ascii="Calibri" w:eastAsia="Calibri" w:hAnsi="Calibri" w:cs="Arial"/>
      <w:sz w:val="18"/>
      <w:szCs w:val="22"/>
      <w:lang w:val="en-US"/>
    </w:rPr>
  </w:style>
  <w:style w:type="character" w:customStyle="1" w:styleId="tgc">
    <w:name w:val="_tgc"/>
    <w:basedOn w:val="DefaultParagraphFont"/>
    <w:rsid w:val="00811389"/>
  </w:style>
  <w:style w:type="character" w:customStyle="1" w:styleId="CommentTextChar">
    <w:name w:val="Comment Text Char"/>
    <w:basedOn w:val="DefaultParagraphFont"/>
    <w:link w:val="CommentText"/>
    <w:uiPriority w:val="99"/>
    <w:semiHidden/>
    <w:rsid w:val="00811389"/>
    <w:rPr>
      <w:rFonts w:asciiTheme="minorHAnsi" w:hAnsiTheme="minorHAnsi"/>
      <w:lang w:val="en-GB" w:eastAsia="en-US"/>
    </w:rPr>
  </w:style>
  <w:style w:type="paragraph" w:styleId="CommentText">
    <w:name w:val="annotation text"/>
    <w:basedOn w:val="Normal"/>
    <w:link w:val="CommentTextChar"/>
    <w:uiPriority w:val="99"/>
    <w:semiHidden/>
    <w:unhideWhenUsed/>
    <w:rsid w:val="00811389"/>
    <w:rPr>
      <w:sz w:val="20"/>
    </w:rPr>
  </w:style>
  <w:style w:type="character" w:customStyle="1" w:styleId="CommentSubjectChar">
    <w:name w:val="Comment Subject Char"/>
    <w:basedOn w:val="CommentTextChar"/>
    <w:link w:val="CommentSubject"/>
    <w:uiPriority w:val="99"/>
    <w:semiHidden/>
    <w:rsid w:val="00811389"/>
    <w:rPr>
      <w:rFonts w:asciiTheme="minorHAnsi" w:hAnsiTheme="minorHAnsi"/>
      <w:b/>
      <w:bCs/>
      <w:lang w:val="en-GB" w:eastAsia="en-US"/>
    </w:rPr>
  </w:style>
  <w:style w:type="paragraph" w:styleId="CommentSubject">
    <w:name w:val="annotation subject"/>
    <w:basedOn w:val="CommentText"/>
    <w:next w:val="CommentText"/>
    <w:link w:val="CommentSubjectChar"/>
    <w:uiPriority w:val="99"/>
    <w:semiHidden/>
    <w:unhideWhenUsed/>
    <w:rsid w:val="00811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D/Projects/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Distribution of Ongoing BDT Projects</a:t>
            </a:r>
            <a:r>
              <a:rPr lang="tr-TR" sz="1200"/>
              <a:t> in 2016 by Region</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17</c:v>
                </c:pt>
                <c:pt idx="1">
                  <c:v>15</c:v>
                </c:pt>
                <c:pt idx="2">
                  <c:v>13</c:v>
                </c:pt>
                <c:pt idx="3">
                  <c:v>6</c:v>
                </c:pt>
                <c:pt idx="4">
                  <c:v>10</c:v>
                </c:pt>
                <c:pt idx="5">
                  <c:v>0</c:v>
                </c:pt>
                <c:pt idx="6">
                  <c:v>0</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777286040"/>
        <c:axId val="777286432"/>
      </c:barChart>
      <c:catAx>
        <c:axId val="777286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286432"/>
        <c:crosses val="autoZero"/>
        <c:auto val="1"/>
        <c:lblAlgn val="ctr"/>
        <c:lblOffset val="100"/>
        <c:noMultiLvlLbl val="0"/>
      </c:catAx>
      <c:valAx>
        <c:axId val="77728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286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Value </a:t>
            </a:r>
            <a:r>
              <a:rPr lang="en-US" sz="1200"/>
              <a:t>of Ongoing BDT Projects</a:t>
            </a:r>
            <a:r>
              <a:rPr lang="tr-TR" sz="1200"/>
              <a:t> in 2016 by Region</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Value of Ongoing BDT Projects in 2016 by Region</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8604651162790697E-2"/>
                  <c:y val="-1.11576011157602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0"/>
                  <c:y val="-0.1841004184100418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0"/>
                  <c:y val="-6.69456066945607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ext>
              </c:extLst>
            </c:dLbl>
            <c:dLbl>
              <c:idx val="4"/>
              <c:layout>
                <c:manualLayout>
                  <c:x val="3.1007751937984496E-3"/>
                  <c:y val="-0.10041841004184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[$CHF-1407]\ #,##0</c:formatCode>
                <c:ptCount val="7"/>
                <c:pt idx="0">
                  <c:v>5478936</c:v>
                </c:pt>
                <c:pt idx="1">
                  <c:v>6828434</c:v>
                </c:pt>
                <c:pt idx="2">
                  <c:v>4259402</c:v>
                </c:pt>
                <c:pt idx="3">
                  <c:v>38784684</c:v>
                </c:pt>
                <c:pt idx="4">
                  <c:v>7323506</c:v>
                </c:pt>
                <c:pt idx="5">
                  <c:v>0</c:v>
                </c:pt>
                <c:pt idx="6">
                  <c:v>0</c:v>
                </c:pt>
              </c:numCache>
            </c:numRef>
          </c:val>
          <c:extLst xmlns:c16r2="http://schemas.microsoft.com/office/drawing/2015/06/chart">
            <c:ext xmlns:c16="http://schemas.microsoft.com/office/drawing/2014/chart" uri="{C3380CC4-5D6E-409C-BE32-E72D297353CC}">
              <c16:uniqueId val="{0000000A-944E-4437-894E-63EBFB05EC6F}"/>
            </c:ext>
          </c:extLst>
        </c:ser>
        <c:dLbls>
          <c:showLegendKey val="0"/>
          <c:showVal val="0"/>
          <c:showCatName val="0"/>
          <c:showSerName val="0"/>
          <c:showPercent val="0"/>
          <c:showBubbleSize val="0"/>
        </c:dLbls>
        <c:gapWidth val="219"/>
        <c:overlap val="-27"/>
        <c:axId val="483609568"/>
        <c:axId val="483609960"/>
      </c:barChart>
      <c:catAx>
        <c:axId val="48360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609960"/>
        <c:crosses val="autoZero"/>
        <c:auto val="1"/>
        <c:lblAlgn val="ctr"/>
        <c:lblOffset val="100"/>
        <c:noMultiLvlLbl val="0"/>
      </c:catAx>
      <c:valAx>
        <c:axId val="483609960"/>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609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Projects by Areas</a:t>
            </a:r>
            <a:r>
              <a:rPr lang="en-US" baseline="0"/>
              <a:t> of Action*</a:t>
            </a:r>
            <a:endParaRPr lang="en-US"/>
          </a:p>
        </c:rich>
      </c:tx>
      <c:layout>
        <c:manualLayout>
          <c:xMode val="edge"/>
          <c:yMode val="edge"/>
          <c:x val="0.16824670564828045"/>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17D-4A64-A2D8-AF870ECCE39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17D-4A64-A2D8-AF870ECCE39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17D-4A64-A2D8-AF870ECCE39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17D-4A64-A2D8-AF870ECCE39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17D-4A64-A2D8-AF870ECCE39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17D-4A64-A2D8-AF870ECCE399}"/>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17D-4A64-A2D8-AF870ECCE399}"/>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17D-4A64-A2D8-AF870ECCE399}"/>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217D-4A64-A2D8-AF870ECCE399}"/>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217D-4A64-A2D8-AF870ECCE399}"/>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217D-4A64-A2D8-AF870ECCE399}"/>
              </c:ext>
            </c:extLst>
          </c:dPt>
          <c:dLbls>
            <c:dLbl>
              <c:idx val="0"/>
              <c:layout>
                <c:manualLayout>
                  <c:x val="-1.1829264585170097E-2"/>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17D-4A64-A2D8-AF870ECCE399}"/>
                </c:ext>
                <c:ext xmlns:c15="http://schemas.microsoft.com/office/drawing/2012/chart" uri="{CE6537A1-D6FC-4f65-9D91-7224C49458BB}">
                  <c15:layout/>
                </c:ext>
              </c:extLst>
            </c:dLbl>
            <c:dLbl>
              <c:idx val="1"/>
              <c:layout>
                <c:manualLayout>
                  <c:x val="-1.6587453595327611E-3"/>
                  <c:y val="3.6875421532060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17D-4A64-A2D8-AF870ECCE399}"/>
                </c:ext>
                <c:ext xmlns:c15="http://schemas.microsoft.com/office/drawing/2012/chart" uri="{CE6537A1-D6FC-4f65-9D91-7224C49458BB}">
                  <c15:layout/>
                </c:ext>
              </c:extLst>
            </c:dLbl>
            <c:dLbl>
              <c:idx val="3"/>
              <c:layout>
                <c:manualLayout>
                  <c:x val="-2.5402230126639574E-3"/>
                  <c:y val="-5.1701161193860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17D-4A64-A2D8-AF870ECCE399}"/>
                </c:ext>
                <c:ext xmlns:c15="http://schemas.microsoft.com/office/drawing/2012/chart" uri="{CE6537A1-D6FC-4f65-9D91-7224C49458BB}">
                  <c15:layout/>
                </c:ext>
              </c:extLst>
            </c:dLbl>
            <c:dLbl>
              <c:idx val="4"/>
              <c:layout>
                <c:manualLayout>
                  <c:x val="-1.6552660647148835E-2"/>
                  <c:y val="-1.87546216165703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17D-4A64-A2D8-AF870ECCE399}"/>
                </c:ext>
                <c:ext xmlns:c15="http://schemas.microsoft.com/office/drawing/2012/chart" uri="{CE6537A1-D6FC-4f65-9D91-7224C49458BB}">
                  <c15:layout/>
                </c:ext>
              </c:extLst>
            </c:dLbl>
            <c:dLbl>
              <c:idx val="5"/>
              <c:layout>
                <c:manualLayout>
                  <c:x val="1.3043302019679973E-2"/>
                  <c:y val="-1.5430714349560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17D-4A64-A2D8-AF870ECCE399}"/>
                </c:ext>
                <c:ext xmlns:c15="http://schemas.microsoft.com/office/drawing/2012/chart" uri="{CE6537A1-D6FC-4f65-9D91-7224C49458BB}">
                  <c15:layout/>
                </c:ext>
              </c:extLst>
            </c:dLbl>
            <c:dLbl>
              <c:idx val="6"/>
              <c:layout>
                <c:manualLayout>
                  <c:x val="2.5892033766049515E-4"/>
                  <c:y val="-1.8835474513054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17D-4A64-A2D8-AF870ECCE399}"/>
                </c:ext>
                <c:ext xmlns:c15="http://schemas.microsoft.com/office/drawing/2012/chart" uri="{CE6537A1-D6FC-4f65-9D91-7224C49458BB}">
                  <c15:layout/>
                </c:ext>
              </c:extLst>
            </c:dLbl>
            <c:dLbl>
              <c:idx val="8"/>
              <c:layout>
                <c:manualLayout>
                  <c:x val="4.2310589554684043E-3"/>
                  <c:y val="3.87078163217213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217D-4A64-A2D8-AF870ECCE399}"/>
                </c:ext>
                <c:ext xmlns:c15="http://schemas.microsoft.com/office/drawing/2012/chart" uri="{CE6537A1-D6FC-4f65-9D91-7224C49458BB}">
                  <c15:layout/>
                </c:ext>
              </c:extLst>
            </c:dLbl>
            <c:dLbl>
              <c:idx val="9"/>
              <c:layout>
                <c:manualLayout>
                  <c:x val="-5.8219073967105467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217D-4A64-A2D8-AF870ECCE399}"/>
                </c:ext>
                <c:ext xmlns:c15="http://schemas.microsoft.com/office/drawing/2012/chart" uri="{CE6537A1-D6FC-4f65-9D91-7224C49458BB}">
                  <c15:layout/>
                </c:ext>
              </c:extLst>
            </c:dLbl>
            <c:dLbl>
              <c:idx val="11"/>
              <c:layout>
                <c:manualLayout>
                  <c:x val="2.1368950502808769E-3"/>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4E1D-4142-9612-027F960F894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7</c:v>
                </c:pt>
                <c:pt idx="1">
                  <c:v>5</c:v>
                </c:pt>
                <c:pt idx="2">
                  <c:v>2</c:v>
                </c:pt>
                <c:pt idx="3">
                  <c:v>7</c:v>
                </c:pt>
                <c:pt idx="4">
                  <c:v>11</c:v>
                </c:pt>
                <c:pt idx="5">
                  <c:v>3</c:v>
                </c:pt>
                <c:pt idx="6">
                  <c:v>6</c:v>
                </c:pt>
                <c:pt idx="7">
                  <c:v>1</c:v>
                </c:pt>
                <c:pt idx="8">
                  <c:v>6</c:v>
                </c:pt>
                <c:pt idx="9">
                  <c:v>5</c:v>
                </c:pt>
                <c:pt idx="10">
                  <c:v>1</c:v>
                </c:pt>
                <c:pt idx="11">
                  <c:v>7</c:v>
                </c:pt>
              </c:numCache>
            </c:numRef>
          </c:val>
          <c:extLst xmlns:c16r2="http://schemas.microsoft.com/office/drawing/2015/06/chart">
            <c:ext xmlns:c16="http://schemas.microsoft.com/office/drawing/2014/chart" uri="{C3380CC4-5D6E-409C-BE32-E72D297353CC}">
              <c16:uniqueId val="{00000016-217D-4A64-A2D8-AF870ECCE39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236785505978423"/>
          <c:y val="6.3171166104236967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84E2-0FA7-4BC9-879E-41C74815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2</TotalTime>
  <Pages>8</Pages>
  <Words>2056</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BDT, mcb</cp:lastModifiedBy>
  <cp:revision>3</cp:revision>
  <cp:lastPrinted>2017-03-23T17:05:00Z</cp:lastPrinted>
  <dcterms:created xsi:type="dcterms:W3CDTF">2017-03-31T07:45:00Z</dcterms:created>
  <dcterms:modified xsi:type="dcterms:W3CDTF">2017-05-04T09:13:00Z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