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D07279">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D07279">
              <w:rPr>
                <w:b/>
                <w:bCs/>
                <w:lang w:bidi="ar-EG"/>
              </w:rPr>
              <w:t>33</w:t>
            </w:r>
            <w:r w:rsidR="00D94196">
              <w:rPr>
                <w:b/>
                <w:bCs/>
                <w:lang w:bidi="ar-EG"/>
              </w:rPr>
              <w:t>-A</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D07279" w:rsidP="002D6488">
            <w:pPr>
              <w:spacing w:before="60" w:after="60" w:line="340" w:lineRule="exact"/>
              <w:rPr>
                <w:b/>
                <w:bCs/>
                <w:rtl/>
                <w:lang w:bidi="ar-EG"/>
              </w:rPr>
            </w:pPr>
            <w:r>
              <w:rPr>
                <w:b/>
                <w:bCs/>
                <w:lang w:bidi="ar-EG"/>
              </w:rPr>
              <w:t>16</w:t>
            </w:r>
            <w:r>
              <w:rPr>
                <w:rFonts w:hint="cs"/>
                <w:b/>
                <w:bCs/>
                <w:rtl/>
                <w:lang w:bidi="ar-EG"/>
              </w:rPr>
              <w:t xml:space="preserve"> مارس </w:t>
            </w:r>
            <w:r>
              <w:rPr>
                <w:b/>
                <w:bCs/>
                <w:lang w:bidi="ar-EG"/>
              </w:rPr>
              <w:t>2017</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D07279">
            <w:pPr>
              <w:spacing w:before="60" w:after="60" w:line="340" w:lineRule="exact"/>
              <w:rPr>
                <w:b/>
                <w:bCs/>
                <w:rtl/>
                <w:lang w:bidi="ar-EG"/>
              </w:rPr>
            </w:pPr>
            <w:r w:rsidRPr="002D6488">
              <w:rPr>
                <w:rFonts w:hint="cs"/>
                <w:b/>
                <w:bCs/>
                <w:rtl/>
                <w:lang w:bidi="ar-EG"/>
              </w:rPr>
              <w:t>الأصل: بالإنكليزية</w:t>
            </w:r>
          </w:p>
        </w:tc>
      </w:tr>
      <w:tr w:rsidR="002D6488" w:rsidTr="004E20B0">
        <w:tc>
          <w:tcPr>
            <w:tcW w:w="9639" w:type="dxa"/>
            <w:gridSpan w:val="3"/>
          </w:tcPr>
          <w:p w:rsidR="002D6488" w:rsidRDefault="00D07279" w:rsidP="00707FC4">
            <w:pPr>
              <w:pStyle w:val="Source"/>
              <w:rPr>
                <w:rtl/>
              </w:rPr>
            </w:pPr>
            <w:r w:rsidRPr="008A2FE4">
              <w:rPr>
                <w:rFonts w:hint="cs"/>
                <w:rtl/>
              </w:rPr>
              <w:t xml:space="preserve">مدير مكتب تنمية الاتصالات </w:t>
            </w:r>
            <w:r w:rsidRPr="008A2FE4">
              <w:rPr>
                <w:lang w:val="en-GB" w:bidi="ar-SY"/>
              </w:rPr>
              <w:t>(BDT)</w:t>
            </w:r>
          </w:p>
        </w:tc>
      </w:tr>
      <w:tr w:rsidR="00707FC4" w:rsidTr="002909CE">
        <w:tc>
          <w:tcPr>
            <w:tcW w:w="9639" w:type="dxa"/>
            <w:gridSpan w:val="3"/>
          </w:tcPr>
          <w:p w:rsidR="00707FC4" w:rsidRDefault="00D07279" w:rsidP="00D07279">
            <w:pPr>
              <w:pStyle w:val="Title1"/>
              <w:rPr>
                <w:rtl/>
              </w:rPr>
            </w:pPr>
            <w:r w:rsidRPr="00D07279">
              <w:rPr>
                <w:rFonts w:hint="cs"/>
                <w:rtl/>
                <w:lang w:bidi="ar-SA"/>
              </w:rPr>
              <w:t>تحسين مشاركة القطاع الخاص في قطاع تنمية الاتصالات</w:t>
            </w:r>
            <w:r w:rsidRPr="00D07279">
              <w:rPr>
                <w:rtl/>
                <w:lang w:bidi="ar-SA"/>
              </w:rPr>
              <w:br/>
            </w:r>
            <w:r w:rsidRPr="00D07279">
              <w:rPr>
                <w:rFonts w:hint="cs"/>
                <w:rtl/>
                <w:lang w:bidi="ar-SA"/>
              </w:rPr>
              <w:t xml:space="preserve">للاتحاد الدولي للاتصالات </w:t>
            </w:r>
            <w:r w:rsidRPr="00D07279">
              <w:rPr>
                <w:lang w:val="en-GB"/>
              </w:rPr>
              <w:t>(ITU-D)</w:t>
            </w:r>
          </w:p>
        </w:tc>
      </w:tr>
    </w:tbl>
    <w:p w:rsidR="006157A3" w:rsidRDefault="006157A3" w:rsidP="008B5B5D">
      <w:pPr>
        <w:rPr>
          <w:rtl/>
          <w:lang w:bidi="ar-EG"/>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086995">
        <w:trPr>
          <w:jc w:val="center"/>
        </w:trPr>
        <w:tc>
          <w:tcPr>
            <w:tcW w:w="9629" w:type="dxa"/>
          </w:tcPr>
          <w:p w:rsidR="006E77E7" w:rsidRPr="0056509A" w:rsidRDefault="0056509A" w:rsidP="00D374AB">
            <w:pPr>
              <w:tabs>
                <w:tab w:val="clear" w:pos="1134"/>
                <w:tab w:val="left" w:pos="1701"/>
              </w:tabs>
              <w:spacing w:after="60"/>
              <w:jc w:val="left"/>
              <w:rPr>
                <w:b/>
                <w:bCs/>
                <w:rtl/>
                <w:lang w:bidi="ar-EG"/>
              </w:rPr>
            </w:pPr>
            <w:r w:rsidRPr="0056509A">
              <w:rPr>
                <w:rFonts w:hint="cs"/>
                <w:b/>
                <w:bCs/>
                <w:rtl/>
                <w:lang w:bidi="ar-EG"/>
              </w:rPr>
              <w:t>ملخص:</w:t>
            </w:r>
          </w:p>
          <w:p w:rsidR="0056509A" w:rsidRPr="00D07279" w:rsidRDefault="00D07279" w:rsidP="00086995">
            <w:pPr>
              <w:rPr>
                <w:rtl/>
                <w:lang w:bidi="ar-SY"/>
              </w:rPr>
            </w:pPr>
            <w:r w:rsidRPr="008A2FE4">
              <w:rPr>
                <w:rFonts w:hint="cs"/>
                <w:rtl/>
              </w:rPr>
              <w:t xml:space="preserve">أكد المؤتمر العالمي لتنمية الاتصالات لعام </w:t>
            </w:r>
            <w:r w:rsidRPr="008A2FE4">
              <w:rPr>
                <w:lang w:bidi="ar-SY"/>
              </w:rPr>
              <w:t>2014</w:t>
            </w:r>
            <w:r w:rsidRPr="008A2FE4">
              <w:rPr>
                <w:rFonts w:hint="cs"/>
                <w:rtl/>
                <w:lang w:bidi="ar-EG"/>
              </w:rPr>
              <w:t xml:space="preserve"> </w:t>
            </w:r>
            <w:r>
              <w:rPr>
                <w:lang w:bidi="ar-EG"/>
              </w:rPr>
              <w:t>(</w:t>
            </w:r>
            <w:r w:rsidRPr="002F5A6D">
              <w:rPr>
                <w:lang w:bidi="ar-EG"/>
              </w:rPr>
              <w:t>WTDC-14</w:t>
            </w:r>
            <w:r>
              <w:rPr>
                <w:lang w:bidi="ar-EG"/>
              </w:rPr>
              <w:t>)</w:t>
            </w:r>
            <w:r>
              <w:rPr>
                <w:rFonts w:hint="cs"/>
                <w:rtl/>
                <w:lang w:bidi="ar-EG"/>
              </w:rPr>
              <w:t xml:space="preserve"> </w:t>
            </w:r>
            <w:r w:rsidRPr="008A2FE4">
              <w:rPr>
                <w:rFonts w:hint="cs"/>
                <w:rtl/>
                <w:lang w:bidi="ar-EG"/>
              </w:rPr>
              <w:t>على أهمية إشراك القطاع الخاص في</w:t>
            </w:r>
            <w:r>
              <w:rPr>
                <w:rFonts w:hint="eastAsia"/>
                <w:rtl/>
                <w:lang w:bidi="ar-EG"/>
              </w:rPr>
              <w:t> </w:t>
            </w:r>
            <w:r w:rsidRPr="008A2FE4">
              <w:rPr>
                <w:rFonts w:hint="cs"/>
                <w:rtl/>
                <w:lang w:bidi="ar-EG"/>
              </w:rPr>
              <w:t xml:space="preserve">أعمال قطاع تنمية الاتصالات. وتعرض هذه الوثيقة نظرة عامة </w:t>
            </w:r>
            <w:r w:rsidR="00086995">
              <w:rPr>
                <w:rFonts w:hint="cs"/>
                <w:rtl/>
                <w:lang w:bidi="ar-EG"/>
              </w:rPr>
              <w:t xml:space="preserve">على </w:t>
            </w:r>
            <w:r w:rsidRPr="008A2FE4">
              <w:rPr>
                <w:rFonts w:hint="cs"/>
                <w:rtl/>
                <w:lang w:bidi="ar-EG"/>
              </w:rPr>
              <w:t xml:space="preserve">الاستراتيجيات والأعمال المضطلع بها لتعزيز </w:t>
            </w:r>
            <w:r>
              <w:rPr>
                <w:rFonts w:hint="cs"/>
                <w:rtl/>
                <w:lang w:bidi="ar-EG"/>
              </w:rPr>
              <w:t>مشاركة</w:t>
            </w:r>
            <w:r w:rsidRPr="008A2FE4">
              <w:rPr>
                <w:rFonts w:hint="cs"/>
                <w:rtl/>
                <w:lang w:bidi="ar-EG"/>
              </w:rPr>
              <w:t xml:space="preserve"> القطاع الخاص في قطاع تنمية الاتصالات للاتحاد</w:t>
            </w:r>
            <w:r w:rsidRPr="008A2FE4">
              <w:rPr>
                <w:rFonts w:hint="cs"/>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D07279" w:rsidP="00D07279">
            <w:pPr>
              <w:rPr>
                <w:rtl/>
                <w:lang w:bidi="ar-SY"/>
              </w:rPr>
            </w:pPr>
            <w:r w:rsidRPr="008A2FE4">
              <w:rPr>
                <w:rFonts w:hint="cs"/>
                <w:rtl/>
              </w:rPr>
              <w:t>يرجى من الفريق الاستشاري لتنمية الاتصالات أن يحيط علماً بهذا التقرير وأن يقدِّم ما يراه مناسباً من التوجيهات ذات الصلة.</w:t>
            </w:r>
          </w:p>
          <w:p w:rsidR="0056509A" w:rsidRPr="0056509A" w:rsidRDefault="0056509A" w:rsidP="0056509A">
            <w:pPr>
              <w:tabs>
                <w:tab w:val="clear" w:pos="1134"/>
                <w:tab w:val="left" w:pos="1701"/>
              </w:tabs>
              <w:spacing w:before="160" w:after="60"/>
              <w:jc w:val="left"/>
              <w:rPr>
                <w:rFonts w:hint="cs"/>
                <w:b/>
                <w:bCs/>
                <w:rtl/>
                <w:lang w:bidi="ar-EG"/>
              </w:rPr>
            </w:pPr>
            <w:r w:rsidRPr="0056509A">
              <w:rPr>
                <w:rFonts w:hint="cs"/>
                <w:b/>
                <w:bCs/>
                <w:rtl/>
                <w:lang w:bidi="ar-EG"/>
              </w:rPr>
              <w:t>المراجع:</w:t>
            </w:r>
            <w:bookmarkStart w:id="0" w:name="_GoBack"/>
            <w:bookmarkEnd w:id="0"/>
          </w:p>
          <w:p w:rsidR="0056509A" w:rsidRPr="00D07279" w:rsidRDefault="00D07279" w:rsidP="00D374AB">
            <w:pPr>
              <w:tabs>
                <w:tab w:val="clear" w:pos="1134"/>
                <w:tab w:val="left" w:pos="1701"/>
              </w:tabs>
              <w:spacing w:after="120"/>
              <w:rPr>
                <w:spacing w:val="-2"/>
                <w:rtl/>
                <w:lang w:bidi="ar-SY"/>
              </w:rPr>
            </w:pPr>
            <w:r w:rsidRPr="00D07279">
              <w:rPr>
                <w:rFonts w:hint="cs"/>
                <w:spacing w:val="-2"/>
                <w:rtl/>
              </w:rPr>
              <w:t xml:space="preserve">القراران </w:t>
            </w:r>
            <w:r w:rsidRPr="00D07279">
              <w:rPr>
                <w:spacing w:val="-2"/>
                <w:lang w:val="fr-CH" w:bidi="ar-EG"/>
              </w:rPr>
              <w:t>136</w:t>
            </w:r>
            <w:r w:rsidRPr="00D07279">
              <w:rPr>
                <w:rFonts w:hint="cs"/>
                <w:spacing w:val="-2"/>
                <w:rtl/>
                <w:lang w:bidi="ar-EG"/>
              </w:rPr>
              <w:t xml:space="preserve"> </w:t>
            </w:r>
            <w:r w:rsidRPr="00D07279">
              <w:rPr>
                <w:rFonts w:hint="cs"/>
                <w:spacing w:val="-2"/>
                <w:rtl/>
              </w:rPr>
              <w:t xml:space="preserve">(المراجَع في بوسان، </w:t>
            </w:r>
            <w:r w:rsidRPr="00D07279">
              <w:rPr>
                <w:spacing w:val="-2"/>
                <w:lang w:val="fr-CH" w:bidi="ar-EG"/>
              </w:rPr>
              <w:t>2014</w:t>
            </w:r>
            <w:r w:rsidRPr="00D07279">
              <w:rPr>
                <w:rFonts w:hint="cs"/>
                <w:spacing w:val="-2"/>
                <w:rtl/>
                <w:lang w:bidi="ar-EG"/>
              </w:rPr>
              <w:t>) و</w:t>
            </w:r>
            <w:r w:rsidRPr="00D07279">
              <w:rPr>
                <w:spacing w:val="-2"/>
                <w:lang w:val="fr-CH" w:bidi="ar-EG"/>
              </w:rPr>
              <w:t>157</w:t>
            </w:r>
            <w:r w:rsidRPr="00D07279">
              <w:rPr>
                <w:rFonts w:hint="cs"/>
                <w:spacing w:val="-2"/>
                <w:rtl/>
                <w:lang w:bidi="ar-EG"/>
              </w:rPr>
              <w:t xml:space="preserve"> (المراجَع في</w:t>
            </w:r>
            <w:r w:rsidRPr="00D07279">
              <w:rPr>
                <w:rFonts w:hint="eastAsia"/>
                <w:spacing w:val="-2"/>
                <w:rtl/>
                <w:lang w:bidi="ar-EG"/>
              </w:rPr>
              <w:t> </w:t>
            </w:r>
            <w:r w:rsidRPr="00D07279">
              <w:rPr>
                <w:rFonts w:hint="cs"/>
                <w:spacing w:val="-2"/>
                <w:rtl/>
                <w:lang w:bidi="ar-EG"/>
              </w:rPr>
              <w:t>بوسان،</w:t>
            </w:r>
            <w:r w:rsidRPr="00D07279">
              <w:rPr>
                <w:rFonts w:hint="eastAsia"/>
                <w:spacing w:val="-2"/>
                <w:rtl/>
                <w:lang w:bidi="ar-EG"/>
              </w:rPr>
              <w:t> </w:t>
            </w:r>
            <w:r w:rsidRPr="00D07279">
              <w:rPr>
                <w:spacing w:val="-2"/>
                <w:lang w:val="fr-CH" w:bidi="ar-EG"/>
              </w:rPr>
              <w:t>2014</w:t>
            </w:r>
            <w:r w:rsidRPr="00D07279">
              <w:rPr>
                <w:rFonts w:hint="cs"/>
                <w:spacing w:val="-2"/>
                <w:rtl/>
                <w:lang w:bidi="ar-EG"/>
              </w:rPr>
              <w:t>) لمؤتمر المندوبين المفوضين لعام</w:t>
            </w:r>
            <w:r w:rsidRPr="00D07279">
              <w:rPr>
                <w:rFonts w:hint="eastAsia"/>
                <w:spacing w:val="-2"/>
                <w:rtl/>
                <w:lang w:bidi="ar-EG"/>
              </w:rPr>
              <w:t> </w:t>
            </w:r>
            <w:r w:rsidRPr="00D07279">
              <w:rPr>
                <w:spacing w:val="-2"/>
                <w:lang w:bidi="ar-EG"/>
              </w:rPr>
              <w:t>2014</w:t>
            </w:r>
            <w:r w:rsidRPr="00D07279">
              <w:rPr>
                <w:rFonts w:hint="eastAsia"/>
                <w:spacing w:val="-2"/>
                <w:rtl/>
                <w:lang w:bidi="ar-EG"/>
              </w:rPr>
              <w:t> </w:t>
            </w:r>
            <w:r w:rsidRPr="00D07279">
              <w:rPr>
                <w:spacing w:val="-2"/>
                <w:lang w:bidi="ar-EG"/>
              </w:rPr>
              <w:t>(PP</w:t>
            </w:r>
            <w:r w:rsidRPr="00D07279">
              <w:rPr>
                <w:spacing w:val="-2"/>
                <w:lang w:bidi="ar-EG"/>
              </w:rPr>
              <w:noBreakHyphen/>
              <w:t>14)</w:t>
            </w:r>
            <w:r w:rsidRPr="00D07279">
              <w:rPr>
                <w:rFonts w:hint="cs"/>
                <w:spacing w:val="-2"/>
                <w:rtl/>
                <w:lang w:bidi="ar-EG"/>
              </w:rPr>
              <w:t xml:space="preserve">؛ والناتجان </w:t>
            </w:r>
            <w:r w:rsidRPr="00D07279">
              <w:rPr>
                <w:spacing w:val="-2"/>
                <w:lang w:bidi="ar-EG"/>
              </w:rPr>
              <w:t>1.2</w:t>
            </w:r>
            <w:r w:rsidRPr="00D07279">
              <w:rPr>
                <w:rFonts w:hint="cs"/>
                <w:spacing w:val="-2"/>
                <w:rtl/>
                <w:lang w:bidi="ar-EG"/>
              </w:rPr>
              <w:t xml:space="preserve"> و</w:t>
            </w:r>
            <w:r w:rsidRPr="00D07279">
              <w:rPr>
                <w:spacing w:val="-2"/>
                <w:lang w:bidi="ar-EG"/>
              </w:rPr>
              <w:t>3.2</w:t>
            </w:r>
            <w:r w:rsidRPr="00D07279">
              <w:rPr>
                <w:rFonts w:hint="cs"/>
                <w:spacing w:val="-2"/>
                <w:rtl/>
                <w:lang w:bidi="ar-EG"/>
              </w:rPr>
              <w:t xml:space="preserve"> (دبي، </w:t>
            </w:r>
            <w:r w:rsidRPr="00D07279">
              <w:rPr>
                <w:spacing w:val="-2"/>
                <w:lang w:bidi="ar-EG"/>
              </w:rPr>
              <w:t>2014</w:t>
            </w:r>
            <w:r w:rsidRPr="00D07279">
              <w:rPr>
                <w:rFonts w:hint="cs"/>
                <w:spacing w:val="-2"/>
                <w:rtl/>
                <w:lang w:bidi="ar-EG"/>
              </w:rPr>
              <w:t>) للمؤتمر العالمي لتنمية الاتصالات لعام</w:t>
            </w:r>
            <w:r w:rsidRPr="00D07279">
              <w:rPr>
                <w:rFonts w:hint="eastAsia"/>
                <w:spacing w:val="-2"/>
                <w:rtl/>
                <w:lang w:bidi="ar-EG"/>
              </w:rPr>
              <w:t> </w:t>
            </w:r>
            <w:r w:rsidRPr="00D07279">
              <w:rPr>
                <w:spacing w:val="-2"/>
                <w:lang w:bidi="ar-EG"/>
              </w:rPr>
              <w:t>2014</w:t>
            </w:r>
            <w:r w:rsidRPr="00D07279">
              <w:rPr>
                <w:rFonts w:hint="eastAsia"/>
                <w:spacing w:val="-2"/>
                <w:rtl/>
                <w:lang w:bidi="ar-EG"/>
              </w:rPr>
              <w:t> </w:t>
            </w:r>
            <w:r w:rsidRPr="00D07279">
              <w:rPr>
                <w:spacing w:val="-2"/>
                <w:lang w:bidi="ar-EG"/>
              </w:rPr>
              <w:t>(WTDC</w:t>
            </w:r>
            <w:r w:rsidRPr="00D07279">
              <w:rPr>
                <w:spacing w:val="-2"/>
                <w:lang w:bidi="ar-EG"/>
              </w:rPr>
              <w:noBreakHyphen/>
              <w:t>14)</w:t>
            </w:r>
            <w:r w:rsidRPr="00D07279">
              <w:rPr>
                <w:rFonts w:hint="cs"/>
                <w:spacing w:val="-2"/>
                <w:rtl/>
                <w:lang w:bidi="ar-EG"/>
              </w:rPr>
              <w:t>، وقراراته</w:t>
            </w:r>
            <w:r w:rsidRPr="00D07279">
              <w:rPr>
                <w:rFonts w:hint="eastAsia"/>
                <w:spacing w:val="-2"/>
                <w:rtl/>
                <w:lang w:bidi="ar-EG"/>
              </w:rPr>
              <w:t> </w:t>
            </w:r>
            <w:r w:rsidRPr="00D07279">
              <w:rPr>
                <w:spacing w:val="-2"/>
                <w:lang w:bidi="ar-EG"/>
              </w:rPr>
              <w:t>30</w:t>
            </w:r>
            <w:r w:rsidRPr="00D07279">
              <w:rPr>
                <w:rFonts w:hint="eastAsia"/>
                <w:spacing w:val="-2"/>
                <w:rtl/>
                <w:lang w:bidi="ar-EG"/>
              </w:rPr>
              <w:t> </w:t>
            </w:r>
            <w:r w:rsidRPr="00D07279">
              <w:rPr>
                <w:rFonts w:hint="cs"/>
                <w:spacing w:val="-2"/>
                <w:rtl/>
                <w:lang w:bidi="ar-EG"/>
              </w:rPr>
              <w:t>(المراجَع في</w:t>
            </w:r>
            <w:r w:rsidRPr="00D07279">
              <w:rPr>
                <w:rFonts w:hint="eastAsia"/>
                <w:spacing w:val="-2"/>
                <w:rtl/>
                <w:lang w:bidi="ar-EG"/>
              </w:rPr>
              <w:t> </w:t>
            </w:r>
            <w:r w:rsidRPr="00D07279">
              <w:rPr>
                <w:rFonts w:hint="cs"/>
                <w:spacing w:val="-2"/>
                <w:rtl/>
                <w:lang w:bidi="ar-EG"/>
              </w:rPr>
              <w:t xml:space="preserve">دبي، </w:t>
            </w:r>
            <w:r w:rsidRPr="00D07279">
              <w:rPr>
                <w:spacing w:val="-2"/>
                <w:lang w:bidi="ar-EG"/>
              </w:rPr>
              <w:t>2014</w:t>
            </w:r>
            <w:r w:rsidRPr="00D07279">
              <w:rPr>
                <w:rFonts w:hint="cs"/>
                <w:spacing w:val="-2"/>
                <w:rtl/>
                <w:lang w:bidi="ar-EG"/>
              </w:rPr>
              <w:t>) و</w:t>
            </w:r>
            <w:r w:rsidRPr="00D07279">
              <w:rPr>
                <w:spacing w:val="-2"/>
                <w:lang w:bidi="ar-EG"/>
              </w:rPr>
              <w:t>32</w:t>
            </w:r>
            <w:r w:rsidRPr="00D07279">
              <w:rPr>
                <w:rFonts w:hint="cs"/>
                <w:spacing w:val="-2"/>
                <w:rtl/>
                <w:lang w:bidi="ar-EG"/>
              </w:rPr>
              <w:t xml:space="preserve"> (المراجَع في</w:t>
            </w:r>
            <w:r w:rsidRPr="00D07279">
              <w:rPr>
                <w:rFonts w:hint="eastAsia"/>
                <w:spacing w:val="-2"/>
                <w:rtl/>
                <w:lang w:bidi="ar-EG"/>
              </w:rPr>
              <w:t> </w:t>
            </w:r>
            <w:r w:rsidRPr="00D07279">
              <w:rPr>
                <w:rFonts w:hint="cs"/>
                <w:spacing w:val="-2"/>
                <w:rtl/>
                <w:lang w:bidi="ar-EG"/>
              </w:rPr>
              <w:t xml:space="preserve">دبي، </w:t>
            </w:r>
            <w:r w:rsidRPr="00D07279">
              <w:rPr>
                <w:spacing w:val="-2"/>
                <w:lang w:bidi="ar-EG"/>
              </w:rPr>
              <w:t>2014</w:t>
            </w:r>
            <w:r w:rsidRPr="00D07279">
              <w:rPr>
                <w:rFonts w:hint="cs"/>
                <w:spacing w:val="-2"/>
                <w:rtl/>
                <w:lang w:bidi="ar-EG"/>
              </w:rPr>
              <w:t>) و</w:t>
            </w:r>
            <w:r w:rsidRPr="00D07279">
              <w:rPr>
                <w:spacing w:val="-2"/>
                <w:lang w:bidi="ar-EG"/>
              </w:rPr>
              <w:t>34</w:t>
            </w:r>
            <w:r w:rsidRPr="00D07279">
              <w:rPr>
                <w:rFonts w:hint="eastAsia"/>
                <w:spacing w:val="-2"/>
                <w:rtl/>
                <w:lang w:bidi="ar-EG"/>
              </w:rPr>
              <w:t> </w:t>
            </w:r>
            <w:r w:rsidRPr="00D07279">
              <w:rPr>
                <w:rFonts w:hint="cs"/>
                <w:spacing w:val="-2"/>
                <w:rtl/>
                <w:lang w:bidi="ar-EG"/>
              </w:rPr>
              <w:t>(المراجَع في</w:t>
            </w:r>
            <w:r w:rsidRPr="00D07279">
              <w:rPr>
                <w:rFonts w:hint="eastAsia"/>
                <w:spacing w:val="-2"/>
                <w:rtl/>
                <w:lang w:bidi="ar-EG"/>
              </w:rPr>
              <w:t> </w:t>
            </w:r>
            <w:r w:rsidRPr="00D07279">
              <w:rPr>
                <w:rFonts w:hint="cs"/>
                <w:spacing w:val="-2"/>
                <w:rtl/>
                <w:lang w:bidi="ar-EG"/>
              </w:rPr>
              <w:t xml:space="preserve">دبي، </w:t>
            </w:r>
            <w:r w:rsidRPr="00D07279">
              <w:rPr>
                <w:spacing w:val="-2"/>
                <w:lang w:bidi="ar-EG"/>
              </w:rPr>
              <w:t>2014</w:t>
            </w:r>
            <w:r w:rsidRPr="00D07279">
              <w:rPr>
                <w:rFonts w:hint="cs"/>
                <w:spacing w:val="-2"/>
                <w:rtl/>
                <w:lang w:bidi="ar-EG"/>
              </w:rPr>
              <w:t xml:space="preserve">) </w:t>
            </w:r>
            <w:r w:rsidRPr="00D07279">
              <w:rPr>
                <w:spacing w:val="-2"/>
                <w:lang w:bidi="ar-EG"/>
              </w:rPr>
              <w:t>52</w:t>
            </w:r>
            <w:r w:rsidRPr="00D07279">
              <w:rPr>
                <w:rFonts w:hint="eastAsia"/>
                <w:spacing w:val="-2"/>
                <w:rtl/>
                <w:lang w:bidi="ar-EG"/>
              </w:rPr>
              <w:t> </w:t>
            </w:r>
            <w:r w:rsidRPr="00D07279">
              <w:rPr>
                <w:rFonts w:hint="cs"/>
                <w:spacing w:val="-2"/>
                <w:rtl/>
                <w:lang w:bidi="ar-EG"/>
              </w:rPr>
              <w:t>(المراجَع في</w:t>
            </w:r>
            <w:r w:rsidRPr="00D07279">
              <w:rPr>
                <w:rFonts w:hint="eastAsia"/>
                <w:spacing w:val="-2"/>
                <w:rtl/>
                <w:lang w:bidi="ar-EG"/>
              </w:rPr>
              <w:t> </w:t>
            </w:r>
            <w:r w:rsidRPr="00D07279">
              <w:rPr>
                <w:rFonts w:hint="cs"/>
                <w:spacing w:val="-2"/>
                <w:rtl/>
                <w:lang w:bidi="ar-EG"/>
              </w:rPr>
              <w:t xml:space="preserve">دبي، </w:t>
            </w:r>
            <w:r w:rsidRPr="00D07279">
              <w:rPr>
                <w:spacing w:val="-2"/>
                <w:lang w:bidi="ar-EG"/>
              </w:rPr>
              <w:t>2014</w:t>
            </w:r>
            <w:r w:rsidRPr="00D07279">
              <w:rPr>
                <w:rFonts w:hint="cs"/>
                <w:spacing w:val="-2"/>
                <w:rtl/>
                <w:lang w:bidi="ar-EG"/>
              </w:rPr>
              <w:t>) و</w:t>
            </w:r>
            <w:r w:rsidRPr="00D07279">
              <w:rPr>
                <w:spacing w:val="-2"/>
                <w:lang w:bidi="ar-EG"/>
              </w:rPr>
              <w:t>71</w:t>
            </w:r>
            <w:r w:rsidRPr="00D07279">
              <w:rPr>
                <w:rFonts w:hint="cs"/>
                <w:spacing w:val="-2"/>
                <w:rtl/>
                <w:lang w:bidi="ar-SY"/>
              </w:rPr>
              <w:t xml:space="preserve"> </w:t>
            </w:r>
            <w:r w:rsidRPr="00D07279">
              <w:rPr>
                <w:rFonts w:hint="cs"/>
                <w:spacing w:val="-2"/>
                <w:rtl/>
                <w:lang w:bidi="ar-EG"/>
              </w:rPr>
              <w:t xml:space="preserve">(المراجَع في دبي، </w:t>
            </w:r>
            <w:r w:rsidRPr="00D07279">
              <w:rPr>
                <w:spacing w:val="-2"/>
                <w:lang w:bidi="ar-EG"/>
              </w:rPr>
              <w:t>2014</w:t>
            </w:r>
            <w:r w:rsidRPr="00D07279">
              <w:rPr>
                <w:rFonts w:hint="cs"/>
                <w:spacing w:val="-2"/>
                <w:rtl/>
                <w:lang w:bidi="ar-EG"/>
              </w:rPr>
              <w:t>).</w:t>
            </w:r>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D07279" w:rsidRDefault="00D07279" w:rsidP="00D07279">
      <w:pPr>
        <w:pStyle w:val="Heading1"/>
        <w:rPr>
          <w:rtl/>
        </w:rPr>
      </w:pPr>
      <w:r>
        <w:lastRenderedPageBreak/>
        <w:t>1</w:t>
      </w:r>
      <w:r>
        <w:rPr>
          <w:rtl/>
        </w:rPr>
        <w:tab/>
      </w:r>
      <w:r>
        <w:rPr>
          <w:rFonts w:hint="cs"/>
          <w:rtl/>
        </w:rPr>
        <w:t>معلومات أساسية</w:t>
      </w:r>
    </w:p>
    <w:p w:rsidR="00D07279" w:rsidRDefault="00D07279" w:rsidP="00D07279">
      <w:pPr>
        <w:rPr>
          <w:rtl/>
          <w:lang w:bidi="ar-EG"/>
        </w:rPr>
      </w:pPr>
      <w:r>
        <w:rPr>
          <w:rFonts w:hint="cs"/>
          <w:rtl/>
          <w:lang w:bidi="ar-EG"/>
        </w:rPr>
        <w:t xml:space="preserve">اعتمد مؤتمر المندوبين المفوضين </w:t>
      </w:r>
      <w:r>
        <w:rPr>
          <w:lang w:bidi="ar-EG"/>
        </w:rPr>
        <w:t>(PP-14)</w:t>
      </w:r>
      <w:r>
        <w:rPr>
          <w:rFonts w:hint="cs"/>
          <w:rtl/>
          <w:lang w:bidi="ar-EG"/>
        </w:rPr>
        <w:t xml:space="preserve"> القرار </w:t>
      </w:r>
      <w:r>
        <w:rPr>
          <w:lang w:bidi="ar-EG"/>
        </w:rPr>
        <w:t>200</w:t>
      </w:r>
      <w:r>
        <w:rPr>
          <w:rFonts w:hint="cs"/>
          <w:rtl/>
          <w:lang w:bidi="ar-EG"/>
        </w:rPr>
        <w:t xml:space="preserve"> (بوسان، </w:t>
      </w:r>
      <w:r>
        <w:rPr>
          <w:lang w:bidi="ar-EG"/>
        </w:rPr>
        <w:t>2014</w:t>
      </w:r>
      <w:r>
        <w:rPr>
          <w:rFonts w:hint="cs"/>
          <w:rtl/>
          <w:lang w:bidi="ar-EG"/>
        </w:rPr>
        <w:t xml:space="preserve">) بشأن برنامج التوصيل في </w:t>
      </w:r>
      <w:r>
        <w:rPr>
          <w:lang w:bidi="ar-EG"/>
        </w:rPr>
        <w:t>2020</w:t>
      </w:r>
      <w:r>
        <w:rPr>
          <w:rFonts w:hint="cs"/>
          <w:rtl/>
          <w:lang w:bidi="ar-EG"/>
        </w:rPr>
        <w:t xml:space="preserve"> من أجل </w:t>
      </w:r>
      <w:r w:rsidRPr="00743988">
        <w:rPr>
          <w:rFonts w:hint="cs"/>
          <w:i/>
          <w:iCs/>
          <w:rtl/>
          <w:lang w:bidi="ar-EG"/>
        </w:rPr>
        <w:t>التنمية العالمية للاتصالات/تكنولوجيا المعلومات والاتصالات</w:t>
      </w:r>
      <w:r>
        <w:rPr>
          <w:rFonts w:hint="cs"/>
          <w:rtl/>
          <w:lang w:bidi="ar-EG"/>
        </w:rPr>
        <w:t xml:space="preserve"> والهدف </w:t>
      </w:r>
      <w:r>
        <w:rPr>
          <w:lang w:bidi="ar-EG"/>
        </w:rPr>
        <w:t>4</w:t>
      </w:r>
      <w:r>
        <w:rPr>
          <w:rFonts w:hint="cs"/>
          <w:rtl/>
          <w:lang w:bidi="ar-EG"/>
        </w:rPr>
        <w:t xml:space="preserve"> للاتحاد بشأن </w:t>
      </w:r>
      <w:r w:rsidRPr="009E6FC2">
        <w:rPr>
          <w:rFonts w:hint="cs"/>
          <w:i/>
          <w:iCs/>
          <w:rtl/>
          <w:lang w:bidi="ar-EG"/>
        </w:rPr>
        <w:t>الابتكار والشراكة</w:t>
      </w:r>
      <w:r>
        <w:rPr>
          <w:rFonts w:hint="cs"/>
          <w:rtl/>
          <w:lang w:bidi="ar-EG"/>
        </w:rPr>
        <w:t xml:space="preserve"> الذي يؤكد على أهمية العمليات المبتكرة لإشراك أصحاب المصلحة المتعددين والشراكات الموسعة بين القطاعين العام والخاص والتعاون الثنائي ومتعدد الأطراف.</w:t>
      </w:r>
    </w:p>
    <w:p w:rsidR="00D07279" w:rsidRDefault="00D07279" w:rsidP="00D07279">
      <w:pPr>
        <w:rPr>
          <w:rtl/>
          <w:lang w:bidi="ar-EG"/>
        </w:rPr>
      </w:pPr>
      <w:r>
        <w:rPr>
          <w:rFonts w:hint="cs"/>
          <w:rtl/>
          <w:lang w:bidi="ar-EG"/>
        </w:rPr>
        <w:t xml:space="preserve">كما أقر المؤتمر العالمي لتنمية الاتصالات لعام </w:t>
      </w:r>
      <w:r>
        <w:rPr>
          <w:lang w:bidi="ar-EG"/>
        </w:rPr>
        <w:t>2014</w:t>
      </w:r>
      <w:r>
        <w:rPr>
          <w:rFonts w:hint="cs"/>
          <w:rtl/>
          <w:lang w:bidi="ar-EG"/>
        </w:rPr>
        <w:t xml:space="preserve"> </w:t>
      </w:r>
      <w:r>
        <w:rPr>
          <w:lang w:bidi="ar-EG"/>
        </w:rPr>
        <w:t>(WTDC</w:t>
      </w:r>
      <w:r>
        <w:rPr>
          <w:lang w:bidi="ar-EG"/>
        </w:rPr>
        <w:noBreakHyphen/>
        <w:t>14)</w:t>
      </w:r>
      <w:r>
        <w:rPr>
          <w:rFonts w:hint="cs"/>
          <w:rtl/>
          <w:lang w:bidi="ar-EG"/>
        </w:rPr>
        <w:t xml:space="preserve"> بأهمية التعاون مع القطاع الخاص كأحد العوامل الحاسمة للنجاح في</w:t>
      </w:r>
      <w:r>
        <w:rPr>
          <w:rFonts w:hint="eastAsia"/>
          <w:rtl/>
          <w:lang w:bidi="ar-EG"/>
        </w:rPr>
        <w:t> </w:t>
      </w:r>
      <w:r>
        <w:rPr>
          <w:rFonts w:hint="cs"/>
          <w:rtl/>
          <w:lang w:bidi="ar-EG"/>
        </w:rPr>
        <w:t>تحقيق رسالة قطاع تنمية الاتصالات كما هو بارز في النواتج والقرارات التي اعتمدت أثناء المؤتمر.</w:t>
      </w:r>
    </w:p>
    <w:p w:rsidR="00D07279" w:rsidRDefault="00D07279" w:rsidP="00D07279">
      <w:pPr>
        <w:rPr>
          <w:rtl/>
          <w:lang w:bidi="ar-EG"/>
        </w:rPr>
      </w:pPr>
      <w:r>
        <w:rPr>
          <w:rFonts w:hint="cs"/>
          <w:rtl/>
          <w:lang w:bidi="ar-EG"/>
        </w:rPr>
        <w:t xml:space="preserve">ومن بين أهداف التنمية المستدامة </w:t>
      </w:r>
      <w:r w:rsidRPr="002B1BD6">
        <w:rPr>
          <w:lang w:bidi="ar-EG"/>
        </w:rPr>
        <w:t>(SDG)</w:t>
      </w:r>
      <w:r>
        <w:rPr>
          <w:rFonts w:hint="cs"/>
          <w:rtl/>
          <w:lang w:bidi="ar-EG"/>
        </w:rPr>
        <w:t xml:space="preserve"> لبرنامج التنمية لما بعد </w:t>
      </w:r>
      <w:r>
        <w:rPr>
          <w:lang w:bidi="ar-EG"/>
        </w:rPr>
        <w:t>2015</w:t>
      </w:r>
      <w:r>
        <w:rPr>
          <w:rFonts w:hint="cs"/>
          <w:rtl/>
          <w:lang w:bidi="ar-EG"/>
        </w:rPr>
        <w:t xml:space="preserve"> البالغ عددها </w:t>
      </w:r>
      <w:r>
        <w:rPr>
          <w:lang w:bidi="ar-EG"/>
        </w:rPr>
        <w:t>17</w:t>
      </w:r>
      <w:r>
        <w:rPr>
          <w:rFonts w:hint="cs"/>
          <w:rtl/>
          <w:lang w:bidi="ar-EG"/>
        </w:rPr>
        <w:t xml:space="preserve"> هدفاً، يحدد الهدف</w:t>
      </w:r>
      <w:r>
        <w:rPr>
          <w:rFonts w:hint="eastAsia"/>
          <w:rtl/>
          <w:lang w:bidi="ar-EG"/>
        </w:rPr>
        <w:t> </w:t>
      </w:r>
      <w:r>
        <w:rPr>
          <w:lang w:bidi="ar-EG"/>
        </w:rPr>
        <w:t>17</w:t>
      </w:r>
      <w:r>
        <w:rPr>
          <w:rFonts w:hint="cs"/>
          <w:rtl/>
          <w:lang w:bidi="ar-EG"/>
        </w:rPr>
        <w:t xml:space="preserve"> ضرورة "تعزيز وسائل التنفيذ وتنشيط الشراكة العالمية من أجل تحقيق التنمية المستدامة" لتشجيع وحث إقامة شراكات فعّالة بين القطاعين العام والخاص والمجتمع المدني، استناداً إلى خبرات واستراتيجيات بناء الشراكات.</w:t>
      </w:r>
    </w:p>
    <w:p w:rsidR="00D07279" w:rsidRDefault="00D07279" w:rsidP="00D07279">
      <w:pPr>
        <w:pStyle w:val="Heading1"/>
        <w:rPr>
          <w:rtl/>
        </w:rPr>
      </w:pPr>
      <w:r>
        <w:t>2</w:t>
      </w:r>
      <w:r>
        <w:tab/>
      </w:r>
      <w:r>
        <w:rPr>
          <w:rFonts w:hint="cs"/>
          <w:rtl/>
        </w:rPr>
        <w:t>الأهداف الاستراتيجية</w:t>
      </w:r>
    </w:p>
    <w:p w:rsidR="00D07279" w:rsidRDefault="00D07279" w:rsidP="00D07279">
      <w:pPr>
        <w:rPr>
          <w:rtl/>
          <w:lang w:bidi="ar-EG"/>
        </w:rPr>
      </w:pPr>
      <w:r>
        <w:rPr>
          <w:rFonts w:hint="cs"/>
          <w:rtl/>
          <w:lang w:bidi="ar-EG"/>
        </w:rPr>
        <w:t>لا يزال يجري تنفيذ الخطط والإجراءات التالية من أجل مواصلة جذب كيانات القطاع الخاص وتحسين مشاركتها في نظام إيكولوجي متقارب لتكنولوجيا المعلومات والاتصالات، بما يتماشى مع الأهداف الاستراتيجية لقطاع تنمية الاتصالات:</w:t>
      </w:r>
    </w:p>
    <w:p w:rsidR="00D07279" w:rsidRPr="00D07279" w:rsidRDefault="00D07279" w:rsidP="00D07279">
      <w:pPr>
        <w:pStyle w:val="enumlev1"/>
        <w:rPr>
          <w:rtl/>
        </w:rPr>
      </w:pPr>
      <w:r w:rsidRPr="00D07279">
        <w:rPr>
          <w:rtl/>
        </w:rPr>
        <w:t>•</w:t>
      </w:r>
      <w:r w:rsidRPr="00D07279">
        <w:rPr>
          <w:rtl/>
        </w:rPr>
        <w:tab/>
      </w:r>
      <w:r w:rsidRPr="00D07279">
        <w:rPr>
          <w:rFonts w:hint="cs"/>
          <w:b/>
          <w:bCs/>
          <w:rtl/>
        </w:rPr>
        <w:t>تعزيز إشراك أعضاء قطاع تنمية الاتصالات من القطاع الخاص:</w:t>
      </w:r>
      <w:r w:rsidRPr="00D07279">
        <w:rPr>
          <w:rFonts w:hint="cs"/>
          <w:rtl/>
        </w:rPr>
        <w:t xml:space="preserve"> يتعين تعزيز مشاركة الأعضاء من القطاع الخاص وذلك لتحسين الفهم وتحقيق التوقعات والاحتياجات ومجالات المنفعة المتبادلة وكذلك تشجيع المشاركة والإسهام بشكل أكبر وأنشط في أنشطة ومشاريع ومبادرات وبرامج وفعاليات قطاع تنمية الاتصالات</w:t>
      </w:r>
      <w:r w:rsidRPr="00D07279">
        <w:t xml:space="preserve"> </w:t>
      </w:r>
      <w:r w:rsidRPr="00D07279">
        <w:rPr>
          <w:rFonts w:hint="cs"/>
          <w:rtl/>
          <w:lang w:bidi="ar-EG"/>
        </w:rPr>
        <w:t>وجذب أعضاء جدد لقطاع تنمية الاتصالات</w:t>
      </w:r>
      <w:r w:rsidRPr="00D07279">
        <w:rPr>
          <w:rFonts w:hint="cs"/>
          <w:rtl/>
        </w:rPr>
        <w:t>.</w:t>
      </w:r>
    </w:p>
    <w:p w:rsidR="00D07279" w:rsidRPr="00086995" w:rsidRDefault="00D07279" w:rsidP="00D07279">
      <w:pPr>
        <w:pStyle w:val="enumlev1"/>
        <w:rPr>
          <w:spacing w:val="-2"/>
          <w:rtl/>
          <w:lang w:bidi="ar-EG"/>
        </w:rPr>
      </w:pPr>
      <w:r w:rsidRPr="00086995">
        <w:rPr>
          <w:spacing w:val="-2"/>
          <w:rtl/>
        </w:rPr>
        <w:t>•</w:t>
      </w:r>
      <w:r w:rsidRPr="00086995">
        <w:rPr>
          <w:spacing w:val="-2"/>
          <w:rtl/>
        </w:rPr>
        <w:tab/>
      </w:r>
      <w:r w:rsidRPr="00086995">
        <w:rPr>
          <w:rFonts w:hint="cs"/>
          <w:b/>
          <w:bCs/>
          <w:spacing w:val="-2"/>
          <w:rtl/>
        </w:rPr>
        <w:t>إقامة شراكات وتوفير فرص تواصل مبتكرة في النظام الإيكولوجي المتقارب لتكنولوجيا المعلومات والاتصالات:</w:t>
      </w:r>
      <w:r w:rsidRPr="00086995">
        <w:rPr>
          <w:rFonts w:hint="cs"/>
          <w:spacing w:val="-2"/>
          <w:rtl/>
        </w:rPr>
        <w:t xml:space="preserve"> إطلاق مبادرات ومشاريع مبتكرة ومناسبة وتنفيذها مع مراعاة الطابع المتزايد من حيث التنوع لأعضاء قطاع تنمية الاتصالات، خاصة كيانات القطاع الخاص</w:t>
      </w:r>
      <w:r w:rsidRPr="00086995">
        <w:rPr>
          <w:rFonts w:hint="cs"/>
          <w:spacing w:val="-2"/>
          <w:rtl/>
          <w:lang w:bidi="ar-EG"/>
        </w:rPr>
        <w:t>، وذلك بما يتجاوز الأطراف الفاعلة التقليدية في مجال تكنولوجيا المعلومات والاتصالات والنظام الإيكولوجي المتقارب لهذه التكنولوجيا.</w:t>
      </w:r>
    </w:p>
    <w:p w:rsidR="00D07279" w:rsidRDefault="00D07279" w:rsidP="00D07279">
      <w:pPr>
        <w:pStyle w:val="Heading1"/>
        <w:rPr>
          <w:rtl/>
        </w:rPr>
      </w:pPr>
      <w:r>
        <w:t>3</w:t>
      </w:r>
      <w:r>
        <w:tab/>
      </w:r>
      <w:r>
        <w:rPr>
          <w:rFonts w:hint="cs"/>
          <w:rtl/>
        </w:rPr>
        <w:t>التدابير الرئيسية</w:t>
      </w:r>
    </w:p>
    <w:p w:rsidR="00D07279" w:rsidRDefault="00D07279" w:rsidP="00D07279">
      <w:pPr>
        <w:pStyle w:val="Heading2"/>
        <w:rPr>
          <w:rtl/>
        </w:rPr>
      </w:pPr>
      <w:r>
        <w:t>1.3</w:t>
      </w:r>
      <w:r>
        <w:rPr>
          <w:rtl/>
        </w:rPr>
        <w:tab/>
      </w:r>
      <w:r>
        <w:rPr>
          <w:rFonts w:hint="cs"/>
          <w:rtl/>
        </w:rPr>
        <w:t xml:space="preserve">الناتج </w:t>
      </w:r>
      <w:r>
        <w:t>1.2</w:t>
      </w:r>
      <w:r>
        <w:rPr>
          <w:rFonts w:hint="cs"/>
          <w:rtl/>
        </w:rPr>
        <w:t xml:space="preserve"> البرنامج السياساتي والتنظيمي</w:t>
      </w:r>
    </w:p>
    <w:p w:rsidR="00D07279" w:rsidRDefault="00D07279" w:rsidP="00D07279">
      <w:pPr>
        <w:rPr>
          <w:rtl/>
          <w:lang w:bidi="ar-EG"/>
        </w:rPr>
      </w:pPr>
      <w:r>
        <w:rPr>
          <w:rFonts w:hint="cs"/>
          <w:rtl/>
          <w:lang w:bidi="ar-EG"/>
        </w:rPr>
        <w:t>ينادي هذا الناتج بتوفير منابر عالمية لواضعي السياسات والمنظمين والقطاع الخاص لمعالجة القضايا ذات الاهتمام المشترك وتبادل الخبرات وأفضل الممارسات ومناقشة أساليب مساعدة البلدان في تحقيق أهدافها الخاصة بتحقيق اقتصادات رقمية متنامية. وفي</w:t>
      </w:r>
      <w:r>
        <w:rPr>
          <w:rFonts w:hint="eastAsia"/>
          <w:rtl/>
          <w:lang w:bidi="ar-EG"/>
        </w:rPr>
        <w:t> </w:t>
      </w:r>
      <w:r>
        <w:rPr>
          <w:rFonts w:hint="cs"/>
          <w:rtl/>
          <w:lang w:bidi="ar-EG"/>
        </w:rPr>
        <w:t xml:space="preserve">هذا الإطار، جدير بالذكر أن نتطرق إلى بعض المنابر العالمية والإقليمية على النحو الوارد أدناه. </w:t>
      </w:r>
    </w:p>
    <w:p w:rsidR="00D07279" w:rsidRPr="00D07279" w:rsidRDefault="00D07279" w:rsidP="00D07279">
      <w:pPr>
        <w:rPr>
          <w:spacing w:val="-2"/>
          <w:rtl/>
          <w:lang w:bidi="ar-EG"/>
        </w:rPr>
      </w:pPr>
      <w:r w:rsidRPr="00D07279">
        <w:rPr>
          <w:rFonts w:hint="cs"/>
          <w:spacing w:val="-2"/>
          <w:rtl/>
          <w:lang w:bidi="ar-EG"/>
        </w:rPr>
        <w:t>عُقد للمرة الأولى</w:t>
      </w:r>
      <w:r w:rsidRPr="00D07279">
        <w:rPr>
          <w:spacing w:val="-2"/>
          <w:rtl/>
          <w:lang w:bidi="ar-EG"/>
        </w:rPr>
        <w:t xml:space="preserve"> الحوار بين قادة دوائر الصناعة في </w:t>
      </w:r>
      <w:r w:rsidRPr="00D07279">
        <w:rPr>
          <w:spacing w:val="-2"/>
          <w:lang w:bidi="ar-EG"/>
        </w:rPr>
        <w:t>14</w:t>
      </w:r>
      <w:r w:rsidRPr="00D07279">
        <w:rPr>
          <w:spacing w:val="-2"/>
          <w:rtl/>
          <w:lang w:bidi="ar-EG"/>
        </w:rPr>
        <w:t xml:space="preserve"> مايو </w:t>
      </w:r>
      <w:r w:rsidRPr="00D07279">
        <w:rPr>
          <w:spacing w:val="-2"/>
          <w:lang w:bidi="ar-EG"/>
        </w:rPr>
        <w:t>2016</w:t>
      </w:r>
      <w:r w:rsidRPr="00D07279">
        <w:rPr>
          <w:spacing w:val="-2"/>
          <w:rtl/>
          <w:lang w:bidi="ar-EG"/>
        </w:rPr>
        <w:t xml:space="preserve">، بالتوازي مع مسار منظمي الاتصالات في اليوم الأخير من الندوة العالمية السادسة عشرة لمنظمي الاتصالات. وجمع الحوار أكثر من </w:t>
      </w:r>
      <w:r w:rsidRPr="00D07279">
        <w:rPr>
          <w:spacing w:val="-2"/>
          <w:lang w:bidi="ar-EG"/>
        </w:rPr>
        <w:t>30</w:t>
      </w:r>
      <w:r w:rsidRPr="00D07279">
        <w:rPr>
          <w:spacing w:val="-2"/>
          <w:rtl/>
          <w:lang w:bidi="ar-EG"/>
        </w:rPr>
        <w:t xml:space="preserve"> مشاركاً من القطاع الخاص، وبُحث خلاله في أثر الابتكار المفتوح ونماذج الأعمال الجديدة على التنظيم التعاوني</w:t>
      </w:r>
      <w:r w:rsidRPr="00D07279">
        <w:rPr>
          <w:rFonts w:hint="cs"/>
          <w:spacing w:val="-2"/>
          <w:rtl/>
          <w:lang w:bidi="ar-EG"/>
        </w:rPr>
        <w:t xml:space="preserve">، ثم أعقبته جلسة </w:t>
      </w:r>
      <w:r w:rsidRPr="00D07279">
        <w:rPr>
          <w:spacing w:val="-2"/>
          <w:rtl/>
          <w:lang w:bidi="ar-EG"/>
        </w:rPr>
        <w:t xml:space="preserve">مؤشرات الأداء </w:t>
      </w:r>
      <w:r w:rsidRPr="00D07279">
        <w:rPr>
          <w:rFonts w:hint="cs"/>
          <w:spacing w:val="-2"/>
          <w:rtl/>
          <w:lang w:bidi="ar-EG"/>
        </w:rPr>
        <w:t xml:space="preserve">الرئيسية </w:t>
      </w:r>
      <w:r w:rsidRPr="00D07279">
        <w:rPr>
          <w:spacing w:val="-2"/>
          <w:rtl/>
          <w:lang w:bidi="ar-EG"/>
        </w:rPr>
        <w:t>التنظيمية</w:t>
      </w:r>
      <w:r w:rsidRPr="00D07279">
        <w:rPr>
          <w:rFonts w:hint="cs"/>
          <w:spacing w:val="-2"/>
          <w:rtl/>
          <w:lang w:bidi="ar-EG"/>
        </w:rPr>
        <w:t xml:space="preserve"> في سياق لوائح الجيل الأول إلى الجيل الرابع. وأقرّ المشاركون بضرورة أن ينظر المنظمون وواضعو السياسات في بذل مزيد من الجهود لتعزيز فرص جديدة وتشجيع بيئة تدفع نحو مزيد من الاستثمار والابتكار، وأن يستند هذا النوع من البيئات على الحوار بين أصحاب المصلحة والمنظمين، والفهم الواضح للاختلافات بين السياسات التنظيمية وأهداف قطاع تكنولوجيا المعلومات والاتصالات. وتم تشجيع مؤشرات الأداء الرئيسية التنظيمية بوصفها أداة لرصد وقياس التغيرات التي تطرأ على البيئة التنظيمية للاتصالات/تكنولوجيا المعلومات والاتصالات، وتيسير وضع المعايير وتحديد اتجاهات التطور في الأطر القانونية والتنظيمية، ودعم دوائر الصناعة للاستثمارات في</w:t>
      </w:r>
      <w:r w:rsidRPr="00D07279">
        <w:rPr>
          <w:rFonts w:hint="eastAsia"/>
          <w:spacing w:val="-2"/>
          <w:rtl/>
          <w:lang w:bidi="ar-EG"/>
        </w:rPr>
        <w:t> </w:t>
      </w:r>
      <w:r w:rsidR="006444E7">
        <w:rPr>
          <w:rFonts w:hint="cs"/>
          <w:spacing w:val="-2"/>
          <w:rtl/>
          <w:lang w:bidi="ar-EG"/>
        </w:rPr>
        <w:t>الأعمال.</w:t>
      </w:r>
    </w:p>
    <w:p w:rsidR="00D07279" w:rsidRDefault="00D07279" w:rsidP="00772300">
      <w:pPr>
        <w:rPr>
          <w:rtl/>
          <w:lang w:bidi="ar-EG"/>
        </w:rPr>
      </w:pPr>
      <w:r>
        <w:rPr>
          <w:rFonts w:hint="cs"/>
          <w:rtl/>
          <w:lang w:bidi="ar-EG"/>
        </w:rPr>
        <w:lastRenderedPageBreak/>
        <w:t xml:space="preserve">وقد شارك في </w:t>
      </w:r>
      <w:hyperlink r:id="rId12" w:history="1">
        <w:r w:rsidRPr="00086995">
          <w:rPr>
            <w:rStyle w:val="Hyperlink"/>
            <w:rFonts w:ascii="Calibri" w:hAnsi="Calibri" w:hint="cs"/>
            <w:rtl/>
            <w:lang w:bidi="ar-EG"/>
          </w:rPr>
          <w:t>الاجتماعين</w:t>
        </w:r>
      </w:hyperlink>
      <w:r w:rsidRPr="00086995">
        <w:rPr>
          <w:rFonts w:ascii="Times New Roman" w:hAnsi="Times New Roman" w:hint="cs"/>
          <w:rtl/>
          <w:lang w:bidi="ar-EG"/>
        </w:rPr>
        <w:t xml:space="preserve"> السادس والسابع </w:t>
      </w:r>
      <w:hyperlink r:id="rId13" w:history="1">
        <w:r w:rsidRPr="00086995">
          <w:rPr>
            <w:rStyle w:val="Hyperlink"/>
            <w:rFonts w:hint="cs"/>
            <w:rtl/>
            <w:lang w:bidi="ar-EG"/>
          </w:rPr>
          <w:t>ل</w:t>
        </w:r>
        <w:r w:rsidRPr="00086995">
          <w:rPr>
            <w:rStyle w:val="Hyperlink"/>
            <w:rFonts w:ascii="Calibri" w:hAnsi="Calibri" w:hint="cs"/>
            <w:rtl/>
            <w:lang w:bidi="ar-EG"/>
          </w:rPr>
          <w:t>كبار المسؤولين التنظيميين</w:t>
        </w:r>
        <w:r w:rsidRPr="00086995">
          <w:rPr>
            <w:rStyle w:val="Hyperlink"/>
            <w:rFonts w:ascii="Calibri" w:hAnsi="Calibri" w:hint="eastAsia"/>
            <w:rtl/>
            <w:lang w:bidi="ar-EG"/>
          </w:rPr>
          <w:t> </w:t>
        </w:r>
        <w:r w:rsidRPr="00086995">
          <w:rPr>
            <w:rStyle w:val="Hyperlink"/>
            <w:rFonts w:ascii="Calibri" w:hAnsi="Calibri"/>
            <w:lang w:bidi="ar-EG"/>
          </w:rPr>
          <w:t>(CRO)</w:t>
        </w:r>
        <w:r w:rsidRPr="00086995">
          <w:rPr>
            <w:rStyle w:val="Hyperlink"/>
            <w:rFonts w:ascii="Calibri" w:hAnsi="Calibri" w:hint="cs"/>
            <w:rtl/>
            <w:lang w:bidi="ar-EG"/>
          </w:rPr>
          <w:t xml:space="preserve"> في القطاع الخاص</w:t>
        </w:r>
      </w:hyperlink>
      <w:r>
        <w:rPr>
          <w:rFonts w:hint="cs"/>
          <w:rtl/>
          <w:lang w:bidi="ar-EG"/>
        </w:rPr>
        <w:t>، اللذين عُقدا في عام</w:t>
      </w:r>
      <w:r w:rsidR="00772300">
        <w:rPr>
          <w:rFonts w:hint="eastAsia"/>
          <w:rtl/>
          <w:lang w:bidi="ar-EG"/>
        </w:rPr>
        <w:t> </w:t>
      </w:r>
      <w:r>
        <w:rPr>
          <w:lang w:val="fr-CH" w:bidi="ar-EG"/>
        </w:rPr>
        <w:t>2016</w:t>
      </w:r>
      <w:r>
        <w:rPr>
          <w:rFonts w:hint="cs"/>
          <w:rtl/>
          <w:lang w:bidi="ar-EG"/>
        </w:rPr>
        <w:t xml:space="preserve">، كبار المسؤولين التنفيذيين في دوائر الصناعة لتبادل التجارب والآراء عن سبل تعزيز مشاركة القطاع الخاص في المبادرات العالمية والإقليمية والوطنية، وتحديد آليات تعزيز بيئة تنظيمية تمكينية من أجل تنمية القطاع في المستقبل. </w:t>
      </w:r>
    </w:p>
    <w:p w:rsidR="00D07279" w:rsidRDefault="00D07279" w:rsidP="00D07279">
      <w:pPr>
        <w:rPr>
          <w:rtl/>
          <w:lang w:bidi="ar-EG"/>
        </w:rPr>
      </w:pPr>
      <w:r>
        <w:rPr>
          <w:rFonts w:hint="cs"/>
          <w:rtl/>
          <w:lang w:bidi="ar-EG"/>
        </w:rPr>
        <w:t xml:space="preserve">وناقش الاجتماعان أهم المقترحات بشأن اختبار تجريبي بين القطاع الخاص والمنظمين. وأيّد المشاركون، على وجه الخصوص، مقترح النفاذ المالي الشامل </w:t>
      </w:r>
      <w:r>
        <w:rPr>
          <w:lang w:bidi="ar-EG"/>
        </w:rPr>
        <w:t>(UFA)</w:t>
      </w:r>
      <w:r>
        <w:rPr>
          <w:rFonts w:hint="cs"/>
          <w:rtl/>
          <w:lang w:bidi="ar-EG"/>
        </w:rPr>
        <w:t xml:space="preserve"> لعام </w:t>
      </w:r>
      <w:r>
        <w:rPr>
          <w:lang w:val="fr-CH" w:bidi="ar-EG"/>
        </w:rPr>
        <w:t>2020</w:t>
      </w:r>
      <w:r>
        <w:rPr>
          <w:rFonts w:hint="cs"/>
          <w:rtl/>
          <w:lang w:bidi="ar-EG"/>
        </w:rPr>
        <w:t xml:space="preserve"> الذي عُرض في إطار منبر كبار المسؤولين التنظيميين، واتفقوا على إنشاء فريق عمل من كبار المسؤولين التنظيميين معني بالشمول المالي الرقمي </w:t>
      </w:r>
      <w:r>
        <w:rPr>
          <w:lang w:bidi="ar-EG"/>
        </w:rPr>
        <w:t>(CRO WG-DFI)</w:t>
      </w:r>
      <w:r>
        <w:rPr>
          <w:rFonts w:hint="cs"/>
          <w:rtl/>
          <w:lang w:bidi="ar-EG"/>
        </w:rPr>
        <w:t xml:space="preserve">. </w:t>
      </w:r>
    </w:p>
    <w:p w:rsidR="00D07279" w:rsidRPr="00432397" w:rsidRDefault="00D07279" w:rsidP="006919A5">
      <w:pPr>
        <w:rPr>
          <w:rtl/>
          <w:lang w:bidi="ar-EG"/>
        </w:rPr>
      </w:pPr>
      <w:r>
        <w:rPr>
          <w:rFonts w:hint="cs"/>
          <w:rtl/>
          <w:lang w:bidi="ar-EG"/>
        </w:rPr>
        <w:t xml:space="preserve">وعُقد </w:t>
      </w:r>
      <w:hyperlink r:id="rId14" w:history="1">
        <w:r w:rsidRPr="00D07279">
          <w:rPr>
            <w:rStyle w:val="Hyperlink"/>
            <w:rFonts w:ascii="Calibri" w:hAnsi="Calibri" w:hint="cs"/>
            <w:rtl/>
            <w:lang w:bidi="ar-EG"/>
          </w:rPr>
          <w:t xml:space="preserve">أول اجتماع لفريق العمل </w:t>
        </w:r>
        <w:r w:rsidRPr="00D07279">
          <w:rPr>
            <w:rStyle w:val="Hyperlink"/>
            <w:rFonts w:ascii="Calibri" w:hAnsi="Calibri"/>
            <w:lang w:bidi="ar-EG"/>
          </w:rPr>
          <w:t>(CRO WG)</w:t>
        </w:r>
      </w:hyperlink>
      <w:r>
        <w:rPr>
          <w:rFonts w:hint="cs"/>
          <w:rtl/>
          <w:lang w:bidi="ar-EG"/>
        </w:rPr>
        <w:t xml:space="preserve"> في </w:t>
      </w:r>
      <w:r>
        <w:rPr>
          <w:lang w:val="fr-CH" w:bidi="ar-EG"/>
        </w:rPr>
        <w:t>15</w:t>
      </w:r>
      <w:r>
        <w:rPr>
          <w:rFonts w:hint="cs"/>
          <w:rtl/>
          <w:lang w:bidi="ar-EG"/>
        </w:rPr>
        <w:t xml:space="preserve"> نوفمبر </w:t>
      </w:r>
      <w:r>
        <w:rPr>
          <w:lang w:val="fr-CH" w:bidi="ar-EG"/>
        </w:rPr>
        <w:t>2016</w:t>
      </w:r>
      <w:r>
        <w:rPr>
          <w:rFonts w:hint="cs"/>
          <w:rtl/>
          <w:lang w:bidi="ar-EG"/>
        </w:rPr>
        <w:t xml:space="preserve"> واتفق أعضاء الفريق على ضرورة التركيز على: </w:t>
      </w:r>
      <w:r w:rsidR="006919A5">
        <w:rPr>
          <w:rFonts w:hint="cs"/>
          <w:rtl/>
          <w:lang w:bidi="ar-EG"/>
        </w:rPr>
        <w:t>’</w:t>
      </w:r>
      <w:r w:rsidR="006919A5">
        <w:rPr>
          <w:lang w:bidi="ar-EG"/>
        </w:rPr>
        <w:t>1</w:t>
      </w:r>
      <w:r w:rsidR="006919A5">
        <w:rPr>
          <w:rFonts w:hint="cs"/>
          <w:rtl/>
          <w:lang w:bidi="ar-EG"/>
        </w:rPr>
        <w:t>‘</w:t>
      </w:r>
      <w:r>
        <w:rPr>
          <w:rFonts w:hint="eastAsia"/>
          <w:rtl/>
          <w:lang w:bidi="ar-EG"/>
        </w:rPr>
        <w:t> </w:t>
      </w:r>
      <w:r>
        <w:rPr>
          <w:rFonts w:hint="cs"/>
          <w:rtl/>
          <w:lang w:bidi="ar-EG"/>
        </w:rPr>
        <w:t xml:space="preserve">تصميم وتبادل أطر قانونية وتنظيمية على الصعيدين الإقليمي والوطني؛ </w:t>
      </w:r>
      <w:r w:rsidR="006919A5">
        <w:rPr>
          <w:rFonts w:hint="cs"/>
          <w:rtl/>
          <w:lang w:bidi="ar-EG"/>
        </w:rPr>
        <w:t>’</w:t>
      </w:r>
      <w:r w:rsidR="006919A5">
        <w:rPr>
          <w:lang w:bidi="ar-EG"/>
        </w:rPr>
        <w:t>2</w:t>
      </w:r>
      <w:r w:rsidR="006919A5">
        <w:rPr>
          <w:rFonts w:hint="cs"/>
          <w:rtl/>
          <w:lang w:bidi="ar-EG"/>
        </w:rPr>
        <w:t>‘</w:t>
      </w:r>
      <w:r>
        <w:rPr>
          <w:rFonts w:hint="eastAsia"/>
          <w:rtl/>
          <w:lang w:bidi="ar-EG"/>
        </w:rPr>
        <w:t> </w:t>
      </w:r>
      <w:r>
        <w:rPr>
          <w:rFonts w:hint="cs"/>
          <w:rtl/>
          <w:lang w:bidi="ar-EG"/>
        </w:rPr>
        <w:t xml:space="preserve">إعداد أطر لتبادل أفضل الممارسات وتوسيع نطاق الشراكات بين القطاعين العام والخاص؛ </w:t>
      </w:r>
      <w:r w:rsidR="006919A5">
        <w:rPr>
          <w:rFonts w:hint="cs"/>
          <w:rtl/>
          <w:lang w:bidi="ar-EG"/>
        </w:rPr>
        <w:t>’</w:t>
      </w:r>
      <w:r w:rsidR="006919A5">
        <w:rPr>
          <w:lang w:bidi="ar-EG"/>
        </w:rPr>
        <w:t>3</w:t>
      </w:r>
      <w:r w:rsidR="006919A5">
        <w:rPr>
          <w:rFonts w:hint="cs"/>
          <w:rtl/>
          <w:lang w:bidi="ar-EG"/>
        </w:rPr>
        <w:t>‘</w:t>
      </w:r>
      <w:r>
        <w:rPr>
          <w:rFonts w:hint="eastAsia"/>
          <w:rtl/>
          <w:lang w:bidi="ar-EG"/>
        </w:rPr>
        <w:t> </w:t>
      </w:r>
      <w:r>
        <w:rPr>
          <w:rFonts w:hint="cs"/>
          <w:rtl/>
          <w:lang w:bidi="ar-EG"/>
        </w:rPr>
        <w:t xml:space="preserve">تنفيذ مشاريع تجريبية على الصعيد الوطني مع مساهمة الشركاء المهتمين في تحقيق أهداف التنمية المستدامة، ولا سيما الأهداف </w:t>
      </w:r>
      <w:r>
        <w:rPr>
          <w:lang w:val="fr-CH" w:bidi="ar-EG"/>
        </w:rPr>
        <w:t>8</w:t>
      </w:r>
      <w:r>
        <w:rPr>
          <w:rFonts w:hint="cs"/>
          <w:rtl/>
          <w:lang w:bidi="ar-EG"/>
        </w:rPr>
        <w:t xml:space="preserve"> و</w:t>
      </w:r>
      <w:r>
        <w:rPr>
          <w:lang w:val="fr-CH" w:bidi="ar-EG"/>
        </w:rPr>
        <w:t>9</w:t>
      </w:r>
      <w:r>
        <w:rPr>
          <w:rFonts w:hint="cs"/>
          <w:rtl/>
          <w:lang w:bidi="ar-EG"/>
        </w:rPr>
        <w:t xml:space="preserve"> و</w:t>
      </w:r>
      <w:r>
        <w:rPr>
          <w:lang w:val="fr-CH" w:bidi="ar-EG"/>
        </w:rPr>
        <w:t>10</w:t>
      </w:r>
      <w:r>
        <w:rPr>
          <w:rFonts w:hint="cs"/>
          <w:rtl/>
          <w:lang w:bidi="ar-EG"/>
        </w:rPr>
        <w:t xml:space="preserve"> و</w:t>
      </w:r>
      <w:r>
        <w:rPr>
          <w:lang w:val="fr-CH" w:bidi="ar-EG"/>
        </w:rPr>
        <w:t>11</w:t>
      </w:r>
      <w:r>
        <w:rPr>
          <w:rFonts w:hint="cs"/>
          <w:rtl/>
          <w:lang w:bidi="ar-EG"/>
        </w:rPr>
        <w:t xml:space="preserve"> و</w:t>
      </w:r>
      <w:r>
        <w:rPr>
          <w:lang w:val="fr-CH" w:bidi="ar-EG"/>
        </w:rPr>
        <w:t>17</w:t>
      </w:r>
      <w:r>
        <w:rPr>
          <w:rFonts w:hint="cs"/>
          <w:rtl/>
          <w:lang w:bidi="ar-EG"/>
        </w:rPr>
        <w:t xml:space="preserve">. وتم تحديد البلدان المحتملة للمشاريع التجريبية وأصحاب المصلحة المهتمين وسيتم الإبلاغ عن حال التنفيذ في الاجتماع المقبل لكبار المسؤولين التنفيذيين الذي سيعقد في يوليو </w:t>
      </w:r>
      <w:r>
        <w:rPr>
          <w:lang w:val="fr-CH" w:bidi="ar-EG"/>
        </w:rPr>
        <w:t>2017</w:t>
      </w:r>
      <w:r>
        <w:rPr>
          <w:rFonts w:hint="cs"/>
          <w:rtl/>
          <w:lang w:bidi="ar-EG"/>
        </w:rPr>
        <w:t xml:space="preserve">، بوصفه حدثاً يسبق </w:t>
      </w:r>
      <w:hyperlink r:id="rId15" w:history="1">
        <w:r w:rsidRPr="00D07279">
          <w:rPr>
            <w:rStyle w:val="Hyperlink"/>
            <w:rFonts w:ascii="Calibri" w:hAnsi="Calibri" w:hint="cs"/>
            <w:rtl/>
            <w:lang w:bidi="ar-EG"/>
          </w:rPr>
          <w:t>الندوة العالمية السابعة عشرة لمنظمي الاتصالات </w:t>
        </w:r>
        <w:r w:rsidRPr="00D07279">
          <w:rPr>
            <w:rStyle w:val="Hyperlink"/>
            <w:rFonts w:ascii="Calibri" w:hAnsi="Calibri"/>
            <w:lang w:bidi="ar-EG"/>
          </w:rPr>
          <w:t>(GSR</w:t>
        </w:r>
        <w:r w:rsidRPr="00D07279">
          <w:rPr>
            <w:rStyle w:val="Hyperlink"/>
            <w:rFonts w:ascii="Calibri" w:hAnsi="Calibri"/>
            <w:lang w:bidi="ar-EG"/>
          </w:rPr>
          <w:noBreakHyphen/>
          <w:t>17)</w:t>
        </w:r>
      </w:hyperlink>
      <w:r>
        <w:rPr>
          <w:rFonts w:hint="cs"/>
          <w:rtl/>
          <w:lang w:bidi="ar-EG"/>
        </w:rPr>
        <w:t>.</w:t>
      </w:r>
    </w:p>
    <w:p w:rsidR="00D07279" w:rsidRDefault="00D07279" w:rsidP="00D07279">
      <w:pPr>
        <w:pStyle w:val="Heading2"/>
        <w:rPr>
          <w:rtl/>
        </w:rPr>
      </w:pPr>
      <w:r>
        <w:t>2.3</w:t>
      </w:r>
      <w:r>
        <w:tab/>
      </w:r>
      <w:r>
        <w:rPr>
          <w:rFonts w:hint="cs"/>
          <w:rtl/>
        </w:rPr>
        <w:t xml:space="preserve">الناتج </w:t>
      </w:r>
      <w:r>
        <w:t>3.2</w:t>
      </w:r>
      <w:r>
        <w:rPr>
          <w:rFonts w:hint="cs"/>
          <w:rtl/>
        </w:rPr>
        <w:t xml:space="preserve"> الابتكار والشراكات</w:t>
      </w:r>
    </w:p>
    <w:p w:rsidR="00D07279" w:rsidRDefault="00D07279" w:rsidP="00D07279">
      <w:pPr>
        <w:rPr>
          <w:rtl/>
          <w:lang w:bidi="ar-EG"/>
        </w:rPr>
      </w:pPr>
      <w:r w:rsidRPr="0027556F">
        <w:rPr>
          <w:rFonts w:hint="cs"/>
          <w:b/>
          <w:bCs/>
          <w:rtl/>
          <w:lang w:bidi="ar-EG"/>
        </w:rPr>
        <w:t xml:space="preserve">القرار </w:t>
      </w:r>
      <w:r w:rsidRPr="0027556F">
        <w:rPr>
          <w:b/>
          <w:bCs/>
          <w:lang w:bidi="ar-EG"/>
        </w:rPr>
        <w:t>30</w:t>
      </w:r>
      <w:r w:rsidRPr="0027556F">
        <w:rPr>
          <w:rFonts w:hint="cs"/>
          <w:b/>
          <w:bCs/>
          <w:rtl/>
          <w:lang w:bidi="ar-EG"/>
        </w:rPr>
        <w:t xml:space="preserve"> (المراج</w:t>
      </w:r>
      <w:r>
        <w:rPr>
          <w:rFonts w:hint="cs"/>
          <w:b/>
          <w:bCs/>
          <w:rtl/>
          <w:lang w:bidi="ar-EG"/>
        </w:rPr>
        <w:t>َ</w:t>
      </w:r>
      <w:r w:rsidRPr="0027556F">
        <w:rPr>
          <w:rFonts w:hint="cs"/>
          <w:b/>
          <w:bCs/>
          <w:rtl/>
          <w:lang w:bidi="ar-EG"/>
        </w:rPr>
        <w:t xml:space="preserve">ع في دبي، </w:t>
      </w:r>
      <w:r w:rsidRPr="0027556F">
        <w:rPr>
          <w:b/>
          <w:bCs/>
          <w:lang w:bidi="ar-EG"/>
        </w:rPr>
        <w:t>2014</w:t>
      </w:r>
      <w:r w:rsidRPr="0027556F">
        <w:rPr>
          <w:rFonts w:hint="cs"/>
          <w:b/>
          <w:bCs/>
          <w:rtl/>
          <w:lang w:bidi="ar-EG"/>
        </w:rPr>
        <w:t>)</w:t>
      </w:r>
      <w:r>
        <w:rPr>
          <w:rFonts w:hint="cs"/>
          <w:rtl/>
          <w:lang w:bidi="ar-EG"/>
        </w:rPr>
        <w:t xml:space="preserve"> بشأن "دور قطاع تنمية الاتصالات للاتحاد الدولي للاتصالات في تنفيذ نتائج القمة العالمية لمجتمع المعلومات"، يطلب إطلاق المبادرات الضرورية لتشجيع الشراكات كأولوية ملحة وفقاً لنتائج القمة العالمية لمجتمع المعلومات وعملية الاستعراض الخاصة بتنفيذها. وأثبت </w:t>
      </w:r>
      <w:hyperlink r:id="rId16" w:history="1">
        <w:r w:rsidRPr="00D07279">
          <w:rPr>
            <w:rStyle w:val="Hyperlink"/>
            <w:rFonts w:ascii="Calibri" w:hAnsi="Calibri" w:hint="cs"/>
            <w:rtl/>
            <w:lang w:bidi="ar-EG"/>
          </w:rPr>
          <w:t xml:space="preserve">منتدى القمة العالمية لمجتمع المعلومات لعام </w:t>
        </w:r>
        <w:r w:rsidRPr="00D07279">
          <w:rPr>
            <w:rStyle w:val="Hyperlink"/>
            <w:rFonts w:ascii="Calibri" w:hAnsi="Calibri"/>
            <w:lang w:bidi="ar-EG"/>
          </w:rPr>
          <w:t>2016</w:t>
        </w:r>
      </w:hyperlink>
      <w:r>
        <w:rPr>
          <w:rFonts w:hint="cs"/>
          <w:rtl/>
          <w:lang w:bidi="ar-EG"/>
        </w:rPr>
        <w:t xml:space="preserve"> أنه آلية فعالة لتنسيق الأنشطة التي يضطلع بها أصحاب المصلحة المتعددون في مجال التنفيذ والتي تركز على الابتكار والشراكات والربط بين تكنولوجيا المعلومات والاتصالات والبرنامج العالمي للتنمية المستدامة.</w:t>
      </w:r>
    </w:p>
    <w:p w:rsidR="00D07279" w:rsidRDefault="00D07279" w:rsidP="00D07279">
      <w:pPr>
        <w:rPr>
          <w:rtl/>
          <w:lang w:bidi="ar-EG"/>
        </w:rPr>
      </w:pPr>
      <w:r>
        <w:rPr>
          <w:rFonts w:hint="cs"/>
          <w:rtl/>
          <w:lang w:bidi="ar-EG"/>
        </w:rPr>
        <w:t xml:space="preserve">كما ورد في </w:t>
      </w:r>
      <w:r w:rsidRPr="002B1BD6">
        <w:rPr>
          <w:rFonts w:hint="cs"/>
          <w:b/>
          <w:bCs/>
          <w:rtl/>
          <w:lang w:bidi="ar-EG"/>
        </w:rPr>
        <w:t xml:space="preserve">القرار </w:t>
      </w:r>
      <w:r w:rsidRPr="002B1BD6">
        <w:rPr>
          <w:b/>
          <w:bCs/>
          <w:lang w:bidi="ar-EG"/>
        </w:rPr>
        <w:t>32</w:t>
      </w:r>
      <w:r w:rsidRPr="002B1BD6">
        <w:rPr>
          <w:rFonts w:hint="cs"/>
          <w:b/>
          <w:bCs/>
          <w:rtl/>
          <w:lang w:bidi="ar-EG"/>
        </w:rPr>
        <w:t xml:space="preserve"> (المراجَع في دبي، </w:t>
      </w:r>
      <w:r w:rsidRPr="002B1BD6">
        <w:rPr>
          <w:b/>
          <w:bCs/>
          <w:lang w:bidi="ar-EG"/>
        </w:rPr>
        <w:t>2014</w:t>
      </w:r>
      <w:r w:rsidRPr="002B1BD6">
        <w:rPr>
          <w:rFonts w:hint="cs"/>
          <w:b/>
          <w:bCs/>
          <w:rtl/>
          <w:lang w:bidi="ar-EG"/>
        </w:rPr>
        <w:t>)</w:t>
      </w:r>
      <w:r>
        <w:rPr>
          <w:rFonts w:hint="cs"/>
          <w:rtl/>
          <w:lang w:bidi="ar-EG"/>
        </w:rPr>
        <w:t xml:space="preserve"> بشأن "التعاون الدولي والإقليمي بشأن المبادرات الإقليمية"، استمر مكتب تنمية الاتصالات في تشجيع القطاع الخاص على المشاركة والتعاون مع البلدان الأعضاء في المبادرات الإقليمية المذكورة في</w:t>
      </w:r>
      <w:r>
        <w:rPr>
          <w:rFonts w:hint="eastAsia"/>
          <w:rtl/>
          <w:lang w:bidi="ar-EG"/>
        </w:rPr>
        <w:t> </w:t>
      </w:r>
      <w:r>
        <w:rPr>
          <w:rFonts w:hint="cs"/>
          <w:rtl/>
          <w:lang w:bidi="ar-EG"/>
        </w:rPr>
        <w:t>القرار، بما</w:t>
      </w:r>
      <w:r>
        <w:rPr>
          <w:rFonts w:hint="eastAsia"/>
          <w:rtl/>
          <w:lang w:bidi="ar-EG"/>
        </w:rPr>
        <w:t> </w:t>
      </w:r>
      <w:r>
        <w:rPr>
          <w:rFonts w:hint="cs"/>
          <w:rtl/>
          <w:lang w:bidi="ar-EG"/>
        </w:rPr>
        <w:t>في</w:t>
      </w:r>
      <w:r>
        <w:rPr>
          <w:rFonts w:hint="eastAsia"/>
          <w:rtl/>
          <w:lang w:bidi="ar-EG"/>
        </w:rPr>
        <w:t> </w:t>
      </w:r>
      <w:r>
        <w:rPr>
          <w:rFonts w:hint="cs"/>
          <w:rtl/>
          <w:lang w:bidi="ar-EG"/>
        </w:rPr>
        <w:t>ذلك البلدان ذات الاحتياجات الخاصة.</w:t>
      </w:r>
    </w:p>
    <w:p w:rsidR="00D07279" w:rsidRDefault="00D07279" w:rsidP="00D07279">
      <w:pPr>
        <w:pStyle w:val="enumlev1"/>
        <w:rPr>
          <w:rtl/>
          <w:lang w:bidi="ar-EG"/>
        </w:rPr>
      </w:pPr>
      <w:r>
        <w:rPr>
          <w:rtl/>
        </w:rPr>
        <w:t>•</w:t>
      </w:r>
      <w:r>
        <w:rPr>
          <w:rtl/>
        </w:rPr>
        <w:tab/>
      </w:r>
      <w:r>
        <w:rPr>
          <w:rFonts w:hint="cs"/>
          <w:rtl/>
        </w:rPr>
        <w:t xml:space="preserve">نظمت منتديات التنمية الإقليمية </w:t>
      </w:r>
      <w:r>
        <w:t>(RDF)</w:t>
      </w:r>
      <w:r>
        <w:rPr>
          <w:rFonts w:hint="cs"/>
          <w:rtl/>
          <w:lang w:bidi="ar-EG"/>
        </w:rPr>
        <w:t xml:space="preserve"> وغيرها من الأحداث الإقليمية في العديد من المناطق في </w:t>
      </w:r>
      <w:r>
        <w:rPr>
          <w:lang w:bidi="ar-EG"/>
        </w:rPr>
        <w:t>2015</w:t>
      </w:r>
      <w:r>
        <w:rPr>
          <w:rFonts w:hint="cs"/>
          <w:rtl/>
          <w:lang w:bidi="ar-EG"/>
        </w:rPr>
        <w:t xml:space="preserve"> وكانت بمثابة منابر للنقاش والاتفاق بشأن المجالات التي يمكن استكشاف شراكات بين أصحاب المصلحة المتعددين فيها خاصة فيما</w:t>
      </w:r>
      <w:r>
        <w:rPr>
          <w:rFonts w:hint="eastAsia"/>
          <w:rtl/>
          <w:lang w:bidi="ar-EG"/>
        </w:rPr>
        <w:t> </w:t>
      </w:r>
      <w:r>
        <w:rPr>
          <w:rFonts w:hint="cs"/>
          <w:rtl/>
          <w:lang w:bidi="ar-EG"/>
        </w:rPr>
        <w:t>يتعلق بدور ريادة الأعمال، بما في ذلك المشغلون من القطاع الخاص.</w:t>
      </w:r>
    </w:p>
    <w:p w:rsidR="00D07279" w:rsidRDefault="00D07279" w:rsidP="00086995">
      <w:pPr>
        <w:pStyle w:val="enumlev1"/>
        <w:rPr>
          <w:rtl/>
          <w:lang w:bidi="ar-EG"/>
        </w:rPr>
      </w:pPr>
      <w:r>
        <w:rPr>
          <w:rtl/>
          <w:lang w:bidi="ar-EG"/>
        </w:rPr>
        <w:t>•</w:t>
      </w:r>
      <w:r>
        <w:rPr>
          <w:rFonts w:hint="cs"/>
          <w:rtl/>
          <w:lang w:bidi="ar-EG"/>
        </w:rPr>
        <w:tab/>
        <w:t xml:space="preserve">كما أجرى مكتب تنمية الاتصالات حوارات بشأن الابتكار مع شركاء من أصحاب المصلحة المتعددين من أجل وضع سياسات للابتكار وإقامة روابط بين الابتكار والشركات الصغيرة والمتوسطة فضلاً عن تعزيز الشراكة مع منظمة التعاون والتنمية في الميدان الاقتصادي </w:t>
      </w:r>
      <w:r>
        <w:rPr>
          <w:lang w:bidi="ar-EG"/>
        </w:rPr>
        <w:t>(OECD)</w:t>
      </w:r>
      <w:r>
        <w:rPr>
          <w:rFonts w:hint="cs"/>
          <w:rtl/>
          <w:lang w:bidi="ar-EG"/>
        </w:rPr>
        <w:t xml:space="preserve"> ومنظمة الأمم المتحدة للتنمية الصناعية </w:t>
      </w:r>
      <w:r>
        <w:rPr>
          <w:lang w:bidi="ar-EG"/>
        </w:rPr>
        <w:t>(</w:t>
      </w:r>
      <w:r>
        <w:rPr>
          <w:lang w:val="fr-CH" w:bidi="ar-EG"/>
        </w:rPr>
        <w:t>UNIDO)</w:t>
      </w:r>
      <w:r>
        <w:rPr>
          <w:rFonts w:hint="cs"/>
          <w:rtl/>
          <w:lang w:bidi="ar-EG"/>
        </w:rPr>
        <w:t xml:space="preserve"> </w:t>
      </w:r>
      <w:r>
        <w:rPr>
          <w:color w:val="000000"/>
          <w:rtl/>
        </w:rPr>
        <w:t xml:space="preserve">ومؤتمر الأمم المتحدة للتجارة والتنمية </w:t>
      </w:r>
      <w:r w:rsidR="00086995">
        <w:rPr>
          <w:color w:val="000000"/>
        </w:rPr>
        <w:t>(UNCTAD)</w:t>
      </w:r>
      <w:r>
        <w:rPr>
          <w:rFonts w:hint="cs"/>
          <w:color w:val="000000"/>
          <w:rtl/>
        </w:rPr>
        <w:t xml:space="preserve"> </w:t>
      </w:r>
      <w:r>
        <w:rPr>
          <w:rFonts w:hint="cs"/>
          <w:rtl/>
          <w:lang w:bidi="ar-EG"/>
        </w:rPr>
        <w:t>والكيانات الأخرى.</w:t>
      </w:r>
    </w:p>
    <w:p w:rsidR="00D07279" w:rsidRDefault="00D07279" w:rsidP="00D07279">
      <w:pPr>
        <w:rPr>
          <w:rtl/>
          <w:lang w:bidi="ar-EG"/>
        </w:rPr>
      </w:pPr>
      <w:r w:rsidRPr="0027556F">
        <w:rPr>
          <w:rFonts w:hint="cs"/>
          <w:b/>
          <w:bCs/>
          <w:rtl/>
          <w:lang w:bidi="ar-EG"/>
        </w:rPr>
        <w:t xml:space="preserve">القرار </w:t>
      </w:r>
      <w:r w:rsidRPr="0027556F">
        <w:rPr>
          <w:b/>
          <w:bCs/>
          <w:lang w:bidi="ar-EG"/>
        </w:rPr>
        <w:t>3</w:t>
      </w:r>
      <w:r>
        <w:rPr>
          <w:b/>
          <w:bCs/>
          <w:lang w:bidi="ar-EG"/>
        </w:rPr>
        <w:t>4</w:t>
      </w:r>
      <w:r w:rsidRPr="0027556F">
        <w:rPr>
          <w:rFonts w:hint="cs"/>
          <w:b/>
          <w:bCs/>
          <w:rtl/>
          <w:lang w:bidi="ar-EG"/>
        </w:rPr>
        <w:t xml:space="preserve"> (المراج</w:t>
      </w:r>
      <w:r>
        <w:rPr>
          <w:rFonts w:hint="cs"/>
          <w:b/>
          <w:bCs/>
          <w:rtl/>
          <w:lang w:bidi="ar-EG"/>
        </w:rPr>
        <w:t>َ</w:t>
      </w:r>
      <w:r w:rsidRPr="0027556F">
        <w:rPr>
          <w:rFonts w:hint="cs"/>
          <w:b/>
          <w:bCs/>
          <w:rtl/>
          <w:lang w:bidi="ar-EG"/>
        </w:rPr>
        <w:t xml:space="preserve">ع في دبي، </w:t>
      </w:r>
      <w:r w:rsidRPr="0027556F">
        <w:rPr>
          <w:b/>
          <w:bCs/>
          <w:lang w:bidi="ar-EG"/>
        </w:rPr>
        <w:t>2014</w:t>
      </w:r>
      <w:r w:rsidRPr="0027556F">
        <w:rPr>
          <w:rFonts w:hint="cs"/>
          <w:b/>
          <w:bCs/>
          <w:rtl/>
          <w:lang w:bidi="ar-EG"/>
        </w:rPr>
        <w:t>)</w:t>
      </w:r>
      <w:r>
        <w:rPr>
          <w:rFonts w:hint="cs"/>
          <w:rtl/>
          <w:lang w:bidi="ar-EG"/>
        </w:rPr>
        <w:t xml:space="preserve"> بشأن "دور الاتصالات/تكنولوجيات المعلومات والاتصالات في التأهب للكوارث والإنذار المبكر بحدوثها وفي عمليات الإنقاذ والإغاثة والتخفيف من آثارها والتصدي لها"، ينادي بدور لأصحاب المصلحة المتعددين، بما</w:t>
      </w:r>
      <w:r>
        <w:rPr>
          <w:rFonts w:hint="eastAsia"/>
          <w:rtl/>
          <w:lang w:bidi="ar-EG"/>
        </w:rPr>
        <w:t> </w:t>
      </w:r>
      <w:r>
        <w:rPr>
          <w:rFonts w:hint="cs"/>
          <w:rtl/>
          <w:lang w:bidi="ar-EG"/>
        </w:rPr>
        <w:t>في</w:t>
      </w:r>
      <w:r>
        <w:rPr>
          <w:rFonts w:hint="eastAsia"/>
          <w:rtl/>
          <w:lang w:bidi="ar-EG"/>
        </w:rPr>
        <w:t> </w:t>
      </w:r>
      <w:r>
        <w:rPr>
          <w:rFonts w:hint="cs"/>
          <w:rtl/>
          <w:lang w:bidi="ar-EG"/>
        </w:rPr>
        <w:t>ذلك القطاع الخاص في توفير معدات وخدمات وخبرات الاتصالات/تكنولوجيا المعلومات والاتصالات، والمساعدة في</w:t>
      </w:r>
      <w:r>
        <w:rPr>
          <w:rFonts w:hint="eastAsia"/>
          <w:rtl/>
          <w:lang w:bidi="ar-EG"/>
        </w:rPr>
        <w:t> </w:t>
      </w:r>
      <w:r>
        <w:rPr>
          <w:rFonts w:hint="cs"/>
          <w:rtl/>
          <w:lang w:bidi="ar-EG"/>
        </w:rPr>
        <w:t xml:space="preserve">بناء القدرات لدعم عمليات الإغاثة في الكوارث وأنشطة الإنعاش، ولا سيما من خلال إطار الاتحاد الدولي للاتصالات من أجل التعاون الدولي في حالات الطوارئ </w:t>
      </w:r>
      <w:r>
        <w:rPr>
          <w:lang w:bidi="ar-EG"/>
        </w:rPr>
        <w:t>(</w:t>
      </w:r>
      <w:hyperlink r:id="rId17" w:history="1">
        <w:r w:rsidRPr="00D07279">
          <w:rPr>
            <w:rStyle w:val="Hyperlink"/>
            <w:rFonts w:ascii="Calibri" w:hAnsi="Calibri"/>
            <w:lang w:bidi="ar-EG"/>
          </w:rPr>
          <w:t>IFCE</w:t>
        </w:r>
      </w:hyperlink>
      <w:r>
        <w:rPr>
          <w:lang w:bidi="ar-EG"/>
        </w:rPr>
        <w:t>)</w:t>
      </w:r>
      <w:r>
        <w:rPr>
          <w:rFonts w:hint="cs"/>
          <w:rtl/>
          <w:lang w:bidi="ar-EG"/>
        </w:rPr>
        <w:t>. وجاري تطوير قدرة الاتصالات الساتلية وتنفيذ حلول لاتصالات الطوارئ من أجل منطقة المحيط الهادئ في إطار شراكة وثيقة مع القطاع الخاص.</w:t>
      </w:r>
    </w:p>
    <w:p w:rsidR="00D07279" w:rsidRPr="00867040" w:rsidRDefault="00D07279" w:rsidP="005D579A">
      <w:pPr>
        <w:keepNext/>
        <w:keepLines/>
        <w:rPr>
          <w:rtl/>
          <w:lang w:bidi="ar-EG"/>
        </w:rPr>
      </w:pPr>
      <w:r>
        <w:rPr>
          <w:rFonts w:hint="cs"/>
          <w:rtl/>
          <w:lang w:bidi="ar-EG"/>
        </w:rPr>
        <w:lastRenderedPageBreak/>
        <w:t>وأدّى</w:t>
      </w:r>
      <w:r w:rsidRPr="00867040">
        <w:rPr>
          <w:rtl/>
          <w:lang w:bidi="ar-EG"/>
        </w:rPr>
        <w:t xml:space="preserve"> تنظيم "المنتدى العالمي الثاني بشأن الاتصالات في حالات الطوارئ </w:t>
      </w:r>
      <w:r w:rsidRPr="00867040">
        <w:rPr>
          <w:lang w:bidi="ar-EG"/>
        </w:rPr>
        <w:t>(</w:t>
      </w:r>
      <w:hyperlink r:id="rId18" w:history="1">
        <w:r w:rsidRPr="00D07279">
          <w:rPr>
            <w:rStyle w:val="Hyperlink"/>
            <w:rFonts w:ascii="Calibri" w:hAnsi="Calibri"/>
            <w:lang w:bidi="ar-EG"/>
          </w:rPr>
          <w:t>GET</w:t>
        </w:r>
        <w:r w:rsidRPr="00D07279">
          <w:rPr>
            <w:rStyle w:val="Hyperlink"/>
            <w:rFonts w:ascii="Calibri" w:hAnsi="Calibri"/>
            <w:lang w:bidi="ar-EG"/>
          </w:rPr>
          <w:noBreakHyphen/>
          <w:t>2016</w:t>
        </w:r>
      </w:hyperlink>
      <w:r w:rsidRPr="00867040">
        <w:rPr>
          <w:lang w:bidi="ar-EG"/>
        </w:rPr>
        <w:t>)</w:t>
      </w:r>
      <w:r w:rsidRPr="00867040">
        <w:rPr>
          <w:rtl/>
          <w:lang w:bidi="ar-EG"/>
        </w:rPr>
        <w:t xml:space="preserve">: </w:t>
      </w:r>
      <w:r w:rsidRPr="002D1739">
        <w:rPr>
          <w:b/>
          <w:bCs/>
          <w:rtl/>
          <w:lang w:bidi="ar-EG"/>
        </w:rPr>
        <w:t>إنقاذ الأرواح</w:t>
      </w:r>
      <w:r w:rsidRPr="00867040">
        <w:rPr>
          <w:rtl/>
          <w:lang w:bidi="ar-EG"/>
        </w:rPr>
        <w:t xml:space="preserve">"، الذي عُقد في مدينة الكويت، بالكويت، بين </w:t>
      </w:r>
      <w:r w:rsidRPr="00867040">
        <w:rPr>
          <w:lang w:bidi="ar-EG"/>
        </w:rPr>
        <w:t>26</w:t>
      </w:r>
      <w:r w:rsidRPr="00867040">
        <w:rPr>
          <w:rtl/>
          <w:lang w:bidi="ar-EG"/>
        </w:rPr>
        <w:t xml:space="preserve"> و</w:t>
      </w:r>
      <w:r w:rsidRPr="00867040">
        <w:rPr>
          <w:lang w:bidi="ar-EG"/>
        </w:rPr>
        <w:t>28</w:t>
      </w:r>
      <w:r w:rsidRPr="00867040">
        <w:rPr>
          <w:rtl/>
          <w:lang w:bidi="ar-EG"/>
        </w:rPr>
        <w:t xml:space="preserve"> يناير </w:t>
      </w:r>
      <w:r w:rsidRPr="00867040">
        <w:rPr>
          <w:lang w:bidi="ar-EG"/>
        </w:rPr>
        <w:t>2016</w:t>
      </w:r>
      <w:r w:rsidRPr="00867040">
        <w:rPr>
          <w:rtl/>
          <w:lang w:bidi="ar-EG"/>
        </w:rPr>
        <w:t xml:space="preserve">، </w:t>
      </w:r>
      <w:r>
        <w:rPr>
          <w:rFonts w:hint="cs"/>
          <w:rtl/>
          <w:lang w:bidi="ar-EG"/>
        </w:rPr>
        <w:t xml:space="preserve">إلى </w:t>
      </w:r>
      <w:r w:rsidRPr="00867040">
        <w:rPr>
          <w:rtl/>
          <w:lang w:bidi="ar-EG"/>
        </w:rPr>
        <w:t xml:space="preserve">إذكاء الوعي وزيادة قدرات البلدان على الاستفادة من تكنولوجيات المعلومات والاتصالات وتعزيز الحوار بين الخبراء في إدارة الكوارث، بما في ذلك الحكومات، والقطاع الخاص، والمنظمات الدولية، والمنظمات غير الحكومية، بما في ذلك المنظمات الإنسانية. </w:t>
      </w:r>
      <w:r>
        <w:rPr>
          <w:rFonts w:hint="cs"/>
          <w:rtl/>
          <w:lang w:bidi="ar-EG"/>
        </w:rPr>
        <w:t xml:space="preserve">وناقش المنتدى مواضيع عديدة منها الاتجاهات والابتكارات التكنولوجية الناشئة والآليات المالية ودراسات حالة للبلدان والتحديات التي تواجه نشر تكنولوجيا المعلومات والاتصالات في مناطق الكوارث وقضايا تغير المناخ ودور القطاع الخاص وسائر أصحاب المصلحة. </w:t>
      </w:r>
    </w:p>
    <w:p w:rsidR="00D07279" w:rsidRDefault="00D07279" w:rsidP="00D07279">
      <w:pPr>
        <w:rPr>
          <w:rtl/>
          <w:lang w:bidi="ar-EG"/>
        </w:rPr>
      </w:pPr>
      <w:r w:rsidRPr="0027556F">
        <w:rPr>
          <w:rFonts w:hint="cs"/>
          <w:b/>
          <w:bCs/>
          <w:rtl/>
          <w:lang w:bidi="ar-EG"/>
        </w:rPr>
        <w:t xml:space="preserve">القرار </w:t>
      </w:r>
      <w:r>
        <w:rPr>
          <w:b/>
          <w:bCs/>
          <w:lang w:bidi="ar-EG"/>
        </w:rPr>
        <w:t>52</w:t>
      </w:r>
      <w:r w:rsidRPr="0027556F">
        <w:rPr>
          <w:rFonts w:hint="cs"/>
          <w:b/>
          <w:bCs/>
          <w:rtl/>
          <w:lang w:bidi="ar-EG"/>
        </w:rPr>
        <w:t xml:space="preserve"> (المراج</w:t>
      </w:r>
      <w:r>
        <w:rPr>
          <w:rFonts w:hint="cs"/>
          <w:b/>
          <w:bCs/>
          <w:rtl/>
          <w:lang w:bidi="ar-EG"/>
        </w:rPr>
        <w:t>َ</w:t>
      </w:r>
      <w:r w:rsidRPr="0027556F">
        <w:rPr>
          <w:rFonts w:hint="cs"/>
          <w:b/>
          <w:bCs/>
          <w:rtl/>
          <w:lang w:bidi="ar-EG"/>
        </w:rPr>
        <w:t xml:space="preserve">ع في دبي، </w:t>
      </w:r>
      <w:r w:rsidRPr="0027556F">
        <w:rPr>
          <w:b/>
          <w:bCs/>
          <w:lang w:bidi="ar-EG"/>
        </w:rPr>
        <w:t>2014</w:t>
      </w:r>
      <w:r w:rsidRPr="0027556F">
        <w:rPr>
          <w:rFonts w:hint="cs"/>
          <w:b/>
          <w:bCs/>
          <w:rtl/>
          <w:lang w:bidi="ar-EG"/>
        </w:rPr>
        <w:t>)</w:t>
      </w:r>
      <w:r>
        <w:rPr>
          <w:rFonts w:hint="cs"/>
          <w:rtl/>
          <w:lang w:bidi="ar-EG"/>
        </w:rPr>
        <w:t xml:space="preserve"> بشأن "تعزيز دور قطاع تنمية الاتصالات للاتحاد الدولي للاتصالات بصفته وكالة منفذة"، يشدد على أهمية إقامة شراكات بين القطاعين العام والخاص كوسيلة ناجعة لتنفيذ المشاريع المستدامة للاتحاد.</w:t>
      </w:r>
    </w:p>
    <w:p w:rsidR="00D07279" w:rsidRPr="001616DC" w:rsidRDefault="00D07279" w:rsidP="00086995">
      <w:pPr>
        <w:pStyle w:val="enumlev1"/>
        <w:rPr>
          <w:rtl/>
          <w:lang w:bidi="ar-EG"/>
        </w:rPr>
      </w:pPr>
      <w:r>
        <w:rPr>
          <w:rtl/>
        </w:rPr>
        <w:t>•</w:t>
      </w:r>
      <w:r>
        <w:rPr>
          <w:rtl/>
        </w:rPr>
        <w:tab/>
      </w:r>
      <w:r>
        <w:rPr>
          <w:rFonts w:hint="cs"/>
          <w:rtl/>
        </w:rPr>
        <w:t xml:space="preserve">وفي </w:t>
      </w:r>
      <w:r>
        <w:t>2016</w:t>
      </w:r>
      <w:r>
        <w:rPr>
          <w:rFonts w:hint="cs"/>
          <w:rtl/>
          <w:lang w:bidi="ar-EG"/>
        </w:rPr>
        <w:t xml:space="preserve">، وقع </w:t>
      </w:r>
      <w:r>
        <w:rPr>
          <w:lang w:bidi="ar-EG"/>
        </w:rPr>
        <w:t>20</w:t>
      </w:r>
      <w:r>
        <w:rPr>
          <w:rFonts w:hint="cs"/>
          <w:rtl/>
          <w:lang w:bidi="ar-EG"/>
        </w:rPr>
        <w:t xml:space="preserve"> اتفاق شراكة، بما فيها أنشطة رعاية، مع أصحاب</w:t>
      </w:r>
      <w:r>
        <w:rPr>
          <w:rFonts w:hint="eastAsia"/>
          <w:rtl/>
          <w:lang w:bidi="ar-EG"/>
        </w:rPr>
        <w:t> </w:t>
      </w:r>
      <w:r>
        <w:rPr>
          <w:rFonts w:hint="cs"/>
          <w:rtl/>
          <w:lang w:bidi="ar-EG"/>
        </w:rPr>
        <w:t xml:space="preserve">مصلحة مختلفين بما في ذلك القطاع الخاص. </w:t>
      </w:r>
      <w:r w:rsidR="00086995">
        <w:rPr>
          <w:rFonts w:hint="cs"/>
          <w:rtl/>
          <w:lang w:bidi="ar-EG"/>
        </w:rPr>
        <w:t>(</w:t>
      </w:r>
      <w:r>
        <w:rPr>
          <w:rFonts w:hint="cs"/>
          <w:rtl/>
          <w:lang w:bidi="ar-EG"/>
        </w:rPr>
        <w:t xml:space="preserve">يُتاح مزيد من المعلومات بشأن الاتفاقات الموقعة في الوثيقة </w:t>
      </w:r>
      <w:r>
        <w:rPr>
          <w:lang w:val="fr-CH" w:bidi="ar-EG"/>
        </w:rPr>
        <w:t>INFO</w:t>
      </w:r>
      <w:r>
        <w:rPr>
          <w:lang w:bidi="ar-EG"/>
        </w:rPr>
        <w:t xml:space="preserve"> DOC/1</w:t>
      </w:r>
      <w:r w:rsidR="00086995">
        <w:rPr>
          <w:rFonts w:hint="cs"/>
          <w:rtl/>
          <w:lang w:bidi="ar-EG"/>
        </w:rPr>
        <w:t>)</w:t>
      </w:r>
      <w:r>
        <w:rPr>
          <w:rFonts w:hint="cs"/>
          <w:rtl/>
          <w:lang w:bidi="ar-EG"/>
        </w:rPr>
        <w:t>.</w:t>
      </w:r>
    </w:p>
    <w:p w:rsidR="00D07279" w:rsidRPr="00620988" w:rsidRDefault="00D07279" w:rsidP="00D07279">
      <w:pPr>
        <w:pStyle w:val="enumlev1"/>
        <w:rPr>
          <w:spacing w:val="2"/>
          <w:rtl/>
          <w:lang w:bidi="ar-EG"/>
        </w:rPr>
      </w:pPr>
      <w:r w:rsidRPr="00620988">
        <w:rPr>
          <w:spacing w:val="2"/>
          <w:rtl/>
          <w:lang w:val="en-GB" w:bidi="ar-EG"/>
        </w:rPr>
        <w:t>•</w:t>
      </w:r>
      <w:r w:rsidRPr="00620988">
        <w:rPr>
          <w:spacing w:val="2"/>
          <w:rtl/>
          <w:lang w:val="en-GB" w:bidi="ar-EG"/>
        </w:rPr>
        <w:tab/>
      </w:r>
      <w:r w:rsidRPr="00620988">
        <w:rPr>
          <w:rFonts w:hint="cs"/>
          <w:spacing w:val="2"/>
          <w:rtl/>
          <w:lang w:val="en-GB" w:bidi="ar-EG"/>
        </w:rPr>
        <w:t xml:space="preserve">وجدير بالذكر أيضاً إلقاء الضوء على </w:t>
      </w:r>
      <w:hyperlink r:id="rId19" w:history="1">
        <w:r w:rsidRPr="00620988">
          <w:rPr>
            <w:rStyle w:val="Hyperlink"/>
            <w:rFonts w:hint="cs"/>
            <w:spacing w:val="2"/>
            <w:rtl/>
            <w:lang w:val="en-GB" w:bidi="ar-EG"/>
          </w:rPr>
          <w:t>برنامج الصحة المتنقلة لمكافحة الأمراض غير المعدية</w:t>
        </w:r>
      </w:hyperlink>
      <w:r w:rsidRPr="00620988">
        <w:rPr>
          <w:rFonts w:hint="cs"/>
          <w:spacing w:val="2"/>
          <w:rtl/>
          <w:lang w:val="en-GB" w:bidi="ar-EG"/>
        </w:rPr>
        <w:t xml:space="preserve"> الجاري تنفيذه من خلال شراكات بين القطاعين العام والخاص بما في ذلك وكالات الأمم المتحدة (مثل الاتحاد الدولي للاتصالات ومنظمة الصحة العالمية) والحكومات وشركة </w:t>
      </w:r>
      <w:r w:rsidRPr="00620988">
        <w:rPr>
          <w:spacing w:val="2"/>
          <w:lang w:bidi="ar-EG"/>
        </w:rPr>
        <w:t>Bupa</w:t>
      </w:r>
      <w:r w:rsidRPr="00620988">
        <w:rPr>
          <w:rFonts w:hint="cs"/>
          <w:spacing w:val="2"/>
          <w:rtl/>
          <w:lang w:bidi="ar-EG"/>
        </w:rPr>
        <w:t xml:space="preserve"> ومؤسسة </w:t>
      </w:r>
      <w:r w:rsidRPr="00620988">
        <w:rPr>
          <w:spacing w:val="2"/>
          <w:lang w:val="en-GB" w:bidi="ar-EG"/>
        </w:rPr>
        <w:t>Verizon</w:t>
      </w:r>
      <w:r w:rsidRPr="00620988">
        <w:rPr>
          <w:rFonts w:hint="cs"/>
          <w:spacing w:val="2"/>
          <w:rtl/>
          <w:lang w:val="en-GB" w:bidi="ar-EG"/>
        </w:rPr>
        <w:t xml:space="preserve"> والاتحاد الدولي لشركات التصنيع والرابطات الصيدلانية</w:t>
      </w:r>
      <w:r w:rsidRPr="00620988">
        <w:rPr>
          <w:rFonts w:hint="eastAsia"/>
          <w:spacing w:val="2"/>
          <w:rtl/>
          <w:lang w:val="en-GB" w:bidi="ar-EG"/>
        </w:rPr>
        <w:t> </w:t>
      </w:r>
      <w:r w:rsidRPr="00620988">
        <w:rPr>
          <w:spacing w:val="2"/>
          <w:lang w:val="en-GB" w:bidi="ar-EG"/>
        </w:rPr>
        <w:t>(IFPM</w:t>
      </w:r>
      <w:r w:rsidRPr="00620988">
        <w:rPr>
          <w:spacing w:val="2"/>
          <w:lang w:bidi="ar-EG"/>
        </w:rPr>
        <w:t>A</w:t>
      </w:r>
      <w:r w:rsidRPr="00620988">
        <w:rPr>
          <w:spacing w:val="2"/>
          <w:lang w:val="en-GB" w:bidi="ar-EG"/>
        </w:rPr>
        <w:t>)</w:t>
      </w:r>
      <w:r w:rsidRPr="00620988">
        <w:rPr>
          <w:rFonts w:hint="cs"/>
          <w:spacing w:val="2"/>
          <w:rtl/>
          <w:lang w:val="en-GB" w:bidi="ar-EG"/>
        </w:rPr>
        <w:t xml:space="preserve"> وشركة </w:t>
      </w:r>
      <w:r w:rsidRPr="00620988">
        <w:rPr>
          <w:spacing w:val="2"/>
          <w:lang w:bidi="ar-EG"/>
        </w:rPr>
        <w:t>Novartis</w:t>
      </w:r>
      <w:r w:rsidRPr="00620988">
        <w:rPr>
          <w:rFonts w:hint="cs"/>
          <w:spacing w:val="2"/>
          <w:rtl/>
          <w:lang w:bidi="ar-EG"/>
        </w:rPr>
        <w:t xml:space="preserve"> وشركة </w:t>
      </w:r>
      <w:r w:rsidRPr="00620988">
        <w:rPr>
          <w:spacing w:val="2"/>
          <w:lang w:bidi="ar-EG"/>
        </w:rPr>
        <w:t>Sanofi</w:t>
      </w:r>
      <w:r w:rsidRPr="00620988">
        <w:rPr>
          <w:rFonts w:hint="cs"/>
          <w:spacing w:val="2"/>
          <w:rtl/>
          <w:lang w:bidi="ar-EG"/>
        </w:rPr>
        <w:t xml:space="preserve"> وشركة الرعاية الصحية العالمية </w:t>
      </w:r>
      <w:r w:rsidRPr="00620988">
        <w:rPr>
          <w:spacing w:val="2"/>
          <w:lang w:bidi="ar-EG"/>
        </w:rPr>
        <w:t>(GSK)</w:t>
      </w:r>
      <w:r w:rsidRPr="00620988">
        <w:rPr>
          <w:rFonts w:hint="cs"/>
          <w:spacing w:val="2"/>
          <w:rtl/>
          <w:lang w:bidi="ar-EG"/>
        </w:rPr>
        <w:t xml:space="preserve"> وتحالف الأمراض غير</w:t>
      </w:r>
      <w:r w:rsidRPr="00620988">
        <w:rPr>
          <w:rFonts w:hint="eastAsia"/>
          <w:spacing w:val="2"/>
          <w:rtl/>
          <w:lang w:bidi="ar-EG"/>
        </w:rPr>
        <w:t> </w:t>
      </w:r>
      <w:r w:rsidRPr="00620988">
        <w:rPr>
          <w:rFonts w:hint="cs"/>
          <w:spacing w:val="2"/>
          <w:rtl/>
          <w:lang w:bidi="ar-EG"/>
        </w:rPr>
        <w:t xml:space="preserve">المعدية </w:t>
      </w:r>
      <w:r w:rsidRPr="00620988">
        <w:rPr>
          <w:spacing w:val="2"/>
          <w:lang w:bidi="ar-EG"/>
        </w:rPr>
        <w:t>(NCD)</w:t>
      </w:r>
      <w:r w:rsidRPr="00620988">
        <w:rPr>
          <w:rFonts w:hint="cs"/>
          <w:spacing w:val="2"/>
          <w:rtl/>
          <w:lang w:bidi="ar-EG"/>
        </w:rPr>
        <w:t xml:space="preserve"> وغيرها.</w:t>
      </w:r>
    </w:p>
    <w:p w:rsidR="00D07279" w:rsidRDefault="00D07279" w:rsidP="00D07279">
      <w:pPr>
        <w:rPr>
          <w:rtl/>
          <w:lang w:bidi="ar-EG"/>
        </w:rPr>
      </w:pPr>
      <w:r w:rsidRPr="0027556F">
        <w:rPr>
          <w:rFonts w:hint="cs"/>
          <w:b/>
          <w:bCs/>
          <w:rtl/>
          <w:lang w:bidi="ar-EG"/>
        </w:rPr>
        <w:t xml:space="preserve">القرار </w:t>
      </w:r>
      <w:r>
        <w:rPr>
          <w:b/>
          <w:bCs/>
          <w:lang w:bidi="ar-EG"/>
        </w:rPr>
        <w:t>71</w:t>
      </w:r>
      <w:r w:rsidRPr="0027556F">
        <w:rPr>
          <w:rFonts w:hint="cs"/>
          <w:b/>
          <w:bCs/>
          <w:rtl/>
          <w:lang w:bidi="ar-EG"/>
        </w:rPr>
        <w:t xml:space="preserve"> (المراج</w:t>
      </w:r>
      <w:r>
        <w:rPr>
          <w:rFonts w:hint="cs"/>
          <w:b/>
          <w:bCs/>
          <w:rtl/>
          <w:lang w:bidi="ar-EG"/>
        </w:rPr>
        <w:t>َ</w:t>
      </w:r>
      <w:r w:rsidRPr="0027556F">
        <w:rPr>
          <w:rFonts w:hint="cs"/>
          <w:b/>
          <w:bCs/>
          <w:rtl/>
          <w:lang w:bidi="ar-EG"/>
        </w:rPr>
        <w:t xml:space="preserve">ع في دبي، </w:t>
      </w:r>
      <w:r w:rsidRPr="0027556F">
        <w:rPr>
          <w:b/>
          <w:bCs/>
          <w:lang w:bidi="ar-EG"/>
        </w:rPr>
        <w:t>2014</w:t>
      </w:r>
      <w:r w:rsidRPr="0027556F">
        <w:rPr>
          <w:rFonts w:hint="cs"/>
          <w:b/>
          <w:bCs/>
          <w:rtl/>
          <w:lang w:bidi="ar-EG"/>
        </w:rPr>
        <w:t>)</w:t>
      </w:r>
      <w:r>
        <w:rPr>
          <w:rFonts w:hint="cs"/>
          <w:rtl/>
          <w:lang w:bidi="ar-EG"/>
        </w:rPr>
        <w:t xml:space="preserve"> بشأن "تعزيز التعاون بين الدول الأعضاء وأعضاء قطاع تنمية الاتصالات والمنتسبين إليه والهيئات الأكاديمية المنضمة إليه، بما في ذلك القطاع الخاص"، والذي تم تنفيذه عبر اجتماعات ومبادرا</w:t>
      </w:r>
      <w:r w:rsidR="00772300">
        <w:rPr>
          <w:rFonts w:hint="cs"/>
          <w:rtl/>
          <w:lang w:bidi="ar-EG"/>
        </w:rPr>
        <w:t>ت وشراكات لقطاع تنمية الاتصالات، مثل:</w:t>
      </w:r>
    </w:p>
    <w:p w:rsidR="00D07279" w:rsidRDefault="00D07279" w:rsidP="00D07279">
      <w:pPr>
        <w:pStyle w:val="enumlev1"/>
        <w:rPr>
          <w:rtl/>
          <w:lang w:val="en-GB" w:bidi="ar-EG"/>
        </w:rPr>
      </w:pPr>
      <w:r>
        <w:rPr>
          <w:rtl/>
          <w:lang w:val="en-GB" w:bidi="ar-EG"/>
        </w:rPr>
        <w:t>•</w:t>
      </w:r>
      <w:r>
        <w:rPr>
          <w:rtl/>
          <w:lang w:val="en-GB" w:bidi="ar-EG"/>
        </w:rPr>
        <w:tab/>
      </w:r>
      <w:r>
        <w:rPr>
          <w:rFonts w:hint="cs"/>
          <w:rtl/>
          <w:lang w:val="en-GB" w:bidi="ar-EG"/>
        </w:rPr>
        <w:t xml:space="preserve">استمرار </w:t>
      </w:r>
      <w:hyperlink r:id="rId20" w:history="1">
        <w:r w:rsidRPr="00D07279">
          <w:rPr>
            <w:rStyle w:val="Hyperlink"/>
            <w:rFonts w:ascii="Calibri" w:hAnsi="Calibri" w:hint="cs"/>
            <w:rtl/>
          </w:rPr>
          <w:t>لجنتي دراسات قطاع تنمية الاتصالات</w:t>
        </w:r>
      </w:hyperlink>
      <w:r>
        <w:rPr>
          <w:rFonts w:hint="cs"/>
          <w:rtl/>
          <w:lang w:val="en-GB" w:bidi="ar-EG"/>
        </w:rPr>
        <w:t xml:space="preserve"> في توفير الفرصة لأعضاء قطاع تنمية الاتصالات، بما في ذلك القطاع الخاص من أجل تبادل الخبرات والأفكار والاستراتيجيات لتنفيذ الأولويات في مجال الاتصالات/تكنولوجيا المعلومات والاتصالات. ومن شأن الطابع المتنوع لأعضاء القطاع والمنتسبين إليه والعدد المتزايد للهيئات الأكاديمية المنضمة للقطاع أن يمهد لتصميم أساليب مبتكرة للتعاون فيما بين الأعضاء في مجالات مبتكرة مع الوصول إلى أعضاء جدد.</w:t>
      </w:r>
    </w:p>
    <w:p w:rsidR="00D07279" w:rsidRPr="001616DC" w:rsidRDefault="00D07279" w:rsidP="00D07279">
      <w:pPr>
        <w:pStyle w:val="enumlev1"/>
        <w:rPr>
          <w:rtl/>
          <w:lang w:bidi="ar-EG"/>
        </w:rPr>
      </w:pPr>
      <w:r>
        <w:rPr>
          <w:rtl/>
          <w:lang w:val="en-GB" w:bidi="ar-EG"/>
        </w:rPr>
        <w:t>•</w:t>
      </w:r>
      <w:r>
        <w:rPr>
          <w:rtl/>
          <w:lang w:val="en-GB" w:bidi="ar-EG"/>
        </w:rPr>
        <w:tab/>
      </w:r>
      <w:r>
        <w:rPr>
          <w:rFonts w:hint="cs"/>
          <w:rtl/>
          <w:lang w:val="en-GB" w:bidi="ar-EG"/>
        </w:rPr>
        <w:t xml:space="preserve">نظم مكتب تنمية الاتصالات </w:t>
      </w:r>
      <w:hyperlink r:id="rId21" w:history="1">
        <w:r w:rsidRPr="00D07279">
          <w:rPr>
            <w:rStyle w:val="Hyperlink"/>
            <w:rFonts w:ascii="Calibri" w:hAnsi="Calibri" w:hint="cs"/>
            <w:rtl/>
            <w:lang w:val="en-GB" w:bidi="ar-EG"/>
          </w:rPr>
          <w:t xml:space="preserve">حوار الشراكات بشأن </w:t>
        </w:r>
        <w:r w:rsidRPr="00D07279">
          <w:rPr>
            <w:rStyle w:val="Hyperlink"/>
            <w:rFonts w:ascii="Calibri" w:hAnsi="Calibri" w:hint="cs"/>
            <w:rtl/>
            <w:lang w:bidi="ar-EG"/>
          </w:rPr>
          <w:t>تكنولوجيا المعلومات والاتصالات من أجل أهداف التنمية المستدام</w:t>
        </w:r>
      </w:hyperlink>
      <w:r w:rsidRPr="009A375E">
        <w:rPr>
          <w:rFonts w:hint="cs"/>
          <w:u w:val="single"/>
          <w:rtl/>
          <w:lang w:bidi="ar-EG"/>
        </w:rPr>
        <w:t>ة</w:t>
      </w:r>
      <w:r>
        <w:rPr>
          <w:rFonts w:hint="cs"/>
          <w:rtl/>
          <w:lang w:bidi="ar-EG"/>
        </w:rPr>
        <w:t xml:space="preserve">، والذي حضره ما يزيد عن </w:t>
      </w:r>
      <w:r>
        <w:rPr>
          <w:lang w:val="fr-CH" w:bidi="ar-EG"/>
        </w:rPr>
        <w:t>70</w:t>
      </w:r>
      <w:r>
        <w:rPr>
          <w:rFonts w:hint="cs"/>
          <w:rtl/>
          <w:lang w:bidi="ar-EG"/>
        </w:rPr>
        <w:t xml:space="preserve"> مشاركاً. وكان الحوار منبراً لأعضاء قطاع تنمية الاتصالات وشركائه، بمن فيهم كيانات القطاعين العام والخاص، والمؤسسات الأكاديمية، وغيرهم من أصحاب المصلحة، لتعزيز الوعي بأنشطة مكتب تنمية الاتصالات والمشاركة فيها من خلال تبادل الخدمات والمنتجات القائمة، وكذلك فرص الشراكة بين القطاعات، ل</w:t>
      </w:r>
      <w:r w:rsidR="00772300">
        <w:rPr>
          <w:rFonts w:hint="cs"/>
          <w:rtl/>
          <w:lang w:bidi="ar-EG"/>
        </w:rPr>
        <w:t>تحقيق أهداف التنمية المستدامة.</w:t>
      </w:r>
    </w:p>
    <w:p w:rsidR="00D07279" w:rsidRDefault="00D07279" w:rsidP="00086995">
      <w:pPr>
        <w:pStyle w:val="enumlev1"/>
        <w:rPr>
          <w:rtl/>
          <w:lang w:val="en-GB" w:bidi="ar-EG"/>
        </w:rPr>
      </w:pPr>
      <w:r>
        <w:rPr>
          <w:rtl/>
          <w:lang w:val="en-GB" w:bidi="ar-EG"/>
        </w:rPr>
        <w:t>•</w:t>
      </w:r>
      <w:r>
        <w:rPr>
          <w:rtl/>
          <w:lang w:val="en-GB" w:bidi="ar-EG"/>
        </w:rPr>
        <w:tab/>
      </w:r>
      <w:r>
        <w:rPr>
          <w:rFonts w:hint="cs"/>
          <w:rtl/>
          <w:lang w:val="en-GB" w:bidi="ar-EG"/>
        </w:rPr>
        <w:t>يجري استطلاع زيادة التعاون بين المنظمات الدولية (مثل منظمة الزراعة والأغذية</w:t>
      </w:r>
      <w:r w:rsidR="006919A5">
        <w:rPr>
          <w:rFonts w:hint="eastAsia"/>
          <w:rtl/>
          <w:lang w:val="en-GB" w:bidi="ar-EG"/>
        </w:rPr>
        <w:t> </w:t>
      </w:r>
      <w:r w:rsidR="006919A5">
        <w:rPr>
          <w:lang w:bidi="ar-EG"/>
        </w:rPr>
        <w:t>(FAO)</w:t>
      </w:r>
      <w:r>
        <w:rPr>
          <w:rFonts w:hint="cs"/>
          <w:rtl/>
          <w:lang w:val="en-GB" w:bidi="ar-EG"/>
        </w:rPr>
        <w:t>، ومنظمة الصحة العالمية</w:t>
      </w:r>
      <w:r w:rsidR="006919A5">
        <w:rPr>
          <w:rFonts w:hint="eastAsia"/>
          <w:rtl/>
          <w:lang w:val="en-GB" w:bidi="ar-EG"/>
        </w:rPr>
        <w:t> </w:t>
      </w:r>
      <w:r w:rsidR="006919A5">
        <w:rPr>
          <w:lang w:bidi="ar-EG"/>
        </w:rPr>
        <w:t>(WHO)</w:t>
      </w:r>
      <w:r>
        <w:rPr>
          <w:rFonts w:hint="cs"/>
          <w:rtl/>
          <w:lang w:val="en-GB" w:bidi="ar-EG"/>
        </w:rPr>
        <w:t>، ومنظمة الأمم المتحدة للصناعة</w:t>
      </w:r>
      <w:r w:rsidR="006919A5">
        <w:rPr>
          <w:rFonts w:hint="eastAsia"/>
          <w:rtl/>
          <w:lang w:val="en-GB" w:bidi="ar-EG"/>
        </w:rPr>
        <w:t> </w:t>
      </w:r>
      <w:r w:rsidR="006919A5">
        <w:rPr>
          <w:lang w:bidi="ar-EG"/>
        </w:rPr>
        <w:t>(UNIDO)</w:t>
      </w:r>
      <w:r>
        <w:rPr>
          <w:rFonts w:hint="cs"/>
          <w:rtl/>
          <w:lang w:val="en-GB" w:bidi="ar-EG"/>
        </w:rPr>
        <w:t>، ومؤتمر الأمم المتحدة للتجارة والتنمية</w:t>
      </w:r>
      <w:r w:rsidR="006919A5">
        <w:rPr>
          <w:rFonts w:hint="eastAsia"/>
          <w:rtl/>
          <w:lang w:val="en-GB" w:bidi="ar-EG"/>
        </w:rPr>
        <w:t> </w:t>
      </w:r>
      <w:r w:rsidR="006919A5">
        <w:rPr>
          <w:lang w:bidi="ar-EG"/>
        </w:rPr>
        <w:t>(UNCTAD)</w:t>
      </w:r>
      <w:r>
        <w:rPr>
          <w:rFonts w:hint="cs"/>
          <w:rtl/>
          <w:lang w:val="en-GB" w:bidi="ar-EG"/>
        </w:rPr>
        <w:t>، ومركز التجارة الدولية</w:t>
      </w:r>
      <w:r w:rsidR="006919A5">
        <w:rPr>
          <w:rFonts w:hint="eastAsia"/>
          <w:rtl/>
          <w:lang w:val="en-GB" w:bidi="ar-EG"/>
        </w:rPr>
        <w:t> </w:t>
      </w:r>
      <w:r w:rsidR="006919A5">
        <w:rPr>
          <w:lang w:bidi="ar-EG"/>
        </w:rPr>
        <w:t>(ITC)</w:t>
      </w:r>
      <w:r w:rsidR="00086995">
        <w:rPr>
          <w:rFonts w:hint="cs"/>
          <w:rtl/>
          <w:lang w:bidi="ar-EG"/>
        </w:rPr>
        <w:t xml:space="preserve"> ومنظمات أخرى</w:t>
      </w:r>
      <w:r>
        <w:rPr>
          <w:rFonts w:hint="cs"/>
          <w:rtl/>
          <w:lang w:val="en-GB" w:bidi="ar-EG"/>
        </w:rPr>
        <w:t xml:space="preserve">) بغية التواصل مع سائر كيانات القطاع الخاص المنضمة بالفعل إلى هذه المنظمات وتعزيز إجراءات الترابط الشبكي المحتمل مع الدول الأعضاء، وأعضاء القطاعات، والمنتسبين، والهيئات الأكاديمية، في المجالات المتعلقة بالابتكار، والمشاريع المبتدئة، والمجمعات التكنولوجية، والحاضنات.  </w:t>
      </w:r>
    </w:p>
    <w:p w:rsidR="00D07279" w:rsidRDefault="00D07279" w:rsidP="00086995">
      <w:pPr>
        <w:pStyle w:val="enumlev1"/>
        <w:rPr>
          <w:rtl/>
          <w:lang w:val="en-GB" w:bidi="ar-EG"/>
        </w:rPr>
      </w:pPr>
      <w:r>
        <w:rPr>
          <w:rtl/>
          <w:lang w:val="en-GB" w:bidi="ar-EG"/>
        </w:rPr>
        <w:t>•</w:t>
      </w:r>
      <w:r>
        <w:rPr>
          <w:rtl/>
          <w:lang w:val="en-GB" w:bidi="ar-EG"/>
        </w:rPr>
        <w:tab/>
      </w:r>
      <w:r>
        <w:rPr>
          <w:rFonts w:hint="cs"/>
          <w:rtl/>
          <w:lang w:val="en-GB" w:bidi="ar-EG"/>
        </w:rPr>
        <w:t>ويمكن مواصلة تحسين المبادرات العالمية و/أو الإقليمية المعنية بالتنمية المستدامة والشاملة (مثل استدامة إمداد الكهرباء في</w:t>
      </w:r>
      <w:r>
        <w:rPr>
          <w:rFonts w:hint="eastAsia"/>
          <w:rtl/>
          <w:lang w:val="en-GB" w:bidi="ar-EG"/>
        </w:rPr>
        <w:t> </w:t>
      </w:r>
      <w:r>
        <w:rPr>
          <w:rFonts w:hint="cs"/>
          <w:rtl/>
          <w:lang w:val="en-GB" w:bidi="ar-EG"/>
        </w:rPr>
        <w:t>مرافق الاتصالات/تكنولوجيا المعلومات والاتصالات في المناطق الريفية والمناطق البعيدة، والصحة المتنقلة، وتشغيل الشباب وريادة الأعمال، وحاضنات الابتكار، وغيرها) مع القطاع الخاص في مختلف المجالات مثل الزراعة والصحة والنقل والمجال المالي والتعليم في النظام الإيكولوجي المتقارب ل</w:t>
      </w:r>
      <w:r w:rsidR="00772300">
        <w:rPr>
          <w:rFonts w:hint="cs"/>
          <w:rtl/>
          <w:lang w:val="en-GB" w:bidi="ar-EG"/>
        </w:rPr>
        <w:t>تكنولوجيا المعلومات والاتصالات.</w:t>
      </w:r>
    </w:p>
    <w:p w:rsidR="00D07279" w:rsidRDefault="00D07279" w:rsidP="00D07279">
      <w:pPr>
        <w:pStyle w:val="Heading1"/>
        <w:rPr>
          <w:rtl/>
        </w:rPr>
      </w:pPr>
      <w:r>
        <w:lastRenderedPageBreak/>
        <w:t>4</w:t>
      </w:r>
      <w:r>
        <w:tab/>
      </w:r>
      <w:r>
        <w:rPr>
          <w:rFonts w:hint="cs"/>
          <w:rtl/>
        </w:rPr>
        <w:t>سبل المضي قدماً</w:t>
      </w:r>
    </w:p>
    <w:p w:rsidR="00D07279" w:rsidRDefault="00D07279" w:rsidP="00D07279">
      <w:pPr>
        <w:rPr>
          <w:rtl/>
          <w:lang w:bidi="ar-EG"/>
        </w:rPr>
      </w:pPr>
      <w:r>
        <w:rPr>
          <w:rFonts w:hint="cs"/>
          <w:rtl/>
          <w:lang w:bidi="ar-EG"/>
        </w:rPr>
        <w:t>يعدّ القطاع الخاص محركاً للإنتاجية والكفاءة التكنولوجية وسيظل طرفاً فاعلاً رئيسياً بالنسبة للاستثمارات من أجل النمو الاقتصادي المستدام وتوفير الوظائف والتحول نحو مجتمع شامل للجميع واقتصاد رقمي.</w:t>
      </w:r>
    </w:p>
    <w:p w:rsidR="00D07279" w:rsidRDefault="00D07279" w:rsidP="00D07279">
      <w:pPr>
        <w:rPr>
          <w:rtl/>
          <w:lang w:bidi="ar-EG"/>
        </w:rPr>
      </w:pPr>
      <w:r>
        <w:rPr>
          <w:rFonts w:hint="cs"/>
          <w:rtl/>
          <w:lang w:bidi="ar-EG"/>
        </w:rPr>
        <w:t>ولذا، سيواصل مكتب تنمية الاتصالات تعزيز التعاون والتآزر مع كيانات القطاع الخاص القائمة، في النظام الإيكولوجي المتقارب لتكنولوجيا المعلومات والاتصالات من خلال تحسين الشراكة مع جمعيات الصناعة والمنظمات الإقليمية والدولية وشبكاتها القائمة وأعضائها المنتسبين إليها، وكذلك من خلال الفعاليات الحالية والجديدة لمكتب تنمية الاتصالات على الصعيدين العالمي والإقليمي وزيادة فرص الرعاية لأعضاء قطاع تنمية الاتصالات التي يمكن من خلالها للقطاع الخاص أن يزيد من إبراز مكانته، وترويج علامته التجارية، وعرض منتجاته وحلوله.</w:t>
      </w:r>
    </w:p>
    <w:p w:rsidR="00D07279" w:rsidRPr="00502000" w:rsidRDefault="00D07279" w:rsidP="00A719F1">
      <w:pPr>
        <w:rPr>
          <w:rtl/>
          <w:lang w:bidi="ar-EG"/>
        </w:rPr>
      </w:pPr>
      <w:r>
        <w:rPr>
          <w:rFonts w:hint="cs"/>
          <w:rtl/>
          <w:lang w:bidi="ar-EG"/>
        </w:rPr>
        <w:t xml:space="preserve">ويُدعى القطاع الخاص إلى المشاركة في </w:t>
      </w:r>
      <w:hyperlink r:id="rId22" w:history="1">
        <w:r w:rsidRPr="006919A5">
          <w:rPr>
            <w:rStyle w:val="Hyperlink"/>
            <w:rFonts w:ascii="Calibri" w:hAnsi="Calibri" w:hint="cs"/>
            <w:rtl/>
            <w:lang w:bidi="ar-EG"/>
          </w:rPr>
          <w:t xml:space="preserve">المؤتمر العالمي لتنمية الاتصالات لعام </w:t>
        </w:r>
        <w:r w:rsidRPr="006919A5">
          <w:rPr>
            <w:rStyle w:val="Hyperlink"/>
            <w:rFonts w:ascii="Calibri" w:hAnsi="Calibri"/>
            <w:lang w:val="fr-CH" w:bidi="ar-EG"/>
          </w:rPr>
          <w:t>2017</w:t>
        </w:r>
        <w:r w:rsidRPr="006919A5">
          <w:rPr>
            <w:rStyle w:val="Hyperlink"/>
            <w:rFonts w:ascii="Calibri" w:hAnsi="Calibri" w:hint="cs"/>
            <w:rtl/>
            <w:lang w:bidi="ar-EG"/>
          </w:rPr>
          <w:t xml:space="preserve"> </w:t>
        </w:r>
        <w:r w:rsidR="006919A5" w:rsidRPr="006919A5">
          <w:rPr>
            <w:rStyle w:val="Hyperlink"/>
            <w:rFonts w:ascii="Calibri" w:hAnsi="Calibri"/>
            <w:lang w:bidi="ar-EG"/>
          </w:rPr>
          <w:t>(</w:t>
        </w:r>
        <w:r w:rsidRPr="006919A5">
          <w:rPr>
            <w:rStyle w:val="Hyperlink"/>
            <w:rFonts w:ascii="Calibri" w:hAnsi="Calibri"/>
            <w:lang w:bidi="ar-EG"/>
          </w:rPr>
          <w:t>WTDC-17</w:t>
        </w:r>
        <w:r w:rsidR="006919A5" w:rsidRPr="006919A5">
          <w:rPr>
            <w:rStyle w:val="Hyperlink"/>
            <w:rFonts w:ascii="Calibri" w:hAnsi="Calibri"/>
            <w:lang w:bidi="ar-EG"/>
          </w:rPr>
          <w:t>)</w:t>
        </w:r>
      </w:hyperlink>
      <w:r>
        <w:rPr>
          <w:rFonts w:hint="cs"/>
          <w:rtl/>
          <w:lang w:bidi="ar-EG"/>
        </w:rPr>
        <w:t xml:space="preserve"> و</w:t>
      </w:r>
      <w:hyperlink r:id="rId23" w:history="1">
        <w:r w:rsidRPr="006919A5">
          <w:rPr>
            <w:rStyle w:val="Hyperlink"/>
            <w:rFonts w:ascii="Calibri" w:hAnsi="Calibri" w:hint="cs"/>
            <w:rtl/>
            <w:lang w:bidi="ar-EG"/>
          </w:rPr>
          <w:t>اجتماعاته التحضيرية الإقليمية</w:t>
        </w:r>
      </w:hyperlink>
      <w:r>
        <w:rPr>
          <w:rFonts w:hint="cs"/>
          <w:rtl/>
          <w:lang w:bidi="ar-EG"/>
        </w:rPr>
        <w:t xml:space="preserve"> والمساهمة في عمل قطاع تنمية الاتصالات الرامي إلى تحقيق أهداف التنمي</w:t>
      </w:r>
      <w:r w:rsidR="006919A5">
        <w:rPr>
          <w:rFonts w:hint="cs"/>
          <w:rtl/>
          <w:lang w:bidi="ar-EG"/>
        </w:rPr>
        <w:t>ة المستدامة</w:t>
      </w:r>
      <w:r w:rsidR="00A719F1">
        <w:rPr>
          <w:rFonts w:hint="cs"/>
          <w:rtl/>
          <w:lang w:bidi="ar-EG"/>
        </w:rPr>
        <w:t xml:space="preserve"> </w:t>
      </w:r>
      <w:r w:rsidR="00A719F1">
        <w:rPr>
          <w:lang w:bidi="ar-EG"/>
        </w:rPr>
        <w:t>(SDG)</w:t>
      </w:r>
      <w:r w:rsidR="006919A5">
        <w:rPr>
          <w:rFonts w:hint="cs"/>
          <w:rtl/>
          <w:lang w:bidi="ar-EG"/>
        </w:rPr>
        <w:t>.</w:t>
      </w:r>
    </w:p>
    <w:p w:rsidR="00D07279" w:rsidRPr="00706D7A" w:rsidRDefault="00D07279" w:rsidP="00D07279">
      <w:pPr>
        <w:spacing w:before="600"/>
        <w:jc w:val="center"/>
        <w:rPr>
          <w:rtl/>
          <w:lang w:bidi="ar-EG"/>
        </w:rPr>
      </w:pPr>
      <w:r>
        <w:rPr>
          <w:rtl/>
          <w:lang w:bidi="ar-EG"/>
        </w:rPr>
        <w:t>___________</w:t>
      </w:r>
    </w:p>
    <w:sectPr w:rsidR="00D07279" w:rsidRPr="00706D7A" w:rsidSect="008B5B5D">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7F" w:rsidRDefault="00C1687F" w:rsidP="00E07379">
      <w:pPr>
        <w:spacing w:before="0" w:line="240" w:lineRule="auto"/>
      </w:pPr>
      <w:r>
        <w:separator/>
      </w:r>
    </w:p>
  </w:endnote>
  <w:endnote w:type="continuationSeparator" w:id="0">
    <w:p w:rsidR="00C1687F" w:rsidRDefault="00C1687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D07279" w:rsidRDefault="0056509A" w:rsidP="00C80656">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D07279">
      <w:rPr>
        <w:rFonts w:eastAsiaTheme="minorEastAsia" w:cs="Calibri"/>
        <w:noProof/>
        <w:sz w:val="16"/>
        <w:szCs w:val="16"/>
        <w:lang w:val="es-ES" w:eastAsia="zh-CN"/>
      </w:rPr>
      <w:t>P:\ARA\ITU-D\CONF-D\TDAG17\000\033A.docx</w:t>
    </w:r>
    <w:r w:rsidRPr="0056509A">
      <w:rPr>
        <w:rFonts w:eastAsiaTheme="minorEastAsia" w:cs="Calibri"/>
        <w:sz w:val="16"/>
        <w:szCs w:val="16"/>
        <w:lang w:eastAsia="zh-CN"/>
      </w:rPr>
      <w:fldChar w:fldCharType="end"/>
    </w:r>
    <w:r w:rsidR="00C80656">
      <w:rPr>
        <w:rFonts w:eastAsiaTheme="minorEastAsia" w:cs="Calibri"/>
        <w:sz w:val="16"/>
        <w:szCs w:val="16"/>
        <w:lang w:val="es-ES" w:eastAsia="zh-CN"/>
      </w:rPr>
      <w:t>   </w:t>
    </w:r>
    <w:r w:rsidRPr="0056509A">
      <w:rPr>
        <w:rFonts w:eastAsiaTheme="minorEastAsia" w:cs="Calibri"/>
        <w:sz w:val="16"/>
        <w:szCs w:val="16"/>
        <w:lang w:val="es-ES" w:eastAsia="zh-CN"/>
      </w:rPr>
      <w:t>(</w:t>
    </w:r>
    <w:r w:rsidR="00D07279">
      <w:rPr>
        <w:rFonts w:eastAsiaTheme="minorEastAsia" w:cs="Calibri"/>
        <w:sz w:val="16"/>
        <w:szCs w:val="16"/>
        <w:lang w:val="es-ES" w:eastAsia="zh-CN"/>
      </w:rPr>
      <w:t>414007</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C80656">
      <w:rPr>
        <w:rFonts w:eastAsiaTheme="minorEastAsia" w:cs="Calibri"/>
        <w:noProof/>
        <w:sz w:val="16"/>
        <w:szCs w:val="16"/>
        <w:lang w:val="en-GB" w:eastAsia="zh-CN"/>
      </w:rPr>
      <w:t>26.04.17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C1687F">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D374AB"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D07279" w:rsidRDefault="0056509A" w:rsidP="00C80656">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D07279">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D07279" w:rsidRPr="00D07279">
      <w:rPr>
        <w:rFonts w:eastAsiaTheme="minorEastAsia" w:cs="Calibri"/>
        <w:noProof/>
        <w:vanish/>
        <w:sz w:val="16"/>
        <w:szCs w:val="16"/>
        <w:lang w:val="es-ES" w:eastAsia="zh-CN"/>
      </w:rPr>
      <w:t>P:\ARA\ITU-D\CONF-D\TDAG17\000\033A.docx</w:t>
    </w:r>
    <w:r w:rsidRPr="0056509A">
      <w:rPr>
        <w:rFonts w:eastAsiaTheme="minorEastAsia" w:cs="Calibri"/>
        <w:vanish/>
        <w:sz w:val="16"/>
        <w:szCs w:val="16"/>
        <w:lang w:eastAsia="zh-CN"/>
      </w:rPr>
      <w:fldChar w:fldCharType="end"/>
    </w:r>
    <w:r w:rsidR="00C80656">
      <w:rPr>
        <w:rFonts w:eastAsiaTheme="minorEastAsia" w:cs="Calibri"/>
        <w:vanish/>
        <w:sz w:val="16"/>
        <w:szCs w:val="16"/>
        <w:lang w:val="es-ES" w:eastAsia="zh-CN"/>
      </w:rPr>
      <w:t>   </w:t>
    </w:r>
    <w:r w:rsidRPr="00D07279">
      <w:rPr>
        <w:rFonts w:eastAsiaTheme="minorEastAsia" w:cs="Calibri"/>
        <w:vanish/>
        <w:sz w:val="16"/>
        <w:szCs w:val="16"/>
        <w:lang w:val="es-ES" w:eastAsia="zh-CN"/>
      </w:rPr>
      <w:t>(</w:t>
    </w:r>
    <w:r w:rsidR="00D07279" w:rsidRPr="00D07279">
      <w:rPr>
        <w:rFonts w:eastAsiaTheme="minorEastAsia" w:cs="Calibri"/>
        <w:vanish/>
        <w:sz w:val="16"/>
        <w:szCs w:val="16"/>
        <w:lang w:val="es-ES" w:eastAsia="zh-CN"/>
      </w:rPr>
      <w:t>414007</w:t>
    </w:r>
    <w:r w:rsidRPr="00D07279">
      <w:rPr>
        <w:rFonts w:eastAsiaTheme="minorEastAsia" w:cs="Calibri"/>
        <w:vanish/>
        <w:sz w:val="16"/>
        <w:szCs w:val="16"/>
        <w:lang w:val="es-ES" w:eastAsia="zh-CN"/>
      </w:rPr>
      <w:t>)</w:t>
    </w:r>
    <w:r w:rsidRPr="00D07279">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C80656">
      <w:rPr>
        <w:rFonts w:eastAsiaTheme="minorEastAsia" w:cs="Calibri"/>
        <w:noProof/>
        <w:vanish/>
        <w:sz w:val="16"/>
        <w:szCs w:val="16"/>
        <w:lang w:val="en-GB" w:eastAsia="zh-CN"/>
      </w:rPr>
      <w:t>26.04.17</w:t>
    </w:r>
    <w:r w:rsidRPr="0056509A">
      <w:rPr>
        <w:rFonts w:eastAsiaTheme="minorEastAsia" w:cs="Calibri"/>
        <w:vanish/>
        <w:sz w:val="16"/>
        <w:szCs w:val="16"/>
        <w:lang w:eastAsia="zh-CN"/>
      </w:rPr>
      <w:fldChar w:fldCharType="end"/>
    </w:r>
    <w:r w:rsidRPr="00D07279">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C1687F">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7F" w:rsidRDefault="00C1687F" w:rsidP="00E07379">
      <w:pPr>
        <w:spacing w:before="0" w:line="240" w:lineRule="auto"/>
      </w:pPr>
      <w:r>
        <w:separator/>
      </w:r>
    </w:p>
  </w:footnote>
  <w:footnote w:type="continuationSeparator" w:id="0">
    <w:p w:rsidR="00C1687F" w:rsidRDefault="00C1687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D07279">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D07279">
      <w:rPr>
        <w:rFonts w:cs="Calibri"/>
        <w:sz w:val="20"/>
        <w:szCs w:val="20"/>
      </w:rPr>
      <w:t>33</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D374AB">
      <w:rPr>
        <w:rFonts w:cs="Times New Roman"/>
        <w:noProof/>
        <w:sz w:val="20"/>
        <w:szCs w:val="20"/>
        <w:rtl/>
        <w:lang w:val="en-GB"/>
      </w:rPr>
      <w:t>5</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F"/>
    <w:rsid w:val="000124CC"/>
    <w:rsid w:val="00041F8B"/>
    <w:rsid w:val="00046444"/>
    <w:rsid w:val="0006023B"/>
    <w:rsid w:val="0008638B"/>
    <w:rsid w:val="00086995"/>
    <w:rsid w:val="00090574"/>
    <w:rsid w:val="00092FC2"/>
    <w:rsid w:val="000A1677"/>
    <w:rsid w:val="000B407F"/>
    <w:rsid w:val="000C13C2"/>
    <w:rsid w:val="000D3BEF"/>
    <w:rsid w:val="000F0B1C"/>
    <w:rsid w:val="000F1D42"/>
    <w:rsid w:val="000F4D07"/>
    <w:rsid w:val="00102A03"/>
    <w:rsid w:val="001040A3"/>
    <w:rsid w:val="00173915"/>
    <w:rsid w:val="00186911"/>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C475F"/>
    <w:rsid w:val="003E4132"/>
    <w:rsid w:val="003E5E3F"/>
    <w:rsid w:val="003F678F"/>
    <w:rsid w:val="0042686F"/>
    <w:rsid w:val="004367CE"/>
    <w:rsid w:val="00443869"/>
    <w:rsid w:val="004712C6"/>
    <w:rsid w:val="00497703"/>
    <w:rsid w:val="004F0F06"/>
    <w:rsid w:val="00501E0E"/>
    <w:rsid w:val="005204D7"/>
    <w:rsid w:val="00530420"/>
    <w:rsid w:val="00552BC5"/>
    <w:rsid w:val="0055516A"/>
    <w:rsid w:val="0056374C"/>
    <w:rsid w:val="0056509A"/>
    <w:rsid w:val="0056614F"/>
    <w:rsid w:val="0057656F"/>
    <w:rsid w:val="00576731"/>
    <w:rsid w:val="0059285F"/>
    <w:rsid w:val="005A24B1"/>
    <w:rsid w:val="005B7B8A"/>
    <w:rsid w:val="005D579A"/>
    <w:rsid w:val="005D6476"/>
    <w:rsid w:val="005D6C0D"/>
    <w:rsid w:val="005E5283"/>
    <w:rsid w:val="005E58F5"/>
    <w:rsid w:val="00606660"/>
    <w:rsid w:val="006157A3"/>
    <w:rsid w:val="00617F70"/>
    <w:rsid w:val="00620988"/>
    <w:rsid w:val="00620E60"/>
    <w:rsid w:val="0063315A"/>
    <w:rsid w:val="006444E7"/>
    <w:rsid w:val="0065591D"/>
    <w:rsid w:val="00662C5A"/>
    <w:rsid w:val="00670AF5"/>
    <w:rsid w:val="006919A5"/>
    <w:rsid w:val="006C1556"/>
    <w:rsid w:val="006E77E7"/>
    <w:rsid w:val="006F267F"/>
    <w:rsid w:val="006F63F7"/>
    <w:rsid w:val="006F6F03"/>
    <w:rsid w:val="00706D7A"/>
    <w:rsid w:val="00707FC4"/>
    <w:rsid w:val="00726AEC"/>
    <w:rsid w:val="007530CA"/>
    <w:rsid w:val="00772300"/>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9F1"/>
    <w:rsid w:val="00A71DD6"/>
    <w:rsid w:val="00A723C7"/>
    <w:rsid w:val="00A80E11"/>
    <w:rsid w:val="00A97F94"/>
    <w:rsid w:val="00AA6BF1"/>
    <w:rsid w:val="00AB1309"/>
    <w:rsid w:val="00AC2C52"/>
    <w:rsid w:val="00AD1503"/>
    <w:rsid w:val="00AE7244"/>
    <w:rsid w:val="00AF3FEE"/>
    <w:rsid w:val="00B02F46"/>
    <w:rsid w:val="00B2000C"/>
    <w:rsid w:val="00B20ADE"/>
    <w:rsid w:val="00B66B9A"/>
    <w:rsid w:val="00B750BB"/>
    <w:rsid w:val="00B82089"/>
    <w:rsid w:val="00B970AE"/>
    <w:rsid w:val="00BA1427"/>
    <w:rsid w:val="00BD2824"/>
    <w:rsid w:val="00BE49D0"/>
    <w:rsid w:val="00BF2C38"/>
    <w:rsid w:val="00C1687F"/>
    <w:rsid w:val="00C23331"/>
    <w:rsid w:val="00C265DA"/>
    <w:rsid w:val="00C442F2"/>
    <w:rsid w:val="00C674FE"/>
    <w:rsid w:val="00C7297D"/>
    <w:rsid w:val="00C75633"/>
    <w:rsid w:val="00C80656"/>
    <w:rsid w:val="00C8242E"/>
    <w:rsid w:val="00C82615"/>
    <w:rsid w:val="00C867DB"/>
    <w:rsid w:val="00CA2A38"/>
    <w:rsid w:val="00CA50FF"/>
    <w:rsid w:val="00CC3CD2"/>
    <w:rsid w:val="00CC43BE"/>
    <w:rsid w:val="00CD123C"/>
    <w:rsid w:val="00CD2085"/>
    <w:rsid w:val="00CE2EE1"/>
    <w:rsid w:val="00CF3FFD"/>
    <w:rsid w:val="00CF5ED3"/>
    <w:rsid w:val="00D0494C"/>
    <w:rsid w:val="00D07279"/>
    <w:rsid w:val="00D14BEB"/>
    <w:rsid w:val="00D21C89"/>
    <w:rsid w:val="00D374AB"/>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80FDC85-63E5-4FE9-88E7-F35ECA3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Conferences/CRO/Pages/default.aspx" TargetMode="External"/><Relationship Id="rId18" Type="http://schemas.openxmlformats.org/officeDocument/2006/relationships/hyperlink" Target="http://www.itu.int/en/ITU-D/Emergency-Telecommunications/Pages/Events/2016/GET-2016.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en/ITU-D/Membership/Pages/events/2016/PartnershipDialogueICT4SDGs/AcademiaNetwork01.aspx" TargetMode="External"/><Relationship Id="rId7" Type="http://schemas.openxmlformats.org/officeDocument/2006/relationships/webSettings" Target="webSettings.xml"/><Relationship Id="rId12" Type="http://schemas.openxmlformats.org/officeDocument/2006/relationships/hyperlink" Target="http://www.itu.int/en/ITU-D/Conferences/CRO/Pages/default.aspx" TargetMode="External"/><Relationship Id="rId17" Type="http://schemas.openxmlformats.org/officeDocument/2006/relationships/hyperlink" Target="http://www.itu.int/en/ITU-D/Emergency-Telecommunications/Pages/PartneringforDisasterReduction.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net4/wsis/forum/2016/" TargetMode="External"/><Relationship Id="rId20" Type="http://schemas.openxmlformats.org/officeDocument/2006/relationships/hyperlink" Target="https://www.itu.int/net4/ITU-D/CDS/sg/index.asp?lg=1&amp;sp=2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en/ITU-D/Conferences/GSR/Pages/GSR2017/default.aspx" TargetMode="External"/><Relationship Id="rId23" Type="http://schemas.openxmlformats.org/officeDocument/2006/relationships/hyperlink" Target="http://www.itu.int/en/ITU-D/Conferences/WTDC/WTDC17/Pages/default.asp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en/ITU-D/ICT-Applications/eHEALTH/Be_healthy/Pages/Be_Health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Conferences/CRO/Pages/default.aspx" TargetMode="External"/><Relationship Id="rId22" Type="http://schemas.openxmlformats.org/officeDocument/2006/relationships/hyperlink" Target="http://www.itu.int/en/ITU-D/Conferences/WTDC/WTDC17/Pages/default.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24B81-D07F-449B-9BE9-073527E9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21</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10</cp:revision>
  <cp:lastPrinted>2017-03-13T12:32:00Z</cp:lastPrinted>
  <dcterms:created xsi:type="dcterms:W3CDTF">2017-04-25T13:11:00Z</dcterms:created>
  <dcterms:modified xsi:type="dcterms:W3CDTF">2017-04-26T13:06:00Z</dcterms:modified>
  <cp:category>Conference document</cp:category>
</cp:coreProperties>
</file>