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D7E9D" w:rsidTr="00D0241B">
        <w:trPr>
          <w:cantSplit/>
          <w:trHeight w:val="1134"/>
        </w:trPr>
        <w:tc>
          <w:tcPr>
            <w:tcW w:w="1276" w:type="dxa"/>
          </w:tcPr>
          <w:p w:rsidR="00BD7E9D" w:rsidRPr="00844A56" w:rsidRDefault="00BD7E9D" w:rsidP="00D0241B">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59264" behindDoc="0" locked="0" layoutInCell="1" allowOverlap="1" wp14:anchorId="65F6C6A7" wp14:editId="472FE7FC">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D7E9D" w:rsidRDefault="00BD7E9D" w:rsidP="00D0241B">
            <w:pPr>
              <w:tabs>
                <w:tab w:val="clear" w:pos="1191"/>
                <w:tab w:val="clear" w:pos="1588"/>
                <w:tab w:val="clear" w:pos="1985"/>
              </w:tabs>
              <w:spacing w:before="0"/>
              <w:ind w:left="35"/>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BD7E9D" w:rsidRPr="00844A56" w:rsidRDefault="00BD7E9D" w:rsidP="00D0241B">
            <w:pPr>
              <w:tabs>
                <w:tab w:val="clear" w:pos="1191"/>
                <w:tab w:val="clear" w:pos="1588"/>
                <w:tab w:val="clear" w:pos="1985"/>
              </w:tabs>
              <w:spacing w:before="10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D7E9D" w:rsidRPr="00683C32" w:rsidRDefault="00BD7E9D" w:rsidP="00D0241B">
            <w:pPr>
              <w:spacing w:before="0"/>
              <w:ind w:right="142"/>
              <w:jc w:val="right"/>
            </w:pPr>
            <w:r w:rsidRPr="004949B5">
              <w:rPr>
                <w:noProof/>
                <w:color w:val="189CD7"/>
                <w:lang w:eastAsia="zh-CN"/>
              </w:rPr>
              <w:drawing>
                <wp:anchor distT="0" distB="0" distL="114300" distR="114300" simplePos="0" relativeHeight="251660288" behindDoc="0" locked="0" layoutInCell="1" allowOverlap="1" wp14:anchorId="13E376EE" wp14:editId="18564DC6">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D7E9D" w:rsidRPr="00997358" w:rsidTr="00D0241B">
        <w:trPr>
          <w:cantSplit/>
        </w:trPr>
        <w:tc>
          <w:tcPr>
            <w:tcW w:w="6663" w:type="dxa"/>
            <w:gridSpan w:val="2"/>
            <w:tcBorders>
              <w:top w:val="single" w:sz="12" w:space="0" w:color="auto"/>
            </w:tcBorders>
          </w:tcPr>
          <w:p w:rsidR="00BD7E9D" w:rsidRPr="00997358" w:rsidRDefault="00BD7E9D" w:rsidP="00D0241B">
            <w:pPr>
              <w:spacing w:before="0"/>
              <w:rPr>
                <w:rFonts w:cs="Arial"/>
                <w:b/>
                <w:bCs/>
                <w:sz w:val="20"/>
              </w:rPr>
            </w:pPr>
          </w:p>
        </w:tc>
        <w:tc>
          <w:tcPr>
            <w:tcW w:w="3225" w:type="dxa"/>
            <w:tcBorders>
              <w:top w:val="single" w:sz="12" w:space="0" w:color="auto"/>
            </w:tcBorders>
          </w:tcPr>
          <w:p w:rsidR="00BD7E9D" w:rsidRPr="002F649B" w:rsidRDefault="00BD7E9D" w:rsidP="00D0241B">
            <w:pPr>
              <w:spacing w:before="0"/>
              <w:rPr>
                <w:b/>
                <w:bCs/>
                <w:sz w:val="20"/>
              </w:rPr>
            </w:pPr>
          </w:p>
        </w:tc>
      </w:tr>
      <w:tr w:rsidR="00BD7E9D" w:rsidRPr="00002716" w:rsidTr="00D0241B">
        <w:trPr>
          <w:cantSplit/>
        </w:trPr>
        <w:tc>
          <w:tcPr>
            <w:tcW w:w="6663" w:type="dxa"/>
            <w:gridSpan w:val="2"/>
            <w:vMerge w:val="restart"/>
          </w:tcPr>
          <w:p w:rsidR="00BD7E9D" w:rsidRPr="002E6963" w:rsidRDefault="00BD7E9D" w:rsidP="00D0241B">
            <w:pPr>
              <w:pStyle w:val="Committee"/>
              <w:rPr>
                <w:b w:val="0"/>
              </w:rPr>
            </w:pPr>
          </w:p>
        </w:tc>
        <w:tc>
          <w:tcPr>
            <w:tcW w:w="3225" w:type="dxa"/>
          </w:tcPr>
          <w:p w:rsidR="00BD7E9D" w:rsidRPr="002F649B" w:rsidRDefault="00BD7E9D" w:rsidP="00186C48">
            <w:pPr>
              <w:spacing w:before="0"/>
              <w:jc w:val="both"/>
              <w:rPr>
                <w:bCs/>
                <w:lang w:val="en-US"/>
              </w:rPr>
            </w:pPr>
            <w:r w:rsidRPr="002F649B">
              <w:rPr>
                <w:b/>
                <w:bCs/>
                <w:lang w:val="en-US"/>
              </w:rPr>
              <w:t xml:space="preserve">Document </w:t>
            </w:r>
            <w:bookmarkStart w:id="0" w:name="DocRef1"/>
            <w:bookmarkEnd w:id="0"/>
            <w:r w:rsidRPr="002F649B">
              <w:rPr>
                <w:b/>
                <w:bCs/>
                <w:lang w:val="en-US"/>
              </w:rPr>
              <w:t>TDAG17/</w:t>
            </w:r>
            <w:bookmarkStart w:id="1" w:name="DocNo1"/>
            <w:bookmarkEnd w:id="1"/>
            <w:r w:rsidR="004449EA">
              <w:rPr>
                <w:b/>
                <w:bCs/>
                <w:lang w:val="en-US"/>
              </w:rPr>
              <w:t>33</w:t>
            </w:r>
            <w:r w:rsidRPr="002F649B">
              <w:rPr>
                <w:b/>
                <w:bCs/>
                <w:lang w:val="en-US"/>
              </w:rPr>
              <w:t>-E</w:t>
            </w:r>
          </w:p>
        </w:tc>
      </w:tr>
      <w:tr w:rsidR="00BD7E9D" w:rsidTr="00D0241B">
        <w:trPr>
          <w:cantSplit/>
        </w:trPr>
        <w:tc>
          <w:tcPr>
            <w:tcW w:w="6663" w:type="dxa"/>
            <w:gridSpan w:val="2"/>
            <w:vMerge/>
          </w:tcPr>
          <w:p w:rsidR="00BD7E9D" w:rsidRPr="00002716" w:rsidRDefault="00BD7E9D" w:rsidP="00D0241B">
            <w:pPr>
              <w:spacing w:after="120"/>
              <w:rPr>
                <w:b/>
                <w:bCs/>
                <w:smallCaps/>
                <w:lang w:val="en-US"/>
              </w:rPr>
            </w:pPr>
          </w:p>
        </w:tc>
        <w:tc>
          <w:tcPr>
            <w:tcW w:w="3225" w:type="dxa"/>
          </w:tcPr>
          <w:p w:rsidR="00BD7E9D" w:rsidRPr="002F649B" w:rsidRDefault="002F649B" w:rsidP="00D0241B">
            <w:pPr>
              <w:spacing w:before="0"/>
              <w:rPr>
                <w:b/>
              </w:rPr>
            </w:pPr>
            <w:bookmarkStart w:id="2" w:name="CreationDate"/>
            <w:bookmarkEnd w:id="2"/>
            <w:r w:rsidRPr="002F649B">
              <w:rPr>
                <w:b/>
              </w:rPr>
              <w:t>March 16 2017</w:t>
            </w:r>
          </w:p>
        </w:tc>
      </w:tr>
      <w:tr w:rsidR="00BD7E9D" w:rsidTr="00D0241B">
        <w:trPr>
          <w:cantSplit/>
        </w:trPr>
        <w:tc>
          <w:tcPr>
            <w:tcW w:w="6663" w:type="dxa"/>
            <w:gridSpan w:val="2"/>
            <w:vMerge/>
          </w:tcPr>
          <w:p w:rsidR="00BD7E9D" w:rsidRDefault="00BD7E9D" w:rsidP="00D0241B">
            <w:pPr>
              <w:spacing w:after="120"/>
              <w:rPr>
                <w:b/>
                <w:bCs/>
                <w:smallCaps/>
              </w:rPr>
            </w:pPr>
          </w:p>
        </w:tc>
        <w:tc>
          <w:tcPr>
            <w:tcW w:w="3225" w:type="dxa"/>
          </w:tcPr>
          <w:p w:rsidR="00BD7E9D" w:rsidRPr="002F649B" w:rsidRDefault="00BD7E9D" w:rsidP="00D0241B">
            <w:pPr>
              <w:spacing w:before="0" w:after="240"/>
            </w:pPr>
            <w:r w:rsidRPr="002F649B">
              <w:rPr>
                <w:b/>
              </w:rPr>
              <w:t xml:space="preserve">Original: </w:t>
            </w:r>
            <w:bookmarkStart w:id="3" w:name="Original"/>
            <w:bookmarkEnd w:id="3"/>
            <w:r w:rsidR="002F649B" w:rsidRPr="002F649B">
              <w:rPr>
                <w:b/>
              </w:rPr>
              <w:t>English</w:t>
            </w:r>
          </w:p>
        </w:tc>
      </w:tr>
      <w:tr w:rsidR="00BD7E9D" w:rsidTr="00D0241B">
        <w:trPr>
          <w:cantSplit/>
          <w:trHeight w:val="852"/>
        </w:trPr>
        <w:tc>
          <w:tcPr>
            <w:tcW w:w="9888" w:type="dxa"/>
            <w:gridSpan w:val="3"/>
          </w:tcPr>
          <w:p w:rsidR="00BD7E9D" w:rsidRPr="003604FB" w:rsidRDefault="00BD7E9D" w:rsidP="000530F2">
            <w:pPr>
              <w:pStyle w:val="Source"/>
              <w:spacing w:before="240" w:after="120"/>
              <w:jc w:val="center"/>
              <w:rPr>
                <w:sz w:val="28"/>
                <w:szCs w:val="28"/>
              </w:rPr>
            </w:pPr>
            <w:bookmarkStart w:id="4" w:name="Source"/>
            <w:bookmarkEnd w:id="4"/>
            <w:r>
              <w:rPr>
                <w:sz w:val="28"/>
                <w:szCs w:val="28"/>
              </w:rPr>
              <w:t>Director</w:t>
            </w:r>
            <w:r w:rsidR="000530F2">
              <w:rPr>
                <w:sz w:val="28"/>
                <w:szCs w:val="28"/>
              </w:rPr>
              <w:t>, Telecommunication</w:t>
            </w:r>
            <w:r>
              <w:rPr>
                <w:sz w:val="28"/>
                <w:szCs w:val="28"/>
              </w:rPr>
              <w:t xml:space="preserve"> D</w:t>
            </w:r>
            <w:r w:rsidR="000530F2">
              <w:rPr>
                <w:sz w:val="28"/>
                <w:szCs w:val="28"/>
              </w:rPr>
              <w:t>evelopment Bureau</w:t>
            </w:r>
          </w:p>
        </w:tc>
      </w:tr>
      <w:tr w:rsidR="00BD7E9D" w:rsidRPr="002E6963" w:rsidTr="00D0241B">
        <w:trPr>
          <w:cantSplit/>
        </w:trPr>
        <w:tc>
          <w:tcPr>
            <w:tcW w:w="9888" w:type="dxa"/>
            <w:gridSpan w:val="3"/>
          </w:tcPr>
          <w:p w:rsidR="00BD7E9D" w:rsidRPr="00A675C9" w:rsidRDefault="00A675C9" w:rsidP="00A675C9">
            <w:pPr>
              <w:pStyle w:val="Title1"/>
              <w:spacing w:after="240"/>
              <w:jc w:val="center"/>
              <w:rPr>
                <w:b w:val="0"/>
                <w:sz w:val="28"/>
                <w:szCs w:val="28"/>
              </w:rPr>
            </w:pPr>
            <w:bookmarkStart w:id="5" w:name="Title"/>
            <w:bookmarkEnd w:id="5"/>
            <w:r w:rsidRPr="00A675C9">
              <w:rPr>
                <w:b w:val="0"/>
                <w:sz w:val="28"/>
                <w:szCs w:val="28"/>
              </w:rPr>
              <w:t>ENHANCING PRIVATE SECTOR ENGAGEMENT IN THE ITU-D</w:t>
            </w:r>
          </w:p>
        </w:tc>
      </w:tr>
    </w:tbl>
    <w:p w:rsidR="00BD7E9D" w:rsidRPr="00BD7E9D" w:rsidRDefault="00BD7E9D" w:rsidP="00A675C9">
      <w:pPr>
        <w:pStyle w:val="Normalaftertitle"/>
        <w:pBdr>
          <w:top w:val="single" w:sz="4" w:space="1" w:color="auto"/>
          <w:left w:val="single" w:sz="4" w:space="4" w:color="auto"/>
          <w:bottom w:val="single" w:sz="4" w:space="1" w:color="auto"/>
          <w:right w:val="single" w:sz="4" w:space="4" w:color="auto"/>
        </w:pBdr>
        <w:spacing w:before="0" w:afterLines="120" w:after="288"/>
        <w:ind w:left="142"/>
        <w:rPr>
          <w:rFonts w:ascii="Calibri" w:hAnsi="Calibri"/>
          <w:color w:val="000000" w:themeColor="text1"/>
          <w:szCs w:val="24"/>
          <w:lang w:val="en-US"/>
        </w:rPr>
      </w:pPr>
      <w:r>
        <w:rPr>
          <w:b/>
          <w:bCs/>
        </w:rPr>
        <w:t>Summary</w:t>
      </w:r>
      <w:r w:rsidRPr="005E090D">
        <w:rPr>
          <w:b/>
          <w:bCs/>
        </w:rPr>
        <w:t xml:space="preserve">: </w:t>
      </w:r>
      <w:r w:rsidRPr="0062424D">
        <w:rPr>
          <w:rFonts w:ascii="Calibri" w:hAnsi="Calibri"/>
          <w:szCs w:val="24"/>
          <w:lang w:val="en-US"/>
        </w:rPr>
        <w:t xml:space="preserve">The importance of the private sector engagement in the work of ITU-D has been highlighted by WTDC-14. This document presents an overview of strategies and actions being undertaken to </w:t>
      </w:r>
      <w:r w:rsidRPr="00A675C9">
        <w:rPr>
          <w:rFonts w:ascii="Calibri" w:hAnsi="Calibri"/>
          <w:szCs w:val="24"/>
          <w:lang w:val="en-US"/>
        </w:rPr>
        <w:t>promote private sector</w:t>
      </w:r>
      <w:r w:rsidR="000E035A" w:rsidRPr="00A675C9">
        <w:rPr>
          <w:rFonts w:ascii="Calibri" w:hAnsi="Calibri"/>
          <w:szCs w:val="24"/>
          <w:lang w:val="en-US"/>
        </w:rPr>
        <w:t xml:space="preserve"> engagement in the </w:t>
      </w:r>
      <w:r w:rsidRPr="00A675C9">
        <w:rPr>
          <w:rFonts w:ascii="Calibri" w:hAnsi="Calibri"/>
          <w:szCs w:val="24"/>
          <w:lang w:val="en-US"/>
        </w:rPr>
        <w:t>ITU-D.</w:t>
      </w:r>
    </w:p>
    <w:p w:rsidR="00BD7E9D" w:rsidRPr="0062424D" w:rsidRDefault="00BD7E9D" w:rsidP="00C525EC">
      <w:pPr>
        <w:pStyle w:val="Normalaftertitle"/>
        <w:pBdr>
          <w:top w:val="single" w:sz="4" w:space="1" w:color="auto"/>
          <w:left w:val="single" w:sz="4" w:space="4" w:color="auto"/>
          <w:bottom w:val="single" w:sz="4" w:space="1" w:color="auto"/>
          <w:right w:val="single" w:sz="4" w:space="4" w:color="auto"/>
        </w:pBdr>
        <w:spacing w:before="0" w:afterLines="120" w:after="288"/>
        <w:ind w:left="142"/>
        <w:rPr>
          <w:rFonts w:ascii="Calibri" w:hAnsi="Calibri"/>
          <w:b/>
          <w:bCs/>
          <w:szCs w:val="24"/>
          <w:lang w:val="en-US"/>
        </w:rPr>
      </w:pPr>
      <w:bookmarkStart w:id="6" w:name="Abstract"/>
      <w:bookmarkEnd w:id="6"/>
      <w:r w:rsidRPr="005E090D">
        <w:rPr>
          <w:b/>
          <w:bCs/>
        </w:rPr>
        <w:t>Action required:</w:t>
      </w:r>
      <w:r w:rsidRPr="00BD7E9D">
        <w:rPr>
          <w:rFonts w:ascii="Calibri" w:hAnsi="Calibri"/>
          <w:szCs w:val="24"/>
          <w:lang w:val="en-US"/>
        </w:rPr>
        <w:t xml:space="preserve"> </w:t>
      </w:r>
      <w:r w:rsidRPr="004D35B3">
        <w:rPr>
          <w:rFonts w:ascii="Calibri" w:hAnsi="Calibri"/>
          <w:szCs w:val="24"/>
          <w:lang w:val="en-US"/>
        </w:rPr>
        <w:t xml:space="preserve">TDAG is invited to note the </w:t>
      </w:r>
      <w:r w:rsidR="00C525EC">
        <w:rPr>
          <w:rFonts w:ascii="Calibri" w:hAnsi="Calibri"/>
          <w:szCs w:val="24"/>
          <w:lang w:val="en-US"/>
        </w:rPr>
        <w:t>d</w:t>
      </w:r>
      <w:bookmarkStart w:id="7" w:name="_GoBack"/>
      <w:bookmarkEnd w:id="7"/>
      <w:r w:rsidR="00C525EC">
        <w:rPr>
          <w:rFonts w:ascii="Calibri" w:hAnsi="Calibri"/>
          <w:szCs w:val="24"/>
          <w:lang w:val="en-US"/>
        </w:rPr>
        <w:t>ocument</w:t>
      </w:r>
      <w:r w:rsidRPr="004D35B3">
        <w:rPr>
          <w:rFonts w:ascii="Calibri" w:hAnsi="Calibri"/>
          <w:szCs w:val="24"/>
          <w:lang w:val="en-US"/>
        </w:rPr>
        <w:t xml:space="preserve"> and to </w:t>
      </w:r>
      <w:r w:rsidRPr="004D35B3">
        <w:rPr>
          <w:rFonts w:ascii="Calibri" w:hAnsi="Calibri"/>
          <w:szCs w:val="24"/>
          <w:lang w:val="en-US" w:eastAsia="pl-PL"/>
        </w:rPr>
        <w:t>provide guidance as deemed appropriate.</w:t>
      </w:r>
    </w:p>
    <w:p w:rsidR="00BD7E9D" w:rsidRPr="0062424D" w:rsidRDefault="00BD7E9D" w:rsidP="00A675C9">
      <w:pPr>
        <w:pBdr>
          <w:top w:val="single" w:sz="4" w:space="1" w:color="auto"/>
          <w:left w:val="single" w:sz="4" w:space="4" w:color="auto"/>
          <w:bottom w:val="single" w:sz="4" w:space="1" w:color="auto"/>
          <w:right w:val="single" w:sz="4" w:space="4" w:color="auto"/>
        </w:pBdr>
        <w:spacing w:afterLines="120" w:after="288"/>
        <w:ind w:left="142"/>
        <w:rPr>
          <w:rFonts w:ascii="Calibri" w:hAnsi="Calibri"/>
          <w:szCs w:val="24"/>
          <w:lang w:val="en-US"/>
        </w:rPr>
      </w:pPr>
      <w:bookmarkStart w:id="8" w:name="ActionRequired"/>
      <w:bookmarkEnd w:id="8"/>
      <w:r w:rsidRPr="005E090D">
        <w:rPr>
          <w:b/>
          <w:bCs/>
        </w:rPr>
        <w:t>References:</w:t>
      </w:r>
      <w:r w:rsidRPr="00BD7E9D">
        <w:rPr>
          <w:rFonts w:ascii="Calibri" w:hAnsi="Calibri"/>
          <w:szCs w:val="24"/>
          <w:lang w:val="en-US"/>
        </w:rPr>
        <w:t xml:space="preserve"> </w:t>
      </w:r>
      <w:r w:rsidRPr="0062424D">
        <w:rPr>
          <w:rFonts w:ascii="Calibri" w:hAnsi="Calibri"/>
          <w:szCs w:val="24"/>
          <w:lang w:val="en-US"/>
        </w:rPr>
        <w:t>PP Resolution</w:t>
      </w:r>
      <w:r>
        <w:rPr>
          <w:rFonts w:ascii="Calibri" w:hAnsi="Calibri"/>
          <w:szCs w:val="24"/>
          <w:lang w:val="en-US"/>
        </w:rPr>
        <w:t>s</w:t>
      </w:r>
      <w:r w:rsidRPr="0062424D">
        <w:rPr>
          <w:rFonts w:ascii="Calibri" w:hAnsi="Calibri"/>
          <w:szCs w:val="24"/>
          <w:lang w:val="en-US"/>
        </w:rPr>
        <w:t xml:space="preserve"> 136 (</w:t>
      </w:r>
      <w:r>
        <w:rPr>
          <w:rFonts w:ascii="Calibri" w:hAnsi="Calibri"/>
          <w:szCs w:val="24"/>
          <w:lang w:val="en-US"/>
        </w:rPr>
        <w:t xml:space="preserve">Rev. </w:t>
      </w:r>
      <w:r w:rsidRPr="0062424D">
        <w:rPr>
          <w:rFonts w:ascii="Calibri" w:hAnsi="Calibri"/>
          <w:szCs w:val="24"/>
          <w:lang w:val="en-US"/>
        </w:rPr>
        <w:t>Busan, 2014) and 157 (</w:t>
      </w:r>
      <w:r>
        <w:rPr>
          <w:rFonts w:ascii="Calibri" w:hAnsi="Calibri"/>
          <w:szCs w:val="24"/>
          <w:lang w:val="en-US"/>
        </w:rPr>
        <w:t xml:space="preserve">Rev. </w:t>
      </w:r>
      <w:r w:rsidRPr="0062424D">
        <w:rPr>
          <w:rFonts w:ascii="Calibri" w:hAnsi="Calibri"/>
          <w:szCs w:val="24"/>
          <w:lang w:val="en-US"/>
        </w:rPr>
        <w:t>Busan, 2014); and WTDC Outputs 2.1 and 2.3 (Dubai, 2014), Resolution</w:t>
      </w:r>
      <w:r>
        <w:rPr>
          <w:rFonts w:ascii="Calibri" w:hAnsi="Calibri"/>
          <w:szCs w:val="24"/>
          <w:lang w:val="en-US"/>
        </w:rPr>
        <w:t>s</w:t>
      </w:r>
      <w:r w:rsidRPr="0062424D">
        <w:rPr>
          <w:rFonts w:ascii="Calibri" w:hAnsi="Calibri"/>
          <w:szCs w:val="24"/>
          <w:lang w:val="en-US"/>
        </w:rPr>
        <w:t xml:space="preserve"> 30 (Rev. Dubai, 2014), 32 (Rev. Dubai, 2014), 34 (Rev. Dubai, 2014), 52 (Rev. Dubai, 2014), </w:t>
      </w:r>
      <w:r>
        <w:rPr>
          <w:rFonts w:ascii="Calibri" w:hAnsi="Calibri"/>
          <w:szCs w:val="24"/>
          <w:lang w:val="en-US"/>
        </w:rPr>
        <w:t xml:space="preserve">and </w:t>
      </w:r>
      <w:r w:rsidRPr="0062424D">
        <w:rPr>
          <w:rFonts w:ascii="Calibri" w:hAnsi="Calibri"/>
          <w:szCs w:val="24"/>
          <w:lang w:val="en-US"/>
        </w:rPr>
        <w:t>71 (Rev. Dubai, 2014).</w:t>
      </w:r>
    </w:p>
    <w:p w:rsidR="00A675C9" w:rsidRDefault="00A675C9">
      <w:pPr>
        <w:tabs>
          <w:tab w:val="clear" w:pos="794"/>
          <w:tab w:val="clear" w:pos="1191"/>
          <w:tab w:val="clear" w:pos="1588"/>
          <w:tab w:val="clear" w:pos="1985"/>
        </w:tabs>
        <w:overflowPunct/>
        <w:autoSpaceDE/>
        <w:autoSpaceDN/>
        <w:adjustRightInd/>
        <w:spacing w:before="0" w:after="160" w:line="259" w:lineRule="auto"/>
        <w:textAlignment w:val="auto"/>
      </w:pPr>
      <w:bookmarkStart w:id="9" w:name="References"/>
      <w:bookmarkStart w:id="10" w:name="Proposal"/>
      <w:bookmarkEnd w:id="9"/>
      <w:bookmarkEnd w:id="10"/>
      <w:r>
        <w:br w:type="page"/>
      </w:r>
    </w:p>
    <w:p w:rsidR="00EE4CFF" w:rsidRPr="0062424D" w:rsidRDefault="00EE4CFF" w:rsidP="00EE4CFF">
      <w:pPr>
        <w:pStyle w:val="ListParagraph"/>
        <w:keepNext/>
        <w:numPr>
          <w:ilvl w:val="0"/>
          <w:numId w:val="1"/>
        </w:numPr>
        <w:tabs>
          <w:tab w:val="left" w:pos="567"/>
        </w:tabs>
        <w:overflowPunct w:val="0"/>
        <w:autoSpaceDE w:val="0"/>
        <w:autoSpaceDN w:val="0"/>
        <w:adjustRightInd w:val="0"/>
        <w:spacing w:after="0"/>
        <w:ind w:left="0" w:firstLine="0"/>
        <w:contextualSpacing w:val="0"/>
        <w:jc w:val="both"/>
        <w:textAlignment w:val="baseline"/>
        <w:rPr>
          <w:rFonts w:ascii="Calibri" w:hAnsi="Calibri"/>
          <w:b/>
          <w:color w:val="000000" w:themeColor="text1"/>
          <w:sz w:val="24"/>
          <w:szCs w:val="24"/>
        </w:rPr>
      </w:pPr>
      <w:r w:rsidRPr="0062424D">
        <w:rPr>
          <w:rFonts w:ascii="Calibri" w:hAnsi="Calibri"/>
          <w:b/>
          <w:color w:val="000000" w:themeColor="text1"/>
          <w:sz w:val="24"/>
          <w:szCs w:val="24"/>
        </w:rPr>
        <w:lastRenderedPageBreak/>
        <w:t xml:space="preserve">Background </w:t>
      </w:r>
    </w:p>
    <w:p w:rsidR="00EE4CFF" w:rsidRPr="0062424D" w:rsidRDefault="00EE4CFF" w:rsidP="00EE4CFF">
      <w:pPr>
        <w:jc w:val="both"/>
        <w:rPr>
          <w:rFonts w:ascii="Calibri" w:hAnsi="Calibri"/>
          <w:szCs w:val="24"/>
          <w:lang w:val="en-US"/>
        </w:rPr>
      </w:pPr>
      <w:r w:rsidRPr="0062424D">
        <w:rPr>
          <w:rFonts w:ascii="Calibri" w:hAnsi="Calibri"/>
          <w:color w:val="000000" w:themeColor="text1"/>
          <w:szCs w:val="24"/>
          <w:lang w:val="en-US"/>
        </w:rPr>
        <w:t>The Plenipotentiary Conference (PP-14) adopted Res</w:t>
      </w:r>
      <w:r>
        <w:rPr>
          <w:rFonts w:ascii="Calibri" w:hAnsi="Calibri"/>
          <w:color w:val="000000" w:themeColor="text1"/>
          <w:szCs w:val="24"/>
          <w:lang w:val="en-US"/>
        </w:rPr>
        <w:t>olution</w:t>
      </w:r>
      <w:r w:rsidRPr="0062424D">
        <w:rPr>
          <w:rFonts w:ascii="Calibri" w:hAnsi="Calibri"/>
          <w:color w:val="000000" w:themeColor="text1"/>
          <w:szCs w:val="24"/>
          <w:lang w:val="en-US"/>
        </w:rPr>
        <w:t xml:space="preserve"> 200 (Busan</w:t>
      </w:r>
      <w:r>
        <w:rPr>
          <w:rFonts w:ascii="Calibri" w:hAnsi="Calibri"/>
          <w:color w:val="000000" w:themeColor="text1"/>
          <w:szCs w:val="24"/>
          <w:lang w:val="en-US"/>
        </w:rPr>
        <w:t>,</w:t>
      </w:r>
      <w:r w:rsidRPr="0062424D">
        <w:rPr>
          <w:rFonts w:ascii="Calibri" w:hAnsi="Calibri"/>
          <w:color w:val="000000" w:themeColor="text1"/>
          <w:szCs w:val="24"/>
          <w:lang w:val="en-US"/>
        </w:rPr>
        <w:t xml:space="preserve"> 2014) on The Connect 2020 Agenda for</w:t>
      </w:r>
      <w:r w:rsidRPr="0062424D">
        <w:rPr>
          <w:rFonts w:ascii="Calibri" w:hAnsi="Calibri"/>
          <w:i/>
          <w:iCs/>
          <w:color w:val="000000" w:themeColor="text1"/>
          <w:szCs w:val="24"/>
          <w:lang w:val="en-US"/>
        </w:rPr>
        <w:t xml:space="preserve"> Global Telecommunication/ICT Development</w:t>
      </w:r>
      <w:r w:rsidRPr="0062424D">
        <w:rPr>
          <w:rFonts w:ascii="Calibri" w:hAnsi="Calibri"/>
          <w:color w:val="000000" w:themeColor="text1"/>
          <w:szCs w:val="24"/>
          <w:lang w:val="en-US"/>
        </w:rPr>
        <w:t xml:space="preserve"> and ITU’s Goal 4 on </w:t>
      </w:r>
      <w:r w:rsidRPr="0062424D">
        <w:rPr>
          <w:rFonts w:ascii="Calibri" w:hAnsi="Calibri"/>
          <w:i/>
          <w:iCs/>
          <w:color w:val="000000" w:themeColor="text1"/>
          <w:szCs w:val="24"/>
          <w:lang w:val="en-US"/>
        </w:rPr>
        <w:t>Innovation and Partnership</w:t>
      </w:r>
      <w:r w:rsidRPr="0062424D">
        <w:rPr>
          <w:rFonts w:ascii="Calibri" w:hAnsi="Calibri"/>
          <w:color w:val="000000" w:themeColor="text1"/>
          <w:szCs w:val="24"/>
          <w:lang w:val="en-US"/>
        </w:rPr>
        <w:t xml:space="preserve">, which highlight the importance of </w:t>
      </w:r>
      <w:r w:rsidRPr="0062424D">
        <w:rPr>
          <w:rFonts w:ascii="Calibri" w:hAnsi="Calibri"/>
          <w:szCs w:val="24"/>
          <w:lang w:val="en-US"/>
        </w:rPr>
        <w:t>innovative multi-stakeholder engagements, expanded public-private partnerships, and bilateral and multilateral cooperation.</w:t>
      </w:r>
    </w:p>
    <w:p w:rsidR="00EE4CFF" w:rsidRDefault="00EE4CFF" w:rsidP="00EE4CFF">
      <w:pPr>
        <w:jc w:val="both"/>
        <w:rPr>
          <w:rFonts w:ascii="Calibri" w:hAnsi="Calibri"/>
          <w:szCs w:val="24"/>
          <w:lang w:val="en-US"/>
        </w:rPr>
      </w:pPr>
      <w:r w:rsidRPr="0062424D">
        <w:rPr>
          <w:rFonts w:ascii="Calibri" w:hAnsi="Calibri"/>
          <w:color w:val="000000" w:themeColor="text1"/>
          <w:szCs w:val="24"/>
          <w:lang w:val="en-US"/>
        </w:rPr>
        <w:t>T</w:t>
      </w:r>
      <w:r w:rsidRPr="0062424D">
        <w:rPr>
          <w:rFonts w:ascii="Calibri" w:hAnsi="Calibri"/>
          <w:szCs w:val="24"/>
          <w:lang w:val="en-US"/>
        </w:rPr>
        <w:t>he World Telecommunication Development Conference</w:t>
      </w:r>
      <w:r>
        <w:rPr>
          <w:rFonts w:ascii="Calibri" w:hAnsi="Calibri"/>
          <w:szCs w:val="24"/>
          <w:lang w:val="en-US"/>
        </w:rPr>
        <w:t xml:space="preserve"> in 2014</w:t>
      </w:r>
      <w:r w:rsidRPr="0062424D">
        <w:rPr>
          <w:rFonts w:ascii="Calibri" w:hAnsi="Calibri"/>
          <w:szCs w:val="24"/>
          <w:lang w:val="en-US"/>
        </w:rPr>
        <w:t xml:space="preserve"> (WTDC-14) also recognized the importance of collaboration with the private sector as critical for the success of the ITU-D mission as reflected in Outputs and Resolutions adopted during the Conference. </w:t>
      </w:r>
    </w:p>
    <w:p w:rsidR="007E741D" w:rsidRDefault="007E741D" w:rsidP="00A675C9">
      <w:pPr>
        <w:spacing w:after="120"/>
        <w:jc w:val="both"/>
        <w:rPr>
          <w:rFonts w:ascii="Calibri" w:hAnsi="Calibri"/>
          <w:szCs w:val="24"/>
          <w:lang w:val="en-US"/>
        </w:rPr>
      </w:pPr>
      <w:r w:rsidRPr="0062424D">
        <w:rPr>
          <w:rFonts w:ascii="Calibri" w:hAnsi="Calibri"/>
          <w:szCs w:val="24"/>
          <w:lang w:val="en-US"/>
        </w:rPr>
        <w:t>Amongst the 17 Sustainable Development Goals (SDGs) of the post-2015 development</w:t>
      </w:r>
      <w:r>
        <w:rPr>
          <w:rFonts w:ascii="Calibri" w:hAnsi="Calibri"/>
          <w:szCs w:val="24"/>
          <w:lang w:val="en-US"/>
        </w:rPr>
        <w:t xml:space="preserve"> agenda, Goal </w:t>
      </w:r>
      <w:r w:rsidRPr="0062424D">
        <w:rPr>
          <w:rFonts w:ascii="Calibri" w:hAnsi="Calibri"/>
          <w:szCs w:val="24"/>
          <w:lang w:val="en-US"/>
        </w:rPr>
        <w:t xml:space="preserve">17 outlines the need to “Strengthen the means of implementation and revitalize the global partnership for sustainable development” </w:t>
      </w:r>
      <w:r>
        <w:rPr>
          <w:rFonts w:ascii="Calibri" w:hAnsi="Calibri"/>
          <w:szCs w:val="24"/>
          <w:lang w:val="en-US"/>
        </w:rPr>
        <w:t>to</w:t>
      </w:r>
      <w:r w:rsidRPr="0062424D">
        <w:rPr>
          <w:rFonts w:ascii="Calibri" w:hAnsi="Calibri"/>
          <w:szCs w:val="24"/>
          <w:lang w:val="en-US"/>
        </w:rPr>
        <w:t xml:space="preserve"> e</w:t>
      </w:r>
      <w:r w:rsidRPr="0062424D">
        <w:rPr>
          <w:rFonts w:ascii="Calibri" w:hAnsi="Calibri"/>
          <w:color w:val="000000" w:themeColor="text1"/>
          <w:szCs w:val="24"/>
          <w:lang w:val="en-US"/>
        </w:rPr>
        <w:t>ncourag</w:t>
      </w:r>
      <w:r>
        <w:rPr>
          <w:rFonts w:ascii="Calibri" w:hAnsi="Calibri"/>
          <w:color w:val="000000" w:themeColor="text1"/>
          <w:szCs w:val="24"/>
          <w:lang w:val="en-US"/>
        </w:rPr>
        <w:t>e</w:t>
      </w:r>
      <w:r w:rsidRPr="0062424D">
        <w:rPr>
          <w:rFonts w:ascii="Calibri" w:hAnsi="Calibri"/>
          <w:color w:val="000000" w:themeColor="text1"/>
          <w:szCs w:val="24"/>
          <w:lang w:val="en-US"/>
        </w:rPr>
        <w:t xml:space="preserve"> and promot</w:t>
      </w:r>
      <w:r>
        <w:rPr>
          <w:rFonts w:ascii="Calibri" w:hAnsi="Calibri"/>
          <w:color w:val="000000" w:themeColor="text1"/>
          <w:szCs w:val="24"/>
          <w:lang w:val="en-US"/>
        </w:rPr>
        <w:t>e</w:t>
      </w:r>
      <w:r w:rsidRPr="0062424D">
        <w:rPr>
          <w:rFonts w:ascii="Calibri" w:hAnsi="Calibri"/>
          <w:color w:val="000000" w:themeColor="text1"/>
          <w:szCs w:val="24"/>
          <w:lang w:val="en-US"/>
        </w:rPr>
        <w:t xml:space="preserve"> effective public, public-private and civil society partnerships, building on the experience and resourcing strategies of partnerships.</w:t>
      </w:r>
    </w:p>
    <w:p w:rsidR="00EE4CFF" w:rsidRPr="0062424D" w:rsidRDefault="00EE4CFF" w:rsidP="00EE4CFF">
      <w:pPr>
        <w:pStyle w:val="ListParagraph"/>
        <w:keepNext/>
        <w:numPr>
          <w:ilvl w:val="0"/>
          <w:numId w:val="1"/>
        </w:numPr>
        <w:tabs>
          <w:tab w:val="left" w:pos="567"/>
        </w:tabs>
        <w:overflowPunct w:val="0"/>
        <w:autoSpaceDE w:val="0"/>
        <w:autoSpaceDN w:val="0"/>
        <w:adjustRightInd w:val="0"/>
        <w:spacing w:after="0"/>
        <w:ind w:left="0" w:firstLine="0"/>
        <w:contextualSpacing w:val="0"/>
        <w:jc w:val="both"/>
        <w:textAlignment w:val="baseline"/>
        <w:rPr>
          <w:rFonts w:ascii="Calibri" w:hAnsi="Calibri"/>
          <w:b/>
          <w:color w:val="000000" w:themeColor="text1"/>
          <w:sz w:val="24"/>
          <w:szCs w:val="24"/>
        </w:rPr>
      </w:pPr>
      <w:r w:rsidRPr="0062424D">
        <w:rPr>
          <w:rFonts w:ascii="Calibri" w:hAnsi="Calibri"/>
          <w:b/>
          <w:color w:val="000000" w:themeColor="text1"/>
          <w:sz w:val="24"/>
          <w:szCs w:val="24"/>
        </w:rPr>
        <w:t>Strategic Objectives</w:t>
      </w:r>
    </w:p>
    <w:p w:rsidR="00EE4CFF" w:rsidRPr="0062424D" w:rsidRDefault="00EE4CFF" w:rsidP="007E741D">
      <w:pPr>
        <w:jc w:val="both"/>
        <w:rPr>
          <w:rFonts w:ascii="Calibri" w:hAnsi="Calibri"/>
          <w:szCs w:val="24"/>
          <w:lang w:val="en-US"/>
        </w:rPr>
      </w:pPr>
      <w:r w:rsidRPr="0062424D">
        <w:rPr>
          <w:rFonts w:ascii="Calibri" w:hAnsi="Calibri"/>
          <w:szCs w:val="24"/>
          <w:lang w:val="en-US"/>
        </w:rPr>
        <w:t xml:space="preserve">The following plans and actions are under implementation in order to continue to attract and </w:t>
      </w:r>
      <w:r w:rsidR="007E741D">
        <w:rPr>
          <w:rFonts w:ascii="Calibri" w:hAnsi="Calibri"/>
          <w:szCs w:val="24"/>
          <w:lang w:val="en-US"/>
        </w:rPr>
        <w:t>enhance engagement of</w:t>
      </w:r>
      <w:r w:rsidRPr="0062424D">
        <w:rPr>
          <w:rFonts w:ascii="Calibri" w:hAnsi="Calibri"/>
          <w:szCs w:val="24"/>
          <w:lang w:val="en-US"/>
        </w:rPr>
        <w:t xml:space="preserve"> private sector entities </w:t>
      </w:r>
      <w:r w:rsidR="00A23A26">
        <w:rPr>
          <w:rFonts w:ascii="Calibri" w:hAnsi="Calibri"/>
          <w:szCs w:val="24"/>
          <w:lang w:val="en-US"/>
        </w:rPr>
        <w:t xml:space="preserve">in a convergent ICT ecosystem </w:t>
      </w:r>
      <w:r w:rsidRPr="0062424D">
        <w:rPr>
          <w:rFonts w:ascii="Calibri" w:hAnsi="Calibri"/>
          <w:szCs w:val="24"/>
          <w:lang w:val="en-US"/>
        </w:rPr>
        <w:t xml:space="preserve">in line with ITU-D Strategic Objectives: </w:t>
      </w:r>
    </w:p>
    <w:p w:rsidR="00EE4CFF" w:rsidRPr="0062424D" w:rsidRDefault="00EE4CFF" w:rsidP="00DB0F65">
      <w:pPr>
        <w:pStyle w:val="ListParagraph"/>
        <w:numPr>
          <w:ilvl w:val="0"/>
          <w:numId w:val="2"/>
        </w:numPr>
        <w:spacing w:after="0"/>
        <w:contextualSpacing w:val="0"/>
        <w:jc w:val="both"/>
        <w:rPr>
          <w:rFonts w:ascii="Calibri" w:hAnsi="Calibri"/>
          <w:sz w:val="24"/>
          <w:szCs w:val="24"/>
        </w:rPr>
      </w:pPr>
      <w:r w:rsidRPr="0062424D">
        <w:rPr>
          <w:rFonts w:ascii="Calibri" w:hAnsi="Calibri"/>
          <w:b/>
          <w:bCs w:val="0"/>
          <w:sz w:val="24"/>
          <w:szCs w:val="24"/>
        </w:rPr>
        <w:t xml:space="preserve">Enhance engagement of ITU-D Private Sector: </w:t>
      </w:r>
      <w:r w:rsidR="00DB0F65">
        <w:rPr>
          <w:rFonts w:ascii="Calibri" w:hAnsi="Calibri"/>
          <w:sz w:val="24"/>
          <w:szCs w:val="24"/>
        </w:rPr>
        <w:t>Engagement with</w:t>
      </w:r>
      <w:r w:rsidRPr="0062424D">
        <w:rPr>
          <w:rFonts w:ascii="Calibri" w:hAnsi="Calibri"/>
          <w:sz w:val="24"/>
          <w:szCs w:val="24"/>
        </w:rPr>
        <w:t xml:space="preserve"> private sector members is to be strengthened for better understanding and addressing </w:t>
      </w:r>
      <w:r>
        <w:rPr>
          <w:rFonts w:ascii="Calibri" w:hAnsi="Calibri"/>
          <w:sz w:val="24"/>
          <w:szCs w:val="24"/>
        </w:rPr>
        <w:t xml:space="preserve">of </w:t>
      </w:r>
      <w:r w:rsidRPr="0062424D">
        <w:rPr>
          <w:rFonts w:ascii="Calibri" w:hAnsi="Calibri"/>
          <w:sz w:val="24"/>
          <w:szCs w:val="24"/>
        </w:rPr>
        <w:t xml:space="preserve">expectations, needs and areas of mutual benefits as well as for encouraging more active participation and contributions to </w:t>
      </w:r>
      <w:r>
        <w:rPr>
          <w:rFonts w:ascii="Calibri" w:hAnsi="Calibri"/>
          <w:sz w:val="24"/>
          <w:szCs w:val="24"/>
        </w:rPr>
        <w:br/>
      </w:r>
      <w:r w:rsidRPr="0062424D">
        <w:rPr>
          <w:rFonts w:ascii="Calibri" w:hAnsi="Calibri"/>
          <w:sz w:val="24"/>
          <w:szCs w:val="24"/>
        </w:rPr>
        <w:t>ITU-D activities, projects, ini</w:t>
      </w:r>
      <w:r w:rsidR="00A23A26">
        <w:rPr>
          <w:rFonts w:ascii="Calibri" w:hAnsi="Calibri"/>
          <w:sz w:val="24"/>
          <w:szCs w:val="24"/>
        </w:rPr>
        <w:t xml:space="preserve">tiatives, </w:t>
      </w:r>
      <w:proofErr w:type="spellStart"/>
      <w:r w:rsidR="00A23A26">
        <w:rPr>
          <w:rFonts w:ascii="Calibri" w:hAnsi="Calibri"/>
          <w:sz w:val="24"/>
          <w:szCs w:val="24"/>
        </w:rPr>
        <w:t>programmes</w:t>
      </w:r>
      <w:proofErr w:type="spellEnd"/>
      <w:r w:rsidR="00A23A26">
        <w:rPr>
          <w:rFonts w:ascii="Calibri" w:hAnsi="Calibri"/>
          <w:sz w:val="24"/>
          <w:szCs w:val="24"/>
        </w:rPr>
        <w:t xml:space="preserve"> and events and</w:t>
      </w:r>
      <w:r w:rsidR="00A23A26" w:rsidRPr="00A23A26">
        <w:rPr>
          <w:rFonts w:ascii="Calibri" w:hAnsi="Calibri"/>
          <w:sz w:val="24"/>
          <w:szCs w:val="24"/>
        </w:rPr>
        <w:t xml:space="preserve"> </w:t>
      </w:r>
      <w:r w:rsidR="00A23A26" w:rsidRPr="0062424D">
        <w:rPr>
          <w:rFonts w:ascii="Calibri" w:hAnsi="Calibri"/>
          <w:sz w:val="24"/>
          <w:szCs w:val="24"/>
        </w:rPr>
        <w:t>attract new ITU-D Sector Members</w:t>
      </w:r>
      <w:r w:rsidR="00A23A26">
        <w:rPr>
          <w:rFonts w:ascii="Calibri" w:hAnsi="Calibri"/>
          <w:sz w:val="24"/>
          <w:szCs w:val="24"/>
        </w:rPr>
        <w:t>.</w:t>
      </w:r>
    </w:p>
    <w:p w:rsidR="00EE4CFF" w:rsidRPr="0062424D" w:rsidRDefault="00EE4CFF" w:rsidP="00A23A26">
      <w:pPr>
        <w:pStyle w:val="ListParagraph"/>
        <w:numPr>
          <w:ilvl w:val="0"/>
          <w:numId w:val="2"/>
        </w:numPr>
        <w:spacing w:before="0" w:after="0"/>
        <w:ind w:left="357" w:hanging="357"/>
        <w:contextualSpacing w:val="0"/>
        <w:jc w:val="both"/>
        <w:rPr>
          <w:rFonts w:ascii="Calibri" w:hAnsi="Calibri"/>
          <w:sz w:val="24"/>
          <w:szCs w:val="24"/>
        </w:rPr>
      </w:pPr>
      <w:r w:rsidRPr="0062424D">
        <w:rPr>
          <w:rFonts w:ascii="Calibri" w:hAnsi="Calibri"/>
          <w:b/>
          <w:bCs w:val="0"/>
          <w:sz w:val="24"/>
          <w:szCs w:val="24"/>
        </w:rPr>
        <w:t>Develop innovative partnership and networking opportunities in converged ICT ecosystem:</w:t>
      </w:r>
      <w:r w:rsidRPr="0062424D">
        <w:rPr>
          <w:rFonts w:ascii="Calibri" w:hAnsi="Calibri"/>
          <w:sz w:val="24"/>
          <w:szCs w:val="24"/>
        </w:rPr>
        <w:t xml:space="preserve"> Innovative and customized initiatives and projects are to be developed and implemented, taking into account the increasing diverse nature of ITU-D Sector membership, especially private entities beyond the traditional ICT players. </w:t>
      </w:r>
    </w:p>
    <w:p w:rsidR="00EE4CFF" w:rsidRPr="0062424D" w:rsidRDefault="00EE4CFF" w:rsidP="00EE4CFF">
      <w:pPr>
        <w:pStyle w:val="ListParagraph"/>
        <w:keepNext/>
        <w:numPr>
          <w:ilvl w:val="0"/>
          <w:numId w:val="1"/>
        </w:numPr>
        <w:tabs>
          <w:tab w:val="left" w:pos="567"/>
        </w:tabs>
        <w:overflowPunct w:val="0"/>
        <w:autoSpaceDE w:val="0"/>
        <w:autoSpaceDN w:val="0"/>
        <w:adjustRightInd w:val="0"/>
        <w:spacing w:after="0"/>
        <w:ind w:left="0" w:firstLine="0"/>
        <w:contextualSpacing w:val="0"/>
        <w:jc w:val="both"/>
        <w:textAlignment w:val="baseline"/>
        <w:rPr>
          <w:rFonts w:ascii="Calibri" w:hAnsi="Calibri"/>
          <w:b/>
          <w:color w:val="000000" w:themeColor="text1"/>
          <w:sz w:val="24"/>
          <w:szCs w:val="24"/>
        </w:rPr>
      </w:pPr>
      <w:r w:rsidRPr="0062424D">
        <w:rPr>
          <w:rFonts w:ascii="Calibri" w:hAnsi="Calibri"/>
          <w:b/>
          <w:color w:val="000000" w:themeColor="text1"/>
          <w:sz w:val="24"/>
          <w:szCs w:val="24"/>
        </w:rPr>
        <w:t>Key Actions</w:t>
      </w:r>
    </w:p>
    <w:p w:rsidR="00EE4CFF" w:rsidRPr="0062424D" w:rsidRDefault="00EE4CFF" w:rsidP="00EE4CFF">
      <w:pPr>
        <w:keepNext/>
        <w:tabs>
          <w:tab w:val="clear" w:pos="794"/>
          <w:tab w:val="left" w:pos="567"/>
        </w:tabs>
        <w:jc w:val="both"/>
        <w:rPr>
          <w:rFonts w:ascii="Calibri" w:hAnsi="Calibri"/>
          <w:b/>
          <w:bCs/>
          <w:szCs w:val="24"/>
          <w:lang w:val="en-US"/>
        </w:rPr>
      </w:pPr>
      <w:r w:rsidRPr="0062424D">
        <w:rPr>
          <w:rFonts w:ascii="Calibri" w:hAnsi="Calibri"/>
          <w:b/>
          <w:bCs/>
          <w:szCs w:val="24"/>
          <w:lang w:val="en-US"/>
        </w:rPr>
        <w:t>3.1</w:t>
      </w:r>
      <w:r>
        <w:rPr>
          <w:rFonts w:ascii="Calibri" w:hAnsi="Calibri"/>
          <w:b/>
          <w:bCs/>
          <w:szCs w:val="24"/>
          <w:lang w:val="en-US"/>
        </w:rPr>
        <w:tab/>
      </w:r>
      <w:r w:rsidRPr="0062424D">
        <w:rPr>
          <w:rFonts w:ascii="Calibri" w:hAnsi="Calibri"/>
          <w:b/>
          <w:bCs/>
          <w:szCs w:val="24"/>
          <w:lang w:val="en-US"/>
        </w:rPr>
        <w:t xml:space="preserve">Output 2.1 Policy and Regulatory </w:t>
      </w:r>
      <w:proofErr w:type="spellStart"/>
      <w:r w:rsidRPr="0062424D">
        <w:rPr>
          <w:rFonts w:ascii="Calibri" w:hAnsi="Calibri"/>
          <w:b/>
          <w:bCs/>
          <w:szCs w:val="24"/>
          <w:lang w:val="en-US"/>
        </w:rPr>
        <w:t>Programme</w:t>
      </w:r>
      <w:proofErr w:type="spellEnd"/>
    </w:p>
    <w:p w:rsidR="00EE4CFF" w:rsidRDefault="00EE4CFF" w:rsidP="00BA0CE3">
      <w:pPr>
        <w:jc w:val="both"/>
        <w:rPr>
          <w:rFonts w:ascii="Calibri" w:hAnsi="Calibri"/>
          <w:szCs w:val="24"/>
          <w:lang w:val="en-US"/>
        </w:rPr>
      </w:pPr>
      <w:r w:rsidRPr="0062424D">
        <w:rPr>
          <w:rFonts w:ascii="Calibri" w:hAnsi="Calibri"/>
          <w:szCs w:val="24"/>
          <w:lang w:val="en-US"/>
        </w:rPr>
        <w:t>ITU-D Output 2.1 calls upon the provision of global platforms for policy-makers, regulators and the private sector to address issues of common interest, share experiences and best practices, and discuss ways to help countries achieve their goals of growing digital economies.</w:t>
      </w:r>
      <w:r>
        <w:rPr>
          <w:rFonts w:ascii="Calibri" w:hAnsi="Calibri"/>
          <w:szCs w:val="24"/>
          <w:lang w:val="en-US"/>
        </w:rPr>
        <w:t xml:space="preserve"> In this sense, it is worth mentioning </w:t>
      </w:r>
      <w:r w:rsidR="00BA0CE3">
        <w:rPr>
          <w:rFonts w:ascii="Calibri" w:hAnsi="Calibri"/>
          <w:szCs w:val="24"/>
          <w:lang w:val="en-US"/>
        </w:rPr>
        <w:t xml:space="preserve">some </w:t>
      </w:r>
      <w:r>
        <w:rPr>
          <w:rFonts w:ascii="Calibri" w:hAnsi="Calibri"/>
          <w:szCs w:val="24"/>
          <w:lang w:val="en-US"/>
        </w:rPr>
        <w:t xml:space="preserve">global </w:t>
      </w:r>
      <w:r w:rsidR="00BA0CE3">
        <w:rPr>
          <w:rFonts w:ascii="Calibri" w:hAnsi="Calibri"/>
          <w:szCs w:val="24"/>
          <w:lang w:val="en-US"/>
        </w:rPr>
        <w:t>and regional platforms as below</w:t>
      </w:r>
      <w:r w:rsidRPr="00912618">
        <w:rPr>
          <w:rFonts w:ascii="Calibri" w:hAnsi="Calibri"/>
          <w:szCs w:val="24"/>
          <w:lang w:val="en-US"/>
        </w:rPr>
        <w:t>.</w:t>
      </w:r>
    </w:p>
    <w:p w:rsidR="00817E7A" w:rsidRDefault="001C7EEF" w:rsidP="00817E7A">
      <w:pPr>
        <w:keepNext/>
        <w:jc w:val="both"/>
        <w:rPr>
          <w:rFonts w:ascii="Calibri" w:hAnsi="Calibri"/>
          <w:szCs w:val="24"/>
          <w:lang w:val="en-US"/>
        </w:rPr>
      </w:pPr>
      <w:r>
        <w:rPr>
          <w:rFonts w:ascii="Calibri" w:hAnsi="Calibri"/>
          <w:szCs w:val="24"/>
          <w:lang w:val="en-US"/>
        </w:rPr>
        <w:t>For the first time, the</w:t>
      </w:r>
      <w:r w:rsidRPr="00BA0CE3">
        <w:rPr>
          <w:rFonts w:ascii="Calibri" w:hAnsi="Calibri"/>
          <w:szCs w:val="24"/>
          <w:lang w:val="en-US"/>
        </w:rPr>
        <w:t xml:space="preserve"> Industry Leaders’ Debate was held on 14 May 2016, in parallel with the regulators’ track during the last day of GSR-16. The debate brought together over 30 participants from the private sector and debated the impact of open innovation and new business models on collaborative regulation</w:t>
      </w:r>
      <w:r w:rsidR="00E17878">
        <w:rPr>
          <w:rFonts w:ascii="Calibri" w:hAnsi="Calibri"/>
          <w:szCs w:val="24"/>
          <w:lang w:val="en-US"/>
        </w:rPr>
        <w:t xml:space="preserve"> followed by the session of regulatory </w:t>
      </w:r>
      <w:r w:rsidR="00817E7A">
        <w:rPr>
          <w:rFonts w:ascii="Calibri" w:hAnsi="Calibri"/>
          <w:szCs w:val="24"/>
          <w:lang w:val="en-US"/>
        </w:rPr>
        <w:t>KPIs in a 1st to 4th Generation r</w:t>
      </w:r>
      <w:r w:rsidR="00817E7A" w:rsidRPr="00817E7A">
        <w:rPr>
          <w:rFonts w:ascii="Calibri" w:hAnsi="Calibri"/>
          <w:szCs w:val="24"/>
          <w:lang w:val="en-US"/>
        </w:rPr>
        <w:t xml:space="preserve">egulation </w:t>
      </w:r>
      <w:r w:rsidR="00817E7A">
        <w:rPr>
          <w:rFonts w:ascii="Calibri" w:hAnsi="Calibri"/>
          <w:szCs w:val="24"/>
          <w:lang w:val="en-US"/>
        </w:rPr>
        <w:t>c</w:t>
      </w:r>
      <w:r w:rsidR="00817E7A" w:rsidRPr="00817E7A">
        <w:rPr>
          <w:rFonts w:ascii="Calibri" w:hAnsi="Calibri"/>
          <w:szCs w:val="24"/>
          <w:lang w:val="en-US"/>
        </w:rPr>
        <w:t>ontext</w:t>
      </w:r>
      <w:r w:rsidR="00817E7A">
        <w:rPr>
          <w:rFonts w:ascii="Calibri" w:hAnsi="Calibri"/>
          <w:szCs w:val="24"/>
          <w:lang w:val="en-US"/>
        </w:rPr>
        <w:t xml:space="preserve">. </w:t>
      </w:r>
      <w:r w:rsidR="00817E7A" w:rsidRPr="00866892">
        <w:rPr>
          <w:rFonts w:ascii="Calibri" w:hAnsi="Calibri"/>
          <w:szCs w:val="24"/>
          <w:lang w:val="en-US"/>
        </w:rPr>
        <w:t>Participants acknowledged that more efforts need to be considered by regulators and policy makers to foster new opportunities and encourage an environment that fosters greater investment and innovation, and that this type of environment should be based on a dialogue between stakeholders and regulators and clear understanding of the</w:t>
      </w:r>
      <w:r w:rsidR="00817E7A" w:rsidRPr="00866892">
        <w:t xml:space="preserve"> </w:t>
      </w:r>
      <w:r w:rsidR="00817E7A" w:rsidRPr="00866892">
        <w:rPr>
          <w:rFonts w:ascii="Calibri" w:hAnsi="Calibri"/>
          <w:szCs w:val="24"/>
          <w:lang w:val="en-US"/>
        </w:rPr>
        <w:t xml:space="preserve">differences between the regulatory policies and ICT sector goals. Regulatory KPIs was also encouraged as a tool to monitor measure the changes taking place in the telecommunication/ ICT regulatory </w:t>
      </w:r>
      <w:r w:rsidR="00817E7A" w:rsidRPr="00866892">
        <w:rPr>
          <w:rFonts w:ascii="Calibri" w:hAnsi="Calibri"/>
          <w:szCs w:val="24"/>
          <w:lang w:val="en-US"/>
        </w:rPr>
        <w:lastRenderedPageBreak/>
        <w:t>environment and facilitating both the benchmarking and identification of evolutionary trends in legal and regulatory frameworks and supporting business investments by the industry</w:t>
      </w:r>
      <w:r w:rsidR="00817E7A">
        <w:rPr>
          <w:rFonts w:ascii="Calibri" w:hAnsi="Calibri"/>
          <w:szCs w:val="24"/>
          <w:lang w:val="en-US"/>
        </w:rPr>
        <w:t>.</w:t>
      </w:r>
    </w:p>
    <w:p w:rsidR="00AE10DC" w:rsidRDefault="00BA0CE3" w:rsidP="00817E7A">
      <w:pPr>
        <w:keepNext/>
        <w:jc w:val="both"/>
        <w:rPr>
          <w:rFonts w:ascii="Calibri" w:hAnsi="Calibri"/>
          <w:szCs w:val="24"/>
        </w:rPr>
      </w:pPr>
      <w:r w:rsidRPr="0022236B">
        <w:rPr>
          <w:rFonts w:ascii="Calibri" w:hAnsi="Calibri"/>
          <w:szCs w:val="24"/>
        </w:rPr>
        <w:t xml:space="preserve">The 6th </w:t>
      </w:r>
      <w:r w:rsidR="0022236B" w:rsidRPr="0022236B">
        <w:rPr>
          <w:rFonts w:ascii="Calibri" w:hAnsi="Calibri"/>
          <w:szCs w:val="24"/>
        </w:rPr>
        <w:t xml:space="preserve">and </w:t>
      </w:r>
      <w:r w:rsidR="00ED46BC" w:rsidRPr="0022236B">
        <w:rPr>
          <w:rFonts w:ascii="Calibri" w:hAnsi="Calibri"/>
          <w:szCs w:val="24"/>
        </w:rPr>
        <w:t xml:space="preserve">7th </w:t>
      </w:r>
      <w:hyperlink r:id="rId9" w:history="1">
        <w:r w:rsidR="007E741D" w:rsidRPr="00E01460">
          <w:rPr>
            <w:rStyle w:val="Hyperlink"/>
            <w:rFonts w:ascii="Calibri" w:hAnsi="Calibri"/>
            <w:szCs w:val="24"/>
          </w:rPr>
          <w:t xml:space="preserve">Private Sector Chief Regulatory Officers (CRO) </w:t>
        </w:r>
        <w:r w:rsidR="00ED46BC" w:rsidRPr="00E01460">
          <w:rPr>
            <w:rStyle w:val="Hyperlink"/>
            <w:rFonts w:ascii="Calibri" w:hAnsi="Calibri"/>
            <w:szCs w:val="24"/>
          </w:rPr>
          <w:t>meetin</w:t>
        </w:r>
        <w:r w:rsidR="0022236B" w:rsidRPr="00E01460">
          <w:rPr>
            <w:rStyle w:val="Hyperlink"/>
            <w:rFonts w:ascii="Calibri" w:hAnsi="Calibri"/>
            <w:szCs w:val="24"/>
          </w:rPr>
          <w:t>g</w:t>
        </w:r>
        <w:r w:rsidR="00AE10DC" w:rsidRPr="00E01460">
          <w:rPr>
            <w:rStyle w:val="Hyperlink"/>
            <w:rFonts w:ascii="Calibri" w:hAnsi="Calibri"/>
            <w:szCs w:val="24"/>
          </w:rPr>
          <w:t>s</w:t>
        </w:r>
      </w:hyperlink>
      <w:r w:rsidR="00AE10DC">
        <w:rPr>
          <w:rFonts w:ascii="Calibri" w:hAnsi="Calibri"/>
          <w:szCs w:val="24"/>
        </w:rPr>
        <w:t>, held in 2016</w:t>
      </w:r>
      <w:r w:rsidR="0022236B" w:rsidRPr="0022236B">
        <w:rPr>
          <w:rFonts w:ascii="Calibri" w:hAnsi="Calibri"/>
          <w:szCs w:val="24"/>
        </w:rPr>
        <w:t xml:space="preserve">, </w:t>
      </w:r>
      <w:r w:rsidR="00ED46BC" w:rsidRPr="0022236B">
        <w:rPr>
          <w:rFonts w:ascii="Calibri" w:hAnsi="Calibri"/>
          <w:szCs w:val="24"/>
        </w:rPr>
        <w:t xml:space="preserve">brought together senior industry executives to share experiences and exchange ideas on how to strengthen the private sector’s involvement and engagement in global, regional and national initiatives and to identify mechanisms to better foster an enabling regulatory environment for future development of the sector. </w:t>
      </w:r>
    </w:p>
    <w:p w:rsidR="0022236B" w:rsidRPr="0022236B" w:rsidRDefault="007E741D" w:rsidP="00AE10DC">
      <w:pPr>
        <w:keepNext/>
        <w:jc w:val="both"/>
        <w:rPr>
          <w:rFonts w:ascii="Calibri" w:hAnsi="Calibri"/>
          <w:szCs w:val="24"/>
        </w:rPr>
      </w:pPr>
      <w:r>
        <w:rPr>
          <w:rFonts w:ascii="Calibri" w:hAnsi="Calibri"/>
          <w:szCs w:val="24"/>
        </w:rPr>
        <w:t>T</w:t>
      </w:r>
      <w:r w:rsidR="0022236B" w:rsidRPr="0022236B">
        <w:rPr>
          <w:rFonts w:ascii="Calibri" w:hAnsi="Calibri"/>
          <w:szCs w:val="24"/>
        </w:rPr>
        <w:t xml:space="preserve">hese meetings discussed key proposals for pilot experimentation between the private sector and regulators. In </w:t>
      </w:r>
      <w:r w:rsidR="00AE10DC">
        <w:rPr>
          <w:rFonts w:ascii="Calibri" w:hAnsi="Calibri"/>
          <w:szCs w:val="24"/>
        </w:rPr>
        <w:t>particular</w:t>
      </w:r>
      <w:r w:rsidR="0022236B" w:rsidRPr="0022236B">
        <w:rPr>
          <w:rFonts w:ascii="Calibri" w:hAnsi="Calibri"/>
          <w:szCs w:val="24"/>
        </w:rPr>
        <w:t xml:space="preserve">, </w:t>
      </w:r>
      <w:r w:rsidR="00AE10DC">
        <w:rPr>
          <w:rFonts w:ascii="Calibri" w:hAnsi="Calibri"/>
          <w:szCs w:val="24"/>
        </w:rPr>
        <w:t>the</w:t>
      </w:r>
      <w:r w:rsidR="0022236B" w:rsidRPr="0022236B">
        <w:rPr>
          <w:rFonts w:ascii="Calibri" w:hAnsi="Calibri"/>
          <w:szCs w:val="24"/>
        </w:rPr>
        <w:t xml:space="preserve"> Universal Financial Access 2020 (UFA) proposal presented under the CRO platform was supported by the participants who agreed to create a CRO Working Group on Digital Financial Inclusion (CRO WG</w:t>
      </w:r>
      <w:r w:rsidR="0022236B">
        <w:rPr>
          <w:rFonts w:ascii="Calibri" w:hAnsi="Calibri"/>
          <w:szCs w:val="24"/>
        </w:rPr>
        <w:t xml:space="preserve"> – DFI).</w:t>
      </w:r>
    </w:p>
    <w:p w:rsidR="0022236B" w:rsidRDefault="0022236B" w:rsidP="004F697D">
      <w:pPr>
        <w:keepNext/>
        <w:tabs>
          <w:tab w:val="clear" w:pos="794"/>
          <w:tab w:val="clear" w:pos="1191"/>
          <w:tab w:val="clear" w:pos="1588"/>
          <w:tab w:val="clear" w:pos="1985"/>
        </w:tabs>
        <w:jc w:val="both"/>
        <w:rPr>
          <w:rFonts w:ascii="Calibri" w:hAnsi="Calibri"/>
          <w:szCs w:val="24"/>
          <w:lang w:val="en-US"/>
        </w:rPr>
      </w:pPr>
      <w:r w:rsidRPr="0022236B">
        <w:rPr>
          <w:rFonts w:ascii="Calibri" w:hAnsi="Calibri"/>
          <w:szCs w:val="24"/>
          <w:lang w:val="en-US"/>
        </w:rPr>
        <w:t xml:space="preserve">The </w:t>
      </w:r>
      <w:hyperlink r:id="rId10" w:history="1">
        <w:r w:rsidRPr="00E01460">
          <w:rPr>
            <w:rStyle w:val="Hyperlink"/>
            <w:rFonts w:ascii="Calibri" w:hAnsi="Calibri"/>
            <w:szCs w:val="24"/>
            <w:lang w:val="en-US"/>
          </w:rPr>
          <w:t>1st CRO WG on DFI</w:t>
        </w:r>
      </w:hyperlink>
      <w:r w:rsidRPr="0022236B">
        <w:rPr>
          <w:rFonts w:ascii="Calibri" w:hAnsi="Calibri"/>
          <w:szCs w:val="24"/>
          <w:lang w:val="en-US"/>
        </w:rPr>
        <w:t xml:space="preserve"> meeting was </w:t>
      </w:r>
      <w:r>
        <w:rPr>
          <w:rFonts w:ascii="Calibri" w:hAnsi="Calibri"/>
          <w:szCs w:val="24"/>
          <w:lang w:val="en-US"/>
        </w:rPr>
        <w:t>convened</w:t>
      </w:r>
      <w:r w:rsidRPr="0022236B">
        <w:rPr>
          <w:rFonts w:ascii="Calibri" w:hAnsi="Calibri"/>
          <w:szCs w:val="24"/>
          <w:lang w:val="en-US"/>
        </w:rPr>
        <w:t xml:space="preserve"> on 15 November 2016 and </w:t>
      </w:r>
      <w:r w:rsidR="004F697D">
        <w:rPr>
          <w:rFonts w:ascii="Calibri" w:hAnsi="Calibri"/>
          <w:szCs w:val="24"/>
          <w:lang w:val="en-US"/>
        </w:rPr>
        <w:t>agreed on the need to focus on</w:t>
      </w:r>
      <w:r>
        <w:rPr>
          <w:rFonts w:ascii="Calibri" w:hAnsi="Calibri"/>
          <w:szCs w:val="24"/>
          <w:lang w:val="en-US"/>
        </w:rPr>
        <w:t>: (</w:t>
      </w:r>
      <w:proofErr w:type="spellStart"/>
      <w:r>
        <w:rPr>
          <w:rFonts w:ascii="Calibri" w:hAnsi="Calibri"/>
          <w:szCs w:val="24"/>
          <w:lang w:val="en-US"/>
        </w:rPr>
        <w:t>i</w:t>
      </w:r>
      <w:proofErr w:type="spellEnd"/>
      <w:r>
        <w:rPr>
          <w:rFonts w:ascii="Calibri" w:hAnsi="Calibri"/>
          <w:szCs w:val="24"/>
          <w:lang w:val="en-US"/>
        </w:rPr>
        <w:t xml:space="preserve">) </w:t>
      </w:r>
      <w:r w:rsidRPr="0022236B">
        <w:rPr>
          <w:rFonts w:ascii="Calibri" w:hAnsi="Calibri"/>
          <w:szCs w:val="24"/>
          <w:lang w:val="en-US"/>
        </w:rPr>
        <w:t>designing and sharing legal and regulatory frameworks at reginal and national levels;</w:t>
      </w:r>
      <w:r>
        <w:rPr>
          <w:rFonts w:ascii="Calibri" w:hAnsi="Calibri"/>
          <w:szCs w:val="24"/>
          <w:lang w:val="en-US"/>
        </w:rPr>
        <w:t xml:space="preserve"> (ii)</w:t>
      </w:r>
      <w:r w:rsidRPr="0022236B">
        <w:rPr>
          <w:rFonts w:ascii="Calibri" w:hAnsi="Calibri"/>
          <w:szCs w:val="24"/>
          <w:lang w:val="en-US"/>
        </w:rPr>
        <w:t xml:space="preserve"> developing frameworks for </w:t>
      </w:r>
      <w:r>
        <w:rPr>
          <w:rFonts w:ascii="Calibri" w:hAnsi="Calibri"/>
          <w:szCs w:val="24"/>
          <w:lang w:val="en-US"/>
        </w:rPr>
        <w:t xml:space="preserve">sharing best practices and </w:t>
      </w:r>
      <w:r w:rsidRPr="0022236B">
        <w:rPr>
          <w:rFonts w:ascii="Calibri" w:hAnsi="Calibri"/>
          <w:szCs w:val="24"/>
          <w:lang w:val="en-US"/>
        </w:rPr>
        <w:t xml:space="preserve">expanding public-private partnerships; and </w:t>
      </w:r>
      <w:r>
        <w:rPr>
          <w:rFonts w:ascii="Calibri" w:hAnsi="Calibri"/>
          <w:szCs w:val="24"/>
          <w:lang w:val="en-US"/>
        </w:rPr>
        <w:t xml:space="preserve">(iii) </w:t>
      </w:r>
      <w:r w:rsidRPr="0022236B">
        <w:rPr>
          <w:rFonts w:ascii="Calibri" w:hAnsi="Calibri"/>
          <w:szCs w:val="24"/>
          <w:lang w:val="en-US"/>
        </w:rPr>
        <w:t xml:space="preserve">implementing pilot projects at national levels with </w:t>
      </w:r>
      <w:r>
        <w:rPr>
          <w:rFonts w:ascii="Calibri" w:hAnsi="Calibri"/>
          <w:szCs w:val="24"/>
          <w:lang w:val="en-US"/>
        </w:rPr>
        <w:t xml:space="preserve">interest </w:t>
      </w:r>
      <w:r w:rsidRPr="0022236B">
        <w:rPr>
          <w:rFonts w:ascii="Calibri" w:hAnsi="Calibri"/>
          <w:szCs w:val="24"/>
          <w:lang w:val="en-US"/>
        </w:rPr>
        <w:t xml:space="preserve">partners to contribute to achieving SDGs, Goals 8, 9, 10, 11 and 17 in particular. </w:t>
      </w:r>
      <w:r w:rsidR="004F697D">
        <w:rPr>
          <w:rFonts w:ascii="Calibri" w:hAnsi="Calibri"/>
          <w:szCs w:val="24"/>
          <w:lang w:val="en-US"/>
        </w:rPr>
        <w:t xml:space="preserve">Potential pilot countries and interest stakeholders have been identified and status of implementation will be shared at the upcoming CRO Meeting in July, 2017, as a pre-event to </w:t>
      </w:r>
      <w:hyperlink r:id="rId11" w:history="1">
        <w:r w:rsidR="004F697D" w:rsidRPr="00E01460">
          <w:rPr>
            <w:rStyle w:val="Hyperlink"/>
            <w:rFonts w:ascii="Calibri" w:hAnsi="Calibri"/>
            <w:szCs w:val="24"/>
            <w:lang w:val="en-US"/>
          </w:rPr>
          <w:t>GSR-17</w:t>
        </w:r>
      </w:hyperlink>
      <w:r w:rsidR="004F697D">
        <w:rPr>
          <w:rFonts w:ascii="Calibri" w:hAnsi="Calibri"/>
          <w:szCs w:val="24"/>
          <w:lang w:val="en-US"/>
        </w:rPr>
        <w:t>.</w:t>
      </w:r>
    </w:p>
    <w:p w:rsidR="00EE4CFF" w:rsidRPr="0062424D" w:rsidRDefault="00EE4CFF" w:rsidP="002F649B">
      <w:pPr>
        <w:keepNext/>
        <w:tabs>
          <w:tab w:val="clear" w:pos="794"/>
          <w:tab w:val="left" w:pos="567"/>
        </w:tabs>
        <w:jc w:val="both"/>
        <w:rPr>
          <w:rFonts w:ascii="Calibri" w:hAnsi="Calibri"/>
          <w:b/>
          <w:szCs w:val="24"/>
        </w:rPr>
      </w:pPr>
      <w:r w:rsidRPr="0062424D">
        <w:rPr>
          <w:rFonts w:ascii="Calibri" w:hAnsi="Calibri"/>
          <w:b/>
          <w:szCs w:val="24"/>
        </w:rPr>
        <w:t xml:space="preserve">3.2 </w:t>
      </w:r>
      <w:r>
        <w:rPr>
          <w:rFonts w:ascii="Calibri" w:hAnsi="Calibri"/>
          <w:b/>
          <w:szCs w:val="24"/>
        </w:rPr>
        <w:tab/>
      </w:r>
      <w:r w:rsidRPr="0062424D">
        <w:rPr>
          <w:rFonts w:ascii="Calibri" w:hAnsi="Calibri"/>
          <w:b/>
          <w:szCs w:val="24"/>
        </w:rPr>
        <w:t xml:space="preserve">Output 2.3 Innovation and </w:t>
      </w:r>
      <w:r w:rsidR="002F649B">
        <w:rPr>
          <w:rFonts w:ascii="Calibri" w:hAnsi="Calibri"/>
          <w:b/>
          <w:szCs w:val="24"/>
        </w:rPr>
        <w:t>P</w:t>
      </w:r>
      <w:r w:rsidRPr="0062424D">
        <w:rPr>
          <w:rFonts w:ascii="Calibri" w:hAnsi="Calibri"/>
          <w:b/>
          <w:szCs w:val="24"/>
        </w:rPr>
        <w:t>artnership</w:t>
      </w:r>
    </w:p>
    <w:p w:rsidR="004F697D" w:rsidRPr="0062424D" w:rsidRDefault="004F697D" w:rsidP="004F697D">
      <w:pPr>
        <w:jc w:val="both"/>
        <w:rPr>
          <w:rFonts w:ascii="Calibri" w:hAnsi="Calibri"/>
          <w:szCs w:val="24"/>
          <w:lang w:val="en-US"/>
        </w:rPr>
      </w:pPr>
      <w:r w:rsidRPr="0062424D">
        <w:rPr>
          <w:rFonts w:ascii="Calibri" w:hAnsi="Calibri"/>
          <w:b/>
          <w:bCs/>
          <w:szCs w:val="24"/>
          <w:lang w:val="en-US"/>
        </w:rPr>
        <w:t>Res</w:t>
      </w:r>
      <w:r>
        <w:rPr>
          <w:rFonts w:ascii="Calibri" w:hAnsi="Calibri"/>
          <w:b/>
          <w:bCs/>
          <w:szCs w:val="24"/>
          <w:lang w:val="en-US"/>
        </w:rPr>
        <w:t xml:space="preserve">olution </w:t>
      </w:r>
      <w:r w:rsidRPr="0062424D">
        <w:rPr>
          <w:rFonts w:ascii="Calibri" w:hAnsi="Calibri"/>
          <w:b/>
          <w:bCs/>
          <w:szCs w:val="24"/>
          <w:lang w:val="en-US"/>
        </w:rPr>
        <w:t>30 (Rev. Dubai, 2014)</w:t>
      </w:r>
      <w:r w:rsidRPr="0062424D">
        <w:rPr>
          <w:rFonts w:ascii="Calibri" w:hAnsi="Calibri"/>
          <w:szCs w:val="24"/>
          <w:lang w:val="en-US"/>
        </w:rPr>
        <w:t xml:space="preserve"> </w:t>
      </w:r>
      <w:r>
        <w:rPr>
          <w:rFonts w:ascii="Calibri" w:hAnsi="Calibri"/>
          <w:szCs w:val="24"/>
          <w:lang w:val="en-US"/>
        </w:rPr>
        <w:t xml:space="preserve">on </w:t>
      </w:r>
      <w:r w:rsidRPr="0062424D">
        <w:rPr>
          <w:rFonts w:ascii="Calibri" w:hAnsi="Calibri"/>
          <w:szCs w:val="24"/>
          <w:lang w:val="en-US"/>
        </w:rPr>
        <w:t xml:space="preserve">“Role of the ITU Telecommunication Development Sector in implementing the outcomes of the World Summit on the Information Society” requests that necessary initiatives be taken to encourage partnerships with a high priority pursuant to the outcomes of WSIS and its review process. </w:t>
      </w:r>
      <w:r>
        <w:rPr>
          <w:rFonts w:ascii="Calibri" w:hAnsi="Calibri"/>
          <w:szCs w:val="24"/>
          <w:lang w:val="en-US"/>
        </w:rPr>
        <w:t xml:space="preserve">The </w:t>
      </w:r>
      <w:hyperlink r:id="rId12" w:history="1">
        <w:r w:rsidRPr="00E01460">
          <w:rPr>
            <w:rStyle w:val="Hyperlink"/>
            <w:rFonts w:ascii="Calibri" w:hAnsi="Calibri"/>
            <w:szCs w:val="24"/>
            <w:lang w:val="en-US"/>
          </w:rPr>
          <w:t>WSIS Forum 2016</w:t>
        </w:r>
      </w:hyperlink>
      <w:r>
        <w:rPr>
          <w:rFonts w:ascii="Calibri" w:hAnsi="Calibri"/>
          <w:szCs w:val="24"/>
          <w:lang w:val="en-US"/>
        </w:rPr>
        <w:t xml:space="preserve"> proved to be an efficient mechanism</w:t>
      </w:r>
      <w:r w:rsidRPr="0062424D">
        <w:rPr>
          <w:rFonts w:ascii="Calibri" w:hAnsi="Calibri"/>
          <w:szCs w:val="24"/>
          <w:lang w:val="en-US"/>
        </w:rPr>
        <w:t xml:space="preserve"> </w:t>
      </w:r>
      <w:r>
        <w:rPr>
          <w:rFonts w:ascii="Calibri" w:hAnsi="Calibri"/>
          <w:szCs w:val="24"/>
          <w:lang w:val="en-US"/>
        </w:rPr>
        <w:t>for coordination of multi-stakeholder implementation activities f</w:t>
      </w:r>
      <w:r w:rsidRPr="0062424D">
        <w:rPr>
          <w:rFonts w:ascii="Calibri" w:hAnsi="Calibri"/>
          <w:szCs w:val="24"/>
          <w:lang w:val="en-US"/>
        </w:rPr>
        <w:t xml:space="preserve">ocused on innovation, partnerships and the link between ICTs and the Global Sustainable Development Agenda. </w:t>
      </w:r>
    </w:p>
    <w:p w:rsidR="00EE4CFF" w:rsidRPr="0062424D" w:rsidRDefault="00EE4CFF" w:rsidP="00EE4CFF">
      <w:pPr>
        <w:jc w:val="both"/>
        <w:rPr>
          <w:rFonts w:ascii="Calibri" w:hAnsi="Calibri"/>
          <w:szCs w:val="24"/>
        </w:rPr>
      </w:pPr>
      <w:r w:rsidRPr="0062424D">
        <w:rPr>
          <w:rFonts w:ascii="Calibri" w:hAnsi="Calibri"/>
          <w:szCs w:val="24"/>
        </w:rPr>
        <w:t>As reflected in</w:t>
      </w:r>
      <w:r w:rsidRPr="0062424D">
        <w:rPr>
          <w:rFonts w:ascii="Calibri" w:hAnsi="Calibri"/>
          <w:b/>
          <w:bCs/>
          <w:szCs w:val="24"/>
        </w:rPr>
        <w:t xml:space="preserve"> Res</w:t>
      </w:r>
      <w:r>
        <w:rPr>
          <w:rFonts w:ascii="Calibri" w:hAnsi="Calibri"/>
          <w:b/>
          <w:bCs/>
          <w:szCs w:val="24"/>
        </w:rPr>
        <w:t xml:space="preserve">olution </w:t>
      </w:r>
      <w:r w:rsidRPr="0062424D">
        <w:rPr>
          <w:rFonts w:ascii="Calibri" w:hAnsi="Calibri"/>
          <w:b/>
          <w:bCs/>
          <w:szCs w:val="24"/>
        </w:rPr>
        <w:t xml:space="preserve">32 (Rev. Dubai, 2014 ) </w:t>
      </w:r>
      <w:r w:rsidRPr="0062424D">
        <w:rPr>
          <w:rFonts w:ascii="Calibri" w:hAnsi="Calibri"/>
          <w:szCs w:val="24"/>
        </w:rPr>
        <w:t>on “International and regional cooperation on regional initiatives”, the BDT has been encouraging  private sector to engage and cooperate with member countries in the regional initiatives mentioned in the Resolution, including countries with special needs.</w:t>
      </w:r>
    </w:p>
    <w:p w:rsidR="00EE4CFF" w:rsidRPr="0062424D" w:rsidRDefault="00EE4CFF" w:rsidP="00EE4CFF">
      <w:pPr>
        <w:pStyle w:val="ListParagraph"/>
        <w:numPr>
          <w:ilvl w:val="0"/>
          <w:numId w:val="4"/>
        </w:numPr>
        <w:spacing w:after="0"/>
        <w:jc w:val="both"/>
        <w:rPr>
          <w:rFonts w:ascii="Calibri" w:hAnsi="Calibri"/>
          <w:sz w:val="24"/>
          <w:szCs w:val="24"/>
        </w:rPr>
      </w:pPr>
      <w:r w:rsidRPr="0062424D">
        <w:rPr>
          <w:rFonts w:ascii="Calibri" w:hAnsi="Calibri"/>
          <w:sz w:val="24"/>
          <w:szCs w:val="24"/>
        </w:rPr>
        <w:t xml:space="preserve">The Regional Development Fora (RDFs) and other regional events have been organized in several regions in 2015 and served as platforms to discuss and agree on areas where multi-stakeholder partnerships could be explored especially for the role of entrepreneurship including operators from the private sector. </w:t>
      </w:r>
    </w:p>
    <w:p w:rsidR="00EE4CFF" w:rsidRPr="0062424D" w:rsidRDefault="00EE4CFF" w:rsidP="00EE4CFF">
      <w:pPr>
        <w:pStyle w:val="ListParagraph"/>
        <w:numPr>
          <w:ilvl w:val="0"/>
          <w:numId w:val="4"/>
        </w:numPr>
        <w:spacing w:after="0"/>
        <w:jc w:val="both"/>
        <w:rPr>
          <w:rFonts w:ascii="Calibri" w:hAnsi="Calibri"/>
          <w:sz w:val="24"/>
          <w:szCs w:val="24"/>
        </w:rPr>
      </w:pPr>
      <w:r w:rsidRPr="0062424D">
        <w:rPr>
          <w:rFonts w:ascii="Calibri" w:hAnsi="Calibri"/>
          <w:sz w:val="24"/>
          <w:szCs w:val="24"/>
        </w:rPr>
        <w:t xml:space="preserve">BDT has also undertaken innovation dialogues with multi-stakeholder partners for formulating innovation policies and creation of linkages between innovation and SMEs as well as </w:t>
      </w:r>
      <w:r>
        <w:rPr>
          <w:rFonts w:ascii="Calibri" w:hAnsi="Calibri"/>
          <w:sz w:val="24"/>
          <w:szCs w:val="24"/>
        </w:rPr>
        <w:t xml:space="preserve">enhancing </w:t>
      </w:r>
      <w:r w:rsidRPr="0062424D">
        <w:rPr>
          <w:rFonts w:ascii="Calibri" w:hAnsi="Calibri"/>
          <w:sz w:val="24"/>
          <w:szCs w:val="24"/>
        </w:rPr>
        <w:t>partnership with OECD</w:t>
      </w:r>
      <w:r w:rsidR="00DB0F65">
        <w:rPr>
          <w:rFonts w:ascii="Calibri" w:hAnsi="Calibri"/>
          <w:sz w:val="24"/>
          <w:szCs w:val="24"/>
        </w:rPr>
        <w:t>, UNIDO</w:t>
      </w:r>
      <w:r w:rsidR="00864E2C">
        <w:rPr>
          <w:rFonts w:ascii="Calibri" w:hAnsi="Calibri"/>
          <w:sz w:val="24"/>
          <w:szCs w:val="24"/>
        </w:rPr>
        <w:t>, UNCTAD</w:t>
      </w:r>
      <w:r w:rsidRPr="0062424D">
        <w:rPr>
          <w:rFonts w:ascii="Calibri" w:hAnsi="Calibri"/>
          <w:sz w:val="24"/>
          <w:szCs w:val="24"/>
        </w:rPr>
        <w:t xml:space="preserve"> and other entities.</w:t>
      </w:r>
    </w:p>
    <w:p w:rsidR="00864E2C" w:rsidRDefault="00EE4CFF" w:rsidP="00864E2C">
      <w:pPr>
        <w:jc w:val="both"/>
        <w:rPr>
          <w:rFonts w:ascii="Calibri" w:hAnsi="Calibri"/>
          <w:szCs w:val="24"/>
          <w:lang w:val="en-US"/>
        </w:rPr>
      </w:pPr>
      <w:r>
        <w:rPr>
          <w:rFonts w:ascii="Calibri" w:hAnsi="Calibri"/>
          <w:b/>
          <w:bCs/>
          <w:szCs w:val="24"/>
          <w:lang w:val="en-US"/>
        </w:rPr>
        <w:t>Resolution</w:t>
      </w:r>
      <w:r w:rsidRPr="0062424D">
        <w:rPr>
          <w:rFonts w:ascii="Calibri" w:hAnsi="Calibri"/>
          <w:b/>
          <w:bCs/>
          <w:szCs w:val="24"/>
          <w:lang w:val="en-US"/>
        </w:rPr>
        <w:t xml:space="preserve"> 34 (Rev. Dubai, 2014) </w:t>
      </w:r>
      <w:r w:rsidR="00DD5E41">
        <w:rPr>
          <w:rFonts w:ascii="Calibri" w:hAnsi="Calibri"/>
          <w:szCs w:val="24"/>
          <w:lang w:val="en-US"/>
        </w:rPr>
        <w:t>on “</w:t>
      </w:r>
      <w:r w:rsidRPr="0062424D">
        <w:rPr>
          <w:rFonts w:ascii="Calibri" w:hAnsi="Calibri"/>
          <w:szCs w:val="24"/>
          <w:lang w:val="en-US"/>
        </w:rPr>
        <w:t>The role of telecommunications/ICT</w:t>
      </w:r>
      <w:r w:rsidR="002F649B">
        <w:rPr>
          <w:rFonts w:ascii="Calibri" w:hAnsi="Calibri"/>
          <w:szCs w:val="24"/>
          <w:lang w:val="en-US"/>
        </w:rPr>
        <w:t>s</w:t>
      </w:r>
      <w:r w:rsidRPr="0062424D">
        <w:rPr>
          <w:rFonts w:ascii="Calibri" w:hAnsi="Calibri"/>
          <w:szCs w:val="24"/>
          <w:lang w:val="en-US"/>
        </w:rPr>
        <w:t xml:space="preserve"> in disaster preparedness, early warning, rescue, mitigation, relief and response” calls for the role of multi-stakeholders including the private sector in providing telecommunication/ICT equipment and services, expertise and capacity-building assistance to support disaster relief and recovery activities, particularly through the ITU Framework for International Cooperation in Emergencies (</w:t>
      </w:r>
      <w:hyperlink r:id="rId13" w:history="1">
        <w:r w:rsidRPr="00E01460">
          <w:rPr>
            <w:rStyle w:val="Hyperlink"/>
            <w:rFonts w:ascii="Calibri" w:hAnsi="Calibri"/>
            <w:szCs w:val="24"/>
            <w:lang w:val="en-US"/>
          </w:rPr>
          <w:t>IFCE</w:t>
        </w:r>
      </w:hyperlink>
      <w:r w:rsidRPr="0062424D">
        <w:rPr>
          <w:rFonts w:ascii="Calibri" w:hAnsi="Calibri"/>
          <w:szCs w:val="24"/>
          <w:lang w:val="en-US"/>
        </w:rPr>
        <w:t xml:space="preserve">).  Development of Satellite Communication Capacity and Emergency Communications Solutions for the Pacific is being implemented in close partnership with </w:t>
      </w:r>
      <w:r>
        <w:rPr>
          <w:rFonts w:ascii="Calibri" w:hAnsi="Calibri"/>
          <w:szCs w:val="24"/>
          <w:lang w:val="en-US"/>
        </w:rPr>
        <w:t xml:space="preserve">the </w:t>
      </w:r>
      <w:r w:rsidR="002F3B4D">
        <w:rPr>
          <w:rFonts w:ascii="Calibri" w:hAnsi="Calibri"/>
          <w:szCs w:val="24"/>
          <w:lang w:val="en-US"/>
        </w:rPr>
        <w:t>private sector</w:t>
      </w:r>
      <w:r w:rsidRPr="0062424D">
        <w:rPr>
          <w:rFonts w:ascii="Calibri" w:hAnsi="Calibri"/>
          <w:szCs w:val="24"/>
          <w:lang w:val="en-US"/>
        </w:rPr>
        <w:t xml:space="preserve">. </w:t>
      </w:r>
      <w:r w:rsidR="00864E2C">
        <w:rPr>
          <w:rFonts w:ascii="Calibri" w:hAnsi="Calibri"/>
          <w:szCs w:val="24"/>
          <w:lang w:val="en-US"/>
        </w:rPr>
        <w:t></w:t>
      </w:r>
    </w:p>
    <w:p w:rsidR="00EE4CFF" w:rsidRPr="0062424D" w:rsidRDefault="00864E2C" w:rsidP="00776D50">
      <w:pPr>
        <w:jc w:val="both"/>
        <w:rPr>
          <w:rFonts w:ascii="Calibri" w:hAnsi="Calibri"/>
          <w:szCs w:val="24"/>
          <w:lang w:val="en-US"/>
        </w:rPr>
      </w:pPr>
      <w:r>
        <w:rPr>
          <w:rFonts w:ascii="Calibri" w:hAnsi="Calibri"/>
          <w:szCs w:val="24"/>
          <w:lang w:val="en-US"/>
        </w:rPr>
        <w:t xml:space="preserve">The </w:t>
      </w:r>
      <w:r w:rsidRPr="00864E2C">
        <w:rPr>
          <w:rFonts w:ascii="Calibri" w:hAnsi="Calibri"/>
          <w:szCs w:val="24"/>
          <w:lang w:val="en-US"/>
        </w:rPr>
        <w:t>2nd Global Forum on Emergency Telecommunications (</w:t>
      </w:r>
      <w:hyperlink r:id="rId14" w:history="1">
        <w:r w:rsidRPr="00E01460">
          <w:rPr>
            <w:rStyle w:val="Hyperlink"/>
            <w:rFonts w:ascii="Calibri" w:hAnsi="Calibri"/>
            <w:szCs w:val="24"/>
            <w:lang w:val="en-US"/>
          </w:rPr>
          <w:t>GET-2016</w:t>
        </w:r>
      </w:hyperlink>
      <w:r w:rsidRPr="00864E2C">
        <w:rPr>
          <w:rFonts w:ascii="Calibri" w:hAnsi="Calibri"/>
          <w:szCs w:val="24"/>
          <w:lang w:val="en-US"/>
        </w:rPr>
        <w:t>): SAVING LIVES", which took place in Kuwait City, Kuwait, from 26-28 January 2016, has increased the awareness and capacity of countries to take advantage of ICTs for emergency telecommunication and enhanced the dialogue between disaster-management experts, including governments, the private sector, international organizations and non-governmental organizations, including humanitarian organizations. The Forum discussed trends and emerging technological innovations, financing mechanisms, country case studies, challenges in deploying ICTs in disaster zones, climate change issues and the role of the private sector an</w:t>
      </w:r>
      <w:r w:rsidR="00776D50">
        <w:rPr>
          <w:rFonts w:ascii="Calibri" w:hAnsi="Calibri"/>
          <w:szCs w:val="24"/>
          <w:lang w:val="en-US"/>
        </w:rPr>
        <w:t>d other non-state stakeholders, amongst others.</w:t>
      </w:r>
    </w:p>
    <w:p w:rsidR="00EE4CFF" w:rsidRDefault="00EE4CFF" w:rsidP="00EE4CFF">
      <w:pPr>
        <w:jc w:val="both"/>
        <w:rPr>
          <w:rFonts w:ascii="Calibri" w:hAnsi="Calibri"/>
          <w:szCs w:val="24"/>
          <w:lang w:val="en-US"/>
        </w:rPr>
      </w:pPr>
      <w:r>
        <w:rPr>
          <w:rFonts w:ascii="Calibri" w:hAnsi="Calibri"/>
          <w:b/>
          <w:bCs/>
          <w:szCs w:val="24"/>
          <w:lang w:val="en-US"/>
        </w:rPr>
        <w:t>Resolution</w:t>
      </w:r>
      <w:r w:rsidRPr="0062424D">
        <w:rPr>
          <w:rFonts w:ascii="Calibri" w:hAnsi="Calibri"/>
          <w:b/>
          <w:bCs/>
          <w:szCs w:val="24"/>
          <w:lang w:val="en-US"/>
        </w:rPr>
        <w:t xml:space="preserve"> 52 (Rev. Dubai, 2014)</w:t>
      </w:r>
      <w:r w:rsidRPr="0062424D">
        <w:rPr>
          <w:rFonts w:ascii="Calibri" w:hAnsi="Calibri"/>
          <w:szCs w:val="24"/>
          <w:lang w:val="en-US"/>
        </w:rPr>
        <w:t xml:space="preserve"> </w:t>
      </w:r>
      <w:r>
        <w:rPr>
          <w:rFonts w:ascii="Calibri" w:hAnsi="Calibri"/>
          <w:szCs w:val="24"/>
          <w:lang w:val="en-US"/>
        </w:rPr>
        <w:t xml:space="preserve">on </w:t>
      </w:r>
      <w:r w:rsidRPr="0062424D">
        <w:rPr>
          <w:rFonts w:ascii="Calibri" w:hAnsi="Calibri"/>
          <w:szCs w:val="24"/>
          <w:lang w:val="en-US"/>
        </w:rPr>
        <w:t xml:space="preserve">“Strengthening the executing agency role of the ITU Telecommunication Development Sector” emphasizes the importance of establishing partnerships between the public and private sectors as an efficient means of implementing sustainable ITU projects. </w:t>
      </w:r>
    </w:p>
    <w:p w:rsidR="0095299D" w:rsidRDefault="002F3B4D" w:rsidP="00E01460">
      <w:pPr>
        <w:pStyle w:val="ListParagraph"/>
        <w:numPr>
          <w:ilvl w:val="0"/>
          <w:numId w:val="5"/>
        </w:numPr>
        <w:spacing w:after="0"/>
        <w:contextualSpacing w:val="0"/>
        <w:jc w:val="both"/>
        <w:rPr>
          <w:rFonts w:ascii="Calibri" w:hAnsi="Calibri"/>
          <w:sz w:val="24"/>
          <w:szCs w:val="24"/>
        </w:rPr>
      </w:pPr>
      <w:r>
        <w:rPr>
          <w:rFonts w:ascii="Calibri" w:hAnsi="Calibri"/>
          <w:sz w:val="24"/>
          <w:szCs w:val="24"/>
        </w:rPr>
        <w:t>In</w:t>
      </w:r>
      <w:r w:rsidR="00AB1BEC" w:rsidRPr="0095299D">
        <w:rPr>
          <w:rFonts w:ascii="Calibri" w:hAnsi="Calibri"/>
          <w:sz w:val="24"/>
          <w:szCs w:val="24"/>
        </w:rPr>
        <w:t xml:space="preserve"> 2016</w:t>
      </w:r>
      <w:r w:rsidR="00EE4CFF" w:rsidRPr="0095299D">
        <w:rPr>
          <w:rFonts w:ascii="Calibri" w:hAnsi="Calibri"/>
          <w:sz w:val="24"/>
          <w:szCs w:val="24"/>
        </w:rPr>
        <w:t xml:space="preserve">, </w:t>
      </w:r>
      <w:r>
        <w:rPr>
          <w:rFonts w:ascii="Calibri" w:hAnsi="Calibri"/>
          <w:sz w:val="24"/>
          <w:szCs w:val="24"/>
        </w:rPr>
        <w:t xml:space="preserve">over 20 </w:t>
      </w:r>
      <w:r w:rsidR="00EE4CFF" w:rsidRPr="0095299D">
        <w:rPr>
          <w:rFonts w:ascii="Calibri" w:hAnsi="Calibri"/>
          <w:sz w:val="24"/>
          <w:szCs w:val="24"/>
        </w:rPr>
        <w:t xml:space="preserve">partnership arrangements </w:t>
      </w:r>
      <w:r w:rsidR="004F697D">
        <w:rPr>
          <w:rFonts w:ascii="Calibri" w:hAnsi="Calibri"/>
          <w:sz w:val="24"/>
          <w:szCs w:val="24"/>
        </w:rPr>
        <w:t>including</w:t>
      </w:r>
      <w:r w:rsidR="00EE4CFF" w:rsidRPr="0095299D">
        <w:rPr>
          <w:rFonts w:ascii="Calibri" w:hAnsi="Calibri"/>
          <w:sz w:val="24"/>
          <w:szCs w:val="24"/>
        </w:rPr>
        <w:t xml:space="preserve"> sponsorship</w:t>
      </w:r>
      <w:r>
        <w:rPr>
          <w:rFonts w:ascii="Calibri" w:hAnsi="Calibri"/>
          <w:sz w:val="24"/>
          <w:szCs w:val="24"/>
        </w:rPr>
        <w:t xml:space="preserve"> activities</w:t>
      </w:r>
      <w:r w:rsidR="00EE4CFF" w:rsidRPr="0095299D">
        <w:rPr>
          <w:rFonts w:ascii="Calibri" w:hAnsi="Calibri"/>
          <w:sz w:val="24"/>
          <w:szCs w:val="24"/>
        </w:rPr>
        <w:t xml:space="preserve"> have been concluded with various stakeholders</w:t>
      </w:r>
      <w:r w:rsidR="004F697D">
        <w:rPr>
          <w:rFonts w:ascii="Calibri" w:hAnsi="Calibri"/>
          <w:sz w:val="24"/>
          <w:szCs w:val="24"/>
        </w:rPr>
        <w:t>,</w:t>
      </w:r>
      <w:r w:rsidR="00EE4CFF" w:rsidRPr="0095299D">
        <w:rPr>
          <w:rFonts w:ascii="Calibri" w:hAnsi="Calibri"/>
          <w:sz w:val="24"/>
          <w:szCs w:val="24"/>
        </w:rPr>
        <w:t xml:space="preserve"> including private sector. </w:t>
      </w:r>
      <w:r w:rsidR="00F24117" w:rsidRPr="00F24117">
        <w:rPr>
          <w:rFonts w:ascii="Calibri" w:hAnsi="Calibri"/>
          <w:sz w:val="24"/>
          <w:szCs w:val="24"/>
        </w:rPr>
        <w:t xml:space="preserve">(More </w:t>
      </w:r>
      <w:r w:rsidR="007F1E76" w:rsidRPr="00F24117">
        <w:rPr>
          <w:rFonts w:ascii="Calibri" w:hAnsi="Calibri"/>
          <w:sz w:val="24"/>
          <w:szCs w:val="24"/>
        </w:rPr>
        <w:t>information</w:t>
      </w:r>
      <w:r w:rsidR="007F1E76">
        <w:rPr>
          <w:rFonts w:ascii="Calibri" w:hAnsi="Calibri"/>
          <w:sz w:val="24"/>
          <w:szCs w:val="24"/>
        </w:rPr>
        <w:t xml:space="preserve"> on</w:t>
      </w:r>
      <w:r w:rsidR="00F24117">
        <w:rPr>
          <w:rFonts w:ascii="Calibri" w:hAnsi="Calibri"/>
          <w:sz w:val="24"/>
          <w:szCs w:val="24"/>
        </w:rPr>
        <w:t xml:space="preserve"> agreements signed </w:t>
      </w:r>
      <w:r w:rsidR="00F24117" w:rsidRPr="00F24117">
        <w:rPr>
          <w:rFonts w:ascii="Calibri" w:hAnsi="Calibri"/>
          <w:sz w:val="24"/>
          <w:szCs w:val="24"/>
        </w:rPr>
        <w:t xml:space="preserve">is available in </w:t>
      </w:r>
      <w:r w:rsidR="00002D5C" w:rsidRPr="00002D5C">
        <w:rPr>
          <w:rFonts w:ascii="Calibri" w:hAnsi="Calibri"/>
          <w:sz w:val="24"/>
          <w:szCs w:val="24"/>
        </w:rPr>
        <w:t>INF</w:t>
      </w:r>
      <w:r w:rsidR="00E01460">
        <w:rPr>
          <w:rFonts w:ascii="Calibri" w:hAnsi="Calibri"/>
          <w:sz w:val="24"/>
          <w:szCs w:val="24"/>
        </w:rPr>
        <w:t>O DOC</w:t>
      </w:r>
      <w:r w:rsidR="00002D5C" w:rsidRPr="00002D5C">
        <w:rPr>
          <w:rFonts w:ascii="Calibri" w:hAnsi="Calibri"/>
          <w:sz w:val="24"/>
          <w:szCs w:val="24"/>
        </w:rPr>
        <w:t>/1</w:t>
      </w:r>
      <w:r w:rsidR="00F24117" w:rsidRPr="00002D5C">
        <w:rPr>
          <w:rFonts w:ascii="Calibri" w:hAnsi="Calibri"/>
          <w:sz w:val="24"/>
          <w:szCs w:val="24"/>
        </w:rPr>
        <w:t>).</w:t>
      </w:r>
    </w:p>
    <w:p w:rsidR="00EE4CFF" w:rsidRPr="0095299D" w:rsidRDefault="00EE4CFF" w:rsidP="00EE4CFF">
      <w:pPr>
        <w:pStyle w:val="ListParagraph"/>
        <w:numPr>
          <w:ilvl w:val="0"/>
          <w:numId w:val="5"/>
        </w:numPr>
        <w:spacing w:after="0"/>
        <w:contextualSpacing w:val="0"/>
        <w:jc w:val="both"/>
        <w:rPr>
          <w:rFonts w:ascii="Calibri" w:hAnsi="Calibri"/>
          <w:sz w:val="24"/>
          <w:szCs w:val="24"/>
        </w:rPr>
      </w:pPr>
      <w:r w:rsidRPr="0095299D">
        <w:rPr>
          <w:rFonts w:ascii="Calibri" w:hAnsi="Calibri"/>
          <w:sz w:val="24"/>
          <w:szCs w:val="24"/>
        </w:rPr>
        <w:t xml:space="preserve">It is also worth highlighting </w:t>
      </w:r>
      <w:hyperlink r:id="rId15" w:history="1">
        <w:proofErr w:type="spellStart"/>
        <w:r w:rsidRPr="0095299D">
          <w:rPr>
            <w:rStyle w:val="Hyperlink"/>
            <w:rFonts w:ascii="Calibri" w:hAnsi="Calibri"/>
            <w:sz w:val="24"/>
            <w:szCs w:val="24"/>
          </w:rPr>
          <w:t>mHealth</w:t>
        </w:r>
        <w:proofErr w:type="spellEnd"/>
        <w:r w:rsidRPr="0095299D">
          <w:rPr>
            <w:rStyle w:val="Hyperlink"/>
            <w:rFonts w:ascii="Calibri" w:hAnsi="Calibri"/>
            <w:sz w:val="24"/>
            <w:szCs w:val="24"/>
          </w:rPr>
          <w:t xml:space="preserve"> for Non-Communicable Diseases </w:t>
        </w:r>
        <w:proofErr w:type="spellStart"/>
        <w:r w:rsidRPr="0095299D">
          <w:rPr>
            <w:rStyle w:val="Hyperlink"/>
            <w:rFonts w:ascii="Calibri" w:hAnsi="Calibri"/>
            <w:sz w:val="24"/>
            <w:szCs w:val="24"/>
          </w:rPr>
          <w:t>Programme</w:t>
        </w:r>
        <w:proofErr w:type="spellEnd"/>
      </w:hyperlink>
      <w:r w:rsidRPr="0095299D">
        <w:rPr>
          <w:rFonts w:ascii="Calibri" w:hAnsi="Calibri"/>
          <w:sz w:val="24"/>
          <w:szCs w:val="24"/>
        </w:rPr>
        <w:t>, which is being implemented through public-private partnerships including UN agencies (e.g., ITU and WHO), governments, Bupa, Verizon foundation, IFPMA, Novartis, Sanofi, GSK, the NCD Alliance etc.</w:t>
      </w:r>
    </w:p>
    <w:p w:rsidR="00EE4CFF" w:rsidRPr="0062424D" w:rsidRDefault="00EE4CFF" w:rsidP="00EE4CFF">
      <w:pPr>
        <w:jc w:val="both"/>
        <w:rPr>
          <w:rFonts w:ascii="Calibri" w:hAnsi="Calibri"/>
          <w:szCs w:val="24"/>
          <w:lang w:val="en-US"/>
        </w:rPr>
      </w:pPr>
      <w:r>
        <w:rPr>
          <w:rFonts w:ascii="Calibri" w:hAnsi="Calibri"/>
          <w:b/>
          <w:bCs/>
          <w:szCs w:val="24"/>
          <w:lang w:val="en-US"/>
        </w:rPr>
        <w:t>Resolution</w:t>
      </w:r>
      <w:r w:rsidR="00AB3093">
        <w:rPr>
          <w:rFonts w:ascii="Calibri" w:hAnsi="Calibri"/>
          <w:b/>
          <w:bCs/>
          <w:szCs w:val="24"/>
          <w:lang w:val="en-US"/>
        </w:rPr>
        <w:t xml:space="preserve"> </w:t>
      </w:r>
      <w:r w:rsidRPr="0062424D">
        <w:rPr>
          <w:rFonts w:ascii="Calibri" w:hAnsi="Calibri"/>
          <w:b/>
          <w:bCs/>
          <w:szCs w:val="24"/>
          <w:lang w:val="en-US"/>
        </w:rPr>
        <w:t xml:space="preserve">71 (Rev. Dubai, 2014) </w:t>
      </w:r>
      <w:r w:rsidRPr="0062424D">
        <w:rPr>
          <w:rFonts w:ascii="Calibri" w:hAnsi="Calibri"/>
          <w:szCs w:val="24"/>
          <w:lang w:val="en-US"/>
        </w:rPr>
        <w:t>on “Strengthening cooperation between Member States, Sector Members, Associates and Academia of the ITU Telecommunication Development Sector,</w:t>
      </w:r>
      <w:r>
        <w:rPr>
          <w:rFonts w:ascii="Calibri" w:hAnsi="Calibri"/>
          <w:szCs w:val="24"/>
          <w:lang w:val="en-US"/>
        </w:rPr>
        <w:t xml:space="preserve"> including the private sector” has been implemented through various ITU-D meetings, initiatives and partnership: e.g., </w:t>
      </w:r>
    </w:p>
    <w:p w:rsidR="00EE4CFF" w:rsidRPr="0062424D" w:rsidRDefault="00C525EC" w:rsidP="00AB3093">
      <w:pPr>
        <w:pStyle w:val="ListParagraph"/>
        <w:numPr>
          <w:ilvl w:val="0"/>
          <w:numId w:val="3"/>
        </w:numPr>
        <w:spacing w:after="0"/>
        <w:jc w:val="both"/>
        <w:rPr>
          <w:rFonts w:ascii="Calibri" w:hAnsi="Calibri"/>
          <w:sz w:val="24"/>
          <w:szCs w:val="24"/>
        </w:rPr>
      </w:pPr>
      <w:hyperlink r:id="rId16" w:history="1">
        <w:r w:rsidR="00EE4CFF" w:rsidRPr="00E01460">
          <w:rPr>
            <w:rStyle w:val="Hyperlink"/>
            <w:rFonts w:ascii="Calibri" w:hAnsi="Calibri"/>
            <w:sz w:val="24"/>
            <w:szCs w:val="24"/>
          </w:rPr>
          <w:t>ITU-D Study Groups</w:t>
        </w:r>
      </w:hyperlink>
      <w:r w:rsidR="00EE4CFF" w:rsidRPr="0062424D">
        <w:rPr>
          <w:rFonts w:ascii="Calibri" w:hAnsi="Calibri"/>
          <w:sz w:val="24"/>
          <w:szCs w:val="24"/>
        </w:rPr>
        <w:t xml:space="preserve"> continued to provide an opportunity for the ITU-D Sector membership, including private sector, to share experiences, ideas and strategies to address telecommunication/ICT priorities. The diverse nature of </w:t>
      </w:r>
      <w:r w:rsidR="00EE4CFF">
        <w:rPr>
          <w:rFonts w:ascii="Calibri" w:hAnsi="Calibri"/>
          <w:sz w:val="24"/>
          <w:szCs w:val="24"/>
        </w:rPr>
        <w:t>S</w:t>
      </w:r>
      <w:r w:rsidR="00EE4CFF" w:rsidRPr="0062424D">
        <w:rPr>
          <w:rFonts w:ascii="Calibri" w:hAnsi="Calibri"/>
          <w:sz w:val="24"/>
          <w:szCs w:val="24"/>
        </w:rPr>
        <w:t xml:space="preserve">ector </w:t>
      </w:r>
      <w:r w:rsidR="00EE4CFF">
        <w:rPr>
          <w:rFonts w:ascii="Calibri" w:hAnsi="Calibri"/>
          <w:sz w:val="24"/>
          <w:szCs w:val="24"/>
        </w:rPr>
        <w:t>M</w:t>
      </w:r>
      <w:r w:rsidR="00EE4CFF" w:rsidRPr="0062424D">
        <w:rPr>
          <w:rFonts w:ascii="Calibri" w:hAnsi="Calibri"/>
          <w:sz w:val="24"/>
          <w:szCs w:val="24"/>
        </w:rPr>
        <w:t xml:space="preserve">embers, </w:t>
      </w:r>
      <w:r w:rsidR="00EE4CFF">
        <w:rPr>
          <w:rFonts w:ascii="Calibri" w:hAnsi="Calibri"/>
          <w:sz w:val="24"/>
          <w:szCs w:val="24"/>
        </w:rPr>
        <w:t>A</w:t>
      </w:r>
      <w:r w:rsidR="00EE4CFF" w:rsidRPr="0062424D">
        <w:rPr>
          <w:rFonts w:ascii="Calibri" w:hAnsi="Calibri"/>
          <w:sz w:val="24"/>
          <w:szCs w:val="24"/>
        </w:rPr>
        <w:t xml:space="preserve">ssociates and increasing number of Academia is fostering fertile ground for collaboration amongst membership on innovative areas and outreaching to new members. </w:t>
      </w:r>
    </w:p>
    <w:p w:rsidR="00957EFD" w:rsidRDefault="00957EFD" w:rsidP="00957EFD">
      <w:pPr>
        <w:pStyle w:val="ListParagraph"/>
        <w:numPr>
          <w:ilvl w:val="0"/>
          <w:numId w:val="3"/>
        </w:numPr>
        <w:spacing w:after="0"/>
        <w:jc w:val="both"/>
        <w:rPr>
          <w:rFonts w:ascii="Calibri" w:hAnsi="Calibri"/>
          <w:sz w:val="24"/>
          <w:szCs w:val="24"/>
        </w:rPr>
      </w:pPr>
      <w:r w:rsidRPr="00957EFD">
        <w:rPr>
          <w:rFonts w:ascii="Calibri" w:hAnsi="Calibri"/>
          <w:sz w:val="24"/>
          <w:szCs w:val="24"/>
        </w:rPr>
        <w:t xml:space="preserve">BDT organized a </w:t>
      </w:r>
      <w:hyperlink r:id="rId17" w:history="1">
        <w:r w:rsidRPr="00E01460">
          <w:rPr>
            <w:rStyle w:val="Hyperlink"/>
            <w:rFonts w:ascii="Calibri" w:hAnsi="Calibri"/>
            <w:sz w:val="24"/>
            <w:szCs w:val="24"/>
          </w:rPr>
          <w:t>Partnership Dialogue on ICTs</w:t>
        </w:r>
        <w:r w:rsidRPr="00E01460">
          <w:rPr>
            <w:rStyle w:val="Hyperlink"/>
            <w:rFonts w:ascii="Calibri" w:hAnsi="Calibri" w:hint="eastAsia"/>
            <w:sz w:val="24"/>
            <w:szCs w:val="24"/>
          </w:rPr>
          <w:t>④</w:t>
        </w:r>
        <w:r w:rsidRPr="00E01460">
          <w:rPr>
            <w:rStyle w:val="Hyperlink"/>
            <w:rFonts w:ascii="Calibri" w:hAnsi="Calibri"/>
            <w:sz w:val="24"/>
            <w:szCs w:val="24"/>
          </w:rPr>
          <w:t>SDGs</w:t>
        </w:r>
      </w:hyperlink>
      <w:r w:rsidRPr="00957EFD">
        <w:rPr>
          <w:rFonts w:ascii="Calibri" w:hAnsi="Calibri"/>
          <w:sz w:val="24"/>
          <w:szCs w:val="24"/>
        </w:rPr>
        <w:t xml:space="preserve"> which was attended by over 70 participants. The Dialogue provided a platform for ITU-D Members and partners, including public and private sector entities, academic institutions and other stakeholders for strengthened awareness and engagement in the activities of the BDT by sharing existing services and products as well as cross-sectoral partnership opportunities for the attainment of the SDGs.  </w:t>
      </w:r>
    </w:p>
    <w:p w:rsidR="00EE4CFF" w:rsidRPr="0062424D" w:rsidRDefault="00EE4CFF" w:rsidP="00EE4CFF">
      <w:pPr>
        <w:pStyle w:val="ListParagraph"/>
        <w:numPr>
          <w:ilvl w:val="0"/>
          <w:numId w:val="3"/>
        </w:numPr>
        <w:spacing w:after="0"/>
        <w:jc w:val="both"/>
        <w:rPr>
          <w:rFonts w:ascii="Calibri" w:hAnsi="Calibri"/>
          <w:sz w:val="24"/>
          <w:szCs w:val="24"/>
        </w:rPr>
      </w:pPr>
      <w:r w:rsidRPr="0062424D">
        <w:rPr>
          <w:rFonts w:ascii="Calibri" w:hAnsi="Calibri"/>
          <w:sz w:val="24"/>
          <w:szCs w:val="24"/>
        </w:rPr>
        <w:t xml:space="preserve">Increased cooperation with international organizations is also being explored (e.g. </w:t>
      </w:r>
      <w:r w:rsidR="007F1E76">
        <w:rPr>
          <w:rFonts w:ascii="Calibri" w:hAnsi="Calibri"/>
          <w:sz w:val="24"/>
          <w:szCs w:val="24"/>
        </w:rPr>
        <w:t xml:space="preserve">FAO, WHO, </w:t>
      </w:r>
      <w:r w:rsidRPr="0062424D">
        <w:rPr>
          <w:rFonts w:ascii="Calibri" w:hAnsi="Calibri"/>
          <w:sz w:val="24"/>
          <w:szCs w:val="24"/>
        </w:rPr>
        <w:t>UNIDO, UNCTAD and ITC</w:t>
      </w:r>
      <w:r w:rsidR="007F1E76">
        <w:rPr>
          <w:rFonts w:ascii="Calibri" w:hAnsi="Calibri"/>
          <w:sz w:val="24"/>
          <w:szCs w:val="24"/>
        </w:rPr>
        <w:t>, amongst others</w:t>
      </w:r>
      <w:r w:rsidRPr="0062424D">
        <w:rPr>
          <w:rFonts w:ascii="Calibri" w:hAnsi="Calibri"/>
          <w:sz w:val="24"/>
          <w:szCs w:val="24"/>
        </w:rPr>
        <w:t xml:space="preserve">) in order to outreach to other private sector entities already associated with these organizations and promote potential networking actions with Member States, Sector members, Associates and Academia on areas related to innovation, start-ups, </w:t>
      </w:r>
      <w:proofErr w:type="spellStart"/>
      <w:r w:rsidRPr="0062424D">
        <w:rPr>
          <w:rFonts w:ascii="Calibri" w:hAnsi="Calibri"/>
          <w:sz w:val="24"/>
          <w:szCs w:val="24"/>
        </w:rPr>
        <w:t>technoparks</w:t>
      </w:r>
      <w:proofErr w:type="spellEnd"/>
      <w:r w:rsidRPr="0062424D">
        <w:rPr>
          <w:rFonts w:ascii="Calibri" w:hAnsi="Calibri"/>
          <w:sz w:val="24"/>
          <w:szCs w:val="24"/>
        </w:rPr>
        <w:t xml:space="preserve">, and incubators. </w:t>
      </w:r>
    </w:p>
    <w:p w:rsidR="00EE4CFF" w:rsidRDefault="00EE4CFF" w:rsidP="004F697D">
      <w:pPr>
        <w:pStyle w:val="ListParagraph"/>
        <w:numPr>
          <w:ilvl w:val="0"/>
          <w:numId w:val="3"/>
        </w:numPr>
        <w:spacing w:after="0"/>
        <w:jc w:val="both"/>
        <w:rPr>
          <w:rFonts w:ascii="Calibri" w:hAnsi="Calibri"/>
          <w:sz w:val="24"/>
          <w:szCs w:val="24"/>
        </w:rPr>
      </w:pPr>
      <w:r w:rsidRPr="0062424D">
        <w:rPr>
          <w:rFonts w:ascii="Calibri" w:hAnsi="Calibri"/>
          <w:sz w:val="24"/>
          <w:szCs w:val="24"/>
        </w:rPr>
        <w:t>Global and/or regional initiatives for sustainable and inclusive development (e.g., sustainable supply of electricity to telecommunication/ICT facilities in rural and rem</w:t>
      </w:r>
      <w:r w:rsidR="004F697D">
        <w:rPr>
          <w:rFonts w:ascii="Calibri" w:hAnsi="Calibri"/>
          <w:sz w:val="24"/>
          <w:szCs w:val="24"/>
        </w:rPr>
        <w:t xml:space="preserve">ote areas, </w:t>
      </w:r>
      <w:proofErr w:type="spellStart"/>
      <w:r w:rsidR="004F697D">
        <w:rPr>
          <w:rFonts w:ascii="Calibri" w:hAnsi="Calibri"/>
          <w:sz w:val="24"/>
          <w:szCs w:val="24"/>
        </w:rPr>
        <w:t>mHealth</w:t>
      </w:r>
      <w:proofErr w:type="spellEnd"/>
      <w:r w:rsidRPr="0062424D">
        <w:rPr>
          <w:rFonts w:ascii="Calibri" w:hAnsi="Calibri"/>
          <w:sz w:val="24"/>
          <w:szCs w:val="24"/>
        </w:rPr>
        <w:t>, youth employment and entrepreneurship, innovation incubators, etc.) can be further enhanced with the private sector across different areas, from agriculture, health, transportation, and finance to education in the converged ICT eco-system.</w:t>
      </w:r>
    </w:p>
    <w:p w:rsidR="00EE4CFF" w:rsidRPr="0062424D" w:rsidRDefault="00EE4CFF" w:rsidP="00EE4CFF">
      <w:pPr>
        <w:pStyle w:val="ListParagraph"/>
        <w:keepNext/>
        <w:numPr>
          <w:ilvl w:val="0"/>
          <w:numId w:val="1"/>
        </w:numPr>
        <w:tabs>
          <w:tab w:val="left" w:pos="567"/>
        </w:tabs>
        <w:overflowPunct w:val="0"/>
        <w:autoSpaceDE w:val="0"/>
        <w:autoSpaceDN w:val="0"/>
        <w:adjustRightInd w:val="0"/>
        <w:spacing w:after="0"/>
        <w:ind w:left="0" w:firstLine="0"/>
        <w:contextualSpacing w:val="0"/>
        <w:jc w:val="both"/>
        <w:textAlignment w:val="baseline"/>
        <w:rPr>
          <w:rFonts w:ascii="Calibri" w:hAnsi="Calibri"/>
          <w:b/>
          <w:color w:val="000000" w:themeColor="text1"/>
          <w:sz w:val="24"/>
          <w:szCs w:val="24"/>
        </w:rPr>
      </w:pPr>
      <w:r w:rsidRPr="0062424D">
        <w:rPr>
          <w:rFonts w:ascii="Calibri" w:hAnsi="Calibri"/>
          <w:b/>
          <w:color w:val="000000" w:themeColor="text1"/>
          <w:sz w:val="24"/>
          <w:szCs w:val="24"/>
        </w:rPr>
        <w:t>Ways forward</w:t>
      </w:r>
    </w:p>
    <w:p w:rsidR="00EE4CFF" w:rsidRPr="0062424D" w:rsidRDefault="00EE4CFF" w:rsidP="00EE4CFF">
      <w:pPr>
        <w:jc w:val="both"/>
        <w:rPr>
          <w:rFonts w:ascii="Calibri" w:hAnsi="Calibri" w:cs="Arial"/>
          <w:szCs w:val="24"/>
          <w:lang w:val="en-US" w:eastAsia="zh-CN"/>
        </w:rPr>
      </w:pPr>
      <w:r>
        <w:rPr>
          <w:rFonts w:ascii="Calibri" w:hAnsi="Calibri" w:cs="Arial"/>
          <w:szCs w:val="24"/>
          <w:lang w:val="en-US" w:eastAsia="zh-CN"/>
        </w:rPr>
        <w:t>The p</w:t>
      </w:r>
      <w:r w:rsidRPr="0062424D">
        <w:rPr>
          <w:rFonts w:ascii="Calibri" w:hAnsi="Calibri" w:cs="Arial"/>
          <w:szCs w:val="24"/>
          <w:lang w:val="en-US" w:eastAsia="zh-CN"/>
        </w:rPr>
        <w:t xml:space="preserve">rivate sector is a driver of </w:t>
      </w:r>
      <w:r w:rsidR="002F649B">
        <w:rPr>
          <w:rFonts w:ascii="Calibri" w:hAnsi="Calibri" w:cs="Arial"/>
          <w:szCs w:val="24"/>
          <w:lang w:val="en-US" w:eastAsia="zh-CN"/>
        </w:rPr>
        <w:t xml:space="preserve">innovation, </w:t>
      </w:r>
      <w:r w:rsidRPr="0062424D">
        <w:rPr>
          <w:rFonts w:ascii="Calibri" w:hAnsi="Calibri" w:cs="Arial"/>
          <w:szCs w:val="24"/>
          <w:lang w:val="en-US" w:eastAsia="zh-CN"/>
        </w:rPr>
        <w:t>productivity and technological efficiencies and will remain an important player in terms of investment for sustainable economic growth, job creation, and transformatio</w:t>
      </w:r>
      <w:r w:rsidR="002F649B">
        <w:rPr>
          <w:rFonts w:ascii="Calibri" w:hAnsi="Calibri" w:cs="Arial"/>
          <w:szCs w:val="24"/>
          <w:lang w:val="en-US" w:eastAsia="zh-CN"/>
        </w:rPr>
        <w:t>n towards an inclusive society and digital economy.</w:t>
      </w:r>
    </w:p>
    <w:p w:rsidR="00EE4CFF" w:rsidRDefault="00EE4CFF" w:rsidP="007F1E76">
      <w:pPr>
        <w:jc w:val="both"/>
        <w:rPr>
          <w:rFonts w:ascii="Calibri" w:hAnsi="Calibri"/>
          <w:szCs w:val="24"/>
          <w:lang w:val="en-US"/>
        </w:rPr>
      </w:pPr>
      <w:r w:rsidRPr="0062424D">
        <w:rPr>
          <w:rFonts w:ascii="Calibri" w:hAnsi="Calibri"/>
          <w:szCs w:val="24"/>
          <w:lang w:val="en-US"/>
        </w:rPr>
        <w:t>BDT</w:t>
      </w:r>
      <w:r>
        <w:rPr>
          <w:rFonts w:ascii="Calibri" w:hAnsi="Calibri"/>
          <w:szCs w:val="24"/>
          <w:lang w:val="en-US"/>
        </w:rPr>
        <w:t>, therefore,</w:t>
      </w:r>
      <w:r w:rsidRPr="0062424D">
        <w:rPr>
          <w:rFonts w:ascii="Calibri" w:hAnsi="Calibri"/>
          <w:szCs w:val="24"/>
          <w:lang w:val="en-US"/>
        </w:rPr>
        <w:t xml:space="preserve"> will continue to enhance collaboration and synergies with existing private sector</w:t>
      </w:r>
      <w:r w:rsidR="00957EFD">
        <w:rPr>
          <w:rFonts w:ascii="Calibri" w:hAnsi="Calibri"/>
          <w:szCs w:val="24"/>
          <w:lang w:val="en-US"/>
        </w:rPr>
        <w:t xml:space="preserve"> entities in the converged ICT ecosystem through enhanced partnership with industry associations, regional and international organizations and their existing networks and affiliated members, as well as </w:t>
      </w:r>
      <w:r w:rsidRPr="00C948C8">
        <w:rPr>
          <w:rFonts w:ascii="Calibri" w:hAnsi="Calibri"/>
          <w:szCs w:val="24"/>
          <w:lang w:val="en-US"/>
        </w:rPr>
        <w:t xml:space="preserve">through existing and </w:t>
      </w:r>
      <w:r w:rsidR="00957EFD">
        <w:rPr>
          <w:rFonts w:ascii="Calibri" w:hAnsi="Calibri"/>
          <w:szCs w:val="24"/>
          <w:lang w:val="en-US"/>
        </w:rPr>
        <w:t>new</w:t>
      </w:r>
      <w:r w:rsidRPr="00C948C8">
        <w:rPr>
          <w:rFonts w:ascii="Calibri" w:hAnsi="Calibri"/>
          <w:szCs w:val="24"/>
          <w:lang w:val="en-US"/>
        </w:rPr>
        <w:t xml:space="preserve"> BDT events at global levels </w:t>
      </w:r>
      <w:r w:rsidR="00957EFD">
        <w:rPr>
          <w:rFonts w:ascii="Calibri" w:hAnsi="Calibri"/>
          <w:szCs w:val="24"/>
          <w:lang w:val="en-US"/>
        </w:rPr>
        <w:t xml:space="preserve">and at regional levels. </w:t>
      </w:r>
      <w:r w:rsidR="007F1E76">
        <w:rPr>
          <w:rFonts w:ascii="Calibri" w:hAnsi="Calibri"/>
          <w:szCs w:val="24"/>
          <w:lang w:val="en-US"/>
        </w:rPr>
        <w:t xml:space="preserve">Increased </w:t>
      </w:r>
      <w:r w:rsidR="007F1E76" w:rsidRPr="007F1E76">
        <w:rPr>
          <w:rFonts w:ascii="Calibri" w:hAnsi="Calibri"/>
          <w:szCs w:val="24"/>
          <w:lang w:val="en-US"/>
        </w:rPr>
        <w:t xml:space="preserve">sponsorship opportunities </w:t>
      </w:r>
      <w:r w:rsidR="007F1E76">
        <w:rPr>
          <w:rFonts w:ascii="Calibri" w:hAnsi="Calibri"/>
          <w:szCs w:val="24"/>
          <w:lang w:val="en-US"/>
        </w:rPr>
        <w:t>to ITU-D membership in which the private sector can i</w:t>
      </w:r>
      <w:r w:rsidR="007F1E76" w:rsidRPr="007F1E76">
        <w:rPr>
          <w:rFonts w:ascii="Calibri" w:hAnsi="Calibri"/>
          <w:szCs w:val="24"/>
          <w:lang w:val="en-US"/>
        </w:rPr>
        <w:t xml:space="preserve">ncrease visibility, </w:t>
      </w:r>
      <w:r w:rsidR="007F1E76">
        <w:rPr>
          <w:rFonts w:ascii="Calibri" w:hAnsi="Calibri"/>
          <w:szCs w:val="24"/>
          <w:lang w:val="en-US"/>
        </w:rPr>
        <w:t xml:space="preserve">brand promotion and showcasing of their </w:t>
      </w:r>
      <w:r w:rsidR="007F1E76" w:rsidRPr="007F1E76">
        <w:rPr>
          <w:rFonts w:ascii="Calibri" w:hAnsi="Calibri"/>
          <w:szCs w:val="24"/>
          <w:lang w:val="en-US"/>
        </w:rPr>
        <w:t>products and solutions</w:t>
      </w:r>
      <w:r w:rsidR="007F1E76">
        <w:rPr>
          <w:rFonts w:ascii="Calibri" w:hAnsi="Calibri"/>
          <w:szCs w:val="24"/>
          <w:lang w:val="en-US"/>
        </w:rPr>
        <w:t>.</w:t>
      </w:r>
    </w:p>
    <w:p w:rsidR="00F24117" w:rsidRDefault="00F24117" w:rsidP="007F1E76">
      <w:pPr>
        <w:jc w:val="both"/>
        <w:rPr>
          <w:rFonts w:ascii="Calibri" w:hAnsi="Calibri"/>
          <w:szCs w:val="24"/>
          <w:lang w:val="en-US"/>
        </w:rPr>
      </w:pPr>
      <w:r w:rsidRPr="00866892">
        <w:rPr>
          <w:rFonts w:ascii="Calibri" w:hAnsi="Calibri"/>
          <w:szCs w:val="24"/>
          <w:lang w:val="en-US"/>
        </w:rPr>
        <w:t xml:space="preserve">Private sector is invited to </w:t>
      </w:r>
      <w:r w:rsidR="007F1E76" w:rsidRPr="00866892">
        <w:rPr>
          <w:rFonts w:ascii="Calibri" w:hAnsi="Calibri"/>
          <w:szCs w:val="24"/>
          <w:lang w:val="en-US"/>
        </w:rPr>
        <w:t>participate in</w:t>
      </w:r>
      <w:r w:rsidRPr="00866892">
        <w:rPr>
          <w:rFonts w:ascii="Calibri" w:hAnsi="Calibri"/>
          <w:szCs w:val="24"/>
          <w:lang w:val="en-US"/>
        </w:rPr>
        <w:t xml:space="preserve"> </w:t>
      </w:r>
      <w:hyperlink r:id="rId18" w:history="1">
        <w:r w:rsidRPr="00002D5C">
          <w:rPr>
            <w:rStyle w:val="Hyperlink"/>
            <w:rFonts w:ascii="Calibri" w:hAnsi="Calibri"/>
            <w:szCs w:val="24"/>
            <w:lang w:val="en-US"/>
          </w:rPr>
          <w:t>WTDC-17</w:t>
        </w:r>
      </w:hyperlink>
      <w:r w:rsidRPr="00866892">
        <w:rPr>
          <w:rFonts w:ascii="Calibri" w:hAnsi="Calibri"/>
          <w:szCs w:val="24"/>
          <w:lang w:val="en-US"/>
        </w:rPr>
        <w:t xml:space="preserve"> and its </w:t>
      </w:r>
      <w:hyperlink r:id="rId19" w:history="1">
        <w:r w:rsidRPr="00002D5C">
          <w:rPr>
            <w:rStyle w:val="Hyperlink"/>
            <w:rFonts w:ascii="Calibri" w:hAnsi="Calibri"/>
            <w:szCs w:val="24"/>
            <w:lang w:val="en-US"/>
          </w:rPr>
          <w:t>Regional Preparatory Meetings</w:t>
        </w:r>
      </w:hyperlink>
      <w:r w:rsidR="007F1E76" w:rsidRPr="00866892">
        <w:rPr>
          <w:rFonts w:ascii="Calibri" w:hAnsi="Calibri"/>
          <w:szCs w:val="24"/>
          <w:lang w:val="en-US"/>
        </w:rPr>
        <w:t xml:space="preserve"> and</w:t>
      </w:r>
      <w:r w:rsidRPr="00866892">
        <w:rPr>
          <w:rFonts w:ascii="Calibri" w:hAnsi="Calibri"/>
          <w:szCs w:val="24"/>
          <w:lang w:val="en-US"/>
        </w:rPr>
        <w:t xml:space="preserve"> contribute</w:t>
      </w:r>
      <w:r w:rsidR="007F1E76" w:rsidRPr="00866892">
        <w:rPr>
          <w:rFonts w:ascii="Calibri" w:hAnsi="Calibri"/>
          <w:szCs w:val="24"/>
          <w:lang w:val="en-US"/>
        </w:rPr>
        <w:t xml:space="preserve"> to ITU-D sector’s work to achieve </w:t>
      </w:r>
      <w:r w:rsidRPr="00866892">
        <w:rPr>
          <w:rFonts w:ascii="Calibri" w:hAnsi="Calibri"/>
          <w:szCs w:val="24"/>
          <w:lang w:val="en-US"/>
        </w:rPr>
        <w:t>the Sustainable Development Goals (SDGs).</w:t>
      </w:r>
    </w:p>
    <w:p w:rsidR="00EE4CFF" w:rsidRPr="0062424D" w:rsidRDefault="00EE4CFF" w:rsidP="00A675C9">
      <w:pPr>
        <w:jc w:val="center"/>
        <w:rPr>
          <w:rFonts w:ascii="Calibri" w:hAnsi="Calibri"/>
          <w:szCs w:val="24"/>
          <w:lang w:val="en-US"/>
        </w:rPr>
      </w:pPr>
      <w:r>
        <w:rPr>
          <w:rFonts w:ascii="Calibri" w:hAnsi="Calibri"/>
          <w:szCs w:val="24"/>
          <w:lang w:val="en-US" w:eastAsia="pl-PL"/>
        </w:rPr>
        <w:t>_______________</w:t>
      </w:r>
    </w:p>
    <w:sectPr w:rsidR="00EE4CFF" w:rsidRPr="0062424D" w:rsidSect="00DA0B53">
      <w:headerReference w:type="default" r:id="rId20"/>
      <w:footerReference w:type="first" r:id="rId21"/>
      <w:pgSz w:w="11907" w:h="16834" w:code="9"/>
      <w:pgMar w:top="1418" w:right="1275" w:bottom="851" w:left="1134" w:header="51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899" w:rsidRDefault="00DD3899">
      <w:pPr>
        <w:spacing w:before="0"/>
      </w:pPr>
      <w:r>
        <w:separator/>
      </w:r>
    </w:p>
  </w:endnote>
  <w:endnote w:type="continuationSeparator" w:id="0">
    <w:p w:rsidR="00DD3899" w:rsidRDefault="00DD389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C525EC" w:rsidP="00B80157">
    <w:pPr>
      <w:pStyle w:val="Footer"/>
      <w:jc w:val="center"/>
    </w:pPr>
    <w:hyperlink r:id="rId1" w:history="1">
      <w:r w:rsidR="006649F1"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899" w:rsidRDefault="00DD3899">
      <w:pPr>
        <w:spacing w:before="0"/>
      </w:pPr>
      <w:r>
        <w:separator/>
      </w:r>
    </w:p>
  </w:footnote>
  <w:footnote w:type="continuationSeparator" w:id="0">
    <w:p w:rsidR="00DD3899" w:rsidRDefault="00DD389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6649F1" w:rsidP="00A675C9">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sidR="00A675C9">
      <w:rPr>
        <w:sz w:val="22"/>
        <w:szCs w:val="22"/>
        <w:lang w:val="de-CH"/>
      </w:rPr>
      <w:t>7</w:t>
    </w:r>
    <w:r w:rsidRPr="00A54E72">
      <w:rPr>
        <w:sz w:val="22"/>
        <w:szCs w:val="22"/>
        <w:lang w:val="de-CH"/>
      </w:rPr>
      <w:t>-</w:t>
    </w:r>
    <w:r>
      <w:rPr>
        <w:sz w:val="22"/>
        <w:szCs w:val="22"/>
        <w:lang w:val="de-CH"/>
      </w:rPr>
      <w:t>2</w:t>
    </w:r>
    <w:r w:rsidR="00A675C9">
      <w:rPr>
        <w:sz w:val="22"/>
        <w:szCs w:val="22"/>
        <w:lang w:val="de-CH"/>
      </w:rPr>
      <w:t>2</w:t>
    </w:r>
    <w:r w:rsidRPr="00A54E72">
      <w:rPr>
        <w:sz w:val="22"/>
        <w:szCs w:val="22"/>
        <w:lang w:val="de-CH"/>
      </w:rPr>
      <w:t>/</w:t>
    </w:r>
    <w:r w:rsidR="00A675C9">
      <w:rPr>
        <w:sz w:val="22"/>
        <w:szCs w:val="22"/>
        <w:lang w:val="de-CH"/>
      </w:rPr>
      <w:t>33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C525EC">
      <w:rPr>
        <w:noProof/>
        <w:sz w:val="22"/>
        <w:szCs w:val="22"/>
        <w:lang w:val="de-CH"/>
      </w:rPr>
      <w:t>5</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0856"/>
    <w:multiLevelType w:val="multilevel"/>
    <w:tmpl w:val="D4126458"/>
    <w:lvl w:ilvl="0">
      <w:start w:val="1"/>
      <w:numFmt w:val="decimal"/>
      <w:lvlText w:val="%1."/>
      <w:lvlJc w:val="left"/>
      <w:pPr>
        <w:ind w:left="9715" w:hanging="360"/>
      </w:pPr>
      <w:rPr>
        <w:rFonts w:hint="default"/>
      </w:rPr>
    </w:lvl>
    <w:lvl w:ilvl="1">
      <w:start w:val="1"/>
      <w:numFmt w:val="decimal"/>
      <w:isLgl/>
      <w:lvlText w:val="%1.%2."/>
      <w:lvlJc w:val="left"/>
      <w:pPr>
        <w:ind w:left="9715" w:hanging="360"/>
      </w:pPr>
      <w:rPr>
        <w:rFonts w:eastAsiaTheme="majorEastAsia" w:hint="default"/>
        <w:b/>
        <w:bCs w:val="0"/>
      </w:rPr>
    </w:lvl>
    <w:lvl w:ilvl="2">
      <w:start w:val="1"/>
      <w:numFmt w:val="decimal"/>
      <w:isLgl/>
      <w:lvlText w:val="%1.%2.%3."/>
      <w:lvlJc w:val="left"/>
      <w:pPr>
        <w:ind w:left="10075" w:hanging="720"/>
      </w:pPr>
      <w:rPr>
        <w:rFonts w:eastAsiaTheme="majorEastAsia" w:hint="default"/>
        <w:b w:val="0"/>
      </w:rPr>
    </w:lvl>
    <w:lvl w:ilvl="3">
      <w:start w:val="1"/>
      <w:numFmt w:val="decimal"/>
      <w:isLgl/>
      <w:lvlText w:val="%1.%2.%3.%4."/>
      <w:lvlJc w:val="left"/>
      <w:pPr>
        <w:ind w:left="10075" w:hanging="720"/>
      </w:pPr>
      <w:rPr>
        <w:rFonts w:eastAsiaTheme="majorEastAsia" w:hint="default"/>
        <w:b w:val="0"/>
      </w:rPr>
    </w:lvl>
    <w:lvl w:ilvl="4">
      <w:start w:val="1"/>
      <w:numFmt w:val="decimal"/>
      <w:isLgl/>
      <w:lvlText w:val="%1.%2.%3.%4.%5."/>
      <w:lvlJc w:val="left"/>
      <w:pPr>
        <w:ind w:left="10435" w:hanging="1080"/>
      </w:pPr>
      <w:rPr>
        <w:rFonts w:eastAsiaTheme="majorEastAsia" w:hint="default"/>
        <w:b w:val="0"/>
      </w:rPr>
    </w:lvl>
    <w:lvl w:ilvl="5">
      <w:start w:val="1"/>
      <w:numFmt w:val="decimal"/>
      <w:isLgl/>
      <w:lvlText w:val="%1.%2.%3.%4.%5.%6."/>
      <w:lvlJc w:val="left"/>
      <w:pPr>
        <w:ind w:left="10435" w:hanging="1080"/>
      </w:pPr>
      <w:rPr>
        <w:rFonts w:eastAsiaTheme="majorEastAsia" w:hint="default"/>
        <w:b w:val="0"/>
      </w:rPr>
    </w:lvl>
    <w:lvl w:ilvl="6">
      <w:start w:val="1"/>
      <w:numFmt w:val="decimal"/>
      <w:isLgl/>
      <w:lvlText w:val="%1.%2.%3.%4.%5.%6.%7."/>
      <w:lvlJc w:val="left"/>
      <w:pPr>
        <w:ind w:left="10795" w:hanging="1440"/>
      </w:pPr>
      <w:rPr>
        <w:rFonts w:eastAsiaTheme="majorEastAsia" w:hint="default"/>
        <w:b w:val="0"/>
      </w:rPr>
    </w:lvl>
    <w:lvl w:ilvl="7">
      <w:start w:val="1"/>
      <w:numFmt w:val="decimal"/>
      <w:isLgl/>
      <w:lvlText w:val="%1.%2.%3.%4.%5.%6.%7.%8."/>
      <w:lvlJc w:val="left"/>
      <w:pPr>
        <w:ind w:left="10795" w:hanging="1440"/>
      </w:pPr>
      <w:rPr>
        <w:rFonts w:eastAsiaTheme="majorEastAsia" w:hint="default"/>
        <w:b w:val="0"/>
      </w:rPr>
    </w:lvl>
    <w:lvl w:ilvl="8">
      <w:start w:val="1"/>
      <w:numFmt w:val="decimal"/>
      <w:isLgl/>
      <w:lvlText w:val="%1.%2.%3.%4.%5.%6.%7.%8.%9."/>
      <w:lvlJc w:val="left"/>
      <w:pPr>
        <w:ind w:left="11155" w:hanging="1800"/>
      </w:pPr>
      <w:rPr>
        <w:rFonts w:eastAsiaTheme="majorEastAsia" w:hint="default"/>
        <w:b w:val="0"/>
      </w:rPr>
    </w:lvl>
  </w:abstractNum>
  <w:abstractNum w:abstractNumId="1" w15:restartNumberingAfterBreak="0">
    <w:nsid w:val="2A221C6B"/>
    <w:multiLevelType w:val="hybridMultilevel"/>
    <w:tmpl w:val="D5907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99692C"/>
    <w:multiLevelType w:val="hybridMultilevel"/>
    <w:tmpl w:val="1ED2A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C1C72C0"/>
    <w:multiLevelType w:val="hybridMultilevel"/>
    <w:tmpl w:val="0052A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C1E21BE"/>
    <w:multiLevelType w:val="hybridMultilevel"/>
    <w:tmpl w:val="4D726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E491D9C"/>
    <w:multiLevelType w:val="hybridMultilevel"/>
    <w:tmpl w:val="2E0E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354B5"/>
    <w:multiLevelType w:val="hybridMultilevel"/>
    <w:tmpl w:val="BE148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9D"/>
    <w:rsid w:val="00002D5C"/>
    <w:rsid w:val="000530F2"/>
    <w:rsid w:val="000644F1"/>
    <w:rsid w:val="000E035A"/>
    <w:rsid w:val="00186C48"/>
    <w:rsid w:val="001C7EEF"/>
    <w:rsid w:val="00213D0F"/>
    <w:rsid w:val="0022236B"/>
    <w:rsid w:val="002A5965"/>
    <w:rsid w:val="002E0E60"/>
    <w:rsid w:val="002F3B4D"/>
    <w:rsid w:val="002F649B"/>
    <w:rsid w:val="00354A97"/>
    <w:rsid w:val="003E3DDC"/>
    <w:rsid w:val="004449EA"/>
    <w:rsid w:val="004A05B5"/>
    <w:rsid w:val="004F697D"/>
    <w:rsid w:val="004F78C6"/>
    <w:rsid w:val="005146C2"/>
    <w:rsid w:val="005B25DA"/>
    <w:rsid w:val="006409F5"/>
    <w:rsid w:val="006649F1"/>
    <w:rsid w:val="00665906"/>
    <w:rsid w:val="0068359B"/>
    <w:rsid w:val="006D34CB"/>
    <w:rsid w:val="00724858"/>
    <w:rsid w:val="007315B1"/>
    <w:rsid w:val="00776D50"/>
    <w:rsid w:val="007E741D"/>
    <w:rsid w:val="007F1E76"/>
    <w:rsid w:val="00817E7A"/>
    <w:rsid w:val="00864E2C"/>
    <w:rsid w:val="00866892"/>
    <w:rsid w:val="00890616"/>
    <w:rsid w:val="008E18FE"/>
    <w:rsid w:val="0095299D"/>
    <w:rsid w:val="00957EFD"/>
    <w:rsid w:val="00972372"/>
    <w:rsid w:val="00A23A26"/>
    <w:rsid w:val="00A675C9"/>
    <w:rsid w:val="00AB1BEC"/>
    <w:rsid w:val="00AB3093"/>
    <w:rsid w:val="00AE10DC"/>
    <w:rsid w:val="00BA0CE3"/>
    <w:rsid w:val="00BD7E9D"/>
    <w:rsid w:val="00BF3581"/>
    <w:rsid w:val="00C525EC"/>
    <w:rsid w:val="00CB5D02"/>
    <w:rsid w:val="00DA2422"/>
    <w:rsid w:val="00DB0F65"/>
    <w:rsid w:val="00DC715D"/>
    <w:rsid w:val="00DD3899"/>
    <w:rsid w:val="00DD5E41"/>
    <w:rsid w:val="00DF13B1"/>
    <w:rsid w:val="00E01460"/>
    <w:rsid w:val="00E17878"/>
    <w:rsid w:val="00E9489D"/>
    <w:rsid w:val="00ED46BC"/>
    <w:rsid w:val="00ED4982"/>
    <w:rsid w:val="00EE4CFF"/>
    <w:rsid w:val="00F24117"/>
    <w:rsid w:val="00F60C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9BAF316-529D-4118-8D9E-181990C3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E9D"/>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D7E9D"/>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BD7E9D"/>
    <w:rPr>
      <w:rFonts w:eastAsia="Times New Roman" w:cs="Times New Roman"/>
      <w:caps/>
      <w:noProof/>
      <w:sz w:val="16"/>
      <w:szCs w:val="20"/>
      <w:lang w:val="fr-FR" w:eastAsia="en-US"/>
    </w:rPr>
  </w:style>
  <w:style w:type="paragraph" w:styleId="Header">
    <w:name w:val="header"/>
    <w:basedOn w:val="Normal"/>
    <w:link w:val="HeaderChar"/>
    <w:uiPriority w:val="99"/>
    <w:rsid w:val="00BD7E9D"/>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BD7E9D"/>
    <w:rPr>
      <w:rFonts w:eastAsia="Times New Roman" w:cs="Times New Roman"/>
      <w:sz w:val="18"/>
      <w:szCs w:val="20"/>
      <w:lang w:val="fr-FR" w:eastAsia="en-US"/>
    </w:rPr>
  </w:style>
  <w:style w:type="paragraph" w:customStyle="1" w:styleId="Normalaftertitle">
    <w:name w:val="Normal after title"/>
    <w:basedOn w:val="Normal"/>
    <w:next w:val="Normal"/>
    <w:rsid w:val="00BD7E9D"/>
    <w:pPr>
      <w:spacing w:before="280"/>
    </w:pPr>
  </w:style>
  <w:style w:type="paragraph" w:customStyle="1" w:styleId="Source">
    <w:name w:val="Source"/>
    <w:basedOn w:val="Normal"/>
    <w:next w:val="Normalaftertitle"/>
    <w:rsid w:val="00BD7E9D"/>
    <w:rPr>
      <w:b/>
    </w:rPr>
  </w:style>
  <w:style w:type="paragraph" w:customStyle="1" w:styleId="Title1">
    <w:name w:val="Title 1"/>
    <w:basedOn w:val="Source"/>
    <w:next w:val="Normal"/>
    <w:rsid w:val="00BD7E9D"/>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character" w:styleId="PageNumber">
    <w:name w:val="page number"/>
    <w:basedOn w:val="DefaultParagraphFont"/>
    <w:rsid w:val="00BD7E9D"/>
    <w:rPr>
      <w:rFonts w:asciiTheme="minorHAnsi" w:hAnsiTheme="minorHAnsi"/>
    </w:rPr>
  </w:style>
  <w:style w:type="paragraph" w:customStyle="1" w:styleId="Committee">
    <w:name w:val="Committee"/>
    <w:basedOn w:val="Normal"/>
    <w:qFormat/>
    <w:rsid w:val="00BD7E9D"/>
    <w:rPr>
      <w:rFonts w:cs="Times New Roman Bold"/>
      <w:b/>
      <w:caps/>
    </w:rPr>
  </w:style>
  <w:style w:type="character" w:styleId="Hyperlink">
    <w:name w:val="Hyperlink"/>
    <w:basedOn w:val="DefaultParagraphFont"/>
    <w:rsid w:val="00BD7E9D"/>
    <w:rPr>
      <w:color w:val="0563C1" w:themeColor="hyperlink"/>
      <w:u w:val="single"/>
    </w:rPr>
  </w:style>
  <w:style w:type="paragraph" w:styleId="ListParagraph">
    <w:name w:val="List Paragraph"/>
    <w:basedOn w:val="Normal"/>
    <w:uiPriority w:val="34"/>
    <w:qFormat/>
    <w:rsid w:val="00EE4CFF"/>
    <w:pPr>
      <w:tabs>
        <w:tab w:val="clear" w:pos="794"/>
        <w:tab w:val="clear" w:pos="1191"/>
        <w:tab w:val="clear" w:pos="1588"/>
        <w:tab w:val="clear" w:pos="1985"/>
      </w:tabs>
      <w:overflowPunct/>
      <w:autoSpaceDE/>
      <w:autoSpaceDN/>
      <w:adjustRightInd/>
      <w:spacing w:after="120"/>
      <w:ind w:left="720"/>
      <w:contextualSpacing/>
      <w:textAlignment w:val="auto"/>
    </w:pPr>
    <w:rPr>
      <w:rFonts w:ascii="Verdana" w:eastAsia="SimHei" w:hAnsi="Verdana" w:cs="Simplified Arabic"/>
      <w:bCs/>
      <w:sz w:val="19"/>
      <w:szCs w:val="28"/>
      <w:lang w:val="en-US" w:eastAsia="zh-CN"/>
    </w:rPr>
  </w:style>
  <w:style w:type="paragraph" w:styleId="BalloonText">
    <w:name w:val="Balloon Text"/>
    <w:basedOn w:val="Normal"/>
    <w:link w:val="BalloonTextChar"/>
    <w:uiPriority w:val="99"/>
    <w:semiHidden/>
    <w:unhideWhenUsed/>
    <w:rsid w:val="006649F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9F1"/>
    <w:rPr>
      <w:rFonts w:ascii="Segoe UI" w:eastAsia="Times New Roman" w:hAnsi="Segoe UI" w:cs="Segoe UI"/>
      <w:sz w:val="18"/>
      <w:szCs w:val="18"/>
      <w:lang w:eastAsia="en-US"/>
    </w:rPr>
  </w:style>
  <w:style w:type="character" w:styleId="FollowedHyperlink">
    <w:name w:val="FollowedHyperlink"/>
    <w:basedOn w:val="DefaultParagraphFont"/>
    <w:uiPriority w:val="99"/>
    <w:semiHidden/>
    <w:unhideWhenUsed/>
    <w:rsid w:val="002F3B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en/ITU-D/Emergency-Telecommunications/Pages/PartneringforDisasterReduction.aspx" TargetMode="External"/><Relationship Id="rId18" Type="http://schemas.openxmlformats.org/officeDocument/2006/relationships/hyperlink" Target="http://www.itu.int/en/ITU-D/Conferences/WTDC/WTDC17/Pages/default.asp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itu.int/net4/wsis/forum/2016/" TargetMode="External"/><Relationship Id="rId17" Type="http://schemas.openxmlformats.org/officeDocument/2006/relationships/hyperlink" Target="https://www.itu.int/en/ITU-D/Membership/Pages/events/2016/PartnershipDialogueICT4SDGs/AcademiaNetwork01.aspx" TargetMode="External"/><Relationship Id="rId2" Type="http://schemas.openxmlformats.org/officeDocument/2006/relationships/styles" Target="styles.xml"/><Relationship Id="rId16" Type="http://schemas.openxmlformats.org/officeDocument/2006/relationships/hyperlink" Target="https://www.itu.int/net4/ITU-D/CDS/sg/index.asp?lg=1&amp;sp=201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ITU-D/Conferences/GSR/Pages/GSR2017/default.aspx" TargetMode="External"/><Relationship Id="rId5" Type="http://schemas.openxmlformats.org/officeDocument/2006/relationships/footnotes" Target="footnotes.xml"/><Relationship Id="rId15" Type="http://schemas.openxmlformats.org/officeDocument/2006/relationships/hyperlink" Target="http://www.itu.int/en/ITU-D/ICT-Applications/eHEALTH/Be_healthy/Pages/Be_Healthy.aspx" TargetMode="External"/><Relationship Id="rId23" Type="http://schemas.openxmlformats.org/officeDocument/2006/relationships/theme" Target="theme/theme1.xml"/><Relationship Id="rId10" Type="http://schemas.openxmlformats.org/officeDocument/2006/relationships/hyperlink" Target="http://www.itu.int/en/ITU-D/Conferences/CRO/Pages/default.aspx" TargetMode="External"/><Relationship Id="rId19" Type="http://schemas.openxmlformats.org/officeDocument/2006/relationships/hyperlink" Target="http://www.itu.int/en/ITU-D/Conferences/WTDC/WTDC17/Pages/default.aspx" TargetMode="External"/><Relationship Id="rId4" Type="http://schemas.openxmlformats.org/officeDocument/2006/relationships/webSettings" Target="webSettings.xml"/><Relationship Id="rId9" Type="http://schemas.openxmlformats.org/officeDocument/2006/relationships/hyperlink" Target="http://www.itu.int/en/ITU-D/Conferences/CRO/Pages/default.aspx" TargetMode="External"/><Relationship Id="rId14" Type="http://schemas.openxmlformats.org/officeDocument/2006/relationships/hyperlink" Target="http://www.itu.int/en/ITU-D/Emergency-Telecommunications/Pages/Events/2016/GET-2016.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Sadushaj, Donis</dc:creator>
  <cp:keywords/>
  <dc:description/>
  <cp:lastModifiedBy>Edgar, Caroline</cp:lastModifiedBy>
  <cp:revision>2</cp:revision>
  <cp:lastPrinted>2017-03-13T11:31:00Z</cp:lastPrinted>
  <dcterms:created xsi:type="dcterms:W3CDTF">2017-04-19T14:20:00Z</dcterms:created>
  <dcterms:modified xsi:type="dcterms:W3CDTF">2017-04-19T14:20:00Z</dcterms:modified>
</cp:coreProperties>
</file>