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4B7893" w:rsidRPr="002C3438" w:rsidTr="004B7893">
        <w:trPr>
          <w:cantSplit/>
          <w:trHeight w:val="1134"/>
        </w:trPr>
        <w:tc>
          <w:tcPr>
            <w:tcW w:w="1276" w:type="dxa"/>
            <w:tcBorders>
              <w:bottom w:val="single" w:sz="12" w:space="0" w:color="auto"/>
            </w:tcBorders>
          </w:tcPr>
          <w:p w:rsidR="004B7893" w:rsidRPr="002C3438" w:rsidRDefault="004B7893" w:rsidP="004B7893">
            <w:pPr>
              <w:rPr>
                <w:b/>
                <w:bCs/>
                <w:sz w:val="32"/>
                <w:szCs w:val="32"/>
                <w:lang w:val="es-ES_tradnl"/>
              </w:rPr>
            </w:pPr>
            <w:r w:rsidRPr="002C3438">
              <w:rPr>
                <w:noProof/>
                <w:color w:val="3399FF"/>
                <w:lang w:val="es-ES_tradnl" w:eastAsia="zh-CN"/>
              </w:rPr>
              <w:drawing>
                <wp:anchor distT="0" distB="0" distL="114300" distR="114300" simplePos="0" relativeHeight="251659264" behindDoc="0" locked="0" layoutInCell="1" allowOverlap="1" wp14:anchorId="307174C1" wp14:editId="0B98EE0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bottom w:val="single" w:sz="12" w:space="0" w:color="auto"/>
            </w:tcBorders>
          </w:tcPr>
          <w:p w:rsidR="004B7893" w:rsidRPr="002C3438" w:rsidRDefault="004B7893" w:rsidP="00BC7208">
            <w:pPr>
              <w:rPr>
                <w:b/>
                <w:bCs/>
                <w:sz w:val="32"/>
                <w:szCs w:val="32"/>
                <w:lang w:val="es-ES_tradnl"/>
              </w:rPr>
            </w:pPr>
            <w:r w:rsidRPr="002C3438">
              <w:rPr>
                <w:rFonts w:cstheme="minorHAnsi"/>
                <w:b/>
                <w:bCs/>
                <w:sz w:val="32"/>
                <w:szCs w:val="32"/>
                <w:lang w:val="es-ES_tradnl"/>
              </w:rPr>
              <w:t>Grupo Asesor de Desarrollo de las Telecomunicaciones (GADT</w:t>
            </w:r>
            <w:r w:rsidRPr="002C3438">
              <w:rPr>
                <w:b/>
                <w:bCs/>
                <w:sz w:val="32"/>
                <w:szCs w:val="32"/>
                <w:lang w:val="es-ES_tradnl"/>
              </w:rPr>
              <w:t>)</w:t>
            </w:r>
          </w:p>
          <w:p w:rsidR="004B7893" w:rsidRPr="002C3438" w:rsidRDefault="004B7893" w:rsidP="00BC7208">
            <w:pPr>
              <w:spacing w:before="100" w:after="120"/>
              <w:rPr>
                <w:rFonts w:ascii="Verdana" w:hAnsi="Verdana"/>
                <w:sz w:val="28"/>
                <w:szCs w:val="28"/>
                <w:lang w:val="es-ES_tradnl"/>
              </w:rPr>
            </w:pPr>
            <w:r w:rsidRPr="002C3438">
              <w:rPr>
                <w:b/>
                <w:bCs/>
                <w:sz w:val="26"/>
                <w:szCs w:val="26"/>
                <w:lang w:val="es-ES_tradnl"/>
              </w:rPr>
              <w:t>22ª reunión, Ginebra, 9-12 de mayo de 2017</w:t>
            </w:r>
          </w:p>
        </w:tc>
        <w:tc>
          <w:tcPr>
            <w:tcW w:w="3225" w:type="dxa"/>
            <w:tcBorders>
              <w:bottom w:val="single" w:sz="12" w:space="0" w:color="auto"/>
            </w:tcBorders>
          </w:tcPr>
          <w:p w:rsidR="004B7893" w:rsidRPr="002C3438" w:rsidRDefault="00BC7208" w:rsidP="004B7893">
            <w:pPr>
              <w:spacing w:before="40" w:after="80"/>
              <w:ind w:right="142"/>
              <w:rPr>
                <w:lang w:val="es-ES_tradnl"/>
              </w:rPr>
            </w:pPr>
            <w:r w:rsidRPr="002C3438">
              <w:rPr>
                <w:noProof/>
                <w:lang w:val="es-ES_tradnl" w:eastAsia="zh-CN"/>
              </w:rPr>
              <w:drawing>
                <wp:anchor distT="0" distB="0" distL="114300" distR="114300" simplePos="0" relativeHeight="251662336" behindDoc="0" locked="0" layoutInCell="1" allowOverlap="1" wp14:anchorId="5CFA6CFA" wp14:editId="0E338EC3">
                  <wp:simplePos x="0" y="0"/>
                  <wp:positionH relativeFrom="column">
                    <wp:posOffset>44417</wp:posOffset>
                  </wp:positionH>
                  <wp:positionV relativeFrom="paragraph">
                    <wp:posOffset>27025</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2C3438" w:rsidTr="004B7893">
        <w:trPr>
          <w:cantSplit/>
        </w:trPr>
        <w:tc>
          <w:tcPr>
            <w:tcW w:w="6663" w:type="dxa"/>
            <w:gridSpan w:val="2"/>
            <w:tcBorders>
              <w:top w:val="single" w:sz="12" w:space="0" w:color="auto"/>
            </w:tcBorders>
          </w:tcPr>
          <w:p w:rsidR="004B7893" w:rsidRPr="002C3438" w:rsidRDefault="004B7893" w:rsidP="004B7893">
            <w:pPr>
              <w:spacing w:before="0"/>
              <w:rPr>
                <w:rFonts w:cs="Arial"/>
                <w:b/>
                <w:bCs/>
                <w:sz w:val="20"/>
                <w:lang w:val="es-ES_tradnl"/>
              </w:rPr>
            </w:pPr>
          </w:p>
        </w:tc>
        <w:tc>
          <w:tcPr>
            <w:tcW w:w="3225" w:type="dxa"/>
            <w:tcBorders>
              <w:top w:val="single" w:sz="12" w:space="0" w:color="auto"/>
            </w:tcBorders>
          </w:tcPr>
          <w:p w:rsidR="004B7893" w:rsidRPr="002C3438" w:rsidRDefault="004B7893" w:rsidP="004B7893">
            <w:pPr>
              <w:spacing w:before="0"/>
              <w:rPr>
                <w:b/>
                <w:bCs/>
                <w:sz w:val="20"/>
                <w:lang w:val="es-ES_tradnl"/>
              </w:rPr>
            </w:pPr>
          </w:p>
        </w:tc>
      </w:tr>
      <w:tr w:rsidR="004B7893" w:rsidRPr="002C3438" w:rsidTr="004B7893">
        <w:trPr>
          <w:cantSplit/>
        </w:trPr>
        <w:tc>
          <w:tcPr>
            <w:tcW w:w="6663" w:type="dxa"/>
            <w:gridSpan w:val="2"/>
          </w:tcPr>
          <w:p w:rsidR="004B7893" w:rsidRPr="002C3438" w:rsidRDefault="004B7893" w:rsidP="004B7893">
            <w:pPr>
              <w:pStyle w:val="Committee"/>
              <w:spacing w:before="0"/>
              <w:rPr>
                <w:b w:val="0"/>
                <w:lang w:val="es-ES_tradnl"/>
              </w:rPr>
            </w:pPr>
          </w:p>
        </w:tc>
        <w:tc>
          <w:tcPr>
            <w:tcW w:w="3225" w:type="dxa"/>
          </w:tcPr>
          <w:p w:rsidR="004B7893" w:rsidRPr="002C3438" w:rsidRDefault="005637B9" w:rsidP="005E61ED">
            <w:pPr>
              <w:spacing w:before="0"/>
              <w:rPr>
                <w:bCs/>
                <w:lang w:val="es-ES_tradnl"/>
              </w:rPr>
            </w:pPr>
            <w:r w:rsidRPr="002C3438">
              <w:rPr>
                <w:b/>
                <w:bCs/>
                <w:lang w:val="es-ES_tradnl"/>
              </w:rPr>
              <w:t xml:space="preserve">Documento </w:t>
            </w:r>
            <w:bookmarkStart w:id="0" w:name="DocRef1"/>
            <w:bookmarkEnd w:id="0"/>
            <w:r w:rsidRPr="002C3438">
              <w:rPr>
                <w:b/>
                <w:bCs/>
                <w:lang w:val="es-ES_tradnl"/>
              </w:rPr>
              <w:t>TDAG17-22/</w:t>
            </w:r>
            <w:bookmarkStart w:id="1" w:name="DocNo1"/>
            <w:bookmarkEnd w:id="1"/>
            <w:r w:rsidR="005E61ED" w:rsidRPr="002C3438">
              <w:rPr>
                <w:b/>
                <w:bCs/>
                <w:lang w:val="es-ES_tradnl"/>
              </w:rPr>
              <w:t>33</w:t>
            </w:r>
            <w:r w:rsidRPr="002C3438">
              <w:rPr>
                <w:b/>
                <w:bCs/>
                <w:lang w:val="es-ES_tradnl"/>
              </w:rPr>
              <w:t>-S</w:t>
            </w:r>
          </w:p>
        </w:tc>
      </w:tr>
      <w:tr w:rsidR="004B7893" w:rsidRPr="002C3438" w:rsidTr="004B7893">
        <w:trPr>
          <w:cantSplit/>
        </w:trPr>
        <w:tc>
          <w:tcPr>
            <w:tcW w:w="6663" w:type="dxa"/>
            <w:gridSpan w:val="2"/>
          </w:tcPr>
          <w:p w:rsidR="004B7893" w:rsidRPr="002C3438" w:rsidRDefault="004B7893" w:rsidP="004B7893">
            <w:pPr>
              <w:spacing w:before="0"/>
              <w:rPr>
                <w:b/>
                <w:bCs/>
                <w:smallCaps/>
                <w:lang w:val="es-ES_tradnl"/>
              </w:rPr>
            </w:pPr>
          </w:p>
        </w:tc>
        <w:tc>
          <w:tcPr>
            <w:tcW w:w="3225" w:type="dxa"/>
          </w:tcPr>
          <w:p w:rsidR="004B7893" w:rsidRPr="002C3438" w:rsidRDefault="005E61ED" w:rsidP="004B7893">
            <w:pPr>
              <w:spacing w:before="0"/>
              <w:rPr>
                <w:b/>
                <w:lang w:val="es-ES_tradnl"/>
              </w:rPr>
            </w:pPr>
            <w:bookmarkStart w:id="2" w:name="CreationDate"/>
            <w:bookmarkEnd w:id="2"/>
            <w:r w:rsidRPr="002C3438">
              <w:rPr>
                <w:b/>
                <w:bCs/>
                <w:szCs w:val="28"/>
                <w:lang w:val="es-ES_tradnl"/>
              </w:rPr>
              <w:t>16 de marzo de</w:t>
            </w:r>
            <w:r w:rsidR="00BC7208" w:rsidRPr="002C3438">
              <w:rPr>
                <w:b/>
                <w:bCs/>
                <w:szCs w:val="28"/>
                <w:lang w:val="es-ES_tradnl"/>
              </w:rPr>
              <w:t xml:space="preserve"> 2017</w:t>
            </w:r>
          </w:p>
        </w:tc>
      </w:tr>
      <w:tr w:rsidR="004B7893" w:rsidRPr="002C3438" w:rsidTr="004B7893">
        <w:trPr>
          <w:cantSplit/>
        </w:trPr>
        <w:tc>
          <w:tcPr>
            <w:tcW w:w="6663" w:type="dxa"/>
            <w:gridSpan w:val="2"/>
          </w:tcPr>
          <w:p w:rsidR="004B7893" w:rsidRPr="002C3438" w:rsidRDefault="004B7893" w:rsidP="004B7893">
            <w:pPr>
              <w:spacing w:before="0"/>
              <w:rPr>
                <w:b/>
                <w:bCs/>
                <w:smallCaps/>
                <w:lang w:val="es-ES_tradnl"/>
              </w:rPr>
            </w:pPr>
          </w:p>
        </w:tc>
        <w:tc>
          <w:tcPr>
            <w:tcW w:w="3225" w:type="dxa"/>
          </w:tcPr>
          <w:p w:rsidR="004B7893" w:rsidRPr="002C3438" w:rsidRDefault="005637B9" w:rsidP="004B7893">
            <w:pPr>
              <w:spacing w:before="0"/>
              <w:rPr>
                <w:szCs w:val="24"/>
                <w:lang w:val="es-ES_tradnl"/>
              </w:rPr>
            </w:pPr>
            <w:r w:rsidRPr="002C3438">
              <w:rPr>
                <w:b/>
                <w:lang w:val="es-ES_tradnl"/>
              </w:rPr>
              <w:t>Original:</w:t>
            </w:r>
            <w:bookmarkStart w:id="3" w:name="Original"/>
            <w:bookmarkEnd w:id="3"/>
            <w:r w:rsidRPr="002C3438">
              <w:rPr>
                <w:b/>
                <w:lang w:val="es-ES_tradnl"/>
              </w:rPr>
              <w:t xml:space="preserve"> </w:t>
            </w:r>
            <w:r w:rsidR="005E61ED" w:rsidRPr="002C3438">
              <w:rPr>
                <w:b/>
                <w:lang w:val="es-ES_tradnl"/>
              </w:rPr>
              <w:t>inglés</w:t>
            </w:r>
          </w:p>
        </w:tc>
      </w:tr>
      <w:tr w:rsidR="004B7893" w:rsidRPr="002C3438" w:rsidTr="004B7893">
        <w:trPr>
          <w:cantSplit/>
          <w:trHeight w:val="852"/>
        </w:trPr>
        <w:tc>
          <w:tcPr>
            <w:tcW w:w="9888" w:type="dxa"/>
            <w:gridSpan w:val="3"/>
          </w:tcPr>
          <w:p w:rsidR="004B7893" w:rsidRPr="002C3438" w:rsidRDefault="00120A13" w:rsidP="004B7893">
            <w:pPr>
              <w:pStyle w:val="Source"/>
              <w:rPr>
                <w:szCs w:val="28"/>
                <w:lang w:val="es-ES_tradnl"/>
              </w:rPr>
            </w:pPr>
            <w:bookmarkStart w:id="4" w:name="Source"/>
            <w:bookmarkEnd w:id="4"/>
            <w:r w:rsidRPr="002C3438">
              <w:rPr>
                <w:lang w:val="es-ES_tradnl"/>
              </w:rPr>
              <w:t>Director de la Oficina de Desarrollo de las Telecomunicaciones</w:t>
            </w:r>
          </w:p>
        </w:tc>
      </w:tr>
      <w:tr w:rsidR="004B7893" w:rsidRPr="002C3438" w:rsidTr="004B7893">
        <w:trPr>
          <w:cantSplit/>
        </w:trPr>
        <w:tc>
          <w:tcPr>
            <w:tcW w:w="9888" w:type="dxa"/>
            <w:gridSpan w:val="3"/>
          </w:tcPr>
          <w:p w:rsidR="004B7893" w:rsidRPr="002C3438" w:rsidRDefault="00120A13" w:rsidP="004B7893">
            <w:pPr>
              <w:pStyle w:val="Title1"/>
              <w:spacing w:afterAutospacing="0"/>
              <w:rPr>
                <w:bCs/>
                <w:szCs w:val="28"/>
                <w:lang w:val="es-ES_tradnl"/>
              </w:rPr>
            </w:pPr>
            <w:bookmarkStart w:id="5" w:name="Title"/>
            <w:bookmarkEnd w:id="5"/>
            <w:r w:rsidRPr="002C3438">
              <w:rPr>
                <w:lang w:val="es-ES_tradnl"/>
              </w:rPr>
              <w:t>AFIANZAR EL COMPROMISO DEL SECTOR PRIVADO EN EL UIT-D</w:t>
            </w:r>
          </w:p>
        </w:tc>
      </w:tr>
      <w:tr w:rsidR="004B7893" w:rsidRPr="002C3438" w:rsidTr="004B7893">
        <w:trPr>
          <w:cantSplit/>
        </w:trPr>
        <w:tc>
          <w:tcPr>
            <w:tcW w:w="9888" w:type="dxa"/>
            <w:gridSpan w:val="3"/>
            <w:tcBorders>
              <w:bottom w:val="single" w:sz="4" w:space="0" w:color="auto"/>
            </w:tcBorders>
          </w:tcPr>
          <w:p w:rsidR="004B7893" w:rsidRPr="002C3438" w:rsidRDefault="004B7893" w:rsidP="00BC7208">
            <w:pPr>
              <w:rPr>
                <w:lang w:val="es-ES_tradnl"/>
              </w:rPr>
            </w:pPr>
          </w:p>
        </w:tc>
      </w:tr>
      <w:tr w:rsidR="004B7893" w:rsidRPr="002C3438"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rsidR="004B7893" w:rsidRPr="002C3438" w:rsidRDefault="004B7893" w:rsidP="004B7893">
            <w:pPr>
              <w:spacing w:before="240"/>
              <w:rPr>
                <w:b/>
                <w:bCs/>
                <w:lang w:val="es-ES_tradnl"/>
              </w:rPr>
            </w:pPr>
            <w:r w:rsidRPr="002C3438">
              <w:rPr>
                <w:b/>
                <w:bCs/>
                <w:lang w:val="es-ES_tradnl"/>
              </w:rPr>
              <w:t>Resumen:</w:t>
            </w:r>
          </w:p>
          <w:p w:rsidR="004B7893" w:rsidRPr="002C3438" w:rsidRDefault="00E757A8" w:rsidP="004B7893">
            <w:pPr>
              <w:rPr>
                <w:b/>
                <w:bCs/>
                <w:lang w:val="es-ES_tradnl"/>
              </w:rPr>
            </w:pPr>
            <w:r w:rsidRPr="002C3438">
              <w:rPr>
                <w:rFonts w:ascii="Calibri" w:hAnsi="Calibri"/>
                <w:szCs w:val="24"/>
                <w:lang w:val="es-ES_tradnl"/>
              </w:rPr>
              <w:t>En la CMDT-14 se puso de relieve la importancia del compromiso del sector privado en los trabajos del UIT-D. En el presente documento se describen las estrategias y acciones que se están llevando a cabo para promover la participación del sector privado en el UIT-D.</w:t>
            </w:r>
          </w:p>
          <w:p w:rsidR="004B7893" w:rsidRPr="002C3438" w:rsidRDefault="004B7893" w:rsidP="004B7893">
            <w:pPr>
              <w:rPr>
                <w:b/>
                <w:bCs/>
                <w:lang w:val="es-ES_tradnl"/>
              </w:rPr>
            </w:pPr>
            <w:r w:rsidRPr="002C3438">
              <w:rPr>
                <w:b/>
                <w:bCs/>
                <w:lang w:val="es-ES_tradnl"/>
              </w:rPr>
              <w:t xml:space="preserve">Acción solicitada: </w:t>
            </w:r>
          </w:p>
          <w:p w:rsidR="004B7893" w:rsidRPr="002C3438" w:rsidRDefault="00B352BE" w:rsidP="004B7893">
            <w:pPr>
              <w:rPr>
                <w:b/>
                <w:bCs/>
                <w:lang w:val="es-ES_tradnl"/>
              </w:rPr>
            </w:pPr>
            <w:r w:rsidRPr="002C3438">
              <w:rPr>
                <w:rFonts w:ascii="Calibri" w:hAnsi="Calibri"/>
                <w:szCs w:val="24"/>
                <w:lang w:val="es-ES_tradnl"/>
              </w:rPr>
              <w:t>Se invita al GADT a tomar nota del documento y aportar las orientaciones que estime convenientes</w:t>
            </w:r>
            <w:r w:rsidRPr="002C3438">
              <w:rPr>
                <w:rFonts w:ascii="Calibri" w:hAnsi="Calibri"/>
                <w:szCs w:val="24"/>
                <w:lang w:val="es-ES_tradnl" w:eastAsia="pl-PL"/>
              </w:rPr>
              <w:t>.</w:t>
            </w:r>
          </w:p>
          <w:p w:rsidR="004B7893" w:rsidRPr="002C3438" w:rsidRDefault="004B7893" w:rsidP="004B7893">
            <w:pPr>
              <w:rPr>
                <w:b/>
                <w:bCs/>
                <w:lang w:val="es-ES_tradnl"/>
              </w:rPr>
            </w:pPr>
            <w:r w:rsidRPr="002C3438">
              <w:rPr>
                <w:b/>
                <w:bCs/>
                <w:lang w:val="es-ES_tradnl"/>
              </w:rPr>
              <w:t>Referencias:</w:t>
            </w:r>
          </w:p>
          <w:p w:rsidR="004B7893" w:rsidRPr="002C3438" w:rsidRDefault="00D23B77" w:rsidP="00D23B77">
            <w:pPr>
              <w:spacing w:after="120"/>
              <w:rPr>
                <w:b/>
                <w:bCs/>
                <w:lang w:val="es-ES_tradnl"/>
              </w:rPr>
            </w:pPr>
            <w:r w:rsidRPr="002C3438">
              <w:rPr>
                <w:rFonts w:ascii="Calibri" w:hAnsi="Calibri"/>
                <w:i/>
                <w:iCs/>
                <w:szCs w:val="24"/>
                <w:lang w:val="es-ES_tradnl"/>
              </w:rPr>
              <w:t>Resoluciones 136 (Busán, 2014) y 157 (Busán, 2014) de la PP-14; Productos 2.1 y 2.3 (Dubái, 2014) de la CMDT-14, Resoluciones 30 (Rev. Dubái, 2014), 32 (Rev. Dubái, 2014), 34 (Rev. Dubái, 2014), 52 (Rev. Dubái, 2014) y 71 (Rev. Dubái, 2014) de la CMDT-14</w:t>
            </w:r>
            <w:r w:rsidRPr="002C3438">
              <w:rPr>
                <w:rFonts w:ascii="Calibri" w:hAnsi="Calibri"/>
                <w:szCs w:val="24"/>
                <w:lang w:val="es-ES_tradnl"/>
              </w:rPr>
              <w:t>.</w:t>
            </w:r>
          </w:p>
        </w:tc>
      </w:tr>
    </w:tbl>
    <w:p w:rsidR="000E0CC9" w:rsidRPr="002C3438" w:rsidRDefault="000E0CC9" w:rsidP="00BC7208">
      <w:pPr>
        <w:rPr>
          <w:lang w:val="es-ES_tradnl"/>
        </w:rPr>
      </w:pPr>
      <w:r w:rsidRPr="002C3438">
        <w:rPr>
          <w:lang w:val="es-ES_tradnl"/>
        </w:rPr>
        <w:br w:type="page"/>
      </w:r>
    </w:p>
    <w:p w:rsidR="000E0CC9" w:rsidRPr="002C3438" w:rsidRDefault="00CD6790" w:rsidP="00CD6790">
      <w:pPr>
        <w:pStyle w:val="Heading1"/>
        <w:rPr>
          <w:lang w:val="es-ES_tradnl"/>
        </w:rPr>
      </w:pPr>
      <w:r w:rsidRPr="002C3438">
        <w:rPr>
          <w:lang w:val="es-ES_tradnl"/>
        </w:rPr>
        <w:t>1</w:t>
      </w:r>
      <w:r w:rsidRPr="002C3438">
        <w:rPr>
          <w:lang w:val="es-ES_tradnl"/>
        </w:rPr>
        <w:tab/>
      </w:r>
      <w:r w:rsidR="000E0CC9" w:rsidRPr="002C3438">
        <w:rPr>
          <w:lang w:val="es-ES_tradnl"/>
        </w:rPr>
        <w:t>Antecedentes</w:t>
      </w:r>
    </w:p>
    <w:p w:rsidR="000E0CC9" w:rsidRPr="002C3438" w:rsidRDefault="000E0CC9" w:rsidP="00307188">
      <w:pPr>
        <w:rPr>
          <w:lang w:val="es-ES_tradnl"/>
        </w:rPr>
      </w:pPr>
      <w:r w:rsidRPr="002C3438">
        <w:rPr>
          <w:lang w:val="es-ES_tradnl"/>
        </w:rPr>
        <w:t>Entre los 17 Objetivos de Desarrollo Sostenible (ODS) de la Agenda para el desarrollo a partir de 2015, en el Objetivo 17 se menciona la necesidad de "Fortalecer los mecanismos de implementación y reanimar la alianza mundial para el desarrollo sostenible" para fomentar y promover asociaciones efectivas públicas, público-privadas y de la sociedad civil aprovechando la experiencia y las estrategias de obtención de recursos de las asociaciones.</w:t>
      </w:r>
    </w:p>
    <w:p w:rsidR="000E0CC9" w:rsidRPr="002C3438" w:rsidRDefault="000E0CC9" w:rsidP="00C37A4C">
      <w:pPr>
        <w:rPr>
          <w:rFonts w:ascii="Calibri" w:hAnsi="Calibri"/>
          <w:color w:val="000000" w:themeColor="text1"/>
          <w:szCs w:val="24"/>
          <w:lang w:val="es-ES_tradnl"/>
        </w:rPr>
      </w:pPr>
      <w:r w:rsidRPr="002C3438">
        <w:rPr>
          <w:rFonts w:ascii="Calibri" w:hAnsi="Calibri"/>
          <w:color w:val="000000" w:themeColor="text1"/>
          <w:szCs w:val="24"/>
          <w:lang w:val="es-ES_tradnl"/>
        </w:rPr>
        <w:t>La Conferencia de Plenipotenciarios (PP-14) adoptó la Resolución 200 (Busán, 2014) sobre la Agenda Conectar 2020 para el desarrollo mundial de las telecomunicaciones/TIC, y la Meta 4 del UIT-T sobre "</w:t>
      </w:r>
      <w:r w:rsidRPr="00C37A4C">
        <w:rPr>
          <w:lang w:val="es-ES_tradnl"/>
        </w:rPr>
        <w:t>Innovación</w:t>
      </w:r>
      <w:r w:rsidRPr="002C3438">
        <w:rPr>
          <w:rFonts w:ascii="Calibri" w:hAnsi="Calibri"/>
          <w:color w:val="000000" w:themeColor="text1"/>
          <w:szCs w:val="24"/>
          <w:lang w:val="es-ES_tradnl"/>
        </w:rPr>
        <w:t xml:space="preserve"> y asociación", en la que se destaca la importancia de compromisos multipartitos innovadores, el aumento de las asociaciones público-privadas y la cooperación bilateral y multilateral.</w:t>
      </w:r>
    </w:p>
    <w:p w:rsidR="000E0CC9" w:rsidRPr="002C3438" w:rsidRDefault="000E0CC9" w:rsidP="00C37A4C">
      <w:pPr>
        <w:rPr>
          <w:rFonts w:ascii="Calibri" w:hAnsi="Calibri"/>
          <w:color w:val="000000" w:themeColor="text1"/>
          <w:szCs w:val="24"/>
          <w:lang w:val="es-ES_tradnl"/>
        </w:rPr>
      </w:pPr>
      <w:r w:rsidRPr="002C3438">
        <w:rPr>
          <w:rFonts w:ascii="Calibri" w:hAnsi="Calibri"/>
          <w:color w:val="000000" w:themeColor="text1"/>
          <w:szCs w:val="24"/>
          <w:lang w:val="es-ES_tradnl"/>
        </w:rPr>
        <w:t xml:space="preserve">La Conferencia Mundial de Desarrollo de las Telecomunicaciones de 2014 (CMDT-14) también reconoció </w:t>
      </w:r>
      <w:r w:rsidRPr="00C37A4C">
        <w:rPr>
          <w:lang w:val="es-ES_tradnl"/>
        </w:rPr>
        <w:t>la</w:t>
      </w:r>
      <w:r w:rsidRPr="002C3438">
        <w:rPr>
          <w:rFonts w:ascii="Calibri" w:hAnsi="Calibri"/>
          <w:color w:val="000000" w:themeColor="text1"/>
          <w:szCs w:val="24"/>
          <w:lang w:val="es-ES_tradnl"/>
        </w:rPr>
        <w:t xml:space="preserve"> importancia de la colaboración con el sector privado porque es fundamental para el éxito de la misión del UIT-D, como queda reflejado en los productos y resoluciones adoptados durante la Conferencia.</w:t>
      </w:r>
    </w:p>
    <w:p w:rsidR="000E0CC9" w:rsidRPr="002C3438" w:rsidRDefault="0080681D" w:rsidP="0080681D">
      <w:pPr>
        <w:pStyle w:val="Heading1"/>
        <w:rPr>
          <w:lang w:val="es-ES_tradnl"/>
        </w:rPr>
      </w:pPr>
      <w:r w:rsidRPr="002C3438">
        <w:rPr>
          <w:lang w:val="es-ES_tradnl"/>
        </w:rPr>
        <w:t>2</w:t>
      </w:r>
      <w:r w:rsidRPr="002C3438">
        <w:rPr>
          <w:lang w:val="es-ES_tradnl"/>
        </w:rPr>
        <w:tab/>
      </w:r>
      <w:r w:rsidR="000E0CC9" w:rsidRPr="002C3438">
        <w:rPr>
          <w:lang w:val="es-ES_tradnl"/>
        </w:rPr>
        <w:t>Objetivos estratégicos</w:t>
      </w:r>
    </w:p>
    <w:p w:rsidR="000E0CC9" w:rsidRPr="002C3438" w:rsidRDefault="000E0CC9" w:rsidP="005B1EB2">
      <w:pPr>
        <w:rPr>
          <w:rFonts w:ascii="Calibri" w:hAnsi="Calibri"/>
          <w:szCs w:val="24"/>
          <w:lang w:val="es-ES_tradnl"/>
        </w:rPr>
      </w:pPr>
      <w:r w:rsidRPr="002C3438">
        <w:rPr>
          <w:rFonts w:ascii="Calibri" w:hAnsi="Calibri"/>
          <w:szCs w:val="24"/>
          <w:lang w:val="es-ES_tradnl"/>
        </w:rPr>
        <w:t xml:space="preserve">A fin de seguir atrayendo y conservando entidades del sector privado en el ecosistema convergente de las TIC, </w:t>
      </w:r>
      <w:r w:rsidRPr="005B1EB2">
        <w:rPr>
          <w:rFonts w:ascii="Calibri" w:hAnsi="Calibri"/>
          <w:color w:val="000000" w:themeColor="text1"/>
          <w:szCs w:val="24"/>
          <w:lang w:val="es-ES_tradnl"/>
        </w:rPr>
        <w:t>conforme</w:t>
      </w:r>
      <w:r w:rsidRPr="002C3438">
        <w:rPr>
          <w:rFonts w:ascii="Calibri" w:hAnsi="Calibri"/>
          <w:szCs w:val="24"/>
          <w:lang w:val="es-ES_tradnl"/>
        </w:rPr>
        <w:t xml:space="preserve"> a los objetivos estratégicos del UIT-D, se están ejecutando los planes y acciones siguientes</w:t>
      </w:r>
      <w:r w:rsidR="002B35B9" w:rsidRPr="002C3438">
        <w:rPr>
          <w:rFonts w:ascii="Calibri" w:hAnsi="Calibri"/>
          <w:szCs w:val="24"/>
          <w:lang w:val="es-ES_tradnl"/>
        </w:rPr>
        <w:t>:</w:t>
      </w:r>
    </w:p>
    <w:p w:rsidR="000E0CC9" w:rsidRPr="002C3438" w:rsidRDefault="00C75156" w:rsidP="005611F0">
      <w:pPr>
        <w:pStyle w:val="enumlev1"/>
        <w:rPr>
          <w:lang w:val="es-ES_tradnl"/>
        </w:rPr>
      </w:pPr>
      <w:r w:rsidRPr="002C3438">
        <w:rPr>
          <w:lang w:val="es-ES_tradnl"/>
        </w:rPr>
        <w:t>•</w:t>
      </w:r>
      <w:r w:rsidRPr="002C3438">
        <w:rPr>
          <w:lang w:val="es-ES_tradnl"/>
        </w:rPr>
        <w:tab/>
      </w:r>
      <w:r w:rsidR="000E0CC9" w:rsidRPr="002C3438">
        <w:rPr>
          <w:b/>
          <w:lang w:val="es-ES_tradnl"/>
        </w:rPr>
        <w:t>Afianzar el compromiso del sector privado en el UIT-D</w:t>
      </w:r>
      <w:r w:rsidR="000E0CC9" w:rsidRPr="003E6894">
        <w:rPr>
          <w:bCs/>
          <w:lang w:val="es-ES_tradnl"/>
        </w:rPr>
        <w:t xml:space="preserve">: </w:t>
      </w:r>
      <w:r w:rsidR="000E0CC9" w:rsidRPr="002C3438">
        <w:rPr>
          <w:lang w:val="es-ES_tradnl"/>
        </w:rPr>
        <w:t>Debe fortalecerse el diálogo con los miembros del sector privado a fin de comprender y atender mejor las expectativas, necesidades y áreas de beneficio mutuo, así como para fomentar una participación y contribuciones más activas en actividades, proyectos, iniciativas, programas y eventos del UIT-D</w:t>
      </w:r>
      <w:r w:rsidR="00D471E6">
        <w:rPr>
          <w:lang w:val="es-ES_tradnl"/>
        </w:rPr>
        <w:t>, y atraer a nuevos Miembros de Sector</w:t>
      </w:r>
      <w:r w:rsidR="005611F0">
        <w:rPr>
          <w:lang w:val="es-ES_tradnl"/>
        </w:rPr>
        <w:t xml:space="preserve"> del</w:t>
      </w:r>
      <w:r w:rsidR="00D471E6">
        <w:rPr>
          <w:lang w:val="es-ES_tradnl"/>
        </w:rPr>
        <w:t xml:space="preserve"> UIT</w:t>
      </w:r>
      <w:r w:rsidR="00D471E6">
        <w:rPr>
          <w:lang w:val="es-ES_tradnl"/>
        </w:rPr>
        <w:noBreakHyphen/>
        <w:t>D</w:t>
      </w:r>
      <w:r w:rsidR="000E0CC9" w:rsidRPr="002C3438">
        <w:rPr>
          <w:lang w:val="es-ES_tradnl"/>
        </w:rPr>
        <w:t>.</w:t>
      </w:r>
    </w:p>
    <w:p w:rsidR="000E0CC9" w:rsidRPr="002C3438" w:rsidRDefault="00C75156" w:rsidP="00E55E8D">
      <w:pPr>
        <w:pStyle w:val="enumlev1"/>
        <w:rPr>
          <w:rFonts w:ascii="Calibri" w:hAnsi="Calibri"/>
          <w:szCs w:val="24"/>
          <w:lang w:val="es-ES_tradnl"/>
        </w:rPr>
      </w:pPr>
      <w:r w:rsidRPr="002C3438">
        <w:rPr>
          <w:lang w:val="es-ES_tradnl"/>
        </w:rPr>
        <w:t>•</w:t>
      </w:r>
      <w:r w:rsidRPr="002C3438">
        <w:rPr>
          <w:lang w:val="es-ES_tradnl"/>
        </w:rPr>
        <w:tab/>
      </w:r>
      <w:r w:rsidR="000E0CC9" w:rsidRPr="002C3438">
        <w:rPr>
          <w:rFonts w:ascii="Calibri" w:hAnsi="Calibri"/>
          <w:b/>
          <w:szCs w:val="24"/>
          <w:lang w:val="es-ES_tradnl"/>
        </w:rPr>
        <w:t>Desarrollar oportunidades de asociación y contacto innovadoras en el ecosistema convergente de las TIC</w:t>
      </w:r>
      <w:r w:rsidR="000E0CC9" w:rsidRPr="003E6894">
        <w:rPr>
          <w:rFonts w:ascii="Calibri" w:hAnsi="Calibri"/>
          <w:bCs/>
          <w:szCs w:val="24"/>
          <w:lang w:val="es-ES_tradnl"/>
        </w:rPr>
        <w:t xml:space="preserve">: </w:t>
      </w:r>
      <w:r w:rsidR="000E0CC9" w:rsidRPr="002C3438">
        <w:rPr>
          <w:rFonts w:ascii="Calibri" w:hAnsi="Calibri"/>
          <w:szCs w:val="24"/>
          <w:lang w:val="es-ES_tradnl"/>
        </w:rPr>
        <w:t xml:space="preserve">Se deben desarrollar </w:t>
      </w:r>
      <w:r w:rsidR="00E55E8D">
        <w:rPr>
          <w:rFonts w:ascii="Calibri" w:hAnsi="Calibri"/>
          <w:szCs w:val="24"/>
          <w:lang w:val="es-ES_tradnl"/>
        </w:rPr>
        <w:t>y</w:t>
      </w:r>
      <w:r w:rsidR="000E0CC9" w:rsidRPr="002C3438">
        <w:rPr>
          <w:rFonts w:ascii="Calibri" w:hAnsi="Calibri"/>
          <w:szCs w:val="24"/>
          <w:lang w:val="es-ES_tradnl"/>
        </w:rPr>
        <w:t xml:space="preserve"> ejecutar iniciativas y proyectos innovadores y </w:t>
      </w:r>
      <w:r w:rsidR="000E0CC9" w:rsidRPr="002C3438">
        <w:rPr>
          <w:lang w:val="es-ES_tradnl"/>
        </w:rPr>
        <w:t>personalizados</w:t>
      </w:r>
      <w:r w:rsidR="000E0CC9" w:rsidRPr="002C3438">
        <w:rPr>
          <w:rFonts w:ascii="Calibri" w:hAnsi="Calibri"/>
          <w:szCs w:val="24"/>
          <w:lang w:val="es-ES_tradnl"/>
        </w:rPr>
        <w:t>, teniendo en cuenta el carácter cada vez más variopinto de los Miembros de Sector del UIT-D, especialmente las entidades privadas, además de los actores tradicionales de las TIC</w:t>
      </w:r>
      <w:r w:rsidR="00C13CB9" w:rsidRPr="002C3438">
        <w:rPr>
          <w:rFonts w:ascii="Calibri" w:hAnsi="Calibri"/>
          <w:szCs w:val="24"/>
          <w:lang w:val="es-ES_tradnl"/>
        </w:rPr>
        <w:t>.</w:t>
      </w:r>
    </w:p>
    <w:p w:rsidR="000E0CC9" w:rsidRPr="002C3438" w:rsidRDefault="004E1146" w:rsidP="004E1146">
      <w:pPr>
        <w:pStyle w:val="Heading1"/>
        <w:rPr>
          <w:lang w:val="es-ES_tradnl"/>
        </w:rPr>
      </w:pPr>
      <w:r w:rsidRPr="002C3438">
        <w:rPr>
          <w:lang w:val="es-ES_tradnl"/>
        </w:rPr>
        <w:t>3</w:t>
      </w:r>
      <w:r w:rsidRPr="002C3438">
        <w:rPr>
          <w:lang w:val="es-ES_tradnl"/>
        </w:rPr>
        <w:tab/>
      </w:r>
      <w:r w:rsidR="000E0CC9" w:rsidRPr="002C3438">
        <w:rPr>
          <w:lang w:val="es-ES_tradnl"/>
        </w:rPr>
        <w:t>Principales acciones</w:t>
      </w:r>
    </w:p>
    <w:p w:rsidR="000E0CC9" w:rsidRPr="002C3438" w:rsidRDefault="000E0CC9" w:rsidP="00D724FB">
      <w:pPr>
        <w:pStyle w:val="Heading2"/>
        <w:rPr>
          <w:lang w:val="es-ES_tradnl"/>
        </w:rPr>
      </w:pPr>
      <w:r w:rsidRPr="002C3438">
        <w:rPr>
          <w:lang w:val="es-ES_tradnl"/>
        </w:rPr>
        <w:t>3.1</w:t>
      </w:r>
      <w:r w:rsidRPr="002C3438">
        <w:rPr>
          <w:lang w:val="es-ES_tradnl"/>
        </w:rPr>
        <w:tab/>
        <w:t>Producto 2.1: Programa político y reglamentario</w:t>
      </w:r>
    </w:p>
    <w:p w:rsidR="000E0CC9" w:rsidRPr="002C3438" w:rsidRDefault="000E0CC9" w:rsidP="0022218D">
      <w:pPr>
        <w:rPr>
          <w:rFonts w:ascii="Calibri" w:hAnsi="Calibri"/>
          <w:szCs w:val="24"/>
          <w:lang w:val="es-ES_tradnl"/>
        </w:rPr>
      </w:pPr>
      <w:r w:rsidRPr="002C3438">
        <w:rPr>
          <w:rFonts w:ascii="Calibri" w:hAnsi="Calibri"/>
          <w:szCs w:val="24"/>
          <w:lang w:val="es-ES_tradnl"/>
        </w:rPr>
        <w:t>El Producto 2.1 propugna el establecimiento de plataformas mundiales que permitan a los formuladores de políticas, los reguladores y el sector privado abordar temas de interés común, compartir experiencias y prácticas idóneas y analizar formas de ayudar a los países a desarrollar economías digitales. A ese respecto conviene mencionar algunas de las plataformas regionales y mundiales siguientes.</w:t>
      </w:r>
    </w:p>
    <w:p w:rsidR="000E0CC9" w:rsidRPr="002C3438" w:rsidRDefault="000E0CC9" w:rsidP="0022218D">
      <w:pPr>
        <w:rPr>
          <w:rFonts w:ascii="Calibri" w:hAnsi="Calibri"/>
          <w:szCs w:val="24"/>
          <w:lang w:val="es-ES_tradnl"/>
        </w:rPr>
      </w:pPr>
      <w:r w:rsidRPr="002C3438">
        <w:rPr>
          <w:rFonts w:ascii="Calibri" w:hAnsi="Calibri"/>
          <w:szCs w:val="24"/>
          <w:lang w:val="es-ES_tradnl"/>
        </w:rPr>
        <w:t>Por vez primera, el último día del GSR-16 se celebró el debate de líderes del sector el 14 de mayo de 2016, en paralelo con el segmento de organismos reguladores.</w:t>
      </w:r>
      <w:r w:rsidR="008B641B">
        <w:rPr>
          <w:rFonts w:ascii="Calibri" w:hAnsi="Calibri"/>
          <w:szCs w:val="24"/>
          <w:lang w:val="es-ES_tradnl"/>
        </w:rPr>
        <w:t xml:space="preserve"> El debate congregó a más de 30 </w:t>
      </w:r>
      <w:r w:rsidRPr="002C3438">
        <w:rPr>
          <w:rFonts w:ascii="Calibri" w:hAnsi="Calibri"/>
          <w:szCs w:val="24"/>
          <w:lang w:val="es-ES_tradnl"/>
        </w:rPr>
        <w:t>participantes del sector privado y giró en torno a la incidencia de la innovación abierta y los nuevos modelos comerciales en la reglamentación colaborativa, seguido de una sesión sobre los IFR de reglamentación en el contexto de la reglamentación de 1ª a 4ª generación. Los participantes reconocieron que los reguladores y legisladores deben considerar la posibilidad de desplegar más esfuerzos con el fin de crear nuevas oportunidades y fomentar un entorno propicio para una mayor inversión e innovación, y que este tipo de entorno debe basarse en el diálogo entre interesados y reguladores y un claro entendimiento de las diferencias entre las políticas normativas y las metas del sector de las TIC. Se instó a utilizar los IFR de reglamentación como herramienta para supervisar y cuantificar los cambios que se producen en el entorno reglamentario de las telecomunicaciones/TIC y para facilitar la comparación e identificación de tendencias evolutivas en los marcos jurídico y reglamentario y dar soporte a la inversión en negocios por la industria.</w:t>
      </w:r>
    </w:p>
    <w:p w:rsidR="000E0CC9" w:rsidRPr="002C3438" w:rsidRDefault="000E0CC9" w:rsidP="005B1E68">
      <w:pPr>
        <w:rPr>
          <w:rFonts w:ascii="Calibri" w:hAnsi="Calibri"/>
          <w:szCs w:val="24"/>
          <w:lang w:val="es-ES_tradnl"/>
        </w:rPr>
      </w:pPr>
      <w:r w:rsidRPr="002C3438">
        <w:rPr>
          <w:rFonts w:ascii="Calibri" w:hAnsi="Calibri"/>
          <w:szCs w:val="24"/>
          <w:lang w:val="es-ES_tradnl"/>
        </w:rPr>
        <w:t xml:space="preserve">La 6ª y 7ª </w:t>
      </w:r>
      <w:hyperlink r:id="rId10" w:history="1">
        <w:r w:rsidRPr="002C3438">
          <w:rPr>
            <w:rStyle w:val="Hyperlink"/>
            <w:rFonts w:ascii="Calibri" w:hAnsi="Calibri"/>
            <w:szCs w:val="24"/>
            <w:lang w:val="es-ES_tradnl"/>
          </w:rPr>
          <w:t>Reuniones de Directores de Reglamentación del sector privado (CRO)</w:t>
        </w:r>
      </w:hyperlink>
      <w:r w:rsidRPr="002C3438">
        <w:rPr>
          <w:rFonts w:ascii="Calibri" w:hAnsi="Calibri"/>
          <w:szCs w:val="24"/>
          <w:lang w:val="es-ES_tradnl"/>
        </w:rPr>
        <w:t>, celebrada en 2016, reunió a altos ejecutivos de la industria con el fin de intercambiar experiencias e ideas acerca de cómo reforzar la participación e implicación del sector privado en las iniciativas nacionales, regionales y mundiales e identificar mecanismos para promover más eficazmente un entorno reglamentario propicio para el futuro desarrollo del sector</w:t>
      </w:r>
      <w:r w:rsidR="00844D05">
        <w:rPr>
          <w:rFonts w:ascii="Calibri" w:hAnsi="Calibri"/>
          <w:szCs w:val="24"/>
          <w:lang w:val="es-ES_tradnl"/>
        </w:rPr>
        <w:t>.</w:t>
      </w:r>
    </w:p>
    <w:p w:rsidR="000E0CC9" w:rsidRPr="002C3438" w:rsidRDefault="000E0CC9" w:rsidP="005B1E68">
      <w:pPr>
        <w:rPr>
          <w:rFonts w:ascii="Calibri" w:hAnsi="Calibri"/>
          <w:szCs w:val="24"/>
          <w:lang w:val="es-ES_tradnl"/>
        </w:rPr>
      </w:pPr>
      <w:r w:rsidRPr="002C3438">
        <w:rPr>
          <w:rFonts w:ascii="Calibri" w:hAnsi="Calibri"/>
          <w:szCs w:val="24"/>
          <w:lang w:val="es-ES_tradnl"/>
        </w:rPr>
        <w:t xml:space="preserve">En estas reuniones se examinaron importantes propuestas de experimentos piloto entre el sector privado y los reguladores. En particular, la propuesta de Acceso Financiero Universal 2020 (AFU) presentada en la plataforma CRO fue refrendada por los participantes, que convinieron en crear un Grupo de Trabajo CRO sobre la </w:t>
      </w:r>
      <w:r w:rsidR="002C3438" w:rsidRPr="002C3438">
        <w:rPr>
          <w:rFonts w:ascii="Calibri" w:hAnsi="Calibri"/>
          <w:szCs w:val="24"/>
          <w:lang w:val="es-ES_tradnl"/>
        </w:rPr>
        <w:t>integración</w:t>
      </w:r>
      <w:r w:rsidRPr="002C3438">
        <w:rPr>
          <w:rFonts w:ascii="Calibri" w:hAnsi="Calibri"/>
          <w:szCs w:val="24"/>
          <w:lang w:val="es-ES_tradnl"/>
        </w:rPr>
        <w:t xml:space="preserve"> financiera digital (GT CRO – IFD).</w:t>
      </w:r>
    </w:p>
    <w:p w:rsidR="000E0CC9" w:rsidRPr="002C3438" w:rsidRDefault="000E0CC9" w:rsidP="005B1E68">
      <w:pPr>
        <w:rPr>
          <w:rFonts w:ascii="Calibri" w:hAnsi="Calibri"/>
          <w:szCs w:val="24"/>
          <w:lang w:val="es-ES_tradnl"/>
        </w:rPr>
      </w:pPr>
      <w:r w:rsidRPr="002C3438">
        <w:rPr>
          <w:rFonts w:ascii="Calibri" w:hAnsi="Calibri"/>
          <w:szCs w:val="24"/>
          <w:lang w:val="es-ES_tradnl"/>
        </w:rPr>
        <w:t xml:space="preserve">La </w:t>
      </w:r>
      <w:hyperlink r:id="rId11" w:history="1">
        <w:r w:rsidRPr="002C3438">
          <w:rPr>
            <w:rStyle w:val="Hyperlink"/>
            <w:rFonts w:ascii="Calibri" w:hAnsi="Calibri"/>
            <w:szCs w:val="24"/>
            <w:lang w:val="es-ES_tradnl"/>
          </w:rPr>
          <w:t>1ª reunión del GT CRO sobre IFD</w:t>
        </w:r>
      </w:hyperlink>
      <w:r w:rsidRPr="002C3438">
        <w:rPr>
          <w:rFonts w:ascii="Calibri" w:hAnsi="Calibri"/>
          <w:szCs w:val="24"/>
          <w:lang w:val="es-ES_tradnl"/>
        </w:rPr>
        <w:t xml:space="preserve"> tuvo lugar el 15 de noviembre de 2016 y se convino en la necesidad de concentrarse en: i) diseñar y compartir marcos jurídicos y reglamentarios a escala nacional y regional; ii) crear marcos para compartir prácticas idóneas y ampliar las asociaciones público-privadas; y iii) ejecutar proyectos piloto en el plano nacional con asociados de interés para contribuir al cumplimiento de los ODS, en particular las metas 8, 9, 10, 11 y 17. Se han identificado posibles países piloto y partes interesadas y se informará de la marcha de la ejecución en la próxima reunión de CRO prevista para julio de 2017, evento que precederá al </w:t>
      </w:r>
      <w:hyperlink r:id="rId12" w:history="1">
        <w:r w:rsidRPr="002C3438">
          <w:rPr>
            <w:rStyle w:val="Hyperlink"/>
            <w:rFonts w:ascii="Calibri" w:hAnsi="Calibri"/>
            <w:szCs w:val="24"/>
            <w:lang w:val="es-ES_tradnl"/>
          </w:rPr>
          <w:t>GSR-17</w:t>
        </w:r>
      </w:hyperlink>
      <w:r w:rsidRPr="002C3438">
        <w:rPr>
          <w:rFonts w:ascii="Calibri" w:hAnsi="Calibri"/>
          <w:szCs w:val="24"/>
          <w:lang w:val="es-ES_tradnl"/>
        </w:rPr>
        <w:t>.</w:t>
      </w:r>
    </w:p>
    <w:p w:rsidR="000E0CC9" w:rsidRPr="002C3438" w:rsidRDefault="009C0798" w:rsidP="000B4724">
      <w:pPr>
        <w:pStyle w:val="Heading2"/>
        <w:rPr>
          <w:lang w:val="es-ES_tradnl"/>
        </w:rPr>
      </w:pPr>
      <w:r w:rsidRPr="002C3438">
        <w:rPr>
          <w:lang w:val="es-ES_tradnl"/>
        </w:rPr>
        <w:t>3.2</w:t>
      </w:r>
      <w:r w:rsidR="000E0CC9" w:rsidRPr="002C3438">
        <w:rPr>
          <w:lang w:val="es-ES_tradnl"/>
        </w:rPr>
        <w:tab/>
        <w:t>Producto 2.3: Innovación y asociación</w:t>
      </w:r>
    </w:p>
    <w:p w:rsidR="000E0CC9" w:rsidRPr="002C3438" w:rsidRDefault="000E0CC9" w:rsidP="005B1E68">
      <w:pPr>
        <w:rPr>
          <w:rFonts w:ascii="Calibri" w:hAnsi="Calibri"/>
          <w:b/>
          <w:bCs/>
          <w:szCs w:val="24"/>
          <w:lang w:val="es-ES_tradnl"/>
        </w:rPr>
      </w:pPr>
      <w:r w:rsidRPr="002C3438">
        <w:rPr>
          <w:rFonts w:ascii="Calibri" w:hAnsi="Calibri"/>
          <w:bCs/>
          <w:szCs w:val="24"/>
          <w:lang w:val="es-ES_tradnl"/>
        </w:rPr>
        <w:t>En la</w:t>
      </w:r>
      <w:r w:rsidRPr="002C3438">
        <w:rPr>
          <w:rFonts w:ascii="Calibri" w:hAnsi="Calibri"/>
          <w:b/>
          <w:bCs/>
          <w:szCs w:val="24"/>
          <w:lang w:val="es-ES_tradnl"/>
        </w:rPr>
        <w:t xml:space="preserve"> Resolución 30 (Rev. Dubái, 2014) </w:t>
      </w:r>
      <w:r w:rsidRPr="002C3438">
        <w:rPr>
          <w:rFonts w:ascii="Calibri" w:hAnsi="Calibri"/>
          <w:bCs/>
          <w:szCs w:val="24"/>
          <w:lang w:val="es-ES_tradnl"/>
        </w:rPr>
        <w:t>sobre la "Función del Sector de Desarrollo de las Telecomunicaciones de la UIT en la aplicación de los resultados de la Cumbre Mundial sobre la Sociedad de la Información" se pide que se adopten las iniciativas necesarias para fomentar asociaciones con carácter prioritario a tenor de los resultados de la CMSI y su proceso de examen.</w:t>
      </w:r>
      <w:r w:rsidRPr="002C3438">
        <w:rPr>
          <w:rFonts w:ascii="Calibri" w:hAnsi="Calibri"/>
          <w:b/>
          <w:bCs/>
          <w:szCs w:val="24"/>
          <w:lang w:val="es-ES_tradnl"/>
        </w:rPr>
        <w:t xml:space="preserve"> </w:t>
      </w:r>
      <w:r w:rsidRPr="002C3438">
        <w:rPr>
          <w:rFonts w:ascii="Calibri" w:hAnsi="Calibri"/>
          <w:bCs/>
          <w:szCs w:val="24"/>
          <w:lang w:val="es-ES_tradnl"/>
        </w:rPr>
        <w:t>El</w:t>
      </w:r>
      <w:r w:rsidRPr="002C3438">
        <w:rPr>
          <w:rFonts w:ascii="Calibri" w:hAnsi="Calibri"/>
          <w:b/>
          <w:bCs/>
          <w:szCs w:val="24"/>
          <w:lang w:val="es-ES_tradnl"/>
        </w:rPr>
        <w:t xml:space="preserve"> </w:t>
      </w:r>
      <w:hyperlink r:id="rId13" w:history="1">
        <w:r w:rsidRPr="002C3438">
          <w:rPr>
            <w:rStyle w:val="Hyperlink"/>
            <w:rFonts w:ascii="Calibri" w:hAnsi="Calibri"/>
            <w:szCs w:val="24"/>
            <w:lang w:val="es-ES_tradnl"/>
          </w:rPr>
          <w:t>Foro de la CMSI de 2016</w:t>
        </w:r>
      </w:hyperlink>
      <w:r w:rsidRPr="002C3438">
        <w:rPr>
          <w:rFonts w:ascii="Calibri" w:hAnsi="Calibri"/>
          <w:szCs w:val="24"/>
          <w:lang w:val="es-ES_tradnl"/>
        </w:rPr>
        <w:t xml:space="preserve"> ha demostrado ser un mecanismo eficiente para la coordinación de actividades de ejecución multipartitas centradas en la innovación, </w:t>
      </w:r>
      <w:r w:rsidR="00D36792">
        <w:rPr>
          <w:rFonts w:ascii="Calibri" w:hAnsi="Calibri"/>
          <w:szCs w:val="24"/>
          <w:lang w:val="es-ES_tradnl"/>
        </w:rPr>
        <w:t>l</w:t>
      </w:r>
      <w:r w:rsidRPr="002C3438">
        <w:rPr>
          <w:rFonts w:ascii="Calibri" w:hAnsi="Calibri"/>
          <w:szCs w:val="24"/>
          <w:lang w:val="es-ES_tradnl"/>
        </w:rPr>
        <w:t>a asociación y el enlace entre las TIC y la Agenda Mundial del Desarrollo Sostenible.</w:t>
      </w:r>
    </w:p>
    <w:p w:rsidR="000E0CC9" w:rsidRPr="002C3438" w:rsidRDefault="000E0CC9" w:rsidP="005B1E68">
      <w:pPr>
        <w:rPr>
          <w:rFonts w:ascii="Calibri" w:hAnsi="Calibri"/>
          <w:szCs w:val="24"/>
          <w:lang w:val="es-ES_tradnl"/>
        </w:rPr>
      </w:pPr>
      <w:bookmarkStart w:id="6" w:name="lt_pId059"/>
      <w:r w:rsidRPr="002C3438">
        <w:rPr>
          <w:rFonts w:ascii="Calibri" w:hAnsi="Calibri"/>
          <w:szCs w:val="24"/>
          <w:lang w:val="es-ES_tradnl"/>
        </w:rPr>
        <w:t xml:space="preserve">Como se indica en la </w:t>
      </w:r>
      <w:r w:rsidRPr="002C3438">
        <w:rPr>
          <w:rFonts w:ascii="Calibri" w:hAnsi="Calibri"/>
          <w:b/>
          <w:bCs/>
          <w:szCs w:val="24"/>
          <w:lang w:val="es-ES_tradnl"/>
        </w:rPr>
        <w:t>Resolución 32 (Rev. Dubái, 2014)</w:t>
      </w:r>
      <w:r w:rsidRPr="002C3438">
        <w:rPr>
          <w:rFonts w:ascii="Calibri" w:hAnsi="Calibri"/>
          <w:szCs w:val="24"/>
          <w:lang w:val="es-ES_tradnl"/>
        </w:rPr>
        <w:t xml:space="preserve"> de la CMDT sobre "Cooperación </w:t>
      </w:r>
      <w:r w:rsidRPr="002C3438">
        <w:rPr>
          <w:rFonts w:ascii="Calibri" w:hAnsi="Calibri"/>
          <w:bCs/>
          <w:szCs w:val="24"/>
          <w:lang w:val="es-ES_tradnl"/>
        </w:rPr>
        <w:t>internacional</w:t>
      </w:r>
      <w:r w:rsidRPr="002C3438">
        <w:rPr>
          <w:rFonts w:ascii="Calibri" w:hAnsi="Calibri"/>
          <w:szCs w:val="24"/>
          <w:lang w:val="es-ES_tradnl"/>
        </w:rPr>
        <w:t xml:space="preserve"> y </w:t>
      </w:r>
      <w:r w:rsidRPr="002C3438">
        <w:rPr>
          <w:lang w:val="es-ES_tradnl"/>
        </w:rPr>
        <w:t>regional</w:t>
      </w:r>
      <w:r w:rsidRPr="002C3438">
        <w:rPr>
          <w:rFonts w:ascii="Calibri" w:hAnsi="Calibri"/>
          <w:szCs w:val="24"/>
          <w:lang w:val="es-ES_tradnl"/>
        </w:rPr>
        <w:t xml:space="preserve"> para las Iniciativas Regionales", la BDT ha alentado al sector privado a trabajar y cooperar con países miembros, incluidos países con necesidades especiales, en las </w:t>
      </w:r>
      <w:r w:rsidR="002B08FC" w:rsidRPr="002C3438">
        <w:rPr>
          <w:rFonts w:ascii="Calibri" w:hAnsi="Calibri"/>
          <w:szCs w:val="24"/>
          <w:lang w:val="es-ES_tradnl"/>
        </w:rPr>
        <w:t xml:space="preserve">Iniciativas Regionales </w:t>
      </w:r>
      <w:r w:rsidRPr="002C3438">
        <w:rPr>
          <w:rFonts w:ascii="Calibri" w:hAnsi="Calibri"/>
          <w:szCs w:val="24"/>
          <w:lang w:val="es-ES_tradnl"/>
        </w:rPr>
        <w:t>mencionadas en la Resolución.</w:t>
      </w:r>
      <w:bookmarkEnd w:id="6"/>
    </w:p>
    <w:p w:rsidR="000E0CC9" w:rsidRPr="002C3438" w:rsidRDefault="00931EF8" w:rsidP="00C62C0A">
      <w:pPr>
        <w:pStyle w:val="enumlev1"/>
        <w:rPr>
          <w:rFonts w:ascii="Calibri" w:hAnsi="Calibri"/>
          <w:lang w:val="es-ES_tradnl"/>
        </w:rPr>
      </w:pPr>
      <w:bookmarkStart w:id="7" w:name="lt_pId060"/>
      <w:r w:rsidRPr="002C3438">
        <w:rPr>
          <w:lang w:val="es-ES_tradnl"/>
        </w:rPr>
        <w:t>•</w:t>
      </w:r>
      <w:r w:rsidRPr="002C3438">
        <w:rPr>
          <w:lang w:val="es-ES_tradnl"/>
        </w:rPr>
        <w:tab/>
      </w:r>
      <w:r w:rsidR="000E0CC9" w:rsidRPr="002C3438">
        <w:rPr>
          <w:rFonts w:ascii="Calibri" w:hAnsi="Calibri"/>
          <w:lang w:val="es-ES_tradnl"/>
        </w:rPr>
        <w:t xml:space="preserve">Los Foros Regionales de Desarrollo (FRD) y otros eventos regionales han sido organizados en </w:t>
      </w:r>
      <w:r w:rsidR="000E0CC9" w:rsidRPr="002C3438">
        <w:rPr>
          <w:rFonts w:ascii="Calibri" w:hAnsi="Calibri"/>
          <w:szCs w:val="24"/>
          <w:lang w:val="es-ES_tradnl"/>
        </w:rPr>
        <w:t>varias</w:t>
      </w:r>
      <w:r w:rsidR="000E0CC9" w:rsidRPr="002C3438">
        <w:rPr>
          <w:rFonts w:ascii="Calibri" w:hAnsi="Calibri"/>
          <w:lang w:val="es-ES_tradnl"/>
        </w:rPr>
        <w:t xml:space="preserve"> regiones en 2015 y han servido de plataforma para debatir y acordar ámbitos en los cuales podrían explorarse asociaciones multipartitas, especialmente en lo que hace a la función del empresariado, incluidos operadores del sector privado.</w:t>
      </w:r>
      <w:bookmarkEnd w:id="7"/>
    </w:p>
    <w:p w:rsidR="000E0CC9" w:rsidRPr="002C3438" w:rsidRDefault="002905CB" w:rsidP="002905CB">
      <w:pPr>
        <w:pStyle w:val="enumlev1"/>
        <w:rPr>
          <w:rFonts w:ascii="Calibri" w:hAnsi="Calibri"/>
          <w:lang w:val="es-ES_tradnl"/>
        </w:rPr>
      </w:pPr>
      <w:bookmarkStart w:id="8" w:name="lt_pId061"/>
      <w:r w:rsidRPr="002C3438">
        <w:rPr>
          <w:lang w:val="es-ES_tradnl"/>
        </w:rPr>
        <w:t>•</w:t>
      </w:r>
      <w:r w:rsidRPr="002C3438">
        <w:rPr>
          <w:lang w:val="es-ES_tradnl"/>
        </w:rPr>
        <w:tab/>
      </w:r>
      <w:r w:rsidR="000E0CC9" w:rsidRPr="002C3438">
        <w:rPr>
          <w:rFonts w:ascii="Calibri" w:hAnsi="Calibri"/>
          <w:lang w:val="es-ES_tradnl"/>
        </w:rPr>
        <w:t>La BDT también ha iniciado diálogos sobre innovación con asociados multipartitos, a fin de formular políticas sobre innovación y crear vínculos entre innovación y PYME, así como mejorar la asociación con la OCDE, la ONUDI, la UNCTAD y otras entidades.</w:t>
      </w:r>
      <w:bookmarkEnd w:id="8"/>
    </w:p>
    <w:p w:rsidR="000E0CC9" w:rsidRPr="002C3438" w:rsidRDefault="000E0CC9" w:rsidP="00451370">
      <w:pPr>
        <w:rPr>
          <w:rFonts w:ascii="Calibri" w:hAnsi="Calibri"/>
          <w:szCs w:val="24"/>
          <w:lang w:val="es-ES_tradnl"/>
        </w:rPr>
      </w:pPr>
      <w:bookmarkStart w:id="9" w:name="lt_pId064"/>
      <w:r w:rsidRPr="002C3438">
        <w:rPr>
          <w:rFonts w:ascii="Calibri" w:hAnsi="Calibri"/>
          <w:szCs w:val="24"/>
          <w:lang w:val="es-ES_tradnl"/>
        </w:rPr>
        <w:t xml:space="preserve">En la </w:t>
      </w:r>
      <w:r w:rsidRPr="002C3438">
        <w:rPr>
          <w:rFonts w:ascii="Calibri" w:hAnsi="Calibri"/>
          <w:b/>
          <w:bCs/>
          <w:szCs w:val="24"/>
          <w:lang w:val="es-ES_tradnl"/>
        </w:rPr>
        <w:t>Resolución 34 (Rev. Dubái, 2014)</w:t>
      </w:r>
      <w:r w:rsidRPr="002C3438">
        <w:rPr>
          <w:rFonts w:ascii="Calibri" w:hAnsi="Calibri"/>
          <w:szCs w:val="24"/>
          <w:lang w:val="es-ES_tradnl"/>
        </w:rPr>
        <w:t xml:space="preserve"> sobre la "Función de las telecomunicaciones y las tecnologías de la información y la comunicación (TIC) en la preparación, alerta temprana, rescate, mitigación, socorro y respuesta en situaciones de catástrofe" se propugna la función de numerosos interesados, incluido el sector privado, en la prestación de equipos y servicios de telecomunicaciones/TIC, conocimientos técnicos y asistencia en la capacitación para apoyar las actividades de socorro y restablecimiento en caso de catástrofe, en particular a través del Marco de la UIT para la cooperación internacional en situaciones de emergencia (</w:t>
      </w:r>
      <w:hyperlink r:id="rId14" w:history="1">
        <w:r w:rsidRPr="002C3438">
          <w:rPr>
            <w:rStyle w:val="Hyperlink"/>
            <w:rFonts w:ascii="Calibri" w:hAnsi="Calibri"/>
            <w:szCs w:val="24"/>
            <w:lang w:val="es-ES_tradnl"/>
          </w:rPr>
          <w:t>IFCE</w:t>
        </w:r>
      </w:hyperlink>
      <w:r w:rsidRPr="002C3438">
        <w:rPr>
          <w:rFonts w:ascii="Calibri" w:hAnsi="Calibri"/>
          <w:szCs w:val="24"/>
          <w:lang w:val="es-ES_tradnl"/>
        </w:rPr>
        <w:t>).</w:t>
      </w:r>
      <w:bookmarkStart w:id="10" w:name="lt_pId065"/>
      <w:bookmarkEnd w:id="9"/>
      <w:r w:rsidRPr="002C3438">
        <w:rPr>
          <w:rFonts w:ascii="Calibri" w:hAnsi="Calibri"/>
          <w:szCs w:val="24"/>
          <w:lang w:val="es-ES_tradnl"/>
        </w:rPr>
        <w:t xml:space="preserve"> Se han elaborado proyectos como, por ejemplo, la iniciativa Desarrollo de capacidades en materia de comunicaciones por satélite y soluciones de comunicaciones de emergencia para el Pacífico, en estrecha colaboración con el sector privado</w:t>
      </w:r>
      <w:bookmarkEnd w:id="10"/>
      <w:r w:rsidR="00451370">
        <w:rPr>
          <w:rFonts w:ascii="Calibri" w:hAnsi="Calibri"/>
          <w:szCs w:val="24"/>
          <w:lang w:val="es-ES_tradnl"/>
        </w:rPr>
        <w:t>.</w:t>
      </w:r>
    </w:p>
    <w:p w:rsidR="000E0CC9" w:rsidRPr="002C3438" w:rsidRDefault="000E0CC9" w:rsidP="007D7323">
      <w:pPr>
        <w:rPr>
          <w:rFonts w:ascii="Calibri" w:hAnsi="Calibri"/>
          <w:szCs w:val="24"/>
          <w:lang w:val="es-ES_tradnl"/>
        </w:rPr>
      </w:pPr>
      <w:bookmarkStart w:id="11" w:name="lt_pId058"/>
      <w:bookmarkStart w:id="12" w:name="lt_pId067"/>
      <w:r w:rsidRPr="002C3438">
        <w:rPr>
          <w:rFonts w:ascii="Calibri" w:hAnsi="Calibri"/>
          <w:szCs w:val="24"/>
          <w:lang w:val="es-ES_tradnl"/>
        </w:rPr>
        <w:t>El 2º Foro Mundial sobre Telecomunicaciones de emergencia</w:t>
      </w:r>
      <w:r w:rsidR="007D7323">
        <w:rPr>
          <w:rFonts w:ascii="Calibri" w:hAnsi="Calibri"/>
          <w:szCs w:val="24"/>
          <w:lang w:val="es-ES_tradnl"/>
        </w:rPr>
        <w:t>:</w:t>
      </w:r>
      <w:r w:rsidRPr="002C3438">
        <w:rPr>
          <w:rFonts w:ascii="Calibri" w:hAnsi="Calibri"/>
          <w:szCs w:val="24"/>
          <w:lang w:val="es-ES_tradnl"/>
        </w:rPr>
        <w:t xml:space="preserve"> </w:t>
      </w:r>
      <w:r w:rsidR="007D7323" w:rsidRPr="002C3438">
        <w:rPr>
          <w:rFonts w:ascii="Calibri" w:hAnsi="Calibri"/>
          <w:szCs w:val="24"/>
          <w:lang w:val="es-ES_tradnl"/>
        </w:rPr>
        <w:t>SALVAR VIDAS</w:t>
      </w:r>
      <w:r w:rsidR="007D7323" w:rsidRPr="002C3438">
        <w:rPr>
          <w:rFonts w:ascii="Calibri" w:hAnsi="Calibri"/>
          <w:szCs w:val="24"/>
          <w:lang w:val="es-ES_tradnl"/>
        </w:rPr>
        <w:t xml:space="preserve"> </w:t>
      </w:r>
      <w:r w:rsidRPr="002C3438">
        <w:rPr>
          <w:rFonts w:ascii="Calibri" w:hAnsi="Calibri"/>
          <w:szCs w:val="24"/>
          <w:lang w:val="es-ES_tradnl"/>
        </w:rPr>
        <w:t>(</w:t>
      </w:r>
      <w:hyperlink r:id="rId15" w:history="1">
        <w:r w:rsidRPr="002C3438">
          <w:rPr>
            <w:rStyle w:val="Hyperlink"/>
            <w:rFonts w:ascii="Calibri" w:hAnsi="Calibri"/>
            <w:szCs w:val="24"/>
            <w:lang w:val="es-ES_tradnl"/>
          </w:rPr>
          <w:t>GET-2016</w:t>
        </w:r>
      </w:hyperlink>
      <w:r w:rsidRPr="002C3438">
        <w:rPr>
          <w:rFonts w:ascii="Calibri" w:hAnsi="Calibri"/>
          <w:szCs w:val="24"/>
          <w:lang w:val="es-ES_tradnl"/>
        </w:rPr>
        <w:t>)</w:t>
      </w:r>
      <w:bookmarkEnd w:id="11"/>
      <w:r w:rsidRPr="002C3438">
        <w:rPr>
          <w:rFonts w:ascii="Calibri" w:hAnsi="Calibri"/>
          <w:szCs w:val="24"/>
          <w:lang w:val="es-ES_tradnl"/>
        </w:rPr>
        <w:t xml:space="preserve">, celebrado en la ciudad de Kuwait (Kuwait), </w:t>
      </w:r>
      <w:r w:rsidR="009246F9">
        <w:rPr>
          <w:rFonts w:ascii="Calibri" w:hAnsi="Calibri"/>
          <w:szCs w:val="24"/>
          <w:lang w:val="es-ES_tradnl"/>
        </w:rPr>
        <w:t xml:space="preserve">del 26 al </w:t>
      </w:r>
      <w:r w:rsidRPr="002C3438">
        <w:rPr>
          <w:rFonts w:ascii="Calibri" w:hAnsi="Calibri"/>
          <w:szCs w:val="24"/>
          <w:lang w:val="es-ES_tradnl"/>
        </w:rPr>
        <w:t>28 de enero de 2016, ha aumentado la conciencia y la capacidad de los países de aprovechar las TIC para las telecomunicaciones de emergencia y mejorar el diálogo entre, por una parte, los expertos en gestión de catástrofes, comprendidos gobiernos, sector privado, organizaciones internacionales, y por la otra, las organizaciones no gubernamentales, incluidas las humanitarias. En el Foro se examinaron, entre otras cosas, las tendencias y las nuevas innovaciones tecnológicas, estudios de caso, dificultades al desplegar las TIC en zonas de catástrofe, problemas del cambio climático y función del sector privado y otras partes no estatales</w:t>
      </w:r>
      <w:r w:rsidR="00755037" w:rsidRPr="002C3438">
        <w:rPr>
          <w:rFonts w:ascii="Calibri" w:hAnsi="Calibri"/>
          <w:szCs w:val="24"/>
          <w:lang w:val="es-ES_tradnl"/>
        </w:rPr>
        <w:t>.</w:t>
      </w:r>
    </w:p>
    <w:p w:rsidR="000E0CC9" w:rsidRPr="002C3438" w:rsidRDefault="000E0CC9" w:rsidP="000E0CC9">
      <w:pPr>
        <w:rPr>
          <w:rFonts w:ascii="Calibri" w:hAnsi="Calibri"/>
          <w:szCs w:val="24"/>
          <w:lang w:val="es-ES_tradnl"/>
        </w:rPr>
      </w:pPr>
      <w:r w:rsidRPr="002C3438">
        <w:rPr>
          <w:rFonts w:ascii="Calibri" w:hAnsi="Calibri"/>
          <w:szCs w:val="24"/>
          <w:lang w:val="es-ES_tradnl"/>
        </w:rPr>
        <w:t xml:space="preserve">En la </w:t>
      </w:r>
      <w:r w:rsidRPr="002C3438">
        <w:rPr>
          <w:rFonts w:ascii="Calibri" w:hAnsi="Calibri"/>
          <w:b/>
          <w:bCs/>
          <w:szCs w:val="24"/>
          <w:lang w:val="es-ES_tradnl"/>
        </w:rPr>
        <w:t>Resolución 52 (Rev. Dubái, 2014)</w:t>
      </w:r>
      <w:r w:rsidRPr="002C3438">
        <w:rPr>
          <w:rFonts w:ascii="Calibri" w:hAnsi="Calibri"/>
          <w:szCs w:val="24"/>
          <w:lang w:val="es-ES_tradnl"/>
        </w:rPr>
        <w:t xml:space="preserve"> sobre el "Fortalecimiento del papel del Sector de Desarrollo de las Telecomunicaciones como organismo ejecutivo" se acentúa la importancia de establecer asociaciones entre el sector público y el sector privado como medio eficaz de ejecutar proyectos sostenibles de la UIT</w:t>
      </w:r>
      <w:bookmarkEnd w:id="12"/>
      <w:r w:rsidRPr="002C3438">
        <w:rPr>
          <w:rFonts w:ascii="Calibri" w:hAnsi="Calibri"/>
          <w:szCs w:val="24"/>
          <w:lang w:val="es-ES_tradnl"/>
        </w:rPr>
        <w:t>.</w:t>
      </w:r>
    </w:p>
    <w:p w:rsidR="000E0CC9" w:rsidRPr="002C3438" w:rsidRDefault="00D00A17" w:rsidP="00D00A17">
      <w:pPr>
        <w:pStyle w:val="enumlev1"/>
        <w:rPr>
          <w:rFonts w:ascii="Calibri" w:hAnsi="Calibri"/>
          <w:szCs w:val="24"/>
          <w:lang w:val="es-ES_tradnl"/>
        </w:rPr>
      </w:pPr>
      <w:bookmarkStart w:id="13" w:name="lt_pId068"/>
      <w:r w:rsidRPr="002C3438">
        <w:rPr>
          <w:lang w:val="es-ES_tradnl"/>
        </w:rPr>
        <w:t>•</w:t>
      </w:r>
      <w:r w:rsidRPr="002C3438">
        <w:rPr>
          <w:lang w:val="es-ES_tradnl"/>
        </w:rPr>
        <w:tab/>
      </w:r>
      <w:r w:rsidR="000E0CC9" w:rsidRPr="002C3438">
        <w:rPr>
          <w:rFonts w:ascii="Calibri" w:hAnsi="Calibri"/>
          <w:szCs w:val="24"/>
          <w:lang w:val="es-ES_tradnl"/>
        </w:rPr>
        <w:t>En 2016, se concertaron más de 20 acuerdos de asociación, comprendidas actividades de patrocinio, con diversas partes interesadas, sector privado inclusive. (Para más información sobre estos acuerdos firmados, véase INFO DOC/1).</w:t>
      </w:r>
      <w:bookmarkStart w:id="14" w:name="lt_pId070"/>
      <w:bookmarkEnd w:id="13"/>
    </w:p>
    <w:p w:rsidR="000E0CC9" w:rsidRPr="002C3438" w:rsidRDefault="00E11486" w:rsidP="00E11486">
      <w:pPr>
        <w:pStyle w:val="enumlev1"/>
        <w:rPr>
          <w:rFonts w:ascii="Calibri" w:hAnsi="Calibri"/>
          <w:szCs w:val="24"/>
          <w:lang w:val="es-ES_tradnl"/>
        </w:rPr>
      </w:pPr>
      <w:r w:rsidRPr="002C3438">
        <w:rPr>
          <w:lang w:val="es-ES_tradnl"/>
        </w:rPr>
        <w:t>•</w:t>
      </w:r>
      <w:r w:rsidRPr="002C3438">
        <w:rPr>
          <w:lang w:val="es-ES_tradnl"/>
        </w:rPr>
        <w:tab/>
      </w:r>
      <w:r w:rsidR="000E0CC9" w:rsidRPr="002C3438">
        <w:rPr>
          <w:rFonts w:ascii="Calibri" w:hAnsi="Calibri"/>
          <w:szCs w:val="24"/>
          <w:lang w:val="es-ES_tradnl"/>
        </w:rPr>
        <w:t xml:space="preserve">También conviene destacar el programa </w:t>
      </w:r>
      <w:hyperlink r:id="rId16" w:history="1">
        <w:r w:rsidR="000E0CC9" w:rsidRPr="002C3438">
          <w:rPr>
            <w:rStyle w:val="Hyperlink"/>
            <w:rFonts w:ascii="Calibri" w:hAnsi="Calibri"/>
            <w:szCs w:val="24"/>
            <w:lang w:val="es-ES_tradnl"/>
          </w:rPr>
          <w:t>Salud móvil para luchar contra enfermedades no contagiosas</w:t>
        </w:r>
      </w:hyperlink>
      <w:r w:rsidR="000E0CC9" w:rsidRPr="002C3438">
        <w:rPr>
          <w:rFonts w:ascii="Calibri" w:hAnsi="Calibri"/>
          <w:szCs w:val="24"/>
          <w:lang w:val="es-ES_tradnl"/>
        </w:rPr>
        <w:t>, que se está implementando a través de asociaciones público-privadas con organismos de las Naciones Unidas (como la UIT y la OMS), gobiernos, Bupa, Fundación Verizon, IFPMA, Novartis, Sanofi, GSK, la NCD Alliance, etc.</w:t>
      </w:r>
      <w:bookmarkEnd w:id="14"/>
    </w:p>
    <w:p w:rsidR="000E0CC9" w:rsidRPr="002C3438" w:rsidRDefault="000E0CC9" w:rsidP="000E0CC9">
      <w:pPr>
        <w:rPr>
          <w:rFonts w:ascii="Calibri" w:hAnsi="Calibri"/>
          <w:szCs w:val="24"/>
          <w:lang w:val="es-ES_tradnl"/>
        </w:rPr>
      </w:pPr>
      <w:bookmarkStart w:id="15" w:name="lt_pId071"/>
      <w:r w:rsidRPr="002C3438">
        <w:rPr>
          <w:rFonts w:ascii="Calibri" w:hAnsi="Calibri"/>
          <w:szCs w:val="24"/>
          <w:lang w:val="es-ES_tradnl"/>
        </w:rPr>
        <w:t xml:space="preserve">La </w:t>
      </w:r>
      <w:r w:rsidRPr="002C3438">
        <w:rPr>
          <w:rFonts w:ascii="Calibri" w:hAnsi="Calibri"/>
          <w:b/>
          <w:bCs/>
          <w:szCs w:val="24"/>
          <w:lang w:val="es-ES_tradnl"/>
        </w:rPr>
        <w:t>Resolución 71 (Rev. Dubái, 2014)</w:t>
      </w:r>
      <w:r w:rsidRPr="002C3438">
        <w:rPr>
          <w:rFonts w:ascii="Calibri" w:hAnsi="Calibri"/>
          <w:szCs w:val="24"/>
          <w:lang w:val="es-ES_tradnl"/>
        </w:rPr>
        <w:t xml:space="preserve"> sobre "Fortalecimiento de la cooperación entre los Estados Miembros, los Miembros de Sector, los Asociados y las Instituciones Académicas del Sector de Desarrollo de las Telecomunicaciones, con inclusión del sector privado" ha sido implementada por medio de varias reuniones, iniciativas y asociaciones del UIT-D, a saber:</w:t>
      </w:r>
      <w:bookmarkEnd w:id="15"/>
    </w:p>
    <w:p w:rsidR="000E0CC9" w:rsidRPr="002C3438" w:rsidRDefault="00EF7065" w:rsidP="00EF7065">
      <w:pPr>
        <w:pStyle w:val="enumlev1"/>
        <w:rPr>
          <w:rFonts w:ascii="Calibri" w:hAnsi="Calibri"/>
          <w:szCs w:val="24"/>
          <w:lang w:val="es-ES_tradnl"/>
        </w:rPr>
      </w:pPr>
      <w:r w:rsidRPr="002C3438">
        <w:rPr>
          <w:lang w:val="es-ES_tradnl"/>
        </w:rPr>
        <w:t>•</w:t>
      </w:r>
      <w:r w:rsidRPr="002C3438">
        <w:rPr>
          <w:lang w:val="es-ES_tradnl"/>
        </w:rPr>
        <w:tab/>
      </w:r>
      <w:r w:rsidR="000E0CC9" w:rsidRPr="002C3438">
        <w:rPr>
          <w:rFonts w:ascii="Calibri" w:hAnsi="Calibri"/>
          <w:szCs w:val="24"/>
          <w:lang w:val="es-ES_tradnl"/>
        </w:rPr>
        <w:t>Las</w:t>
      </w:r>
      <w:r w:rsidR="000E0CC9" w:rsidRPr="002C3438">
        <w:rPr>
          <w:rFonts w:ascii="Calibri" w:hAnsi="Calibri"/>
          <w:lang w:val="es-ES_tradnl"/>
        </w:rPr>
        <w:t xml:space="preserve"> </w:t>
      </w:r>
      <w:hyperlink r:id="rId17" w:history="1">
        <w:r w:rsidR="000E0CC9" w:rsidRPr="002C3438">
          <w:rPr>
            <w:rStyle w:val="Hyperlink"/>
            <w:rFonts w:ascii="Calibri" w:hAnsi="Calibri"/>
            <w:szCs w:val="24"/>
            <w:lang w:val="es-ES_tradnl"/>
          </w:rPr>
          <w:t>Comisiones de Estudio del UIT-D</w:t>
        </w:r>
      </w:hyperlink>
      <w:r w:rsidR="000E0CC9" w:rsidRPr="002C3438">
        <w:rPr>
          <w:rFonts w:ascii="Calibri" w:hAnsi="Calibri"/>
          <w:szCs w:val="24"/>
          <w:lang w:val="es-ES_tradnl"/>
        </w:rPr>
        <w:t xml:space="preserve"> han seguido ofreciendo a los Miembros de Sector del UIT-D, incluido el sector privado, la oportunidad de compartir experiencias, ideas y estrategias para encarar prioridades de telecomunicaciones/TIC. La diversidad de los Miembros de Sector y de los Asociados, así como el número creciente de </w:t>
      </w:r>
      <w:r w:rsidR="005F6582" w:rsidRPr="002C3438">
        <w:rPr>
          <w:rFonts w:ascii="Calibri" w:hAnsi="Calibri"/>
          <w:szCs w:val="24"/>
          <w:lang w:val="es-ES_tradnl"/>
        </w:rPr>
        <w:t>Instituciones Académicas</w:t>
      </w:r>
      <w:r w:rsidR="000E0CC9" w:rsidRPr="002C3438">
        <w:rPr>
          <w:rFonts w:ascii="Calibri" w:hAnsi="Calibri"/>
          <w:szCs w:val="24"/>
          <w:lang w:val="es-ES_tradnl"/>
        </w:rPr>
        <w:t>, constituye un terreno fértil para crear colaboraciones innovadoras entre los miembros sobre temas innovadores e interesar a nuevos miembros</w:t>
      </w:r>
      <w:r w:rsidRPr="002C3438">
        <w:rPr>
          <w:rFonts w:ascii="Calibri" w:hAnsi="Calibri"/>
          <w:szCs w:val="24"/>
          <w:lang w:val="es-ES_tradnl"/>
        </w:rPr>
        <w:t>.</w:t>
      </w:r>
    </w:p>
    <w:p w:rsidR="000E0CC9" w:rsidRPr="002C3438" w:rsidRDefault="0038355C" w:rsidP="0038355C">
      <w:pPr>
        <w:pStyle w:val="enumlev1"/>
        <w:rPr>
          <w:rFonts w:ascii="Calibri" w:hAnsi="Calibri"/>
          <w:szCs w:val="24"/>
          <w:lang w:val="es-ES_tradnl"/>
        </w:rPr>
      </w:pPr>
      <w:r w:rsidRPr="002C3438">
        <w:rPr>
          <w:lang w:val="es-ES_tradnl"/>
        </w:rPr>
        <w:t>•</w:t>
      </w:r>
      <w:r w:rsidRPr="002C3438">
        <w:rPr>
          <w:lang w:val="es-ES_tradnl"/>
        </w:rPr>
        <w:tab/>
      </w:r>
      <w:r w:rsidR="000E0CC9" w:rsidRPr="002C3438">
        <w:rPr>
          <w:rFonts w:ascii="Calibri" w:hAnsi="Calibri"/>
          <w:szCs w:val="24"/>
          <w:lang w:val="es-ES_tradnl"/>
        </w:rPr>
        <w:t xml:space="preserve">La BDT organizó un </w:t>
      </w:r>
      <w:hyperlink r:id="rId18" w:history="1">
        <w:r w:rsidR="000E0CC9" w:rsidRPr="002C3438">
          <w:rPr>
            <w:rStyle w:val="Hyperlink"/>
            <w:rFonts w:ascii="Calibri" w:hAnsi="Calibri"/>
            <w:szCs w:val="24"/>
            <w:lang w:val="es-ES_tradnl"/>
          </w:rPr>
          <w:t>Diálogo de Asociados en ICTs④SDGs</w:t>
        </w:r>
      </w:hyperlink>
      <w:r w:rsidR="000E0CC9" w:rsidRPr="002C3438">
        <w:rPr>
          <w:rFonts w:ascii="Calibri" w:hAnsi="Calibri"/>
          <w:szCs w:val="24"/>
          <w:lang w:val="es-ES_tradnl"/>
        </w:rPr>
        <w:t xml:space="preserve"> (las TIC para los ODS) al que asistieron más de 70 participantes. El Diálogo proporcionó una plataforma para Miembros y Asociados del UIT-D, comprendidas entidades de los sectores público y privado, instituciones académicas y otras partes interesadas con el fin de aumentar la conciencia y la participación en las actividades de la BDT mediante el intercambio de información sobre los servicios y productos existentes, así como la creación de oportunidades de asociación intersectorial para el cumplimiento de los ODS</w:t>
      </w:r>
      <w:r w:rsidR="002710C3" w:rsidRPr="002C3438">
        <w:rPr>
          <w:rFonts w:ascii="Calibri" w:hAnsi="Calibri"/>
          <w:szCs w:val="24"/>
          <w:lang w:val="es-ES_tradnl"/>
        </w:rPr>
        <w:t>.</w:t>
      </w:r>
    </w:p>
    <w:p w:rsidR="000E0CC9" w:rsidRPr="002C3438" w:rsidRDefault="005F37FC" w:rsidP="005F37FC">
      <w:pPr>
        <w:pStyle w:val="enumlev1"/>
        <w:rPr>
          <w:rFonts w:ascii="Calibri" w:hAnsi="Calibri"/>
          <w:szCs w:val="24"/>
          <w:lang w:val="es-ES_tradnl"/>
        </w:rPr>
      </w:pPr>
      <w:r w:rsidRPr="002C3438">
        <w:rPr>
          <w:lang w:val="es-ES_tradnl"/>
        </w:rPr>
        <w:t>•</w:t>
      </w:r>
      <w:r w:rsidRPr="002C3438">
        <w:rPr>
          <w:lang w:val="es-ES_tradnl"/>
        </w:rPr>
        <w:tab/>
      </w:r>
      <w:r w:rsidR="000E0CC9" w:rsidRPr="002C3438">
        <w:rPr>
          <w:rFonts w:ascii="Calibri" w:hAnsi="Calibri"/>
          <w:szCs w:val="24"/>
          <w:lang w:val="es-ES_tradnl"/>
        </w:rPr>
        <w:t>Se está contemplando una mayor cooperación con organizaciones internacionales (como FAO, OMS, ONUDI, UNCTAD e ITC, entre otras) con el fin de implicar a otras entidades del sector privado que colaboran con dichas organizaciones y promover posibles relaciones con Estados Miembros, Miembros de Sector, Asociados e Instituciones Académicas en ámbitos tales como la innovación, empresas jóvenes, parques tecnológicos e incubadoras</w:t>
      </w:r>
      <w:r w:rsidRPr="002C3438">
        <w:rPr>
          <w:rFonts w:ascii="Calibri" w:hAnsi="Calibri"/>
          <w:szCs w:val="24"/>
          <w:lang w:val="es-ES_tradnl"/>
        </w:rPr>
        <w:t>.</w:t>
      </w:r>
    </w:p>
    <w:p w:rsidR="000E0CC9" w:rsidRPr="002C3438" w:rsidRDefault="005F37FC" w:rsidP="005F37FC">
      <w:pPr>
        <w:pStyle w:val="enumlev1"/>
        <w:rPr>
          <w:rFonts w:ascii="Calibri" w:hAnsi="Calibri"/>
          <w:szCs w:val="24"/>
          <w:lang w:val="es-ES_tradnl"/>
        </w:rPr>
      </w:pPr>
      <w:r w:rsidRPr="002C3438">
        <w:rPr>
          <w:lang w:val="es-ES_tradnl"/>
        </w:rPr>
        <w:t>•</w:t>
      </w:r>
      <w:r w:rsidRPr="002C3438">
        <w:rPr>
          <w:lang w:val="es-ES_tradnl"/>
        </w:rPr>
        <w:tab/>
      </w:r>
      <w:r w:rsidR="000E0CC9" w:rsidRPr="002C3438">
        <w:rPr>
          <w:rFonts w:ascii="Calibri" w:hAnsi="Calibri"/>
          <w:szCs w:val="24"/>
          <w:lang w:val="es-ES_tradnl"/>
        </w:rPr>
        <w:t>Se pueden mejorar aún más las iniciativas mundiales y/o regionales (por ejemplo, suministro eléctrico sostenible a instalaciones de telecomunicaciones/TIC en zonas rurales y aisladas, salud móvil, empleo y emprendimiento de jóvenes, incubadoras de innovación, etc.) con el sector privado en diversos sectores, de la agricultura, la salud, el transporte y las finanzas a la enseñanza en el ec</w:t>
      </w:r>
      <w:r w:rsidRPr="002C3438">
        <w:rPr>
          <w:rFonts w:ascii="Calibri" w:hAnsi="Calibri"/>
          <w:szCs w:val="24"/>
          <w:lang w:val="es-ES_tradnl"/>
        </w:rPr>
        <w:t>osistema convergente de las TIC.</w:t>
      </w:r>
    </w:p>
    <w:p w:rsidR="000E0CC9" w:rsidRPr="002C3438" w:rsidRDefault="00CA48DC" w:rsidP="00CA48DC">
      <w:pPr>
        <w:pStyle w:val="Heading1"/>
        <w:rPr>
          <w:lang w:val="es-ES_tradnl"/>
        </w:rPr>
      </w:pPr>
      <w:r w:rsidRPr="002C3438">
        <w:rPr>
          <w:lang w:val="es-ES_tradnl"/>
        </w:rPr>
        <w:t>4</w:t>
      </w:r>
      <w:r w:rsidRPr="002C3438">
        <w:rPr>
          <w:lang w:val="es-ES_tradnl"/>
        </w:rPr>
        <w:tab/>
      </w:r>
      <w:r w:rsidR="000E0CC9" w:rsidRPr="002C3438">
        <w:rPr>
          <w:lang w:val="es-ES_tradnl"/>
        </w:rPr>
        <w:t>Próximas etapas</w:t>
      </w:r>
    </w:p>
    <w:p w:rsidR="000E0CC9" w:rsidRPr="002C3438" w:rsidRDefault="000E0CC9" w:rsidP="005B1E68">
      <w:pPr>
        <w:rPr>
          <w:rFonts w:ascii="Calibri" w:hAnsi="Calibri" w:cs="Arial"/>
          <w:szCs w:val="24"/>
          <w:lang w:val="es-ES_tradnl" w:eastAsia="zh-CN"/>
        </w:rPr>
      </w:pPr>
      <w:r w:rsidRPr="002C3438">
        <w:rPr>
          <w:rFonts w:ascii="Calibri" w:hAnsi="Calibri" w:cs="Arial"/>
          <w:szCs w:val="24"/>
          <w:lang w:val="es-ES_tradnl" w:eastAsia="zh-CN"/>
        </w:rPr>
        <w:t>El sector privado es un motor de innovación, productividad y eficiencia tecnológica y seguirá siendo un actor importante en cuanto a la inversión para el crecimiento económico sostenible, la creación de empleo y la transformación hacia una sociedad integradora y la economía digital.</w:t>
      </w:r>
    </w:p>
    <w:p w:rsidR="000E0CC9" w:rsidRPr="002C3438" w:rsidRDefault="000E0CC9" w:rsidP="005B1E68">
      <w:pPr>
        <w:rPr>
          <w:rFonts w:ascii="Calibri" w:hAnsi="Calibri"/>
          <w:szCs w:val="24"/>
          <w:lang w:val="es-ES_tradnl"/>
        </w:rPr>
      </w:pPr>
      <w:r w:rsidRPr="002C3438">
        <w:rPr>
          <w:rFonts w:ascii="Calibri" w:hAnsi="Calibri"/>
          <w:szCs w:val="24"/>
          <w:lang w:val="es-ES_tradnl"/>
        </w:rPr>
        <w:t xml:space="preserve">Por consiguiente, la BDT seguirá mejorando la colaboración y las sinergias con entidades existentes del sector privado en el ecosistema convergente de las TIC, mediante mejores alianzas con asociaciones de la industria, organizaciones regionales e internacionales y sus redes existentes y miembros afiliados, así como a través de eventos de la BDT nuevos y existentes en los planos </w:t>
      </w:r>
      <w:r w:rsidRPr="005B1E68">
        <w:rPr>
          <w:rFonts w:ascii="Calibri" w:hAnsi="Calibri" w:cs="Arial"/>
          <w:szCs w:val="24"/>
          <w:lang w:val="es-ES_tradnl" w:eastAsia="zh-CN"/>
        </w:rPr>
        <w:t>regional</w:t>
      </w:r>
      <w:r w:rsidRPr="002C3438">
        <w:rPr>
          <w:rFonts w:ascii="Calibri" w:hAnsi="Calibri"/>
          <w:szCs w:val="24"/>
          <w:lang w:val="es-ES_tradnl"/>
        </w:rPr>
        <w:t xml:space="preserve"> y mundial. Se crearán más oportunidades de patrocinios para los </w:t>
      </w:r>
      <w:r w:rsidR="00994683" w:rsidRPr="002C3438">
        <w:rPr>
          <w:rFonts w:ascii="Calibri" w:hAnsi="Calibri"/>
          <w:szCs w:val="24"/>
          <w:lang w:val="es-ES_tradnl"/>
        </w:rPr>
        <w:t xml:space="preserve">miembros </w:t>
      </w:r>
      <w:r w:rsidRPr="002C3438">
        <w:rPr>
          <w:rFonts w:ascii="Calibri" w:hAnsi="Calibri"/>
          <w:szCs w:val="24"/>
          <w:lang w:val="es-ES_tradnl"/>
        </w:rPr>
        <w:t>del UIT-D, mediante las cuales el sector privado puede aumentar su visibilidad, promover su marca y exponer sus productos y soluciones.</w:t>
      </w:r>
    </w:p>
    <w:p w:rsidR="000E0CC9" w:rsidRPr="002C3438" w:rsidRDefault="000E0CC9" w:rsidP="005B1E68">
      <w:pPr>
        <w:rPr>
          <w:rFonts w:ascii="Calibri" w:hAnsi="Calibri"/>
          <w:szCs w:val="24"/>
          <w:lang w:val="es-ES_tradnl"/>
        </w:rPr>
      </w:pPr>
      <w:r w:rsidRPr="002C3438">
        <w:rPr>
          <w:rFonts w:ascii="Calibri" w:hAnsi="Calibri"/>
          <w:szCs w:val="24"/>
          <w:lang w:val="es-ES_tradnl"/>
        </w:rPr>
        <w:t xml:space="preserve">Se invita al sector privado a participar en la </w:t>
      </w:r>
      <w:hyperlink r:id="rId19" w:history="1">
        <w:r w:rsidRPr="002C3438">
          <w:rPr>
            <w:rStyle w:val="Hyperlink"/>
            <w:rFonts w:ascii="Calibri" w:hAnsi="Calibri"/>
            <w:szCs w:val="24"/>
            <w:lang w:val="es-ES_tradnl"/>
          </w:rPr>
          <w:t>CMDT-17</w:t>
        </w:r>
      </w:hyperlink>
      <w:r w:rsidRPr="002C3438">
        <w:rPr>
          <w:rFonts w:ascii="Calibri" w:hAnsi="Calibri"/>
          <w:szCs w:val="24"/>
          <w:lang w:val="es-ES_tradnl"/>
        </w:rPr>
        <w:t xml:space="preserve"> y en sus </w:t>
      </w:r>
      <w:hyperlink r:id="rId20" w:history="1">
        <w:r w:rsidRPr="002C3438">
          <w:rPr>
            <w:rStyle w:val="Hyperlink"/>
            <w:rFonts w:ascii="Calibri" w:hAnsi="Calibri"/>
            <w:szCs w:val="24"/>
            <w:lang w:val="es-ES_tradnl"/>
          </w:rPr>
          <w:t>Reuniones Preparatorias Regionales</w:t>
        </w:r>
      </w:hyperlink>
      <w:r w:rsidRPr="002C3438">
        <w:rPr>
          <w:rFonts w:ascii="Calibri" w:hAnsi="Calibri"/>
          <w:szCs w:val="24"/>
          <w:lang w:val="es-ES_tradnl"/>
        </w:rPr>
        <w:t xml:space="preserve"> y a contribuir a los trabajos del UIT-D para el cumplimiento de los Objetivos de Desarrollo Sostenible (ODS).</w:t>
      </w:r>
      <w:bookmarkStart w:id="16" w:name="_GoBack"/>
      <w:bookmarkEnd w:id="16"/>
    </w:p>
    <w:p w:rsidR="00835A77" w:rsidRPr="002C3438" w:rsidRDefault="00835A77" w:rsidP="00BC7208">
      <w:pPr>
        <w:rPr>
          <w:lang w:val="es-ES_tradnl"/>
        </w:rPr>
      </w:pPr>
    </w:p>
    <w:p w:rsidR="006E4AB3" w:rsidRPr="002C3438" w:rsidRDefault="006E4AB3">
      <w:pPr>
        <w:jc w:val="center"/>
        <w:rPr>
          <w:lang w:val="es-ES_tradnl"/>
        </w:rPr>
      </w:pPr>
      <w:r w:rsidRPr="002C3438">
        <w:rPr>
          <w:lang w:val="es-ES_tradnl"/>
        </w:rPr>
        <w:t>______________</w:t>
      </w:r>
    </w:p>
    <w:sectPr w:rsidR="006E4AB3" w:rsidRPr="002C3438" w:rsidSect="004B7893">
      <w:headerReference w:type="default" r:id="rId21"/>
      <w:footerReference w:type="default" r:id="rId22"/>
      <w:footerReference w:type="first" r:id="rId2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CB9" w:rsidRDefault="00241CB9" w:rsidP="0088106F">
      <w:r>
        <w:separator/>
      </w:r>
    </w:p>
  </w:endnote>
  <w:endnote w:type="continuationSeparator" w:id="0">
    <w:p w:rsidR="00241CB9" w:rsidRDefault="00241CB9"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85D" w:rsidRDefault="00B8685D" w:rsidP="00B8685D">
    <w:pPr>
      <w:pStyle w:val="Footer"/>
    </w:pPr>
    <w:r>
      <w:fldChar w:fldCharType="begin"/>
    </w:r>
    <w:r>
      <w:instrText xml:space="preserve"> FILENAME \p  \* MERGEFORMAT </w:instrText>
    </w:r>
    <w:r>
      <w:fldChar w:fldCharType="separate"/>
    </w:r>
    <w:r w:rsidR="00D471E6">
      <w:t>P:\ESP\ITU-D\CONF-D\TDAG17\000\033S.docx</w:t>
    </w:r>
    <w:r>
      <w:fldChar w:fldCharType="end"/>
    </w:r>
    <w:r>
      <w:t xml:space="preserve"> (414007)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AB3" w:rsidRPr="006E4AB3" w:rsidRDefault="00E97981"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sidR="006E4AB3" w:rsidRPr="006E4AB3">
        <w:rPr>
          <w:rFonts w:ascii="Calibri" w:hAnsi="Calibri"/>
          <w:color w:val="0000FF"/>
          <w:sz w:val="18"/>
          <w:szCs w:val="18"/>
          <w:u w:val="single"/>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CB9" w:rsidRDefault="00241CB9" w:rsidP="0088106F">
      <w:r>
        <w:separator/>
      </w:r>
    </w:p>
  </w:footnote>
  <w:footnote w:type="continuationSeparator" w:id="0">
    <w:p w:rsidR="00241CB9" w:rsidRDefault="00241CB9"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0E0CC9" w:rsidRDefault="009A6FC4" w:rsidP="000E0CC9">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9A6FC4">
      <w:rPr>
        <w:sz w:val="22"/>
        <w:szCs w:val="22"/>
        <w:lang w:val="en-US"/>
      </w:rPr>
      <w:t>ITU-D</w:t>
    </w:r>
    <w:r w:rsidRPr="003D4CFB">
      <w:rPr>
        <w:sz w:val="22"/>
        <w:szCs w:val="22"/>
        <w:lang w:val="en-US"/>
      </w:rPr>
      <w:t>/TDAG1</w:t>
    </w:r>
    <w:r w:rsidR="000C0AA7">
      <w:rPr>
        <w:sz w:val="22"/>
        <w:szCs w:val="22"/>
        <w:lang w:val="en-US"/>
      </w:rPr>
      <w:t>7</w:t>
    </w:r>
    <w:r w:rsidRPr="003D4CFB">
      <w:rPr>
        <w:sz w:val="22"/>
        <w:szCs w:val="22"/>
        <w:lang w:val="en-US"/>
      </w:rPr>
      <w:t>-</w:t>
    </w:r>
    <w:r w:rsidR="0033649F">
      <w:rPr>
        <w:sz w:val="22"/>
        <w:szCs w:val="22"/>
        <w:lang w:val="en-US"/>
      </w:rPr>
      <w:t>2</w:t>
    </w:r>
    <w:r w:rsidR="000C0AA7">
      <w:rPr>
        <w:sz w:val="22"/>
        <w:szCs w:val="22"/>
        <w:lang w:val="en-US"/>
      </w:rPr>
      <w:t>2</w:t>
    </w:r>
    <w:r w:rsidRPr="003D4CFB">
      <w:rPr>
        <w:sz w:val="22"/>
        <w:szCs w:val="22"/>
        <w:lang w:val="en-US"/>
      </w:rPr>
      <w:t>/</w:t>
    </w:r>
    <w:r w:rsidR="000E0CC9">
      <w:rPr>
        <w:sz w:val="22"/>
        <w:szCs w:val="22"/>
        <w:lang w:val="en-US"/>
      </w:rPr>
      <w:t>33</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E97981">
      <w:rPr>
        <w:noProof/>
        <w:sz w:val="22"/>
        <w:szCs w:val="22"/>
        <w:lang w:val="en-US"/>
      </w:rPr>
      <w:t>4</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A2BB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A473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F22D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BC65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C59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3C4C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7A1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2211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C40B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824C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A0856"/>
    <w:multiLevelType w:val="multilevel"/>
    <w:tmpl w:val="D4126458"/>
    <w:lvl w:ilvl="0">
      <w:start w:val="1"/>
      <w:numFmt w:val="decimal"/>
      <w:lvlText w:val="%1."/>
      <w:lvlJc w:val="left"/>
      <w:pPr>
        <w:ind w:left="9715" w:hanging="360"/>
      </w:pPr>
      <w:rPr>
        <w:rFonts w:hint="default"/>
      </w:rPr>
    </w:lvl>
    <w:lvl w:ilvl="1">
      <w:start w:val="1"/>
      <w:numFmt w:val="decimal"/>
      <w:isLgl/>
      <w:lvlText w:val="%1.%2."/>
      <w:lvlJc w:val="left"/>
      <w:pPr>
        <w:ind w:left="9715" w:hanging="360"/>
      </w:pPr>
      <w:rPr>
        <w:rFonts w:eastAsiaTheme="majorEastAsia" w:hint="default"/>
        <w:b/>
        <w:bCs w:val="0"/>
      </w:rPr>
    </w:lvl>
    <w:lvl w:ilvl="2">
      <w:start w:val="1"/>
      <w:numFmt w:val="decimal"/>
      <w:isLgl/>
      <w:lvlText w:val="%1.%2.%3."/>
      <w:lvlJc w:val="left"/>
      <w:pPr>
        <w:ind w:left="10075" w:hanging="720"/>
      </w:pPr>
      <w:rPr>
        <w:rFonts w:eastAsiaTheme="majorEastAsia" w:hint="default"/>
        <w:b w:val="0"/>
      </w:rPr>
    </w:lvl>
    <w:lvl w:ilvl="3">
      <w:start w:val="1"/>
      <w:numFmt w:val="decimal"/>
      <w:isLgl/>
      <w:lvlText w:val="%1.%2.%3.%4."/>
      <w:lvlJc w:val="left"/>
      <w:pPr>
        <w:ind w:left="10075" w:hanging="720"/>
      </w:pPr>
      <w:rPr>
        <w:rFonts w:eastAsiaTheme="majorEastAsia" w:hint="default"/>
        <w:b w:val="0"/>
      </w:rPr>
    </w:lvl>
    <w:lvl w:ilvl="4">
      <w:start w:val="1"/>
      <w:numFmt w:val="decimal"/>
      <w:isLgl/>
      <w:lvlText w:val="%1.%2.%3.%4.%5."/>
      <w:lvlJc w:val="left"/>
      <w:pPr>
        <w:ind w:left="10435" w:hanging="1080"/>
      </w:pPr>
      <w:rPr>
        <w:rFonts w:eastAsiaTheme="majorEastAsia" w:hint="default"/>
        <w:b w:val="0"/>
      </w:rPr>
    </w:lvl>
    <w:lvl w:ilvl="5">
      <w:start w:val="1"/>
      <w:numFmt w:val="decimal"/>
      <w:isLgl/>
      <w:lvlText w:val="%1.%2.%3.%4.%5.%6."/>
      <w:lvlJc w:val="left"/>
      <w:pPr>
        <w:ind w:left="10435" w:hanging="1080"/>
      </w:pPr>
      <w:rPr>
        <w:rFonts w:eastAsiaTheme="majorEastAsia" w:hint="default"/>
        <w:b w:val="0"/>
      </w:rPr>
    </w:lvl>
    <w:lvl w:ilvl="6">
      <w:start w:val="1"/>
      <w:numFmt w:val="decimal"/>
      <w:isLgl/>
      <w:lvlText w:val="%1.%2.%3.%4.%5.%6.%7."/>
      <w:lvlJc w:val="left"/>
      <w:pPr>
        <w:ind w:left="10795" w:hanging="1440"/>
      </w:pPr>
      <w:rPr>
        <w:rFonts w:eastAsiaTheme="majorEastAsia" w:hint="default"/>
        <w:b w:val="0"/>
      </w:rPr>
    </w:lvl>
    <w:lvl w:ilvl="7">
      <w:start w:val="1"/>
      <w:numFmt w:val="decimal"/>
      <w:isLgl/>
      <w:lvlText w:val="%1.%2.%3.%4.%5.%6.%7.%8."/>
      <w:lvlJc w:val="left"/>
      <w:pPr>
        <w:ind w:left="10795" w:hanging="1440"/>
      </w:pPr>
      <w:rPr>
        <w:rFonts w:eastAsiaTheme="majorEastAsia" w:hint="default"/>
        <w:b w:val="0"/>
      </w:rPr>
    </w:lvl>
    <w:lvl w:ilvl="8">
      <w:start w:val="1"/>
      <w:numFmt w:val="decimal"/>
      <w:isLgl/>
      <w:lvlText w:val="%1.%2.%3.%4.%5.%6.%7.%8.%9."/>
      <w:lvlJc w:val="left"/>
      <w:pPr>
        <w:ind w:left="11155" w:hanging="1800"/>
      </w:pPr>
      <w:rPr>
        <w:rFonts w:eastAsiaTheme="majorEastAsia" w:hint="default"/>
        <w:b w:val="0"/>
      </w:rPr>
    </w:lvl>
  </w:abstractNum>
  <w:abstractNum w:abstractNumId="11" w15:restartNumberingAfterBreak="0">
    <w:nsid w:val="4099692C"/>
    <w:multiLevelType w:val="hybridMultilevel"/>
    <w:tmpl w:val="1ED2A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C1C72C0"/>
    <w:multiLevelType w:val="hybridMultilevel"/>
    <w:tmpl w:val="0052A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FF354B5"/>
    <w:multiLevelType w:val="hybridMultilevel"/>
    <w:tmpl w:val="BE148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3"/>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isplayBackgroundShap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135AE"/>
    <w:rsid w:val="00033D49"/>
    <w:rsid w:val="0007226E"/>
    <w:rsid w:val="000864D7"/>
    <w:rsid w:val="000B4724"/>
    <w:rsid w:val="000C0AA7"/>
    <w:rsid w:val="000E0CC9"/>
    <w:rsid w:val="000E7A0A"/>
    <w:rsid w:val="00120A13"/>
    <w:rsid w:val="00194CB2"/>
    <w:rsid w:val="001F6494"/>
    <w:rsid w:val="00213302"/>
    <w:rsid w:val="00221C14"/>
    <w:rsid w:val="0022218D"/>
    <w:rsid w:val="00241CB9"/>
    <w:rsid w:val="00257CB6"/>
    <w:rsid w:val="002710C3"/>
    <w:rsid w:val="00277F76"/>
    <w:rsid w:val="002905CB"/>
    <w:rsid w:val="002949B5"/>
    <w:rsid w:val="002A7FAB"/>
    <w:rsid w:val="002B08FC"/>
    <w:rsid w:val="002B35B9"/>
    <w:rsid w:val="002C3438"/>
    <w:rsid w:val="002D4BE6"/>
    <w:rsid w:val="002D6772"/>
    <w:rsid w:val="002F6809"/>
    <w:rsid w:val="00302736"/>
    <w:rsid w:val="00307188"/>
    <w:rsid w:val="00313552"/>
    <w:rsid w:val="0033649F"/>
    <w:rsid w:val="00360762"/>
    <w:rsid w:val="0038355C"/>
    <w:rsid w:val="00390391"/>
    <w:rsid w:val="003D4CFB"/>
    <w:rsid w:val="003E6894"/>
    <w:rsid w:val="00420253"/>
    <w:rsid w:val="00451370"/>
    <w:rsid w:val="00451AAD"/>
    <w:rsid w:val="00464AA7"/>
    <w:rsid w:val="00482632"/>
    <w:rsid w:val="004B7893"/>
    <w:rsid w:val="004E1146"/>
    <w:rsid w:val="004E6DF5"/>
    <w:rsid w:val="00511838"/>
    <w:rsid w:val="00535C50"/>
    <w:rsid w:val="005557A3"/>
    <w:rsid w:val="005611F0"/>
    <w:rsid w:val="005637B9"/>
    <w:rsid w:val="005643DC"/>
    <w:rsid w:val="00575A9B"/>
    <w:rsid w:val="00586983"/>
    <w:rsid w:val="005B1E68"/>
    <w:rsid w:val="005B1EB2"/>
    <w:rsid w:val="005E61ED"/>
    <w:rsid w:val="005F37FC"/>
    <w:rsid w:val="005F6582"/>
    <w:rsid w:val="00612A5E"/>
    <w:rsid w:val="006339E7"/>
    <w:rsid w:val="00635A62"/>
    <w:rsid w:val="006E4AB3"/>
    <w:rsid w:val="006F39EB"/>
    <w:rsid w:val="00755037"/>
    <w:rsid w:val="00756A06"/>
    <w:rsid w:val="007C3061"/>
    <w:rsid w:val="007D7323"/>
    <w:rsid w:val="007E471D"/>
    <w:rsid w:val="007E7938"/>
    <w:rsid w:val="00803E4E"/>
    <w:rsid w:val="0080681D"/>
    <w:rsid w:val="00820A66"/>
    <w:rsid w:val="00835A77"/>
    <w:rsid w:val="00844D05"/>
    <w:rsid w:val="00880100"/>
    <w:rsid w:val="0088106F"/>
    <w:rsid w:val="008B641B"/>
    <w:rsid w:val="008C1852"/>
    <w:rsid w:val="008D65EF"/>
    <w:rsid w:val="008D789A"/>
    <w:rsid w:val="008F78C3"/>
    <w:rsid w:val="00917B12"/>
    <w:rsid w:val="009246F9"/>
    <w:rsid w:val="00931EF8"/>
    <w:rsid w:val="009752D2"/>
    <w:rsid w:val="009943A8"/>
    <w:rsid w:val="00994683"/>
    <w:rsid w:val="009952F6"/>
    <w:rsid w:val="009A6FC4"/>
    <w:rsid w:val="009C0798"/>
    <w:rsid w:val="009F2553"/>
    <w:rsid w:val="00A12883"/>
    <w:rsid w:val="00A21E2F"/>
    <w:rsid w:val="00A33516"/>
    <w:rsid w:val="00A4380A"/>
    <w:rsid w:val="00A824AE"/>
    <w:rsid w:val="00A8580E"/>
    <w:rsid w:val="00A87DD9"/>
    <w:rsid w:val="00AC7951"/>
    <w:rsid w:val="00AE1BA7"/>
    <w:rsid w:val="00B06580"/>
    <w:rsid w:val="00B352BE"/>
    <w:rsid w:val="00B8685D"/>
    <w:rsid w:val="00BC7208"/>
    <w:rsid w:val="00C13CB9"/>
    <w:rsid w:val="00C37A4C"/>
    <w:rsid w:val="00C437F1"/>
    <w:rsid w:val="00C62C0A"/>
    <w:rsid w:val="00C749AE"/>
    <w:rsid w:val="00C75156"/>
    <w:rsid w:val="00C81CFC"/>
    <w:rsid w:val="00CA48DC"/>
    <w:rsid w:val="00CD6790"/>
    <w:rsid w:val="00D00A17"/>
    <w:rsid w:val="00D16175"/>
    <w:rsid w:val="00D23B77"/>
    <w:rsid w:val="00D36792"/>
    <w:rsid w:val="00D471E6"/>
    <w:rsid w:val="00D724FB"/>
    <w:rsid w:val="00D925B9"/>
    <w:rsid w:val="00DB39BE"/>
    <w:rsid w:val="00E11486"/>
    <w:rsid w:val="00E17138"/>
    <w:rsid w:val="00E204A0"/>
    <w:rsid w:val="00E3519F"/>
    <w:rsid w:val="00E3691E"/>
    <w:rsid w:val="00E51C72"/>
    <w:rsid w:val="00E55E8D"/>
    <w:rsid w:val="00E757A8"/>
    <w:rsid w:val="00E827C2"/>
    <w:rsid w:val="00E97981"/>
    <w:rsid w:val="00EB6D19"/>
    <w:rsid w:val="00ED2681"/>
    <w:rsid w:val="00EF7065"/>
    <w:rsid w:val="00F01E28"/>
    <w:rsid w:val="00F045D1"/>
    <w:rsid w:val="00F12690"/>
    <w:rsid w:val="00F732B0"/>
    <w:rsid w:val="00FA67A2"/>
    <w:rsid w:val="00FD3A29"/>
    <w:rsid w:val="00FF661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basedOn w:val="Normal"/>
    <w:uiPriority w:val="34"/>
    <w:qFormat/>
    <w:rsid w:val="000E0CC9"/>
    <w:pPr>
      <w:tabs>
        <w:tab w:val="clear" w:pos="794"/>
        <w:tab w:val="clear" w:pos="1191"/>
        <w:tab w:val="clear" w:pos="1588"/>
        <w:tab w:val="clear" w:pos="1985"/>
      </w:tabs>
      <w:overflowPunct/>
      <w:autoSpaceDE/>
      <w:autoSpaceDN/>
      <w:adjustRightInd/>
      <w:spacing w:after="120"/>
      <w:ind w:left="720"/>
      <w:contextualSpacing/>
      <w:textAlignment w:val="auto"/>
    </w:pPr>
    <w:rPr>
      <w:rFonts w:ascii="Verdana" w:eastAsia="SimHei" w:hAnsi="Verdana" w:cs="Simplified Arabic"/>
      <w:bCs/>
      <w:sz w:val="19"/>
      <w:szCs w:val="28"/>
      <w:lang w:val="en-US" w:eastAsia="zh-CN"/>
    </w:rPr>
  </w:style>
  <w:style w:type="character" w:styleId="FollowedHyperlink">
    <w:name w:val="FollowedHyperlink"/>
    <w:basedOn w:val="DefaultParagraphFont"/>
    <w:uiPriority w:val="99"/>
    <w:semiHidden/>
    <w:unhideWhenUsed/>
    <w:rsid w:val="00880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wsis/forum/2016/" TargetMode="External"/><Relationship Id="rId18" Type="http://schemas.openxmlformats.org/officeDocument/2006/relationships/hyperlink" Target="https://www.itu.int/en/ITU-D/Membership/Pages/events/2016/PartnershipDialogueICT4SDGs/AcademiaNetwork01.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es/ITU-D/Conferences/GSR/Pages/GSR2017/default.aspx" TargetMode="External"/><Relationship Id="rId17" Type="http://schemas.openxmlformats.org/officeDocument/2006/relationships/hyperlink" Target="https://www.itu.int/net4/ITU-D/CDS/sg/index.asp?lg=3&amp;sp=2014&amp;st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s/ITU-D/ICT-Applications/eHEALTH/Be_healthy/Pages/Be_Healthy.aspx" TargetMode="External"/><Relationship Id="rId20" Type="http://schemas.openxmlformats.org/officeDocument/2006/relationships/hyperlink" Target="http://www.itu.int/es/ITU-D/Conferences/WTDC/WTDC17/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D/Conferences/CRO/Pages/defaul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D/Emergency-Telecommunications/Pages/Events/2016/GET-2016.aspx" TargetMode="External"/><Relationship Id="rId23" Type="http://schemas.openxmlformats.org/officeDocument/2006/relationships/footer" Target="footer2.xml"/><Relationship Id="rId10" Type="http://schemas.openxmlformats.org/officeDocument/2006/relationships/hyperlink" Target="http://www.itu.int/en/ITU-D/Conferences/CRO/Pages/default.aspx" TargetMode="External"/><Relationship Id="rId19" Type="http://schemas.openxmlformats.org/officeDocument/2006/relationships/hyperlink" Target="http://www.itu.int/es/ITU-D/Conferences/WTDC/WTDC17/Pages/default.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en/ITU-D/Emergency-Telecommunications/Pages/PartneringforDisasterReduction.aspx"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75872-9E04-4DF5-947A-2EB008EA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2285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Margaret Murphy</dc:creator>
  <cp:keywords/>
  <dc:description/>
  <cp:lastModifiedBy>Ricardo Sáez Grau</cp:lastModifiedBy>
  <cp:revision>90</cp:revision>
  <cp:lastPrinted>2017-04-27T22:23:00Z</cp:lastPrinted>
  <dcterms:created xsi:type="dcterms:W3CDTF">2017-04-27T22:07:00Z</dcterms:created>
  <dcterms:modified xsi:type="dcterms:W3CDTF">2017-04-27T23:20:00Z</dcterms:modified>
</cp:coreProperties>
</file>