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1142"/>
        <w:tblW w:w="9889" w:type="dxa"/>
        <w:tblLayout w:type="fixed"/>
        <w:tblLook w:val="0000" w:firstRow="0" w:lastRow="0" w:firstColumn="0" w:lastColumn="0" w:noHBand="0" w:noVBand="0"/>
        <w:tblCaption w:val="Информация о документе (исследовательская комиссия, собрание, Вопрос, источник, название)"/>
      </w:tblPr>
      <w:tblGrid>
        <w:gridCol w:w="1276"/>
        <w:gridCol w:w="5527"/>
        <w:gridCol w:w="3086"/>
      </w:tblGrid>
      <w:tr w:rsidR="00054016" w:rsidRPr="00BD7A1A" w:rsidTr="00054016">
        <w:trPr>
          <w:trHeight w:val="1134"/>
        </w:trPr>
        <w:tc>
          <w:tcPr>
            <w:tcW w:w="1276" w:type="dxa"/>
          </w:tcPr>
          <w:p w:rsidR="00054016" w:rsidRPr="00623F75" w:rsidRDefault="00054016" w:rsidP="005834D5">
            <w:pPr>
              <w:pStyle w:val="Heading1"/>
              <w:spacing w:before="120" w:after="120"/>
              <w:rPr>
                <w:sz w:val="36"/>
                <w:szCs w:val="36"/>
              </w:rPr>
            </w:pPr>
            <w:r w:rsidRPr="00CC1F10">
              <w:rPr>
                <w:noProof/>
                <w:color w:val="3399FF"/>
                <w:lang w:val="en-GB"/>
              </w:rPr>
              <w:drawing>
                <wp:anchor distT="0" distB="0" distL="114300" distR="114300" simplePos="0" relativeHeight="251659264" behindDoc="0" locked="0" layoutInCell="1" allowOverlap="1" wp14:anchorId="7794A024" wp14:editId="1BD089DB">
                  <wp:simplePos x="0" y="0"/>
                  <wp:positionH relativeFrom="column">
                    <wp:posOffset>0</wp:posOffset>
                  </wp:positionH>
                  <wp:positionV relativeFrom="paragraph">
                    <wp:posOffset>2540</wp:posOffset>
                  </wp:positionV>
                  <wp:extent cx="771525" cy="700486"/>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45157" r="38069"/>
                          <a:stretch/>
                        </pic:blipFill>
                        <pic:spPr bwMode="auto">
                          <a:xfrm>
                            <a:off x="0" y="0"/>
                            <a:ext cx="771525" cy="70048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527" w:type="dxa"/>
          </w:tcPr>
          <w:p w:rsidR="00DD3EDD" w:rsidRPr="00054016" w:rsidRDefault="00DD3EDD" w:rsidP="00DD3EDD">
            <w:pPr>
              <w:widowControl w:val="0"/>
              <w:tabs>
                <w:tab w:val="clear" w:pos="794"/>
                <w:tab w:val="clear" w:pos="1191"/>
                <w:tab w:val="clear" w:pos="1588"/>
                <w:tab w:val="clear" w:pos="1985"/>
              </w:tabs>
              <w:overflowPunct/>
              <w:autoSpaceDE/>
              <w:autoSpaceDN/>
              <w:adjustRightInd/>
              <w:textAlignment w:val="auto"/>
              <w:rPr>
                <w:rFonts w:cs="SimSun"/>
                <w:b/>
                <w:bCs/>
                <w:sz w:val="32"/>
                <w:szCs w:val="22"/>
              </w:rPr>
            </w:pPr>
            <w:r w:rsidRPr="00054016">
              <w:rPr>
                <w:rFonts w:ascii="SimSun" w:hAnsi="SimSun" w:cs="SimSun" w:hint="eastAsia"/>
                <w:b/>
                <w:bCs/>
                <w:sz w:val="32"/>
                <w:szCs w:val="22"/>
              </w:rPr>
              <w:t>电信发展顾问组</w:t>
            </w:r>
            <w:r w:rsidRPr="00054016">
              <w:rPr>
                <w:rFonts w:cs="SimSun"/>
                <w:b/>
                <w:bCs/>
                <w:sz w:val="32"/>
                <w:szCs w:val="22"/>
              </w:rPr>
              <w:t>（</w:t>
            </w:r>
            <w:r w:rsidRPr="00054016">
              <w:rPr>
                <w:rFonts w:cstheme="minorHAnsi"/>
                <w:b/>
                <w:bCs/>
                <w:sz w:val="32"/>
                <w:szCs w:val="22"/>
              </w:rPr>
              <w:t>TDAG</w:t>
            </w:r>
            <w:r w:rsidRPr="00054016">
              <w:rPr>
                <w:rFonts w:cs="SimSun"/>
                <w:b/>
                <w:bCs/>
                <w:sz w:val="32"/>
                <w:szCs w:val="22"/>
              </w:rPr>
              <w:t>）</w:t>
            </w:r>
          </w:p>
          <w:p w:rsidR="00054016" w:rsidRPr="00054016" w:rsidRDefault="00DD3EDD" w:rsidP="00DD3EDD">
            <w:pPr>
              <w:widowControl w:val="0"/>
              <w:tabs>
                <w:tab w:val="clear" w:pos="794"/>
                <w:tab w:val="clear" w:pos="1191"/>
                <w:tab w:val="clear" w:pos="1588"/>
                <w:tab w:val="clear" w:pos="1985"/>
              </w:tabs>
              <w:overflowPunct/>
              <w:autoSpaceDE/>
              <w:autoSpaceDN/>
              <w:adjustRightInd/>
              <w:spacing w:after="360"/>
              <w:textAlignment w:val="auto"/>
              <w:rPr>
                <w:rFonts w:asciiTheme="minorHAnsi" w:eastAsiaTheme="majorEastAsia" w:hAnsiTheme="minorHAnsi" w:cstheme="minorHAnsi"/>
                <w:b/>
                <w:bCs/>
                <w:position w:val="6"/>
                <w:szCs w:val="24"/>
              </w:rPr>
            </w:pPr>
            <w:r w:rsidRPr="00054016">
              <w:rPr>
                <w:rFonts w:ascii="SimSun" w:hAnsi="SimSun" w:hint="eastAsia"/>
                <w:b/>
                <w:bCs/>
                <w:szCs w:val="24"/>
                <w:lang w:val="fr-CH"/>
              </w:rPr>
              <w:t>第</w:t>
            </w:r>
            <w:r w:rsidRPr="00054016">
              <w:rPr>
                <w:b/>
                <w:bCs/>
                <w:szCs w:val="24"/>
                <w:lang w:val="fr-CH"/>
              </w:rPr>
              <w:t>2</w:t>
            </w:r>
            <w:r w:rsidRPr="00054016">
              <w:rPr>
                <w:rFonts w:asciiTheme="minorHAnsi" w:hAnsiTheme="minorHAnsi"/>
                <w:b/>
                <w:bCs/>
                <w:szCs w:val="24"/>
                <w:lang w:val="fr-CH"/>
              </w:rPr>
              <w:t>2</w:t>
            </w:r>
            <w:r w:rsidRPr="00054016">
              <w:rPr>
                <w:rFonts w:ascii="SimSun" w:hAnsi="SimSun" w:hint="eastAsia"/>
                <w:b/>
                <w:bCs/>
                <w:szCs w:val="24"/>
                <w:lang w:val="fr-CH"/>
              </w:rPr>
              <w:t>次</w:t>
            </w:r>
            <w:r w:rsidRPr="00054016">
              <w:rPr>
                <w:rFonts w:ascii="SimSun" w:hAnsi="SimSun"/>
                <w:b/>
                <w:bCs/>
                <w:szCs w:val="24"/>
                <w:lang w:val="fr-CH"/>
              </w:rPr>
              <w:t>会议，</w:t>
            </w:r>
            <w:r w:rsidRPr="00054016">
              <w:rPr>
                <w:rFonts w:asciiTheme="minorHAnsi" w:hAnsiTheme="minorHAnsi"/>
                <w:b/>
                <w:bCs/>
                <w:szCs w:val="24"/>
              </w:rPr>
              <w:t>201</w:t>
            </w:r>
            <w:r w:rsidRPr="00054016">
              <w:rPr>
                <w:rFonts w:asciiTheme="minorHAnsi" w:hAnsiTheme="minorHAnsi"/>
                <w:b/>
                <w:bCs/>
                <w:szCs w:val="24"/>
                <w:lang w:val="en-US"/>
              </w:rPr>
              <w:t>7</w:t>
            </w:r>
            <w:r w:rsidRPr="00054016">
              <w:rPr>
                <w:rFonts w:ascii="SimSun" w:hAnsi="SimSun"/>
                <w:b/>
                <w:bCs/>
                <w:szCs w:val="24"/>
              </w:rPr>
              <w:t>年</w:t>
            </w:r>
            <w:r w:rsidRPr="00054016">
              <w:rPr>
                <w:rFonts w:asciiTheme="minorHAnsi" w:hAnsiTheme="minorHAnsi"/>
                <w:b/>
                <w:bCs/>
                <w:szCs w:val="24"/>
                <w:lang w:val="en-US"/>
              </w:rPr>
              <w:t>5</w:t>
            </w:r>
            <w:r w:rsidRPr="00054016">
              <w:rPr>
                <w:rFonts w:ascii="SimSun" w:hAnsi="SimSun"/>
                <w:b/>
                <w:bCs/>
                <w:szCs w:val="24"/>
              </w:rPr>
              <w:t>月</w:t>
            </w:r>
            <w:r w:rsidRPr="00054016">
              <w:rPr>
                <w:rFonts w:asciiTheme="minorHAnsi" w:hAnsiTheme="minorHAnsi"/>
                <w:b/>
                <w:bCs/>
                <w:szCs w:val="24"/>
                <w:lang w:val="en-US"/>
              </w:rPr>
              <w:t>9</w:t>
            </w:r>
            <w:r w:rsidRPr="00054016">
              <w:rPr>
                <w:rFonts w:asciiTheme="minorHAnsi" w:hAnsiTheme="minorHAnsi"/>
                <w:b/>
                <w:bCs/>
                <w:szCs w:val="24"/>
              </w:rPr>
              <w:t>-1</w:t>
            </w:r>
            <w:r w:rsidRPr="00054016">
              <w:rPr>
                <w:rFonts w:asciiTheme="minorHAnsi" w:hAnsiTheme="minorHAnsi"/>
                <w:b/>
                <w:bCs/>
                <w:szCs w:val="24"/>
                <w:lang w:val="en-US"/>
              </w:rPr>
              <w:t>2</w:t>
            </w:r>
            <w:r w:rsidRPr="00054016">
              <w:rPr>
                <w:rFonts w:ascii="SimSun" w:hAnsi="SimSun"/>
                <w:b/>
                <w:bCs/>
                <w:szCs w:val="24"/>
              </w:rPr>
              <w:t>日，日内瓦</w:t>
            </w:r>
          </w:p>
        </w:tc>
        <w:tc>
          <w:tcPr>
            <w:tcW w:w="3086" w:type="dxa"/>
            <w:vAlign w:val="center"/>
          </w:tcPr>
          <w:p w:rsidR="00054016" w:rsidRPr="00BD7A1A" w:rsidRDefault="00DD3EDD" w:rsidP="00E93040">
            <w:pPr>
              <w:widowControl w:val="0"/>
              <w:spacing w:before="0"/>
              <w:rPr>
                <w:szCs w:val="22"/>
              </w:rPr>
            </w:pPr>
            <w:r>
              <w:rPr>
                <w:noProof/>
                <w:lang w:val="en-GB"/>
              </w:rPr>
              <w:drawing>
                <wp:anchor distT="0" distB="0" distL="114300" distR="114300" simplePos="0" relativeHeight="251661312" behindDoc="0" locked="0" layoutInCell="1" allowOverlap="1" wp14:anchorId="3C8DC00D" wp14:editId="250D8419">
                  <wp:simplePos x="0" y="0"/>
                  <wp:positionH relativeFrom="column">
                    <wp:posOffset>14605</wp:posOffset>
                  </wp:positionH>
                  <wp:positionV relativeFrom="paragraph">
                    <wp:posOffset>-41910</wp:posOffset>
                  </wp:positionV>
                  <wp:extent cx="1788160" cy="831215"/>
                  <wp:effectExtent l="0" t="0" r="2540" b="6985"/>
                  <wp:wrapNone/>
                  <wp:docPr id="2" name="Picture 2" descr="C:\Users\murphy\AppData\Local\Microsoft\Windows\Temporary Internet Files\Content.Outlook\PQ94T9LJ\bd_C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urphy\AppData\Local\Microsoft\Windows\Temporary Internet Files\Content.Outlook\PQ94T9LJ\bd_C_25Years_Horizontal-411959.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88160" cy="83121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5834D5" w:rsidRPr="00892207" w:rsidTr="008129BB">
        <w:trPr>
          <w:trHeight w:val="238"/>
        </w:trPr>
        <w:tc>
          <w:tcPr>
            <w:tcW w:w="6803" w:type="dxa"/>
            <w:gridSpan w:val="2"/>
            <w:tcBorders>
              <w:top w:val="single" w:sz="12" w:space="0" w:color="auto"/>
            </w:tcBorders>
          </w:tcPr>
          <w:p w:rsidR="005834D5" w:rsidRPr="00892207" w:rsidRDefault="005834D5" w:rsidP="00BD7A1A">
            <w:pPr>
              <w:widowControl w:val="0"/>
              <w:spacing w:before="0"/>
              <w:rPr>
                <w:rFonts w:asciiTheme="minorHAnsi" w:hAnsiTheme="minorHAnsi"/>
                <w:b/>
                <w:smallCaps/>
                <w:szCs w:val="24"/>
              </w:rPr>
            </w:pPr>
          </w:p>
        </w:tc>
        <w:tc>
          <w:tcPr>
            <w:tcW w:w="3086" w:type="dxa"/>
            <w:tcBorders>
              <w:top w:val="single" w:sz="12" w:space="0" w:color="auto"/>
            </w:tcBorders>
          </w:tcPr>
          <w:p w:rsidR="005834D5" w:rsidRPr="00892207" w:rsidRDefault="005834D5" w:rsidP="00BD7A1A">
            <w:pPr>
              <w:widowControl w:val="0"/>
              <w:spacing w:before="0"/>
              <w:rPr>
                <w:rFonts w:asciiTheme="minorHAnsi" w:hAnsiTheme="minorHAnsi"/>
                <w:szCs w:val="24"/>
              </w:rPr>
            </w:pPr>
          </w:p>
        </w:tc>
      </w:tr>
      <w:tr w:rsidR="005834D5" w:rsidRPr="00892207" w:rsidTr="008129BB">
        <w:trPr>
          <w:trHeight w:val="80"/>
        </w:trPr>
        <w:tc>
          <w:tcPr>
            <w:tcW w:w="6803" w:type="dxa"/>
            <w:gridSpan w:val="2"/>
          </w:tcPr>
          <w:p w:rsidR="005834D5" w:rsidRPr="00892207" w:rsidRDefault="005834D5" w:rsidP="00BD7A1A">
            <w:pPr>
              <w:widowControl w:val="0"/>
              <w:spacing w:before="0"/>
              <w:rPr>
                <w:rFonts w:asciiTheme="minorHAnsi" w:hAnsiTheme="minorHAnsi"/>
                <w:b/>
                <w:bCs/>
                <w:smallCaps/>
                <w:szCs w:val="24"/>
              </w:rPr>
            </w:pPr>
          </w:p>
        </w:tc>
        <w:tc>
          <w:tcPr>
            <w:tcW w:w="3086" w:type="dxa"/>
          </w:tcPr>
          <w:p w:rsidR="005834D5" w:rsidRPr="00892207" w:rsidRDefault="00D84BC1" w:rsidP="003C74A2">
            <w:pPr>
              <w:widowControl w:val="0"/>
              <w:spacing w:before="0"/>
              <w:rPr>
                <w:rFonts w:asciiTheme="minorHAnsi" w:hAnsiTheme="minorHAnsi"/>
                <w:b/>
                <w:bCs/>
                <w:szCs w:val="24"/>
              </w:rPr>
            </w:pPr>
            <w:r w:rsidRPr="00616C29">
              <w:rPr>
                <w:rFonts w:ascii="SimSun" w:hAnsi="SimSun" w:cs="SimSun" w:hint="eastAsia"/>
                <w:b/>
                <w:szCs w:val="24"/>
                <w:lang w:val="en-AU"/>
              </w:rPr>
              <w:t>文件</w:t>
            </w:r>
            <w:r w:rsidRPr="00616C29">
              <w:rPr>
                <w:b/>
                <w:szCs w:val="24"/>
                <w:lang w:val="en-AU"/>
              </w:rPr>
              <w:t xml:space="preserve"> </w:t>
            </w:r>
            <w:bookmarkStart w:id="0" w:name="DocRef1"/>
            <w:bookmarkEnd w:id="0"/>
            <w:r>
              <w:rPr>
                <w:b/>
                <w:szCs w:val="24"/>
                <w:lang w:val="en-AU"/>
              </w:rPr>
              <w:t>TDAG17-22</w:t>
            </w:r>
            <w:r w:rsidRPr="00616C29">
              <w:rPr>
                <w:rFonts w:cstheme="minorHAnsi"/>
                <w:b/>
                <w:szCs w:val="24"/>
                <w:lang w:val="en-AU"/>
              </w:rPr>
              <w:t>/</w:t>
            </w:r>
            <w:bookmarkStart w:id="1" w:name="DocNo1"/>
            <w:bookmarkEnd w:id="1"/>
            <w:r>
              <w:rPr>
                <w:rFonts w:cstheme="minorHAnsi"/>
                <w:b/>
                <w:szCs w:val="24"/>
                <w:lang w:val="en-AU"/>
              </w:rPr>
              <w:t>5</w:t>
            </w:r>
            <w:r w:rsidR="003C74A2">
              <w:rPr>
                <w:rFonts w:cstheme="minorHAnsi"/>
                <w:b/>
                <w:szCs w:val="24"/>
                <w:lang w:val="en-AU"/>
              </w:rPr>
              <w:t>4</w:t>
            </w:r>
            <w:r>
              <w:rPr>
                <w:rFonts w:cstheme="minorHAnsi"/>
                <w:b/>
                <w:szCs w:val="24"/>
                <w:lang w:val="en-AU"/>
              </w:rPr>
              <w:t>-C</w:t>
            </w:r>
          </w:p>
        </w:tc>
      </w:tr>
      <w:tr w:rsidR="005834D5" w:rsidRPr="00892207" w:rsidTr="008129BB">
        <w:tc>
          <w:tcPr>
            <w:tcW w:w="6803" w:type="dxa"/>
            <w:gridSpan w:val="2"/>
          </w:tcPr>
          <w:p w:rsidR="005834D5" w:rsidRPr="00892207" w:rsidRDefault="005834D5" w:rsidP="00BD7A1A">
            <w:pPr>
              <w:widowControl w:val="0"/>
              <w:spacing w:before="0"/>
              <w:rPr>
                <w:rFonts w:asciiTheme="minorHAnsi" w:hAnsiTheme="minorHAnsi"/>
                <w:b/>
                <w:smallCaps/>
                <w:szCs w:val="24"/>
              </w:rPr>
            </w:pPr>
          </w:p>
        </w:tc>
        <w:tc>
          <w:tcPr>
            <w:tcW w:w="3086" w:type="dxa"/>
          </w:tcPr>
          <w:p w:rsidR="005834D5" w:rsidRPr="00892207" w:rsidRDefault="00D84BC1" w:rsidP="00054016">
            <w:pPr>
              <w:widowControl w:val="0"/>
              <w:spacing w:before="0"/>
              <w:rPr>
                <w:rFonts w:asciiTheme="minorHAnsi" w:eastAsiaTheme="majorEastAsia" w:hAnsiTheme="minorHAnsi"/>
                <w:b/>
                <w:bCs/>
                <w:szCs w:val="24"/>
              </w:rPr>
            </w:pPr>
            <w:bookmarkStart w:id="2" w:name="CreationDate"/>
            <w:bookmarkEnd w:id="2"/>
            <w:r>
              <w:rPr>
                <w:rFonts w:asciiTheme="minorHAnsi" w:eastAsiaTheme="majorEastAsia" w:hAnsiTheme="minorHAnsi" w:hint="eastAsia"/>
                <w:b/>
                <w:bCs/>
                <w:szCs w:val="24"/>
              </w:rPr>
              <w:t xml:space="preserve">26 </w:t>
            </w:r>
            <w:r>
              <w:rPr>
                <w:rFonts w:asciiTheme="minorHAnsi" w:eastAsiaTheme="majorEastAsia" w:hAnsiTheme="minorHAnsi" w:hint="eastAsia"/>
                <w:b/>
                <w:bCs/>
                <w:szCs w:val="24"/>
              </w:rPr>
              <w:t>年</w:t>
            </w:r>
            <w:r>
              <w:rPr>
                <w:rFonts w:asciiTheme="minorHAnsi" w:eastAsiaTheme="majorEastAsia" w:hAnsiTheme="minorHAnsi" w:hint="eastAsia"/>
                <w:b/>
                <w:bCs/>
                <w:szCs w:val="24"/>
              </w:rPr>
              <w:t>4</w:t>
            </w:r>
            <w:r>
              <w:rPr>
                <w:rFonts w:asciiTheme="minorHAnsi" w:eastAsiaTheme="majorEastAsia" w:hAnsiTheme="minorHAnsi" w:hint="eastAsia"/>
                <w:b/>
                <w:bCs/>
                <w:szCs w:val="24"/>
              </w:rPr>
              <w:t>月</w:t>
            </w:r>
            <w:r>
              <w:rPr>
                <w:rFonts w:asciiTheme="minorHAnsi" w:eastAsiaTheme="majorEastAsia" w:hAnsiTheme="minorHAnsi" w:hint="eastAsia"/>
                <w:b/>
                <w:bCs/>
                <w:szCs w:val="24"/>
              </w:rPr>
              <w:t xml:space="preserve"> 2017</w:t>
            </w:r>
          </w:p>
        </w:tc>
      </w:tr>
      <w:tr w:rsidR="005834D5" w:rsidRPr="00892207" w:rsidTr="008129BB">
        <w:tc>
          <w:tcPr>
            <w:tcW w:w="6803" w:type="dxa"/>
            <w:gridSpan w:val="2"/>
          </w:tcPr>
          <w:p w:rsidR="005834D5" w:rsidRPr="00892207" w:rsidRDefault="005834D5" w:rsidP="00BD7A1A">
            <w:pPr>
              <w:widowControl w:val="0"/>
              <w:spacing w:before="0"/>
              <w:rPr>
                <w:rFonts w:asciiTheme="minorHAnsi" w:hAnsiTheme="minorHAnsi"/>
                <w:b/>
                <w:smallCaps/>
                <w:szCs w:val="24"/>
              </w:rPr>
            </w:pPr>
          </w:p>
        </w:tc>
        <w:tc>
          <w:tcPr>
            <w:tcW w:w="3086" w:type="dxa"/>
          </w:tcPr>
          <w:p w:rsidR="005834D5" w:rsidRPr="00892207" w:rsidRDefault="00D84BC1" w:rsidP="00937076">
            <w:pPr>
              <w:widowControl w:val="0"/>
              <w:spacing w:before="0"/>
              <w:rPr>
                <w:rFonts w:asciiTheme="minorHAnsi" w:eastAsiaTheme="minorEastAsia" w:hAnsiTheme="minorHAnsi"/>
                <w:b/>
                <w:bCs/>
                <w:szCs w:val="24"/>
              </w:rPr>
            </w:pPr>
            <w:r w:rsidRPr="00616C29">
              <w:rPr>
                <w:rFonts w:eastAsiaTheme="minorEastAsia" w:cstheme="minorHAnsi" w:hint="eastAsia"/>
                <w:b/>
                <w:bCs/>
                <w:szCs w:val="24"/>
              </w:rPr>
              <w:t>原文</w:t>
            </w:r>
            <w:r w:rsidRPr="00616C29">
              <w:rPr>
                <w:rFonts w:eastAsiaTheme="minorEastAsia" w:cstheme="minorHAnsi"/>
                <w:b/>
                <w:bCs/>
                <w:szCs w:val="24"/>
              </w:rPr>
              <w:t>：</w:t>
            </w:r>
            <w:bookmarkStart w:id="3" w:name="Original"/>
            <w:bookmarkEnd w:id="3"/>
            <w:r>
              <w:rPr>
                <w:rFonts w:eastAsiaTheme="minorEastAsia" w:cstheme="minorHAnsi" w:hint="eastAsia"/>
                <w:b/>
                <w:bCs/>
                <w:szCs w:val="24"/>
              </w:rPr>
              <w:t>中文</w:t>
            </w:r>
          </w:p>
        </w:tc>
      </w:tr>
      <w:tr w:rsidR="00916B10" w:rsidRPr="00347F95" w:rsidTr="008129BB">
        <w:trPr>
          <w:trHeight w:val="850"/>
        </w:trPr>
        <w:tc>
          <w:tcPr>
            <w:tcW w:w="9889" w:type="dxa"/>
            <w:gridSpan w:val="3"/>
          </w:tcPr>
          <w:p w:rsidR="00916B10" w:rsidRPr="00347F95" w:rsidRDefault="0085124C" w:rsidP="0085124C">
            <w:pPr>
              <w:pStyle w:val="Source"/>
              <w:framePr w:hSpace="0" w:wrap="auto" w:vAnchor="margin" w:hAnchor="text" w:xAlign="left" w:yAlign="inline"/>
              <w:rPr>
                <w:lang w:val="en-GB"/>
              </w:rPr>
            </w:pPr>
            <w:bookmarkStart w:id="4" w:name="Source"/>
            <w:bookmarkEnd w:id="4"/>
            <w:r>
              <w:rPr>
                <w:rFonts w:hint="eastAsia"/>
              </w:rPr>
              <w:t>中华人民</w:t>
            </w:r>
            <w:r>
              <w:t>共和国</w:t>
            </w:r>
          </w:p>
        </w:tc>
      </w:tr>
      <w:tr w:rsidR="00916B10" w:rsidRPr="00347F95" w:rsidTr="002E65BA">
        <w:tc>
          <w:tcPr>
            <w:tcW w:w="9889" w:type="dxa"/>
            <w:gridSpan w:val="3"/>
          </w:tcPr>
          <w:p w:rsidR="0085124C" w:rsidRDefault="0085124C" w:rsidP="0085124C">
            <w:pPr>
              <w:pStyle w:val="Title1"/>
              <w:framePr w:wrap="auto" w:xAlign="left"/>
            </w:pPr>
            <w:bookmarkStart w:id="5" w:name="Title"/>
            <w:bookmarkEnd w:id="5"/>
            <w:r>
              <w:rPr>
                <w:rFonts w:hint="eastAsia"/>
              </w:rPr>
              <w:t>关于设立《推动形成国际陆地光缆过境公约、</w:t>
            </w:r>
          </w:p>
          <w:p w:rsidR="00916B10" w:rsidRPr="0085124C" w:rsidRDefault="0085124C" w:rsidP="003C74A2">
            <w:pPr>
              <w:pStyle w:val="Title1"/>
              <w:framePr w:wrap="auto" w:xAlign="left"/>
            </w:pPr>
            <w:r>
              <w:rPr>
                <w:rFonts w:hint="eastAsia"/>
              </w:rPr>
              <w:t>支持跨多国陆地光缆网络建设》新决议的</w:t>
            </w:r>
            <w:r>
              <w:t>建议</w:t>
            </w:r>
          </w:p>
        </w:tc>
      </w:tr>
      <w:tr w:rsidR="00054016" w:rsidRPr="00347F95" w:rsidTr="002E65BA">
        <w:tc>
          <w:tcPr>
            <w:tcW w:w="9889" w:type="dxa"/>
            <w:gridSpan w:val="3"/>
            <w:tcBorders>
              <w:bottom w:val="single" w:sz="4" w:space="0" w:color="auto"/>
            </w:tcBorders>
          </w:tcPr>
          <w:p w:rsidR="00054016" w:rsidRPr="00347F95" w:rsidRDefault="00054016" w:rsidP="00892207">
            <w:pPr>
              <w:spacing w:before="0"/>
              <w:rPr>
                <w:lang w:val="en-GB"/>
              </w:rPr>
            </w:pPr>
          </w:p>
        </w:tc>
      </w:tr>
      <w:tr w:rsidR="00054016" w:rsidRPr="00BD7A1A" w:rsidTr="002E65BA">
        <w:trPr>
          <w:trHeight w:val="703"/>
        </w:trPr>
        <w:tc>
          <w:tcPr>
            <w:tcW w:w="9889" w:type="dxa"/>
            <w:gridSpan w:val="3"/>
            <w:tcBorders>
              <w:top w:val="single" w:sz="4" w:space="0" w:color="auto"/>
              <w:left w:val="single" w:sz="4" w:space="0" w:color="auto"/>
              <w:bottom w:val="single" w:sz="4" w:space="0" w:color="auto"/>
              <w:right w:val="single" w:sz="4" w:space="0" w:color="auto"/>
            </w:tcBorders>
          </w:tcPr>
          <w:p w:rsidR="001547DA" w:rsidRDefault="001547DA" w:rsidP="001547DA">
            <w:pPr>
              <w:pStyle w:val="Heading1"/>
              <w:rPr>
                <w:rFonts w:ascii="SimSun" w:hAnsi="SimSun" w:cs="SimSun"/>
                <w:sz w:val="24"/>
                <w:szCs w:val="24"/>
              </w:rPr>
            </w:pPr>
            <w:r>
              <w:rPr>
                <w:rFonts w:ascii="SimSun" w:hAnsi="SimSun" w:cs="SimSun" w:hint="eastAsia"/>
                <w:sz w:val="24"/>
                <w:szCs w:val="24"/>
              </w:rPr>
              <w:t>I</w:t>
            </w:r>
            <w:r>
              <w:rPr>
                <w:rFonts w:ascii="SimSun" w:hAnsi="SimSun" w:cs="SimSun" w:hint="eastAsia"/>
                <w:sz w:val="24"/>
                <w:szCs w:val="24"/>
              </w:rPr>
              <w:tab/>
              <w:t>引言</w:t>
            </w:r>
          </w:p>
          <w:p w:rsidR="001547DA" w:rsidRDefault="001547DA" w:rsidP="001547DA">
            <w:pPr>
              <w:spacing w:line="276" w:lineRule="auto"/>
              <w:ind w:firstLineChars="200" w:firstLine="480"/>
              <w:jc w:val="both"/>
              <w:rPr>
                <w:rFonts w:ascii="SimSun" w:hAnsi="SimSun" w:cs="Yu Gothic UI"/>
              </w:rPr>
            </w:pPr>
            <w:r>
              <w:rPr>
                <w:rFonts w:hint="eastAsia"/>
              </w:rPr>
              <w:t>目前，世界上陆地相邻的国家之间基本上都建立了跨境光缆，但都只用于解决相邻国家的双边通信需求，没有形成跨越多国的国际传输通道，大量的跨境陆地光缆资源得不到充分利用。其主要原因在于缺少国际陆地光缆过境公约和相关协定。目前</w:t>
            </w:r>
            <w:r>
              <w:t>国际电联电信标准化部门（</w:t>
            </w:r>
            <w:r>
              <w:t>ITU-T</w:t>
            </w:r>
            <w:r>
              <w:t>）第</w:t>
            </w:r>
            <w:r>
              <w:t>3</w:t>
            </w:r>
            <w:r>
              <w:t>研究组</w:t>
            </w:r>
            <w:r>
              <w:rPr>
                <w:rFonts w:hint="eastAsia"/>
              </w:rPr>
              <w:t>已设立课题对跨多国陆地光缆电路过境收费标准和规则进行研究。</w:t>
            </w:r>
          </w:p>
          <w:p w:rsidR="001547DA" w:rsidRDefault="001547DA" w:rsidP="001547DA">
            <w:pPr>
              <w:spacing w:line="276" w:lineRule="auto"/>
              <w:ind w:firstLineChars="200" w:firstLine="480"/>
              <w:jc w:val="both"/>
              <w:rPr>
                <w:rFonts w:ascii="SimSun" w:hAnsi="SimSun" w:cs="Yu Gothic UI"/>
              </w:rPr>
            </w:pPr>
            <w:r>
              <w:rPr>
                <w:rFonts w:ascii="SimSun" w:hAnsi="SimSun" w:cs="Yu Gothic UI" w:hint="eastAsia"/>
              </w:rPr>
              <w:t>推动形成国际陆地光缆过境公约、支持跨多国陆地光缆网络建设，可以</w:t>
            </w:r>
            <w:r>
              <w:rPr>
                <w:rFonts w:ascii="SimSun" w:hAnsi="SimSun" w:hint="eastAsia"/>
              </w:rPr>
              <w:t>充分盘活广泛分布于全球的各国国内骨干网络资源，在国家数量众多的亚洲、欧洲</w:t>
            </w:r>
            <w:r>
              <w:rPr>
                <w:rFonts w:ascii="SimSun" w:hAnsi="SimSun"/>
              </w:rPr>
              <w:t>、</w:t>
            </w:r>
            <w:r>
              <w:rPr>
                <w:rFonts w:ascii="SimSun" w:hAnsi="SimSun" w:hint="eastAsia"/>
              </w:rPr>
              <w:t>非洲、南美洲大陆形成诸多畅通的陆地国际信息通道，大幅提升各国、特别是内陆和最不发达国家接入国际</w:t>
            </w:r>
            <w:r>
              <w:rPr>
                <w:rFonts w:ascii="SimSun" w:hAnsi="SimSun"/>
              </w:rPr>
              <w:t>互联网</w:t>
            </w:r>
            <w:r>
              <w:rPr>
                <w:rFonts w:ascii="SimSun" w:hAnsi="SimSun" w:hint="eastAsia"/>
              </w:rPr>
              <w:t>的能力，降低宽带接入费用，全面优化和提升全球通信网络设施水平，</w:t>
            </w:r>
            <w:r>
              <w:rPr>
                <w:rFonts w:ascii="SimSun" w:hAnsi="SimSun" w:cs="Yu Gothic UI" w:hint="eastAsia"/>
              </w:rPr>
              <w:t>切实为“连通目标2020”议程和2030年可持续发展议程做出贡献。</w:t>
            </w:r>
          </w:p>
          <w:p w:rsidR="001547DA" w:rsidRDefault="001547DA" w:rsidP="001547DA">
            <w:pPr>
              <w:pStyle w:val="Heading1"/>
              <w:rPr>
                <w:rFonts w:ascii="SimSun" w:hAnsi="SimSun" w:cs="SimSun"/>
                <w:sz w:val="24"/>
                <w:szCs w:val="24"/>
              </w:rPr>
            </w:pPr>
            <w:r>
              <w:rPr>
                <w:rFonts w:ascii="SimSun" w:hAnsi="SimSun" w:cs="SimSun" w:hint="eastAsia"/>
                <w:sz w:val="24"/>
                <w:szCs w:val="24"/>
              </w:rPr>
              <w:t>II</w:t>
            </w:r>
            <w:r>
              <w:rPr>
                <w:rFonts w:ascii="SimSun" w:hAnsi="SimSun" w:cs="SimSun" w:hint="eastAsia"/>
                <w:sz w:val="24"/>
                <w:szCs w:val="24"/>
              </w:rPr>
              <w:tab/>
              <w:t>建议</w:t>
            </w:r>
          </w:p>
          <w:p w:rsidR="00054016" w:rsidRPr="005D6CE4" w:rsidRDefault="001547DA" w:rsidP="001547DA">
            <w:pPr>
              <w:spacing w:after="240"/>
            </w:pPr>
            <w:r>
              <w:rPr>
                <w:rFonts w:ascii="SimSun" w:hAnsi="SimSun" w:hint="eastAsia"/>
              </w:rPr>
              <w:t>建议ITU-D设立新决议，与ITU-T联动，号召各国主管部门、运营商等共同推动形成国际陆地光缆过境公约，支持跨多国陆地光缆网络建设。</w:t>
            </w:r>
          </w:p>
        </w:tc>
      </w:tr>
    </w:tbl>
    <w:p w:rsidR="0085124C" w:rsidRDefault="0085124C" w:rsidP="00347F95">
      <w:pPr>
        <w:pStyle w:val="Heading2"/>
        <w:keepLines w:val="0"/>
        <w:numPr>
          <w:ilvl w:val="0"/>
          <w:numId w:val="1"/>
        </w:numPr>
        <w:tabs>
          <w:tab w:val="clear" w:pos="794"/>
        </w:tabs>
        <w:spacing w:before="240" w:after="160"/>
        <w:ind w:left="567" w:right="3402" w:hanging="567"/>
        <w:sectPr w:rsidR="0085124C" w:rsidSect="00D45E8E">
          <w:headerReference w:type="default" r:id="rId10"/>
          <w:footerReference w:type="first" r:id="rId11"/>
          <w:pgSz w:w="11906" w:h="16838" w:code="9"/>
          <w:pgMar w:top="1418" w:right="1134" w:bottom="1418" w:left="1134" w:header="709" w:footer="709" w:gutter="0"/>
          <w:cols w:space="708"/>
          <w:titlePg/>
          <w:docGrid w:linePitch="360"/>
        </w:sectPr>
      </w:pPr>
      <w:bookmarkStart w:id="6" w:name="Proposal"/>
      <w:bookmarkEnd w:id="6"/>
    </w:p>
    <w:p w:rsidR="0085124C" w:rsidRDefault="0085124C" w:rsidP="001547DA">
      <w:pPr>
        <w:rPr>
          <w:rFonts w:cstheme="minorHAnsi"/>
        </w:rPr>
      </w:pPr>
      <w:r>
        <w:rPr>
          <w:rFonts w:cstheme="minorHAnsi" w:hint="eastAsia"/>
        </w:rPr>
        <w:lastRenderedPageBreak/>
        <w:t>第</w:t>
      </w:r>
      <w:r>
        <w:rPr>
          <w:rFonts w:cstheme="minorHAnsi"/>
        </w:rPr>
        <w:t>XX</w:t>
      </w:r>
      <w:r>
        <w:rPr>
          <w:rFonts w:cstheme="minorHAnsi"/>
        </w:rPr>
        <w:t>号决议（</w:t>
      </w:r>
      <w:r>
        <w:rPr>
          <w:rFonts w:cstheme="minorHAnsi" w:hint="eastAsia"/>
        </w:rPr>
        <w:t>2017</w:t>
      </w:r>
      <w:r>
        <w:rPr>
          <w:rFonts w:cstheme="minorHAnsi"/>
        </w:rPr>
        <w:t>年，布宜诺斯艾利斯）</w:t>
      </w:r>
    </w:p>
    <w:p w:rsidR="0085124C" w:rsidRDefault="0085124C" w:rsidP="0085124C">
      <w:pPr>
        <w:pStyle w:val="Restitle"/>
        <w:rPr>
          <w:rFonts w:cstheme="minorHAnsi"/>
        </w:rPr>
      </w:pPr>
      <w:r>
        <w:rPr>
          <w:rFonts w:cstheme="minorHAnsi" w:hint="eastAsia"/>
        </w:rPr>
        <w:t>推动形成国际陆地光缆过境公约</w:t>
      </w:r>
      <w:r>
        <w:rPr>
          <w:rFonts w:cstheme="minorHAnsi"/>
        </w:rPr>
        <w:br/>
      </w:r>
      <w:r>
        <w:rPr>
          <w:rFonts w:cstheme="minorHAnsi"/>
        </w:rPr>
        <w:t>支持跨多国陆地光缆网络建设</w:t>
      </w:r>
    </w:p>
    <w:p w:rsidR="0085124C" w:rsidRDefault="0085124C" w:rsidP="0085124C">
      <w:pPr>
        <w:pStyle w:val="Normalaftertitle"/>
        <w:rPr>
          <w:rFonts w:cstheme="minorHAnsi"/>
        </w:rPr>
      </w:pPr>
      <w:r>
        <w:rPr>
          <w:rFonts w:cstheme="minorHAnsi"/>
        </w:rPr>
        <w:t>世界电信发展大会（</w:t>
      </w:r>
      <w:r>
        <w:rPr>
          <w:rFonts w:cstheme="minorHAnsi"/>
        </w:rPr>
        <w:t>201</w:t>
      </w:r>
      <w:r>
        <w:rPr>
          <w:rFonts w:cstheme="minorHAnsi" w:hint="eastAsia"/>
        </w:rPr>
        <w:t>7</w:t>
      </w:r>
      <w:r>
        <w:rPr>
          <w:rFonts w:cstheme="minorHAnsi"/>
        </w:rPr>
        <w:t>年，</w:t>
      </w:r>
      <w:r>
        <w:rPr>
          <w:rFonts w:cstheme="minorHAnsi" w:hint="eastAsia"/>
        </w:rPr>
        <w:t>布宜诺斯艾利斯</w:t>
      </w:r>
      <w:r>
        <w:rPr>
          <w:rFonts w:cstheme="minorHAnsi"/>
        </w:rPr>
        <w:t>），</w:t>
      </w:r>
    </w:p>
    <w:p w:rsidR="0085124C" w:rsidRDefault="0085124C" w:rsidP="0085124C">
      <w:pPr>
        <w:pStyle w:val="Call"/>
        <w:rPr>
          <w:rFonts w:asciiTheme="minorHAnsi" w:hAnsiTheme="minorHAnsi" w:cstheme="minorHAnsi"/>
        </w:rPr>
      </w:pPr>
      <w:r>
        <w:rPr>
          <w:rFonts w:asciiTheme="minorHAnsi" w:hAnsiTheme="minorHAnsi" w:cstheme="minorHAnsi"/>
        </w:rPr>
        <w:t>忆及</w:t>
      </w:r>
    </w:p>
    <w:p w:rsidR="0085124C" w:rsidRDefault="0085124C" w:rsidP="0085124C">
      <w:pPr>
        <w:jc w:val="both"/>
        <w:rPr>
          <w:rFonts w:cstheme="minorHAnsi"/>
          <w:bCs/>
        </w:rPr>
      </w:pPr>
      <w:r>
        <w:rPr>
          <w:rFonts w:cstheme="minorHAnsi"/>
          <w:i/>
          <w:iCs/>
        </w:rPr>
        <w:t>a)</w:t>
      </w:r>
      <w:r>
        <w:rPr>
          <w:rFonts w:cstheme="minorHAnsi"/>
        </w:rPr>
        <w:tab/>
      </w:r>
      <w:r>
        <w:rPr>
          <w:rFonts w:cstheme="minorHAnsi"/>
        </w:rPr>
        <w:t>全权代表大会有关</w:t>
      </w:r>
      <w:r>
        <w:rPr>
          <w:rFonts w:cstheme="minorHAnsi" w:hint="eastAsia"/>
        </w:rPr>
        <w:t>国际电联</w:t>
      </w:r>
      <w:r>
        <w:rPr>
          <w:rFonts w:cstheme="minorHAnsi" w:hint="eastAsia"/>
        </w:rPr>
        <w:t>2016-2019</w:t>
      </w:r>
      <w:r>
        <w:rPr>
          <w:rFonts w:cstheme="minorHAnsi" w:hint="eastAsia"/>
        </w:rPr>
        <w:t>年战略规划</w:t>
      </w:r>
      <w:r>
        <w:rPr>
          <w:rFonts w:cstheme="minorHAnsi"/>
        </w:rPr>
        <w:t>的第</w:t>
      </w:r>
      <w:r>
        <w:rPr>
          <w:rFonts w:cstheme="minorHAnsi" w:hint="eastAsia"/>
        </w:rPr>
        <w:t>71</w:t>
      </w:r>
      <w:r>
        <w:rPr>
          <w:rFonts w:cstheme="minorHAnsi"/>
        </w:rPr>
        <w:t>号决议（</w:t>
      </w:r>
      <w:r>
        <w:rPr>
          <w:rFonts w:cstheme="minorHAnsi"/>
        </w:rPr>
        <w:t>201</w:t>
      </w:r>
      <w:r>
        <w:rPr>
          <w:rFonts w:cstheme="minorHAnsi" w:hint="eastAsia"/>
        </w:rPr>
        <w:t>4</w:t>
      </w:r>
      <w:r>
        <w:rPr>
          <w:rFonts w:cstheme="minorHAnsi"/>
        </w:rPr>
        <w:t>年，</w:t>
      </w:r>
      <w:r>
        <w:rPr>
          <w:rFonts w:cstheme="minorHAnsi" w:hint="eastAsia"/>
        </w:rPr>
        <w:t>釜山</w:t>
      </w:r>
      <w:r>
        <w:rPr>
          <w:rFonts w:cstheme="minorHAnsi"/>
        </w:rPr>
        <w:t>）</w:t>
      </w:r>
      <w:r>
        <w:rPr>
          <w:rFonts w:cstheme="minorHAnsi" w:hint="eastAsia"/>
        </w:rPr>
        <w:t>，</w:t>
      </w:r>
      <w:r>
        <w:rPr>
          <w:rFonts w:cstheme="minorHAnsi"/>
        </w:rPr>
        <w:t>特别是</w:t>
      </w:r>
      <w:r>
        <w:rPr>
          <w:rFonts w:cstheme="minorHAnsi" w:hint="eastAsia"/>
        </w:rPr>
        <w:t>2.2.2.1</w:t>
      </w:r>
      <w:r>
        <w:rPr>
          <w:rFonts w:cstheme="minorHAnsi" w:hint="eastAsia"/>
        </w:rPr>
        <w:t>节对数字鸿沟的情况分析，</w:t>
      </w:r>
      <w:r>
        <w:rPr>
          <w:rFonts w:cstheme="minorHAnsi" w:hint="eastAsia"/>
        </w:rPr>
        <w:t>3.3</w:t>
      </w:r>
      <w:r>
        <w:rPr>
          <w:rFonts w:cstheme="minorHAnsi" w:hint="eastAsia"/>
        </w:rPr>
        <w:t>节</w:t>
      </w:r>
      <w:r>
        <w:rPr>
          <w:rFonts w:cstheme="minorHAnsi" w:hint="eastAsia"/>
        </w:rPr>
        <w:t>ITU-D</w:t>
      </w:r>
      <w:r>
        <w:rPr>
          <w:rFonts w:cstheme="minorHAnsi" w:hint="eastAsia"/>
        </w:rPr>
        <w:t>情况分析，以及国际电联</w:t>
      </w:r>
      <w:r>
        <w:rPr>
          <w:rFonts w:cstheme="minorHAnsi" w:hint="eastAsia"/>
        </w:rPr>
        <w:t>2016-2019</w:t>
      </w:r>
      <w:r>
        <w:rPr>
          <w:rFonts w:cstheme="minorHAnsi" w:hint="eastAsia"/>
        </w:rPr>
        <w:t>年战略规划</w:t>
      </w:r>
      <w:r>
        <w:rPr>
          <w:rFonts w:cstheme="minorHAnsi"/>
        </w:rPr>
        <w:t>；</w:t>
      </w:r>
    </w:p>
    <w:p w:rsidR="0085124C" w:rsidRDefault="0085124C" w:rsidP="0085124C">
      <w:pPr>
        <w:jc w:val="both"/>
        <w:rPr>
          <w:rFonts w:cstheme="minorHAnsi"/>
        </w:rPr>
      </w:pPr>
      <w:r>
        <w:rPr>
          <w:rFonts w:cstheme="minorHAnsi"/>
          <w:i/>
          <w:iCs/>
        </w:rPr>
        <w:t>b)</w:t>
      </w:r>
      <w:r>
        <w:rPr>
          <w:rFonts w:cstheme="minorHAnsi"/>
        </w:rPr>
        <w:tab/>
      </w:r>
      <w:r>
        <w:rPr>
          <w:rFonts w:cstheme="minorHAnsi"/>
        </w:rPr>
        <w:t>全权代表大会有关促进</w:t>
      </w:r>
      <w:r>
        <w:rPr>
          <w:rFonts w:cstheme="minorHAnsi" w:hint="eastAsia"/>
        </w:rPr>
        <w:t>全球电信</w:t>
      </w:r>
      <w:r>
        <w:rPr>
          <w:rFonts w:cstheme="minorHAnsi" w:hint="eastAsia"/>
        </w:rPr>
        <w:t>/</w:t>
      </w:r>
      <w:r>
        <w:rPr>
          <w:rFonts w:cstheme="minorHAnsi" w:hint="eastAsia"/>
        </w:rPr>
        <w:t>信息通信技术发展的“连通目标</w:t>
      </w:r>
      <w:r>
        <w:rPr>
          <w:rFonts w:cstheme="minorHAnsi" w:hint="eastAsia"/>
        </w:rPr>
        <w:t>2020</w:t>
      </w:r>
      <w:r>
        <w:rPr>
          <w:rFonts w:cstheme="minorHAnsi" w:hint="eastAsia"/>
        </w:rPr>
        <w:t>”议程</w:t>
      </w:r>
      <w:r>
        <w:rPr>
          <w:rFonts w:cstheme="minorHAnsi"/>
        </w:rPr>
        <w:t>的第</w:t>
      </w:r>
      <w:r>
        <w:rPr>
          <w:rFonts w:cstheme="minorHAnsi" w:hint="eastAsia"/>
        </w:rPr>
        <w:t>200</w:t>
      </w:r>
      <w:r>
        <w:rPr>
          <w:rFonts w:cstheme="minorHAnsi"/>
        </w:rPr>
        <w:t>号决议（</w:t>
      </w:r>
      <w:r>
        <w:rPr>
          <w:rFonts w:cstheme="minorHAnsi"/>
        </w:rPr>
        <w:t>201</w:t>
      </w:r>
      <w:r>
        <w:rPr>
          <w:rFonts w:cstheme="minorHAnsi" w:hint="eastAsia"/>
        </w:rPr>
        <w:t>4</w:t>
      </w:r>
      <w:r>
        <w:rPr>
          <w:rFonts w:cstheme="minorHAnsi"/>
        </w:rPr>
        <w:t>年，</w:t>
      </w:r>
      <w:r>
        <w:rPr>
          <w:rFonts w:cstheme="minorHAnsi" w:hint="eastAsia"/>
        </w:rPr>
        <w:t>釜山</w:t>
      </w:r>
      <w:r>
        <w:rPr>
          <w:rFonts w:cstheme="minorHAnsi"/>
        </w:rPr>
        <w:t>）</w:t>
      </w:r>
      <w:r>
        <w:rPr>
          <w:rFonts w:cstheme="minorHAnsi" w:hint="eastAsia"/>
        </w:rPr>
        <w:t>，</w:t>
      </w:r>
      <w:r>
        <w:rPr>
          <w:rFonts w:cstheme="minorHAnsi"/>
        </w:rPr>
        <w:t>特别是其中关于增长和包容性的</w:t>
      </w:r>
      <w:r>
        <w:rPr>
          <w:rFonts w:cstheme="minorHAnsi" w:hint="eastAsia"/>
        </w:rPr>
        <w:t>总体目标和具体目标</w:t>
      </w:r>
      <w:r>
        <w:rPr>
          <w:rFonts w:cstheme="minorHAnsi"/>
        </w:rPr>
        <w:t>；</w:t>
      </w:r>
    </w:p>
    <w:p w:rsidR="0085124C" w:rsidRDefault="0085124C" w:rsidP="0085124C">
      <w:pPr>
        <w:jc w:val="both"/>
        <w:rPr>
          <w:rFonts w:cstheme="minorHAnsi"/>
        </w:rPr>
      </w:pPr>
      <w:r>
        <w:rPr>
          <w:rFonts w:cstheme="minorHAnsi"/>
          <w:i/>
          <w:iCs/>
        </w:rPr>
        <w:t>c)</w:t>
      </w:r>
      <w:r>
        <w:rPr>
          <w:rFonts w:cstheme="minorHAnsi"/>
        </w:rPr>
        <w:tab/>
      </w:r>
      <w:r>
        <w:rPr>
          <w:rFonts w:cstheme="minorHAnsi" w:hint="eastAsia"/>
        </w:rPr>
        <w:t>联合国</w:t>
      </w:r>
      <w:r>
        <w:rPr>
          <w:rFonts w:cstheme="minorHAnsi" w:hint="eastAsia"/>
        </w:rPr>
        <w:t>2030</w:t>
      </w:r>
      <w:r>
        <w:rPr>
          <w:rFonts w:cstheme="minorHAnsi" w:hint="eastAsia"/>
        </w:rPr>
        <w:t>年可持续发展议程将“大幅增加</w:t>
      </w:r>
      <w:r>
        <w:rPr>
          <w:rFonts w:cstheme="minorHAnsi" w:hint="eastAsia"/>
        </w:rPr>
        <w:t>ICT</w:t>
      </w:r>
      <w:r>
        <w:rPr>
          <w:rFonts w:cstheme="minorHAnsi" w:hint="eastAsia"/>
        </w:rPr>
        <w:t>的普及度，力争最不发达国家到</w:t>
      </w:r>
      <w:r>
        <w:rPr>
          <w:rFonts w:cstheme="minorHAnsi" w:hint="eastAsia"/>
        </w:rPr>
        <w:t>2020</w:t>
      </w:r>
      <w:r>
        <w:rPr>
          <w:rFonts w:cstheme="minorHAnsi" w:hint="eastAsia"/>
        </w:rPr>
        <w:t>年时能以低廉的价格为所有人提供因特网服务”作为目标之一；</w:t>
      </w:r>
    </w:p>
    <w:p w:rsidR="0085124C" w:rsidRDefault="0085124C" w:rsidP="0085124C">
      <w:pPr>
        <w:jc w:val="both"/>
        <w:rPr>
          <w:rFonts w:cstheme="minorHAnsi"/>
        </w:rPr>
      </w:pPr>
      <w:r>
        <w:rPr>
          <w:rFonts w:cstheme="minorHAnsi"/>
          <w:i/>
          <w:iCs/>
        </w:rPr>
        <w:t>d)</w:t>
      </w:r>
      <w:r>
        <w:rPr>
          <w:rFonts w:cstheme="minorHAnsi"/>
        </w:rPr>
        <w:tab/>
      </w:r>
      <w:r>
        <w:rPr>
          <w:rFonts w:cstheme="minorHAnsi" w:hint="eastAsia"/>
        </w:rPr>
        <w:t>联合国宽带促可持续发展委员会特别会议有关在</w:t>
      </w:r>
      <w:r>
        <w:rPr>
          <w:rFonts w:cstheme="minorHAnsi" w:hint="eastAsia"/>
        </w:rPr>
        <w:t>2020</w:t>
      </w:r>
      <w:r>
        <w:rPr>
          <w:rFonts w:cstheme="minorHAnsi" w:hint="eastAsia"/>
        </w:rPr>
        <w:t>年前携手为</w:t>
      </w:r>
      <w:r>
        <w:rPr>
          <w:rFonts w:cstheme="minorHAnsi" w:hint="eastAsia"/>
        </w:rPr>
        <w:t>15</w:t>
      </w:r>
      <w:r>
        <w:rPr>
          <w:rFonts w:cstheme="minorHAnsi" w:hint="eastAsia"/>
        </w:rPr>
        <w:t>亿人提供互联网接入的联合声明</w:t>
      </w:r>
      <w:r>
        <w:rPr>
          <w:rFonts w:cstheme="minorHAnsi"/>
        </w:rPr>
        <w:t>（</w:t>
      </w:r>
      <w:r>
        <w:rPr>
          <w:rFonts w:cstheme="minorHAnsi"/>
        </w:rPr>
        <w:t>201</w:t>
      </w:r>
      <w:r>
        <w:rPr>
          <w:rFonts w:cstheme="minorHAnsi" w:hint="eastAsia"/>
        </w:rPr>
        <w:t>6</w:t>
      </w:r>
      <w:r>
        <w:rPr>
          <w:rFonts w:cstheme="minorHAnsi"/>
        </w:rPr>
        <w:t>年，</w:t>
      </w:r>
      <w:r>
        <w:rPr>
          <w:rFonts w:cstheme="minorHAnsi" w:hint="eastAsia"/>
        </w:rPr>
        <w:t>达沃斯</w:t>
      </w:r>
      <w:r>
        <w:rPr>
          <w:rFonts w:cstheme="minorHAnsi"/>
        </w:rPr>
        <w:t>）</w:t>
      </w:r>
      <w:r>
        <w:rPr>
          <w:rFonts w:cstheme="minorHAnsi" w:hint="eastAsia"/>
        </w:rPr>
        <w:t>；</w:t>
      </w:r>
    </w:p>
    <w:p w:rsidR="0085124C" w:rsidRDefault="0085124C" w:rsidP="0085124C">
      <w:pPr>
        <w:pStyle w:val="Call"/>
        <w:jc w:val="both"/>
        <w:rPr>
          <w:rFonts w:asciiTheme="minorHAnsi" w:hAnsiTheme="minorHAnsi" w:cstheme="minorHAnsi"/>
        </w:rPr>
      </w:pPr>
      <w:r>
        <w:rPr>
          <w:rFonts w:asciiTheme="minorHAnsi" w:hAnsiTheme="minorHAnsi" w:cstheme="minorHAnsi"/>
        </w:rPr>
        <w:t>认识到</w:t>
      </w:r>
    </w:p>
    <w:p w:rsidR="0085124C" w:rsidRDefault="0085124C" w:rsidP="0085124C">
      <w:pPr>
        <w:jc w:val="both"/>
        <w:rPr>
          <w:rFonts w:cstheme="minorHAnsi"/>
        </w:rPr>
      </w:pPr>
      <w:r>
        <w:rPr>
          <w:rFonts w:cstheme="minorHAnsi"/>
          <w:i/>
          <w:iCs/>
        </w:rPr>
        <w:t>a)</w:t>
      </w:r>
      <w:r>
        <w:rPr>
          <w:rFonts w:cstheme="minorHAnsi"/>
        </w:rPr>
        <w:tab/>
      </w:r>
      <w:r>
        <w:rPr>
          <w:rFonts w:cstheme="minorHAnsi" w:hint="eastAsia"/>
        </w:rPr>
        <w:t>互联网是经济社会发展的战略性公共基础设施，互联网接入是拉动有效投资、促进信息消费、保障网络信息安全、推进公平和可持续发展的基石。</w:t>
      </w:r>
    </w:p>
    <w:p w:rsidR="0085124C" w:rsidRDefault="0085124C" w:rsidP="0085124C">
      <w:pPr>
        <w:jc w:val="both"/>
        <w:rPr>
          <w:rFonts w:cstheme="minorHAnsi"/>
        </w:rPr>
      </w:pPr>
      <w:r>
        <w:rPr>
          <w:rFonts w:cstheme="minorHAnsi"/>
          <w:i/>
          <w:iCs/>
        </w:rPr>
        <w:t>b)</w:t>
      </w:r>
      <w:r>
        <w:rPr>
          <w:rFonts w:cstheme="minorHAnsi"/>
        </w:rPr>
        <w:tab/>
      </w:r>
      <w:r>
        <w:rPr>
          <w:rFonts w:cstheme="minorHAnsi"/>
        </w:rPr>
        <w:t>着力增加上网人口</w:t>
      </w:r>
      <w:r>
        <w:rPr>
          <w:rFonts w:cstheme="minorHAnsi" w:hint="eastAsia"/>
        </w:rPr>
        <w:t>——其中一项衡量标准是到</w:t>
      </w:r>
      <w:r>
        <w:rPr>
          <w:rFonts w:cstheme="minorHAnsi" w:hint="eastAsia"/>
        </w:rPr>
        <w:t>2020</w:t>
      </w:r>
      <w:r>
        <w:rPr>
          <w:rFonts w:cstheme="minorHAnsi" w:hint="eastAsia"/>
        </w:rPr>
        <w:t>年，增加</w:t>
      </w:r>
      <w:r>
        <w:rPr>
          <w:rFonts w:cstheme="minorHAnsi" w:hint="eastAsia"/>
        </w:rPr>
        <w:t>15</w:t>
      </w:r>
      <w:r>
        <w:rPr>
          <w:rFonts w:cstheme="minorHAnsi" w:hint="eastAsia"/>
        </w:rPr>
        <w:t>亿的上网人群——已成为全球共识，并在近年来多项全球性举措中得到强调；</w:t>
      </w:r>
    </w:p>
    <w:p w:rsidR="0085124C" w:rsidRDefault="0085124C" w:rsidP="0085124C">
      <w:pPr>
        <w:jc w:val="both"/>
        <w:rPr>
          <w:rFonts w:cstheme="minorHAnsi"/>
        </w:rPr>
      </w:pPr>
      <w:r>
        <w:rPr>
          <w:rFonts w:cstheme="minorHAnsi"/>
          <w:i/>
          <w:iCs/>
        </w:rPr>
        <w:t>c)</w:t>
      </w:r>
      <w:r>
        <w:rPr>
          <w:rFonts w:cstheme="minorHAnsi"/>
        </w:rPr>
        <w:tab/>
      </w:r>
      <w:r>
        <w:rPr>
          <w:rFonts w:cstheme="minorHAnsi"/>
        </w:rPr>
        <w:t>近年来发达国家和发展中国家的数字鸿沟不断扩大</w:t>
      </w:r>
      <w:r>
        <w:rPr>
          <w:rFonts w:cstheme="minorHAnsi" w:hint="eastAsia"/>
        </w:rPr>
        <w:t>，发展中国家，</w:t>
      </w:r>
      <w:r>
        <w:rPr>
          <w:rFonts w:cstheme="minorHAnsi"/>
        </w:rPr>
        <w:t>特别是内陆国家</w:t>
      </w:r>
      <w:r>
        <w:rPr>
          <w:rFonts w:cstheme="minorHAnsi" w:hint="eastAsia"/>
        </w:rPr>
        <w:t>，国际互联网接入水平低，已成为阻碍其</w:t>
      </w:r>
      <w:r>
        <w:rPr>
          <w:rFonts w:cstheme="minorHAnsi" w:hint="eastAsia"/>
        </w:rPr>
        <w:t>ICT</w:t>
      </w:r>
      <w:r>
        <w:rPr>
          <w:rFonts w:cstheme="minorHAnsi"/>
        </w:rPr>
        <w:t>发展的突出瓶颈</w:t>
      </w:r>
      <w:r>
        <w:rPr>
          <w:rFonts w:cstheme="minorHAnsi" w:hint="eastAsia"/>
        </w:rPr>
        <w:t>。</w:t>
      </w:r>
    </w:p>
    <w:p w:rsidR="0085124C" w:rsidRDefault="0085124C" w:rsidP="0085124C">
      <w:pPr>
        <w:pStyle w:val="Call"/>
        <w:jc w:val="both"/>
        <w:rPr>
          <w:rFonts w:asciiTheme="minorHAnsi" w:hAnsiTheme="minorHAnsi" w:cstheme="minorHAnsi"/>
        </w:rPr>
      </w:pPr>
      <w:r>
        <w:rPr>
          <w:rFonts w:asciiTheme="minorHAnsi" w:hAnsiTheme="minorHAnsi" w:cstheme="minorHAnsi"/>
        </w:rPr>
        <w:t>进一步认识到</w:t>
      </w:r>
    </w:p>
    <w:p w:rsidR="0085124C" w:rsidRDefault="0085124C" w:rsidP="003C74A2">
      <w:pPr>
        <w:pStyle w:val="ListParagraph1"/>
        <w:numPr>
          <w:ilvl w:val="0"/>
          <w:numId w:val="2"/>
        </w:numPr>
        <w:tabs>
          <w:tab w:val="clear" w:pos="420"/>
          <w:tab w:val="left" w:pos="851"/>
        </w:tabs>
        <w:spacing w:after="0" w:line="240" w:lineRule="auto"/>
        <w:ind w:left="0" w:firstLineChars="0" w:firstLine="0"/>
        <w:jc w:val="both"/>
        <w:rPr>
          <w:rFonts w:cstheme="minorHAnsi"/>
          <w:lang w:eastAsia="zh-CN"/>
        </w:rPr>
      </w:pPr>
      <w:r>
        <w:rPr>
          <w:rFonts w:cstheme="minorHAnsi" w:hint="eastAsia"/>
          <w:lang w:eastAsia="zh-CN"/>
        </w:rPr>
        <w:t>目前全球互</w:t>
      </w:r>
      <w:bookmarkStart w:id="7" w:name="_GoBack"/>
      <w:bookmarkEnd w:id="7"/>
      <w:r>
        <w:rPr>
          <w:rFonts w:cstheme="minorHAnsi" w:hint="eastAsia"/>
          <w:lang w:eastAsia="zh-CN"/>
        </w:rPr>
        <w:t>联网流量陆缆只承载了</w:t>
      </w:r>
      <w:r>
        <w:rPr>
          <w:rFonts w:cstheme="minorHAnsi" w:hint="eastAsia"/>
          <w:lang w:eastAsia="zh-CN"/>
        </w:rPr>
        <w:t>5%</w:t>
      </w:r>
      <w:r>
        <w:rPr>
          <w:rFonts w:cstheme="minorHAnsi" w:hint="eastAsia"/>
          <w:lang w:eastAsia="zh-CN"/>
        </w:rPr>
        <w:t>，潜力还没有释放；</w:t>
      </w:r>
    </w:p>
    <w:p w:rsidR="0085124C" w:rsidRDefault="0085124C" w:rsidP="003C74A2">
      <w:pPr>
        <w:pStyle w:val="ListParagraph1"/>
        <w:tabs>
          <w:tab w:val="clear" w:pos="794"/>
          <w:tab w:val="left" w:pos="851"/>
        </w:tabs>
        <w:ind w:firstLineChars="0" w:firstLine="0"/>
        <w:rPr>
          <w:rFonts w:cstheme="minorHAnsi"/>
          <w:lang w:eastAsia="zh-CN"/>
        </w:rPr>
      </w:pPr>
      <w:r>
        <w:rPr>
          <w:rFonts w:cstheme="minorHAnsi" w:hint="eastAsia"/>
          <w:lang w:val="en-US" w:eastAsia="zh-CN"/>
        </w:rPr>
        <w:t>b)</w:t>
      </w:r>
      <w:r w:rsidR="003C74A2">
        <w:rPr>
          <w:rFonts w:cstheme="minorHAnsi"/>
          <w:lang w:val="en-US" w:eastAsia="zh-CN"/>
        </w:rPr>
        <w:tab/>
      </w:r>
      <w:r>
        <w:rPr>
          <w:rFonts w:cstheme="minorHAnsi" w:hint="eastAsia"/>
          <w:lang w:eastAsia="zh-CN"/>
        </w:rPr>
        <w:t>陆地光缆资源仅在相邻国家之间得到较好的利用，一旦涉及跨越第三国的情况，这些资源往往无法得到有效利用，从而造成极大浪费；</w:t>
      </w:r>
    </w:p>
    <w:p w:rsidR="0085124C" w:rsidRDefault="0085124C" w:rsidP="003C74A2">
      <w:pPr>
        <w:jc w:val="both"/>
        <w:rPr>
          <w:rFonts w:cstheme="minorHAnsi"/>
        </w:rPr>
      </w:pPr>
      <w:r>
        <w:rPr>
          <w:rFonts w:cstheme="minorHAnsi" w:hint="eastAsia"/>
          <w:i/>
          <w:iCs/>
          <w:lang w:val="en-US"/>
        </w:rPr>
        <w:t>c)</w:t>
      </w:r>
      <w:r w:rsidR="003C74A2">
        <w:rPr>
          <w:rFonts w:cstheme="minorHAnsi"/>
          <w:i/>
          <w:iCs/>
          <w:lang w:val="en-US"/>
        </w:rPr>
        <w:tab/>
      </w:r>
      <w:r>
        <w:rPr>
          <w:rFonts w:cstheme="minorHAnsi" w:hint="eastAsia"/>
        </w:rPr>
        <w:t>陆地光缆具有建设成本低、故障恢复快和路由丰富等优点；</w:t>
      </w:r>
      <w:r>
        <w:rPr>
          <w:rFonts w:cstheme="minorHAnsi"/>
        </w:rPr>
        <w:t xml:space="preserve"> </w:t>
      </w:r>
    </w:p>
    <w:p w:rsidR="0085124C" w:rsidRDefault="0085124C" w:rsidP="0085124C">
      <w:pPr>
        <w:jc w:val="both"/>
        <w:rPr>
          <w:rFonts w:cstheme="minorHAnsi"/>
        </w:rPr>
      </w:pPr>
      <w:r>
        <w:rPr>
          <w:rFonts w:cstheme="minorHAnsi" w:hint="eastAsia"/>
          <w:lang w:val="en-US"/>
        </w:rPr>
        <w:t>d)</w:t>
      </w:r>
      <w:r w:rsidR="003C74A2">
        <w:rPr>
          <w:rFonts w:cstheme="minorHAnsi"/>
          <w:lang w:val="en-US"/>
        </w:rPr>
        <w:tab/>
      </w:r>
      <w:r>
        <w:rPr>
          <w:rFonts w:cstheme="minorHAnsi"/>
        </w:rPr>
        <w:t>建设</w:t>
      </w:r>
      <w:r>
        <w:rPr>
          <w:rFonts w:cstheme="minorHAnsi" w:hint="eastAsia"/>
        </w:rPr>
        <w:t>跨多国陆地光缆网络所需的资源丰富、成本小，只需利用各国之间跨境陆缆将各国内部骨干光缆网连接起来，即可以形成一个覆盖各个区域、大洲甚至是全球的大容量国际陆地光缆传输网络，大幅增加现有国家间信息传输通道容量，尤其是内陆国家的国际信息传输通道；</w:t>
      </w:r>
    </w:p>
    <w:p w:rsidR="0085124C" w:rsidRDefault="0085124C" w:rsidP="0085124C">
      <w:pPr>
        <w:jc w:val="both"/>
        <w:rPr>
          <w:rFonts w:cstheme="minorHAnsi"/>
          <w:lang w:val="en-US"/>
        </w:rPr>
      </w:pPr>
      <w:r>
        <w:rPr>
          <w:rFonts w:cstheme="minorHAnsi" w:hint="eastAsia"/>
          <w:lang w:val="en-US"/>
        </w:rPr>
        <w:t>e)</w:t>
      </w:r>
      <w:r w:rsidR="003C74A2">
        <w:rPr>
          <w:rFonts w:cstheme="minorHAnsi"/>
          <w:lang w:val="en-US"/>
        </w:rPr>
        <w:tab/>
      </w:r>
      <w:r>
        <w:rPr>
          <w:rFonts w:cstheme="minorHAnsi" w:hint="eastAsia"/>
          <w:lang w:val="en-US"/>
        </w:rPr>
        <w:t>由于现在缺少国际陆地光缆过境公约和相关协定，跨多国陆地光缆网在组网时面临各种政策和经济障碍，导致上述理想中的国际陆地光缆网络无法实现；</w:t>
      </w:r>
      <w:r>
        <w:rPr>
          <w:rFonts w:cstheme="minorHAnsi" w:hint="eastAsia"/>
          <w:lang w:val="en-US"/>
        </w:rPr>
        <w:t xml:space="preserve"> </w:t>
      </w:r>
    </w:p>
    <w:p w:rsidR="0085124C" w:rsidRDefault="0085124C" w:rsidP="0085124C">
      <w:pPr>
        <w:pStyle w:val="Call"/>
        <w:jc w:val="both"/>
        <w:rPr>
          <w:rFonts w:asciiTheme="minorHAnsi" w:hAnsiTheme="minorHAnsi" w:cstheme="minorHAnsi"/>
        </w:rPr>
      </w:pPr>
      <w:r>
        <w:rPr>
          <w:rFonts w:asciiTheme="minorHAnsi" w:hAnsiTheme="minorHAnsi" w:cstheme="minorHAnsi"/>
        </w:rPr>
        <w:lastRenderedPageBreak/>
        <w:t>顾及</w:t>
      </w:r>
    </w:p>
    <w:p w:rsidR="0085124C" w:rsidRDefault="0085124C" w:rsidP="0085124C">
      <w:pPr>
        <w:jc w:val="both"/>
        <w:rPr>
          <w:rFonts w:cstheme="minorHAnsi"/>
        </w:rPr>
      </w:pPr>
      <w:r>
        <w:rPr>
          <w:rFonts w:cstheme="minorHAnsi"/>
          <w:i/>
          <w:iCs/>
        </w:rPr>
        <w:t>a)</w:t>
      </w:r>
      <w:r>
        <w:rPr>
          <w:rFonts w:cstheme="minorHAnsi"/>
        </w:rPr>
        <w:tab/>
      </w:r>
      <w:r>
        <w:rPr>
          <w:rFonts w:cstheme="minorHAnsi"/>
        </w:rPr>
        <w:t>公路</w:t>
      </w:r>
      <w:r>
        <w:rPr>
          <w:rFonts w:cstheme="minorHAnsi" w:hint="eastAsia"/>
        </w:rPr>
        <w:t>、航空等交通部门也曾遇到过类似问题，其通过多边协商达成过境协定的经验对电信部门有极大的启示；</w:t>
      </w:r>
      <w:r>
        <w:rPr>
          <w:rFonts w:cstheme="minorHAnsi"/>
        </w:rPr>
        <w:t xml:space="preserve"> </w:t>
      </w:r>
    </w:p>
    <w:p w:rsidR="0085124C" w:rsidRDefault="0085124C" w:rsidP="0085124C">
      <w:pPr>
        <w:jc w:val="both"/>
        <w:rPr>
          <w:rFonts w:cstheme="minorHAnsi"/>
        </w:rPr>
      </w:pPr>
      <w:r>
        <w:rPr>
          <w:rFonts w:cstheme="minorHAnsi"/>
          <w:i/>
          <w:iCs/>
        </w:rPr>
        <w:t>b)</w:t>
      </w:r>
      <w:r>
        <w:rPr>
          <w:rFonts w:cstheme="minorHAnsi"/>
        </w:rPr>
        <w:tab/>
      </w:r>
      <w:r>
        <w:rPr>
          <w:rFonts w:cstheme="minorHAnsi"/>
        </w:rPr>
        <w:t>国际电联电信标准化部门（</w:t>
      </w:r>
      <w:r>
        <w:rPr>
          <w:rFonts w:cstheme="minorHAnsi"/>
        </w:rPr>
        <w:t>ITU-T</w:t>
      </w:r>
      <w:r>
        <w:rPr>
          <w:rFonts w:cstheme="minorHAnsi"/>
        </w:rPr>
        <w:t>）第</w:t>
      </w:r>
      <w:r>
        <w:rPr>
          <w:rFonts w:cstheme="minorHAnsi"/>
        </w:rPr>
        <w:t>3</w:t>
      </w:r>
      <w:r>
        <w:rPr>
          <w:rFonts w:cstheme="minorHAnsi"/>
        </w:rPr>
        <w:t>研究组</w:t>
      </w:r>
      <w:r>
        <w:rPr>
          <w:rFonts w:cstheme="minorHAnsi" w:hint="eastAsia"/>
        </w:rPr>
        <w:t>已设立课题对跨多国陆地光缆电路过境收费标准和规则进行研究；</w:t>
      </w:r>
    </w:p>
    <w:p w:rsidR="0085124C" w:rsidRDefault="0085124C" w:rsidP="0085124C">
      <w:pPr>
        <w:pStyle w:val="Call"/>
        <w:spacing w:before="120"/>
        <w:jc w:val="both"/>
        <w:rPr>
          <w:rFonts w:asciiTheme="minorHAnsi" w:hAnsiTheme="minorHAnsi" w:cstheme="minorHAnsi"/>
        </w:rPr>
      </w:pPr>
      <w:r>
        <w:rPr>
          <w:rFonts w:asciiTheme="minorHAnsi" w:hAnsiTheme="minorHAnsi" w:cstheme="minorHAnsi"/>
        </w:rPr>
        <w:t>考虑到</w:t>
      </w:r>
    </w:p>
    <w:p w:rsidR="0085124C" w:rsidRDefault="0085124C" w:rsidP="0085124C">
      <w:pPr>
        <w:ind w:firstLineChars="200" w:firstLine="480"/>
        <w:jc w:val="both"/>
        <w:rPr>
          <w:rFonts w:cstheme="minorHAnsi"/>
        </w:rPr>
      </w:pPr>
      <w:r>
        <w:rPr>
          <w:rFonts w:cstheme="minorHAnsi" w:hint="eastAsia"/>
        </w:rPr>
        <w:t>ITU-T</w:t>
      </w:r>
      <w:r>
        <w:rPr>
          <w:rFonts w:cstheme="minorHAnsi" w:hint="eastAsia"/>
        </w:rPr>
        <w:t>与</w:t>
      </w:r>
      <w:r>
        <w:rPr>
          <w:rFonts w:cstheme="minorHAnsi" w:hint="eastAsia"/>
        </w:rPr>
        <w:t>ITU-D</w:t>
      </w:r>
      <w:r>
        <w:rPr>
          <w:rFonts w:cstheme="minorHAnsi" w:hint="eastAsia"/>
        </w:rPr>
        <w:t>分工侧重不同，应加强跨部门协调，</w:t>
      </w:r>
      <w:r>
        <w:rPr>
          <w:rFonts w:cstheme="minorHAnsi"/>
        </w:rPr>
        <w:t>共同促进</w:t>
      </w:r>
      <w:r>
        <w:rPr>
          <w:rFonts w:cstheme="minorHAnsi" w:hint="eastAsia"/>
        </w:rPr>
        <w:t>达成国际陆地光缆过境公约。</w:t>
      </w:r>
      <w:r>
        <w:rPr>
          <w:rFonts w:cstheme="minorHAnsi" w:hint="eastAsia"/>
        </w:rPr>
        <w:t>ITU-D</w:t>
      </w:r>
      <w:r>
        <w:rPr>
          <w:rFonts w:cstheme="minorHAnsi" w:hint="eastAsia"/>
        </w:rPr>
        <w:t>的使命是在提供技术帮助以及在发展中国家建设、发展和完善电信</w:t>
      </w:r>
      <w:r>
        <w:rPr>
          <w:rFonts w:cstheme="minorHAnsi" w:hint="eastAsia"/>
        </w:rPr>
        <w:t>/ICT</w:t>
      </w:r>
      <w:r>
        <w:rPr>
          <w:rFonts w:cstheme="minorHAnsi" w:hint="eastAsia"/>
        </w:rPr>
        <w:t>设备和网络的过程中加强国际合作和团结。</w:t>
      </w:r>
      <w:r>
        <w:rPr>
          <w:rFonts w:cstheme="minorHAnsi" w:hint="eastAsia"/>
        </w:rPr>
        <w:t>ITU-D</w:t>
      </w:r>
      <w:r>
        <w:rPr>
          <w:rFonts w:cstheme="minorHAnsi" w:hint="eastAsia"/>
        </w:rPr>
        <w:t>需承担国际电联作为联合国专门机构和在联合国开发系统或其他融资安排下实施项目的执行机构的双重职责；</w:t>
      </w:r>
    </w:p>
    <w:p w:rsidR="0085124C" w:rsidRDefault="0085124C" w:rsidP="0085124C">
      <w:pPr>
        <w:pStyle w:val="Call"/>
        <w:spacing w:before="120"/>
        <w:jc w:val="both"/>
        <w:rPr>
          <w:rFonts w:asciiTheme="minorHAnsi" w:hAnsiTheme="minorHAnsi" w:cstheme="minorHAnsi"/>
        </w:rPr>
      </w:pPr>
      <w:r>
        <w:rPr>
          <w:rFonts w:asciiTheme="minorHAnsi" w:hAnsiTheme="minorHAnsi" w:cstheme="minorHAnsi"/>
        </w:rPr>
        <w:t>做出决议，请成员国</w:t>
      </w:r>
    </w:p>
    <w:p w:rsidR="0085124C" w:rsidRDefault="0085124C" w:rsidP="0085124C">
      <w:pPr>
        <w:ind w:firstLine="480"/>
      </w:pPr>
      <w:r>
        <w:rPr>
          <w:rFonts w:hint="eastAsia"/>
        </w:rPr>
        <w:t>促进</w:t>
      </w:r>
      <w:r>
        <w:t>采取一切可能适当的措施，推动</w:t>
      </w:r>
      <w:r>
        <w:rPr>
          <w:rFonts w:cstheme="minorHAnsi" w:hint="eastAsia"/>
        </w:rPr>
        <w:t>国际陆地光缆过境公约</w:t>
      </w:r>
      <w:r>
        <w:t>的建立</w:t>
      </w:r>
      <w:r>
        <w:rPr>
          <w:rFonts w:hint="eastAsia"/>
        </w:rPr>
        <w:t>和落实</w:t>
      </w:r>
      <w:r>
        <w:t>。</w:t>
      </w:r>
    </w:p>
    <w:p w:rsidR="0085124C" w:rsidRDefault="0085124C" w:rsidP="0085124C">
      <w:pPr>
        <w:pStyle w:val="Call"/>
        <w:spacing w:before="120"/>
        <w:rPr>
          <w:rFonts w:asciiTheme="minorHAnsi" w:hAnsiTheme="minorHAnsi" w:cstheme="minorHAnsi"/>
        </w:rPr>
      </w:pPr>
      <w:r>
        <w:rPr>
          <w:rFonts w:asciiTheme="minorHAnsi" w:hAnsiTheme="minorHAnsi" w:cstheme="minorHAnsi" w:hint="eastAsia"/>
        </w:rPr>
        <w:t>重申</w:t>
      </w:r>
    </w:p>
    <w:p w:rsidR="0085124C" w:rsidRDefault="0085124C" w:rsidP="0085124C">
      <w:pPr>
        <w:ind w:firstLineChars="200" w:firstLine="480"/>
        <w:rPr>
          <w:rFonts w:cstheme="minorHAnsi"/>
        </w:rPr>
      </w:pPr>
      <w:r>
        <w:rPr>
          <w:rFonts w:cstheme="minorHAnsi" w:hint="eastAsia"/>
        </w:rPr>
        <w:t>推动形成国际陆地光缆过境公约，建立跨多国的陆地光缆网络，是构建</w:t>
      </w:r>
      <w:r>
        <w:rPr>
          <w:rFonts w:cstheme="minorHAnsi"/>
        </w:rPr>
        <w:t>全球陆地光缆通道</w:t>
      </w:r>
      <w:r>
        <w:rPr>
          <w:rFonts w:cstheme="minorHAnsi" w:hint="eastAsia"/>
        </w:rPr>
        <w:t>、促进国际互联网发展、大幅改善内陆国家国际互联网接入能力，提高上网人群数量的重要</w:t>
      </w:r>
      <w:r>
        <w:rPr>
          <w:rFonts w:cstheme="minorHAnsi"/>
        </w:rPr>
        <w:t>路径。</w:t>
      </w:r>
      <w:r>
        <w:rPr>
          <w:rFonts w:cstheme="minorHAnsi" w:hint="eastAsia"/>
        </w:rPr>
        <w:t>对实现国际电联“连通目标</w:t>
      </w:r>
      <w:r>
        <w:rPr>
          <w:rFonts w:cstheme="minorHAnsi" w:hint="eastAsia"/>
        </w:rPr>
        <w:t>2020</w:t>
      </w:r>
      <w:r>
        <w:rPr>
          <w:rFonts w:cstheme="minorHAnsi" w:hint="eastAsia"/>
        </w:rPr>
        <w:t>”议程和联合国可持续发展目标具有划时代的意义；</w:t>
      </w:r>
    </w:p>
    <w:p w:rsidR="0085124C" w:rsidRDefault="0085124C" w:rsidP="0085124C">
      <w:pPr>
        <w:pStyle w:val="Call"/>
        <w:spacing w:before="120"/>
        <w:rPr>
          <w:rFonts w:asciiTheme="minorHAnsi" w:hAnsiTheme="minorHAnsi" w:cstheme="minorHAnsi"/>
        </w:rPr>
      </w:pPr>
      <w:r>
        <w:rPr>
          <w:rFonts w:asciiTheme="minorHAnsi" w:hAnsiTheme="minorHAnsi" w:cstheme="minorHAnsi"/>
        </w:rPr>
        <w:t>敦促监管机构</w:t>
      </w:r>
    </w:p>
    <w:p w:rsidR="0085124C" w:rsidRDefault="0085124C" w:rsidP="0085124C">
      <w:pPr>
        <w:ind w:firstLine="480"/>
      </w:pPr>
      <w:r>
        <w:rPr>
          <w:rFonts w:hint="eastAsia"/>
        </w:rPr>
        <w:t>为</w:t>
      </w:r>
      <w:r>
        <w:t>跨多国陆地光缆</w:t>
      </w:r>
      <w:r>
        <w:rPr>
          <w:rFonts w:hint="eastAsia"/>
        </w:rPr>
        <w:t>的</w:t>
      </w:r>
      <w:r>
        <w:t>建设</w:t>
      </w:r>
      <w:r>
        <w:rPr>
          <w:rFonts w:hint="eastAsia"/>
        </w:rPr>
        <w:t>提供</w:t>
      </w:r>
      <w:r>
        <w:t>有效的</w:t>
      </w:r>
      <w:r>
        <w:rPr>
          <w:rFonts w:hint="eastAsia"/>
        </w:rPr>
        <w:t>政策保障，</w:t>
      </w:r>
      <w:r>
        <w:t>协调</w:t>
      </w:r>
      <w:r>
        <w:rPr>
          <w:rFonts w:hint="eastAsia"/>
        </w:rPr>
        <w:t>运营</w:t>
      </w:r>
      <w:r>
        <w:t>政策方面取得</w:t>
      </w:r>
      <w:r>
        <w:rPr>
          <w:rFonts w:hint="eastAsia"/>
        </w:rPr>
        <w:t>进展，并积极</w:t>
      </w:r>
      <w:r>
        <w:t>与其它成员国协作开展相关项目</w:t>
      </w:r>
      <w:r>
        <w:rPr>
          <w:rFonts w:hint="eastAsia"/>
        </w:rPr>
        <w:t>合作</w:t>
      </w:r>
      <w:r>
        <w:t>。</w:t>
      </w:r>
    </w:p>
    <w:p w:rsidR="0085124C" w:rsidRDefault="0085124C" w:rsidP="0085124C">
      <w:pPr>
        <w:pStyle w:val="Call"/>
        <w:rPr>
          <w:rFonts w:asciiTheme="minorHAnsi" w:hAnsiTheme="minorHAnsi" w:cstheme="minorHAnsi"/>
        </w:rPr>
      </w:pPr>
      <w:r>
        <w:rPr>
          <w:rFonts w:asciiTheme="minorHAnsi" w:hAnsiTheme="minorHAnsi" w:cstheme="minorHAnsi"/>
        </w:rPr>
        <w:t>敦促业务提供商</w:t>
      </w:r>
    </w:p>
    <w:p w:rsidR="0085124C" w:rsidRDefault="0085124C" w:rsidP="0085124C">
      <w:pPr>
        <w:ind w:firstLineChars="200" w:firstLine="480"/>
        <w:rPr>
          <w:rFonts w:cstheme="minorHAnsi"/>
        </w:rPr>
      </w:pPr>
      <w:r>
        <w:rPr>
          <w:rFonts w:cstheme="minorHAnsi"/>
        </w:rPr>
        <w:t>谈判并达成</w:t>
      </w:r>
      <w:r>
        <w:rPr>
          <w:rFonts w:cstheme="minorHAnsi" w:hint="eastAsia"/>
        </w:rPr>
        <w:t>多边</w:t>
      </w:r>
      <w:r>
        <w:rPr>
          <w:rFonts w:cstheme="minorHAnsi"/>
        </w:rPr>
        <w:t>商业协议以</w:t>
      </w:r>
      <w:r>
        <w:rPr>
          <w:rFonts w:cstheme="minorHAnsi" w:hint="eastAsia"/>
        </w:rPr>
        <w:t>建立跨</w:t>
      </w:r>
      <w:r>
        <w:rPr>
          <w:rFonts w:cstheme="minorHAnsi"/>
        </w:rPr>
        <w:t>多国</w:t>
      </w:r>
      <w:r>
        <w:rPr>
          <w:rFonts w:cstheme="minorHAnsi" w:hint="eastAsia"/>
        </w:rPr>
        <w:t>的</w:t>
      </w:r>
      <w:r>
        <w:rPr>
          <w:rFonts w:cstheme="minorHAnsi"/>
        </w:rPr>
        <w:t>陆地光缆网络连接，协议中应</w:t>
      </w:r>
      <w:r>
        <w:rPr>
          <w:rFonts w:cstheme="minorHAnsi" w:hint="eastAsia"/>
        </w:rPr>
        <w:t>充分</w:t>
      </w:r>
      <w:r>
        <w:rPr>
          <w:rFonts w:cstheme="minorHAnsi"/>
        </w:rPr>
        <w:t>考虑到</w:t>
      </w:r>
      <w:r>
        <w:rPr>
          <w:rFonts w:cstheme="minorHAnsi" w:hint="eastAsia"/>
        </w:rPr>
        <w:t>各</w:t>
      </w:r>
      <w:r>
        <w:rPr>
          <w:rFonts w:cstheme="minorHAnsi"/>
        </w:rPr>
        <w:t>方</w:t>
      </w:r>
      <w:r>
        <w:rPr>
          <w:rFonts w:cstheme="minorHAnsi" w:hint="eastAsia"/>
        </w:rPr>
        <w:t>在推进此项</w:t>
      </w:r>
      <w:r>
        <w:rPr>
          <w:rFonts w:cstheme="minorHAnsi"/>
        </w:rPr>
        <w:t>工作中</w:t>
      </w:r>
      <w:r>
        <w:rPr>
          <w:rFonts w:cstheme="minorHAnsi" w:hint="eastAsia"/>
        </w:rPr>
        <w:t>所涉及</w:t>
      </w:r>
      <w:r>
        <w:rPr>
          <w:rFonts w:cstheme="minorHAnsi"/>
        </w:rPr>
        <w:t>的相关要素，</w:t>
      </w:r>
      <w:r>
        <w:rPr>
          <w:rFonts w:cstheme="minorHAnsi" w:hint="eastAsia"/>
        </w:rPr>
        <w:t>具体</w:t>
      </w:r>
      <w:r>
        <w:rPr>
          <w:rFonts w:cstheme="minorHAnsi"/>
        </w:rPr>
        <w:t>包括</w:t>
      </w:r>
      <w:r>
        <w:rPr>
          <w:rFonts w:cstheme="minorHAnsi" w:hint="eastAsia"/>
        </w:rPr>
        <w:t>业务</w:t>
      </w:r>
      <w:r>
        <w:rPr>
          <w:rFonts w:cstheme="minorHAnsi"/>
        </w:rPr>
        <w:t>需求、</w:t>
      </w:r>
      <w:r>
        <w:rPr>
          <w:rFonts w:cstheme="minorHAnsi" w:hint="eastAsia"/>
        </w:rPr>
        <w:t>资源分配</w:t>
      </w:r>
      <w:r>
        <w:rPr>
          <w:rFonts w:cstheme="minorHAnsi"/>
        </w:rPr>
        <w:t>、</w:t>
      </w:r>
      <w:r>
        <w:rPr>
          <w:rFonts w:cstheme="minorHAnsi" w:hint="eastAsia"/>
        </w:rPr>
        <w:t>合作模式</w:t>
      </w:r>
      <w:r>
        <w:rPr>
          <w:rFonts w:cstheme="minorHAnsi"/>
        </w:rPr>
        <w:t>、运营机制等</w:t>
      </w:r>
      <w:r>
        <w:rPr>
          <w:rFonts w:cstheme="minorHAnsi" w:hint="eastAsia"/>
        </w:rPr>
        <w:t>。</w:t>
      </w:r>
    </w:p>
    <w:p w:rsidR="0085124C" w:rsidRDefault="0085124C" w:rsidP="0085124C">
      <w:pPr>
        <w:pStyle w:val="Call"/>
        <w:spacing w:before="120"/>
        <w:rPr>
          <w:rFonts w:asciiTheme="minorHAnsi" w:hAnsiTheme="minorHAnsi" w:cstheme="minorHAnsi"/>
        </w:rPr>
      </w:pPr>
      <w:r>
        <w:rPr>
          <w:rFonts w:asciiTheme="minorHAnsi" w:hAnsiTheme="minorHAnsi" w:cstheme="minorHAnsi"/>
        </w:rPr>
        <w:t>责成电信发展局主任</w:t>
      </w:r>
    </w:p>
    <w:p w:rsidR="0085124C" w:rsidRDefault="0085124C" w:rsidP="0085124C">
      <w:pPr>
        <w:pStyle w:val="ListParagraph1"/>
        <w:spacing w:before="80" w:line="276" w:lineRule="auto"/>
        <w:ind w:left="420" w:firstLineChars="0" w:firstLine="0"/>
        <w:rPr>
          <w:rFonts w:ascii="SimSun" w:eastAsia="SimSun" w:hAnsi="SimSun"/>
          <w:lang w:eastAsia="zh-CN"/>
        </w:rPr>
      </w:pPr>
      <w:r>
        <w:rPr>
          <w:rFonts w:ascii="SimSun" w:eastAsia="SimSun" w:hAnsi="SimSun" w:hint="eastAsia"/>
          <w:lang w:val="en-US" w:eastAsia="zh-CN"/>
        </w:rPr>
        <w:t>1.</w:t>
      </w:r>
      <w:r>
        <w:rPr>
          <w:rFonts w:ascii="SimSun" w:eastAsia="SimSun" w:hAnsi="SimSun" w:hint="eastAsia"/>
          <w:lang w:eastAsia="zh-CN"/>
        </w:rPr>
        <w:t>推动研究国际陆缆如何有效提升当前国际通信设施水平。对部分区域已形成的跨多国陆缆网络进行调查研究，组织分析评估国际陆缆优化对提升国际通信网络设施水平的效果，总结有益经验。</w:t>
      </w:r>
    </w:p>
    <w:p w:rsidR="0085124C" w:rsidRDefault="0085124C" w:rsidP="0085124C">
      <w:pPr>
        <w:pStyle w:val="ListParagraph1"/>
        <w:spacing w:before="80" w:line="276" w:lineRule="auto"/>
        <w:ind w:left="420" w:firstLineChars="0" w:firstLine="0"/>
        <w:rPr>
          <w:rFonts w:ascii="SimSun" w:eastAsia="SimSun" w:hAnsi="SimSun"/>
          <w:lang w:eastAsia="zh-CN"/>
        </w:rPr>
      </w:pPr>
      <w:r>
        <w:rPr>
          <w:rFonts w:ascii="SimSun" w:eastAsia="SimSun" w:hAnsi="SimSun" w:hint="eastAsia"/>
          <w:lang w:val="en-US" w:eastAsia="zh-CN"/>
        </w:rPr>
        <w:t>2.</w:t>
      </w:r>
      <w:r>
        <w:rPr>
          <w:rFonts w:ascii="SimSun" w:eastAsia="SimSun" w:hAnsi="SimSun" w:hint="eastAsia"/>
          <w:lang w:eastAsia="zh-CN"/>
        </w:rPr>
        <w:t>继续完善和</w:t>
      </w:r>
      <w:r>
        <w:rPr>
          <w:rFonts w:ascii="SimSun" w:eastAsia="SimSun" w:hAnsi="SimSun"/>
          <w:lang w:eastAsia="zh-CN"/>
        </w:rPr>
        <w:t>更新全球陆地光缆网络拓扑图</w:t>
      </w:r>
      <w:r>
        <w:rPr>
          <w:rFonts w:ascii="SimSun" w:eastAsia="SimSun" w:hAnsi="SimSun" w:hint="eastAsia"/>
          <w:lang w:eastAsia="zh-CN"/>
        </w:rPr>
        <w:t>，</w:t>
      </w:r>
      <w:r>
        <w:rPr>
          <w:rFonts w:ascii="SimSun" w:eastAsia="SimSun" w:hAnsi="SimSun"/>
          <w:lang w:eastAsia="zh-CN"/>
        </w:rPr>
        <w:t>为建</w:t>
      </w:r>
      <w:r>
        <w:rPr>
          <w:rFonts w:ascii="SimSun" w:eastAsia="SimSun" w:hAnsi="SimSun" w:hint="eastAsia"/>
          <w:lang w:eastAsia="zh-CN"/>
        </w:rPr>
        <w:t>设</w:t>
      </w:r>
      <w:r>
        <w:rPr>
          <w:rFonts w:ascii="SimSun" w:eastAsia="SimSun" w:hAnsi="SimSun"/>
          <w:lang w:eastAsia="zh-CN"/>
        </w:rPr>
        <w:t>跨多国陆地光缆</w:t>
      </w:r>
      <w:r>
        <w:rPr>
          <w:rFonts w:ascii="SimSun" w:eastAsia="SimSun" w:hAnsi="SimSun" w:hint="eastAsia"/>
          <w:lang w:eastAsia="zh-CN"/>
        </w:rPr>
        <w:t>提供</w:t>
      </w:r>
      <w:r>
        <w:rPr>
          <w:rFonts w:ascii="SimSun" w:eastAsia="SimSun" w:hAnsi="SimSun"/>
          <w:lang w:eastAsia="zh-CN"/>
        </w:rPr>
        <w:t>依据和参考</w:t>
      </w:r>
      <w:r>
        <w:rPr>
          <w:rFonts w:ascii="SimSun" w:eastAsia="SimSun" w:hAnsi="SimSun" w:hint="eastAsia"/>
          <w:lang w:eastAsia="zh-CN"/>
        </w:rPr>
        <w:t>。</w:t>
      </w:r>
    </w:p>
    <w:p w:rsidR="0085124C" w:rsidRDefault="0085124C" w:rsidP="0085124C">
      <w:pPr>
        <w:pStyle w:val="ListParagraph1"/>
        <w:spacing w:before="80" w:line="276" w:lineRule="auto"/>
        <w:ind w:left="420" w:firstLineChars="0" w:firstLine="0"/>
        <w:rPr>
          <w:rFonts w:ascii="SimSun" w:eastAsia="SimSun" w:hAnsi="SimSun"/>
          <w:lang w:eastAsia="zh-CN"/>
        </w:rPr>
      </w:pPr>
      <w:r>
        <w:rPr>
          <w:rFonts w:ascii="SimSun" w:eastAsia="SimSun" w:hAnsi="SimSun" w:hint="eastAsia"/>
          <w:lang w:val="en-US" w:eastAsia="zh-CN"/>
        </w:rPr>
        <w:t>3.</w:t>
      </w:r>
      <w:r>
        <w:rPr>
          <w:rFonts w:ascii="SimSun" w:eastAsia="SimSun" w:hAnsi="SimSun" w:hint="eastAsia"/>
          <w:lang w:eastAsia="zh-CN"/>
        </w:rPr>
        <w:t>加强与ITU-T的联络与协同，通过实际案例来探索跨多国陆缆的应用，并在全球加以推广。</w:t>
      </w:r>
    </w:p>
    <w:p w:rsidR="0085124C" w:rsidRDefault="0085124C" w:rsidP="0085124C">
      <w:pPr>
        <w:pStyle w:val="ListParagraph1"/>
        <w:ind w:left="420" w:firstLineChars="0" w:firstLine="0"/>
        <w:jc w:val="both"/>
        <w:rPr>
          <w:rFonts w:cstheme="minorHAnsi"/>
          <w:lang w:eastAsia="zh-CN"/>
        </w:rPr>
      </w:pPr>
      <w:r>
        <w:rPr>
          <w:rFonts w:hint="eastAsia"/>
          <w:lang w:val="en-US" w:eastAsia="zh-CN"/>
        </w:rPr>
        <w:t>4.</w:t>
      </w:r>
      <w:r>
        <w:rPr>
          <w:rFonts w:hint="eastAsia"/>
          <w:lang w:eastAsia="zh-CN"/>
        </w:rPr>
        <w:t>协调项目</w:t>
      </w:r>
      <w:r>
        <w:rPr>
          <w:lang w:eastAsia="zh-CN"/>
        </w:rPr>
        <w:t>、</w:t>
      </w:r>
      <w:r>
        <w:rPr>
          <w:rFonts w:hint="eastAsia"/>
          <w:lang w:eastAsia="zh-CN"/>
        </w:rPr>
        <w:t>技术</w:t>
      </w:r>
      <w:r>
        <w:rPr>
          <w:lang w:eastAsia="zh-CN"/>
        </w:rPr>
        <w:t>援助</w:t>
      </w:r>
      <w:r>
        <w:rPr>
          <w:rFonts w:hint="eastAsia"/>
          <w:lang w:eastAsia="zh-CN"/>
        </w:rPr>
        <w:t>等</w:t>
      </w:r>
      <w:r>
        <w:rPr>
          <w:lang w:eastAsia="zh-CN"/>
        </w:rPr>
        <w:t>行动，以鼓励并推动创建和发展全球互通的国际陆地光缆网络。</w:t>
      </w:r>
    </w:p>
    <w:p w:rsidR="00937076" w:rsidRDefault="00937076">
      <w:pPr>
        <w:jc w:val="center"/>
      </w:pPr>
      <w:r>
        <w:t>_____________</w:t>
      </w:r>
    </w:p>
    <w:sectPr w:rsidR="00937076" w:rsidSect="0085124C">
      <w:pgSz w:w="11906" w:h="16838" w:code="9"/>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5EED" w:rsidRDefault="007D5EED" w:rsidP="00E54FD2">
      <w:pPr>
        <w:spacing w:before="0"/>
      </w:pPr>
      <w:r>
        <w:separator/>
      </w:r>
    </w:p>
    <w:p w:rsidR="007D5EED" w:rsidRDefault="007D5EED"/>
  </w:endnote>
  <w:endnote w:type="continuationSeparator" w:id="0">
    <w:p w:rsidR="007D5EED" w:rsidRDefault="007D5EED" w:rsidP="00E54FD2">
      <w:pPr>
        <w:spacing w:before="0"/>
      </w:pPr>
      <w:r>
        <w:continuationSeparator/>
      </w:r>
    </w:p>
    <w:p w:rsidR="007D5EED" w:rsidRDefault="007D5E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TKaiti">
    <w:altName w:val="Arial Unicode MS"/>
    <w:charset w:val="86"/>
    <w:family w:val="auto"/>
    <w:pitch w:val="variable"/>
    <w:sig w:usb0="00000000" w:usb1="080F0000" w:usb2="00000010" w:usb3="00000000" w:csb0="0004009F" w:csb1="00000000"/>
  </w:font>
  <w:font w:name="Times New Roman Bold">
    <w:panose1 w:val="02020803070505020304"/>
    <w:charset w:val="00"/>
    <w:family w:val="auto"/>
    <w:pitch w:val="variable"/>
    <w:sig w:usb0="E0002AE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Yu Gothic UI">
    <w:altName w:val="MS Mincho"/>
    <w:charset w:val="80"/>
    <w:family w:val="auto"/>
    <w:pitch w:val="default"/>
    <w:sig w:usb0="00000000" w:usb1="00000000" w:usb2="00000016"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0946" w:rsidRPr="008802F9" w:rsidRDefault="003C74A2" w:rsidP="00200946">
    <w:pPr>
      <w:pStyle w:val="Footer"/>
      <w:jc w:val="center"/>
    </w:pPr>
    <w:hyperlink r:id="rId1" w:history="1">
      <w:r w:rsidR="00200946" w:rsidRPr="00E5750F">
        <w:rPr>
          <w:rStyle w:val="Hyperlink"/>
          <w:caps w:val="0"/>
          <w:noProof w:val="0"/>
          <w:sz w:val="18"/>
          <w:szCs w:val="18"/>
          <w:lang w:val="en-US"/>
        </w:rPr>
        <w:t>http://www.itu.int/ITU-D/TDAG/</w:t>
      </w:r>
    </w:hyperlink>
    <w:hyperlink r:id="rId2" w:history="1"/>
  </w:p>
  <w:p w:rsidR="005D6CE4" w:rsidRPr="006E12E8" w:rsidRDefault="005D6CE4" w:rsidP="005D6CE4">
    <w:pPr>
      <w:pStyle w:val="Footer"/>
    </w:pPr>
  </w:p>
  <w:p w:rsidR="00D923CD" w:rsidRPr="005D6CE4" w:rsidRDefault="00D923CD" w:rsidP="00E560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5EED" w:rsidRDefault="007D5EED" w:rsidP="00E54FD2">
      <w:pPr>
        <w:spacing w:before="0"/>
      </w:pPr>
      <w:r>
        <w:separator/>
      </w:r>
    </w:p>
    <w:p w:rsidR="007D5EED" w:rsidRDefault="007D5EED"/>
  </w:footnote>
  <w:footnote w:type="continuationSeparator" w:id="0">
    <w:p w:rsidR="007D5EED" w:rsidRDefault="007D5EED" w:rsidP="00E54FD2">
      <w:pPr>
        <w:spacing w:before="0"/>
      </w:pPr>
      <w:r>
        <w:continuationSeparator/>
      </w:r>
    </w:p>
    <w:p w:rsidR="007D5EED" w:rsidRDefault="007D5EE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294B" w:rsidRPr="00453EFC" w:rsidRDefault="003A294B" w:rsidP="00365205">
    <w:pPr>
      <w:tabs>
        <w:tab w:val="clear" w:pos="794"/>
        <w:tab w:val="clear" w:pos="1191"/>
        <w:tab w:val="clear" w:pos="1588"/>
        <w:tab w:val="clear" w:pos="1985"/>
        <w:tab w:val="center" w:pos="4536"/>
        <w:tab w:val="right" w:pos="9639"/>
      </w:tabs>
      <w:ind w:right="1"/>
      <w:rPr>
        <w:smallCaps/>
        <w:spacing w:val="24"/>
        <w:sz w:val="22"/>
        <w:szCs w:val="22"/>
        <w:lang w:val="fr-CH"/>
      </w:rPr>
    </w:pPr>
    <w:r w:rsidRPr="00937076">
      <w:rPr>
        <w:sz w:val="22"/>
        <w:szCs w:val="22"/>
      </w:rPr>
      <w:tab/>
    </w:r>
    <w:r w:rsidRPr="00453EFC">
      <w:rPr>
        <w:sz w:val="22"/>
        <w:szCs w:val="22"/>
        <w:lang w:val="fr-CH"/>
      </w:rPr>
      <w:t>ITU-D/TDAG1</w:t>
    </w:r>
    <w:r w:rsidR="00054016" w:rsidRPr="00453EFC">
      <w:rPr>
        <w:sz w:val="22"/>
        <w:szCs w:val="22"/>
        <w:lang w:val="fr-CH"/>
      </w:rPr>
      <w:t>7</w:t>
    </w:r>
    <w:r w:rsidRPr="00453EFC">
      <w:rPr>
        <w:sz w:val="22"/>
        <w:szCs w:val="22"/>
        <w:lang w:val="fr-CH"/>
      </w:rPr>
      <w:t>-</w:t>
    </w:r>
    <w:r w:rsidR="00916B10" w:rsidRPr="00453EFC">
      <w:rPr>
        <w:sz w:val="22"/>
        <w:szCs w:val="22"/>
        <w:lang w:val="fr-CH"/>
      </w:rPr>
      <w:t>2</w:t>
    </w:r>
    <w:r w:rsidR="00054016" w:rsidRPr="00453EFC">
      <w:rPr>
        <w:sz w:val="22"/>
        <w:szCs w:val="22"/>
        <w:lang w:val="fr-CH"/>
      </w:rPr>
      <w:t>2</w:t>
    </w:r>
    <w:r w:rsidRPr="00453EFC">
      <w:rPr>
        <w:sz w:val="22"/>
        <w:szCs w:val="22"/>
        <w:lang w:val="fr-CH"/>
      </w:rPr>
      <w:t>/</w:t>
    </w:r>
    <w:r w:rsidR="00365205">
      <w:rPr>
        <w:sz w:val="22"/>
        <w:szCs w:val="22"/>
        <w:lang w:val="fr-CH"/>
      </w:rPr>
      <w:t>54</w:t>
    </w:r>
    <w:r w:rsidRPr="00453EFC">
      <w:rPr>
        <w:sz w:val="22"/>
        <w:szCs w:val="22"/>
        <w:lang w:val="fr-CH"/>
      </w:rPr>
      <w:t>-</w:t>
    </w:r>
    <w:r w:rsidR="00365205">
      <w:rPr>
        <w:sz w:val="22"/>
        <w:szCs w:val="22"/>
        <w:lang w:val="fr-CH"/>
      </w:rPr>
      <w:t>E</w:t>
    </w:r>
    <w:r w:rsidRPr="00453EFC">
      <w:rPr>
        <w:sz w:val="22"/>
        <w:szCs w:val="22"/>
        <w:lang w:val="fr-CH"/>
      </w:rPr>
      <w:tab/>
    </w:r>
    <w:r w:rsidR="00D923CD" w:rsidRPr="00937076">
      <w:rPr>
        <w:rStyle w:val="PageNumber"/>
        <w:sz w:val="22"/>
        <w:szCs w:val="22"/>
      </w:rPr>
      <w:fldChar w:fldCharType="begin"/>
    </w:r>
    <w:r w:rsidR="00D923CD" w:rsidRPr="00453EFC">
      <w:rPr>
        <w:rStyle w:val="PageNumber"/>
        <w:sz w:val="22"/>
        <w:szCs w:val="22"/>
        <w:lang w:val="fr-CH"/>
      </w:rPr>
      <w:instrText xml:space="preserve"> PAGE </w:instrText>
    </w:r>
    <w:r w:rsidR="00D923CD" w:rsidRPr="00937076">
      <w:rPr>
        <w:rStyle w:val="PageNumber"/>
        <w:sz w:val="22"/>
        <w:szCs w:val="22"/>
      </w:rPr>
      <w:fldChar w:fldCharType="separate"/>
    </w:r>
    <w:r w:rsidR="003C74A2">
      <w:rPr>
        <w:rStyle w:val="PageNumber"/>
        <w:noProof/>
        <w:sz w:val="22"/>
        <w:szCs w:val="22"/>
        <w:lang w:val="fr-CH"/>
      </w:rPr>
      <w:t>3</w:t>
    </w:r>
    <w:r w:rsidR="00D923CD" w:rsidRPr="00937076">
      <w:rPr>
        <w:rStyle w:val="PageNumbe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F530A4"/>
    <w:multiLevelType w:val="hybridMultilevel"/>
    <w:tmpl w:val="56EE58CC"/>
    <w:lvl w:ilvl="0" w:tplc="0409000F">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 w15:restartNumberingAfterBreak="0">
    <w:nsid w:val="59000344"/>
    <w:multiLevelType w:val="singleLevel"/>
    <w:tmpl w:val="59000344"/>
    <w:lvl w:ilvl="0">
      <w:start w:val="1"/>
      <w:numFmt w:val="none"/>
      <w:lvlText w:val="a)"/>
      <w:lvlJc w:val="left"/>
      <w:pPr>
        <w:tabs>
          <w:tab w:val="left" w:pos="420"/>
        </w:tabs>
        <w:ind w:left="425" w:hanging="425"/>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AU" w:vendorID="64" w:dllVersion="131078" w:nlCheck="1" w:checkStyle="1"/>
  <w:activeWritingStyle w:appName="MSWord" w:lang="fr-CH" w:vendorID="64" w:dllVersion="131078" w:nlCheck="1" w:checkStyle="1"/>
  <w:activeWritingStyle w:appName="MSWord" w:lang="fr-FR" w:vendorID="64" w:dllVersion="131078" w:nlCheck="1" w:checkStyle="1"/>
  <w:attachedTemplate r:id="rId1"/>
  <w:defaultTabStop w:val="709"/>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EED"/>
    <w:rsid w:val="0004447D"/>
    <w:rsid w:val="00054016"/>
    <w:rsid w:val="00081BF9"/>
    <w:rsid w:val="000F7D84"/>
    <w:rsid w:val="00107E03"/>
    <w:rsid w:val="00124CDB"/>
    <w:rsid w:val="001547DA"/>
    <w:rsid w:val="00170869"/>
    <w:rsid w:val="00200946"/>
    <w:rsid w:val="002236F8"/>
    <w:rsid w:val="00231569"/>
    <w:rsid w:val="002717CC"/>
    <w:rsid w:val="002E65BA"/>
    <w:rsid w:val="003141F7"/>
    <w:rsid w:val="00316454"/>
    <w:rsid w:val="00340B49"/>
    <w:rsid w:val="00347F95"/>
    <w:rsid w:val="00365205"/>
    <w:rsid w:val="00366978"/>
    <w:rsid w:val="00383086"/>
    <w:rsid w:val="00386D28"/>
    <w:rsid w:val="003A235E"/>
    <w:rsid w:val="003A294B"/>
    <w:rsid w:val="003B4E96"/>
    <w:rsid w:val="003C74A2"/>
    <w:rsid w:val="003D7BD0"/>
    <w:rsid w:val="00422053"/>
    <w:rsid w:val="00453540"/>
    <w:rsid w:val="00453EFC"/>
    <w:rsid w:val="00480EE0"/>
    <w:rsid w:val="00492670"/>
    <w:rsid w:val="004A11EE"/>
    <w:rsid w:val="004B7F4C"/>
    <w:rsid w:val="004D7DC7"/>
    <w:rsid w:val="00503C2B"/>
    <w:rsid w:val="0056594F"/>
    <w:rsid w:val="005834D5"/>
    <w:rsid w:val="005D4336"/>
    <w:rsid w:val="005D6CE4"/>
    <w:rsid w:val="00616C29"/>
    <w:rsid w:val="0061761B"/>
    <w:rsid w:val="00655923"/>
    <w:rsid w:val="00701E31"/>
    <w:rsid w:val="0073581C"/>
    <w:rsid w:val="00737124"/>
    <w:rsid w:val="00766481"/>
    <w:rsid w:val="007969E0"/>
    <w:rsid w:val="007A760D"/>
    <w:rsid w:val="007D5EED"/>
    <w:rsid w:val="008129BB"/>
    <w:rsid w:val="00832155"/>
    <w:rsid w:val="0085124C"/>
    <w:rsid w:val="00892207"/>
    <w:rsid w:val="008962E2"/>
    <w:rsid w:val="008C576E"/>
    <w:rsid w:val="008F4E2C"/>
    <w:rsid w:val="00916B10"/>
    <w:rsid w:val="00937076"/>
    <w:rsid w:val="00973EA2"/>
    <w:rsid w:val="009C5B8E"/>
    <w:rsid w:val="00AA42F8"/>
    <w:rsid w:val="00AA6970"/>
    <w:rsid w:val="00AC7B52"/>
    <w:rsid w:val="00AD3873"/>
    <w:rsid w:val="00AE0BB7"/>
    <w:rsid w:val="00AE1BA7"/>
    <w:rsid w:val="00B52E6E"/>
    <w:rsid w:val="00B54D21"/>
    <w:rsid w:val="00B726C0"/>
    <w:rsid w:val="00B85138"/>
    <w:rsid w:val="00BA030E"/>
    <w:rsid w:val="00BD7A1A"/>
    <w:rsid w:val="00C45932"/>
    <w:rsid w:val="00C574C5"/>
    <w:rsid w:val="00C62E82"/>
    <w:rsid w:val="00C84CCD"/>
    <w:rsid w:val="00CA78BB"/>
    <w:rsid w:val="00CE37A1"/>
    <w:rsid w:val="00D0588A"/>
    <w:rsid w:val="00D16175"/>
    <w:rsid w:val="00D45E8E"/>
    <w:rsid w:val="00D65512"/>
    <w:rsid w:val="00D84BC1"/>
    <w:rsid w:val="00D923CD"/>
    <w:rsid w:val="00DA4610"/>
    <w:rsid w:val="00DD3EDD"/>
    <w:rsid w:val="00DF2909"/>
    <w:rsid w:val="00E064CD"/>
    <w:rsid w:val="00E1391D"/>
    <w:rsid w:val="00E30170"/>
    <w:rsid w:val="00E54FD2"/>
    <w:rsid w:val="00E5605C"/>
    <w:rsid w:val="00E82D31"/>
    <w:rsid w:val="00E93040"/>
    <w:rsid w:val="00EE153D"/>
    <w:rsid w:val="00F72A94"/>
    <w:rsid w:val="00FC0AAC"/>
    <w:rsid w:val="00FC1008"/>
    <w:rsid w:val="00FD2638"/>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10568EB8-934C-4B82-AE42-A2FD98F6C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0EE0"/>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alibri" w:eastAsia="SimSun" w:hAnsi="Calibri" w:cs="Times New Roman"/>
      <w:sz w:val="24"/>
      <w:szCs w:val="20"/>
      <w:lang w:val="ru-RU"/>
    </w:rPr>
  </w:style>
  <w:style w:type="paragraph" w:styleId="Heading1">
    <w:name w:val="heading 1"/>
    <w:basedOn w:val="Normal"/>
    <w:next w:val="Normal"/>
    <w:link w:val="Heading1Char"/>
    <w:qFormat/>
    <w:rsid w:val="00E5605C"/>
    <w:pPr>
      <w:keepNext/>
      <w:keepLines/>
      <w:spacing w:before="280"/>
      <w:ind w:left="794" w:hanging="794"/>
      <w:outlineLvl w:val="0"/>
    </w:pPr>
    <w:rPr>
      <w:b/>
      <w:sz w:val="28"/>
    </w:rPr>
  </w:style>
  <w:style w:type="paragraph" w:styleId="Heading2">
    <w:name w:val="heading 2"/>
    <w:basedOn w:val="Heading1"/>
    <w:next w:val="Normal"/>
    <w:link w:val="Heading2Char"/>
    <w:qFormat/>
    <w:rsid w:val="00E5605C"/>
    <w:pPr>
      <w:spacing w:before="200"/>
      <w:outlineLvl w:val="1"/>
    </w:pPr>
    <w:rPr>
      <w:sz w:val="24"/>
    </w:rPr>
  </w:style>
  <w:style w:type="paragraph" w:styleId="Heading3">
    <w:name w:val="heading 3"/>
    <w:basedOn w:val="Heading1"/>
    <w:next w:val="Normal"/>
    <w:link w:val="Heading3Char"/>
    <w:qFormat/>
    <w:rsid w:val="005D4336"/>
    <w:pPr>
      <w:spacing w:before="200"/>
      <w:outlineLvl w:val="2"/>
    </w:pPr>
    <w:rPr>
      <w:sz w:val="24"/>
    </w:rPr>
  </w:style>
  <w:style w:type="paragraph" w:styleId="Heading4">
    <w:name w:val="heading 4"/>
    <w:basedOn w:val="Heading3"/>
    <w:next w:val="Normal"/>
    <w:link w:val="Heading4Char"/>
    <w:qFormat/>
    <w:rsid w:val="00FD2638"/>
    <w:pPr>
      <w:tabs>
        <w:tab w:val="clear" w:pos="794"/>
        <w:tab w:val="left" w:pos="992"/>
      </w:tabs>
      <w:ind w:left="992" w:hanging="992"/>
      <w:outlineLvl w:val="3"/>
    </w:pPr>
  </w:style>
  <w:style w:type="paragraph" w:styleId="Heading5">
    <w:name w:val="heading 5"/>
    <w:basedOn w:val="Heading4"/>
    <w:next w:val="Normal"/>
    <w:link w:val="Heading5Char"/>
    <w:qFormat/>
    <w:rsid w:val="00CE37A1"/>
    <w:pPr>
      <w:outlineLvl w:val="4"/>
    </w:pPr>
  </w:style>
  <w:style w:type="paragraph" w:styleId="Heading6">
    <w:name w:val="heading 6"/>
    <w:basedOn w:val="Heading4"/>
    <w:next w:val="Normal"/>
    <w:link w:val="Heading6Char"/>
    <w:qFormat/>
    <w:rsid w:val="00CE37A1"/>
    <w:pPr>
      <w:outlineLvl w:val="5"/>
    </w:pPr>
  </w:style>
  <w:style w:type="paragraph" w:styleId="Heading7">
    <w:name w:val="heading 7"/>
    <w:basedOn w:val="Heading4"/>
    <w:next w:val="Normal"/>
    <w:link w:val="Heading7Char"/>
    <w:qFormat/>
    <w:rsid w:val="00CE37A1"/>
    <w:pPr>
      <w:ind w:left="1701" w:hanging="1701"/>
      <w:outlineLvl w:val="6"/>
    </w:pPr>
  </w:style>
  <w:style w:type="paragraph" w:styleId="Heading8">
    <w:name w:val="heading 8"/>
    <w:basedOn w:val="Heading4"/>
    <w:next w:val="Normal"/>
    <w:link w:val="Heading8Char"/>
    <w:qFormat/>
    <w:rsid w:val="00CE37A1"/>
    <w:pPr>
      <w:ind w:left="1701" w:hanging="1701"/>
      <w:outlineLvl w:val="7"/>
    </w:pPr>
  </w:style>
  <w:style w:type="paragraph" w:styleId="Heading9">
    <w:name w:val="heading 9"/>
    <w:basedOn w:val="Heading4"/>
    <w:next w:val="Normal"/>
    <w:link w:val="Heading9Char"/>
    <w:qFormat/>
    <w:rsid w:val="00CE37A1"/>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E1391D"/>
    <w:pPr>
      <w:spacing w:before="480" w:after="80"/>
      <w:jc w:val="center"/>
    </w:pPr>
    <w:rPr>
      <w:caps/>
      <w:sz w:val="28"/>
    </w:rPr>
  </w:style>
  <w:style w:type="paragraph" w:customStyle="1" w:styleId="Annexref">
    <w:name w:val="Annex_ref"/>
    <w:basedOn w:val="Normal"/>
    <w:next w:val="Normal"/>
    <w:rsid w:val="005D4336"/>
    <w:pPr>
      <w:jc w:val="center"/>
    </w:pPr>
    <w:rPr>
      <w:sz w:val="28"/>
    </w:rPr>
  </w:style>
  <w:style w:type="paragraph" w:customStyle="1" w:styleId="Annextitle">
    <w:name w:val="Annex_title"/>
    <w:basedOn w:val="Normal"/>
    <w:next w:val="Normal"/>
    <w:rsid w:val="00E1391D"/>
    <w:pPr>
      <w:spacing w:before="240" w:after="280"/>
      <w:jc w:val="center"/>
    </w:pPr>
    <w:rPr>
      <w:b/>
      <w:sz w:val="28"/>
    </w:rPr>
  </w:style>
  <w:style w:type="paragraph" w:customStyle="1" w:styleId="AppendixNo">
    <w:name w:val="Appendix_No"/>
    <w:basedOn w:val="AnnexNo"/>
    <w:next w:val="Normal"/>
    <w:rsid w:val="00CE37A1"/>
  </w:style>
  <w:style w:type="paragraph" w:customStyle="1" w:styleId="Appendixref">
    <w:name w:val="Appendix_ref"/>
    <w:basedOn w:val="Annexref"/>
    <w:next w:val="Normal"/>
    <w:rsid w:val="00CE37A1"/>
  </w:style>
  <w:style w:type="paragraph" w:customStyle="1" w:styleId="Appendixtitle">
    <w:name w:val="Appendix_title"/>
    <w:basedOn w:val="Annextitle"/>
    <w:next w:val="Normal"/>
    <w:rsid w:val="00FD2638"/>
  </w:style>
  <w:style w:type="paragraph" w:customStyle="1" w:styleId="Artheading">
    <w:name w:val="Art_heading"/>
    <w:basedOn w:val="Normal"/>
    <w:next w:val="Normal"/>
    <w:rsid w:val="00CE37A1"/>
    <w:pPr>
      <w:spacing w:before="480"/>
      <w:jc w:val="center"/>
    </w:pPr>
    <w:rPr>
      <w:b/>
    </w:rPr>
  </w:style>
  <w:style w:type="paragraph" w:customStyle="1" w:styleId="ArtNo">
    <w:name w:val="Art_No"/>
    <w:basedOn w:val="Normal"/>
    <w:next w:val="Normal"/>
    <w:rsid w:val="00973EA2"/>
    <w:pPr>
      <w:spacing w:before="480"/>
      <w:jc w:val="center"/>
    </w:pPr>
    <w:rPr>
      <w:caps/>
      <w:sz w:val="28"/>
    </w:rPr>
  </w:style>
  <w:style w:type="paragraph" w:customStyle="1" w:styleId="Arttitle">
    <w:name w:val="Art_title"/>
    <w:basedOn w:val="Normal"/>
    <w:next w:val="Normal"/>
    <w:rsid w:val="00973EA2"/>
    <w:pPr>
      <w:spacing w:before="240" w:after="120"/>
      <w:jc w:val="center"/>
    </w:pPr>
    <w:rPr>
      <w:b/>
      <w:sz w:val="28"/>
    </w:rPr>
  </w:style>
  <w:style w:type="paragraph" w:customStyle="1" w:styleId="Call">
    <w:name w:val="Call"/>
    <w:basedOn w:val="Normal"/>
    <w:next w:val="Normal"/>
    <w:link w:val="CallChar"/>
    <w:rsid w:val="00FD2638"/>
    <w:pPr>
      <w:keepNext/>
      <w:keepLines/>
      <w:spacing w:before="160"/>
      <w:ind w:left="794"/>
    </w:pPr>
    <w:rPr>
      <w:rFonts w:eastAsia="STKaiti"/>
    </w:rPr>
  </w:style>
  <w:style w:type="paragraph" w:customStyle="1" w:styleId="ChapNo">
    <w:name w:val="Chap_No"/>
    <w:basedOn w:val="ArtNo"/>
    <w:next w:val="Normal"/>
    <w:rsid w:val="00CE37A1"/>
  </w:style>
  <w:style w:type="paragraph" w:customStyle="1" w:styleId="Chaptitle">
    <w:name w:val="Chap_title"/>
    <w:basedOn w:val="Arttitle"/>
    <w:next w:val="Normal"/>
    <w:rsid w:val="00CE37A1"/>
  </w:style>
  <w:style w:type="paragraph" w:customStyle="1" w:styleId="Committee">
    <w:name w:val="Committee"/>
    <w:basedOn w:val="Normal"/>
    <w:qFormat/>
    <w:rsid w:val="00CE37A1"/>
    <w:pPr>
      <w:framePr w:hSpace="180" w:wrap="around" w:vAnchor="page" w:hAnchor="margin" w:y="1081"/>
      <w:spacing w:before="0"/>
    </w:pPr>
    <w:rPr>
      <w:rFonts w:cs="Times New Roman Bold"/>
      <w:b/>
      <w:caps/>
    </w:rPr>
  </w:style>
  <w:style w:type="paragraph" w:styleId="Date">
    <w:name w:val="Date"/>
    <w:basedOn w:val="Normal"/>
    <w:link w:val="DateChar"/>
    <w:rsid w:val="00CE37A1"/>
    <w:pPr>
      <w:framePr w:hSpace="181" w:wrap="notBeside" w:vAnchor="page" w:hAnchor="page" w:x="1135" w:y="852"/>
      <w:tabs>
        <w:tab w:val="left" w:pos="1843"/>
        <w:tab w:val="left" w:pos="2269"/>
        <w:tab w:val="left" w:pos="3544"/>
        <w:tab w:val="left" w:pos="3969"/>
      </w:tabs>
      <w:spacing w:before="192" w:line="240" w:lineRule="atLeast"/>
      <w:jc w:val="center"/>
    </w:pPr>
    <w:rPr>
      <w:sz w:val="20"/>
    </w:rPr>
  </w:style>
  <w:style w:type="character" w:customStyle="1" w:styleId="DateChar">
    <w:name w:val="Date Char"/>
    <w:basedOn w:val="DefaultParagraphFont"/>
    <w:link w:val="Date"/>
    <w:rsid w:val="00CE37A1"/>
    <w:rPr>
      <w:rFonts w:eastAsia="Times New Roman" w:cs="Times New Roman"/>
      <w:sz w:val="20"/>
      <w:szCs w:val="20"/>
      <w:lang w:val="en-GB" w:eastAsia="en-US"/>
    </w:rPr>
  </w:style>
  <w:style w:type="paragraph" w:customStyle="1" w:styleId="enumlev1">
    <w:name w:val="enumlev1"/>
    <w:basedOn w:val="Normal"/>
    <w:rsid w:val="00E5605C"/>
    <w:pPr>
      <w:spacing w:before="80"/>
      <w:ind w:left="794" w:hanging="794"/>
    </w:pPr>
  </w:style>
  <w:style w:type="paragraph" w:customStyle="1" w:styleId="enumlev2">
    <w:name w:val="enumlev2"/>
    <w:basedOn w:val="enumlev1"/>
    <w:rsid w:val="003A235E"/>
    <w:pPr>
      <w:ind w:left="1191" w:hanging="397"/>
    </w:pPr>
  </w:style>
  <w:style w:type="paragraph" w:customStyle="1" w:styleId="enumlev3">
    <w:name w:val="enumlev3"/>
    <w:basedOn w:val="enumlev2"/>
    <w:rsid w:val="005D4336"/>
    <w:pPr>
      <w:ind w:left="1588"/>
    </w:pPr>
  </w:style>
  <w:style w:type="paragraph" w:styleId="Footer">
    <w:name w:val="footer"/>
    <w:basedOn w:val="Normal"/>
    <w:link w:val="FooterChar"/>
    <w:rsid w:val="00CE37A1"/>
    <w:pPr>
      <w:tabs>
        <w:tab w:val="left" w:pos="5954"/>
        <w:tab w:val="right" w:pos="9639"/>
      </w:tabs>
      <w:spacing w:before="0"/>
    </w:pPr>
    <w:rPr>
      <w:caps/>
      <w:noProof/>
      <w:sz w:val="16"/>
    </w:rPr>
  </w:style>
  <w:style w:type="character" w:customStyle="1" w:styleId="FooterChar">
    <w:name w:val="Footer Char"/>
    <w:basedOn w:val="DefaultParagraphFont"/>
    <w:link w:val="Footer"/>
    <w:rsid w:val="00CE37A1"/>
    <w:rPr>
      <w:rFonts w:eastAsia="Times New Roman" w:cs="Times New Roman"/>
      <w:caps/>
      <w:noProof/>
      <w:sz w:val="16"/>
      <w:szCs w:val="20"/>
      <w:lang w:val="en-GB" w:eastAsia="en-US"/>
    </w:rPr>
  </w:style>
  <w:style w:type="paragraph" w:customStyle="1" w:styleId="FirstFooter">
    <w:name w:val="FirstFooter"/>
    <w:basedOn w:val="Footer"/>
    <w:rsid w:val="00CE37A1"/>
    <w:rPr>
      <w:caps w:val="0"/>
    </w:rPr>
  </w:style>
  <w:style w:type="paragraph" w:customStyle="1" w:styleId="firstfooter0">
    <w:name w:val="firstfooter"/>
    <w:basedOn w:val="Normal"/>
    <w:rsid w:val="00CE37A1"/>
    <w:pPr>
      <w:overflowPunct/>
      <w:autoSpaceDE/>
      <w:autoSpaceDN/>
      <w:adjustRightInd/>
      <w:spacing w:before="100" w:beforeAutospacing="1" w:after="100" w:afterAutospacing="1"/>
      <w:textAlignment w:val="auto"/>
    </w:pPr>
    <w:rPr>
      <w:szCs w:val="24"/>
      <w:lang w:val="en-US"/>
    </w:rPr>
  </w:style>
  <w:style w:type="character" w:styleId="FollowedHyperlink">
    <w:name w:val="FollowedHyperlink"/>
    <w:basedOn w:val="DefaultParagraphFont"/>
    <w:rsid w:val="00CE37A1"/>
    <w:rPr>
      <w:color w:val="800080"/>
      <w:u w:val="single"/>
    </w:rPr>
  </w:style>
  <w:style w:type="character" w:styleId="FootnoteReference">
    <w:name w:val="footnote reference"/>
    <w:basedOn w:val="DefaultParagraphFont"/>
    <w:rsid w:val="00CE37A1"/>
    <w:rPr>
      <w:rFonts w:asciiTheme="minorHAnsi" w:hAnsiTheme="minorHAnsi"/>
      <w:position w:val="6"/>
      <w:sz w:val="16"/>
    </w:rPr>
  </w:style>
  <w:style w:type="paragraph" w:styleId="FootnoteText">
    <w:name w:val="footnote text"/>
    <w:basedOn w:val="Normal"/>
    <w:link w:val="FootnoteTextChar"/>
    <w:rsid w:val="00CE37A1"/>
    <w:pPr>
      <w:keepLines/>
      <w:tabs>
        <w:tab w:val="left" w:pos="256"/>
      </w:tabs>
      <w:spacing w:before="60"/>
      <w:ind w:left="284" w:hanging="284"/>
    </w:pPr>
    <w:rPr>
      <w:sz w:val="20"/>
    </w:rPr>
  </w:style>
  <w:style w:type="character" w:customStyle="1" w:styleId="FootnoteTextChar">
    <w:name w:val="Footnote Text Char"/>
    <w:basedOn w:val="DefaultParagraphFont"/>
    <w:link w:val="FootnoteText"/>
    <w:rsid w:val="00CE37A1"/>
    <w:rPr>
      <w:rFonts w:eastAsia="Times New Roman" w:cs="Times New Roman"/>
      <w:sz w:val="20"/>
      <w:szCs w:val="20"/>
      <w:lang w:val="en-GB" w:eastAsia="en-US"/>
    </w:rPr>
  </w:style>
  <w:style w:type="paragraph" w:styleId="Header">
    <w:name w:val="header"/>
    <w:basedOn w:val="Normal"/>
    <w:link w:val="HeaderChar"/>
    <w:uiPriority w:val="99"/>
    <w:rsid w:val="00CE37A1"/>
    <w:pPr>
      <w:spacing w:before="0"/>
      <w:jc w:val="center"/>
    </w:pPr>
    <w:rPr>
      <w:sz w:val="18"/>
    </w:rPr>
  </w:style>
  <w:style w:type="character" w:customStyle="1" w:styleId="HeaderChar">
    <w:name w:val="Header Char"/>
    <w:basedOn w:val="DefaultParagraphFont"/>
    <w:link w:val="Header"/>
    <w:uiPriority w:val="99"/>
    <w:rsid w:val="00CE37A1"/>
    <w:rPr>
      <w:rFonts w:eastAsia="Times New Roman" w:cs="Times New Roman"/>
      <w:sz w:val="18"/>
      <w:szCs w:val="20"/>
      <w:lang w:val="en-GB" w:eastAsia="en-US"/>
    </w:rPr>
  </w:style>
  <w:style w:type="character" w:customStyle="1" w:styleId="Heading1Char">
    <w:name w:val="Heading 1 Char"/>
    <w:basedOn w:val="DefaultParagraphFont"/>
    <w:link w:val="Heading1"/>
    <w:rsid w:val="00E5605C"/>
    <w:rPr>
      <w:rFonts w:ascii="Calibri" w:eastAsia="SimSun" w:hAnsi="Calibri" w:cs="Times New Roman"/>
      <w:b/>
      <w:sz w:val="28"/>
      <w:szCs w:val="20"/>
      <w:lang w:val="ru-RU" w:eastAsia="en-US"/>
    </w:rPr>
  </w:style>
  <w:style w:type="character" w:customStyle="1" w:styleId="Heading2Char">
    <w:name w:val="Heading 2 Char"/>
    <w:basedOn w:val="DefaultParagraphFont"/>
    <w:link w:val="Heading2"/>
    <w:rsid w:val="00E5605C"/>
    <w:rPr>
      <w:rFonts w:ascii="Calibri" w:eastAsia="SimSun" w:hAnsi="Calibri" w:cs="Times New Roman"/>
      <w:b/>
      <w:sz w:val="24"/>
      <w:szCs w:val="20"/>
      <w:lang w:val="ru-RU" w:eastAsia="en-US"/>
    </w:rPr>
  </w:style>
  <w:style w:type="character" w:customStyle="1" w:styleId="Heading3Char">
    <w:name w:val="Heading 3 Char"/>
    <w:basedOn w:val="DefaultParagraphFont"/>
    <w:link w:val="Heading3"/>
    <w:rsid w:val="005D4336"/>
    <w:rPr>
      <w:rFonts w:ascii="Calibri" w:eastAsia="SimSun" w:hAnsi="Calibri" w:cs="Times New Roman"/>
      <w:b/>
      <w:sz w:val="24"/>
      <w:szCs w:val="20"/>
      <w:lang w:val="ru-RU"/>
    </w:rPr>
  </w:style>
  <w:style w:type="character" w:customStyle="1" w:styleId="Heading4Char">
    <w:name w:val="Heading 4 Char"/>
    <w:basedOn w:val="DefaultParagraphFont"/>
    <w:link w:val="Heading4"/>
    <w:rsid w:val="00FD2638"/>
    <w:rPr>
      <w:rFonts w:ascii="Calibri" w:eastAsia="SimSun" w:hAnsi="Calibri" w:cs="Times New Roman"/>
      <w:b/>
      <w:sz w:val="24"/>
      <w:szCs w:val="20"/>
      <w:lang w:val="ru-RU" w:eastAsia="en-US"/>
    </w:rPr>
  </w:style>
  <w:style w:type="character" w:customStyle="1" w:styleId="Heading5Char">
    <w:name w:val="Heading 5 Char"/>
    <w:basedOn w:val="DefaultParagraphFont"/>
    <w:link w:val="Heading5"/>
    <w:rsid w:val="00CE37A1"/>
    <w:rPr>
      <w:rFonts w:eastAsia="Times New Roman" w:cs="Times New Roman"/>
      <w:b/>
      <w:szCs w:val="20"/>
      <w:lang w:val="en-GB" w:eastAsia="en-US"/>
    </w:rPr>
  </w:style>
  <w:style w:type="character" w:customStyle="1" w:styleId="Heading6Char">
    <w:name w:val="Heading 6 Char"/>
    <w:basedOn w:val="DefaultParagraphFont"/>
    <w:link w:val="Heading6"/>
    <w:rsid w:val="00CE37A1"/>
    <w:rPr>
      <w:rFonts w:eastAsia="Times New Roman" w:cs="Times New Roman"/>
      <w:b/>
      <w:szCs w:val="20"/>
      <w:lang w:val="en-GB" w:eastAsia="en-US"/>
    </w:rPr>
  </w:style>
  <w:style w:type="character" w:customStyle="1" w:styleId="Heading7Char">
    <w:name w:val="Heading 7 Char"/>
    <w:basedOn w:val="DefaultParagraphFont"/>
    <w:link w:val="Heading7"/>
    <w:rsid w:val="00CE37A1"/>
    <w:rPr>
      <w:rFonts w:eastAsia="Times New Roman" w:cs="Times New Roman"/>
      <w:b/>
      <w:szCs w:val="20"/>
      <w:lang w:val="en-GB" w:eastAsia="en-US"/>
    </w:rPr>
  </w:style>
  <w:style w:type="character" w:customStyle="1" w:styleId="Heading8Char">
    <w:name w:val="Heading 8 Char"/>
    <w:basedOn w:val="DefaultParagraphFont"/>
    <w:link w:val="Heading8"/>
    <w:rsid w:val="00CE37A1"/>
    <w:rPr>
      <w:rFonts w:eastAsia="Times New Roman" w:cs="Times New Roman"/>
      <w:b/>
      <w:szCs w:val="20"/>
      <w:lang w:val="en-GB" w:eastAsia="en-US"/>
    </w:rPr>
  </w:style>
  <w:style w:type="character" w:customStyle="1" w:styleId="Heading9Char">
    <w:name w:val="Heading 9 Char"/>
    <w:basedOn w:val="DefaultParagraphFont"/>
    <w:link w:val="Heading9"/>
    <w:rsid w:val="00CE37A1"/>
    <w:rPr>
      <w:rFonts w:eastAsia="Times New Roman" w:cs="Times New Roman"/>
      <w:b/>
      <w:szCs w:val="20"/>
      <w:lang w:val="en-GB" w:eastAsia="en-US"/>
    </w:rPr>
  </w:style>
  <w:style w:type="paragraph" w:customStyle="1" w:styleId="Headingb">
    <w:name w:val="Heading_b"/>
    <w:basedOn w:val="Normal"/>
    <w:next w:val="Normal"/>
    <w:rsid w:val="00480EE0"/>
    <w:pPr>
      <w:keepNext/>
      <w:spacing w:before="160"/>
      <w:outlineLvl w:val="0"/>
    </w:pPr>
    <w:rPr>
      <w:b/>
    </w:rPr>
  </w:style>
  <w:style w:type="paragraph" w:customStyle="1" w:styleId="Headingi">
    <w:name w:val="Heading_i"/>
    <w:basedOn w:val="Heading3"/>
    <w:next w:val="Normal"/>
    <w:rsid w:val="00E5605C"/>
    <w:pPr>
      <w:spacing w:before="160"/>
      <w:outlineLvl w:val="0"/>
    </w:pPr>
    <w:rPr>
      <w:rFonts w:eastAsia="STKaiti"/>
      <w:b w:val="0"/>
    </w:rPr>
  </w:style>
  <w:style w:type="character" w:styleId="Hyperlink">
    <w:name w:val="Hyperlink"/>
    <w:basedOn w:val="DefaultParagraphFont"/>
    <w:rsid w:val="00CE37A1"/>
    <w:rPr>
      <w:color w:val="0000FF"/>
      <w:u w:val="single"/>
    </w:rPr>
  </w:style>
  <w:style w:type="paragraph" w:customStyle="1" w:styleId="MinusFootnote">
    <w:name w:val="MinusFootnote"/>
    <w:basedOn w:val="Normal"/>
    <w:rsid w:val="00CE37A1"/>
    <w:pPr>
      <w:ind w:left="-1701" w:hanging="284"/>
    </w:pPr>
  </w:style>
  <w:style w:type="paragraph" w:customStyle="1" w:styleId="Normalaftertitle">
    <w:name w:val="Normal after title"/>
    <w:basedOn w:val="Normal"/>
    <w:next w:val="Normal"/>
    <w:link w:val="NormalaftertitleChar"/>
    <w:rsid w:val="00CE37A1"/>
    <w:pPr>
      <w:spacing w:before="240"/>
    </w:pPr>
  </w:style>
  <w:style w:type="paragraph" w:styleId="NormalIndent">
    <w:name w:val="Normal Indent"/>
    <w:basedOn w:val="Normal"/>
    <w:rsid w:val="00CE37A1"/>
    <w:pPr>
      <w:ind w:left="567"/>
    </w:pPr>
  </w:style>
  <w:style w:type="paragraph" w:customStyle="1" w:styleId="Note">
    <w:name w:val="Note"/>
    <w:basedOn w:val="Normal"/>
    <w:rsid w:val="00FD2638"/>
    <w:pPr>
      <w:spacing w:before="80"/>
    </w:pPr>
  </w:style>
  <w:style w:type="character" w:styleId="PageNumber">
    <w:name w:val="page number"/>
    <w:basedOn w:val="DefaultParagraphFont"/>
    <w:rsid w:val="00CE37A1"/>
    <w:rPr>
      <w:rFonts w:asciiTheme="minorHAnsi" w:hAnsiTheme="minorHAnsi"/>
    </w:rPr>
  </w:style>
  <w:style w:type="paragraph" w:customStyle="1" w:styleId="Part">
    <w:name w:val="Part"/>
    <w:basedOn w:val="Normal"/>
    <w:next w:val="Normal"/>
    <w:rsid w:val="00CE37A1"/>
    <w:pPr>
      <w:spacing w:before="600"/>
      <w:jc w:val="center"/>
    </w:pPr>
    <w:rPr>
      <w:caps/>
      <w:sz w:val="26"/>
    </w:rPr>
  </w:style>
  <w:style w:type="paragraph" w:customStyle="1" w:styleId="Reasons">
    <w:name w:val="Reasons"/>
    <w:basedOn w:val="Normal"/>
    <w:qFormat/>
    <w:rsid w:val="00CE37A1"/>
  </w:style>
  <w:style w:type="paragraph" w:customStyle="1" w:styleId="RecNo">
    <w:name w:val="Rec_No"/>
    <w:basedOn w:val="Normal"/>
    <w:next w:val="Rectitle"/>
    <w:rsid w:val="00FD2638"/>
    <w:pPr>
      <w:spacing w:before="480"/>
      <w:jc w:val="center"/>
    </w:pPr>
    <w:rPr>
      <w:caps/>
      <w:sz w:val="28"/>
    </w:rPr>
  </w:style>
  <w:style w:type="paragraph" w:customStyle="1" w:styleId="Rectitle">
    <w:name w:val="Rec_title"/>
    <w:basedOn w:val="Normal"/>
    <w:next w:val="Heading1"/>
    <w:rsid w:val="00FD2638"/>
    <w:pPr>
      <w:spacing w:before="240"/>
      <w:jc w:val="center"/>
    </w:pPr>
    <w:rPr>
      <w:b/>
      <w:sz w:val="28"/>
    </w:rPr>
  </w:style>
  <w:style w:type="paragraph" w:customStyle="1" w:styleId="Reftext">
    <w:name w:val="Ref_text"/>
    <w:basedOn w:val="Normal"/>
    <w:rsid w:val="00CE37A1"/>
    <w:pPr>
      <w:ind w:left="567" w:hanging="567"/>
    </w:pPr>
  </w:style>
  <w:style w:type="paragraph" w:customStyle="1" w:styleId="Reftitle">
    <w:name w:val="Ref_title"/>
    <w:basedOn w:val="Normal"/>
    <w:next w:val="Reftext"/>
    <w:rsid w:val="00CE37A1"/>
    <w:pPr>
      <w:spacing w:before="480"/>
      <w:jc w:val="center"/>
    </w:pPr>
    <w:rPr>
      <w:caps/>
      <w:sz w:val="28"/>
    </w:rPr>
  </w:style>
  <w:style w:type="paragraph" w:customStyle="1" w:styleId="ResNo">
    <w:name w:val="Res_No"/>
    <w:basedOn w:val="AnnexNo"/>
    <w:next w:val="Normal"/>
    <w:rsid w:val="00CE37A1"/>
  </w:style>
  <w:style w:type="paragraph" w:customStyle="1" w:styleId="Restitle">
    <w:name w:val="Res_title"/>
    <w:basedOn w:val="Annextitle"/>
    <w:next w:val="Normal"/>
    <w:link w:val="RestitleChar"/>
    <w:uiPriority w:val="99"/>
    <w:rsid w:val="00CE37A1"/>
  </w:style>
  <w:style w:type="paragraph" w:customStyle="1" w:styleId="Section1">
    <w:name w:val="Section 1"/>
    <w:basedOn w:val="ChapNo"/>
    <w:next w:val="Normal"/>
    <w:rsid w:val="00CE37A1"/>
    <w:rPr>
      <w:caps w:val="0"/>
    </w:rPr>
  </w:style>
  <w:style w:type="paragraph" w:customStyle="1" w:styleId="Section2">
    <w:name w:val="Section 2"/>
    <w:basedOn w:val="Section1"/>
    <w:next w:val="Normal"/>
    <w:rsid w:val="00CE37A1"/>
    <w:pPr>
      <w:spacing w:before="240"/>
    </w:pPr>
    <w:rPr>
      <w:b/>
      <w:i/>
    </w:rPr>
  </w:style>
  <w:style w:type="paragraph" w:customStyle="1" w:styleId="Source">
    <w:name w:val="Source"/>
    <w:basedOn w:val="Normal"/>
    <w:next w:val="Normal"/>
    <w:autoRedefine/>
    <w:rsid w:val="0085124C"/>
    <w:pPr>
      <w:framePr w:hSpace="180" w:wrap="around" w:vAnchor="page" w:hAnchor="margin" w:xAlign="center" w:y="808"/>
      <w:spacing w:before="240"/>
      <w:jc w:val="center"/>
    </w:pPr>
    <w:rPr>
      <w:b/>
      <w:sz w:val="28"/>
      <w:szCs w:val="28"/>
    </w:rPr>
  </w:style>
  <w:style w:type="table" w:styleId="TableGrid">
    <w:name w:val="Table Grid"/>
    <w:basedOn w:val="TableNormal"/>
    <w:uiPriority w:val="59"/>
    <w:rsid w:val="00CE37A1"/>
    <w:pPr>
      <w:spacing w:after="0" w:line="240" w:lineRule="auto"/>
    </w:pPr>
    <w:rPr>
      <w:rFonts w:ascii="CG Times" w:eastAsia="Times New Roman" w:hAnsi="CG Times"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text">
    <w:name w:val="Table_text"/>
    <w:basedOn w:val="Normal"/>
    <w:rsid w:val="00E5605C"/>
    <w:pPr>
      <w:spacing w:before="40" w:after="40"/>
    </w:pPr>
    <w:rPr>
      <w:sz w:val="22"/>
    </w:rPr>
  </w:style>
  <w:style w:type="paragraph" w:customStyle="1" w:styleId="Tablehead">
    <w:name w:val="Table_head"/>
    <w:basedOn w:val="Tabletext"/>
    <w:rsid w:val="00E5605C"/>
    <w:pPr>
      <w:spacing w:before="80" w:after="80"/>
      <w:jc w:val="center"/>
    </w:pPr>
    <w:rPr>
      <w:b/>
    </w:rPr>
  </w:style>
  <w:style w:type="paragraph" w:customStyle="1" w:styleId="Tablelegend">
    <w:name w:val="Table_legend"/>
    <w:basedOn w:val="Tabletext"/>
    <w:rsid w:val="00CE37A1"/>
    <w:pPr>
      <w:spacing w:before="120"/>
    </w:pPr>
  </w:style>
  <w:style w:type="paragraph" w:customStyle="1" w:styleId="TableNo">
    <w:name w:val="Table_No"/>
    <w:basedOn w:val="Normal"/>
    <w:next w:val="Normal"/>
    <w:rsid w:val="00CE37A1"/>
    <w:pPr>
      <w:keepNext/>
      <w:spacing w:before="560" w:after="120"/>
      <w:jc w:val="center"/>
    </w:pPr>
    <w:rPr>
      <w:caps/>
    </w:rPr>
  </w:style>
  <w:style w:type="paragraph" w:customStyle="1" w:styleId="Tabletitle">
    <w:name w:val="Table_title"/>
    <w:basedOn w:val="Normal"/>
    <w:next w:val="Tabletext"/>
    <w:rsid w:val="00E1391D"/>
    <w:pPr>
      <w:keepNext/>
      <w:keepLines/>
      <w:spacing w:after="120"/>
      <w:jc w:val="center"/>
    </w:pPr>
    <w:rPr>
      <w:b/>
      <w:caps/>
    </w:rPr>
  </w:style>
  <w:style w:type="paragraph" w:customStyle="1" w:styleId="Title1">
    <w:name w:val="Title 1"/>
    <w:basedOn w:val="Source"/>
    <w:next w:val="Normal"/>
    <w:rsid w:val="004B7F4C"/>
    <w:pPr>
      <w:framePr w:hSpace="0" w:wrap="auto" w:vAnchor="margin" w:hAnchor="text" w:yAlign="inline"/>
    </w:pPr>
    <w:rPr>
      <w:b w:val="0"/>
      <w:caps/>
    </w:rPr>
  </w:style>
  <w:style w:type="paragraph" w:customStyle="1" w:styleId="Title2">
    <w:name w:val="Title 2"/>
    <w:basedOn w:val="Source"/>
    <w:next w:val="Normal"/>
    <w:rsid w:val="00CE37A1"/>
    <w:pPr>
      <w:framePr w:hSpace="0" w:wrap="auto" w:vAnchor="margin" w:hAnchor="text" w:yAlign="inline"/>
    </w:pPr>
    <w:rPr>
      <w:b w:val="0"/>
      <w:caps/>
    </w:rPr>
  </w:style>
  <w:style w:type="paragraph" w:customStyle="1" w:styleId="Title3">
    <w:name w:val="Title 3"/>
    <w:basedOn w:val="Title2"/>
    <w:next w:val="Normalaftertitle"/>
    <w:rsid w:val="00CE37A1"/>
    <w:pPr>
      <w:framePr w:wrap="auto"/>
    </w:pPr>
    <w:rPr>
      <w:caps w:val="0"/>
    </w:rPr>
  </w:style>
  <w:style w:type="paragraph" w:customStyle="1" w:styleId="toc0">
    <w:name w:val="toc 0"/>
    <w:basedOn w:val="Normal"/>
    <w:next w:val="TOC1"/>
    <w:rsid w:val="00CE37A1"/>
    <w:pPr>
      <w:tabs>
        <w:tab w:val="right" w:pos="9781"/>
      </w:tabs>
    </w:pPr>
    <w:rPr>
      <w:b/>
    </w:rPr>
  </w:style>
  <w:style w:type="paragraph" w:styleId="TOC1">
    <w:name w:val="toc 1"/>
    <w:basedOn w:val="Normal"/>
    <w:rsid w:val="00CE37A1"/>
    <w:pPr>
      <w:tabs>
        <w:tab w:val="left" w:pos="964"/>
        <w:tab w:val="left" w:leader="dot" w:pos="8789"/>
        <w:tab w:val="right" w:pos="9639"/>
      </w:tabs>
      <w:spacing w:before="240"/>
      <w:ind w:left="964" w:hanging="964"/>
    </w:pPr>
  </w:style>
  <w:style w:type="paragraph" w:styleId="TOC2">
    <w:name w:val="toc 2"/>
    <w:basedOn w:val="Normal"/>
    <w:next w:val="Normal"/>
    <w:rsid w:val="00CE37A1"/>
    <w:pPr>
      <w:tabs>
        <w:tab w:val="left" w:pos="964"/>
        <w:tab w:val="left" w:leader="dot" w:pos="8789"/>
        <w:tab w:val="right" w:pos="9639"/>
      </w:tabs>
      <w:ind w:left="964" w:hanging="964"/>
    </w:pPr>
  </w:style>
  <w:style w:type="paragraph" w:styleId="TOC3">
    <w:name w:val="toc 3"/>
    <w:basedOn w:val="Normal"/>
    <w:next w:val="Normal"/>
    <w:rsid w:val="00CE37A1"/>
    <w:pPr>
      <w:tabs>
        <w:tab w:val="left" w:pos="964"/>
        <w:tab w:val="left" w:leader="dot" w:pos="8789"/>
        <w:tab w:val="right" w:pos="9639"/>
      </w:tabs>
      <w:ind w:left="964" w:hanging="964"/>
    </w:pPr>
  </w:style>
  <w:style w:type="paragraph" w:styleId="TOC4">
    <w:name w:val="toc 4"/>
    <w:basedOn w:val="Normal"/>
    <w:next w:val="Normal"/>
    <w:rsid w:val="00CE37A1"/>
    <w:pPr>
      <w:tabs>
        <w:tab w:val="left" w:pos="964"/>
        <w:tab w:val="left" w:pos="8789"/>
        <w:tab w:val="right" w:pos="9639"/>
      </w:tabs>
      <w:ind w:left="964" w:hanging="964"/>
    </w:pPr>
  </w:style>
  <w:style w:type="paragraph" w:styleId="TOC5">
    <w:name w:val="toc 5"/>
    <w:basedOn w:val="Normal"/>
    <w:next w:val="Normal"/>
    <w:rsid w:val="00CE37A1"/>
    <w:pPr>
      <w:tabs>
        <w:tab w:val="left" w:pos="964"/>
        <w:tab w:val="left" w:leader="dot" w:pos="8789"/>
        <w:tab w:val="right" w:pos="9639"/>
      </w:tabs>
      <w:ind w:left="964" w:hanging="964"/>
    </w:pPr>
  </w:style>
  <w:style w:type="paragraph" w:styleId="TOC6">
    <w:name w:val="toc 6"/>
    <w:basedOn w:val="Normal"/>
    <w:next w:val="Normal"/>
    <w:rsid w:val="00CE37A1"/>
    <w:pPr>
      <w:tabs>
        <w:tab w:val="left" w:pos="964"/>
        <w:tab w:val="left" w:leader="dot" w:pos="8789"/>
        <w:tab w:val="right" w:pos="9639"/>
      </w:tabs>
      <w:ind w:left="964" w:hanging="964"/>
    </w:pPr>
  </w:style>
  <w:style w:type="paragraph" w:styleId="TOC7">
    <w:name w:val="toc 7"/>
    <w:basedOn w:val="Normal"/>
    <w:next w:val="Normal"/>
    <w:rsid w:val="00CE37A1"/>
    <w:pPr>
      <w:tabs>
        <w:tab w:val="left" w:pos="964"/>
        <w:tab w:val="left" w:leader="dot" w:pos="8789"/>
        <w:tab w:val="right" w:pos="9639"/>
      </w:tabs>
      <w:ind w:left="964" w:hanging="964"/>
    </w:pPr>
  </w:style>
  <w:style w:type="paragraph" w:styleId="TOC8">
    <w:name w:val="toc 8"/>
    <w:basedOn w:val="Normal"/>
    <w:next w:val="Normal"/>
    <w:rsid w:val="00CE37A1"/>
    <w:pPr>
      <w:tabs>
        <w:tab w:val="left" w:pos="964"/>
        <w:tab w:val="left" w:leader="dot" w:pos="8789"/>
        <w:tab w:val="right" w:pos="9639"/>
      </w:tabs>
      <w:ind w:left="964" w:hanging="964"/>
    </w:pPr>
  </w:style>
  <w:style w:type="paragraph" w:customStyle="1" w:styleId="Volumetitle">
    <w:name w:val="Volume_title"/>
    <w:basedOn w:val="Normal"/>
    <w:qFormat/>
    <w:rsid w:val="00BA030E"/>
    <w:pPr>
      <w:tabs>
        <w:tab w:val="clear" w:pos="794"/>
        <w:tab w:val="clear" w:pos="1191"/>
        <w:tab w:val="clear" w:pos="1588"/>
        <w:tab w:val="clear" w:pos="1985"/>
        <w:tab w:val="left" w:pos="1134"/>
        <w:tab w:val="left" w:pos="1871"/>
        <w:tab w:val="left" w:pos="2268"/>
      </w:tabs>
      <w:jc w:val="center"/>
    </w:pPr>
    <w:rPr>
      <w:rFonts w:ascii="Times New Roman" w:eastAsia="Times New Roman" w:hAnsi="Times New Roman"/>
      <w:b/>
      <w:bCs/>
      <w:sz w:val="28"/>
      <w:szCs w:val="28"/>
      <w:lang w:val="en-GB" w:eastAsia="en-US"/>
    </w:rPr>
  </w:style>
  <w:style w:type="character" w:customStyle="1" w:styleId="NormalaftertitleChar">
    <w:name w:val="Normal after title Char"/>
    <w:link w:val="Normalaftertitle"/>
    <w:qFormat/>
    <w:locked/>
    <w:rsid w:val="0085124C"/>
    <w:rPr>
      <w:rFonts w:ascii="Calibri" w:eastAsia="SimSun" w:hAnsi="Calibri" w:cs="Times New Roman"/>
      <w:sz w:val="24"/>
      <w:szCs w:val="20"/>
      <w:lang w:val="ru-RU"/>
    </w:rPr>
  </w:style>
  <w:style w:type="character" w:customStyle="1" w:styleId="CallChar">
    <w:name w:val="Call Char"/>
    <w:link w:val="Call"/>
    <w:locked/>
    <w:rsid w:val="0085124C"/>
    <w:rPr>
      <w:rFonts w:ascii="Calibri" w:eastAsia="STKaiti" w:hAnsi="Calibri" w:cs="Times New Roman"/>
      <w:sz w:val="24"/>
      <w:szCs w:val="20"/>
      <w:lang w:val="ru-RU"/>
    </w:rPr>
  </w:style>
  <w:style w:type="character" w:customStyle="1" w:styleId="RestitleChar">
    <w:name w:val="Res_title Char"/>
    <w:link w:val="Restitle"/>
    <w:uiPriority w:val="99"/>
    <w:locked/>
    <w:rsid w:val="0085124C"/>
    <w:rPr>
      <w:rFonts w:ascii="Calibri" w:eastAsia="SimSun" w:hAnsi="Calibri" w:cs="Times New Roman"/>
      <w:b/>
      <w:sz w:val="28"/>
      <w:szCs w:val="20"/>
      <w:lang w:val="ru-RU"/>
    </w:rPr>
  </w:style>
  <w:style w:type="paragraph" w:customStyle="1" w:styleId="ListParagraph1">
    <w:name w:val="List Paragraph1"/>
    <w:basedOn w:val="Normal"/>
    <w:uiPriority w:val="34"/>
    <w:qFormat/>
    <w:rsid w:val="0085124C"/>
    <w:pPr>
      <w:spacing w:after="160" w:line="259" w:lineRule="auto"/>
      <w:ind w:firstLineChars="200" w:firstLine="420"/>
    </w:pPr>
    <w:rPr>
      <w:rFonts w:asciiTheme="minorHAnsi" w:eastAsiaTheme="minorEastAsia" w:hAnsiTheme="minorHAnsi"/>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2" Type="http://schemas.openxmlformats.org/officeDocument/2006/relationships/hyperlink" Target="http://www.itu.int/en/ITU-D/Conferences/TDAG/Pages/default.aspx" TargetMode="External"/><Relationship Id="rId1" Type="http://schemas.openxmlformats.org/officeDocument/2006/relationships/hyperlink" Target="http://www.itu.int/ITU-D/TDA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TEMPLATE\ALLBDT\TDAG\2017\PC_TDAG1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65F88D-1722-4E1E-B3E7-80251E5AC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PC_TDAG17.dotm</Template>
  <TotalTime>0</TotalTime>
  <Pages>3</Pages>
  <Words>347</Words>
  <Characters>1984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TDAG17</vt:lpstr>
    </vt:vector>
  </TitlesOfParts>
  <Company>International Telecommunication Union (ITU)</Company>
  <LinksUpToDate>false</LinksUpToDate>
  <CharactersWithSpaces>2327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TDAG17</dc:title>
  <dc:subject/>
  <dc:creator>Cerri, Celine</dc:creator>
  <cp:keywords/>
  <dc:description/>
  <cp:lastModifiedBy>BDT, mcb</cp:lastModifiedBy>
  <cp:revision>2</cp:revision>
  <cp:lastPrinted>2015-03-02T13:42:00Z</cp:lastPrinted>
  <dcterms:created xsi:type="dcterms:W3CDTF">2017-04-26T16:48:00Z</dcterms:created>
  <dcterms:modified xsi:type="dcterms:W3CDTF">2017-04-26T16:48:00Z</dcterms:modified>
</cp:coreProperties>
</file>