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9929FA">
              <w:rPr>
                <w:b/>
                <w:bCs/>
                <w:lang w:val="en-US"/>
              </w:rPr>
              <w:t>TDAG17-22</w:t>
            </w:r>
            <w:r w:rsidRPr="00A54E72">
              <w:rPr>
                <w:b/>
                <w:bCs/>
                <w:lang w:val="en-US"/>
              </w:rPr>
              <w:t>/</w:t>
            </w:r>
            <w:bookmarkStart w:id="1" w:name="DocNo1"/>
            <w:bookmarkEnd w:id="1"/>
            <w:r w:rsidR="009929FA">
              <w:rPr>
                <w:b/>
                <w:bCs/>
                <w:lang w:val="en-US"/>
              </w:rPr>
              <w:t>57-E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9929FA"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9929FA">
              <w:rPr>
                <w:b/>
              </w:rPr>
              <w:t>English</w:t>
            </w:r>
            <w:r w:rsidR="00CE0422">
              <w:rPr>
                <w:b/>
              </w:rPr>
              <w:t xml:space="preserve"> </w:t>
            </w:r>
          </w:p>
        </w:tc>
      </w:tr>
      <w:tr w:rsidR="00A13162" w:rsidTr="00107E85">
        <w:trPr>
          <w:cantSplit/>
          <w:trHeight w:val="852"/>
        </w:trPr>
        <w:tc>
          <w:tcPr>
            <w:tcW w:w="9888" w:type="dxa"/>
            <w:gridSpan w:val="3"/>
          </w:tcPr>
          <w:p w:rsidR="00A13162" w:rsidRPr="0030353C" w:rsidRDefault="009929FA" w:rsidP="00183811">
            <w:pPr>
              <w:pStyle w:val="Source"/>
            </w:pPr>
            <w:bookmarkStart w:id="4" w:name="Source"/>
            <w:bookmarkEnd w:id="4"/>
            <w:r>
              <w:t>Japan</w:t>
            </w:r>
          </w:p>
        </w:tc>
      </w:tr>
      <w:tr w:rsidR="00AC6F14" w:rsidRPr="002E6963" w:rsidTr="00107E85">
        <w:trPr>
          <w:cantSplit/>
        </w:trPr>
        <w:tc>
          <w:tcPr>
            <w:tcW w:w="9888" w:type="dxa"/>
            <w:gridSpan w:val="3"/>
          </w:tcPr>
          <w:p w:rsidR="00AC6F14" w:rsidRPr="0030353C" w:rsidRDefault="009929FA" w:rsidP="0030353C">
            <w:pPr>
              <w:pStyle w:val="Title1"/>
            </w:pPr>
            <w:bookmarkStart w:id="5" w:name="Title"/>
            <w:bookmarkEnd w:id="5"/>
            <w:r>
              <w:t>PROPOSED PRINCIPLES OF ITU-D WORK ORGANIZATION</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183811">
            <w:pPr>
              <w:rPr>
                <w:b/>
                <w:bCs/>
                <w:szCs w:val="24"/>
              </w:rPr>
            </w:pPr>
            <w:r w:rsidRPr="00D9621A">
              <w:rPr>
                <w:b/>
                <w:bCs/>
                <w:szCs w:val="24"/>
              </w:rPr>
              <w:t>Summary:</w:t>
            </w:r>
          </w:p>
          <w:p w:rsidR="00A721F4" w:rsidRPr="00D9621A" w:rsidRDefault="009929FA" w:rsidP="00183811">
            <w:pPr>
              <w:rPr>
                <w:szCs w:val="24"/>
              </w:rPr>
            </w:pPr>
            <w:bookmarkStart w:id="6" w:name="Abstract"/>
            <w:bookmarkEnd w:id="6"/>
            <w:r>
              <w:rPr>
                <w:szCs w:val="24"/>
              </w:rPr>
              <w:t>At the upcoming WTDC</w:t>
            </w:r>
            <w:r w:rsidR="00183811">
              <w:rPr>
                <w:szCs w:val="24"/>
              </w:rPr>
              <w:t>-</w:t>
            </w:r>
            <w:r>
              <w:rPr>
                <w:szCs w:val="24"/>
              </w:rPr>
              <w:t xml:space="preserve">17, </w:t>
            </w:r>
            <w:r w:rsidR="00183811">
              <w:rPr>
                <w:szCs w:val="24"/>
              </w:rPr>
              <w:t xml:space="preserve">in </w:t>
            </w:r>
            <w:r>
              <w:rPr>
                <w:szCs w:val="24"/>
              </w:rPr>
              <w:t xml:space="preserve">October 2017, ITU-D work organization such as SG structure and Questions will be discussed. It needs to be clarified </w:t>
            </w:r>
            <w:r w:rsidR="00183811">
              <w:rPr>
                <w:szCs w:val="24"/>
              </w:rPr>
              <w:t xml:space="preserve">the </w:t>
            </w:r>
            <w:r>
              <w:rPr>
                <w:szCs w:val="24"/>
              </w:rPr>
              <w:t>current issues and basic principles for considering ITU-D work organization in order to reconstruct ITU-D SG structure and Questions desirable for all member countries. This contribution proposes the principles of ITU-D work organization based on the principles of ITU-T work organization, which were agreed in APT members at the second APT-WTDC preparatory meeting in Papa New Guinea, February 2017.</w:t>
            </w:r>
          </w:p>
          <w:p w:rsidR="00A721F4" w:rsidRPr="00D9621A" w:rsidRDefault="00A721F4" w:rsidP="00183811">
            <w:pPr>
              <w:rPr>
                <w:b/>
                <w:bCs/>
                <w:szCs w:val="24"/>
              </w:rPr>
            </w:pPr>
            <w:r w:rsidRPr="005E090D">
              <w:rPr>
                <w:b/>
                <w:bCs/>
              </w:rPr>
              <w:t>Action required:</w:t>
            </w:r>
          </w:p>
          <w:p w:rsidR="00A721F4" w:rsidRPr="00D9621A" w:rsidRDefault="009929FA" w:rsidP="00183811">
            <w:pPr>
              <w:rPr>
                <w:szCs w:val="24"/>
              </w:rPr>
            </w:pPr>
            <w:bookmarkStart w:id="7" w:name="ActionRequired"/>
            <w:bookmarkEnd w:id="7"/>
            <w:r>
              <w:rPr>
                <w:szCs w:val="24"/>
              </w:rPr>
              <w:t xml:space="preserve">TDAG is invited to consider this document and take action </w:t>
            </w:r>
          </w:p>
          <w:p w:rsidR="00A721F4" w:rsidRPr="00D9621A" w:rsidRDefault="00A721F4" w:rsidP="00183811">
            <w:pPr>
              <w:rPr>
                <w:b/>
                <w:bCs/>
                <w:szCs w:val="24"/>
              </w:rPr>
            </w:pPr>
            <w:r w:rsidRPr="00D9621A">
              <w:rPr>
                <w:b/>
                <w:bCs/>
                <w:szCs w:val="24"/>
              </w:rPr>
              <w:t>References:</w:t>
            </w:r>
          </w:p>
          <w:p w:rsidR="00A721F4" w:rsidRPr="00D9621A" w:rsidRDefault="009929FA" w:rsidP="00183811">
            <w:pPr>
              <w:spacing w:after="240"/>
            </w:pPr>
            <w:bookmarkStart w:id="8" w:name="References"/>
            <w:bookmarkEnd w:id="8"/>
            <w:r>
              <w:t>N/A</w:t>
            </w:r>
          </w:p>
        </w:tc>
      </w:tr>
    </w:tbl>
    <w:p w:rsidR="009929FA" w:rsidRPr="00466F95" w:rsidRDefault="009929FA" w:rsidP="00183811">
      <w:pPr>
        <w:pStyle w:val="PlainText"/>
        <w:keepNext/>
        <w:numPr>
          <w:ilvl w:val="0"/>
          <w:numId w:val="2"/>
        </w:numPr>
        <w:spacing w:before="120"/>
        <w:ind w:left="567" w:hanging="567"/>
        <w:rPr>
          <w:b/>
          <w:bCs/>
          <w:sz w:val="24"/>
          <w:szCs w:val="24"/>
        </w:rPr>
      </w:pPr>
      <w:r>
        <w:rPr>
          <w:rFonts w:eastAsia="MS Mincho" w:hint="eastAsia"/>
          <w:b/>
          <w:bCs/>
          <w:sz w:val="24"/>
          <w:szCs w:val="24"/>
          <w:lang w:eastAsia="ja-JP"/>
        </w:rPr>
        <w:t>Introduction</w:t>
      </w:r>
    </w:p>
    <w:p w:rsidR="009929FA" w:rsidRPr="002D31E3" w:rsidRDefault="009929FA" w:rsidP="00183811">
      <w:pPr>
        <w:pStyle w:val="PlainText"/>
        <w:spacing w:before="120"/>
        <w:rPr>
          <w:rFonts w:asciiTheme="minorHAnsi" w:eastAsia="MS Mincho" w:hAnsiTheme="minorHAnsi" w:cs="Times New Roman"/>
          <w:sz w:val="24"/>
          <w:szCs w:val="20"/>
          <w:lang w:val="en-GB" w:eastAsia="ja-JP"/>
        </w:rPr>
      </w:pPr>
      <w:r w:rsidRPr="002D31E3">
        <w:rPr>
          <w:rFonts w:asciiTheme="minorHAnsi" w:eastAsia="MS Mincho" w:hAnsiTheme="minorHAnsi" w:cs="Times New Roman"/>
          <w:sz w:val="24"/>
          <w:szCs w:val="20"/>
          <w:lang w:val="en-GB" w:eastAsia="en-US"/>
        </w:rPr>
        <w:t>At the upcoming WTDC</w:t>
      </w:r>
      <w:r w:rsidR="00183811">
        <w:rPr>
          <w:rFonts w:asciiTheme="minorHAnsi" w:eastAsia="MS Mincho" w:hAnsiTheme="minorHAnsi" w:cs="Times New Roman"/>
          <w:sz w:val="24"/>
          <w:szCs w:val="20"/>
          <w:lang w:val="en-GB" w:eastAsia="en-US"/>
        </w:rPr>
        <w:t>-</w:t>
      </w:r>
      <w:r w:rsidRPr="002D31E3">
        <w:rPr>
          <w:rFonts w:asciiTheme="minorHAnsi" w:eastAsia="MS Mincho" w:hAnsiTheme="minorHAnsi" w:cs="Times New Roman"/>
          <w:sz w:val="24"/>
          <w:szCs w:val="20"/>
          <w:lang w:val="en-GB" w:eastAsia="en-US"/>
        </w:rPr>
        <w:t xml:space="preserve">17, October 2017, ITU-D work organization such as SG structure and Questions will be discussed. </w:t>
      </w:r>
      <w:r>
        <w:rPr>
          <w:rFonts w:asciiTheme="minorHAnsi" w:eastAsia="MS Mincho" w:hAnsiTheme="minorHAnsi" w:cs="Times New Roman" w:hint="eastAsia"/>
          <w:sz w:val="24"/>
          <w:szCs w:val="20"/>
          <w:lang w:val="en-GB" w:eastAsia="ja-JP"/>
        </w:rPr>
        <w:t>In the last SG2 meeting, was the final meeting in this study period, future study questions and plans were discussed on each Question. At the meeting, it was raised that principles of re</w:t>
      </w:r>
      <w:r>
        <w:rPr>
          <w:rFonts w:asciiTheme="minorHAnsi" w:eastAsia="MS Mincho" w:hAnsiTheme="minorHAnsi" w:cs="Times New Roman"/>
          <w:sz w:val="24"/>
          <w:szCs w:val="20"/>
          <w:lang w:val="en-GB" w:eastAsia="ja-JP"/>
        </w:rPr>
        <w:t>constructing</w:t>
      </w:r>
      <w:r>
        <w:rPr>
          <w:rFonts w:asciiTheme="minorHAnsi" w:eastAsia="MS Mincho" w:hAnsiTheme="minorHAnsi" w:cs="Times New Roman" w:hint="eastAsia"/>
          <w:sz w:val="24"/>
          <w:szCs w:val="20"/>
          <w:lang w:val="en-GB" w:eastAsia="ja-JP"/>
        </w:rPr>
        <w:t xml:space="preserve"> ITU-D work organization were unclear from participants. Therefore, i</w:t>
      </w:r>
      <w:r w:rsidRPr="00271B47">
        <w:rPr>
          <w:rFonts w:asciiTheme="minorHAnsi" w:eastAsia="MS Mincho" w:hAnsiTheme="minorHAnsi" w:cs="Times New Roman"/>
          <w:sz w:val="24"/>
          <w:szCs w:val="20"/>
          <w:lang w:val="en-GB" w:eastAsia="en-US"/>
        </w:rPr>
        <w:t>t needs to be clarified basic principles for considering ITU-D work organization in order to reconstruct ITU-D SG structure and Questions desirable for all member countries.</w:t>
      </w:r>
      <w:r>
        <w:rPr>
          <w:rFonts w:asciiTheme="minorHAnsi" w:eastAsia="MS Mincho" w:hAnsiTheme="minorHAnsi" w:cs="Times New Roman" w:hint="eastAsia"/>
          <w:sz w:val="24"/>
          <w:szCs w:val="20"/>
          <w:lang w:val="en-GB" w:eastAsia="ja-JP"/>
        </w:rPr>
        <w:t xml:space="preserve"> At the second APT WTDC17 Preparatory meeting in Papua New Guinea, APT member countries </w:t>
      </w:r>
      <w:r>
        <w:rPr>
          <w:rFonts w:asciiTheme="minorHAnsi" w:eastAsia="MS Mincho" w:hAnsiTheme="minorHAnsi" w:cs="Times New Roman"/>
          <w:sz w:val="24"/>
          <w:szCs w:val="20"/>
          <w:lang w:val="en-GB" w:eastAsia="ja-JP"/>
        </w:rPr>
        <w:t>basically</w:t>
      </w:r>
      <w:r>
        <w:rPr>
          <w:rFonts w:asciiTheme="minorHAnsi" w:eastAsia="MS Mincho" w:hAnsiTheme="minorHAnsi" w:cs="Times New Roman" w:hint="eastAsia"/>
          <w:sz w:val="24"/>
          <w:szCs w:val="20"/>
          <w:lang w:val="en-GB" w:eastAsia="ja-JP"/>
        </w:rPr>
        <w:t xml:space="preserve"> agreed the principles, and APT invited comments and proposals for updating the principles.</w:t>
      </w:r>
    </w:p>
    <w:p w:rsidR="009929FA" w:rsidRPr="005A7A1F" w:rsidRDefault="009929FA" w:rsidP="00183811">
      <w:pPr>
        <w:pStyle w:val="PlainText"/>
        <w:spacing w:before="120"/>
        <w:rPr>
          <w:rFonts w:eastAsia="MS Mincho"/>
          <w:sz w:val="24"/>
          <w:szCs w:val="24"/>
          <w:lang w:eastAsia="ja-JP"/>
        </w:rPr>
      </w:pPr>
      <w:r w:rsidRPr="00271B47">
        <w:rPr>
          <w:rFonts w:asciiTheme="minorHAnsi" w:eastAsia="MS Mincho" w:hAnsiTheme="minorHAnsi" w:cs="Times New Roman"/>
          <w:sz w:val="24"/>
          <w:szCs w:val="20"/>
          <w:lang w:val="en-GB" w:eastAsia="en-US"/>
        </w:rPr>
        <w:t>This contribution proposes principles of ITU-D work organization based on the principles of ITU-T work organization which were agreed in APT members at the second APT-WTDC preparatory meeting in Papa New Guinea, February 2017.</w:t>
      </w:r>
      <w:r>
        <w:rPr>
          <w:sz w:val="24"/>
          <w:szCs w:val="24"/>
        </w:rPr>
        <w:t xml:space="preserve"> </w:t>
      </w:r>
      <w:r>
        <w:rPr>
          <w:rFonts w:eastAsia="MS Mincho" w:hint="eastAsia"/>
          <w:sz w:val="24"/>
          <w:szCs w:val="24"/>
          <w:lang w:eastAsia="ja-JP"/>
        </w:rPr>
        <w:t xml:space="preserve">Japan recommends to consider the proposed principles at the TSAG meeting for further consideration of </w:t>
      </w:r>
      <w:r>
        <w:rPr>
          <w:rFonts w:eastAsia="MS Mincho"/>
          <w:sz w:val="24"/>
          <w:szCs w:val="24"/>
          <w:lang w:eastAsia="ja-JP"/>
        </w:rPr>
        <w:t>future</w:t>
      </w:r>
      <w:r>
        <w:rPr>
          <w:rFonts w:eastAsia="MS Mincho" w:hint="eastAsia"/>
          <w:sz w:val="24"/>
          <w:szCs w:val="24"/>
          <w:lang w:eastAsia="ja-JP"/>
        </w:rPr>
        <w:t xml:space="preserve"> ITU-D work organization, which should be effective and efficiently.</w:t>
      </w:r>
    </w:p>
    <w:p w:rsidR="009929FA" w:rsidRDefault="009929FA" w:rsidP="00183811">
      <w:pPr>
        <w:pStyle w:val="ListParagraph"/>
        <w:keepNext/>
        <w:numPr>
          <w:ilvl w:val="0"/>
          <w:numId w:val="2"/>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b/>
          <w:bCs/>
          <w:color w:val="000000" w:themeColor="text1"/>
          <w:szCs w:val="24"/>
          <w:lang w:eastAsia="ko-KR"/>
        </w:rPr>
      </w:pPr>
      <w:r>
        <w:rPr>
          <w:rFonts w:eastAsia="MS Mincho" w:cs="Segoe UI" w:hint="eastAsia"/>
          <w:b/>
          <w:color w:val="000000" w:themeColor="text1"/>
          <w:szCs w:val="24"/>
          <w:lang w:eastAsia="ja-JP"/>
        </w:rPr>
        <w:lastRenderedPageBreak/>
        <w:t>Principle of work organization</w:t>
      </w:r>
    </w:p>
    <w:p w:rsidR="009929FA" w:rsidRDefault="009929FA" w:rsidP="00183811">
      <w:pPr>
        <w:pStyle w:val="NormalWeb"/>
        <w:shd w:val="clear" w:color="auto" w:fill="FFFFFF"/>
        <w:spacing w:before="120" w:beforeAutospacing="0" w:after="0" w:afterAutospacing="0"/>
      </w:pPr>
      <w:r w:rsidRPr="00DF7435">
        <w:rPr>
          <w:rFonts w:asciiTheme="minorHAnsi" w:hAnsiTheme="minorHAnsi"/>
          <w:color w:val="000000" w:themeColor="text1"/>
        </w:rPr>
        <w:t xml:space="preserve">In order to reconstruct ITU-D work organization, it is desired to establish the principles of work organization which should be agreed within </w:t>
      </w:r>
      <w:r>
        <w:rPr>
          <w:rFonts w:asciiTheme="minorHAnsi" w:hAnsiTheme="minorHAnsi" w:hint="eastAsia"/>
          <w:color w:val="000000" w:themeColor="text1"/>
          <w:lang w:eastAsia="ja-JP"/>
        </w:rPr>
        <w:t>member countries</w:t>
      </w:r>
      <w:r w:rsidRPr="00DF7435">
        <w:rPr>
          <w:rFonts w:asciiTheme="minorHAnsi" w:hAnsiTheme="minorHAnsi"/>
          <w:color w:val="000000" w:themeColor="text1"/>
        </w:rPr>
        <w:t>. The principles might be referred to the principles of ITU-T SG restructuring.</w:t>
      </w:r>
    </w:p>
    <w:p w:rsidR="009929FA" w:rsidRDefault="009929FA" w:rsidP="00183811">
      <w:pPr>
        <w:rPr>
          <w:lang w:val="en-US" w:eastAsia="ja-JP"/>
        </w:rPr>
      </w:pPr>
      <w:r>
        <w:rPr>
          <w:rFonts w:hint="eastAsia"/>
          <w:lang w:val="en-US" w:eastAsia="ja-JP"/>
        </w:rPr>
        <w:t>2</w:t>
      </w:r>
      <w:r w:rsidRPr="00DF7435">
        <w:rPr>
          <w:lang w:val="en-US" w:eastAsia="ja-JP"/>
        </w:rPr>
        <w:t>.1.</w:t>
      </w:r>
      <w:r w:rsidRPr="00DF7435">
        <w:rPr>
          <w:lang w:val="en-US" w:eastAsia="ja-JP"/>
        </w:rPr>
        <w:tab/>
        <w:t>Principles of SG restructuring</w:t>
      </w:r>
    </w:p>
    <w:p w:rsidR="009929FA" w:rsidRDefault="009929FA" w:rsidP="00183811">
      <w:pPr>
        <w:rPr>
          <w:lang w:val="en-US" w:eastAsia="ja-JP"/>
        </w:rPr>
      </w:pPr>
      <w:r w:rsidRPr="00DF7435">
        <w:rPr>
          <w:lang w:val="en-US" w:eastAsia="ja-JP"/>
        </w:rPr>
        <w:t xml:space="preserve">For ITU-T SG restructuring discussed in WTSA-16, the followings are the summarized set of restructuring principles which was discussed in ITU-T </w:t>
      </w:r>
      <w:proofErr w:type="spellStart"/>
      <w:r w:rsidRPr="00DF7435">
        <w:rPr>
          <w:lang w:val="en-US" w:eastAsia="ja-JP"/>
        </w:rPr>
        <w:t>RevCom</w:t>
      </w:r>
      <w:proofErr w:type="spellEnd"/>
      <w:r>
        <w:rPr>
          <w:rFonts w:hint="eastAsia"/>
          <w:lang w:val="en-US" w:eastAsia="ja-JP"/>
        </w:rPr>
        <w:t xml:space="preserve"> and TSAG</w:t>
      </w:r>
      <w:r w:rsidRPr="00DF7435">
        <w:rPr>
          <w:lang w:val="en-US" w:eastAsia="ja-JP"/>
        </w:rPr>
        <w:t>:</w:t>
      </w:r>
    </w:p>
    <w:p w:rsidR="009929FA" w:rsidRPr="004C4C56" w:rsidRDefault="009929FA" w:rsidP="00183811">
      <w:pPr>
        <w:ind w:leftChars="600" w:left="1440"/>
      </w:pPr>
      <w:r w:rsidRPr="004C4C56">
        <w:t>A: Optimized structure</w:t>
      </w:r>
    </w:p>
    <w:p w:rsidR="009929FA" w:rsidRPr="004C4C56" w:rsidRDefault="009929FA" w:rsidP="00183811">
      <w:pPr>
        <w:ind w:leftChars="600" w:left="1440"/>
      </w:pPr>
      <w:r w:rsidRPr="004C4C56">
        <w:t>B: Clear mandates</w:t>
      </w:r>
    </w:p>
    <w:p w:rsidR="009929FA" w:rsidRPr="004C4C56" w:rsidRDefault="009929FA" w:rsidP="00183811">
      <w:pPr>
        <w:ind w:leftChars="600" w:left="1440"/>
      </w:pPr>
      <w:r w:rsidRPr="004C4C56">
        <w:t>C: Enhanced coordination and cooperation</w:t>
      </w:r>
    </w:p>
    <w:p w:rsidR="009929FA" w:rsidRPr="004C4C56" w:rsidRDefault="009929FA" w:rsidP="00183811">
      <w:pPr>
        <w:ind w:leftChars="600" w:left="1440"/>
      </w:pPr>
      <w:r w:rsidRPr="004C4C56">
        <w:t>D: Cost-effective and attractive</w:t>
      </w:r>
    </w:p>
    <w:p w:rsidR="009929FA" w:rsidRPr="004C4C56" w:rsidRDefault="009929FA" w:rsidP="00183811">
      <w:pPr>
        <w:ind w:leftChars="600" w:left="1440"/>
      </w:pPr>
      <w:r w:rsidRPr="004C4C56">
        <w:t>E: Efficient and productive working methods</w:t>
      </w:r>
    </w:p>
    <w:p w:rsidR="009929FA" w:rsidRPr="004C4C56" w:rsidRDefault="009929FA" w:rsidP="00183811">
      <w:pPr>
        <w:ind w:leftChars="600" w:left="1440"/>
      </w:pPr>
      <w:r w:rsidRPr="004C4C56">
        <w:t>F: Timely addresses standardization needs</w:t>
      </w:r>
    </w:p>
    <w:p w:rsidR="009929FA" w:rsidRPr="004C4C56" w:rsidRDefault="009929FA" w:rsidP="00183811">
      <w:pPr>
        <w:ind w:leftChars="600" w:left="1440"/>
      </w:pPr>
      <w:r w:rsidRPr="004C4C56">
        <w:t>G: Assists in bridging the standardization gap</w:t>
      </w:r>
    </w:p>
    <w:p w:rsidR="009929FA" w:rsidRDefault="009929FA" w:rsidP="00183811">
      <w:pPr>
        <w:rPr>
          <w:lang w:val="en-US" w:eastAsia="ja-JP"/>
        </w:rPr>
      </w:pPr>
      <w:r w:rsidRPr="00DF7435">
        <w:rPr>
          <w:lang w:val="en-US" w:eastAsia="ja-JP"/>
        </w:rPr>
        <w:t>All of above principles can be adopted for consideration of ITU-D work organization.</w:t>
      </w:r>
    </w:p>
    <w:p w:rsidR="009929FA" w:rsidRPr="00CA0EA8" w:rsidRDefault="009929FA" w:rsidP="00183811">
      <w:pPr>
        <w:pStyle w:val="ListParagraph"/>
        <w:keepNext/>
        <w:numPr>
          <w:ilvl w:val="0"/>
          <w:numId w:val="2"/>
        </w:numPr>
        <w:tabs>
          <w:tab w:val="clear" w:pos="1134"/>
          <w:tab w:val="clear" w:pos="1871"/>
          <w:tab w:val="clear" w:pos="2268"/>
        </w:tabs>
        <w:overflowPunct/>
        <w:autoSpaceDE/>
        <w:autoSpaceDN/>
        <w:adjustRightInd/>
        <w:ind w:left="567" w:hanging="567"/>
        <w:contextualSpacing w:val="0"/>
        <w:textAlignment w:val="auto"/>
        <w:rPr>
          <w:b/>
          <w:bCs/>
          <w:szCs w:val="24"/>
        </w:rPr>
      </w:pPr>
      <w:r>
        <w:rPr>
          <w:rFonts w:eastAsia="MS Mincho" w:hint="eastAsia"/>
          <w:b/>
          <w:szCs w:val="24"/>
          <w:lang w:eastAsia="ja-JP"/>
        </w:rPr>
        <w:t>Proposals</w:t>
      </w:r>
    </w:p>
    <w:p w:rsidR="009929FA" w:rsidRDefault="009929FA" w:rsidP="00183811">
      <w:pPr>
        <w:tabs>
          <w:tab w:val="clear" w:pos="794"/>
          <w:tab w:val="clear" w:pos="1191"/>
          <w:tab w:val="clear" w:pos="1588"/>
          <w:tab w:val="clear" w:pos="1985"/>
          <w:tab w:val="left" w:pos="567"/>
        </w:tabs>
        <w:rPr>
          <w:rFonts w:ascii="Calibri" w:hAnsi="Calibri"/>
          <w:color w:val="000000" w:themeColor="text1"/>
          <w:szCs w:val="24"/>
          <w:lang w:val="en-US" w:eastAsia="ja-JP"/>
        </w:rPr>
      </w:pPr>
      <w:r w:rsidRPr="004C4C56">
        <w:rPr>
          <w:rFonts w:ascii="Calibri" w:hAnsi="Calibri"/>
          <w:color w:val="000000" w:themeColor="text1"/>
          <w:szCs w:val="24"/>
          <w:lang w:val="en-US"/>
        </w:rPr>
        <w:t xml:space="preserve">This </w:t>
      </w:r>
      <w:r>
        <w:rPr>
          <w:rFonts w:ascii="Calibri" w:hAnsi="Calibri" w:hint="eastAsia"/>
          <w:color w:val="000000" w:themeColor="text1"/>
          <w:szCs w:val="24"/>
          <w:lang w:val="en-US" w:eastAsia="ja-JP"/>
        </w:rPr>
        <w:t>c</w:t>
      </w:r>
      <w:r w:rsidRPr="004C4C56">
        <w:rPr>
          <w:rFonts w:ascii="Calibri" w:hAnsi="Calibri"/>
          <w:color w:val="000000" w:themeColor="text1"/>
          <w:szCs w:val="24"/>
          <w:lang w:val="en-US"/>
        </w:rPr>
        <w:t xml:space="preserve">ontribution proposes </w:t>
      </w:r>
      <w:r>
        <w:rPr>
          <w:rFonts w:ascii="Calibri" w:hAnsi="Calibri" w:hint="eastAsia"/>
          <w:color w:val="000000" w:themeColor="text1"/>
          <w:szCs w:val="24"/>
          <w:lang w:val="en-US" w:eastAsia="ja-JP"/>
        </w:rPr>
        <w:t>to consider basic</w:t>
      </w:r>
      <w:r w:rsidRPr="004C4C56">
        <w:rPr>
          <w:rFonts w:ascii="Calibri" w:hAnsi="Calibri"/>
          <w:color w:val="000000" w:themeColor="text1"/>
          <w:szCs w:val="24"/>
          <w:lang w:val="en-US"/>
        </w:rPr>
        <w:t xml:space="preserve"> principle of ITU-D work organization</w:t>
      </w:r>
      <w:r>
        <w:rPr>
          <w:rFonts w:ascii="Calibri" w:hAnsi="Calibri" w:hint="eastAsia"/>
          <w:color w:val="000000" w:themeColor="text1"/>
          <w:szCs w:val="24"/>
          <w:lang w:val="en-US" w:eastAsia="ja-JP"/>
        </w:rPr>
        <w:t xml:space="preserve">, which were agreed in </w:t>
      </w:r>
      <w:r w:rsidRPr="004C4C56">
        <w:rPr>
          <w:rFonts w:ascii="Calibri" w:hAnsi="Calibri"/>
          <w:color w:val="000000" w:themeColor="text1"/>
          <w:szCs w:val="24"/>
          <w:lang w:val="en-US"/>
        </w:rPr>
        <w:t>APT</w:t>
      </w:r>
      <w:r>
        <w:rPr>
          <w:rFonts w:ascii="Calibri" w:hAnsi="Calibri" w:hint="eastAsia"/>
          <w:color w:val="000000" w:themeColor="text1"/>
          <w:szCs w:val="24"/>
          <w:lang w:val="en-US" w:eastAsia="ja-JP"/>
        </w:rPr>
        <w:t xml:space="preserve"> WTDC17 preparatory meeting</w:t>
      </w:r>
      <w:r w:rsidRPr="004C4C56">
        <w:rPr>
          <w:rFonts w:ascii="Calibri" w:hAnsi="Calibri"/>
          <w:color w:val="000000" w:themeColor="text1"/>
          <w:szCs w:val="24"/>
          <w:lang w:val="en-US"/>
        </w:rPr>
        <w:t>, and also proposes to consider actions.</w:t>
      </w:r>
    </w:p>
    <w:p w:rsidR="009929FA" w:rsidRPr="00183811" w:rsidRDefault="009929FA" w:rsidP="00183811">
      <w:pPr>
        <w:tabs>
          <w:tab w:val="clear" w:pos="794"/>
          <w:tab w:val="clear" w:pos="1191"/>
          <w:tab w:val="clear" w:pos="1588"/>
          <w:tab w:val="clear" w:pos="1985"/>
          <w:tab w:val="left" w:pos="567"/>
        </w:tabs>
        <w:rPr>
          <w:rFonts w:ascii="Calibri" w:hAnsi="Calibri"/>
          <w:b/>
          <w:bCs/>
          <w:color w:val="000000" w:themeColor="text1"/>
          <w:szCs w:val="24"/>
          <w:lang w:val="en-US" w:eastAsia="ja-JP"/>
        </w:rPr>
      </w:pPr>
      <w:r w:rsidRPr="00183811">
        <w:rPr>
          <w:rFonts w:ascii="Calibri" w:hAnsi="Calibri" w:hint="eastAsia"/>
          <w:b/>
          <w:bCs/>
          <w:color w:val="000000" w:themeColor="text1"/>
          <w:szCs w:val="24"/>
          <w:lang w:val="en-US" w:eastAsia="ja-JP"/>
        </w:rPr>
        <w:t xml:space="preserve">3.1 </w:t>
      </w:r>
      <w:r w:rsidR="00183811" w:rsidRPr="00183811">
        <w:rPr>
          <w:rFonts w:ascii="Calibri" w:hAnsi="Calibri"/>
          <w:b/>
          <w:bCs/>
          <w:color w:val="000000" w:themeColor="text1"/>
          <w:szCs w:val="24"/>
          <w:lang w:val="en-US" w:eastAsia="ja-JP"/>
        </w:rPr>
        <w:tab/>
      </w:r>
      <w:r w:rsidRPr="00183811">
        <w:rPr>
          <w:rFonts w:ascii="Calibri" w:hAnsi="Calibri"/>
          <w:b/>
          <w:bCs/>
          <w:color w:val="000000" w:themeColor="text1"/>
          <w:szCs w:val="24"/>
          <w:lang w:val="en-US" w:eastAsia="ja-JP"/>
        </w:rPr>
        <w:t>Proposed principles of ITU-D work organization</w:t>
      </w:r>
    </w:p>
    <w:p w:rsidR="009929FA" w:rsidRPr="00E802F9" w:rsidRDefault="009929FA" w:rsidP="00183811">
      <w:pPr>
        <w:tabs>
          <w:tab w:val="clear" w:pos="794"/>
          <w:tab w:val="clear" w:pos="1191"/>
          <w:tab w:val="clear" w:pos="1588"/>
          <w:tab w:val="clear" w:pos="1985"/>
          <w:tab w:val="left" w:pos="567"/>
        </w:tabs>
        <w:rPr>
          <w:rFonts w:ascii="Calibri" w:hAnsi="Calibri"/>
          <w:color w:val="000000" w:themeColor="text1"/>
          <w:szCs w:val="24"/>
          <w:lang w:eastAsia="ja-JP"/>
        </w:rPr>
      </w:pPr>
      <w:r w:rsidRPr="004C4C56">
        <w:rPr>
          <w:rFonts w:ascii="Calibri" w:hAnsi="Calibri"/>
          <w:color w:val="000000" w:themeColor="text1"/>
          <w:szCs w:val="24"/>
          <w:lang w:eastAsia="ja-JP"/>
        </w:rPr>
        <w:t xml:space="preserve">This contribution proposes to adopt the principles of ITU-T SG structuring to the principle of ITU-D work organization to be considered in WTDC-17. In addition, it is important to align </w:t>
      </w:r>
      <w:r>
        <w:rPr>
          <w:rFonts w:ascii="Calibri" w:hAnsi="Calibri" w:hint="eastAsia"/>
          <w:color w:val="000000" w:themeColor="text1"/>
          <w:szCs w:val="24"/>
          <w:lang w:eastAsia="ja-JP"/>
        </w:rPr>
        <w:t>regional initiatives</w:t>
      </w:r>
      <w:r w:rsidRPr="004C4C56">
        <w:rPr>
          <w:rFonts w:ascii="Calibri" w:hAnsi="Calibri"/>
          <w:color w:val="000000" w:themeColor="text1"/>
          <w:szCs w:val="24"/>
          <w:lang w:eastAsia="ja-JP"/>
        </w:rPr>
        <w:t>.</w:t>
      </w:r>
      <w:r>
        <w:rPr>
          <w:rFonts w:ascii="Calibri" w:hAnsi="Calibri" w:hint="eastAsia"/>
          <w:color w:val="000000" w:themeColor="text1"/>
          <w:szCs w:val="24"/>
          <w:lang w:eastAsia="ja-JP"/>
        </w:rPr>
        <w:t xml:space="preserve"> </w:t>
      </w:r>
      <w:r w:rsidRPr="00DF7435">
        <w:rPr>
          <w:lang w:val="en-US" w:eastAsia="ja-JP"/>
        </w:rPr>
        <w:t xml:space="preserve">The agreed principles are described in </w:t>
      </w:r>
      <w:r>
        <w:rPr>
          <w:rFonts w:hint="eastAsia"/>
          <w:lang w:val="en-US" w:eastAsia="ja-JP"/>
        </w:rPr>
        <w:t>A</w:t>
      </w:r>
      <w:r>
        <w:rPr>
          <w:lang w:val="en-US" w:eastAsia="ja-JP"/>
        </w:rPr>
        <w:t>nnex</w:t>
      </w:r>
      <w:r w:rsidRPr="00DF7435">
        <w:rPr>
          <w:lang w:val="en-US" w:eastAsia="ja-JP"/>
        </w:rPr>
        <w:t>.</w:t>
      </w:r>
    </w:p>
    <w:p w:rsidR="009929FA" w:rsidRPr="00183811" w:rsidRDefault="009929FA" w:rsidP="00183811">
      <w:pPr>
        <w:tabs>
          <w:tab w:val="clear" w:pos="794"/>
          <w:tab w:val="clear" w:pos="1191"/>
          <w:tab w:val="clear" w:pos="1588"/>
          <w:tab w:val="clear" w:pos="1985"/>
          <w:tab w:val="left" w:pos="567"/>
        </w:tabs>
        <w:rPr>
          <w:rFonts w:ascii="Calibri" w:hAnsi="Calibri"/>
          <w:b/>
          <w:bCs/>
          <w:color w:val="000000" w:themeColor="text1"/>
          <w:szCs w:val="24"/>
          <w:lang w:eastAsia="ja-JP"/>
        </w:rPr>
      </w:pPr>
      <w:r w:rsidRPr="00183811">
        <w:rPr>
          <w:rFonts w:ascii="Calibri" w:hAnsi="Calibri" w:hint="eastAsia"/>
          <w:b/>
          <w:bCs/>
          <w:color w:val="000000" w:themeColor="text1"/>
          <w:szCs w:val="24"/>
          <w:lang w:eastAsia="ja-JP"/>
        </w:rPr>
        <w:t>3</w:t>
      </w:r>
      <w:r w:rsidRPr="00183811">
        <w:rPr>
          <w:rFonts w:ascii="Calibri" w:hAnsi="Calibri"/>
          <w:b/>
          <w:bCs/>
          <w:color w:val="000000" w:themeColor="text1"/>
          <w:szCs w:val="24"/>
          <w:lang w:eastAsia="ja-JP"/>
        </w:rPr>
        <w:t xml:space="preserve">.2 </w:t>
      </w:r>
      <w:r w:rsidR="00183811" w:rsidRPr="00183811">
        <w:rPr>
          <w:rFonts w:ascii="Calibri" w:hAnsi="Calibri"/>
          <w:b/>
          <w:bCs/>
          <w:color w:val="000000" w:themeColor="text1"/>
          <w:szCs w:val="24"/>
          <w:lang w:eastAsia="ja-JP"/>
        </w:rPr>
        <w:tab/>
      </w:r>
      <w:r w:rsidRPr="00183811">
        <w:rPr>
          <w:rFonts w:ascii="Calibri" w:hAnsi="Calibri"/>
          <w:b/>
          <w:bCs/>
          <w:color w:val="000000" w:themeColor="text1"/>
          <w:szCs w:val="24"/>
          <w:lang w:eastAsia="ja-JP"/>
        </w:rPr>
        <w:t xml:space="preserve">Proposed actions for </w:t>
      </w:r>
      <w:r w:rsidRPr="00183811">
        <w:rPr>
          <w:rFonts w:ascii="Calibri" w:hAnsi="Calibri" w:hint="eastAsia"/>
          <w:b/>
          <w:bCs/>
          <w:color w:val="000000" w:themeColor="text1"/>
          <w:szCs w:val="24"/>
          <w:lang w:eastAsia="ja-JP"/>
        </w:rPr>
        <w:t>TDAG</w:t>
      </w:r>
    </w:p>
    <w:p w:rsidR="009929FA" w:rsidRDefault="009929FA" w:rsidP="00183811">
      <w:pPr>
        <w:tabs>
          <w:tab w:val="clear" w:pos="794"/>
          <w:tab w:val="clear" w:pos="1191"/>
          <w:tab w:val="clear" w:pos="1588"/>
          <w:tab w:val="clear" w:pos="1985"/>
          <w:tab w:val="left" w:pos="567"/>
        </w:tabs>
        <w:rPr>
          <w:rFonts w:ascii="Calibri" w:hAnsi="Calibri"/>
          <w:color w:val="000000" w:themeColor="text1"/>
          <w:szCs w:val="24"/>
          <w:lang w:val="en-US" w:eastAsia="ja-JP"/>
        </w:rPr>
      </w:pPr>
      <w:r w:rsidRPr="004C4C56">
        <w:rPr>
          <w:rFonts w:ascii="Calibri" w:hAnsi="Calibri"/>
          <w:color w:val="000000" w:themeColor="text1"/>
          <w:szCs w:val="24"/>
          <w:lang w:val="en-US" w:eastAsia="ja-JP"/>
        </w:rPr>
        <w:t xml:space="preserve">This contribution also proposes the following actions for </w:t>
      </w:r>
      <w:r>
        <w:rPr>
          <w:rFonts w:ascii="Calibri" w:hAnsi="Calibri" w:hint="eastAsia"/>
          <w:color w:val="000000" w:themeColor="text1"/>
          <w:szCs w:val="24"/>
          <w:lang w:val="en-US" w:eastAsia="ja-JP"/>
        </w:rPr>
        <w:t>TDAG</w:t>
      </w:r>
      <w:r w:rsidRPr="004C4C56">
        <w:rPr>
          <w:rFonts w:ascii="Calibri" w:hAnsi="Calibri"/>
          <w:color w:val="000000" w:themeColor="text1"/>
          <w:szCs w:val="24"/>
          <w:lang w:val="en-US" w:eastAsia="ja-JP"/>
        </w:rPr>
        <w:t xml:space="preserve"> to emphasize the effectiveness on ITU-D work. By summarizing the results, </w:t>
      </w:r>
      <w:r>
        <w:rPr>
          <w:rFonts w:ascii="Calibri" w:hAnsi="Calibri" w:hint="eastAsia"/>
          <w:color w:val="000000" w:themeColor="text1"/>
          <w:szCs w:val="24"/>
          <w:lang w:val="en-US" w:eastAsia="ja-JP"/>
        </w:rPr>
        <w:t>TDAG</w:t>
      </w:r>
      <w:r w:rsidRPr="004C4C56">
        <w:rPr>
          <w:rFonts w:ascii="Calibri" w:hAnsi="Calibri"/>
          <w:color w:val="000000" w:themeColor="text1"/>
          <w:szCs w:val="24"/>
          <w:lang w:val="en-US" w:eastAsia="ja-JP"/>
        </w:rPr>
        <w:t xml:space="preserve"> proposals may be produced for WTDC-17.</w:t>
      </w:r>
    </w:p>
    <w:p w:rsidR="009929FA" w:rsidRDefault="009929FA" w:rsidP="00183811">
      <w:pPr>
        <w:tabs>
          <w:tab w:val="left" w:pos="567"/>
        </w:tabs>
        <w:rPr>
          <w:rFonts w:ascii="Calibri" w:hAnsi="Calibri"/>
          <w:color w:val="000000" w:themeColor="text1"/>
          <w:szCs w:val="24"/>
          <w:lang w:eastAsia="ja-JP"/>
        </w:rPr>
      </w:pPr>
      <w:r>
        <w:rPr>
          <w:rFonts w:ascii="Calibri" w:hAnsi="Calibri" w:hint="eastAsia"/>
          <w:color w:val="000000" w:themeColor="text1"/>
          <w:szCs w:val="24"/>
          <w:lang w:eastAsia="ja-JP"/>
        </w:rPr>
        <w:t>This contribution proposes that TDAG should:</w:t>
      </w:r>
    </w:p>
    <w:p w:rsidR="009929FA" w:rsidRDefault="009929FA" w:rsidP="00183811">
      <w:pPr>
        <w:tabs>
          <w:tab w:val="left" w:pos="567"/>
        </w:tabs>
        <w:rPr>
          <w:rFonts w:ascii="Calibri" w:hAnsi="Calibri"/>
          <w:color w:val="000000" w:themeColor="text1"/>
          <w:szCs w:val="24"/>
          <w:lang w:eastAsia="ja-JP"/>
        </w:rPr>
      </w:pPr>
      <w:r>
        <w:rPr>
          <w:rFonts w:ascii="Calibri" w:hAnsi="Calibri" w:hint="eastAsia"/>
          <w:color w:val="000000" w:themeColor="text1"/>
          <w:szCs w:val="24"/>
          <w:lang w:eastAsia="ja-JP"/>
        </w:rPr>
        <w:t xml:space="preserve">1) </w:t>
      </w:r>
      <w:r w:rsidR="00183811">
        <w:rPr>
          <w:rFonts w:ascii="Calibri" w:hAnsi="Calibri"/>
          <w:color w:val="000000" w:themeColor="text1"/>
          <w:szCs w:val="24"/>
          <w:lang w:eastAsia="ja-JP"/>
        </w:rPr>
        <w:tab/>
      </w:r>
      <w:proofErr w:type="gramStart"/>
      <w:r>
        <w:rPr>
          <w:rFonts w:ascii="Calibri" w:hAnsi="Calibri" w:hint="eastAsia"/>
          <w:color w:val="000000" w:themeColor="text1"/>
          <w:szCs w:val="24"/>
          <w:lang w:eastAsia="ja-JP"/>
        </w:rPr>
        <w:t>discuss</w:t>
      </w:r>
      <w:proofErr w:type="gramEnd"/>
      <w:r>
        <w:rPr>
          <w:rFonts w:ascii="Calibri" w:hAnsi="Calibri" w:hint="eastAsia"/>
          <w:color w:val="000000" w:themeColor="text1"/>
          <w:szCs w:val="24"/>
          <w:lang w:eastAsia="ja-JP"/>
        </w:rPr>
        <w:t xml:space="preserve"> common views on the principles for ITU-D work organization,</w:t>
      </w:r>
    </w:p>
    <w:p w:rsidR="009929FA" w:rsidRDefault="009929FA" w:rsidP="00183811">
      <w:pPr>
        <w:tabs>
          <w:tab w:val="left" w:pos="567"/>
        </w:tabs>
        <w:rPr>
          <w:rFonts w:ascii="Calibri" w:hAnsi="Calibri"/>
          <w:color w:val="000000" w:themeColor="text1"/>
          <w:szCs w:val="24"/>
          <w:lang w:eastAsia="ja-JP"/>
        </w:rPr>
      </w:pPr>
      <w:r>
        <w:rPr>
          <w:rFonts w:ascii="Calibri" w:hAnsi="Calibri" w:hint="eastAsia"/>
          <w:color w:val="000000" w:themeColor="text1"/>
          <w:szCs w:val="24"/>
          <w:lang w:eastAsia="ja-JP"/>
        </w:rPr>
        <w:t xml:space="preserve">2) </w:t>
      </w:r>
      <w:r w:rsidR="00183811">
        <w:rPr>
          <w:rFonts w:ascii="Calibri" w:hAnsi="Calibri"/>
          <w:color w:val="000000" w:themeColor="text1"/>
          <w:szCs w:val="24"/>
          <w:lang w:eastAsia="ja-JP"/>
        </w:rPr>
        <w:tab/>
      </w:r>
      <w:proofErr w:type="gramStart"/>
      <w:r>
        <w:rPr>
          <w:rFonts w:ascii="Calibri" w:hAnsi="Calibri" w:hint="eastAsia"/>
          <w:color w:val="000000" w:themeColor="text1"/>
          <w:szCs w:val="24"/>
          <w:lang w:eastAsia="ja-JP"/>
        </w:rPr>
        <w:t>establish</w:t>
      </w:r>
      <w:proofErr w:type="gramEnd"/>
      <w:r>
        <w:rPr>
          <w:rFonts w:ascii="Calibri" w:hAnsi="Calibri" w:hint="eastAsia"/>
          <w:color w:val="000000" w:themeColor="text1"/>
          <w:szCs w:val="24"/>
          <w:lang w:eastAsia="ja-JP"/>
        </w:rPr>
        <w:t xml:space="preserve"> the principles by </w:t>
      </w:r>
      <w:r>
        <w:rPr>
          <w:rFonts w:ascii="Calibri" w:hAnsi="Calibri"/>
          <w:color w:val="000000" w:themeColor="text1"/>
          <w:szCs w:val="24"/>
          <w:lang w:eastAsia="ja-JP"/>
        </w:rPr>
        <w:t>consider</w:t>
      </w:r>
      <w:r>
        <w:rPr>
          <w:rFonts w:ascii="Calibri" w:hAnsi="Calibri" w:hint="eastAsia"/>
          <w:color w:val="000000" w:themeColor="text1"/>
          <w:szCs w:val="24"/>
          <w:lang w:eastAsia="ja-JP"/>
        </w:rPr>
        <w:t>ing the principles agreed by APT region, and</w:t>
      </w:r>
    </w:p>
    <w:p w:rsidR="009929FA" w:rsidRPr="00CE2755" w:rsidRDefault="009929FA" w:rsidP="00183811">
      <w:pPr>
        <w:tabs>
          <w:tab w:val="left" w:pos="567"/>
        </w:tabs>
        <w:rPr>
          <w:rFonts w:ascii="Calibri" w:hAnsi="Calibri"/>
          <w:color w:val="000000" w:themeColor="text1"/>
          <w:szCs w:val="24"/>
          <w:lang w:eastAsia="ja-JP"/>
        </w:rPr>
      </w:pPr>
      <w:r>
        <w:rPr>
          <w:rFonts w:ascii="Calibri" w:hAnsi="Calibri" w:hint="eastAsia"/>
          <w:color w:val="000000" w:themeColor="text1"/>
          <w:szCs w:val="24"/>
          <w:lang w:eastAsia="ja-JP"/>
        </w:rPr>
        <w:t xml:space="preserve">3) </w:t>
      </w:r>
      <w:r w:rsidR="00183811">
        <w:rPr>
          <w:rFonts w:ascii="Calibri" w:hAnsi="Calibri"/>
          <w:color w:val="000000" w:themeColor="text1"/>
          <w:szCs w:val="24"/>
          <w:lang w:eastAsia="ja-JP"/>
        </w:rPr>
        <w:tab/>
      </w:r>
      <w:proofErr w:type="gramStart"/>
      <w:r>
        <w:rPr>
          <w:rFonts w:ascii="Calibri" w:hAnsi="Calibri"/>
          <w:color w:val="000000" w:themeColor="text1"/>
          <w:szCs w:val="24"/>
          <w:lang w:eastAsia="ja-JP"/>
        </w:rPr>
        <w:t>include</w:t>
      </w:r>
      <w:proofErr w:type="gramEnd"/>
      <w:r>
        <w:rPr>
          <w:rFonts w:ascii="Calibri" w:hAnsi="Calibri" w:hint="eastAsia"/>
          <w:color w:val="000000" w:themeColor="text1"/>
          <w:szCs w:val="24"/>
          <w:lang w:eastAsia="ja-JP"/>
        </w:rPr>
        <w:t xml:space="preserve"> the agreed principles into the TDAG report submitted to WTDC-17.</w:t>
      </w:r>
    </w:p>
    <w:p w:rsidR="009929FA" w:rsidRDefault="009929FA" w:rsidP="009929FA">
      <w:pPr>
        <w:tabs>
          <w:tab w:val="clear" w:pos="794"/>
          <w:tab w:val="clear" w:pos="1191"/>
          <w:tab w:val="clear" w:pos="1588"/>
          <w:tab w:val="clear" w:pos="1985"/>
        </w:tabs>
        <w:overflowPunct/>
        <w:autoSpaceDE/>
        <w:autoSpaceDN/>
        <w:adjustRightInd/>
        <w:spacing w:before="0"/>
        <w:textAlignment w:val="auto"/>
        <w:rPr>
          <w:rFonts w:ascii="Calibri" w:hAnsi="Calibri"/>
          <w:color w:val="000000" w:themeColor="text1"/>
          <w:szCs w:val="24"/>
          <w:lang w:eastAsia="ja-JP"/>
        </w:rPr>
      </w:pPr>
      <w:r>
        <w:rPr>
          <w:rFonts w:ascii="Calibri" w:hAnsi="Calibri"/>
          <w:color w:val="000000" w:themeColor="text1"/>
          <w:szCs w:val="24"/>
          <w:lang w:eastAsia="ja-JP"/>
        </w:rPr>
        <w:br w:type="page"/>
      </w:r>
    </w:p>
    <w:p w:rsidR="009929FA" w:rsidRDefault="009929FA" w:rsidP="009929FA">
      <w:pPr>
        <w:pStyle w:val="Heading2"/>
        <w:jc w:val="center"/>
        <w:rPr>
          <w:lang w:eastAsia="ja-JP"/>
        </w:rPr>
      </w:pPr>
      <w:r>
        <w:rPr>
          <w:rFonts w:hint="eastAsia"/>
          <w:lang w:eastAsia="ja-JP"/>
        </w:rPr>
        <w:lastRenderedPageBreak/>
        <w:t>Annex</w:t>
      </w:r>
    </w:p>
    <w:p w:rsidR="009929FA" w:rsidRPr="004C4C56" w:rsidRDefault="009929FA" w:rsidP="009929FA">
      <w:pPr>
        <w:tabs>
          <w:tab w:val="left" w:pos="567"/>
        </w:tabs>
        <w:jc w:val="center"/>
        <w:rPr>
          <w:rFonts w:ascii="Calibri" w:hAnsi="Calibri"/>
          <w:b/>
          <w:color w:val="000000" w:themeColor="text1"/>
          <w:szCs w:val="24"/>
          <w:lang w:eastAsia="ja-JP"/>
        </w:rPr>
      </w:pPr>
      <w:r w:rsidRPr="004C4C56">
        <w:rPr>
          <w:rFonts w:ascii="Calibri" w:hAnsi="Calibri"/>
          <w:b/>
          <w:color w:val="000000" w:themeColor="text1"/>
          <w:szCs w:val="24"/>
          <w:lang w:eastAsia="ja-JP"/>
        </w:rPr>
        <w:t xml:space="preserve">Draft guiding principles for restructuring ITU-D study groups, working method, </w:t>
      </w:r>
      <w:r w:rsidR="00B54C96">
        <w:rPr>
          <w:rFonts w:ascii="Calibri" w:hAnsi="Calibri"/>
          <w:b/>
          <w:color w:val="000000" w:themeColor="text1"/>
          <w:szCs w:val="24"/>
          <w:lang w:eastAsia="ja-JP"/>
        </w:rPr>
        <w:br/>
      </w:r>
      <w:r w:rsidRPr="004C4C56">
        <w:rPr>
          <w:rFonts w:ascii="Calibri" w:hAnsi="Calibri"/>
          <w:b/>
          <w:color w:val="000000" w:themeColor="text1"/>
          <w:szCs w:val="24"/>
          <w:lang w:eastAsia="ja-JP"/>
        </w:rPr>
        <w:t>and study questions</w:t>
      </w:r>
    </w:p>
    <w:p w:rsidR="009929FA" w:rsidRPr="004C4C56" w:rsidRDefault="009929FA" w:rsidP="009929FA">
      <w:pPr>
        <w:tabs>
          <w:tab w:val="left" w:pos="567"/>
        </w:tabs>
        <w:rPr>
          <w:rFonts w:ascii="Calibri" w:hAnsi="Calibri"/>
          <w:color w:val="000000" w:themeColor="text1"/>
          <w:szCs w:val="24"/>
          <w:lang w:eastAsia="ja-JP"/>
        </w:rPr>
      </w:pPr>
      <w:r w:rsidRPr="004C4C56">
        <w:rPr>
          <w:rFonts w:ascii="Calibri" w:hAnsi="Calibri"/>
          <w:color w:val="000000" w:themeColor="text1"/>
          <w:szCs w:val="24"/>
          <w:lang w:eastAsia="ja-JP"/>
        </w:rPr>
        <w:t xml:space="preserve">This </w:t>
      </w:r>
      <w:r>
        <w:rPr>
          <w:rFonts w:ascii="Calibri" w:hAnsi="Calibri" w:hint="eastAsia"/>
          <w:color w:val="000000" w:themeColor="text1"/>
          <w:szCs w:val="24"/>
          <w:lang w:eastAsia="ja-JP"/>
        </w:rPr>
        <w:t>Annex</w:t>
      </w:r>
      <w:r w:rsidRPr="004C4C56">
        <w:rPr>
          <w:rFonts w:ascii="Calibri" w:hAnsi="Calibri"/>
          <w:color w:val="000000" w:themeColor="text1"/>
          <w:szCs w:val="24"/>
          <w:lang w:eastAsia="ja-JP"/>
        </w:rPr>
        <w:t xml:space="preserve"> provides draft guiding principles in Table 1 below for restructuring ITU-D study groups, working method, and study questions for 2017-2021, </w:t>
      </w:r>
      <w:r>
        <w:rPr>
          <w:rFonts w:ascii="Calibri" w:hAnsi="Calibri" w:hint="eastAsia"/>
          <w:color w:val="000000" w:themeColor="text1"/>
          <w:szCs w:val="24"/>
          <w:lang w:eastAsia="ja-JP"/>
        </w:rPr>
        <w:t>agreed on the second APT WTDC preparatory meeting at Papua New Guinea in February 2017.</w:t>
      </w:r>
      <w:r w:rsidRPr="004C4C56">
        <w:rPr>
          <w:rFonts w:ascii="Calibri" w:hAnsi="Calibri"/>
          <w:color w:val="000000" w:themeColor="text1"/>
          <w:szCs w:val="24"/>
          <w:lang w:eastAsia="ja-JP"/>
        </w:rPr>
        <w:t xml:space="preserve"> </w:t>
      </w:r>
    </w:p>
    <w:p w:rsidR="009929FA" w:rsidRDefault="009929FA" w:rsidP="00B54C96">
      <w:pPr>
        <w:tabs>
          <w:tab w:val="left" w:pos="567"/>
        </w:tabs>
        <w:spacing w:after="120"/>
        <w:rPr>
          <w:rFonts w:ascii="Calibri" w:hAnsi="Calibri"/>
          <w:color w:val="000000" w:themeColor="text1"/>
          <w:szCs w:val="24"/>
          <w:lang w:eastAsia="ja-JP"/>
        </w:rPr>
      </w:pPr>
      <w:r w:rsidRPr="004C4C56">
        <w:rPr>
          <w:rFonts w:ascii="Calibri" w:hAnsi="Calibri"/>
          <w:color w:val="000000" w:themeColor="text1"/>
          <w:szCs w:val="24"/>
          <w:lang w:eastAsia="ja-JP"/>
        </w:rPr>
        <w:t>Table 1. Draft guiding principles for restructuring ITU-D study groups, working method, and study questions</w:t>
      </w:r>
    </w:p>
    <w:tbl>
      <w:tblPr>
        <w:tblStyle w:val="TableGrid"/>
        <w:tblW w:w="5000" w:type="pct"/>
        <w:tblLook w:val="04A0" w:firstRow="1" w:lastRow="0" w:firstColumn="1" w:lastColumn="0" w:noHBand="0" w:noVBand="1"/>
      </w:tblPr>
      <w:tblGrid>
        <w:gridCol w:w="2733"/>
        <w:gridCol w:w="6896"/>
      </w:tblGrid>
      <w:tr w:rsidR="009929FA" w:rsidRPr="00497845" w:rsidTr="00A8273F">
        <w:trPr>
          <w:tblHeader/>
        </w:trPr>
        <w:tc>
          <w:tcPr>
            <w:tcW w:w="786" w:type="pct"/>
          </w:tcPr>
          <w:p w:rsidR="009929FA" w:rsidRPr="00F75AD3" w:rsidRDefault="009929FA" w:rsidP="00A8273F">
            <w:pPr>
              <w:pStyle w:val="Tablehead"/>
              <w:rPr>
                <w:b w:val="0"/>
              </w:rPr>
            </w:pPr>
            <w:r>
              <w:t>P</w:t>
            </w:r>
            <w:r w:rsidRPr="00F75AD3">
              <w:t>rinciples</w:t>
            </w:r>
          </w:p>
        </w:tc>
        <w:tc>
          <w:tcPr>
            <w:tcW w:w="1983" w:type="pct"/>
          </w:tcPr>
          <w:p w:rsidR="009929FA" w:rsidRPr="00497845" w:rsidRDefault="009929FA" w:rsidP="00A8273F">
            <w:pPr>
              <w:pStyle w:val="Tablehead"/>
            </w:pPr>
            <w:r>
              <w:t>Description</w:t>
            </w:r>
          </w:p>
        </w:tc>
      </w:tr>
      <w:tr w:rsidR="009929FA" w:rsidRPr="00544830" w:rsidTr="00A8273F">
        <w:trPr>
          <w:trHeight w:val="309"/>
        </w:trPr>
        <w:tc>
          <w:tcPr>
            <w:tcW w:w="786" w:type="pct"/>
            <w:vMerge w:val="restart"/>
          </w:tcPr>
          <w:p w:rsidR="009929FA" w:rsidRPr="00C44A8D" w:rsidRDefault="009929FA" w:rsidP="00A8273F">
            <w:pPr>
              <w:pStyle w:val="Tabletext"/>
            </w:pPr>
            <w:r w:rsidRPr="00C44A8D">
              <w:t>A: Optimized structure</w:t>
            </w:r>
          </w:p>
        </w:tc>
        <w:tc>
          <w:tcPr>
            <w:tcW w:w="1983" w:type="pct"/>
            <w:vMerge w:val="restart"/>
          </w:tcPr>
          <w:p w:rsidR="009929FA" w:rsidRPr="00544830"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544830">
              <w:t>The</w:t>
            </w:r>
            <w:r>
              <w:t xml:space="preserve">re should be </w:t>
            </w:r>
            <w:r w:rsidRPr="009A521A">
              <w:t>a sufficient number of study groups</w:t>
            </w:r>
            <w:r>
              <w:t xml:space="preserve">, each with a </w:t>
            </w:r>
            <w:r w:rsidRPr="00544830">
              <w:t>manageable size and scope</w:t>
            </w:r>
            <w:r>
              <w:t>;</w:t>
            </w:r>
          </w:p>
          <w:p w:rsidR="009929FA" w:rsidRPr="00544830"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544830">
              <w:t>Attract participation of outstanding experts from existing and new members</w:t>
            </w:r>
            <w:r>
              <w:t>;</w:t>
            </w:r>
          </w:p>
          <w:p w:rsidR="009929FA" w:rsidRPr="00544830"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 xml:space="preserve">Attract a </w:t>
            </w:r>
            <w:r w:rsidRPr="00544830">
              <w:t>criti</w:t>
            </w:r>
            <w:r>
              <w:t>cal mass while the following points are covered to the extent possible</w:t>
            </w:r>
            <w:proofErr w:type="gramStart"/>
            <w:r>
              <w:t>:</w:t>
            </w:r>
            <w:proofErr w:type="gramEnd"/>
            <w:r>
              <w:br/>
              <w:t>- D</w:t>
            </w:r>
            <w:r w:rsidRPr="00544830">
              <w:t>iversity of interests, including geographical spread (to attract participants)</w:t>
            </w:r>
            <w:r>
              <w:t>.</w:t>
            </w:r>
            <w:r w:rsidRPr="00544830">
              <w:br/>
            </w:r>
            <w:r>
              <w:t>- C</w:t>
            </w:r>
            <w:r w:rsidRPr="00544830">
              <w:t xml:space="preserve">hallenging, interesting, </w:t>
            </w:r>
            <w:r>
              <w:t>and interdisciplinary study questions.</w:t>
            </w:r>
          </w:p>
        </w:tc>
      </w:tr>
      <w:tr w:rsidR="009929FA" w:rsidRPr="00544830" w:rsidTr="00A8273F">
        <w:trPr>
          <w:trHeight w:val="349"/>
        </w:trPr>
        <w:tc>
          <w:tcPr>
            <w:tcW w:w="786" w:type="pct"/>
            <w:vMerge/>
          </w:tcPr>
          <w:p w:rsidR="009929FA" w:rsidRPr="00C44A8D" w:rsidRDefault="009929FA" w:rsidP="00A8273F">
            <w:pPr>
              <w:pStyle w:val="Tabletext"/>
            </w:pPr>
          </w:p>
        </w:tc>
        <w:tc>
          <w:tcPr>
            <w:tcW w:w="1983" w:type="pct"/>
            <w:vMerge/>
          </w:tcPr>
          <w:p w:rsidR="009929FA" w:rsidRPr="00544830"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p>
        </w:tc>
      </w:tr>
      <w:tr w:rsidR="009929FA" w:rsidRPr="00CB4AB3" w:rsidTr="00A8273F">
        <w:tc>
          <w:tcPr>
            <w:tcW w:w="786" w:type="pct"/>
          </w:tcPr>
          <w:p w:rsidR="009929FA" w:rsidRPr="00CB4AB3" w:rsidRDefault="009929FA" w:rsidP="00A8273F">
            <w:pPr>
              <w:pStyle w:val="Tabletext"/>
            </w:pPr>
            <w:r w:rsidRPr="00CB4AB3">
              <w:t>B: Clear mandate</w:t>
            </w:r>
          </w:p>
        </w:tc>
        <w:tc>
          <w:tcPr>
            <w:tcW w:w="1983" w:type="pc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Study groups should have clear mandate and study questions should be well defined in their scope and time-scale. Redundancies should be eliminated and duplication should be avoided.</w:t>
            </w:r>
          </w:p>
        </w:tc>
      </w:tr>
      <w:tr w:rsidR="009929FA" w:rsidRPr="00CB4AB3" w:rsidTr="00A8273F">
        <w:trPr>
          <w:cantSplit/>
        </w:trPr>
        <w:tc>
          <w:tcPr>
            <w:tcW w:w="786" w:type="pct"/>
          </w:tcPr>
          <w:p w:rsidR="009929FA" w:rsidRPr="00CB4AB3" w:rsidRDefault="009929FA" w:rsidP="00A8273F">
            <w:pPr>
              <w:pStyle w:val="Tabletext"/>
            </w:pPr>
            <w:r w:rsidRPr="00CB4AB3">
              <w:t>C: Enhanced coordination and cooperation</w:t>
            </w:r>
          </w:p>
        </w:tc>
        <w:tc>
          <w:tcPr>
            <w:tcW w:w="1983" w:type="pc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Encourage and support cooperation between ITU-</w:t>
            </w:r>
            <w:r w:rsidRPr="00CB4AB3">
              <w:rPr>
                <w:rFonts w:hint="eastAsia"/>
                <w:lang w:eastAsia="ja-JP"/>
              </w:rPr>
              <w:t>D</w:t>
            </w:r>
            <w:r w:rsidRPr="00CB4AB3">
              <w:t xml:space="preserve"> study groups and other relevant o</w:t>
            </w:r>
            <w:r w:rsidRPr="00CB4AB3">
              <w:rPr>
                <w:rFonts w:hint="eastAsia"/>
                <w:lang w:eastAsia="ja-JP"/>
              </w:rPr>
              <w:t>rganization</w:t>
            </w:r>
            <w:r w:rsidRPr="00CB4AB3">
              <w:t>s, with a view to minimizing and avoiding duplication of work to the extent possible.</w:t>
            </w:r>
          </w:p>
        </w:tc>
      </w:tr>
      <w:tr w:rsidR="009929FA" w:rsidRPr="00CB4AB3" w:rsidTr="00A8273F">
        <w:tc>
          <w:tcPr>
            <w:tcW w:w="786" w:type="pct"/>
          </w:tcPr>
          <w:p w:rsidR="009929FA" w:rsidRPr="00CB4AB3" w:rsidRDefault="009929FA" w:rsidP="00A8273F">
            <w:pPr>
              <w:pStyle w:val="Tabletext"/>
            </w:pPr>
            <w:r w:rsidRPr="00CB4AB3">
              <w:t>D: Cost-effective and attractive working method</w:t>
            </w:r>
          </w:p>
        </w:tc>
        <w:tc>
          <w:tcPr>
            <w:tcW w:w="1983" w:type="pc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Cost effective working method for ITU-D and its members.</w:t>
            </w:r>
          </w:p>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Enhance the attractiveness of ITU-</w:t>
            </w:r>
            <w:r w:rsidRPr="00CB4AB3">
              <w:rPr>
                <w:rFonts w:hint="eastAsia"/>
                <w:lang w:eastAsia="ja-JP"/>
              </w:rPr>
              <w:t>D</w:t>
            </w:r>
            <w:r w:rsidRPr="00CB4AB3">
              <w:t xml:space="preserve"> work to experts. </w:t>
            </w:r>
          </w:p>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Allocation of the required resources by ITU to ITU-D work.</w:t>
            </w:r>
          </w:p>
        </w:tc>
      </w:tr>
      <w:tr w:rsidR="009929FA" w:rsidRPr="00CB4AB3" w:rsidTr="00A8273F">
        <w:tc>
          <w:tcPr>
            <w:tcW w:w="786" w:type="pct"/>
          </w:tcPr>
          <w:p w:rsidR="009929FA" w:rsidRPr="00CB4AB3" w:rsidRDefault="009929FA" w:rsidP="00A8273F">
            <w:pPr>
              <w:pStyle w:val="Tabletext"/>
            </w:pPr>
            <w:r w:rsidRPr="00CB4AB3">
              <w:t>E: Efficient and productive working methods</w:t>
            </w:r>
          </w:p>
        </w:tc>
        <w:tc>
          <w:tcPr>
            <w:tcW w:w="1983" w:type="pc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 xml:space="preserve">Efficient and effective development of guidelines and </w:t>
            </w:r>
            <w:r w:rsidRPr="00CB4AB3">
              <w:rPr>
                <w:rFonts w:hint="eastAsia"/>
                <w:lang w:eastAsia="ja-JP"/>
              </w:rPr>
              <w:t>best practices</w:t>
            </w:r>
            <w:r w:rsidRPr="00CB4AB3">
              <w:rPr>
                <w:lang w:eastAsia="ja-JP"/>
              </w:rPr>
              <w:t>.</w:t>
            </w:r>
          </w:p>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Efficient utilization of participants' resources.</w:t>
            </w:r>
          </w:p>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Grouping of correlated topics to minimize duplication and redundancy.</w:t>
            </w:r>
          </w:p>
        </w:tc>
      </w:tr>
      <w:tr w:rsidR="009929FA" w:rsidRPr="00CB4AB3" w:rsidTr="00A8273F">
        <w:trPr>
          <w:trHeight w:val="309"/>
        </w:trPr>
        <w:tc>
          <w:tcPr>
            <w:tcW w:w="786" w:type="pct"/>
            <w:vMerge w:val="restart"/>
          </w:tcPr>
          <w:p w:rsidR="009929FA" w:rsidRPr="00CB4AB3" w:rsidRDefault="009929FA" w:rsidP="00A8273F">
            <w:pPr>
              <w:pStyle w:val="Tabletext"/>
            </w:pPr>
            <w:r w:rsidRPr="00CB4AB3">
              <w:t>F: Timely addressing of standardization needs</w:t>
            </w:r>
          </w:p>
        </w:tc>
        <w:tc>
          <w:tcPr>
            <w:tcW w:w="1983" w:type="pct"/>
            <w:vMerge w:val="restar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 xml:space="preserve">Forward looking structure that addresses current and future technologies in a timely manner </w:t>
            </w:r>
            <w:r w:rsidRPr="00CB4AB3">
              <w:rPr>
                <w:rFonts w:hint="eastAsia"/>
                <w:lang w:eastAsia="ja-JP"/>
              </w:rPr>
              <w:t xml:space="preserve">for </w:t>
            </w:r>
            <w:r w:rsidRPr="00CB4AB3">
              <w:rPr>
                <w:lang w:eastAsia="ja-JP"/>
              </w:rPr>
              <w:t xml:space="preserve">the </w:t>
            </w:r>
            <w:r w:rsidRPr="00CB4AB3">
              <w:rPr>
                <w:rFonts w:hint="eastAsia"/>
                <w:lang w:eastAsia="ja-JP"/>
              </w:rPr>
              <w:t>developing countries</w:t>
            </w:r>
            <w:r w:rsidRPr="00CB4AB3">
              <w:rPr>
                <w:lang w:eastAsia="ja-JP"/>
              </w:rPr>
              <w:t>.</w:t>
            </w:r>
          </w:p>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Promote the leading role of ITU-</w:t>
            </w:r>
            <w:r w:rsidRPr="00CB4AB3">
              <w:rPr>
                <w:rFonts w:hint="eastAsia"/>
                <w:lang w:eastAsia="ja-JP"/>
              </w:rPr>
              <w:t>D</w:t>
            </w:r>
            <w:r w:rsidRPr="00CB4AB3">
              <w:t xml:space="preserve"> in addressing the needs of developing countries </w:t>
            </w:r>
          </w:p>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Flexibility to quickly react to new requirements in order to meet the market and societal needs.</w:t>
            </w:r>
          </w:p>
        </w:tc>
      </w:tr>
      <w:tr w:rsidR="009929FA" w:rsidRPr="00CB4AB3" w:rsidTr="00A8273F">
        <w:trPr>
          <w:trHeight w:val="349"/>
        </w:trPr>
        <w:tc>
          <w:tcPr>
            <w:tcW w:w="786" w:type="pct"/>
            <w:vMerge/>
          </w:tcPr>
          <w:p w:rsidR="009929FA" w:rsidRPr="00CB4AB3" w:rsidRDefault="009929FA" w:rsidP="00A8273F">
            <w:pPr>
              <w:pStyle w:val="Tabletext"/>
            </w:pPr>
          </w:p>
        </w:tc>
        <w:tc>
          <w:tcPr>
            <w:tcW w:w="1983" w:type="pct"/>
            <w:vMerge/>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p>
        </w:tc>
      </w:tr>
      <w:tr w:rsidR="009929FA" w:rsidRPr="00CB4AB3" w:rsidTr="00A8273F">
        <w:trPr>
          <w:cantSplit/>
        </w:trPr>
        <w:tc>
          <w:tcPr>
            <w:tcW w:w="786" w:type="pct"/>
          </w:tcPr>
          <w:p w:rsidR="009929FA" w:rsidRPr="00CB4AB3" w:rsidRDefault="009929FA" w:rsidP="00A8273F">
            <w:pPr>
              <w:pStyle w:val="Tabletext"/>
            </w:pPr>
            <w:r w:rsidRPr="00CB4AB3">
              <w:t>G: Bridging the standardization gap</w:t>
            </w:r>
          </w:p>
        </w:tc>
        <w:tc>
          <w:tcPr>
            <w:tcW w:w="1983" w:type="pc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t>The new structure should assist the developing countries to bridge the standardization gap, and enhance their participation in the work of the study groups, including the use of electronic working methods.</w:t>
            </w:r>
          </w:p>
        </w:tc>
      </w:tr>
      <w:tr w:rsidR="009929FA" w:rsidRPr="006F5A20" w:rsidTr="00A8273F">
        <w:trPr>
          <w:cantSplit/>
        </w:trPr>
        <w:tc>
          <w:tcPr>
            <w:tcW w:w="786" w:type="pct"/>
          </w:tcPr>
          <w:p w:rsidR="009929FA" w:rsidRPr="00CB4AB3" w:rsidRDefault="009929FA" w:rsidP="00A8273F">
            <w:pPr>
              <w:pStyle w:val="Tabletext"/>
              <w:rPr>
                <w:lang w:eastAsia="ja-JP"/>
              </w:rPr>
            </w:pPr>
            <w:r w:rsidRPr="00CB4AB3">
              <w:rPr>
                <w:rFonts w:hint="eastAsia"/>
                <w:lang w:eastAsia="ja-JP"/>
              </w:rPr>
              <w:t xml:space="preserve">H: </w:t>
            </w:r>
            <w:r w:rsidRPr="00CB4AB3">
              <w:rPr>
                <w:rFonts w:hint="eastAsia"/>
              </w:rPr>
              <w:t>Align</w:t>
            </w:r>
            <w:r w:rsidRPr="00CB4AB3">
              <w:t>ment</w:t>
            </w:r>
            <w:r w:rsidRPr="00CB4AB3">
              <w:rPr>
                <w:rFonts w:hint="eastAsia"/>
              </w:rPr>
              <w:t xml:space="preserve"> with APT strategic plans</w:t>
            </w:r>
          </w:p>
        </w:tc>
        <w:tc>
          <w:tcPr>
            <w:tcW w:w="1983" w:type="pct"/>
          </w:tcPr>
          <w:p w:rsidR="009929FA" w:rsidRPr="00CB4AB3" w:rsidRDefault="009929FA" w:rsidP="009929FA">
            <w:pPr>
              <w:pStyle w:val="Tabletext"/>
              <w:numPr>
                <w:ilvl w:val="0"/>
                <w:numId w:val="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B4AB3">
              <w:rPr>
                <w:rFonts w:hint="eastAsia"/>
                <w:lang w:eastAsia="ja-JP"/>
              </w:rPr>
              <w:t xml:space="preserve">The new structure should </w:t>
            </w:r>
            <w:r w:rsidRPr="00CB4AB3">
              <w:rPr>
                <w:lang w:eastAsia="ja-JP"/>
              </w:rPr>
              <w:t xml:space="preserve">contribute to the implementation of </w:t>
            </w:r>
            <w:r w:rsidRPr="00CB4AB3">
              <w:rPr>
                <w:rFonts w:hint="eastAsia"/>
                <w:lang w:eastAsia="ja-JP"/>
              </w:rPr>
              <w:t>APT strategic plans.</w:t>
            </w:r>
          </w:p>
        </w:tc>
      </w:tr>
    </w:tbl>
    <w:p w:rsidR="00B54C96" w:rsidRDefault="00B54C96" w:rsidP="009929FA">
      <w:pPr>
        <w:jc w:val="center"/>
        <w:rPr>
          <w:lang w:val="en-US" w:eastAsia="zh-CN"/>
        </w:rPr>
      </w:pPr>
    </w:p>
    <w:p w:rsidR="009929FA" w:rsidRDefault="009929FA" w:rsidP="009929FA">
      <w:pPr>
        <w:jc w:val="center"/>
        <w:rPr>
          <w:lang w:val="en-US" w:eastAsia="ja-JP"/>
        </w:rPr>
      </w:pPr>
      <w:bookmarkStart w:id="9" w:name="_GoBack"/>
      <w:bookmarkEnd w:id="9"/>
      <w:r w:rsidRPr="00E45213">
        <w:rPr>
          <w:lang w:val="en-US" w:eastAsia="zh-CN"/>
        </w:rPr>
        <w:t>___________________</w:t>
      </w:r>
    </w:p>
    <w:sectPr w:rsidR="009929FA"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FA" w:rsidRDefault="009929FA">
      <w:r>
        <w:separator/>
      </w:r>
    </w:p>
  </w:endnote>
  <w:endnote w:type="continuationSeparator" w:id="0">
    <w:p w:rsidR="009929FA" w:rsidRDefault="0099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B54C96"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FA" w:rsidRDefault="009929FA">
      <w:r>
        <w:t>____________________</w:t>
      </w:r>
    </w:p>
  </w:footnote>
  <w:footnote w:type="continuationSeparator" w:id="0">
    <w:p w:rsidR="009929FA" w:rsidRDefault="0099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929FA" w:rsidRDefault="00A525CC" w:rsidP="00183811">
    <w:pPr>
      <w:tabs>
        <w:tab w:val="clear" w:pos="794"/>
        <w:tab w:val="clear" w:pos="1191"/>
        <w:tab w:val="clear" w:pos="1588"/>
        <w:tab w:val="clear" w:pos="1985"/>
        <w:tab w:val="center" w:pos="4820"/>
        <w:tab w:val="right" w:pos="9639"/>
      </w:tabs>
      <w:ind w:right="1"/>
      <w:rPr>
        <w:rStyle w:val="PageNumber"/>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9929FA">
      <w:rPr>
        <w:sz w:val="22"/>
        <w:szCs w:val="22"/>
        <w:lang w:val="de-CH"/>
      </w:rPr>
      <w:t>57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54C96">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13D2"/>
    <w:multiLevelType w:val="hybridMultilevel"/>
    <w:tmpl w:val="AAD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FA"/>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3811"/>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29FA"/>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4C96"/>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7D2684E-D810-4A53-B90B-7B121457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NormalWeb">
    <w:name w:val="Normal (Web)"/>
    <w:basedOn w:val="Normal"/>
    <w:uiPriority w:val="99"/>
    <w:unhideWhenUsed/>
    <w:rsid w:val="009929F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styleId="PlainText">
    <w:name w:val="Plain Text"/>
    <w:basedOn w:val="Normal"/>
    <w:link w:val="PlainTextChar"/>
    <w:uiPriority w:val="99"/>
    <w:unhideWhenUsed/>
    <w:rsid w:val="009929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929FA"/>
    <w:rPr>
      <w:rFonts w:ascii="Calibri" w:eastAsiaTheme="minorEastAsia" w:hAnsi="Calibri" w:cstheme="minorBidi"/>
      <w:sz w:val="22"/>
      <w:szCs w:val="21"/>
    </w:rPr>
  </w:style>
  <w:style w:type="character" w:customStyle="1" w:styleId="ListParagraphChar">
    <w:name w:val="List Paragraph Char"/>
    <w:basedOn w:val="DefaultParagraphFont"/>
    <w:link w:val="ListParagraph"/>
    <w:uiPriority w:val="34"/>
    <w:rsid w:val="009929F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9C86-6F15-41D6-8A0D-44C065DA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1</TotalTime>
  <Pages>3</Pages>
  <Words>919</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3</cp:revision>
  <cp:lastPrinted>2014-11-04T09:22:00Z</cp:lastPrinted>
  <dcterms:created xsi:type="dcterms:W3CDTF">2017-04-28T16:07:00Z</dcterms:created>
  <dcterms:modified xsi:type="dcterms:W3CDTF">2017-04-28T16:08:00Z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