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ayout w:type="fixed"/>
        <w:tblLook w:val="0000" w:firstRow="0" w:lastRow="0" w:firstColumn="0" w:lastColumn="0" w:noHBand="0" w:noVBand="0"/>
      </w:tblPr>
      <w:tblGrid>
        <w:gridCol w:w="1418"/>
        <w:gridCol w:w="5493"/>
        <w:gridCol w:w="3120"/>
      </w:tblGrid>
      <w:tr w:rsidR="00E052DC" w:rsidRPr="00EF61EE" w:rsidTr="00D31F73">
        <w:trPr>
          <w:cantSplit/>
          <w:trHeight w:val="1275"/>
        </w:trPr>
        <w:tc>
          <w:tcPr>
            <w:tcW w:w="1418" w:type="dxa"/>
          </w:tcPr>
          <w:p w:rsidR="00E052DC" w:rsidRDefault="00E052DC" w:rsidP="00E052DC">
            <w:pPr>
              <w:ind w:left="35"/>
              <w:jc w:val="left"/>
              <w:rPr>
                <w:b/>
                <w:bCs/>
                <w:sz w:val="32"/>
                <w:szCs w:val="32"/>
              </w:rPr>
            </w:pPr>
            <w:r w:rsidRPr="00CC1F10">
              <w:rPr>
                <w:noProof/>
                <w:color w:val="3399FF"/>
                <w:lang w:val="en-GB" w:eastAsia="zh-CN"/>
              </w:rPr>
              <w:drawing>
                <wp:anchor distT="0" distB="0" distL="114300" distR="114300" simplePos="0" relativeHeight="251659264" behindDoc="0" locked="0" layoutInCell="1" allowOverlap="1" wp14:anchorId="1A3BE323" wp14:editId="0685648D">
                  <wp:simplePos x="0" y="0"/>
                  <wp:positionH relativeFrom="column">
                    <wp:posOffset>0</wp:posOffset>
                  </wp:positionH>
                  <wp:positionV relativeFrom="paragraph">
                    <wp:posOffset>3810</wp:posOffset>
                  </wp:positionV>
                  <wp:extent cx="771525" cy="700486"/>
                  <wp:effectExtent l="0" t="0" r="0" b="4445"/>
                  <wp:wrapNone/>
                  <wp:docPr id="9" name="Picture 9"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93" w:type="dxa"/>
          </w:tcPr>
          <w:p w:rsidR="00E052DC" w:rsidRDefault="00E052DC" w:rsidP="00E052DC">
            <w:pPr>
              <w:ind w:left="35"/>
              <w:jc w:val="left"/>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052DC" w:rsidRDefault="00E052DC" w:rsidP="00E052DC">
            <w:pPr>
              <w:spacing w:after="0"/>
              <w:ind w:left="34"/>
              <w:jc w:val="left"/>
              <w:rPr>
                <w:b/>
                <w:bCs/>
                <w:sz w:val="32"/>
                <w:szCs w:val="32"/>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120" w:type="dxa"/>
          </w:tcPr>
          <w:p w:rsidR="00E052DC" w:rsidRPr="00EF61EE" w:rsidRDefault="00E052DC" w:rsidP="00E052DC">
            <w:pPr>
              <w:tabs>
                <w:tab w:val="left" w:pos="567"/>
                <w:tab w:val="left" w:pos="1134"/>
                <w:tab w:val="left" w:pos="1701"/>
                <w:tab w:val="left" w:pos="2268"/>
                <w:tab w:val="left" w:pos="2835"/>
              </w:tabs>
              <w:overflowPunct w:val="0"/>
              <w:autoSpaceDE w:val="0"/>
              <w:autoSpaceDN w:val="0"/>
              <w:adjustRightInd w:val="0"/>
              <w:spacing w:before="360" w:after="48" w:line="240" w:lineRule="atLeast"/>
              <w:jc w:val="left"/>
              <w:textAlignment w:val="baseline"/>
              <w:rPr>
                <w:rFonts w:ascii="Calibri" w:eastAsia="Times New Roman" w:hAnsi="Calibri" w:cs="Times New Roman"/>
                <w:position w:val="6"/>
                <w:sz w:val="24"/>
                <w:szCs w:val="20"/>
                <w:lang w:val="en-GB"/>
              </w:rPr>
            </w:pPr>
            <w:r w:rsidRPr="004949B5">
              <w:rPr>
                <w:noProof/>
                <w:color w:val="189CD7"/>
                <w:lang w:val="en-GB" w:eastAsia="zh-CN"/>
              </w:rPr>
              <w:drawing>
                <wp:anchor distT="0" distB="0" distL="114300" distR="114300" simplePos="0" relativeHeight="251661312" behindDoc="0" locked="0" layoutInCell="1" allowOverlap="1" wp14:anchorId="63DE24FC" wp14:editId="5C3DBDD3">
                  <wp:simplePos x="0" y="0"/>
                  <wp:positionH relativeFrom="column">
                    <wp:posOffset>358444</wp:posOffset>
                  </wp:positionH>
                  <wp:positionV relativeFrom="paragraph">
                    <wp:posOffset>107177</wp:posOffset>
                  </wp:positionV>
                  <wp:extent cx="1570990" cy="587785"/>
                  <wp:effectExtent l="0" t="0" r="0" b="3175"/>
                  <wp:wrapNone/>
                  <wp:docPr id="10" name="Picture 10"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052DC" w:rsidRPr="00EF61EE" w:rsidTr="00D31F73">
        <w:trPr>
          <w:cantSplit/>
        </w:trPr>
        <w:tc>
          <w:tcPr>
            <w:tcW w:w="6911" w:type="dxa"/>
            <w:gridSpan w:val="2"/>
            <w:tcBorders>
              <w:top w:val="single" w:sz="12" w:space="0" w:color="auto"/>
            </w:tcBorders>
          </w:tcPr>
          <w:p w:rsidR="00E052DC" w:rsidRPr="00EF61EE" w:rsidRDefault="00E052DC" w:rsidP="00E052DC">
            <w:pPr>
              <w:tabs>
                <w:tab w:val="left" w:pos="567"/>
                <w:tab w:val="left" w:pos="1134"/>
                <w:tab w:val="left" w:pos="1701"/>
                <w:tab w:val="left" w:pos="2268"/>
                <w:tab w:val="left" w:pos="2835"/>
              </w:tabs>
              <w:overflowPunct w:val="0"/>
              <w:autoSpaceDE w:val="0"/>
              <w:autoSpaceDN w:val="0"/>
              <w:adjustRightInd w:val="0"/>
              <w:spacing w:after="0" w:line="240" w:lineRule="atLeast"/>
              <w:jc w:val="left"/>
              <w:textAlignment w:val="baseline"/>
              <w:rPr>
                <w:rFonts w:ascii="Calibri" w:eastAsia="Times New Roman" w:hAnsi="Calibri" w:cs="Times New Roman"/>
                <w:b/>
                <w:smallCaps/>
                <w:sz w:val="24"/>
                <w:szCs w:val="24"/>
                <w:lang w:val="en-GB"/>
              </w:rPr>
            </w:pPr>
          </w:p>
        </w:tc>
        <w:tc>
          <w:tcPr>
            <w:tcW w:w="3120" w:type="dxa"/>
            <w:tcBorders>
              <w:top w:val="single" w:sz="12" w:space="0" w:color="auto"/>
            </w:tcBorders>
          </w:tcPr>
          <w:p w:rsidR="00E052DC" w:rsidRPr="00EF61EE" w:rsidRDefault="00E052DC" w:rsidP="00E052DC">
            <w:pPr>
              <w:tabs>
                <w:tab w:val="left" w:pos="567"/>
                <w:tab w:val="left" w:pos="1134"/>
                <w:tab w:val="left" w:pos="1701"/>
                <w:tab w:val="left" w:pos="2268"/>
                <w:tab w:val="left" w:pos="2835"/>
              </w:tabs>
              <w:overflowPunct w:val="0"/>
              <w:autoSpaceDE w:val="0"/>
              <w:autoSpaceDN w:val="0"/>
              <w:adjustRightInd w:val="0"/>
              <w:spacing w:after="0" w:line="240" w:lineRule="atLeast"/>
              <w:jc w:val="left"/>
              <w:textAlignment w:val="baseline"/>
              <w:rPr>
                <w:rFonts w:ascii="Calibri" w:eastAsia="Times New Roman" w:hAnsi="Calibri" w:cs="Times New Roman"/>
                <w:sz w:val="24"/>
                <w:szCs w:val="24"/>
                <w:lang w:val="en-GB"/>
              </w:rPr>
            </w:pPr>
          </w:p>
        </w:tc>
      </w:tr>
      <w:tr w:rsidR="00E052DC" w:rsidRPr="00EF61EE" w:rsidTr="00D31F73">
        <w:trPr>
          <w:cantSplit/>
          <w:trHeight w:val="319"/>
        </w:trPr>
        <w:tc>
          <w:tcPr>
            <w:tcW w:w="6911" w:type="dxa"/>
            <w:gridSpan w:val="2"/>
            <w:vMerge w:val="restart"/>
          </w:tcPr>
          <w:p w:rsidR="00E052DC" w:rsidRPr="00EF61EE" w:rsidRDefault="00E052DC" w:rsidP="00E052DC">
            <w:pPr>
              <w:tabs>
                <w:tab w:val="left" w:pos="567"/>
                <w:tab w:val="left" w:pos="851"/>
                <w:tab w:val="left" w:pos="1134"/>
                <w:tab w:val="left" w:pos="1701"/>
                <w:tab w:val="left" w:pos="2268"/>
                <w:tab w:val="left" w:pos="2835"/>
              </w:tabs>
              <w:overflowPunct w:val="0"/>
              <w:autoSpaceDE w:val="0"/>
              <w:autoSpaceDN w:val="0"/>
              <w:adjustRightInd w:val="0"/>
              <w:spacing w:after="0" w:line="240" w:lineRule="atLeast"/>
              <w:jc w:val="left"/>
              <w:textAlignment w:val="baseline"/>
              <w:rPr>
                <w:rFonts w:ascii="Calibri" w:eastAsia="Times New Roman" w:hAnsi="Calibri" w:cs="Times New Roman"/>
                <w:b/>
                <w:sz w:val="24"/>
                <w:szCs w:val="20"/>
                <w:lang w:val="en-GB"/>
              </w:rPr>
            </w:pPr>
            <w:bookmarkStart w:id="0" w:name="dmeeting" w:colFirst="0" w:colLast="0"/>
            <w:bookmarkStart w:id="1" w:name="dnum" w:colFirst="1" w:colLast="1"/>
          </w:p>
        </w:tc>
        <w:tc>
          <w:tcPr>
            <w:tcW w:w="3120" w:type="dxa"/>
          </w:tcPr>
          <w:p w:rsidR="00E052DC" w:rsidRPr="0005554B" w:rsidRDefault="00E052DC" w:rsidP="00AA02DE">
            <w:pPr>
              <w:spacing w:after="0"/>
              <w:rPr>
                <w:bCs/>
                <w:sz w:val="24"/>
                <w:szCs w:val="24"/>
              </w:rPr>
            </w:pPr>
            <w:r w:rsidRPr="0005554B">
              <w:rPr>
                <w:b/>
                <w:bCs/>
                <w:sz w:val="24"/>
                <w:szCs w:val="24"/>
              </w:rPr>
              <w:t xml:space="preserve">Document </w:t>
            </w:r>
            <w:bookmarkStart w:id="2" w:name="DocRef1"/>
            <w:bookmarkEnd w:id="2"/>
            <w:r w:rsidRPr="0005554B">
              <w:rPr>
                <w:b/>
                <w:bCs/>
                <w:sz w:val="24"/>
                <w:szCs w:val="24"/>
              </w:rPr>
              <w:t>TDAG17-22/</w:t>
            </w:r>
            <w:bookmarkStart w:id="3" w:name="DocNo1"/>
            <w:bookmarkEnd w:id="3"/>
            <w:r w:rsidR="00AA02DE">
              <w:rPr>
                <w:b/>
                <w:bCs/>
                <w:sz w:val="24"/>
                <w:szCs w:val="24"/>
              </w:rPr>
              <w:t>58</w:t>
            </w:r>
            <w:r w:rsidRPr="0005554B">
              <w:rPr>
                <w:b/>
                <w:bCs/>
                <w:sz w:val="24"/>
                <w:szCs w:val="24"/>
              </w:rPr>
              <w:t>-E</w:t>
            </w:r>
          </w:p>
        </w:tc>
      </w:tr>
      <w:tr w:rsidR="00E052DC" w:rsidRPr="00EF61EE" w:rsidTr="00D31F73">
        <w:trPr>
          <w:cantSplit/>
          <w:trHeight w:val="283"/>
        </w:trPr>
        <w:tc>
          <w:tcPr>
            <w:tcW w:w="6911" w:type="dxa"/>
            <w:gridSpan w:val="2"/>
            <w:vMerge/>
          </w:tcPr>
          <w:p w:rsidR="00E052DC" w:rsidRPr="00EF61EE" w:rsidRDefault="00E052DC" w:rsidP="00E052DC">
            <w:pPr>
              <w:tabs>
                <w:tab w:val="left" w:pos="567"/>
                <w:tab w:val="left" w:pos="851"/>
                <w:tab w:val="left" w:pos="1134"/>
                <w:tab w:val="left" w:pos="1701"/>
                <w:tab w:val="left" w:pos="2268"/>
                <w:tab w:val="left" w:pos="2835"/>
              </w:tabs>
              <w:overflowPunct w:val="0"/>
              <w:autoSpaceDE w:val="0"/>
              <w:autoSpaceDN w:val="0"/>
              <w:adjustRightInd w:val="0"/>
              <w:spacing w:before="120" w:after="0" w:line="240" w:lineRule="atLeast"/>
              <w:jc w:val="left"/>
              <w:textAlignment w:val="baseline"/>
              <w:rPr>
                <w:rFonts w:ascii="Calibri" w:eastAsia="Times New Roman" w:hAnsi="Calibri" w:cs="Times New Roman"/>
                <w:b/>
                <w:sz w:val="24"/>
                <w:szCs w:val="20"/>
                <w:lang w:val="en-GB"/>
              </w:rPr>
            </w:pPr>
            <w:bookmarkStart w:id="4" w:name="ddate" w:colFirst="1" w:colLast="1"/>
            <w:bookmarkEnd w:id="0"/>
            <w:bookmarkEnd w:id="1"/>
          </w:p>
        </w:tc>
        <w:tc>
          <w:tcPr>
            <w:tcW w:w="3120" w:type="dxa"/>
          </w:tcPr>
          <w:p w:rsidR="00E052DC" w:rsidRPr="0005554B" w:rsidRDefault="00AA02DE" w:rsidP="00E052DC">
            <w:pPr>
              <w:spacing w:after="0"/>
              <w:rPr>
                <w:b/>
                <w:sz w:val="24"/>
                <w:szCs w:val="24"/>
              </w:rPr>
            </w:pPr>
            <w:r>
              <w:rPr>
                <w:b/>
                <w:sz w:val="24"/>
                <w:szCs w:val="24"/>
              </w:rPr>
              <w:t>5</w:t>
            </w:r>
            <w:r w:rsidR="00AB1B9C">
              <w:rPr>
                <w:b/>
                <w:sz w:val="24"/>
                <w:szCs w:val="24"/>
              </w:rPr>
              <w:t xml:space="preserve"> May</w:t>
            </w:r>
            <w:r w:rsidR="00E052DC" w:rsidRPr="0005554B">
              <w:rPr>
                <w:b/>
                <w:sz w:val="24"/>
                <w:szCs w:val="24"/>
              </w:rPr>
              <w:t xml:space="preserve"> 2017</w:t>
            </w:r>
          </w:p>
        </w:tc>
      </w:tr>
      <w:tr w:rsidR="00E052DC" w:rsidRPr="00EF61EE" w:rsidTr="00D31F73">
        <w:trPr>
          <w:cantSplit/>
          <w:trHeight w:val="261"/>
        </w:trPr>
        <w:tc>
          <w:tcPr>
            <w:tcW w:w="6911" w:type="dxa"/>
            <w:gridSpan w:val="2"/>
            <w:vMerge/>
          </w:tcPr>
          <w:p w:rsidR="00E052DC" w:rsidRPr="00EF61EE" w:rsidRDefault="00E052DC" w:rsidP="00E052DC">
            <w:pPr>
              <w:tabs>
                <w:tab w:val="left" w:pos="567"/>
                <w:tab w:val="left" w:pos="851"/>
                <w:tab w:val="left" w:pos="1134"/>
                <w:tab w:val="left" w:pos="1701"/>
                <w:tab w:val="left" w:pos="2268"/>
                <w:tab w:val="left" w:pos="2835"/>
              </w:tabs>
              <w:overflowPunct w:val="0"/>
              <w:autoSpaceDE w:val="0"/>
              <w:autoSpaceDN w:val="0"/>
              <w:adjustRightInd w:val="0"/>
              <w:spacing w:before="120" w:after="0" w:line="240" w:lineRule="atLeast"/>
              <w:jc w:val="left"/>
              <w:textAlignment w:val="baseline"/>
              <w:rPr>
                <w:rFonts w:ascii="Calibri" w:eastAsia="Times New Roman" w:hAnsi="Calibri" w:cs="Times New Roman"/>
                <w:b/>
                <w:sz w:val="24"/>
                <w:szCs w:val="20"/>
                <w:lang w:val="en-GB"/>
              </w:rPr>
            </w:pPr>
            <w:bookmarkStart w:id="5" w:name="dorlang" w:colFirst="1" w:colLast="1"/>
            <w:bookmarkEnd w:id="4"/>
          </w:p>
        </w:tc>
        <w:tc>
          <w:tcPr>
            <w:tcW w:w="3120" w:type="dxa"/>
          </w:tcPr>
          <w:p w:rsidR="00E052DC" w:rsidRPr="0005554B" w:rsidRDefault="00E052DC" w:rsidP="00E052DC">
            <w:pPr>
              <w:spacing w:after="240"/>
              <w:rPr>
                <w:sz w:val="24"/>
                <w:szCs w:val="24"/>
              </w:rPr>
            </w:pPr>
            <w:r w:rsidRPr="0005554B">
              <w:rPr>
                <w:b/>
                <w:sz w:val="24"/>
                <w:szCs w:val="24"/>
              </w:rPr>
              <w:t>Original: English</w:t>
            </w:r>
            <w:bookmarkStart w:id="6" w:name="Original"/>
            <w:bookmarkEnd w:id="6"/>
          </w:p>
        </w:tc>
      </w:tr>
      <w:tr w:rsidR="00E052DC" w:rsidRPr="00EF61EE" w:rsidTr="00D31F73">
        <w:trPr>
          <w:cantSplit/>
          <w:trHeight w:val="732"/>
        </w:trPr>
        <w:tc>
          <w:tcPr>
            <w:tcW w:w="10031" w:type="dxa"/>
            <w:gridSpan w:val="3"/>
          </w:tcPr>
          <w:p w:rsidR="00E052DC" w:rsidRPr="00EF61EE" w:rsidRDefault="00AA02DE" w:rsidP="00972044">
            <w:pPr>
              <w:tabs>
                <w:tab w:val="left" w:pos="567"/>
                <w:tab w:val="left" w:pos="1134"/>
                <w:tab w:val="left" w:pos="1701"/>
                <w:tab w:val="left" w:pos="2268"/>
                <w:tab w:val="left" w:pos="2835"/>
              </w:tabs>
              <w:overflowPunct w:val="0"/>
              <w:autoSpaceDE w:val="0"/>
              <w:autoSpaceDN w:val="0"/>
              <w:adjustRightInd w:val="0"/>
              <w:spacing w:before="840" w:after="120" w:line="240" w:lineRule="auto"/>
              <w:jc w:val="center"/>
              <w:textAlignment w:val="baseline"/>
              <w:rPr>
                <w:rFonts w:ascii="Calibri" w:eastAsia="Times New Roman" w:hAnsi="Calibri" w:cs="Times New Roman"/>
                <w:b/>
                <w:sz w:val="28"/>
                <w:szCs w:val="20"/>
                <w:lang w:val="en-GB"/>
              </w:rPr>
            </w:pPr>
            <w:bookmarkStart w:id="7" w:name="dsource" w:colFirst="0" w:colLast="0"/>
            <w:bookmarkEnd w:id="5"/>
            <w:r>
              <w:rPr>
                <w:rFonts w:ascii="Calibri" w:eastAsia="Times New Roman" w:hAnsi="Calibri" w:cs="Times New Roman"/>
                <w:b/>
                <w:sz w:val="28"/>
                <w:szCs w:val="20"/>
                <w:lang w:val="en-GB"/>
              </w:rPr>
              <w:t>T</w:t>
            </w:r>
            <w:r w:rsidR="00972044">
              <w:rPr>
                <w:rFonts w:ascii="Calibri" w:eastAsia="Times New Roman" w:hAnsi="Calibri" w:cs="Times New Roman"/>
                <w:b/>
                <w:sz w:val="28"/>
                <w:szCs w:val="20"/>
                <w:lang w:val="en-GB"/>
              </w:rPr>
              <w:t xml:space="preserve">elecommunication </w:t>
            </w:r>
            <w:r>
              <w:rPr>
                <w:rFonts w:ascii="Calibri" w:eastAsia="Times New Roman" w:hAnsi="Calibri" w:cs="Times New Roman"/>
                <w:b/>
                <w:sz w:val="28"/>
                <w:szCs w:val="20"/>
                <w:lang w:val="en-GB"/>
              </w:rPr>
              <w:t>S</w:t>
            </w:r>
            <w:r w:rsidR="00972044">
              <w:rPr>
                <w:rFonts w:ascii="Calibri" w:eastAsia="Times New Roman" w:hAnsi="Calibri" w:cs="Times New Roman"/>
                <w:b/>
                <w:sz w:val="28"/>
                <w:szCs w:val="20"/>
                <w:lang w:val="en-GB"/>
              </w:rPr>
              <w:t>tandardization Advisory Group (TSA</w:t>
            </w:r>
            <w:r>
              <w:rPr>
                <w:rFonts w:ascii="Calibri" w:eastAsia="Times New Roman" w:hAnsi="Calibri" w:cs="Times New Roman"/>
                <w:b/>
                <w:sz w:val="28"/>
                <w:szCs w:val="20"/>
                <w:lang w:val="en-GB"/>
              </w:rPr>
              <w:t>G</w:t>
            </w:r>
            <w:r w:rsidR="00972044">
              <w:rPr>
                <w:rFonts w:ascii="Calibri" w:eastAsia="Times New Roman" w:hAnsi="Calibri" w:cs="Times New Roman"/>
                <w:b/>
                <w:sz w:val="28"/>
                <w:szCs w:val="20"/>
                <w:lang w:val="en-GB"/>
              </w:rPr>
              <w:t>)</w:t>
            </w:r>
          </w:p>
        </w:tc>
      </w:tr>
      <w:tr w:rsidR="00E052DC" w:rsidRPr="00EF61EE" w:rsidTr="00D31F73">
        <w:trPr>
          <w:cantSplit/>
        </w:trPr>
        <w:tc>
          <w:tcPr>
            <w:tcW w:w="10031" w:type="dxa"/>
            <w:gridSpan w:val="3"/>
          </w:tcPr>
          <w:p w:rsidR="00E052DC" w:rsidRPr="006345D7" w:rsidRDefault="00AA02DE" w:rsidP="00972044">
            <w:pPr>
              <w:spacing w:before="120" w:after="120"/>
              <w:jc w:val="center"/>
              <w:rPr>
                <w:rFonts w:ascii="Calibri" w:eastAsia="Times New Roman" w:hAnsi="Calibri" w:cs="Times New Roman"/>
                <w:caps/>
                <w:sz w:val="28"/>
                <w:szCs w:val="28"/>
                <w:lang w:val="en-GB"/>
              </w:rPr>
            </w:pPr>
            <w:bookmarkStart w:id="8" w:name="dtitle1" w:colFirst="0" w:colLast="0"/>
            <w:bookmarkEnd w:id="7"/>
            <w:r w:rsidRPr="00AA02DE">
              <w:rPr>
                <w:caps/>
                <w:sz w:val="28"/>
                <w:szCs w:val="28"/>
                <w:lang w:val="en-GB"/>
              </w:rPr>
              <w:t xml:space="preserve">LS on ITU inter-Sector coordination </w:t>
            </w:r>
            <w:r>
              <w:rPr>
                <w:caps/>
                <w:sz w:val="28"/>
                <w:szCs w:val="28"/>
                <w:lang w:val="en-GB"/>
              </w:rPr>
              <w:br/>
            </w:r>
            <w:r w:rsidRPr="00AA02DE">
              <w:rPr>
                <w:caps/>
                <w:sz w:val="28"/>
                <w:szCs w:val="28"/>
                <w:lang w:val="en-GB"/>
              </w:rPr>
              <w:t>[to ISCT, TDAG, ITU-D SGs, RAG, ITU-R SGs, ITU-T SGs]</w:t>
            </w:r>
          </w:p>
        </w:tc>
      </w:tr>
      <w:tr w:rsidR="00972044" w:rsidRPr="00EF61EE" w:rsidTr="00972044">
        <w:trPr>
          <w:cantSplit/>
        </w:trPr>
        <w:tc>
          <w:tcPr>
            <w:tcW w:w="10031" w:type="dxa"/>
            <w:gridSpan w:val="3"/>
            <w:tcBorders>
              <w:bottom w:val="single" w:sz="4" w:space="0" w:color="auto"/>
            </w:tcBorders>
          </w:tcPr>
          <w:p w:rsidR="00972044" w:rsidRPr="00AA02DE" w:rsidRDefault="00972044" w:rsidP="00972044">
            <w:pPr>
              <w:spacing w:before="120" w:after="120"/>
              <w:jc w:val="center"/>
              <w:rPr>
                <w:caps/>
                <w:sz w:val="28"/>
                <w:szCs w:val="28"/>
                <w:lang w:val="en-GB"/>
              </w:rPr>
            </w:pPr>
          </w:p>
        </w:tc>
      </w:tr>
      <w:tr w:rsidR="00972044" w:rsidRPr="00EF61EE" w:rsidTr="00972044">
        <w:trPr>
          <w:cantSplit/>
        </w:trPr>
        <w:tc>
          <w:tcPr>
            <w:tcW w:w="10031" w:type="dxa"/>
            <w:gridSpan w:val="3"/>
            <w:tcBorders>
              <w:top w:val="single" w:sz="4" w:space="0" w:color="auto"/>
              <w:left w:val="single" w:sz="4" w:space="0" w:color="auto"/>
              <w:bottom w:val="single" w:sz="4" w:space="0" w:color="auto"/>
              <w:right w:val="single" w:sz="4" w:space="0" w:color="auto"/>
            </w:tcBorders>
          </w:tcPr>
          <w:p w:rsidR="00972044" w:rsidRPr="00972044" w:rsidRDefault="00972044" w:rsidP="00972044">
            <w:pPr>
              <w:spacing w:before="120" w:after="0"/>
              <w:ind w:left="142"/>
              <w:jc w:val="left"/>
              <w:rPr>
                <w:b/>
                <w:bCs/>
                <w:sz w:val="24"/>
                <w:szCs w:val="24"/>
              </w:rPr>
            </w:pPr>
            <w:r w:rsidRPr="00972044">
              <w:rPr>
                <w:b/>
                <w:bCs/>
                <w:sz w:val="24"/>
                <w:szCs w:val="24"/>
              </w:rPr>
              <w:t>Summary:</w:t>
            </w:r>
          </w:p>
          <w:p w:rsidR="00972044" w:rsidRPr="00972044" w:rsidRDefault="00972044" w:rsidP="002D7121">
            <w:pPr>
              <w:spacing w:before="120" w:after="0"/>
              <w:ind w:left="142"/>
              <w:jc w:val="left"/>
              <w:rPr>
                <w:sz w:val="24"/>
                <w:szCs w:val="24"/>
              </w:rPr>
            </w:pPr>
            <w:r w:rsidRPr="00972044">
              <w:rPr>
                <w:sz w:val="24"/>
                <w:szCs w:val="24"/>
              </w:rPr>
              <w:t xml:space="preserve">The attached liaison statement from </w:t>
            </w:r>
            <w:r w:rsidRPr="00972044">
              <w:rPr>
                <w:rFonts w:eastAsia="Times New Roman"/>
                <w:sz w:val="24"/>
                <w:szCs w:val="24"/>
              </w:rPr>
              <w:t>TSAG, through its Rapporteur Group on “Strengthening Collaboration”</w:t>
            </w:r>
            <w:r w:rsidRPr="00972044">
              <w:rPr>
                <w:sz w:val="24"/>
                <w:szCs w:val="24"/>
              </w:rPr>
              <w:t xml:space="preserve">, is to inform that </w:t>
            </w:r>
            <w:r w:rsidR="002D7121">
              <w:rPr>
                <w:sz w:val="24"/>
                <w:szCs w:val="24"/>
              </w:rPr>
              <w:t xml:space="preserve">the </w:t>
            </w:r>
            <w:r w:rsidRPr="00972044">
              <w:rPr>
                <w:sz w:val="24"/>
                <w:szCs w:val="24"/>
              </w:rPr>
              <w:t>compil</w:t>
            </w:r>
            <w:r w:rsidR="002D7121">
              <w:rPr>
                <w:sz w:val="24"/>
                <w:szCs w:val="24"/>
              </w:rPr>
              <w:t>ation of</w:t>
            </w:r>
            <w:r w:rsidRPr="00972044">
              <w:rPr>
                <w:sz w:val="24"/>
                <w:szCs w:val="24"/>
              </w:rPr>
              <w:t xml:space="preserve"> the mapping of common interest areas of work between the ITU-D and ITU-T SGs and between the ITU-R and ITU-T SGs</w:t>
            </w:r>
            <w:r w:rsidR="002D7121">
              <w:rPr>
                <w:sz w:val="24"/>
                <w:szCs w:val="24"/>
              </w:rPr>
              <w:t xml:space="preserve"> is now finalized</w:t>
            </w:r>
            <w:r w:rsidRPr="00972044">
              <w:rPr>
                <w:sz w:val="24"/>
                <w:szCs w:val="24"/>
              </w:rPr>
              <w:t>.</w:t>
            </w:r>
          </w:p>
          <w:p w:rsidR="00972044" w:rsidRPr="00972044" w:rsidRDefault="00972044" w:rsidP="00972044">
            <w:pPr>
              <w:spacing w:before="120" w:after="0"/>
              <w:ind w:left="142"/>
              <w:jc w:val="left"/>
              <w:rPr>
                <w:b/>
                <w:bCs/>
                <w:sz w:val="24"/>
                <w:szCs w:val="24"/>
              </w:rPr>
            </w:pPr>
            <w:r w:rsidRPr="00972044">
              <w:rPr>
                <w:b/>
                <w:bCs/>
                <w:sz w:val="24"/>
                <w:szCs w:val="24"/>
              </w:rPr>
              <w:t>Action required:</w:t>
            </w:r>
          </w:p>
          <w:p w:rsidR="00972044" w:rsidRPr="00AA02DE" w:rsidRDefault="00972044" w:rsidP="00972044">
            <w:pPr>
              <w:spacing w:before="120" w:after="120"/>
              <w:ind w:left="142"/>
              <w:jc w:val="left"/>
              <w:rPr>
                <w:caps/>
                <w:sz w:val="28"/>
                <w:szCs w:val="28"/>
                <w:lang w:val="en-GB"/>
              </w:rPr>
            </w:pPr>
            <w:r w:rsidRPr="00972044">
              <w:rPr>
                <w:sz w:val="24"/>
                <w:szCs w:val="24"/>
              </w:rPr>
              <w:t xml:space="preserve">TDAG is invited to note this document </w:t>
            </w:r>
            <w:bookmarkStart w:id="9" w:name="_GoBack"/>
            <w:bookmarkEnd w:id="9"/>
          </w:p>
        </w:tc>
      </w:tr>
      <w:bookmarkEnd w:id="8"/>
    </w:tbl>
    <w:p w:rsidR="00D31F73" w:rsidRDefault="00D31F73" w:rsidP="00A611D5"/>
    <w:p w:rsidR="00A611D5" w:rsidRDefault="00A611D5" w:rsidP="00D31F73">
      <w:pPr>
        <w:pStyle w:val="Heading1"/>
        <w:numPr>
          <w:ilvl w:val="0"/>
          <w:numId w:val="0"/>
        </w:numPr>
        <w:ind w:left="432" w:hanging="432"/>
        <w:sectPr w:rsidR="00A611D5" w:rsidSect="0077450C">
          <w:headerReference w:type="default" r:id="rId10"/>
          <w:footerReference w:type="first" r:id="rId11"/>
          <w:pgSz w:w="11907" w:h="16839" w:code="9"/>
          <w:pgMar w:top="1134" w:right="1134" w:bottom="1417" w:left="1134" w:header="720" w:footer="720" w:gutter="0"/>
          <w:cols w:space="720"/>
          <w:titlePg/>
          <w:docGrid w:linePitch="360"/>
        </w:sectPr>
      </w:pPr>
    </w:p>
    <w:tbl>
      <w:tblPr>
        <w:tblW w:w="9923" w:type="dxa"/>
        <w:tblLayout w:type="fixed"/>
        <w:tblCellMar>
          <w:left w:w="57" w:type="dxa"/>
          <w:right w:w="57" w:type="dxa"/>
        </w:tblCellMar>
        <w:tblLook w:val="0000" w:firstRow="0" w:lastRow="0" w:firstColumn="0" w:lastColumn="0" w:noHBand="0" w:noVBand="0"/>
      </w:tblPr>
      <w:tblGrid>
        <w:gridCol w:w="1191"/>
        <w:gridCol w:w="426"/>
        <w:gridCol w:w="567"/>
        <w:gridCol w:w="3058"/>
        <w:gridCol w:w="769"/>
        <w:gridCol w:w="3912"/>
      </w:tblGrid>
      <w:tr w:rsidR="00D31F73" w:rsidRPr="009569AB" w:rsidTr="002A169B">
        <w:trPr>
          <w:cantSplit/>
        </w:trPr>
        <w:tc>
          <w:tcPr>
            <w:tcW w:w="1191" w:type="dxa"/>
            <w:vMerge w:val="restart"/>
          </w:tcPr>
          <w:p w:rsidR="00D31F73" w:rsidRPr="009569AB" w:rsidRDefault="00D31F73" w:rsidP="002A169B">
            <w:pPr>
              <w:rPr>
                <w:sz w:val="20"/>
                <w:szCs w:val="20"/>
              </w:rPr>
            </w:pPr>
            <w:r w:rsidRPr="009569AB">
              <w:rPr>
                <w:noProof/>
                <w:sz w:val="20"/>
                <w:szCs w:val="20"/>
                <w:lang w:val="en-GB" w:eastAsia="zh-CN"/>
              </w:rPr>
              <w:lastRenderedPageBreak/>
              <w:drawing>
                <wp:inline distT="0" distB="0" distL="0" distR="0" wp14:anchorId="1126FA6D" wp14:editId="1F61DB00">
                  <wp:extent cx="643890" cy="826770"/>
                  <wp:effectExtent l="0" t="0" r="3810" b="0"/>
                  <wp:docPr id="1"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title="ITU logo"/>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b="-12987"/>
                          <a:stretch/>
                        </pic:blipFill>
                        <pic:spPr bwMode="auto">
                          <a:xfrm>
                            <a:off x="0" y="0"/>
                            <a:ext cx="643890" cy="82677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D31F73" w:rsidRPr="009569AB" w:rsidRDefault="00D31F73" w:rsidP="002A169B">
            <w:pPr>
              <w:rPr>
                <w:sz w:val="16"/>
                <w:szCs w:val="16"/>
              </w:rPr>
            </w:pPr>
            <w:r w:rsidRPr="009569AB">
              <w:rPr>
                <w:sz w:val="16"/>
                <w:szCs w:val="16"/>
              </w:rPr>
              <w:t>INTERNATIONAL TELECOMMUNICATION UNION</w:t>
            </w:r>
          </w:p>
          <w:p w:rsidR="00D31F73" w:rsidRPr="009569AB" w:rsidRDefault="00D31F73" w:rsidP="002A169B">
            <w:pPr>
              <w:rPr>
                <w:b/>
                <w:bCs/>
                <w:sz w:val="26"/>
                <w:szCs w:val="26"/>
              </w:rPr>
            </w:pPr>
            <w:r w:rsidRPr="009569AB">
              <w:rPr>
                <w:b/>
                <w:bCs/>
                <w:sz w:val="26"/>
                <w:szCs w:val="26"/>
              </w:rPr>
              <w:t>TELECOMMUNICATION</w:t>
            </w:r>
            <w:r w:rsidRPr="009569AB">
              <w:rPr>
                <w:b/>
                <w:bCs/>
                <w:sz w:val="26"/>
                <w:szCs w:val="26"/>
              </w:rPr>
              <w:br/>
              <w:t>STANDARDIZATION SECTOR</w:t>
            </w:r>
          </w:p>
          <w:p w:rsidR="00D31F73" w:rsidRPr="009569AB" w:rsidRDefault="00D31F73" w:rsidP="002A169B">
            <w:pPr>
              <w:rPr>
                <w:sz w:val="20"/>
                <w:szCs w:val="20"/>
              </w:rPr>
            </w:pPr>
            <w:r w:rsidRPr="009569AB">
              <w:rPr>
                <w:sz w:val="20"/>
                <w:szCs w:val="20"/>
              </w:rPr>
              <w:t xml:space="preserve">STUDY PERIOD </w:t>
            </w:r>
            <w:bookmarkStart w:id="10" w:name="dstudyperiod"/>
            <w:r w:rsidRPr="009569AB">
              <w:rPr>
                <w:sz w:val="20"/>
                <w:szCs w:val="20"/>
              </w:rPr>
              <w:t>2017-2020</w:t>
            </w:r>
            <w:bookmarkEnd w:id="10"/>
          </w:p>
        </w:tc>
        <w:tc>
          <w:tcPr>
            <w:tcW w:w="4681" w:type="dxa"/>
            <w:gridSpan w:val="2"/>
            <w:vAlign w:val="center"/>
          </w:tcPr>
          <w:p w:rsidR="00D31F73" w:rsidRPr="009569AB" w:rsidRDefault="00D31F73" w:rsidP="002A169B">
            <w:pPr>
              <w:pStyle w:val="Docnumber"/>
              <w:spacing w:line="256" w:lineRule="auto"/>
              <w:rPr>
                <w:rFonts w:asciiTheme="minorHAnsi" w:eastAsia="Times New Roman" w:hAnsiTheme="minorHAnsi"/>
              </w:rPr>
            </w:pPr>
            <w:r w:rsidRPr="009569AB">
              <w:rPr>
                <w:rFonts w:asciiTheme="minorHAnsi" w:hAnsiTheme="minorHAnsi"/>
              </w:rPr>
              <w:t>TSAG-LS01</w:t>
            </w:r>
          </w:p>
        </w:tc>
      </w:tr>
      <w:tr w:rsidR="00D31F73" w:rsidRPr="009569AB" w:rsidTr="002A169B">
        <w:trPr>
          <w:cantSplit/>
        </w:trPr>
        <w:tc>
          <w:tcPr>
            <w:tcW w:w="1191" w:type="dxa"/>
            <w:vMerge/>
          </w:tcPr>
          <w:p w:rsidR="00D31F73" w:rsidRPr="009569AB" w:rsidRDefault="00D31F73" w:rsidP="002A169B">
            <w:pPr>
              <w:rPr>
                <w:smallCaps/>
                <w:sz w:val="20"/>
              </w:rPr>
            </w:pPr>
            <w:bookmarkStart w:id="11" w:name="dsg" w:colFirst="2" w:colLast="2"/>
          </w:p>
        </w:tc>
        <w:tc>
          <w:tcPr>
            <w:tcW w:w="4051" w:type="dxa"/>
            <w:gridSpan w:val="3"/>
            <w:vMerge/>
          </w:tcPr>
          <w:p w:rsidR="00D31F73" w:rsidRPr="009569AB" w:rsidRDefault="00D31F73" w:rsidP="002A169B">
            <w:pPr>
              <w:rPr>
                <w:smallCaps/>
                <w:sz w:val="20"/>
              </w:rPr>
            </w:pPr>
          </w:p>
        </w:tc>
        <w:tc>
          <w:tcPr>
            <w:tcW w:w="4681" w:type="dxa"/>
            <w:gridSpan w:val="2"/>
          </w:tcPr>
          <w:p w:rsidR="00D31F73" w:rsidRPr="009569AB" w:rsidRDefault="00D31F73" w:rsidP="002A169B">
            <w:pPr>
              <w:spacing w:line="256" w:lineRule="auto"/>
              <w:jc w:val="right"/>
              <w:rPr>
                <w:b/>
                <w:bCs/>
                <w:smallCaps/>
                <w:sz w:val="28"/>
                <w:szCs w:val="28"/>
              </w:rPr>
            </w:pPr>
            <w:r w:rsidRPr="009569AB">
              <w:rPr>
                <w:b/>
                <w:bCs/>
                <w:smallCaps/>
                <w:sz w:val="28"/>
                <w:szCs w:val="28"/>
              </w:rPr>
              <w:t>TSAG</w:t>
            </w:r>
          </w:p>
        </w:tc>
      </w:tr>
      <w:bookmarkEnd w:id="11"/>
      <w:tr w:rsidR="00D31F73" w:rsidRPr="009569AB" w:rsidTr="002A169B">
        <w:trPr>
          <w:cantSplit/>
        </w:trPr>
        <w:tc>
          <w:tcPr>
            <w:tcW w:w="1191" w:type="dxa"/>
            <w:vMerge/>
            <w:tcBorders>
              <w:bottom w:val="single" w:sz="12" w:space="0" w:color="auto"/>
            </w:tcBorders>
          </w:tcPr>
          <w:p w:rsidR="00D31F73" w:rsidRPr="009569AB" w:rsidRDefault="00D31F73" w:rsidP="002A169B">
            <w:pPr>
              <w:rPr>
                <w:b/>
                <w:bCs/>
                <w:sz w:val="26"/>
              </w:rPr>
            </w:pPr>
          </w:p>
        </w:tc>
        <w:tc>
          <w:tcPr>
            <w:tcW w:w="4051" w:type="dxa"/>
            <w:gridSpan w:val="3"/>
            <w:vMerge/>
            <w:tcBorders>
              <w:bottom w:val="single" w:sz="12" w:space="0" w:color="auto"/>
            </w:tcBorders>
          </w:tcPr>
          <w:p w:rsidR="00D31F73" w:rsidRPr="009569AB" w:rsidRDefault="00D31F73" w:rsidP="002A169B">
            <w:pPr>
              <w:rPr>
                <w:b/>
                <w:bCs/>
                <w:sz w:val="26"/>
              </w:rPr>
            </w:pPr>
          </w:p>
        </w:tc>
        <w:tc>
          <w:tcPr>
            <w:tcW w:w="4681" w:type="dxa"/>
            <w:gridSpan w:val="2"/>
            <w:tcBorders>
              <w:bottom w:val="single" w:sz="12" w:space="0" w:color="auto"/>
            </w:tcBorders>
            <w:vAlign w:val="center"/>
          </w:tcPr>
          <w:p w:rsidR="00D31F73" w:rsidRPr="009569AB" w:rsidRDefault="00D31F73" w:rsidP="002A169B">
            <w:pPr>
              <w:jc w:val="right"/>
              <w:rPr>
                <w:b/>
                <w:bCs/>
                <w:sz w:val="28"/>
                <w:szCs w:val="28"/>
              </w:rPr>
            </w:pPr>
            <w:r w:rsidRPr="009569AB">
              <w:rPr>
                <w:b/>
                <w:bCs/>
                <w:sz w:val="28"/>
                <w:szCs w:val="28"/>
              </w:rPr>
              <w:t>Original: English</w:t>
            </w:r>
          </w:p>
        </w:tc>
      </w:tr>
      <w:tr w:rsidR="00D31F73" w:rsidRPr="009569AB" w:rsidTr="002A169B">
        <w:trPr>
          <w:cantSplit/>
        </w:trPr>
        <w:tc>
          <w:tcPr>
            <w:tcW w:w="1617" w:type="dxa"/>
            <w:gridSpan w:val="2"/>
          </w:tcPr>
          <w:p w:rsidR="00D31F73" w:rsidRPr="009569AB" w:rsidRDefault="00D31F73" w:rsidP="002A169B">
            <w:pPr>
              <w:rPr>
                <w:b/>
                <w:bCs/>
              </w:rPr>
            </w:pPr>
            <w:bookmarkStart w:id="12" w:name="dbluepink" w:colFirst="1" w:colLast="1"/>
          </w:p>
        </w:tc>
        <w:tc>
          <w:tcPr>
            <w:tcW w:w="3625" w:type="dxa"/>
            <w:gridSpan w:val="2"/>
          </w:tcPr>
          <w:p w:rsidR="00D31F73" w:rsidRPr="009569AB" w:rsidRDefault="00D31F73" w:rsidP="002A169B"/>
        </w:tc>
        <w:tc>
          <w:tcPr>
            <w:tcW w:w="4681" w:type="dxa"/>
            <w:gridSpan w:val="2"/>
          </w:tcPr>
          <w:p w:rsidR="00D31F73" w:rsidRPr="009569AB" w:rsidRDefault="00D31F73" w:rsidP="002A169B">
            <w:pPr>
              <w:jc w:val="right"/>
            </w:pPr>
            <w:r w:rsidRPr="009569AB">
              <w:t>Geneva, 1-4 May 2017</w:t>
            </w:r>
          </w:p>
        </w:tc>
      </w:tr>
      <w:tr w:rsidR="00D31F73" w:rsidRPr="009569AB" w:rsidTr="002A169B">
        <w:trPr>
          <w:cantSplit/>
        </w:trPr>
        <w:tc>
          <w:tcPr>
            <w:tcW w:w="9923" w:type="dxa"/>
            <w:gridSpan w:val="6"/>
          </w:tcPr>
          <w:p w:rsidR="00D31F73" w:rsidRPr="009569AB" w:rsidRDefault="00D31F73" w:rsidP="002A169B">
            <w:pPr>
              <w:jc w:val="center"/>
              <w:rPr>
                <w:b/>
                <w:bCs/>
              </w:rPr>
            </w:pPr>
            <w:bookmarkStart w:id="13" w:name="ddoctype" w:colFirst="0" w:colLast="0"/>
            <w:bookmarkEnd w:id="12"/>
            <w:r w:rsidRPr="009569AB">
              <w:rPr>
                <w:rFonts w:eastAsia="Times New Roman"/>
                <w:b/>
                <w:szCs w:val="20"/>
              </w:rPr>
              <w:t>LS</w:t>
            </w:r>
          </w:p>
        </w:tc>
      </w:tr>
      <w:bookmarkEnd w:id="13"/>
      <w:tr w:rsidR="00D31F73" w:rsidRPr="009569AB" w:rsidTr="002A169B">
        <w:trPr>
          <w:cantSplit/>
        </w:trPr>
        <w:tc>
          <w:tcPr>
            <w:tcW w:w="1617" w:type="dxa"/>
            <w:gridSpan w:val="2"/>
          </w:tcPr>
          <w:p w:rsidR="00D31F73" w:rsidRPr="009569AB" w:rsidRDefault="00D31F73" w:rsidP="002A169B">
            <w:pPr>
              <w:rPr>
                <w:b/>
                <w:bCs/>
              </w:rPr>
            </w:pPr>
            <w:r w:rsidRPr="009569AB">
              <w:rPr>
                <w:b/>
                <w:bCs/>
              </w:rPr>
              <w:t>Source:</w:t>
            </w:r>
          </w:p>
        </w:tc>
        <w:tc>
          <w:tcPr>
            <w:tcW w:w="8306" w:type="dxa"/>
            <w:gridSpan w:val="4"/>
          </w:tcPr>
          <w:p w:rsidR="00D31F73" w:rsidRPr="009569AB" w:rsidRDefault="00D31F73" w:rsidP="002A169B">
            <w:r w:rsidRPr="009569AB">
              <w:t>TSAG</w:t>
            </w:r>
          </w:p>
        </w:tc>
      </w:tr>
      <w:tr w:rsidR="00D31F73" w:rsidRPr="009569AB" w:rsidTr="002A169B">
        <w:trPr>
          <w:cantSplit/>
        </w:trPr>
        <w:tc>
          <w:tcPr>
            <w:tcW w:w="1617" w:type="dxa"/>
            <w:gridSpan w:val="2"/>
          </w:tcPr>
          <w:p w:rsidR="00D31F73" w:rsidRPr="009569AB" w:rsidRDefault="00D31F73" w:rsidP="002A169B">
            <w:r w:rsidRPr="009569AB">
              <w:rPr>
                <w:b/>
                <w:bCs/>
              </w:rPr>
              <w:t>Title:</w:t>
            </w:r>
          </w:p>
        </w:tc>
        <w:tc>
          <w:tcPr>
            <w:tcW w:w="8306" w:type="dxa"/>
            <w:gridSpan w:val="4"/>
          </w:tcPr>
          <w:p w:rsidR="00D31F73" w:rsidRPr="009569AB" w:rsidRDefault="00D31F73" w:rsidP="002A169B">
            <w:r w:rsidRPr="009569AB">
              <w:t>LS on ITU inter-Sector coordination [to ISCT, TDAG, ITU-D SGs, RAG, ITU-R SGs, ITU-T SGs]</w:t>
            </w:r>
          </w:p>
        </w:tc>
      </w:tr>
      <w:tr w:rsidR="00D31F73" w:rsidRPr="009569AB" w:rsidTr="002A169B">
        <w:trPr>
          <w:cantSplit/>
        </w:trPr>
        <w:tc>
          <w:tcPr>
            <w:tcW w:w="1617" w:type="dxa"/>
            <w:gridSpan w:val="2"/>
            <w:tcBorders>
              <w:bottom w:val="single" w:sz="8" w:space="0" w:color="auto"/>
            </w:tcBorders>
          </w:tcPr>
          <w:p w:rsidR="00D31F73" w:rsidRPr="009569AB" w:rsidRDefault="00D31F73" w:rsidP="002A169B">
            <w:pPr>
              <w:rPr>
                <w:b/>
                <w:bCs/>
              </w:rPr>
            </w:pPr>
            <w:bookmarkStart w:id="14" w:name="dpurpose" w:colFirst="1" w:colLast="1"/>
            <w:r w:rsidRPr="009569AB">
              <w:rPr>
                <w:b/>
                <w:bCs/>
              </w:rPr>
              <w:t>Purpose:</w:t>
            </w:r>
          </w:p>
        </w:tc>
        <w:tc>
          <w:tcPr>
            <w:tcW w:w="8306" w:type="dxa"/>
            <w:gridSpan w:val="4"/>
            <w:tcBorders>
              <w:bottom w:val="single" w:sz="8" w:space="0" w:color="auto"/>
            </w:tcBorders>
          </w:tcPr>
          <w:p w:rsidR="00D31F73" w:rsidRPr="009569AB" w:rsidRDefault="00D31F73" w:rsidP="002A169B">
            <w:r w:rsidRPr="009569AB">
              <w:t>Comment</w:t>
            </w:r>
          </w:p>
        </w:tc>
      </w:tr>
      <w:bookmarkEnd w:id="14"/>
      <w:tr w:rsidR="00D31F73" w:rsidRPr="009569AB" w:rsidTr="002A169B">
        <w:trPr>
          <w:cantSplit/>
          <w:trHeight w:val="357"/>
        </w:trPr>
        <w:tc>
          <w:tcPr>
            <w:tcW w:w="9923" w:type="dxa"/>
            <w:gridSpan w:val="6"/>
            <w:tcBorders>
              <w:top w:val="single" w:sz="12" w:space="0" w:color="auto"/>
            </w:tcBorders>
          </w:tcPr>
          <w:p w:rsidR="00D31F73" w:rsidRPr="009569AB" w:rsidRDefault="00D31F73" w:rsidP="002A169B">
            <w:pPr>
              <w:tabs>
                <w:tab w:val="left" w:pos="794"/>
                <w:tab w:val="left" w:pos="1191"/>
                <w:tab w:val="left" w:pos="1588"/>
                <w:tab w:val="left" w:pos="1985"/>
              </w:tabs>
              <w:overflowPunct w:val="0"/>
              <w:autoSpaceDE w:val="0"/>
              <w:autoSpaceDN w:val="0"/>
              <w:adjustRightInd w:val="0"/>
              <w:jc w:val="center"/>
              <w:textAlignment w:val="baseline"/>
              <w:rPr>
                <w:rFonts w:eastAsia="Times New Roman"/>
                <w:b/>
                <w:szCs w:val="20"/>
              </w:rPr>
            </w:pPr>
            <w:r w:rsidRPr="009569AB">
              <w:rPr>
                <w:rFonts w:eastAsia="Times New Roman"/>
                <w:b/>
                <w:szCs w:val="20"/>
              </w:rPr>
              <w:t>LIAISON STATEMENT</w:t>
            </w:r>
          </w:p>
        </w:tc>
      </w:tr>
      <w:tr w:rsidR="00D31F73" w:rsidRPr="009569AB" w:rsidTr="002A169B">
        <w:trPr>
          <w:cantSplit/>
          <w:trHeight w:val="357"/>
        </w:trPr>
        <w:tc>
          <w:tcPr>
            <w:tcW w:w="2184" w:type="dxa"/>
            <w:gridSpan w:val="3"/>
          </w:tcPr>
          <w:p w:rsidR="00D31F73" w:rsidRPr="009569AB" w:rsidRDefault="00D31F73" w:rsidP="002A169B">
            <w:pPr>
              <w:tabs>
                <w:tab w:val="left" w:pos="794"/>
                <w:tab w:val="left" w:pos="1191"/>
                <w:tab w:val="left" w:pos="1588"/>
                <w:tab w:val="left" w:pos="1985"/>
              </w:tabs>
              <w:overflowPunct w:val="0"/>
              <w:autoSpaceDE w:val="0"/>
              <w:autoSpaceDN w:val="0"/>
              <w:adjustRightInd w:val="0"/>
              <w:textAlignment w:val="baseline"/>
              <w:rPr>
                <w:rFonts w:eastAsia="Times New Roman"/>
                <w:b/>
                <w:bCs/>
              </w:rPr>
            </w:pPr>
            <w:r w:rsidRPr="009569AB">
              <w:rPr>
                <w:rFonts w:eastAsia="Times New Roman"/>
                <w:b/>
                <w:bCs/>
              </w:rPr>
              <w:t>For action to:</w:t>
            </w:r>
          </w:p>
        </w:tc>
        <w:tc>
          <w:tcPr>
            <w:tcW w:w="7739" w:type="dxa"/>
            <w:gridSpan w:val="3"/>
          </w:tcPr>
          <w:p w:rsidR="00D31F73" w:rsidRPr="009569AB" w:rsidRDefault="00D31F73" w:rsidP="002A169B">
            <w:pPr>
              <w:tabs>
                <w:tab w:val="left" w:pos="794"/>
                <w:tab w:val="left" w:pos="1191"/>
                <w:tab w:val="left" w:pos="1588"/>
                <w:tab w:val="left" w:pos="1985"/>
              </w:tabs>
              <w:overflowPunct w:val="0"/>
              <w:autoSpaceDE w:val="0"/>
              <w:autoSpaceDN w:val="0"/>
              <w:adjustRightInd w:val="0"/>
              <w:textAlignment w:val="baseline"/>
              <w:rPr>
                <w:rFonts w:eastAsia="Times New Roman"/>
              </w:rPr>
            </w:pPr>
            <w:r w:rsidRPr="009569AB">
              <w:rPr>
                <w:rFonts w:eastAsia="Times New Roman"/>
              </w:rPr>
              <w:t>-</w:t>
            </w:r>
          </w:p>
        </w:tc>
      </w:tr>
      <w:tr w:rsidR="00D31F73" w:rsidRPr="008C0808" w:rsidTr="002A169B">
        <w:trPr>
          <w:cantSplit/>
          <w:trHeight w:val="357"/>
        </w:trPr>
        <w:tc>
          <w:tcPr>
            <w:tcW w:w="2184" w:type="dxa"/>
            <w:gridSpan w:val="3"/>
          </w:tcPr>
          <w:p w:rsidR="00D31F73" w:rsidRPr="009569AB" w:rsidRDefault="00D31F73" w:rsidP="002A169B">
            <w:pPr>
              <w:tabs>
                <w:tab w:val="left" w:pos="794"/>
                <w:tab w:val="left" w:pos="1191"/>
                <w:tab w:val="left" w:pos="1588"/>
                <w:tab w:val="left" w:pos="1985"/>
              </w:tabs>
              <w:overflowPunct w:val="0"/>
              <w:autoSpaceDE w:val="0"/>
              <w:autoSpaceDN w:val="0"/>
              <w:adjustRightInd w:val="0"/>
              <w:textAlignment w:val="baseline"/>
              <w:rPr>
                <w:rFonts w:eastAsia="Times New Roman"/>
                <w:b/>
                <w:bCs/>
              </w:rPr>
            </w:pPr>
            <w:r w:rsidRPr="009569AB">
              <w:rPr>
                <w:rFonts w:eastAsia="Times New Roman"/>
                <w:b/>
                <w:bCs/>
              </w:rPr>
              <w:t>For comment to:</w:t>
            </w:r>
          </w:p>
        </w:tc>
        <w:tc>
          <w:tcPr>
            <w:tcW w:w="7739" w:type="dxa"/>
            <w:gridSpan w:val="3"/>
          </w:tcPr>
          <w:p w:rsidR="00D31F73" w:rsidRPr="008C0808" w:rsidRDefault="00D31F73" w:rsidP="002A169B">
            <w:pPr>
              <w:tabs>
                <w:tab w:val="left" w:pos="794"/>
                <w:tab w:val="left" w:pos="1191"/>
                <w:tab w:val="left" w:pos="1588"/>
                <w:tab w:val="left" w:pos="1985"/>
              </w:tabs>
              <w:overflowPunct w:val="0"/>
              <w:autoSpaceDE w:val="0"/>
              <w:autoSpaceDN w:val="0"/>
              <w:adjustRightInd w:val="0"/>
              <w:textAlignment w:val="baseline"/>
              <w:rPr>
                <w:rFonts w:eastAsia="Times New Roman"/>
                <w:lang w:val="de-CH"/>
              </w:rPr>
            </w:pPr>
            <w:r w:rsidRPr="008C0808">
              <w:rPr>
                <w:rFonts w:eastAsia="Times New Roman"/>
                <w:lang w:val="de-CH"/>
              </w:rPr>
              <w:t>ISCT, TDAG, all ITU-D SGs, RAG, all ITU-R SGs, ITU-T SGs 2, 3, 5, 9, 11, 12, 13, 15, 16, 17, 20</w:t>
            </w:r>
          </w:p>
        </w:tc>
      </w:tr>
      <w:tr w:rsidR="00D31F73" w:rsidRPr="009569AB" w:rsidTr="002A169B">
        <w:trPr>
          <w:cantSplit/>
          <w:trHeight w:val="357"/>
        </w:trPr>
        <w:tc>
          <w:tcPr>
            <w:tcW w:w="2184" w:type="dxa"/>
            <w:gridSpan w:val="3"/>
          </w:tcPr>
          <w:p w:rsidR="00D31F73" w:rsidRPr="009569AB" w:rsidRDefault="00D31F73" w:rsidP="002A169B">
            <w:pPr>
              <w:tabs>
                <w:tab w:val="left" w:pos="794"/>
                <w:tab w:val="left" w:pos="1191"/>
                <w:tab w:val="left" w:pos="1588"/>
                <w:tab w:val="left" w:pos="1985"/>
              </w:tabs>
              <w:overflowPunct w:val="0"/>
              <w:autoSpaceDE w:val="0"/>
              <w:autoSpaceDN w:val="0"/>
              <w:adjustRightInd w:val="0"/>
              <w:textAlignment w:val="baseline"/>
              <w:rPr>
                <w:rFonts w:eastAsia="Times New Roman"/>
                <w:b/>
                <w:bCs/>
              </w:rPr>
            </w:pPr>
            <w:r w:rsidRPr="009569AB">
              <w:rPr>
                <w:rFonts w:eastAsia="Times New Roman"/>
                <w:b/>
                <w:bCs/>
              </w:rPr>
              <w:t>For information to:</w:t>
            </w:r>
          </w:p>
        </w:tc>
        <w:tc>
          <w:tcPr>
            <w:tcW w:w="7739" w:type="dxa"/>
            <w:gridSpan w:val="3"/>
          </w:tcPr>
          <w:p w:rsidR="00D31F73" w:rsidRPr="009569AB" w:rsidRDefault="00D31F73" w:rsidP="002A169B">
            <w:pPr>
              <w:tabs>
                <w:tab w:val="left" w:pos="794"/>
                <w:tab w:val="left" w:pos="1191"/>
                <w:tab w:val="left" w:pos="1588"/>
                <w:tab w:val="left" w:pos="1985"/>
              </w:tabs>
              <w:overflowPunct w:val="0"/>
              <w:autoSpaceDE w:val="0"/>
              <w:autoSpaceDN w:val="0"/>
              <w:adjustRightInd w:val="0"/>
              <w:textAlignment w:val="baseline"/>
              <w:rPr>
                <w:rFonts w:eastAsia="Times New Roman"/>
              </w:rPr>
            </w:pPr>
            <w:r w:rsidRPr="009569AB">
              <w:rPr>
                <w:rFonts w:eastAsia="Times New Roman"/>
              </w:rPr>
              <w:t>-</w:t>
            </w:r>
          </w:p>
        </w:tc>
      </w:tr>
      <w:tr w:rsidR="00D31F73" w:rsidRPr="009569AB" w:rsidTr="002A169B">
        <w:trPr>
          <w:cantSplit/>
          <w:trHeight w:val="357"/>
        </w:trPr>
        <w:tc>
          <w:tcPr>
            <w:tcW w:w="2184" w:type="dxa"/>
            <w:gridSpan w:val="3"/>
          </w:tcPr>
          <w:p w:rsidR="00D31F73" w:rsidRPr="009569AB" w:rsidRDefault="00D31F73" w:rsidP="002A169B">
            <w:pPr>
              <w:tabs>
                <w:tab w:val="left" w:pos="794"/>
                <w:tab w:val="left" w:pos="1191"/>
                <w:tab w:val="left" w:pos="1588"/>
                <w:tab w:val="left" w:pos="1985"/>
              </w:tabs>
              <w:overflowPunct w:val="0"/>
              <w:autoSpaceDE w:val="0"/>
              <w:autoSpaceDN w:val="0"/>
              <w:adjustRightInd w:val="0"/>
              <w:textAlignment w:val="baseline"/>
              <w:rPr>
                <w:rFonts w:eastAsia="Times New Roman"/>
                <w:b/>
                <w:bCs/>
              </w:rPr>
            </w:pPr>
            <w:r w:rsidRPr="009569AB">
              <w:rPr>
                <w:rFonts w:eastAsia="Times New Roman"/>
                <w:b/>
                <w:bCs/>
              </w:rPr>
              <w:t>Approval:</w:t>
            </w:r>
          </w:p>
        </w:tc>
        <w:tc>
          <w:tcPr>
            <w:tcW w:w="7739" w:type="dxa"/>
            <w:gridSpan w:val="3"/>
          </w:tcPr>
          <w:p w:rsidR="00D31F73" w:rsidRPr="009569AB" w:rsidRDefault="00D31F73" w:rsidP="002A169B">
            <w:pPr>
              <w:tabs>
                <w:tab w:val="left" w:pos="794"/>
                <w:tab w:val="left" w:pos="1191"/>
                <w:tab w:val="left" w:pos="1588"/>
                <w:tab w:val="left" w:pos="1985"/>
              </w:tabs>
              <w:overflowPunct w:val="0"/>
              <w:autoSpaceDE w:val="0"/>
              <w:autoSpaceDN w:val="0"/>
              <w:adjustRightInd w:val="0"/>
              <w:textAlignment w:val="baseline"/>
              <w:rPr>
                <w:rFonts w:eastAsia="Times New Roman"/>
              </w:rPr>
            </w:pPr>
            <w:r w:rsidRPr="009569AB">
              <w:rPr>
                <w:rFonts w:eastAsia="Times New Roman"/>
              </w:rPr>
              <w:t xml:space="preserve">TSAG meeting </w:t>
            </w:r>
            <w:r w:rsidRPr="009569AB">
              <w:rPr>
                <w:lang w:eastAsia="ko-KR"/>
              </w:rPr>
              <w:t xml:space="preserve">(Geneva, </w:t>
            </w:r>
            <w:r w:rsidRPr="009569AB">
              <w:rPr>
                <w:rFonts w:eastAsia="Times New Roman"/>
                <w:szCs w:val="20"/>
              </w:rPr>
              <w:t>1 – 4 May 2017</w:t>
            </w:r>
            <w:r w:rsidRPr="009569AB">
              <w:rPr>
                <w:lang w:eastAsia="ko-KR"/>
              </w:rPr>
              <w:t>)</w:t>
            </w:r>
          </w:p>
        </w:tc>
      </w:tr>
      <w:tr w:rsidR="00D31F73" w:rsidRPr="009569AB" w:rsidTr="002A169B">
        <w:trPr>
          <w:cantSplit/>
          <w:trHeight w:val="357"/>
        </w:trPr>
        <w:tc>
          <w:tcPr>
            <w:tcW w:w="2184" w:type="dxa"/>
            <w:gridSpan w:val="3"/>
            <w:tcBorders>
              <w:bottom w:val="single" w:sz="12" w:space="0" w:color="auto"/>
            </w:tcBorders>
          </w:tcPr>
          <w:p w:rsidR="00D31F73" w:rsidRPr="009569AB" w:rsidRDefault="00D31F73" w:rsidP="002A169B">
            <w:pPr>
              <w:tabs>
                <w:tab w:val="left" w:pos="794"/>
                <w:tab w:val="left" w:pos="1191"/>
                <w:tab w:val="left" w:pos="1588"/>
                <w:tab w:val="left" w:pos="1985"/>
              </w:tabs>
              <w:overflowPunct w:val="0"/>
              <w:autoSpaceDE w:val="0"/>
              <w:autoSpaceDN w:val="0"/>
              <w:adjustRightInd w:val="0"/>
              <w:textAlignment w:val="baseline"/>
              <w:rPr>
                <w:rFonts w:eastAsia="Times New Roman"/>
                <w:b/>
                <w:bCs/>
              </w:rPr>
            </w:pPr>
            <w:r w:rsidRPr="009569AB">
              <w:rPr>
                <w:rFonts w:eastAsia="Times New Roman"/>
                <w:b/>
                <w:bCs/>
              </w:rPr>
              <w:t>Deadline:</w:t>
            </w:r>
          </w:p>
        </w:tc>
        <w:tc>
          <w:tcPr>
            <w:tcW w:w="7739" w:type="dxa"/>
            <w:gridSpan w:val="3"/>
            <w:tcBorders>
              <w:bottom w:val="single" w:sz="12" w:space="0" w:color="auto"/>
            </w:tcBorders>
          </w:tcPr>
          <w:p w:rsidR="00D31F73" w:rsidRPr="009569AB" w:rsidRDefault="00D31F73" w:rsidP="002A169B">
            <w:pPr>
              <w:tabs>
                <w:tab w:val="left" w:pos="794"/>
                <w:tab w:val="left" w:pos="1191"/>
                <w:tab w:val="left" w:pos="1588"/>
                <w:tab w:val="left" w:pos="1985"/>
              </w:tabs>
              <w:overflowPunct w:val="0"/>
              <w:autoSpaceDE w:val="0"/>
              <w:autoSpaceDN w:val="0"/>
              <w:adjustRightInd w:val="0"/>
              <w:textAlignment w:val="baseline"/>
              <w:rPr>
                <w:rFonts w:eastAsia="Times New Roman"/>
              </w:rPr>
            </w:pPr>
            <w:r w:rsidRPr="009569AB">
              <w:rPr>
                <w:rFonts w:eastAsia="Times New Roman"/>
              </w:rPr>
              <w:t>28 February 2018</w:t>
            </w:r>
          </w:p>
        </w:tc>
      </w:tr>
      <w:tr w:rsidR="00D31F73" w:rsidRPr="008C0808" w:rsidTr="002A169B">
        <w:trPr>
          <w:cantSplit/>
          <w:trHeight w:val="204"/>
        </w:trPr>
        <w:tc>
          <w:tcPr>
            <w:tcW w:w="2184" w:type="dxa"/>
            <w:gridSpan w:val="3"/>
            <w:tcBorders>
              <w:top w:val="single" w:sz="12" w:space="0" w:color="auto"/>
              <w:bottom w:val="single" w:sz="12" w:space="0" w:color="auto"/>
            </w:tcBorders>
          </w:tcPr>
          <w:p w:rsidR="00D31F73" w:rsidRPr="009569AB" w:rsidRDefault="00D31F73" w:rsidP="002A169B">
            <w:pPr>
              <w:tabs>
                <w:tab w:val="left" w:pos="794"/>
                <w:tab w:val="left" w:pos="1191"/>
                <w:tab w:val="left" w:pos="1588"/>
                <w:tab w:val="left" w:pos="1985"/>
              </w:tabs>
              <w:overflowPunct w:val="0"/>
              <w:autoSpaceDE w:val="0"/>
              <w:autoSpaceDN w:val="0"/>
              <w:adjustRightInd w:val="0"/>
              <w:textAlignment w:val="baseline"/>
              <w:rPr>
                <w:rFonts w:eastAsia="Times New Roman"/>
                <w:b/>
                <w:bCs/>
              </w:rPr>
            </w:pPr>
            <w:r w:rsidRPr="009569AB">
              <w:rPr>
                <w:rFonts w:eastAsia="Times New Roman"/>
                <w:b/>
                <w:bCs/>
              </w:rPr>
              <w:t>Contact:</w:t>
            </w:r>
          </w:p>
        </w:tc>
        <w:tc>
          <w:tcPr>
            <w:tcW w:w="3827" w:type="dxa"/>
            <w:gridSpan w:val="2"/>
            <w:tcBorders>
              <w:top w:val="single" w:sz="12" w:space="0" w:color="auto"/>
              <w:bottom w:val="single" w:sz="12" w:space="0" w:color="auto"/>
            </w:tcBorders>
          </w:tcPr>
          <w:p w:rsidR="00D31F73" w:rsidRPr="009569AB" w:rsidRDefault="00D31F73" w:rsidP="002A169B">
            <w:pPr>
              <w:rPr>
                <w:rFonts w:eastAsia="Times New Roman"/>
              </w:rPr>
            </w:pPr>
            <w:r w:rsidRPr="009569AB">
              <w:t>Bruce Gracie</w:t>
            </w:r>
            <w:r w:rsidRPr="009569AB">
              <w:br/>
              <w:t>TSAG Chairman</w:t>
            </w:r>
            <w:r w:rsidRPr="009569AB">
              <w:br/>
              <w:t>Canada</w:t>
            </w:r>
          </w:p>
        </w:tc>
        <w:tc>
          <w:tcPr>
            <w:tcW w:w="3912" w:type="dxa"/>
            <w:tcBorders>
              <w:top w:val="single" w:sz="12" w:space="0" w:color="auto"/>
              <w:bottom w:val="single" w:sz="12" w:space="0" w:color="auto"/>
            </w:tcBorders>
          </w:tcPr>
          <w:p w:rsidR="00D31F73" w:rsidRPr="008C0808" w:rsidRDefault="00D31F73" w:rsidP="002A169B">
            <w:pPr>
              <w:rPr>
                <w:rFonts w:eastAsia="Times New Roman"/>
                <w:lang w:val="de-CH"/>
              </w:rPr>
            </w:pPr>
            <w:r w:rsidRPr="008C0808">
              <w:rPr>
                <w:lang w:val="de-CH"/>
              </w:rPr>
              <w:t>Tel: + 1 613 990-4254</w:t>
            </w:r>
            <w:r w:rsidRPr="008C0808">
              <w:rPr>
                <w:lang w:val="de-CH"/>
              </w:rPr>
              <w:br/>
              <w:t xml:space="preserve">E-mail: </w:t>
            </w:r>
            <w:r w:rsidR="002D7121">
              <w:fldChar w:fldCharType="begin"/>
            </w:r>
            <w:r w:rsidR="002D7121">
              <w:instrText xml:space="preserve"> HYPERLINK "mailto:bruce.gracie13@rogers.com" </w:instrText>
            </w:r>
            <w:r w:rsidR="002D7121">
              <w:fldChar w:fldCharType="separate"/>
            </w:r>
            <w:r w:rsidRPr="008C0808">
              <w:rPr>
                <w:rStyle w:val="Hyperlink"/>
                <w:lang w:val="de-CH"/>
              </w:rPr>
              <w:t>bruce.gracie13@rogers.com</w:t>
            </w:r>
            <w:r w:rsidR="002D7121">
              <w:rPr>
                <w:rStyle w:val="Hyperlink"/>
                <w:lang w:val="de-CH"/>
              </w:rPr>
              <w:fldChar w:fldCharType="end"/>
            </w:r>
            <w:r w:rsidRPr="008C0808">
              <w:rPr>
                <w:color w:val="000000"/>
                <w:lang w:val="de-CH"/>
              </w:rPr>
              <w:t xml:space="preserve"> </w:t>
            </w:r>
          </w:p>
        </w:tc>
      </w:tr>
    </w:tbl>
    <w:p w:rsidR="00D31F73" w:rsidRPr="009569AB" w:rsidRDefault="00D31F73" w:rsidP="00D31F73">
      <w:pPr>
        <w:tabs>
          <w:tab w:val="left" w:pos="0"/>
        </w:tabs>
        <w:overflowPunct w:val="0"/>
        <w:autoSpaceDE w:val="0"/>
        <w:autoSpaceDN w:val="0"/>
        <w:adjustRightInd w:val="0"/>
        <w:textAlignment w:val="baseline"/>
      </w:pPr>
      <w:r w:rsidRPr="00D31F73">
        <w:rPr>
          <w:rFonts w:eastAsia="Times New Roman"/>
          <w:lang w:val="en-GB"/>
        </w:rPr>
        <w:br/>
      </w:r>
      <w:r w:rsidRPr="009569AB">
        <w:rPr>
          <w:rFonts w:eastAsia="Times New Roman"/>
        </w:rPr>
        <w:t>TSAG, through its Rapporteur Group on “Strengthening Collaboration”</w:t>
      </w:r>
      <w:r w:rsidRPr="009569AB">
        <w:t>, thanks all who reviewed our former material on ITU inter-Sector coordination, and on candidate topics on working methods for ITU inter-Sector coordination and provided us with very valuable feedback. We accepted all amendments and updated the mapping material accordingly.</w:t>
      </w:r>
    </w:p>
    <w:p w:rsidR="00D31F73" w:rsidRPr="009569AB" w:rsidRDefault="00D31F73" w:rsidP="00D31F73">
      <w:pPr>
        <w:tabs>
          <w:tab w:val="left" w:pos="0"/>
        </w:tabs>
        <w:overflowPunct w:val="0"/>
        <w:autoSpaceDE w:val="0"/>
        <w:autoSpaceDN w:val="0"/>
        <w:adjustRightInd w:val="0"/>
        <w:textAlignment w:val="baseline"/>
      </w:pPr>
      <w:r w:rsidRPr="009569AB">
        <w:t>We are glad to announce having finalized compiling the mapping of common interest areas of work between the ITU-D and ITU-T SGs and between the ITU-R and ITU-T SGs. Please refer to the attachments 1 and 2 of this liaison statement respectively to review these mappings and to provide us with your further comments.</w:t>
      </w:r>
    </w:p>
    <w:p w:rsidR="00D31F73" w:rsidRPr="009569AB" w:rsidRDefault="00D31F73" w:rsidP="00D31F73">
      <w:pPr>
        <w:tabs>
          <w:tab w:val="left" w:pos="0"/>
        </w:tabs>
        <w:overflowPunct w:val="0"/>
        <w:autoSpaceDE w:val="0"/>
        <w:autoSpaceDN w:val="0"/>
        <w:adjustRightInd w:val="0"/>
        <w:textAlignment w:val="baseline"/>
      </w:pPr>
      <w:r w:rsidRPr="009569AB">
        <w:t>The mappings either show already ongoing ITU inter-Sector cooperation, or indicate possibilities for new inter-Sector cooperation.</w:t>
      </w:r>
    </w:p>
    <w:p w:rsidR="00D31F73" w:rsidRPr="009569AB" w:rsidRDefault="00D31F73" w:rsidP="00D31F73">
      <w:pPr>
        <w:tabs>
          <w:tab w:val="left" w:pos="0"/>
        </w:tabs>
        <w:overflowPunct w:val="0"/>
        <w:autoSpaceDE w:val="0"/>
        <w:autoSpaceDN w:val="0"/>
        <w:adjustRightInd w:val="0"/>
        <w:textAlignment w:val="baseline"/>
      </w:pPr>
      <w:r w:rsidRPr="009569AB">
        <w:t>We are inviting any suggestions that would improve the collaboration and cooperation between the ITU Sectors.</w:t>
      </w:r>
    </w:p>
    <w:p w:rsidR="00D31F73" w:rsidRPr="009569AB" w:rsidRDefault="00D31F73" w:rsidP="00D31F73">
      <w:pPr>
        <w:tabs>
          <w:tab w:val="left" w:pos="0"/>
        </w:tabs>
        <w:overflowPunct w:val="0"/>
        <w:autoSpaceDE w:val="0"/>
        <w:autoSpaceDN w:val="0"/>
        <w:adjustRightInd w:val="0"/>
        <w:textAlignment w:val="baseline"/>
      </w:pPr>
      <w:r w:rsidRPr="009569AB">
        <w:rPr>
          <w:rFonts w:eastAsia="Times New Roman"/>
        </w:rPr>
        <w:t>We also continue</w:t>
      </w:r>
      <w:r w:rsidRPr="009569AB">
        <w:t xml:space="preserve"> examining existing methods and approaches to collaboration and/or cooperation with other Sectors, with the view of enhancing collaboration of ITU-T and other organizations in a reciprocal manner based on mutual respect. We added the issues of l</w:t>
      </w:r>
      <w:r w:rsidRPr="009569AB">
        <w:rPr>
          <w:lang w:eastAsia="zh-CN"/>
        </w:rPr>
        <w:t xml:space="preserve">iaison statement handling of </w:t>
      </w:r>
      <w:r w:rsidRPr="009569AB">
        <w:t>Inter-Sector Rapporteur Groups (</w:t>
      </w:r>
      <w:r w:rsidRPr="009569AB">
        <w:rPr>
          <w:lang w:eastAsia="zh-CN"/>
        </w:rPr>
        <w:t>IRG</w:t>
      </w:r>
      <w:r w:rsidRPr="009569AB">
        <w:t>s) to the amended list found in the Annex.</w:t>
      </w:r>
    </w:p>
    <w:p w:rsidR="00D31F73" w:rsidRPr="009569AB" w:rsidRDefault="00D31F73" w:rsidP="00D31F73">
      <w:pPr>
        <w:tabs>
          <w:tab w:val="left" w:pos="0"/>
        </w:tabs>
        <w:overflowPunct w:val="0"/>
        <w:autoSpaceDE w:val="0"/>
        <w:autoSpaceDN w:val="0"/>
        <w:adjustRightInd w:val="0"/>
        <w:textAlignment w:val="baseline"/>
      </w:pPr>
      <w:r w:rsidRPr="009569AB">
        <w:lastRenderedPageBreak/>
        <w:t>We are looking forward to receiving your feedback on added candidate topics on working methods for ITU inter-Sector coordination (ref. Annex).</w:t>
      </w:r>
    </w:p>
    <w:p w:rsidR="00D31F73" w:rsidRPr="009569AB" w:rsidRDefault="00D31F73" w:rsidP="00D31F73">
      <w:pPr>
        <w:tabs>
          <w:tab w:val="left" w:pos="0"/>
        </w:tabs>
        <w:overflowPunct w:val="0"/>
        <w:autoSpaceDE w:val="0"/>
        <w:autoSpaceDN w:val="0"/>
        <w:adjustRightInd w:val="0"/>
        <w:textAlignment w:val="baseline"/>
      </w:pPr>
    </w:p>
    <w:p w:rsidR="00D31F73" w:rsidRPr="009569AB" w:rsidRDefault="00D31F73" w:rsidP="00D31F73">
      <w:pPr>
        <w:tabs>
          <w:tab w:val="left" w:pos="0"/>
        </w:tabs>
        <w:overflowPunct w:val="0"/>
        <w:autoSpaceDE w:val="0"/>
        <w:autoSpaceDN w:val="0"/>
        <w:adjustRightInd w:val="0"/>
        <w:spacing w:before="240"/>
        <w:textAlignment w:val="baseline"/>
        <w:rPr>
          <w:b/>
          <w:bCs/>
        </w:rPr>
      </w:pPr>
      <w:r w:rsidRPr="009569AB">
        <w:rPr>
          <w:b/>
          <w:bCs/>
        </w:rPr>
        <w:t>Attachments: 2</w:t>
      </w:r>
    </w:p>
    <w:p w:rsidR="00D31F73" w:rsidRPr="009569AB" w:rsidRDefault="00D31F73" w:rsidP="00D31F73">
      <w:pPr>
        <w:numPr>
          <w:ilvl w:val="0"/>
          <w:numId w:val="37"/>
        </w:numPr>
        <w:tabs>
          <w:tab w:val="left" w:pos="0"/>
        </w:tabs>
        <w:overflowPunct w:val="0"/>
        <w:autoSpaceDE w:val="0"/>
        <w:autoSpaceDN w:val="0"/>
        <w:adjustRightInd w:val="0"/>
        <w:spacing w:before="120" w:after="0" w:line="240" w:lineRule="auto"/>
        <w:jc w:val="left"/>
        <w:textAlignment w:val="baseline"/>
      </w:pPr>
      <w:r w:rsidRPr="009569AB">
        <w:t>Attachment 1 – Matching of ITU-D SG 1 and 2 Questions of interest to ITU-T study groups.</w:t>
      </w:r>
    </w:p>
    <w:p w:rsidR="00D31F73" w:rsidRPr="009569AB" w:rsidRDefault="00D31F73" w:rsidP="00D31F73">
      <w:pPr>
        <w:keepNext/>
        <w:keepLines/>
        <w:numPr>
          <w:ilvl w:val="0"/>
          <w:numId w:val="37"/>
        </w:numPr>
        <w:tabs>
          <w:tab w:val="left" w:pos="0"/>
        </w:tabs>
        <w:overflowPunct w:val="0"/>
        <w:autoSpaceDE w:val="0"/>
        <w:autoSpaceDN w:val="0"/>
        <w:adjustRightInd w:val="0"/>
        <w:spacing w:before="120" w:after="0" w:line="240" w:lineRule="auto"/>
        <w:jc w:val="left"/>
        <w:textAlignment w:val="baseline"/>
      </w:pPr>
      <w:r w:rsidRPr="009569AB">
        <w:t>Attachment 2 – Matching of ITU-R WPs of interest to ITU-T study groups.</w:t>
      </w:r>
    </w:p>
    <w:p w:rsidR="00D31F73" w:rsidRPr="009569AB" w:rsidRDefault="00D31F73" w:rsidP="00D31F73">
      <w:pPr>
        <w:pageBreakBefore/>
        <w:spacing w:after="200" w:line="276" w:lineRule="auto"/>
        <w:jc w:val="center"/>
      </w:pPr>
      <w:r w:rsidRPr="009569AB">
        <w:rPr>
          <w:rFonts w:eastAsia="Times New Roman"/>
          <w:b/>
        </w:rPr>
        <w:lastRenderedPageBreak/>
        <w:t>Annex – Candidate topics on working methods for ITU inter-Sector coordination (updated)</w:t>
      </w:r>
    </w:p>
    <w:p w:rsidR="00D31F73" w:rsidRPr="009569AB" w:rsidRDefault="00D31F73" w:rsidP="00D31F73">
      <w:pPr>
        <w:pStyle w:val="Normalaftertitle0"/>
        <w:spacing w:before="240" w:line="240" w:lineRule="auto"/>
        <w:jc w:val="left"/>
        <w:rPr>
          <w:rFonts w:asciiTheme="minorHAnsi" w:hAnsiTheme="minorHAnsi" w:cs="Times New Roman"/>
          <w:sz w:val="24"/>
          <w:szCs w:val="24"/>
          <w:lang w:val="en-GB"/>
        </w:rPr>
      </w:pPr>
      <w:r w:rsidRPr="009569AB">
        <w:rPr>
          <w:rFonts w:asciiTheme="minorHAnsi" w:hAnsiTheme="minorHAnsi" w:cs="Times New Roman"/>
          <w:sz w:val="24"/>
          <w:szCs w:val="24"/>
          <w:lang w:val="en-GB"/>
        </w:rPr>
        <w:t>This material contained in this attachment identifies some candidate topics on working methods for ITU inter-Sector coordination, which are occurring in each Sector and where there could be some cross-Sector interest. An envisioned objective could be to share views, and best practices across the three Sectors.</w:t>
      </w:r>
    </w:p>
    <w:p w:rsidR="00D31F73" w:rsidRPr="009569AB" w:rsidRDefault="00D31F73" w:rsidP="00D31F73">
      <w:pPr>
        <w:pStyle w:val="PlainText"/>
        <w:numPr>
          <w:ilvl w:val="0"/>
          <w:numId w:val="37"/>
        </w:numPr>
        <w:spacing w:before="120"/>
        <w:rPr>
          <w:rFonts w:asciiTheme="minorHAnsi" w:hAnsiTheme="minorHAnsi" w:cs="Times New Roman"/>
          <w:sz w:val="24"/>
          <w:szCs w:val="24"/>
          <w:lang w:val="en-GB"/>
        </w:rPr>
      </w:pPr>
      <w:r w:rsidRPr="009569AB">
        <w:rPr>
          <w:rFonts w:asciiTheme="minorHAnsi" w:hAnsiTheme="minorHAnsi" w:cs="Times New Roman"/>
          <w:sz w:val="24"/>
          <w:szCs w:val="24"/>
          <w:lang w:val="en-GB"/>
        </w:rPr>
        <w:t>Liaison statement handling of Inter-Sector Rapporteur Groups (IRGs)</w:t>
      </w:r>
    </w:p>
    <w:p w:rsidR="00D31F73" w:rsidRPr="009569AB" w:rsidRDefault="00D31F73" w:rsidP="00D31F73">
      <w:pPr>
        <w:ind w:left="360"/>
      </w:pPr>
      <w:r w:rsidRPr="009569AB">
        <w:t>We believe that the liaison statement handling method needs to be clearly defined when an IRG receives an incoming liaison statement. The following describes the current tentative operation:</w:t>
      </w:r>
    </w:p>
    <w:p w:rsidR="00D31F73" w:rsidRPr="009569AB" w:rsidRDefault="00D31F73" w:rsidP="00D31F73">
      <w:pPr>
        <w:pStyle w:val="enumlev2"/>
        <w:numPr>
          <w:ilvl w:val="0"/>
          <w:numId w:val="38"/>
        </w:numPr>
        <w:rPr>
          <w:rFonts w:asciiTheme="minorHAnsi" w:hAnsiTheme="minorHAnsi"/>
          <w:szCs w:val="24"/>
          <w:lang w:eastAsia="ja-JP"/>
        </w:rPr>
      </w:pPr>
      <w:r w:rsidRPr="009569AB">
        <w:rPr>
          <w:rFonts w:asciiTheme="minorHAnsi" w:hAnsiTheme="minorHAnsi"/>
          <w:szCs w:val="24"/>
          <w:lang w:eastAsia="ja-JP"/>
        </w:rPr>
        <w:t>The associated secretary of TSB or BR handles an incoming liaison statement. For example, in the IRG-IBB’s case, Secretary of SG9 is an associated secretary.</w:t>
      </w:r>
    </w:p>
    <w:p w:rsidR="00D31F73" w:rsidRPr="009569AB" w:rsidRDefault="00D31F73" w:rsidP="00D31F73">
      <w:pPr>
        <w:pStyle w:val="enumlev2"/>
        <w:numPr>
          <w:ilvl w:val="0"/>
          <w:numId w:val="38"/>
        </w:numPr>
        <w:rPr>
          <w:rFonts w:asciiTheme="minorHAnsi" w:hAnsiTheme="minorHAnsi"/>
          <w:szCs w:val="24"/>
          <w:lang w:eastAsia="ja-JP"/>
        </w:rPr>
      </w:pPr>
      <w:r w:rsidRPr="009569AB">
        <w:rPr>
          <w:rFonts w:asciiTheme="minorHAnsi" w:hAnsiTheme="minorHAnsi"/>
          <w:szCs w:val="24"/>
          <w:lang w:eastAsia="ja-JP"/>
        </w:rPr>
        <w:t>The associated secretary stores the incoming liaison statement in the folder of the information FTP area (</w:t>
      </w:r>
      <w:proofErr w:type="spellStart"/>
      <w:r w:rsidRPr="009569AB">
        <w:rPr>
          <w:rFonts w:asciiTheme="minorHAnsi" w:hAnsiTheme="minorHAnsi"/>
          <w:szCs w:val="24"/>
          <w:lang w:eastAsia="ja-JP"/>
        </w:rPr>
        <w:t>iFA</w:t>
      </w:r>
      <w:proofErr w:type="spellEnd"/>
      <w:r w:rsidRPr="009569AB">
        <w:rPr>
          <w:rFonts w:asciiTheme="minorHAnsi" w:hAnsiTheme="minorHAnsi"/>
          <w:szCs w:val="24"/>
          <w:lang w:eastAsia="ja-JP"/>
        </w:rPr>
        <w:t>).</w:t>
      </w:r>
    </w:p>
    <w:p w:rsidR="00D31F73" w:rsidRPr="009569AB" w:rsidRDefault="00D31F73" w:rsidP="00D31F73">
      <w:pPr>
        <w:pStyle w:val="enumlev2"/>
        <w:numPr>
          <w:ilvl w:val="0"/>
          <w:numId w:val="38"/>
        </w:numPr>
        <w:rPr>
          <w:rFonts w:asciiTheme="minorHAnsi" w:hAnsiTheme="minorHAnsi"/>
          <w:szCs w:val="24"/>
          <w:lang w:eastAsia="ja-JP"/>
        </w:rPr>
      </w:pPr>
      <w:r w:rsidRPr="009569AB">
        <w:rPr>
          <w:rFonts w:asciiTheme="minorHAnsi" w:hAnsiTheme="minorHAnsi"/>
          <w:szCs w:val="24"/>
          <w:lang w:eastAsia="ja-JP"/>
        </w:rPr>
        <w:t>The folder is named with the date of the next IRG meeting regardless of an e-meeting or a physical meeting, e.g., “ftp://ifa.itu.int/c/</w:t>
      </w:r>
      <w:proofErr w:type="spellStart"/>
      <w:r w:rsidRPr="009569AB">
        <w:rPr>
          <w:rFonts w:asciiTheme="minorHAnsi" w:hAnsiTheme="minorHAnsi"/>
          <w:szCs w:val="24"/>
          <w:lang w:eastAsia="ja-JP"/>
        </w:rPr>
        <w:t>irg</w:t>
      </w:r>
      <w:proofErr w:type="spellEnd"/>
      <w:r w:rsidRPr="009569AB">
        <w:rPr>
          <w:rFonts w:asciiTheme="minorHAnsi" w:hAnsiTheme="minorHAnsi"/>
          <w:szCs w:val="24"/>
          <w:lang w:eastAsia="ja-JP"/>
        </w:rPr>
        <w:t>/</w:t>
      </w:r>
      <w:proofErr w:type="spellStart"/>
      <w:r w:rsidRPr="009569AB">
        <w:rPr>
          <w:rFonts w:asciiTheme="minorHAnsi" w:hAnsiTheme="minorHAnsi"/>
          <w:szCs w:val="24"/>
          <w:lang w:eastAsia="ja-JP"/>
        </w:rPr>
        <w:t>ibb</w:t>
      </w:r>
      <w:proofErr w:type="spellEnd"/>
      <w:r w:rsidRPr="009569AB">
        <w:rPr>
          <w:rFonts w:asciiTheme="minorHAnsi" w:hAnsiTheme="minorHAnsi"/>
          <w:szCs w:val="24"/>
          <w:lang w:eastAsia="ja-JP"/>
        </w:rPr>
        <w:t>/</w:t>
      </w:r>
      <w:proofErr w:type="spellStart"/>
      <w:r w:rsidRPr="009569AB">
        <w:rPr>
          <w:rFonts w:asciiTheme="minorHAnsi" w:hAnsiTheme="minorHAnsi"/>
          <w:szCs w:val="24"/>
          <w:lang w:eastAsia="ja-JP"/>
        </w:rPr>
        <w:t>mgt</w:t>
      </w:r>
      <w:proofErr w:type="spellEnd"/>
      <w:r w:rsidRPr="009569AB">
        <w:rPr>
          <w:rFonts w:asciiTheme="minorHAnsi" w:hAnsiTheme="minorHAnsi"/>
          <w:szCs w:val="24"/>
          <w:lang w:eastAsia="ja-JP"/>
        </w:rPr>
        <w:t>/2016_05_e-meeting”.</w:t>
      </w:r>
    </w:p>
    <w:p w:rsidR="00D31F73" w:rsidRPr="009569AB" w:rsidRDefault="00D31F73" w:rsidP="00D31F73">
      <w:pPr>
        <w:pStyle w:val="enumlev2"/>
        <w:numPr>
          <w:ilvl w:val="0"/>
          <w:numId w:val="38"/>
        </w:numPr>
        <w:rPr>
          <w:rFonts w:asciiTheme="minorHAnsi" w:hAnsiTheme="minorHAnsi"/>
          <w:szCs w:val="24"/>
          <w:lang w:eastAsia="ja-JP"/>
        </w:rPr>
      </w:pPr>
      <w:r w:rsidRPr="009569AB">
        <w:rPr>
          <w:rFonts w:asciiTheme="minorHAnsi" w:hAnsiTheme="minorHAnsi"/>
          <w:szCs w:val="24"/>
          <w:lang w:eastAsia="ja-JP"/>
        </w:rPr>
        <w:t xml:space="preserve">However, as instructed in WTSA-16 Resolution 18, </w:t>
      </w:r>
      <w:r w:rsidRPr="009569AB">
        <w:rPr>
          <w:rFonts w:asciiTheme="minorHAnsi" w:hAnsiTheme="minorHAnsi"/>
          <w:szCs w:val="24"/>
        </w:rPr>
        <w:t>an IRG normally work</w:t>
      </w:r>
      <w:r w:rsidRPr="009569AB">
        <w:rPr>
          <w:rFonts w:asciiTheme="minorHAnsi" w:hAnsiTheme="minorHAnsi"/>
          <w:szCs w:val="24"/>
          <w:lang w:eastAsia="ja-JP"/>
        </w:rPr>
        <w:t>s</w:t>
      </w:r>
      <w:r w:rsidRPr="009569AB">
        <w:rPr>
          <w:rFonts w:asciiTheme="minorHAnsi" w:hAnsiTheme="minorHAnsi"/>
          <w:szCs w:val="24"/>
        </w:rPr>
        <w:t xml:space="preserve"> by correspondence</w:t>
      </w:r>
      <w:r w:rsidRPr="009569AB">
        <w:rPr>
          <w:rFonts w:asciiTheme="minorHAnsi" w:hAnsiTheme="minorHAnsi"/>
          <w:szCs w:val="24"/>
          <w:lang w:eastAsia="ja-JP"/>
        </w:rPr>
        <w:t xml:space="preserve"> or teleconferencing. If an IRG works by correspondence, the meeting date cannot be defined.</w:t>
      </w:r>
    </w:p>
    <w:p w:rsidR="00D31F73" w:rsidRPr="009569AB" w:rsidRDefault="00D31F73" w:rsidP="00D31F73">
      <w:pPr>
        <w:ind w:left="360"/>
      </w:pPr>
      <w:r w:rsidRPr="009569AB">
        <w:t>Taking the above situation into consideration, the liaison statement handling method of IRG needs to be clearly defined based on such assumption that an IRG sometimes works by correspondence, where no meeting date is defined.</w:t>
      </w:r>
    </w:p>
    <w:p w:rsidR="00D31F73" w:rsidRPr="009569AB" w:rsidRDefault="00D31F73" w:rsidP="00D31F73">
      <w:pPr>
        <w:ind w:left="360"/>
      </w:pPr>
      <w:r w:rsidRPr="009569AB">
        <w:t>In addition, we believe that notification to an IRG mailing list when an incoming liaison statement is received should improve the work efficiency. Such mechanism needs to be defined as well.</w:t>
      </w:r>
    </w:p>
    <w:p w:rsidR="00D31F73" w:rsidRPr="009569AB" w:rsidRDefault="00D31F73" w:rsidP="00D31F73">
      <w:pPr>
        <w:pStyle w:val="PlainText"/>
        <w:numPr>
          <w:ilvl w:val="0"/>
          <w:numId w:val="37"/>
        </w:numPr>
        <w:spacing w:before="120"/>
        <w:rPr>
          <w:rFonts w:asciiTheme="minorHAnsi" w:hAnsiTheme="minorHAnsi" w:cs="Times New Roman"/>
          <w:sz w:val="24"/>
          <w:szCs w:val="24"/>
          <w:lang w:val="en-GB"/>
        </w:rPr>
      </w:pPr>
      <w:r w:rsidRPr="009569AB">
        <w:rPr>
          <w:rFonts w:asciiTheme="minorHAnsi" w:hAnsiTheme="minorHAnsi" w:cs="Times New Roman"/>
          <w:sz w:val="24"/>
          <w:szCs w:val="24"/>
          <w:lang w:val="en-GB"/>
        </w:rPr>
        <w:t>Identification and dissemination of best practices for the design, installation and operation of Internet exchange points (IXPs)</w:t>
      </w:r>
    </w:p>
    <w:p w:rsidR="00D31F73" w:rsidRPr="009569AB" w:rsidRDefault="00D31F73" w:rsidP="00D31F73">
      <w:pPr>
        <w:pStyle w:val="PlainText"/>
        <w:numPr>
          <w:ilvl w:val="0"/>
          <w:numId w:val="37"/>
        </w:numPr>
        <w:spacing w:before="120"/>
        <w:rPr>
          <w:rFonts w:asciiTheme="minorHAnsi" w:hAnsiTheme="minorHAnsi" w:cs="Times New Roman"/>
          <w:sz w:val="24"/>
          <w:szCs w:val="24"/>
          <w:lang w:val="en-GB"/>
        </w:rPr>
      </w:pPr>
      <w:r w:rsidRPr="009569AB">
        <w:rPr>
          <w:rFonts w:asciiTheme="minorHAnsi" w:hAnsiTheme="minorHAnsi" w:cs="Times New Roman"/>
          <w:sz w:val="24"/>
          <w:szCs w:val="24"/>
          <w:lang w:val="en-GB"/>
        </w:rPr>
        <w:t>Resolutions 1 issues where appropriate.</w:t>
      </w:r>
    </w:p>
    <w:p w:rsidR="00D31F73" w:rsidRPr="009569AB" w:rsidRDefault="00D31F73" w:rsidP="00D31F73">
      <w:pPr>
        <w:pStyle w:val="PlainText"/>
        <w:numPr>
          <w:ilvl w:val="0"/>
          <w:numId w:val="37"/>
        </w:numPr>
        <w:spacing w:before="120"/>
        <w:rPr>
          <w:rFonts w:asciiTheme="minorHAnsi" w:hAnsiTheme="minorHAnsi" w:cs="Times New Roman"/>
          <w:sz w:val="24"/>
          <w:szCs w:val="24"/>
          <w:lang w:val="en-GB"/>
        </w:rPr>
      </w:pPr>
      <w:r w:rsidRPr="009569AB">
        <w:rPr>
          <w:rFonts w:asciiTheme="minorHAnsi" w:hAnsiTheme="minorHAnsi" w:cs="Times New Roman"/>
          <w:sz w:val="24"/>
          <w:szCs w:val="24"/>
          <w:lang w:val="en-GB"/>
        </w:rPr>
        <w:t>Sector membership.</w:t>
      </w:r>
    </w:p>
    <w:p w:rsidR="00D31F73" w:rsidRPr="009569AB" w:rsidRDefault="00D31F73" w:rsidP="00D31F73">
      <w:pPr>
        <w:pStyle w:val="PlainText"/>
        <w:numPr>
          <w:ilvl w:val="0"/>
          <w:numId w:val="37"/>
        </w:numPr>
        <w:spacing w:before="120"/>
        <w:rPr>
          <w:rFonts w:asciiTheme="minorHAnsi" w:hAnsiTheme="minorHAnsi" w:cs="Times New Roman"/>
          <w:sz w:val="24"/>
          <w:szCs w:val="24"/>
          <w:lang w:val="en-GB"/>
        </w:rPr>
      </w:pPr>
      <w:r w:rsidRPr="009569AB">
        <w:rPr>
          <w:rFonts w:asciiTheme="minorHAnsi" w:hAnsiTheme="minorHAnsi" w:cs="Times New Roman"/>
          <w:sz w:val="24"/>
          <w:szCs w:val="24"/>
          <w:lang w:val="en-GB"/>
        </w:rPr>
        <w:t>Chairmen/Vice-chairmen issues.</w:t>
      </w:r>
    </w:p>
    <w:p w:rsidR="00D31F73" w:rsidRPr="009569AB" w:rsidRDefault="00D31F73" w:rsidP="00D31F73">
      <w:pPr>
        <w:pStyle w:val="PlainText"/>
        <w:numPr>
          <w:ilvl w:val="0"/>
          <w:numId w:val="37"/>
        </w:numPr>
        <w:spacing w:before="120"/>
        <w:rPr>
          <w:rFonts w:asciiTheme="minorHAnsi" w:hAnsiTheme="minorHAnsi" w:cs="Times New Roman"/>
          <w:sz w:val="24"/>
          <w:szCs w:val="24"/>
          <w:lang w:val="en-GB"/>
        </w:rPr>
      </w:pPr>
      <w:r w:rsidRPr="009569AB">
        <w:rPr>
          <w:rFonts w:asciiTheme="minorHAnsi" w:hAnsiTheme="minorHAnsi" w:cs="Times New Roman"/>
          <w:sz w:val="24"/>
          <w:szCs w:val="24"/>
          <w:lang w:val="en-GB"/>
        </w:rPr>
        <w:t>Participation by developing countries.</w:t>
      </w:r>
    </w:p>
    <w:p w:rsidR="00D31F73" w:rsidRPr="009569AB" w:rsidRDefault="00D31F73" w:rsidP="00D31F73">
      <w:pPr>
        <w:pStyle w:val="PlainText"/>
        <w:numPr>
          <w:ilvl w:val="0"/>
          <w:numId w:val="37"/>
        </w:numPr>
        <w:spacing w:before="120"/>
        <w:rPr>
          <w:rFonts w:asciiTheme="minorHAnsi" w:hAnsiTheme="minorHAnsi" w:cs="Times New Roman"/>
          <w:sz w:val="24"/>
          <w:szCs w:val="24"/>
          <w:lang w:val="en-GB"/>
        </w:rPr>
      </w:pPr>
      <w:r w:rsidRPr="009569AB">
        <w:rPr>
          <w:rFonts w:asciiTheme="minorHAnsi" w:hAnsiTheme="minorHAnsi" w:cs="Times New Roman"/>
          <w:sz w:val="24"/>
          <w:szCs w:val="24"/>
          <w:lang w:val="en-GB"/>
        </w:rPr>
        <w:t>Language issues.</w:t>
      </w:r>
    </w:p>
    <w:p w:rsidR="00D31F73" w:rsidRPr="009569AB" w:rsidRDefault="00D31F73" w:rsidP="00D31F73">
      <w:pPr>
        <w:pStyle w:val="PlainText"/>
        <w:numPr>
          <w:ilvl w:val="0"/>
          <w:numId w:val="37"/>
        </w:numPr>
        <w:spacing w:before="120"/>
        <w:rPr>
          <w:rFonts w:asciiTheme="minorHAnsi" w:hAnsiTheme="minorHAnsi" w:cs="Times New Roman"/>
          <w:sz w:val="24"/>
          <w:szCs w:val="24"/>
          <w:lang w:val="en-GB"/>
        </w:rPr>
      </w:pPr>
      <w:r w:rsidRPr="009569AB">
        <w:rPr>
          <w:rFonts w:asciiTheme="minorHAnsi" w:hAnsiTheme="minorHAnsi" w:cs="Times New Roman"/>
          <w:sz w:val="24"/>
          <w:szCs w:val="24"/>
          <w:lang w:val="en-GB"/>
        </w:rPr>
        <w:t>Involvement of developing countries.</w:t>
      </w:r>
    </w:p>
    <w:p w:rsidR="00D31F73" w:rsidRPr="009569AB" w:rsidRDefault="00D31F73" w:rsidP="00D31F73">
      <w:pPr>
        <w:pStyle w:val="PlainText"/>
        <w:numPr>
          <w:ilvl w:val="0"/>
          <w:numId w:val="37"/>
        </w:numPr>
        <w:spacing w:before="120"/>
        <w:rPr>
          <w:rFonts w:asciiTheme="minorHAnsi" w:hAnsiTheme="minorHAnsi" w:cs="Times New Roman"/>
          <w:sz w:val="24"/>
          <w:szCs w:val="24"/>
          <w:lang w:val="en-GB"/>
        </w:rPr>
      </w:pPr>
      <w:r w:rsidRPr="009569AB">
        <w:rPr>
          <w:rFonts w:asciiTheme="minorHAnsi" w:hAnsiTheme="minorHAnsi" w:cs="Times New Roman"/>
          <w:sz w:val="24"/>
          <w:szCs w:val="24"/>
          <w:lang w:val="en-GB"/>
        </w:rPr>
        <w:t>Electronic meetings including remote participation.</w:t>
      </w:r>
    </w:p>
    <w:p w:rsidR="00D31F73" w:rsidRPr="009569AB" w:rsidRDefault="00D31F73" w:rsidP="00D31F73">
      <w:pPr>
        <w:pStyle w:val="PlainText"/>
        <w:numPr>
          <w:ilvl w:val="0"/>
          <w:numId w:val="37"/>
        </w:numPr>
        <w:spacing w:before="120"/>
        <w:rPr>
          <w:rFonts w:asciiTheme="minorHAnsi" w:hAnsiTheme="minorHAnsi" w:cs="Times New Roman"/>
          <w:sz w:val="24"/>
          <w:szCs w:val="24"/>
          <w:lang w:val="en-GB"/>
        </w:rPr>
      </w:pPr>
      <w:r w:rsidRPr="009569AB">
        <w:rPr>
          <w:rFonts w:asciiTheme="minorHAnsi" w:hAnsiTheme="minorHAnsi" w:cs="Times New Roman"/>
          <w:sz w:val="24"/>
          <w:szCs w:val="24"/>
          <w:lang w:val="en-GB"/>
        </w:rPr>
        <w:t>Electronic documents handling.</w:t>
      </w:r>
    </w:p>
    <w:p w:rsidR="00D31F73" w:rsidRPr="009569AB" w:rsidRDefault="00D31F73" w:rsidP="00D31F73">
      <w:pPr>
        <w:pStyle w:val="PlainText"/>
        <w:numPr>
          <w:ilvl w:val="0"/>
          <w:numId w:val="37"/>
        </w:numPr>
        <w:spacing w:before="120"/>
        <w:rPr>
          <w:rFonts w:asciiTheme="minorHAnsi" w:hAnsiTheme="minorHAnsi" w:cs="Times New Roman"/>
          <w:sz w:val="24"/>
          <w:szCs w:val="24"/>
          <w:lang w:val="en-GB"/>
        </w:rPr>
      </w:pPr>
      <w:r w:rsidRPr="009569AB">
        <w:rPr>
          <w:rFonts w:asciiTheme="minorHAnsi" w:hAnsiTheme="minorHAnsi" w:cs="Times New Roman"/>
          <w:sz w:val="24"/>
          <w:szCs w:val="24"/>
          <w:lang w:val="en-GB"/>
        </w:rPr>
        <w:t>Document access.</w:t>
      </w:r>
    </w:p>
    <w:p w:rsidR="00D31F73" w:rsidRPr="009569AB" w:rsidRDefault="00D31F73" w:rsidP="00D31F73">
      <w:pPr>
        <w:pStyle w:val="PlainText"/>
        <w:numPr>
          <w:ilvl w:val="0"/>
          <w:numId w:val="37"/>
        </w:numPr>
        <w:spacing w:before="120"/>
        <w:rPr>
          <w:rFonts w:asciiTheme="minorHAnsi" w:hAnsiTheme="minorHAnsi" w:cs="Times New Roman"/>
          <w:sz w:val="24"/>
          <w:szCs w:val="24"/>
          <w:lang w:val="en-GB"/>
        </w:rPr>
      </w:pPr>
      <w:r w:rsidRPr="009569AB">
        <w:rPr>
          <w:rFonts w:asciiTheme="minorHAnsi" w:hAnsiTheme="minorHAnsi" w:cs="Times New Roman"/>
          <w:sz w:val="24"/>
          <w:szCs w:val="24"/>
          <w:lang w:val="en-GB"/>
        </w:rPr>
        <w:t>Improvement of the ITU webpages and examples of best practices.</w:t>
      </w:r>
    </w:p>
    <w:p w:rsidR="00D31F73" w:rsidRPr="009569AB" w:rsidRDefault="00D31F73" w:rsidP="00D31F73">
      <w:pPr>
        <w:pStyle w:val="PlainText"/>
        <w:numPr>
          <w:ilvl w:val="0"/>
          <w:numId w:val="37"/>
        </w:numPr>
        <w:spacing w:before="120"/>
        <w:rPr>
          <w:rFonts w:asciiTheme="minorHAnsi" w:hAnsiTheme="minorHAnsi" w:cs="Times New Roman"/>
          <w:sz w:val="24"/>
          <w:szCs w:val="24"/>
          <w:lang w:val="en-GB"/>
        </w:rPr>
      </w:pPr>
      <w:r w:rsidRPr="009569AB">
        <w:rPr>
          <w:rFonts w:asciiTheme="minorHAnsi" w:hAnsiTheme="minorHAnsi" w:cs="Times New Roman"/>
          <w:sz w:val="24"/>
          <w:szCs w:val="24"/>
          <w:lang w:val="en-GB"/>
        </w:rPr>
        <w:t>Registration for participation in the meeting, including the remote participation.</w:t>
      </w:r>
    </w:p>
    <w:p w:rsidR="00D31F73" w:rsidRPr="009569AB" w:rsidRDefault="00D31F73" w:rsidP="00D31F73">
      <w:pPr>
        <w:pStyle w:val="PlainText"/>
        <w:numPr>
          <w:ilvl w:val="0"/>
          <w:numId w:val="37"/>
        </w:numPr>
        <w:spacing w:before="120"/>
        <w:rPr>
          <w:rFonts w:asciiTheme="minorHAnsi" w:hAnsiTheme="minorHAnsi" w:cs="Times New Roman"/>
          <w:sz w:val="24"/>
          <w:szCs w:val="24"/>
          <w:lang w:val="en-GB"/>
        </w:rPr>
      </w:pPr>
      <w:r w:rsidRPr="009569AB">
        <w:rPr>
          <w:rFonts w:asciiTheme="minorHAnsi" w:hAnsiTheme="minorHAnsi" w:cs="Times New Roman"/>
          <w:sz w:val="24"/>
          <w:szCs w:val="24"/>
          <w:lang w:val="en-GB"/>
        </w:rPr>
        <w:t>Practice for remote participation.</w:t>
      </w:r>
    </w:p>
    <w:p w:rsidR="00D31F73" w:rsidRPr="009569AB" w:rsidRDefault="00D31F73" w:rsidP="00D31F73">
      <w:pPr>
        <w:pStyle w:val="PlainText"/>
        <w:numPr>
          <w:ilvl w:val="0"/>
          <w:numId w:val="37"/>
        </w:numPr>
        <w:spacing w:before="120"/>
        <w:rPr>
          <w:rFonts w:asciiTheme="minorHAnsi" w:hAnsiTheme="minorHAnsi" w:cs="Times New Roman"/>
          <w:sz w:val="24"/>
          <w:szCs w:val="24"/>
          <w:lang w:val="en-GB"/>
        </w:rPr>
      </w:pPr>
      <w:r w:rsidRPr="009569AB">
        <w:rPr>
          <w:rFonts w:asciiTheme="minorHAnsi" w:hAnsiTheme="minorHAnsi" w:cs="Times New Roman"/>
          <w:sz w:val="24"/>
          <w:szCs w:val="24"/>
          <w:lang w:val="en-GB"/>
        </w:rPr>
        <w:t>Non-member participation.</w:t>
      </w:r>
    </w:p>
    <w:p w:rsidR="00D31F73" w:rsidRPr="009569AB" w:rsidRDefault="00D31F73" w:rsidP="00D31F73">
      <w:pPr>
        <w:pStyle w:val="PlainText"/>
        <w:numPr>
          <w:ilvl w:val="0"/>
          <w:numId w:val="37"/>
        </w:numPr>
        <w:spacing w:before="120"/>
        <w:rPr>
          <w:rFonts w:asciiTheme="minorHAnsi" w:hAnsiTheme="minorHAnsi" w:cs="Times New Roman"/>
          <w:sz w:val="24"/>
          <w:szCs w:val="24"/>
          <w:lang w:val="en-GB"/>
        </w:rPr>
      </w:pPr>
      <w:r w:rsidRPr="009569AB">
        <w:rPr>
          <w:rFonts w:asciiTheme="minorHAnsi" w:hAnsiTheme="minorHAnsi" w:cs="Times New Roman"/>
          <w:sz w:val="24"/>
          <w:szCs w:val="24"/>
          <w:lang w:val="en-GB"/>
        </w:rPr>
        <w:lastRenderedPageBreak/>
        <w:t>Preparation to conferences and meetings.</w:t>
      </w:r>
    </w:p>
    <w:p w:rsidR="00D31F73" w:rsidRPr="009569AB" w:rsidRDefault="00D31F73" w:rsidP="00D31F73">
      <w:pPr>
        <w:numPr>
          <w:ilvl w:val="0"/>
          <w:numId w:val="37"/>
        </w:numPr>
        <w:spacing w:before="120" w:after="0" w:line="240" w:lineRule="auto"/>
        <w:jc w:val="left"/>
      </w:pPr>
      <w:r w:rsidRPr="009569AB">
        <w:rPr>
          <w:lang w:eastAsia="zh-CN"/>
        </w:rPr>
        <w:t>Further enhancement and optimization of seminars/symposia/workshops/</w:t>
      </w:r>
      <w:r w:rsidRPr="009569AB">
        <w:t>capacity-building.</w:t>
      </w:r>
    </w:p>
    <w:p w:rsidR="00D31F73" w:rsidRPr="009569AB" w:rsidRDefault="00D31F73" w:rsidP="00D31F73">
      <w:pPr>
        <w:numPr>
          <w:ilvl w:val="0"/>
          <w:numId w:val="37"/>
        </w:numPr>
        <w:spacing w:before="120" w:after="0" w:line="240" w:lineRule="auto"/>
        <w:jc w:val="left"/>
      </w:pPr>
      <w:r w:rsidRPr="009569AB">
        <w:t>Improvement of interaction between working parties and study groups of different Sectors</w:t>
      </w:r>
    </w:p>
    <w:p w:rsidR="00D31F73" w:rsidRPr="009569AB" w:rsidRDefault="00D31F73" w:rsidP="00D31F73">
      <w:pPr>
        <w:pStyle w:val="PlainText"/>
        <w:numPr>
          <w:ilvl w:val="0"/>
          <w:numId w:val="37"/>
        </w:numPr>
        <w:spacing w:before="120"/>
        <w:rPr>
          <w:rFonts w:asciiTheme="minorHAnsi" w:hAnsiTheme="minorHAnsi" w:cs="Times New Roman"/>
          <w:sz w:val="24"/>
          <w:szCs w:val="24"/>
          <w:lang w:val="en-GB"/>
        </w:rPr>
      </w:pPr>
      <w:r w:rsidRPr="009569AB">
        <w:rPr>
          <w:rFonts w:asciiTheme="minorHAnsi" w:hAnsiTheme="minorHAnsi" w:cs="Times New Roman"/>
          <w:sz w:val="24"/>
          <w:szCs w:val="24"/>
          <w:lang w:eastAsia="ja-JP"/>
        </w:rPr>
        <w:t>Streamlined establishment procedures of inter-Sector Rapporteur group (IRG).</w:t>
      </w:r>
    </w:p>
    <w:p w:rsidR="00D31F73" w:rsidRPr="009569AB" w:rsidRDefault="00D31F73" w:rsidP="00D31F73">
      <w:pPr>
        <w:pStyle w:val="PlainText"/>
        <w:numPr>
          <w:ilvl w:val="0"/>
          <w:numId w:val="37"/>
        </w:numPr>
        <w:spacing w:before="120"/>
        <w:rPr>
          <w:rFonts w:asciiTheme="minorHAnsi" w:hAnsiTheme="minorHAnsi" w:cs="Times New Roman"/>
          <w:sz w:val="24"/>
          <w:szCs w:val="24"/>
          <w:lang w:eastAsia="ja-JP"/>
        </w:rPr>
      </w:pPr>
      <w:r w:rsidRPr="009569AB">
        <w:rPr>
          <w:rFonts w:asciiTheme="minorHAnsi" w:hAnsiTheme="minorHAnsi" w:cs="Times New Roman"/>
          <w:sz w:val="24"/>
          <w:szCs w:val="24"/>
          <w:lang w:eastAsia="ja-JP"/>
        </w:rPr>
        <w:t>Meeting planning</w:t>
      </w:r>
    </w:p>
    <w:p w:rsidR="00D31F73" w:rsidRPr="009569AB" w:rsidRDefault="00D31F73" w:rsidP="00D31F73">
      <w:pPr>
        <w:pStyle w:val="PlainText"/>
        <w:numPr>
          <w:ilvl w:val="0"/>
          <w:numId w:val="37"/>
        </w:numPr>
        <w:spacing w:before="120"/>
        <w:rPr>
          <w:rFonts w:asciiTheme="minorHAnsi" w:hAnsiTheme="minorHAnsi" w:cs="Times New Roman"/>
          <w:sz w:val="24"/>
          <w:szCs w:val="24"/>
          <w:lang w:val="en-GB"/>
        </w:rPr>
      </w:pPr>
      <w:r w:rsidRPr="009569AB">
        <w:rPr>
          <w:rFonts w:asciiTheme="minorHAnsi" w:hAnsiTheme="minorHAnsi" w:cs="Times New Roman"/>
          <w:sz w:val="24"/>
          <w:szCs w:val="24"/>
          <w:lang w:eastAsia="ja-JP"/>
        </w:rPr>
        <w:t>Collaboration and cooperation on events; e.g. on</w:t>
      </w:r>
    </w:p>
    <w:p w:rsidR="00D31F73" w:rsidRPr="009569AB" w:rsidRDefault="00D31F73" w:rsidP="00D31F73">
      <w:pPr>
        <w:numPr>
          <w:ilvl w:val="1"/>
          <w:numId w:val="37"/>
        </w:numPr>
        <w:spacing w:before="80" w:after="0" w:line="240" w:lineRule="auto"/>
        <w:jc w:val="left"/>
        <w:rPr>
          <w:lang w:eastAsia="zh-CN"/>
        </w:rPr>
      </w:pPr>
      <w:r w:rsidRPr="009569AB">
        <w:rPr>
          <w:lang w:eastAsia="zh-CN"/>
        </w:rPr>
        <w:t>IPTV testing events</w:t>
      </w:r>
    </w:p>
    <w:p w:rsidR="00D31F73" w:rsidRPr="009569AB" w:rsidRDefault="002D7121" w:rsidP="00D31F73">
      <w:pPr>
        <w:pStyle w:val="ListParagraph"/>
        <w:ind w:left="1440"/>
        <w:rPr>
          <w:sz w:val="24"/>
          <w:szCs w:val="24"/>
          <w:lang w:eastAsia="ja-JP"/>
        </w:rPr>
      </w:pPr>
      <w:hyperlink r:id="rId13" w:history="1">
        <w:r w:rsidR="00D31F73" w:rsidRPr="009569AB">
          <w:rPr>
            <w:rStyle w:val="Hyperlink"/>
            <w:sz w:val="24"/>
            <w:szCs w:val="24"/>
          </w:rPr>
          <w:t>http://www.itu.int/en/ITU-T/C-I/interop/Pages/IPTV201510.aspx</w:t>
        </w:r>
      </w:hyperlink>
    </w:p>
    <w:p w:rsidR="00D31F73" w:rsidRPr="009569AB" w:rsidRDefault="00D31F73" w:rsidP="00D31F73">
      <w:pPr>
        <w:numPr>
          <w:ilvl w:val="1"/>
          <w:numId w:val="37"/>
        </w:numPr>
        <w:spacing w:before="80" w:after="0" w:line="240" w:lineRule="auto"/>
        <w:jc w:val="left"/>
        <w:rPr>
          <w:lang w:eastAsia="zh-CN"/>
        </w:rPr>
      </w:pPr>
      <w:r w:rsidRPr="009569AB">
        <w:rPr>
          <w:lang w:eastAsia="zh-CN"/>
        </w:rPr>
        <w:t xml:space="preserve">APT (Asia Pacific </w:t>
      </w:r>
      <w:proofErr w:type="spellStart"/>
      <w:r w:rsidRPr="009569AB">
        <w:rPr>
          <w:lang w:eastAsia="zh-CN"/>
        </w:rPr>
        <w:t>Telecommunity</w:t>
      </w:r>
      <w:proofErr w:type="spellEnd"/>
      <w:r w:rsidRPr="009569AB">
        <w:rPr>
          <w:lang w:eastAsia="zh-CN"/>
        </w:rPr>
        <w:t>) and ITU C&amp;I events</w:t>
      </w:r>
    </w:p>
    <w:p w:rsidR="00D31F73" w:rsidRPr="009569AB" w:rsidRDefault="002D7121" w:rsidP="00D31F73">
      <w:pPr>
        <w:pStyle w:val="ListParagraph"/>
        <w:ind w:left="1440"/>
        <w:rPr>
          <w:sz w:val="24"/>
          <w:szCs w:val="24"/>
          <w:lang w:eastAsia="ja-JP"/>
        </w:rPr>
      </w:pPr>
      <w:hyperlink r:id="rId14" w:history="1">
        <w:r w:rsidR="00D31F73" w:rsidRPr="009569AB">
          <w:rPr>
            <w:rStyle w:val="Hyperlink"/>
            <w:sz w:val="24"/>
            <w:szCs w:val="24"/>
          </w:rPr>
          <w:t>http://www.itu.int/en/ITU-T/C-I/interop/Pages/CI_APT_Sept15.aspx</w:t>
        </w:r>
      </w:hyperlink>
    </w:p>
    <w:p w:rsidR="00D31F73" w:rsidRPr="009569AB" w:rsidRDefault="00D31F73" w:rsidP="00D31F73">
      <w:pPr>
        <w:numPr>
          <w:ilvl w:val="1"/>
          <w:numId w:val="37"/>
        </w:numPr>
        <w:spacing w:before="80" w:after="0" w:line="240" w:lineRule="auto"/>
        <w:jc w:val="left"/>
        <w:rPr>
          <w:lang w:eastAsia="zh-CN"/>
        </w:rPr>
      </w:pPr>
      <w:r w:rsidRPr="009569AB">
        <w:rPr>
          <w:lang w:eastAsia="zh-CN"/>
        </w:rPr>
        <w:t>ITU IPTV IPv6 Global Testbed Project (I3GTIPTV interoperability testbed)</w:t>
      </w:r>
    </w:p>
    <w:p w:rsidR="00D31F73" w:rsidRPr="009569AB" w:rsidRDefault="002D7121" w:rsidP="00D31F73">
      <w:pPr>
        <w:pStyle w:val="ListParagraph"/>
        <w:ind w:left="1440"/>
        <w:rPr>
          <w:sz w:val="24"/>
          <w:szCs w:val="24"/>
          <w:lang w:eastAsia="ja-JP"/>
        </w:rPr>
      </w:pPr>
      <w:hyperlink r:id="rId15" w:history="1">
        <w:r w:rsidR="00D31F73" w:rsidRPr="009569AB">
          <w:rPr>
            <w:rStyle w:val="Hyperlink"/>
            <w:sz w:val="24"/>
            <w:szCs w:val="24"/>
          </w:rPr>
          <w:t>http://www.itu.int/en/ITU-T/C-I/interop/I3GT/Pages/default.aspx</w:t>
        </w:r>
      </w:hyperlink>
    </w:p>
    <w:p w:rsidR="00D31F73" w:rsidRPr="009569AB" w:rsidRDefault="00D31F73" w:rsidP="00D31F73">
      <w:pPr>
        <w:pStyle w:val="PlainText"/>
        <w:numPr>
          <w:ilvl w:val="0"/>
          <w:numId w:val="37"/>
        </w:numPr>
        <w:spacing w:before="120"/>
        <w:rPr>
          <w:rFonts w:asciiTheme="minorHAnsi" w:hAnsiTheme="minorHAnsi" w:cs="Times New Roman"/>
          <w:sz w:val="24"/>
          <w:szCs w:val="24"/>
          <w:lang w:val="en-GB"/>
        </w:rPr>
      </w:pPr>
      <w:r w:rsidRPr="009569AB">
        <w:rPr>
          <w:rFonts w:asciiTheme="minorHAnsi" w:hAnsiTheme="minorHAnsi" w:cs="Times New Roman"/>
          <w:sz w:val="24"/>
          <w:szCs w:val="24"/>
          <w:lang w:eastAsia="ja-JP"/>
        </w:rPr>
        <w:t>Accessibility.</w:t>
      </w:r>
    </w:p>
    <w:p w:rsidR="002D7121" w:rsidRDefault="002D7121" w:rsidP="002D7121">
      <w:pPr>
        <w:spacing w:after="200" w:line="276" w:lineRule="auto"/>
        <w:jc w:val="center"/>
      </w:pPr>
    </w:p>
    <w:p w:rsidR="00AA02DE" w:rsidRPr="009569AB" w:rsidRDefault="00D31F73" w:rsidP="002D7121">
      <w:pPr>
        <w:spacing w:after="200" w:line="276" w:lineRule="auto"/>
        <w:jc w:val="center"/>
      </w:pPr>
      <w:r w:rsidRPr="009569AB">
        <w:t>__________________</w:t>
      </w:r>
    </w:p>
    <w:sectPr w:rsidR="00AA02DE" w:rsidRPr="009569AB" w:rsidSect="00D31F73">
      <w:headerReference w:type="default" r:id="rId16"/>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E62" w:rsidRDefault="00B11E62" w:rsidP="00BC5230">
      <w:pPr>
        <w:spacing w:after="0" w:line="240" w:lineRule="auto"/>
      </w:pPr>
      <w:r>
        <w:separator/>
      </w:r>
    </w:p>
  </w:endnote>
  <w:endnote w:type="continuationSeparator" w:id="0">
    <w:p w:rsidR="00B11E62" w:rsidRDefault="00B11E62" w:rsidP="00BC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E62" w:rsidRPr="008802F9" w:rsidRDefault="002D7121" w:rsidP="00E052DC">
    <w:pPr>
      <w:pStyle w:val="Footer"/>
      <w:jc w:val="center"/>
    </w:pPr>
    <w:hyperlink r:id="rId1" w:history="1">
      <w:r w:rsidR="00B11E62" w:rsidRPr="00E5750F">
        <w:rPr>
          <w:rStyle w:val="Hyperlink"/>
          <w:sz w:val="18"/>
          <w:szCs w:val="18"/>
        </w:rPr>
        <w:t>http://www.itu.int/ITU-D/TDAG/</w:t>
      </w:r>
    </w:hyperlink>
    <w:hyperlink r:id="rId2" w:history="1"/>
  </w:p>
  <w:p w:rsidR="00B11E62" w:rsidRPr="00E052DC" w:rsidRDefault="00B11E62" w:rsidP="00E05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E62" w:rsidRDefault="00B11E62" w:rsidP="00BC5230">
      <w:pPr>
        <w:spacing w:after="0" w:line="240" w:lineRule="auto"/>
      </w:pPr>
      <w:r>
        <w:separator/>
      </w:r>
    </w:p>
  </w:footnote>
  <w:footnote w:type="continuationSeparator" w:id="0">
    <w:p w:rsidR="00B11E62" w:rsidRDefault="00B11E62" w:rsidP="00BC52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E62" w:rsidRPr="00B11E62" w:rsidRDefault="00B11E62" w:rsidP="00AA02DE">
    <w:pPr>
      <w:tabs>
        <w:tab w:val="center" w:pos="7088"/>
        <w:tab w:val="right" w:pos="14459"/>
      </w:tabs>
      <w:spacing w:after="240"/>
      <w:jc w:val="left"/>
      <w:rPr>
        <w:rStyle w:val="PageNumber"/>
        <w:lang w:val="de-CH"/>
      </w:rPr>
    </w:pPr>
    <w:r>
      <w:rPr>
        <w:lang w:val="de-CH"/>
      </w:rPr>
      <w:tab/>
    </w:r>
    <w:r w:rsidRPr="006D271A">
      <w:rPr>
        <w:lang w:val="de-CH"/>
      </w:rPr>
      <w:t>ITU-D/</w:t>
    </w:r>
    <w:r w:rsidRPr="00A54E72">
      <w:rPr>
        <w:lang w:val="de-CH"/>
      </w:rPr>
      <w:t>TDAG1</w:t>
    </w:r>
    <w:r>
      <w:rPr>
        <w:lang w:val="de-CH"/>
      </w:rPr>
      <w:t>7</w:t>
    </w:r>
    <w:r w:rsidRPr="00A54E72">
      <w:rPr>
        <w:lang w:val="de-CH"/>
      </w:rPr>
      <w:t>-</w:t>
    </w:r>
    <w:r>
      <w:rPr>
        <w:lang w:val="de-CH"/>
      </w:rPr>
      <w:t>22</w:t>
    </w:r>
    <w:r w:rsidRPr="00A54E72">
      <w:rPr>
        <w:lang w:val="de-CH"/>
      </w:rPr>
      <w:t>/</w:t>
    </w:r>
    <w:r w:rsidR="00AA02DE">
      <w:rPr>
        <w:lang w:val="de-CH"/>
      </w:rPr>
      <w:t>58</w:t>
    </w:r>
    <w:r>
      <w:rPr>
        <w:lang w:val="de-CH"/>
      </w:rPr>
      <w:t>-E</w:t>
    </w:r>
    <w:r>
      <w:rPr>
        <w:lang w:val="de-CH"/>
      </w:rPr>
      <w:tab/>
    </w:r>
    <w:r w:rsidRPr="006D271A">
      <w:rPr>
        <w:lang w:val="de-CH"/>
      </w:rPr>
      <w:t xml:space="preserve">Page </w:t>
    </w:r>
    <w:r w:rsidRPr="00972BCD">
      <w:fldChar w:fldCharType="begin"/>
    </w:r>
    <w:r w:rsidRPr="006D271A">
      <w:rPr>
        <w:lang w:val="de-CH"/>
      </w:rPr>
      <w:instrText xml:space="preserve"> PAGE </w:instrText>
    </w:r>
    <w:r w:rsidRPr="00972BCD">
      <w:fldChar w:fldCharType="separate"/>
    </w:r>
    <w:r w:rsidR="00D31F73">
      <w:rPr>
        <w:noProof/>
        <w:lang w:val="de-CH"/>
      </w:rPr>
      <w:t>2</w:t>
    </w:r>
    <w:r w:rsidRPr="00972BCD">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58" w:rsidRPr="00972044" w:rsidRDefault="00972044" w:rsidP="00972044">
    <w:pPr>
      <w:tabs>
        <w:tab w:val="center" w:pos="4536"/>
        <w:tab w:val="right" w:pos="9639"/>
      </w:tabs>
      <w:ind w:right="1"/>
      <w:rPr>
        <w:smallCaps/>
        <w:spacing w:val="24"/>
        <w:lang w:val="fr-CH"/>
      </w:rPr>
    </w:pPr>
    <w:r w:rsidRPr="00937076">
      <w:tab/>
    </w:r>
    <w:r w:rsidRPr="00453EFC">
      <w:rPr>
        <w:lang w:val="fr-CH"/>
      </w:rPr>
      <w:t>ITU-D/TDAG17-22/</w:t>
    </w:r>
    <w:r>
      <w:rPr>
        <w:lang w:val="fr-CH"/>
      </w:rPr>
      <w:t>58</w:t>
    </w:r>
    <w:r w:rsidRPr="00453EFC">
      <w:rPr>
        <w:lang w:val="fr-CH"/>
      </w:rPr>
      <w:t>-</w:t>
    </w:r>
    <w:r>
      <w:rPr>
        <w:lang w:val="fr-CH"/>
      </w:rPr>
      <w:t>E</w:t>
    </w:r>
    <w:r w:rsidRPr="00453EFC">
      <w:rPr>
        <w:lang w:val="fr-CH"/>
      </w:rPr>
      <w:tab/>
    </w:r>
    <w:r w:rsidRPr="00937076">
      <w:rPr>
        <w:rStyle w:val="PageNumber"/>
      </w:rPr>
      <w:fldChar w:fldCharType="begin"/>
    </w:r>
    <w:r w:rsidRPr="00453EFC">
      <w:rPr>
        <w:rStyle w:val="PageNumber"/>
        <w:lang w:val="fr-CH"/>
      </w:rPr>
      <w:instrText xml:space="preserve"> PAGE </w:instrText>
    </w:r>
    <w:r w:rsidRPr="00937076">
      <w:rPr>
        <w:rStyle w:val="PageNumber"/>
      </w:rPr>
      <w:fldChar w:fldCharType="separate"/>
    </w:r>
    <w:r w:rsidR="002D7121">
      <w:rPr>
        <w:rStyle w:val="PageNumber"/>
        <w:noProof/>
        <w:lang w:val="fr-CH"/>
      </w:rPr>
      <w:t>5</w:t>
    </w:r>
    <w:r w:rsidRPr="00937076">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B86"/>
    <w:multiLevelType w:val="hybridMultilevel"/>
    <w:tmpl w:val="5EF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0F77"/>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DB13B9"/>
    <w:multiLevelType w:val="hybridMultilevel"/>
    <w:tmpl w:val="4AB2F2F0"/>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97CCF"/>
    <w:multiLevelType w:val="hybridMultilevel"/>
    <w:tmpl w:val="EF121236"/>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A333F8"/>
    <w:multiLevelType w:val="hybridMultilevel"/>
    <w:tmpl w:val="1EB6B7B2"/>
    <w:lvl w:ilvl="0" w:tplc="B770F734">
      <w:start w:val="5"/>
      <w:numFmt w:val="bullet"/>
      <w:lvlText w:val="–"/>
      <w:lvlJc w:val="left"/>
      <w:pPr>
        <w:ind w:left="367" w:hanging="360"/>
      </w:pPr>
      <w:rPr>
        <w:rFonts w:ascii="Calibri" w:eastAsia="Calibri" w:hAnsi="Calibri" w:cs="Aria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8"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0" w15:restartNumberingAfterBreak="0">
    <w:nsid w:val="1D3C2B00"/>
    <w:multiLevelType w:val="hybridMultilevel"/>
    <w:tmpl w:val="8E98E0C8"/>
    <w:lvl w:ilvl="0" w:tplc="113EFBBC">
      <w:start w:val="1"/>
      <w:numFmt w:val="bullet"/>
      <w:lvlText w:val=""/>
      <w:lvlJc w:val="left"/>
      <w:pPr>
        <w:ind w:left="1214" w:hanging="420"/>
      </w:pPr>
      <w:rPr>
        <w:rFonts w:ascii="Symbol" w:hAnsi="Symbol" w:hint="default"/>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11" w15:restartNumberingAfterBreak="0">
    <w:nsid w:val="23F94D25"/>
    <w:multiLevelType w:val="hybridMultilevel"/>
    <w:tmpl w:val="5A6AF37A"/>
    <w:lvl w:ilvl="0" w:tplc="AE6E5FD2">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480193"/>
    <w:multiLevelType w:val="hybridMultilevel"/>
    <w:tmpl w:val="273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E75EAB"/>
    <w:multiLevelType w:val="hybridMultilevel"/>
    <w:tmpl w:val="3F3AE5B8"/>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B44900"/>
    <w:multiLevelType w:val="hybridMultilevel"/>
    <w:tmpl w:val="69A8AF2E"/>
    <w:lvl w:ilvl="0" w:tplc="B0924452">
      <w:start w:val="5"/>
      <w:numFmt w:val="bullet"/>
      <w:lvlText w:val="–"/>
      <w:lvlJc w:val="left"/>
      <w:pPr>
        <w:ind w:left="457" w:hanging="360"/>
      </w:pPr>
      <w:rPr>
        <w:rFonts w:ascii="Calibri" w:eastAsia="Calibri" w:hAnsi="Calibri"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7" w15:restartNumberingAfterBreak="0">
    <w:nsid w:val="444830FB"/>
    <w:multiLevelType w:val="hybridMultilevel"/>
    <w:tmpl w:val="77EA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A288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554"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8D301A3"/>
    <w:multiLevelType w:val="hybridMultilevel"/>
    <w:tmpl w:val="DFAC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584404"/>
    <w:multiLevelType w:val="hybridMultilevel"/>
    <w:tmpl w:val="35CADADC"/>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8F1209"/>
    <w:multiLevelType w:val="hybridMultilevel"/>
    <w:tmpl w:val="0D50F612"/>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034B47"/>
    <w:multiLevelType w:val="hybridMultilevel"/>
    <w:tmpl w:val="25EE7BA2"/>
    <w:lvl w:ilvl="0" w:tplc="3ED6FF5C">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D92B14"/>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612C23"/>
    <w:multiLevelType w:val="hybridMultilevel"/>
    <w:tmpl w:val="0542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13"/>
  </w:num>
  <w:num w:numId="4">
    <w:abstractNumId w:val="20"/>
  </w:num>
  <w:num w:numId="5">
    <w:abstractNumId w:val="18"/>
  </w:num>
  <w:num w:numId="6">
    <w:abstractNumId w:val="18"/>
  </w:num>
  <w:num w:numId="7">
    <w:abstractNumId w:val="25"/>
  </w:num>
  <w:num w:numId="8">
    <w:abstractNumId w:val="8"/>
  </w:num>
  <w:num w:numId="9">
    <w:abstractNumId w:val="9"/>
  </w:num>
  <w:num w:numId="10">
    <w:abstractNumId w:val="6"/>
  </w:num>
  <w:num w:numId="11">
    <w:abstractNumId w:val="27"/>
  </w:num>
  <w:num w:numId="12">
    <w:abstractNumId w:val="4"/>
  </w:num>
  <w:num w:numId="13">
    <w:abstractNumId w:val="5"/>
  </w:num>
  <w:num w:numId="14">
    <w:abstractNumId w:val="14"/>
  </w:num>
  <w:num w:numId="15">
    <w:abstractNumId w:val="7"/>
  </w:num>
  <w:num w:numId="16">
    <w:abstractNumId w:val="23"/>
  </w:num>
  <w:num w:numId="17">
    <w:abstractNumId w:val="16"/>
  </w:num>
  <w:num w:numId="18">
    <w:abstractNumId w:val="3"/>
  </w:num>
  <w:num w:numId="19">
    <w:abstractNumId w:val="11"/>
  </w:num>
  <w:num w:numId="20">
    <w:abstractNumId w:val="28"/>
  </w:num>
  <w:num w:numId="21">
    <w:abstractNumId w:val="1"/>
  </w:num>
  <w:num w:numId="22">
    <w:abstractNumId w:val="18"/>
  </w:num>
  <w:num w:numId="23">
    <w:abstractNumId w:val="18"/>
  </w:num>
  <w:num w:numId="24">
    <w:abstractNumId w:val="21"/>
  </w:num>
  <w:num w:numId="25">
    <w:abstractNumId w:val="22"/>
  </w:num>
  <w:num w:numId="26">
    <w:abstractNumId w:val="29"/>
  </w:num>
  <w:num w:numId="27">
    <w:abstractNumId w:val="17"/>
  </w:num>
  <w:num w:numId="28">
    <w:abstractNumId w:val="12"/>
  </w:num>
  <w:num w:numId="29">
    <w:abstractNumId w:val="0"/>
  </w:num>
  <w:num w:numId="30">
    <w:abstractNumId w:val="19"/>
  </w:num>
  <w:num w:numId="31">
    <w:abstractNumId w:val="24"/>
  </w:num>
  <w:num w:numId="32">
    <w:abstractNumId w:val="18"/>
  </w:num>
  <w:num w:numId="33">
    <w:abstractNumId w:val="18"/>
  </w:num>
  <w:num w:numId="34">
    <w:abstractNumId w:val="18"/>
  </w:num>
  <w:num w:numId="35">
    <w:abstractNumId w:val="18"/>
  </w:num>
  <w:num w:numId="36">
    <w:abstractNumId w:val="18"/>
  </w:num>
  <w:num w:numId="37">
    <w:abstractNumId w:val="26"/>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30"/>
    <w:rsid w:val="00000079"/>
    <w:rsid w:val="00001778"/>
    <w:rsid w:val="00003299"/>
    <w:rsid w:val="00004A84"/>
    <w:rsid w:val="0000779F"/>
    <w:rsid w:val="00010247"/>
    <w:rsid w:val="00010C45"/>
    <w:rsid w:val="00011512"/>
    <w:rsid w:val="0001237C"/>
    <w:rsid w:val="00013666"/>
    <w:rsid w:val="0001495A"/>
    <w:rsid w:val="00015790"/>
    <w:rsid w:val="00016912"/>
    <w:rsid w:val="00026326"/>
    <w:rsid w:val="00027822"/>
    <w:rsid w:val="00027ECF"/>
    <w:rsid w:val="00030FB8"/>
    <w:rsid w:val="00032B3F"/>
    <w:rsid w:val="000336AF"/>
    <w:rsid w:val="000338B7"/>
    <w:rsid w:val="00034810"/>
    <w:rsid w:val="000355F7"/>
    <w:rsid w:val="000365F2"/>
    <w:rsid w:val="00040DE7"/>
    <w:rsid w:val="00042783"/>
    <w:rsid w:val="00043A3A"/>
    <w:rsid w:val="00044C7E"/>
    <w:rsid w:val="00045455"/>
    <w:rsid w:val="000456DE"/>
    <w:rsid w:val="000467B0"/>
    <w:rsid w:val="00046C8F"/>
    <w:rsid w:val="00052FE3"/>
    <w:rsid w:val="0005346F"/>
    <w:rsid w:val="0005554B"/>
    <w:rsid w:val="00055E22"/>
    <w:rsid w:val="00057DA6"/>
    <w:rsid w:val="00060E8F"/>
    <w:rsid w:val="000665C3"/>
    <w:rsid w:val="00067069"/>
    <w:rsid w:val="000707B3"/>
    <w:rsid w:val="00070D14"/>
    <w:rsid w:val="000712FA"/>
    <w:rsid w:val="0007320D"/>
    <w:rsid w:val="0007613F"/>
    <w:rsid w:val="00076434"/>
    <w:rsid w:val="00076581"/>
    <w:rsid w:val="00080221"/>
    <w:rsid w:val="0008232E"/>
    <w:rsid w:val="00083B3E"/>
    <w:rsid w:val="00085163"/>
    <w:rsid w:val="0008655C"/>
    <w:rsid w:val="00090FFE"/>
    <w:rsid w:val="000928D5"/>
    <w:rsid w:val="00096741"/>
    <w:rsid w:val="00096E52"/>
    <w:rsid w:val="000A1E71"/>
    <w:rsid w:val="000A423D"/>
    <w:rsid w:val="000A63EC"/>
    <w:rsid w:val="000B2174"/>
    <w:rsid w:val="000B64A9"/>
    <w:rsid w:val="000B6CF1"/>
    <w:rsid w:val="000C14F5"/>
    <w:rsid w:val="000C212F"/>
    <w:rsid w:val="000C2824"/>
    <w:rsid w:val="000C3E78"/>
    <w:rsid w:val="000C3F39"/>
    <w:rsid w:val="000C46C0"/>
    <w:rsid w:val="000C4F66"/>
    <w:rsid w:val="000C58AC"/>
    <w:rsid w:val="000C7970"/>
    <w:rsid w:val="000D0B08"/>
    <w:rsid w:val="000D341E"/>
    <w:rsid w:val="000E0BC2"/>
    <w:rsid w:val="000E25BF"/>
    <w:rsid w:val="000E30E8"/>
    <w:rsid w:val="000E3748"/>
    <w:rsid w:val="000E4692"/>
    <w:rsid w:val="000E6536"/>
    <w:rsid w:val="000F417B"/>
    <w:rsid w:val="000F76CA"/>
    <w:rsid w:val="000F780E"/>
    <w:rsid w:val="001001CC"/>
    <w:rsid w:val="00104100"/>
    <w:rsid w:val="0010410C"/>
    <w:rsid w:val="00106656"/>
    <w:rsid w:val="0011211C"/>
    <w:rsid w:val="001125C2"/>
    <w:rsid w:val="00113D3D"/>
    <w:rsid w:val="0011408B"/>
    <w:rsid w:val="001140EB"/>
    <w:rsid w:val="001228BF"/>
    <w:rsid w:val="00126F4E"/>
    <w:rsid w:val="0012730F"/>
    <w:rsid w:val="00127A37"/>
    <w:rsid w:val="00131917"/>
    <w:rsid w:val="00137347"/>
    <w:rsid w:val="0013747F"/>
    <w:rsid w:val="00144A28"/>
    <w:rsid w:val="001458F0"/>
    <w:rsid w:val="001472E3"/>
    <w:rsid w:val="001477EB"/>
    <w:rsid w:val="00147908"/>
    <w:rsid w:val="0015082D"/>
    <w:rsid w:val="001518E2"/>
    <w:rsid w:val="00154DDF"/>
    <w:rsid w:val="00155FFE"/>
    <w:rsid w:val="001563A3"/>
    <w:rsid w:val="001567AD"/>
    <w:rsid w:val="00163141"/>
    <w:rsid w:val="00166279"/>
    <w:rsid w:val="0016768F"/>
    <w:rsid w:val="0017012C"/>
    <w:rsid w:val="0017155F"/>
    <w:rsid w:val="001716F3"/>
    <w:rsid w:val="0017682B"/>
    <w:rsid w:val="00176A2B"/>
    <w:rsid w:val="00190952"/>
    <w:rsid w:val="00191033"/>
    <w:rsid w:val="00195B4C"/>
    <w:rsid w:val="00196411"/>
    <w:rsid w:val="001973AE"/>
    <w:rsid w:val="001A0EB7"/>
    <w:rsid w:val="001A1741"/>
    <w:rsid w:val="001A24D1"/>
    <w:rsid w:val="001A584B"/>
    <w:rsid w:val="001A5892"/>
    <w:rsid w:val="001A70ED"/>
    <w:rsid w:val="001A7A92"/>
    <w:rsid w:val="001B0705"/>
    <w:rsid w:val="001B3C2D"/>
    <w:rsid w:val="001B4207"/>
    <w:rsid w:val="001B608D"/>
    <w:rsid w:val="001C07D7"/>
    <w:rsid w:val="001C42E2"/>
    <w:rsid w:val="001C5909"/>
    <w:rsid w:val="001C6903"/>
    <w:rsid w:val="001D01A6"/>
    <w:rsid w:val="001D1137"/>
    <w:rsid w:val="001D1773"/>
    <w:rsid w:val="001D24E3"/>
    <w:rsid w:val="001D33A7"/>
    <w:rsid w:val="001D70A3"/>
    <w:rsid w:val="001E191F"/>
    <w:rsid w:val="001E1E2C"/>
    <w:rsid w:val="001E6097"/>
    <w:rsid w:val="001E6918"/>
    <w:rsid w:val="001E7917"/>
    <w:rsid w:val="001E7E02"/>
    <w:rsid w:val="001F043C"/>
    <w:rsid w:val="001F0923"/>
    <w:rsid w:val="001F0C2A"/>
    <w:rsid w:val="001F10FE"/>
    <w:rsid w:val="001F417C"/>
    <w:rsid w:val="001F52DF"/>
    <w:rsid w:val="00200635"/>
    <w:rsid w:val="00203BE4"/>
    <w:rsid w:val="0020777A"/>
    <w:rsid w:val="00210AB9"/>
    <w:rsid w:val="002124CE"/>
    <w:rsid w:val="00212FEC"/>
    <w:rsid w:val="002132EF"/>
    <w:rsid w:val="00213833"/>
    <w:rsid w:val="0022073B"/>
    <w:rsid w:val="0022334B"/>
    <w:rsid w:val="00226A89"/>
    <w:rsid w:val="00230C20"/>
    <w:rsid w:val="002313EE"/>
    <w:rsid w:val="002330BA"/>
    <w:rsid w:val="00235AB3"/>
    <w:rsid w:val="00236E92"/>
    <w:rsid w:val="00241123"/>
    <w:rsid w:val="00243FE2"/>
    <w:rsid w:val="00244338"/>
    <w:rsid w:val="0024755A"/>
    <w:rsid w:val="00247FA8"/>
    <w:rsid w:val="0025200C"/>
    <w:rsid w:val="00256DCF"/>
    <w:rsid w:val="0026090A"/>
    <w:rsid w:val="00260DF4"/>
    <w:rsid w:val="002659D2"/>
    <w:rsid w:val="002668E1"/>
    <w:rsid w:val="00270602"/>
    <w:rsid w:val="00271E0C"/>
    <w:rsid w:val="00272C66"/>
    <w:rsid w:val="00273200"/>
    <w:rsid w:val="0027332A"/>
    <w:rsid w:val="00273966"/>
    <w:rsid w:val="002759CE"/>
    <w:rsid w:val="00275EF3"/>
    <w:rsid w:val="002766B4"/>
    <w:rsid w:val="00277CDA"/>
    <w:rsid w:val="00281CF6"/>
    <w:rsid w:val="00286F6A"/>
    <w:rsid w:val="002922B1"/>
    <w:rsid w:val="00292EC0"/>
    <w:rsid w:val="00293A55"/>
    <w:rsid w:val="00294564"/>
    <w:rsid w:val="00296566"/>
    <w:rsid w:val="002A1CB2"/>
    <w:rsid w:val="002A34EA"/>
    <w:rsid w:val="002A42E9"/>
    <w:rsid w:val="002A5586"/>
    <w:rsid w:val="002A5D3C"/>
    <w:rsid w:val="002A5D8C"/>
    <w:rsid w:val="002A5E14"/>
    <w:rsid w:val="002B029B"/>
    <w:rsid w:val="002B2757"/>
    <w:rsid w:val="002B563C"/>
    <w:rsid w:val="002C1C0C"/>
    <w:rsid w:val="002C2405"/>
    <w:rsid w:val="002C38F0"/>
    <w:rsid w:val="002C3FB8"/>
    <w:rsid w:val="002C43E1"/>
    <w:rsid w:val="002C4D10"/>
    <w:rsid w:val="002C5E26"/>
    <w:rsid w:val="002C5F74"/>
    <w:rsid w:val="002C6BC8"/>
    <w:rsid w:val="002D059D"/>
    <w:rsid w:val="002D1CF7"/>
    <w:rsid w:val="002D3E12"/>
    <w:rsid w:val="002D7121"/>
    <w:rsid w:val="002E1C84"/>
    <w:rsid w:val="002F6327"/>
    <w:rsid w:val="002F7C66"/>
    <w:rsid w:val="0030031B"/>
    <w:rsid w:val="00302523"/>
    <w:rsid w:val="00302928"/>
    <w:rsid w:val="0030355C"/>
    <w:rsid w:val="003067ED"/>
    <w:rsid w:val="003068C6"/>
    <w:rsid w:val="00313188"/>
    <w:rsid w:val="00313909"/>
    <w:rsid w:val="003167A5"/>
    <w:rsid w:val="003169C8"/>
    <w:rsid w:val="00316DD2"/>
    <w:rsid w:val="00317005"/>
    <w:rsid w:val="003200C0"/>
    <w:rsid w:val="003204BF"/>
    <w:rsid w:val="00321756"/>
    <w:rsid w:val="0032293E"/>
    <w:rsid w:val="00322ADF"/>
    <w:rsid w:val="00331BBF"/>
    <w:rsid w:val="00334875"/>
    <w:rsid w:val="00337684"/>
    <w:rsid w:val="00345349"/>
    <w:rsid w:val="00346930"/>
    <w:rsid w:val="00347DCF"/>
    <w:rsid w:val="00352595"/>
    <w:rsid w:val="00352D85"/>
    <w:rsid w:val="00361573"/>
    <w:rsid w:val="00371ED2"/>
    <w:rsid w:val="00372B5B"/>
    <w:rsid w:val="00373BA5"/>
    <w:rsid w:val="0037630F"/>
    <w:rsid w:val="00377072"/>
    <w:rsid w:val="0037742C"/>
    <w:rsid w:val="0037782D"/>
    <w:rsid w:val="0038128C"/>
    <w:rsid w:val="00382CA3"/>
    <w:rsid w:val="003833C8"/>
    <w:rsid w:val="00383E7C"/>
    <w:rsid w:val="0038454C"/>
    <w:rsid w:val="00397A09"/>
    <w:rsid w:val="003A02D7"/>
    <w:rsid w:val="003A0832"/>
    <w:rsid w:val="003A1660"/>
    <w:rsid w:val="003A19CD"/>
    <w:rsid w:val="003A1D5B"/>
    <w:rsid w:val="003A4292"/>
    <w:rsid w:val="003A4791"/>
    <w:rsid w:val="003B02BA"/>
    <w:rsid w:val="003B1F0F"/>
    <w:rsid w:val="003B3A55"/>
    <w:rsid w:val="003B4EE1"/>
    <w:rsid w:val="003B5A7E"/>
    <w:rsid w:val="003B632A"/>
    <w:rsid w:val="003C1D3F"/>
    <w:rsid w:val="003C22AF"/>
    <w:rsid w:val="003C3421"/>
    <w:rsid w:val="003C494E"/>
    <w:rsid w:val="003C4AD7"/>
    <w:rsid w:val="003D1B3F"/>
    <w:rsid w:val="003D43E9"/>
    <w:rsid w:val="003D456D"/>
    <w:rsid w:val="003E437B"/>
    <w:rsid w:val="003E5DC6"/>
    <w:rsid w:val="003F1A3E"/>
    <w:rsid w:val="003F666E"/>
    <w:rsid w:val="003F6D3B"/>
    <w:rsid w:val="003F7911"/>
    <w:rsid w:val="00410D9C"/>
    <w:rsid w:val="004113DE"/>
    <w:rsid w:val="00415258"/>
    <w:rsid w:val="004164D5"/>
    <w:rsid w:val="00417AAA"/>
    <w:rsid w:val="004217F4"/>
    <w:rsid w:val="00424FBA"/>
    <w:rsid w:val="00425179"/>
    <w:rsid w:val="004253F3"/>
    <w:rsid w:val="00425D57"/>
    <w:rsid w:val="00430305"/>
    <w:rsid w:val="00430CBA"/>
    <w:rsid w:val="00433ED1"/>
    <w:rsid w:val="00437DF4"/>
    <w:rsid w:val="0044092A"/>
    <w:rsid w:val="00442179"/>
    <w:rsid w:val="00442D03"/>
    <w:rsid w:val="004436B3"/>
    <w:rsid w:val="004452DB"/>
    <w:rsid w:val="00447712"/>
    <w:rsid w:val="00447AF9"/>
    <w:rsid w:val="00450770"/>
    <w:rsid w:val="00452632"/>
    <w:rsid w:val="0045404F"/>
    <w:rsid w:val="0045438C"/>
    <w:rsid w:val="004546DA"/>
    <w:rsid w:val="00454FE2"/>
    <w:rsid w:val="00456D20"/>
    <w:rsid w:val="0046152B"/>
    <w:rsid w:val="00461B6A"/>
    <w:rsid w:val="00462A21"/>
    <w:rsid w:val="00464162"/>
    <w:rsid w:val="00464690"/>
    <w:rsid w:val="00465AB5"/>
    <w:rsid w:val="0046633F"/>
    <w:rsid w:val="0047136D"/>
    <w:rsid w:val="00474442"/>
    <w:rsid w:val="00474C26"/>
    <w:rsid w:val="00477AAE"/>
    <w:rsid w:val="00480448"/>
    <w:rsid w:val="0048092A"/>
    <w:rsid w:val="004819FF"/>
    <w:rsid w:val="00490465"/>
    <w:rsid w:val="00490641"/>
    <w:rsid w:val="00491749"/>
    <w:rsid w:val="0049285E"/>
    <w:rsid w:val="00493055"/>
    <w:rsid w:val="00493409"/>
    <w:rsid w:val="0049402F"/>
    <w:rsid w:val="004A1EE0"/>
    <w:rsid w:val="004A20C6"/>
    <w:rsid w:val="004A35FA"/>
    <w:rsid w:val="004A4AD2"/>
    <w:rsid w:val="004A4B6D"/>
    <w:rsid w:val="004A4D46"/>
    <w:rsid w:val="004A531C"/>
    <w:rsid w:val="004A6581"/>
    <w:rsid w:val="004B716B"/>
    <w:rsid w:val="004C0610"/>
    <w:rsid w:val="004C0B09"/>
    <w:rsid w:val="004C306F"/>
    <w:rsid w:val="004C6288"/>
    <w:rsid w:val="004C6350"/>
    <w:rsid w:val="004C64E0"/>
    <w:rsid w:val="004C7275"/>
    <w:rsid w:val="004D0059"/>
    <w:rsid w:val="004D0841"/>
    <w:rsid w:val="004D151B"/>
    <w:rsid w:val="004D1A26"/>
    <w:rsid w:val="004D1FFE"/>
    <w:rsid w:val="004D3946"/>
    <w:rsid w:val="004D4656"/>
    <w:rsid w:val="004D56F4"/>
    <w:rsid w:val="004D7811"/>
    <w:rsid w:val="004E101D"/>
    <w:rsid w:val="004E70E5"/>
    <w:rsid w:val="004E7133"/>
    <w:rsid w:val="004F3BD7"/>
    <w:rsid w:val="004F47B3"/>
    <w:rsid w:val="004F4C27"/>
    <w:rsid w:val="004F6D61"/>
    <w:rsid w:val="005009DD"/>
    <w:rsid w:val="00500A95"/>
    <w:rsid w:val="0050278E"/>
    <w:rsid w:val="00504E5A"/>
    <w:rsid w:val="00505B11"/>
    <w:rsid w:val="0050624D"/>
    <w:rsid w:val="00510C52"/>
    <w:rsid w:val="00510DBD"/>
    <w:rsid w:val="0051173C"/>
    <w:rsid w:val="00512058"/>
    <w:rsid w:val="0051267F"/>
    <w:rsid w:val="005160B7"/>
    <w:rsid w:val="0051620B"/>
    <w:rsid w:val="00517EBF"/>
    <w:rsid w:val="00523010"/>
    <w:rsid w:val="0053043B"/>
    <w:rsid w:val="00532F71"/>
    <w:rsid w:val="00535013"/>
    <w:rsid w:val="00541F90"/>
    <w:rsid w:val="00542066"/>
    <w:rsid w:val="00543225"/>
    <w:rsid w:val="00545486"/>
    <w:rsid w:val="00547BC4"/>
    <w:rsid w:val="00550438"/>
    <w:rsid w:val="00552EE1"/>
    <w:rsid w:val="00553B9A"/>
    <w:rsid w:val="0055455F"/>
    <w:rsid w:val="005548DA"/>
    <w:rsid w:val="00557E12"/>
    <w:rsid w:val="00560827"/>
    <w:rsid w:val="0056276B"/>
    <w:rsid w:val="00566615"/>
    <w:rsid w:val="005728EF"/>
    <w:rsid w:val="00573364"/>
    <w:rsid w:val="00573E34"/>
    <w:rsid w:val="005818D9"/>
    <w:rsid w:val="0058566F"/>
    <w:rsid w:val="00592598"/>
    <w:rsid w:val="005931BD"/>
    <w:rsid w:val="00593D94"/>
    <w:rsid w:val="005A00A7"/>
    <w:rsid w:val="005A0E09"/>
    <w:rsid w:val="005A24ED"/>
    <w:rsid w:val="005A30E4"/>
    <w:rsid w:val="005A5725"/>
    <w:rsid w:val="005A591F"/>
    <w:rsid w:val="005A5BCF"/>
    <w:rsid w:val="005A7841"/>
    <w:rsid w:val="005B30E2"/>
    <w:rsid w:val="005B671C"/>
    <w:rsid w:val="005B69AE"/>
    <w:rsid w:val="005B6B16"/>
    <w:rsid w:val="005C1CA2"/>
    <w:rsid w:val="005C53D2"/>
    <w:rsid w:val="005C65B1"/>
    <w:rsid w:val="005C6B7A"/>
    <w:rsid w:val="005C74E4"/>
    <w:rsid w:val="005D4305"/>
    <w:rsid w:val="005D6678"/>
    <w:rsid w:val="005E1AAD"/>
    <w:rsid w:val="005E1C5A"/>
    <w:rsid w:val="005E3C7D"/>
    <w:rsid w:val="005E594C"/>
    <w:rsid w:val="005E5EC7"/>
    <w:rsid w:val="005E6293"/>
    <w:rsid w:val="005F2E2D"/>
    <w:rsid w:val="005F2F9A"/>
    <w:rsid w:val="005F3F48"/>
    <w:rsid w:val="005F505E"/>
    <w:rsid w:val="005F5098"/>
    <w:rsid w:val="005F66C2"/>
    <w:rsid w:val="005F6996"/>
    <w:rsid w:val="00602238"/>
    <w:rsid w:val="00604606"/>
    <w:rsid w:val="00604903"/>
    <w:rsid w:val="006116C5"/>
    <w:rsid w:val="00611F2F"/>
    <w:rsid w:val="00615C95"/>
    <w:rsid w:val="00616FEF"/>
    <w:rsid w:val="006225CF"/>
    <w:rsid w:val="00624747"/>
    <w:rsid w:val="006251C3"/>
    <w:rsid w:val="0062558A"/>
    <w:rsid w:val="006266BD"/>
    <w:rsid w:val="00627A72"/>
    <w:rsid w:val="00632BF3"/>
    <w:rsid w:val="00633A89"/>
    <w:rsid w:val="00634056"/>
    <w:rsid w:val="00634B89"/>
    <w:rsid w:val="0063523E"/>
    <w:rsid w:val="00637349"/>
    <w:rsid w:val="006409E8"/>
    <w:rsid w:val="00641B4E"/>
    <w:rsid w:val="00642C19"/>
    <w:rsid w:val="00643849"/>
    <w:rsid w:val="00643B4B"/>
    <w:rsid w:val="00645E1D"/>
    <w:rsid w:val="006508BC"/>
    <w:rsid w:val="006509CA"/>
    <w:rsid w:val="006515CF"/>
    <w:rsid w:val="006544FD"/>
    <w:rsid w:val="00656FC4"/>
    <w:rsid w:val="0065775D"/>
    <w:rsid w:val="00661262"/>
    <w:rsid w:val="00672DBB"/>
    <w:rsid w:val="006741E5"/>
    <w:rsid w:val="00675E06"/>
    <w:rsid w:val="0068261B"/>
    <w:rsid w:val="00682E03"/>
    <w:rsid w:val="006834B7"/>
    <w:rsid w:val="00683A4D"/>
    <w:rsid w:val="006851C7"/>
    <w:rsid w:val="006871BB"/>
    <w:rsid w:val="00693A37"/>
    <w:rsid w:val="00695C1C"/>
    <w:rsid w:val="00697CA5"/>
    <w:rsid w:val="006A0710"/>
    <w:rsid w:val="006A0821"/>
    <w:rsid w:val="006A2A4C"/>
    <w:rsid w:val="006A43EF"/>
    <w:rsid w:val="006A4DDA"/>
    <w:rsid w:val="006A58E8"/>
    <w:rsid w:val="006A6FB7"/>
    <w:rsid w:val="006B51A8"/>
    <w:rsid w:val="006B71A1"/>
    <w:rsid w:val="006C0A79"/>
    <w:rsid w:val="006C0EBB"/>
    <w:rsid w:val="006C1B8C"/>
    <w:rsid w:val="006C1FBB"/>
    <w:rsid w:val="006C7F91"/>
    <w:rsid w:val="006D0748"/>
    <w:rsid w:val="006D1D52"/>
    <w:rsid w:val="006D1E8C"/>
    <w:rsid w:val="006D50CC"/>
    <w:rsid w:val="006D5A7D"/>
    <w:rsid w:val="006D6AD8"/>
    <w:rsid w:val="006E31FE"/>
    <w:rsid w:val="006E3A07"/>
    <w:rsid w:val="006F3C58"/>
    <w:rsid w:val="006F4009"/>
    <w:rsid w:val="006F4B95"/>
    <w:rsid w:val="006F6226"/>
    <w:rsid w:val="00700737"/>
    <w:rsid w:val="00700F37"/>
    <w:rsid w:val="0070133A"/>
    <w:rsid w:val="007031A9"/>
    <w:rsid w:val="0070347D"/>
    <w:rsid w:val="00703BAC"/>
    <w:rsid w:val="0070552B"/>
    <w:rsid w:val="00706D06"/>
    <w:rsid w:val="00707779"/>
    <w:rsid w:val="00707B0A"/>
    <w:rsid w:val="00716E34"/>
    <w:rsid w:val="007213D4"/>
    <w:rsid w:val="00721A18"/>
    <w:rsid w:val="00722C17"/>
    <w:rsid w:val="007234E4"/>
    <w:rsid w:val="0072593F"/>
    <w:rsid w:val="00725F34"/>
    <w:rsid w:val="00727D04"/>
    <w:rsid w:val="007338BB"/>
    <w:rsid w:val="00735D84"/>
    <w:rsid w:val="007466A7"/>
    <w:rsid w:val="00746B32"/>
    <w:rsid w:val="0075186E"/>
    <w:rsid w:val="00751E85"/>
    <w:rsid w:val="00757678"/>
    <w:rsid w:val="00761C91"/>
    <w:rsid w:val="00762005"/>
    <w:rsid w:val="007631DC"/>
    <w:rsid w:val="007632DA"/>
    <w:rsid w:val="007650AE"/>
    <w:rsid w:val="0077003D"/>
    <w:rsid w:val="0077450C"/>
    <w:rsid w:val="0077507B"/>
    <w:rsid w:val="007807AE"/>
    <w:rsid w:val="00781042"/>
    <w:rsid w:val="00781DE3"/>
    <w:rsid w:val="007840C2"/>
    <w:rsid w:val="007843DC"/>
    <w:rsid w:val="00785032"/>
    <w:rsid w:val="007863E4"/>
    <w:rsid w:val="00786A02"/>
    <w:rsid w:val="00787628"/>
    <w:rsid w:val="007911C6"/>
    <w:rsid w:val="007929B7"/>
    <w:rsid w:val="007935D1"/>
    <w:rsid w:val="007939AA"/>
    <w:rsid w:val="00796BEE"/>
    <w:rsid w:val="007A06AB"/>
    <w:rsid w:val="007A2057"/>
    <w:rsid w:val="007A2EF9"/>
    <w:rsid w:val="007A55CA"/>
    <w:rsid w:val="007B0170"/>
    <w:rsid w:val="007B047C"/>
    <w:rsid w:val="007B0942"/>
    <w:rsid w:val="007B1BE8"/>
    <w:rsid w:val="007B2039"/>
    <w:rsid w:val="007B4A1C"/>
    <w:rsid w:val="007B4FD0"/>
    <w:rsid w:val="007B738E"/>
    <w:rsid w:val="007B744F"/>
    <w:rsid w:val="007C5AD0"/>
    <w:rsid w:val="007C63F9"/>
    <w:rsid w:val="007D3634"/>
    <w:rsid w:val="007D53A6"/>
    <w:rsid w:val="007E0240"/>
    <w:rsid w:val="007E061E"/>
    <w:rsid w:val="007E180C"/>
    <w:rsid w:val="007E255C"/>
    <w:rsid w:val="007E3477"/>
    <w:rsid w:val="007E7716"/>
    <w:rsid w:val="007F0C12"/>
    <w:rsid w:val="007F324A"/>
    <w:rsid w:val="007F41E4"/>
    <w:rsid w:val="007F5007"/>
    <w:rsid w:val="007F55F8"/>
    <w:rsid w:val="007F7EF8"/>
    <w:rsid w:val="00800EC2"/>
    <w:rsid w:val="00801F1C"/>
    <w:rsid w:val="00806DFC"/>
    <w:rsid w:val="0081027A"/>
    <w:rsid w:val="0081143C"/>
    <w:rsid w:val="008135A3"/>
    <w:rsid w:val="00813D90"/>
    <w:rsid w:val="0081530E"/>
    <w:rsid w:val="0081631B"/>
    <w:rsid w:val="008166AD"/>
    <w:rsid w:val="00820BA6"/>
    <w:rsid w:val="00821816"/>
    <w:rsid w:val="0082439D"/>
    <w:rsid w:val="008246FF"/>
    <w:rsid w:val="008264E8"/>
    <w:rsid w:val="00826693"/>
    <w:rsid w:val="00826E4D"/>
    <w:rsid w:val="00827E54"/>
    <w:rsid w:val="00831EA2"/>
    <w:rsid w:val="00833604"/>
    <w:rsid w:val="00835684"/>
    <w:rsid w:val="008378B4"/>
    <w:rsid w:val="00841F28"/>
    <w:rsid w:val="00842AED"/>
    <w:rsid w:val="00843483"/>
    <w:rsid w:val="00845930"/>
    <w:rsid w:val="00847998"/>
    <w:rsid w:val="00850124"/>
    <w:rsid w:val="00850E26"/>
    <w:rsid w:val="008513E2"/>
    <w:rsid w:val="0085367B"/>
    <w:rsid w:val="008570B9"/>
    <w:rsid w:val="0085799D"/>
    <w:rsid w:val="00862678"/>
    <w:rsid w:val="00863F57"/>
    <w:rsid w:val="00867742"/>
    <w:rsid w:val="00867D48"/>
    <w:rsid w:val="00870DC0"/>
    <w:rsid w:val="008727F7"/>
    <w:rsid w:val="00872864"/>
    <w:rsid w:val="00875850"/>
    <w:rsid w:val="00875D59"/>
    <w:rsid w:val="00876EB9"/>
    <w:rsid w:val="008772D2"/>
    <w:rsid w:val="008808A2"/>
    <w:rsid w:val="008827C4"/>
    <w:rsid w:val="00892C8F"/>
    <w:rsid w:val="008931BF"/>
    <w:rsid w:val="008945AE"/>
    <w:rsid w:val="008972EC"/>
    <w:rsid w:val="00897FE3"/>
    <w:rsid w:val="008A1DE7"/>
    <w:rsid w:val="008A3645"/>
    <w:rsid w:val="008A511E"/>
    <w:rsid w:val="008A6C56"/>
    <w:rsid w:val="008A7009"/>
    <w:rsid w:val="008B635F"/>
    <w:rsid w:val="008B7001"/>
    <w:rsid w:val="008C5959"/>
    <w:rsid w:val="008C6DC6"/>
    <w:rsid w:val="008D281F"/>
    <w:rsid w:val="008D2EFF"/>
    <w:rsid w:val="008E07C0"/>
    <w:rsid w:val="008E0E98"/>
    <w:rsid w:val="008E5FEA"/>
    <w:rsid w:val="008F1451"/>
    <w:rsid w:val="008F1DF5"/>
    <w:rsid w:val="008F34BC"/>
    <w:rsid w:val="008F50C4"/>
    <w:rsid w:val="008F5FA2"/>
    <w:rsid w:val="008F67F9"/>
    <w:rsid w:val="008F74F8"/>
    <w:rsid w:val="00900718"/>
    <w:rsid w:val="00900DF4"/>
    <w:rsid w:val="0090325E"/>
    <w:rsid w:val="00903A14"/>
    <w:rsid w:val="009046F3"/>
    <w:rsid w:val="00906BC2"/>
    <w:rsid w:val="0091022E"/>
    <w:rsid w:val="00912CF7"/>
    <w:rsid w:val="00913BD4"/>
    <w:rsid w:val="009152C8"/>
    <w:rsid w:val="00917960"/>
    <w:rsid w:val="00917A99"/>
    <w:rsid w:val="009245B0"/>
    <w:rsid w:val="00927166"/>
    <w:rsid w:val="00927C22"/>
    <w:rsid w:val="0093250F"/>
    <w:rsid w:val="009327C1"/>
    <w:rsid w:val="00932870"/>
    <w:rsid w:val="00934679"/>
    <w:rsid w:val="009355F2"/>
    <w:rsid w:val="00935C91"/>
    <w:rsid w:val="0093678E"/>
    <w:rsid w:val="009379BA"/>
    <w:rsid w:val="00937D12"/>
    <w:rsid w:val="00940C47"/>
    <w:rsid w:val="00941AD9"/>
    <w:rsid w:val="009462B1"/>
    <w:rsid w:val="009510F6"/>
    <w:rsid w:val="00951AB3"/>
    <w:rsid w:val="00951CAF"/>
    <w:rsid w:val="00953577"/>
    <w:rsid w:val="0095547F"/>
    <w:rsid w:val="00955560"/>
    <w:rsid w:val="0095596D"/>
    <w:rsid w:val="00956408"/>
    <w:rsid w:val="009609C1"/>
    <w:rsid w:val="009642BB"/>
    <w:rsid w:val="0096443C"/>
    <w:rsid w:val="009651CC"/>
    <w:rsid w:val="00966E51"/>
    <w:rsid w:val="009673C6"/>
    <w:rsid w:val="00967E14"/>
    <w:rsid w:val="00972044"/>
    <w:rsid w:val="00972B82"/>
    <w:rsid w:val="0097383D"/>
    <w:rsid w:val="00975C89"/>
    <w:rsid w:val="00976305"/>
    <w:rsid w:val="009778D6"/>
    <w:rsid w:val="00981401"/>
    <w:rsid w:val="009833DF"/>
    <w:rsid w:val="00983C1B"/>
    <w:rsid w:val="00987588"/>
    <w:rsid w:val="00987713"/>
    <w:rsid w:val="00987943"/>
    <w:rsid w:val="00990318"/>
    <w:rsid w:val="00991658"/>
    <w:rsid w:val="009929BF"/>
    <w:rsid w:val="00993590"/>
    <w:rsid w:val="00993FA6"/>
    <w:rsid w:val="00994CCA"/>
    <w:rsid w:val="00994E24"/>
    <w:rsid w:val="009A0A4C"/>
    <w:rsid w:val="009A291E"/>
    <w:rsid w:val="009A2973"/>
    <w:rsid w:val="009A3335"/>
    <w:rsid w:val="009A3F92"/>
    <w:rsid w:val="009A550B"/>
    <w:rsid w:val="009A59D1"/>
    <w:rsid w:val="009B128A"/>
    <w:rsid w:val="009B3504"/>
    <w:rsid w:val="009B3547"/>
    <w:rsid w:val="009B3CEF"/>
    <w:rsid w:val="009B3D41"/>
    <w:rsid w:val="009B489A"/>
    <w:rsid w:val="009B57DA"/>
    <w:rsid w:val="009B612C"/>
    <w:rsid w:val="009C0284"/>
    <w:rsid w:val="009C0B0A"/>
    <w:rsid w:val="009C1BDB"/>
    <w:rsid w:val="009C35CA"/>
    <w:rsid w:val="009C3E2A"/>
    <w:rsid w:val="009C7035"/>
    <w:rsid w:val="009C7451"/>
    <w:rsid w:val="009C7F55"/>
    <w:rsid w:val="009D159E"/>
    <w:rsid w:val="009D2649"/>
    <w:rsid w:val="009D2F6E"/>
    <w:rsid w:val="009D34F5"/>
    <w:rsid w:val="009D4451"/>
    <w:rsid w:val="009D47E8"/>
    <w:rsid w:val="009D628E"/>
    <w:rsid w:val="009E7E31"/>
    <w:rsid w:val="009F05AE"/>
    <w:rsid w:val="009F3087"/>
    <w:rsid w:val="009F3E26"/>
    <w:rsid w:val="009F72EE"/>
    <w:rsid w:val="009F7DA6"/>
    <w:rsid w:val="00A01DE1"/>
    <w:rsid w:val="00A02112"/>
    <w:rsid w:val="00A02B80"/>
    <w:rsid w:val="00A036BC"/>
    <w:rsid w:val="00A06D62"/>
    <w:rsid w:val="00A10EC4"/>
    <w:rsid w:val="00A11D63"/>
    <w:rsid w:val="00A12B3C"/>
    <w:rsid w:val="00A13F30"/>
    <w:rsid w:val="00A16681"/>
    <w:rsid w:val="00A20960"/>
    <w:rsid w:val="00A216AE"/>
    <w:rsid w:val="00A221F9"/>
    <w:rsid w:val="00A224AA"/>
    <w:rsid w:val="00A242C0"/>
    <w:rsid w:val="00A2687F"/>
    <w:rsid w:val="00A30A5C"/>
    <w:rsid w:val="00A31C6B"/>
    <w:rsid w:val="00A3267C"/>
    <w:rsid w:val="00A33EDF"/>
    <w:rsid w:val="00A35207"/>
    <w:rsid w:val="00A367A7"/>
    <w:rsid w:val="00A41ACF"/>
    <w:rsid w:val="00A421DD"/>
    <w:rsid w:val="00A42CB9"/>
    <w:rsid w:val="00A42E1A"/>
    <w:rsid w:val="00A44752"/>
    <w:rsid w:val="00A45556"/>
    <w:rsid w:val="00A459A6"/>
    <w:rsid w:val="00A45A3F"/>
    <w:rsid w:val="00A45AEF"/>
    <w:rsid w:val="00A47001"/>
    <w:rsid w:val="00A4706E"/>
    <w:rsid w:val="00A50807"/>
    <w:rsid w:val="00A51F4C"/>
    <w:rsid w:val="00A52356"/>
    <w:rsid w:val="00A53327"/>
    <w:rsid w:val="00A551AA"/>
    <w:rsid w:val="00A611D5"/>
    <w:rsid w:val="00A62BBE"/>
    <w:rsid w:val="00A631A5"/>
    <w:rsid w:val="00A714E5"/>
    <w:rsid w:val="00A722B7"/>
    <w:rsid w:val="00A72BC1"/>
    <w:rsid w:val="00A72E66"/>
    <w:rsid w:val="00A7412E"/>
    <w:rsid w:val="00A7647E"/>
    <w:rsid w:val="00A76EA6"/>
    <w:rsid w:val="00A77FAE"/>
    <w:rsid w:val="00A8089A"/>
    <w:rsid w:val="00A81ADD"/>
    <w:rsid w:val="00A82ADF"/>
    <w:rsid w:val="00A84F84"/>
    <w:rsid w:val="00A851F3"/>
    <w:rsid w:val="00A91AC0"/>
    <w:rsid w:val="00A92466"/>
    <w:rsid w:val="00A926EE"/>
    <w:rsid w:val="00A92C56"/>
    <w:rsid w:val="00A95F2F"/>
    <w:rsid w:val="00AA02DE"/>
    <w:rsid w:val="00AA17E8"/>
    <w:rsid w:val="00AA6338"/>
    <w:rsid w:val="00AA6D2A"/>
    <w:rsid w:val="00AB14A6"/>
    <w:rsid w:val="00AB1B9C"/>
    <w:rsid w:val="00AB2E8B"/>
    <w:rsid w:val="00AB4ED8"/>
    <w:rsid w:val="00AB6F2C"/>
    <w:rsid w:val="00AB76EE"/>
    <w:rsid w:val="00AC0922"/>
    <w:rsid w:val="00AD1139"/>
    <w:rsid w:val="00AD12A6"/>
    <w:rsid w:val="00AD158D"/>
    <w:rsid w:val="00AD21DF"/>
    <w:rsid w:val="00AD239B"/>
    <w:rsid w:val="00AD2809"/>
    <w:rsid w:val="00AD333F"/>
    <w:rsid w:val="00AD3C1E"/>
    <w:rsid w:val="00AD3DE3"/>
    <w:rsid w:val="00AD6614"/>
    <w:rsid w:val="00AE0FD4"/>
    <w:rsid w:val="00AE3431"/>
    <w:rsid w:val="00AF066C"/>
    <w:rsid w:val="00AF22FE"/>
    <w:rsid w:val="00AF7C39"/>
    <w:rsid w:val="00B02B56"/>
    <w:rsid w:val="00B03BE6"/>
    <w:rsid w:val="00B04A97"/>
    <w:rsid w:val="00B115A9"/>
    <w:rsid w:val="00B11E62"/>
    <w:rsid w:val="00B13424"/>
    <w:rsid w:val="00B1511C"/>
    <w:rsid w:val="00B160BF"/>
    <w:rsid w:val="00B169E7"/>
    <w:rsid w:val="00B22A3E"/>
    <w:rsid w:val="00B26800"/>
    <w:rsid w:val="00B301BA"/>
    <w:rsid w:val="00B320B9"/>
    <w:rsid w:val="00B32140"/>
    <w:rsid w:val="00B34066"/>
    <w:rsid w:val="00B40492"/>
    <w:rsid w:val="00B4057A"/>
    <w:rsid w:val="00B4348D"/>
    <w:rsid w:val="00B440ED"/>
    <w:rsid w:val="00B44E13"/>
    <w:rsid w:val="00B450D6"/>
    <w:rsid w:val="00B45A71"/>
    <w:rsid w:val="00B52708"/>
    <w:rsid w:val="00B5372F"/>
    <w:rsid w:val="00B54C45"/>
    <w:rsid w:val="00B54EBC"/>
    <w:rsid w:val="00B56511"/>
    <w:rsid w:val="00B5654E"/>
    <w:rsid w:val="00B61065"/>
    <w:rsid w:val="00B64758"/>
    <w:rsid w:val="00B64B48"/>
    <w:rsid w:val="00B64B6D"/>
    <w:rsid w:val="00B6589E"/>
    <w:rsid w:val="00B66723"/>
    <w:rsid w:val="00B66A91"/>
    <w:rsid w:val="00B67B04"/>
    <w:rsid w:val="00B74EAE"/>
    <w:rsid w:val="00B750ED"/>
    <w:rsid w:val="00B75AF6"/>
    <w:rsid w:val="00B778FB"/>
    <w:rsid w:val="00B7792E"/>
    <w:rsid w:val="00B80C9F"/>
    <w:rsid w:val="00B8101E"/>
    <w:rsid w:val="00B81A8A"/>
    <w:rsid w:val="00B85B75"/>
    <w:rsid w:val="00B9255E"/>
    <w:rsid w:val="00B92B54"/>
    <w:rsid w:val="00B93565"/>
    <w:rsid w:val="00B93B5D"/>
    <w:rsid w:val="00B947BF"/>
    <w:rsid w:val="00B962CA"/>
    <w:rsid w:val="00BA16D0"/>
    <w:rsid w:val="00BA3BD5"/>
    <w:rsid w:val="00BA4715"/>
    <w:rsid w:val="00BB11BC"/>
    <w:rsid w:val="00BB20BC"/>
    <w:rsid w:val="00BB2311"/>
    <w:rsid w:val="00BB3FD2"/>
    <w:rsid w:val="00BB432B"/>
    <w:rsid w:val="00BB4CB8"/>
    <w:rsid w:val="00BB5A14"/>
    <w:rsid w:val="00BB6DF9"/>
    <w:rsid w:val="00BC15F1"/>
    <w:rsid w:val="00BC22E3"/>
    <w:rsid w:val="00BC5230"/>
    <w:rsid w:val="00BC75D3"/>
    <w:rsid w:val="00BD54B8"/>
    <w:rsid w:val="00BD658C"/>
    <w:rsid w:val="00BE0135"/>
    <w:rsid w:val="00BE254B"/>
    <w:rsid w:val="00BE4695"/>
    <w:rsid w:val="00BE49FF"/>
    <w:rsid w:val="00BE7A82"/>
    <w:rsid w:val="00BF1D40"/>
    <w:rsid w:val="00BF2F5D"/>
    <w:rsid w:val="00BF553A"/>
    <w:rsid w:val="00C00E0C"/>
    <w:rsid w:val="00C03CC0"/>
    <w:rsid w:val="00C07069"/>
    <w:rsid w:val="00C07343"/>
    <w:rsid w:val="00C12791"/>
    <w:rsid w:val="00C2022F"/>
    <w:rsid w:val="00C2231B"/>
    <w:rsid w:val="00C25738"/>
    <w:rsid w:val="00C31D78"/>
    <w:rsid w:val="00C33F6E"/>
    <w:rsid w:val="00C34733"/>
    <w:rsid w:val="00C43CB3"/>
    <w:rsid w:val="00C464AE"/>
    <w:rsid w:val="00C50FBF"/>
    <w:rsid w:val="00C52AE2"/>
    <w:rsid w:val="00C5399D"/>
    <w:rsid w:val="00C55555"/>
    <w:rsid w:val="00C559AA"/>
    <w:rsid w:val="00C60C84"/>
    <w:rsid w:val="00C6456C"/>
    <w:rsid w:val="00C646F7"/>
    <w:rsid w:val="00C64B00"/>
    <w:rsid w:val="00C658AB"/>
    <w:rsid w:val="00C65A84"/>
    <w:rsid w:val="00C66984"/>
    <w:rsid w:val="00C70534"/>
    <w:rsid w:val="00C70B5E"/>
    <w:rsid w:val="00C70C6F"/>
    <w:rsid w:val="00C70DBD"/>
    <w:rsid w:val="00C816D6"/>
    <w:rsid w:val="00C82D58"/>
    <w:rsid w:val="00C830DA"/>
    <w:rsid w:val="00C83F95"/>
    <w:rsid w:val="00C8688D"/>
    <w:rsid w:val="00C87777"/>
    <w:rsid w:val="00C87C3F"/>
    <w:rsid w:val="00C91F3C"/>
    <w:rsid w:val="00C92659"/>
    <w:rsid w:val="00CA349A"/>
    <w:rsid w:val="00CA6B17"/>
    <w:rsid w:val="00CA6CBB"/>
    <w:rsid w:val="00CB3780"/>
    <w:rsid w:val="00CB58AA"/>
    <w:rsid w:val="00CB5BE0"/>
    <w:rsid w:val="00CC2AF0"/>
    <w:rsid w:val="00CC4FA7"/>
    <w:rsid w:val="00CC5861"/>
    <w:rsid w:val="00CC5C98"/>
    <w:rsid w:val="00CC68D2"/>
    <w:rsid w:val="00CC72E4"/>
    <w:rsid w:val="00CD38C5"/>
    <w:rsid w:val="00CE1AD9"/>
    <w:rsid w:val="00CE6CEE"/>
    <w:rsid w:val="00CE6E29"/>
    <w:rsid w:val="00CE73F2"/>
    <w:rsid w:val="00CF2922"/>
    <w:rsid w:val="00CF2EC4"/>
    <w:rsid w:val="00CF4D41"/>
    <w:rsid w:val="00D005C7"/>
    <w:rsid w:val="00D03259"/>
    <w:rsid w:val="00D03566"/>
    <w:rsid w:val="00D04B30"/>
    <w:rsid w:val="00D04DBB"/>
    <w:rsid w:val="00D052D5"/>
    <w:rsid w:val="00D06144"/>
    <w:rsid w:val="00D061FF"/>
    <w:rsid w:val="00D0631F"/>
    <w:rsid w:val="00D116CA"/>
    <w:rsid w:val="00D11EFC"/>
    <w:rsid w:val="00D1222D"/>
    <w:rsid w:val="00D12357"/>
    <w:rsid w:val="00D13364"/>
    <w:rsid w:val="00D13528"/>
    <w:rsid w:val="00D14B6A"/>
    <w:rsid w:val="00D14D4E"/>
    <w:rsid w:val="00D24C7E"/>
    <w:rsid w:val="00D257E0"/>
    <w:rsid w:val="00D306B3"/>
    <w:rsid w:val="00D314F6"/>
    <w:rsid w:val="00D31F73"/>
    <w:rsid w:val="00D327CE"/>
    <w:rsid w:val="00D329E7"/>
    <w:rsid w:val="00D42581"/>
    <w:rsid w:val="00D42BD3"/>
    <w:rsid w:val="00D4365F"/>
    <w:rsid w:val="00D44440"/>
    <w:rsid w:val="00D44E38"/>
    <w:rsid w:val="00D51212"/>
    <w:rsid w:val="00D52450"/>
    <w:rsid w:val="00D556B9"/>
    <w:rsid w:val="00D57A52"/>
    <w:rsid w:val="00D71BE4"/>
    <w:rsid w:val="00D80589"/>
    <w:rsid w:val="00D80A0D"/>
    <w:rsid w:val="00D80F84"/>
    <w:rsid w:val="00D82209"/>
    <w:rsid w:val="00D84DED"/>
    <w:rsid w:val="00D85496"/>
    <w:rsid w:val="00D86801"/>
    <w:rsid w:val="00D90008"/>
    <w:rsid w:val="00D9275F"/>
    <w:rsid w:val="00DA065B"/>
    <w:rsid w:val="00DA5E0D"/>
    <w:rsid w:val="00DA6708"/>
    <w:rsid w:val="00DB182B"/>
    <w:rsid w:val="00DB2A80"/>
    <w:rsid w:val="00DB3320"/>
    <w:rsid w:val="00DB3FEB"/>
    <w:rsid w:val="00DB5156"/>
    <w:rsid w:val="00DB6135"/>
    <w:rsid w:val="00DC229A"/>
    <w:rsid w:val="00DC4073"/>
    <w:rsid w:val="00DD141D"/>
    <w:rsid w:val="00DD328B"/>
    <w:rsid w:val="00DD7067"/>
    <w:rsid w:val="00DD7572"/>
    <w:rsid w:val="00DE1063"/>
    <w:rsid w:val="00DE2E88"/>
    <w:rsid w:val="00DE4E65"/>
    <w:rsid w:val="00DF31A3"/>
    <w:rsid w:val="00DF3F03"/>
    <w:rsid w:val="00E03C60"/>
    <w:rsid w:val="00E052DC"/>
    <w:rsid w:val="00E05CE3"/>
    <w:rsid w:val="00E07952"/>
    <w:rsid w:val="00E13320"/>
    <w:rsid w:val="00E14A50"/>
    <w:rsid w:val="00E151EB"/>
    <w:rsid w:val="00E17907"/>
    <w:rsid w:val="00E17B00"/>
    <w:rsid w:val="00E22CBB"/>
    <w:rsid w:val="00E22D53"/>
    <w:rsid w:val="00E257ED"/>
    <w:rsid w:val="00E306F7"/>
    <w:rsid w:val="00E3286E"/>
    <w:rsid w:val="00E3349A"/>
    <w:rsid w:val="00E352E8"/>
    <w:rsid w:val="00E357C3"/>
    <w:rsid w:val="00E36415"/>
    <w:rsid w:val="00E364E1"/>
    <w:rsid w:val="00E374E4"/>
    <w:rsid w:val="00E42BBF"/>
    <w:rsid w:val="00E43470"/>
    <w:rsid w:val="00E43966"/>
    <w:rsid w:val="00E448EE"/>
    <w:rsid w:val="00E44D07"/>
    <w:rsid w:val="00E44DD3"/>
    <w:rsid w:val="00E546A6"/>
    <w:rsid w:val="00E548C3"/>
    <w:rsid w:val="00E56916"/>
    <w:rsid w:val="00E57CD3"/>
    <w:rsid w:val="00E614F9"/>
    <w:rsid w:val="00E62629"/>
    <w:rsid w:val="00E67EE6"/>
    <w:rsid w:val="00E71130"/>
    <w:rsid w:val="00E74DC3"/>
    <w:rsid w:val="00E74EBD"/>
    <w:rsid w:val="00E76282"/>
    <w:rsid w:val="00E77363"/>
    <w:rsid w:val="00E77396"/>
    <w:rsid w:val="00E812C9"/>
    <w:rsid w:val="00E865AE"/>
    <w:rsid w:val="00E93527"/>
    <w:rsid w:val="00E94302"/>
    <w:rsid w:val="00E966A4"/>
    <w:rsid w:val="00E966E0"/>
    <w:rsid w:val="00EA2ADF"/>
    <w:rsid w:val="00EA5407"/>
    <w:rsid w:val="00EA7A26"/>
    <w:rsid w:val="00EB0758"/>
    <w:rsid w:val="00EB2C98"/>
    <w:rsid w:val="00EB3B83"/>
    <w:rsid w:val="00EB3BE6"/>
    <w:rsid w:val="00EB7118"/>
    <w:rsid w:val="00EC1A25"/>
    <w:rsid w:val="00EC23DB"/>
    <w:rsid w:val="00EC2A31"/>
    <w:rsid w:val="00EC2BA3"/>
    <w:rsid w:val="00EC52DB"/>
    <w:rsid w:val="00EC7161"/>
    <w:rsid w:val="00EC75D9"/>
    <w:rsid w:val="00EE29EE"/>
    <w:rsid w:val="00EE3456"/>
    <w:rsid w:val="00EE4639"/>
    <w:rsid w:val="00EE523B"/>
    <w:rsid w:val="00EE5E65"/>
    <w:rsid w:val="00EF2834"/>
    <w:rsid w:val="00EF2EE1"/>
    <w:rsid w:val="00EF5A93"/>
    <w:rsid w:val="00EF666D"/>
    <w:rsid w:val="00F00081"/>
    <w:rsid w:val="00F0036D"/>
    <w:rsid w:val="00F019F7"/>
    <w:rsid w:val="00F054D2"/>
    <w:rsid w:val="00F07562"/>
    <w:rsid w:val="00F10C51"/>
    <w:rsid w:val="00F10F95"/>
    <w:rsid w:val="00F168A2"/>
    <w:rsid w:val="00F16C96"/>
    <w:rsid w:val="00F17008"/>
    <w:rsid w:val="00F21168"/>
    <w:rsid w:val="00F229E8"/>
    <w:rsid w:val="00F261D5"/>
    <w:rsid w:val="00F301F2"/>
    <w:rsid w:val="00F32949"/>
    <w:rsid w:val="00F360F2"/>
    <w:rsid w:val="00F36855"/>
    <w:rsid w:val="00F41EA3"/>
    <w:rsid w:val="00F43552"/>
    <w:rsid w:val="00F43657"/>
    <w:rsid w:val="00F46254"/>
    <w:rsid w:val="00F50564"/>
    <w:rsid w:val="00F51310"/>
    <w:rsid w:val="00F51527"/>
    <w:rsid w:val="00F56827"/>
    <w:rsid w:val="00F56C35"/>
    <w:rsid w:val="00F60678"/>
    <w:rsid w:val="00F60CCB"/>
    <w:rsid w:val="00F6154A"/>
    <w:rsid w:val="00F61C83"/>
    <w:rsid w:val="00F638A4"/>
    <w:rsid w:val="00F64D24"/>
    <w:rsid w:val="00F663E0"/>
    <w:rsid w:val="00F664EF"/>
    <w:rsid w:val="00F66B68"/>
    <w:rsid w:val="00F7118D"/>
    <w:rsid w:val="00F7183D"/>
    <w:rsid w:val="00F71A57"/>
    <w:rsid w:val="00F7388F"/>
    <w:rsid w:val="00F73898"/>
    <w:rsid w:val="00F75E31"/>
    <w:rsid w:val="00F828BE"/>
    <w:rsid w:val="00F8305F"/>
    <w:rsid w:val="00F8627A"/>
    <w:rsid w:val="00F865B8"/>
    <w:rsid w:val="00F95E86"/>
    <w:rsid w:val="00FA1211"/>
    <w:rsid w:val="00FA2CEE"/>
    <w:rsid w:val="00FA3510"/>
    <w:rsid w:val="00FA73BB"/>
    <w:rsid w:val="00FB0B67"/>
    <w:rsid w:val="00FB0D9A"/>
    <w:rsid w:val="00FB3978"/>
    <w:rsid w:val="00FB7DA7"/>
    <w:rsid w:val="00FC26F0"/>
    <w:rsid w:val="00FC5718"/>
    <w:rsid w:val="00FD02C8"/>
    <w:rsid w:val="00FD0E5F"/>
    <w:rsid w:val="00FD26CB"/>
    <w:rsid w:val="00FD2C6F"/>
    <w:rsid w:val="00FD35D5"/>
    <w:rsid w:val="00FD3BE9"/>
    <w:rsid w:val="00FD7154"/>
    <w:rsid w:val="00FE4378"/>
    <w:rsid w:val="00FE55DC"/>
    <w:rsid w:val="00FE7CC9"/>
    <w:rsid w:val="00FF0425"/>
    <w:rsid w:val="00FF4C0D"/>
    <w:rsid w:val="00FF51F0"/>
    <w:rsid w:val="00FF703F"/>
    <w:rsid w:val="00FF7171"/>
    <w:rsid w:val="00FF74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C292A41A-40D2-4DFF-9299-3D6F0281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20B"/>
    <w:pPr>
      <w:jc w:val="both"/>
    </w:pPr>
  </w:style>
  <w:style w:type="paragraph" w:styleId="Heading1">
    <w:name w:val="heading 1"/>
    <w:basedOn w:val="Normal"/>
    <w:next w:val="Normal"/>
    <w:link w:val="Heading1Char"/>
    <w:uiPriority w:val="9"/>
    <w:qFormat/>
    <w:rsid w:val="00FD0E5F"/>
    <w:pPr>
      <w:keepNext/>
      <w:keepLines/>
      <w:numPr>
        <w:numId w:val="5"/>
      </w:numPr>
      <w:spacing w:before="6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33ED1"/>
    <w:pPr>
      <w:keepNext/>
      <w:keepLines/>
      <w:numPr>
        <w:ilvl w:val="1"/>
        <w:numId w:val="5"/>
      </w:numPr>
      <w:spacing w:before="240" w:after="0"/>
      <w:ind w:left="578" w:hanging="578"/>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1BDB"/>
    <w:pPr>
      <w:keepNext/>
      <w:keepLines/>
      <w:numPr>
        <w:ilvl w:val="2"/>
        <w:numId w:val="5"/>
      </w:numPr>
      <w:spacing w:before="18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F2922"/>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922"/>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2922"/>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F2922"/>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F292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2922"/>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E5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C5230"/>
    <w:pPr>
      <w:spacing w:after="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BC5230"/>
    <w:rPr>
      <w:rFonts w:asciiTheme="majorHAnsi" w:eastAsiaTheme="majorEastAsia" w:hAnsiTheme="majorHAnsi" w:cstheme="majorBidi"/>
      <w:spacing w:val="-10"/>
      <w:kern w:val="28"/>
      <w:sz w:val="52"/>
      <w:szCs w:val="56"/>
    </w:rPr>
  </w:style>
  <w:style w:type="paragraph" w:styleId="Header">
    <w:name w:val="header"/>
    <w:basedOn w:val="Normal"/>
    <w:link w:val="HeaderChar"/>
    <w:uiPriority w:val="99"/>
    <w:unhideWhenUsed/>
    <w:rsid w:val="00BC5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230"/>
  </w:style>
  <w:style w:type="paragraph" w:styleId="Footer">
    <w:name w:val="footer"/>
    <w:basedOn w:val="Normal"/>
    <w:link w:val="FooterChar"/>
    <w:unhideWhenUsed/>
    <w:rsid w:val="00BC5230"/>
    <w:pPr>
      <w:tabs>
        <w:tab w:val="center" w:pos="4680"/>
        <w:tab w:val="right" w:pos="9360"/>
      </w:tabs>
      <w:spacing w:after="0" w:line="240" w:lineRule="auto"/>
    </w:pPr>
  </w:style>
  <w:style w:type="character" w:customStyle="1" w:styleId="FooterChar">
    <w:name w:val="Footer Char"/>
    <w:basedOn w:val="DefaultParagraphFont"/>
    <w:link w:val="Footer"/>
    <w:rsid w:val="00BC5230"/>
  </w:style>
  <w:style w:type="character" w:styleId="PlaceholderText">
    <w:name w:val="Placeholder Text"/>
    <w:basedOn w:val="DefaultParagraphFont"/>
    <w:uiPriority w:val="99"/>
    <w:semiHidden/>
    <w:rsid w:val="00BC5230"/>
    <w:rPr>
      <w:color w:val="808080"/>
    </w:rPr>
  </w:style>
  <w:style w:type="character" w:customStyle="1" w:styleId="Heading2Char">
    <w:name w:val="Heading 2 Char"/>
    <w:basedOn w:val="DefaultParagraphFont"/>
    <w:link w:val="Heading2"/>
    <w:uiPriority w:val="9"/>
    <w:rsid w:val="00433E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C1BDB"/>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B71A1"/>
    <w:rPr>
      <w:b/>
      <w:bCs/>
    </w:rPr>
  </w:style>
  <w:style w:type="paragraph" w:styleId="ListParagraph">
    <w:name w:val="List Paragraph"/>
    <w:basedOn w:val="Normal"/>
    <w:uiPriority w:val="34"/>
    <w:qFormat/>
    <w:rsid w:val="004F6D61"/>
    <w:pPr>
      <w:ind w:left="720"/>
      <w:contextualSpacing/>
    </w:pPr>
  </w:style>
  <w:style w:type="paragraph" w:styleId="IntenseQuote">
    <w:name w:val="Intense Quote"/>
    <w:basedOn w:val="Normal"/>
    <w:next w:val="Normal"/>
    <w:link w:val="IntenseQuoteChar"/>
    <w:uiPriority w:val="30"/>
    <w:qFormat/>
    <w:rsid w:val="004D151B"/>
    <w:pPr>
      <w:pBdr>
        <w:top w:val="single" w:sz="4" w:space="10" w:color="5B9BD5" w:themeColor="accent1"/>
        <w:bottom w:val="single" w:sz="4" w:space="10" w:color="5B9BD5" w:themeColor="accent1"/>
      </w:pBdr>
      <w:spacing w:before="120" w:after="360"/>
      <w:ind w:left="862" w:right="862"/>
      <w:jc w:val="center"/>
    </w:pPr>
    <w:rPr>
      <w:i/>
      <w:iCs/>
      <w:color w:val="5B9BD5" w:themeColor="accent1"/>
    </w:rPr>
  </w:style>
  <w:style w:type="character" w:customStyle="1" w:styleId="IntenseQuoteChar">
    <w:name w:val="Intense Quote Char"/>
    <w:basedOn w:val="DefaultParagraphFont"/>
    <w:link w:val="IntenseQuote"/>
    <w:uiPriority w:val="30"/>
    <w:rsid w:val="004D151B"/>
    <w:rPr>
      <w:i/>
      <w:iCs/>
      <w:color w:val="5B9BD5" w:themeColor="accent1"/>
    </w:rPr>
  </w:style>
  <w:style w:type="character" w:styleId="IntenseReference">
    <w:name w:val="Intense Reference"/>
    <w:basedOn w:val="DefaultParagraphFont"/>
    <w:uiPriority w:val="32"/>
    <w:qFormat/>
    <w:rsid w:val="004F6D61"/>
    <w:rPr>
      <w:b/>
      <w:bCs/>
      <w:smallCaps/>
      <w:color w:val="5B9BD5" w:themeColor="accent1"/>
      <w:spacing w:val="5"/>
    </w:rPr>
  </w:style>
  <w:style w:type="character" w:styleId="SubtleReference">
    <w:name w:val="Subtle Reference"/>
    <w:basedOn w:val="DefaultParagraphFont"/>
    <w:uiPriority w:val="31"/>
    <w:qFormat/>
    <w:rsid w:val="004F6D61"/>
    <w:rPr>
      <w:smallCaps/>
      <w:color w:val="5A5A5A" w:themeColor="text1" w:themeTint="A5"/>
    </w:rPr>
  </w:style>
  <w:style w:type="paragraph" w:customStyle="1" w:styleId="SimpleHeading">
    <w:name w:val="Simple Heading"/>
    <w:basedOn w:val="Normal"/>
    <w:link w:val="SimpleHeadingChar"/>
    <w:qFormat/>
    <w:rsid w:val="004F6D61"/>
    <w:pPr>
      <w:keepNext/>
    </w:pPr>
    <w:rPr>
      <w:b/>
    </w:rPr>
  </w:style>
  <w:style w:type="character" w:customStyle="1" w:styleId="SimpleHeadingChar">
    <w:name w:val="Simple Heading Char"/>
    <w:basedOn w:val="DefaultParagraphFont"/>
    <w:link w:val="SimpleHeading"/>
    <w:rsid w:val="004F6D61"/>
    <w:rPr>
      <w:b/>
    </w:rPr>
  </w:style>
  <w:style w:type="paragraph" w:customStyle="1" w:styleId="Ideas">
    <w:name w:val="Ideas"/>
    <w:basedOn w:val="Heading1"/>
    <w:link w:val="IdeasChar"/>
    <w:qFormat/>
    <w:rsid w:val="00322ADF"/>
    <w:rPr>
      <w:color w:val="70AD47" w:themeColor="accent6"/>
    </w:rPr>
  </w:style>
  <w:style w:type="character" w:customStyle="1" w:styleId="IdeasChar">
    <w:name w:val="Ideas Char"/>
    <w:basedOn w:val="Heading1Char"/>
    <w:link w:val="Ideas"/>
    <w:rsid w:val="00322ADF"/>
    <w:rPr>
      <w:rFonts w:asciiTheme="majorHAnsi" w:eastAsiaTheme="majorEastAsia" w:hAnsiTheme="majorHAnsi" w:cstheme="majorBidi"/>
      <w:color w:val="70AD47" w:themeColor="accent6"/>
      <w:sz w:val="32"/>
      <w:szCs w:val="32"/>
    </w:rPr>
  </w:style>
  <w:style w:type="character" w:styleId="Hyperlink">
    <w:name w:val="Hyperlink"/>
    <w:aliases w:val="CEO_Hyperlink"/>
    <w:basedOn w:val="DefaultParagraphFont"/>
    <w:unhideWhenUsed/>
    <w:rsid w:val="00322ADF"/>
    <w:rPr>
      <w:color w:val="0563C1" w:themeColor="hyperlink"/>
      <w:u w:val="single"/>
    </w:rPr>
  </w:style>
  <w:style w:type="table" w:styleId="TableGrid">
    <w:name w:val="Table Grid"/>
    <w:basedOn w:val="TableNormal"/>
    <w:uiPriority w:val="39"/>
    <w:rsid w:val="0032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322AD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81DE3"/>
    <w:rPr>
      <w:color w:val="954F72" w:themeColor="followedHyperlink"/>
      <w:u w:val="single"/>
    </w:rPr>
  </w:style>
  <w:style w:type="character" w:styleId="CommentReference">
    <w:name w:val="annotation reference"/>
    <w:basedOn w:val="DefaultParagraphFont"/>
    <w:uiPriority w:val="99"/>
    <w:semiHidden/>
    <w:unhideWhenUsed/>
    <w:rsid w:val="00FF51F0"/>
    <w:rPr>
      <w:sz w:val="16"/>
      <w:szCs w:val="16"/>
    </w:rPr>
  </w:style>
  <w:style w:type="paragraph" w:styleId="CommentText">
    <w:name w:val="annotation text"/>
    <w:basedOn w:val="Normal"/>
    <w:link w:val="CommentTextChar"/>
    <w:uiPriority w:val="99"/>
    <w:semiHidden/>
    <w:unhideWhenUsed/>
    <w:rsid w:val="00FF51F0"/>
    <w:pPr>
      <w:spacing w:line="240" w:lineRule="auto"/>
    </w:pPr>
    <w:rPr>
      <w:sz w:val="20"/>
      <w:szCs w:val="20"/>
    </w:rPr>
  </w:style>
  <w:style w:type="character" w:customStyle="1" w:styleId="CommentTextChar">
    <w:name w:val="Comment Text Char"/>
    <w:basedOn w:val="DefaultParagraphFont"/>
    <w:link w:val="CommentText"/>
    <w:uiPriority w:val="99"/>
    <w:semiHidden/>
    <w:rsid w:val="00FF51F0"/>
    <w:rPr>
      <w:sz w:val="20"/>
      <w:szCs w:val="20"/>
    </w:rPr>
  </w:style>
  <w:style w:type="paragraph" w:styleId="CommentSubject">
    <w:name w:val="annotation subject"/>
    <w:basedOn w:val="CommentText"/>
    <w:next w:val="CommentText"/>
    <w:link w:val="CommentSubjectChar"/>
    <w:uiPriority w:val="99"/>
    <w:semiHidden/>
    <w:unhideWhenUsed/>
    <w:rsid w:val="00FF51F0"/>
    <w:rPr>
      <w:b/>
      <w:bCs/>
    </w:rPr>
  </w:style>
  <w:style w:type="character" w:customStyle="1" w:styleId="CommentSubjectChar">
    <w:name w:val="Comment Subject Char"/>
    <w:basedOn w:val="CommentTextChar"/>
    <w:link w:val="CommentSubject"/>
    <w:uiPriority w:val="99"/>
    <w:semiHidden/>
    <w:rsid w:val="00FF51F0"/>
    <w:rPr>
      <w:b/>
      <w:bCs/>
      <w:sz w:val="20"/>
      <w:szCs w:val="20"/>
    </w:rPr>
  </w:style>
  <w:style w:type="paragraph" w:styleId="BalloonText">
    <w:name w:val="Balloon Text"/>
    <w:basedOn w:val="Normal"/>
    <w:link w:val="BalloonTextChar"/>
    <w:uiPriority w:val="99"/>
    <w:semiHidden/>
    <w:unhideWhenUsed/>
    <w:rsid w:val="00FF5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F0"/>
    <w:rPr>
      <w:rFonts w:ascii="Segoe UI" w:hAnsi="Segoe UI" w:cs="Segoe UI"/>
      <w:sz w:val="18"/>
      <w:szCs w:val="18"/>
    </w:rPr>
  </w:style>
  <w:style w:type="paragraph" w:customStyle="1" w:styleId="Otherideas">
    <w:name w:val="Other ideas"/>
    <w:basedOn w:val="Heading2"/>
    <w:link w:val="OtherideasChar"/>
    <w:qFormat/>
    <w:rsid w:val="00FA2CEE"/>
    <w:rPr>
      <w:color w:val="538135" w:themeColor="accent6" w:themeShade="BF"/>
    </w:rPr>
  </w:style>
  <w:style w:type="character" w:customStyle="1" w:styleId="OtherideasChar">
    <w:name w:val="Other ideas Char"/>
    <w:basedOn w:val="Heading2Char"/>
    <w:link w:val="Otherideas"/>
    <w:rsid w:val="00FA2CEE"/>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F292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F292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F292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F292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F29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2922"/>
    <w:rPr>
      <w:rFonts w:asciiTheme="majorHAnsi" w:eastAsiaTheme="majorEastAsia" w:hAnsiTheme="majorHAnsi" w:cstheme="majorBidi"/>
      <w:i/>
      <w:iCs/>
      <w:color w:val="272727" w:themeColor="text1" w:themeTint="D8"/>
      <w:sz w:val="21"/>
      <w:szCs w:val="21"/>
    </w:rPr>
  </w:style>
  <w:style w:type="table" w:customStyle="1" w:styleId="PlainTable21">
    <w:name w:val="Plain Table 21"/>
    <w:basedOn w:val="TableNormal"/>
    <w:uiPriority w:val="42"/>
    <w:rsid w:val="007E347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otnoteReference">
    <w:name w:val="footnote reference"/>
    <w:aliases w:val="Appel note de bas de p,Footnote Reference/,Footnote symbol,Ref,de nota al pie"/>
    <w:basedOn w:val="DefaultParagraphFont"/>
    <w:rsid w:val="00F664EF"/>
    <w:rPr>
      <w:rFonts w:ascii="Calibri" w:hAnsi="Calibri"/>
      <w:position w:val="6"/>
      <w:sz w:val="16"/>
    </w:rPr>
  </w:style>
  <w:style w:type="paragraph" w:styleId="FootnoteText">
    <w:name w:val="footnote text"/>
    <w:basedOn w:val="Normal"/>
    <w:link w:val="FootnoteTextChar"/>
    <w:rsid w:val="0051620B"/>
    <w:pPr>
      <w:keepLines/>
      <w:tabs>
        <w:tab w:val="left" w:pos="256"/>
        <w:tab w:val="left" w:pos="567"/>
        <w:tab w:val="left" w:pos="1134"/>
        <w:tab w:val="left" w:pos="1701"/>
        <w:tab w:val="left" w:pos="2268"/>
        <w:tab w:val="left" w:pos="2835"/>
      </w:tabs>
      <w:overflowPunct w:val="0"/>
      <w:autoSpaceDE w:val="0"/>
      <w:autoSpaceDN w:val="0"/>
      <w:adjustRightInd w:val="0"/>
      <w:spacing w:before="60" w:after="0" w:line="240" w:lineRule="auto"/>
      <w:ind w:left="255" w:hanging="255"/>
      <w:jc w:val="left"/>
      <w:textAlignment w:val="baseline"/>
    </w:pPr>
    <w:rPr>
      <w:rFonts w:ascii="Calibri" w:eastAsia="Times New Roman" w:hAnsi="Calibri" w:cs="Times New Roman"/>
      <w:sz w:val="18"/>
      <w:szCs w:val="20"/>
      <w:lang w:val="en-GB"/>
    </w:rPr>
  </w:style>
  <w:style w:type="character" w:customStyle="1" w:styleId="FootnoteTextChar">
    <w:name w:val="Footnote Text Char"/>
    <w:basedOn w:val="DefaultParagraphFont"/>
    <w:link w:val="FootnoteText"/>
    <w:rsid w:val="0051620B"/>
    <w:rPr>
      <w:rFonts w:ascii="Calibri" w:eastAsia="Times New Roman" w:hAnsi="Calibri" w:cs="Times New Roman"/>
      <w:sz w:val="18"/>
      <w:szCs w:val="20"/>
      <w:lang w:val="en-GB"/>
    </w:rPr>
  </w:style>
  <w:style w:type="table" w:customStyle="1" w:styleId="GridTable4-Accent11">
    <w:name w:val="Grid Table 4 - Accent 11"/>
    <w:basedOn w:val="TableNormal"/>
    <w:uiPriority w:val="49"/>
    <w:rsid w:val="0063523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Outputdescription">
    <w:name w:val="Output description"/>
    <w:basedOn w:val="Normal"/>
    <w:qFormat/>
    <w:rsid w:val="004A20C6"/>
    <w:pPr>
      <w:spacing w:after="60"/>
    </w:pPr>
    <w:rPr>
      <w:sz w:val="20"/>
    </w:rPr>
  </w:style>
  <w:style w:type="table" w:customStyle="1" w:styleId="GridTable4-Accent12">
    <w:name w:val="Grid Table 4 - Accent 12"/>
    <w:basedOn w:val="TableNormal"/>
    <w:uiPriority w:val="49"/>
    <w:rsid w:val="00BE013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PlainTable22">
    <w:name w:val="Plain Table 22"/>
    <w:basedOn w:val="TableNormal"/>
    <w:uiPriority w:val="42"/>
    <w:rsid w:val="00E5691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List-Accent1">
    <w:name w:val="Light List Accent 1"/>
    <w:basedOn w:val="TableNormal"/>
    <w:uiPriority w:val="61"/>
    <w:rsid w:val="00E56916"/>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5">
    <w:name w:val="Light List Accent 5"/>
    <w:basedOn w:val="TableNormal"/>
    <w:uiPriority w:val="61"/>
    <w:rsid w:val="0005346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Shading1-Accent1">
    <w:name w:val="Medium Shading 1 Accent 1"/>
    <w:basedOn w:val="TableNormal"/>
    <w:uiPriority w:val="63"/>
    <w:rsid w:val="00057DA6"/>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B54C45"/>
    <w:pPr>
      <w:spacing w:after="200" w:line="240" w:lineRule="auto"/>
    </w:pPr>
    <w:rPr>
      <w:i/>
      <w:iCs/>
      <w:color w:val="44546A" w:themeColor="text2"/>
      <w:sz w:val="18"/>
      <w:szCs w:val="18"/>
    </w:rPr>
  </w:style>
  <w:style w:type="table" w:styleId="ListTable3-Accent1">
    <w:name w:val="List Table 3 Accent 1"/>
    <w:basedOn w:val="TableNormal"/>
    <w:uiPriority w:val="48"/>
    <w:rsid w:val="007466A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Revision">
    <w:name w:val="Revision"/>
    <w:hidden/>
    <w:uiPriority w:val="99"/>
    <w:semiHidden/>
    <w:rsid w:val="00D04DBB"/>
    <w:pPr>
      <w:spacing w:after="0" w:line="240" w:lineRule="auto"/>
    </w:pPr>
  </w:style>
  <w:style w:type="paragraph" w:customStyle="1" w:styleId="Docnumber">
    <w:name w:val="Docnumber"/>
    <w:basedOn w:val="Normal"/>
    <w:link w:val="DocnumberChar"/>
    <w:qFormat/>
    <w:rsid w:val="000355F7"/>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0355F7"/>
    <w:rPr>
      <w:rFonts w:ascii="Times New Roman" w:hAnsi="Times New Roman" w:cs="Times New Roman"/>
      <w:b/>
      <w:bCs/>
      <w:sz w:val="40"/>
    </w:rPr>
  </w:style>
  <w:style w:type="paragraph" w:customStyle="1" w:styleId="Normalaftertitle">
    <w:name w:val="Normal after title"/>
    <w:basedOn w:val="Normal"/>
    <w:next w:val="Normal"/>
    <w:rsid w:val="002C38F0"/>
    <w:pPr>
      <w:tabs>
        <w:tab w:val="left" w:pos="794"/>
        <w:tab w:val="left" w:pos="1191"/>
        <w:tab w:val="left" w:pos="1588"/>
        <w:tab w:val="left" w:pos="1985"/>
      </w:tabs>
      <w:overflowPunct w:val="0"/>
      <w:autoSpaceDE w:val="0"/>
      <w:autoSpaceDN w:val="0"/>
      <w:adjustRightInd w:val="0"/>
      <w:spacing w:before="280" w:after="0" w:line="240" w:lineRule="auto"/>
      <w:jc w:val="left"/>
      <w:textAlignment w:val="baseline"/>
    </w:pPr>
    <w:rPr>
      <w:rFonts w:eastAsia="Times New Roman" w:cs="Times New Roman"/>
      <w:sz w:val="24"/>
      <w:szCs w:val="20"/>
      <w:lang w:val="en-GB"/>
    </w:rPr>
  </w:style>
  <w:style w:type="paragraph" w:customStyle="1" w:styleId="Source">
    <w:name w:val="Source"/>
    <w:basedOn w:val="Normal"/>
    <w:next w:val="Normalaftertitle"/>
    <w:rsid w:val="002C38F0"/>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pPr>
    <w:rPr>
      <w:rFonts w:eastAsia="Times New Roman" w:cs="Times New Roman"/>
      <w:b/>
      <w:sz w:val="24"/>
      <w:szCs w:val="20"/>
      <w:lang w:val="en-GB"/>
    </w:rPr>
  </w:style>
  <w:style w:type="paragraph" w:customStyle="1" w:styleId="Title1">
    <w:name w:val="Title 1"/>
    <w:basedOn w:val="Source"/>
    <w:next w:val="Normal"/>
    <w:rsid w:val="002C38F0"/>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Committee">
    <w:name w:val="Committee"/>
    <w:basedOn w:val="Normal"/>
    <w:qFormat/>
    <w:rsid w:val="002C38F0"/>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pPr>
    <w:rPr>
      <w:rFonts w:eastAsia="Times New Roman" w:cs="Times New Roman Bold"/>
      <w:b/>
      <w:caps/>
      <w:sz w:val="24"/>
      <w:szCs w:val="20"/>
      <w:lang w:val="en-GB"/>
    </w:rPr>
  </w:style>
  <w:style w:type="paragraph" w:customStyle="1" w:styleId="Headingb">
    <w:name w:val="Heading_b"/>
    <w:basedOn w:val="Heading3"/>
    <w:next w:val="Normal"/>
    <w:rsid w:val="00EF2834"/>
    <w:pPr>
      <w:numPr>
        <w:ilvl w:val="0"/>
        <w:numId w:val="0"/>
      </w:numPr>
      <w:tabs>
        <w:tab w:val="left" w:pos="567"/>
        <w:tab w:val="left" w:pos="1134"/>
        <w:tab w:val="left" w:pos="1701"/>
        <w:tab w:val="left" w:pos="2268"/>
        <w:tab w:val="left" w:pos="2835"/>
      </w:tabs>
      <w:overflowPunct w:val="0"/>
      <w:autoSpaceDE w:val="0"/>
      <w:autoSpaceDN w:val="0"/>
      <w:adjustRightInd w:val="0"/>
      <w:spacing w:before="160" w:line="240" w:lineRule="auto"/>
      <w:ind w:left="567" w:hanging="567"/>
      <w:jc w:val="left"/>
      <w:textAlignment w:val="baseline"/>
      <w:outlineLvl w:val="0"/>
    </w:pPr>
    <w:rPr>
      <w:rFonts w:ascii="Calibri" w:eastAsia="Times New Roman" w:hAnsi="Calibri" w:cs="Times New Roman"/>
      <w:b/>
      <w:color w:val="auto"/>
      <w:szCs w:val="20"/>
      <w:lang w:val="en-GB"/>
    </w:rPr>
  </w:style>
  <w:style w:type="paragraph" w:customStyle="1" w:styleId="Table">
    <w:name w:val="Table_#"/>
    <w:basedOn w:val="Normal"/>
    <w:next w:val="Normal"/>
    <w:rsid w:val="00EF2834"/>
    <w:pPr>
      <w:keepNext/>
      <w:tabs>
        <w:tab w:val="left" w:pos="794"/>
        <w:tab w:val="left" w:pos="1191"/>
        <w:tab w:val="left" w:pos="1588"/>
        <w:tab w:val="left" w:pos="1985"/>
      </w:tabs>
      <w:spacing w:before="560" w:after="120" w:line="240" w:lineRule="auto"/>
      <w:jc w:val="center"/>
    </w:pPr>
    <w:rPr>
      <w:rFonts w:ascii="Times New Roman" w:eastAsia="Times New Roman" w:hAnsi="Times New Roman" w:cs="Times New Roman"/>
      <w:caps/>
      <w:sz w:val="24"/>
      <w:szCs w:val="20"/>
      <w:lang w:val="en-GB"/>
    </w:rPr>
  </w:style>
  <w:style w:type="character" w:styleId="PageNumber">
    <w:name w:val="page number"/>
    <w:basedOn w:val="DefaultParagraphFont"/>
    <w:rsid w:val="00B11E62"/>
    <w:rPr>
      <w:rFonts w:asciiTheme="minorHAnsi" w:hAnsiTheme="minorHAnsi"/>
    </w:rPr>
  </w:style>
  <w:style w:type="paragraph" w:customStyle="1" w:styleId="Normalaftertitle0">
    <w:name w:val="Normal_after_title"/>
    <w:basedOn w:val="Normal"/>
    <w:next w:val="Normal"/>
    <w:rsid w:val="00D31F73"/>
    <w:pPr>
      <w:tabs>
        <w:tab w:val="left" w:pos="794"/>
        <w:tab w:val="left" w:pos="1191"/>
        <w:tab w:val="left" w:pos="1588"/>
        <w:tab w:val="left" w:pos="1985"/>
      </w:tabs>
      <w:overflowPunct w:val="0"/>
      <w:autoSpaceDE w:val="0"/>
      <w:autoSpaceDN w:val="0"/>
      <w:adjustRightInd w:val="0"/>
      <w:spacing w:before="400" w:after="0" w:line="280" w:lineRule="exact"/>
      <w:textAlignment w:val="baseline"/>
    </w:pPr>
    <w:rPr>
      <w:rFonts w:ascii="Calibri" w:eastAsia="Times New Roman" w:hAnsi="Calibri" w:cs="Calibri"/>
    </w:rPr>
  </w:style>
  <w:style w:type="paragraph" w:styleId="PlainText">
    <w:name w:val="Plain Text"/>
    <w:basedOn w:val="Normal"/>
    <w:link w:val="PlainTextChar"/>
    <w:uiPriority w:val="99"/>
    <w:unhideWhenUsed/>
    <w:rsid w:val="00D31F73"/>
    <w:pPr>
      <w:spacing w:after="0" w:line="240" w:lineRule="auto"/>
      <w:jc w:val="left"/>
    </w:pPr>
    <w:rPr>
      <w:rFonts w:ascii="Calibri" w:eastAsia="SimSun" w:hAnsi="Calibri" w:cs="Arial"/>
      <w:szCs w:val="21"/>
      <w:lang w:eastAsia="zh-CN"/>
    </w:rPr>
  </w:style>
  <w:style w:type="character" w:customStyle="1" w:styleId="PlainTextChar">
    <w:name w:val="Plain Text Char"/>
    <w:basedOn w:val="DefaultParagraphFont"/>
    <w:link w:val="PlainText"/>
    <w:uiPriority w:val="99"/>
    <w:rsid w:val="00D31F73"/>
    <w:rPr>
      <w:rFonts w:ascii="Calibri" w:eastAsia="SimSun" w:hAnsi="Calibri" w:cs="Arial"/>
      <w:szCs w:val="21"/>
      <w:lang w:eastAsia="zh-CN"/>
    </w:rPr>
  </w:style>
  <w:style w:type="paragraph" w:customStyle="1" w:styleId="enumlev2">
    <w:name w:val="enumlev2"/>
    <w:basedOn w:val="Normal"/>
    <w:rsid w:val="00D31F73"/>
    <w:pPr>
      <w:tabs>
        <w:tab w:val="left" w:pos="794"/>
        <w:tab w:val="left" w:pos="1191"/>
        <w:tab w:val="left" w:pos="1588"/>
        <w:tab w:val="left" w:pos="1985"/>
      </w:tabs>
      <w:overflowPunct w:val="0"/>
      <w:autoSpaceDE w:val="0"/>
      <w:autoSpaceDN w:val="0"/>
      <w:adjustRightInd w:val="0"/>
      <w:spacing w:before="80" w:after="0" w:line="240" w:lineRule="auto"/>
      <w:ind w:left="1191" w:hanging="397"/>
      <w:jc w:val="left"/>
      <w:textAlignment w:val="baseline"/>
    </w:pPr>
    <w:rPr>
      <w:rFonts w:ascii="Times New Roman" w:eastAsia="MS Mincho"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1018">
      <w:bodyDiv w:val="1"/>
      <w:marLeft w:val="0"/>
      <w:marRight w:val="0"/>
      <w:marTop w:val="0"/>
      <w:marBottom w:val="0"/>
      <w:divBdr>
        <w:top w:val="none" w:sz="0" w:space="0" w:color="auto"/>
        <w:left w:val="none" w:sz="0" w:space="0" w:color="auto"/>
        <w:bottom w:val="none" w:sz="0" w:space="0" w:color="auto"/>
        <w:right w:val="none" w:sz="0" w:space="0" w:color="auto"/>
      </w:divBdr>
    </w:div>
    <w:div w:id="37290873">
      <w:bodyDiv w:val="1"/>
      <w:marLeft w:val="0"/>
      <w:marRight w:val="0"/>
      <w:marTop w:val="0"/>
      <w:marBottom w:val="0"/>
      <w:divBdr>
        <w:top w:val="none" w:sz="0" w:space="0" w:color="auto"/>
        <w:left w:val="none" w:sz="0" w:space="0" w:color="auto"/>
        <w:bottom w:val="none" w:sz="0" w:space="0" w:color="auto"/>
        <w:right w:val="none" w:sz="0" w:space="0" w:color="auto"/>
      </w:divBdr>
    </w:div>
    <w:div w:id="231239480">
      <w:bodyDiv w:val="1"/>
      <w:marLeft w:val="0"/>
      <w:marRight w:val="0"/>
      <w:marTop w:val="0"/>
      <w:marBottom w:val="0"/>
      <w:divBdr>
        <w:top w:val="none" w:sz="0" w:space="0" w:color="auto"/>
        <w:left w:val="none" w:sz="0" w:space="0" w:color="auto"/>
        <w:bottom w:val="none" w:sz="0" w:space="0" w:color="auto"/>
        <w:right w:val="none" w:sz="0" w:space="0" w:color="auto"/>
      </w:divBdr>
    </w:div>
    <w:div w:id="236519612">
      <w:bodyDiv w:val="1"/>
      <w:marLeft w:val="0"/>
      <w:marRight w:val="0"/>
      <w:marTop w:val="0"/>
      <w:marBottom w:val="0"/>
      <w:divBdr>
        <w:top w:val="none" w:sz="0" w:space="0" w:color="auto"/>
        <w:left w:val="none" w:sz="0" w:space="0" w:color="auto"/>
        <w:bottom w:val="none" w:sz="0" w:space="0" w:color="auto"/>
        <w:right w:val="none" w:sz="0" w:space="0" w:color="auto"/>
      </w:divBdr>
    </w:div>
    <w:div w:id="270670750">
      <w:bodyDiv w:val="1"/>
      <w:marLeft w:val="0"/>
      <w:marRight w:val="0"/>
      <w:marTop w:val="0"/>
      <w:marBottom w:val="0"/>
      <w:divBdr>
        <w:top w:val="none" w:sz="0" w:space="0" w:color="auto"/>
        <w:left w:val="none" w:sz="0" w:space="0" w:color="auto"/>
        <w:bottom w:val="none" w:sz="0" w:space="0" w:color="auto"/>
        <w:right w:val="none" w:sz="0" w:space="0" w:color="auto"/>
      </w:divBdr>
    </w:div>
    <w:div w:id="285235296">
      <w:bodyDiv w:val="1"/>
      <w:marLeft w:val="0"/>
      <w:marRight w:val="0"/>
      <w:marTop w:val="0"/>
      <w:marBottom w:val="0"/>
      <w:divBdr>
        <w:top w:val="none" w:sz="0" w:space="0" w:color="auto"/>
        <w:left w:val="none" w:sz="0" w:space="0" w:color="auto"/>
        <w:bottom w:val="none" w:sz="0" w:space="0" w:color="auto"/>
        <w:right w:val="none" w:sz="0" w:space="0" w:color="auto"/>
      </w:divBdr>
    </w:div>
    <w:div w:id="292250908">
      <w:bodyDiv w:val="1"/>
      <w:marLeft w:val="0"/>
      <w:marRight w:val="0"/>
      <w:marTop w:val="0"/>
      <w:marBottom w:val="0"/>
      <w:divBdr>
        <w:top w:val="none" w:sz="0" w:space="0" w:color="auto"/>
        <w:left w:val="none" w:sz="0" w:space="0" w:color="auto"/>
        <w:bottom w:val="none" w:sz="0" w:space="0" w:color="auto"/>
        <w:right w:val="none" w:sz="0" w:space="0" w:color="auto"/>
      </w:divBdr>
    </w:div>
    <w:div w:id="423263630">
      <w:bodyDiv w:val="1"/>
      <w:marLeft w:val="0"/>
      <w:marRight w:val="0"/>
      <w:marTop w:val="0"/>
      <w:marBottom w:val="0"/>
      <w:divBdr>
        <w:top w:val="none" w:sz="0" w:space="0" w:color="auto"/>
        <w:left w:val="none" w:sz="0" w:space="0" w:color="auto"/>
        <w:bottom w:val="none" w:sz="0" w:space="0" w:color="auto"/>
        <w:right w:val="none" w:sz="0" w:space="0" w:color="auto"/>
      </w:divBdr>
    </w:div>
    <w:div w:id="437525172">
      <w:bodyDiv w:val="1"/>
      <w:marLeft w:val="0"/>
      <w:marRight w:val="0"/>
      <w:marTop w:val="0"/>
      <w:marBottom w:val="0"/>
      <w:divBdr>
        <w:top w:val="none" w:sz="0" w:space="0" w:color="auto"/>
        <w:left w:val="none" w:sz="0" w:space="0" w:color="auto"/>
        <w:bottom w:val="none" w:sz="0" w:space="0" w:color="auto"/>
        <w:right w:val="none" w:sz="0" w:space="0" w:color="auto"/>
      </w:divBdr>
    </w:div>
    <w:div w:id="459036974">
      <w:bodyDiv w:val="1"/>
      <w:marLeft w:val="0"/>
      <w:marRight w:val="0"/>
      <w:marTop w:val="0"/>
      <w:marBottom w:val="0"/>
      <w:divBdr>
        <w:top w:val="none" w:sz="0" w:space="0" w:color="auto"/>
        <w:left w:val="none" w:sz="0" w:space="0" w:color="auto"/>
        <w:bottom w:val="none" w:sz="0" w:space="0" w:color="auto"/>
        <w:right w:val="none" w:sz="0" w:space="0" w:color="auto"/>
      </w:divBdr>
    </w:div>
    <w:div w:id="468479441">
      <w:bodyDiv w:val="1"/>
      <w:marLeft w:val="0"/>
      <w:marRight w:val="0"/>
      <w:marTop w:val="0"/>
      <w:marBottom w:val="0"/>
      <w:divBdr>
        <w:top w:val="none" w:sz="0" w:space="0" w:color="auto"/>
        <w:left w:val="none" w:sz="0" w:space="0" w:color="auto"/>
        <w:bottom w:val="none" w:sz="0" w:space="0" w:color="auto"/>
        <w:right w:val="none" w:sz="0" w:space="0" w:color="auto"/>
      </w:divBdr>
    </w:div>
    <w:div w:id="470098513">
      <w:bodyDiv w:val="1"/>
      <w:marLeft w:val="0"/>
      <w:marRight w:val="0"/>
      <w:marTop w:val="0"/>
      <w:marBottom w:val="0"/>
      <w:divBdr>
        <w:top w:val="none" w:sz="0" w:space="0" w:color="auto"/>
        <w:left w:val="none" w:sz="0" w:space="0" w:color="auto"/>
        <w:bottom w:val="none" w:sz="0" w:space="0" w:color="auto"/>
        <w:right w:val="none" w:sz="0" w:space="0" w:color="auto"/>
      </w:divBdr>
    </w:div>
    <w:div w:id="474376440">
      <w:bodyDiv w:val="1"/>
      <w:marLeft w:val="0"/>
      <w:marRight w:val="0"/>
      <w:marTop w:val="0"/>
      <w:marBottom w:val="0"/>
      <w:divBdr>
        <w:top w:val="none" w:sz="0" w:space="0" w:color="auto"/>
        <w:left w:val="none" w:sz="0" w:space="0" w:color="auto"/>
        <w:bottom w:val="none" w:sz="0" w:space="0" w:color="auto"/>
        <w:right w:val="none" w:sz="0" w:space="0" w:color="auto"/>
      </w:divBdr>
    </w:div>
    <w:div w:id="528837766">
      <w:bodyDiv w:val="1"/>
      <w:marLeft w:val="0"/>
      <w:marRight w:val="0"/>
      <w:marTop w:val="0"/>
      <w:marBottom w:val="0"/>
      <w:divBdr>
        <w:top w:val="none" w:sz="0" w:space="0" w:color="auto"/>
        <w:left w:val="none" w:sz="0" w:space="0" w:color="auto"/>
        <w:bottom w:val="none" w:sz="0" w:space="0" w:color="auto"/>
        <w:right w:val="none" w:sz="0" w:space="0" w:color="auto"/>
      </w:divBdr>
    </w:div>
    <w:div w:id="703485780">
      <w:bodyDiv w:val="1"/>
      <w:marLeft w:val="0"/>
      <w:marRight w:val="0"/>
      <w:marTop w:val="0"/>
      <w:marBottom w:val="0"/>
      <w:divBdr>
        <w:top w:val="none" w:sz="0" w:space="0" w:color="auto"/>
        <w:left w:val="none" w:sz="0" w:space="0" w:color="auto"/>
        <w:bottom w:val="none" w:sz="0" w:space="0" w:color="auto"/>
        <w:right w:val="none" w:sz="0" w:space="0" w:color="auto"/>
      </w:divBdr>
    </w:div>
    <w:div w:id="840506406">
      <w:bodyDiv w:val="1"/>
      <w:marLeft w:val="0"/>
      <w:marRight w:val="0"/>
      <w:marTop w:val="0"/>
      <w:marBottom w:val="0"/>
      <w:divBdr>
        <w:top w:val="none" w:sz="0" w:space="0" w:color="auto"/>
        <w:left w:val="none" w:sz="0" w:space="0" w:color="auto"/>
        <w:bottom w:val="none" w:sz="0" w:space="0" w:color="auto"/>
        <w:right w:val="none" w:sz="0" w:space="0" w:color="auto"/>
      </w:divBdr>
    </w:div>
    <w:div w:id="1014771942">
      <w:bodyDiv w:val="1"/>
      <w:marLeft w:val="0"/>
      <w:marRight w:val="0"/>
      <w:marTop w:val="0"/>
      <w:marBottom w:val="0"/>
      <w:divBdr>
        <w:top w:val="none" w:sz="0" w:space="0" w:color="auto"/>
        <w:left w:val="none" w:sz="0" w:space="0" w:color="auto"/>
        <w:bottom w:val="none" w:sz="0" w:space="0" w:color="auto"/>
        <w:right w:val="none" w:sz="0" w:space="0" w:color="auto"/>
      </w:divBdr>
    </w:div>
    <w:div w:id="1098216711">
      <w:bodyDiv w:val="1"/>
      <w:marLeft w:val="0"/>
      <w:marRight w:val="0"/>
      <w:marTop w:val="0"/>
      <w:marBottom w:val="0"/>
      <w:divBdr>
        <w:top w:val="none" w:sz="0" w:space="0" w:color="auto"/>
        <w:left w:val="none" w:sz="0" w:space="0" w:color="auto"/>
        <w:bottom w:val="none" w:sz="0" w:space="0" w:color="auto"/>
        <w:right w:val="none" w:sz="0" w:space="0" w:color="auto"/>
      </w:divBdr>
    </w:div>
    <w:div w:id="1131904707">
      <w:bodyDiv w:val="1"/>
      <w:marLeft w:val="0"/>
      <w:marRight w:val="0"/>
      <w:marTop w:val="0"/>
      <w:marBottom w:val="0"/>
      <w:divBdr>
        <w:top w:val="none" w:sz="0" w:space="0" w:color="auto"/>
        <w:left w:val="none" w:sz="0" w:space="0" w:color="auto"/>
        <w:bottom w:val="none" w:sz="0" w:space="0" w:color="auto"/>
        <w:right w:val="none" w:sz="0" w:space="0" w:color="auto"/>
      </w:divBdr>
    </w:div>
    <w:div w:id="1223832706">
      <w:bodyDiv w:val="1"/>
      <w:marLeft w:val="0"/>
      <w:marRight w:val="0"/>
      <w:marTop w:val="0"/>
      <w:marBottom w:val="0"/>
      <w:divBdr>
        <w:top w:val="none" w:sz="0" w:space="0" w:color="auto"/>
        <w:left w:val="none" w:sz="0" w:space="0" w:color="auto"/>
        <w:bottom w:val="none" w:sz="0" w:space="0" w:color="auto"/>
        <w:right w:val="none" w:sz="0" w:space="0" w:color="auto"/>
      </w:divBdr>
    </w:div>
    <w:div w:id="1312057531">
      <w:bodyDiv w:val="1"/>
      <w:marLeft w:val="0"/>
      <w:marRight w:val="0"/>
      <w:marTop w:val="0"/>
      <w:marBottom w:val="0"/>
      <w:divBdr>
        <w:top w:val="none" w:sz="0" w:space="0" w:color="auto"/>
        <w:left w:val="none" w:sz="0" w:space="0" w:color="auto"/>
        <w:bottom w:val="none" w:sz="0" w:space="0" w:color="auto"/>
        <w:right w:val="none" w:sz="0" w:space="0" w:color="auto"/>
      </w:divBdr>
    </w:div>
    <w:div w:id="1324435356">
      <w:bodyDiv w:val="1"/>
      <w:marLeft w:val="0"/>
      <w:marRight w:val="0"/>
      <w:marTop w:val="0"/>
      <w:marBottom w:val="0"/>
      <w:divBdr>
        <w:top w:val="none" w:sz="0" w:space="0" w:color="auto"/>
        <w:left w:val="none" w:sz="0" w:space="0" w:color="auto"/>
        <w:bottom w:val="none" w:sz="0" w:space="0" w:color="auto"/>
        <w:right w:val="none" w:sz="0" w:space="0" w:color="auto"/>
      </w:divBdr>
    </w:div>
    <w:div w:id="1392118353">
      <w:bodyDiv w:val="1"/>
      <w:marLeft w:val="0"/>
      <w:marRight w:val="0"/>
      <w:marTop w:val="0"/>
      <w:marBottom w:val="0"/>
      <w:divBdr>
        <w:top w:val="none" w:sz="0" w:space="0" w:color="auto"/>
        <w:left w:val="none" w:sz="0" w:space="0" w:color="auto"/>
        <w:bottom w:val="none" w:sz="0" w:space="0" w:color="auto"/>
        <w:right w:val="none" w:sz="0" w:space="0" w:color="auto"/>
      </w:divBdr>
    </w:div>
    <w:div w:id="1392919211">
      <w:bodyDiv w:val="1"/>
      <w:marLeft w:val="0"/>
      <w:marRight w:val="0"/>
      <w:marTop w:val="0"/>
      <w:marBottom w:val="0"/>
      <w:divBdr>
        <w:top w:val="none" w:sz="0" w:space="0" w:color="auto"/>
        <w:left w:val="none" w:sz="0" w:space="0" w:color="auto"/>
        <w:bottom w:val="none" w:sz="0" w:space="0" w:color="auto"/>
        <w:right w:val="none" w:sz="0" w:space="0" w:color="auto"/>
      </w:divBdr>
    </w:div>
    <w:div w:id="1398742388">
      <w:bodyDiv w:val="1"/>
      <w:marLeft w:val="0"/>
      <w:marRight w:val="0"/>
      <w:marTop w:val="0"/>
      <w:marBottom w:val="0"/>
      <w:divBdr>
        <w:top w:val="none" w:sz="0" w:space="0" w:color="auto"/>
        <w:left w:val="none" w:sz="0" w:space="0" w:color="auto"/>
        <w:bottom w:val="none" w:sz="0" w:space="0" w:color="auto"/>
        <w:right w:val="none" w:sz="0" w:space="0" w:color="auto"/>
      </w:divBdr>
    </w:div>
    <w:div w:id="1402290944">
      <w:bodyDiv w:val="1"/>
      <w:marLeft w:val="0"/>
      <w:marRight w:val="0"/>
      <w:marTop w:val="0"/>
      <w:marBottom w:val="0"/>
      <w:divBdr>
        <w:top w:val="none" w:sz="0" w:space="0" w:color="auto"/>
        <w:left w:val="none" w:sz="0" w:space="0" w:color="auto"/>
        <w:bottom w:val="none" w:sz="0" w:space="0" w:color="auto"/>
        <w:right w:val="none" w:sz="0" w:space="0" w:color="auto"/>
      </w:divBdr>
    </w:div>
    <w:div w:id="1435172940">
      <w:bodyDiv w:val="1"/>
      <w:marLeft w:val="0"/>
      <w:marRight w:val="0"/>
      <w:marTop w:val="0"/>
      <w:marBottom w:val="0"/>
      <w:divBdr>
        <w:top w:val="none" w:sz="0" w:space="0" w:color="auto"/>
        <w:left w:val="none" w:sz="0" w:space="0" w:color="auto"/>
        <w:bottom w:val="none" w:sz="0" w:space="0" w:color="auto"/>
        <w:right w:val="none" w:sz="0" w:space="0" w:color="auto"/>
      </w:divBdr>
    </w:div>
    <w:div w:id="1556045445">
      <w:bodyDiv w:val="1"/>
      <w:marLeft w:val="0"/>
      <w:marRight w:val="0"/>
      <w:marTop w:val="0"/>
      <w:marBottom w:val="0"/>
      <w:divBdr>
        <w:top w:val="none" w:sz="0" w:space="0" w:color="auto"/>
        <w:left w:val="none" w:sz="0" w:space="0" w:color="auto"/>
        <w:bottom w:val="none" w:sz="0" w:space="0" w:color="auto"/>
        <w:right w:val="none" w:sz="0" w:space="0" w:color="auto"/>
      </w:divBdr>
    </w:div>
    <w:div w:id="1656567510">
      <w:bodyDiv w:val="1"/>
      <w:marLeft w:val="0"/>
      <w:marRight w:val="0"/>
      <w:marTop w:val="0"/>
      <w:marBottom w:val="0"/>
      <w:divBdr>
        <w:top w:val="none" w:sz="0" w:space="0" w:color="auto"/>
        <w:left w:val="none" w:sz="0" w:space="0" w:color="auto"/>
        <w:bottom w:val="none" w:sz="0" w:space="0" w:color="auto"/>
        <w:right w:val="none" w:sz="0" w:space="0" w:color="auto"/>
      </w:divBdr>
    </w:div>
    <w:div w:id="1689718030">
      <w:bodyDiv w:val="1"/>
      <w:marLeft w:val="0"/>
      <w:marRight w:val="0"/>
      <w:marTop w:val="0"/>
      <w:marBottom w:val="0"/>
      <w:divBdr>
        <w:top w:val="none" w:sz="0" w:space="0" w:color="auto"/>
        <w:left w:val="none" w:sz="0" w:space="0" w:color="auto"/>
        <w:bottom w:val="none" w:sz="0" w:space="0" w:color="auto"/>
        <w:right w:val="none" w:sz="0" w:space="0" w:color="auto"/>
      </w:divBdr>
    </w:div>
    <w:div w:id="1797941737">
      <w:bodyDiv w:val="1"/>
      <w:marLeft w:val="0"/>
      <w:marRight w:val="0"/>
      <w:marTop w:val="0"/>
      <w:marBottom w:val="0"/>
      <w:divBdr>
        <w:top w:val="none" w:sz="0" w:space="0" w:color="auto"/>
        <w:left w:val="none" w:sz="0" w:space="0" w:color="auto"/>
        <w:bottom w:val="none" w:sz="0" w:space="0" w:color="auto"/>
        <w:right w:val="none" w:sz="0" w:space="0" w:color="auto"/>
      </w:divBdr>
    </w:div>
    <w:div w:id="1810588198">
      <w:bodyDiv w:val="1"/>
      <w:marLeft w:val="0"/>
      <w:marRight w:val="0"/>
      <w:marTop w:val="0"/>
      <w:marBottom w:val="0"/>
      <w:divBdr>
        <w:top w:val="none" w:sz="0" w:space="0" w:color="auto"/>
        <w:left w:val="none" w:sz="0" w:space="0" w:color="auto"/>
        <w:bottom w:val="none" w:sz="0" w:space="0" w:color="auto"/>
        <w:right w:val="none" w:sz="0" w:space="0" w:color="auto"/>
      </w:divBdr>
    </w:div>
    <w:div w:id="1839232236">
      <w:bodyDiv w:val="1"/>
      <w:marLeft w:val="0"/>
      <w:marRight w:val="0"/>
      <w:marTop w:val="0"/>
      <w:marBottom w:val="0"/>
      <w:divBdr>
        <w:top w:val="none" w:sz="0" w:space="0" w:color="auto"/>
        <w:left w:val="none" w:sz="0" w:space="0" w:color="auto"/>
        <w:bottom w:val="none" w:sz="0" w:space="0" w:color="auto"/>
        <w:right w:val="none" w:sz="0" w:space="0" w:color="auto"/>
      </w:divBdr>
    </w:div>
    <w:div w:id="1891724233">
      <w:bodyDiv w:val="1"/>
      <w:marLeft w:val="0"/>
      <w:marRight w:val="0"/>
      <w:marTop w:val="0"/>
      <w:marBottom w:val="0"/>
      <w:divBdr>
        <w:top w:val="none" w:sz="0" w:space="0" w:color="auto"/>
        <w:left w:val="none" w:sz="0" w:space="0" w:color="auto"/>
        <w:bottom w:val="none" w:sz="0" w:space="0" w:color="auto"/>
        <w:right w:val="none" w:sz="0" w:space="0" w:color="auto"/>
      </w:divBdr>
    </w:div>
    <w:div w:id="1905263320">
      <w:bodyDiv w:val="1"/>
      <w:marLeft w:val="0"/>
      <w:marRight w:val="0"/>
      <w:marTop w:val="0"/>
      <w:marBottom w:val="0"/>
      <w:divBdr>
        <w:top w:val="none" w:sz="0" w:space="0" w:color="auto"/>
        <w:left w:val="none" w:sz="0" w:space="0" w:color="auto"/>
        <w:bottom w:val="none" w:sz="0" w:space="0" w:color="auto"/>
        <w:right w:val="none" w:sz="0" w:space="0" w:color="auto"/>
      </w:divBdr>
    </w:div>
    <w:div w:id="1932204483">
      <w:bodyDiv w:val="1"/>
      <w:marLeft w:val="0"/>
      <w:marRight w:val="0"/>
      <w:marTop w:val="0"/>
      <w:marBottom w:val="0"/>
      <w:divBdr>
        <w:top w:val="none" w:sz="0" w:space="0" w:color="auto"/>
        <w:left w:val="none" w:sz="0" w:space="0" w:color="auto"/>
        <w:bottom w:val="none" w:sz="0" w:space="0" w:color="auto"/>
        <w:right w:val="none" w:sz="0" w:space="0" w:color="auto"/>
      </w:divBdr>
      <w:divsChild>
        <w:div w:id="1904756864">
          <w:marLeft w:val="0"/>
          <w:marRight w:val="0"/>
          <w:marTop w:val="0"/>
          <w:marBottom w:val="0"/>
          <w:divBdr>
            <w:top w:val="none" w:sz="0" w:space="0" w:color="auto"/>
            <w:left w:val="none" w:sz="0" w:space="0" w:color="auto"/>
            <w:bottom w:val="none" w:sz="0" w:space="0" w:color="auto"/>
            <w:right w:val="none" w:sz="0" w:space="0" w:color="auto"/>
          </w:divBdr>
          <w:divsChild>
            <w:div w:id="1807159206">
              <w:marLeft w:val="0"/>
              <w:marRight w:val="0"/>
              <w:marTop w:val="0"/>
              <w:marBottom w:val="0"/>
              <w:divBdr>
                <w:top w:val="none" w:sz="0" w:space="0" w:color="auto"/>
                <w:left w:val="none" w:sz="0" w:space="0" w:color="auto"/>
                <w:bottom w:val="none" w:sz="0" w:space="0" w:color="auto"/>
                <w:right w:val="none" w:sz="0" w:space="0" w:color="auto"/>
              </w:divBdr>
              <w:divsChild>
                <w:div w:id="51077206">
                  <w:marLeft w:val="0"/>
                  <w:marRight w:val="0"/>
                  <w:marTop w:val="0"/>
                  <w:marBottom w:val="0"/>
                  <w:divBdr>
                    <w:top w:val="none" w:sz="0" w:space="0" w:color="auto"/>
                    <w:left w:val="none" w:sz="0" w:space="0" w:color="auto"/>
                    <w:bottom w:val="none" w:sz="0" w:space="0" w:color="auto"/>
                    <w:right w:val="none" w:sz="0" w:space="0" w:color="auto"/>
                  </w:divBdr>
                  <w:divsChild>
                    <w:div w:id="1876769289">
                      <w:marLeft w:val="0"/>
                      <w:marRight w:val="0"/>
                      <w:marTop w:val="0"/>
                      <w:marBottom w:val="0"/>
                      <w:divBdr>
                        <w:top w:val="none" w:sz="0" w:space="0" w:color="auto"/>
                        <w:left w:val="none" w:sz="0" w:space="0" w:color="auto"/>
                        <w:bottom w:val="none" w:sz="0" w:space="0" w:color="auto"/>
                        <w:right w:val="none" w:sz="0" w:space="0" w:color="auto"/>
                      </w:divBdr>
                      <w:divsChild>
                        <w:div w:id="1916471843">
                          <w:marLeft w:val="0"/>
                          <w:marRight w:val="0"/>
                          <w:marTop w:val="0"/>
                          <w:marBottom w:val="0"/>
                          <w:divBdr>
                            <w:top w:val="none" w:sz="0" w:space="0" w:color="auto"/>
                            <w:left w:val="none" w:sz="0" w:space="0" w:color="auto"/>
                            <w:bottom w:val="none" w:sz="0" w:space="0" w:color="auto"/>
                            <w:right w:val="none" w:sz="0" w:space="0" w:color="auto"/>
                          </w:divBdr>
                          <w:divsChild>
                            <w:div w:id="1100375117">
                              <w:marLeft w:val="0"/>
                              <w:marRight w:val="0"/>
                              <w:marTop w:val="0"/>
                              <w:marBottom w:val="0"/>
                              <w:divBdr>
                                <w:top w:val="none" w:sz="0" w:space="0" w:color="auto"/>
                                <w:left w:val="none" w:sz="0" w:space="0" w:color="auto"/>
                                <w:bottom w:val="none" w:sz="0" w:space="0" w:color="auto"/>
                                <w:right w:val="none" w:sz="0" w:space="0" w:color="auto"/>
                              </w:divBdr>
                              <w:divsChild>
                                <w:div w:id="392235968">
                                  <w:marLeft w:val="0"/>
                                  <w:marRight w:val="0"/>
                                  <w:marTop w:val="0"/>
                                  <w:marBottom w:val="0"/>
                                  <w:divBdr>
                                    <w:top w:val="none" w:sz="0" w:space="0" w:color="auto"/>
                                    <w:left w:val="none" w:sz="0" w:space="0" w:color="auto"/>
                                    <w:bottom w:val="none" w:sz="0" w:space="0" w:color="auto"/>
                                    <w:right w:val="none" w:sz="0" w:space="0" w:color="auto"/>
                                  </w:divBdr>
                                  <w:divsChild>
                                    <w:div w:id="519200825">
                                      <w:marLeft w:val="0"/>
                                      <w:marRight w:val="0"/>
                                      <w:marTop w:val="0"/>
                                      <w:marBottom w:val="0"/>
                                      <w:divBdr>
                                        <w:top w:val="none" w:sz="0" w:space="0" w:color="auto"/>
                                        <w:left w:val="none" w:sz="0" w:space="0" w:color="auto"/>
                                        <w:bottom w:val="none" w:sz="0" w:space="0" w:color="auto"/>
                                        <w:right w:val="none" w:sz="0" w:space="0" w:color="auto"/>
                                      </w:divBdr>
                                      <w:divsChild>
                                        <w:div w:id="416630249">
                                          <w:marLeft w:val="0"/>
                                          <w:marRight w:val="0"/>
                                          <w:marTop w:val="0"/>
                                          <w:marBottom w:val="0"/>
                                          <w:divBdr>
                                            <w:top w:val="none" w:sz="0" w:space="0" w:color="auto"/>
                                            <w:left w:val="none" w:sz="0" w:space="0" w:color="auto"/>
                                            <w:bottom w:val="none" w:sz="0" w:space="0" w:color="auto"/>
                                            <w:right w:val="none" w:sz="0" w:space="0" w:color="auto"/>
                                          </w:divBdr>
                                          <w:divsChild>
                                            <w:div w:id="1017804889">
                                              <w:marLeft w:val="0"/>
                                              <w:marRight w:val="0"/>
                                              <w:marTop w:val="0"/>
                                              <w:marBottom w:val="0"/>
                                              <w:divBdr>
                                                <w:top w:val="none" w:sz="0" w:space="0" w:color="auto"/>
                                                <w:left w:val="none" w:sz="0" w:space="0" w:color="auto"/>
                                                <w:bottom w:val="none" w:sz="0" w:space="0" w:color="auto"/>
                                                <w:right w:val="none" w:sz="0" w:space="0" w:color="auto"/>
                                              </w:divBdr>
                                              <w:divsChild>
                                                <w:div w:id="1642923470">
                                                  <w:marLeft w:val="0"/>
                                                  <w:marRight w:val="0"/>
                                                  <w:marTop w:val="0"/>
                                                  <w:marBottom w:val="0"/>
                                                  <w:divBdr>
                                                    <w:top w:val="none" w:sz="0" w:space="0" w:color="auto"/>
                                                    <w:left w:val="none" w:sz="0" w:space="0" w:color="auto"/>
                                                    <w:bottom w:val="none" w:sz="0" w:space="0" w:color="auto"/>
                                                    <w:right w:val="none" w:sz="0" w:space="0" w:color="auto"/>
                                                  </w:divBdr>
                                                  <w:divsChild>
                                                    <w:div w:id="1062488569">
                                                      <w:marLeft w:val="0"/>
                                                      <w:marRight w:val="0"/>
                                                      <w:marTop w:val="0"/>
                                                      <w:marBottom w:val="0"/>
                                                      <w:divBdr>
                                                        <w:top w:val="none" w:sz="0" w:space="0" w:color="auto"/>
                                                        <w:left w:val="none" w:sz="0" w:space="0" w:color="auto"/>
                                                        <w:bottom w:val="none" w:sz="0" w:space="0" w:color="auto"/>
                                                        <w:right w:val="none" w:sz="0" w:space="0" w:color="auto"/>
                                                      </w:divBdr>
                                                      <w:divsChild>
                                                        <w:div w:id="2036543213">
                                                          <w:marLeft w:val="0"/>
                                                          <w:marRight w:val="0"/>
                                                          <w:marTop w:val="0"/>
                                                          <w:marBottom w:val="0"/>
                                                          <w:divBdr>
                                                            <w:top w:val="none" w:sz="0" w:space="0" w:color="auto"/>
                                                            <w:left w:val="none" w:sz="0" w:space="0" w:color="auto"/>
                                                            <w:bottom w:val="none" w:sz="0" w:space="0" w:color="auto"/>
                                                            <w:right w:val="none" w:sz="0" w:space="0" w:color="auto"/>
                                                          </w:divBdr>
                                                          <w:divsChild>
                                                            <w:div w:id="1642419733">
                                                              <w:marLeft w:val="0"/>
                                                              <w:marRight w:val="0"/>
                                                              <w:marTop w:val="0"/>
                                                              <w:marBottom w:val="0"/>
                                                              <w:divBdr>
                                                                <w:top w:val="none" w:sz="0" w:space="0" w:color="auto"/>
                                                                <w:left w:val="none" w:sz="0" w:space="0" w:color="auto"/>
                                                                <w:bottom w:val="none" w:sz="0" w:space="0" w:color="auto"/>
                                                                <w:right w:val="none" w:sz="0" w:space="0" w:color="auto"/>
                                                              </w:divBdr>
                                                              <w:divsChild>
                                                                <w:div w:id="556664925">
                                                                  <w:marLeft w:val="0"/>
                                                                  <w:marRight w:val="0"/>
                                                                  <w:marTop w:val="0"/>
                                                                  <w:marBottom w:val="0"/>
                                                                  <w:divBdr>
                                                                    <w:top w:val="none" w:sz="0" w:space="0" w:color="auto"/>
                                                                    <w:left w:val="none" w:sz="0" w:space="0" w:color="auto"/>
                                                                    <w:bottom w:val="none" w:sz="0" w:space="0" w:color="auto"/>
                                                                    <w:right w:val="none" w:sz="0" w:space="0" w:color="auto"/>
                                                                  </w:divBdr>
                                                                  <w:divsChild>
                                                                    <w:div w:id="1896811116">
                                                                      <w:marLeft w:val="0"/>
                                                                      <w:marRight w:val="0"/>
                                                                      <w:marTop w:val="0"/>
                                                                      <w:marBottom w:val="0"/>
                                                                      <w:divBdr>
                                                                        <w:top w:val="none" w:sz="0" w:space="0" w:color="auto"/>
                                                                        <w:left w:val="none" w:sz="0" w:space="0" w:color="auto"/>
                                                                        <w:bottom w:val="none" w:sz="0" w:space="0" w:color="auto"/>
                                                                        <w:right w:val="none" w:sz="0" w:space="0" w:color="auto"/>
                                                                      </w:divBdr>
                                                                    </w:div>
                                                                    <w:div w:id="1372538879">
                                                                      <w:marLeft w:val="0"/>
                                                                      <w:marRight w:val="0"/>
                                                                      <w:marTop w:val="0"/>
                                                                      <w:marBottom w:val="0"/>
                                                                      <w:divBdr>
                                                                        <w:top w:val="none" w:sz="0" w:space="0" w:color="auto"/>
                                                                        <w:left w:val="none" w:sz="0" w:space="0" w:color="auto"/>
                                                                        <w:bottom w:val="none" w:sz="0" w:space="0" w:color="auto"/>
                                                                        <w:right w:val="none" w:sz="0" w:space="0" w:color="auto"/>
                                                                      </w:divBdr>
                                                                    </w:div>
                                                                    <w:div w:id="3307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47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C-I/interop/Pages/IPTV201510.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en/ITU-T/C-I/interop/I3GT/Pages/default.aspx"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C-I/interop/Pages/CI_APT_Sept15.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E2968-01F3-4FAC-ADB1-7786E60A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GS draft four-year rolling Operational Plan 2018-2021</vt:lpstr>
    </vt:vector>
  </TitlesOfParts>
  <Manager>ITU-T</Manager>
  <Company>International Telecommunication Union (ITU)</Company>
  <LinksUpToDate>false</LinksUpToDate>
  <CharactersWithSpaces>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 draft four-year rolling Operational Plan 2018-2021</dc:title>
  <dc:subject>Council 2017</dc:subject>
  <dc:creator>Report by the Secretary-General</dc:creator>
  <cp:keywords>C2017, C17</cp:keywords>
  <dc:description/>
  <cp:lastModifiedBy>BDT, mcb</cp:lastModifiedBy>
  <cp:revision>4</cp:revision>
  <cp:lastPrinted>2015-03-24T13:00:00Z</cp:lastPrinted>
  <dcterms:created xsi:type="dcterms:W3CDTF">2017-05-05T13:35:00Z</dcterms:created>
  <dcterms:modified xsi:type="dcterms:W3CDTF">2017-05-05T13:44:00Z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417</vt:lpwstr>
  </property>
  <property fmtid="{D5CDD505-2E9C-101B-9397-08002B2CF9AE}" pid="3" name="Docdate">
    <vt:lpwstr>28 January 2016</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1-5 February 2016</vt:lpwstr>
  </property>
  <property fmtid="{D5CDD505-2E9C-101B-9397-08002B2CF9AE}" pid="7" name="Docauthor">
    <vt:lpwstr>Report by the Secretary-General</vt:lpwstr>
  </property>
</Properties>
</file>