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7D1D9368" w14:textId="77777777" w:rsidTr="004A3D98">
        <w:trPr>
          <w:cantSplit/>
          <w:trHeight w:val="1134"/>
        </w:trPr>
        <w:tc>
          <w:tcPr>
            <w:tcW w:w="1276" w:type="dxa"/>
          </w:tcPr>
          <w:p w14:paraId="7E47F3B4"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56013ADD" wp14:editId="083C12F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295D44A4" w14:textId="77777777"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A1F11FB" w14:textId="77777777"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1501B230" w14:textId="77777777"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03B0700A" wp14:editId="22C6EF19">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14:paraId="682E6227" w14:textId="77777777" w:rsidTr="004A3D98">
        <w:trPr>
          <w:cantSplit/>
        </w:trPr>
        <w:tc>
          <w:tcPr>
            <w:tcW w:w="6663" w:type="dxa"/>
            <w:gridSpan w:val="2"/>
            <w:tcBorders>
              <w:top w:val="single" w:sz="12" w:space="0" w:color="auto"/>
            </w:tcBorders>
          </w:tcPr>
          <w:p w14:paraId="72ACF0EB"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6FA35630" w14:textId="77777777" w:rsidR="00683C32" w:rsidRPr="00997358" w:rsidRDefault="00683C32" w:rsidP="00107E85">
            <w:pPr>
              <w:spacing w:before="0"/>
              <w:rPr>
                <w:b/>
                <w:bCs/>
                <w:sz w:val="20"/>
              </w:rPr>
            </w:pPr>
          </w:p>
        </w:tc>
      </w:tr>
      <w:tr w:rsidR="00683C32" w:rsidRPr="00002716" w14:paraId="77178F31" w14:textId="77777777" w:rsidTr="004A3D98">
        <w:trPr>
          <w:cantSplit/>
        </w:trPr>
        <w:tc>
          <w:tcPr>
            <w:tcW w:w="6663" w:type="dxa"/>
            <w:gridSpan w:val="2"/>
          </w:tcPr>
          <w:p w14:paraId="56784F9A" w14:textId="77777777" w:rsidR="00683C32" w:rsidRPr="007F1CC7" w:rsidRDefault="00683C32" w:rsidP="00400CCF">
            <w:pPr>
              <w:pStyle w:val="Committee"/>
              <w:spacing w:before="0"/>
              <w:rPr>
                <w:b w:val="0"/>
                <w:szCs w:val="24"/>
              </w:rPr>
            </w:pPr>
          </w:p>
        </w:tc>
        <w:tc>
          <w:tcPr>
            <w:tcW w:w="3225" w:type="dxa"/>
          </w:tcPr>
          <w:p w14:paraId="6092B430" w14:textId="55BA184C" w:rsidR="00683C32" w:rsidRPr="004A3D98" w:rsidRDefault="00140965" w:rsidP="004B2625">
            <w:pPr>
              <w:spacing w:before="0"/>
              <w:jc w:val="both"/>
              <w:rPr>
                <w:bCs/>
                <w:szCs w:val="24"/>
                <w:lang w:val="en-US"/>
              </w:rPr>
            </w:pPr>
            <w:r w:rsidRPr="004A3D98">
              <w:rPr>
                <w:b/>
                <w:bCs/>
                <w:szCs w:val="24"/>
              </w:rPr>
              <w:t xml:space="preserve">Document </w:t>
            </w:r>
            <w:bookmarkStart w:id="0" w:name="DocRef1"/>
            <w:bookmarkEnd w:id="0"/>
            <w:r w:rsidR="008C12A8" w:rsidRPr="004A3D98">
              <w:rPr>
                <w:b/>
                <w:bCs/>
                <w:szCs w:val="24"/>
              </w:rPr>
              <w:t>TDAG17-22</w:t>
            </w:r>
            <w:r w:rsidRPr="004A3D98">
              <w:rPr>
                <w:b/>
                <w:bCs/>
                <w:szCs w:val="24"/>
              </w:rPr>
              <w:t>/</w:t>
            </w:r>
            <w:bookmarkStart w:id="1" w:name="DocNo1"/>
            <w:bookmarkEnd w:id="1"/>
            <w:r w:rsidR="004A3D98">
              <w:rPr>
                <w:b/>
                <w:bCs/>
                <w:szCs w:val="24"/>
              </w:rPr>
              <w:t>7</w:t>
            </w:r>
            <w:r w:rsidR="004B2625">
              <w:rPr>
                <w:b/>
                <w:bCs/>
                <w:szCs w:val="24"/>
              </w:rPr>
              <w:t>2</w:t>
            </w:r>
            <w:r w:rsidRPr="004A3D98">
              <w:rPr>
                <w:b/>
                <w:bCs/>
                <w:szCs w:val="24"/>
              </w:rPr>
              <w:t>-E</w:t>
            </w:r>
          </w:p>
        </w:tc>
      </w:tr>
      <w:tr w:rsidR="00683C32" w14:paraId="0114565F" w14:textId="77777777" w:rsidTr="004A3D98">
        <w:trPr>
          <w:cantSplit/>
        </w:trPr>
        <w:tc>
          <w:tcPr>
            <w:tcW w:w="6663" w:type="dxa"/>
            <w:gridSpan w:val="2"/>
          </w:tcPr>
          <w:p w14:paraId="5DDD515F" w14:textId="77777777" w:rsidR="00683C32" w:rsidRPr="007F1CC7" w:rsidRDefault="00683C32" w:rsidP="00400CCF">
            <w:pPr>
              <w:spacing w:before="0"/>
              <w:rPr>
                <w:b/>
                <w:bCs/>
                <w:smallCaps/>
                <w:szCs w:val="24"/>
                <w:lang w:val="en-US"/>
              </w:rPr>
            </w:pPr>
          </w:p>
        </w:tc>
        <w:tc>
          <w:tcPr>
            <w:tcW w:w="3225" w:type="dxa"/>
          </w:tcPr>
          <w:p w14:paraId="0E878C0C" w14:textId="57399733" w:rsidR="00683C32" w:rsidRPr="007F1CC7" w:rsidRDefault="00000E7C" w:rsidP="004A3D98">
            <w:pPr>
              <w:spacing w:before="0"/>
              <w:rPr>
                <w:b/>
                <w:szCs w:val="24"/>
              </w:rPr>
            </w:pPr>
            <w:bookmarkStart w:id="2" w:name="CreationDate"/>
            <w:bookmarkEnd w:id="2"/>
            <w:r>
              <w:rPr>
                <w:b/>
                <w:szCs w:val="24"/>
              </w:rPr>
              <w:t>1</w:t>
            </w:r>
            <w:r w:rsidR="004A3D98">
              <w:rPr>
                <w:b/>
                <w:szCs w:val="24"/>
              </w:rPr>
              <w:t>6</w:t>
            </w:r>
            <w:r w:rsidR="00644738">
              <w:rPr>
                <w:b/>
                <w:szCs w:val="24"/>
              </w:rPr>
              <w:t xml:space="preserve"> May 2017</w:t>
            </w:r>
          </w:p>
        </w:tc>
      </w:tr>
      <w:tr w:rsidR="00683C32" w14:paraId="0BF1637A" w14:textId="77777777" w:rsidTr="004A3D98">
        <w:trPr>
          <w:cantSplit/>
        </w:trPr>
        <w:tc>
          <w:tcPr>
            <w:tcW w:w="6663" w:type="dxa"/>
            <w:gridSpan w:val="2"/>
          </w:tcPr>
          <w:p w14:paraId="04421BDC" w14:textId="77777777" w:rsidR="00683C32" w:rsidRPr="007F1CC7" w:rsidRDefault="00683C32" w:rsidP="00400CCF">
            <w:pPr>
              <w:spacing w:before="0"/>
              <w:rPr>
                <w:b/>
                <w:bCs/>
                <w:smallCaps/>
                <w:szCs w:val="24"/>
              </w:rPr>
            </w:pPr>
          </w:p>
        </w:tc>
        <w:tc>
          <w:tcPr>
            <w:tcW w:w="3225" w:type="dxa"/>
          </w:tcPr>
          <w:p w14:paraId="773373E1" w14:textId="61F3EFA3" w:rsidR="00514D2F" w:rsidRPr="007F1CC7" w:rsidRDefault="00140965" w:rsidP="00400CCF">
            <w:pPr>
              <w:spacing w:before="0"/>
              <w:rPr>
                <w:szCs w:val="24"/>
              </w:rPr>
            </w:pPr>
            <w:r>
              <w:rPr>
                <w:b/>
              </w:rPr>
              <w:t>English only</w:t>
            </w:r>
          </w:p>
        </w:tc>
      </w:tr>
      <w:tr w:rsidR="00A13162" w14:paraId="0548EB62" w14:textId="77777777" w:rsidTr="00107E85">
        <w:trPr>
          <w:cantSplit/>
          <w:trHeight w:val="852"/>
        </w:trPr>
        <w:tc>
          <w:tcPr>
            <w:tcW w:w="9888" w:type="dxa"/>
            <w:gridSpan w:val="3"/>
          </w:tcPr>
          <w:p w14:paraId="468206BA" w14:textId="1E4D2FFE" w:rsidR="00A13162" w:rsidRPr="0030353C" w:rsidRDefault="00263806" w:rsidP="00263806">
            <w:pPr>
              <w:pStyle w:val="Source"/>
              <w:spacing w:after="240"/>
            </w:pPr>
            <w:bookmarkStart w:id="3" w:name="Source"/>
            <w:bookmarkEnd w:id="3"/>
            <w:r w:rsidRPr="00340C35">
              <w:rPr>
                <w:rFonts w:ascii="Calibri" w:hAnsi="Calibri"/>
                <w:caps/>
                <w:szCs w:val="28"/>
              </w:rPr>
              <w:t>T</w:t>
            </w:r>
            <w:r w:rsidRPr="00CE0C41">
              <w:rPr>
                <w:rFonts w:ascii="Calibri" w:hAnsi="Calibri"/>
                <w:szCs w:val="28"/>
              </w:rPr>
              <w:t xml:space="preserve">elecommunication </w:t>
            </w:r>
            <w:r>
              <w:rPr>
                <w:rFonts w:ascii="Calibri" w:hAnsi="Calibri"/>
                <w:szCs w:val="28"/>
              </w:rPr>
              <w:t>D</w:t>
            </w:r>
            <w:r w:rsidRPr="00CE0C41">
              <w:rPr>
                <w:rFonts w:ascii="Calibri" w:hAnsi="Calibri"/>
                <w:szCs w:val="28"/>
              </w:rPr>
              <w:t xml:space="preserve">evelopment </w:t>
            </w:r>
            <w:r>
              <w:rPr>
                <w:rFonts w:ascii="Calibri" w:hAnsi="Calibri"/>
                <w:szCs w:val="28"/>
              </w:rPr>
              <w:t>Advisory Group</w:t>
            </w:r>
            <w:r>
              <w:rPr>
                <w:caps/>
                <w:szCs w:val="28"/>
              </w:rPr>
              <w:t xml:space="preserve"> (Tdag)</w:t>
            </w:r>
          </w:p>
        </w:tc>
      </w:tr>
      <w:tr w:rsidR="00AC6F14" w:rsidRPr="002E6963" w14:paraId="57D5AF85" w14:textId="77777777" w:rsidTr="00107E85">
        <w:trPr>
          <w:cantSplit/>
        </w:trPr>
        <w:tc>
          <w:tcPr>
            <w:tcW w:w="9888" w:type="dxa"/>
            <w:gridSpan w:val="3"/>
          </w:tcPr>
          <w:p w14:paraId="597AD1F6" w14:textId="23293953" w:rsidR="00AC6F14" w:rsidRPr="0030353C" w:rsidRDefault="00263806" w:rsidP="008C12A8">
            <w:pPr>
              <w:pStyle w:val="Title1"/>
              <w:spacing w:before="120" w:after="120"/>
            </w:pPr>
            <w:bookmarkStart w:id="4" w:name="Title"/>
            <w:bookmarkEnd w:id="4"/>
            <w:r w:rsidRPr="00F31C35">
              <w:rPr>
                <w:bCs/>
                <w:szCs w:val="28"/>
                <w:lang w:val="en-US"/>
              </w:rPr>
              <w:t xml:space="preserve">LIAISON STATEMENT FROM TDAG TO RAG AND </w:t>
            </w:r>
            <w:r>
              <w:rPr>
                <w:bCs/>
                <w:szCs w:val="28"/>
                <w:lang w:val="en-US"/>
              </w:rPr>
              <w:t>ITU-R STUDY GROUPs 1 and 5</w:t>
            </w:r>
            <w:r w:rsidRPr="00F31C35">
              <w:rPr>
                <w:bCs/>
                <w:szCs w:val="28"/>
                <w:lang w:val="en-US"/>
              </w:rPr>
              <w:t xml:space="preserve"> </w:t>
            </w:r>
            <w:r>
              <w:rPr>
                <w:bCs/>
                <w:szCs w:val="28"/>
                <w:lang w:val="en-US"/>
              </w:rPr>
              <w:br/>
            </w:r>
            <w:r w:rsidRPr="00F31C35">
              <w:rPr>
                <w:bCs/>
                <w:szCs w:val="28"/>
                <w:lang w:val="en-US"/>
              </w:rPr>
              <w:t xml:space="preserve">ON </w:t>
            </w:r>
            <w:r w:rsidRPr="00C85380">
              <w:rPr>
                <w:bCs/>
                <w:caps/>
                <w:szCs w:val="28"/>
                <w:lang w:val="en-US"/>
              </w:rPr>
              <w:t>Cooperation and coordination between ITU-R and ITU-D on WTDC Resolution 9 (Rev. Dubai, 2014)</w:t>
            </w:r>
          </w:p>
        </w:tc>
      </w:tr>
      <w:tr w:rsidR="00A721F4" w:rsidRPr="002E6963" w14:paraId="1EE110FB" w14:textId="77777777" w:rsidTr="00A721F4">
        <w:trPr>
          <w:cantSplit/>
        </w:trPr>
        <w:tc>
          <w:tcPr>
            <w:tcW w:w="9888" w:type="dxa"/>
            <w:gridSpan w:val="3"/>
            <w:tcBorders>
              <w:bottom w:val="single" w:sz="4" w:space="0" w:color="auto"/>
            </w:tcBorders>
          </w:tcPr>
          <w:p w14:paraId="3BBB6366" w14:textId="77777777" w:rsidR="00A721F4" w:rsidRPr="00A721F4" w:rsidRDefault="00A721F4" w:rsidP="0030353C"/>
        </w:tc>
      </w:tr>
      <w:tr w:rsidR="00A721F4" w:rsidRPr="002E6963" w14:paraId="149E7637" w14:textId="77777777" w:rsidTr="00380D2D">
        <w:trPr>
          <w:cantSplit/>
          <w:trHeight w:val="3806"/>
        </w:trPr>
        <w:tc>
          <w:tcPr>
            <w:tcW w:w="9888" w:type="dxa"/>
            <w:gridSpan w:val="3"/>
            <w:tcBorders>
              <w:top w:val="single" w:sz="4" w:space="0" w:color="auto"/>
              <w:left w:val="single" w:sz="4" w:space="0" w:color="auto"/>
              <w:bottom w:val="single" w:sz="4" w:space="0" w:color="auto"/>
              <w:right w:val="single" w:sz="4" w:space="0" w:color="auto"/>
            </w:tcBorders>
          </w:tcPr>
          <w:p w14:paraId="532F7161" w14:textId="77777777" w:rsidR="004F78A7" w:rsidRPr="00755BF8" w:rsidRDefault="004F78A7" w:rsidP="004F78A7">
            <w:pPr>
              <w:pStyle w:val="Banner"/>
              <w:tabs>
                <w:tab w:val="left" w:pos="928"/>
              </w:tabs>
              <w:spacing w:before="120" w:after="120"/>
              <w:ind w:left="0" w:firstLine="0"/>
              <w:rPr>
                <w:rFonts w:asciiTheme="minorHAnsi" w:hAnsiTheme="minorHAnsi"/>
                <w:b/>
                <w:sz w:val="24"/>
                <w:szCs w:val="24"/>
                <w:lang w:val="en-US"/>
              </w:rPr>
            </w:pPr>
            <w:r w:rsidRPr="00755BF8">
              <w:rPr>
                <w:rFonts w:asciiTheme="minorHAnsi" w:hAnsiTheme="minorHAnsi"/>
                <w:b/>
                <w:sz w:val="24"/>
                <w:szCs w:val="24"/>
                <w:lang w:val="en-US"/>
              </w:rPr>
              <w:t>Summary:</w:t>
            </w:r>
          </w:p>
          <w:p w14:paraId="5E1D7BB1" w14:textId="77777777" w:rsidR="004F78A7" w:rsidRDefault="004F78A7" w:rsidP="004F78A7">
            <w:pPr>
              <w:pStyle w:val="Banner"/>
              <w:tabs>
                <w:tab w:val="clear" w:pos="993"/>
              </w:tabs>
              <w:spacing w:after="120"/>
              <w:ind w:left="0" w:firstLine="0"/>
              <w:rPr>
                <w:rFonts w:asciiTheme="minorHAnsi" w:hAnsiTheme="minorHAnsi"/>
                <w:bCs/>
                <w:sz w:val="24"/>
                <w:szCs w:val="24"/>
                <w:lang w:val="en-US"/>
              </w:rPr>
            </w:pPr>
            <w:r>
              <w:rPr>
                <w:rFonts w:asciiTheme="minorHAnsi" w:hAnsiTheme="minorHAnsi"/>
                <w:bCs/>
                <w:sz w:val="24"/>
                <w:szCs w:val="24"/>
                <w:lang w:val="en-US"/>
              </w:rPr>
              <w:t>TDAG, at its 22</w:t>
            </w:r>
            <w:r>
              <w:rPr>
                <w:rFonts w:asciiTheme="minorHAnsi" w:hAnsiTheme="minorHAnsi"/>
                <w:bCs/>
                <w:sz w:val="24"/>
                <w:szCs w:val="24"/>
                <w:vertAlign w:val="superscript"/>
                <w:lang w:val="en-US"/>
              </w:rPr>
              <w:t>nd</w:t>
            </w:r>
            <w:r>
              <w:rPr>
                <w:rFonts w:asciiTheme="minorHAnsi" w:hAnsiTheme="minorHAnsi"/>
                <w:bCs/>
                <w:sz w:val="24"/>
                <w:szCs w:val="24"/>
                <w:lang w:val="en-US"/>
              </w:rPr>
              <w:t xml:space="preserve"> meeting, considered the liaison from RAG’s April 2017 meeting concerning c</w:t>
            </w:r>
            <w:r w:rsidRPr="00C85380">
              <w:rPr>
                <w:rFonts w:asciiTheme="minorHAnsi" w:hAnsiTheme="minorHAnsi"/>
                <w:bCs/>
                <w:sz w:val="24"/>
                <w:szCs w:val="24"/>
                <w:lang w:val="en-US"/>
              </w:rPr>
              <w:t>ooperation and coordination between ITU-R and ITU-D on WTDC Resolution 9 (Rev. Dubai, 2014)</w:t>
            </w:r>
            <w:r>
              <w:rPr>
                <w:rFonts w:asciiTheme="minorHAnsi" w:hAnsiTheme="minorHAnsi"/>
                <w:bCs/>
                <w:sz w:val="24"/>
                <w:szCs w:val="24"/>
                <w:lang w:val="en-US"/>
              </w:rPr>
              <w:t xml:space="preserve"> and agreed to the enclosed response.  </w:t>
            </w:r>
          </w:p>
          <w:p w14:paraId="2C1F0CE5" w14:textId="77777777" w:rsidR="004F78A7" w:rsidRDefault="004F78A7" w:rsidP="004F78A7">
            <w:pPr>
              <w:pStyle w:val="Banner"/>
              <w:tabs>
                <w:tab w:val="left" w:pos="928"/>
              </w:tabs>
              <w:spacing w:after="120"/>
              <w:ind w:left="0" w:firstLine="0"/>
              <w:rPr>
                <w:rFonts w:asciiTheme="minorHAnsi" w:hAnsiTheme="minorHAnsi"/>
                <w:b/>
                <w:bCs/>
                <w:sz w:val="24"/>
                <w:szCs w:val="24"/>
                <w:lang w:val="en-US"/>
              </w:rPr>
            </w:pPr>
            <w:r>
              <w:rPr>
                <w:rFonts w:asciiTheme="minorHAnsi" w:hAnsiTheme="minorHAnsi"/>
                <w:b/>
                <w:bCs/>
                <w:sz w:val="24"/>
                <w:szCs w:val="24"/>
                <w:lang w:val="en-US"/>
              </w:rPr>
              <w:t>Action required:</w:t>
            </w:r>
          </w:p>
          <w:p w14:paraId="3E3E6DA1" w14:textId="77777777" w:rsidR="004F78A7" w:rsidRDefault="004F78A7" w:rsidP="004F78A7">
            <w:pPr>
              <w:pStyle w:val="Banner"/>
              <w:tabs>
                <w:tab w:val="left" w:pos="928"/>
                <w:tab w:val="left" w:pos="7521"/>
              </w:tabs>
              <w:spacing w:before="120" w:after="120"/>
              <w:ind w:left="0" w:firstLine="0"/>
              <w:rPr>
                <w:rFonts w:asciiTheme="minorHAnsi" w:hAnsiTheme="minorHAnsi"/>
                <w:bCs/>
                <w:sz w:val="24"/>
                <w:szCs w:val="24"/>
                <w:lang w:val="en-US"/>
              </w:rPr>
            </w:pPr>
            <w:r>
              <w:rPr>
                <w:rFonts w:asciiTheme="minorHAnsi" w:hAnsiTheme="minorHAnsi"/>
                <w:bCs/>
                <w:sz w:val="24"/>
                <w:szCs w:val="24"/>
                <w:lang w:val="en-US"/>
              </w:rPr>
              <w:t>RAG and ITU-R Study Group 1 are invited to note this response and take necessary action.</w:t>
            </w:r>
          </w:p>
          <w:p w14:paraId="7C009B6B" w14:textId="77777777" w:rsidR="004F78A7" w:rsidRDefault="004F78A7" w:rsidP="004F78A7">
            <w:pPr>
              <w:pStyle w:val="Banner"/>
              <w:tabs>
                <w:tab w:val="left" w:pos="928"/>
                <w:tab w:val="left" w:pos="7521"/>
              </w:tabs>
              <w:spacing w:before="120" w:after="120"/>
              <w:ind w:left="0" w:firstLine="0"/>
              <w:rPr>
                <w:rFonts w:asciiTheme="minorHAnsi" w:hAnsiTheme="minorHAnsi"/>
                <w:bCs/>
                <w:sz w:val="24"/>
                <w:szCs w:val="24"/>
                <w:lang w:val="en-US"/>
              </w:rPr>
            </w:pPr>
            <w:r>
              <w:rPr>
                <w:rFonts w:asciiTheme="minorHAnsi" w:hAnsiTheme="minorHAnsi"/>
                <w:bCs/>
                <w:sz w:val="24"/>
                <w:szCs w:val="24"/>
                <w:lang w:val="en-US"/>
              </w:rPr>
              <w:t>ITU-R SG 5 for information</w:t>
            </w:r>
          </w:p>
          <w:p w14:paraId="3E574139" w14:textId="77777777" w:rsidR="004F78A7" w:rsidRDefault="004F78A7" w:rsidP="004F78A7">
            <w:pPr>
              <w:pStyle w:val="Banner"/>
              <w:tabs>
                <w:tab w:val="left" w:pos="928"/>
                <w:tab w:val="left" w:pos="7521"/>
              </w:tabs>
              <w:spacing w:before="120" w:after="120"/>
              <w:ind w:left="0" w:firstLine="0"/>
              <w:rPr>
                <w:b/>
                <w:bCs/>
              </w:rPr>
            </w:pPr>
            <w:r w:rsidRPr="005E090D">
              <w:rPr>
                <w:b/>
                <w:bCs/>
              </w:rPr>
              <w:t>References</w:t>
            </w:r>
            <w:r>
              <w:rPr>
                <w:b/>
                <w:bCs/>
              </w:rPr>
              <w:t>:</w:t>
            </w:r>
          </w:p>
          <w:p w14:paraId="346DEA2B" w14:textId="77777777" w:rsidR="004F78A7" w:rsidRDefault="004B2625" w:rsidP="004F78A7">
            <w:pPr>
              <w:pStyle w:val="Banner"/>
              <w:tabs>
                <w:tab w:val="left" w:pos="928"/>
                <w:tab w:val="left" w:pos="7521"/>
              </w:tabs>
              <w:spacing w:before="120" w:after="120"/>
              <w:ind w:left="0" w:firstLine="0"/>
              <w:rPr>
                <w:rStyle w:val="Hyperlink"/>
              </w:rPr>
            </w:pPr>
            <w:hyperlink r:id="rId10" w:history="1">
              <w:r w:rsidR="004F78A7">
                <w:rPr>
                  <w:rStyle w:val="Hyperlink"/>
                </w:rPr>
                <w:t>TDAG15-22/51</w:t>
              </w:r>
            </w:hyperlink>
            <w:r w:rsidR="004F78A7">
              <w:t xml:space="preserve">, </w:t>
            </w:r>
            <w:hyperlink r:id="rId11" w:history="1">
              <w:r w:rsidR="004F78A7">
                <w:rPr>
                  <w:rStyle w:val="Hyperlink"/>
                </w:rPr>
                <w:t>RAG-17 Summary of conclusions</w:t>
              </w:r>
            </w:hyperlink>
            <w:r w:rsidR="004F78A7" w:rsidRPr="00B7423A">
              <w:rPr>
                <w:rStyle w:val="Hyperlink"/>
              </w:rPr>
              <w:t xml:space="preserve">, </w:t>
            </w:r>
            <w:hyperlink r:id="rId12" w:history="1">
              <w:r w:rsidR="004F78A7">
                <w:rPr>
                  <w:rStyle w:val="Hyperlink"/>
                </w:rPr>
                <w:t>ITU-D SG1 Report 39</w:t>
              </w:r>
            </w:hyperlink>
          </w:p>
          <w:p w14:paraId="4E2C4D4E" w14:textId="47779F84" w:rsidR="00A721F4" w:rsidRPr="00D9621A" w:rsidRDefault="00A721F4" w:rsidP="00A66071">
            <w:pPr>
              <w:pStyle w:val="Banner"/>
              <w:tabs>
                <w:tab w:val="left" w:pos="928"/>
                <w:tab w:val="left" w:pos="7521"/>
              </w:tabs>
              <w:spacing w:before="120" w:after="120"/>
              <w:ind w:left="0" w:firstLine="0"/>
            </w:pPr>
          </w:p>
        </w:tc>
      </w:tr>
    </w:tbl>
    <w:p w14:paraId="3928BA60" w14:textId="77777777" w:rsidR="00263806" w:rsidRDefault="00263806">
      <w:pPr>
        <w:tabs>
          <w:tab w:val="clear" w:pos="794"/>
          <w:tab w:val="clear" w:pos="1191"/>
          <w:tab w:val="clear" w:pos="1588"/>
          <w:tab w:val="clear" w:pos="1985"/>
        </w:tabs>
        <w:overflowPunct/>
        <w:autoSpaceDE/>
        <w:autoSpaceDN/>
        <w:adjustRightInd/>
        <w:spacing w:before="0"/>
        <w:textAlignment w:val="auto"/>
        <w:rPr>
          <w:caps/>
          <w:sz w:val="28"/>
        </w:rPr>
      </w:pPr>
      <w:bookmarkStart w:id="5" w:name="Proposal"/>
      <w:bookmarkEnd w:id="5"/>
      <w:r>
        <w:br w:type="page"/>
      </w:r>
    </w:p>
    <w:p w14:paraId="03B5A80D" w14:textId="77777777" w:rsidR="00000E7C" w:rsidRPr="00000E7C" w:rsidRDefault="00000E7C" w:rsidP="00000E7C">
      <w:pPr>
        <w:jc w:val="both"/>
        <w:rPr>
          <w:bCs/>
          <w:szCs w:val="24"/>
          <w:lang w:val="en-US"/>
        </w:rPr>
      </w:pPr>
      <w:r w:rsidRPr="00000E7C">
        <w:rPr>
          <w:bCs/>
          <w:szCs w:val="24"/>
          <w:lang w:val="en-US"/>
        </w:rPr>
        <w:lastRenderedPageBreak/>
        <w:t>TDAG, at its 22</w:t>
      </w:r>
      <w:r w:rsidRPr="00000E7C">
        <w:rPr>
          <w:bCs/>
          <w:szCs w:val="24"/>
          <w:vertAlign w:val="superscript"/>
          <w:lang w:val="en-US"/>
        </w:rPr>
        <w:t>nd</w:t>
      </w:r>
      <w:r w:rsidRPr="00000E7C">
        <w:rPr>
          <w:bCs/>
          <w:szCs w:val="24"/>
          <w:lang w:val="en-US"/>
        </w:rPr>
        <w:t xml:space="preserve"> meeting, considered the liaison from RAG’s April 2017 meeting concerning cooperation and coordination between ITU-R and ITU-D on WTDC Resolution 9 (Rev. Dubai, 2014).  TDAG participants were encouraged that those active in ITU-R studies on spectrum management, as represented by RAG, are as committed to effective cooperation and coordination between the Sectors as those who participate in the ITU-D discussions.  TDAG considers the RAG liaison to address two topics:  organization of future studies related to the “participation of countries, particularly developing countries, in spectrum management” and measures, proposed by RAG to TDAG “to diligently effect the required cooperation and coordination between ITU-R and ITU-D on spectrum management related topics”, and the</w:t>
      </w:r>
      <w:bookmarkStart w:id="6" w:name="_GoBack"/>
      <w:bookmarkEnd w:id="6"/>
      <w:r w:rsidRPr="00000E7C">
        <w:rPr>
          <w:bCs/>
          <w:szCs w:val="24"/>
          <w:lang w:val="en-US"/>
        </w:rPr>
        <w:t xml:space="preserve"> content of the current final report of Resolution 9.</w:t>
      </w:r>
    </w:p>
    <w:p w14:paraId="6AFCAA86" w14:textId="77777777" w:rsidR="00000E7C" w:rsidRPr="00000E7C" w:rsidRDefault="00000E7C" w:rsidP="00000E7C">
      <w:pPr>
        <w:jc w:val="both"/>
        <w:rPr>
          <w:bCs/>
          <w:szCs w:val="24"/>
          <w:lang w:val="en-US"/>
        </w:rPr>
      </w:pPr>
      <w:r w:rsidRPr="00000E7C">
        <w:rPr>
          <w:bCs/>
          <w:szCs w:val="24"/>
          <w:lang w:val="en-US"/>
        </w:rPr>
        <w:t xml:space="preserve">Concerning the future activities related to participation of countries, particularly developing countries, in spectrum management, TDAG welcomes the suggestions of RAG, which are similar to ideas indicated in the report of the March 29, 2017 ITU-D/ITU-R Joint Group meeting for WTDC Resolution 9.  There was extensive interest expressed to continue this activity to address the evolving world of spectrum management. </w:t>
      </w:r>
      <w:hyperlink r:id="rId13" w:history="1">
        <w:r w:rsidRPr="00000E7C">
          <w:rPr>
            <w:rStyle w:val="Hyperlink"/>
            <w:bCs/>
            <w:szCs w:val="24"/>
            <w:lang w:val="en-US"/>
          </w:rPr>
          <w:t>ITU-D SG1 Report 39</w:t>
        </w:r>
      </w:hyperlink>
      <w:r w:rsidRPr="00000E7C">
        <w:rPr>
          <w:bCs/>
          <w:szCs w:val="24"/>
          <w:lang w:val="en-US"/>
        </w:rPr>
        <w:t xml:space="preserve"> indicates several possible topics for focus of those future discussions.  The participants of TDAG are eager to see continued discussion in the preparations for WTDC-17, so as to improve the degree of interaction of subject matter experts and the developing countries while recognizing the financial and linguistic challenges of these countries to participate within the English-language-only discussions of ITU-R working parties.</w:t>
      </w:r>
    </w:p>
    <w:p w14:paraId="7A26D288" w14:textId="1BB6BE5C" w:rsidR="00000E7C" w:rsidRPr="00000E7C" w:rsidRDefault="00000E7C" w:rsidP="00000E7C">
      <w:pPr>
        <w:jc w:val="both"/>
        <w:rPr>
          <w:bCs/>
          <w:szCs w:val="24"/>
          <w:lang w:val="en-US"/>
        </w:rPr>
      </w:pPr>
      <w:r w:rsidRPr="00000E7C">
        <w:rPr>
          <w:bCs/>
          <w:szCs w:val="24"/>
          <w:lang w:val="en-US"/>
        </w:rPr>
        <w:t>TDAG recommended to ITU-D Membership to take into account the RAG suggestions in preparation to WTDC-17, especially for developing proposals on Resolution 9.</w:t>
      </w:r>
    </w:p>
    <w:p w14:paraId="3E67B55A" w14:textId="4CB18140" w:rsidR="00000E7C" w:rsidRPr="00000E7C" w:rsidRDefault="00000E7C" w:rsidP="00000E7C">
      <w:pPr>
        <w:jc w:val="both"/>
        <w:rPr>
          <w:bCs/>
          <w:szCs w:val="24"/>
          <w:lang w:val="en-US"/>
        </w:rPr>
      </w:pPr>
      <w:r w:rsidRPr="00000E7C">
        <w:rPr>
          <w:bCs/>
          <w:szCs w:val="24"/>
          <w:lang w:val="en-US"/>
        </w:rPr>
        <w:t xml:space="preserve">Concerning the RAG statement that “Comments from ITU-R Working Party 1B have not been adequately reflected in the Report developed by ITU-D Study Group 1”, TDAG was informed that there had been extensive liaison activity to accommodate of the requests coming, in particular, from ITU-R WP1B before the report was agreed at the March 2017 meeting of ITU-D Study Group 1.  </w:t>
      </w:r>
    </w:p>
    <w:p w14:paraId="2BA5009C" w14:textId="77777777" w:rsidR="00000E7C" w:rsidRPr="00000E7C" w:rsidRDefault="00000E7C" w:rsidP="00000E7C">
      <w:pPr>
        <w:jc w:val="both"/>
        <w:rPr>
          <w:bCs/>
          <w:szCs w:val="24"/>
          <w:lang w:val="en-US"/>
        </w:rPr>
      </w:pPr>
      <w:r w:rsidRPr="00000E7C">
        <w:rPr>
          <w:bCs/>
          <w:szCs w:val="24"/>
          <w:lang w:val="en-US"/>
        </w:rPr>
        <w:t xml:space="preserve">However, for the sake of having an agreed report by both sectors TDAG recommends that ITU-R SG1 be given the opportunity to consider the report of Resolution 9 at its June 2017 meeting. TDAG further recommends that the Directors of BDT and BR invite ITU-D Membership to attend the next ITU-R WP 1B meeting (13-20 June 2017)  to consider the Resolution 9 Report, with the objective of reaching consensus before WTDC-17. </w:t>
      </w:r>
    </w:p>
    <w:p w14:paraId="74151C03" w14:textId="77777777" w:rsidR="00000E7C" w:rsidRPr="00000E7C" w:rsidRDefault="00000E7C" w:rsidP="00000E7C">
      <w:pPr>
        <w:jc w:val="both"/>
        <w:rPr>
          <w:bCs/>
          <w:szCs w:val="24"/>
          <w:lang w:val="en-US"/>
        </w:rPr>
      </w:pPr>
      <w:r w:rsidRPr="00000E7C">
        <w:rPr>
          <w:bCs/>
          <w:szCs w:val="24"/>
          <w:lang w:val="en-US"/>
        </w:rPr>
        <w:t>The report as reviewed by ITU-R Study Group 1, should be considered by ITU-D SG1 management team, including by correspondence, before WTDC-17.</w:t>
      </w:r>
    </w:p>
    <w:p w14:paraId="66E4B354" w14:textId="0CFA91BD" w:rsidR="00D56F7C" w:rsidRPr="00000E7C" w:rsidRDefault="00D56F7C" w:rsidP="00D56F7C">
      <w:pPr>
        <w:jc w:val="both"/>
        <w:rPr>
          <w:lang w:val="en-US" w:eastAsia="ja-JP"/>
        </w:rPr>
      </w:pPr>
    </w:p>
    <w:p w14:paraId="60BC34B1" w14:textId="77777777" w:rsidR="00263806" w:rsidRDefault="00263806" w:rsidP="00263806">
      <w:pPr>
        <w:jc w:val="center"/>
        <w:rPr>
          <w:rFonts w:ascii="Calibri" w:hAnsi="Calibri"/>
          <w:szCs w:val="24"/>
          <w:lang w:eastAsia="ja-JP"/>
        </w:rPr>
      </w:pPr>
      <w:r>
        <w:rPr>
          <w:rFonts w:ascii="Calibri" w:hAnsi="Calibri"/>
          <w:szCs w:val="24"/>
          <w:lang w:eastAsia="ja-JP"/>
        </w:rPr>
        <w:t>_______________</w:t>
      </w:r>
    </w:p>
    <w:sectPr w:rsidR="00263806"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7669D" w14:textId="77777777" w:rsidR="00644738" w:rsidRDefault="00644738">
      <w:r>
        <w:separator/>
      </w:r>
    </w:p>
  </w:endnote>
  <w:endnote w:type="continuationSeparator" w:id="0">
    <w:p w14:paraId="3E6317A4" w14:textId="77777777" w:rsidR="00644738" w:rsidRDefault="0064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9FE7" w14:textId="77777777" w:rsidR="00263806" w:rsidRPr="008802F9" w:rsidRDefault="004B2625" w:rsidP="00263806">
    <w:pPr>
      <w:pStyle w:val="Footer"/>
      <w:jc w:val="center"/>
    </w:pPr>
    <w:hyperlink r:id="rId1" w:history="1">
      <w:r w:rsidR="00263806" w:rsidRPr="00E5750F">
        <w:rPr>
          <w:rStyle w:val="Hyperlink"/>
          <w:caps w:val="0"/>
          <w:noProof w:val="0"/>
          <w:sz w:val="18"/>
          <w:szCs w:val="18"/>
          <w:lang w:val="en-US"/>
        </w:rPr>
        <w:t>http://www.itu.int/ITU-D/TDAG/</w:t>
      </w:r>
    </w:hyperlink>
    <w:hyperlink r:id="rId2" w:history="1"/>
  </w:p>
  <w:p w14:paraId="32B73F2C" w14:textId="61241ED4" w:rsidR="001A628E" w:rsidRPr="00263806" w:rsidRDefault="001A628E" w:rsidP="00263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E2A8F" w14:textId="77777777" w:rsidR="00644738" w:rsidRDefault="00644738">
      <w:r>
        <w:t>____________________</w:t>
      </w:r>
    </w:p>
  </w:footnote>
  <w:footnote w:type="continuationSeparator" w:id="0">
    <w:p w14:paraId="354D3E75" w14:textId="77777777" w:rsidR="00644738" w:rsidRDefault="00644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561E" w14:textId="7AFB207E" w:rsidR="00263806" w:rsidRPr="00263806" w:rsidRDefault="00263806" w:rsidP="004B2625">
    <w:pPr>
      <w:pStyle w:val="Header"/>
    </w:pPr>
    <w:r w:rsidRPr="006D271A">
      <w:rPr>
        <w:sz w:val="22"/>
        <w:szCs w:val="22"/>
        <w:lang w:val="de-CH"/>
      </w:rPr>
      <w:t>ITU-D/</w:t>
    </w:r>
    <w:r>
      <w:rPr>
        <w:sz w:val="22"/>
        <w:szCs w:val="22"/>
        <w:lang w:val="de-CH"/>
      </w:rPr>
      <w:t>TDAG17-22</w:t>
    </w:r>
    <w:r w:rsidRPr="00A54E72">
      <w:rPr>
        <w:sz w:val="22"/>
        <w:szCs w:val="22"/>
        <w:lang w:val="de-CH"/>
      </w:rPr>
      <w:t>/</w:t>
    </w:r>
    <w:r w:rsidR="004A3D98">
      <w:rPr>
        <w:sz w:val="22"/>
        <w:szCs w:val="22"/>
        <w:lang w:val="de-CH"/>
      </w:rPr>
      <w:t>7</w:t>
    </w:r>
    <w:r w:rsidR="004B2625">
      <w:rPr>
        <w:sz w:val="22"/>
        <w:szCs w:val="22"/>
        <w:lang w:val="de-CH"/>
      </w:rPr>
      <w:t>2</w:t>
    </w:r>
    <w:r>
      <w:rPr>
        <w:sz w:val="22"/>
        <w:szCs w:val="22"/>
        <w:lang w:val="de-CH"/>
      </w:rPr>
      <w:t>-</w:t>
    </w:r>
    <w:r w:rsidRPr="006D271A">
      <w:rPr>
        <w:sz w:val="22"/>
        <w:szCs w:val="22"/>
        <w:lang w:val="de-CH"/>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38"/>
    <w:rsid w:val="00000E7C"/>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0965"/>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28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3806"/>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0D2D"/>
    <w:rsid w:val="0038365A"/>
    <w:rsid w:val="00386A89"/>
    <w:rsid w:val="0039648E"/>
    <w:rsid w:val="003A30B7"/>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2A48"/>
    <w:rsid w:val="00404424"/>
    <w:rsid w:val="0041156B"/>
    <w:rsid w:val="004122C5"/>
    <w:rsid w:val="00413B78"/>
    <w:rsid w:val="00416DDE"/>
    <w:rsid w:val="0044411E"/>
    <w:rsid w:val="00453435"/>
    <w:rsid w:val="00466398"/>
    <w:rsid w:val="0047306D"/>
    <w:rsid w:val="00473791"/>
    <w:rsid w:val="004753AE"/>
    <w:rsid w:val="00476E48"/>
    <w:rsid w:val="00481DE9"/>
    <w:rsid w:val="0049128B"/>
    <w:rsid w:val="00493B49"/>
    <w:rsid w:val="00495501"/>
    <w:rsid w:val="004A070A"/>
    <w:rsid w:val="004A320E"/>
    <w:rsid w:val="004A3D98"/>
    <w:rsid w:val="004A4E9C"/>
    <w:rsid w:val="004B1A3C"/>
    <w:rsid w:val="004B2625"/>
    <w:rsid w:val="004D2CC3"/>
    <w:rsid w:val="004D35CB"/>
    <w:rsid w:val="004E20E5"/>
    <w:rsid w:val="004E64EA"/>
    <w:rsid w:val="004E7828"/>
    <w:rsid w:val="004F46AA"/>
    <w:rsid w:val="004F6A70"/>
    <w:rsid w:val="004F78A7"/>
    <w:rsid w:val="00500AD7"/>
    <w:rsid w:val="00502ABF"/>
    <w:rsid w:val="00504DB0"/>
    <w:rsid w:val="00507C35"/>
    <w:rsid w:val="00510735"/>
    <w:rsid w:val="00514D2F"/>
    <w:rsid w:val="0054420E"/>
    <w:rsid w:val="00544D1B"/>
    <w:rsid w:val="00545DC0"/>
    <w:rsid w:val="00545F6C"/>
    <w:rsid w:val="0054741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4738"/>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083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12A8"/>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C25"/>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071"/>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3E57"/>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6F7C"/>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672478"/>
  <w15:docId w15:val="{92F9A080-9BA0-4940-A473-0B36103B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FootnoteTextChar">
    <w:name w:val="Footnote Text Char"/>
    <w:basedOn w:val="DefaultParagraphFont"/>
    <w:link w:val="FootnoteText"/>
    <w:rsid w:val="00993C25"/>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993C25"/>
    <w:rPr>
      <w:rFonts w:asciiTheme="minorHAnsi" w:hAnsiTheme="minorHAnsi"/>
      <w:sz w:val="24"/>
      <w:lang w:val="en-GB" w:eastAsia="en-US"/>
    </w:rPr>
  </w:style>
  <w:style w:type="character" w:customStyle="1" w:styleId="CallChar">
    <w:name w:val="Call Char"/>
    <w:basedOn w:val="DefaultParagraphFont"/>
    <w:link w:val="Call"/>
    <w:locked/>
    <w:rsid w:val="00993C25"/>
    <w:rPr>
      <w:rFonts w:asciiTheme="minorHAnsi" w:hAnsiTheme="minorHAnsi"/>
      <w:i/>
      <w:sz w:val="24"/>
      <w:lang w:val="en-GB" w:eastAsia="en-US"/>
    </w:rPr>
  </w:style>
  <w:style w:type="character" w:customStyle="1" w:styleId="RestitleChar">
    <w:name w:val="Res_title Char"/>
    <w:basedOn w:val="DefaultParagraphFont"/>
    <w:link w:val="Restitle"/>
    <w:rsid w:val="00993C25"/>
    <w:rPr>
      <w:rFonts w:asciiTheme="minorHAnsi" w:hAnsiTheme="minorHAnsi"/>
      <w:b/>
      <w:sz w:val="28"/>
      <w:lang w:val="en-GB" w:eastAsia="en-US"/>
    </w:rPr>
  </w:style>
  <w:style w:type="character" w:customStyle="1" w:styleId="ResNoChar">
    <w:name w:val="Res_No Char"/>
    <w:basedOn w:val="DefaultParagraphFont"/>
    <w:link w:val="ResNo"/>
    <w:rsid w:val="00993C25"/>
    <w:rPr>
      <w:rFonts w:asciiTheme="minorHAnsi" w:hAnsiTheme="minorHAnsi"/>
      <w:caps/>
      <w:sz w:val="28"/>
      <w:lang w:val="en-GB" w:eastAsia="en-US"/>
    </w:rPr>
  </w:style>
  <w:style w:type="character" w:styleId="CommentReference">
    <w:name w:val="annotation reference"/>
    <w:basedOn w:val="DefaultParagraphFont"/>
    <w:uiPriority w:val="99"/>
    <w:semiHidden/>
    <w:unhideWhenUsed/>
    <w:rsid w:val="00993C25"/>
    <w:rPr>
      <w:sz w:val="16"/>
      <w:szCs w:val="16"/>
    </w:rPr>
  </w:style>
  <w:style w:type="paragraph" w:styleId="CommentText">
    <w:name w:val="annotation text"/>
    <w:basedOn w:val="Normal"/>
    <w:link w:val="CommentTextChar"/>
    <w:uiPriority w:val="99"/>
    <w:semiHidden/>
    <w:unhideWhenUsed/>
    <w:rsid w:val="00993C25"/>
    <w:pPr>
      <w:jc w:val="both"/>
    </w:pPr>
    <w:rPr>
      <w:sz w:val="20"/>
    </w:rPr>
  </w:style>
  <w:style w:type="character" w:customStyle="1" w:styleId="CommentTextChar">
    <w:name w:val="Comment Text Char"/>
    <w:basedOn w:val="DefaultParagraphFont"/>
    <w:link w:val="CommentText"/>
    <w:uiPriority w:val="99"/>
    <w:semiHidden/>
    <w:rsid w:val="00993C25"/>
    <w:rPr>
      <w:rFonts w:asciiTheme="minorHAnsi" w:hAnsiTheme="minorHAnsi"/>
      <w:lang w:val="en-GB" w:eastAsia="en-US"/>
    </w:rPr>
  </w:style>
  <w:style w:type="paragraph" w:styleId="BalloonText">
    <w:name w:val="Balloon Text"/>
    <w:basedOn w:val="Normal"/>
    <w:link w:val="BalloonTextChar"/>
    <w:semiHidden/>
    <w:unhideWhenUsed/>
    <w:rsid w:val="00993C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3C25"/>
    <w:rPr>
      <w:rFonts w:ascii="Segoe UI" w:hAnsi="Segoe UI" w:cs="Segoe UI"/>
      <w:sz w:val="18"/>
      <w:szCs w:val="18"/>
      <w:lang w:val="en-GB" w:eastAsia="en-US"/>
    </w:rPr>
  </w:style>
  <w:style w:type="paragraph" w:customStyle="1" w:styleId="Banner">
    <w:name w:val="Banner"/>
    <w:basedOn w:val="Normal"/>
    <w:rsid w:val="00263806"/>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SG01-R-0039/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4-SG01-R-0039/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7-RAG17-170426-TD-0003/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4-TDAG22-C-005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BE9C-358C-4676-B5A5-F7BBE044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3</TotalTime>
  <Pages>2</Pages>
  <Words>546</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BDT, mcb</cp:lastModifiedBy>
  <cp:revision>6</cp:revision>
  <cp:lastPrinted>2014-11-04T09:22:00Z</cp:lastPrinted>
  <dcterms:created xsi:type="dcterms:W3CDTF">2017-05-12T13:25:00Z</dcterms:created>
  <dcterms:modified xsi:type="dcterms:W3CDTF">2017-05-16T09:58:00Z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