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B7661E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5967E8" w:rsidRDefault="00805F71" w:rsidP="00130051">
            <w:pPr>
              <w:pStyle w:val="Priorityarea"/>
            </w:pPr>
            <w:r>
              <w:rPr>
                <w:noProof/>
                <w:lang w:val="es-ES_tradnl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0B1248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4C4DF7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B7661E" w:rsidRDefault="00746B65" w:rsidP="00805F71">
            <w:pPr>
              <w:spacing w:before="0" w:after="80"/>
            </w:pPr>
            <w:bookmarkStart w:id="0" w:name="dlogo"/>
            <w:bookmarkEnd w:id="0"/>
            <w:r>
              <w:rPr>
                <w:noProof/>
                <w:lang w:val="es-ES_tradnl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34172E" w:rsidRDefault="00805F71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34172E" w:rsidRDefault="00805F71" w:rsidP="00805F7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6A70F7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/>
            <w:bookmarkEnd w:id="1"/>
            <w:r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374AD5" w:rsidRDefault="006A70F7" w:rsidP="005B6D63">
            <w:pPr>
              <w:spacing w:before="0"/>
              <w:rPr>
                <w:bCs/>
                <w:szCs w:val="24"/>
              </w:rPr>
            </w:pPr>
            <w:r>
              <w:rPr>
                <w:b/>
                <w:szCs w:val="24"/>
              </w:rPr>
              <w:t>Addéndum 27 al</w:t>
            </w:r>
            <w:r>
              <w:rPr>
                <w:b/>
                <w:szCs w:val="24"/>
              </w:rPr>
              <w:br/>
              <w:t>Documento WTDC-17/21-S</w:t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/>
            <w:bookmarkEnd w:id="2"/>
          </w:p>
        </w:tc>
        <w:tc>
          <w:tcPr>
            <w:tcW w:w="3261" w:type="dxa"/>
          </w:tcPr>
          <w:p w:rsidR="00805F71" w:rsidRPr="00374AD5" w:rsidRDefault="006A70F7" w:rsidP="00805F71">
            <w:pPr>
              <w:spacing w:before="0"/>
              <w:rPr>
                <w:bCs/>
                <w:szCs w:val="24"/>
              </w:rPr>
            </w:pPr>
            <w:r>
              <w:rPr>
                <w:b/>
                <w:szCs w:val="24"/>
              </w:rPr>
              <w:t>8 de septiembre de 2017</w:t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/>
            <w:bookmarkEnd w:id="3"/>
          </w:p>
        </w:tc>
        <w:tc>
          <w:tcPr>
            <w:tcW w:w="3261" w:type="dxa"/>
          </w:tcPr>
          <w:p w:rsidR="00805F71" w:rsidRPr="00374AD5" w:rsidRDefault="006A70F7" w:rsidP="00805F71">
            <w:pPr>
              <w:spacing w:before="0"/>
              <w:rPr>
                <w:bCs/>
                <w:szCs w:val="24"/>
              </w:rPr>
            </w:pPr>
            <w:r>
              <w:rPr>
                <w:b/>
                <w:szCs w:val="24"/>
              </w:rPr>
              <w:t>Original: árabe</w:t>
            </w:r>
          </w:p>
        </w:tc>
      </w:tr>
      <w:tr w:rsidR="00805F71" w:rsidRPr="005967E8" w:rsidTr="004C4DF7">
        <w:trPr>
          <w:cantSplit/>
        </w:trPr>
        <w:tc>
          <w:tcPr>
            <w:tcW w:w="10065" w:type="dxa"/>
            <w:gridSpan w:val="3"/>
          </w:tcPr>
          <w:p w:rsidR="00805F71" w:rsidRPr="00187FB4" w:rsidRDefault="00CA326E" w:rsidP="004C4DF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/>
            <w:bookmarkEnd w:id="4"/>
            <w:r>
              <w:t>Estados Árabes</w:t>
            </w:r>
          </w:p>
        </w:tc>
      </w:tr>
      <w:tr w:rsidR="00805F71" w:rsidRPr="005967E8" w:rsidTr="00CA326E">
        <w:trPr>
          <w:cantSplit/>
        </w:trPr>
        <w:tc>
          <w:tcPr>
            <w:tcW w:w="10065" w:type="dxa"/>
            <w:gridSpan w:val="3"/>
          </w:tcPr>
          <w:p w:rsidR="00805F71" w:rsidRPr="00805F71" w:rsidRDefault="00AB72CC" w:rsidP="003A4604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/>
            <w:bookmarkEnd w:id="5"/>
            <w:r>
              <w:t>PROYECTO DE NUEVA RESOLUCIÓN</w:t>
            </w:r>
          </w:p>
        </w:tc>
      </w:tr>
      <w:tr w:rsidR="00805F71" w:rsidRPr="005967E8" w:rsidTr="00CA326E">
        <w:trPr>
          <w:cantSplit/>
        </w:trPr>
        <w:tc>
          <w:tcPr>
            <w:tcW w:w="10065" w:type="dxa"/>
            <w:gridSpan w:val="3"/>
          </w:tcPr>
          <w:p w:rsidR="00805F71" w:rsidRPr="00FF0067" w:rsidRDefault="00AB72CC" w:rsidP="003A4604">
            <w:pPr>
              <w:pStyle w:val="Title2"/>
            </w:pPr>
            <w:r>
              <w:t>FACILITACIÓN DE LA INTERNET DE LAS COSAS Y LAS CIUDADES Y COMUNIDADES INTELIGENTES PARA EL DESARROLLO MUNDIAL</w:t>
            </w:r>
          </w:p>
        </w:tc>
      </w:tr>
      <w:tr w:rsidR="00EB6CD3" w:rsidRPr="005967E8" w:rsidTr="00CA326E">
        <w:trPr>
          <w:cantSplit/>
        </w:trPr>
        <w:tc>
          <w:tcPr>
            <w:tcW w:w="10065" w:type="dxa"/>
            <w:gridSpan w:val="3"/>
          </w:tcPr>
          <w:p w:rsidR="00EB6CD3" w:rsidRPr="00FF0067" w:rsidRDefault="00EB6CD3" w:rsidP="003A4604">
            <w:pPr>
              <w:jc w:val="center"/>
            </w:pPr>
          </w:p>
        </w:tc>
      </w:tr>
      <w:tr w:rsidR="00543A2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2B" w:rsidRDefault="00177EA3" w:rsidP="003A4604">
            <w:r>
              <w:rPr>
                <w:rFonts w:ascii="Calibri" w:hAnsi="Calibri"/>
                <w:b/>
                <w:bCs/>
                <w:sz w:val="22"/>
                <w:szCs w:val="22"/>
              </w:rPr>
              <w:t>Área prioritaria:</w:t>
            </w:r>
          </w:p>
          <w:p w:rsidR="00543A2B" w:rsidRDefault="00AB72CC" w:rsidP="003A4604">
            <w:pPr>
              <w:rPr>
                <w:szCs w:val="24"/>
              </w:rPr>
            </w:pPr>
            <w:r>
              <w:t>–</w:t>
            </w:r>
            <w:r>
              <w:tab/>
              <w:t>Resoluciones y Recomendaciones</w:t>
            </w:r>
          </w:p>
          <w:p w:rsidR="00543A2B" w:rsidRDefault="00177EA3" w:rsidP="003A4604">
            <w:r>
              <w:rPr>
                <w:rFonts w:ascii="Calibri" w:hAnsi="Calibri"/>
                <w:b/>
                <w:bCs/>
                <w:sz w:val="22"/>
                <w:szCs w:val="22"/>
              </w:rPr>
              <w:t>Resumen:</w:t>
            </w:r>
          </w:p>
          <w:p w:rsidR="00543A2B" w:rsidRPr="00AB72CC" w:rsidRDefault="00AB72CC" w:rsidP="006A23CC">
            <w:pPr>
              <w:rPr>
                <w:szCs w:val="24"/>
              </w:rPr>
            </w:pPr>
            <w:r>
              <w:t xml:space="preserve">Nueva </w:t>
            </w:r>
            <w:r w:rsidR="006A23CC">
              <w:t>R</w:t>
            </w:r>
            <w:r>
              <w:t>esolución sobre la facilitación de la Internet de las cosas y las ciudades y comunidades inteligentes para el desarrollo mundial</w:t>
            </w:r>
          </w:p>
          <w:p w:rsidR="00543A2B" w:rsidRDefault="00177EA3" w:rsidP="003A4604">
            <w:r>
              <w:rPr>
                <w:rFonts w:ascii="Calibri" w:hAnsi="Calibri"/>
                <w:b/>
                <w:bCs/>
                <w:sz w:val="22"/>
                <w:szCs w:val="22"/>
              </w:rPr>
              <w:t>Resultados previstos:</w:t>
            </w:r>
          </w:p>
          <w:p w:rsidR="00543A2B" w:rsidRDefault="00AB72CC" w:rsidP="003A4604">
            <w:pPr>
              <w:rPr>
                <w:szCs w:val="24"/>
              </w:rPr>
            </w:pPr>
            <w:r>
              <w:t>–</w:t>
            </w:r>
          </w:p>
          <w:p w:rsidR="00543A2B" w:rsidRDefault="00177EA3" w:rsidP="003A4604">
            <w:r>
              <w:rPr>
                <w:rFonts w:ascii="Calibri" w:hAnsi="Calibri"/>
                <w:b/>
                <w:bCs/>
                <w:sz w:val="22"/>
                <w:szCs w:val="22"/>
              </w:rPr>
              <w:t>Referencias:</w:t>
            </w:r>
          </w:p>
          <w:p w:rsidR="00543A2B" w:rsidRDefault="00AB72CC" w:rsidP="003A4604">
            <w:pPr>
              <w:rPr>
                <w:szCs w:val="24"/>
              </w:rPr>
            </w:pPr>
            <w:r>
              <w:t>–</w:t>
            </w:r>
          </w:p>
        </w:tc>
      </w:tr>
    </w:tbl>
    <w:p w:rsidR="00D84739" w:rsidRDefault="00D84739" w:rsidP="003A4604">
      <w:bookmarkStart w:id="7" w:name="dbreak"/>
      <w:bookmarkEnd w:id="6"/>
      <w:bookmarkEnd w:id="7"/>
    </w:p>
    <w:p w:rsidR="00D84739" w:rsidRDefault="00D84739" w:rsidP="003A46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43A2B" w:rsidRDefault="00177EA3" w:rsidP="003A4604">
      <w:pPr>
        <w:pStyle w:val="Proposal"/>
      </w:pPr>
      <w:r>
        <w:rPr>
          <w:b/>
        </w:rPr>
        <w:lastRenderedPageBreak/>
        <w:t>ADD</w:t>
      </w:r>
      <w:r>
        <w:tab/>
        <w:t>ARB/21A27/1</w:t>
      </w:r>
    </w:p>
    <w:p w:rsidR="00177EA3" w:rsidRPr="00177EA3" w:rsidRDefault="00177EA3" w:rsidP="003A4604">
      <w:pPr>
        <w:pStyle w:val="ResNo"/>
      </w:pPr>
      <w:r>
        <w:t>PROYECTO DE NUEVA RESOLUCIÓN [ARb-2] (BUENOS AIRES, 2017)</w:t>
      </w:r>
    </w:p>
    <w:p w:rsidR="00177EA3" w:rsidRPr="00177EA3" w:rsidRDefault="00177EA3" w:rsidP="003A4604">
      <w:pPr>
        <w:pStyle w:val="Restitle"/>
      </w:pPr>
      <w:bookmarkStart w:id="8" w:name="_Toc475345334"/>
      <w:r>
        <w:t xml:space="preserve">Facilitación de la Internet de las cosas y las ciudades y comunidades </w:t>
      </w:r>
      <w:r w:rsidR="006A23CC">
        <w:br/>
      </w:r>
      <w:r>
        <w:t>inteligentes para el desarrollo mundial</w:t>
      </w:r>
      <w:bookmarkEnd w:id="8"/>
    </w:p>
    <w:p w:rsidR="00177EA3" w:rsidRPr="00177EA3" w:rsidRDefault="00177EA3" w:rsidP="003A4604">
      <w:pPr>
        <w:jc w:val="center"/>
      </w:pPr>
      <w:r>
        <w:t>(Buenos Aires, 2017)</w:t>
      </w:r>
    </w:p>
    <w:p w:rsidR="00177EA3" w:rsidRPr="00177EA3" w:rsidRDefault="00177EA3" w:rsidP="003A4604">
      <w:pPr>
        <w:pStyle w:val="Normalaftertitle"/>
      </w:pPr>
      <w:r>
        <w:t xml:space="preserve">La Conferencia Mundial de Desarrollo de las Telecomunicaciones (Buenos Aires, 2017), </w:t>
      </w:r>
    </w:p>
    <w:p w:rsidR="00177EA3" w:rsidRPr="00177EA3" w:rsidRDefault="00177EA3" w:rsidP="003A4604">
      <w:pPr>
        <w:pStyle w:val="Call"/>
      </w:pPr>
      <w:r>
        <w:t>recordando</w:t>
      </w:r>
    </w:p>
    <w:p w:rsidR="00177EA3" w:rsidRPr="00177EA3" w:rsidRDefault="00177EA3" w:rsidP="006A23CC">
      <w:r>
        <w:rPr>
          <w:i/>
          <w:iCs/>
        </w:rPr>
        <w:t>a)</w:t>
      </w:r>
      <w:r>
        <w:rPr>
          <w:i/>
          <w:iCs/>
        </w:rPr>
        <w:tab/>
      </w:r>
      <w:r>
        <w:t>la Resolución 197 (</w:t>
      </w:r>
      <w:r w:rsidR="006A23CC">
        <w:t>Busán, 2014</w:t>
      </w:r>
      <w:r>
        <w:t xml:space="preserve">) de la Conferencia de Plenipotenciarios, sobre la </w:t>
      </w:r>
      <w:bookmarkStart w:id="9" w:name="_Toc406754325"/>
      <w:r>
        <w:t>Facilitación de la Internet de las cosas como preparación para un mundo globalmente conectado</w:t>
      </w:r>
      <w:bookmarkEnd w:id="9"/>
      <w:r>
        <w:t>;</w:t>
      </w:r>
    </w:p>
    <w:p w:rsidR="00177EA3" w:rsidRPr="00177EA3" w:rsidRDefault="00177EA3" w:rsidP="003A4604">
      <w:r>
        <w:rPr>
          <w:i/>
          <w:iCs/>
        </w:rPr>
        <w:t>b)</w:t>
      </w:r>
      <w:r>
        <w:rPr>
          <w:i/>
          <w:iCs/>
        </w:rPr>
        <w:tab/>
      </w:r>
      <w:r>
        <w:t>la Resolución 66 (Ginebra, 2015) de la Asamblea de Radioco</w:t>
      </w:r>
      <w:bookmarkStart w:id="10" w:name="_GoBack"/>
      <w:bookmarkEnd w:id="10"/>
      <w:r>
        <w:t>municaciones, sobre los Estudios relativos a sistemas y aplicaciones inalámbricos para el desarrollo de la Internet de las cosas;</w:t>
      </w:r>
    </w:p>
    <w:p w:rsidR="00177EA3" w:rsidRPr="00177EA3" w:rsidRDefault="00177EA3" w:rsidP="006A23CC">
      <w:r>
        <w:rPr>
          <w:i/>
          <w:iCs/>
        </w:rPr>
        <w:t>c)</w:t>
      </w:r>
      <w:r>
        <w:rPr>
          <w:i/>
          <w:iCs/>
        </w:rPr>
        <w:tab/>
      </w:r>
      <w:r>
        <w:t>la Resolución 98 (Ham</w:t>
      </w:r>
      <w:r w:rsidR="006A23CC">
        <w:t>m</w:t>
      </w:r>
      <w:r>
        <w:t xml:space="preserve">amet, 2016) de la Asamblea Mundial de Normalización de las Telecomunicaciones, sobre el </w:t>
      </w:r>
      <w:bookmarkStart w:id="11" w:name="_Toc477787220"/>
      <w:r>
        <w:t>Refuerzo de la normalización sobre Internet de las cosas y las ciudades y comunidades inteligentes para el desarrollo mundial</w:t>
      </w:r>
      <w:bookmarkEnd w:id="11"/>
      <w:r>
        <w:t>;</w:t>
      </w:r>
    </w:p>
    <w:p w:rsidR="00177EA3" w:rsidRPr="00177EA3" w:rsidRDefault="00177EA3" w:rsidP="003A4604">
      <w:r>
        <w:rPr>
          <w:i/>
          <w:iCs/>
        </w:rPr>
        <w:t>d)</w:t>
      </w:r>
      <w:r>
        <w:rPr>
          <w:i/>
          <w:iCs/>
        </w:rPr>
        <w:tab/>
      </w:r>
      <w:r>
        <w:t>la Resolución 50 (Rev. Dubái, 2014) de la Conferencia Mundial de Desarrollo de las Telecomunicaciones, sobre la Integración óptima de las tecnologías de la información y la comunicación;</w:t>
      </w:r>
    </w:p>
    <w:p w:rsidR="00177EA3" w:rsidRPr="00177EA3" w:rsidRDefault="00177EA3" w:rsidP="006A23CC">
      <w:r>
        <w:rPr>
          <w:i/>
          <w:iCs/>
        </w:rPr>
        <w:t>e)</w:t>
      </w:r>
      <w:r>
        <w:tab/>
        <w:t xml:space="preserve">los objetivos del Sector de Desarrollo de las Telecomunicaciones de la UIT (UIT-D), definidos en la Resolución 71 (Rev. Busán, 2014) de la Conferencia de Plenipotenciarios, y en concreto el </w:t>
      </w:r>
      <w:r w:rsidR="006A23CC">
        <w:t>O</w:t>
      </w:r>
      <w:r>
        <w:t>bjetivo D</w:t>
      </w:r>
      <w:r w:rsidR="006A23CC">
        <w:t>.</w:t>
      </w:r>
      <w:r>
        <w:t>2 en el que se encomienda a la UIT</w:t>
      </w:r>
      <w:r>
        <w:noBreakHyphen/>
        <w:t>D la tarea de crear un entorno favorable para el desarrollo de las TIC y de alentar el desarrollo de las redes de telecomunicaciones/TIC y las aplicaciones y servicios afines, en particular para reducir la disparidad en materia de normalización;</w:t>
      </w:r>
    </w:p>
    <w:p w:rsidR="00177EA3" w:rsidRPr="00177EA3" w:rsidRDefault="00177EA3" w:rsidP="003A4604">
      <w:r>
        <w:rPr>
          <w:i/>
          <w:iCs/>
        </w:rPr>
        <w:t>f)</w:t>
      </w:r>
      <w:r>
        <w:tab/>
        <w:t xml:space="preserve">la Recomendación UIT-D 22, sobre la </w:t>
      </w:r>
      <w:bookmarkStart w:id="12" w:name="_Toc401734541"/>
      <w:r>
        <w:t>Reducción de la brecha de normalización en asociación con los Grupos Regionales de las Comisiones de Estudio</w:t>
      </w:r>
      <w:bookmarkEnd w:id="12"/>
      <w:r>
        <w:t>,</w:t>
      </w:r>
    </w:p>
    <w:p w:rsidR="00177EA3" w:rsidRPr="00177EA3" w:rsidRDefault="00177EA3" w:rsidP="003A4604">
      <w:pPr>
        <w:pStyle w:val="Call"/>
      </w:pPr>
      <w:r>
        <w:t>considerando</w:t>
      </w:r>
    </w:p>
    <w:p w:rsidR="00177EA3" w:rsidRPr="00177EA3" w:rsidRDefault="00177EA3" w:rsidP="003A4604">
      <w:r>
        <w:rPr>
          <w:i/>
          <w:iCs/>
        </w:rPr>
        <w:t>a)</w:t>
      </w:r>
      <w:r>
        <w:tab/>
        <w:t>que el desarrollo de la tecnología y las aplicaciones de la Internet de las cosas favorecerán numerosos sectores, en particular la sanidad, la agricultura y ganadería, el transporte y la energía, habida cuenta de las aplicaciones provistas;</w:t>
      </w:r>
    </w:p>
    <w:p w:rsidR="00177EA3" w:rsidRPr="00177EA3" w:rsidRDefault="00177EA3" w:rsidP="003A4604">
      <w:r>
        <w:rPr>
          <w:i/>
          <w:iCs/>
        </w:rPr>
        <w:t>b)</w:t>
      </w:r>
      <w:r>
        <w:tab/>
        <w:t>que el despliegue a gran escala de la Internet de las cosas contribuirá considerablemente a la aplicación satisfactoria de la Agenda 2030 para el Desarrollo Sostenible;</w:t>
      </w:r>
    </w:p>
    <w:p w:rsidR="00177EA3" w:rsidRPr="00177EA3" w:rsidRDefault="00177EA3" w:rsidP="003A4604">
      <w:r>
        <w:rPr>
          <w:i/>
          <w:iCs/>
        </w:rPr>
        <w:t>c)</w:t>
      </w:r>
      <w:r>
        <w:tab/>
        <w:t>que, aun reconociendo la labor de normalización relativa a la Internet de las cosas y las ciudades y comunidades inteligentes llevada a cabo por la UIT, es necesario seguir cooperando a nivel mundial en aquellos aspectos relativos a, en particular, la interoperabilidad y seguridad;</w:t>
      </w:r>
    </w:p>
    <w:p w:rsidR="00177EA3" w:rsidRPr="00177EA3" w:rsidRDefault="00177EA3" w:rsidP="003A4604">
      <w:r>
        <w:rPr>
          <w:i/>
          <w:iCs/>
        </w:rPr>
        <w:t>d)</w:t>
      </w:r>
      <w:r>
        <w:tab/>
        <w:t>el papel de otras organizaciones internacionales y regionales pertinentes,</w:t>
      </w:r>
    </w:p>
    <w:p w:rsidR="00177EA3" w:rsidRPr="00177EA3" w:rsidRDefault="00177EA3" w:rsidP="003A4604">
      <w:pPr>
        <w:pStyle w:val="Call"/>
      </w:pPr>
      <w:r>
        <w:lastRenderedPageBreak/>
        <w:t>consciente</w:t>
      </w:r>
    </w:p>
    <w:p w:rsidR="00177EA3" w:rsidRPr="00177EA3" w:rsidRDefault="00177EA3" w:rsidP="003A4604">
      <w:r>
        <w:rPr>
          <w:i/>
          <w:iCs/>
        </w:rPr>
        <w:t>a)</w:t>
      </w:r>
      <w:r>
        <w:tab/>
        <w:t>de la función importante que la UIT, y en particular el UIT-D, tiene en el fomento del desarrollo de las telecomunicaciones/TIC a nivel mundial;</w:t>
      </w:r>
    </w:p>
    <w:p w:rsidR="00177EA3" w:rsidRPr="00177EA3" w:rsidRDefault="00177EA3" w:rsidP="003A4604">
      <w:r>
        <w:rPr>
          <w:i/>
          <w:iCs/>
        </w:rPr>
        <w:t>b)</w:t>
      </w:r>
      <w:r>
        <w:tab/>
        <w:t>de la función que el UIT-T, y en particular la Comisión de Estudio 20, tiene en la realización de estudios y labores de normalización relativas a la Internet de las cosas y sus aplicaciones, incluidas ciudades y comunidades inteligentes, y en la coordinación con otras organizaciones que trabajan en esas dos esferas;</w:t>
      </w:r>
    </w:p>
    <w:p w:rsidR="00177EA3" w:rsidRPr="00177EA3" w:rsidRDefault="00177EA3" w:rsidP="00C24FED">
      <w:r>
        <w:rPr>
          <w:i/>
          <w:iCs/>
        </w:rPr>
        <w:t>c)</w:t>
      </w:r>
      <w:r>
        <w:tab/>
        <w:t xml:space="preserve">la función que el UIT-R, y en particular el Grupo de Trabajo 5D, tiene en la realización de estudios sobre los aspectos técnicos y operacionales de los sistemas y redes radioeléctricos y sobre las necesidades de espectro en relación con la Internet de las cosas, </w:t>
      </w:r>
      <w:r w:rsidR="00C24FED">
        <w:t>de conformidad con el punto 9.1</w:t>
      </w:r>
      <w:r>
        <w:t xml:space="preserve"> de la cuestión 9.1</w:t>
      </w:r>
      <w:r w:rsidR="00C24FED">
        <w:t>.8</w:t>
      </w:r>
      <w:r>
        <w:t xml:space="preserve"> del orden del día de la CMR-19</w:t>
      </w:r>
      <w:r w:rsidR="00C24FED">
        <w:t>,</w:t>
      </w:r>
    </w:p>
    <w:p w:rsidR="00177EA3" w:rsidRPr="00177EA3" w:rsidRDefault="00177EA3" w:rsidP="003A4604">
      <w:pPr>
        <w:pStyle w:val="Call"/>
      </w:pPr>
      <w:r>
        <w:t>resuelve encargar al Director de</w:t>
      </w:r>
      <w:r w:rsidR="00516B78">
        <w:t xml:space="preserve"> la BDT</w:t>
      </w:r>
      <w:r>
        <w:t>, en colaboración con los Directores de</w:t>
      </w:r>
      <w:r w:rsidR="00516B78">
        <w:t xml:space="preserve"> la TSB y la BR</w:t>
      </w:r>
    </w:p>
    <w:p w:rsidR="00177EA3" w:rsidRPr="00177EA3" w:rsidRDefault="00177EA3" w:rsidP="00082D4D">
      <w:r>
        <w:t>1</w:t>
      </w:r>
      <w:r>
        <w:tab/>
        <w:t xml:space="preserve">realizar estudios sobre la Internet de las cosas y las ciudades y comunidades inteligentes, incluidos servicios y aplicaciones para países en desarrollo, en colaboración con Estados Miembros, Miembros de Sector, Asociados e </w:t>
      </w:r>
      <w:r w:rsidR="00C24FED">
        <w:t>I</w:t>
      </w:r>
      <w:r>
        <w:t xml:space="preserve">nstituciones </w:t>
      </w:r>
      <w:r w:rsidR="00C24FED">
        <w:t>A</w:t>
      </w:r>
      <w:r>
        <w:t>cadémicas, con la condición de que esos estudios sirvan para preparar un informe en el que se definan las necesidades particulares de esos países y las dificultades técnicas, económicas y de reglamentación al respecto</w:t>
      </w:r>
      <w:r w:rsidR="00082D4D">
        <w:t>;</w:t>
      </w:r>
    </w:p>
    <w:p w:rsidR="00177EA3" w:rsidRPr="00177EA3" w:rsidRDefault="00177EA3" w:rsidP="003A4604">
      <w:r>
        <w:t>2</w:t>
      </w:r>
      <w:r>
        <w:tab/>
        <w:t>realizar estudios en los que se definan modelos de economía sostenible para garantizar una transición digital gradual a las ciudades y comunidades inteligentes, con la participación de todas las partes interesadas;</w:t>
      </w:r>
    </w:p>
    <w:p w:rsidR="00177EA3" w:rsidRPr="00177EA3" w:rsidRDefault="00177EA3" w:rsidP="003A4604">
      <w:r>
        <w:t>3</w:t>
      </w:r>
      <w:r>
        <w:tab/>
        <w:t>formular estrategias de desarrollo de la Internet de las cosas, adoptar directrices para ciudades y comunidades inteligentes y preparar guías prácticas con las que velar por la interoperabilidad de servicios y plataformas y por la gestión óptima de recursos y datos, de conformidad con las Recomendaciones de la UIT y los resultados de la labor de la Comisión de Estudio 20 del UIT-T;</w:t>
      </w:r>
    </w:p>
    <w:p w:rsidR="00177EA3" w:rsidRPr="00177EA3" w:rsidRDefault="00177EA3" w:rsidP="00C24FED">
      <w:r>
        <w:t>4</w:t>
      </w:r>
      <w:r w:rsidR="00C24FED">
        <w:tab/>
      </w:r>
      <w:r>
        <w:t>colaborar con organizaciones internacionales y regionales para crear un entorno conveniente en el que se intercambien conocimientos y prácticas idóneas para poner en funcionamiento a gran escala la Internet de las cosas y las ciudades y comunidades inteligentes, incluidos servicios y aplicaciones, organizando talleres y foros tanto a nivel regional como internacional,</w:t>
      </w:r>
    </w:p>
    <w:p w:rsidR="00177EA3" w:rsidRPr="00177EA3" w:rsidRDefault="00177EA3" w:rsidP="00C24FED">
      <w:pPr>
        <w:pStyle w:val="Call"/>
      </w:pPr>
      <w:r>
        <w:t xml:space="preserve">hace un llamamiento a los Estados Miembros, Miembros de Sector e </w:t>
      </w:r>
      <w:r w:rsidR="00C24FED">
        <w:t>I</w:t>
      </w:r>
      <w:r>
        <w:t xml:space="preserve">nstituciones </w:t>
      </w:r>
      <w:r w:rsidR="00C24FED">
        <w:t>A</w:t>
      </w:r>
      <w:r>
        <w:t>cadémicas que participan en las labores del UIT-D</w:t>
      </w:r>
    </w:p>
    <w:p w:rsidR="00177EA3" w:rsidRPr="00177EA3" w:rsidRDefault="00177EA3" w:rsidP="003A4604">
      <w:r>
        <w:t>1</w:t>
      </w:r>
      <w:r>
        <w:tab/>
        <w:t>para que se impliquen en los estudios del UIT-D relativos a la Internet de las cosas y las ciudades y comunidades inteligentes, incluidos servicios y aplicaciones, ofreciendo toda la ayuda posible;</w:t>
      </w:r>
    </w:p>
    <w:p w:rsidR="00177EA3" w:rsidRPr="00177EA3" w:rsidRDefault="00177EA3" w:rsidP="003A4604">
      <w:r>
        <w:t>2</w:t>
      </w:r>
      <w:r>
        <w:tab/>
        <w:t>para que se impliquen en las labores y actividades del UIT-T, y en particular de la Comisión de Estudio 20, sobre la Internet de las cosas y las ciudades y comunidades inteligentes;</w:t>
      </w:r>
    </w:p>
    <w:p w:rsidR="00177EA3" w:rsidRPr="00177EA3" w:rsidRDefault="00177EA3" w:rsidP="003A4604">
      <w:r>
        <w:t>3</w:t>
      </w:r>
      <w:r>
        <w:tab/>
        <w:t>para que colaboren e intercambien conocimientos en esa esfera,</w:t>
      </w:r>
    </w:p>
    <w:p w:rsidR="00177EA3" w:rsidRPr="00177EA3" w:rsidRDefault="00177EA3" w:rsidP="003A4604">
      <w:pPr>
        <w:pStyle w:val="Call"/>
      </w:pPr>
      <w:r>
        <w:lastRenderedPageBreak/>
        <w:t>alienta a los Estados Miembros a</w:t>
      </w:r>
    </w:p>
    <w:p w:rsidR="00177EA3" w:rsidRPr="00177EA3" w:rsidRDefault="00177EA3" w:rsidP="003A4604">
      <w:r>
        <w:t>adoptar marcos de reglamentación a nivel institucional para apoyar y estimular el desarrollo de la Internet de las cosas y las ciudades y comunidades inteligentes, incluidos servicios y aplicaciones, y hacer efectivas políticas generales que apoyen ese desarrollo.</w:t>
      </w:r>
    </w:p>
    <w:p w:rsidR="00177EA3" w:rsidRDefault="00177EA3" w:rsidP="003A4604">
      <w:pPr>
        <w:pStyle w:val="Reasons"/>
      </w:pPr>
      <w:r>
        <w:rPr>
          <w:b/>
        </w:rPr>
        <w:t>Motivos:</w:t>
      </w:r>
      <w:r>
        <w:tab/>
        <w:t>Una nueva Resolución sobre la Internet de las cosas para promover las labores del UIT-D en esa esfera.</w:t>
      </w:r>
    </w:p>
    <w:p w:rsidR="00082D4D" w:rsidRDefault="00082D4D" w:rsidP="003A4604">
      <w:pPr>
        <w:pStyle w:val="Reasons"/>
      </w:pPr>
    </w:p>
    <w:p w:rsidR="00177EA3" w:rsidRDefault="00177EA3" w:rsidP="003A4604">
      <w:pPr>
        <w:jc w:val="center"/>
      </w:pPr>
      <w:r>
        <w:t>______________</w:t>
      </w:r>
    </w:p>
    <w:sectPr w:rsidR="00177EA3" w:rsidSect="00146B88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8F" w:rsidRDefault="00D8208F">
      <w:r>
        <w:separator/>
      </w:r>
    </w:p>
  </w:endnote>
  <w:endnote w:type="continuationSeparator" w:id="0">
    <w:p w:rsidR="00D8208F" w:rsidRDefault="00D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3A4604" w:rsidRDefault="00964DA9" w:rsidP="00BB17D3">
    <w:pPr>
      <w:pStyle w:val="Footer"/>
      <w:rPr>
        <w:lang w:val="en-US"/>
      </w:rPr>
    </w:pPr>
    <w:r>
      <w:fldChar w:fldCharType="begin"/>
    </w:r>
    <w:r w:rsidRPr="003A4604">
      <w:rPr>
        <w:lang w:val="en-US"/>
      </w:rPr>
      <w:instrText xml:space="preserve"> FILENAME \p \* MERGEFORMAT </w:instrText>
    </w:r>
    <w:r>
      <w:fldChar w:fldCharType="separate"/>
    </w:r>
    <w:r w:rsidR="003A4604">
      <w:rPr>
        <w:lang w:val="en-US"/>
      </w:rPr>
      <w:t>P:\ESP\ITU-D\CONF-D\WTDC17\000\021ADD27S.docx</w:t>
    </w:r>
    <w:r>
      <w:fldChar w:fldCharType="end"/>
    </w:r>
    <w:r w:rsidR="00082D4D">
      <w:t xml:space="preserve"> (424320)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F7" w:rsidRPr="00177EA3" w:rsidRDefault="004C4DF7" w:rsidP="004C4DF7"/>
  <w:tbl>
    <w:tblPr>
      <w:tblW w:w="16160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  <w:gridCol w:w="6237"/>
    </w:tblGrid>
    <w:tr w:rsidR="00177EA3" w:rsidRPr="00177EA3" w:rsidTr="00177EA3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177EA3" w:rsidRPr="00177EA3" w:rsidRDefault="00177EA3" w:rsidP="00177EA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177EA3" w:rsidRPr="00177EA3" w:rsidRDefault="00177EA3" w:rsidP="00177EA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>
            <w:rPr>
              <w:sz w:val="18"/>
              <w:szCs w:val="18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177EA3" w:rsidRPr="00177EA3" w:rsidRDefault="00177EA3" w:rsidP="00ED0E92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Sr. Nasser Saleh Al Marzouqui, </w:t>
          </w:r>
          <w:r w:rsidR="00ED0E92">
            <w:rPr>
              <w:sz w:val="18"/>
              <w:szCs w:val="18"/>
            </w:rPr>
            <w:t>Autoridad de Reglamentación de las Telecomunicaciones</w:t>
          </w:r>
          <w:r>
            <w:rPr>
              <w:sz w:val="18"/>
              <w:szCs w:val="18"/>
            </w:rPr>
            <w:t xml:space="preserve">, </w:t>
          </w:r>
          <w:r w:rsidR="006A23CC" w:rsidRPr="006A23CC">
            <w:rPr>
              <w:sz w:val="18"/>
              <w:szCs w:val="18"/>
            </w:rPr>
            <w:t>Emiratos Árabes Unidos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177EA3" w:rsidRPr="00177EA3" w:rsidRDefault="00177EA3" w:rsidP="00177EA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</w:rPr>
          </w:pPr>
          <w:bookmarkStart w:id="16" w:name="OrgName"/>
          <w:bookmarkEnd w:id="16"/>
        </w:p>
      </w:tc>
    </w:tr>
    <w:tr w:rsidR="00177EA3" w:rsidRPr="00177EA3" w:rsidTr="00177EA3">
      <w:tc>
        <w:tcPr>
          <w:tcW w:w="1134" w:type="dxa"/>
          <w:shd w:val="clear" w:color="auto" w:fill="auto"/>
        </w:tcPr>
        <w:p w:rsidR="00177EA3" w:rsidRPr="00177EA3" w:rsidRDefault="00177EA3" w:rsidP="00177EA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177EA3" w:rsidRPr="00177EA3" w:rsidRDefault="00177EA3" w:rsidP="00177EA3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Teléfono:</w:t>
          </w:r>
        </w:p>
      </w:tc>
      <w:tc>
        <w:tcPr>
          <w:tcW w:w="6237" w:type="dxa"/>
        </w:tcPr>
        <w:p w:rsidR="00177EA3" w:rsidRPr="00177EA3" w:rsidRDefault="00177EA3" w:rsidP="00177EA3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+</w:t>
          </w:r>
          <w:r>
            <w:rPr>
              <w:sz w:val="18"/>
              <w:szCs w:val="18"/>
              <w:rtl/>
            </w:rPr>
            <w:t>971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rtl/>
            </w:rPr>
            <w:t>509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rtl/>
            </w:rPr>
            <w:t>007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rtl/>
            </w:rPr>
            <w:t>177</w:t>
          </w:r>
        </w:p>
      </w:tc>
      <w:tc>
        <w:tcPr>
          <w:tcW w:w="6237" w:type="dxa"/>
          <w:shd w:val="clear" w:color="auto" w:fill="auto"/>
        </w:tcPr>
        <w:p w:rsidR="00177EA3" w:rsidRPr="00177EA3" w:rsidRDefault="00177EA3" w:rsidP="00177EA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bookmarkStart w:id="17" w:name="PhoneNo"/>
          <w:bookmarkEnd w:id="17"/>
        </w:p>
      </w:tc>
    </w:tr>
    <w:tr w:rsidR="00177EA3" w:rsidRPr="00177EA3" w:rsidTr="00177EA3">
      <w:tc>
        <w:tcPr>
          <w:tcW w:w="1134" w:type="dxa"/>
          <w:shd w:val="clear" w:color="auto" w:fill="auto"/>
        </w:tcPr>
        <w:p w:rsidR="00177EA3" w:rsidRPr="00177EA3" w:rsidRDefault="00177EA3" w:rsidP="00177EA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177EA3" w:rsidRPr="00177EA3" w:rsidRDefault="00177EA3" w:rsidP="00177EA3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Correo-e:</w:t>
          </w:r>
        </w:p>
      </w:tc>
      <w:tc>
        <w:tcPr>
          <w:tcW w:w="6237" w:type="dxa"/>
        </w:tcPr>
        <w:p w:rsidR="00177EA3" w:rsidRPr="00177EA3" w:rsidRDefault="00AA478A" w:rsidP="00177EA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 w:rsidR="00B24576">
              <w:rPr>
                <w:rStyle w:val="Hyperlink"/>
                <w:sz w:val="18"/>
                <w:szCs w:val="18"/>
              </w:rPr>
              <w:t>Nasser.almarzouqi@tra.gov.ae</w:t>
            </w:r>
          </w:hyperlink>
        </w:p>
      </w:tc>
      <w:tc>
        <w:tcPr>
          <w:tcW w:w="6237" w:type="dxa"/>
          <w:shd w:val="clear" w:color="auto" w:fill="auto"/>
        </w:tcPr>
        <w:p w:rsidR="00177EA3" w:rsidRPr="00177EA3" w:rsidRDefault="00177EA3" w:rsidP="00177EA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bookmarkStart w:id="18" w:name="Email"/>
          <w:bookmarkEnd w:id="18"/>
        </w:p>
      </w:tc>
    </w:tr>
  </w:tbl>
  <w:p w:rsidR="004C4DF7" w:rsidRPr="00177EA3" w:rsidRDefault="00AA478A" w:rsidP="004C4DF7">
    <w:pPr>
      <w:jc w:val="center"/>
      <w:rPr>
        <w:sz w:val="20"/>
      </w:rPr>
    </w:pPr>
    <w:hyperlink r:id="rId2" w:history="1">
      <w:r w:rsidR="00B24576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8F" w:rsidRDefault="00D8208F">
      <w:r>
        <w:t>____________________</w:t>
      </w:r>
    </w:p>
  </w:footnote>
  <w:footnote w:type="continuationSeparator" w:id="0">
    <w:p w:rsidR="00D8208F" w:rsidRDefault="00D8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177EA3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tab/>
    </w:r>
    <w:r>
      <w:rPr>
        <w:sz w:val="22"/>
        <w:szCs w:val="22"/>
      </w:rPr>
      <w:t>CMDT-17/</w:t>
    </w:r>
    <w:bookmarkStart w:id="13" w:name="OLE_LINK3"/>
    <w:bookmarkStart w:id="14" w:name="OLE_LINK2"/>
    <w:bookmarkStart w:id="15" w:name="OLE_LINK1"/>
    <w:r>
      <w:rPr>
        <w:sz w:val="22"/>
        <w:szCs w:val="22"/>
      </w:rPr>
      <w:t>21(Add.27)</w:t>
    </w:r>
    <w:bookmarkEnd w:id="13"/>
    <w:bookmarkEnd w:id="14"/>
    <w:bookmarkEnd w:id="15"/>
    <w:r>
      <w:rPr>
        <w:sz w:val="22"/>
        <w:szCs w:val="22"/>
      </w:rPr>
      <w:t>-S</w:t>
    </w:r>
    <w:r>
      <w:rPr>
        <w:rStyle w:val="PageNumber"/>
        <w:sz w:val="22"/>
        <w:szCs w:val="22"/>
      </w:rPr>
      <w:tab/>
      <w:t xml:space="preserve">Página </w:t>
    </w:r>
    <w:r w:rsidR="00996D9C" w:rsidRPr="00177EA3">
      <w:rPr>
        <w:rStyle w:val="PageNumber"/>
        <w:sz w:val="22"/>
        <w:szCs w:val="22"/>
      </w:rPr>
      <w:fldChar w:fldCharType="begin"/>
    </w:r>
    <w:r w:rsidR="00841196" w:rsidRPr="00177EA3">
      <w:rPr>
        <w:rStyle w:val="PageNumber"/>
        <w:sz w:val="22"/>
        <w:szCs w:val="22"/>
      </w:rPr>
      <w:instrText xml:space="preserve"> PAGE </w:instrText>
    </w:r>
    <w:r w:rsidR="00996D9C" w:rsidRPr="00177EA3">
      <w:rPr>
        <w:rStyle w:val="PageNumber"/>
        <w:sz w:val="22"/>
        <w:szCs w:val="22"/>
      </w:rPr>
      <w:fldChar w:fldCharType="separate"/>
    </w:r>
    <w:r w:rsidR="00AA478A">
      <w:rPr>
        <w:rStyle w:val="PageNumber"/>
        <w:noProof/>
        <w:sz w:val="22"/>
        <w:szCs w:val="22"/>
      </w:rPr>
      <w:t>4</w:t>
    </w:r>
    <w:r w:rsidR="00996D9C" w:rsidRPr="00177EA3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82D4D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77EA3"/>
    <w:rsid w:val="00187FB4"/>
    <w:rsid w:val="001B4374"/>
    <w:rsid w:val="00216AF0"/>
    <w:rsid w:val="00222133"/>
    <w:rsid w:val="002303FC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13C30"/>
    <w:rsid w:val="0034172E"/>
    <w:rsid w:val="00374AD5"/>
    <w:rsid w:val="00393C10"/>
    <w:rsid w:val="003A4604"/>
    <w:rsid w:val="003B74AD"/>
    <w:rsid w:val="003F78AF"/>
    <w:rsid w:val="00400CD0"/>
    <w:rsid w:val="00417E93"/>
    <w:rsid w:val="00420B93"/>
    <w:rsid w:val="004B47C7"/>
    <w:rsid w:val="004C4186"/>
    <w:rsid w:val="004C4DF7"/>
    <w:rsid w:val="004C55A9"/>
    <w:rsid w:val="004E59FA"/>
    <w:rsid w:val="00516B78"/>
    <w:rsid w:val="00543A2B"/>
    <w:rsid w:val="00546A49"/>
    <w:rsid w:val="005546BB"/>
    <w:rsid w:val="00556004"/>
    <w:rsid w:val="005707D4"/>
    <w:rsid w:val="005967E8"/>
    <w:rsid w:val="005A3734"/>
    <w:rsid w:val="005B277C"/>
    <w:rsid w:val="005B6D63"/>
    <w:rsid w:val="005F6655"/>
    <w:rsid w:val="00621383"/>
    <w:rsid w:val="0064676F"/>
    <w:rsid w:val="0067437A"/>
    <w:rsid w:val="006A23CC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51F6A"/>
    <w:rsid w:val="00763579"/>
    <w:rsid w:val="00766112"/>
    <w:rsid w:val="00772084"/>
    <w:rsid w:val="007725F2"/>
    <w:rsid w:val="007A1159"/>
    <w:rsid w:val="007B3151"/>
    <w:rsid w:val="007D30E9"/>
    <w:rsid w:val="007D682E"/>
    <w:rsid w:val="007F39DA"/>
    <w:rsid w:val="00805F71"/>
    <w:rsid w:val="00841196"/>
    <w:rsid w:val="00857625"/>
    <w:rsid w:val="008D6FFB"/>
    <w:rsid w:val="009100BA"/>
    <w:rsid w:val="00927BD8"/>
    <w:rsid w:val="00956203"/>
    <w:rsid w:val="00957B66"/>
    <w:rsid w:val="00964DA9"/>
    <w:rsid w:val="00973150"/>
    <w:rsid w:val="00985BBD"/>
    <w:rsid w:val="00996D9C"/>
    <w:rsid w:val="009D0FF0"/>
    <w:rsid w:val="00A12D19"/>
    <w:rsid w:val="00A32892"/>
    <w:rsid w:val="00AA0D3F"/>
    <w:rsid w:val="00AA478A"/>
    <w:rsid w:val="00AB72CC"/>
    <w:rsid w:val="00AC32D2"/>
    <w:rsid w:val="00AE610D"/>
    <w:rsid w:val="00B164F1"/>
    <w:rsid w:val="00B24576"/>
    <w:rsid w:val="00B7661E"/>
    <w:rsid w:val="00B80D14"/>
    <w:rsid w:val="00B8548D"/>
    <w:rsid w:val="00BB17D3"/>
    <w:rsid w:val="00BB68DE"/>
    <w:rsid w:val="00BD13E7"/>
    <w:rsid w:val="00C24FED"/>
    <w:rsid w:val="00C46AC6"/>
    <w:rsid w:val="00C477B1"/>
    <w:rsid w:val="00C52949"/>
    <w:rsid w:val="00CA326E"/>
    <w:rsid w:val="00CB677C"/>
    <w:rsid w:val="00D17BFD"/>
    <w:rsid w:val="00D317D4"/>
    <w:rsid w:val="00D50E44"/>
    <w:rsid w:val="00D8208F"/>
    <w:rsid w:val="00D84739"/>
    <w:rsid w:val="00DE7A75"/>
    <w:rsid w:val="00E10F96"/>
    <w:rsid w:val="00E176E5"/>
    <w:rsid w:val="00E232F8"/>
    <w:rsid w:val="00E408A7"/>
    <w:rsid w:val="00E47369"/>
    <w:rsid w:val="00E74ED5"/>
    <w:rsid w:val="00EA6E15"/>
    <w:rsid w:val="00EB4114"/>
    <w:rsid w:val="00EB6CD3"/>
    <w:rsid w:val="00EC274E"/>
    <w:rsid w:val="00ED0E92"/>
    <w:rsid w:val="00ED2AE9"/>
    <w:rsid w:val="00F05232"/>
    <w:rsid w:val="00F07445"/>
    <w:rsid w:val="00F324A1"/>
    <w:rsid w:val="00F57182"/>
    <w:rsid w:val="00F65879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es-ES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707D4"/>
  </w:style>
  <w:style w:type="character" w:customStyle="1" w:styleId="NormalaftertitleChar">
    <w:name w:val="Normal after title Char"/>
    <w:basedOn w:val="DefaultParagraphFont"/>
    <w:link w:val="Normalaftertitle"/>
    <w:locked/>
    <w:rsid w:val="00177EA3"/>
    <w:rPr>
      <w:rFonts w:asciiTheme="minorHAnsi" w:hAnsiTheme="minorHAnsi"/>
      <w:sz w:val="24"/>
      <w:lang w:val="es-ES" w:eastAsia="en-US"/>
    </w:rPr>
  </w:style>
  <w:style w:type="character" w:styleId="FollowedHyperlink">
    <w:name w:val="FollowedHyperlink"/>
    <w:basedOn w:val="DefaultParagraphFont"/>
    <w:semiHidden/>
    <w:unhideWhenUsed/>
    <w:rsid w:val="00177E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30beb16-df2a-4d08-ab5d-c83a243cbd37" targetNamespace="http://schemas.microsoft.com/office/2006/metadata/properties" ma:root="true" ma:fieldsID="d41af5c836d734370eb92e7ee5f83852" ns2:_="" ns3:_="">
    <xsd:import namespace="996b2e75-67fd-4955-a3b0-5ab9934cb50b"/>
    <xsd:import namespace="d30beb16-df2a-4d08-ab5d-c83a243cbd3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beb16-df2a-4d08-ab5d-c83a243cbd3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30beb16-df2a-4d08-ab5d-c83a243cbd37">DPM</DPM_x0020_Author>
    <DPM_x0020_File_x0020_name xmlns="d30beb16-df2a-4d08-ab5d-c83a243cbd37">D14-WTDC17-C-0021!A27!MSW-S</DPM_x0020_File_x0020_name>
    <DPM_x0020_Version xmlns="d30beb16-df2a-4d08-ab5d-c83a243cbd37">DPM_2017.10.03.1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30beb16-df2a-4d08-ab5d-c83a243cb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d30beb16-df2a-4d08-ab5d-c83a243cbd37"/>
    <ds:schemaRef ds:uri="http://purl.org/dc/elements/1.1/"/>
    <ds:schemaRef ds:uri="http://purl.org/dc/terms/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EC4B1AAD-99C6-418C-8246-44155971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1008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D14-WTDC17-C-0021!A27!MSW-S</vt:lpstr>
    </vt:vector>
  </TitlesOfParts>
  <Manager>General Secretariat - Pool</Manager>
  <Company>International Telecommunication Union (ITU)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D14-WTDC17-C-0021!A27!MSW-S</dc:title>
  <dc:creator>Documents Proposals Manager (DPM)</dc:creator>
  <cp:keywords>DPM_v2017.10.3.1_prod</cp:keywords>
  <dc:description/>
  <cp:lastModifiedBy>Christe-Baldan, Susana</cp:lastModifiedBy>
  <cp:revision>8</cp:revision>
  <cp:lastPrinted>2017-10-05T14:17:00Z</cp:lastPrinted>
  <dcterms:created xsi:type="dcterms:W3CDTF">2017-10-05T14:15:00Z</dcterms:created>
  <dcterms:modified xsi:type="dcterms:W3CDTF">2017-10-06T09:44:00Z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