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B7661E" w:rsidTr="004C4DF7">
        <w:trPr>
          <w:cantSplit/>
        </w:trPr>
        <w:tc>
          <w:tcPr>
            <w:tcW w:w="1100" w:type="dxa"/>
            <w:tcBorders>
              <w:bottom w:val="single" w:sz="12" w:space="0" w:color="auto"/>
            </w:tcBorders>
          </w:tcPr>
          <w:p w:rsidR="00805F71" w:rsidRPr="005967E8" w:rsidRDefault="00805F71" w:rsidP="00A86348">
            <w:pPr>
              <w:pStyle w:val="Priorityarea"/>
            </w:pPr>
            <w:bookmarkStart w:id="0" w:name="_GoBack"/>
            <w:bookmarkEnd w:id="0"/>
            <w:r>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0B1248" w:rsidRDefault="004C4DF7" w:rsidP="00A86348">
            <w:pPr>
              <w:tabs>
                <w:tab w:val="clear" w:pos="794"/>
                <w:tab w:val="clear" w:pos="1191"/>
                <w:tab w:val="clear" w:pos="1588"/>
                <w:tab w:val="clear" w:pos="1985"/>
                <w:tab w:val="left" w:pos="1871"/>
                <w:tab w:val="left" w:pos="2268"/>
              </w:tabs>
              <w:spacing w:before="20" w:after="48"/>
              <w:ind w:left="34"/>
              <w:rPr>
                <w:b/>
                <w:bCs/>
                <w:sz w:val="28"/>
                <w:szCs w:val="28"/>
              </w:rPr>
            </w:pPr>
            <w:r>
              <w:rPr>
                <w:b/>
                <w:bCs/>
                <w:sz w:val="28"/>
                <w:szCs w:val="28"/>
              </w:rPr>
              <w:t>Conferencia Mundial de Desarrollo de las Telecomunicaciones 2017 (CMDT-17)</w:t>
            </w:r>
          </w:p>
          <w:p w:rsidR="00805F71" w:rsidRPr="004C4DF7" w:rsidRDefault="004C4DF7" w:rsidP="00A86348">
            <w:pPr>
              <w:tabs>
                <w:tab w:val="clear" w:pos="794"/>
                <w:tab w:val="clear" w:pos="1191"/>
                <w:tab w:val="clear" w:pos="1588"/>
                <w:tab w:val="clear" w:pos="1985"/>
                <w:tab w:val="left" w:pos="1871"/>
                <w:tab w:val="left" w:pos="2268"/>
              </w:tabs>
              <w:spacing w:after="48"/>
              <w:ind w:left="34"/>
              <w:rPr>
                <w:b/>
                <w:bCs/>
                <w:sz w:val="26"/>
                <w:szCs w:val="26"/>
              </w:rPr>
            </w:pPr>
            <w:r>
              <w:rPr>
                <w:b/>
                <w:bCs/>
                <w:sz w:val="26"/>
                <w:szCs w:val="26"/>
              </w:rPr>
              <w:t>Buenos Aires, Argentina, 9-20 de octubre de 2017</w:t>
            </w:r>
          </w:p>
        </w:tc>
        <w:tc>
          <w:tcPr>
            <w:tcW w:w="3261" w:type="dxa"/>
            <w:tcBorders>
              <w:bottom w:val="single" w:sz="12" w:space="0" w:color="auto"/>
            </w:tcBorders>
          </w:tcPr>
          <w:p w:rsidR="00805F71" w:rsidRPr="00B7661E" w:rsidRDefault="00746B65" w:rsidP="00A86348">
            <w:pPr>
              <w:spacing w:before="0" w:after="80"/>
            </w:pPr>
            <w:bookmarkStart w:id="1" w:name="dlogo"/>
            <w:bookmarkEnd w:id="1"/>
            <w:r>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967E8" w:rsidTr="004C4DF7">
        <w:trPr>
          <w:cantSplit/>
        </w:trPr>
        <w:tc>
          <w:tcPr>
            <w:tcW w:w="6804" w:type="dxa"/>
            <w:gridSpan w:val="2"/>
            <w:tcBorders>
              <w:top w:val="single" w:sz="12" w:space="0" w:color="auto"/>
            </w:tcBorders>
          </w:tcPr>
          <w:p w:rsidR="00805F71" w:rsidRPr="0034172E" w:rsidRDefault="00805F71" w:rsidP="00A86348">
            <w:pPr>
              <w:spacing w:before="0"/>
              <w:rPr>
                <w:rFonts w:cs="Arial"/>
                <w:b/>
                <w:bCs/>
                <w:szCs w:val="24"/>
              </w:rPr>
            </w:pPr>
            <w:bookmarkStart w:id="2" w:name="dspace"/>
          </w:p>
        </w:tc>
        <w:tc>
          <w:tcPr>
            <w:tcW w:w="3261" w:type="dxa"/>
            <w:tcBorders>
              <w:top w:val="single" w:sz="12" w:space="0" w:color="auto"/>
            </w:tcBorders>
          </w:tcPr>
          <w:p w:rsidR="00805F71" w:rsidRPr="0034172E" w:rsidRDefault="00805F71" w:rsidP="00A86348">
            <w:pPr>
              <w:spacing w:before="0"/>
              <w:rPr>
                <w:b/>
                <w:bCs/>
                <w:szCs w:val="24"/>
              </w:rPr>
            </w:pPr>
          </w:p>
        </w:tc>
      </w:tr>
      <w:tr w:rsidR="00805F71" w:rsidRPr="005967E8" w:rsidTr="004C4DF7">
        <w:trPr>
          <w:cantSplit/>
        </w:trPr>
        <w:tc>
          <w:tcPr>
            <w:tcW w:w="6804" w:type="dxa"/>
            <w:gridSpan w:val="2"/>
          </w:tcPr>
          <w:p w:rsidR="00805F71" w:rsidRPr="00374AD5" w:rsidRDefault="006A70F7" w:rsidP="00A86348">
            <w:pPr>
              <w:spacing w:before="0"/>
              <w:rPr>
                <w:rFonts w:cs="Arial"/>
                <w:b/>
                <w:bCs/>
                <w:szCs w:val="24"/>
              </w:rPr>
            </w:pPr>
            <w:bookmarkStart w:id="3" w:name="dnum"/>
            <w:bookmarkEnd w:id="2"/>
            <w:r>
              <w:rPr>
                <w:b/>
                <w:bCs/>
                <w:szCs w:val="24"/>
              </w:rPr>
              <w:t>SESIÓN PLENARIA</w:t>
            </w:r>
          </w:p>
        </w:tc>
        <w:tc>
          <w:tcPr>
            <w:tcW w:w="3261" w:type="dxa"/>
          </w:tcPr>
          <w:p w:rsidR="00805F71" w:rsidRPr="00374AD5" w:rsidRDefault="006A70F7" w:rsidP="00A86348">
            <w:pPr>
              <w:spacing w:before="0"/>
              <w:rPr>
                <w:bCs/>
                <w:szCs w:val="24"/>
              </w:rPr>
            </w:pPr>
            <w:r>
              <w:rPr>
                <w:b/>
                <w:szCs w:val="24"/>
              </w:rPr>
              <w:t>Addéndum 29 al</w:t>
            </w:r>
            <w:r>
              <w:rPr>
                <w:b/>
                <w:szCs w:val="24"/>
              </w:rPr>
              <w:br/>
              <w:t>Documento WTDC-17/21-S</w:t>
            </w:r>
          </w:p>
        </w:tc>
      </w:tr>
      <w:tr w:rsidR="00805F71" w:rsidRPr="005967E8" w:rsidTr="004C4DF7">
        <w:trPr>
          <w:cantSplit/>
        </w:trPr>
        <w:tc>
          <w:tcPr>
            <w:tcW w:w="6804" w:type="dxa"/>
            <w:gridSpan w:val="2"/>
          </w:tcPr>
          <w:p w:rsidR="00805F71" w:rsidRPr="00374AD5" w:rsidRDefault="00805F71" w:rsidP="00A86348">
            <w:pPr>
              <w:spacing w:before="0"/>
              <w:rPr>
                <w:b/>
                <w:bCs/>
                <w:smallCaps/>
                <w:szCs w:val="24"/>
              </w:rPr>
            </w:pPr>
            <w:bookmarkStart w:id="4" w:name="ddate"/>
            <w:bookmarkEnd w:id="3"/>
          </w:p>
        </w:tc>
        <w:tc>
          <w:tcPr>
            <w:tcW w:w="3261" w:type="dxa"/>
          </w:tcPr>
          <w:p w:rsidR="00805F71" w:rsidRPr="00374AD5" w:rsidRDefault="006A70F7" w:rsidP="00A86348">
            <w:pPr>
              <w:spacing w:before="0"/>
              <w:rPr>
                <w:bCs/>
                <w:szCs w:val="24"/>
              </w:rPr>
            </w:pPr>
            <w:r>
              <w:rPr>
                <w:b/>
                <w:szCs w:val="24"/>
              </w:rPr>
              <w:t>10 de septiembre de 2017</w:t>
            </w:r>
          </w:p>
        </w:tc>
      </w:tr>
      <w:tr w:rsidR="00805F71" w:rsidRPr="005967E8" w:rsidTr="004C4DF7">
        <w:trPr>
          <w:cantSplit/>
        </w:trPr>
        <w:tc>
          <w:tcPr>
            <w:tcW w:w="6804" w:type="dxa"/>
            <w:gridSpan w:val="2"/>
          </w:tcPr>
          <w:p w:rsidR="00805F71" w:rsidRPr="00374AD5" w:rsidRDefault="00805F71" w:rsidP="00A86348">
            <w:pPr>
              <w:spacing w:before="0"/>
              <w:rPr>
                <w:b/>
                <w:bCs/>
                <w:smallCaps/>
                <w:szCs w:val="24"/>
              </w:rPr>
            </w:pPr>
            <w:bookmarkStart w:id="5" w:name="dorlang"/>
            <w:bookmarkEnd w:id="4"/>
          </w:p>
        </w:tc>
        <w:tc>
          <w:tcPr>
            <w:tcW w:w="3261" w:type="dxa"/>
          </w:tcPr>
          <w:p w:rsidR="00805F71" w:rsidRPr="00374AD5" w:rsidRDefault="006A70F7" w:rsidP="00A86348">
            <w:pPr>
              <w:spacing w:before="0"/>
              <w:rPr>
                <w:bCs/>
                <w:szCs w:val="24"/>
              </w:rPr>
            </w:pPr>
            <w:r>
              <w:rPr>
                <w:b/>
                <w:szCs w:val="24"/>
              </w:rPr>
              <w:t>Original: árabe</w:t>
            </w:r>
          </w:p>
        </w:tc>
      </w:tr>
      <w:tr w:rsidR="00805F71" w:rsidRPr="005967E8" w:rsidTr="004C4DF7">
        <w:trPr>
          <w:cantSplit/>
        </w:trPr>
        <w:tc>
          <w:tcPr>
            <w:tcW w:w="10065" w:type="dxa"/>
            <w:gridSpan w:val="3"/>
          </w:tcPr>
          <w:p w:rsidR="00805F71" w:rsidRPr="00187FB4" w:rsidRDefault="00CA326E" w:rsidP="00A86348">
            <w:pPr>
              <w:pStyle w:val="Source"/>
              <w:tabs>
                <w:tab w:val="clear" w:pos="794"/>
                <w:tab w:val="clear" w:pos="1191"/>
                <w:tab w:val="clear" w:pos="1588"/>
                <w:tab w:val="clear" w:pos="1985"/>
                <w:tab w:val="left" w:pos="1134"/>
                <w:tab w:val="left" w:pos="1871"/>
                <w:tab w:val="left" w:pos="2268"/>
              </w:tabs>
              <w:spacing w:before="240" w:after="240"/>
              <w:rPr>
                <w:b w:val="0"/>
                <w:bCs/>
              </w:rPr>
            </w:pPr>
            <w:bookmarkStart w:id="6" w:name="dsource"/>
            <w:bookmarkEnd w:id="5"/>
            <w:r>
              <w:t>Estados Árabes</w:t>
            </w:r>
          </w:p>
        </w:tc>
      </w:tr>
      <w:tr w:rsidR="00805F71" w:rsidRPr="005967E8" w:rsidTr="00CA326E">
        <w:trPr>
          <w:cantSplit/>
        </w:trPr>
        <w:tc>
          <w:tcPr>
            <w:tcW w:w="10065" w:type="dxa"/>
            <w:gridSpan w:val="3"/>
          </w:tcPr>
          <w:p w:rsidR="00805F71" w:rsidRPr="00805F71" w:rsidRDefault="0022241E" w:rsidP="00A86348">
            <w:pPr>
              <w:pStyle w:val="Title1"/>
              <w:tabs>
                <w:tab w:val="clear" w:pos="567"/>
                <w:tab w:val="clear" w:pos="1701"/>
                <w:tab w:val="clear" w:pos="2835"/>
                <w:tab w:val="left" w:pos="1871"/>
              </w:tabs>
              <w:spacing w:before="120" w:after="120"/>
              <w:rPr>
                <w:b/>
                <w:bCs/>
              </w:rPr>
            </w:pPr>
            <w:bookmarkStart w:id="7" w:name="dtitle1"/>
            <w:bookmarkEnd w:id="6"/>
            <w:r>
              <w:t>REVISIÓN DE LA CUESTIÓN 1/1</w:t>
            </w:r>
          </w:p>
        </w:tc>
      </w:tr>
      <w:tr w:rsidR="00805F71" w:rsidRPr="005967E8" w:rsidTr="00CA326E">
        <w:trPr>
          <w:cantSplit/>
        </w:trPr>
        <w:tc>
          <w:tcPr>
            <w:tcW w:w="10065" w:type="dxa"/>
            <w:gridSpan w:val="3"/>
          </w:tcPr>
          <w:p w:rsidR="00805F71" w:rsidRPr="00FF0067" w:rsidRDefault="009704F7" w:rsidP="00A86348">
            <w:pPr>
              <w:pStyle w:val="Title2"/>
            </w:pPr>
            <w:bookmarkStart w:id="8" w:name="_Toc394060760"/>
            <w:bookmarkStart w:id="9" w:name="_Toc401734544"/>
            <w:r>
              <w:t xml:space="preserve">Aspectos políticos, reglamentarios y técnicos de la migración en </w:t>
            </w:r>
            <w:r>
              <w:br/>
              <w:t xml:space="preserve">los países en desarrollo de las redes existentes a las redes de </w:t>
            </w:r>
            <w:r>
              <w:br/>
              <w:t xml:space="preserve">banda ancha, incluidas las redes de la próxima generación, </w:t>
            </w:r>
            <w:r>
              <w:br/>
              <w:t>los servicios móviles, los servicios superpuestos (OTT)</w:t>
            </w:r>
            <w:r>
              <w:br/>
              <w:t>y la implantación de IPv6.</w:t>
            </w:r>
            <w:bookmarkEnd w:id="8"/>
            <w:bookmarkEnd w:id="9"/>
          </w:p>
        </w:tc>
      </w:tr>
      <w:tr w:rsidR="00EB6CD3" w:rsidRPr="005967E8" w:rsidTr="00CA326E">
        <w:trPr>
          <w:cantSplit/>
        </w:trPr>
        <w:tc>
          <w:tcPr>
            <w:tcW w:w="10065" w:type="dxa"/>
            <w:gridSpan w:val="3"/>
          </w:tcPr>
          <w:p w:rsidR="00EB6CD3" w:rsidRPr="00FF0067" w:rsidRDefault="00EB6CD3" w:rsidP="00A86348">
            <w:pPr>
              <w:jc w:val="center"/>
            </w:pPr>
          </w:p>
        </w:tc>
      </w:tr>
      <w:tr w:rsidR="00D6364C">
        <w:tc>
          <w:tcPr>
            <w:tcW w:w="10031" w:type="dxa"/>
            <w:gridSpan w:val="3"/>
            <w:tcBorders>
              <w:top w:val="single" w:sz="4" w:space="0" w:color="auto"/>
              <w:left w:val="single" w:sz="4" w:space="0" w:color="auto"/>
              <w:bottom w:val="single" w:sz="4" w:space="0" w:color="auto"/>
              <w:right w:val="single" w:sz="4" w:space="0" w:color="auto"/>
            </w:tcBorders>
          </w:tcPr>
          <w:p w:rsidR="00552CC0" w:rsidRPr="00E002D0" w:rsidRDefault="00552CC0" w:rsidP="00552CC0">
            <w:pPr>
              <w:tabs>
                <w:tab w:val="clear" w:pos="1985"/>
                <w:tab w:val="left" w:pos="1878"/>
                <w:tab w:val="left" w:pos="2283"/>
              </w:tabs>
            </w:pPr>
            <w:r w:rsidRPr="00E002D0">
              <w:rPr>
                <w:rFonts w:ascii="Calibri" w:eastAsia="SimSun" w:hAnsi="Calibri" w:cs="Traditional Arabic"/>
                <w:b/>
                <w:bCs/>
                <w:szCs w:val="24"/>
              </w:rPr>
              <w:t>Área prioritaria:</w:t>
            </w:r>
            <w:r w:rsidRPr="00E002D0">
              <w:rPr>
                <w:rFonts w:ascii="Calibri" w:eastAsia="SimSun" w:hAnsi="Calibri" w:cs="Traditional Arabic"/>
                <w:szCs w:val="24"/>
              </w:rPr>
              <w:tab/>
              <w:t>–</w:t>
            </w:r>
            <w:r w:rsidRPr="00E002D0">
              <w:rPr>
                <w:rFonts w:ascii="Calibri" w:eastAsia="SimSun" w:hAnsi="Calibri" w:cs="Traditional Arabic"/>
                <w:szCs w:val="24"/>
              </w:rPr>
              <w:tab/>
            </w:r>
            <w:r w:rsidRPr="00552CC0">
              <w:rPr>
                <w:rFonts w:ascii="Calibri" w:eastAsia="SimSun" w:hAnsi="Calibri" w:cs="Traditional Arabic"/>
                <w:szCs w:val="24"/>
              </w:rPr>
              <w:t>Cuestiones de Comisiones de Estudio</w:t>
            </w:r>
          </w:p>
          <w:p w:rsidR="00D6364C" w:rsidRPr="00552CC0" w:rsidRDefault="00662ADC" w:rsidP="00A86348">
            <w:pPr>
              <w:rPr>
                <w:sz w:val="28"/>
                <w:szCs w:val="22"/>
              </w:rPr>
            </w:pPr>
            <w:r w:rsidRPr="00552CC0">
              <w:rPr>
                <w:rFonts w:ascii="Calibri" w:hAnsi="Calibri"/>
                <w:b/>
                <w:bCs/>
                <w:szCs w:val="24"/>
              </w:rPr>
              <w:t>Resumen:</w:t>
            </w:r>
          </w:p>
          <w:p w:rsidR="00D6364C" w:rsidRPr="009704F7" w:rsidRDefault="009704F7" w:rsidP="00552CC0">
            <w:pPr>
              <w:rPr>
                <w:szCs w:val="24"/>
              </w:rPr>
            </w:pPr>
            <w:r>
              <w:t>Los Estados Árabes proponen añadir la cuestión de la virtualización de funciones de red a la Cuestión</w:t>
            </w:r>
            <w:r w:rsidR="00552CC0">
              <w:t> </w:t>
            </w:r>
            <w:r>
              <w:t>1/1 de la Comisión de Estudio 1.</w:t>
            </w:r>
          </w:p>
          <w:p w:rsidR="00D6364C" w:rsidRPr="00552CC0" w:rsidRDefault="00662ADC" w:rsidP="00A86348">
            <w:pPr>
              <w:rPr>
                <w:sz w:val="28"/>
                <w:szCs w:val="22"/>
              </w:rPr>
            </w:pPr>
            <w:r w:rsidRPr="00552CC0">
              <w:rPr>
                <w:rFonts w:ascii="Calibri" w:hAnsi="Calibri"/>
                <w:b/>
                <w:bCs/>
                <w:szCs w:val="24"/>
              </w:rPr>
              <w:t>Resultados previstos:</w:t>
            </w:r>
          </w:p>
          <w:p w:rsidR="00D6364C" w:rsidRDefault="009704F7" w:rsidP="00A86348">
            <w:pPr>
              <w:rPr>
                <w:szCs w:val="24"/>
              </w:rPr>
            </w:pPr>
            <w:r>
              <w:rPr>
                <w:rFonts w:ascii="Calibri" w:hAnsi="Calibri"/>
                <w:bCs/>
                <w:szCs w:val="24"/>
              </w:rPr>
              <w:t>–</w:t>
            </w:r>
          </w:p>
          <w:p w:rsidR="00D6364C" w:rsidRPr="00552CC0" w:rsidRDefault="00662ADC" w:rsidP="00A86348">
            <w:pPr>
              <w:rPr>
                <w:sz w:val="28"/>
                <w:szCs w:val="22"/>
              </w:rPr>
            </w:pPr>
            <w:r w:rsidRPr="00552CC0">
              <w:rPr>
                <w:rFonts w:ascii="Calibri" w:hAnsi="Calibri"/>
                <w:b/>
                <w:bCs/>
                <w:szCs w:val="24"/>
              </w:rPr>
              <w:t>Referencias:</w:t>
            </w:r>
          </w:p>
          <w:p w:rsidR="00D6364C" w:rsidRDefault="009704F7" w:rsidP="00A86348">
            <w:pPr>
              <w:spacing w:after="120"/>
              <w:rPr>
                <w:szCs w:val="24"/>
              </w:rPr>
            </w:pPr>
            <w:r>
              <w:rPr>
                <w:rFonts w:ascii="Calibri" w:hAnsi="Calibri"/>
                <w:bCs/>
                <w:szCs w:val="24"/>
              </w:rPr>
              <w:t>–</w:t>
            </w:r>
          </w:p>
        </w:tc>
      </w:tr>
    </w:tbl>
    <w:p w:rsidR="00D84739" w:rsidRDefault="00D84739" w:rsidP="00A86348">
      <w:bookmarkStart w:id="10" w:name="dbreak"/>
      <w:bookmarkEnd w:id="7"/>
      <w:bookmarkEnd w:id="10"/>
    </w:p>
    <w:p w:rsidR="00D84739" w:rsidRDefault="00D84739" w:rsidP="00A86348">
      <w:pPr>
        <w:tabs>
          <w:tab w:val="clear" w:pos="794"/>
          <w:tab w:val="clear" w:pos="1191"/>
          <w:tab w:val="clear" w:pos="1588"/>
          <w:tab w:val="clear" w:pos="1985"/>
        </w:tabs>
        <w:overflowPunct/>
        <w:autoSpaceDE/>
        <w:autoSpaceDN/>
        <w:adjustRightInd/>
        <w:spacing w:before="0"/>
        <w:textAlignment w:val="auto"/>
      </w:pPr>
      <w:r>
        <w:br w:type="page"/>
      </w:r>
    </w:p>
    <w:p w:rsidR="00D6364C" w:rsidRDefault="00662ADC" w:rsidP="00A86348">
      <w:pPr>
        <w:pStyle w:val="Proposal"/>
      </w:pPr>
      <w:r>
        <w:lastRenderedPageBreak/>
        <w:tab/>
        <w:t>ARB/21A29/1</w:t>
      </w:r>
    </w:p>
    <w:p w:rsidR="009704F7" w:rsidRPr="009C2573" w:rsidRDefault="009704F7" w:rsidP="00A86348">
      <w:pPr>
        <w:pStyle w:val="Headingb"/>
      </w:pPr>
      <w:r>
        <w:t>Cuestiones generales</w:t>
      </w:r>
    </w:p>
    <w:p w:rsidR="009704F7" w:rsidRPr="009704F7" w:rsidRDefault="009704F7" w:rsidP="00A86348">
      <w:r>
        <w:t>La inclusión de la cuestión de la virtualización de funciones de red en las cuestiones de la Comisión de Estudio 1 tiene por objeto impulsar la actividad del Sector de Desarrollo de las Telecomunicaciones de la UIT (UIT-D) en lo relativo a la adopción de nuevas soluciones y estrategias para las telecomunicaciones alámbricas e inalámbricas, teniendo en cuenta los obstáculos a los que se enfrentan los países en desarrollo, incluida la migración y transición a funciones virtuales de red.</w:t>
      </w:r>
    </w:p>
    <w:p w:rsidR="009704F7" w:rsidRPr="009704F7" w:rsidRDefault="009704F7" w:rsidP="00A86348">
      <w:r>
        <w:t>Para que la transición en los países en desarrollo transcurra como se desea es necesario aplicar una visión general a todas las cuestiones técnicas, financieras y políticas, por un lado, y prestar atención a las cuestiones relativas a recursos humanos y aspectos organizativos de empresas, por otro.</w:t>
      </w:r>
    </w:p>
    <w:p w:rsidR="009704F7" w:rsidRPr="009704F7" w:rsidRDefault="009704F7" w:rsidP="00A86348">
      <w:r>
        <w:t>La diversidad de redes que existe en las empresas de telecomunicaciones y las características técnicas de cada región forzarán a esas empresas a tomar los pasos adecuados en cada fase de la transición de red, pero ello requerirá estar preparado a todos los niveles. Esta tecnología ofrece una nueva forma de diseñar, poner en marcha y gestionar los servicios de red transfiriendo las características de red, como la traducción de dirección de red (NAT), cortafuegos, dispositivos de detección de intrusión, servicio de sistema de nombre de dominio (DNS), por nombrar algunos, del equipo privado al diseño de programas.</w:t>
      </w:r>
    </w:p>
    <w:p w:rsidR="009704F7" w:rsidRPr="009704F7" w:rsidRDefault="009704F7" w:rsidP="00A86348">
      <w:r>
        <w:t>La mayoría de las empresas de telecomunicaciones en los países desarrollados han comenzado a ejecutar la virtualización de funciones de red, lo que indica un cambio importante en el sector de las telecomunicaciones hacia esta tecnología en el futuro.</w:t>
      </w:r>
    </w:p>
    <w:p w:rsidR="009704F7" w:rsidRPr="009C2573" w:rsidRDefault="009704F7" w:rsidP="00A86348">
      <w:pPr>
        <w:pStyle w:val="Headingb"/>
      </w:pPr>
      <w:r>
        <w:t>Medida requerida</w:t>
      </w:r>
    </w:p>
    <w:p w:rsidR="00B73BB9" w:rsidRPr="00B73BB9" w:rsidRDefault="00B73BB9" w:rsidP="00B73BB9">
      <w:pPr>
        <w:rPr>
          <w:lang w:val="es-ES_tradnl"/>
        </w:rPr>
      </w:pPr>
      <w:r w:rsidRPr="008339C9">
        <w:rPr>
          <w:lang w:val="es-ES_tradnl"/>
        </w:rPr>
        <w:t>Se invita a la Conferencia Mundial de Desarrollo de las Telecomunicaciones (CMDT-17) a incluir la virtualización de funciones de red en la Comisión de Estudio 1, el Grupo de Trabajo 1 y la Cuestión 1/1, cuando examine las tareas relativas a la Cuestión 1/1 de la Comisión de Estudio 1.</w:t>
      </w:r>
    </w:p>
    <w:p w:rsidR="009704F7" w:rsidRPr="009C2573" w:rsidRDefault="009704F7" w:rsidP="00A86348">
      <w:pPr>
        <w:pStyle w:val="Headingb"/>
      </w:pPr>
      <w:r>
        <w:t>Asunto que ha de estudiarse</w:t>
      </w:r>
    </w:p>
    <w:p w:rsidR="009704F7" w:rsidRPr="009704F7" w:rsidRDefault="009704F7" w:rsidP="00A86348">
      <w:r>
        <w:t>En esta cont</w:t>
      </w:r>
      <w:r w:rsidR="00524391">
        <w:t>ribución se aborda un estudio relativo a la</w:t>
      </w:r>
      <w:r>
        <w:t xml:space="preserve"> virtualización de funciones de red en el sector de las telecomunicaciones, en el marco de la Cuestión 1 de la Comisión de Estudio 1, sobre los aspectos políticos, reglamentarios y técnicos de la transición desde las redes existentes a las redes de banda ancha en los países en desarrollo, incluidas las redes de la próxima generación y las redes futuras, la virtualización de funciones de red, los servicios de telecomunicaciones móviles, los servicios superpuestos (OTT) no tradicionales y la implantación de IPv6.</w:t>
      </w:r>
    </w:p>
    <w:p w:rsidR="009704F7" w:rsidRPr="009C2573" w:rsidRDefault="009704F7" w:rsidP="00A86348">
      <w:pPr>
        <w:pStyle w:val="Headingb"/>
      </w:pPr>
      <w:r>
        <w:t>Propuesta</w:t>
      </w:r>
    </w:p>
    <w:p w:rsidR="009704F7" w:rsidRPr="009704F7" w:rsidRDefault="009704F7" w:rsidP="00A86348">
      <w:r>
        <w:t>El Grupo de los Estados Árabes propone estudiar los siguientes puntos y centrarse en las necesidades de los países en desarrollo en esta esfera, en el marco de la Cuestión 1 de la Comisión de Estudio 1:</w:t>
      </w:r>
    </w:p>
    <w:p w:rsidR="009704F7" w:rsidRPr="009704F7" w:rsidRDefault="009704F7" w:rsidP="00552CC0">
      <w:pPr>
        <w:pStyle w:val="enumlev1"/>
      </w:pPr>
      <w:r>
        <w:t>–</w:t>
      </w:r>
      <w:r>
        <w:tab/>
        <w:t xml:space="preserve">estudio de las definiciones y propiedades </w:t>
      </w:r>
      <w:r w:rsidR="00524391">
        <w:t xml:space="preserve">de </w:t>
      </w:r>
      <w:r>
        <w:t>la virtualización de funciones de red y sus tendencias futuras</w:t>
      </w:r>
      <w:r w:rsidR="00524391">
        <w:t>,</w:t>
      </w:r>
      <w:r>
        <w:t xml:space="preserve"> en colaboración con las Comisiones de Estudio pertinentes del UIT-T, en especial la Comisión de Estudio 13;</w:t>
      </w:r>
    </w:p>
    <w:p w:rsidR="009704F7" w:rsidRPr="009704F7" w:rsidRDefault="009704F7" w:rsidP="00552CC0">
      <w:pPr>
        <w:pStyle w:val="enumlev1"/>
      </w:pPr>
      <w:r>
        <w:lastRenderedPageBreak/>
        <w:t>–</w:t>
      </w:r>
      <w:r>
        <w:tab/>
        <w:t>necesidades que tienen las empresas de telecomunicaciones de desplegar la infraestructura virtual, y explicación de las ventajas y dificultades principales vinculadas a la ejecución de este tipo de infraestructura;</w:t>
      </w:r>
    </w:p>
    <w:p w:rsidR="009704F7" w:rsidRPr="009704F7" w:rsidRDefault="009704F7" w:rsidP="00552CC0">
      <w:pPr>
        <w:pStyle w:val="enumlev1"/>
      </w:pPr>
      <w:r>
        <w:t>–</w:t>
      </w:r>
      <w:r>
        <w:tab/>
        <w:t>dificultades a las que se enfrentan los Gobiernos, empresas de telecomunicaciones y organismos de reglamentación de telecomunicaciones;</w:t>
      </w:r>
    </w:p>
    <w:p w:rsidR="009704F7" w:rsidRPr="009704F7" w:rsidRDefault="009704F7" w:rsidP="00552CC0">
      <w:pPr>
        <w:pStyle w:val="enumlev1"/>
      </w:pPr>
      <w:r>
        <w:t>–</w:t>
      </w:r>
      <w:r>
        <w:tab/>
        <w:t>asesoría en la elección de infraestructura de virtualización de funciones de red (centro de datos y servicios) para las diversas funciones virtuales de red;</w:t>
      </w:r>
    </w:p>
    <w:p w:rsidR="009704F7" w:rsidRPr="009704F7" w:rsidRDefault="009704F7" w:rsidP="00552CC0">
      <w:pPr>
        <w:pStyle w:val="enumlev1"/>
      </w:pPr>
      <w:r>
        <w:t>–</w:t>
      </w:r>
      <w:r>
        <w:tab/>
        <w:t>estudios sobre casos satisfactorios de virtualización de funciones de red en países desarrollados;</w:t>
      </w:r>
    </w:p>
    <w:p w:rsidR="009704F7" w:rsidRPr="009704F7" w:rsidRDefault="009704F7" w:rsidP="00552CC0">
      <w:pPr>
        <w:pStyle w:val="enumlev1"/>
      </w:pPr>
      <w:r>
        <w:t>–</w:t>
      </w:r>
      <w:r>
        <w:tab/>
        <w:t>la repercusión de la organización interna de una empresa de telecomunicaciones y las capacidades humanas necesarias para la transición;</w:t>
      </w:r>
    </w:p>
    <w:p w:rsidR="009704F7" w:rsidRPr="009704F7" w:rsidRDefault="009704F7" w:rsidP="00552CC0">
      <w:pPr>
        <w:pStyle w:val="enumlev1"/>
      </w:pPr>
      <w:r>
        <w:t>–</w:t>
      </w:r>
      <w:r>
        <w:tab/>
        <w:t>la formulación de directrices sobre el acceso a la virtualización de funciones de red: cómo conseguir la transición y su adopción.</w:t>
      </w:r>
    </w:p>
    <w:p w:rsidR="009704F7" w:rsidRPr="009C2573" w:rsidRDefault="009704F7" w:rsidP="00A86348">
      <w:pPr>
        <w:pStyle w:val="Headingb"/>
      </w:pPr>
      <w:r>
        <w:t>Resultados previstos</w:t>
      </w:r>
    </w:p>
    <w:p w:rsidR="009704F7" w:rsidRPr="009704F7" w:rsidRDefault="009704F7" w:rsidP="00A86348">
      <w:r>
        <w:t>Según este estudio, los resultados deseados serán:</w:t>
      </w:r>
    </w:p>
    <w:p w:rsidR="009704F7" w:rsidRPr="009704F7" w:rsidRDefault="009704F7" w:rsidP="00552CC0">
      <w:pPr>
        <w:pStyle w:val="enumlev1"/>
      </w:pPr>
      <w:r>
        <w:t>1</w:t>
      </w:r>
      <w:r w:rsidR="00552CC0">
        <w:t>)</w:t>
      </w:r>
      <w:r>
        <w:tab/>
        <w:t>inclusión de los puntos anteriormente mencionados en el informe anual;</w:t>
      </w:r>
    </w:p>
    <w:p w:rsidR="009704F7" w:rsidRPr="009704F7" w:rsidRDefault="009704F7" w:rsidP="00552CC0">
      <w:pPr>
        <w:pStyle w:val="enumlev1"/>
      </w:pPr>
      <w:r>
        <w:t>2</w:t>
      </w:r>
      <w:r w:rsidR="00552CC0">
        <w:t>)</w:t>
      </w:r>
      <w:r>
        <w:tab/>
        <w:t>inclusión de los siguientes puntos en el informe y las recomendaciones de la Cuestión 1/1:</w:t>
      </w:r>
    </w:p>
    <w:p w:rsidR="009704F7" w:rsidRPr="00552CC0" w:rsidRDefault="009704F7" w:rsidP="00552CC0">
      <w:pPr>
        <w:pStyle w:val="enumlev2"/>
      </w:pPr>
      <w:r w:rsidRPr="00552CC0">
        <w:t>–</w:t>
      </w:r>
      <w:r w:rsidRPr="00552CC0">
        <w:tab/>
        <w:t>análisis de los factores que influyen en la adopción de características de funciones virtuales de red en entornos de empresas de telecomunicaciones;</w:t>
      </w:r>
    </w:p>
    <w:p w:rsidR="009704F7" w:rsidRPr="00552CC0" w:rsidRDefault="009704F7" w:rsidP="00552CC0">
      <w:pPr>
        <w:pStyle w:val="enumlev2"/>
      </w:pPr>
      <w:r w:rsidRPr="00552CC0">
        <w:t>–</w:t>
      </w:r>
      <w:r w:rsidRPr="00552CC0">
        <w:tab/>
        <w:t>manuales, directrices, criterios técnicos y mejores prácticas sobre funciones virtuales de red para facilitar el despliegue de infraestructura en países en desarrollo.</w:t>
      </w:r>
    </w:p>
    <w:p w:rsidR="009704F7" w:rsidRPr="009C2573" w:rsidRDefault="009704F7" w:rsidP="00A86348">
      <w:pPr>
        <w:pStyle w:val="Reasons"/>
      </w:pPr>
    </w:p>
    <w:p w:rsidR="009704F7" w:rsidRPr="008F0352" w:rsidRDefault="009704F7" w:rsidP="00A86348">
      <w:pPr>
        <w:jc w:val="center"/>
      </w:pPr>
      <w:r>
        <w:t>______________</w:t>
      </w:r>
    </w:p>
    <w:sectPr w:rsidR="009704F7" w:rsidRPr="008F0352" w:rsidSect="00146B88">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08F" w:rsidRDefault="00D8208F">
      <w:r>
        <w:separator/>
      </w:r>
    </w:p>
  </w:endnote>
  <w:endnote w:type="continuationSeparator" w:id="0">
    <w:p w:rsidR="00D8208F" w:rsidRDefault="00D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4F7" w:rsidRPr="00A86348" w:rsidRDefault="008339C9" w:rsidP="00552CC0">
    <w:pPr>
      <w:pStyle w:val="Footer"/>
      <w:rPr>
        <w:lang w:val="en-GB"/>
      </w:rPr>
    </w:pPr>
    <w:fldSimple w:instr=" FILENAME \p  \* MERGEFORMAT ">
      <w:r w:rsidR="00434572">
        <w:t>P:\ESP\ITU-D\CONF-D\WTDC17\000\021ADD29S.docx</w:t>
      </w:r>
    </w:fldSimple>
    <w:r w:rsidR="00552CC0">
      <w:t xml:space="preserve"> (424802)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4D495C" w:rsidTr="009D2C69">
      <w:tc>
        <w:tcPr>
          <w:tcW w:w="1134" w:type="dxa"/>
          <w:tcBorders>
            <w:top w:val="single" w:sz="4" w:space="0" w:color="000000"/>
          </w:tcBorders>
          <w:shd w:val="clear" w:color="auto" w:fill="auto"/>
        </w:tcPr>
        <w:p w:rsidR="004C4DF7" w:rsidRPr="004D495C" w:rsidRDefault="004C4DF7" w:rsidP="004C4DF7">
          <w:pPr>
            <w:pStyle w:val="FirstFooter"/>
            <w:tabs>
              <w:tab w:val="left" w:pos="1559"/>
              <w:tab w:val="left" w:pos="3828"/>
            </w:tabs>
            <w:rPr>
              <w:sz w:val="18"/>
              <w:szCs w:val="18"/>
            </w:rPr>
          </w:pPr>
          <w:r>
            <w:rPr>
              <w:sz w:val="18"/>
              <w:szCs w:val="18"/>
            </w:rPr>
            <w:t>Contacto:</w:t>
          </w:r>
        </w:p>
      </w:tc>
      <w:tc>
        <w:tcPr>
          <w:tcW w:w="2552" w:type="dxa"/>
          <w:tcBorders>
            <w:top w:val="single" w:sz="4" w:space="0" w:color="000000"/>
          </w:tcBorders>
          <w:shd w:val="clear" w:color="auto" w:fill="auto"/>
        </w:tcPr>
        <w:p w:rsidR="004C4DF7" w:rsidRPr="004D495C" w:rsidRDefault="004C4DF7" w:rsidP="004C4DF7">
          <w:pPr>
            <w:pStyle w:val="FirstFooter"/>
            <w:tabs>
              <w:tab w:val="left" w:pos="2302"/>
            </w:tabs>
            <w:ind w:left="2302" w:hanging="2302"/>
            <w:rPr>
              <w:sz w:val="18"/>
              <w:szCs w:val="18"/>
            </w:rPr>
          </w:pPr>
          <w:r>
            <w:rPr>
              <w:sz w:val="18"/>
              <w:szCs w:val="18"/>
            </w:rPr>
            <w:t>Nombre/Organización/Entidad:</w:t>
          </w:r>
        </w:p>
      </w:tc>
      <w:tc>
        <w:tcPr>
          <w:tcW w:w="6237" w:type="dxa"/>
          <w:tcBorders>
            <w:top w:val="single" w:sz="4" w:space="0" w:color="000000"/>
          </w:tcBorders>
          <w:shd w:val="clear" w:color="auto" w:fill="auto"/>
        </w:tcPr>
        <w:p w:rsidR="004C4DF7" w:rsidRPr="009704F7" w:rsidRDefault="00662ADC" w:rsidP="002C142A">
          <w:pPr>
            <w:pStyle w:val="FirstFooter"/>
            <w:tabs>
              <w:tab w:val="left" w:pos="2302"/>
            </w:tabs>
            <w:kinsoku w:val="0"/>
            <w:rPr>
              <w:sz w:val="18"/>
              <w:szCs w:val="18"/>
              <w:highlight w:val="yellow"/>
            </w:rPr>
          </w:pPr>
          <w:bookmarkStart w:id="14" w:name="OrgName"/>
          <w:bookmarkEnd w:id="14"/>
          <w:r w:rsidRPr="00552CC0">
            <w:rPr>
              <w:sz w:val="18"/>
              <w:szCs w:val="18"/>
            </w:rPr>
            <w:t>Sr. Nasser Saleh Al Marzouqi, Autoridad de Reglamentación de las Telecomunicaciones</w:t>
          </w:r>
          <w:r w:rsidR="002C142A">
            <w:rPr>
              <w:sz w:val="18"/>
              <w:szCs w:val="18"/>
            </w:rPr>
            <w:t>,</w:t>
          </w:r>
          <w:r w:rsidRPr="00552CC0">
            <w:rPr>
              <w:sz w:val="18"/>
              <w:szCs w:val="18"/>
            </w:rPr>
            <w:t xml:space="preserve"> Emiratos Árabes Unidos</w:t>
          </w:r>
        </w:p>
      </w:tc>
    </w:tr>
    <w:tr w:rsidR="004C4DF7" w:rsidRPr="004D495C" w:rsidTr="009D2C69">
      <w:tc>
        <w:tcPr>
          <w:tcW w:w="1134" w:type="dxa"/>
          <w:shd w:val="clear" w:color="auto" w:fill="auto"/>
        </w:tcPr>
        <w:p w:rsidR="004C4DF7" w:rsidRPr="009704F7"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4D495C" w:rsidRDefault="004C4DF7" w:rsidP="004C4DF7">
          <w:pPr>
            <w:pStyle w:val="FirstFooter"/>
            <w:tabs>
              <w:tab w:val="left" w:pos="2302"/>
            </w:tabs>
            <w:rPr>
              <w:sz w:val="18"/>
              <w:szCs w:val="18"/>
            </w:rPr>
          </w:pPr>
          <w:r>
            <w:rPr>
              <w:sz w:val="18"/>
              <w:szCs w:val="18"/>
            </w:rPr>
            <w:t>Teléfono:</w:t>
          </w:r>
        </w:p>
      </w:tc>
      <w:tc>
        <w:tcPr>
          <w:tcW w:w="6237" w:type="dxa"/>
          <w:shd w:val="clear" w:color="auto" w:fill="auto"/>
        </w:tcPr>
        <w:p w:rsidR="004C4DF7" w:rsidRPr="004D495C" w:rsidRDefault="009704F7" w:rsidP="004C4DF7">
          <w:pPr>
            <w:pStyle w:val="FirstFooter"/>
            <w:tabs>
              <w:tab w:val="left" w:pos="2302"/>
            </w:tabs>
            <w:rPr>
              <w:sz w:val="18"/>
              <w:szCs w:val="18"/>
              <w:highlight w:val="yellow"/>
            </w:rPr>
          </w:pPr>
          <w:bookmarkStart w:id="15" w:name="PhoneNo"/>
          <w:bookmarkEnd w:id="15"/>
          <w:r w:rsidRPr="00771F48">
            <w:rPr>
              <w:sz w:val="18"/>
              <w:szCs w:val="24"/>
            </w:rPr>
            <w:t>+971 509 007 177</w:t>
          </w:r>
        </w:p>
      </w:tc>
    </w:tr>
    <w:tr w:rsidR="004C4DF7" w:rsidRPr="009704F7" w:rsidTr="009D2C69">
      <w:tc>
        <w:tcPr>
          <w:tcW w:w="1134" w:type="dxa"/>
          <w:shd w:val="clear" w:color="auto" w:fill="auto"/>
        </w:tcPr>
        <w:p w:rsidR="004C4DF7" w:rsidRPr="004D495C" w:rsidRDefault="004C4DF7" w:rsidP="004C4DF7">
          <w:pPr>
            <w:pStyle w:val="FirstFooter"/>
            <w:tabs>
              <w:tab w:val="left" w:pos="1559"/>
              <w:tab w:val="left" w:pos="3828"/>
            </w:tabs>
            <w:rPr>
              <w:sz w:val="20"/>
              <w:lang w:val="en-US"/>
            </w:rPr>
          </w:pPr>
        </w:p>
      </w:tc>
      <w:tc>
        <w:tcPr>
          <w:tcW w:w="2552" w:type="dxa"/>
          <w:shd w:val="clear" w:color="auto" w:fill="auto"/>
        </w:tcPr>
        <w:p w:rsidR="004C4DF7" w:rsidRPr="004D495C" w:rsidRDefault="004C4DF7" w:rsidP="004C4DF7">
          <w:pPr>
            <w:pStyle w:val="FirstFooter"/>
            <w:tabs>
              <w:tab w:val="left" w:pos="2302"/>
            </w:tabs>
            <w:rPr>
              <w:sz w:val="18"/>
              <w:szCs w:val="18"/>
            </w:rPr>
          </w:pPr>
          <w:r>
            <w:rPr>
              <w:sz w:val="18"/>
              <w:szCs w:val="18"/>
            </w:rPr>
            <w:t>Correo-e:</w:t>
          </w:r>
        </w:p>
      </w:tc>
      <w:bookmarkStart w:id="16" w:name="Email"/>
      <w:bookmarkEnd w:id="16"/>
      <w:tc>
        <w:tcPr>
          <w:tcW w:w="6237" w:type="dxa"/>
          <w:shd w:val="clear" w:color="auto" w:fill="auto"/>
        </w:tcPr>
        <w:p w:rsidR="004C4DF7" w:rsidRPr="00771F48" w:rsidRDefault="009704F7" w:rsidP="004C4DF7">
          <w:pPr>
            <w:pStyle w:val="FirstFooter"/>
            <w:tabs>
              <w:tab w:val="left" w:pos="2302"/>
            </w:tabs>
            <w:rPr>
              <w:sz w:val="18"/>
              <w:szCs w:val="18"/>
              <w:highlight w:val="yellow"/>
            </w:rPr>
          </w:pPr>
          <w:r w:rsidRPr="00771F48">
            <w:fldChar w:fldCharType="begin"/>
          </w:r>
          <w:r w:rsidR="00FE7527" w:rsidRPr="00771F48">
            <w:rPr>
              <w:sz w:val="18"/>
              <w:szCs w:val="18"/>
            </w:rPr>
            <w:instrText>HYPERLINK "C:\\Users\\marubio\\Desktop\\Nasser.almarzouqi@tra.gov.ae"</w:instrText>
          </w:r>
          <w:r w:rsidRPr="00771F48">
            <w:fldChar w:fldCharType="separate"/>
          </w:r>
          <w:r w:rsidRPr="00771F48">
            <w:rPr>
              <w:rStyle w:val="Hyperlink"/>
              <w:rFonts w:ascii="Calibri" w:hAnsi="Calibri"/>
              <w:sz w:val="18"/>
              <w:szCs w:val="18"/>
            </w:rPr>
            <w:t>Nasser.almarzouqi@tra.gov.ae</w:t>
          </w:r>
          <w:r w:rsidRPr="00771F48">
            <w:rPr>
              <w:rStyle w:val="Hyperlink"/>
              <w:rFonts w:ascii="Calibri" w:hAnsi="Calibri"/>
              <w:sz w:val="18"/>
              <w:szCs w:val="18"/>
            </w:rPr>
            <w:fldChar w:fldCharType="end"/>
          </w:r>
        </w:p>
      </w:tc>
    </w:tr>
  </w:tbl>
  <w:p w:rsidR="004C4DF7" w:rsidRPr="00784E03" w:rsidRDefault="00434572" w:rsidP="004C4DF7">
    <w:pPr>
      <w:jc w:val="center"/>
      <w:rPr>
        <w:sz w:val="20"/>
      </w:rPr>
    </w:pPr>
    <w:hyperlink r:id="rId1" w:history="1">
      <w:r w:rsidR="00B14482">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08F" w:rsidRDefault="00D8208F">
      <w:r>
        <w:t>____________________</w:t>
      </w:r>
    </w:p>
  </w:footnote>
  <w:footnote w:type="continuationSeparator" w:id="0">
    <w:p w:rsidR="00D8208F" w:rsidRDefault="00D82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Pr>
        <w:rStyle w:val="PageNumber"/>
        <w:sz w:val="22"/>
        <w:szCs w:val="22"/>
      </w:rPr>
      <w:tab/>
    </w:r>
    <w:r>
      <w:rPr>
        <w:sz w:val="22"/>
        <w:szCs w:val="22"/>
      </w:rPr>
      <w:t>CMDT-17/</w:t>
    </w:r>
    <w:bookmarkStart w:id="11" w:name="OLE_LINK3"/>
    <w:bookmarkStart w:id="12" w:name="OLE_LINK2"/>
    <w:bookmarkStart w:id="13" w:name="OLE_LINK1"/>
    <w:r>
      <w:rPr>
        <w:sz w:val="22"/>
        <w:szCs w:val="22"/>
      </w:rPr>
      <w:t>21(Add.29)</w:t>
    </w:r>
    <w:bookmarkEnd w:id="11"/>
    <w:bookmarkEnd w:id="12"/>
    <w:bookmarkEnd w:id="13"/>
    <w:r>
      <w:rPr>
        <w:sz w:val="22"/>
        <w:szCs w:val="22"/>
      </w:rPr>
      <w:t>-S</w:t>
    </w:r>
    <w:r>
      <w:rPr>
        <w:rStyle w:val="PageNumber"/>
        <w:sz w:val="22"/>
        <w:szCs w:val="22"/>
      </w:rPr>
      <w:tab/>
      <w:t xml:space="preserve">Página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434572">
      <w:rPr>
        <w:rStyle w:val="PageNumber"/>
        <w:noProof/>
        <w:sz w:val="22"/>
        <w:szCs w:val="22"/>
      </w:rPr>
      <w:t>3</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F69BA"/>
    <w:rsid w:val="00101770"/>
    <w:rsid w:val="00104292"/>
    <w:rsid w:val="00111F38"/>
    <w:rsid w:val="001232E9"/>
    <w:rsid w:val="00130051"/>
    <w:rsid w:val="001359A5"/>
    <w:rsid w:val="001432BC"/>
    <w:rsid w:val="00146B88"/>
    <w:rsid w:val="001663C8"/>
    <w:rsid w:val="00187FB4"/>
    <w:rsid w:val="001B4374"/>
    <w:rsid w:val="00216AF0"/>
    <w:rsid w:val="00222133"/>
    <w:rsid w:val="0022241E"/>
    <w:rsid w:val="00242C09"/>
    <w:rsid w:val="00250817"/>
    <w:rsid w:val="00250CC1"/>
    <w:rsid w:val="002514A4"/>
    <w:rsid w:val="00291A62"/>
    <w:rsid w:val="002A60D8"/>
    <w:rsid w:val="002C142A"/>
    <w:rsid w:val="002C1636"/>
    <w:rsid w:val="002C6D7A"/>
    <w:rsid w:val="002E1030"/>
    <w:rsid w:val="002E20C5"/>
    <w:rsid w:val="002E57D3"/>
    <w:rsid w:val="002F4B23"/>
    <w:rsid w:val="00303948"/>
    <w:rsid w:val="0034172E"/>
    <w:rsid w:val="00374AD5"/>
    <w:rsid w:val="00393C10"/>
    <w:rsid w:val="003B74AD"/>
    <w:rsid w:val="003F78AF"/>
    <w:rsid w:val="00400CD0"/>
    <w:rsid w:val="00417E93"/>
    <w:rsid w:val="00420B93"/>
    <w:rsid w:val="00434572"/>
    <w:rsid w:val="004B47C7"/>
    <w:rsid w:val="004C4186"/>
    <w:rsid w:val="004C4DF7"/>
    <w:rsid w:val="004C55A9"/>
    <w:rsid w:val="00524391"/>
    <w:rsid w:val="00546A49"/>
    <w:rsid w:val="00552CC0"/>
    <w:rsid w:val="005546BB"/>
    <w:rsid w:val="00556004"/>
    <w:rsid w:val="005707D4"/>
    <w:rsid w:val="005967E8"/>
    <w:rsid w:val="005A3734"/>
    <w:rsid w:val="005B277C"/>
    <w:rsid w:val="005B6D63"/>
    <w:rsid w:val="005F6655"/>
    <w:rsid w:val="00621383"/>
    <w:rsid w:val="0064676F"/>
    <w:rsid w:val="00662ADC"/>
    <w:rsid w:val="0067437A"/>
    <w:rsid w:val="006A70F7"/>
    <w:rsid w:val="006B19EA"/>
    <w:rsid w:val="006B2077"/>
    <w:rsid w:val="006B44F7"/>
    <w:rsid w:val="006C1AF0"/>
    <w:rsid w:val="006C2077"/>
    <w:rsid w:val="00706DB9"/>
    <w:rsid w:val="0071137C"/>
    <w:rsid w:val="00746B65"/>
    <w:rsid w:val="00751F6A"/>
    <w:rsid w:val="00763579"/>
    <w:rsid w:val="00766112"/>
    <w:rsid w:val="00771F48"/>
    <w:rsid w:val="00772084"/>
    <w:rsid w:val="007725F2"/>
    <w:rsid w:val="007A1159"/>
    <w:rsid w:val="007B3151"/>
    <w:rsid w:val="007D30E9"/>
    <w:rsid w:val="007D682E"/>
    <w:rsid w:val="007F39DA"/>
    <w:rsid w:val="00805F71"/>
    <w:rsid w:val="008339C9"/>
    <w:rsid w:val="00841196"/>
    <w:rsid w:val="00857625"/>
    <w:rsid w:val="008D6FFB"/>
    <w:rsid w:val="009100BA"/>
    <w:rsid w:val="00927BD8"/>
    <w:rsid w:val="00956203"/>
    <w:rsid w:val="00957B66"/>
    <w:rsid w:val="00964DA9"/>
    <w:rsid w:val="009704F7"/>
    <w:rsid w:val="00973150"/>
    <w:rsid w:val="009757BB"/>
    <w:rsid w:val="00985BBD"/>
    <w:rsid w:val="00996D9C"/>
    <w:rsid w:val="009D0FF0"/>
    <w:rsid w:val="00A12D19"/>
    <w:rsid w:val="00A32892"/>
    <w:rsid w:val="00A86348"/>
    <w:rsid w:val="00AA0D3F"/>
    <w:rsid w:val="00AC32D2"/>
    <w:rsid w:val="00AE610D"/>
    <w:rsid w:val="00B14482"/>
    <w:rsid w:val="00B164F1"/>
    <w:rsid w:val="00B73BB9"/>
    <w:rsid w:val="00B7661E"/>
    <w:rsid w:val="00B80D14"/>
    <w:rsid w:val="00B8548D"/>
    <w:rsid w:val="00BB17D3"/>
    <w:rsid w:val="00BB68DE"/>
    <w:rsid w:val="00BD13E7"/>
    <w:rsid w:val="00C46AC6"/>
    <w:rsid w:val="00C477B1"/>
    <w:rsid w:val="00C52949"/>
    <w:rsid w:val="00CA326E"/>
    <w:rsid w:val="00CB677C"/>
    <w:rsid w:val="00D17BFD"/>
    <w:rsid w:val="00D317D4"/>
    <w:rsid w:val="00D50E44"/>
    <w:rsid w:val="00D6364C"/>
    <w:rsid w:val="00D8208F"/>
    <w:rsid w:val="00D84739"/>
    <w:rsid w:val="00DE7A75"/>
    <w:rsid w:val="00E10F96"/>
    <w:rsid w:val="00E176E5"/>
    <w:rsid w:val="00E232F8"/>
    <w:rsid w:val="00E408A7"/>
    <w:rsid w:val="00E47369"/>
    <w:rsid w:val="00E74ED5"/>
    <w:rsid w:val="00EA6E15"/>
    <w:rsid w:val="00EB4114"/>
    <w:rsid w:val="00EB6CD3"/>
    <w:rsid w:val="00EC274E"/>
    <w:rsid w:val="00ED2AE9"/>
    <w:rsid w:val="00EE7A1F"/>
    <w:rsid w:val="00F05232"/>
    <w:rsid w:val="00F07445"/>
    <w:rsid w:val="00F324A1"/>
    <w:rsid w:val="00F65879"/>
    <w:rsid w:val="00F83C74"/>
    <w:rsid w:val="00FA3D6E"/>
    <w:rsid w:val="00FD2FA3"/>
    <w:rsid w:val="00FE5E35"/>
    <w:rsid w:val="00FE7527"/>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s-E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qFormat/>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rPr>
  </w:style>
  <w:style w:type="paragraph" w:customStyle="1" w:styleId="Tableref">
    <w:name w:val="Table_ref"/>
    <w:basedOn w:val="Normal"/>
    <w:next w:val="Tabletitle"/>
    <w:rsid w:val="00146B88"/>
    <w:pPr>
      <w:keepNext/>
      <w:spacing w:before="0" w:after="120"/>
      <w:jc w:val="center"/>
    </w:p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es-ES"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rPr>
  </w:style>
  <w:style w:type="paragraph" w:customStyle="1" w:styleId="Reasons">
    <w:name w:val="Reasons"/>
    <w:basedOn w:val="Normal"/>
    <w:qFormat/>
    <w:rsid w:val="00570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1ca51dc-81cf-48ed-a53b-5f4ae5e49d18" targetNamespace="http://schemas.microsoft.com/office/2006/metadata/properties" ma:root="true" ma:fieldsID="d41af5c836d734370eb92e7ee5f83852" ns2:_="" ns3:_="">
    <xsd:import namespace="996b2e75-67fd-4955-a3b0-5ab9934cb50b"/>
    <xsd:import namespace="d1ca51dc-81cf-48ed-a53b-5f4ae5e49d1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1ca51dc-81cf-48ed-a53b-5f4ae5e49d1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1ca51dc-81cf-48ed-a53b-5f4ae5e49d18">DPM</DPM_x0020_Author>
    <DPM_x0020_File_x0020_name xmlns="d1ca51dc-81cf-48ed-a53b-5f4ae5e49d18">D14-WTDC17-C-0021!A29!MSW-S</DPM_x0020_File_x0020_name>
    <DPM_x0020_Version xmlns="d1ca51dc-81cf-48ed-a53b-5f4ae5e49d18">DPM_2017.10.03.1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1ca51dc-81cf-48ed-a53b-5f4ae5e49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openxmlformats.org/package/2006/metadata/core-properties"/>
    <ds:schemaRef ds:uri="http://schemas.microsoft.com/office/infopath/2007/PartnerControls"/>
    <ds:schemaRef ds:uri="d1ca51dc-81cf-48ed-a53b-5f4ae5e49d18"/>
    <ds:schemaRef ds:uri="996b2e75-67fd-4955-a3b0-5ab9934cb50b"/>
    <ds:schemaRef ds:uri="http://schemas.microsoft.com/office/2006/documentManagement/types"/>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D7860F7B-D620-4CD7-BE1C-3E1865BF6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806</Words>
  <Characters>4444</Characters>
  <Application>Microsoft Office Word</Application>
  <DocSecurity>0</DocSecurity>
  <Lines>95</Lines>
  <Paragraphs>40</Paragraphs>
  <ScaleCrop>false</ScaleCrop>
  <HeadingPairs>
    <vt:vector size="2" baseType="variant">
      <vt:variant>
        <vt:lpstr>Title</vt:lpstr>
      </vt:variant>
      <vt:variant>
        <vt:i4>1</vt:i4>
      </vt:variant>
    </vt:vector>
  </HeadingPairs>
  <TitlesOfParts>
    <vt:vector size="1" baseType="lpstr">
      <vt:lpstr>D14-WTDC17-C-0021!A29!MSW-S</vt:lpstr>
    </vt:vector>
  </TitlesOfParts>
  <Manager>General Secretariat - Pool</Manager>
  <Company>International Telecommunication Union (ITU)</Company>
  <LinksUpToDate>false</LinksUpToDate>
  <CharactersWithSpaces>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D14-WTDC17-C-0021!A29!MSW-S</dc:title>
  <dc:creator>Documents Proposals Manager (DPM)</dc:creator>
  <cp:keywords>DPM_v2017.10.3.1_prod</cp:keywords>
  <dc:description/>
  <cp:lastModifiedBy>Ayala Martinez, Beatriz</cp:lastModifiedBy>
  <cp:revision>7</cp:revision>
  <cp:lastPrinted>2017-10-06T12:19:00Z</cp:lastPrinted>
  <dcterms:created xsi:type="dcterms:W3CDTF">2017-10-05T12:42:00Z</dcterms:created>
  <dcterms:modified xsi:type="dcterms:W3CDTF">2017-10-06T12:19:00Z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