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96639F" w:rsidTr="00B951D0">
        <w:trPr>
          <w:cantSplit/>
          <w:trHeight w:val="1134"/>
        </w:trPr>
        <w:tc>
          <w:tcPr>
            <w:tcW w:w="1276" w:type="dxa"/>
          </w:tcPr>
          <w:p w:rsidR="00B951D0" w:rsidRPr="0096639F" w:rsidRDefault="00B951D0" w:rsidP="00B951D0">
            <w:pPr>
              <w:spacing w:before="180"/>
              <w:ind w:left="1168"/>
              <w:rPr>
                <w:b/>
                <w:bCs/>
                <w:sz w:val="28"/>
                <w:szCs w:val="28"/>
              </w:rPr>
            </w:pPr>
            <w:r w:rsidRPr="0096639F">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639F">
              <w:rPr>
                <w:b/>
                <w:bCs/>
                <w:sz w:val="28"/>
                <w:szCs w:val="28"/>
              </w:rPr>
              <w:t xml:space="preserve"> </w:t>
            </w:r>
          </w:p>
        </w:tc>
        <w:tc>
          <w:tcPr>
            <w:tcW w:w="5528" w:type="dxa"/>
          </w:tcPr>
          <w:p w:rsidR="00B951D0" w:rsidRPr="0096639F" w:rsidRDefault="00B951D0" w:rsidP="00B951D0">
            <w:pPr>
              <w:spacing w:before="20" w:after="48" w:line="240" w:lineRule="atLeast"/>
              <w:ind w:left="34"/>
              <w:rPr>
                <w:b/>
                <w:bCs/>
                <w:sz w:val="28"/>
                <w:szCs w:val="28"/>
              </w:rPr>
            </w:pPr>
            <w:r w:rsidRPr="0096639F">
              <w:rPr>
                <w:b/>
                <w:bCs/>
                <w:sz w:val="28"/>
                <w:szCs w:val="28"/>
              </w:rPr>
              <w:t>World Telecommunication Development</w:t>
            </w:r>
            <w:r w:rsidRPr="0096639F">
              <w:rPr>
                <w:b/>
                <w:bCs/>
                <w:sz w:val="28"/>
                <w:szCs w:val="28"/>
              </w:rPr>
              <w:br/>
              <w:t>Conference 2017 (WTDC-17)</w:t>
            </w:r>
          </w:p>
          <w:p w:rsidR="00BC0382" w:rsidRPr="0096639F" w:rsidRDefault="00BC0382" w:rsidP="009B34FC">
            <w:pPr>
              <w:spacing w:after="48" w:line="240" w:lineRule="atLeast"/>
              <w:ind w:left="34"/>
              <w:rPr>
                <w:b/>
                <w:bCs/>
                <w:sz w:val="28"/>
                <w:szCs w:val="28"/>
              </w:rPr>
            </w:pPr>
            <w:r w:rsidRPr="0096639F">
              <w:rPr>
                <w:b/>
                <w:bCs/>
                <w:sz w:val="26"/>
                <w:szCs w:val="26"/>
              </w:rPr>
              <w:t>Buenos Aires, Argentina, 9-20 October 2017</w:t>
            </w:r>
          </w:p>
        </w:tc>
        <w:tc>
          <w:tcPr>
            <w:tcW w:w="3227" w:type="dxa"/>
          </w:tcPr>
          <w:p w:rsidR="00B951D0" w:rsidRPr="0096639F" w:rsidRDefault="009B34FC" w:rsidP="00B951D0">
            <w:pPr>
              <w:spacing w:before="0" w:line="240" w:lineRule="atLeast"/>
              <w:jc w:val="right"/>
              <w:rPr>
                <w:rFonts w:cstheme="minorHAnsi"/>
              </w:rPr>
            </w:pPr>
            <w:bookmarkStart w:id="0" w:name="ditulogo"/>
            <w:bookmarkEnd w:id="0"/>
            <w:r w:rsidRPr="0096639F">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96639F" w:rsidTr="00B951D0">
        <w:trPr>
          <w:cantSplit/>
        </w:trPr>
        <w:tc>
          <w:tcPr>
            <w:tcW w:w="6804" w:type="dxa"/>
            <w:gridSpan w:val="2"/>
            <w:tcBorders>
              <w:top w:val="single" w:sz="12" w:space="0" w:color="auto"/>
            </w:tcBorders>
          </w:tcPr>
          <w:p w:rsidR="00D83BF5" w:rsidRPr="0096639F"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96639F" w:rsidRDefault="00D83BF5" w:rsidP="00B951D0">
            <w:pPr>
              <w:spacing w:before="0" w:line="240" w:lineRule="atLeast"/>
              <w:rPr>
                <w:rFonts w:cstheme="minorHAnsi"/>
                <w:sz w:val="20"/>
              </w:rPr>
            </w:pPr>
          </w:p>
        </w:tc>
      </w:tr>
      <w:tr w:rsidR="00D83BF5" w:rsidRPr="0096639F" w:rsidTr="00B951D0">
        <w:trPr>
          <w:cantSplit/>
          <w:trHeight w:val="23"/>
        </w:trPr>
        <w:tc>
          <w:tcPr>
            <w:tcW w:w="6804" w:type="dxa"/>
            <w:gridSpan w:val="2"/>
            <w:shd w:val="clear" w:color="auto" w:fill="auto"/>
          </w:tcPr>
          <w:p w:rsidR="00D83BF5" w:rsidRPr="0096639F" w:rsidRDefault="00130081" w:rsidP="00B951D0">
            <w:pPr>
              <w:pStyle w:val="Committee"/>
              <w:framePr w:hSpace="0" w:wrap="auto" w:hAnchor="text" w:yAlign="inline"/>
            </w:pPr>
            <w:bookmarkStart w:id="2" w:name="dnum" w:colFirst="1" w:colLast="1"/>
            <w:bookmarkStart w:id="3" w:name="dmeeting" w:colFirst="0" w:colLast="0"/>
            <w:bookmarkEnd w:id="1"/>
            <w:r w:rsidRPr="0096639F">
              <w:t>PLENARY MEETING</w:t>
            </w:r>
          </w:p>
        </w:tc>
        <w:tc>
          <w:tcPr>
            <w:tcW w:w="3227" w:type="dxa"/>
          </w:tcPr>
          <w:p w:rsidR="00D83BF5" w:rsidRPr="0096639F" w:rsidRDefault="00130081" w:rsidP="008B5657">
            <w:pPr>
              <w:tabs>
                <w:tab w:val="left" w:pos="851"/>
              </w:tabs>
              <w:spacing w:before="0" w:line="240" w:lineRule="atLeast"/>
              <w:rPr>
                <w:rFonts w:cstheme="minorHAnsi"/>
                <w:szCs w:val="24"/>
              </w:rPr>
            </w:pPr>
            <w:r w:rsidRPr="0096639F">
              <w:rPr>
                <w:b/>
                <w:szCs w:val="24"/>
              </w:rPr>
              <w:t>Addendum 33 to</w:t>
            </w:r>
            <w:r w:rsidRPr="0096639F">
              <w:rPr>
                <w:b/>
                <w:szCs w:val="24"/>
              </w:rPr>
              <w:br/>
              <w:t>Document WTDC-17/21</w:t>
            </w:r>
            <w:r w:rsidR="008C65C7" w:rsidRPr="0096639F">
              <w:rPr>
                <w:b/>
                <w:szCs w:val="24"/>
              </w:rPr>
              <w:t>-</w:t>
            </w:r>
            <w:r w:rsidRPr="0096639F">
              <w:rPr>
                <w:b/>
                <w:szCs w:val="24"/>
              </w:rPr>
              <w:t>E</w:t>
            </w:r>
          </w:p>
        </w:tc>
      </w:tr>
      <w:tr w:rsidR="00D83BF5" w:rsidRPr="0096639F" w:rsidTr="00B951D0">
        <w:trPr>
          <w:cantSplit/>
          <w:trHeight w:val="23"/>
        </w:trPr>
        <w:tc>
          <w:tcPr>
            <w:tcW w:w="6804" w:type="dxa"/>
            <w:gridSpan w:val="2"/>
            <w:shd w:val="clear" w:color="auto" w:fill="auto"/>
          </w:tcPr>
          <w:p w:rsidR="00D83BF5" w:rsidRPr="0096639F"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96639F" w:rsidRDefault="00130081" w:rsidP="00B951D0">
            <w:pPr>
              <w:spacing w:before="0" w:line="240" w:lineRule="atLeast"/>
              <w:rPr>
                <w:rFonts w:cstheme="minorHAnsi"/>
                <w:szCs w:val="24"/>
              </w:rPr>
            </w:pPr>
            <w:r w:rsidRPr="0096639F">
              <w:rPr>
                <w:b/>
                <w:szCs w:val="24"/>
              </w:rPr>
              <w:t>8 September 2017</w:t>
            </w:r>
          </w:p>
        </w:tc>
      </w:tr>
      <w:tr w:rsidR="00D83BF5" w:rsidRPr="0096639F" w:rsidTr="00B951D0">
        <w:trPr>
          <w:cantSplit/>
          <w:trHeight w:val="23"/>
        </w:trPr>
        <w:tc>
          <w:tcPr>
            <w:tcW w:w="6804" w:type="dxa"/>
            <w:gridSpan w:val="2"/>
            <w:shd w:val="clear" w:color="auto" w:fill="auto"/>
          </w:tcPr>
          <w:p w:rsidR="00D83BF5" w:rsidRPr="0096639F"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96639F" w:rsidRDefault="00130081" w:rsidP="00B951D0">
            <w:pPr>
              <w:tabs>
                <w:tab w:val="left" w:pos="993"/>
              </w:tabs>
              <w:spacing w:before="0"/>
              <w:rPr>
                <w:rFonts w:cstheme="minorHAnsi"/>
                <w:b/>
                <w:szCs w:val="24"/>
              </w:rPr>
            </w:pPr>
            <w:r w:rsidRPr="0096639F">
              <w:rPr>
                <w:b/>
                <w:szCs w:val="24"/>
              </w:rPr>
              <w:t>Original: Arabic</w:t>
            </w:r>
          </w:p>
        </w:tc>
      </w:tr>
      <w:tr w:rsidR="00D83BF5" w:rsidRPr="0096639F" w:rsidTr="007F735C">
        <w:trPr>
          <w:cantSplit/>
          <w:trHeight w:val="23"/>
        </w:trPr>
        <w:tc>
          <w:tcPr>
            <w:tcW w:w="10031" w:type="dxa"/>
            <w:gridSpan w:val="3"/>
            <w:shd w:val="clear" w:color="auto" w:fill="auto"/>
          </w:tcPr>
          <w:p w:rsidR="00D83BF5" w:rsidRPr="0096639F" w:rsidRDefault="00130081" w:rsidP="009B34FC">
            <w:pPr>
              <w:pStyle w:val="Source"/>
              <w:spacing w:before="240" w:after="240"/>
            </w:pPr>
            <w:r w:rsidRPr="0096639F">
              <w:t>Arab States</w:t>
            </w:r>
          </w:p>
        </w:tc>
      </w:tr>
      <w:tr w:rsidR="00D83BF5" w:rsidRPr="0096639F" w:rsidTr="00C26DD5">
        <w:trPr>
          <w:cantSplit/>
          <w:trHeight w:val="23"/>
        </w:trPr>
        <w:tc>
          <w:tcPr>
            <w:tcW w:w="10031" w:type="dxa"/>
            <w:gridSpan w:val="3"/>
            <w:shd w:val="clear" w:color="auto" w:fill="auto"/>
            <w:vAlign w:val="center"/>
          </w:tcPr>
          <w:p w:rsidR="00D83BF5" w:rsidRPr="00900662" w:rsidRDefault="00D06CA9" w:rsidP="0048040C">
            <w:pPr>
              <w:pStyle w:val="Title1"/>
              <w:spacing w:before="120" w:after="120"/>
            </w:pPr>
            <w:r w:rsidRPr="00900662">
              <w:t>revision of resolution 18</w:t>
            </w:r>
          </w:p>
        </w:tc>
      </w:tr>
      <w:tr w:rsidR="00D83BF5" w:rsidRPr="0096639F" w:rsidTr="00C26DD5">
        <w:trPr>
          <w:cantSplit/>
          <w:trHeight w:val="23"/>
        </w:trPr>
        <w:tc>
          <w:tcPr>
            <w:tcW w:w="10031" w:type="dxa"/>
            <w:gridSpan w:val="3"/>
            <w:shd w:val="clear" w:color="auto" w:fill="auto"/>
          </w:tcPr>
          <w:p w:rsidR="00D83BF5" w:rsidRPr="00900662" w:rsidRDefault="00D06CA9" w:rsidP="0048040C">
            <w:pPr>
              <w:pStyle w:val="Title2"/>
              <w:overflowPunct w:val="0"/>
              <w:autoSpaceDE w:val="0"/>
              <w:autoSpaceDN w:val="0"/>
              <w:adjustRightInd w:val="0"/>
              <w:textAlignment w:val="baseline"/>
            </w:pPr>
            <w:r w:rsidRPr="00900662">
              <w:t>ARAB STATES REGIONAL INITIATIVES</w:t>
            </w:r>
          </w:p>
        </w:tc>
      </w:tr>
      <w:tr w:rsidR="00FB3E24" w:rsidRPr="0096639F" w:rsidTr="00C26DD5">
        <w:trPr>
          <w:cantSplit/>
          <w:trHeight w:val="23"/>
        </w:trPr>
        <w:tc>
          <w:tcPr>
            <w:tcW w:w="10031" w:type="dxa"/>
            <w:gridSpan w:val="3"/>
            <w:shd w:val="clear" w:color="auto" w:fill="auto"/>
          </w:tcPr>
          <w:p w:rsidR="00FB3E24" w:rsidRPr="00900662" w:rsidRDefault="00FB3E24" w:rsidP="00FB3E24">
            <w:pPr>
              <w:jc w:val="center"/>
            </w:pPr>
          </w:p>
        </w:tc>
      </w:tr>
      <w:bookmarkEnd w:id="6"/>
      <w:bookmarkEnd w:id="7"/>
      <w:tr w:rsidR="00407CC7" w:rsidRPr="0096639F">
        <w:tc>
          <w:tcPr>
            <w:tcW w:w="10031" w:type="dxa"/>
            <w:gridSpan w:val="3"/>
            <w:tcBorders>
              <w:top w:val="single" w:sz="4" w:space="0" w:color="auto"/>
              <w:left w:val="single" w:sz="4" w:space="0" w:color="auto"/>
              <w:bottom w:val="single" w:sz="4" w:space="0" w:color="auto"/>
              <w:right w:val="single" w:sz="4" w:space="0" w:color="auto"/>
            </w:tcBorders>
          </w:tcPr>
          <w:p w:rsidR="00407CC7" w:rsidRPr="00900662" w:rsidRDefault="00B91B80">
            <w:pPr>
              <w:rPr>
                <w:rFonts w:ascii="Calibri" w:eastAsia="SimSun" w:hAnsi="Calibri" w:cs="Traditional Arabic"/>
                <w:b/>
                <w:bCs/>
                <w:szCs w:val="24"/>
              </w:rPr>
            </w:pPr>
            <w:r w:rsidRPr="00900662">
              <w:rPr>
                <w:rFonts w:ascii="Calibri" w:eastAsia="SimSun" w:hAnsi="Calibri" w:cs="Traditional Arabic"/>
                <w:b/>
                <w:bCs/>
                <w:szCs w:val="24"/>
              </w:rPr>
              <w:t>Priority area:</w:t>
            </w:r>
          </w:p>
          <w:p w:rsidR="00EF780D" w:rsidRPr="00900662" w:rsidRDefault="00EF780D">
            <w:r w:rsidRPr="00900662">
              <w:rPr>
                <w:rFonts w:ascii="Calibri" w:eastAsia="SimSun" w:hAnsi="Calibri" w:cs="Traditional Arabic"/>
                <w:bCs/>
                <w:szCs w:val="24"/>
              </w:rPr>
              <w:t>Regional initiatives</w:t>
            </w:r>
          </w:p>
          <w:p w:rsidR="00407CC7" w:rsidRPr="00900662" w:rsidRDefault="00B91B80">
            <w:r w:rsidRPr="00900662">
              <w:rPr>
                <w:rFonts w:ascii="Calibri" w:eastAsia="SimSun" w:hAnsi="Calibri" w:cs="Traditional Arabic"/>
                <w:b/>
                <w:bCs/>
                <w:szCs w:val="24"/>
              </w:rPr>
              <w:t>Summary:</w:t>
            </w:r>
          </w:p>
          <w:p w:rsidR="00407CC7" w:rsidRPr="00900662" w:rsidRDefault="00A443AB">
            <w:pPr>
              <w:rPr>
                <w:szCs w:val="24"/>
              </w:rPr>
            </w:pPr>
            <w:r w:rsidRPr="00900662">
              <w:rPr>
                <w:szCs w:val="24"/>
              </w:rPr>
              <w:t>–</w:t>
            </w:r>
          </w:p>
          <w:p w:rsidR="00407CC7" w:rsidRPr="00900662" w:rsidRDefault="00B91B80">
            <w:r w:rsidRPr="00900662">
              <w:rPr>
                <w:rFonts w:ascii="Calibri" w:eastAsia="SimSun" w:hAnsi="Calibri" w:cs="Traditional Arabic"/>
                <w:b/>
                <w:bCs/>
                <w:szCs w:val="24"/>
              </w:rPr>
              <w:t>Expected results:</w:t>
            </w:r>
          </w:p>
          <w:p w:rsidR="00407CC7" w:rsidRPr="00900662" w:rsidRDefault="00A443AB">
            <w:pPr>
              <w:rPr>
                <w:szCs w:val="24"/>
              </w:rPr>
            </w:pPr>
            <w:r w:rsidRPr="00900662">
              <w:rPr>
                <w:szCs w:val="24"/>
              </w:rPr>
              <w:t>–</w:t>
            </w:r>
          </w:p>
          <w:p w:rsidR="00407CC7" w:rsidRPr="00900662" w:rsidRDefault="00B91B80">
            <w:r w:rsidRPr="00900662">
              <w:rPr>
                <w:rFonts w:ascii="Calibri" w:eastAsia="SimSun" w:hAnsi="Calibri" w:cs="Traditional Arabic"/>
                <w:b/>
                <w:bCs/>
                <w:szCs w:val="24"/>
              </w:rPr>
              <w:t>References:</w:t>
            </w:r>
          </w:p>
          <w:p w:rsidR="00407CC7" w:rsidRPr="00900662" w:rsidRDefault="00A443AB">
            <w:pPr>
              <w:rPr>
                <w:szCs w:val="24"/>
              </w:rPr>
            </w:pPr>
            <w:r w:rsidRPr="00900662">
              <w:rPr>
                <w:szCs w:val="24"/>
              </w:rPr>
              <w:t>–</w:t>
            </w:r>
          </w:p>
        </w:tc>
      </w:tr>
    </w:tbl>
    <w:p w:rsidR="001D7CE4" w:rsidRPr="0096639F" w:rsidRDefault="001D7CE4" w:rsidP="0037069D"/>
    <w:p w:rsidR="00C26DD5" w:rsidRPr="0096639F" w:rsidRDefault="00C26DD5">
      <w:pPr>
        <w:overflowPunct/>
        <w:autoSpaceDE/>
        <w:autoSpaceDN/>
        <w:adjustRightInd/>
        <w:spacing w:before="0"/>
        <w:textAlignment w:val="auto"/>
        <w:rPr>
          <w:szCs w:val="24"/>
        </w:rPr>
      </w:pPr>
      <w:r w:rsidRPr="0096639F">
        <w:rPr>
          <w:szCs w:val="24"/>
        </w:rPr>
        <w:br w:type="page"/>
      </w:r>
    </w:p>
    <w:p w:rsidR="00713AAF" w:rsidRPr="0096639F" w:rsidRDefault="00B91B80" w:rsidP="003E6149">
      <w:pPr>
        <w:pStyle w:val="Volumetitle"/>
        <w:rPr>
          <w:lang w:val="en-GB"/>
        </w:rPr>
      </w:pPr>
      <w:r w:rsidRPr="0096639F">
        <w:rPr>
          <w:lang w:val="en-GB"/>
        </w:rPr>
        <w:lastRenderedPageBreak/>
        <w:t>REGIONAL INITIATIVES</w:t>
      </w:r>
    </w:p>
    <w:p w:rsidR="002F3488" w:rsidRPr="0096639F" w:rsidRDefault="002F3488" w:rsidP="003E6149">
      <w:pPr>
        <w:pStyle w:val="Volumetitle"/>
        <w:rPr>
          <w:lang w:val="en-GB"/>
        </w:rPr>
      </w:pPr>
    </w:p>
    <w:p w:rsidR="00C413F7" w:rsidRPr="0096639F" w:rsidRDefault="00B91B80" w:rsidP="002F3488">
      <w:pPr>
        <w:pStyle w:val="Volumetitle"/>
        <w:rPr>
          <w:lang w:val="en-GB"/>
        </w:rPr>
      </w:pPr>
      <w:bookmarkStart w:id="8" w:name="_Toc393980040"/>
      <w:r w:rsidRPr="0096639F">
        <w:rPr>
          <w:lang w:val="en-GB"/>
        </w:rPr>
        <w:t>ARAB STATES REGIONAL INITIATIVES</w:t>
      </w:r>
      <w:bookmarkEnd w:id="8"/>
    </w:p>
    <w:p w:rsidR="00407CC7" w:rsidRPr="0096639F" w:rsidRDefault="00B91B80" w:rsidP="002F3488">
      <w:pPr>
        <w:pStyle w:val="Proposal"/>
      </w:pPr>
      <w:r w:rsidRPr="0096639F">
        <w:rPr>
          <w:b/>
        </w:rPr>
        <w:t>SUP</w:t>
      </w:r>
      <w:r w:rsidRPr="0096639F">
        <w:tab/>
        <w:t>ARB/21A33/1</w:t>
      </w:r>
    </w:p>
    <w:p w:rsidR="00B91B80" w:rsidRPr="0096639F" w:rsidRDefault="00B91B80" w:rsidP="00B91B80">
      <w:pPr>
        <w:pStyle w:val="Heading1"/>
      </w:pPr>
      <w:bookmarkStart w:id="9" w:name="_Toc268858467"/>
      <w:bookmarkStart w:id="10" w:name="_Toc393980041"/>
      <w:r w:rsidRPr="0096639F">
        <w:t>ARB1:</w:t>
      </w:r>
      <w:r w:rsidRPr="0096639F">
        <w:tab/>
        <w:t>Development of broadband access and adoption</w:t>
      </w:r>
      <w:bookmarkEnd w:id="9"/>
      <w:r w:rsidRPr="0096639F">
        <w:t xml:space="preserve"> of broadband</w:t>
      </w:r>
      <w:bookmarkEnd w:id="10"/>
    </w:p>
    <w:p w:rsidR="00407CC7" w:rsidRPr="0096639F" w:rsidRDefault="00407CC7">
      <w:pPr>
        <w:pStyle w:val="Reasons"/>
      </w:pPr>
    </w:p>
    <w:p w:rsidR="00407CC7" w:rsidRPr="0096639F" w:rsidRDefault="00B91B80">
      <w:pPr>
        <w:pStyle w:val="Proposal"/>
      </w:pPr>
      <w:r w:rsidRPr="0096639F">
        <w:rPr>
          <w:b/>
        </w:rPr>
        <w:t>ADD</w:t>
      </w:r>
      <w:r w:rsidRPr="0096639F">
        <w:tab/>
        <w:t>ARB/21A33/2</w:t>
      </w:r>
    </w:p>
    <w:p w:rsidR="00407CC7" w:rsidRPr="0096639F" w:rsidRDefault="00B91B80" w:rsidP="002F3488">
      <w:pPr>
        <w:pStyle w:val="Heading1"/>
      </w:pPr>
      <w:r w:rsidRPr="0096639F">
        <w:rPr>
          <w:rFonts w:ascii="Calibri"/>
        </w:rPr>
        <w:t>ARB1:</w:t>
      </w:r>
      <w:r w:rsidRPr="0096639F">
        <w:tab/>
      </w:r>
      <w:r w:rsidR="002947E5" w:rsidRPr="0096639F">
        <w:t xml:space="preserve">Environment, </w:t>
      </w:r>
      <w:r w:rsidR="00410C87" w:rsidRPr="0096639F">
        <w:t>climate change and emergency telecommunications</w:t>
      </w:r>
    </w:p>
    <w:p w:rsidR="002947E5" w:rsidRPr="0096639F" w:rsidRDefault="002947E5" w:rsidP="007D0BD4">
      <w:r w:rsidRPr="0096639F">
        <w:rPr>
          <w:b/>
          <w:bCs/>
        </w:rPr>
        <w:t xml:space="preserve">Objective: </w:t>
      </w:r>
      <w:r w:rsidR="00410C87" w:rsidRPr="0096639F">
        <w:t>To r</w:t>
      </w:r>
      <w:r w:rsidRPr="0096639F">
        <w:t xml:space="preserve">aise awareness </w:t>
      </w:r>
      <w:r w:rsidR="00410C87" w:rsidRPr="0096639F">
        <w:t xml:space="preserve">of </w:t>
      </w:r>
      <w:r w:rsidRPr="0096639F">
        <w:t xml:space="preserve">and provide support </w:t>
      </w:r>
      <w:r w:rsidR="007D0BD4" w:rsidRPr="0096639F">
        <w:t>concerning major</w:t>
      </w:r>
      <w:r w:rsidRPr="0096639F">
        <w:t xml:space="preserve"> challenges in the field of environment, climate change and emergency telecommunications; establish regulatory frameworks and take necessary measures to cope with the challenges in this field.</w:t>
      </w:r>
    </w:p>
    <w:p w:rsidR="002947E5" w:rsidRPr="0096639F" w:rsidRDefault="002947E5" w:rsidP="002F3488">
      <w:pPr>
        <w:pStyle w:val="Headingb"/>
        <w:rPr>
          <w:lang w:val="en-GB" w:eastAsia="zh-CN"/>
        </w:rPr>
      </w:pPr>
      <w:r w:rsidRPr="0096639F">
        <w:rPr>
          <w:lang w:val="en-GB" w:eastAsia="zh-CN"/>
        </w:rPr>
        <w:t>Expected results</w:t>
      </w:r>
    </w:p>
    <w:p w:rsidR="002F3488" w:rsidRPr="0096639F" w:rsidRDefault="00EF780D" w:rsidP="002F3488">
      <w:pPr>
        <w:rPr>
          <w:lang w:eastAsia="zh-CN"/>
        </w:rPr>
      </w:pPr>
      <w:r w:rsidRPr="0096639F">
        <w:rPr>
          <w:lang w:eastAsia="zh-CN"/>
        </w:rPr>
        <w:t>Assisting countries to</w:t>
      </w:r>
      <w:r w:rsidR="002F3488" w:rsidRPr="0096639F">
        <w:rPr>
          <w:lang w:eastAsia="zh-CN"/>
        </w:rPr>
        <w:t>:</w:t>
      </w:r>
    </w:p>
    <w:p w:rsidR="002947E5" w:rsidRPr="0096639F" w:rsidRDefault="002F3488" w:rsidP="007D0BD4">
      <w:pPr>
        <w:pStyle w:val="enumlev1"/>
        <w:rPr>
          <w:lang w:eastAsia="zh-CN"/>
        </w:rPr>
      </w:pPr>
      <w:r w:rsidRPr="0096639F">
        <w:rPr>
          <w:lang w:eastAsia="zh-CN"/>
        </w:rPr>
        <w:t>1)</w:t>
      </w:r>
      <w:r w:rsidR="002947E5" w:rsidRPr="0096639F">
        <w:rPr>
          <w:lang w:eastAsia="zh-CN"/>
        </w:rPr>
        <w:tab/>
      </w:r>
      <w:r w:rsidR="007D0BD4" w:rsidRPr="0096639F">
        <w:rPr>
          <w:lang w:eastAsia="zh-CN"/>
        </w:rPr>
        <w:t>issue</w:t>
      </w:r>
      <w:r w:rsidR="003309DA" w:rsidRPr="0096639F">
        <w:rPr>
          <w:lang w:eastAsia="zh-CN"/>
        </w:rPr>
        <w:t xml:space="preserve"> policy guidelines, regulatory and technical frameworks and necessary measures </w:t>
      </w:r>
      <w:r w:rsidR="00410C87" w:rsidRPr="0096639F">
        <w:rPr>
          <w:lang w:eastAsia="zh-CN"/>
        </w:rPr>
        <w:t>and</w:t>
      </w:r>
      <w:r w:rsidR="003309DA" w:rsidRPr="0096639F">
        <w:rPr>
          <w:lang w:eastAsia="zh-CN"/>
        </w:rPr>
        <w:t xml:space="preserve"> provide information to meet their needs pertaining to this Initiative, specifically in the area of exposure to electromagnetic fields, emergency telecommunications and the management of electronic waste</w:t>
      </w:r>
      <w:r w:rsidR="002947E5" w:rsidRPr="0096639F">
        <w:rPr>
          <w:lang w:eastAsia="zh-CN"/>
        </w:rPr>
        <w:t>;</w:t>
      </w:r>
    </w:p>
    <w:p w:rsidR="002947E5" w:rsidRPr="0096639F" w:rsidRDefault="002947E5" w:rsidP="007D0BD4">
      <w:pPr>
        <w:pStyle w:val="enumlev1"/>
        <w:rPr>
          <w:lang w:eastAsia="zh-CN"/>
        </w:rPr>
      </w:pPr>
      <w:r w:rsidRPr="0096639F">
        <w:rPr>
          <w:lang w:eastAsia="zh-CN"/>
        </w:rPr>
        <w:t>2</w:t>
      </w:r>
      <w:r w:rsidR="002F3488" w:rsidRPr="0096639F">
        <w:rPr>
          <w:lang w:eastAsia="zh-CN"/>
        </w:rPr>
        <w:t>)</w:t>
      </w:r>
      <w:r w:rsidRPr="0096639F">
        <w:rPr>
          <w:lang w:eastAsia="zh-CN"/>
        </w:rPr>
        <w:tab/>
      </w:r>
      <w:r w:rsidR="003309DA" w:rsidRPr="0096639F">
        <w:rPr>
          <w:lang w:eastAsia="zh-CN"/>
        </w:rPr>
        <w:t xml:space="preserve">launch training programmes on emergency telecommunications and the adverse effects of exposure to electromagnetic fields and electronic waste, find appropriate solutions to </w:t>
      </w:r>
      <w:r w:rsidR="00410C87" w:rsidRPr="0096639F">
        <w:rPr>
          <w:lang w:eastAsia="zh-CN"/>
        </w:rPr>
        <w:t>deal</w:t>
      </w:r>
      <w:r w:rsidR="003309DA" w:rsidRPr="0096639F">
        <w:rPr>
          <w:lang w:eastAsia="zh-CN"/>
        </w:rPr>
        <w:t xml:space="preserve"> with these and </w:t>
      </w:r>
      <w:r w:rsidR="00CD77C7" w:rsidRPr="0096639F">
        <w:rPr>
          <w:lang w:eastAsia="zh-CN"/>
        </w:rPr>
        <w:t>formulate</w:t>
      </w:r>
      <w:r w:rsidR="003309DA" w:rsidRPr="0096639F">
        <w:rPr>
          <w:lang w:eastAsia="zh-CN"/>
        </w:rPr>
        <w:t xml:space="preserve"> a</w:t>
      </w:r>
      <w:r w:rsidR="00CD77C7" w:rsidRPr="0096639F">
        <w:rPr>
          <w:lang w:eastAsia="zh-CN"/>
        </w:rPr>
        <w:t xml:space="preserve"> </w:t>
      </w:r>
      <w:r w:rsidR="003309DA" w:rsidRPr="0096639F">
        <w:rPr>
          <w:lang w:eastAsia="zh-CN"/>
        </w:rPr>
        <w:t xml:space="preserve">model </w:t>
      </w:r>
      <w:r w:rsidR="00CD77C7" w:rsidRPr="0096639F">
        <w:rPr>
          <w:lang w:eastAsia="zh-CN"/>
        </w:rPr>
        <w:t xml:space="preserve">for </w:t>
      </w:r>
      <w:r w:rsidR="007D0BD4" w:rsidRPr="0096639F">
        <w:rPr>
          <w:lang w:eastAsia="zh-CN"/>
        </w:rPr>
        <w:t xml:space="preserve">making </w:t>
      </w:r>
      <w:r w:rsidR="00CD77C7" w:rsidRPr="0096639F">
        <w:rPr>
          <w:lang w:eastAsia="zh-CN"/>
        </w:rPr>
        <w:t>use of electronic waste</w:t>
      </w:r>
      <w:r w:rsidR="007D0BD4" w:rsidRPr="0096639F">
        <w:rPr>
          <w:lang w:eastAsia="zh-CN"/>
        </w:rPr>
        <w:t xml:space="preserve"> in a </w:t>
      </w:r>
      <w:r w:rsidR="0096639F" w:rsidRPr="0096639F">
        <w:rPr>
          <w:lang w:eastAsia="zh-CN"/>
        </w:rPr>
        <w:t>developmental</w:t>
      </w:r>
      <w:r w:rsidR="007D0BD4" w:rsidRPr="0096639F">
        <w:rPr>
          <w:lang w:eastAsia="zh-CN"/>
        </w:rPr>
        <w:t xml:space="preserve"> manner</w:t>
      </w:r>
      <w:r w:rsidRPr="0096639F">
        <w:rPr>
          <w:lang w:eastAsia="zh-CN"/>
        </w:rPr>
        <w:t>;</w:t>
      </w:r>
    </w:p>
    <w:p w:rsidR="002947E5" w:rsidRPr="0096639F" w:rsidRDefault="002947E5" w:rsidP="007D0BD4">
      <w:pPr>
        <w:pStyle w:val="enumlev1"/>
        <w:rPr>
          <w:lang w:eastAsia="zh-CN"/>
        </w:rPr>
      </w:pPr>
      <w:r w:rsidRPr="0096639F">
        <w:rPr>
          <w:lang w:eastAsia="zh-CN"/>
        </w:rPr>
        <w:t>3</w:t>
      </w:r>
      <w:r w:rsidR="002F3488" w:rsidRPr="0096639F">
        <w:rPr>
          <w:lang w:eastAsia="zh-CN"/>
        </w:rPr>
        <w:t>)</w:t>
      </w:r>
      <w:r w:rsidRPr="0096639F">
        <w:rPr>
          <w:lang w:eastAsia="zh-CN"/>
        </w:rPr>
        <w:tab/>
      </w:r>
      <w:r w:rsidR="00CD77C7" w:rsidRPr="0096639F">
        <w:rPr>
          <w:lang w:eastAsia="zh-CN"/>
        </w:rPr>
        <w:t xml:space="preserve">develop ICT applications on the basis of which </w:t>
      </w:r>
      <w:r w:rsidR="007D0BD4" w:rsidRPr="0096639F">
        <w:rPr>
          <w:lang w:eastAsia="zh-CN"/>
        </w:rPr>
        <w:t>awareness</w:t>
      </w:r>
      <w:r w:rsidR="00CD77C7" w:rsidRPr="0096639F">
        <w:rPr>
          <w:lang w:eastAsia="zh-CN"/>
        </w:rPr>
        <w:t xml:space="preserve"> campaigns and programmes can be launched </w:t>
      </w:r>
      <w:r w:rsidR="00410C87" w:rsidRPr="0096639F">
        <w:rPr>
          <w:lang w:eastAsia="zh-CN"/>
        </w:rPr>
        <w:t>concerning</w:t>
      </w:r>
      <w:r w:rsidR="00CD77C7" w:rsidRPr="0096639F">
        <w:rPr>
          <w:lang w:eastAsia="zh-CN"/>
        </w:rPr>
        <w:t xml:space="preserve"> the </w:t>
      </w:r>
      <w:r w:rsidR="007D0BD4" w:rsidRPr="0096639F">
        <w:rPr>
          <w:lang w:eastAsia="zh-CN"/>
        </w:rPr>
        <w:t>risks</w:t>
      </w:r>
      <w:r w:rsidR="00CD77C7" w:rsidRPr="0096639F">
        <w:rPr>
          <w:lang w:eastAsia="zh-CN"/>
        </w:rPr>
        <w:t xml:space="preserve"> of exposure to electromagnetic fields and the recycling and processing of electronic waste</w:t>
      </w:r>
      <w:r w:rsidR="002F3488" w:rsidRPr="0096639F">
        <w:rPr>
          <w:lang w:eastAsia="zh-CN"/>
        </w:rPr>
        <w:t>.</w:t>
      </w:r>
    </w:p>
    <w:p w:rsidR="002947E5" w:rsidRPr="0096639F" w:rsidRDefault="002947E5" w:rsidP="002F3488">
      <w:pPr>
        <w:pStyle w:val="Reasons"/>
      </w:pPr>
      <w:r w:rsidRPr="0096639F">
        <w:rPr>
          <w:b/>
        </w:rPr>
        <w:t>Reasons:</w:t>
      </w:r>
      <w:r w:rsidRPr="0096639F">
        <w:rPr>
          <w:rFonts w:cs="Calibri,Bold"/>
          <w:color w:val="4A442A"/>
          <w:lang w:eastAsia="zh-CN"/>
        </w:rPr>
        <w:tab/>
      </w:r>
      <w:r w:rsidRPr="0096639F">
        <w:rPr>
          <w:lang w:eastAsia="zh-CN"/>
        </w:rPr>
        <w:t>Development of guidelines and recommendations with regard to regional cloud computing</w:t>
      </w:r>
      <w:r w:rsidR="002F3488" w:rsidRPr="0096639F">
        <w:rPr>
          <w:lang w:eastAsia="zh-CN"/>
        </w:rPr>
        <w:t>,</w:t>
      </w:r>
      <w:r w:rsidRPr="0096639F">
        <w:rPr>
          <w:lang w:eastAsia="zh-CN"/>
        </w:rPr>
        <w:t xml:space="preserve"> taking into </w:t>
      </w:r>
      <w:r w:rsidR="00410C87" w:rsidRPr="0096639F">
        <w:rPr>
          <w:lang w:eastAsia="zh-CN"/>
        </w:rPr>
        <w:t>account</w:t>
      </w:r>
      <w:r w:rsidRPr="0096639F">
        <w:rPr>
          <w:lang w:eastAsia="zh-CN"/>
        </w:rPr>
        <w:t xml:space="preserve"> regulatory frameworks</w:t>
      </w:r>
      <w:r w:rsidRPr="0096639F">
        <w:rPr>
          <w:rFonts w:ascii="Calibri" w:hAnsi="Calibri"/>
          <w:sz w:val="22"/>
          <w:szCs w:val="22"/>
          <w:lang w:eastAsia="zh-CN"/>
        </w:rPr>
        <w:t>.</w:t>
      </w:r>
    </w:p>
    <w:p w:rsidR="00407CC7" w:rsidRPr="0096639F" w:rsidRDefault="00B91B80">
      <w:pPr>
        <w:pStyle w:val="Proposal"/>
      </w:pPr>
      <w:r w:rsidRPr="0096639F">
        <w:rPr>
          <w:b/>
        </w:rPr>
        <w:t>SUP</w:t>
      </w:r>
      <w:r w:rsidRPr="0096639F">
        <w:tab/>
        <w:t>ARB/21A33/3</w:t>
      </w:r>
    </w:p>
    <w:p w:rsidR="00B91B80" w:rsidRPr="0096639F" w:rsidRDefault="00B91B80" w:rsidP="00B91B80">
      <w:pPr>
        <w:pStyle w:val="Heading1"/>
      </w:pPr>
      <w:bookmarkStart w:id="11" w:name="_Toc393980042"/>
      <w:r w:rsidRPr="0096639F">
        <w:t>ARB2:</w:t>
      </w:r>
      <w:r w:rsidRPr="0096639F">
        <w:tab/>
        <w:t>Building confidence and security in the use of telecommunications/ICTs</w:t>
      </w:r>
      <w:bookmarkEnd w:id="11"/>
    </w:p>
    <w:p w:rsidR="002F3488" w:rsidRPr="0096639F" w:rsidRDefault="002F3488" w:rsidP="002F3488">
      <w:pPr>
        <w:pStyle w:val="Reasons"/>
        <w:rPr>
          <w:rFonts w:eastAsia="SimHei"/>
        </w:rPr>
      </w:pPr>
    </w:p>
    <w:p w:rsidR="00407CC7" w:rsidRPr="0096639F" w:rsidRDefault="00B91B80">
      <w:pPr>
        <w:pStyle w:val="Proposal"/>
      </w:pPr>
      <w:r w:rsidRPr="0096639F">
        <w:rPr>
          <w:b/>
        </w:rPr>
        <w:lastRenderedPageBreak/>
        <w:t>ADD</w:t>
      </w:r>
      <w:r w:rsidRPr="0096639F">
        <w:tab/>
        <w:t>ARB/21A33/4</w:t>
      </w:r>
    </w:p>
    <w:p w:rsidR="00407CC7" w:rsidRPr="0096639F" w:rsidRDefault="00B91B80" w:rsidP="002F3488">
      <w:pPr>
        <w:pStyle w:val="Heading1"/>
      </w:pPr>
      <w:r w:rsidRPr="0096639F">
        <w:t>ARB2</w:t>
      </w:r>
      <w:r w:rsidRPr="0096639F">
        <w:rPr>
          <w:rFonts w:ascii="Calibri"/>
        </w:rPr>
        <w:t>:</w:t>
      </w:r>
      <w:r w:rsidRPr="0096639F">
        <w:tab/>
      </w:r>
      <w:r w:rsidR="002947E5" w:rsidRPr="0096639F">
        <w:t xml:space="preserve">Confidence and </w:t>
      </w:r>
      <w:r w:rsidR="00410C87" w:rsidRPr="0096639F">
        <w:t>s</w:t>
      </w:r>
      <w:r w:rsidR="002947E5" w:rsidRPr="0096639F">
        <w:t>ecurity in the</w:t>
      </w:r>
      <w:r w:rsidR="00410C87" w:rsidRPr="0096639F">
        <w:t xml:space="preserve"> u</w:t>
      </w:r>
      <w:r w:rsidR="002947E5" w:rsidRPr="0096639F">
        <w:t xml:space="preserve">se of </w:t>
      </w:r>
      <w:r w:rsidR="007D0BD4" w:rsidRPr="0096639F">
        <w:t>telecommunications/</w:t>
      </w:r>
      <w:r w:rsidR="002947E5" w:rsidRPr="0096639F">
        <w:t>ICTs</w:t>
      </w:r>
    </w:p>
    <w:p w:rsidR="00407CC7" w:rsidRPr="0096639F" w:rsidRDefault="00DD54AE" w:rsidP="002F3488">
      <w:r w:rsidRPr="0096639F">
        <w:rPr>
          <w:b/>
          <w:bCs/>
        </w:rPr>
        <w:t xml:space="preserve">Objective: </w:t>
      </w:r>
      <w:r w:rsidR="00410C87" w:rsidRPr="0096639F">
        <w:t>To p</w:t>
      </w:r>
      <w:r w:rsidRPr="0096639F">
        <w:t>romote confidence and security in the use of ICTs, child online protection and combatting all forms of cyberthreat</w:t>
      </w:r>
      <w:r w:rsidR="00CD77C7" w:rsidRPr="0096639F">
        <w:t>,</w:t>
      </w:r>
      <w:r w:rsidRPr="0096639F">
        <w:t xml:space="preserve"> including the misuse of information and communication technologies.</w:t>
      </w:r>
    </w:p>
    <w:p w:rsidR="00CD77C7" w:rsidRPr="0096639F" w:rsidRDefault="00CD77C7" w:rsidP="002F3488">
      <w:pPr>
        <w:pStyle w:val="Headingb"/>
        <w:keepNext/>
        <w:keepLines/>
        <w:rPr>
          <w:lang w:val="en-GB" w:eastAsia="zh-CN"/>
        </w:rPr>
      </w:pPr>
      <w:r w:rsidRPr="0096639F">
        <w:rPr>
          <w:lang w:val="en-GB" w:eastAsia="zh-CN"/>
        </w:rPr>
        <w:t>Expected results</w:t>
      </w:r>
    </w:p>
    <w:p w:rsidR="00CD77C7" w:rsidRPr="0096639F" w:rsidRDefault="00CD77C7" w:rsidP="002F3488">
      <w:pPr>
        <w:rPr>
          <w:lang w:eastAsia="zh-CN"/>
        </w:rPr>
      </w:pPr>
      <w:r w:rsidRPr="0096639F">
        <w:rPr>
          <w:lang w:eastAsia="zh-CN"/>
        </w:rPr>
        <w:t>Assisting countries to</w:t>
      </w:r>
      <w:r w:rsidR="002F3488" w:rsidRPr="0096639F">
        <w:rPr>
          <w:lang w:eastAsia="zh-CN"/>
        </w:rPr>
        <w:t>:</w:t>
      </w:r>
      <w:r w:rsidRPr="0096639F">
        <w:rPr>
          <w:lang w:eastAsia="zh-CN"/>
        </w:rPr>
        <w:t xml:space="preserve"> </w:t>
      </w:r>
    </w:p>
    <w:p w:rsidR="00DD54AE" w:rsidRPr="0096639F" w:rsidRDefault="00DD54AE" w:rsidP="007D0BD4">
      <w:pPr>
        <w:pStyle w:val="enumlev1"/>
        <w:rPr>
          <w:rFonts w:ascii="Calibri" w:hAnsi="Calibri"/>
        </w:rPr>
      </w:pPr>
      <w:r w:rsidRPr="0096639F">
        <w:rPr>
          <w:rFonts w:ascii="Calibri" w:hAnsi="Calibri"/>
        </w:rPr>
        <w:t>1</w:t>
      </w:r>
      <w:r w:rsidR="002F3488" w:rsidRPr="0096639F">
        <w:rPr>
          <w:rFonts w:ascii="Calibri" w:hAnsi="Calibri"/>
        </w:rPr>
        <w:t>)</w:t>
      </w:r>
      <w:r w:rsidRPr="0096639F">
        <w:rPr>
          <w:rFonts w:ascii="Calibri" w:hAnsi="Calibri"/>
        </w:rPr>
        <w:tab/>
      </w:r>
      <w:r w:rsidR="007D0BD4" w:rsidRPr="0096639F">
        <w:rPr>
          <w:lang w:eastAsia="zh-CN"/>
        </w:rPr>
        <w:t>issue</w:t>
      </w:r>
      <w:r w:rsidR="007566E5" w:rsidRPr="0096639F">
        <w:rPr>
          <w:lang w:eastAsia="zh-CN"/>
        </w:rPr>
        <w:t xml:space="preserve"> policy guidelines, regulatory and technical frameworks and necessary measures and to provide information to meet their needs pertaining to this Initiative, specifically in the area of </w:t>
      </w:r>
      <w:r w:rsidR="00210C50" w:rsidRPr="0096639F">
        <w:rPr>
          <w:rFonts w:ascii="Calibri" w:hAnsi="Calibri"/>
        </w:rPr>
        <w:t>child online protection and combatting all forms of cyberthreat</w:t>
      </w:r>
      <w:r w:rsidRPr="0096639F">
        <w:rPr>
          <w:rFonts w:ascii="Calibri" w:hAnsi="Calibri"/>
        </w:rPr>
        <w:t>;</w:t>
      </w:r>
    </w:p>
    <w:p w:rsidR="00DD54AE" w:rsidRPr="0096639F" w:rsidRDefault="00DD54AE" w:rsidP="007D0BD4">
      <w:pPr>
        <w:pStyle w:val="enumlev1"/>
        <w:rPr>
          <w:rFonts w:ascii="Calibri" w:hAnsi="Calibri"/>
        </w:rPr>
      </w:pPr>
      <w:r w:rsidRPr="0096639F">
        <w:rPr>
          <w:rFonts w:ascii="Calibri" w:hAnsi="Calibri"/>
        </w:rPr>
        <w:t>2</w:t>
      </w:r>
      <w:r w:rsidR="002F3488" w:rsidRPr="0096639F">
        <w:rPr>
          <w:rFonts w:ascii="Calibri" w:hAnsi="Calibri"/>
        </w:rPr>
        <w:t>)</w:t>
      </w:r>
      <w:r w:rsidRPr="0096639F">
        <w:rPr>
          <w:rFonts w:ascii="Calibri" w:hAnsi="Calibri"/>
        </w:rPr>
        <w:tab/>
      </w:r>
      <w:r w:rsidR="00210C50" w:rsidRPr="0096639F">
        <w:rPr>
          <w:rFonts w:ascii="Calibri" w:hAnsi="Calibri"/>
        </w:rPr>
        <w:t xml:space="preserve">continue to sharpen awareness of the strategies to be followed </w:t>
      </w:r>
      <w:r w:rsidR="00873457" w:rsidRPr="0096639F">
        <w:rPr>
          <w:rFonts w:ascii="Calibri" w:hAnsi="Calibri"/>
        </w:rPr>
        <w:t>with regard to</w:t>
      </w:r>
      <w:r w:rsidR="00210C50" w:rsidRPr="0096639F">
        <w:rPr>
          <w:rFonts w:ascii="Calibri" w:hAnsi="Calibri"/>
        </w:rPr>
        <w:t xml:space="preserve"> the technical teaching and research materials which Arab university students are </w:t>
      </w:r>
      <w:r w:rsidR="007D0BD4" w:rsidRPr="0096639F">
        <w:rPr>
          <w:rFonts w:ascii="Calibri" w:hAnsi="Calibri"/>
        </w:rPr>
        <w:t xml:space="preserve">to be </w:t>
      </w:r>
      <w:r w:rsidR="00210C50" w:rsidRPr="0096639F">
        <w:rPr>
          <w:rFonts w:ascii="Calibri" w:hAnsi="Calibri"/>
        </w:rPr>
        <w:t>provided and taught to build confidence and security in the use of ICTs</w:t>
      </w:r>
      <w:r w:rsidRPr="0096639F">
        <w:rPr>
          <w:rFonts w:ascii="Calibri" w:hAnsi="Calibri"/>
        </w:rPr>
        <w:t>;</w:t>
      </w:r>
    </w:p>
    <w:p w:rsidR="00DD54AE" w:rsidRPr="0096639F" w:rsidRDefault="00DD54AE" w:rsidP="007D0BD4">
      <w:pPr>
        <w:pStyle w:val="enumlev1"/>
        <w:rPr>
          <w:rFonts w:ascii="Calibri" w:hAnsi="Calibri"/>
        </w:rPr>
      </w:pPr>
      <w:r w:rsidRPr="0096639F">
        <w:rPr>
          <w:rFonts w:ascii="Calibri" w:hAnsi="Calibri"/>
        </w:rPr>
        <w:t>3</w:t>
      </w:r>
      <w:r w:rsidR="002F3488" w:rsidRPr="0096639F">
        <w:rPr>
          <w:rFonts w:ascii="Calibri" w:hAnsi="Calibri"/>
        </w:rPr>
        <w:t>)</w:t>
      </w:r>
      <w:r w:rsidRPr="0096639F">
        <w:rPr>
          <w:rFonts w:ascii="Calibri" w:hAnsi="Calibri"/>
        </w:rPr>
        <w:tab/>
      </w:r>
      <w:r w:rsidR="00873457" w:rsidRPr="0096639F">
        <w:rPr>
          <w:rFonts w:ascii="Calibri" w:hAnsi="Calibri"/>
        </w:rPr>
        <w:t xml:space="preserve">protect Arab children and young people from offensive and harmful content on the Internet, particularly by helping to enact laws, legislation and strategies in this area and raising the awareness of children and young people of the </w:t>
      </w:r>
      <w:r w:rsidR="007D0BD4" w:rsidRPr="0096639F">
        <w:rPr>
          <w:rFonts w:ascii="Calibri" w:hAnsi="Calibri"/>
        </w:rPr>
        <w:t>risks</w:t>
      </w:r>
      <w:r w:rsidR="00873457" w:rsidRPr="0096639F">
        <w:rPr>
          <w:rFonts w:ascii="Calibri" w:hAnsi="Calibri"/>
        </w:rPr>
        <w:t xml:space="preserve"> by launching </w:t>
      </w:r>
      <w:r w:rsidR="007D0BD4" w:rsidRPr="0096639F">
        <w:rPr>
          <w:rFonts w:ascii="Calibri" w:hAnsi="Calibri"/>
        </w:rPr>
        <w:t xml:space="preserve">awareness </w:t>
      </w:r>
      <w:r w:rsidR="00873457" w:rsidRPr="0096639F">
        <w:rPr>
          <w:rFonts w:ascii="Calibri" w:hAnsi="Calibri"/>
        </w:rPr>
        <w:t xml:space="preserve">campaigns, workshops and training programmes and </w:t>
      </w:r>
      <w:r w:rsidR="007D0BD4" w:rsidRPr="0096639F">
        <w:rPr>
          <w:rFonts w:ascii="Calibri" w:hAnsi="Calibri"/>
        </w:rPr>
        <w:t>making use</w:t>
      </w:r>
      <w:r w:rsidR="00873457" w:rsidRPr="0096639F">
        <w:rPr>
          <w:rFonts w:ascii="Calibri" w:hAnsi="Calibri"/>
        </w:rPr>
        <w:t xml:space="preserve"> of the Arab Regional Cybersecurity Centre</w:t>
      </w:r>
      <w:r w:rsidRPr="0096639F">
        <w:rPr>
          <w:rFonts w:ascii="Calibri" w:hAnsi="Calibri"/>
        </w:rPr>
        <w:t>;</w:t>
      </w:r>
    </w:p>
    <w:p w:rsidR="00DD54AE" w:rsidRPr="0096639F" w:rsidRDefault="00DD54AE" w:rsidP="002F3488">
      <w:pPr>
        <w:pStyle w:val="enumlev1"/>
        <w:rPr>
          <w:rFonts w:ascii="Calibri" w:hAnsi="Calibri"/>
        </w:rPr>
      </w:pPr>
      <w:r w:rsidRPr="0096639F">
        <w:rPr>
          <w:rFonts w:ascii="Calibri" w:hAnsi="Calibri"/>
        </w:rPr>
        <w:t>4</w:t>
      </w:r>
      <w:r w:rsidR="002F3488" w:rsidRPr="0096639F">
        <w:rPr>
          <w:rFonts w:ascii="Calibri" w:hAnsi="Calibri"/>
        </w:rPr>
        <w:t>)</w:t>
      </w:r>
      <w:r w:rsidRPr="0096639F">
        <w:rPr>
          <w:rFonts w:ascii="Calibri" w:hAnsi="Calibri"/>
        </w:rPr>
        <w:tab/>
      </w:r>
      <w:r w:rsidR="00873457" w:rsidRPr="0096639F">
        <w:rPr>
          <w:rFonts w:ascii="Calibri" w:hAnsi="Calibri"/>
        </w:rPr>
        <w:t xml:space="preserve">develop ICT applications to help protect children online and </w:t>
      </w:r>
      <w:r w:rsidR="00E372A1" w:rsidRPr="0096639F">
        <w:rPr>
          <w:rFonts w:ascii="Calibri" w:hAnsi="Calibri"/>
        </w:rPr>
        <w:t>combat all forms of cyberthreat, in collaboration with relevant bodies</w:t>
      </w:r>
      <w:r w:rsidRPr="0096639F">
        <w:rPr>
          <w:rFonts w:ascii="Calibri" w:hAnsi="Calibri"/>
        </w:rPr>
        <w:t>;</w:t>
      </w:r>
    </w:p>
    <w:p w:rsidR="00DD54AE" w:rsidRPr="0096639F" w:rsidRDefault="00DD54AE" w:rsidP="007D0BD4">
      <w:pPr>
        <w:pStyle w:val="enumlev1"/>
        <w:rPr>
          <w:rFonts w:ascii="Calibri" w:hAnsi="Calibri"/>
        </w:rPr>
      </w:pPr>
      <w:r w:rsidRPr="0096639F">
        <w:rPr>
          <w:rFonts w:ascii="Calibri" w:hAnsi="Calibri"/>
        </w:rPr>
        <w:t>5</w:t>
      </w:r>
      <w:r w:rsidR="002F3488" w:rsidRPr="0096639F">
        <w:rPr>
          <w:rFonts w:ascii="Calibri" w:hAnsi="Calibri"/>
        </w:rPr>
        <w:t>)</w:t>
      </w:r>
      <w:r w:rsidRPr="0096639F">
        <w:rPr>
          <w:rFonts w:ascii="Calibri" w:hAnsi="Calibri"/>
        </w:rPr>
        <w:tab/>
      </w:r>
      <w:r w:rsidR="00E372A1" w:rsidRPr="0096639F">
        <w:rPr>
          <w:rFonts w:ascii="Calibri" w:hAnsi="Calibri"/>
        </w:rPr>
        <w:t>organize training courses and seminars on protecti</w:t>
      </w:r>
      <w:r w:rsidR="002F3488" w:rsidRPr="0096639F">
        <w:rPr>
          <w:rFonts w:ascii="Calibri" w:hAnsi="Calibri"/>
        </w:rPr>
        <w:t>ng critical telecommunications/</w:t>
      </w:r>
      <w:r w:rsidR="00E372A1" w:rsidRPr="0096639F">
        <w:rPr>
          <w:rFonts w:ascii="Calibri" w:hAnsi="Calibri"/>
        </w:rPr>
        <w:t>ICT infrastructure</w:t>
      </w:r>
      <w:r w:rsidRPr="0096639F">
        <w:rPr>
          <w:rFonts w:ascii="Calibri" w:hAnsi="Calibri"/>
        </w:rPr>
        <w:t>;</w:t>
      </w:r>
    </w:p>
    <w:p w:rsidR="00DD54AE" w:rsidRPr="0096639F" w:rsidRDefault="00DD54AE" w:rsidP="007D0BD4">
      <w:pPr>
        <w:pStyle w:val="enumlev1"/>
        <w:rPr>
          <w:rFonts w:ascii="Calibri" w:hAnsi="Calibri"/>
        </w:rPr>
      </w:pPr>
      <w:r w:rsidRPr="0096639F">
        <w:rPr>
          <w:rFonts w:ascii="Calibri" w:hAnsi="Calibri"/>
        </w:rPr>
        <w:t>6</w:t>
      </w:r>
      <w:r w:rsidR="002F3488" w:rsidRPr="0096639F">
        <w:rPr>
          <w:rFonts w:ascii="Calibri" w:hAnsi="Calibri"/>
        </w:rPr>
        <w:t>)</w:t>
      </w:r>
      <w:r w:rsidRPr="0096639F">
        <w:rPr>
          <w:rFonts w:ascii="Calibri" w:hAnsi="Calibri"/>
        </w:rPr>
        <w:tab/>
      </w:r>
      <w:r w:rsidR="0073450B" w:rsidRPr="0096639F">
        <w:rPr>
          <w:rFonts w:ascii="Calibri" w:hAnsi="Calibri"/>
        </w:rPr>
        <w:t xml:space="preserve">prepare training programmes and </w:t>
      </w:r>
      <w:r w:rsidR="007D0BD4" w:rsidRPr="0096639F">
        <w:rPr>
          <w:rFonts w:ascii="Calibri" w:hAnsi="Calibri"/>
        </w:rPr>
        <w:t>provide</w:t>
      </w:r>
      <w:r w:rsidR="0073450B" w:rsidRPr="0096639F">
        <w:rPr>
          <w:rFonts w:ascii="Calibri" w:hAnsi="Calibri"/>
        </w:rPr>
        <w:t xml:space="preserve"> experts to </w:t>
      </w:r>
      <w:r w:rsidR="007D0BD4" w:rsidRPr="0096639F">
        <w:rPr>
          <w:rFonts w:ascii="Calibri" w:hAnsi="Calibri"/>
        </w:rPr>
        <w:t xml:space="preserve">specialized </w:t>
      </w:r>
      <w:r w:rsidR="0073450B" w:rsidRPr="0096639F">
        <w:rPr>
          <w:rFonts w:ascii="Calibri" w:hAnsi="Calibri"/>
        </w:rPr>
        <w:t>academic institutions to educate and instruct university students and academics in building confidence in the use of ICTs; exchange information in this regard</w:t>
      </w:r>
      <w:r w:rsidRPr="0096639F">
        <w:rPr>
          <w:rFonts w:ascii="Calibri" w:hAnsi="Calibri"/>
        </w:rPr>
        <w:t>;</w:t>
      </w:r>
    </w:p>
    <w:p w:rsidR="00DD54AE" w:rsidRPr="0096639F" w:rsidRDefault="00DD54AE" w:rsidP="007D0BD4">
      <w:pPr>
        <w:pStyle w:val="enumlev1"/>
        <w:rPr>
          <w:rFonts w:ascii="Calibri" w:hAnsi="Calibri" w:cs="Calibri"/>
          <w:szCs w:val="24"/>
          <w:lang w:eastAsia="zh-CN"/>
        </w:rPr>
      </w:pPr>
      <w:r w:rsidRPr="0096639F">
        <w:rPr>
          <w:rFonts w:ascii="Calibri" w:hAnsi="Calibri"/>
          <w:szCs w:val="24"/>
        </w:rPr>
        <w:t>7</w:t>
      </w:r>
      <w:r w:rsidR="002F3488" w:rsidRPr="0096639F">
        <w:rPr>
          <w:rFonts w:ascii="Calibri" w:hAnsi="Calibri"/>
          <w:szCs w:val="24"/>
        </w:rPr>
        <w:t>)</w:t>
      </w:r>
      <w:r w:rsidRPr="0096639F">
        <w:rPr>
          <w:rFonts w:ascii="Calibri" w:hAnsi="Calibri"/>
          <w:szCs w:val="24"/>
        </w:rPr>
        <w:tab/>
      </w:r>
      <w:r w:rsidR="002F3488" w:rsidRPr="0096639F">
        <w:rPr>
          <w:rFonts w:ascii="Calibri" w:hAnsi="Calibri" w:cs="Calibri"/>
          <w:szCs w:val="24"/>
          <w:lang w:eastAsia="zh-CN"/>
        </w:rPr>
        <w:t>e</w:t>
      </w:r>
      <w:r w:rsidRPr="0096639F">
        <w:rPr>
          <w:rFonts w:ascii="Calibri" w:hAnsi="Calibri" w:cs="Calibri"/>
          <w:szCs w:val="24"/>
          <w:lang w:eastAsia="zh-CN"/>
        </w:rPr>
        <w:t>stablis</w:t>
      </w:r>
      <w:r w:rsidR="00E372A1" w:rsidRPr="0096639F">
        <w:rPr>
          <w:rFonts w:ascii="Calibri" w:hAnsi="Calibri" w:cs="Calibri"/>
          <w:szCs w:val="24"/>
          <w:lang w:eastAsia="zh-CN"/>
        </w:rPr>
        <w:t xml:space="preserve">h </w:t>
      </w:r>
      <w:r w:rsidRPr="0096639F">
        <w:rPr>
          <w:rFonts w:ascii="Calibri" w:hAnsi="Calibri" w:cs="Calibri"/>
          <w:szCs w:val="24"/>
          <w:lang w:eastAsia="zh-CN"/>
        </w:rPr>
        <w:t xml:space="preserve">national computer incident response teams (CIRTs) in the Arab region </w:t>
      </w:r>
      <w:r w:rsidR="00E372A1" w:rsidRPr="0096639F">
        <w:rPr>
          <w:rFonts w:ascii="Calibri" w:hAnsi="Calibri" w:cs="Calibri"/>
          <w:szCs w:val="24"/>
          <w:lang w:eastAsia="zh-CN"/>
        </w:rPr>
        <w:t>with</w:t>
      </w:r>
      <w:r w:rsidRPr="0096639F">
        <w:rPr>
          <w:rFonts w:ascii="Calibri" w:hAnsi="Calibri" w:cs="Calibri"/>
          <w:szCs w:val="24"/>
          <w:lang w:eastAsia="zh-CN"/>
        </w:rPr>
        <w:t xml:space="preserve"> optim</w:t>
      </w:r>
      <w:r w:rsidR="00410C87" w:rsidRPr="0096639F">
        <w:rPr>
          <w:rFonts w:ascii="Calibri" w:hAnsi="Calibri" w:cs="Calibri"/>
          <w:szCs w:val="24"/>
          <w:lang w:eastAsia="zh-CN"/>
        </w:rPr>
        <w:t>um</w:t>
      </w:r>
      <w:r w:rsidRPr="0096639F">
        <w:rPr>
          <w:rFonts w:ascii="Calibri" w:hAnsi="Calibri" w:cs="Calibri"/>
          <w:szCs w:val="24"/>
          <w:lang w:eastAsia="zh-CN"/>
        </w:rPr>
        <w:t xml:space="preserve"> coordination among them and between them and CIRTs in the other regions.</w:t>
      </w:r>
    </w:p>
    <w:p w:rsidR="00B91B80" w:rsidRPr="0096639F" w:rsidRDefault="00B91B80" w:rsidP="00B91B80">
      <w:pPr>
        <w:pStyle w:val="Reasons"/>
      </w:pPr>
    </w:p>
    <w:p w:rsidR="00407CC7" w:rsidRPr="0096639F" w:rsidRDefault="00B91B80">
      <w:pPr>
        <w:pStyle w:val="Proposal"/>
      </w:pPr>
      <w:r w:rsidRPr="0096639F">
        <w:rPr>
          <w:b/>
        </w:rPr>
        <w:t>SUP</w:t>
      </w:r>
      <w:r w:rsidRPr="0096639F">
        <w:tab/>
        <w:t>ARB/21A33/5</w:t>
      </w:r>
    </w:p>
    <w:p w:rsidR="00B91B80" w:rsidRPr="0096639F" w:rsidRDefault="00B91B80" w:rsidP="003625BD">
      <w:pPr>
        <w:pStyle w:val="Heading1"/>
        <w:ind w:left="794" w:hanging="794"/>
      </w:pPr>
      <w:bookmarkStart w:id="12" w:name="_Toc393980043"/>
      <w:r w:rsidRPr="0096639F">
        <w:t>ARB3:</w:t>
      </w:r>
      <w:r w:rsidRPr="0096639F">
        <w:tab/>
        <w:t>Use of telecommunications/ICTs for smart and sustainable development and protection of the environment</w:t>
      </w:r>
      <w:bookmarkEnd w:id="12"/>
    </w:p>
    <w:p w:rsidR="00407CC7" w:rsidRPr="0096639F" w:rsidRDefault="00407CC7">
      <w:pPr>
        <w:pStyle w:val="Reasons"/>
      </w:pPr>
    </w:p>
    <w:p w:rsidR="00407CC7" w:rsidRPr="001B1DA2" w:rsidRDefault="00B91B80">
      <w:pPr>
        <w:pStyle w:val="Proposal"/>
        <w:rPr>
          <w:lang w:val="es-ES_tradnl"/>
        </w:rPr>
      </w:pPr>
      <w:r w:rsidRPr="001B1DA2">
        <w:rPr>
          <w:b/>
          <w:lang w:val="es-ES_tradnl"/>
        </w:rPr>
        <w:lastRenderedPageBreak/>
        <w:t>ADD</w:t>
      </w:r>
      <w:r w:rsidRPr="001B1DA2">
        <w:rPr>
          <w:lang w:val="es-ES_tradnl"/>
        </w:rPr>
        <w:tab/>
        <w:t>ARB/21A33/6</w:t>
      </w:r>
    </w:p>
    <w:p w:rsidR="00407CC7" w:rsidRPr="001B1DA2" w:rsidRDefault="00B91B80" w:rsidP="002F3488">
      <w:pPr>
        <w:pStyle w:val="Heading1"/>
        <w:rPr>
          <w:lang w:val="es-ES_tradnl"/>
        </w:rPr>
      </w:pPr>
      <w:r w:rsidRPr="001B1DA2">
        <w:rPr>
          <w:rFonts w:ascii="Calibri"/>
          <w:lang w:val="es-ES_tradnl"/>
        </w:rPr>
        <w:t>ARB3:</w:t>
      </w:r>
      <w:r w:rsidRPr="001B1DA2">
        <w:rPr>
          <w:lang w:val="es-ES_tradnl"/>
        </w:rPr>
        <w:tab/>
      </w:r>
      <w:r w:rsidR="00744A93" w:rsidRPr="001B1DA2">
        <w:rPr>
          <w:lang w:val="es-ES_tradnl"/>
        </w:rPr>
        <w:t xml:space="preserve">Digital </w:t>
      </w:r>
      <w:proofErr w:type="spellStart"/>
      <w:r w:rsidR="00410C87" w:rsidRPr="001B1DA2">
        <w:rPr>
          <w:lang w:val="es-ES_tradnl"/>
        </w:rPr>
        <w:t>financial</w:t>
      </w:r>
      <w:proofErr w:type="spellEnd"/>
      <w:r w:rsidR="00410C87" w:rsidRPr="001B1DA2">
        <w:rPr>
          <w:lang w:val="es-ES_tradnl"/>
        </w:rPr>
        <w:t xml:space="preserve"> </w:t>
      </w:r>
      <w:proofErr w:type="spellStart"/>
      <w:r w:rsidR="00410C87" w:rsidRPr="001B1DA2">
        <w:rPr>
          <w:lang w:val="es-ES_tradnl"/>
        </w:rPr>
        <w:t>inclusion</w:t>
      </w:r>
      <w:proofErr w:type="spellEnd"/>
    </w:p>
    <w:p w:rsidR="00744A93" w:rsidRPr="0096639F" w:rsidRDefault="00744A93" w:rsidP="002F3488">
      <w:r w:rsidRPr="0096639F">
        <w:rPr>
          <w:b/>
          <w:bCs/>
        </w:rPr>
        <w:t xml:space="preserve">Objective: </w:t>
      </w:r>
      <w:r w:rsidR="00410C87" w:rsidRPr="0096639F">
        <w:t>To s</w:t>
      </w:r>
      <w:r w:rsidRPr="0096639F">
        <w:t>upport and enable access to and use of digital financial services</w:t>
      </w:r>
      <w:r w:rsidR="005438B2" w:rsidRPr="0096639F">
        <w:t>,</w:t>
      </w:r>
      <w:r w:rsidRPr="0096639F">
        <w:t xml:space="preserve"> using telecommunications and information technology</w:t>
      </w:r>
      <w:r w:rsidR="005438B2" w:rsidRPr="0096639F">
        <w:t>,</w:t>
      </w:r>
      <w:r w:rsidRPr="0096639F">
        <w:t xml:space="preserve"> and achieving high levels of digital financial inclusion.</w:t>
      </w:r>
    </w:p>
    <w:p w:rsidR="00744A93" w:rsidRPr="0096639F" w:rsidRDefault="00951D74" w:rsidP="002F3488">
      <w:pPr>
        <w:pStyle w:val="Headingb"/>
        <w:rPr>
          <w:lang w:val="en-GB"/>
        </w:rPr>
      </w:pPr>
      <w:r w:rsidRPr="0096639F">
        <w:rPr>
          <w:lang w:val="en-GB"/>
        </w:rPr>
        <w:t>Expected results</w:t>
      </w:r>
    </w:p>
    <w:p w:rsidR="00744A93" w:rsidRPr="0096639F" w:rsidRDefault="00951D74" w:rsidP="002F3488">
      <w:r w:rsidRPr="0096639F">
        <w:t>Assisting countries to</w:t>
      </w:r>
      <w:r w:rsidR="002F3488" w:rsidRPr="0096639F">
        <w:t>:</w:t>
      </w:r>
    </w:p>
    <w:p w:rsidR="00744A93" w:rsidRPr="0096639F" w:rsidRDefault="00744A93" w:rsidP="007D0BD4">
      <w:pPr>
        <w:pStyle w:val="enumlev1"/>
      </w:pPr>
      <w:r w:rsidRPr="0096639F">
        <w:t>1</w:t>
      </w:r>
      <w:r w:rsidR="002F3488" w:rsidRPr="0096639F">
        <w:t>)</w:t>
      </w:r>
      <w:r w:rsidRPr="0096639F">
        <w:tab/>
      </w:r>
      <w:r w:rsidR="00C1781E" w:rsidRPr="0096639F">
        <w:t xml:space="preserve">prepare studies to evaluate the digital financial </w:t>
      </w:r>
      <w:r w:rsidR="002F3488" w:rsidRPr="0096639F">
        <w:t>inclusion</w:t>
      </w:r>
      <w:r w:rsidR="00C1781E" w:rsidRPr="0096639F">
        <w:t xml:space="preserve"> situation and determine needs at national and regional levels and </w:t>
      </w:r>
      <w:r w:rsidR="005438B2" w:rsidRPr="0096639F">
        <w:t xml:space="preserve">to </w:t>
      </w:r>
      <w:r w:rsidR="00C1781E" w:rsidRPr="0096639F">
        <w:t>benefit from international experience and best practice</w:t>
      </w:r>
      <w:r w:rsidR="007D0BD4" w:rsidRPr="0096639F">
        <w:t>s</w:t>
      </w:r>
      <w:r w:rsidR="00C1781E" w:rsidRPr="0096639F">
        <w:t xml:space="preserve">, </w:t>
      </w:r>
      <w:r w:rsidR="005438B2" w:rsidRPr="0096639F">
        <w:t>while</w:t>
      </w:r>
      <w:r w:rsidR="00C1781E" w:rsidRPr="0096639F">
        <w:t xml:space="preserve"> </w:t>
      </w:r>
      <w:r w:rsidR="005438B2" w:rsidRPr="0096639F">
        <w:t>clarifying</w:t>
      </w:r>
      <w:r w:rsidR="00C1781E" w:rsidRPr="0096639F">
        <w:t xml:space="preserve"> the link between financial inclusion, financial </w:t>
      </w:r>
      <w:r w:rsidR="007D0BD4" w:rsidRPr="0096639F">
        <w:t>stability</w:t>
      </w:r>
      <w:r w:rsidR="00C1781E" w:rsidRPr="0096639F">
        <w:t>, financial integration and consumer protection</w:t>
      </w:r>
      <w:r w:rsidRPr="0096639F">
        <w:t>;</w:t>
      </w:r>
    </w:p>
    <w:p w:rsidR="00744A93" w:rsidRPr="0096639F" w:rsidRDefault="00744A93" w:rsidP="007D0BD4">
      <w:pPr>
        <w:pStyle w:val="enumlev1"/>
      </w:pPr>
      <w:r w:rsidRPr="0096639F">
        <w:t>2</w:t>
      </w:r>
      <w:r w:rsidR="002F3488" w:rsidRPr="0096639F">
        <w:t>)</w:t>
      </w:r>
      <w:r w:rsidRPr="0096639F">
        <w:tab/>
      </w:r>
      <w:r w:rsidR="00C1781E" w:rsidRPr="0096639F">
        <w:t xml:space="preserve">raise awareness of the </w:t>
      </w:r>
      <w:r w:rsidR="007D0BD4" w:rsidRPr="0096639F">
        <w:t>concept</w:t>
      </w:r>
      <w:r w:rsidR="00C1781E" w:rsidRPr="0096639F">
        <w:t>, practice and benefits of digital financial inclusion</w:t>
      </w:r>
      <w:r w:rsidR="007D0BD4" w:rsidRPr="0096639F">
        <w:t xml:space="preserve">, in addition to </w:t>
      </w:r>
      <w:r w:rsidR="0096639F" w:rsidRPr="0096639F">
        <w:t>presenting</w:t>
      </w:r>
      <w:r w:rsidR="007D0BD4" w:rsidRPr="0096639F">
        <w:t xml:space="preserve"> the dimensions of digital financial services</w:t>
      </w:r>
      <w:r w:rsidR="00C1781E" w:rsidRPr="0096639F">
        <w:t xml:space="preserve"> in terms of ensuring and facilitating access to</w:t>
      </w:r>
      <w:r w:rsidR="007D0BD4" w:rsidRPr="0096639F">
        <w:t xml:space="preserve"> all</w:t>
      </w:r>
      <w:r w:rsidR="00C1781E" w:rsidRPr="0096639F">
        <w:t xml:space="preserve"> financial services, </w:t>
      </w:r>
      <w:r w:rsidR="007D0BD4" w:rsidRPr="0096639F">
        <w:t>and how to use them</w:t>
      </w:r>
      <w:r w:rsidR="00C1781E" w:rsidRPr="0096639F">
        <w:t xml:space="preserve">, </w:t>
      </w:r>
      <w:r w:rsidR="007D0BD4" w:rsidRPr="0096639F">
        <w:t xml:space="preserve">as well as the </w:t>
      </w:r>
      <w:r w:rsidR="00C1781E" w:rsidRPr="0096639F">
        <w:t xml:space="preserve">quality of services, confidence, security and </w:t>
      </w:r>
      <w:r w:rsidR="002F3488" w:rsidRPr="0096639F">
        <w:t>reliability</w:t>
      </w:r>
      <w:r w:rsidRPr="0096639F">
        <w:t>;</w:t>
      </w:r>
    </w:p>
    <w:p w:rsidR="00744A93" w:rsidRPr="0096639F" w:rsidRDefault="00744A93" w:rsidP="002F3488">
      <w:pPr>
        <w:pStyle w:val="enumlev1"/>
      </w:pPr>
      <w:r w:rsidRPr="0096639F">
        <w:t>3</w:t>
      </w:r>
      <w:r w:rsidR="002F3488" w:rsidRPr="0096639F">
        <w:t>)</w:t>
      </w:r>
      <w:r w:rsidRPr="0096639F">
        <w:tab/>
      </w:r>
      <w:r w:rsidR="00C1781E" w:rsidRPr="0096639F">
        <w:t xml:space="preserve">provide </w:t>
      </w:r>
      <w:r w:rsidR="00803017" w:rsidRPr="0096639F">
        <w:t xml:space="preserve">advisory and technical support and the necessary training programmes to foster coordination between ICT </w:t>
      </w:r>
      <w:r w:rsidR="00AB4A82" w:rsidRPr="0096639F">
        <w:t>service regulators and providers, on the one hand and financial service regulators and providers, on the other hand to achieve integration and convergence between the two sectors</w:t>
      </w:r>
      <w:r w:rsidRPr="0096639F">
        <w:t>;</w:t>
      </w:r>
    </w:p>
    <w:p w:rsidR="00744A93" w:rsidRPr="0096639F" w:rsidRDefault="00744A93" w:rsidP="007D0BD4">
      <w:pPr>
        <w:pStyle w:val="enumlev1"/>
      </w:pPr>
      <w:r w:rsidRPr="0096639F">
        <w:t>4</w:t>
      </w:r>
      <w:r w:rsidR="002F3488" w:rsidRPr="0096639F">
        <w:t>)</w:t>
      </w:r>
      <w:r w:rsidRPr="0096639F">
        <w:tab/>
      </w:r>
      <w:r w:rsidR="005F5F89" w:rsidRPr="0096639F">
        <w:t xml:space="preserve">develop </w:t>
      </w:r>
      <w:r w:rsidR="007D0BD4" w:rsidRPr="0096639F">
        <w:t>guiding</w:t>
      </w:r>
      <w:r w:rsidR="005F5F89" w:rsidRPr="0096639F">
        <w:t xml:space="preserve"> regulatory and legal frameworks to </w:t>
      </w:r>
      <w:r w:rsidR="007D0BD4" w:rsidRPr="0096639F">
        <w:t xml:space="preserve">stimulate and </w:t>
      </w:r>
      <w:r w:rsidR="005F5F89" w:rsidRPr="0096639F">
        <w:t>encourage the adoption of digital financial inclusion and establish public</w:t>
      </w:r>
      <w:r w:rsidR="002F3488" w:rsidRPr="0096639F">
        <w:t>/</w:t>
      </w:r>
      <w:r w:rsidR="005F5F89" w:rsidRPr="0096639F">
        <w:t>private sector partnerships to ensure</w:t>
      </w:r>
      <w:r w:rsidR="007D0BD4" w:rsidRPr="0096639F">
        <w:t xml:space="preserve"> the protection of</w:t>
      </w:r>
      <w:r w:rsidR="005F5F89" w:rsidRPr="0096639F">
        <w:t xml:space="preserve"> user</w:t>
      </w:r>
      <w:r w:rsidR="007D0BD4" w:rsidRPr="0096639F">
        <w:t xml:space="preserve"> privacy and</w:t>
      </w:r>
      <w:r w:rsidR="005F5F89" w:rsidRPr="0096639F">
        <w:t xml:space="preserve"> data </w:t>
      </w:r>
      <w:r w:rsidR="002F3488" w:rsidRPr="0096639F">
        <w:t>confidentiality and</w:t>
      </w:r>
      <w:r w:rsidR="005F5F89" w:rsidRPr="0096639F">
        <w:t xml:space="preserve"> promote confidence and security in digital financial services</w:t>
      </w:r>
      <w:r w:rsidRPr="0096639F">
        <w:t>;</w:t>
      </w:r>
    </w:p>
    <w:p w:rsidR="00744A93" w:rsidRPr="0096639F" w:rsidRDefault="00744A93" w:rsidP="007D0BD4">
      <w:pPr>
        <w:pStyle w:val="enumlev1"/>
      </w:pPr>
      <w:r w:rsidRPr="0096639F">
        <w:t>5</w:t>
      </w:r>
      <w:r w:rsidR="002F3488" w:rsidRPr="0096639F">
        <w:t>)</w:t>
      </w:r>
      <w:r w:rsidRPr="0096639F">
        <w:tab/>
      </w:r>
      <w:r w:rsidR="005F5F89" w:rsidRPr="0096639F">
        <w:t>attract financial and technical support from do</w:t>
      </w:r>
      <w:r w:rsidR="00DC1025" w:rsidRPr="0096639F">
        <w:t xml:space="preserve">nor and funding </w:t>
      </w:r>
      <w:r w:rsidR="007D0BD4" w:rsidRPr="0096639F">
        <w:t>entities</w:t>
      </w:r>
      <w:r w:rsidR="00DC1025" w:rsidRPr="0096639F">
        <w:t xml:space="preserve"> and regional and international stakeholders to help achieve the </w:t>
      </w:r>
      <w:r w:rsidR="007D0BD4" w:rsidRPr="0096639F">
        <w:t>objective</w:t>
      </w:r>
      <w:r w:rsidR="00DC1025" w:rsidRPr="0096639F">
        <w:t xml:space="preserve"> and results of this Initiative, at the request of those Arab States that </w:t>
      </w:r>
      <w:r w:rsidR="007D0BD4" w:rsidRPr="0096639F">
        <w:t xml:space="preserve">so </w:t>
      </w:r>
      <w:r w:rsidR="00DC1025" w:rsidRPr="0096639F">
        <w:t>wish</w:t>
      </w:r>
      <w:r w:rsidR="00B91B80" w:rsidRPr="0096639F">
        <w:t>.</w:t>
      </w:r>
    </w:p>
    <w:p w:rsidR="00407CC7" w:rsidRPr="0096639F" w:rsidRDefault="00407CC7">
      <w:pPr>
        <w:pStyle w:val="Reasons"/>
      </w:pPr>
    </w:p>
    <w:p w:rsidR="00407CC7" w:rsidRPr="0096639F" w:rsidRDefault="00B91B80">
      <w:pPr>
        <w:pStyle w:val="Proposal"/>
      </w:pPr>
      <w:r w:rsidRPr="0096639F">
        <w:rPr>
          <w:b/>
        </w:rPr>
        <w:t>SUP</w:t>
      </w:r>
      <w:r w:rsidRPr="0096639F">
        <w:tab/>
        <w:t>ARB/21A33/7</w:t>
      </w:r>
    </w:p>
    <w:p w:rsidR="00B91B80" w:rsidRPr="0096639F" w:rsidRDefault="00B91B80" w:rsidP="00B91B80">
      <w:pPr>
        <w:pStyle w:val="Heading1"/>
      </w:pPr>
      <w:bookmarkStart w:id="13" w:name="_Toc393980044"/>
      <w:r w:rsidRPr="0096639F">
        <w:t>ARB4: Smart learning</w:t>
      </w:r>
      <w:bookmarkEnd w:id="13"/>
    </w:p>
    <w:p w:rsidR="00407CC7" w:rsidRPr="0096639F" w:rsidRDefault="00407CC7">
      <w:pPr>
        <w:pStyle w:val="Reasons"/>
      </w:pPr>
    </w:p>
    <w:p w:rsidR="00407CC7" w:rsidRPr="0096639F" w:rsidRDefault="00B91B80">
      <w:pPr>
        <w:pStyle w:val="Proposal"/>
      </w:pPr>
      <w:r w:rsidRPr="0096639F">
        <w:rPr>
          <w:b/>
        </w:rPr>
        <w:t>ADD</w:t>
      </w:r>
      <w:r w:rsidRPr="0096639F">
        <w:tab/>
        <w:t>ARB/21A33/8</w:t>
      </w:r>
    </w:p>
    <w:p w:rsidR="00407CC7" w:rsidRPr="0096639F" w:rsidRDefault="00B91B80" w:rsidP="002F3488">
      <w:pPr>
        <w:pStyle w:val="Heading1"/>
      </w:pPr>
      <w:r w:rsidRPr="0096639F">
        <w:rPr>
          <w:rFonts w:ascii="Calibri"/>
        </w:rPr>
        <w:t>ARB4:</w:t>
      </w:r>
      <w:r w:rsidRPr="0096639F">
        <w:tab/>
      </w:r>
      <w:r w:rsidR="00744A93" w:rsidRPr="0096639F">
        <w:t xml:space="preserve">Internet of </w:t>
      </w:r>
      <w:r w:rsidR="001B1DA2" w:rsidRPr="0096639F">
        <w:t>Things</w:t>
      </w:r>
      <w:r w:rsidR="005438B2" w:rsidRPr="0096639F">
        <w:t>, smart cities and big data</w:t>
      </w:r>
    </w:p>
    <w:p w:rsidR="00744A93" w:rsidRPr="0096639F" w:rsidRDefault="00744A93" w:rsidP="002F3488">
      <w:r w:rsidRPr="0096639F">
        <w:rPr>
          <w:b/>
          <w:bCs/>
        </w:rPr>
        <w:t xml:space="preserve">Objective: </w:t>
      </w:r>
      <w:r w:rsidR="005438B2" w:rsidRPr="0096639F">
        <w:t>To r</w:t>
      </w:r>
      <w:r w:rsidRPr="0096639F">
        <w:t xml:space="preserve">aise </w:t>
      </w:r>
      <w:r w:rsidR="007D0BD4" w:rsidRPr="0096639F">
        <w:t xml:space="preserve">and spread </w:t>
      </w:r>
      <w:r w:rsidRPr="0096639F">
        <w:t xml:space="preserve">awareness </w:t>
      </w:r>
      <w:r w:rsidR="005438B2" w:rsidRPr="0096639F">
        <w:t>of</w:t>
      </w:r>
      <w:r w:rsidRPr="0096639F">
        <w:t xml:space="preserve"> the importance of future challenges in the era of Internet of </w:t>
      </w:r>
      <w:r w:rsidR="001B1DA2" w:rsidRPr="0096639F">
        <w:t xml:space="preserve">Things </w:t>
      </w:r>
      <w:r w:rsidRPr="0096639F">
        <w:t>and big data and how to address such challenges; establish regulatory frameworks</w:t>
      </w:r>
      <w:r w:rsidR="005438B2" w:rsidRPr="0096639F">
        <w:t xml:space="preserve">, </w:t>
      </w:r>
      <w:r w:rsidRPr="0096639F">
        <w:t xml:space="preserve">take </w:t>
      </w:r>
      <w:r w:rsidRPr="0096639F">
        <w:lastRenderedPageBreak/>
        <w:t xml:space="preserve">measures </w:t>
      </w:r>
      <w:r w:rsidR="005438B2" w:rsidRPr="0096639F">
        <w:t>to</w:t>
      </w:r>
      <w:r w:rsidRPr="0096639F">
        <w:t xml:space="preserve"> help cope with the rapid change</w:t>
      </w:r>
      <w:r w:rsidR="007D0BD4" w:rsidRPr="0096639F">
        <w:t>s</w:t>
      </w:r>
      <w:r w:rsidRPr="0096639F">
        <w:t xml:space="preserve"> in the field of telecommunications and information technology and </w:t>
      </w:r>
      <w:r w:rsidR="005438B2" w:rsidRPr="0096639F">
        <w:t>work to ensure</w:t>
      </w:r>
      <w:r w:rsidRPr="0096639F">
        <w:t xml:space="preserve"> the transition to smart cities and communities.</w:t>
      </w:r>
    </w:p>
    <w:p w:rsidR="00DC1025" w:rsidRPr="0096639F" w:rsidRDefault="00DC1025" w:rsidP="002F3488">
      <w:pPr>
        <w:pStyle w:val="Headingb"/>
        <w:rPr>
          <w:lang w:val="en-GB"/>
        </w:rPr>
      </w:pPr>
      <w:r w:rsidRPr="0096639F">
        <w:rPr>
          <w:lang w:val="en-GB"/>
        </w:rPr>
        <w:t>Expected results</w:t>
      </w:r>
    </w:p>
    <w:p w:rsidR="00744A93" w:rsidRPr="0096639F" w:rsidRDefault="00DC1025" w:rsidP="002F3488">
      <w:r w:rsidRPr="0096639F">
        <w:t>Assisting countries to</w:t>
      </w:r>
      <w:r w:rsidR="002F3488" w:rsidRPr="0096639F">
        <w:t>:</w:t>
      </w:r>
    </w:p>
    <w:p w:rsidR="00744A93" w:rsidRPr="0096639F" w:rsidRDefault="00744A93" w:rsidP="007D0BD4">
      <w:pPr>
        <w:pStyle w:val="enumlev1"/>
      </w:pPr>
      <w:r w:rsidRPr="0096639F">
        <w:t>1</w:t>
      </w:r>
      <w:r w:rsidR="002F3488" w:rsidRPr="0096639F">
        <w:t>)</w:t>
      </w:r>
      <w:r w:rsidRPr="0096639F">
        <w:tab/>
      </w:r>
      <w:r w:rsidR="00DC1025" w:rsidRPr="0096639F">
        <w:t>formulate strategic and operation</w:t>
      </w:r>
      <w:r w:rsidR="008B7D65" w:rsidRPr="0096639F">
        <w:t>al</w:t>
      </w:r>
      <w:r w:rsidR="00DC1025" w:rsidRPr="0096639F">
        <w:t xml:space="preserve"> plans and regulatory frameworks to </w:t>
      </w:r>
      <w:r w:rsidR="008B7D65" w:rsidRPr="0096639F">
        <w:t xml:space="preserve">cope with Internet of </w:t>
      </w:r>
      <w:r w:rsidR="001B1DA2" w:rsidRPr="0096639F">
        <w:t xml:space="preserve">Things </w:t>
      </w:r>
      <w:r w:rsidR="008B7D65" w:rsidRPr="0096639F">
        <w:t xml:space="preserve">and big data technology and formulate a road map for the Arab region </w:t>
      </w:r>
      <w:r w:rsidR="007D0BD4" w:rsidRPr="0096639F">
        <w:t>for</w:t>
      </w:r>
      <w:r w:rsidR="008B7D65" w:rsidRPr="0096639F">
        <w:t xml:space="preserve"> the transition to smart cities and communities by developing the telecommunications infrastructure to deliver the broadband services to support </w:t>
      </w:r>
      <w:r w:rsidR="003F534C" w:rsidRPr="0096639F">
        <w:t>their</w:t>
      </w:r>
      <w:r w:rsidR="007D0BD4" w:rsidRPr="0096639F">
        <w:t xml:space="preserve"> various </w:t>
      </w:r>
      <w:r w:rsidR="008B7D65" w:rsidRPr="0096639F">
        <w:t>application</w:t>
      </w:r>
      <w:r w:rsidR="007D0BD4" w:rsidRPr="0096639F">
        <w:t>s</w:t>
      </w:r>
      <w:r w:rsidR="008B7D65" w:rsidRPr="0096639F">
        <w:t xml:space="preserve"> and services</w:t>
      </w:r>
      <w:r w:rsidRPr="0096639F">
        <w:t>;</w:t>
      </w:r>
    </w:p>
    <w:p w:rsidR="00744A93" w:rsidRPr="0096639F" w:rsidRDefault="00744A93" w:rsidP="002F3488">
      <w:pPr>
        <w:pStyle w:val="enumlev1"/>
      </w:pPr>
      <w:r w:rsidRPr="0096639F">
        <w:t>2</w:t>
      </w:r>
      <w:r w:rsidR="002F3488" w:rsidRPr="0096639F">
        <w:t>)</w:t>
      </w:r>
      <w:r w:rsidRPr="0096639F">
        <w:tab/>
      </w:r>
      <w:r w:rsidR="008B7D65" w:rsidRPr="0096639F">
        <w:t xml:space="preserve">promote technical cooperation and </w:t>
      </w:r>
      <w:r w:rsidR="00717380" w:rsidRPr="0096639F">
        <w:t xml:space="preserve">the </w:t>
      </w:r>
      <w:r w:rsidR="008B7D65" w:rsidRPr="0096639F">
        <w:t xml:space="preserve">exchange of expertise between </w:t>
      </w:r>
      <w:r w:rsidR="00717380" w:rsidRPr="0096639F">
        <w:t xml:space="preserve">the Arab countries in the area of the Internet of </w:t>
      </w:r>
      <w:r w:rsidR="001B1DA2" w:rsidRPr="0096639F">
        <w:t>T</w:t>
      </w:r>
      <w:r w:rsidR="00717380" w:rsidRPr="0096639F">
        <w:t>hings, big data and smart cities and communities, study the impact thereof, whether positive or negative, and take advantage of global experience</w:t>
      </w:r>
      <w:r w:rsidRPr="0096639F">
        <w:t>;</w:t>
      </w:r>
    </w:p>
    <w:p w:rsidR="00744A93" w:rsidRPr="0096639F" w:rsidRDefault="00744A93" w:rsidP="007D0BD4">
      <w:pPr>
        <w:pStyle w:val="enumlev1"/>
      </w:pPr>
      <w:r w:rsidRPr="0096639F">
        <w:t>3</w:t>
      </w:r>
      <w:r w:rsidR="002F3488" w:rsidRPr="0096639F">
        <w:t>)</w:t>
      </w:r>
      <w:r w:rsidRPr="0096639F">
        <w:tab/>
      </w:r>
      <w:r w:rsidR="00717380" w:rsidRPr="0096639F">
        <w:t xml:space="preserve">organize a high-level forum on the Internet of things and big data to discuss the main challenges, such as security, </w:t>
      </w:r>
      <w:r w:rsidR="007D0BD4" w:rsidRPr="0096639F">
        <w:t>privacy</w:t>
      </w:r>
      <w:r w:rsidR="00717380" w:rsidRPr="0096639F">
        <w:t xml:space="preserve"> and system compatibility and the </w:t>
      </w:r>
      <w:r w:rsidR="008B24F9" w:rsidRPr="0096639F">
        <w:t xml:space="preserve">most prominent solutions, including digital object architecture; invite experts from industry to </w:t>
      </w:r>
      <w:r w:rsidR="007D0BD4" w:rsidRPr="0096639F">
        <w:t>address</w:t>
      </w:r>
      <w:r w:rsidR="008B24F9" w:rsidRPr="0096639F">
        <w:t xml:space="preserve"> the forum and hold </w:t>
      </w:r>
      <w:r w:rsidR="007D0BD4" w:rsidRPr="0096639F">
        <w:t xml:space="preserve">a </w:t>
      </w:r>
      <w:r w:rsidR="008B24F9" w:rsidRPr="0096639F">
        <w:t>side meeting on the fringe</w:t>
      </w:r>
      <w:r w:rsidR="00271600" w:rsidRPr="0096639F">
        <w:t>s</w:t>
      </w:r>
      <w:r w:rsidR="008B24F9" w:rsidRPr="0096639F">
        <w:t xml:space="preserve"> of the forum with</w:t>
      </w:r>
      <w:r w:rsidR="007D0BD4" w:rsidRPr="0096639F">
        <w:t xml:space="preserve"> industry and</w:t>
      </w:r>
      <w:r w:rsidR="008B24F9" w:rsidRPr="0096639F">
        <w:t xml:space="preserve"> the </w:t>
      </w:r>
      <w:r w:rsidR="001039D9" w:rsidRPr="0096639F">
        <w:t xml:space="preserve">private </w:t>
      </w:r>
      <w:r w:rsidR="008B24F9" w:rsidRPr="0096639F">
        <w:t>sector</w:t>
      </w:r>
      <w:r w:rsidRPr="0096639F">
        <w:t>;</w:t>
      </w:r>
    </w:p>
    <w:p w:rsidR="00744A93" w:rsidRPr="0096639F" w:rsidRDefault="00744A93" w:rsidP="007D0BD4">
      <w:pPr>
        <w:pStyle w:val="enumlev1"/>
      </w:pPr>
      <w:r w:rsidRPr="0096639F">
        <w:t>4</w:t>
      </w:r>
      <w:r w:rsidR="002F3488" w:rsidRPr="0096639F">
        <w:t>)</w:t>
      </w:r>
      <w:r w:rsidRPr="0096639F">
        <w:tab/>
      </w:r>
      <w:r w:rsidR="007D0BD4" w:rsidRPr="0096639F">
        <w:t>get</w:t>
      </w:r>
      <w:r w:rsidR="00271600" w:rsidRPr="0096639F">
        <w:t xml:space="preserve"> access to key studies, research and expertise on the Internet of </w:t>
      </w:r>
      <w:r w:rsidR="001B1DA2" w:rsidRPr="0096639F">
        <w:t xml:space="preserve">Things </w:t>
      </w:r>
      <w:r w:rsidR="00271600" w:rsidRPr="0096639F">
        <w:t xml:space="preserve">and smart cities, including the big data </w:t>
      </w:r>
      <w:r w:rsidR="007D0BD4" w:rsidRPr="0096639F">
        <w:t>for</w:t>
      </w:r>
      <w:r w:rsidR="00271600" w:rsidRPr="0096639F">
        <w:t xml:space="preserve"> Arab States</w:t>
      </w:r>
      <w:r w:rsidR="001039D9" w:rsidRPr="0096639F">
        <w:t>, on a page devoted to the Initiative on the website</w:t>
      </w:r>
      <w:r w:rsidR="00271600" w:rsidRPr="0096639F">
        <w:t xml:space="preserve"> </w:t>
      </w:r>
      <w:r w:rsidR="001039D9" w:rsidRPr="0096639F">
        <w:t xml:space="preserve">of the Arab Regional Office, and to help those Arab States </w:t>
      </w:r>
      <w:r w:rsidR="00741DA7" w:rsidRPr="0096639F">
        <w:t>that</w:t>
      </w:r>
      <w:r w:rsidR="001039D9" w:rsidRPr="0096639F">
        <w:t xml:space="preserve"> wish to obtain advice in this area</w:t>
      </w:r>
      <w:r w:rsidRPr="0096639F">
        <w:t>;</w:t>
      </w:r>
    </w:p>
    <w:p w:rsidR="00744A93" w:rsidRPr="0096639F" w:rsidRDefault="00744A93" w:rsidP="002F3488">
      <w:pPr>
        <w:pStyle w:val="enumlev1"/>
      </w:pPr>
      <w:r w:rsidRPr="0096639F">
        <w:t>5</w:t>
      </w:r>
      <w:r w:rsidR="002F3488" w:rsidRPr="0096639F">
        <w:t>)</w:t>
      </w:r>
      <w:r w:rsidRPr="0096639F">
        <w:tab/>
      </w:r>
      <w:r w:rsidR="001039D9" w:rsidRPr="0096639F">
        <w:t>build Arab cap</w:t>
      </w:r>
      <w:r w:rsidR="00A14B14" w:rsidRPr="0096639F">
        <w:t>acities in the uses of big data as a supplementary or alternative method and low-cost resource for measuring sustainable development goal indicators, while enhancing the capacities of stakeholders to implement and analyse big data</w:t>
      </w:r>
      <w:r w:rsidR="002F3488" w:rsidRPr="0096639F">
        <w:t xml:space="preserve"> </w:t>
      </w:r>
      <w:r w:rsidR="00A14B14" w:rsidRPr="0096639F">
        <w:t>to measure key development indicators</w:t>
      </w:r>
      <w:r w:rsidRPr="0096639F">
        <w:t>;</w:t>
      </w:r>
    </w:p>
    <w:p w:rsidR="00744A93" w:rsidRPr="0096639F" w:rsidRDefault="00744A93" w:rsidP="007D0BD4">
      <w:pPr>
        <w:pStyle w:val="enumlev1"/>
      </w:pPr>
      <w:r w:rsidRPr="0096639F">
        <w:t>6</w:t>
      </w:r>
      <w:r w:rsidR="002F3488" w:rsidRPr="0096639F">
        <w:t>)</w:t>
      </w:r>
      <w:r w:rsidRPr="0096639F">
        <w:tab/>
      </w:r>
      <w:r w:rsidR="00A14B14" w:rsidRPr="0096639F">
        <w:t>construct secure infrastructure</w:t>
      </w:r>
      <w:r w:rsidR="007D0BD4" w:rsidRPr="0096639F">
        <w:t>s</w:t>
      </w:r>
      <w:r w:rsidR="00A14B14" w:rsidRPr="0096639F">
        <w:t xml:space="preserve"> to store the enormous amounts of data needed to create a smart environment</w:t>
      </w:r>
      <w:r w:rsidRPr="0096639F">
        <w:t>;</w:t>
      </w:r>
    </w:p>
    <w:p w:rsidR="00744A93" w:rsidRPr="0096639F" w:rsidRDefault="00744A93" w:rsidP="007D0BD4">
      <w:pPr>
        <w:pStyle w:val="enumlev1"/>
      </w:pPr>
      <w:r w:rsidRPr="0096639F">
        <w:t>7</w:t>
      </w:r>
      <w:r w:rsidR="002F3488" w:rsidRPr="0096639F">
        <w:t>)</w:t>
      </w:r>
      <w:r w:rsidRPr="0096639F">
        <w:tab/>
      </w:r>
      <w:r w:rsidR="00A61644" w:rsidRPr="0096639F">
        <w:t>identify and make use</w:t>
      </w:r>
      <w:r w:rsidR="00A14B14" w:rsidRPr="0096639F">
        <w:t xml:space="preserve"> of existing centres of excellence and research </w:t>
      </w:r>
      <w:r w:rsidR="007D0BD4" w:rsidRPr="0096639F">
        <w:t xml:space="preserve">and study </w:t>
      </w:r>
      <w:r w:rsidR="00A14B14" w:rsidRPr="0096639F">
        <w:t>centres</w:t>
      </w:r>
      <w:r w:rsidR="00A61644" w:rsidRPr="0096639F">
        <w:t xml:space="preserve"> in the Arab States to provide experts and expertise in </w:t>
      </w:r>
      <w:r w:rsidR="007D0BD4" w:rsidRPr="0096639F">
        <w:t>the</w:t>
      </w:r>
      <w:r w:rsidR="00A61644" w:rsidRPr="0096639F">
        <w:t xml:space="preserve"> areas of the initiative; enter into cooperative partnerships and agreements to help raise the level of availability of broadband services in the Arab States; and use the Internet of </w:t>
      </w:r>
      <w:r w:rsidR="001B1DA2" w:rsidRPr="0096639F">
        <w:t xml:space="preserve">Things </w:t>
      </w:r>
      <w:r w:rsidR="00A61644" w:rsidRPr="0096639F">
        <w:t xml:space="preserve">and big data </w:t>
      </w:r>
      <w:r w:rsidR="007D0BD4" w:rsidRPr="0096639F">
        <w:t>for development,</w:t>
      </w:r>
      <w:r w:rsidR="00A61644" w:rsidRPr="0096639F">
        <w:t xml:space="preserve"> formulate smart city indicators and measure progress on a regular basis</w:t>
      </w:r>
      <w:r w:rsidRPr="0096639F">
        <w:t>.</w:t>
      </w:r>
    </w:p>
    <w:p w:rsidR="00407CC7" w:rsidRPr="0096639F" w:rsidRDefault="00407CC7">
      <w:pPr>
        <w:pStyle w:val="Reasons"/>
      </w:pPr>
    </w:p>
    <w:p w:rsidR="00407CC7" w:rsidRPr="0096639F" w:rsidRDefault="00B91B80">
      <w:pPr>
        <w:pStyle w:val="Proposal"/>
      </w:pPr>
      <w:r w:rsidRPr="0096639F">
        <w:rPr>
          <w:b/>
        </w:rPr>
        <w:t>SUP</w:t>
      </w:r>
      <w:r w:rsidRPr="0096639F">
        <w:tab/>
        <w:t>ARB/21A33/9</w:t>
      </w:r>
    </w:p>
    <w:p w:rsidR="00B91B80" w:rsidRPr="0096639F" w:rsidRDefault="00B91B80" w:rsidP="003625BD">
      <w:pPr>
        <w:pStyle w:val="Heading1"/>
        <w:ind w:left="794" w:hanging="794"/>
        <w:rPr>
          <w:rFonts w:eastAsia="SimHei"/>
          <w:lang w:eastAsia="zh-CN"/>
        </w:rPr>
      </w:pPr>
      <w:bookmarkStart w:id="14" w:name="_Toc393980045"/>
      <w:r w:rsidRPr="0096639F">
        <w:t>ARB5:</w:t>
      </w:r>
      <w:r w:rsidRPr="0096639F">
        <w:tab/>
        <w:t>Ensuring access to telecommunications/ICTs, in particular for persons with disabilities</w:t>
      </w:r>
      <w:bookmarkEnd w:id="14"/>
    </w:p>
    <w:p w:rsidR="00407CC7" w:rsidRPr="0096639F" w:rsidRDefault="00407CC7">
      <w:pPr>
        <w:pStyle w:val="Reasons"/>
      </w:pPr>
    </w:p>
    <w:p w:rsidR="00407CC7" w:rsidRPr="0096639F" w:rsidRDefault="00B91B80">
      <w:pPr>
        <w:pStyle w:val="Proposal"/>
      </w:pPr>
      <w:r w:rsidRPr="0096639F">
        <w:rPr>
          <w:b/>
        </w:rPr>
        <w:lastRenderedPageBreak/>
        <w:t>ADD</w:t>
      </w:r>
      <w:r w:rsidRPr="0096639F">
        <w:tab/>
        <w:t>ARB/21A33/10</w:t>
      </w:r>
    </w:p>
    <w:p w:rsidR="00407CC7" w:rsidRPr="0096639F" w:rsidRDefault="00B91B80" w:rsidP="002F3488">
      <w:pPr>
        <w:pStyle w:val="Heading1"/>
      </w:pPr>
      <w:r w:rsidRPr="0096639F">
        <w:rPr>
          <w:rFonts w:ascii="Calibri"/>
        </w:rPr>
        <w:t>ARB5:</w:t>
      </w:r>
      <w:r w:rsidRPr="0096639F">
        <w:tab/>
      </w:r>
      <w:r w:rsidR="00744A93" w:rsidRPr="0096639F">
        <w:t xml:space="preserve">Innovation and </w:t>
      </w:r>
      <w:r w:rsidR="00741DA7" w:rsidRPr="0096639F">
        <w:t>e</w:t>
      </w:r>
      <w:r w:rsidR="00744A93" w:rsidRPr="0096639F">
        <w:t>ntrepreneurship</w:t>
      </w:r>
    </w:p>
    <w:p w:rsidR="00744A93" w:rsidRPr="0096639F" w:rsidRDefault="00744A93" w:rsidP="007D0BD4">
      <w:r w:rsidRPr="0096639F">
        <w:rPr>
          <w:b/>
          <w:bCs/>
        </w:rPr>
        <w:t xml:space="preserve">Objective: </w:t>
      </w:r>
      <w:r w:rsidR="00741DA7" w:rsidRPr="0096639F">
        <w:t>To b</w:t>
      </w:r>
      <w:r w:rsidRPr="0096639F">
        <w:t xml:space="preserve">uild capacities and raise awareness </w:t>
      </w:r>
      <w:r w:rsidR="007D0BD4" w:rsidRPr="0096639F">
        <w:t>concerning the</w:t>
      </w:r>
      <w:r w:rsidR="00C9731F" w:rsidRPr="0096639F">
        <w:t xml:space="preserve"> </w:t>
      </w:r>
      <w:r w:rsidRPr="0096639F">
        <w:t>culture of innovation and entrepreneurship, in particular for youth and women</w:t>
      </w:r>
      <w:r w:rsidR="00741DA7" w:rsidRPr="0096639F">
        <w:t>’s</w:t>
      </w:r>
      <w:r w:rsidRPr="0096639F">
        <w:t xml:space="preserve"> empowerment, with the aim of harnessing ICT tools </w:t>
      </w:r>
      <w:r w:rsidR="00C9731F" w:rsidRPr="0096639F">
        <w:t>to</w:t>
      </w:r>
      <w:r w:rsidRPr="0096639F">
        <w:t xml:space="preserve"> </w:t>
      </w:r>
      <w:r w:rsidR="00D116A6" w:rsidRPr="0096639F">
        <w:t>l</w:t>
      </w:r>
      <w:r w:rsidR="00C9731F" w:rsidRPr="0096639F">
        <w:t>aunch</w:t>
      </w:r>
      <w:r w:rsidRPr="0096639F">
        <w:t xml:space="preserve"> projects and undertak</w:t>
      </w:r>
      <w:r w:rsidR="00C9731F" w:rsidRPr="0096639F">
        <w:t>e</w:t>
      </w:r>
      <w:r w:rsidRPr="0096639F">
        <w:t xml:space="preserve"> economic activities that </w:t>
      </w:r>
      <w:r w:rsidR="00C9731F" w:rsidRPr="0096639F">
        <w:t>focus on job creation</w:t>
      </w:r>
      <w:r w:rsidRPr="0096639F">
        <w:t>.</w:t>
      </w:r>
    </w:p>
    <w:p w:rsidR="00744A93" w:rsidRPr="0096639F" w:rsidRDefault="00A61644" w:rsidP="002F3488">
      <w:pPr>
        <w:pStyle w:val="Headingb"/>
        <w:rPr>
          <w:lang w:val="en-GB"/>
        </w:rPr>
      </w:pPr>
      <w:r w:rsidRPr="0096639F">
        <w:rPr>
          <w:lang w:val="en-GB"/>
        </w:rPr>
        <w:t>Expected results</w:t>
      </w:r>
    </w:p>
    <w:p w:rsidR="00744A93" w:rsidRPr="0096639F" w:rsidRDefault="00A61644" w:rsidP="002F3488">
      <w:r w:rsidRPr="0096639F">
        <w:t>Assisting countries to</w:t>
      </w:r>
      <w:r w:rsidR="002F3488" w:rsidRPr="0096639F">
        <w:t>:</w:t>
      </w:r>
    </w:p>
    <w:p w:rsidR="00744A93" w:rsidRPr="0096639F" w:rsidRDefault="00744A93" w:rsidP="002F3488">
      <w:pPr>
        <w:pStyle w:val="enumlev1"/>
      </w:pPr>
      <w:r w:rsidRPr="0096639F">
        <w:t>1</w:t>
      </w:r>
      <w:r w:rsidR="002F3488" w:rsidRPr="0096639F">
        <w:t>)</w:t>
      </w:r>
      <w:r w:rsidRPr="0096639F">
        <w:tab/>
      </w:r>
      <w:r w:rsidR="006E0A13" w:rsidRPr="0096639F">
        <w:t>formulate national and regional mechanisms and strategies to stimulate and enrich the culture of innovation in telecommunications/ICT in the region, including relevant best practice</w:t>
      </w:r>
      <w:r w:rsidRPr="0096639F">
        <w:t>;</w:t>
      </w:r>
    </w:p>
    <w:p w:rsidR="00744A93" w:rsidRPr="0096639F" w:rsidRDefault="00744A93" w:rsidP="002F3488">
      <w:pPr>
        <w:pStyle w:val="enumlev1"/>
      </w:pPr>
      <w:r w:rsidRPr="0096639F">
        <w:t>2</w:t>
      </w:r>
      <w:r w:rsidR="002F3488" w:rsidRPr="0096639F">
        <w:t>)</w:t>
      </w:r>
      <w:r w:rsidRPr="0096639F">
        <w:tab/>
      </w:r>
      <w:r w:rsidR="003D7636" w:rsidRPr="0096639F">
        <w:t>while creating centres of creativity and new institutions, encourage and develop the role of existing institutions and incubator programmes that support micro, small and medium enterprises in the telecommunications/ICT field</w:t>
      </w:r>
      <w:r w:rsidR="00781335" w:rsidRPr="0096639F">
        <w:t xml:space="preserve"> </w:t>
      </w:r>
      <w:r w:rsidR="00C9731F" w:rsidRPr="0096639F">
        <w:t>to enable</w:t>
      </w:r>
      <w:r w:rsidR="00781335" w:rsidRPr="0096639F">
        <w:t xml:space="preserve"> young people </w:t>
      </w:r>
      <w:r w:rsidR="00C9731F" w:rsidRPr="0096639F">
        <w:t>to set up their own enterprises; take</w:t>
      </w:r>
      <w:r w:rsidR="00781335" w:rsidRPr="0096639F">
        <w:t xml:space="preserve"> advantage of best practice in this area</w:t>
      </w:r>
      <w:r w:rsidRPr="0096639F">
        <w:t>;</w:t>
      </w:r>
    </w:p>
    <w:p w:rsidR="00744A93" w:rsidRPr="0096639F" w:rsidRDefault="00744A93" w:rsidP="002F3488">
      <w:pPr>
        <w:pStyle w:val="enumlev1"/>
      </w:pPr>
      <w:r w:rsidRPr="0096639F">
        <w:t>3</w:t>
      </w:r>
      <w:r w:rsidR="002F3488" w:rsidRPr="0096639F">
        <w:t>)</w:t>
      </w:r>
      <w:r w:rsidRPr="0096639F">
        <w:tab/>
      </w:r>
      <w:r w:rsidR="00781335" w:rsidRPr="0096639F">
        <w:t>train young people of both sexes to take advantage of ICTs to promote the culture of innovation and entrepreneurship</w:t>
      </w:r>
      <w:r w:rsidRPr="0096639F">
        <w:t>;</w:t>
      </w:r>
    </w:p>
    <w:p w:rsidR="00744A93" w:rsidRPr="0096639F" w:rsidRDefault="00744A93" w:rsidP="007D0BD4">
      <w:pPr>
        <w:pStyle w:val="enumlev1"/>
      </w:pPr>
      <w:r w:rsidRPr="0096639F">
        <w:t>4</w:t>
      </w:r>
      <w:r w:rsidR="002F3488" w:rsidRPr="0096639F">
        <w:t>)</w:t>
      </w:r>
      <w:r w:rsidRPr="0096639F">
        <w:tab/>
      </w:r>
      <w:r w:rsidR="007D0BD4" w:rsidRPr="0096639F">
        <w:t>stimulate</w:t>
      </w:r>
      <w:r w:rsidR="00781335" w:rsidRPr="0096639F">
        <w:t xml:space="preserve"> young people and students to be creative and innovative in developing Arabic language applications</w:t>
      </w:r>
      <w:r w:rsidRPr="0096639F">
        <w:t>;</w:t>
      </w:r>
    </w:p>
    <w:p w:rsidR="00744A93" w:rsidRPr="0096639F" w:rsidRDefault="00744A93" w:rsidP="002F3488">
      <w:pPr>
        <w:pStyle w:val="enumlev1"/>
      </w:pPr>
      <w:r w:rsidRPr="0096639F">
        <w:t>5</w:t>
      </w:r>
      <w:r w:rsidR="002F3488" w:rsidRPr="0096639F">
        <w:t>)</w:t>
      </w:r>
      <w:r w:rsidRPr="0096639F">
        <w:tab/>
      </w:r>
      <w:r w:rsidR="00781335" w:rsidRPr="0096639F">
        <w:t>develop innovative ways of holding regional meetings, workshops and conferences electronically</w:t>
      </w:r>
      <w:r w:rsidRPr="0096639F">
        <w:t>;</w:t>
      </w:r>
    </w:p>
    <w:p w:rsidR="00744A93" w:rsidRPr="0096639F" w:rsidRDefault="00744A93" w:rsidP="007D0BD4">
      <w:pPr>
        <w:pStyle w:val="enumlev1"/>
      </w:pPr>
      <w:r w:rsidRPr="0096639F">
        <w:t>6</w:t>
      </w:r>
      <w:r w:rsidR="002F3488" w:rsidRPr="0096639F">
        <w:t>)</w:t>
      </w:r>
      <w:r w:rsidRPr="0096639F">
        <w:tab/>
      </w:r>
      <w:r w:rsidR="00781335" w:rsidRPr="0096639F">
        <w:t xml:space="preserve">build and reinforce </w:t>
      </w:r>
      <w:r w:rsidR="00C9731F" w:rsidRPr="0096639F">
        <w:t xml:space="preserve">a core group of </w:t>
      </w:r>
      <w:r w:rsidR="00781335" w:rsidRPr="0096639F">
        <w:t>staff and help to coordinate between training centres, research centres, incubator</w:t>
      </w:r>
      <w:r w:rsidR="007D0BD4" w:rsidRPr="0096639F">
        <w:t>s</w:t>
      </w:r>
      <w:r w:rsidR="00781335" w:rsidRPr="0096639F">
        <w:t xml:space="preserve">, </w:t>
      </w:r>
      <w:r w:rsidR="001820D6" w:rsidRPr="0096639F">
        <w:t>institutions</w:t>
      </w:r>
      <w:r w:rsidR="007D0BD4" w:rsidRPr="0096639F">
        <w:t xml:space="preserve"> and </w:t>
      </w:r>
      <w:r w:rsidR="003F534C" w:rsidRPr="0096639F">
        <w:t>institutes,</w:t>
      </w:r>
      <w:r w:rsidR="001820D6" w:rsidRPr="0096639F">
        <w:t xml:space="preserve"> while encouraging the exchange of expertise at regional and international levels</w:t>
      </w:r>
      <w:r w:rsidRPr="0096639F">
        <w:t>.</w:t>
      </w:r>
    </w:p>
    <w:p w:rsidR="00407CC7" w:rsidRPr="0096639F" w:rsidRDefault="00407CC7">
      <w:pPr>
        <w:pStyle w:val="Reasons"/>
      </w:pPr>
    </w:p>
    <w:p w:rsidR="00744A93" w:rsidRPr="0096639F" w:rsidRDefault="00744A93" w:rsidP="0032202E">
      <w:pPr>
        <w:pStyle w:val="Reasons"/>
      </w:pPr>
    </w:p>
    <w:p w:rsidR="00744A93" w:rsidRDefault="00744A93">
      <w:pPr>
        <w:jc w:val="center"/>
      </w:pPr>
      <w:r w:rsidRPr="0096639F">
        <w:t>______________</w:t>
      </w:r>
    </w:p>
    <w:sectPr w:rsidR="00744A93">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CCA" w:rsidRDefault="00D31CCA">
      <w:r>
        <w:separator/>
      </w:r>
    </w:p>
  </w:endnote>
  <w:endnote w:type="continuationSeparator" w:id="0">
    <w:p w:rsidR="00D31CCA" w:rsidRDefault="00D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Bold">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F7F91" w:rsidRDefault="00E45D05">
    <w:pPr>
      <w:ind w:right="360"/>
      <w:rPr>
        <w:lang w:val="en-US"/>
      </w:rPr>
    </w:pPr>
    <w:r>
      <w:fldChar w:fldCharType="begin"/>
    </w:r>
    <w:r w:rsidRPr="00EF7F91">
      <w:rPr>
        <w:lang w:val="en-US"/>
      </w:rPr>
      <w:instrText xml:space="preserve"> FILENAME \p  \* MERGEFORMAT </w:instrText>
    </w:r>
    <w:r>
      <w:fldChar w:fldCharType="separate"/>
    </w:r>
    <w:r w:rsidR="0096639F">
      <w:rPr>
        <w:noProof/>
        <w:lang w:val="en-US"/>
      </w:rPr>
      <w:t>P:\ENG\ITU-D\CONF-D\WTDC17\000\021ADD33E.docx</w:t>
    </w:r>
    <w:r>
      <w:fldChar w:fldCharType="end"/>
    </w:r>
    <w:r w:rsidRPr="00EF7F91">
      <w:rPr>
        <w:lang w:val="en-US"/>
      </w:rPr>
      <w:tab/>
    </w:r>
    <w:r>
      <w:fldChar w:fldCharType="begin"/>
    </w:r>
    <w:r>
      <w:instrText xml:space="preserve"> SAVEDATE \@ DD.MM.YY </w:instrText>
    </w:r>
    <w:r>
      <w:fldChar w:fldCharType="separate"/>
    </w:r>
    <w:r w:rsidR="00512143">
      <w:rPr>
        <w:noProof/>
      </w:rPr>
      <w:t>05.10.17</w:t>
    </w:r>
    <w:r>
      <w:fldChar w:fldCharType="end"/>
    </w:r>
    <w:r w:rsidRPr="00EF7F91">
      <w:rPr>
        <w:lang w:val="en-US"/>
      </w:rPr>
      <w:tab/>
    </w:r>
    <w:r>
      <w:fldChar w:fldCharType="begin"/>
    </w:r>
    <w:r>
      <w:instrText xml:space="preserve"> PRINTDATE \@ DD.MM.YY </w:instrText>
    </w:r>
    <w:r>
      <w:fldChar w:fldCharType="separate"/>
    </w:r>
    <w:r w:rsidR="0096639F">
      <w:rPr>
        <w:noProof/>
      </w:rPr>
      <w:t>05.10.17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EF7F91" w:rsidRDefault="00E46852" w:rsidP="003625BD">
    <w:pPr>
      <w:pStyle w:val="Footer"/>
      <w:rPr>
        <w:lang w:val="en-US"/>
      </w:rPr>
    </w:pPr>
    <w:r>
      <w:fldChar w:fldCharType="begin"/>
    </w:r>
    <w:r w:rsidRPr="00EF7F91">
      <w:rPr>
        <w:lang w:val="en-US"/>
      </w:rPr>
      <w:instrText xml:space="preserve"> FILENAME \p  \* MERGEFORMAT </w:instrText>
    </w:r>
    <w:r>
      <w:fldChar w:fldCharType="separate"/>
    </w:r>
    <w:r w:rsidR="0096639F">
      <w:rPr>
        <w:lang w:val="en-US"/>
      </w:rPr>
      <w:t>P:\ENG\ITU-D\CONF-D\WTDC17\000\021ADD33E.docx</w:t>
    </w:r>
    <w:r>
      <w:fldChar w:fldCharType="end"/>
    </w:r>
    <w:r w:rsidR="0096335A" w:rsidRPr="00EF7F91">
      <w:rPr>
        <w:lang w:val="en-US"/>
      </w:rPr>
      <w:t xml:space="preserve"> (</w:t>
    </w:r>
    <w:r w:rsidR="00B91B80" w:rsidRPr="00EF7F91">
      <w:rPr>
        <w:lang w:val="en-US"/>
      </w:rPr>
      <w:t>424325</w:t>
    </w:r>
    <w:r w:rsidR="0096335A" w:rsidRPr="00EF7F91">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900662"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900662" w:rsidRDefault="00D83BF5" w:rsidP="00D83BF5">
          <w:pPr>
            <w:pStyle w:val="FirstFooter"/>
            <w:tabs>
              <w:tab w:val="left" w:pos="2302"/>
            </w:tabs>
            <w:ind w:left="2302" w:hanging="2302"/>
            <w:rPr>
              <w:sz w:val="18"/>
              <w:szCs w:val="18"/>
              <w:lang w:val="en-US"/>
              <w:rPrChange w:id="18" w:author="BDT - nd" w:date="2017-10-05T18:18:00Z">
                <w:rPr>
                  <w:sz w:val="18"/>
                  <w:szCs w:val="18"/>
                  <w:lang w:val="en-US"/>
                </w:rPr>
              </w:rPrChange>
            </w:rPr>
          </w:pPr>
          <w:r w:rsidRPr="00900662">
            <w:rPr>
              <w:sz w:val="18"/>
              <w:szCs w:val="18"/>
              <w:lang w:val="en-US"/>
              <w:rPrChange w:id="19" w:author="BDT - nd" w:date="2017-10-05T18:18:00Z">
                <w:rPr>
                  <w:sz w:val="18"/>
                  <w:szCs w:val="18"/>
                  <w:lang w:val="en-US"/>
                </w:rPr>
              </w:rPrChange>
            </w:rPr>
            <w:t>Name/Organization/Entity:</w:t>
          </w:r>
        </w:p>
      </w:tc>
      <w:tc>
        <w:tcPr>
          <w:tcW w:w="5987" w:type="dxa"/>
          <w:tcBorders>
            <w:top w:val="single" w:sz="4" w:space="0" w:color="000000"/>
          </w:tcBorders>
          <w:shd w:val="clear" w:color="auto" w:fill="auto"/>
        </w:tcPr>
        <w:p w:rsidR="00D83BF5" w:rsidRPr="00900662" w:rsidRDefault="00D06CA9" w:rsidP="00D83BF5">
          <w:pPr>
            <w:pStyle w:val="FirstFooter"/>
            <w:tabs>
              <w:tab w:val="left" w:pos="2302"/>
            </w:tabs>
            <w:ind w:left="2302" w:hanging="2302"/>
            <w:rPr>
              <w:sz w:val="18"/>
              <w:szCs w:val="18"/>
              <w:lang w:val="it-IT"/>
              <w:rPrChange w:id="20" w:author="BDT - nd" w:date="2017-10-05T18:18:00Z">
                <w:rPr>
                  <w:sz w:val="18"/>
                  <w:szCs w:val="18"/>
                  <w:highlight w:val="yellow"/>
                  <w:lang w:val="it-IT"/>
                </w:rPr>
              </w:rPrChange>
            </w:rPr>
          </w:pPr>
          <w:bookmarkStart w:id="21" w:name="OrgName"/>
          <w:bookmarkEnd w:id="21"/>
          <w:r w:rsidRPr="00900662">
            <w:rPr>
              <w:sz w:val="18"/>
              <w:szCs w:val="18"/>
              <w:lang w:val="it-IT"/>
              <w:rPrChange w:id="22" w:author="BDT - nd" w:date="2017-10-05T18:18:00Z">
                <w:rPr>
                  <w:sz w:val="18"/>
                  <w:szCs w:val="18"/>
                  <w:highlight w:val="magenta"/>
                  <w:lang w:val="it-IT"/>
                </w:rPr>
              </w:rPrChange>
            </w:rPr>
            <w:t>Mr</w:t>
          </w:r>
          <w:r w:rsidRPr="00900662">
            <w:rPr>
              <w:sz w:val="18"/>
              <w:szCs w:val="18"/>
              <w:lang w:val="it-IT"/>
              <w:rPrChange w:id="23" w:author="BDT - nd" w:date="2017-10-05T18:18:00Z">
                <w:rPr>
                  <w:sz w:val="18"/>
                  <w:szCs w:val="18"/>
                  <w:lang w:val="it-IT"/>
                </w:rPr>
              </w:rPrChange>
            </w:rPr>
            <w:t xml:space="preserve"> </w:t>
          </w:r>
          <w:r w:rsidR="002F3488" w:rsidRPr="00900662">
            <w:rPr>
              <w:sz w:val="18"/>
              <w:szCs w:val="18"/>
              <w:lang w:val="it-IT"/>
              <w:rPrChange w:id="24" w:author="BDT - nd" w:date="2017-10-05T18:18:00Z">
                <w:rPr>
                  <w:sz w:val="18"/>
                  <w:szCs w:val="18"/>
                  <w:lang w:val="it-IT"/>
                </w:rPr>
              </w:rPrChange>
            </w:rPr>
            <w:t>Nasser Saleh Al Marzouqi, TRA, UAE</w:t>
          </w:r>
        </w:p>
      </w:tc>
    </w:tr>
    <w:tr w:rsidR="00D83BF5" w:rsidRPr="004D495C" w:rsidTr="008B61EA">
      <w:tc>
        <w:tcPr>
          <w:tcW w:w="1526" w:type="dxa"/>
          <w:shd w:val="clear" w:color="auto" w:fill="auto"/>
        </w:tcPr>
        <w:p w:rsidR="00D83BF5" w:rsidRPr="001B1DA2" w:rsidRDefault="00D83BF5" w:rsidP="00D83BF5">
          <w:pPr>
            <w:pStyle w:val="FirstFooter"/>
            <w:tabs>
              <w:tab w:val="left" w:pos="1559"/>
              <w:tab w:val="left" w:pos="3828"/>
            </w:tabs>
            <w:rPr>
              <w:sz w:val="20"/>
              <w:lang w:val="it-IT"/>
            </w:rPr>
          </w:pPr>
          <w:bookmarkStart w:id="25" w:name="_GoBack"/>
          <w:bookmarkEnd w:id="25"/>
        </w:p>
      </w:tc>
      <w:tc>
        <w:tcPr>
          <w:tcW w:w="2410" w:type="dxa"/>
          <w:shd w:val="clear" w:color="auto" w:fill="auto"/>
        </w:tcPr>
        <w:p w:rsidR="00D83BF5" w:rsidRPr="00900662" w:rsidRDefault="00D83BF5" w:rsidP="00D83BF5">
          <w:pPr>
            <w:pStyle w:val="FirstFooter"/>
            <w:tabs>
              <w:tab w:val="left" w:pos="2302"/>
            </w:tabs>
            <w:rPr>
              <w:sz w:val="18"/>
              <w:szCs w:val="18"/>
              <w:lang w:val="en-US"/>
              <w:rPrChange w:id="26" w:author="BDT - nd" w:date="2017-10-05T18:18:00Z">
                <w:rPr>
                  <w:sz w:val="18"/>
                  <w:szCs w:val="18"/>
                  <w:lang w:val="en-US"/>
                </w:rPr>
              </w:rPrChange>
            </w:rPr>
          </w:pPr>
          <w:r w:rsidRPr="00900662">
            <w:rPr>
              <w:sz w:val="18"/>
              <w:szCs w:val="18"/>
              <w:lang w:val="en-US"/>
              <w:rPrChange w:id="27" w:author="BDT - nd" w:date="2017-10-05T18:18:00Z">
                <w:rPr>
                  <w:sz w:val="18"/>
                  <w:szCs w:val="18"/>
                  <w:lang w:val="en-US"/>
                </w:rPr>
              </w:rPrChange>
            </w:rPr>
            <w:t>Phone number:</w:t>
          </w:r>
        </w:p>
      </w:tc>
      <w:tc>
        <w:tcPr>
          <w:tcW w:w="5987" w:type="dxa"/>
          <w:shd w:val="clear" w:color="auto" w:fill="auto"/>
        </w:tcPr>
        <w:p w:rsidR="00D83BF5" w:rsidRPr="00900662" w:rsidRDefault="00D06CA9" w:rsidP="00D83BF5">
          <w:pPr>
            <w:pStyle w:val="FirstFooter"/>
            <w:tabs>
              <w:tab w:val="left" w:pos="2302"/>
            </w:tabs>
            <w:rPr>
              <w:sz w:val="18"/>
              <w:szCs w:val="18"/>
              <w:lang w:val="en-US"/>
              <w:rPrChange w:id="28" w:author="BDT - nd" w:date="2017-10-05T18:18:00Z">
                <w:rPr>
                  <w:sz w:val="18"/>
                  <w:szCs w:val="18"/>
                  <w:highlight w:val="yellow"/>
                  <w:lang w:val="en-US"/>
                </w:rPr>
              </w:rPrChange>
            </w:rPr>
          </w:pPr>
          <w:bookmarkStart w:id="29" w:name="PhoneNo"/>
          <w:bookmarkEnd w:id="29"/>
          <w:r w:rsidRPr="00900662">
            <w:rPr>
              <w:sz w:val="18"/>
              <w:szCs w:val="18"/>
              <w:lang w:val="en-US"/>
              <w:rPrChange w:id="30" w:author="BDT - nd" w:date="2017-10-05T18:18:00Z">
                <w:rPr>
                  <w:sz w:val="18"/>
                  <w:szCs w:val="18"/>
                  <w:highlight w:val="magenta"/>
                  <w:lang w:val="en-US"/>
                </w:rPr>
              </w:rPrChange>
            </w:rPr>
            <w:t>+971 509 007 177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31" w:name="Email"/>
      <w:bookmarkEnd w:id="31"/>
      <w:tc>
        <w:tcPr>
          <w:tcW w:w="5987" w:type="dxa"/>
          <w:shd w:val="clear" w:color="auto" w:fill="auto"/>
        </w:tcPr>
        <w:p w:rsidR="00D83BF5" w:rsidRPr="004D495C" w:rsidRDefault="000A0AD2" w:rsidP="00D83BF5">
          <w:pPr>
            <w:pStyle w:val="FirstFooter"/>
            <w:tabs>
              <w:tab w:val="left" w:pos="2302"/>
            </w:tabs>
            <w:rPr>
              <w:sz w:val="18"/>
              <w:szCs w:val="18"/>
              <w:highlight w:val="yellow"/>
              <w:lang w:val="en-US"/>
            </w:rPr>
          </w:pPr>
          <w:r>
            <w:fldChar w:fldCharType="begin"/>
          </w:r>
          <w:r>
            <w:instrText xml:space="preserve"> HYPERLINK "mailto:Nasser.almarzouqi@tra.gov.ae" </w:instrText>
          </w:r>
          <w:r>
            <w:fldChar w:fldCharType="separate"/>
          </w:r>
          <w:r w:rsidRPr="00CD1CC6">
            <w:rPr>
              <w:rStyle w:val="Hyperlink"/>
              <w:rFonts w:ascii="Calibri" w:hAnsi="Calibri"/>
              <w:sz w:val="20"/>
              <w:szCs w:val="26"/>
            </w:rPr>
            <w:t>Nasser.almarzouqi@tra.gov.ae</w:t>
          </w:r>
          <w:r>
            <w:rPr>
              <w:rStyle w:val="Hyperlink"/>
              <w:rFonts w:ascii="Calibri" w:hAnsi="Calibri"/>
              <w:sz w:val="20"/>
              <w:szCs w:val="26"/>
            </w:rPr>
            <w:fldChar w:fldCharType="end"/>
          </w:r>
        </w:p>
      </w:tc>
    </w:tr>
  </w:tbl>
  <w:p w:rsidR="00D83BF5" w:rsidRPr="00784E03" w:rsidRDefault="00900662"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CCA" w:rsidRDefault="00D31CCA">
      <w:r>
        <w:rPr>
          <w:b/>
        </w:rPr>
        <w:t>_______________</w:t>
      </w:r>
    </w:p>
  </w:footnote>
  <w:footnote w:type="continuationSeparator" w:id="0">
    <w:p w:rsidR="00D31CCA" w:rsidRDefault="00D31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62" w:rsidRDefault="00900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5" w:name="OLE_LINK3"/>
    <w:bookmarkStart w:id="16" w:name="OLE_LINK2"/>
    <w:bookmarkStart w:id="17" w:name="OLE_LINK1"/>
    <w:r w:rsidRPr="00A74B99">
      <w:rPr>
        <w:sz w:val="22"/>
        <w:szCs w:val="22"/>
      </w:rPr>
      <w:t>21(Add.33)</w:t>
    </w:r>
    <w:bookmarkEnd w:id="15"/>
    <w:bookmarkEnd w:id="16"/>
    <w:bookmarkEnd w:id="1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00662">
      <w:rPr>
        <w:noProof/>
        <w:sz w:val="22"/>
        <w:szCs w:val="22"/>
      </w:rPr>
      <w:t>6</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62" w:rsidRDefault="00900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94E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65B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E7B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D05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C0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4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668C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0E86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54B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202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462A0"/>
    <w:rsid w:val="00051E39"/>
    <w:rsid w:val="00064F74"/>
    <w:rsid w:val="00075C63"/>
    <w:rsid w:val="00077239"/>
    <w:rsid w:val="00080905"/>
    <w:rsid w:val="000822BE"/>
    <w:rsid w:val="000824FA"/>
    <w:rsid w:val="00086491"/>
    <w:rsid w:val="00091346"/>
    <w:rsid w:val="000A0AD2"/>
    <w:rsid w:val="000D0139"/>
    <w:rsid w:val="000F73FF"/>
    <w:rsid w:val="001039D9"/>
    <w:rsid w:val="00114CF7"/>
    <w:rsid w:val="00123B68"/>
    <w:rsid w:val="00126F2E"/>
    <w:rsid w:val="00130081"/>
    <w:rsid w:val="00146F6F"/>
    <w:rsid w:val="00147DA1"/>
    <w:rsid w:val="00152957"/>
    <w:rsid w:val="001820D6"/>
    <w:rsid w:val="00187BD9"/>
    <w:rsid w:val="00190B55"/>
    <w:rsid w:val="00194CFB"/>
    <w:rsid w:val="001B1DA2"/>
    <w:rsid w:val="001B2ED3"/>
    <w:rsid w:val="001C3B5F"/>
    <w:rsid w:val="001D058F"/>
    <w:rsid w:val="001D7CE4"/>
    <w:rsid w:val="002009EA"/>
    <w:rsid w:val="00201921"/>
    <w:rsid w:val="00202CA0"/>
    <w:rsid w:val="00210C50"/>
    <w:rsid w:val="002154A6"/>
    <w:rsid w:val="002162CD"/>
    <w:rsid w:val="002255B3"/>
    <w:rsid w:val="00236E8A"/>
    <w:rsid w:val="00271316"/>
    <w:rsid w:val="00271600"/>
    <w:rsid w:val="00276B5E"/>
    <w:rsid w:val="00280F6B"/>
    <w:rsid w:val="002947E5"/>
    <w:rsid w:val="00296313"/>
    <w:rsid w:val="002D58BE"/>
    <w:rsid w:val="002F3488"/>
    <w:rsid w:val="003013EE"/>
    <w:rsid w:val="00323DA5"/>
    <w:rsid w:val="003309DA"/>
    <w:rsid w:val="00360D96"/>
    <w:rsid w:val="003625BD"/>
    <w:rsid w:val="0037069D"/>
    <w:rsid w:val="0037527B"/>
    <w:rsid w:val="00377BD3"/>
    <w:rsid w:val="00383049"/>
    <w:rsid w:val="00384088"/>
    <w:rsid w:val="0038489B"/>
    <w:rsid w:val="00391260"/>
    <w:rsid w:val="0039169B"/>
    <w:rsid w:val="003A7F8C"/>
    <w:rsid w:val="003B532E"/>
    <w:rsid w:val="003B6F14"/>
    <w:rsid w:val="003D0F8B"/>
    <w:rsid w:val="003D7636"/>
    <w:rsid w:val="003F534C"/>
    <w:rsid w:val="00407CC7"/>
    <w:rsid w:val="00410C87"/>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12143"/>
    <w:rsid w:val="00521223"/>
    <w:rsid w:val="00524DF1"/>
    <w:rsid w:val="005438B2"/>
    <w:rsid w:val="0055140B"/>
    <w:rsid w:val="00554C4F"/>
    <w:rsid w:val="00561D72"/>
    <w:rsid w:val="005964AB"/>
    <w:rsid w:val="005B44F5"/>
    <w:rsid w:val="005C099A"/>
    <w:rsid w:val="005C31A5"/>
    <w:rsid w:val="005E10C9"/>
    <w:rsid w:val="005E61DD"/>
    <w:rsid w:val="005E6321"/>
    <w:rsid w:val="005F5F89"/>
    <w:rsid w:val="006023DF"/>
    <w:rsid w:val="00606DF7"/>
    <w:rsid w:val="006126CF"/>
    <w:rsid w:val="006249A9"/>
    <w:rsid w:val="0064322F"/>
    <w:rsid w:val="00657DE0"/>
    <w:rsid w:val="0067199F"/>
    <w:rsid w:val="00685313"/>
    <w:rsid w:val="006A6E9B"/>
    <w:rsid w:val="006B7C2A"/>
    <w:rsid w:val="006C23DA"/>
    <w:rsid w:val="006E0A13"/>
    <w:rsid w:val="006E3D45"/>
    <w:rsid w:val="007149F9"/>
    <w:rsid w:val="00717380"/>
    <w:rsid w:val="00733A30"/>
    <w:rsid w:val="0073450B"/>
    <w:rsid w:val="007353FE"/>
    <w:rsid w:val="00741DA7"/>
    <w:rsid w:val="00744A93"/>
    <w:rsid w:val="0074582C"/>
    <w:rsid w:val="00745AEE"/>
    <w:rsid w:val="007479EA"/>
    <w:rsid w:val="00750F10"/>
    <w:rsid w:val="007566E5"/>
    <w:rsid w:val="007742CA"/>
    <w:rsid w:val="00781335"/>
    <w:rsid w:val="007D06F0"/>
    <w:rsid w:val="007D0BD4"/>
    <w:rsid w:val="007D45E3"/>
    <w:rsid w:val="007D5320"/>
    <w:rsid w:val="007E6A33"/>
    <w:rsid w:val="007F28CC"/>
    <w:rsid w:val="007F735C"/>
    <w:rsid w:val="00800972"/>
    <w:rsid w:val="00803017"/>
    <w:rsid w:val="00804475"/>
    <w:rsid w:val="00811633"/>
    <w:rsid w:val="00821CEF"/>
    <w:rsid w:val="00832828"/>
    <w:rsid w:val="0083645A"/>
    <w:rsid w:val="00840B0F"/>
    <w:rsid w:val="00853DCD"/>
    <w:rsid w:val="008711AE"/>
    <w:rsid w:val="00872FC8"/>
    <w:rsid w:val="00873457"/>
    <w:rsid w:val="008801D3"/>
    <w:rsid w:val="0088351F"/>
    <w:rsid w:val="008845D0"/>
    <w:rsid w:val="008846AE"/>
    <w:rsid w:val="00895F28"/>
    <w:rsid w:val="008A204A"/>
    <w:rsid w:val="008B24F9"/>
    <w:rsid w:val="008B43F2"/>
    <w:rsid w:val="008B5657"/>
    <w:rsid w:val="008B61EA"/>
    <w:rsid w:val="008B6CFF"/>
    <w:rsid w:val="008B7D65"/>
    <w:rsid w:val="008C65C7"/>
    <w:rsid w:val="008D15D9"/>
    <w:rsid w:val="00900662"/>
    <w:rsid w:val="00910B26"/>
    <w:rsid w:val="009274B4"/>
    <w:rsid w:val="00934EA2"/>
    <w:rsid w:val="00944A5C"/>
    <w:rsid w:val="00951D74"/>
    <w:rsid w:val="00952A66"/>
    <w:rsid w:val="00961AFE"/>
    <w:rsid w:val="0096335A"/>
    <w:rsid w:val="0096639F"/>
    <w:rsid w:val="00985F3E"/>
    <w:rsid w:val="009A6BB6"/>
    <w:rsid w:val="009B34FC"/>
    <w:rsid w:val="009C56E5"/>
    <w:rsid w:val="009E5FC8"/>
    <w:rsid w:val="009E687A"/>
    <w:rsid w:val="00A03C5C"/>
    <w:rsid w:val="00A066F1"/>
    <w:rsid w:val="00A141AF"/>
    <w:rsid w:val="00A14B14"/>
    <w:rsid w:val="00A16D29"/>
    <w:rsid w:val="00A20E5E"/>
    <w:rsid w:val="00A30305"/>
    <w:rsid w:val="00A31D2D"/>
    <w:rsid w:val="00A443AB"/>
    <w:rsid w:val="00A4600A"/>
    <w:rsid w:val="00A538A6"/>
    <w:rsid w:val="00A54C25"/>
    <w:rsid w:val="00A61139"/>
    <w:rsid w:val="00A61644"/>
    <w:rsid w:val="00A61B5A"/>
    <w:rsid w:val="00A710E7"/>
    <w:rsid w:val="00A7372E"/>
    <w:rsid w:val="00A74B99"/>
    <w:rsid w:val="00A93B85"/>
    <w:rsid w:val="00AA0B18"/>
    <w:rsid w:val="00AA3F20"/>
    <w:rsid w:val="00AA666F"/>
    <w:rsid w:val="00AB4927"/>
    <w:rsid w:val="00AB4A82"/>
    <w:rsid w:val="00AF36F2"/>
    <w:rsid w:val="00B004E5"/>
    <w:rsid w:val="00B15F9D"/>
    <w:rsid w:val="00B639E9"/>
    <w:rsid w:val="00B817CD"/>
    <w:rsid w:val="00B911B2"/>
    <w:rsid w:val="00B91B80"/>
    <w:rsid w:val="00B951D0"/>
    <w:rsid w:val="00BB29C8"/>
    <w:rsid w:val="00BB3A95"/>
    <w:rsid w:val="00BC0382"/>
    <w:rsid w:val="00BF5E2A"/>
    <w:rsid w:val="00C0018F"/>
    <w:rsid w:val="00C1781E"/>
    <w:rsid w:val="00C20466"/>
    <w:rsid w:val="00C214ED"/>
    <w:rsid w:val="00C234E6"/>
    <w:rsid w:val="00C26DD5"/>
    <w:rsid w:val="00C324A8"/>
    <w:rsid w:val="00C44CAE"/>
    <w:rsid w:val="00C54517"/>
    <w:rsid w:val="00C64CD8"/>
    <w:rsid w:val="00C9731F"/>
    <w:rsid w:val="00C97C68"/>
    <w:rsid w:val="00CA1A47"/>
    <w:rsid w:val="00CB1AC7"/>
    <w:rsid w:val="00CC247A"/>
    <w:rsid w:val="00CD45EB"/>
    <w:rsid w:val="00CD77C7"/>
    <w:rsid w:val="00CE5E47"/>
    <w:rsid w:val="00CF020F"/>
    <w:rsid w:val="00CF2B5B"/>
    <w:rsid w:val="00D0080C"/>
    <w:rsid w:val="00D06CA9"/>
    <w:rsid w:val="00D116A6"/>
    <w:rsid w:val="00D14CE0"/>
    <w:rsid w:val="00D31CCA"/>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1025"/>
    <w:rsid w:val="00DD08B4"/>
    <w:rsid w:val="00DD44AF"/>
    <w:rsid w:val="00DD54AE"/>
    <w:rsid w:val="00DE2AC3"/>
    <w:rsid w:val="00DE434C"/>
    <w:rsid w:val="00DE5692"/>
    <w:rsid w:val="00DF6F8E"/>
    <w:rsid w:val="00E03C94"/>
    <w:rsid w:val="00E07105"/>
    <w:rsid w:val="00E26226"/>
    <w:rsid w:val="00E372A1"/>
    <w:rsid w:val="00E4165C"/>
    <w:rsid w:val="00E45D05"/>
    <w:rsid w:val="00E46852"/>
    <w:rsid w:val="00E55816"/>
    <w:rsid w:val="00E55AEF"/>
    <w:rsid w:val="00E73CC1"/>
    <w:rsid w:val="00E77344"/>
    <w:rsid w:val="00E976C1"/>
    <w:rsid w:val="00EA12E5"/>
    <w:rsid w:val="00ED2D36"/>
    <w:rsid w:val="00ED5132"/>
    <w:rsid w:val="00EF780D"/>
    <w:rsid w:val="00EF7F91"/>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D14-WTDC17-C-0021!A33!MSW-E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F14E-BE75-40DB-A66D-C583485BAE1A}">
  <ds:schemaRefs>
    <ds:schemaRef ds:uri="http://schemas.microsoft.com/sharepoint/events"/>
  </ds:schemaRefs>
</ds:datastoreItem>
</file>

<file path=customXml/itemProps2.xml><?xml version="1.0" encoding="utf-8"?>
<ds:datastoreItem xmlns:ds="http://schemas.openxmlformats.org/officeDocument/2006/customXml" ds:itemID="{5D140B7C-DC05-4EC5-99F8-4CC7A92CBBEA}">
  <ds:schemaRefs>
    <ds:schemaRef ds:uri="32a1a8c5-2265-4ebc-b7a0-2071e2c5c9bb"/>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DC89DD5-9ECB-46F4-ABB2-333E3E8DBBCA}">
  <ds:schemaRefs>
    <ds:schemaRef ds:uri="http://schemas.microsoft.com/sharepoint/v3/contenttype/form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2E6268-FB5B-4518-A9B1-C85C110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1417</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D14-WTDC17-C-0021!A33!MSW-E</vt:lpstr>
    </vt:vector>
  </TitlesOfParts>
  <Manager>General Secretariat - Pool</Manager>
  <Company>International Telecommunication Union (ITU)</Company>
  <LinksUpToDate>false</LinksUpToDate>
  <CharactersWithSpaces>9826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D14-WTDC17-C-0021!A33!MSW-E</dc:title>
  <dc:subject/>
  <dc:creator>Documents Proposals Manager (DPM)</dc:creator>
  <cp:keywords>DPM_v2017.9.22.1_prod</cp:keywords>
  <dc:description/>
  <cp:lastModifiedBy>BDT - nd</cp:lastModifiedBy>
  <cp:revision>3</cp:revision>
  <cp:lastPrinted>2017-10-05T13:57:00Z</cp:lastPrinted>
  <dcterms:created xsi:type="dcterms:W3CDTF">2017-10-05T16:17:00Z</dcterms:created>
  <dcterms:modified xsi:type="dcterms:W3CDTF">2017-10-05T16:18:00Z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