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80"/>
        <w:tblW w:w="10065" w:type="dxa"/>
        <w:tblLayout w:type="fixed"/>
        <w:tblCellMar>
          <w:left w:w="107" w:type="dxa"/>
          <w:right w:w="107" w:type="dxa"/>
        </w:tblCellMar>
        <w:tblLook w:val="0000" w:firstRow="0" w:lastRow="0" w:firstColumn="0" w:lastColumn="0" w:noHBand="0" w:noVBand="0"/>
      </w:tblPr>
      <w:tblGrid>
        <w:gridCol w:w="1100"/>
        <w:gridCol w:w="5528"/>
        <w:gridCol w:w="3437"/>
      </w:tblGrid>
      <w:tr w:rsidR="00D42EE8" w:rsidRPr="000454A8" w:rsidTr="00414523">
        <w:trPr>
          <w:cantSplit/>
        </w:trPr>
        <w:tc>
          <w:tcPr>
            <w:tcW w:w="1100" w:type="dxa"/>
            <w:tcBorders>
              <w:bottom w:val="single" w:sz="12" w:space="0" w:color="auto"/>
            </w:tcBorders>
          </w:tcPr>
          <w:p w:rsidR="00D42EE8" w:rsidRPr="000454A8" w:rsidRDefault="00D42EE8" w:rsidP="00213C92">
            <w:pPr>
              <w:spacing w:before="240"/>
              <w:rPr>
                <w:lang w:val="fr-CH"/>
              </w:rPr>
            </w:pPr>
            <w:r w:rsidRPr="000454A8">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0454A8" w:rsidRDefault="00D42EE8" w:rsidP="00213C92">
            <w:pPr>
              <w:tabs>
                <w:tab w:val="clear" w:pos="794"/>
                <w:tab w:val="clear" w:pos="1191"/>
                <w:tab w:val="clear" w:pos="1588"/>
                <w:tab w:val="clear" w:pos="1985"/>
                <w:tab w:val="left" w:pos="1871"/>
              </w:tabs>
              <w:spacing w:before="20" w:after="48"/>
              <w:ind w:left="34"/>
              <w:rPr>
                <w:b/>
                <w:sz w:val="28"/>
                <w:szCs w:val="28"/>
                <w:lang w:val="fr-CH"/>
              </w:rPr>
            </w:pPr>
            <w:r w:rsidRPr="000454A8">
              <w:rPr>
                <w:b/>
                <w:bCs/>
                <w:sz w:val="28"/>
                <w:szCs w:val="28"/>
                <w:lang w:val="fr-CH"/>
              </w:rPr>
              <w:t>Conférence</w:t>
            </w:r>
            <w:r w:rsidRPr="000454A8">
              <w:rPr>
                <w:b/>
                <w:sz w:val="28"/>
                <w:szCs w:val="28"/>
                <w:lang w:val="fr-CH"/>
              </w:rPr>
              <w:t xml:space="preserve"> mondiale de développement des télécommunications (CMDT-17)</w:t>
            </w:r>
          </w:p>
          <w:p w:rsidR="00D42EE8" w:rsidRPr="000454A8" w:rsidRDefault="00D42EE8" w:rsidP="00213C92">
            <w:pPr>
              <w:tabs>
                <w:tab w:val="clear" w:pos="794"/>
                <w:tab w:val="clear" w:pos="1191"/>
                <w:tab w:val="clear" w:pos="1588"/>
                <w:tab w:val="clear" w:pos="1985"/>
                <w:tab w:val="left" w:pos="1871"/>
              </w:tabs>
              <w:spacing w:after="48"/>
              <w:ind w:left="34"/>
              <w:rPr>
                <w:lang w:val="fr-CH"/>
              </w:rPr>
            </w:pPr>
            <w:r w:rsidRPr="000454A8">
              <w:rPr>
                <w:b/>
                <w:bCs/>
                <w:sz w:val="26"/>
                <w:szCs w:val="26"/>
                <w:lang w:val="fr-CH"/>
              </w:rPr>
              <w:t>Buenos Aires, Argentine, 9</w:t>
            </w:r>
            <w:r w:rsidR="0056763F" w:rsidRPr="000454A8">
              <w:rPr>
                <w:b/>
                <w:bCs/>
                <w:sz w:val="26"/>
                <w:szCs w:val="26"/>
                <w:lang w:val="fr-CH"/>
              </w:rPr>
              <w:t>-</w:t>
            </w:r>
            <w:r w:rsidRPr="000454A8">
              <w:rPr>
                <w:b/>
                <w:bCs/>
                <w:sz w:val="26"/>
                <w:szCs w:val="26"/>
                <w:lang w:val="fr-CH"/>
              </w:rPr>
              <w:t>20 octobre 2017</w:t>
            </w:r>
          </w:p>
        </w:tc>
        <w:tc>
          <w:tcPr>
            <w:tcW w:w="3437" w:type="dxa"/>
            <w:tcBorders>
              <w:bottom w:val="single" w:sz="12" w:space="0" w:color="auto"/>
            </w:tcBorders>
          </w:tcPr>
          <w:p w:rsidR="00D42EE8" w:rsidRPr="000454A8" w:rsidRDefault="00515188" w:rsidP="00213C92">
            <w:pPr>
              <w:spacing w:before="0" w:after="80"/>
              <w:rPr>
                <w:lang w:val="fr-CH"/>
              </w:rPr>
            </w:pPr>
            <w:bookmarkStart w:id="0" w:name="dlogo"/>
            <w:bookmarkEnd w:id="0"/>
            <w:r w:rsidRPr="000454A8">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0454A8" w:rsidTr="00414523">
        <w:trPr>
          <w:cantSplit/>
        </w:trPr>
        <w:tc>
          <w:tcPr>
            <w:tcW w:w="6628" w:type="dxa"/>
            <w:gridSpan w:val="2"/>
            <w:tcBorders>
              <w:top w:val="single" w:sz="12" w:space="0" w:color="auto"/>
            </w:tcBorders>
          </w:tcPr>
          <w:p w:rsidR="00D42EE8" w:rsidRPr="000454A8" w:rsidRDefault="00D42EE8" w:rsidP="00213C92">
            <w:pPr>
              <w:spacing w:before="0"/>
              <w:rPr>
                <w:rFonts w:cs="Arial"/>
                <w:b/>
                <w:bCs/>
                <w:szCs w:val="24"/>
                <w:lang w:val="fr-CH"/>
              </w:rPr>
            </w:pPr>
            <w:bookmarkStart w:id="1" w:name="dspace" w:colFirst="0" w:colLast="1"/>
          </w:p>
        </w:tc>
        <w:tc>
          <w:tcPr>
            <w:tcW w:w="3437" w:type="dxa"/>
            <w:tcBorders>
              <w:top w:val="single" w:sz="12" w:space="0" w:color="auto"/>
            </w:tcBorders>
          </w:tcPr>
          <w:p w:rsidR="00D42EE8" w:rsidRPr="000454A8" w:rsidRDefault="00D42EE8" w:rsidP="00213C92">
            <w:pPr>
              <w:spacing w:before="0"/>
              <w:rPr>
                <w:b/>
                <w:bCs/>
                <w:szCs w:val="24"/>
                <w:lang w:val="fr-CH"/>
              </w:rPr>
            </w:pPr>
          </w:p>
        </w:tc>
      </w:tr>
      <w:tr w:rsidR="00D42EE8" w:rsidRPr="000454A8" w:rsidTr="00414523">
        <w:trPr>
          <w:cantSplit/>
        </w:trPr>
        <w:tc>
          <w:tcPr>
            <w:tcW w:w="6628" w:type="dxa"/>
            <w:gridSpan w:val="2"/>
          </w:tcPr>
          <w:p w:rsidR="00D42EE8" w:rsidRPr="000454A8" w:rsidRDefault="00000B37" w:rsidP="00213C92">
            <w:pPr>
              <w:pStyle w:val="Committee"/>
              <w:spacing w:before="0"/>
              <w:rPr>
                <w:lang w:val="fr-CH"/>
              </w:rPr>
            </w:pPr>
            <w:bookmarkStart w:id="2" w:name="dnum" w:colFirst="1" w:colLast="1"/>
            <w:bookmarkEnd w:id="1"/>
            <w:r w:rsidRPr="000454A8">
              <w:rPr>
                <w:rFonts w:ascii="Verdana" w:hAnsi="Verdana"/>
                <w:sz w:val="20"/>
                <w:lang w:val="fr-CH"/>
              </w:rPr>
              <w:t>SÉANCE PLÉNIÈRE</w:t>
            </w:r>
          </w:p>
        </w:tc>
        <w:tc>
          <w:tcPr>
            <w:tcW w:w="3437" w:type="dxa"/>
          </w:tcPr>
          <w:p w:rsidR="00D42EE8" w:rsidRPr="000454A8" w:rsidRDefault="00000B37" w:rsidP="00213C92">
            <w:pPr>
              <w:spacing w:before="0"/>
              <w:rPr>
                <w:bCs/>
                <w:szCs w:val="24"/>
                <w:lang w:val="fr-CH"/>
              </w:rPr>
            </w:pPr>
            <w:r w:rsidRPr="000454A8">
              <w:rPr>
                <w:rFonts w:ascii="Verdana" w:hAnsi="Verdana"/>
                <w:b/>
                <w:sz w:val="20"/>
                <w:lang w:val="fr-CH"/>
              </w:rPr>
              <w:t>Addendum 12 au</w:t>
            </w:r>
            <w:r w:rsidRPr="000454A8">
              <w:rPr>
                <w:rFonts w:ascii="Verdana" w:hAnsi="Verdana"/>
                <w:b/>
                <w:sz w:val="20"/>
                <w:lang w:val="fr-CH"/>
              </w:rPr>
              <w:br/>
              <w:t>Document CMDT-17/22</w:t>
            </w:r>
            <w:r w:rsidR="00700D0A" w:rsidRPr="000454A8">
              <w:rPr>
                <w:rFonts w:ascii="Verdana" w:hAnsi="Verdana"/>
                <w:b/>
                <w:sz w:val="20"/>
                <w:lang w:val="fr-CH"/>
              </w:rPr>
              <w:t>-</w:t>
            </w:r>
            <w:r w:rsidRPr="000454A8">
              <w:rPr>
                <w:rFonts w:ascii="Verdana" w:hAnsi="Verdana"/>
                <w:b/>
                <w:sz w:val="20"/>
                <w:lang w:val="fr-CH"/>
              </w:rPr>
              <w:t>F</w:t>
            </w:r>
          </w:p>
        </w:tc>
      </w:tr>
      <w:tr w:rsidR="00D42EE8" w:rsidRPr="000454A8" w:rsidTr="00414523">
        <w:trPr>
          <w:cantSplit/>
        </w:trPr>
        <w:tc>
          <w:tcPr>
            <w:tcW w:w="6628" w:type="dxa"/>
            <w:gridSpan w:val="2"/>
          </w:tcPr>
          <w:p w:rsidR="00D42EE8" w:rsidRPr="000454A8" w:rsidRDefault="00D42EE8" w:rsidP="00213C92">
            <w:pPr>
              <w:spacing w:before="0"/>
              <w:rPr>
                <w:b/>
                <w:bCs/>
                <w:smallCaps/>
                <w:szCs w:val="24"/>
                <w:lang w:val="fr-CH"/>
              </w:rPr>
            </w:pPr>
            <w:bookmarkStart w:id="3" w:name="ddate" w:colFirst="1" w:colLast="1"/>
            <w:bookmarkEnd w:id="2"/>
          </w:p>
        </w:tc>
        <w:tc>
          <w:tcPr>
            <w:tcW w:w="3437" w:type="dxa"/>
          </w:tcPr>
          <w:p w:rsidR="00D42EE8" w:rsidRPr="000454A8" w:rsidRDefault="00000B37" w:rsidP="00213C92">
            <w:pPr>
              <w:spacing w:before="0"/>
              <w:rPr>
                <w:bCs/>
                <w:szCs w:val="24"/>
                <w:lang w:val="fr-CH"/>
              </w:rPr>
            </w:pPr>
            <w:r w:rsidRPr="000454A8">
              <w:rPr>
                <w:rFonts w:ascii="Verdana" w:hAnsi="Verdana"/>
                <w:b/>
                <w:sz w:val="20"/>
                <w:lang w:val="fr-CH"/>
              </w:rPr>
              <w:t>29 août 2017</w:t>
            </w:r>
          </w:p>
        </w:tc>
      </w:tr>
      <w:tr w:rsidR="00D42EE8" w:rsidRPr="000454A8" w:rsidTr="00414523">
        <w:trPr>
          <w:cantSplit/>
        </w:trPr>
        <w:tc>
          <w:tcPr>
            <w:tcW w:w="6628" w:type="dxa"/>
            <w:gridSpan w:val="2"/>
          </w:tcPr>
          <w:p w:rsidR="00D42EE8" w:rsidRPr="000454A8" w:rsidRDefault="00D42EE8" w:rsidP="00213C92">
            <w:pPr>
              <w:spacing w:before="0"/>
              <w:rPr>
                <w:b/>
                <w:bCs/>
                <w:smallCaps/>
                <w:szCs w:val="24"/>
                <w:lang w:val="fr-CH"/>
              </w:rPr>
            </w:pPr>
            <w:bookmarkStart w:id="4" w:name="dorlang" w:colFirst="1" w:colLast="1"/>
            <w:bookmarkEnd w:id="3"/>
          </w:p>
        </w:tc>
        <w:tc>
          <w:tcPr>
            <w:tcW w:w="3437" w:type="dxa"/>
          </w:tcPr>
          <w:p w:rsidR="00D42EE8" w:rsidRPr="000454A8" w:rsidRDefault="00000B37" w:rsidP="00213C92">
            <w:pPr>
              <w:spacing w:before="0"/>
              <w:rPr>
                <w:b/>
                <w:bCs/>
                <w:szCs w:val="24"/>
                <w:lang w:val="fr-CH"/>
              </w:rPr>
            </w:pPr>
            <w:r w:rsidRPr="000454A8">
              <w:rPr>
                <w:rFonts w:ascii="Verdana" w:hAnsi="Verdana"/>
                <w:b/>
                <w:sz w:val="20"/>
                <w:lang w:val="fr-CH"/>
              </w:rPr>
              <w:t>Original: anglais</w:t>
            </w:r>
          </w:p>
        </w:tc>
      </w:tr>
      <w:tr w:rsidR="00D42EE8" w:rsidRPr="000454A8" w:rsidTr="00414523">
        <w:trPr>
          <w:cantSplit/>
        </w:trPr>
        <w:tc>
          <w:tcPr>
            <w:tcW w:w="10065" w:type="dxa"/>
            <w:gridSpan w:val="3"/>
          </w:tcPr>
          <w:p w:rsidR="00D42EE8" w:rsidRPr="000454A8" w:rsidRDefault="005B6CE3" w:rsidP="00213C92">
            <w:pPr>
              <w:pStyle w:val="Source"/>
              <w:tabs>
                <w:tab w:val="clear" w:pos="794"/>
                <w:tab w:val="clear" w:pos="1191"/>
                <w:tab w:val="clear" w:pos="1588"/>
                <w:tab w:val="clear" w:pos="1985"/>
                <w:tab w:val="left" w:pos="1134"/>
                <w:tab w:val="left" w:pos="1871"/>
              </w:tabs>
              <w:spacing w:before="240" w:after="240" w:afterAutospacing="0"/>
              <w:rPr>
                <w:lang w:val="fr-CH"/>
              </w:rPr>
            </w:pPr>
            <w:bookmarkStart w:id="5" w:name="dsource" w:colFirst="1" w:colLast="1"/>
            <w:bookmarkEnd w:id="4"/>
            <w:r w:rsidRPr="000454A8">
              <w:rPr>
                <w:lang w:val="fr-CH"/>
              </w:rPr>
              <w:t>Administrations des pays membres de la Télécommunauté Asie-Pacifique</w:t>
            </w:r>
          </w:p>
        </w:tc>
      </w:tr>
      <w:tr w:rsidR="00D42EE8" w:rsidRPr="000454A8" w:rsidTr="00414523">
        <w:trPr>
          <w:cantSplit/>
        </w:trPr>
        <w:tc>
          <w:tcPr>
            <w:tcW w:w="10065" w:type="dxa"/>
            <w:gridSpan w:val="3"/>
          </w:tcPr>
          <w:p w:rsidR="00D42EE8" w:rsidRPr="000454A8" w:rsidRDefault="002F76A7" w:rsidP="00213C92">
            <w:pPr>
              <w:pStyle w:val="Title1"/>
              <w:tabs>
                <w:tab w:val="clear" w:pos="567"/>
                <w:tab w:val="clear" w:pos="1701"/>
                <w:tab w:val="clear" w:pos="2835"/>
                <w:tab w:val="left" w:pos="1871"/>
              </w:tabs>
              <w:rPr>
                <w:lang w:val="fr-CH"/>
              </w:rPr>
            </w:pPr>
            <w:bookmarkStart w:id="6" w:name="dtitle1" w:colFirst="1" w:colLast="1"/>
            <w:bookmarkEnd w:id="5"/>
            <w:r w:rsidRPr="000454A8">
              <w:rPr>
                <w:lang w:val="fr-CH"/>
              </w:rPr>
              <w:t>NOUVELLE RÉsolution –</w:t>
            </w:r>
            <w:r w:rsidR="00184F7B" w:rsidRPr="000454A8">
              <w:rPr>
                <w:lang w:val="fr-CH"/>
              </w:rPr>
              <w:t xml:space="preserve"> </w:t>
            </w:r>
            <w:r w:rsidR="00F12E61" w:rsidRPr="000454A8">
              <w:rPr>
                <w:lang w:val="fr-CH"/>
              </w:rPr>
              <w:t>promouvoir l'adoption des plate</w:t>
            </w:r>
            <w:r w:rsidR="00814CC0">
              <w:rPr>
                <w:lang w:val="fr-CH"/>
              </w:rPr>
              <w:t>s-</w:t>
            </w:r>
            <w:r w:rsidR="00F12E61" w:rsidRPr="000454A8">
              <w:rPr>
                <w:lang w:val="fr-CH"/>
              </w:rPr>
              <w:t xml:space="preserve">formes, </w:t>
            </w:r>
            <w:r w:rsidR="00595126">
              <w:rPr>
                <w:lang w:val="fr-CH"/>
              </w:rPr>
              <w:br/>
            </w:r>
            <w:r w:rsidR="00F12E61" w:rsidRPr="000454A8">
              <w:rPr>
                <w:lang w:val="fr-CH"/>
              </w:rPr>
              <w:t>des applications et des services de l'internet des objets</w:t>
            </w:r>
            <w:r w:rsidR="00184F7B" w:rsidRPr="000454A8">
              <w:rPr>
                <w:lang w:val="fr-CH"/>
              </w:rPr>
              <w:t xml:space="preserve"> </w:t>
            </w:r>
          </w:p>
        </w:tc>
      </w:tr>
      <w:tr w:rsidR="00863463" w:rsidRPr="000454A8" w:rsidTr="00414523">
        <w:trPr>
          <w:cantSplit/>
        </w:trPr>
        <w:tc>
          <w:tcPr>
            <w:tcW w:w="10065" w:type="dxa"/>
            <w:gridSpan w:val="3"/>
          </w:tcPr>
          <w:p w:rsidR="00863463" w:rsidRPr="000454A8" w:rsidRDefault="00863463" w:rsidP="00213C92">
            <w:pPr>
              <w:jc w:val="center"/>
              <w:rPr>
                <w:lang w:val="fr-CH"/>
              </w:rPr>
            </w:pPr>
          </w:p>
        </w:tc>
      </w:tr>
      <w:tr w:rsidR="00050B25" w:rsidRPr="000454A8" w:rsidTr="00414523">
        <w:trPr>
          <w:cantSplit/>
        </w:trPr>
        <w:tc>
          <w:tcPr>
            <w:tcW w:w="10065" w:type="dxa"/>
            <w:gridSpan w:val="3"/>
            <w:tcBorders>
              <w:top w:val="single" w:sz="4" w:space="0" w:color="auto"/>
              <w:left w:val="single" w:sz="4" w:space="0" w:color="auto"/>
              <w:bottom w:val="single" w:sz="4" w:space="0" w:color="auto"/>
              <w:right w:val="single" w:sz="4" w:space="0" w:color="auto"/>
            </w:tcBorders>
          </w:tcPr>
          <w:p w:rsidR="00050B25" w:rsidRPr="00414523" w:rsidRDefault="00020D4C" w:rsidP="00213C92">
            <w:pPr>
              <w:rPr>
                <w:sz w:val="23"/>
                <w:szCs w:val="23"/>
              </w:rPr>
            </w:pPr>
            <w:r w:rsidRPr="00414523">
              <w:rPr>
                <w:rFonts w:ascii="Calibri" w:eastAsia="SimSun" w:hAnsi="Calibri" w:cs="Traditional Arabic"/>
                <w:b/>
                <w:bCs/>
                <w:sz w:val="23"/>
                <w:szCs w:val="23"/>
                <w:lang w:val="fr-CH"/>
              </w:rPr>
              <w:t>Domaine prioritaire:</w:t>
            </w:r>
          </w:p>
          <w:p w:rsidR="00050B25" w:rsidRPr="00414523" w:rsidRDefault="002F76A7" w:rsidP="00213C92">
            <w:pPr>
              <w:rPr>
                <w:sz w:val="23"/>
                <w:szCs w:val="23"/>
                <w:lang w:val="fr-CH"/>
              </w:rPr>
            </w:pPr>
            <w:r w:rsidRPr="00414523">
              <w:rPr>
                <w:sz w:val="23"/>
                <w:szCs w:val="23"/>
                <w:lang w:val="fr-CH"/>
              </w:rPr>
              <w:t>–</w:t>
            </w:r>
            <w:r w:rsidRPr="00414523">
              <w:rPr>
                <w:sz w:val="23"/>
                <w:szCs w:val="23"/>
                <w:lang w:val="fr-CH"/>
              </w:rPr>
              <w:tab/>
              <w:t>Résolutions et recommandations</w:t>
            </w:r>
          </w:p>
          <w:p w:rsidR="00050B25" w:rsidRPr="00414523" w:rsidRDefault="00020D4C" w:rsidP="00213C92">
            <w:pPr>
              <w:rPr>
                <w:sz w:val="23"/>
                <w:szCs w:val="23"/>
                <w:lang w:val="fr-CH"/>
              </w:rPr>
            </w:pPr>
            <w:r w:rsidRPr="00414523">
              <w:rPr>
                <w:rFonts w:ascii="Calibri" w:eastAsia="SimSun" w:hAnsi="Calibri" w:cs="Traditional Arabic"/>
                <w:b/>
                <w:bCs/>
                <w:sz w:val="23"/>
                <w:szCs w:val="23"/>
                <w:lang w:val="fr-CH"/>
              </w:rPr>
              <w:t>Résumé:</w:t>
            </w:r>
          </w:p>
          <w:p w:rsidR="002D75CE" w:rsidRPr="00414523" w:rsidRDefault="000454A8" w:rsidP="00213C92">
            <w:pPr>
              <w:rPr>
                <w:sz w:val="23"/>
                <w:szCs w:val="23"/>
                <w:lang w:val="fr-CH"/>
              </w:rPr>
            </w:pPr>
            <w:bookmarkStart w:id="7" w:name="lt_pId023"/>
            <w:r w:rsidRPr="00414523">
              <w:rPr>
                <w:sz w:val="23"/>
                <w:szCs w:val="23"/>
                <w:lang w:val="fr-CH"/>
              </w:rPr>
              <w:t>Catalyseur essentiel de la société de l'information, l</w:t>
            </w:r>
            <w:r w:rsidR="00814CC0" w:rsidRPr="00414523">
              <w:rPr>
                <w:sz w:val="23"/>
                <w:szCs w:val="23"/>
                <w:lang w:val="fr-CH"/>
              </w:rPr>
              <w:t>'Internet des objets (IoT) offre</w:t>
            </w:r>
            <w:r w:rsidRPr="00414523">
              <w:rPr>
                <w:sz w:val="23"/>
                <w:szCs w:val="23"/>
                <w:lang w:val="fr-CH"/>
              </w:rPr>
              <w:t xml:space="preserve"> la possibilité de transformer l'infrastructure urbaine, des bâtiments et systèmes de transport intelligent</w:t>
            </w:r>
            <w:r w:rsidR="00814CC0" w:rsidRPr="00414523">
              <w:rPr>
                <w:sz w:val="23"/>
                <w:szCs w:val="23"/>
                <w:lang w:val="fr-CH"/>
              </w:rPr>
              <w:t>s</w:t>
            </w:r>
            <w:r w:rsidRPr="00414523">
              <w:rPr>
                <w:sz w:val="23"/>
                <w:szCs w:val="23"/>
                <w:lang w:val="fr-CH"/>
              </w:rPr>
              <w:t xml:space="preserve"> aux réseaux de gestion intelligente de l'énergie et de l'eau. Selon les estimations figurant dans un rapport paru en 2016, jusqu'à 50 milliards d'appareils pourraient être connectés d'ici à 2020, ce qui affectera pour ainsi dire tous les aspects de notre quotidien.</w:t>
            </w:r>
            <w:r w:rsidR="00814CC0" w:rsidRPr="00414523">
              <w:rPr>
                <w:sz w:val="23"/>
                <w:szCs w:val="23"/>
                <w:lang w:val="fr-CH"/>
              </w:rPr>
              <w:t xml:space="preserve"> Par ailleurs, l'UIT-T a</w:t>
            </w:r>
            <w:r w:rsidR="002D75CE" w:rsidRPr="00414523">
              <w:rPr>
                <w:sz w:val="23"/>
                <w:szCs w:val="23"/>
                <w:lang w:val="fr-CH"/>
              </w:rPr>
              <w:t xml:space="preserve"> mis en place une Commission d'études sur l'Internet des objets et ses applications, y compris les villes et commun</w:t>
            </w:r>
            <w:r w:rsidR="00814CC0" w:rsidRPr="00414523">
              <w:rPr>
                <w:sz w:val="23"/>
                <w:szCs w:val="23"/>
                <w:lang w:val="fr-CH"/>
              </w:rPr>
              <w:t>autés intelligentes (CE 20) chargée de</w:t>
            </w:r>
            <w:r w:rsidR="002D75CE" w:rsidRPr="00414523">
              <w:rPr>
                <w:sz w:val="23"/>
                <w:szCs w:val="23"/>
                <w:lang w:val="fr-CH"/>
              </w:rPr>
              <w:t xml:space="preserve"> travailler sur les besoins de normalisation liés aux technologies IoT.</w:t>
            </w:r>
          </w:p>
          <w:p w:rsidR="002F76A7" w:rsidRPr="00414523" w:rsidRDefault="00814CC0" w:rsidP="00213C92">
            <w:pPr>
              <w:rPr>
                <w:sz w:val="23"/>
                <w:szCs w:val="23"/>
                <w:lang w:val="fr-CH"/>
              </w:rPr>
            </w:pPr>
            <w:r w:rsidRPr="00414523">
              <w:rPr>
                <w:sz w:val="23"/>
                <w:szCs w:val="23"/>
                <w:lang w:val="fr-CH"/>
              </w:rPr>
              <w:t>Vu l'évolution</w:t>
            </w:r>
            <w:r w:rsidR="002D75CE" w:rsidRPr="00414523">
              <w:rPr>
                <w:sz w:val="23"/>
                <w:szCs w:val="23"/>
                <w:lang w:val="fr-CH"/>
              </w:rPr>
              <w:t xml:space="preserve"> de l'Internet des objets et les progrès accomplis depuis la CMDT-14</w:t>
            </w:r>
            <w:r w:rsidRPr="00414523">
              <w:rPr>
                <w:sz w:val="23"/>
                <w:szCs w:val="23"/>
                <w:lang w:val="fr-CH"/>
              </w:rPr>
              <w:t>, et compte tenu</w:t>
            </w:r>
            <w:r w:rsidR="002D75CE" w:rsidRPr="00414523">
              <w:rPr>
                <w:sz w:val="23"/>
                <w:szCs w:val="23"/>
                <w:lang w:val="fr-CH"/>
              </w:rPr>
              <w:t xml:space="preserve"> des différents travaux menés </w:t>
            </w:r>
            <w:r w:rsidRPr="00414523">
              <w:rPr>
                <w:sz w:val="23"/>
                <w:szCs w:val="23"/>
                <w:lang w:val="fr-CH"/>
              </w:rPr>
              <w:t>par</w:t>
            </w:r>
            <w:r w:rsidR="002D75CE" w:rsidRPr="00414523">
              <w:rPr>
                <w:sz w:val="23"/>
                <w:szCs w:val="23"/>
                <w:lang w:val="fr-CH"/>
              </w:rPr>
              <w:t xml:space="preserve"> l'UIT-T et l'UIT-R</w:t>
            </w:r>
            <w:r w:rsidRPr="00414523">
              <w:rPr>
                <w:sz w:val="23"/>
                <w:szCs w:val="23"/>
                <w:lang w:val="fr-CH"/>
              </w:rPr>
              <w:t xml:space="preserve"> dans le domaine de l'Internet des objets</w:t>
            </w:r>
            <w:r w:rsidR="002D75CE" w:rsidRPr="00414523">
              <w:rPr>
                <w:sz w:val="23"/>
                <w:szCs w:val="23"/>
                <w:lang w:val="fr-CH"/>
              </w:rPr>
              <w:t>, les Membres de l'APT so</w:t>
            </w:r>
            <w:r w:rsidRPr="00414523">
              <w:rPr>
                <w:sz w:val="23"/>
                <w:szCs w:val="23"/>
                <w:lang w:val="fr-CH"/>
              </w:rPr>
              <w:t>uhaitent proposer une nouvelle R</w:t>
            </w:r>
            <w:r w:rsidR="002D75CE" w:rsidRPr="00414523">
              <w:rPr>
                <w:sz w:val="23"/>
                <w:szCs w:val="23"/>
                <w:lang w:val="fr-CH"/>
              </w:rPr>
              <w:t xml:space="preserve">ésolution qui </w:t>
            </w:r>
            <w:r w:rsidRPr="00414523">
              <w:rPr>
                <w:sz w:val="23"/>
                <w:szCs w:val="23"/>
                <w:lang w:val="fr-CH"/>
              </w:rPr>
              <w:t>porter</w:t>
            </w:r>
            <w:r w:rsidR="002D75CE" w:rsidRPr="00414523">
              <w:rPr>
                <w:sz w:val="23"/>
                <w:szCs w:val="23"/>
                <w:lang w:val="fr-CH"/>
              </w:rPr>
              <w:t>ait sur la manière dont l'UIT-D pourrait travailler avec l'UIT-T et l'UIT-R pour fournir l'assistance nécessaire aux pays en développement qui s'intéressent au développement et aux technologies de l'Internet des objets.</w:t>
            </w:r>
            <w:bookmarkEnd w:id="7"/>
          </w:p>
          <w:p w:rsidR="00050B25" w:rsidRPr="00414523" w:rsidRDefault="00020D4C" w:rsidP="00213C92">
            <w:pPr>
              <w:rPr>
                <w:sz w:val="23"/>
                <w:szCs w:val="23"/>
                <w:lang w:val="fr-CH"/>
              </w:rPr>
            </w:pPr>
            <w:r w:rsidRPr="00414523">
              <w:rPr>
                <w:rFonts w:ascii="Calibri" w:eastAsia="SimSun" w:hAnsi="Calibri" w:cs="Traditional Arabic"/>
                <w:b/>
                <w:bCs/>
                <w:sz w:val="23"/>
                <w:szCs w:val="23"/>
                <w:lang w:val="fr-CH"/>
              </w:rPr>
              <w:t>Résultats attendus:</w:t>
            </w:r>
          </w:p>
          <w:p w:rsidR="008C023B" w:rsidRPr="00414523" w:rsidRDefault="00814CC0" w:rsidP="008C023B">
            <w:pPr>
              <w:rPr>
                <w:sz w:val="23"/>
                <w:szCs w:val="23"/>
                <w:lang w:val="fr-CH"/>
              </w:rPr>
            </w:pPr>
            <w:bookmarkStart w:id="8" w:name="lt_pId028"/>
            <w:r w:rsidRPr="00414523">
              <w:rPr>
                <w:sz w:val="23"/>
                <w:szCs w:val="23"/>
                <w:lang w:val="fr-CH"/>
              </w:rPr>
              <w:t>On trouvera ci-après une n</w:t>
            </w:r>
            <w:r w:rsidR="002D75CE" w:rsidRPr="00414523">
              <w:rPr>
                <w:sz w:val="23"/>
                <w:szCs w:val="23"/>
                <w:lang w:val="fr-CH"/>
              </w:rPr>
              <w:t>ouvelle Résolution</w:t>
            </w:r>
            <w:r w:rsidR="006947A5" w:rsidRPr="00414523">
              <w:rPr>
                <w:sz w:val="23"/>
                <w:szCs w:val="23"/>
                <w:lang w:val="fr-CH"/>
              </w:rPr>
              <w:t>,</w:t>
            </w:r>
            <w:r w:rsidRPr="00414523">
              <w:rPr>
                <w:sz w:val="23"/>
                <w:szCs w:val="23"/>
                <w:lang w:val="fr-CH"/>
              </w:rPr>
              <w:t xml:space="preserve"> dont la finalité est de faire la synthèse</w:t>
            </w:r>
            <w:r w:rsidR="002D75CE" w:rsidRPr="00414523">
              <w:rPr>
                <w:sz w:val="23"/>
                <w:szCs w:val="23"/>
                <w:lang w:val="fr-CH"/>
              </w:rPr>
              <w:t xml:space="preserve"> des travaux menés dans le domaine de l'Internet des objets par les trois Secteurs de l'UIT</w:t>
            </w:r>
            <w:r w:rsidRPr="00414523">
              <w:rPr>
                <w:sz w:val="23"/>
                <w:szCs w:val="23"/>
                <w:lang w:val="fr-CH"/>
              </w:rPr>
              <w:t>,</w:t>
            </w:r>
            <w:r w:rsidR="002D75CE" w:rsidRPr="00414523">
              <w:rPr>
                <w:sz w:val="23"/>
                <w:szCs w:val="23"/>
                <w:lang w:val="fr-CH"/>
              </w:rPr>
              <w:t xml:space="preserve"> afin de faciliter le développement et l'adoption de l'Internet des objets, en particulier dans les pays en développement.</w:t>
            </w:r>
            <w:bookmarkEnd w:id="8"/>
          </w:p>
          <w:p w:rsidR="00050B25" w:rsidRPr="00414523" w:rsidRDefault="00020D4C" w:rsidP="008C023B">
            <w:pPr>
              <w:keepNext/>
              <w:keepLines/>
              <w:rPr>
                <w:sz w:val="23"/>
                <w:szCs w:val="23"/>
                <w:lang w:val="fr-CH"/>
              </w:rPr>
            </w:pPr>
            <w:r w:rsidRPr="00414523">
              <w:rPr>
                <w:rFonts w:ascii="Calibri" w:eastAsia="SimSun" w:hAnsi="Calibri" w:cs="Traditional Arabic"/>
                <w:b/>
                <w:bCs/>
                <w:sz w:val="23"/>
                <w:szCs w:val="23"/>
                <w:lang w:val="fr-CH"/>
              </w:rPr>
              <w:t>Références:</w:t>
            </w:r>
          </w:p>
          <w:p w:rsidR="00050B25" w:rsidRPr="00414523" w:rsidRDefault="002F76A7" w:rsidP="008C023B">
            <w:pPr>
              <w:pStyle w:val="enumlev1"/>
              <w:keepNext/>
              <w:keepLines/>
              <w:rPr>
                <w:rFonts w:eastAsiaTheme="minorEastAsia"/>
                <w:sz w:val="23"/>
                <w:szCs w:val="23"/>
                <w:lang w:val="fr-CH"/>
              </w:rPr>
            </w:pPr>
            <w:r w:rsidRPr="00414523">
              <w:rPr>
                <w:sz w:val="23"/>
                <w:szCs w:val="23"/>
                <w:lang w:val="fr-CH"/>
              </w:rPr>
              <w:t>•</w:t>
            </w:r>
            <w:r w:rsidRPr="00414523">
              <w:rPr>
                <w:sz w:val="23"/>
                <w:szCs w:val="23"/>
                <w:lang w:val="fr-CH"/>
              </w:rPr>
              <w:tab/>
              <w:t xml:space="preserve">Résolution 197 (Busan, 2014) de la Conférence de plénipotentiaires </w:t>
            </w:r>
            <w:bookmarkStart w:id="9" w:name="_Toc407016308"/>
            <w:r w:rsidR="000454A8" w:rsidRPr="00414523">
              <w:rPr>
                <w:sz w:val="23"/>
                <w:szCs w:val="23"/>
                <w:lang w:val="fr-CH"/>
              </w:rPr>
              <w:t>"</w:t>
            </w:r>
            <w:r w:rsidRPr="00414523">
              <w:rPr>
                <w:rFonts w:eastAsiaTheme="minorEastAsia"/>
                <w:sz w:val="23"/>
                <w:szCs w:val="23"/>
                <w:lang w:val="fr-CH"/>
              </w:rPr>
              <w:t>Faciliter l'avènement de l'Internet des objets dans la perspec</w:t>
            </w:r>
            <w:bookmarkStart w:id="10" w:name="_GoBack"/>
            <w:bookmarkEnd w:id="10"/>
            <w:r w:rsidRPr="00414523">
              <w:rPr>
                <w:rFonts w:eastAsiaTheme="minorEastAsia"/>
                <w:sz w:val="23"/>
                <w:szCs w:val="23"/>
                <w:lang w:val="fr-CH"/>
              </w:rPr>
              <w:t>tive d'un monde global interconnecté</w:t>
            </w:r>
            <w:bookmarkEnd w:id="9"/>
            <w:r w:rsidR="000454A8" w:rsidRPr="00414523">
              <w:rPr>
                <w:rFonts w:eastAsiaTheme="minorEastAsia"/>
                <w:sz w:val="23"/>
                <w:szCs w:val="23"/>
                <w:lang w:val="fr-CH"/>
              </w:rPr>
              <w:t>"</w:t>
            </w:r>
          </w:p>
          <w:p w:rsidR="002F76A7" w:rsidRPr="00414523" w:rsidRDefault="002F76A7" w:rsidP="008C023B">
            <w:pPr>
              <w:pStyle w:val="enumlev1"/>
              <w:keepNext/>
              <w:keepLines/>
              <w:rPr>
                <w:sz w:val="23"/>
                <w:szCs w:val="23"/>
                <w:lang w:val="fr-CH"/>
              </w:rPr>
            </w:pPr>
            <w:r w:rsidRPr="00414523">
              <w:rPr>
                <w:sz w:val="23"/>
                <w:szCs w:val="23"/>
                <w:lang w:val="fr-CH"/>
              </w:rPr>
              <w:t>•</w:t>
            </w:r>
            <w:r w:rsidRPr="00414523">
              <w:rPr>
                <w:sz w:val="23"/>
                <w:szCs w:val="23"/>
                <w:lang w:val="fr-CH"/>
              </w:rPr>
              <w:tab/>
              <w:t>Résolution UIT</w:t>
            </w:r>
            <w:r w:rsidRPr="00414523">
              <w:rPr>
                <w:sz w:val="23"/>
                <w:szCs w:val="23"/>
                <w:lang w:val="fr-CH"/>
              </w:rPr>
              <w:noBreakHyphen/>
              <w:t xml:space="preserve">R 66 (Genève, 2015) de l'Assemblée des radiocommunications </w:t>
            </w:r>
            <w:r w:rsidR="000454A8" w:rsidRPr="00414523">
              <w:rPr>
                <w:sz w:val="23"/>
                <w:szCs w:val="23"/>
                <w:lang w:val="fr-CH"/>
              </w:rPr>
              <w:t>"E</w:t>
            </w:r>
            <w:r w:rsidRPr="00414523">
              <w:rPr>
                <w:sz w:val="23"/>
                <w:szCs w:val="23"/>
                <w:lang w:val="fr-CH"/>
              </w:rPr>
              <w:t>tudes relatives aux systèmes et applications sans fil pour le développement de l'Internet des objets</w:t>
            </w:r>
            <w:r w:rsidR="000454A8" w:rsidRPr="00414523">
              <w:rPr>
                <w:sz w:val="23"/>
                <w:szCs w:val="23"/>
                <w:lang w:val="fr-CH"/>
              </w:rPr>
              <w:t>"</w:t>
            </w:r>
          </w:p>
          <w:p w:rsidR="002F76A7" w:rsidRPr="000454A8" w:rsidRDefault="002F76A7" w:rsidP="00414523">
            <w:pPr>
              <w:pStyle w:val="enumlev1"/>
              <w:keepNext/>
              <w:keepLines/>
              <w:spacing w:after="80"/>
              <w:rPr>
                <w:szCs w:val="24"/>
                <w:lang w:val="fr-CH"/>
              </w:rPr>
            </w:pPr>
            <w:r w:rsidRPr="00414523">
              <w:rPr>
                <w:sz w:val="23"/>
                <w:szCs w:val="23"/>
                <w:lang w:val="fr-CH"/>
              </w:rPr>
              <w:t>•</w:t>
            </w:r>
            <w:r w:rsidRPr="00414523">
              <w:rPr>
                <w:sz w:val="23"/>
                <w:szCs w:val="23"/>
                <w:lang w:val="fr-CH"/>
              </w:rPr>
              <w:tab/>
              <w:t xml:space="preserve">Résolution 98 (Hammamet, 2016) de l'AMNT </w:t>
            </w:r>
            <w:bookmarkStart w:id="11" w:name="_Toc475539668"/>
            <w:bookmarkStart w:id="12" w:name="_Toc475542377"/>
            <w:bookmarkStart w:id="13" w:name="_Toc476211479"/>
            <w:bookmarkStart w:id="14" w:name="_Toc476213416"/>
            <w:r w:rsidR="000454A8" w:rsidRPr="00414523">
              <w:rPr>
                <w:sz w:val="23"/>
                <w:szCs w:val="23"/>
                <w:lang w:val="fr-CH"/>
              </w:rPr>
              <w:t>"R</w:t>
            </w:r>
            <w:r w:rsidRPr="00414523">
              <w:rPr>
                <w:sz w:val="23"/>
                <w:szCs w:val="23"/>
                <w:lang w:val="fr-CH"/>
              </w:rPr>
              <w:t>enforce</w:t>
            </w:r>
            <w:r w:rsidR="000454A8" w:rsidRPr="00414523">
              <w:rPr>
                <w:sz w:val="23"/>
                <w:szCs w:val="23"/>
                <w:lang w:val="fr-CH"/>
              </w:rPr>
              <w:t>r</w:t>
            </w:r>
            <w:r w:rsidRPr="00414523">
              <w:rPr>
                <w:sz w:val="23"/>
                <w:szCs w:val="23"/>
                <w:lang w:val="fr-CH"/>
              </w:rPr>
              <w:t xml:space="preserve"> la normalisation de l'Internet des objets ainsi que des villes et communautés intelligentes pour le développement à l'échelle mondiale</w:t>
            </w:r>
            <w:bookmarkEnd w:id="11"/>
            <w:bookmarkEnd w:id="12"/>
            <w:bookmarkEnd w:id="13"/>
            <w:bookmarkEnd w:id="14"/>
            <w:r w:rsidR="00814CC0" w:rsidRPr="00414523">
              <w:rPr>
                <w:sz w:val="23"/>
                <w:szCs w:val="23"/>
                <w:lang w:val="fr-CH"/>
              </w:rPr>
              <w:t>".</w:t>
            </w:r>
          </w:p>
        </w:tc>
      </w:tr>
    </w:tbl>
    <w:p w:rsidR="00E71FC7" w:rsidRDefault="00FA3BF6" w:rsidP="00FA3BF6">
      <w:pPr>
        <w:pStyle w:val="Headingb"/>
      </w:pPr>
      <w:bookmarkStart w:id="15" w:name="dbreak"/>
      <w:bookmarkEnd w:id="6"/>
      <w:bookmarkEnd w:id="15"/>
      <w:r>
        <w:t>Proposition</w:t>
      </w:r>
    </w:p>
    <w:p w:rsidR="00FA3BF6" w:rsidRDefault="00FA3BF6" w:rsidP="00FA3BF6">
      <w:pPr>
        <w:rPr>
          <w:lang w:val="fr-CH"/>
        </w:rPr>
      </w:pPr>
      <w:r>
        <w:rPr>
          <w:bCs/>
          <w:lang w:val="fr-CH"/>
        </w:rPr>
        <w:t xml:space="preserve">Les Administrations des pays membres de l'APT proposent une nouvelle Résolution, </w:t>
      </w:r>
      <w:r>
        <w:rPr>
          <w:lang w:val="fr-CH"/>
        </w:rPr>
        <w:t>qui vise à renforcer les travaux menés dans le domaine de l'Internet des objets par les trois Secteurs de l'UIT, afin de faciliter le développement et l'adoption de l'Internet des objets, en particulier dans les pays en développement.</w:t>
      </w:r>
    </w:p>
    <w:p w:rsidR="00FA3BF6" w:rsidRPr="00FA3BF6" w:rsidRDefault="00FA3BF6" w:rsidP="00FA3BF6">
      <w:pPr>
        <w:rPr>
          <w:lang w:val="fr-CH"/>
        </w:rPr>
      </w:pPr>
    </w:p>
    <w:p w:rsidR="00E71FC7" w:rsidRPr="000454A8" w:rsidRDefault="00E71FC7" w:rsidP="00213C92">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0454A8">
        <w:rPr>
          <w:lang w:val="fr-CH"/>
        </w:rPr>
        <w:br w:type="page"/>
      </w:r>
    </w:p>
    <w:p w:rsidR="00050B25" w:rsidRPr="000454A8" w:rsidRDefault="00020D4C" w:rsidP="00213C92">
      <w:pPr>
        <w:pStyle w:val="Proposal"/>
      </w:pPr>
      <w:r w:rsidRPr="000454A8">
        <w:rPr>
          <w:b/>
        </w:rPr>
        <w:lastRenderedPageBreak/>
        <w:t>ADD</w:t>
      </w:r>
      <w:r w:rsidRPr="000454A8">
        <w:tab/>
        <w:t>ACP/22A12/1</w:t>
      </w:r>
    </w:p>
    <w:p w:rsidR="00050B25" w:rsidRPr="000454A8" w:rsidRDefault="002F76A7" w:rsidP="00213C92">
      <w:pPr>
        <w:pStyle w:val="ResNo"/>
        <w:rPr>
          <w:lang w:val="fr-CH"/>
        </w:rPr>
      </w:pPr>
      <w:r w:rsidRPr="000454A8">
        <w:rPr>
          <w:lang w:val="fr-CH"/>
        </w:rPr>
        <w:t>PROJET DE NOUVELLE RÉSOLUTION [ACP-2]</w:t>
      </w:r>
    </w:p>
    <w:p w:rsidR="002F76A7" w:rsidRPr="000454A8" w:rsidRDefault="000454A8" w:rsidP="00414523">
      <w:pPr>
        <w:pStyle w:val="Restitle"/>
        <w:rPr>
          <w:lang w:val="fr-CH"/>
        </w:rPr>
      </w:pPr>
      <w:r w:rsidRPr="000454A8">
        <w:rPr>
          <w:lang w:val="fr-CH"/>
        </w:rPr>
        <w:t>Promouvoir l'adoption des plate</w:t>
      </w:r>
      <w:r w:rsidR="00814CC0">
        <w:rPr>
          <w:lang w:val="fr-CH"/>
        </w:rPr>
        <w:t>s-</w:t>
      </w:r>
      <w:r w:rsidRPr="000454A8">
        <w:rPr>
          <w:lang w:val="fr-CH"/>
        </w:rPr>
        <w:t xml:space="preserve">formes, des applications </w:t>
      </w:r>
      <w:r w:rsidR="00414523">
        <w:rPr>
          <w:lang w:val="fr-CH"/>
        </w:rPr>
        <w:br/>
      </w:r>
      <w:r w:rsidRPr="000454A8">
        <w:rPr>
          <w:lang w:val="fr-CH"/>
        </w:rPr>
        <w:t>et des services de l'</w:t>
      </w:r>
      <w:r w:rsidR="00814CC0">
        <w:rPr>
          <w:lang w:val="fr-CH"/>
        </w:rPr>
        <w:t>I</w:t>
      </w:r>
      <w:r w:rsidRPr="000454A8">
        <w:rPr>
          <w:lang w:val="fr-CH"/>
        </w:rPr>
        <w:t>nternet des objets</w:t>
      </w:r>
    </w:p>
    <w:p w:rsidR="002F76A7" w:rsidRPr="000454A8" w:rsidRDefault="002F76A7" w:rsidP="00213C92">
      <w:pPr>
        <w:pStyle w:val="Normalaftertitle"/>
        <w:rPr>
          <w:szCs w:val="24"/>
          <w:lang w:val="fr-CH"/>
        </w:rPr>
      </w:pPr>
      <w:r w:rsidRPr="000454A8">
        <w:rPr>
          <w:lang w:val="fr-CH"/>
        </w:rPr>
        <w:t>La Conférence mondiale de développement des télécommunications</w:t>
      </w:r>
      <w:r w:rsidRPr="000454A8">
        <w:rPr>
          <w:szCs w:val="24"/>
          <w:lang w:val="fr-CH"/>
        </w:rPr>
        <w:t xml:space="preserve"> (Buenos Aires, 2017),</w:t>
      </w:r>
    </w:p>
    <w:p w:rsidR="002F76A7" w:rsidRPr="000454A8" w:rsidRDefault="002F76A7" w:rsidP="00213C92">
      <w:pPr>
        <w:pStyle w:val="Call"/>
        <w:rPr>
          <w:lang w:val="fr-CH"/>
        </w:rPr>
      </w:pPr>
      <w:r w:rsidRPr="000454A8">
        <w:rPr>
          <w:lang w:val="fr-CH"/>
        </w:rPr>
        <w:t>rappelant</w:t>
      </w:r>
    </w:p>
    <w:p w:rsidR="002F76A7" w:rsidRPr="000454A8" w:rsidRDefault="002F76A7" w:rsidP="00213C92">
      <w:pPr>
        <w:rPr>
          <w:lang w:val="fr-CH"/>
        </w:rPr>
      </w:pPr>
      <w:r w:rsidRPr="000454A8">
        <w:rPr>
          <w:i/>
          <w:iCs/>
          <w:lang w:val="fr-CH"/>
        </w:rPr>
        <w:t>a)</w:t>
      </w:r>
      <w:r w:rsidRPr="000454A8">
        <w:rPr>
          <w:lang w:val="fr-CH"/>
        </w:rPr>
        <w:tab/>
      </w:r>
      <w:r w:rsidR="00814CC0">
        <w:rPr>
          <w:lang w:val="fr-CH"/>
        </w:rPr>
        <w:t xml:space="preserve">la </w:t>
      </w:r>
      <w:r w:rsidRPr="000454A8">
        <w:rPr>
          <w:lang w:val="fr-CH"/>
        </w:rPr>
        <w:t xml:space="preserve">Résolution 139 (Rév. Busan, 2014) de la </w:t>
      </w:r>
      <w:r w:rsidRPr="000454A8">
        <w:rPr>
          <w:rFonts w:eastAsia="Malgun Gothic"/>
          <w:lang w:val="fr-CH"/>
        </w:rPr>
        <w:t>Conférence de plénipotentiaires</w:t>
      </w:r>
      <w:r w:rsidRPr="000454A8">
        <w:rPr>
          <w:lang w:val="fr-CH"/>
        </w:rPr>
        <w:t xml:space="preserve"> </w:t>
      </w:r>
      <w:bookmarkStart w:id="16" w:name="_Toc407016237"/>
      <w:r w:rsidR="00814CC0">
        <w:rPr>
          <w:lang w:val="fr-CH"/>
        </w:rPr>
        <w:t>relative à l'u</w:t>
      </w:r>
      <w:r w:rsidRPr="000454A8">
        <w:rPr>
          <w:lang w:val="fr-CH"/>
        </w:rPr>
        <w:t>tilisation des télécommunications et des technologies de l'information et de la communication pour réduire la fracture numérique et édifier une société de l'information inclusive</w:t>
      </w:r>
      <w:bookmarkEnd w:id="16"/>
      <w:r w:rsidRPr="000454A8">
        <w:rPr>
          <w:lang w:val="fr-CH"/>
        </w:rPr>
        <w:t>;</w:t>
      </w:r>
    </w:p>
    <w:p w:rsidR="002F76A7" w:rsidRPr="000454A8" w:rsidRDefault="002F76A7" w:rsidP="00213C92">
      <w:pPr>
        <w:rPr>
          <w:rFonts w:eastAsiaTheme="minorEastAsia"/>
          <w:lang w:val="fr-CH"/>
        </w:rPr>
      </w:pPr>
      <w:r w:rsidRPr="000454A8">
        <w:rPr>
          <w:i/>
          <w:iCs/>
          <w:lang w:val="fr-CH"/>
        </w:rPr>
        <w:t>b)</w:t>
      </w:r>
      <w:r w:rsidRPr="000454A8">
        <w:rPr>
          <w:lang w:val="fr-CH"/>
        </w:rPr>
        <w:tab/>
      </w:r>
      <w:r w:rsidR="00814CC0">
        <w:rPr>
          <w:lang w:val="fr-CH"/>
        </w:rPr>
        <w:t xml:space="preserve">la </w:t>
      </w:r>
      <w:r w:rsidRPr="000454A8">
        <w:rPr>
          <w:szCs w:val="24"/>
          <w:lang w:val="fr-CH"/>
        </w:rPr>
        <w:t xml:space="preserve">Résolution 197 (Busan, 2014) de la Conférence de plénipotentiaires </w:t>
      </w:r>
      <w:r w:rsidR="000454A8">
        <w:rPr>
          <w:szCs w:val="24"/>
          <w:lang w:val="fr-CH"/>
        </w:rPr>
        <w:t>intitulée "</w:t>
      </w:r>
      <w:r w:rsidRPr="000454A8">
        <w:rPr>
          <w:rFonts w:eastAsiaTheme="minorEastAsia"/>
          <w:lang w:val="fr-CH"/>
        </w:rPr>
        <w:t>Faciliter l'avènement de l'Internet des objets dans la perspective d'un monde global interconnecté</w:t>
      </w:r>
      <w:r w:rsidR="000454A8">
        <w:rPr>
          <w:rFonts w:eastAsiaTheme="minorEastAsia"/>
          <w:lang w:val="fr-CH"/>
        </w:rPr>
        <w:t>"</w:t>
      </w:r>
      <w:r w:rsidRPr="000454A8">
        <w:rPr>
          <w:rFonts w:eastAsiaTheme="minorEastAsia"/>
          <w:lang w:val="fr-CH"/>
        </w:rPr>
        <w:t>;</w:t>
      </w:r>
    </w:p>
    <w:p w:rsidR="002F76A7" w:rsidRPr="000454A8" w:rsidRDefault="002F76A7" w:rsidP="00213C92">
      <w:pPr>
        <w:rPr>
          <w:rFonts w:eastAsiaTheme="minorEastAsia"/>
          <w:lang w:val="fr-CH"/>
        </w:rPr>
      </w:pPr>
      <w:r w:rsidRPr="000454A8">
        <w:rPr>
          <w:rFonts w:eastAsiaTheme="minorEastAsia"/>
          <w:i/>
          <w:iCs/>
          <w:lang w:val="fr-CH"/>
        </w:rPr>
        <w:t>c)</w:t>
      </w:r>
      <w:r w:rsidRPr="000454A8">
        <w:rPr>
          <w:rFonts w:eastAsiaTheme="minorEastAsia"/>
          <w:lang w:val="fr-CH"/>
        </w:rPr>
        <w:tab/>
      </w:r>
      <w:r w:rsidR="00814CC0">
        <w:rPr>
          <w:rFonts w:eastAsiaTheme="minorEastAsia"/>
          <w:lang w:val="fr-CH"/>
        </w:rPr>
        <w:t xml:space="preserve">la </w:t>
      </w:r>
      <w:r w:rsidRPr="000454A8">
        <w:rPr>
          <w:rFonts w:eastAsiaTheme="minorEastAsia"/>
          <w:lang w:val="fr-CH"/>
        </w:rPr>
        <w:t xml:space="preserve">Résolution 200 (Busan, 2014) de la </w:t>
      </w:r>
      <w:r w:rsidRPr="000454A8">
        <w:rPr>
          <w:rFonts w:eastAsia="Malgun Gothic"/>
          <w:lang w:val="fr-CH"/>
        </w:rPr>
        <w:t>Conférence de plénipotentiaires</w:t>
      </w:r>
      <w:r w:rsidRPr="000454A8">
        <w:rPr>
          <w:rFonts w:eastAsiaTheme="minorEastAsia"/>
          <w:lang w:val="fr-CH"/>
        </w:rPr>
        <w:t xml:space="preserve"> </w:t>
      </w:r>
      <w:r w:rsidR="00814CC0">
        <w:rPr>
          <w:rFonts w:eastAsiaTheme="minorEastAsia"/>
          <w:lang w:val="fr-CH"/>
        </w:rPr>
        <w:t xml:space="preserve">sur le </w:t>
      </w:r>
      <w:r w:rsidRPr="000454A8">
        <w:rPr>
          <w:rFonts w:eastAsiaTheme="minorEastAsia"/>
          <w:lang w:val="fr-CH"/>
        </w:rPr>
        <w:t>Programme Connect 2020 pour le développement des télécommunications/technologies de l'information et de la communication dans le monde;</w:t>
      </w:r>
    </w:p>
    <w:p w:rsidR="002F76A7" w:rsidRPr="000454A8" w:rsidRDefault="002F76A7" w:rsidP="00213C92">
      <w:pPr>
        <w:rPr>
          <w:lang w:val="fr-CH"/>
        </w:rPr>
      </w:pPr>
      <w:r w:rsidRPr="000454A8">
        <w:rPr>
          <w:rFonts w:eastAsiaTheme="minorEastAsia"/>
          <w:i/>
          <w:iCs/>
          <w:lang w:val="fr-CH"/>
        </w:rPr>
        <w:t>d)</w:t>
      </w:r>
      <w:r w:rsidRPr="000454A8">
        <w:rPr>
          <w:rFonts w:eastAsiaTheme="minorEastAsia"/>
          <w:lang w:val="fr-CH"/>
        </w:rPr>
        <w:tab/>
      </w:r>
      <w:r w:rsidR="00814CC0">
        <w:rPr>
          <w:rFonts w:eastAsiaTheme="minorEastAsia"/>
          <w:lang w:val="fr-CH"/>
        </w:rPr>
        <w:t xml:space="preserve">la </w:t>
      </w:r>
      <w:r w:rsidRPr="000454A8">
        <w:rPr>
          <w:rFonts w:eastAsiaTheme="minorEastAsia"/>
          <w:lang w:val="fr-CH"/>
        </w:rPr>
        <w:t xml:space="preserve">Résolution 77 (Dubaï, 2014) de la CMDT </w:t>
      </w:r>
      <w:r w:rsidR="00814CC0">
        <w:rPr>
          <w:rFonts w:eastAsiaTheme="minorEastAsia"/>
          <w:lang w:val="fr-CH"/>
        </w:rPr>
        <w:t>relative aux technologies et</w:t>
      </w:r>
      <w:r w:rsidRPr="000454A8">
        <w:rPr>
          <w:rFonts w:eastAsiaTheme="minorEastAsia"/>
          <w:lang w:val="fr-CH"/>
        </w:rPr>
        <w:t xml:space="preserve"> applications large bande au service de la croissance et du développement accrus des services de télécommunication/d'information et de communication et de la connectivité large bande;</w:t>
      </w:r>
    </w:p>
    <w:p w:rsidR="002F76A7" w:rsidRPr="000454A8" w:rsidRDefault="002F76A7" w:rsidP="00213C92">
      <w:pPr>
        <w:rPr>
          <w:lang w:val="fr-CH"/>
        </w:rPr>
      </w:pPr>
      <w:r w:rsidRPr="000454A8">
        <w:rPr>
          <w:i/>
          <w:iCs/>
          <w:lang w:val="fr-CH"/>
        </w:rPr>
        <w:t>e)</w:t>
      </w:r>
      <w:r w:rsidRPr="000454A8">
        <w:rPr>
          <w:lang w:val="fr-CH"/>
        </w:rPr>
        <w:tab/>
      </w:r>
      <w:r w:rsidR="00814CC0">
        <w:rPr>
          <w:lang w:val="fr-CH"/>
        </w:rPr>
        <w:t xml:space="preserve">la </w:t>
      </w:r>
      <w:r w:rsidRPr="000454A8">
        <w:rPr>
          <w:lang w:val="fr-CH"/>
        </w:rPr>
        <w:t>Résolution UIT</w:t>
      </w:r>
      <w:r w:rsidRPr="000454A8">
        <w:rPr>
          <w:lang w:val="fr-CH"/>
        </w:rPr>
        <w:noBreakHyphen/>
        <w:t xml:space="preserve">R 66 (Genève, 2015) de l'Assemblée des radiocommunications </w:t>
      </w:r>
      <w:bookmarkStart w:id="17" w:name="_Toc436918352"/>
      <w:r w:rsidR="00814CC0">
        <w:rPr>
          <w:lang w:val="fr-CH"/>
        </w:rPr>
        <w:t>sur les é</w:t>
      </w:r>
      <w:r w:rsidRPr="000454A8">
        <w:rPr>
          <w:lang w:val="fr-CH"/>
        </w:rPr>
        <w:t>tudes relatives aux systèmes et applications sans fil pour le développement de l'Internet des objets</w:t>
      </w:r>
      <w:bookmarkEnd w:id="17"/>
      <w:r w:rsidRPr="000454A8">
        <w:rPr>
          <w:lang w:val="fr-CH"/>
        </w:rPr>
        <w:t>;</w:t>
      </w:r>
    </w:p>
    <w:p w:rsidR="002F76A7" w:rsidRPr="000454A8" w:rsidRDefault="00C56969" w:rsidP="00213C92">
      <w:pPr>
        <w:rPr>
          <w:lang w:val="fr-CH"/>
        </w:rPr>
      </w:pPr>
      <w:r w:rsidRPr="000454A8">
        <w:rPr>
          <w:i/>
          <w:iCs/>
          <w:lang w:val="fr-CH"/>
        </w:rPr>
        <w:t>f)</w:t>
      </w:r>
      <w:r w:rsidRPr="000454A8">
        <w:rPr>
          <w:lang w:val="fr-CH"/>
        </w:rPr>
        <w:tab/>
      </w:r>
      <w:r w:rsidR="009F04CB">
        <w:rPr>
          <w:lang w:val="fr-CH"/>
        </w:rPr>
        <w:t xml:space="preserve">la </w:t>
      </w:r>
      <w:r w:rsidRPr="000454A8">
        <w:rPr>
          <w:lang w:val="fr-CH"/>
        </w:rPr>
        <w:t xml:space="preserve">Résolution 98 (Hammamet, 2016) de l'Assemblée mondiale de normalisation des télécommunications </w:t>
      </w:r>
      <w:r w:rsidR="009F04CB">
        <w:rPr>
          <w:lang w:val="fr-CH"/>
        </w:rPr>
        <w:t xml:space="preserve">intitulée </w:t>
      </w:r>
      <w:r w:rsidR="000454A8">
        <w:rPr>
          <w:lang w:val="fr-CH"/>
        </w:rPr>
        <w:t>"Renforcer</w:t>
      </w:r>
      <w:r w:rsidR="00574C67" w:rsidRPr="000454A8">
        <w:rPr>
          <w:lang w:val="fr-CH"/>
        </w:rPr>
        <w:t xml:space="preserve"> la normalisation de l'Internet des objets ainsi que des villes et communautés intelligentes pour le développement à l'échelle mondiale</w:t>
      </w:r>
      <w:r w:rsidR="000454A8">
        <w:rPr>
          <w:lang w:val="fr-CH"/>
        </w:rPr>
        <w:t>"</w:t>
      </w:r>
      <w:r w:rsidR="00574C67" w:rsidRPr="000454A8">
        <w:rPr>
          <w:lang w:val="fr-CH"/>
        </w:rPr>
        <w:t>,</w:t>
      </w:r>
    </w:p>
    <w:p w:rsidR="002F76A7" w:rsidRPr="000454A8" w:rsidRDefault="00574C67" w:rsidP="00213C92">
      <w:pPr>
        <w:pStyle w:val="Call"/>
        <w:rPr>
          <w:lang w:val="fr-CH"/>
        </w:rPr>
      </w:pPr>
      <w:r w:rsidRPr="000454A8">
        <w:rPr>
          <w:lang w:val="fr-CH"/>
        </w:rPr>
        <w:t>reconnaissant</w:t>
      </w:r>
    </w:p>
    <w:p w:rsidR="002D75CE" w:rsidRDefault="00574C67" w:rsidP="00213C92">
      <w:pPr>
        <w:rPr>
          <w:lang w:val="fr-CH"/>
        </w:rPr>
      </w:pPr>
      <w:bookmarkStart w:id="18" w:name="lt_pId054"/>
      <w:r w:rsidRPr="000454A8">
        <w:rPr>
          <w:i/>
          <w:iCs/>
          <w:lang w:val="fr-CH"/>
        </w:rPr>
        <w:t>a)</w:t>
      </w:r>
      <w:bookmarkEnd w:id="18"/>
      <w:r w:rsidRPr="000454A8">
        <w:rPr>
          <w:lang w:val="fr-CH"/>
        </w:rPr>
        <w:tab/>
      </w:r>
      <w:bookmarkStart w:id="19" w:name="lt_pId055"/>
      <w:r w:rsidR="002D75CE">
        <w:rPr>
          <w:lang w:val="fr-CH"/>
        </w:rPr>
        <w:t xml:space="preserve">que l'UIT </w:t>
      </w:r>
      <w:r w:rsidR="002D75CE" w:rsidRPr="002D75CE">
        <w:rPr>
          <w:lang w:val="fr-CH"/>
        </w:rPr>
        <w:t>est la principale institution des Nations Unies pour les technologies de l'information et de la communication</w:t>
      </w:r>
      <w:r w:rsidR="009F04CB">
        <w:rPr>
          <w:lang w:val="fr-CH"/>
        </w:rPr>
        <w:t xml:space="preserve"> (TIC)</w:t>
      </w:r>
      <w:r w:rsidR="002D75CE">
        <w:rPr>
          <w:lang w:val="fr-CH"/>
        </w:rPr>
        <w:t>;</w:t>
      </w:r>
    </w:p>
    <w:p w:rsidR="00752994" w:rsidRDefault="00574C67" w:rsidP="00213C92">
      <w:pPr>
        <w:rPr>
          <w:lang w:val="fr-CH"/>
        </w:rPr>
      </w:pPr>
      <w:bookmarkStart w:id="20" w:name="lt_pId056"/>
      <w:bookmarkEnd w:id="19"/>
      <w:r w:rsidRPr="000454A8">
        <w:rPr>
          <w:i/>
          <w:iCs/>
          <w:lang w:val="fr-CH"/>
        </w:rPr>
        <w:t>b)</w:t>
      </w:r>
      <w:bookmarkEnd w:id="20"/>
      <w:r w:rsidRPr="000454A8">
        <w:rPr>
          <w:lang w:val="fr-CH"/>
        </w:rPr>
        <w:tab/>
      </w:r>
      <w:bookmarkStart w:id="21" w:name="lt_pId057"/>
      <w:r w:rsidR="00752994">
        <w:rPr>
          <w:lang w:val="fr-CH"/>
        </w:rPr>
        <w:t xml:space="preserve">le potentiel des TIC en tant que moteur </w:t>
      </w:r>
      <w:r w:rsidR="009F04CB">
        <w:rPr>
          <w:lang w:val="fr-CH"/>
        </w:rPr>
        <w:t xml:space="preserve">essentiel </w:t>
      </w:r>
      <w:r w:rsidR="00752994">
        <w:rPr>
          <w:lang w:val="fr-CH"/>
        </w:rPr>
        <w:t>du développement socio-économique</w:t>
      </w:r>
      <w:r w:rsidR="00595126">
        <w:rPr>
          <w:lang w:val="fr-CH"/>
        </w:rPr>
        <w:t>,</w:t>
      </w:r>
      <w:r w:rsidR="00752994">
        <w:rPr>
          <w:lang w:val="fr-CH"/>
        </w:rPr>
        <w:t xml:space="preserve"> qu</w:t>
      </w:r>
      <w:r w:rsidR="009F04CB">
        <w:rPr>
          <w:lang w:val="fr-CH"/>
        </w:rPr>
        <w:t>e l'on peut</w:t>
      </w:r>
      <w:r w:rsidR="00752994">
        <w:rPr>
          <w:lang w:val="fr-CH"/>
        </w:rPr>
        <w:t xml:space="preserve"> continuer à exploiter pour atteindre les 17 Objectifs de développem</w:t>
      </w:r>
      <w:r w:rsidR="009F04CB">
        <w:rPr>
          <w:lang w:val="fr-CH"/>
        </w:rPr>
        <w:t>ent durable (ODD) adoptés par</w:t>
      </w:r>
      <w:r w:rsidR="00752994">
        <w:rPr>
          <w:lang w:val="fr-CH"/>
        </w:rPr>
        <w:t xml:space="preserve"> l'Assem</w:t>
      </w:r>
      <w:r w:rsidR="009F04CB">
        <w:rPr>
          <w:lang w:val="fr-CH"/>
        </w:rPr>
        <w:t>blée générale des Nations Unies</w:t>
      </w:r>
      <w:r w:rsidR="009F04CB" w:rsidRPr="009F04CB">
        <w:rPr>
          <w:lang w:val="fr-CH"/>
        </w:rPr>
        <w:t xml:space="preserve"> </w:t>
      </w:r>
      <w:r w:rsidR="009F04CB">
        <w:rPr>
          <w:lang w:val="fr-CH"/>
        </w:rPr>
        <w:t>dans sa Résolution 70/1</w:t>
      </w:r>
      <w:r w:rsidR="00752994">
        <w:rPr>
          <w:lang w:val="fr-CH"/>
        </w:rPr>
        <w:t>;</w:t>
      </w:r>
    </w:p>
    <w:p w:rsidR="00752994" w:rsidRDefault="00574C67" w:rsidP="00414523">
      <w:pPr>
        <w:rPr>
          <w:lang w:val="fr-CH"/>
        </w:rPr>
      </w:pPr>
      <w:bookmarkStart w:id="22" w:name="lt_pId058"/>
      <w:bookmarkEnd w:id="21"/>
      <w:r w:rsidRPr="000454A8">
        <w:rPr>
          <w:i/>
          <w:iCs/>
          <w:lang w:val="fr-CH"/>
        </w:rPr>
        <w:t>c)</w:t>
      </w:r>
      <w:bookmarkEnd w:id="22"/>
      <w:r w:rsidRPr="000454A8">
        <w:rPr>
          <w:lang w:val="fr-CH"/>
        </w:rPr>
        <w:tab/>
      </w:r>
      <w:bookmarkStart w:id="23" w:name="lt_pId059"/>
      <w:r w:rsidR="00752994" w:rsidRPr="00752994">
        <w:rPr>
          <w:lang w:val="fr-CH"/>
        </w:rPr>
        <w:t xml:space="preserve">le processus d'examen du SMSI+10, </w:t>
      </w:r>
      <w:r w:rsidR="00752994">
        <w:rPr>
          <w:lang w:val="fr-CH"/>
        </w:rPr>
        <w:t xml:space="preserve">en particulier la Résolution 70/125 de l'Assemblée générale des Nations Unies sur </w:t>
      </w:r>
      <w:r w:rsidR="00752994" w:rsidRPr="00752994">
        <w:rPr>
          <w:lang w:val="fr-CH"/>
        </w:rPr>
        <w:t>l’examen d’ensemble de</w:t>
      </w:r>
      <w:r w:rsidR="00752994">
        <w:rPr>
          <w:lang w:val="fr-CH"/>
        </w:rPr>
        <w:t xml:space="preserve"> </w:t>
      </w:r>
      <w:r w:rsidR="00752994" w:rsidRPr="00752994">
        <w:rPr>
          <w:lang w:val="fr-CH"/>
        </w:rPr>
        <w:t xml:space="preserve">la mise en </w:t>
      </w:r>
      <w:r w:rsidR="00414523">
        <w:rPr>
          <w:lang w:val="fr-CH"/>
        </w:rPr>
        <w:t>oe</w:t>
      </w:r>
      <w:r w:rsidR="00752994" w:rsidRPr="00752994">
        <w:rPr>
          <w:lang w:val="fr-CH"/>
        </w:rPr>
        <w:t>uvre des textes issus du Sommet mondial</w:t>
      </w:r>
      <w:r w:rsidR="00752994">
        <w:rPr>
          <w:lang w:val="fr-CH"/>
        </w:rPr>
        <w:t xml:space="preserve"> </w:t>
      </w:r>
      <w:r w:rsidR="00752994" w:rsidRPr="00752994">
        <w:rPr>
          <w:lang w:val="fr-CH"/>
        </w:rPr>
        <w:t>sur la société de l’information</w:t>
      </w:r>
      <w:r w:rsidR="00752994">
        <w:rPr>
          <w:lang w:val="fr-CH"/>
        </w:rPr>
        <w:t xml:space="preserve"> (SMSI) et la </w:t>
      </w:r>
      <w:r w:rsidR="00752994" w:rsidRPr="00752994">
        <w:rPr>
          <w:lang w:val="fr-CH"/>
        </w:rPr>
        <w:t xml:space="preserve">Déclaration du SMSI+10 sur la mise en </w:t>
      </w:r>
      <w:r w:rsidR="00414523">
        <w:rPr>
          <w:lang w:val="fr-CH"/>
        </w:rPr>
        <w:t>oe</w:t>
      </w:r>
      <w:r w:rsidR="00752994" w:rsidRPr="00752994">
        <w:rPr>
          <w:lang w:val="fr-CH"/>
        </w:rPr>
        <w:t>uvre des résultats du SMSI</w:t>
      </w:r>
      <w:r w:rsidR="00752994">
        <w:rPr>
          <w:lang w:val="fr-CH"/>
        </w:rPr>
        <w:t>;</w:t>
      </w:r>
    </w:p>
    <w:bookmarkEnd w:id="23"/>
    <w:p w:rsidR="00752994" w:rsidRDefault="002645BF" w:rsidP="003D50A5">
      <w:pPr>
        <w:rPr>
          <w:lang w:val="fr-CH"/>
        </w:rPr>
      </w:pPr>
      <w:r w:rsidRPr="000454A8">
        <w:rPr>
          <w:i/>
          <w:iCs/>
          <w:lang w:val="fr-CH"/>
        </w:rPr>
        <w:t>d)</w:t>
      </w:r>
      <w:r w:rsidRPr="000454A8">
        <w:rPr>
          <w:lang w:val="fr-CH"/>
        </w:rPr>
        <w:tab/>
      </w:r>
      <w:r w:rsidR="00F31DAD">
        <w:rPr>
          <w:lang w:val="fr-CH"/>
        </w:rPr>
        <w:t xml:space="preserve">les travaux menés </w:t>
      </w:r>
      <w:r w:rsidR="009F04CB">
        <w:rPr>
          <w:lang w:val="fr-CH"/>
        </w:rPr>
        <w:t>au titre de</w:t>
      </w:r>
      <w:r w:rsidR="00F31DAD">
        <w:rPr>
          <w:lang w:val="fr-CH"/>
        </w:rPr>
        <w:t xml:space="preserve"> la Question 1/2 </w:t>
      </w:r>
      <w:r w:rsidR="00675164" w:rsidRPr="000454A8">
        <w:rPr>
          <w:lang w:val="fr-CH"/>
        </w:rPr>
        <w:t>"Créer la société intelligente: les applications des TIC au service du développement socio-économique"</w:t>
      </w:r>
      <w:r w:rsidR="00F31DAD" w:rsidRPr="00F31DAD">
        <w:rPr>
          <w:lang w:val="fr-CH"/>
        </w:rPr>
        <w:t xml:space="preserve"> </w:t>
      </w:r>
      <w:r w:rsidR="00F31DAD">
        <w:rPr>
          <w:lang w:val="fr-CH"/>
        </w:rPr>
        <w:t>confiée à la Commission d'études 2 de l'UIT-D</w:t>
      </w:r>
      <w:r w:rsidR="00675164" w:rsidRPr="000454A8">
        <w:rPr>
          <w:lang w:val="fr-CH"/>
        </w:rPr>
        <w:t xml:space="preserve">, </w:t>
      </w:r>
      <w:r w:rsidR="00F31DAD">
        <w:rPr>
          <w:lang w:val="fr-CH"/>
        </w:rPr>
        <w:t xml:space="preserve">les travaux de </w:t>
      </w:r>
      <w:r w:rsidR="00675164" w:rsidRPr="000454A8">
        <w:rPr>
          <w:lang w:val="fr-CH"/>
        </w:rPr>
        <w:t>la Commission d'études 20 de l'UIT</w:t>
      </w:r>
      <w:r w:rsidR="00675164" w:rsidRPr="000454A8">
        <w:rPr>
          <w:lang w:val="fr-CH"/>
        </w:rPr>
        <w:noBreakHyphen/>
        <w:t xml:space="preserve">T (CE 20) sur "L'Internet des objets et ses applications, y compris les villes et les </w:t>
      </w:r>
      <w:r w:rsidR="009F04CB">
        <w:rPr>
          <w:lang w:val="fr-CH"/>
        </w:rPr>
        <w:t>communautés intelligentes"</w:t>
      </w:r>
      <w:r w:rsidR="00675164" w:rsidRPr="000454A8">
        <w:rPr>
          <w:lang w:val="fr-CH"/>
        </w:rPr>
        <w:t xml:space="preserve"> </w:t>
      </w:r>
      <w:r w:rsidR="00752994">
        <w:rPr>
          <w:lang w:val="fr-CH"/>
        </w:rPr>
        <w:t xml:space="preserve">et les autres études pertinentes </w:t>
      </w:r>
      <w:r w:rsidR="00752994">
        <w:rPr>
          <w:lang w:val="fr-CH"/>
        </w:rPr>
        <w:lastRenderedPageBreak/>
        <w:t xml:space="preserve">menées par l'UIT-R, y compris sur </w:t>
      </w:r>
      <w:r w:rsidR="00EF0C31" w:rsidRPr="00EF0C31">
        <w:rPr>
          <w:lang w:val="fr-CH"/>
        </w:rPr>
        <w:t>les aspects techniques et opérationnels des réseaux et systèmes de radiocommunication pour l'Internet des objets</w:t>
      </w:r>
      <w:r w:rsidR="00F31DAD">
        <w:rPr>
          <w:lang w:val="fr-CH"/>
        </w:rPr>
        <w:t>,</w:t>
      </w:r>
    </w:p>
    <w:p w:rsidR="00574C67" w:rsidRPr="000454A8" w:rsidRDefault="00675164" w:rsidP="00213C92">
      <w:pPr>
        <w:pStyle w:val="Call"/>
        <w:rPr>
          <w:lang w:val="fr-CH"/>
        </w:rPr>
      </w:pPr>
      <w:r w:rsidRPr="000454A8">
        <w:rPr>
          <w:lang w:val="fr-CH"/>
        </w:rPr>
        <w:t>notant</w:t>
      </w:r>
    </w:p>
    <w:p w:rsidR="00675164" w:rsidRPr="000454A8" w:rsidRDefault="00675164" w:rsidP="00213C92">
      <w:pPr>
        <w:rPr>
          <w:lang w:val="fr-CH"/>
        </w:rPr>
      </w:pPr>
      <w:r w:rsidRPr="000454A8">
        <w:rPr>
          <w:i/>
          <w:iCs/>
          <w:lang w:val="fr-CH"/>
        </w:rPr>
        <w:t>a)</w:t>
      </w:r>
      <w:r w:rsidRPr="000454A8">
        <w:rPr>
          <w:lang w:val="fr-CH"/>
        </w:rPr>
        <w:tab/>
        <w:t xml:space="preserve">que l'Internet des objets </w:t>
      </w:r>
      <w:r w:rsidR="00F31DAD">
        <w:rPr>
          <w:lang w:val="fr-CH"/>
        </w:rPr>
        <w:t>aura d'importantes retombées dans de nombreux secteurs différents</w:t>
      </w:r>
      <w:r w:rsidRPr="000454A8">
        <w:rPr>
          <w:lang w:val="fr-CH"/>
        </w:rPr>
        <w:t xml:space="preserve">, </w:t>
      </w:r>
      <w:r w:rsidR="009F04CB">
        <w:rPr>
          <w:lang w:val="fr-CH"/>
        </w:rPr>
        <w:t>notamment</w:t>
      </w:r>
      <w:r w:rsidRPr="000454A8">
        <w:rPr>
          <w:lang w:val="fr-CH"/>
        </w:rPr>
        <w:t xml:space="preserve"> dans les secteurs de l'énergie, des transports, de la santé, de l'agriculture, etc.;</w:t>
      </w:r>
    </w:p>
    <w:p w:rsidR="00675164" w:rsidRPr="000454A8" w:rsidRDefault="00675164" w:rsidP="00213C92">
      <w:pPr>
        <w:rPr>
          <w:lang w:val="fr-CH"/>
        </w:rPr>
      </w:pPr>
      <w:r w:rsidRPr="000454A8">
        <w:rPr>
          <w:i/>
          <w:iCs/>
          <w:lang w:val="fr-CH"/>
        </w:rPr>
        <w:t>b)</w:t>
      </w:r>
      <w:r w:rsidRPr="000454A8">
        <w:rPr>
          <w:lang w:val="fr-CH"/>
        </w:rPr>
        <w:tab/>
        <w:t xml:space="preserve">que </w:t>
      </w:r>
      <w:r w:rsidR="009F04CB">
        <w:rPr>
          <w:lang w:val="fr-CH"/>
        </w:rPr>
        <w:t xml:space="preserve">l'utilisation de </w:t>
      </w:r>
      <w:r w:rsidRPr="000454A8">
        <w:rPr>
          <w:lang w:val="fr-CH"/>
        </w:rPr>
        <w:t xml:space="preserve">l'Internet des objets </w:t>
      </w:r>
      <w:r w:rsidR="009F04CB">
        <w:rPr>
          <w:lang w:val="fr-CH"/>
        </w:rPr>
        <w:t>se généralisera de plus en plus dans de nombreux domaines en raison des</w:t>
      </w:r>
      <w:r w:rsidRPr="000454A8">
        <w:rPr>
          <w:lang w:val="fr-CH"/>
        </w:rPr>
        <w:t xml:space="preserve"> applicati</w:t>
      </w:r>
      <w:r w:rsidR="009F04CB">
        <w:rPr>
          <w:lang w:val="fr-CH"/>
        </w:rPr>
        <w:t>ons très diverses dans</w:t>
      </w:r>
      <w:r w:rsidR="00F31DAD">
        <w:rPr>
          <w:lang w:val="fr-CH"/>
        </w:rPr>
        <w:t xml:space="preserve"> le</w:t>
      </w:r>
      <w:r w:rsidRPr="000454A8">
        <w:rPr>
          <w:lang w:val="fr-CH"/>
        </w:rPr>
        <w:t xml:space="preserve"> secteur des TIC et </w:t>
      </w:r>
      <w:r w:rsidR="009F04CB">
        <w:rPr>
          <w:lang w:val="fr-CH"/>
        </w:rPr>
        <w:t>dans d'autres</w:t>
      </w:r>
      <w:r w:rsidRPr="000454A8">
        <w:rPr>
          <w:lang w:val="fr-CH"/>
        </w:rPr>
        <w:t xml:space="preserve"> secteurs;</w:t>
      </w:r>
    </w:p>
    <w:p w:rsidR="00F31DAD" w:rsidRDefault="00675164" w:rsidP="00213C92">
      <w:pPr>
        <w:rPr>
          <w:lang w:val="fr-CH"/>
        </w:rPr>
      </w:pPr>
      <w:r w:rsidRPr="000454A8">
        <w:rPr>
          <w:i/>
          <w:iCs/>
          <w:lang w:val="fr-CH"/>
        </w:rPr>
        <w:t>c)</w:t>
      </w:r>
      <w:r w:rsidRPr="000454A8">
        <w:rPr>
          <w:lang w:val="fr-CH"/>
        </w:rPr>
        <w:tab/>
      </w:r>
      <w:r w:rsidR="00F31DAD">
        <w:rPr>
          <w:lang w:val="fr-CH"/>
        </w:rPr>
        <w:t xml:space="preserve">que le développement de l'Internet des objets </w:t>
      </w:r>
      <w:r w:rsidR="009F04CB">
        <w:rPr>
          <w:lang w:val="fr-CH"/>
        </w:rPr>
        <w:t>dépendra de</w:t>
      </w:r>
      <w:r w:rsidR="00F31DAD">
        <w:rPr>
          <w:lang w:val="fr-CH"/>
        </w:rPr>
        <w:t xml:space="preserve"> la participation active des pouvoirs</w:t>
      </w:r>
      <w:r w:rsidR="009F04CB">
        <w:rPr>
          <w:lang w:val="fr-CH"/>
        </w:rPr>
        <w:t xml:space="preserve"> publics, du secteur privé et d'</w:t>
      </w:r>
      <w:r w:rsidR="00F31DAD">
        <w:rPr>
          <w:lang w:val="fr-CH"/>
        </w:rPr>
        <w:t>autres organisations et parties prenantes concernées;</w:t>
      </w:r>
    </w:p>
    <w:p w:rsidR="00F31DAD" w:rsidRDefault="00675164" w:rsidP="00213C92">
      <w:pPr>
        <w:rPr>
          <w:lang w:val="fr-CH"/>
        </w:rPr>
      </w:pPr>
      <w:r w:rsidRPr="000454A8">
        <w:rPr>
          <w:i/>
          <w:iCs/>
          <w:lang w:val="fr-CH"/>
        </w:rPr>
        <w:t>d)</w:t>
      </w:r>
      <w:r w:rsidRPr="000454A8">
        <w:rPr>
          <w:lang w:val="fr-CH"/>
        </w:rPr>
        <w:tab/>
      </w:r>
      <w:r w:rsidR="00F31DAD" w:rsidRPr="00F31DAD">
        <w:rPr>
          <w:lang w:val="fr-CH"/>
        </w:rPr>
        <w:t>qu'il convient d'accorder une attention particulière aux pays en développement</w:t>
      </w:r>
      <w:r w:rsidR="00F31DAD">
        <w:rPr>
          <w:lang w:val="fr-CH"/>
        </w:rPr>
        <w:t>, en particulier aux pays les m</w:t>
      </w:r>
      <w:r w:rsidR="009F04CB">
        <w:rPr>
          <w:lang w:val="fr-CH"/>
        </w:rPr>
        <w:t>oins avancés (PMA), aux petits E</w:t>
      </w:r>
      <w:r w:rsidR="00F31DAD">
        <w:rPr>
          <w:lang w:val="fr-CH"/>
        </w:rPr>
        <w:t>tats ins</w:t>
      </w:r>
      <w:r w:rsidR="009F04CB">
        <w:rPr>
          <w:lang w:val="fr-CH"/>
        </w:rPr>
        <w:t>ulaires en développement (PEID) et</w:t>
      </w:r>
      <w:r w:rsidR="00F31DAD">
        <w:rPr>
          <w:lang w:val="fr-CH"/>
        </w:rPr>
        <w:t xml:space="preserve"> aux pays en développement sans littoral (PDSL),</w:t>
      </w:r>
      <w:r w:rsidR="006C4745">
        <w:rPr>
          <w:lang w:val="fr-CH"/>
        </w:rPr>
        <w:t xml:space="preserve"> étant donné </w:t>
      </w:r>
      <w:r w:rsidR="009F04CB">
        <w:rPr>
          <w:lang w:val="fr-CH"/>
        </w:rPr>
        <w:t>que ces pays pourraient</w:t>
      </w:r>
      <w:r w:rsidR="006C4745">
        <w:rPr>
          <w:lang w:val="fr-CH"/>
        </w:rPr>
        <w:t xml:space="preserve"> dispose</w:t>
      </w:r>
      <w:r w:rsidR="009F04CB">
        <w:rPr>
          <w:lang w:val="fr-CH"/>
        </w:rPr>
        <w:t>r</w:t>
      </w:r>
      <w:r w:rsidR="006C4745">
        <w:rPr>
          <w:lang w:val="fr-CH"/>
        </w:rPr>
        <w:t xml:space="preserve"> de ressources limitées pour construire une société inclusive,</w:t>
      </w:r>
    </w:p>
    <w:p w:rsidR="00675164" w:rsidRPr="000454A8" w:rsidRDefault="00675164" w:rsidP="00213C92">
      <w:pPr>
        <w:pStyle w:val="Call"/>
        <w:rPr>
          <w:lang w:val="fr-CH"/>
        </w:rPr>
      </w:pPr>
      <w:r w:rsidRPr="000454A8">
        <w:rPr>
          <w:lang w:val="fr-CH"/>
        </w:rPr>
        <w:t>décide</w:t>
      </w:r>
    </w:p>
    <w:p w:rsidR="006C4745" w:rsidRDefault="00BC4301" w:rsidP="00213C92">
      <w:pPr>
        <w:rPr>
          <w:lang w:val="fr-CH"/>
        </w:rPr>
      </w:pPr>
      <w:bookmarkStart w:id="24" w:name="lt_pId073"/>
      <w:r>
        <w:rPr>
          <w:lang w:val="fr-CH"/>
        </w:rPr>
        <w:t>1</w:t>
      </w:r>
      <w:r>
        <w:rPr>
          <w:lang w:val="fr-CH"/>
        </w:rPr>
        <w:tab/>
      </w:r>
      <w:r w:rsidR="006C4745">
        <w:rPr>
          <w:lang w:val="fr-CH"/>
        </w:rPr>
        <w:t xml:space="preserve">que l'UIT-D doit promouvoir le développement des plates-formes IoT et l'adoption d'applications et de services IoT, </w:t>
      </w:r>
      <w:r>
        <w:rPr>
          <w:lang w:val="fr-CH"/>
        </w:rPr>
        <w:t xml:space="preserve">ce </w:t>
      </w:r>
      <w:r w:rsidR="006C4745">
        <w:rPr>
          <w:lang w:val="fr-CH"/>
        </w:rPr>
        <w:t xml:space="preserve">qui contribuera à atteindre les ODD et à mettre en </w:t>
      </w:r>
      <w:r w:rsidR="00A101CE">
        <w:rPr>
          <w:lang w:val="fr-CH"/>
        </w:rPr>
        <w:t>oe</w:t>
      </w:r>
      <w:r w:rsidR="006C4745">
        <w:rPr>
          <w:lang w:val="fr-CH"/>
        </w:rPr>
        <w:t>uvre le Programme Connect 2020</w:t>
      </w:r>
      <w:r>
        <w:rPr>
          <w:lang w:val="fr-CH"/>
        </w:rPr>
        <w:t>;</w:t>
      </w:r>
    </w:p>
    <w:p w:rsidR="006C4745" w:rsidRDefault="00BC4301" w:rsidP="00213C92">
      <w:pPr>
        <w:rPr>
          <w:lang w:val="fr-CH"/>
        </w:rPr>
      </w:pPr>
      <w:r>
        <w:rPr>
          <w:lang w:val="fr-CH"/>
        </w:rPr>
        <w:t>2</w:t>
      </w:r>
      <w:r>
        <w:rPr>
          <w:lang w:val="fr-CH"/>
        </w:rPr>
        <w:tab/>
      </w:r>
      <w:r w:rsidR="006C4745">
        <w:rPr>
          <w:lang w:val="fr-CH"/>
        </w:rPr>
        <w:t>que l'UIT-D, en collaboration avec l'UIT-T et l'UIT-R, doit continuer d'étudier les différents aspects de l'Intern</w:t>
      </w:r>
      <w:r w:rsidR="00A101CE">
        <w:rPr>
          <w:lang w:val="fr-CH"/>
        </w:rPr>
        <w:t>et des objets afin d'aider les E</w:t>
      </w:r>
      <w:r w:rsidR="006C4745">
        <w:rPr>
          <w:lang w:val="fr-CH"/>
        </w:rPr>
        <w:t xml:space="preserve">tats Membres, en particulier les pays en développement, à </w:t>
      </w:r>
      <w:r>
        <w:rPr>
          <w:lang w:val="fr-CH"/>
        </w:rPr>
        <w:t>tirer le plus grand parti possible de</w:t>
      </w:r>
      <w:r w:rsidR="006C4745">
        <w:rPr>
          <w:lang w:val="fr-CH"/>
        </w:rPr>
        <w:t xml:space="preserve"> l'Internet des objets pour favoriser le développement socio-économique tout en </w:t>
      </w:r>
      <w:r>
        <w:rPr>
          <w:lang w:val="fr-CH"/>
        </w:rPr>
        <w:t>surmontant les difficultés</w:t>
      </w:r>
      <w:r w:rsidR="006C4745">
        <w:rPr>
          <w:lang w:val="fr-CH"/>
        </w:rPr>
        <w:t xml:space="preserve"> que pourrait poser le déploiement de l'Internet des objets,</w:t>
      </w:r>
    </w:p>
    <w:p w:rsidR="00675164" w:rsidRPr="000454A8" w:rsidRDefault="00675164" w:rsidP="00213C92">
      <w:pPr>
        <w:pStyle w:val="Call"/>
        <w:rPr>
          <w:lang w:val="fr-CH"/>
        </w:rPr>
      </w:pPr>
      <w:bookmarkStart w:id="25" w:name="lt_pId075"/>
      <w:bookmarkEnd w:id="24"/>
      <w:r w:rsidRPr="000454A8">
        <w:rPr>
          <w:lang w:val="fr-CH"/>
        </w:rPr>
        <w:t xml:space="preserve">charge le Directeur </w:t>
      </w:r>
      <w:bookmarkEnd w:id="25"/>
      <w:r w:rsidR="006C4745">
        <w:rPr>
          <w:lang w:val="fr-CH"/>
        </w:rPr>
        <w:t>du Bureau de développement des télécommunications</w:t>
      </w:r>
    </w:p>
    <w:p w:rsidR="006C4745" w:rsidRDefault="00675164" w:rsidP="00213C92">
      <w:pPr>
        <w:rPr>
          <w:lang w:val="fr-CH"/>
        </w:rPr>
      </w:pPr>
      <w:r w:rsidRPr="000454A8">
        <w:rPr>
          <w:lang w:val="fr-CH"/>
        </w:rPr>
        <w:t>1</w:t>
      </w:r>
      <w:r w:rsidRPr="000454A8">
        <w:rPr>
          <w:lang w:val="fr-CH"/>
        </w:rPr>
        <w:tab/>
      </w:r>
      <w:bookmarkStart w:id="26" w:name="lt_pId077"/>
      <w:r w:rsidR="006C4745">
        <w:rPr>
          <w:lang w:val="fr-CH"/>
        </w:rPr>
        <w:t xml:space="preserve">de fournir un appui aux </w:t>
      </w:r>
      <w:r w:rsidR="00A101CE">
        <w:rPr>
          <w:lang w:val="fr-CH"/>
        </w:rPr>
        <w:t>E</w:t>
      </w:r>
      <w:r w:rsidR="006C4745">
        <w:rPr>
          <w:lang w:val="fr-CH"/>
        </w:rPr>
        <w:t xml:space="preserve">tats Membres, en particulier aux pays en développement, en ce qui concerne l'adoption d'applications et de services IoT </w:t>
      </w:r>
      <w:r w:rsidR="00BC4301">
        <w:rPr>
          <w:lang w:val="fr-CH"/>
        </w:rPr>
        <w:t>dans le cadre d'</w:t>
      </w:r>
      <w:r w:rsidR="006C4745">
        <w:rPr>
          <w:lang w:val="fr-CH"/>
        </w:rPr>
        <w:t xml:space="preserve">activités de renforcement des capacités visant à faciliter </w:t>
      </w:r>
      <w:r w:rsidR="00BC4301">
        <w:rPr>
          <w:lang w:val="fr-CH"/>
        </w:rPr>
        <w:t>l'instauration</w:t>
      </w:r>
      <w:r w:rsidR="006C4745">
        <w:rPr>
          <w:lang w:val="fr-CH"/>
        </w:rPr>
        <w:t xml:space="preserve"> d'environnement</w:t>
      </w:r>
      <w:r w:rsidR="00BC4301">
        <w:rPr>
          <w:lang w:val="fr-CH"/>
        </w:rPr>
        <w:t>s</w:t>
      </w:r>
      <w:r w:rsidR="006C4745">
        <w:rPr>
          <w:lang w:val="fr-CH"/>
        </w:rPr>
        <w:t xml:space="preserve"> propice</w:t>
      </w:r>
      <w:r w:rsidR="00BC4301">
        <w:rPr>
          <w:lang w:val="fr-CH"/>
        </w:rPr>
        <w:t>s</w:t>
      </w:r>
      <w:r w:rsidR="006C4745">
        <w:rPr>
          <w:lang w:val="fr-CH"/>
        </w:rPr>
        <w:t xml:space="preserve"> et le développement de</w:t>
      </w:r>
      <w:r w:rsidR="00BC4301">
        <w:rPr>
          <w:lang w:val="fr-CH"/>
        </w:rPr>
        <w:t xml:space="preserve">s </w:t>
      </w:r>
      <w:r w:rsidR="006C4745">
        <w:rPr>
          <w:lang w:val="fr-CH"/>
        </w:rPr>
        <w:t>infrastructure</w:t>
      </w:r>
      <w:r w:rsidR="00BC4301">
        <w:rPr>
          <w:lang w:val="fr-CH"/>
        </w:rPr>
        <w:t>s;</w:t>
      </w:r>
    </w:p>
    <w:bookmarkEnd w:id="26"/>
    <w:p w:rsidR="006C4745" w:rsidRDefault="00675164" w:rsidP="00213C92">
      <w:pPr>
        <w:rPr>
          <w:lang w:val="fr-CH"/>
        </w:rPr>
      </w:pPr>
      <w:r w:rsidRPr="000454A8">
        <w:rPr>
          <w:lang w:val="fr-CH"/>
        </w:rPr>
        <w:t>2</w:t>
      </w:r>
      <w:r w:rsidRPr="000454A8">
        <w:rPr>
          <w:lang w:val="fr-CH"/>
        </w:rPr>
        <w:tab/>
      </w:r>
      <w:bookmarkStart w:id="27" w:name="lt_pId079"/>
      <w:r w:rsidR="006C4745">
        <w:rPr>
          <w:lang w:val="fr-CH"/>
        </w:rPr>
        <w:t>de faciliter les discussions et les échanges de bonnes pratiques grâce à l'organisation d'ateliers et de programmes de formation sur les plates-formes, les applications et les services</w:t>
      </w:r>
      <w:r w:rsidR="00F107F2">
        <w:rPr>
          <w:lang w:val="fr-CH"/>
        </w:rPr>
        <w:t xml:space="preserve"> IoT</w:t>
      </w:r>
      <w:r w:rsidR="00BC4301">
        <w:rPr>
          <w:lang w:val="fr-CH"/>
        </w:rPr>
        <w:t>;</w:t>
      </w:r>
    </w:p>
    <w:bookmarkEnd w:id="27"/>
    <w:p w:rsidR="00F107F2" w:rsidRDefault="00675164" w:rsidP="00213C92">
      <w:pPr>
        <w:rPr>
          <w:lang w:val="fr-CH"/>
        </w:rPr>
      </w:pPr>
      <w:r w:rsidRPr="000454A8">
        <w:rPr>
          <w:lang w:val="fr-CH"/>
        </w:rPr>
        <w:t>3</w:t>
      </w:r>
      <w:r w:rsidRPr="000454A8">
        <w:rPr>
          <w:lang w:val="fr-CH"/>
        </w:rPr>
        <w:tab/>
      </w:r>
      <w:bookmarkStart w:id="28" w:name="lt_pId081"/>
      <w:r w:rsidR="00F107F2">
        <w:rPr>
          <w:lang w:val="fr-CH"/>
        </w:rPr>
        <w:t>de renforcer la coopération avec les organisations et parties prenantes concernées, y compris avec le secteur privé, afin d'encourager le développement et l'adoption de plates-formes, d'applications et de services IoT</w:t>
      </w:r>
      <w:r w:rsidR="00BC4301">
        <w:rPr>
          <w:lang w:val="fr-CH"/>
        </w:rPr>
        <w:t>;</w:t>
      </w:r>
    </w:p>
    <w:bookmarkEnd w:id="28"/>
    <w:p w:rsidR="00F107F2" w:rsidRDefault="00675164" w:rsidP="00213C92">
      <w:pPr>
        <w:rPr>
          <w:lang w:val="fr-CH"/>
        </w:rPr>
      </w:pPr>
      <w:r w:rsidRPr="000454A8">
        <w:rPr>
          <w:lang w:val="fr-CH"/>
        </w:rPr>
        <w:t>4</w:t>
      </w:r>
      <w:r w:rsidRPr="000454A8">
        <w:rPr>
          <w:lang w:val="fr-CH"/>
        </w:rPr>
        <w:tab/>
      </w:r>
      <w:bookmarkStart w:id="29" w:name="lt_pId083"/>
      <w:r w:rsidR="00F107F2">
        <w:rPr>
          <w:lang w:val="fr-CH"/>
        </w:rPr>
        <w:t xml:space="preserve">de travailler en étroite coopération avec le Directeur du Bureau des </w:t>
      </w:r>
      <w:r w:rsidR="00BC4301">
        <w:rPr>
          <w:lang w:val="fr-CH"/>
        </w:rPr>
        <w:t>radiocommunications (BR) et le D</w:t>
      </w:r>
      <w:r w:rsidR="00F107F2">
        <w:rPr>
          <w:lang w:val="fr-CH"/>
        </w:rPr>
        <w:t>irecteur du Bureau de la normalisation des télécommunications (TSB) afin</w:t>
      </w:r>
      <w:r w:rsidR="00414523">
        <w:rPr>
          <w:lang w:val="fr-CH"/>
        </w:rPr>
        <w:t xml:space="preserve"> de fournir une assistance aux E</w:t>
      </w:r>
      <w:r w:rsidR="00F107F2">
        <w:rPr>
          <w:lang w:val="fr-CH"/>
        </w:rPr>
        <w:t>tats Membres concernant l'utilisation et l'interprétation des Recommandations de l'UIT</w:t>
      </w:r>
      <w:r w:rsidR="00BC4301">
        <w:rPr>
          <w:lang w:val="fr-CH"/>
        </w:rPr>
        <w:t>;</w:t>
      </w:r>
    </w:p>
    <w:bookmarkEnd w:id="29"/>
    <w:p w:rsidR="00D02006" w:rsidRDefault="00675164" w:rsidP="00414523">
      <w:pPr>
        <w:keepNext/>
        <w:keepLines/>
        <w:rPr>
          <w:lang w:val="fr-CH"/>
        </w:rPr>
      </w:pPr>
      <w:r w:rsidRPr="000454A8">
        <w:rPr>
          <w:lang w:val="fr-CH"/>
        </w:rPr>
        <w:lastRenderedPageBreak/>
        <w:t>5</w:t>
      </w:r>
      <w:r w:rsidRPr="000454A8">
        <w:rPr>
          <w:lang w:val="fr-CH"/>
        </w:rPr>
        <w:tab/>
      </w:r>
      <w:bookmarkStart w:id="30" w:name="lt_pId085"/>
      <w:r w:rsidR="00D02006">
        <w:rPr>
          <w:lang w:val="fr-CH"/>
        </w:rPr>
        <w:t xml:space="preserve">de faire </w:t>
      </w:r>
      <w:r w:rsidR="00BC4301">
        <w:rPr>
          <w:lang w:val="fr-CH"/>
        </w:rPr>
        <w:t>la synthèse des travaux menés au sein de</w:t>
      </w:r>
      <w:r w:rsidR="00D02006">
        <w:rPr>
          <w:lang w:val="fr-CH"/>
        </w:rPr>
        <w:t xml:space="preserve"> l'UIT concernant l'Internet des objets, y compris les études portant sur les technologies et les normes ainsi que les recommandations relatives aux politiques et à la réglementation, afin de faciliter le développement et l'adoption de plates-formes, d'applications et de services IoT</w:t>
      </w:r>
      <w:r w:rsidR="00BC4301">
        <w:rPr>
          <w:lang w:val="fr-CH"/>
        </w:rPr>
        <w:t>;</w:t>
      </w:r>
    </w:p>
    <w:bookmarkEnd w:id="30"/>
    <w:p w:rsidR="00D02006" w:rsidRDefault="00675164" w:rsidP="00213C92">
      <w:pPr>
        <w:rPr>
          <w:lang w:val="fr-CH"/>
        </w:rPr>
      </w:pPr>
      <w:r w:rsidRPr="000454A8">
        <w:rPr>
          <w:lang w:val="fr-CH"/>
        </w:rPr>
        <w:t>6</w:t>
      </w:r>
      <w:r w:rsidRPr="000454A8">
        <w:rPr>
          <w:lang w:val="fr-CH"/>
        </w:rPr>
        <w:tab/>
      </w:r>
      <w:bookmarkStart w:id="31" w:name="lt_pId087"/>
      <w:r w:rsidR="00414523">
        <w:rPr>
          <w:lang w:val="fr-CH"/>
        </w:rPr>
        <w:t>de communiquer aux E</w:t>
      </w:r>
      <w:r w:rsidR="00D02006">
        <w:rPr>
          <w:lang w:val="fr-CH"/>
        </w:rPr>
        <w:t>tats Membres les recommandations, les lignes directrices et les résultats découlant d'études connexes,</w:t>
      </w:r>
    </w:p>
    <w:bookmarkEnd w:id="31"/>
    <w:p w:rsidR="00675164" w:rsidRPr="000454A8" w:rsidRDefault="00675164" w:rsidP="00213C92">
      <w:pPr>
        <w:pStyle w:val="Call"/>
        <w:rPr>
          <w:lang w:val="fr-CH"/>
        </w:rPr>
      </w:pPr>
      <w:r w:rsidRPr="000454A8">
        <w:rPr>
          <w:lang w:val="fr-CH"/>
        </w:rPr>
        <w:t>invite les Etats Membres</w:t>
      </w:r>
    </w:p>
    <w:p w:rsidR="00D02006" w:rsidRDefault="00675164" w:rsidP="00213C92">
      <w:pPr>
        <w:rPr>
          <w:lang w:val="fr-CH"/>
        </w:rPr>
      </w:pPr>
      <w:r w:rsidRPr="000454A8">
        <w:rPr>
          <w:lang w:val="fr-CH"/>
        </w:rPr>
        <w:t>1</w:t>
      </w:r>
      <w:r w:rsidRPr="000454A8">
        <w:rPr>
          <w:lang w:val="fr-CH"/>
        </w:rPr>
        <w:tab/>
      </w:r>
      <w:bookmarkStart w:id="32" w:name="lt_pId090"/>
      <w:r w:rsidR="00D02006">
        <w:rPr>
          <w:lang w:val="fr-CH"/>
        </w:rPr>
        <w:t xml:space="preserve">à prendre des mesures afin d'élaborer et de mettre en </w:t>
      </w:r>
      <w:r w:rsidR="00A101CE">
        <w:rPr>
          <w:lang w:val="fr-CH"/>
        </w:rPr>
        <w:t>oe</w:t>
      </w:r>
      <w:r w:rsidR="00D02006">
        <w:rPr>
          <w:lang w:val="fr-CH"/>
        </w:rPr>
        <w:t>uvre des politiques, des réglementations et des normes adaptées propres à favoriser un environnement propice au développement et à l'adoption de plates-formes, d'applications et de services IoT</w:t>
      </w:r>
      <w:r w:rsidR="00BC4301">
        <w:rPr>
          <w:lang w:val="fr-CH"/>
        </w:rPr>
        <w:t>;</w:t>
      </w:r>
    </w:p>
    <w:bookmarkEnd w:id="32"/>
    <w:p w:rsidR="00D02006" w:rsidRDefault="00675164" w:rsidP="00213C92">
      <w:pPr>
        <w:rPr>
          <w:lang w:val="fr-CH"/>
        </w:rPr>
      </w:pPr>
      <w:r w:rsidRPr="000454A8">
        <w:rPr>
          <w:lang w:val="fr-CH"/>
        </w:rPr>
        <w:t>2</w:t>
      </w:r>
      <w:r w:rsidRPr="000454A8">
        <w:rPr>
          <w:lang w:val="fr-CH"/>
        </w:rPr>
        <w:tab/>
      </w:r>
      <w:bookmarkStart w:id="33" w:name="lt_pId092"/>
      <w:r w:rsidR="00D02006">
        <w:rPr>
          <w:lang w:val="fr-CH"/>
        </w:rPr>
        <w:t>à participer activement aux programmes et fo</w:t>
      </w:r>
      <w:r w:rsidR="00BC4301">
        <w:rPr>
          <w:lang w:val="fr-CH"/>
        </w:rPr>
        <w:t>rums régionaux et mondiaux</w:t>
      </w:r>
      <w:r w:rsidR="00D02006">
        <w:rPr>
          <w:lang w:val="fr-CH"/>
        </w:rPr>
        <w:t xml:space="preserve"> se rapportant à l'Internet des objets.</w:t>
      </w:r>
    </w:p>
    <w:bookmarkEnd w:id="33"/>
    <w:p w:rsidR="00050B25" w:rsidRPr="000454A8" w:rsidRDefault="00020D4C" w:rsidP="00213C92">
      <w:pPr>
        <w:pStyle w:val="Reasons"/>
      </w:pPr>
      <w:r w:rsidRPr="000454A8">
        <w:rPr>
          <w:b/>
        </w:rPr>
        <w:t>Motifs:</w:t>
      </w:r>
      <w:r w:rsidRPr="000454A8">
        <w:tab/>
      </w:r>
      <w:bookmarkStart w:id="34" w:name="lt_pId096"/>
      <w:r w:rsidR="00D02006">
        <w:t>Catalyseur essentiel de la société de l'information,</w:t>
      </w:r>
      <w:r w:rsidR="00BC4301">
        <w:t xml:space="preserve"> l'Internet des objets (IoT) offre</w:t>
      </w:r>
      <w:r w:rsidR="00D02006">
        <w:t xml:space="preserve"> la possibilité de transformer l'infrastructure urbaine, des bâtiments et systèmes de transport intelligent</w:t>
      </w:r>
      <w:r w:rsidR="00BC4301">
        <w:t>s</w:t>
      </w:r>
      <w:r w:rsidR="00D02006">
        <w:t xml:space="preserve"> aux réseaux de gestion intelligente de l'énergie et de l'eau. Selon les estimations figurant dans un rapport paru en 2016, jusqu'à 50 milliards d'appareils pourraient être connectés d'ici à 2020, ce qui affectera pour ainsi dire tous les aspects de notre quotidien. Par ailleurs, l'UIT-T </w:t>
      </w:r>
      <w:r w:rsidR="00BC4301">
        <w:t>a</w:t>
      </w:r>
      <w:r w:rsidR="00D02006">
        <w:t xml:space="preserve"> mis en place une Commission d'études sur l'Internet des objets et ses applications, y compris les villes et commu</w:t>
      </w:r>
      <w:r w:rsidR="00BC4301">
        <w:t>nautés intelligentes (CE 20) chargée de</w:t>
      </w:r>
      <w:r w:rsidR="00D02006">
        <w:t xml:space="preserve"> travailler sur les besoins de normalisation liés aux technologies IoT.</w:t>
      </w:r>
      <w:bookmarkEnd w:id="34"/>
    </w:p>
    <w:p w:rsidR="00572D54" w:rsidRDefault="00BC4301" w:rsidP="00213C92">
      <w:pPr>
        <w:rPr>
          <w:lang w:val="fr-CH"/>
        </w:rPr>
      </w:pPr>
      <w:bookmarkStart w:id="35" w:name="lt_pId097"/>
      <w:r>
        <w:rPr>
          <w:lang w:val="fr-CH"/>
        </w:rPr>
        <w:t>Actuellement, aucune R</w:t>
      </w:r>
      <w:r w:rsidR="00572D54">
        <w:rPr>
          <w:lang w:val="fr-CH"/>
        </w:rPr>
        <w:t xml:space="preserve">ésolution de la CMDT ne porte sur l'Internet des objets. Les Membres de l'APT notent que des </w:t>
      </w:r>
      <w:r>
        <w:rPr>
          <w:lang w:val="fr-CH"/>
        </w:rPr>
        <w:t>R</w:t>
      </w:r>
      <w:r w:rsidR="00572D54">
        <w:rPr>
          <w:lang w:val="fr-CH"/>
        </w:rPr>
        <w:t>ésolutions qui pourraient s'y rapporter, par exemple la Résolution 50 (</w:t>
      </w:r>
      <w:r w:rsidR="00572D54" w:rsidRPr="00572D54">
        <w:rPr>
          <w:lang w:val="fr-CH"/>
        </w:rPr>
        <w:t>Intégration optimale des technologies de l'information et de la</w:t>
      </w:r>
      <w:r w:rsidR="00572D54">
        <w:rPr>
          <w:lang w:val="fr-CH"/>
        </w:rPr>
        <w:t xml:space="preserve"> </w:t>
      </w:r>
      <w:r w:rsidR="00572D54" w:rsidRPr="00572D54">
        <w:rPr>
          <w:lang w:val="fr-CH"/>
        </w:rPr>
        <w:t>communication</w:t>
      </w:r>
      <w:r w:rsidR="00752657">
        <w:rPr>
          <w:lang w:val="fr-CH"/>
        </w:rPr>
        <w:t>) et la Résolution </w:t>
      </w:r>
      <w:r w:rsidR="00572D54">
        <w:rPr>
          <w:lang w:val="fr-CH"/>
        </w:rPr>
        <w:t>77 (</w:t>
      </w:r>
      <w:r w:rsidR="00572D54" w:rsidRPr="00572D54">
        <w:rPr>
          <w:lang w:val="fr-CH"/>
        </w:rPr>
        <w:t>Les technologies et les applications large bande au service de la</w:t>
      </w:r>
      <w:r w:rsidR="00572D54">
        <w:rPr>
          <w:lang w:val="fr-CH"/>
        </w:rPr>
        <w:t xml:space="preserve"> </w:t>
      </w:r>
      <w:r w:rsidR="00572D54" w:rsidRPr="00572D54">
        <w:rPr>
          <w:lang w:val="fr-CH"/>
        </w:rPr>
        <w:t>croissance et du développement accrus des services de</w:t>
      </w:r>
      <w:r w:rsidR="00572D54">
        <w:rPr>
          <w:lang w:val="fr-CH"/>
        </w:rPr>
        <w:t xml:space="preserve"> </w:t>
      </w:r>
      <w:r w:rsidR="00572D54" w:rsidRPr="00572D54">
        <w:rPr>
          <w:lang w:val="fr-CH"/>
        </w:rPr>
        <w:t>télécommunication/d'information et de communication</w:t>
      </w:r>
      <w:r w:rsidR="00572D54">
        <w:rPr>
          <w:lang w:val="fr-CH"/>
        </w:rPr>
        <w:t xml:space="preserve"> </w:t>
      </w:r>
      <w:r w:rsidR="00572D54" w:rsidRPr="00572D54">
        <w:rPr>
          <w:lang w:val="fr-CH"/>
        </w:rPr>
        <w:t>et de la connectivité large bande</w:t>
      </w:r>
      <w:r w:rsidR="00572D54">
        <w:rPr>
          <w:lang w:val="fr-CH"/>
        </w:rPr>
        <w:t>) ne traite</w:t>
      </w:r>
      <w:r>
        <w:rPr>
          <w:lang w:val="fr-CH"/>
        </w:rPr>
        <w:t>nt</w:t>
      </w:r>
      <w:r w:rsidR="00572D54">
        <w:rPr>
          <w:lang w:val="fr-CH"/>
        </w:rPr>
        <w:t xml:space="preserve"> pas de la question de l'Internet des objets.</w:t>
      </w:r>
    </w:p>
    <w:p w:rsidR="00572D54" w:rsidRDefault="00572D54" w:rsidP="00213C92">
      <w:pPr>
        <w:rPr>
          <w:lang w:val="fr-CH"/>
        </w:rPr>
      </w:pPr>
      <w:r>
        <w:rPr>
          <w:lang w:val="fr-CH"/>
        </w:rPr>
        <w:t>Vu le développement de l'Internet des objets, et étant donné que l'U</w:t>
      </w:r>
      <w:r w:rsidR="00BC4301">
        <w:rPr>
          <w:lang w:val="fr-CH"/>
        </w:rPr>
        <w:t>IT-R et l'UIT-T ont adopté des R</w:t>
      </w:r>
      <w:r>
        <w:rPr>
          <w:lang w:val="fr-CH"/>
        </w:rPr>
        <w:t>ésolutions sur ce</w:t>
      </w:r>
      <w:r w:rsidR="00A44B9D">
        <w:rPr>
          <w:lang w:val="fr-CH"/>
        </w:rPr>
        <w:t xml:space="preserve"> sujet</w:t>
      </w:r>
      <w:r>
        <w:rPr>
          <w:lang w:val="fr-CH"/>
        </w:rPr>
        <w:t>,</w:t>
      </w:r>
      <w:r w:rsidR="00A44B9D">
        <w:rPr>
          <w:lang w:val="fr-CH"/>
        </w:rPr>
        <w:t xml:space="preserve"> il s'agit d'une question importante sur laquelle l'UIT-D doit se pencher du point de vue du renforcement des c</w:t>
      </w:r>
      <w:r w:rsidR="00BC4301">
        <w:rPr>
          <w:lang w:val="fr-CH"/>
        </w:rPr>
        <w:t>apacités et de l'élaboration de</w:t>
      </w:r>
      <w:r w:rsidR="00A44B9D">
        <w:rPr>
          <w:lang w:val="fr-CH"/>
        </w:rPr>
        <w:t xml:space="preserve"> </w:t>
      </w:r>
      <w:r w:rsidR="00BC4301">
        <w:rPr>
          <w:lang w:val="fr-CH"/>
        </w:rPr>
        <w:t>politiques</w:t>
      </w:r>
      <w:r w:rsidR="00A44B9D">
        <w:rPr>
          <w:lang w:val="fr-CH"/>
        </w:rPr>
        <w:t>, en étroite collaboration avec l'UIT-R et l'UIT-T. Les Membres de l'APT notent en outre qu'aux termes de la Résolution 197 (Busan, 2014) de la Conférence de plénipotentiaires "Faciliter l'avènement de l'Internet des objets dans la perspective d'un monde global interconnecté", le Directeur du BDT est chargé "</w:t>
      </w:r>
      <w:r w:rsidR="00A44B9D" w:rsidRPr="00A44B9D">
        <w:rPr>
          <w:lang w:val="fr-CH"/>
        </w:rPr>
        <w:t>d'encourager et d'aider les pays qui ont besoin d'une assistance à adopter</w:t>
      </w:r>
      <w:r w:rsidR="00A44B9D">
        <w:rPr>
          <w:lang w:val="fr-CH"/>
        </w:rPr>
        <w:t xml:space="preserve"> </w:t>
      </w:r>
      <w:r w:rsidR="00A44B9D" w:rsidRPr="00A44B9D">
        <w:rPr>
          <w:lang w:val="fr-CH"/>
        </w:rPr>
        <w:t>l'Internet des objets et les services qui s'y rattachent, en leur communiquant</w:t>
      </w:r>
      <w:r w:rsidR="00A44B9D">
        <w:rPr>
          <w:lang w:val="fr-CH"/>
        </w:rPr>
        <w:t xml:space="preserve"> </w:t>
      </w:r>
      <w:r w:rsidR="00A44B9D" w:rsidRPr="00A44B9D">
        <w:rPr>
          <w:lang w:val="fr-CH"/>
        </w:rPr>
        <w:t>des renseignements utiles, en renforçant les capacités et en mettant à</w:t>
      </w:r>
      <w:r w:rsidR="00A44B9D">
        <w:rPr>
          <w:lang w:val="fr-CH"/>
        </w:rPr>
        <w:t xml:space="preserve"> </w:t>
      </w:r>
      <w:r w:rsidR="00A44B9D" w:rsidRPr="00A44B9D">
        <w:rPr>
          <w:lang w:val="fr-CH"/>
        </w:rPr>
        <w:t>disposition des bonnes pratiques pour permettre l'adoption de l'Internet des</w:t>
      </w:r>
      <w:r w:rsidR="00A44B9D">
        <w:rPr>
          <w:lang w:val="fr-CH"/>
        </w:rPr>
        <w:t xml:space="preserve"> </w:t>
      </w:r>
      <w:r w:rsidR="00A44B9D" w:rsidRPr="00A44B9D">
        <w:rPr>
          <w:lang w:val="fr-CH"/>
        </w:rPr>
        <w:t>objets</w:t>
      </w:r>
      <w:r w:rsidR="00A44B9D">
        <w:rPr>
          <w:lang w:val="fr-CH"/>
        </w:rPr>
        <w:t>".</w:t>
      </w:r>
    </w:p>
    <w:p w:rsidR="00A44B9D" w:rsidRDefault="00A44B9D" w:rsidP="00213C92">
      <w:pPr>
        <w:rPr>
          <w:lang w:val="fr-CH"/>
        </w:rPr>
      </w:pPr>
      <w:r>
        <w:rPr>
          <w:lang w:val="fr-CH"/>
        </w:rPr>
        <w:t xml:space="preserve">Par conséquent, les Administrations des pays membres de l'APT proposent une nouvelle </w:t>
      </w:r>
      <w:r w:rsidR="00BC4301">
        <w:rPr>
          <w:lang w:val="fr-CH"/>
        </w:rPr>
        <w:t>R</w:t>
      </w:r>
      <w:r>
        <w:rPr>
          <w:lang w:val="fr-CH"/>
        </w:rPr>
        <w:t xml:space="preserve">ésolution, ayant pour objet </w:t>
      </w:r>
      <w:r w:rsidR="0033402C">
        <w:rPr>
          <w:lang w:val="fr-CH"/>
        </w:rPr>
        <w:t>de demander au BDT</w:t>
      </w:r>
      <w:r w:rsidR="00595126">
        <w:rPr>
          <w:lang w:val="fr-CH"/>
        </w:rPr>
        <w:t>:</w:t>
      </w:r>
    </w:p>
    <w:p w:rsidR="0033402C" w:rsidRDefault="00675164" w:rsidP="00213C92">
      <w:pPr>
        <w:pStyle w:val="enumlev1"/>
        <w:rPr>
          <w:lang w:val="fr-CH"/>
        </w:rPr>
      </w:pPr>
      <w:bookmarkStart w:id="36" w:name="lt_pId102"/>
      <w:bookmarkEnd w:id="35"/>
      <w:r w:rsidRPr="000454A8">
        <w:rPr>
          <w:lang w:val="fr-CH"/>
        </w:rPr>
        <w:t>i)</w:t>
      </w:r>
      <w:bookmarkEnd w:id="36"/>
      <w:r w:rsidRPr="000454A8">
        <w:rPr>
          <w:lang w:val="fr-CH"/>
        </w:rPr>
        <w:tab/>
      </w:r>
      <w:bookmarkStart w:id="37" w:name="lt_pId103"/>
      <w:r w:rsidR="0033402C">
        <w:rPr>
          <w:lang w:val="fr-CH"/>
        </w:rPr>
        <w:t>de faire la synthèse de tous les travaux menés au sein de l'UIT pour aider les pays en développement à élaborer des bonnes pratiques;</w:t>
      </w:r>
    </w:p>
    <w:p w:rsidR="0033402C" w:rsidRDefault="00675164" w:rsidP="00213C92">
      <w:pPr>
        <w:pStyle w:val="enumlev1"/>
        <w:rPr>
          <w:lang w:val="fr-CH"/>
        </w:rPr>
      </w:pPr>
      <w:bookmarkStart w:id="38" w:name="lt_pId104"/>
      <w:bookmarkEnd w:id="37"/>
      <w:r w:rsidRPr="000454A8">
        <w:rPr>
          <w:lang w:val="fr-CH"/>
        </w:rPr>
        <w:t>ii)</w:t>
      </w:r>
      <w:bookmarkEnd w:id="38"/>
      <w:r w:rsidRPr="000454A8">
        <w:rPr>
          <w:lang w:val="fr-CH"/>
        </w:rPr>
        <w:tab/>
      </w:r>
      <w:bookmarkStart w:id="39" w:name="lt_pId105"/>
      <w:r w:rsidR="0033402C">
        <w:rPr>
          <w:lang w:val="fr-CH"/>
        </w:rPr>
        <w:t xml:space="preserve">de diffuser les </w:t>
      </w:r>
      <w:r w:rsidR="00BC4301">
        <w:rPr>
          <w:lang w:val="fr-CH"/>
        </w:rPr>
        <w:t>lignes directrices</w:t>
      </w:r>
      <w:r w:rsidR="0033402C">
        <w:rPr>
          <w:lang w:val="fr-CH"/>
        </w:rPr>
        <w:t>, les résultats et les Recomma</w:t>
      </w:r>
      <w:r w:rsidR="00BC4301">
        <w:rPr>
          <w:lang w:val="fr-CH"/>
        </w:rPr>
        <w:t>ndations découlant des études menées à</w:t>
      </w:r>
      <w:r w:rsidR="0033402C">
        <w:rPr>
          <w:lang w:val="fr-CH"/>
        </w:rPr>
        <w:t xml:space="preserve"> l'UIT;</w:t>
      </w:r>
    </w:p>
    <w:p w:rsidR="0033402C" w:rsidRDefault="00675164" w:rsidP="00213C92">
      <w:pPr>
        <w:pStyle w:val="enumlev1"/>
        <w:rPr>
          <w:lang w:val="fr-CH"/>
        </w:rPr>
      </w:pPr>
      <w:bookmarkStart w:id="40" w:name="lt_pId106"/>
      <w:bookmarkEnd w:id="39"/>
      <w:r w:rsidRPr="000454A8">
        <w:rPr>
          <w:lang w:val="fr-CH"/>
        </w:rPr>
        <w:t>iii)</w:t>
      </w:r>
      <w:bookmarkEnd w:id="40"/>
      <w:r w:rsidRPr="000454A8">
        <w:rPr>
          <w:lang w:val="fr-CH"/>
        </w:rPr>
        <w:tab/>
      </w:r>
      <w:bookmarkStart w:id="41" w:name="lt_pId107"/>
      <w:r w:rsidR="0033402C">
        <w:rPr>
          <w:lang w:val="fr-CH"/>
        </w:rPr>
        <w:t>de renforcer la coopération avec les parties prenantes concernées pour faciliter le développement et l'adoption d'applications et de services IoT;</w:t>
      </w:r>
    </w:p>
    <w:p w:rsidR="0033402C" w:rsidRDefault="00675164" w:rsidP="0004785C">
      <w:pPr>
        <w:pStyle w:val="enumlev1"/>
      </w:pPr>
      <w:bookmarkStart w:id="42" w:name="lt_pId108"/>
      <w:bookmarkEnd w:id="41"/>
      <w:r w:rsidRPr="000454A8">
        <w:lastRenderedPageBreak/>
        <w:t>iv)</w:t>
      </w:r>
      <w:bookmarkEnd w:id="42"/>
      <w:r w:rsidRPr="000454A8">
        <w:tab/>
      </w:r>
      <w:bookmarkStart w:id="43" w:name="lt_pId109"/>
      <w:r w:rsidR="0033402C">
        <w:t>de collaborer avec l'UIT-T et l'UIT-R pour étudier plus avant différents aspects de l'Internet des objets.</w:t>
      </w:r>
    </w:p>
    <w:p w:rsidR="0004785C" w:rsidRDefault="0004785C" w:rsidP="00213C92">
      <w:pPr>
        <w:pStyle w:val="Reasons"/>
      </w:pPr>
    </w:p>
    <w:bookmarkEnd w:id="43"/>
    <w:p w:rsidR="003B7FC5" w:rsidRPr="000454A8" w:rsidRDefault="003B7FC5" w:rsidP="00213C92">
      <w:pPr>
        <w:jc w:val="center"/>
        <w:rPr>
          <w:lang w:val="fr-CH"/>
        </w:rPr>
      </w:pPr>
      <w:r w:rsidRPr="000454A8">
        <w:rPr>
          <w:lang w:val="fr-CH"/>
        </w:rPr>
        <w:t>______________</w:t>
      </w:r>
    </w:p>
    <w:p w:rsidR="00675164" w:rsidRPr="000454A8" w:rsidRDefault="00675164" w:rsidP="00213C92">
      <w:pPr>
        <w:pStyle w:val="Reasons"/>
      </w:pPr>
    </w:p>
    <w:sectPr w:rsidR="00675164" w:rsidRPr="000454A8" w:rsidSect="005D3705">
      <w:headerReference w:type="default" r:id="rId12"/>
      <w:footerReference w:type="default" r:id="rId13"/>
      <w:footerReference w:type="first" r:id="rId14"/>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B9" w:rsidRDefault="00983EB9">
      <w:r>
        <w:separator/>
      </w:r>
    </w:p>
  </w:endnote>
  <w:endnote w:type="continuationSeparator" w:id="0">
    <w:p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6947A5">
      <w:rPr>
        <w:lang w:val="en-US"/>
      </w:rPr>
      <w:t>P:\FRA\ITU-D\CONF-D\WTDC17\000\022ADD12F.docx</w:t>
    </w:r>
    <w:r>
      <w:fldChar w:fldCharType="end"/>
    </w:r>
    <w:r w:rsidRPr="005D3705">
      <w:rPr>
        <w:lang w:val="en-US"/>
      </w:rPr>
      <w:t xml:space="preserve"> (</w:t>
    </w:r>
    <w:r w:rsidR="00963D89">
      <w:rPr>
        <w:lang w:val="en-US"/>
      </w:rPr>
      <w:t>423554</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9B023E" w:rsidRPr="00C100BE" w:rsidTr="003A7131">
      <w:tc>
        <w:tcPr>
          <w:tcW w:w="1526" w:type="dxa"/>
          <w:tcBorders>
            <w:top w:val="single" w:sz="4" w:space="0" w:color="000000" w:themeColor="text1"/>
          </w:tcBorders>
        </w:tcPr>
        <w:p w:rsidR="009B023E" w:rsidRPr="00C100BE" w:rsidRDefault="009B023E" w:rsidP="009B023E">
          <w:pPr>
            <w:pStyle w:val="FirstFooter"/>
            <w:tabs>
              <w:tab w:val="left" w:pos="1559"/>
              <w:tab w:val="left" w:pos="3828"/>
            </w:tabs>
            <w:rPr>
              <w:sz w:val="18"/>
              <w:szCs w:val="18"/>
            </w:rPr>
          </w:pPr>
          <w:bookmarkStart w:id="47" w:name="Email"/>
          <w:bookmarkEnd w:id="47"/>
          <w:r w:rsidRPr="00C100BE">
            <w:rPr>
              <w:sz w:val="18"/>
              <w:szCs w:val="18"/>
            </w:rPr>
            <w:t>Contact:</w:t>
          </w:r>
        </w:p>
      </w:tc>
      <w:tc>
        <w:tcPr>
          <w:tcW w:w="2268" w:type="dxa"/>
          <w:tcBorders>
            <w:top w:val="single" w:sz="4" w:space="0" w:color="000000" w:themeColor="text1"/>
          </w:tcBorders>
        </w:tcPr>
        <w:p w:rsidR="009B023E" w:rsidRPr="00C100BE" w:rsidRDefault="009B023E" w:rsidP="009B023E">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9B023E" w:rsidRPr="00C100BE" w:rsidRDefault="009B023E" w:rsidP="009B023E">
          <w:pPr>
            <w:pStyle w:val="FirstFooter"/>
            <w:ind w:left="2160" w:hanging="2160"/>
            <w:rPr>
              <w:sz w:val="18"/>
              <w:szCs w:val="18"/>
              <w:lang w:val="en-US"/>
            </w:rPr>
          </w:pPr>
          <w:r w:rsidRPr="00BA6487">
            <w:rPr>
              <w:sz w:val="18"/>
              <w:szCs w:val="18"/>
              <w:lang w:val="en-US"/>
            </w:rPr>
            <w:t>M. Mike Ong</w:t>
          </w:r>
          <w:r>
            <w:rPr>
              <w:sz w:val="18"/>
              <w:szCs w:val="18"/>
              <w:lang w:val="en-US"/>
            </w:rPr>
            <w:t>, Singapour</w:t>
          </w:r>
        </w:p>
      </w:tc>
    </w:tr>
    <w:tr w:rsidR="009B023E" w:rsidRPr="00BA6487" w:rsidTr="003A7131">
      <w:tc>
        <w:tcPr>
          <w:tcW w:w="1526" w:type="dxa"/>
        </w:tcPr>
        <w:p w:rsidR="009B023E" w:rsidRPr="00C100BE" w:rsidRDefault="009B023E" w:rsidP="009B023E">
          <w:pPr>
            <w:pStyle w:val="FirstFooter"/>
            <w:tabs>
              <w:tab w:val="left" w:pos="1559"/>
              <w:tab w:val="left" w:pos="3828"/>
            </w:tabs>
            <w:rPr>
              <w:sz w:val="20"/>
              <w:lang w:val="en-US"/>
            </w:rPr>
          </w:pPr>
        </w:p>
      </w:tc>
      <w:tc>
        <w:tcPr>
          <w:tcW w:w="2268" w:type="dxa"/>
        </w:tcPr>
        <w:p w:rsidR="009B023E" w:rsidRPr="00C100BE" w:rsidRDefault="009B023E" w:rsidP="009B023E">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9B023E" w:rsidRPr="00C100BE" w:rsidRDefault="009B023E" w:rsidP="009B023E">
          <w:pPr>
            <w:pStyle w:val="FirstFooter"/>
            <w:ind w:left="2160" w:hanging="2160"/>
            <w:rPr>
              <w:sz w:val="18"/>
              <w:szCs w:val="18"/>
              <w:lang w:val="en-US"/>
            </w:rPr>
          </w:pPr>
          <w:hyperlink r:id="rId1" w:history="1">
            <w:r w:rsidRPr="00BA6487">
              <w:rPr>
                <w:rStyle w:val="Hyperlink"/>
                <w:sz w:val="18"/>
                <w:szCs w:val="18"/>
                <w:lang w:val="en-US"/>
              </w:rPr>
              <w:t>mike_ong@imda.gov.sg</w:t>
            </w:r>
          </w:hyperlink>
        </w:p>
      </w:tc>
    </w:tr>
  </w:tbl>
  <w:p w:rsidR="00000B37" w:rsidRPr="00784E03" w:rsidRDefault="009B023E"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B9" w:rsidRDefault="00983EB9">
      <w:r>
        <w:t>____________________</w:t>
      </w:r>
    </w:p>
  </w:footnote>
  <w:footnote w:type="continuationSeparator" w:id="0">
    <w:p w:rsidR="00983EB9" w:rsidRDefault="0098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44" w:name="OLE_LINK3"/>
    <w:bookmarkStart w:id="45" w:name="OLE_LINK2"/>
    <w:bookmarkStart w:id="46" w:name="OLE_LINK1"/>
    <w:r w:rsidR="007934DB" w:rsidRPr="00A74B99">
      <w:rPr>
        <w:sz w:val="22"/>
        <w:szCs w:val="22"/>
      </w:rPr>
      <w:t>22(Add.12)</w:t>
    </w:r>
    <w:bookmarkEnd w:id="44"/>
    <w:bookmarkEnd w:id="45"/>
    <w:bookmarkEnd w:id="46"/>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9B023E">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8D827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A5697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BE0F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FCA2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5E5E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DEC2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367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847C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AC6C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408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20D4C"/>
    <w:rsid w:val="00034E34"/>
    <w:rsid w:val="000454A8"/>
    <w:rsid w:val="0004785C"/>
    <w:rsid w:val="00050B25"/>
    <w:rsid w:val="00051E92"/>
    <w:rsid w:val="00053EF2"/>
    <w:rsid w:val="000559CC"/>
    <w:rsid w:val="00067970"/>
    <w:rsid w:val="000766DA"/>
    <w:rsid w:val="000D06F1"/>
    <w:rsid w:val="000E7659"/>
    <w:rsid w:val="000F02B8"/>
    <w:rsid w:val="0010289F"/>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13C92"/>
    <w:rsid w:val="00231120"/>
    <w:rsid w:val="002451C0"/>
    <w:rsid w:val="002645BF"/>
    <w:rsid w:val="0026716A"/>
    <w:rsid w:val="00294005"/>
    <w:rsid w:val="00297118"/>
    <w:rsid w:val="002A5F44"/>
    <w:rsid w:val="002C14C1"/>
    <w:rsid w:val="002C496A"/>
    <w:rsid w:val="002C53DC"/>
    <w:rsid w:val="002D75CE"/>
    <w:rsid w:val="002E1D00"/>
    <w:rsid w:val="002F76A7"/>
    <w:rsid w:val="00300AC8"/>
    <w:rsid w:val="00301454"/>
    <w:rsid w:val="00327758"/>
    <w:rsid w:val="0033402C"/>
    <w:rsid w:val="0033558B"/>
    <w:rsid w:val="00335864"/>
    <w:rsid w:val="00342BE1"/>
    <w:rsid w:val="0034331E"/>
    <w:rsid w:val="003554A4"/>
    <w:rsid w:val="003707D1"/>
    <w:rsid w:val="00374E7A"/>
    <w:rsid w:val="00380220"/>
    <w:rsid w:val="003827F1"/>
    <w:rsid w:val="003A5EB6"/>
    <w:rsid w:val="003B7567"/>
    <w:rsid w:val="003B7FC5"/>
    <w:rsid w:val="003D50A5"/>
    <w:rsid w:val="003E1A0D"/>
    <w:rsid w:val="00403E92"/>
    <w:rsid w:val="00410AE2"/>
    <w:rsid w:val="00414523"/>
    <w:rsid w:val="00442985"/>
    <w:rsid w:val="00452BAB"/>
    <w:rsid w:val="0048151B"/>
    <w:rsid w:val="004839BA"/>
    <w:rsid w:val="004915E8"/>
    <w:rsid w:val="004A0D10"/>
    <w:rsid w:val="004A2F80"/>
    <w:rsid w:val="004C4C20"/>
    <w:rsid w:val="004D1F51"/>
    <w:rsid w:val="004E31C8"/>
    <w:rsid w:val="004F44EC"/>
    <w:rsid w:val="005063A3"/>
    <w:rsid w:val="0051261A"/>
    <w:rsid w:val="00515188"/>
    <w:rsid w:val="005161E7"/>
    <w:rsid w:val="00523937"/>
    <w:rsid w:val="005340B1"/>
    <w:rsid w:val="0056621F"/>
    <w:rsid w:val="0056763F"/>
    <w:rsid w:val="00572685"/>
    <w:rsid w:val="00572D54"/>
    <w:rsid w:val="00574C67"/>
    <w:rsid w:val="005811F7"/>
    <w:rsid w:val="005860FF"/>
    <w:rsid w:val="00586DCD"/>
    <w:rsid w:val="00595126"/>
    <w:rsid w:val="00595B1B"/>
    <w:rsid w:val="005A0607"/>
    <w:rsid w:val="005A54E9"/>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31852"/>
    <w:rsid w:val="00663A56"/>
    <w:rsid w:val="00675164"/>
    <w:rsid w:val="00680B7C"/>
    <w:rsid w:val="006947A5"/>
    <w:rsid w:val="00695438"/>
    <w:rsid w:val="006A1325"/>
    <w:rsid w:val="006A23C2"/>
    <w:rsid w:val="006A3AA9"/>
    <w:rsid w:val="006C4745"/>
    <w:rsid w:val="006E5096"/>
    <w:rsid w:val="006F2CB3"/>
    <w:rsid w:val="00700D0A"/>
    <w:rsid w:val="00706AFE"/>
    <w:rsid w:val="00726ADF"/>
    <w:rsid w:val="00752657"/>
    <w:rsid w:val="00752994"/>
    <w:rsid w:val="007547E3"/>
    <w:rsid w:val="0076554A"/>
    <w:rsid w:val="0076575F"/>
    <w:rsid w:val="00772137"/>
    <w:rsid w:val="00783838"/>
    <w:rsid w:val="00790A74"/>
    <w:rsid w:val="007934DB"/>
    <w:rsid w:val="00794165"/>
    <w:rsid w:val="007A553A"/>
    <w:rsid w:val="007C09B2"/>
    <w:rsid w:val="007F5ACF"/>
    <w:rsid w:val="00814CC0"/>
    <w:rsid w:val="008150E2"/>
    <w:rsid w:val="00821623"/>
    <w:rsid w:val="00821978"/>
    <w:rsid w:val="00824420"/>
    <w:rsid w:val="008471EF"/>
    <w:rsid w:val="008534D0"/>
    <w:rsid w:val="00863463"/>
    <w:rsid w:val="008B0164"/>
    <w:rsid w:val="008B269A"/>
    <w:rsid w:val="008C023B"/>
    <w:rsid w:val="008C7600"/>
    <w:rsid w:val="008E63F7"/>
    <w:rsid w:val="008E7B6B"/>
    <w:rsid w:val="00903C75"/>
    <w:rsid w:val="0090522B"/>
    <w:rsid w:val="00950E3C"/>
    <w:rsid w:val="00963D89"/>
    <w:rsid w:val="00967BAA"/>
    <w:rsid w:val="00967D26"/>
    <w:rsid w:val="00973401"/>
    <w:rsid w:val="00983EB9"/>
    <w:rsid w:val="009A1EEC"/>
    <w:rsid w:val="009A223D"/>
    <w:rsid w:val="009A4D09"/>
    <w:rsid w:val="009B023E"/>
    <w:rsid w:val="009B2C12"/>
    <w:rsid w:val="009B4C86"/>
    <w:rsid w:val="009B75F6"/>
    <w:rsid w:val="009B7FDF"/>
    <w:rsid w:val="009E4FA5"/>
    <w:rsid w:val="009E50E9"/>
    <w:rsid w:val="009F04CB"/>
    <w:rsid w:val="009F65FE"/>
    <w:rsid w:val="00A101CE"/>
    <w:rsid w:val="00A14C77"/>
    <w:rsid w:val="00A2458F"/>
    <w:rsid w:val="00A40F60"/>
    <w:rsid w:val="00A44B9D"/>
    <w:rsid w:val="00A5304F"/>
    <w:rsid w:val="00A547B7"/>
    <w:rsid w:val="00A737BC"/>
    <w:rsid w:val="00A90394"/>
    <w:rsid w:val="00A944FF"/>
    <w:rsid w:val="00A94B33"/>
    <w:rsid w:val="00A961F4"/>
    <w:rsid w:val="00A964CA"/>
    <w:rsid w:val="00AD4E1C"/>
    <w:rsid w:val="00AD7EE5"/>
    <w:rsid w:val="00B35807"/>
    <w:rsid w:val="00B518D0"/>
    <w:rsid w:val="00B535D0"/>
    <w:rsid w:val="00B83148"/>
    <w:rsid w:val="00B91403"/>
    <w:rsid w:val="00BB1859"/>
    <w:rsid w:val="00BB5BA7"/>
    <w:rsid w:val="00BC3079"/>
    <w:rsid w:val="00BC3CB1"/>
    <w:rsid w:val="00BC4301"/>
    <w:rsid w:val="00BD45A5"/>
    <w:rsid w:val="00BD7089"/>
    <w:rsid w:val="00BE524D"/>
    <w:rsid w:val="00BF66CB"/>
    <w:rsid w:val="00C11F0F"/>
    <w:rsid w:val="00C27DE2"/>
    <w:rsid w:val="00C30AF4"/>
    <w:rsid w:val="00C56969"/>
    <w:rsid w:val="00C7163B"/>
    <w:rsid w:val="00CA5220"/>
    <w:rsid w:val="00CD587D"/>
    <w:rsid w:val="00CE1CDA"/>
    <w:rsid w:val="00D01E14"/>
    <w:rsid w:val="00D02006"/>
    <w:rsid w:val="00D223FA"/>
    <w:rsid w:val="00D27257"/>
    <w:rsid w:val="00D27E66"/>
    <w:rsid w:val="00D42EE8"/>
    <w:rsid w:val="00D52838"/>
    <w:rsid w:val="00D57988"/>
    <w:rsid w:val="00D63778"/>
    <w:rsid w:val="00D72C57"/>
    <w:rsid w:val="00DD16B5"/>
    <w:rsid w:val="00DF6743"/>
    <w:rsid w:val="00E15468"/>
    <w:rsid w:val="00E23F4B"/>
    <w:rsid w:val="00E256D7"/>
    <w:rsid w:val="00E46146"/>
    <w:rsid w:val="00E50A67"/>
    <w:rsid w:val="00E54997"/>
    <w:rsid w:val="00E71FC7"/>
    <w:rsid w:val="00E930C4"/>
    <w:rsid w:val="00E94B57"/>
    <w:rsid w:val="00EB44F8"/>
    <w:rsid w:val="00EB68B5"/>
    <w:rsid w:val="00EC595E"/>
    <w:rsid w:val="00EC7377"/>
    <w:rsid w:val="00EF0C31"/>
    <w:rsid w:val="00EF30AD"/>
    <w:rsid w:val="00F107F2"/>
    <w:rsid w:val="00F12E61"/>
    <w:rsid w:val="00F22E8D"/>
    <w:rsid w:val="00F31DAD"/>
    <w:rsid w:val="00F328B4"/>
    <w:rsid w:val="00F32C61"/>
    <w:rsid w:val="00F3588D"/>
    <w:rsid w:val="00F42ADD"/>
    <w:rsid w:val="00F522AB"/>
    <w:rsid w:val="00F77469"/>
    <w:rsid w:val="00F8243C"/>
    <w:rsid w:val="00F8726A"/>
    <w:rsid w:val="00F930D2"/>
    <w:rsid w:val="00F94D40"/>
    <w:rsid w:val="00FA02C3"/>
    <w:rsid w:val="00FA3BF6"/>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NormalaftertitleChar">
    <w:name w:val="Normal after title Char"/>
    <w:basedOn w:val="DefaultParagraphFont"/>
    <w:link w:val="Normalaftertitle"/>
    <w:locked/>
    <w:rsid w:val="002F76A7"/>
    <w:rPr>
      <w:rFonts w:asciiTheme="minorHAnsi" w:hAnsiTheme="minorHAnsi"/>
      <w:sz w:val="24"/>
      <w:lang w:val="fr-FR" w:eastAsia="en-US"/>
    </w:rPr>
  </w:style>
  <w:style w:type="character" w:customStyle="1" w:styleId="CallChar">
    <w:name w:val="Call Char"/>
    <w:basedOn w:val="DefaultParagraphFont"/>
    <w:link w:val="Call"/>
    <w:locked/>
    <w:rsid w:val="00675164"/>
    <w:rPr>
      <w:rFonts w:asciiTheme="minorHAnsi" w:hAnsiTheme="minorHAnsi"/>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ike_ong@imda.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eb33515-a203-42a0-9a7d-bc7eae6dac58">DPM</DPM_x0020_Author>
    <DPM_x0020_File_x0020_name xmlns="1eb33515-a203-42a0-9a7d-bc7eae6dac58">D14-WTDC17-C-0022!A12!MSW-F</DPM_x0020_File_x0020_name>
    <DPM_x0020_Version xmlns="1eb33515-a203-42a0-9a7d-bc7eae6dac58">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eb33515-a203-42a0-9a7d-bc7eae6dac58" targetNamespace="http://schemas.microsoft.com/office/2006/metadata/properties" ma:root="true" ma:fieldsID="d41af5c836d734370eb92e7ee5f83852" ns2:_="" ns3:_="">
    <xsd:import namespace="996b2e75-67fd-4955-a3b0-5ab9934cb50b"/>
    <xsd:import namespace="1eb33515-a203-42a0-9a7d-bc7eae6dac5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eb33515-a203-42a0-9a7d-bc7eae6dac5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996b2e75-67fd-4955-a3b0-5ab9934cb50b"/>
    <ds:schemaRef ds:uri="1eb33515-a203-42a0-9a7d-bc7eae6dac58"/>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eb33515-a203-42a0-9a7d-bc7eae6da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4A04D6-C889-419E-8C3C-FF3238A9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10308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D14-WTDC17-C-0022!A12!MSW-F</vt:lpstr>
    </vt:vector>
  </TitlesOfParts>
  <Manager>General Secretariat - Pool</Manager>
  <Company>International Telecommunication Union (ITU)</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D14-WTDC17-C-0022!A12!MSW-F</dc:title>
  <dc:creator>Documents Proposals Manager (DPM)</dc:creator>
  <cp:keywords>DPM_v2017.8.29.1_prod</cp:keywords>
  <dc:description/>
  <cp:lastModifiedBy>Jones, Jacqueline</cp:lastModifiedBy>
  <cp:revision>2</cp:revision>
  <cp:lastPrinted>2017-09-13T08:33:00Z</cp:lastPrinted>
  <dcterms:created xsi:type="dcterms:W3CDTF">2017-10-03T15:13:00Z</dcterms:created>
  <dcterms:modified xsi:type="dcterms:W3CDTF">2017-10-03T15:13:00Z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