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0A0" w:firstRow="1" w:lastRow="0" w:firstColumn="1" w:lastColumn="0" w:noHBand="0" w:noVBand="0"/>
      </w:tblPr>
      <w:tblGrid>
        <w:gridCol w:w="1242"/>
        <w:gridCol w:w="3578"/>
        <w:gridCol w:w="850"/>
        <w:gridCol w:w="3969"/>
      </w:tblGrid>
      <w:tr w:rsidR="00152685" w14:paraId="0E2BAEF9" w14:textId="77777777" w:rsidTr="00C85F93">
        <w:trPr>
          <w:trHeight w:val="1133"/>
        </w:trPr>
        <w:tc>
          <w:tcPr>
            <w:tcW w:w="9639" w:type="dxa"/>
            <w:gridSpan w:val="4"/>
          </w:tcPr>
          <w:p w14:paraId="4130FFD8" w14:textId="1A45B08C" w:rsidR="00152685" w:rsidRPr="00352164" w:rsidRDefault="00152685" w:rsidP="0002282E">
            <w:pPr>
              <w:pStyle w:val="BDTLogo"/>
              <w:tabs>
                <w:tab w:val="left" w:pos="6510"/>
                <w:tab w:val="left" w:pos="6910"/>
                <w:tab w:val="left" w:pos="8210"/>
              </w:tabs>
              <w:ind w:right="164"/>
              <w:jc w:val="left"/>
              <w:rPr>
                <w:lang w:eastAsia="fr-CH"/>
              </w:rPr>
            </w:pPr>
          </w:p>
        </w:tc>
      </w:tr>
      <w:tr w:rsidR="00152685" w14:paraId="0F3089EB" w14:textId="77777777" w:rsidTr="00C85F93">
        <w:tc>
          <w:tcPr>
            <w:tcW w:w="9639" w:type="dxa"/>
            <w:gridSpan w:val="4"/>
          </w:tcPr>
          <w:p w14:paraId="31EA0D1D" w14:textId="3E6AAEF7" w:rsidR="00133788" w:rsidRDefault="00133788" w:rsidP="00133788">
            <w:pPr>
              <w:tabs>
                <w:tab w:val="left" w:pos="1230"/>
              </w:tabs>
              <w:rPr>
                <w:rStyle w:val="BDTName"/>
                <w:color w:val="189CD7"/>
                <w:sz w:val="24"/>
                <w:szCs w:val="24"/>
              </w:rPr>
            </w:pPr>
          </w:p>
          <w:p w14:paraId="2D46D9A7" w14:textId="77777777" w:rsidR="00133788" w:rsidRDefault="00133788" w:rsidP="00133788">
            <w:pPr>
              <w:tabs>
                <w:tab w:val="left" w:pos="1230"/>
              </w:tabs>
              <w:rPr>
                <w:rStyle w:val="BDTName"/>
                <w:color w:val="189CD7"/>
                <w:sz w:val="24"/>
                <w:szCs w:val="24"/>
              </w:rPr>
            </w:pPr>
          </w:p>
          <w:p w14:paraId="68B552A6" w14:textId="5BBAB70C" w:rsidR="00152685" w:rsidRPr="00C431A5" w:rsidRDefault="00152685" w:rsidP="002F05DD">
            <w:pPr>
              <w:tabs>
                <w:tab w:val="left" w:pos="1230"/>
              </w:tabs>
              <w:rPr>
                <w:rStyle w:val="BDTName"/>
                <w:rFonts w:cs="Traditional Arabic"/>
                <w:color w:val="189CD7"/>
                <w:sz w:val="24"/>
                <w:szCs w:val="24"/>
              </w:rPr>
            </w:pPr>
          </w:p>
        </w:tc>
      </w:tr>
      <w:tr w:rsidR="00563963" w14:paraId="10447882" w14:textId="77777777" w:rsidTr="00C85F93">
        <w:tc>
          <w:tcPr>
            <w:tcW w:w="9639" w:type="dxa"/>
            <w:gridSpan w:val="4"/>
            <w:vAlign w:val="center"/>
          </w:tcPr>
          <w:p w14:paraId="5427A727" w14:textId="77777777" w:rsidR="00563963" w:rsidRDefault="006E7E3A">
            <w:pPr>
              <w:pStyle w:val="BDTSeparator"/>
            </w:pPr>
            <w:r>
              <w:t xml:space="preserve"> </w:t>
            </w:r>
          </w:p>
        </w:tc>
      </w:tr>
      <w:tr w:rsidR="00563963" w:rsidRPr="00330CB2" w14:paraId="3B64CBC1" w14:textId="77777777" w:rsidTr="00C85F93">
        <w:tc>
          <w:tcPr>
            <w:tcW w:w="1242" w:type="dxa"/>
            <w:vAlign w:val="center"/>
          </w:tcPr>
          <w:p w14:paraId="2DCFD7F0" w14:textId="77777777" w:rsidR="00563963" w:rsidRPr="00330CB2" w:rsidRDefault="00563963">
            <w:pPr>
              <w:pStyle w:val="BDTRef"/>
              <w:rPr>
                <w:szCs w:val="22"/>
                <w:highlight w:val="yellow"/>
              </w:rPr>
            </w:pPr>
            <w:r w:rsidRPr="00330CB2">
              <w:rPr>
                <w:szCs w:val="22"/>
              </w:rPr>
              <w:t>Ref.</w:t>
            </w:r>
            <w:r w:rsidR="008B7121" w:rsidRPr="00330CB2">
              <w:rPr>
                <w:szCs w:val="22"/>
              </w:rPr>
              <w:t>:</w:t>
            </w:r>
          </w:p>
        </w:tc>
        <w:tc>
          <w:tcPr>
            <w:tcW w:w="4428" w:type="dxa"/>
            <w:gridSpan w:val="2"/>
            <w:vAlign w:val="center"/>
          </w:tcPr>
          <w:p w14:paraId="199BDB52" w14:textId="041C2289" w:rsidR="00563963" w:rsidRPr="00330CB2" w:rsidRDefault="001A06D3" w:rsidP="001350CF">
            <w:pPr>
              <w:pStyle w:val="BDTRef-Details"/>
              <w:rPr>
                <w:szCs w:val="22"/>
                <w:lang w:val="de-CH"/>
              </w:rPr>
            </w:pPr>
            <w:r w:rsidRPr="00541FE5">
              <w:rPr>
                <w:rFonts w:asciiTheme="minorHAnsi" w:hAnsiTheme="minorHAnsi"/>
                <w:szCs w:val="22"/>
                <w:lang w:val="pt-BR"/>
              </w:rPr>
              <w:t>Circular BDT/IP/CSTG-</w:t>
            </w:r>
            <w:r w:rsidR="001350CF">
              <w:rPr>
                <w:rFonts w:asciiTheme="minorHAnsi" w:hAnsiTheme="minorHAnsi"/>
                <w:szCs w:val="22"/>
                <w:lang w:val="pt-BR"/>
              </w:rPr>
              <w:t>1</w:t>
            </w:r>
          </w:p>
        </w:tc>
        <w:tc>
          <w:tcPr>
            <w:tcW w:w="3969" w:type="dxa"/>
            <w:vAlign w:val="center"/>
          </w:tcPr>
          <w:p w14:paraId="0B39970F" w14:textId="44B72742" w:rsidR="00563963" w:rsidRPr="00330CB2" w:rsidRDefault="00472C4B" w:rsidP="00B47D0C">
            <w:pPr>
              <w:pStyle w:val="BDTDate"/>
              <w:rPr>
                <w:szCs w:val="22"/>
                <w:lang w:val="en-GB"/>
              </w:rPr>
            </w:pPr>
            <w:r w:rsidRPr="00330CB2">
              <w:rPr>
                <w:szCs w:val="22"/>
                <w:lang w:val="en-GB"/>
              </w:rPr>
              <w:t>Geneva</w:t>
            </w:r>
            <w:r w:rsidR="00563963" w:rsidRPr="00330CB2">
              <w:rPr>
                <w:szCs w:val="22"/>
                <w:lang w:val="en-GB"/>
              </w:rPr>
              <w:t xml:space="preserve">, </w:t>
            </w:r>
            <w:r w:rsidR="00B47D0C">
              <w:rPr>
                <w:szCs w:val="22"/>
                <w:lang w:val="en-GB"/>
              </w:rPr>
              <w:t>1 November</w:t>
            </w:r>
            <w:r w:rsidR="008C2231" w:rsidRPr="00330CB2">
              <w:rPr>
                <w:szCs w:val="22"/>
                <w:lang w:val="en-GB"/>
              </w:rPr>
              <w:t xml:space="preserve"> </w:t>
            </w:r>
            <w:r w:rsidR="008D0C63" w:rsidRPr="00330CB2">
              <w:rPr>
                <w:szCs w:val="22"/>
                <w:lang w:val="en-GB"/>
              </w:rPr>
              <w:t>201</w:t>
            </w:r>
            <w:r w:rsidR="00B41440" w:rsidRPr="00330CB2">
              <w:rPr>
                <w:szCs w:val="22"/>
                <w:lang w:val="en-GB"/>
              </w:rPr>
              <w:t>7</w:t>
            </w:r>
          </w:p>
        </w:tc>
      </w:tr>
      <w:tr w:rsidR="00563963" w:rsidRPr="007A3D23" w14:paraId="5862627C" w14:textId="77777777" w:rsidTr="00C85F93">
        <w:tc>
          <w:tcPr>
            <w:tcW w:w="1242" w:type="dxa"/>
            <w:vAlign w:val="center"/>
          </w:tcPr>
          <w:p w14:paraId="24E97286" w14:textId="77777777" w:rsidR="00563963" w:rsidRPr="007A3D23" w:rsidRDefault="00563963">
            <w:pPr>
              <w:pStyle w:val="BDTSeparator"/>
              <w:rPr>
                <w:rFonts w:asciiTheme="minorHAnsi" w:hAnsiTheme="minorHAnsi"/>
                <w:szCs w:val="22"/>
                <w:highlight w:val="yellow"/>
              </w:rPr>
            </w:pPr>
          </w:p>
        </w:tc>
        <w:tc>
          <w:tcPr>
            <w:tcW w:w="4428" w:type="dxa"/>
            <w:gridSpan w:val="2"/>
            <w:vAlign w:val="center"/>
          </w:tcPr>
          <w:p w14:paraId="2ADB3621" w14:textId="77777777" w:rsidR="00563963" w:rsidRPr="007A3D23" w:rsidRDefault="00563963">
            <w:pPr>
              <w:pStyle w:val="BDTSeparator"/>
              <w:rPr>
                <w:rFonts w:asciiTheme="minorHAnsi" w:hAnsiTheme="minorHAnsi"/>
                <w:szCs w:val="22"/>
              </w:rPr>
            </w:pPr>
          </w:p>
        </w:tc>
        <w:tc>
          <w:tcPr>
            <w:tcW w:w="3969" w:type="dxa"/>
            <w:vAlign w:val="center"/>
          </w:tcPr>
          <w:p w14:paraId="36B8535A" w14:textId="77777777" w:rsidR="00563963" w:rsidRPr="007A3D23" w:rsidRDefault="00563963">
            <w:pPr>
              <w:pStyle w:val="BDTSeparator"/>
              <w:rPr>
                <w:rFonts w:asciiTheme="minorHAnsi" w:hAnsiTheme="minorHAnsi"/>
                <w:szCs w:val="22"/>
              </w:rPr>
            </w:pPr>
          </w:p>
        </w:tc>
      </w:tr>
      <w:tr w:rsidR="001A06D3" w:rsidRPr="000267D9" w14:paraId="74149FF2" w14:textId="77777777" w:rsidTr="00142350">
        <w:tc>
          <w:tcPr>
            <w:tcW w:w="1242" w:type="dxa"/>
            <w:vAlign w:val="center"/>
          </w:tcPr>
          <w:p w14:paraId="51691121" w14:textId="77777777" w:rsidR="001A06D3" w:rsidRPr="007A3D23" w:rsidRDefault="001A06D3" w:rsidP="001A06D3">
            <w:pPr>
              <w:pStyle w:val="BDTContact"/>
              <w:rPr>
                <w:rFonts w:asciiTheme="minorHAnsi" w:hAnsiTheme="minorHAnsi"/>
                <w:szCs w:val="22"/>
              </w:rPr>
            </w:pPr>
          </w:p>
        </w:tc>
        <w:tc>
          <w:tcPr>
            <w:tcW w:w="3578" w:type="dxa"/>
            <w:vAlign w:val="center"/>
          </w:tcPr>
          <w:p w14:paraId="46C2EFE9" w14:textId="77777777" w:rsidR="001A06D3" w:rsidRPr="007A3D23" w:rsidRDefault="001A06D3" w:rsidP="001A06D3">
            <w:pPr>
              <w:pStyle w:val="BDTContact-Details"/>
              <w:rPr>
                <w:rFonts w:asciiTheme="minorHAnsi" w:hAnsiTheme="minorHAnsi"/>
                <w:szCs w:val="22"/>
              </w:rPr>
            </w:pPr>
            <w:bookmarkStart w:id="0" w:name="Contact"/>
            <w:bookmarkEnd w:id="0"/>
          </w:p>
        </w:tc>
        <w:tc>
          <w:tcPr>
            <w:tcW w:w="850" w:type="dxa"/>
            <w:vAlign w:val="center"/>
          </w:tcPr>
          <w:p w14:paraId="3F7A9E14" w14:textId="77777777" w:rsidR="001A06D3" w:rsidRPr="007A3D23" w:rsidRDefault="001A06D3" w:rsidP="001A06D3">
            <w:pPr>
              <w:pStyle w:val="BDTContact-Details"/>
              <w:rPr>
                <w:rFonts w:asciiTheme="minorHAnsi" w:hAnsiTheme="minorHAnsi"/>
                <w:szCs w:val="22"/>
              </w:rPr>
            </w:pPr>
          </w:p>
        </w:tc>
        <w:tc>
          <w:tcPr>
            <w:tcW w:w="3969" w:type="dxa"/>
            <w:vMerge w:val="restart"/>
          </w:tcPr>
          <w:p w14:paraId="4E339E75" w14:textId="77777777" w:rsidR="000267D9" w:rsidRPr="00541FE5" w:rsidRDefault="000267D9" w:rsidP="000267D9">
            <w:pPr>
              <w:pStyle w:val="BDTContact-Details"/>
              <w:spacing w:after="0"/>
              <w:rPr>
                <w:rFonts w:asciiTheme="minorHAnsi" w:hAnsiTheme="minorHAnsi"/>
                <w:szCs w:val="22"/>
                <w:lang w:val="en-US"/>
              </w:rPr>
            </w:pPr>
            <w:r w:rsidRPr="00541FE5">
              <w:rPr>
                <w:rFonts w:asciiTheme="minorHAnsi" w:hAnsiTheme="minorHAnsi"/>
                <w:szCs w:val="22"/>
                <w:lang w:val="en-US"/>
              </w:rPr>
              <w:t xml:space="preserve">To: </w:t>
            </w:r>
          </w:p>
          <w:p w14:paraId="2D52DFB9" w14:textId="77777777" w:rsidR="000267D9" w:rsidRPr="00541FE5" w:rsidRDefault="000267D9" w:rsidP="005F6D31">
            <w:pPr>
              <w:pStyle w:val="BDTContact-Details"/>
              <w:numPr>
                <w:ilvl w:val="0"/>
                <w:numId w:val="50"/>
              </w:numPr>
              <w:spacing w:after="0"/>
              <w:ind w:left="357" w:hanging="357"/>
              <w:rPr>
                <w:rFonts w:asciiTheme="minorHAnsi" w:hAnsiTheme="minorHAnsi"/>
                <w:szCs w:val="22"/>
                <w:lang w:val="en-US"/>
              </w:rPr>
            </w:pPr>
            <w:r w:rsidRPr="00541FE5">
              <w:rPr>
                <w:rFonts w:asciiTheme="minorHAnsi" w:hAnsiTheme="minorHAnsi"/>
                <w:szCs w:val="22"/>
                <w:lang w:val="en-US"/>
              </w:rPr>
              <w:t>Administrations of ITU Member States</w:t>
            </w:r>
          </w:p>
          <w:p w14:paraId="5F5D814A" w14:textId="77777777" w:rsidR="000267D9" w:rsidRPr="00541FE5" w:rsidRDefault="000267D9" w:rsidP="005F6D31">
            <w:pPr>
              <w:pStyle w:val="BDTContact-Details"/>
              <w:numPr>
                <w:ilvl w:val="0"/>
                <w:numId w:val="50"/>
              </w:numPr>
              <w:spacing w:after="0"/>
              <w:ind w:left="357" w:hanging="357"/>
              <w:rPr>
                <w:rFonts w:asciiTheme="minorHAnsi" w:hAnsiTheme="minorHAnsi"/>
                <w:szCs w:val="22"/>
                <w:lang w:val="en-US"/>
              </w:rPr>
            </w:pPr>
            <w:r w:rsidRPr="00541FE5">
              <w:rPr>
                <w:rFonts w:asciiTheme="minorHAnsi" w:hAnsiTheme="minorHAnsi"/>
                <w:szCs w:val="22"/>
                <w:lang w:val="en-US"/>
              </w:rPr>
              <w:t>ITU-D Sector Members, Associates, Academia</w:t>
            </w:r>
          </w:p>
          <w:p w14:paraId="390BF494" w14:textId="606A15FD" w:rsidR="001A06D3" w:rsidRDefault="000267D9" w:rsidP="00680F63">
            <w:pPr>
              <w:pStyle w:val="BDTContact-Details"/>
              <w:numPr>
                <w:ilvl w:val="0"/>
                <w:numId w:val="50"/>
              </w:numPr>
              <w:spacing w:after="0"/>
              <w:ind w:left="357" w:hanging="357"/>
              <w:rPr>
                <w:rFonts w:asciiTheme="minorHAnsi" w:hAnsiTheme="minorHAnsi"/>
                <w:szCs w:val="22"/>
              </w:rPr>
            </w:pPr>
            <w:r w:rsidRPr="00541FE5">
              <w:rPr>
                <w:rFonts w:asciiTheme="minorHAnsi" w:hAnsiTheme="minorHAnsi"/>
                <w:szCs w:val="22"/>
              </w:rPr>
              <w:t>Chairmen</w:t>
            </w:r>
            <w:r>
              <w:rPr>
                <w:rFonts w:asciiTheme="minorHAnsi" w:hAnsiTheme="minorHAnsi"/>
                <w:szCs w:val="22"/>
              </w:rPr>
              <w:t xml:space="preserve"> and</w:t>
            </w:r>
            <w:r w:rsidRPr="00541FE5">
              <w:rPr>
                <w:rFonts w:asciiTheme="minorHAnsi" w:hAnsiTheme="minorHAnsi"/>
                <w:szCs w:val="22"/>
              </w:rPr>
              <w:t xml:space="preserve"> Vice-Chairmen </w:t>
            </w:r>
            <w:r>
              <w:rPr>
                <w:rFonts w:asciiTheme="minorHAnsi" w:hAnsiTheme="minorHAnsi"/>
                <w:szCs w:val="22"/>
              </w:rPr>
              <w:t>of</w:t>
            </w:r>
            <w:r w:rsidR="00680F63">
              <w:rPr>
                <w:rFonts w:asciiTheme="minorHAnsi" w:hAnsiTheme="minorHAnsi"/>
                <w:szCs w:val="22"/>
              </w:rPr>
              <w:t xml:space="preserve"> ITU- </w:t>
            </w:r>
            <w:r w:rsidRPr="00541FE5">
              <w:rPr>
                <w:rFonts w:asciiTheme="minorHAnsi" w:hAnsiTheme="minorHAnsi"/>
                <w:szCs w:val="22"/>
              </w:rPr>
              <w:t>D Study Group 1 and 2</w:t>
            </w:r>
          </w:p>
          <w:p w14:paraId="5802877D" w14:textId="2135DFDB" w:rsidR="00680F63" w:rsidRPr="000267D9" w:rsidRDefault="00680F63" w:rsidP="00680F63">
            <w:pPr>
              <w:pStyle w:val="BDTContact-Details"/>
              <w:spacing w:after="0"/>
              <w:ind w:left="357"/>
              <w:rPr>
                <w:rFonts w:asciiTheme="minorHAnsi" w:hAnsiTheme="minorHAnsi"/>
                <w:szCs w:val="22"/>
              </w:rPr>
            </w:pPr>
          </w:p>
        </w:tc>
      </w:tr>
      <w:tr w:rsidR="001A06D3" w:rsidRPr="000267D9" w14:paraId="0AA2E50A" w14:textId="77777777" w:rsidTr="00142350">
        <w:tc>
          <w:tcPr>
            <w:tcW w:w="1242" w:type="dxa"/>
            <w:vAlign w:val="center"/>
          </w:tcPr>
          <w:p w14:paraId="56490970" w14:textId="2BAD4C46" w:rsidR="001A06D3" w:rsidRPr="000267D9" w:rsidRDefault="001A06D3" w:rsidP="001A06D3">
            <w:pPr>
              <w:pStyle w:val="BDTContact"/>
              <w:rPr>
                <w:rFonts w:asciiTheme="minorHAnsi" w:hAnsiTheme="minorHAnsi"/>
                <w:szCs w:val="22"/>
              </w:rPr>
            </w:pPr>
          </w:p>
        </w:tc>
        <w:tc>
          <w:tcPr>
            <w:tcW w:w="3578" w:type="dxa"/>
            <w:vAlign w:val="center"/>
          </w:tcPr>
          <w:p w14:paraId="4AFBF7B6" w14:textId="77777777" w:rsidR="001A06D3" w:rsidRPr="000267D9" w:rsidRDefault="001A06D3" w:rsidP="001A06D3">
            <w:pPr>
              <w:pStyle w:val="BDTContact-Details"/>
              <w:rPr>
                <w:rFonts w:asciiTheme="minorHAnsi" w:hAnsiTheme="minorHAnsi"/>
                <w:szCs w:val="22"/>
              </w:rPr>
            </w:pPr>
          </w:p>
        </w:tc>
        <w:tc>
          <w:tcPr>
            <w:tcW w:w="850" w:type="dxa"/>
            <w:vAlign w:val="center"/>
          </w:tcPr>
          <w:p w14:paraId="3F5ADBC8" w14:textId="77777777" w:rsidR="001A06D3" w:rsidRPr="000267D9" w:rsidRDefault="001A06D3" w:rsidP="001A06D3">
            <w:pPr>
              <w:pStyle w:val="BDTContact-Details"/>
              <w:rPr>
                <w:rFonts w:asciiTheme="minorHAnsi" w:hAnsiTheme="minorHAnsi"/>
                <w:szCs w:val="22"/>
              </w:rPr>
            </w:pPr>
          </w:p>
        </w:tc>
        <w:tc>
          <w:tcPr>
            <w:tcW w:w="3969" w:type="dxa"/>
            <w:vMerge/>
            <w:vAlign w:val="center"/>
          </w:tcPr>
          <w:p w14:paraId="1BAE5941" w14:textId="77777777" w:rsidR="001A06D3" w:rsidRPr="000267D9" w:rsidRDefault="001A06D3" w:rsidP="001A06D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1A06D3" w:rsidRPr="000267D9" w14:paraId="78A20A7D" w14:textId="77777777" w:rsidTr="00142350">
        <w:tc>
          <w:tcPr>
            <w:tcW w:w="1242" w:type="dxa"/>
            <w:vAlign w:val="center"/>
          </w:tcPr>
          <w:p w14:paraId="46600BFD" w14:textId="77777777" w:rsidR="001A06D3" w:rsidRPr="000267D9" w:rsidRDefault="001A06D3" w:rsidP="001A06D3">
            <w:pPr>
              <w:pStyle w:val="BDTContact"/>
              <w:rPr>
                <w:rFonts w:asciiTheme="minorHAnsi" w:hAnsiTheme="minorHAnsi"/>
                <w:szCs w:val="22"/>
              </w:rPr>
            </w:pPr>
          </w:p>
        </w:tc>
        <w:tc>
          <w:tcPr>
            <w:tcW w:w="3578" w:type="dxa"/>
            <w:vAlign w:val="center"/>
          </w:tcPr>
          <w:p w14:paraId="6DB8D4F4" w14:textId="77777777" w:rsidR="001A06D3" w:rsidRPr="000267D9" w:rsidRDefault="001A06D3" w:rsidP="001A06D3">
            <w:pPr>
              <w:pStyle w:val="BDTContact-Details"/>
              <w:rPr>
                <w:rFonts w:asciiTheme="minorHAnsi" w:hAnsiTheme="minorHAnsi"/>
                <w:szCs w:val="22"/>
              </w:rPr>
            </w:pPr>
          </w:p>
        </w:tc>
        <w:tc>
          <w:tcPr>
            <w:tcW w:w="850" w:type="dxa"/>
            <w:vAlign w:val="center"/>
          </w:tcPr>
          <w:p w14:paraId="66CE91FE" w14:textId="77777777" w:rsidR="001A06D3" w:rsidRPr="000267D9" w:rsidRDefault="001A06D3" w:rsidP="001A06D3">
            <w:pPr>
              <w:pStyle w:val="BDTContact-Details"/>
              <w:rPr>
                <w:rFonts w:asciiTheme="minorHAnsi" w:hAnsiTheme="minorHAnsi"/>
                <w:szCs w:val="22"/>
              </w:rPr>
            </w:pPr>
          </w:p>
        </w:tc>
        <w:tc>
          <w:tcPr>
            <w:tcW w:w="3969" w:type="dxa"/>
            <w:vMerge/>
            <w:vAlign w:val="center"/>
          </w:tcPr>
          <w:p w14:paraId="1DC3B922" w14:textId="77777777" w:rsidR="001A06D3" w:rsidRPr="000267D9" w:rsidRDefault="001A06D3" w:rsidP="001A06D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1A06D3" w:rsidRPr="000267D9" w14:paraId="07223820" w14:textId="77777777" w:rsidTr="00142350">
        <w:tc>
          <w:tcPr>
            <w:tcW w:w="1242" w:type="dxa"/>
            <w:vAlign w:val="center"/>
          </w:tcPr>
          <w:p w14:paraId="26395C9E" w14:textId="77777777" w:rsidR="001A06D3" w:rsidRPr="000267D9" w:rsidRDefault="001A06D3" w:rsidP="001A06D3">
            <w:pPr>
              <w:pStyle w:val="BDTContact"/>
              <w:rPr>
                <w:rFonts w:asciiTheme="minorHAnsi" w:hAnsiTheme="minorHAnsi"/>
                <w:szCs w:val="22"/>
              </w:rPr>
            </w:pPr>
          </w:p>
        </w:tc>
        <w:tc>
          <w:tcPr>
            <w:tcW w:w="3578" w:type="dxa"/>
            <w:vAlign w:val="center"/>
          </w:tcPr>
          <w:p w14:paraId="01A2E4C8" w14:textId="77777777" w:rsidR="001A06D3" w:rsidRPr="000267D9" w:rsidRDefault="001A06D3" w:rsidP="001A06D3">
            <w:pPr>
              <w:pStyle w:val="BDTContact-Details"/>
              <w:rPr>
                <w:rFonts w:asciiTheme="minorHAnsi" w:hAnsiTheme="minorHAnsi"/>
                <w:szCs w:val="22"/>
              </w:rPr>
            </w:pPr>
          </w:p>
        </w:tc>
        <w:tc>
          <w:tcPr>
            <w:tcW w:w="850" w:type="dxa"/>
            <w:vAlign w:val="center"/>
          </w:tcPr>
          <w:p w14:paraId="612F75CA" w14:textId="77777777" w:rsidR="001A06D3" w:rsidRPr="000267D9" w:rsidRDefault="001A06D3" w:rsidP="001A06D3">
            <w:pPr>
              <w:pStyle w:val="BDTContact-Details"/>
              <w:rPr>
                <w:rFonts w:asciiTheme="minorHAnsi" w:hAnsiTheme="minorHAnsi"/>
                <w:szCs w:val="22"/>
              </w:rPr>
            </w:pPr>
          </w:p>
        </w:tc>
        <w:tc>
          <w:tcPr>
            <w:tcW w:w="3969" w:type="dxa"/>
            <w:vMerge/>
            <w:vAlign w:val="center"/>
          </w:tcPr>
          <w:p w14:paraId="74C6BBDE" w14:textId="77777777" w:rsidR="001A06D3" w:rsidRPr="000267D9" w:rsidRDefault="001A06D3" w:rsidP="001A06D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1A06D3" w:rsidRPr="000267D9" w14:paraId="4D0AF37E" w14:textId="77777777" w:rsidTr="00142350">
        <w:tc>
          <w:tcPr>
            <w:tcW w:w="1242" w:type="dxa"/>
            <w:vAlign w:val="center"/>
          </w:tcPr>
          <w:p w14:paraId="46CFDC7F" w14:textId="77777777" w:rsidR="001A06D3" w:rsidRPr="000267D9" w:rsidRDefault="001A06D3" w:rsidP="001A06D3">
            <w:pPr>
              <w:pStyle w:val="BDTContact"/>
              <w:rPr>
                <w:rFonts w:asciiTheme="minorHAnsi" w:hAnsiTheme="minorHAnsi"/>
                <w:szCs w:val="22"/>
              </w:rPr>
            </w:pPr>
          </w:p>
        </w:tc>
        <w:tc>
          <w:tcPr>
            <w:tcW w:w="3578" w:type="dxa"/>
            <w:vAlign w:val="center"/>
          </w:tcPr>
          <w:p w14:paraId="2F4AC8CF" w14:textId="77777777" w:rsidR="001A06D3" w:rsidRPr="000267D9" w:rsidRDefault="001A06D3" w:rsidP="001A06D3">
            <w:pPr>
              <w:pStyle w:val="BDTContact-Details"/>
              <w:rPr>
                <w:rFonts w:asciiTheme="minorHAnsi" w:hAnsiTheme="minorHAnsi"/>
                <w:szCs w:val="22"/>
              </w:rPr>
            </w:pPr>
          </w:p>
        </w:tc>
        <w:tc>
          <w:tcPr>
            <w:tcW w:w="850" w:type="dxa"/>
            <w:vAlign w:val="center"/>
          </w:tcPr>
          <w:p w14:paraId="63066A6A" w14:textId="77777777" w:rsidR="001A06D3" w:rsidRPr="000267D9" w:rsidRDefault="001A06D3" w:rsidP="001A06D3">
            <w:pPr>
              <w:pStyle w:val="BDTContact-Details"/>
              <w:rPr>
                <w:rFonts w:asciiTheme="minorHAnsi" w:hAnsiTheme="minorHAnsi"/>
                <w:szCs w:val="22"/>
              </w:rPr>
            </w:pPr>
          </w:p>
        </w:tc>
        <w:tc>
          <w:tcPr>
            <w:tcW w:w="3969" w:type="dxa"/>
            <w:vMerge/>
            <w:vAlign w:val="center"/>
          </w:tcPr>
          <w:p w14:paraId="082D4DB6" w14:textId="77777777" w:rsidR="001A06D3" w:rsidRPr="000267D9" w:rsidRDefault="001A06D3" w:rsidP="001A06D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1A06D3" w:rsidRPr="000267D9" w14:paraId="0B3C34E9" w14:textId="77777777" w:rsidTr="00C85F93">
        <w:tc>
          <w:tcPr>
            <w:tcW w:w="9639" w:type="dxa"/>
            <w:gridSpan w:val="4"/>
            <w:vAlign w:val="center"/>
          </w:tcPr>
          <w:p w14:paraId="382C0157" w14:textId="77777777" w:rsidR="001A06D3" w:rsidRPr="000267D9" w:rsidRDefault="001A06D3" w:rsidP="001A06D3">
            <w:pPr>
              <w:pStyle w:val="BDTSeparator"/>
              <w:rPr>
                <w:rFonts w:asciiTheme="minorHAnsi" w:hAnsiTheme="minorHAnsi"/>
                <w:szCs w:val="22"/>
              </w:rPr>
            </w:pPr>
          </w:p>
        </w:tc>
      </w:tr>
      <w:tr w:rsidR="001A06D3" w:rsidRPr="00FF506C" w14:paraId="1AC14E9A" w14:textId="77777777" w:rsidTr="00C85F93">
        <w:tc>
          <w:tcPr>
            <w:tcW w:w="1242" w:type="dxa"/>
          </w:tcPr>
          <w:p w14:paraId="1FC67B01" w14:textId="77777777" w:rsidR="001A06D3" w:rsidRPr="00FF506C" w:rsidRDefault="001A06D3" w:rsidP="001A06D3">
            <w:pPr>
              <w:pStyle w:val="BDTSubject"/>
              <w:spacing w:before="120"/>
              <w:rPr>
                <w:szCs w:val="22"/>
              </w:rPr>
            </w:pPr>
            <w:r>
              <w:rPr>
                <w:b/>
                <w:bCs/>
              </w:rPr>
              <w:t>Subject:</w:t>
            </w:r>
          </w:p>
        </w:tc>
        <w:tc>
          <w:tcPr>
            <w:tcW w:w="8397" w:type="dxa"/>
            <w:gridSpan w:val="3"/>
          </w:tcPr>
          <w:p w14:paraId="1C699D39" w14:textId="6D6921C8" w:rsidR="001A06D3" w:rsidRPr="001F5B41" w:rsidRDefault="00962F2D" w:rsidP="00851504">
            <w:pPr>
              <w:pStyle w:val="BDTOpening"/>
              <w:spacing w:after="120"/>
              <w:rPr>
                <w:b/>
                <w:bCs/>
              </w:rPr>
            </w:pPr>
            <w:bookmarkStart w:id="1" w:name="Subject"/>
            <w:bookmarkEnd w:id="1"/>
            <w:r w:rsidRPr="00B83D16">
              <w:rPr>
                <w:rFonts w:asciiTheme="minorHAnsi" w:hAnsiTheme="minorHAnsi"/>
                <w:b/>
                <w:bCs/>
              </w:rPr>
              <w:t xml:space="preserve">Candidates for </w:t>
            </w:r>
            <w:r>
              <w:rPr>
                <w:rFonts w:asciiTheme="minorHAnsi" w:hAnsiTheme="minorHAnsi"/>
                <w:b/>
                <w:bCs/>
              </w:rPr>
              <w:t>Rapporteurs and V</w:t>
            </w:r>
            <w:r w:rsidRPr="00B83D16">
              <w:rPr>
                <w:rFonts w:asciiTheme="minorHAnsi" w:hAnsiTheme="minorHAnsi"/>
                <w:b/>
                <w:bCs/>
              </w:rPr>
              <w:t>ice-</w:t>
            </w:r>
            <w:r>
              <w:rPr>
                <w:rFonts w:asciiTheme="minorHAnsi" w:hAnsiTheme="minorHAnsi"/>
                <w:b/>
                <w:bCs/>
              </w:rPr>
              <w:t>Rapporteurs</w:t>
            </w:r>
            <w:r w:rsidRPr="00B83D16">
              <w:rPr>
                <w:rFonts w:asciiTheme="minorHAnsi" w:hAnsiTheme="minorHAnsi"/>
                <w:b/>
                <w:bCs/>
              </w:rPr>
              <w:t xml:space="preserve"> of ITU-D </w:t>
            </w:r>
            <w:r>
              <w:rPr>
                <w:rFonts w:asciiTheme="minorHAnsi" w:hAnsiTheme="minorHAnsi"/>
                <w:b/>
                <w:bCs/>
              </w:rPr>
              <w:t>Study Group 1 and 2 study Questions</w:t>
            </w:r>
            <w:r w:rsidRPr="00B83D16">
              <w:rPr>
                <w:rFonts w:asciiTheme="minorHAnsi" w:hAnsiTheme="minorHAnsi"/>
                <w:b/>
                <w:bCs/>
              </w:rPr>
              <w:t xml:space="preserve"> for</w:t>
            </w:r>
            <w:r>
              <w:rPr>
                <w:rFonts w:asciiTheme="minorHAnsi" w:hAnsiTheme="minorHAnsi"/>
                <w:b/>
                <w:bCs/>
              </w:rPr>
              <w:t xml:space="preserve"> the 2018-2021 period</w:t>
            </w:r>
          </w:p>
        </w:tc>
      </w:tr>
      <w:tr w:rsidR="001A06D3" w:rsidRPr="000267D9" w14:paraId="63102421" w14:textId="77777777" w:rsidTr="00C85F93">
        <w:tc>
          <w:tcPr>
            <w:tcW w:w="9639" w:type="dxa"/>
            <w:gridSpan w:val="4"/>
            <w:vAlign w:val="center"/>
          </w:tcPr>
          <w:p w14:paraId="6FD026B8" w14:textId="77777777" w:rsidR="00CB0AA1" w:rsidRPr="00541FE5" w:rsidRDefault="00CB0AA1" w:rsidP="00CB0AA1">
            <w:pPr>
              <w:pStyle w:val="CEONormal"/>
              <w:spacing w:before="240" w:after="0"/>
              <w:rPr>
                <w:rFonts w:asciiTheme="minorHAnsi" w:hAnsiTheme="minorHAnsi"/>
              </w:rPr>
            </w:pPr>
            <w:r w:rsidRPr="00541FE5">
              <w:rPr>
                <w:rFonts w:asciiTheme="minorHAnsi" w:hAnsiTheme="minorHAnsi"/>
              </w:rPr>
              <w:t>Dear Sir/Madam,</w:t>
            </w:r>
          </w:p>
          <w:p w14:paraId="1F6A658B" w14:textId="35505AE0" w:rsidR="00CB0AA1" w:rsidRDefault="00CB0AA1" w:rsidP="00C87AF3">
            <w:pPr>
              <w:pStyle w:val="CEONormal"/>
              <w:spacing w:before="360" w:after="0"/>
              <w:rPr>
                <w:rFonts w:asciiTheme="minorHAnsi" w:hAnsiTheme="minorHAnsi"/>
              </w:rPr>
            </w:pPr>
            <w:r>
              <w:rPr>
                <w:rFonts w:asciiTheme="minorHAnsi" w:hAnsiTheme="minorHAnsi"/>
              </w:rPr>
              <w:t>The</w:t>
            </w:r>
            <w:r w:rsidRPr="00B83D16">
              <w:rPr>
                <w:rFonts w:asciiTheme="minorHAnsi" w:hAnsiTheme="minorHAnsi"/>
              </w:rPr>
              <w:t xml:space="preserve"> World Telecommunication Development Conference</w:t>
            </w:r>
            <w:r>
              <w:rPr>
                <w:rFonts w:asciiTheme="minorHAnsi" w:hAnsiTheme="minorHAnsi"/>
              </w:rPr>
              <w:t xml:space="preserve"> 2017 (WTDC-17) in Buenos Aires </w:t>
            </w:r>
            <w:r w:rsidRPr="003A21F4">
              <w:rPr>
                <w:rFonts w:asciiTheme="minorHAnsi" w:hAnsiTheme="minorHAnsi"/>
              </w:rPr>
              <w:t>has appointed the </w:t>
            </w:r>
            <w:r>
              <w:rPr>
                <w:rFonts w:asciiTheme="minorHAnsi" w:hAnsiTheme="minorHAnsi"/>
              </w:rPr>
              <w:t>C</w:t>
            </w:r>
            <w:r w:rsidRPr="003A21F4">
              <w:rPr>
                <w:rFonts w:asciiTheme="minorHAnsi" w:hAnsiTheme="minorHAnsi"/>
              </w:rPr>
              <w:t xml:space="preserve">hairmen and </w:t>
            </w:r>
            <w:r>
              <w:rPr>
                <w:rFonts w:asciiTheme="minorHAnsi" w:hAnsiTheme="minorHAnsi"/>
              </w:rPr>
              <w:t>V</w:t>
            </w:r>
            <w:r w:rsidRPr="003A21F4">
              <w:rPr>
                <w:rFonts w:asciiTheme="minorHAnsi" w:hAnsiTheme="minorHAnsi"/>
              </w:rPr>
              <w:t>ice-</w:t>
            </w:r>
            <w:r>
              <w:rPr>
                <w:rFonts w:asciiTheme="minorHAnsi" w:hAnsiTheme="minorHAnsi"/>
              </w:rPr>
              <w:t>C</w:t>
            </w:r>
            <w:r w:rsidRPr="003A21F4">
              <w:rPr>
                <w:rFonts w:asciiTheme="minorHAnsi" w:hAnsiTheme="minorHAnsi"/>
              </w:rPr>
              <w:t xml:space="preserve">hairmen for the ITU-D </w:t>
            </w:r>
            <w:r w:rsidR="005F6D31">
              <w:rPr>
                <w:rFonts w:asciiTheme="minorHAnsi" w:hAnsiTheme="minorHAnsi"/>
              </w:rPr>
              <w:t>s</w:t>
            </w:r>
            <w:r>
              <w:rPr>
                <w:rFonts w:asciiTheme="minorHAnsi" w:hAnsiTheme="minorHAnsi"/>
              </w:rPr>
              <w:t xml:space="preserve">tudy </w:t>
            </w:r>
            <w:r w:rsidR="005F6D31">
              <w:rPr>
                <w:rFonts w:asciiTheme="minorHAnsi" w:hAnsiTheme="minorHAnsi"/>
              </w:rPr>
              <w:t>g</w:t>
            </w:r>
            <w:r w:rsidRPr="003A21F4">
              <w:rPr>
                <w:rFonts w:asciiTheme="minorHAnsi" w:hAnsiTheme="minorHAnsi"/>
              </w:rPr>
              <w:t>roups</w:t>
            </w:r>
            <w:r>
              <w:rPr>
                <w:rFonts w:asciiTheme="minorHAnsi" w:hAnsiTheme="minorHAnsi"/>
              </w:rPr>
              <w:t xml:space="preserve">. Pursuant to WTDC-17, both Study Group 1 and 2 will continue their work with a series of study Questions which are listed in </w:t>
            </w:r>
            <w:r>
              <w:rPr>
                <w:rFonts w:asciiTheme="minorHAnsi" w:hAnsiTheme="minorHAnsi"/>
                <w:b/>
                <w:bCs/>
              </w:rPr>
              <w:t>Annex 1</w:t>
            </w:r>
            <w:r>
              <w:rPr>
                <w:rFonts w:asciiTheme="minorHAnsi" w:hAnsiTheme="minorHAnsi"/>
              </w:rPr>
              <w:t xml:space="preserve"> to this circula</w:t>
            </w:r>
            <w:r w:rsidRPr="0041287F">
              <w:rPr>
                <w:rFonts w:asciiTheme="minorHAnsi" w:hAnsiTheme="minorHAnsi"/>
              </w:rPr>
              <w:t>r</w:t>
            </w:r>
            <w:r w:rsidR="0041287F" w:rsidRPr="001350CF">
              <w:rPr>
                <w:rFonts w:asciiTheme="minorHAnsi" w:hAnsiTheme="minorHAnsi"/>
              </w:rPr>
              <w:t>.</w:t>
            </w:r>
          </w:p>
          <w:p w14:paraId="4FC65359" w14:textId="31E6E977" w:rsidR="00CB0AA1" w:rsidRDefault="00CB0AA1" w:rsidP="00C87AF3">
            <w:pPr>
              <w:pStyle w:val="CEONormal"/>
              <w:spacing w:before="240" w:after="0"/>
              <w:rPr>
                <w:rFonts w:asciiTheme="minorHAnsi" w:hAnsiTheme="minorHAnsi"/>
              </w:rPr>
            </w:pPr>
            <w:r w:rsidRPr="00601784">
              <w:rPr>
                <w:rFonts w:asciiTheme="minorHAnsi" w:hAnsiTheme="minorHAnsi"/>
              </w:rPr>
              <w:t xml:space="preserve">Resolution 1 (Rev. </w:t>
            </w:r>
            <w:r>
              <w:rPr>
                <w:rFonts w:asciiTheme="minorHAnsi" w:hAnsiTheme="minorHAnsi"/>
              </w:rPr>
              <w:t>Buenos Aires</w:t>
            </w:r>
            <w:r w:rsidRPr="00601784">
              <w:rPr>
                <w:rFonts w:asciiTheme="minorHAnsi" w:hAnsiTheme="minorHAnsi"/>
              </w:rPr>
              <w:t>, 201</w:t>
            </w:r>
            <w:r>
              <w:rPr>
                <w:rFonts w:asciiTheme="minorHAnsi" w:hAnsiTheme="minorHAnsi"/>
              </w:rPr>
              <w:t>7</w:t>
            </w:r>
            <w:r w:rsidRPr="00601784">
              <w:rPr>
                <w:rFonts w:asciiTheme="minorHAnsi" w:hAnsiTheme="minorHAnsi"/>
              </w:rPr>
              <w:t>)</w:t>
            </w:r>
            <w:r>
              <w:rPr>
                <w:rFonts w:asciiTheme="minorHAnsi" w:hAnsiTheme="minorHAnsi"/>
              </w:rPr>
              <w:t xml:space="preserve"> stipulates that Rapporteurs and Vice-Rapporteurs are appointed in order to progress of the study Questions. Furthermore, b</w:t>
            </w:r>
            <w:r w:rsidRPr="007C1828">
              <w:rPr>
                <w:rFonts w:asciiTheme="minorHAnsi" w:hAnsiTheme="minorHAnsi"/>
              </w:rPr>
              <w:t xml:space="preserve">ecause of the nature of the studies, </w:t>
            </w:r>
            <w:r>
              <w:rPr>
                <w:rFonts w:asciiTheme="minorHAnsi" w:hAnsiTheme="minorHAnsi"/>
              </w:rPr>
              <w:t xml:space="preserve">the </w:t>
            </w:r>
            <w:r w:rsidRPr="007C1828">
              <w:rPr>
                <w:rFonts w:asciiTheme="minorHAnsi" w:hAnsiTheme="minorHAnsi"/>
              </w:rPr>
              <w:t>appointment</w:t>
            </w:r>
            <w:r>
              <w:rPr>
                <w:rFonts w:asciiTheme="minorHAnsi" w:hAnsiTheme="minorHAnsi"/>
              </w:rPr>
              <w:t xml:space="preserve"> of Rapporteur</w:t>
            </w:r>
            <w:r w:rsidRPr="007C1828">
              <w:rPr>
                <w:rFonts w:asciiTheme="minorHAnsi" w:hAnsiTheme="minorHAnsi"/>
              </w:rPr>
              <w:t>s should be based both on expertise in the subject to be studied and on the ability to coordinate the work.</w:t>
            </w:r>
            <w:r>
              <w:rPr>
                <w:rFonts w:asciiTheme="minorHAnsi" w:hAnsiTheme="minorHAnsi"/>
              </w:rPr>
              <w:t xml:space="preserve"> </w:t>
            </w:r>
            <w:r w:rsidRPr="007C1828">
              <w:rPr>
                <w:rFonts w:asciiTheme="minorHAnsi" w:hAnsiTheme="minorHAnsi"/>
              </w:rPr>
              <w:t xml:space="preserve">Elements of the expected work done by the </w:t>
            </w:r>
            <w:r>
              <w:rPr>
                <w:rFonts w:asciiTheme="minorHAnsi" w:hAnsiTheme="minorHAnsi"/>
              </w:rPr>
              <w:t>R</w:t>
            </w:r>
            <w:r w:rsidRPr="007C1828">
              <w:rPr>
                <w:rFonts w:asciiTheme="minorHAnsi" w:hAnsiTheme="minorHAnsi"/>
              </w:rPr>
              <w:t xml:space="preserve">apporteurs are described in </w:t>
            </w:r>
            <w:r w:rsidRPr="001350CF">
              <w:rPr>
                <w:rFonts w:asciiTheme="minorHAnsi" w:hAnsiTheme="minorHAnsi"/>
              </w:rPr>
              <w:t>Annex 5 to Resolution 1</w:t>
            </w:r>
            <w:r>
              <w:rPr>
                <w:rFonts w:asciiTheme="minorHAnsi" w:hAnsiTheme="minorHAnsi"/>
              </w:rPr>
              <w:t xml:space="preserve"> and also attached in </w:t>
            </w:r>
            <w:r w:rsidRPr="00601784">
              <w:rPr>
                <w:rFonts w:asciiTheme="minorHAnsi" w:hAnsiTheme="minorHAnsi"/>
                <w:b/>
                <w:bCs/>
              </w:rPr>
              <w:t>Annex 2</w:t>
            </w:r>
            <w:r>
              <w:rPr>
                <w:rFonts w:asciiTheme="minorHAnsi" w:hAnsiTheme="minorHAnsi"/>
              </w:rPr>
              <w:t xml:space="preserve"> to this circular</w:t>
            </w:r>
            <w:r w:rsidRPr="007C1828">
              <w:rPr>
                <w:rFonts w:asciiTheme="minorHAnsi" w:hAnsiTheme="minorHAnsi"/>
              </w:rPr>
              <w:t>.</w:t>
            </w:r>
            <w:r>
              <w:rPr>
                <w:rFonts w:asciiTheme="minorHAnsi" w:hAnsiTheme="minorHAnsi"/>
              </w:rPr>
              <w:t xml:space="preserve"> S</w:t>
            </w:r>
            <w:r w:rsidRPr="008F31B3">
              <w:rPr>
                <w:rFonts w:asciiTheme="minorHAnsi" w:hAnsiTheme="minorHAnsi"/>
              </w:rPr>
              <w:t xml:space="preserve">ubject to the relevant provisions of the Constitution and Convention, </w:t>
            </w:r>
            <w:r w:rsidRPr="00B83D16">
              <w:rPr>
                <w:rFonts w:asciiTheme="minorHAnsi" w:hAnsiTheme="minorHAnsi"/>
              </w:rPr>
              <w:t>Member States</w:t>
            </w:r>
            <w:r>
              <w:rPr>
                <w:rFonts w:asciiTheme="minorHAnsi" w:hAnsiTheme="minorHAnsi"/>
              </w:rPr>
              <w:t xml:space="preserve">, </w:t>
            </w:r>
            <w:r w:rsidRPr="00B83D16">
              <w:rPr>
                <w:rFonts w:asciiTheme="minorHAnsi" w:hAnsiTheme="minorHAnsi"/>
              </w:rPr>
              <w:t>ITU-D Sector Members</w:t>
            </w:r>
            <w:r>
              <w:rPr>
                <w:rFonts w:asciiTheme="minorHAnsi" w:hAnsiTheme="minorHAnsi"/>
              </w:rPr>
              <w:t xml:space="preserve">, </w:t>
            </w:r>
            <w:r w:rsidRPr="00361557">
              <w:rPr>
                <w:rFonts w:asciiTheme="minorHAnsi" w:hAnsiTheme="minorHAnsi"/>
              </w:rPr>
              <w:t xml:space="preserve">Associates, </w:t>
            </w:r>
            <w:r>
              <w:rPr>
                <w:rFonts w:asciiTheme="minorHAnsi" w:hAnsiTheme="minorHAnsi"/>
              </w:rPr>
              <w:t xml:space="preserve">and </w:t>
            </w:r>
            <w:r w:rsidRPr="00361557">
              <w:rPr>
                <w:rFonts w:asciiTheme="minorHAnsi" w:hAnsiTheme="minorHAnsi"/>
              </w:rPr>
              <w:t>Academia</w:t>
            </w:r>
            <w:r w:rsidRPr="00B83D16">
              <w:rPr>
                <w:rFonts w:asciiTheme="minorHAnsi" w:hAnsiTheme="minorHAnsi"/>
              </w:rPr>
              <w:t xml:space="preserve"> are encouraged to indicate proposed candidates to the Director of BDT</w:t>
            </w:r>
            <w:r>
              <w:rPr>
                <w:rFonts w:asciiTheme="minorHAnsi" w:hAnsiTheme="minorHAnsi"/>
              </w:rPr>
              <w:t>, to be considered during the first Study Group 1 and 2 meetings in 2018.</w:t>
            </w:r>
          </w:p>
          <w:p w14:paraId="06784C9C" w14:textId="548AEBA2" w:rsidR="00CB0AA1" w:rsidRPr="00B83D16" w:rsidRDefault="00CB0AA1" w:rsidP="00C87AF3">
            <w:pPr>
              <w:pStyle w:val="CEONormal"/>
              <w:spacing w:before="240" w:after="0"/>
              <w:rPr>
                <w:rFonts w:asciiTheme="minorHAnsi" w:hAnsiTheme="minorHAnsi"/>
              </w:rPr>
            </w:pPr>
            <w:r>
              <w:rPr>
                <w:rFonts w:asciiTheme="minorHAnsi" w:hAnsiTheme="minorHAnsi"/>
              </w:rPr>
              <w:t xml:space="preserve">Should </w:t>
            </w:r>
            <w:r w:rsidRPr="00B83D16">
              <w:rPr>
                <w:rFonts w:asciiTheme="minorHAnsi" w:hAnsiTheme="minorHAnsi"/>
              </w:rPr>
              <w:t>your administration/organization wish to propose candidate</w:t>
            </w:r>
            <w:r>
              <w:rPr>
                <w:rFonts w:asciiTheme="minorHAnsi" w:hAnsiTheme="minorHAnsi"/>
              </w:rPr>
              <w:t>s</w:t>
            </w:r>
            <w:r w:rsidRPr="00B83D16">
              <w:rPr>
                <w:rFonts w:asciiTheme="minorHAnsi" w:hAnsiTheme="minorHAnsi"/>
              </w:rPr>
              <w:t xml:space="preserve"> for </w:t>
            </w:r>
            <w:r>
              <w:rPr>
                <w:rFonts w:asciiTheme="minorHAnsi" w:hAnsiTheme="minorHAnsi"/>
              </w:rPr>
              <w:t>Rapporteurs</w:t>
            </w:r>
            <w:r w:rsidRPr="00B83D16">
              <w:rPr>
                <w:rFonts w:asciiTheme="minorHAnsi" w:hAnsiTheme="minorHAnsi"/>
              </w:rPr>
              <w:t xml:space="preserve"> or </w:t>
            </w:r>
            <w:r>
              <w:rPr>
                <w:rFonts w:asciiTheme="minorHAnsi" w:hAnsiTheme="minorHAnsi"/>
              </w:rPr>
              <w:t>V</w:t>
            </w:r>
            <w:r w:rsidRPr="00B83D16">
              <w:rPr>
                <w:rFonts w:asciiTheme="minorHAnsi" w:hAnsiTheme="minorHAnsi"/>
              </w:rPr>
              <w:t>ice-</w:t>
            </w:r>
            <w:r>
              <w:rPr>
                <w:rFonts w:asciiTheme="minorHAnsi" w:hAnsiTheme="minorHAnsi"/>
              </w:rPr>
              <w:t>Rapporteurs</w:t>
            </w:r>
            <w:r w:rsidRPr="00B83D16">
              <w:rPr>
                <w:rFonts w:asciiTheme="minorHAnsi" w:hAnsiTheme="minorHAnsi"/>
              </w:rPr>
              <w:t xml:space="preserve"> of ITU-D </w:t>
            </w:r>
            <w:r w:rsidR="005F6D31">
              <w:rPr>
                <w:rFonts w:asciiTheme="minorHAnsi" w:hAnsiTheme="minorHAnsi"/>
              </w:rPr>
              <w:t>s</w:t>
            </w:r>
            <w:r w:rsidRPr="00B83D16">
              <w:rPr>
                <w:rFonts w:asciiTheme="minorHAnsi" w:hAnsiTheme="minorHAnsi"/>
              </w:rPr>
              <w:t xml:space="preserve">tudy </w:t>
            </w:r>
            <w:r w:rsidR="005F6D31">
              <w:rPr>
                <w:rFonts w:asciiTheme="minorHAnsi" w:hAnsiTheme="minorHAnsi"/>
              </w:rPr>
              <w:t>g</w:t>
            </w:r>
            <w:r w:rsidRPr="00B83D16">
              <w:rPr>
                <w:rFonts w:asciiTheme="minorHAnsi" w:hAnsiTheme="minorHAnsi"/>
              </w:rPr>
              <w:t xml:space="preserve">roup </w:t>
            </w:r>
            <w:r>
              <w:rPr>
                <w:rFonts w:asciiTheme="minorHAnsi" w:hAnsiTheme="minorHAnsi"/>
              </w:rPr>
              <w:t>Questions</w:t>
            </w:r>
            <w:r w:rsidRPr="00B83D16">
              <w:rPr>
                <w:rFonts w:asciiTheme="minorHAnsi" w:hAnsiTheme="minorHAnsi"/>
              </w:rPr>
              <w:t xml:space="preserve">, I would very much appreciate </w:t>
            </w:r>
            <w:r>
              <w:rPr>
                <w:rFonts w:asciiTheme="minorHAnsi" w:hAnsiTheme="minorHAnsi"/>
              </w:rPr>
              <w:t xml:space="preserve">receiving </w:t>
            </w:r>
            <w:r w:rsidRPr="00B83D16">
              <w:rPr>
                <w:rFonts w:asciiTheme="minorHAnsi" w:hAnsiTheme="minorHAnsi"/>
              </w:rPr>
              <w:t>the name</w:t>
            </w:r>
            <w:r>
              <w:rPr>
                <w:rFonts w:asciiTheme="minorHAnsi" w:hAnsiTheme="minorHAnsi"/>
              </w:rPr>
              <w:t xml:space="preserve">s </w:t>
            </w:r>
            <w:r w:rsidRPr="00B83D16">
              <w:rPr>
                <w:rFonts w:asciiTheme="minorHAnsi" w:hAnsiTheme="minorHAnsi"/>
              </w:rPr>
              <w:t>of the</w:t>
            </w:r>
            <w:r>
              <w:rPr>
                <w:rFonts w:asciiTheme="minorHAnsi" w:hAnsiTheme="minorHAnsi"/>
              </w:rPr>
              <w:t>se</w:t>
            </w:r>
            <w:r w:rsidRPr="00B83D16">
              <w:rPr>
                <w:rFonts w:asciiTheme="minorHAnsi" w:hAnsiTheme="minorHAnsi"/>
              </w:rPr>
              <w:t xml:space="preserve"> </w:t>
            </w:r>
            <w:r>
              <w:rPr>
                <w:rFonts w:asciiTheme="minorHAnsi" w:hAnsiTheme="minorHAnsi"/>
              </w:rPr>
              <w:t>candidates</w:t>
            </w:r>
            <w:r w:rsidRPr="00B83D16">
              <w:rPr>
                <w:rFonts w:asciiTheme="minorHAnsi" w:hAnsiTheme="minorHAnsi"/>
              </w:rPr>
              <w:t xml:space="preserve"> and </w:t>
            </w:r>
            <w:r>
              <w:rPr>
                <w:rFonts w:asciiTheme="minorHAnsi" w:hAnsiTheme="minorHAnsi"/>
              </w:rPr>
              <w:t xml:space="preserve">their </w:t>
            </w:r>
            <w:r w:rsidRPr="00B83D16">
              <w:rPr>
                <w:rFonts w:asciiTheme="minorHAnsi" w:hAnsiTheme="minorHAnsi"/>
              </w:rPr>
              <w:t>biographical profile</w:t>
            </w:r>
            <w:r>
              <w:rPr>
                <w:rFonts w:asciiTheme="minorHAnsi" w:hAnsiTheme="minorHAnsi"/>
              </w:rPr>
              <w:t>s,</w:t>
            </w:r>
            <w:r w:rsidRPr="00B83D16">
              <w:rPr>
                <w:rFonts w:asciiTheme="minorHAnsi" w:hAnsiTheme="minorHAnsi"/>
              </w:rPr>
              <w:t xml:space="preserve"> highlighting </w:t>
            </w:r>
            <w:r>
              <w:rPr>
                <w:rFonts w:asciiTheme="minorHAnsi" w:hAnsiTheme="minorHAnsi"/>
              </w:rPr>
              <w:t>the</w:t>
            </w:r>
            <w:r w:rsidRPr="00B83D16">
              <w:rPr>
                <w:rFonts w:asciiTheme="minorHAnsi" w:hAnsiTheme="minorHAnsi"/>
              </w:rPr>
              <w:t xml:space="preserve"> qualifications</w:t>
            </w:r>
            <w:r>
              <w:rPr>
                <w:rFonts w:asciiTheme="minorHAnsi" w:hAnsiTheme="minorHAnsi"/>
              </w:rPr>
              <w:t xml:space="preserve"> of the individuals concerned for the positions sought, as soon as possible, and at the </w:t>
            </w:r>
            <w:r w:rsidRPr="0041287F">
              <w:rPr>
                <w:rFonts w:asciiTheme="minorHAnsi" w:hAnsiTheme="minorHAnsi"/>
              </w:rPr>
              <w:t xml:space="preserve">latest by </w:t>
            </w:r>
            <w:r w:rsidR="0041287F" w:rsidRPr="001350CF">
              <w:rPr>
                <w:rFonts w:asciiTheme="minorHAnsi" w:hAnsiTheme="minorHAnsi"/>
                <w:b/>
                <w:bCs/>
              </w:rPr>
              <w:t xml:space="preserve">8 </w:t>
            </w:r>
            <w:r w:rsidRPr="001350CF">
              <w:rPr>
                <w:rFonts w:asciiTheme="minorHAnsi" w:hAnsiTheme="minorHAnsi"/>
                <w:b/>
                <w:bCs/>
              </w:rPr>
              <w:t>December 2017</w:t>
            </w:r>
            <w:r w:rsidRPr="0041287F">
              <w:rPr>
                <w:rFonts w:asciiTheme="minorHAnsi" w:hAnsiTheme="minorHAnsi"/>
              </w:rPr>
              <w:t>. The</w:t>
            </w:r>
            <w:r w:rsidRPr="00B83D16">
              <w:rPr>
                <w:rFonts w:asciiTheme="minorHAnsi" w:hAnsiTheme="minorHAnsi"/>
              </w:rPr>
              <w:t xml:space="preserve"> names </w:t>
            </w:r>
            <w:r>
              <w:rPr>
                <w:rFonts w:asciiTheme="minorHAnsi" w:hAnsiTheme="minorHAnsi"/>
              </w:rPr>
              <w:t>and CVs of the nominated candidates</w:t>
            </w:r>
            <w:r w:rsidRPr="00B83D16">
              <w:rPr>
                <w:rFonts w:asciiTheme="minorHAnsi" w:hAnsiTheme="minorHAnsi"/>
              </w:rPr>
              <w:t xml:space="preserve"> will be posted on the website at </w:t>
            </w:r>
            <w:hyperlink r:id="rId8" w:history="1">
              <w:r w:rsidRPr="001D1C1F">
                <w:rPr>
                  <w:rStyle w:val="Hyperlink"/>
                  <w:rFonts w:asciiTheme="minorHAnsi" w:hAnsiTheme="minorHAnsi" w:cs="Simplified Arabic"/>
                </w:rPr>
                <w:t>http://www.itu.int/ITU-D/study-groups</w:t>
              </w:r>
            </w:hyperlink>
            <w:r>
              <w:t xml:space="preserve"> </w:t>
            </w:r>
            <w:r>
              <w:rPr>
                <w:rFonts w:asciiTheme="minorHAnsi" w:hAnsiTheme="minorHAnsi"/>
              </w:rPr>
              <w:t>as soon as they are made available</w:t>
            </w:r>
            <w:r w:rsidRPr="00B83D16">
              <w:rPr>
                <w:rFonts w:asciiTheme="minorHAnsi" w:hAnsiTheme="minorHAnsi"/>
              </w:rPr>
              <w:t>.</w:t>
            </w:r>
          </w:p>
          <w:p w14:paraId="7A3304D5" w14:textId="77777777" w:rsidR="00680F63" w:rsidRDefault="00680F63" w:rsidP="00680F63">
            <w:pPr>
              <w:spacing w:after="0"/>
              <w:rPr>
                <w:rFonts w:asciiTheme="minorHAnsi" w:hAnsiTheme="minorHAnsi"/>
                <w:szCs w:val="22"/>
                <w:lang w:val="en-GB"/>
              </w:rPr>
            </w:pPr>
          </w:p>
          <w:p w14:paraId="124D5CBD" w14:textId="77777777" w:rsidR="00680F63" w:rsidRDefault="00680F63" w:rsidP="00680F63">
            <w:pPr>
              <w:spacing w:after="0"/>
              <w:rPr>
                <w:rFonts w:asciiTheme="minorHAnsi" w:hAnsiTheme="minorHAnsi"/>
                <w:szCs w:val="22"/>
                <w:lang w:val="en-GB"/>
              </w:rPr>
            </w:pPr>
          </w:p>
          <w:p w14:paraId="3CEB6DCA" w14:textId="77777777" w:rsidR="00680F63" w:rsidRDefault="00680F63" w:rsidP="00680F63">
            <w:pPr>
              <w:spacing w:after="0"/>
              <w:rPr>
                <w:rFonts w:asciiTheme="minorHAnsi" w:hAnsiTheme="minorHAnsi"/>
                <w:szCs w:val="22"/>
                <w:lang w:val="en-GB"/>
              </w:rPr>
            </w:pPr>
          </w:p>
          <w:p w14:paraId="2EDFC1E4" w14:textId="77777777" w:rsidR="00680F63" w:rsidRDefault="00680F63" w:rsidP="00680F63">
            <w:pPr>
              <w:spacing w:after="0"/>
              <w:rPr>
                <w:rFonts w:asciiTheme="minorHAnsi" w:hAnsiTheme="minorHAnsi"/>
                <w:szCs w:val="22"/>
                <w:lang w:val="en-GB"/>
              </w:rPr>
            </w:pPr>
          </w:p>
          <w:p w14:paraId="591E03B2" w14:textId="77777777" w:rsidR="00680F63" w:rsidRDefault="00680F63" w:rsidP="00680F63">
            <w:pPr>
              <w:spacing w:after="0"/>
              <w:rPr>
                <w:rFonts w:asciiTheme="minorHAnsi" w:hAnsiTheme="minorHAnsi"/>
                <w:szCs w:val="22"/>
                <w:lang w:val="en-GB"/>
              </w:rPr>
            </w:pPr>
          </w:p>
          <w:p w14:paraId="501FB6E4" w14:textId="3A661B53" w:rsidR="00CB0AA1" w:rsidRPr="00B83D16" w:rsidRDefault="00CB0AA1" w:rsidP="00680F63">
            <w:pPr>
              <w:spacing w:after="0"/>
              <w:rPr>
                <w:rFonts w:asciiTheme="minorHAnsi" w:hAnsiTheme="minorHAnsi"/>
                <w:szCs w:val="22"/>
              </w:rPr>
            </w:pPr>
            <w:r w:rsidRPr="00B83D16">
              <w:rPr>
                <w:rFonts w:asciiTheme="minorHAnsi" w:hAnsiTheme="minorHAnsi"/>
                <w:szCs w:val="22"/>
              </w:rPr>
              <w:t>I look forward to receiving your proposed candidature</w:t>
            </w:r>
            <w:r>
              <w:rPr>
                <w:rFonts w:asciiTheme="minorHAnsi" w:hAnsiTheme="minorHAnsi"/>
                <w:szCs w:val="22"/>
              </w:rPr>
              <w:t>(</w:t>
            </w:r>
            <w:r w:rsidRPr="00B83D16">
              <w:rPr>
                <w:rFonts w:asciiTheme="minorHAnsi" w:hAnsiTheme="minorHAnsi"/>
                <w:szCs w:val="22"/>
              </w:rPr>
              <w:t>s</w:t>
            </w:r>
            <w:r>
              <w:rPr>
                <w:rFonts w:asciiTheme="minorHAnsi" w:hAnsiTheme="minorHAnsi"/>
                <w:szCs w:val="22"/>
              </w:rPr>
              <w:t xml:space="preserve">) and to </w:t>
            </w:r>
            <w:r w:rsidRPr="00541FE5">
              <w:rPr>
                <w:rFonts w:asciiTheme="minorHAnsi" w:hAnsiTheme="minorHAnsi"/>
                <w:szCs w:val="22"/>
              </w:rPr>
              <w:t xml:space="preserve">your continued support </w:t>
            </w:r>
            <w:r>
              <w:rPr>
                <w:rFonts w:asciiTheme="minorHAnsi" w:hAnsiTheme="minorHAnsi"/>
                <w:szCs w:val="22"/>
              </w:rPr>
              <w:t xml:space="preserve">for </w:t>
            </w:r>
            <w:r w:rsidRPr="00541FE5">
              <w:rPr>
                <w:rFonts w:asciiTheme="minorHAnsi" w:hAnsiTheme="minorHAnsi"/>
                <w:szCs w:val="22"/>
              </w:rPr>
              <w:t xml:space="preserve">the </w:t>
            </w:r>
            <w:r>
              <w:rPr>
                <w:rFonts w:asciiTheme="minorHAnsi" w:hAnsiTheme="minorHAnsi"/>
                <w:szCs w:val="22"/>
              </w:rPr>
              <w:t>activities</w:t>
            </w:r>
            <w:r w:rsidRPr="00541FE5">
              <w:rPr>
                <w:rFonts w:asciiTheme="minorHAnsi" w:hAnsiTheme="minorHAnsi"/>
                <w:szCs w:val="22"/>
              </w:rPr>
              <w:t xml:space="preserve"> of the </w:t>
            </w:r>
            <w:r>
              <w:rPr>
                <w:rFonts w:asciiTheme="minorHAnsi" w:hAnsiTheme="minorHAnsi"/>
                <w:szCs w:val="22"/>
              </w:rPr>
              <w:t>ITU-D study groups</w:t>
            </w:r>
            <w:r w:rsidRPr="00541FE5">
              <w:rPr>
                <w:rFonts w:asciiTheme="minorHAnsi" w:hAnsiTheme="minorHAnsi"/>
                <w:szCs w:val="22"/>
              </w:rPr>
              <w:t>.</w:t>
            </w:r>
          </w:p>
          <w:p w14:paraId="6BB827D6" w14:textId="77777777" w:rsidR="00CB0AA1" w:rsidRPr="00B83D16" w:rsidRDefault="00CB0AA1" w:rsidP="00CB0AA1">
            <w:pPr>
              <w:pStyle w:val="BDTClosing"/>
              <w:spacing w:after="120"/>
              <w:rPr>
                <w:rFonts w:asciiTheme="minorHAnsi" w:hAnsiTheme="minorHAnsi"/>
              </w:rPr>
            </w:pPr>
            <w:r w:rsidRPr="00B83D16">
              <w:rPr>
                <w:rFonts w:asciiTheme="minorHAnsi" w:hAnsiTheme="minorHAnsi"/>
              </w:rPr>
              <w:fldChar w:fldCharType="begin"/>
            </w:r>
            <w:r w:rsidRPr="00B83D16">
              <w:rPr>
                <w:rFonts w:asciiTheme="minorHAnsi" w:hAnsiTheme="minorHAnsi"/>
              </w:rPr>
              <w:instrText xml:space="preserve"> MERGEFIELD FormuleDePolitesse_Closing </w:instrText>
            </w:r>
            <w:r w:rsidRPr="00B83D16">
              <w:rPr>
                <w:rFonts w:asciiTheme="minorHAnsi" w:hAnsiTheme="minorHAnsi"/>
              </w:rPr>
              <w:fldChar w:fldCharType="separate"/>
            </w:r>
            <w:r w:rsidRPr="00B83D16">
              <w:rPr>
                <w:rFonts w:asciiTheme="minorHAnsi" w:hAnsiTheme="minorHAnsi"/>
              </w:rPr>
              <w:t>Yours faithfully,</w:t>
            </w:r>
            <w:r w:rsidRPr="00B83D16">
              <w:rPr>
                <w:rFonts w:asciiTheme="minorHAnsi" w:hAnsiTheme="minorHAnsi"/>
              </w:rPr>
              <w:fldChar w:fldCharType="end"/>
            </w:r>
            <w:r>
              <w:rPr>
                <w:rFonts w:asciiTheme="minorHAnsi" w:hAnsiTheme="minorHAnsi"/>
              </w:rPr>
              <w:tab/>
            </w:r>
          </w:p>
          <w:p w14:paraId="6D488FAA" w14:textId="12949A73" w:rsidR="001A06D3" w:rsidRDefault="00792E84" w:rsidP="001A06D3">
            <w:pPr>
              <w:pStyle w:val="BDTNormal"/>
              <w:spacing w:before="0" w:after="0"/>
              <w:rPr>
                <w:rFonts w:eastAsia="Calibri"/>
                <w:noProof/>
                <w:highlight w:val="yellow"/>
                <w:lang w:val="en-GB" w:eastAsia="zh-CN"/>
              </w:rPr>
            </w:pPr>
            <w:r w:rsidRPr="00792E84">
              <w:rPr>
                <w:rFonts w:eastAsia="Calibri"/>
                <w:noProof/>
                <w:lang w:val="en-GB" w:eastAsia="zh-CN"/>
              </w:rPr>
              <w:t>[Original signed]</w:t>
            </w:r>
          </w:p>
          <w:p w14:paraId="6BBE8060" w14:textId="77777777" w:rsidR="0041287F" w:rsidRDefault="0041287F" w:rsidP="001A06D3">
            <w:pPr>
              <w:pStyle w:val="BDTNormal"/>
              <w:spacing w:before="0" w:after="0"/>
              <w:rPr>
                <w:rFonts w:eastAsia="Calibri"/>
                <w:noProof/>
                <w:highlight w:val="yellow"/>
                <w:lang w:val="en-GB" w:eastAsia="zh-CN"/>
              </w:rPr>
            </w:pPr>
          </w:p>
          <w:p w14:paraId="1F6C99F5" w14:textId="77777777" w:rsidR="00C87AF3" w:rsidRDefault="00C87AF3" w:rsidP="001A06D3">
            <w:pPr>
              <w:pStyle w:val="BDTNormal"/>
              <w:spacing w:before="0" w:after="0"/>
              <w:rPr>
                <w:rFonts w:eastAsia="Calibri"/>
                <w:noProof/>
                <w:highlight w:val="yellow"/>
                <w:lang w:val="en-GB" w:eastAsia="zh-CN"/>
              </w:rPr>
            </w:pPr>
          </w:p>
          <w:p w14:paraId="34E7C6DF" w14:textId="77777777" w:rsidR="00680F63" w:rsidRDefault="00680F63" w:rsidP="001A06D3">
            <w:pPr>
              <w:pStyle w:val="BDTNormal"/>
              <w:spacing w:before="0" w:after="0"/>
              <w:rPr>
                <w:rFonts w:eastAsia="Calibri"/>
                <w:noProof/>
                <w:highlight w:val="yellow"/>
                <w:lang w:val="en-GB" w:eastAsia="zh-CN"/>
              </w:rPr>
            </w:pPr>
          </w:p>
          <w:p w14:paraId="3AC52AE9" w14:textId="77777777" w:rsidR="00680F63" w:rsidRPr="000267D9" w:rsidRDefault="00680F63" w:rsidP="001A06D3">
            <w:pPr>
              <w:pStyle w:val="BDTNormal"/>
              <w:spacing w:before="0" w:after="0"/>
              <w:rPr>
                <w:rFonts w:eastAsia="Calibri"/>
                <w:noProof/>
                <w:highlight w:val="yellow"/>
                <w:lang w:val="en-GB" w:eastAsia="zh-CN"/>
              </w:rPr>
            </w:pPr>
          </w:p>
          <w:p w14:paraId="32D2B458" w14:textId="77777777" w:rsidR="000758A6" w:rsidRPr="000267D9" w:rsidRDefault="000758A6" w:rsidP="001A06D3">
            <w:pPr>
              <w:pStyle w:val="BDTNormal"/>
              <w:spacing w:before="0" w:after="0"/>
              <w:rPr>
                <w:rFonts w:eastAsia="Calibri"/>
                <w:noProof/>
                <w:highlight w:val="yellow"/>
                <w:lang w:val="en-GB" w:eastAsia="zh-CN"/>
              </w:rPr>
            </w:pPr>
            <w:bookmarkStart w:id="2" w:name="_GoBack"/>
            <w:bookmarkEnd w:id="2"/>
          </w:p>
          <w:p w14:paraId="1B26650C" w14:textId="77777777" w:rsidR="001A06D3" w:rsidRPr="001350CF" w:rsidRDefault="001A06D3" w:rsidP="001A06D3">
            <w:pPr>
              <w:pStyle w:val="BDTNormal"/>
              <w:spacing w:before="0" w:after="0"/>
              <w:rPr>
                <w:rFonts w:asciiTheme="minorHAnsi" w:hAnsiTheme="minorHAnsi"/>
                <w:lang w:val="en-GB"/>
              </w:rPr>
            </w:pPr>
            <w:proofErr w:type="spellStart"/>
            <w:r w:rsidRPr="001350CF">
              <w:rPr>
                <w:rFonts w:asciiTheme="minorHAnsi" w:hAnsiTheme="minorHAnsi"/>
                <w:lang w:val="en-GB"/>
              </w:rPr>
              <w:t>Brahima</w:t>
            </w:r>
            <w:proofErr w:type="spellEnd"/>
            <w:r w:rsidRPr="001350CF">
              <w:rPr>
                <w:rFonts w:asciiTheme="minorHAnsi" w:hAnsiTheme="minorHAnsi"/>
                <w:lang w:val="en-GB"/>
              </w:rPr>
              <w:t xml:space="preserve"> </w:t>
            </w:r>
            <w:proofErr w:type="spellStart"/>
            <w:r w:rsidRPr="001350CF">
              <w:rPr>
                <w:rFonts w:asciiTheme="minorHAnsi" w:hAnsiTheme="minorHAnsi"/>
                <w:lang w:val="en-GB"/>
              </w:rPr>
              <w:t>Sanou</w:t>
            </w:r>
            <w:proofErr w:type="spellEnd"/>
          </w:p>
          <w:p w14:paraId="13454260" w14:textId="2AFF3050" w:rsidR="001A06D3" w:rsidRPr="000267D9" w:rsidRDefault="001A06D3" w:rsidP="001A06D3">
            <w:pPr>
              <w:pStyle w:val="BDTNormal"/>
              <w:spacing w:before="0" w:after="0"/>
              <w:rPr>
                <w:rFonts w:asciiTheme="minorHAnsi" w:hAnsiTheme="minorHAnsi"/>
                <w:szCs w:val="22"/>
                <w:highlight w:val="yellow"/>
                <w:lang w:val="en-GB"/>
              </w:rPr>
            </w:pPr>
            <w:r w:rsidRPr="001350CF">
              <w:rPr>
                <w:rFonts w:asciiTheme="minorHAnsi" w:hAnsiTheme="minorHAnsi" w:cs="Calibri"/>
                <w:szCs w:val="22"/>
                <w:lang w:val="en-GB"/>
              </w:rPr>
              <w:t>Director</w:t>
            </w:r>
          </w:p>
        </w:tc>
      </w:tr>
    </w:tbl>
    <w:p w14:paraId="4CBE1937" w14:textId="78764BC6" w:rsidR="00D2367F" w:rsidRPr="000267D9" w:rsidRDefault="00D2367F" w:rsidP="00D2367F">
      <w:pPr>
        <w:tabs>
          <w:tab w:val="left" w:pos="9498"/>
        </w:tabs>
        <w:spacing w:before="0" w:after="0"/>
        <w:rPr>
          <w:rFonts w:asciiTheme="minorHAnsi" w:hAnsiTheme="minorHAnsi"/>
          <w:szCs w:val="22"/>
          <w:highlight w:val="yellow"/>
          <w:lang w:val="en-GB"/>
        </w:rPr>
      </w:pPr>
      <w:bookmarkStart w:id="3" w:name="Formula"/>
      <w:bookmarkStart w:id="4" w:name="MainStory"/>
      <w:bookmarkStart w:id="5" w:name="CurrentLocation"/>
      <w:bookmarkEnd w:id="3"/>
      <w:bookmarkEnd w:id="4"/>
      <w:bookmarkEnd w:id="5"/>
    </w:p>
    <w:p w14:paraId="28CDC11D" w14:textId="2EBEE4A6" w:rsidR="00D2367F" w:rsidRPr="000267D9" w:rsidRDefault="00D2367F" w:rsidP="00D2367F">
      <w:pPr>
        <w:spacing w:before="0" w:after="0"/>
        <w:rPr>
          <w:rFonts w:asciiTheme="minorHAnsi" w:hAnsiTheme="minorHAnsi"/>
          <w:szCs w:val="22"/>
          <w:highlight w:val="yellow"/>
          <w:lang w:val="en-GB"/>
        </w:rPr>
      </w:pPr>
      <w:r w:rsidRPr="000267D9">
        <w:rPr>
          <w:rFonts w:asciiTheme="minorHAnsi" w:hAnsiTheme="minorHAnsi"/>
          <w:szCs w:val="22"/>
          <w:highlight w:val="yellow"/>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2367F" w:rsidRPr="005F6D31" w14:paraId="2D6D50B1" w14:textId="77777777" w:rsidTr="00B64B2B">
        <w:tc>
          <w:tcPr>
            <w:tcW w:w="9629" w:type="dxa"/>
          </w:tcPr>
          <w:p w14:paraId="33DA22EE" w14:textId="77777777" w:rsidR="00D2367F" w:rsidRPr="00680F63" w:rsidRDefault="00D2367F" w:rsidP="00B64B2B">
            <w:pPr>
              <w:pStyle w:val="BDTNormal"/>
              <w:tabs>
                <w:tab w:val="left" w:pos="3375"/>
                <w:tab w:val="center" w:pos="4706"/>
              </w:tabs>
              <w:spacing w:before="360" w:after="360"/>
              <w:jc w:val="center"/>
              <w:rPr>
                <w:rFonts w:asciiTheme="minorHAnsi" w:hAnsiTheme="minorHAnsi"/>
                <w:sz w:val="22"/>
                <w:szCs w:val="22"/>
                <w:lang w:val="en-GB"/>
              </w:rPr>
            </w:pPr>
            <w:r w:rsidRPr="00680F63">
              <w:rPr>
                <w:rFonts w:asciiTheme="minorHAnsi" w:hAnsiTheme="minorHAnsi"/>
                <w:sz w:val="22"/>
                <w:szCs w:val="22"/>
                <w:lang w:val="en-GB"/>
              </w:rPr>
              <w:lastRenderedPageBreak/>
              <w:t>Annex 1</w:t>
            </w:r>
          </w:p>
          <w:p w14:paraId="2EA95460" w14:textId="580D6889" w:rsidR="00D2367F" w:rsidRPr="00680F63" w:rsidRDefault="00D2367F" w:rsidP="00D2367F">
            <w:pPr>
              <w:pStyle w:val="CEOHeading1Underlined"/>
              <w:spacing w:before="240"/>
              <w:rPr>
                <w:rFonts w:asciiTheme="minorHAnsi" w:hAnsiTheme="minorHAnsi"/>
                <w:b w:val="0"/>
                <w:bCs w:val="0"/>
                <w:sz w:val="22"/>
                <w:szCs w:val="22"/>
              </w:rPr>
            </w:pPr>
            <w:r w:rsidRPr="00680F63">
              <w:rPr>
                <w:rFonts w:asciiTheme="minorHAnsi" w:hAnsiTheme="minorHAnsi"/>
                <w:b w:val="0"/>
                <w:bCs w:val="0"/>
                <w:sz w:val="22"/>
                <w:szCs w:val="22"/>
              </w:rPr>
              <w:t>Below is the scope of the two ITU-D study groups and their Q</w:t>
            </w:r>
            <w:r w:rsidR="00CB0AA1" w:rsidRPr="00680F63">
              <w:rPr>
                <w:rFonts w:asciiTheme="minorHAnsi" w:hAnsiTheme="minorHAnsi"/>
                <w:b w:val="0"/>
                <w:bCs w:val="0"/>
                <w:sz w:val="22"/>
                <w:szCs w:val="22"/>
              </w:rPr>
              <w:t>uestions, as assigned by WTDC-17</w:t>
            </w:r>
            <w:r w:rsidRPr="00680F63">
              <w:rPr>
                <w:rFonts w:asciiTheme="minorHAnsi" w:hAnsiTheme="minorHAnsi"/>
                <w:b w:val="0"/>
                <w:bCs w:val="0"/>
                <w:sz w:val="22"/>
                <w:szCs w:val="22"/>
              </w:rPr>
              <w:t>.</w:t>
            </w:r>
          </w:p>
          <w:p w14:paraId="3116AF2F" w14:textId="77777777" w:rsidR="00D2367F" w:rsidRPr="00680F63" w:rsidRDefault="00D2367F" w:rsidP="00D2367F">
            <w:pPr>
              <w:pStyle w:val="CEOHeading1Underlined"/>
              <w:spacing w:before="240"/>
              <w:rPr>
                <w:rFonts w:asciiTheme="minorHAnsi" w:hAnsiTheme="minorHAnsi"/>
                <w:sz w:val="22"/>
                <w:szCs w:val="22"/>
              </w:rPr>
            </w:pPr>
            <w:r w:rsidRPr="00680F63">
              <w:rPr>
                <w:rFonts w:asciiTheme="minorHAnsi" w:hAnsiTheme="minorHAnsi"/>
                <w:sz w:val="22"/>
                <w:szCs w:val="22"/>
              </w:rPr>
              <w:t>Scope of Study Group 1</w:t>
            </w:r>
          </w:p>
          <w:p w14:paraId="4E4B5C6A" w14:textId="405148D4" w:rsidR="00D2367F" w:rsidRPr="00680F63" w:rsidRDefault="00D2367F" w:rsidP="00D2367F">
            <w:pPr>
              <w:pStyle w:val="Headingi"/>
              <w:rPr>
                <w:b/>
                <w:bCs/>
                <w:sz w:val="22"/>
                <w:szCs w:val="22"/>
              </w:rPr>
            </w:pPr>
            <w:r w:rsidRPr="00680F63">
              <w:rPr>
                <w:b/>
                <w:bCs/>
                <w:sz w:val="22"/>
                <w:szCs w:val="22"/>
              </w:rPr>
              <w:t>Enabling environment for the development of telecommunications/ICTs</w:t>
            </w:r>
          </w:p>
          <w:p w14:paraId="6C80F061" w14:textId="0963C7C2" w:rsidR="00BE156D" w:rsidRPr="00680F63" w:rsidRDefault="00BE156D" w:rsidP="001350CF">
            <w:pPr>
              <w:pStyle w:val="enumlev1"/>
              <w:numPr>
                <w:ilvl w:val="0"/>
                <w:numId w:val="51"/>
              </w:numPr>
              <w:spacing w:before="40"/>
              <w:rPr>
                <w:rFonts w:asciiTheme="minorHAnsi" w:hAnsiTheme="minorHAnsi"/>
                <w:sz w:val="22"/>
                <w:szCs w:val="22"/>
              </w:rPr>
            </w:pPr>
            <w:r w:rsidRPr="00680F63">
              <w:rPr>
                <w:rFonts w:asciiTheme="minorHAnsi" w:hAnsiTheme="minorHAnsi"/>
                <w:sz w:val="22"/>
                <w:szCs w:val="22"/>
              </w:rPr>
              <w:t xml:space="preserve">National telecommunication/ICT policy, regulatory, technical and strategy development which best enables countries to benefit from the impetus of telecommunications/ICTs, including, infrastructure supportive of broadband services, cloud computing, network functions virtualization (NFV), </w:t>
            </w:r>
            <w:proofErr w:type="gramStart"/>
            <w:r w:rsidRPr="00680F63">
              <w:rPr>
                <w:rFonts w:asciiTheme="minorHAnsi" w:hAnsiTheme="minorHAnsi"/>
                <w:sz w:val="22"/>
                <w:szCs w:val="22"/>
              </w:rPr>
              <w:t>consumer</w:t>
            </w:r>
            <w:proofErr w:type="gramEnd"/>
            <w:r w:rsidRPr="00680F63">
              <w:rPr>
                <w:rFonts w:asciiTheme="minorHAnsi" w:hAnsiTheme="minorHAnsi"/>
                <w:sz w:val="22"/>
                <w:szCs w:val="22"/>
              </w:rPr>
              <w:t xml:space="preserve"> protection and future networks as an engine for sustainable growth.</w:t>
            </w:r>
          </w:p>
          <w:p w14:paraId="2992A716" w14:textId="53F30FAD" w:rsidR="00BE156D" w:rsidRPr="00680F63" w:rsidRDefault="00BE156D" w:rsidP="001350CF">
            <w:pPr>
              <w:pStyle w:val="enumlev1"/>
              <w:numPr>
                <w:ilvl w:val="0"/>
                <w:numId w:val="51"/>
              </w:numPr>
              <w:spacing w:before="40"/>
              <w:rPr>
                <w:rFonts w:asciiTheme="minorHAnsi" w:hAnsiTheme="minorHAnsi"/>
                <w:sz w:val="22"/>
                <w:szCs w:val="22"/>
              </w:rPr>
            </w:pPr>
            <w:r w:rsidRPr="00680F63">
              <w:rPr>
                <w:rFonts w:asciiTheme="minorHAnsi" w:hAnsiTheme="minorHAnsi"/>
                <w:sz w:val="22"/>
                <w:szCs w:val="22"/>
              </w:rPr>
              <w:t>Economic policies and methods of determining costs of services related to national telecommunications/ICTs including facilitating the implementation of the digital economy.</w:t>
            </w:r>
          </w:p>
          <w:p w14:paraId="7A20B58E" w14:textId="2EAD5483" w:rsidR="00BE156D" w:rsidRPr="00680F63" w:rsidRDefault="00BE156D" w:rsidP="001350CF">
            <w:pPr>
              <w:pStyle w:val="enumlev1"/>
              <w:numPr>
                <w:ilvl w:val="0"/>
                <w:numId w:val="51"/>
              </w:numPr>
              <w:spacing w:before="40"/>
              <w:rPr>
                <w:rFonts w:asciiTheme="minorHAnsi" w:hAnsiTheme="minorHAnsi"/>
                <w:sz w:val="22"/>
                <w:szCs w:val="22"/>
              </w:rPr>
            </w:pPr>
            <w:r w:rsidRPr="00680F63">
              <w:rPr>
                <w:rFonts w:asciiTheme="minorHAnsi" w:hAnsiTheme="minorHAnsi"/>
                <w:sz w:val="22"/>
                <w:szCs w:val="22"/>
              </w:rPr>
              <w:t>Access to telecommunications/ICTs for rural and remote areas.</w:t>
            </w:r>
          </w:p>
          <w:p w14:paraId="53E1FC20" w14:textId="4A8FF84F" w:rsidR="00BE156D" w:rsidRPr="00680F63" w:rsidRDefault="00BE156D" w:rsidP="001350CF">
            <w:pPr>
              <w:pStyle w:val="enumlev1"/>
              <w:numPr>
                <w:ilvl w:val="0"/>
                <w:numId w:val="51"/>
              </w:numPr>
              <w:spacing w:before="40"/>
              <w:rPr>
                <w:rFonts w:asciiTheme="minorHAnsi" w:hAnsiTheme="minorHAnsi"/>
                <w:sz w:val="22"/>
                <w:szCs w:val="22"/>
              </w:rPr>
            </w:pPr>
            <w:r w:rsidRPr="00680F63">
              <w:rPr>
                <w:rFonts w:asciiTheme="minorHAnsi" w:hAnsiTheme="minorHAnsi"/>
                <w:sz w:val="22"/>
                <w:szCs w:val="22"/>
              </w:rPr>
              <w:t>National policies, regulations, and strategies for providing access to telecommunications/ICTs in rural and remote areas.</w:t>
            </w:r>
          </w:p>
          <w:p w14:paraId="1F923510" w14:textId="1035DCEC" w:rsidR="00BE156D" w:rsidRPr="00680F63" w:rsidRDefault="00BE156D" w:rsidP="001350CF">
            <w:pPr>
              <w:pStyle w:val="enumlev1"/>
              <w:numPr>
                <w:ilvl w:val="0"/>
                <w:numId w:val="51"/>
              </w:numPr>
              <w:spacing w:before="40"/>
              <w:rPr>
                <w:rFonts w:asciiTheme="minorHAnsi" w:hAnsiTheme="minorHAnsi"/>
                <w:sz w:val="22"/>
                <w:szCs w:val="22"/>
              </w:rPr>
            </w:pPr>
            <w:r w:rsidRPr="00680F63">
              <w:rPr>
                <w:rFonts w:asciiTheme="minorHAnsi" w:hAnsiTheme="minorHAnsi"/>
                <w:sz w:val="22"/>
                <w:szCs w:val="22"/>
              </w:rPr>
              <w:t>Access to telecommunication/ICT services by persons with disabilities and other persons with specific needs.</w:t>
            </w:r>
          </w:p>
          <w:p w14:paraId="4F825E8F" w14:textId="7D6904A0" w:rsidR="00BE156D" w:rsidRPr="00680F63" w:rsidRDefault="00BE156D" w:rsidP="001350CF">
            <w:pPr>
              <w:pStyle w:val="CEOHeading1Underlined"/>
              <w:numPr>
                <w:ilvl w:val="0"/>
                <w:numId w:val="51"/>
              </w:numPr>
              <w:spacing w:before="40"/>
              <w:rPr>
                <w:rFonts w:asciiTheme="minorHAnsi" w:hAnsiTheme="minorHAnsi"/>
                <w:b w:val="0"/>
                <w:bCs w:val="0"/>
                <w:sz w:val="22"/>
                <w:szCs w:val="22"/>
              </w:rPr>
            </w:pPr>
            <w:r w:rsidRPr="00680F63">
              <w:rPr>
                <w:rFonts w:asciiTheme="minorHAnsi" w:hAnsiTheme="minorHAnsi"/>
                <w:b w:val="0"/>
                <w:bCs w:val="0"/>
                <w:sz w:val="22"/>
                <w:szCs w:val="22"/>
              </w:rPr>
              <w:t>Migration and adoption of digital broadcasting and implementation of new services.</w:t>
            </w:r>
          </w:p>
          <w:p w14:paraId="62B8CF4D" w14:textId="6A45FC04" w:rsidR="00D2367F" w:rsidRPr="00680F63" w:rsidRDefault="00D2367F" w:rsidP="006154B0">
            <w:pPr>
              <w:pStyle w:val="CEOHeading1Underlined"/>
              <w:spacing w:before="240"/>
              <w:rPr>
                <w:rFonts w:asciiTheme="minorHAnsi" w:hAnsiTheme="minorHAnsi"/>
                <w:sz w:val="22"/>
                <w:szCs w:val="22"/>
              </w:rPr>
            </w:pPr>
            <w:r w:rsidRPr="00680F63">
              <w:rPr>
                <w:rFonts w:asciiTheme="minorHAnsi" w:hAnsiTheme="minorHAnsi"/>
                <w:sz w:val="22"/>
                <w:szCs w:val="22"/>
              </w:rPr>
              <w:t>Study Group 1 Questions as assigned by WTDC-</w:t>
            </w:r>
            <w:r w:rsidR="006154B0" w:rsidRPr="00680F63">
              <w:rPr>
                <w:rFonts w:asciiTheme="minorHAnsi" w:hAnsiTheme="minorHAnsi"/>
                <w:sz w:val="22"/>
                <w:szCs w:val="22"/>
              </w:rPr>
              <w:t>17</w:t>
            </w:r>
          </w:p>
          <w:p w14:paraId="3C3E1C19" w14:textId="77777777" w:rsidR="00D2367F" w:rsidRPr="00680F63" w:rsidRDefault="00D2367F" w:rsidP="00D2367F">
            <w:pPr>
              <w:pStyle w:val="CEONormal"/>
              <w:spacing w:before="0" w:after="0"/>
              <w:rPr>
                <w:rFonts w:asciiTheme="minorHAnsi" w:hAnsiTheme="minorHAnsi"/>
                <w:sz w:val="22"/>
                <w:szCs w:val="22"/>
                <w:highlight w:val="yellow"/>
              </w:rPr>
            </w:pPr>
          </w:p>
          <w:tbl>
            <w:tblPr>
              <w:tblStyle w:val="TableGrid"/>
              <w:tblW w:w="5000" w:type="pct"/>
              <w:tblLook w:val="04A0" w:firstRow="1" w:lastRow="0" w:firstColumn="1" w:lastColumn="0" w:noHBand="0" w:noVBand="1"/>
            </w:tblPr>
            <w:tblGrid>
              <w:gridCol w:w="1021"/>
              <w:gridCol w:w="8382"/>
            </w:tblGrid>
            <w:tr w:rsidR="0041287F" w:rsidRPr="00680F63" w14:paraId="3EA7AF4A" w14:textId="77777777" w:rsidTr="006F5329">
              <w:tc>
                <w:tcPr>
                  <w:tcW w:w="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C8B15E" w14:textId="7BB60D09" w:rsidR="0041287F" w:rsidRPr="00680F63" w:rsidRDefault="005F6D31" w:rsidP="001350CF">
                  <w:pPr>
                    <w:keepNext/>
                    <w:spacing w:before="40" w:after="40"/>
                    <w:rPr>
                      <w:rFonts w:asciiTheme="minorHAnsi" w:hAnsiTheme="minorHAnsi"/>
                      <w:b/>
                      <w:bCs/>
                      <w:sz w:val="22"/>
                      <w:szCs w:val="22"/>
                      <w:lang w:val="en-GB"/>
                    </w:rPr>
                  </w:pPr>
                  <w:r w:rsidRPr="00680F63">
                    <w:rPr>
                      <w:rFonts w:asciiTheme="minorHAnsi" w:hAnsiTheme="minorHAnsi"/>
                      <w:b/>
                      <w:bCs/>
                      <w:sz w:val="22"/>
                      <w:szCs w:val="22"/>
                      <w:lang w:val="en-GB"/>
                    </w:rPr>
                    <w:t>N</w:t>
                  </w:r>
                  <w:r w:rsidR="0041287F" w:rsidRPr="00680F63">
                    <w:rPr>
                      <w:rFonts w:asciiTheme="minorHAnsi" w:hAnsiTheme="minorHAnsi"/>
                      <w:b/>
                      <w:bCs/>
                      <w:sz w:val="22"/>
                      <w:szCs w:val="22"/>
                      <w:lang w:val="en-GB"/>
                    </w:rPr>
                    <w:t>umber</w:t>
                  </w:r>
                </w:p>
              </w:tc>
              <w:tc>
                <w:tcPr>
                  <w:tcW w:w="445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492528" w14:textId="77777777" w:rsidR="0041287F" w:rsidRPr="00680F63" w:rsidRDefault="0041287F" w:rsidP="001350CF">
                  <w:pPr>
                    <w:keepNext/>
                    <w:spacing w:before="40" w:after="40"/>
                    <w:rPr>
                      <w:rFonts w:asciiTheme="minorHAnsi" w:hAnsiTheme="minorHAnsi"/>
                      <w:b/>
                      <w:bCs/>
                      <w:sz w:val="22"/>
                      <w:szCs w:val="22"/>
                      <w:lang w:val="en-GB"/>
                    </w:rPr>
                  </w:pPr>
                  <w:r w:rsidRPr="00680F63">
                    <w:rPr>
                      <w:rFonts w:asciiTheme="minorHAnsi" w:hAnsiTheme="minorHAnsi"/>
                      <w:b/>
                      <w:bCs/>
                      <w:sz w:val="22"/>
                      <w:szCs w:val="22"/>
                      <w:lang w:val="en-GB"/>
                    </w:rPr>
                    <w:t>Title</w:t>
                  </w:r>
                </w:p>
              </w:tc>
            </w:tr>
            <w:tr w:rsidR="0041287F" w:rsidRPr="00680F63" w14:paraId="7331DBD5" w14:textId="77777777" w:rsidTr="006F5329">
              <w:tc>
                <w:tcPr>
                  <w:tcW w:w="543" w:type="pct"/>
                  <w:tcBorders>
                    <w:top w:val="single" w:sz="4" w:space="0" w:color="auto"/>
                    <w:left w:val="single" w:sz="4" w:space="0" w:color="auto"/>
                    <w:bottom w:val="single" w:sz="4" w:space="0" w:color="auto"/>
                    <w:right w:val="single" w:sz="4" w:space="0" w:color="auto"/>
                  </w:tcBorders>
                  <w:hideMark/>
                </w:tcPr>
                <w:p w14:paraId="41FC7410" w14:textId="121F1F10"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rPr>
                    <w:t>Q1/1</w:t>
                  </w:r>
                </w:p>
              </w:tc>
              <w:tc>
                <w:tcPr>
                  <w:tcW w:w="4457" w:type="pct"/>
                  <w:tcBorders>
                    <w:top w:val="single" w:sz="4" w:space="0" w:color="auto"/>
                    <w:left w:val="single" w:sz="4" w:space="0" w:color="auto"/>
                    <w:bottom w:val="single" w:sz="4" w:space="0" w:color="auto"/>
                    <w:right w:val="single" w:sz="4" w:space="0" w:color="auto"/>
                  </w:tcBorders>
                  <w:hideMark/>
                </w:tcPr>
                <w:p w14:paraId="0CFD5CE9" w14:textId="4EF767FA"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lang w:val="en-GB"/>
                    </w:rPr>
                    <w:t>Strategies and policies for the deployment of broadband in developing countries</w:t>
                  </w:r>
                </w:p>
              </w:tc>
            </w:tr>
            <w:tr w:rsidR="0041287F" w:rsidRPr="00680F63" w14:paraId="57939FBF" w14:textId="77777777" w:rsidTr="006F5329">
              <w:tc>
                <w:tcPr>
                  <w:tcW w:w="543" w:type="pct"/>
                  <w:tcBorders>
                    <w:top w:val="single" w:sz="4" w:space="0" w:color="auto"/>
                    <w:left w:val="single" w:sz="4" w:space="0" w:color="auto"/>
                    <w:bottom w:val="single" w:sz="4" w:space="0" w:color="auto"/>
                    <w:right w:val="single" w:sz="4" w:space="0" w:color="auto"/>
                  </w:tcBorders>
                </w:tcPr>
                <w:p w14:paraId="5ACB73B0" w14:textId="045CC062" w:rsidR="0041287F" w:rsidRPr="00680F63" w:rsidRDefault="0041287F" w:rsidP="00D2367F">
                  <w:pPr>
                    <w:spacing w:before="40" w:after="40"/>
                    <w:rPr>
                      <w:rFonts w:asciiTheme="minorHAnsi" w:hAnsiTheme="minorHAnsi"/>
                      <w:sz w:val="22"/>
                      <w:szCs w:val="22"/>
                      <w:lang w:val="en-GB"/>
                    </w:rPr>
                  </w:pPr>
                  <w:r w:rsidRPr="00680F63">
                    <w:rPr>
                      <w:rFonts w:asciiTheme="minorHAnsi" w:hAnsiTheme="minorHAnsi"/>
                      <w:sz w:val="22"/>
                      <w:szCs w:val="22"/>
                      <w:lang w:val="en-GB"/>
                    </w:rPr>
                    <w:t>Q2/1</w:t>
                  </w:r>
                </w:p>
              </w:tc>
              <w:tc>
                <w:tcPr>
                  <w:tcW w:w="4457" w:type="pct"/>
                  <w:tcBorders>
                    <w:top w:val="single" w:sz="4" w:space="0" w:color="auto"/>
                    <w:left w:val="single" w:sz="4" w:space="0" w:color="auto"/>
                    <w:bottom w:val="single" w:sz="4" w:space="0" w:color="auto"/>
                    <w:right w:val="single" w:sz="4" w:space="0" w:color="auto"/>
                  </w:tcBorders>
                </w:tcPr>
                <w:p w14:paraId="4A2203C6" w14:textId="754D2BEA" w:rsidR="0041287F" w:rsidRPr="00680F63" w:rsidRDefault="0041287F" w:rsidP="00D2367F">
                  <w:pPr>
                    <w:spacing w:before="40" w:after="40"/>
                    <w:rPr>
                      <w:rFonts w:asciiTheme="minorHAnsi" w:hAnsiTheme="minorHAnsi"/>
                      <w:sz w:val="22"/>
                      <w:szCs w:val="22"/>
                      <w:lang w:val="en-GB"/>
                    </w:rPr>
                  </w:pPr>
                  <w:r w:rsidRPr="00680F63">
                    <w:rPr>
                      <w:rFonts w:asciiTheme="minorHAnsi" w:hAnsiTheme="minorHAnsi"/>
                      <w:sz w:val="22"/>
                      <w:szCs w:val="22"/>
                      <w:lang w:val="en-GB"/>
                    </w:rPr>
                    <w:t xml:space="preserve">Strategies, policies, regulations and methods of migration and adoption of digital broadcasting and implementation of new services </w:t>
                  </w:r>
                </w:p>
              </w:tc>
            </w:tr>
            <w:tr w:rsidR="0041287F" w:rsidRPr="00680F63" w14:paraId="4067D1DC" w14:textId="77777777" w:rsidTr="006F5329">
              <w:tc>
                <w:tcPr>
                  <w:tcW w:w="543" w:type="pct"/>
                  <w:tcBorders>
                    <w:top w:val="single" w:sz="4" w:space="0" w:color="auto"/>
                    <w:left w:val="single" w:sz="4" w:space="0" w:color="auto"/>
                    <w:bottom w:val="single" w:sz="4" w:space="0" w:color="auto"/>
                    <w:right w:val="single" w:sz="4" w:space="0" w:color="auto"/>
                  </w:tcBorders>
                  <w:hideMark/>
                </w:tcPr>
                <w:p w14:paraId="55643F99" w14:textId="2C9AB8AE" w:rsidR="0041287F" w:rsidRPr="00680F63" w:rsidRDefault="0041287F" w:rsidP="00903A75">
                  <w:pPr>
                    <w:spacing w:before="40" w:after="40"/>
                    <w:rPr>
                      <w:rFonts w:asciiTheme="minorHAnsi" w:hAnsiTheme="minorHAnsi"/>
                      <w:sz w:val="22"/>
                      <w:szCs w:val="22"/>
                    </w:rPr>
                  </w:pPr>
                  <w:r w:rsidRPr="00680F63">
                    <w:rPr>
                      <w:rFonts w:asciiTheme="minorHAnsi" w:hAnsiTheme="minorHAnsi"/>
                      <w:sz w:val="22"/>
                      <w:szCs w:val="22"/>
                    </w:rPr>
                    <w:t>Q3/1</w:t>
                  </w:r>
                </w:p>
              </w:tc>
              <w:tc>
                <w:tcPr>
                  <w:tcW w:w="4457" w:type="pct"/>
                  <w:tcBorders>
                    <w:top w:val="single" w:sz="4" w:space="0" w:color="auto"/>
                    <w:left w:val="single" w:sz="4" w:space="0" w:color="auto"/>
                    <w:bottom w:val="single" w:sz="4" w:space="0" w:color="auto"/>
                    <w:right w:val="single" w:sz="4" w:space="0" w:color="auto"/>
                  </w:tcBorders>
                  <w:hideMark/>
                </w:tcPr>
                <w:p w14:paraId="01E8A8ED" w14:textId="42BF82EB" w:rsidR="0041287F" w:rsidRPr="00680F63" w:rsidRDefault="0041287F">
                  <w:pPr>
                    <w:spacing w:before="40" w:after="40"/>
                    <w:rPr>
                      <w:rFonts w:asciiTheme="minorHAnsi" w:hAnsiTheme="minorHAnsi"/>
                      <w:sz w:val="22"/>
                      <w:szCs w:val="22"/>
                      <w:lang w:val="en-GB"/>
                    </w:rPr>
                  </w:pPr>
                  <w:r w:rsidRPr="00680F63">
                    <w:rPr>
                      <w:rFonts w:asciiTheme="minorHAnsi" w:hAnsiTheme="minorHAnsi"/>
                      <w:sz w:val="22"/>
                      <w:szCs w:val="22"/>
                      <w:lang w:val="en-GB"/>
                    </w:rPr>
                    <w:t>Emerging technologies, including cloud computing</w:t>
                  </w:r>
                  <w:r w:rsidR="005F6D31" w:rsidRPr="00680F63">
                    <w:rPr>
                      <w:rFonts w:asciiTheme="minorHAnsi" w:hAnsiTheme="minorHAnsi"/>
                      <w:sz w:val="22"/>
                      <w:szCs w:val="22"/>
                      <w:lang w:val="en-GB"/>
                    </w:rPr>
                    <w:t>,</w:t>
                  </w:r>
                  <w:r w:rsidRPr="00680F63">
                    <w:rPr>
                      <w:rFonts w:asciiTheme="minorHAnsi" w:hAnsiTheme="minorHAnsi"/>
                      <w:sz w:val="22"/>
                      <w:szCs w:val="22"/>
                      <w:lang w:val="en-GB"/>
                    </w:rPr>
                    <w:t xml:space="preserve"> m-services, and OTTs: Challenges and opportunities, economic and policy impact for developing countries</w:t>
                  </w:r>
                </w:p>
              </w:tc>
            </w:tr>
            <w:tr w:rsidR="0041287F" w:rsidRPr="00680F63" w14:paraId="57049807" w14:textId="77777777" w:rsidTr="006F5329">
              <w:tc>
                <w:tcPr>
                  <w:tcW w:w="543" w:type="pct"/>
                  <w:tcBorders>
                    <w:top w:val="single" w:sz="4" w:space="0" w:color="auto"/>
                    <w:left w:val="single" w:sz="4" w:space="0" w:color="auto"/>
                    <w:bottom w:val="single" w:sz="4" w:space="0" w:color="auto"/>
                    <w:right w:val="single" w:sz="4" w:space="0" w:color="auto"/>
                  </w:tcBorders>
                  <w:hideMark/>
                </w:tcPr>
                <w:p w14:paraId="69EAC2A8" w14:textId="480E4391" w:rsidR="0041287F" w:rsidRPr="00680F63" w:rsidRDefault="0041287F" w:rsidP="00903A75">
                  <w:pPr>
                    <w:spacing w:before="40" w:after="40"/>
                    <w:rPr>
                      <w:rFonts w:asciiTheme="minorHAnsi" w:hAnsiTheme="minorHAnsi"/>
                      <w:sz w:val="22"/>
                      <w:szCs w:val="22"/>
                    </w:rPr>
                  </w:pPr>
                  <w:r w:rsidRPr="00680F63">
                    <w:rPr>
                      <w:rFonts w:asciiTheme="minorHAnsi" w:hAnsiTheme="minorHAnsi"/>
                      <w:sz w:val="22"/>
                      <w:szCs w:val="22"/>
                    </w:rPr>
                    <w:t>Q4/1</w:t>
                  </w:r>
                </w:p>
              </w:tc>
              <w:tc>
                <w:tcPr>
                  <w:tcW w:w="4457" w:type="pct"/>
                  <w:tcBorders>
                    <w:top w:val="single" w:sz="4" w:space="0" w:color="auto"/>
                    <w:left w:val="single" w:sz="4" w:space="0" w:color="auto"/>
                    <w:bottom w:val="single" w:sz="4" w:space="0" w:color="auto"/>
                    <w:right w:val="single" w:sz="4" w:space="0" w:color="auto"/>
                  </w:tcBorders>
                  <w:hideMark/>
                </w:tcPr>
                <w:p w14:paraId="6E3A89C9" w14:textId="6642F57A"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lang w:val="en-GB"/>
                    </w:rPr>
                    <w:t>Economic policies and methods of determining the costs of services related to national telecommunication/ICT networks</w:t>
                  </w:r>
                </w:p>
              </w:tc>
            </w:tr>
            <w:tr w:rsidR="0041287F" w:rsidRPr="00680F63" w14:paraId="5D5FF7C5" w14:textId="77777777" w:rsidTr="006F5329">
              <w:tc>
                <w:tcPr>
                  <w:tcW w:w="543" w:type="pct"/>
                  <w:tcBorders>
                    <w:top w:val="single" w:sz="4" w:space="0" w:color="auto"/>
                    <w:left w:val="single" w:sz="4" w:space="0" w:color="auto"/>
                    <w:bottom w:val="single" w:sz="4" w:space="0" w:color="auto"/>
                    <w:right w:val="single" w:sz="4" w:space="0" w:color="auto"/>
                  </w:tcBorders>
                  <w:hideMark/>
                </w:tcPr>
                <w:p w14:paraId="66491FF4" w14:textId="31D0476D" w:rsidR="0041287F" w:rsidRPr="00680F63" w:rsidRDefault="0041287F" w:rsidP="00903A75">
                  <w:pPr>
                    <w:spacing w:before="40" w:after="40"/>
                    <w:rPr>
                      <w:rFonts w:asciiTheme="minorHAnsi" w:hAnsiTheme="minorHAnsi"/>
                      <w:sz w:val="22"/>
                      <w:szCs w:val="22"/>
                    </w:rPr>
                  </w:pPr>
                  <w:r w:rsidRPr="00680F63">
                    <w:rPr>
                      <w:rFonts w:asciiTheme="minorHAnsi" w:hAnsiTheme="minorHAnsi"/>
                      <w:sz w:val="22"/>
                      <w:szCs w:val="22"/>
                    </w:rPr>
                    <w:t>Q5/1</w:t>
                  </w:r>
                </w:p>
              </w:tc>
              <w:tc>
                <w:tcPr>
                  <w:tcW w:w="4457" w:type="pct"/>
                  <w:tcBorders>
                    <w:top w:val="single" w:sz="4" w:space="0" w:color="auto"/>
                    <w:left w:val="single" w:sz="4" w:space="0" w:color="auto"/>
                    <w:bottom w:val="single" w:sz="4" w:space="0" w:color="auto"/>
                    <w:right w:val="single" w:sz="4" w:space="0" w:color="auto"/>
                  </w:tcBorders>
                  <w:hideMark/>
                </w:tcPr>
                <w:p w14:paraId="1E5BC48F" w14:textId="1E50EEFA"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lang w:val="en-GB"/>
                    </w:rPr>
                    <w:t>Telecommunications/ICTs for rural and remote areas</w:t>
                  </w:r>
                </w:p>
              </w:tc>
            </w:tr>
            <w:tr w:rsidR="0041287F" w:rsidRPr="00680F63" w14:paraId="599918D4" w14:textId="77777777" w:rsidTr="006F5329">
              <w:tc>
                <w:tcPr>
                  <w:tcW w:w="543" w:type="pct"/>
                  <w:tcBorders>
                    <w:top w:val="single" w:sz="4" w:space="0" w:color="auto"/>
                    <w:left w:val="single" w:sz="4" w:space="0" w:color="auto"/>
                    <w:bottom w:val="single" w:sz="4" w:space="0" w:color="auto"/>
                    <w:right w:val="single" w:sz="4" w:space="0" w:color="auto"/>
                  </w:tcBorders>
                  <w:hideMark/>
                </w:tcPr>
                <w:p w14:paraId="45B13574" w14:textId="21ECA026" w:rsidR="0041287F" w:rsidRPr="00680F63" w:rsidRDefault="0041287F" w:rsidP="00903A75">
                  <w:pPr>
                    <w:spacing w:before="40" w:after="40"/>
                    <w:rPr>
                      <w:rFonts w:asciiTheme="minorHAnsi" w:hAnsiTheme="minorHAnsi"/>
                      <w:sz w:val="22"/>
                      <w:szCs w:val="22"/>
                    </w:rPr>
                  </w:pPr>
                  <w:r w:rsidRPr="00680F63">
                    <w:rPr>
                      <w:rFonts w:asciiTheme="minorHAnsi" w:hAnsiTheme="minorHAnsi"/>
                      <w:sz w:val="22"/>
                      <w:szCs w:val="22"/>
                    </w:rPr>
                    <w:t>Q6/1</w:t>
                  </w:r>
                </w:p>
              </w:tc>
              <w:tc>
                <w:tcPr>
                  <w:tcW w:w="4457" w:type="pct"/>
                  <w:tcBorders>
                    <w:top w:val="single" w:sz="4" w:space="0" w:color="auto"/>
                    <w:left w:val="single" w:sz="4" w:space="0" w:color="auto"/>
                    <w:bottom w:val="single" w:sz="4" w:space="0" w:color="auto"/>
                    <w:right w:val="single" w:sz="4" w:space="0" w:color="auto"/>
                  </w:tcBorders>
                  <w:hideMark/>
                </w:tcPr>
                <w:p w14:paraId="3A5C8AC4" w14:textId="631DB0C3"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lang w:val="en-GB"/>
                    </w:rPr>
                    <w:t>Consumer information, protection and rights: Laws, regulation, economic bases, consumer networks</w:t>
                  </w:r>
                </w:p>
              </w:tc>
            </w:tr>
            <w:tr w:rsidR="0041287F" w:rsidRPr="00680F63" w14:paraId="6DB8492D" w14:textId="77777777" w:rsidTr="006F5329">
              <w:tc>
                <w:tcPr>
                  <w:tcW w:w="543" w:type="pct"/>
                  <w:tcBorders>
                    <w:top w:val="single" w:sz="4" w:space="0" w:color="auto"/>
                    <w:left w:val="single" w:sz="4" w:space="0" w:color="auto"/>
                    <w:bottom w:val="single" w:sz="4" w:space="0" w:color="auto"/>
                    <w:right w:val="single" w:sz="4" w:space="0" w:color="auto"/>
                  </w:tcBorders>
                  <w:hideMark/>
                </w:tcPr>
                <w:p w14:paraId="615A69CF" w14:textId="05131CAF" w:rsidR="0041287F" w:rsidRPr="00680F63" w:rsidRDefault="0041287F" w:rsidP="00903A75">
                  <w:pPr>
                    <w:spacing w:before="40" w:after="40"/>
                    <w:rPr>
                      <w:rFonts w:asciiTheme="minorHAnsi" w:hAnsiTheme="minorHAnsi"/>
                      <w:sz w:val="22"/>
                      <w:szCs w:val="22"/>
                    </w:rPr>
                  </w:pPr>
                  <w:r w:rsidRPr="00680F63">
                    <w:rPr>
                      <w:rFonts w:asciiTheme="minorHAnsi" w:hAnsiTheme="minorHAnsi"/>
                      <w:sz w:val="22"/>
                      <w:szCs w:val="22"/>
                    </w:rPr>
                    <w:t>Q7/1</w:t>
                  </w:r>
                </w:p>
              </w:tc>
              <w:tc>
                <w:tcPr>
                  <w:tcW w:w="4457" w:type="pct"/>
                  <w:tcBorders>
                    <w:top w:val="single" w:sz="4" w:space="0" w:color="auto"/>
                    <w:left w:val="single" w:sz="4" w:space="0" w:color="auto"/>
                    <w:bottom w:val="single" w:sz="4" w:space="0" w:color="auto"/>
                    <w:right w:val="single" w:sz="4" w:space="0" w:color="auto"/>
                  </w:tcBorders>
                  <w:hideMark/>
                </w:tcPr>
                <w:p w14:paraId="649A2082" w14:textId="49401202"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lang w:val="en-GB"/>
                    </w:rPr>
                    <w:t>Access to telecommunication/ICT services by persons with disabilities and other persons with specific needs</w:t>
                  </w:r>
                </w:p>
              </w:tc>
            </w:tr>
          </w:tbl>
          <w:p w14:paraId="1F75BE6D" w14:textId="77777777" w:rsidR="00D2367F" w:rsidRPr="00680F63" w:rsidRDefault="00D2367F" w:rsidP="00D2367F">
            <w:pPr>
              <w:pStyle w:val="CEOHeading1Underlined"/>
              <w:spacing w:before="240"/>
              <w:rPr>
                <w:rFonts w:asciiTheme="minorHAnsi" w:hAnsiTheme="minorHAnsi"/>
                <w:sz w:val="22"/>
                <w:szCs w:val="22"/>
              </w:rPr>
            </w:pPr>
            <w:r w:rsidRPr="00680F63">
              <w:rPr>
                <w:rFonts w:asciiTheme="minorHAnsi" w:hAnsiTheme="minorHAnsi"/>
                <w:sz w:val="22"/>
                <w:szCs w:val="22"/>
              </w:rPr>
              <w:t>Scope of Study Group 2</w:t>
            </w:r>
          </w:p>
          <w:p w14:paraId="43B1E591" w14:textId="77777777" w:rsidR="00BE156D" w:rsidRPr="00680F63" w:rsidRDefault="00BE156D" w:rsidP="00BE156D">
            <w:pPr>
              <w:pStyle w:val="Headingi"/>
              <w:jc w:val="both"/>
              <w:rPr>
                <w:b/>
                <w:bCs/>
                <w:sz w:val="22"/>
                <w:szCs w:val="22"/>
              </w:rPr>
            </w:pPr>
            <w:r w:rsidRPr="00680F63">
              <w:rPr>
                <w:b/>
                <w:bCs/>
                <w:sz w:val="22"/>
                <w:szCs w:val="22"/>
              </w:rPr>
              <w:t xml:space="preserve">ICT services and applications for the promotion of sustainable development </w:t>
            </w:r>
          </w:p>
          <w:p w14:paraId="1AC0C884" w14:textId="39FFA58D" w:rsidR="00BE156D" w:rsidRPr="00680F63" w:rsidRDefault="00BE156D" w:rsidP="001350CF">
            <w:pPr>
              <w:pStyle w:val="enumlev1"/>
              <w:numPr>
                <w:ilvl w:val="0"/>
                <w:numId w:val="51"/>
              </w:numPr>
              <w:spacing w:before="40"/>
              <w:rPr>
                <w:i/>
                <w:sz w:val="22"/>
                <w:szCs w:val="22"/>
              </w:rPr>
            </w:pPr>
            <w:r w:rsidRPr="00680F63">
              <w:rPr>
                <w:rFonts w:asciiTheme="minorHAnsi" w:hAnsiTheme="minorHAnsi"/>
                <w:sz w:val="22"/>
                <w:szCs w:val="22"/>
              </w:rPr>
              <w:t>Services and applications supported by telecommunications/ICTs.</w:t>
            </w:r>
          </w:p>
          <w:p w14:paraId="70D92573" w14:textId="1F7EEF5C" w:rsidR="00BE156D" w:rsidRPr="00680F63" w:rsidRDefault="00BE156D" w:rsidP="001350CF">
            <w:pPr>
              <w:pStyle w:val="enumlev1"/>
              <w:numPr>
                <w:ilvl w:val="0"/>
                <w:numId w:val="51"/>
              </w:numPr>
              <w:spacing w:before="40"/>
              <w:rPr>
                <w:i/>
                <w:sz w:val="22"/>
                <w:szCs w:val="22"/>
              </w:rPr>
            </w:pPr>
            <w:r w:rsidRPr="00680F63">
              <w:rPr>
                <w:rFonts w:asciiTheme="minorHAnsi" w:hAnsiTheme="minorHAnsi"/>
                <w:sz w:val="22"/>
                <w:szCs w:val="22"/>
              </w:rPr>
              <w:t>Building confidence and security in the use of ICTs.</w:t>
            </w:r>
          </w:p>
          <w:p w14:paraId="557EA124" w14:textId="63B16DCB" w:rsidR="00BE156D" w:rsidRPr="00680F63" w:rsidRDefault="00BE156D" w:rsidP="001350CF">
            <w:pPr>
              <w:pStyle w:val="enumlev1"/>
              <w:numPr>
                <w:ilvl w:val="0"/>
                <w:numId w:val="51"/>
              </w:numPr>
              <w:spacing w:before="40"/>
              <w:rPr>
                <w:i/>
                <w:sz w:val="22"/>
                <w:szCs w:val="22"/>
              </w:rPr>
            </w:pPr>
            <w:r w:rsidRPr="00680F63">
              <w:rPr>
                <w:rFonts w:asciiTheme="minorHAnsi" w:hAnsiTheme="minorHAnsi"/>
                <w:sz w:val="22"/>
                <w:szCs w:val="22"/>
              </w:rPr>
              <w:t>The use of telecommunications/ICTs in monitoring and mitigating the impact of climate change particularly on developing countries.</w:t>
            </w:r>
          </w:p>
          <w:p w14:paraId="75F8BF5C" w14:textId="28CDE8A1" w:rsidR="00BE156D" w:rsidRPr="00680F63" w:rsidRDefault="00BE156D" w:rsidP="001350CF">
            <w:pPr>
              <w:pStyle w:val="enumlev1"/>
              <w:numPr>
                <w:ilvl w:val="0"/>
                <w:numId w:val="51"/>
              </w:numPr>
              <w:spacing w:before="40"/>
              <w:rPr>
                <w:i/>
                <w:sz w:val="22"/>
                <w:szCs w:val="22"/>
              </w:rPr>
            </w:pPr>
            <w:r w:rsidRPr="00680F63">
              <w:rPr>
                <w:rFonts w:asciiTheme="minorHAnsi" w:hAnsiTheme="minorHAnsi"/>
                <w:sz w:val="22"/>
                <w:szCs w:val="22"/>
              </w:rPr>
              <w:t>Combating counterfeit telecommunications/ICT devices and combating theft of mobile telecommunication devices.</w:t>
            </w:r>
          </w:p>
          <w:p w14:paraId="62D23218" w14:textId="7E6220D5" w:rsidR="00BE156D" w:rsidRPr="00680F63" w:rsidRDefault="00BE156D" w:rsidP="001350CF">
            <w:pPr>
              <w:pStyle w:val="enumlev1"/>
              <w:numPr>
                <w:ilvl w:val="0"/>
                <w:numId w:val="51"/>
              </w:numPr>
              <w:spacing w:before="40"/>
              <w:rPr>
                <w:i/>
                <w:sz w:val="22"/>
                <w:szCs w:val="22"/>
              </w:rPr>
            </w:pPr>
            <w:r w:rsidRPr="00680F63">
              <w:rPr>
                <w:rFonts w:asciiTheme="minorHAnsi" w:hAnsiTheme="minorHAnsi"/>
                <w:sz w:val="22"/>
                <w:szCs w:val="22"/>
              </w:rPr>
              <w:t>Implementation of conformance and interoperability testing for telecommunication/ICT devices and equipment.</w:t>
            </w:r>
          </w:p>
          <w:p w14:paraId="342BE62D" w14:textId="15927C00" w:rsidR="00BE156D" w:rsidRPr="00680F63" w:rsidRDefault="00BE156D" w:rsidP="001350CF">
            <w:pPr>
              <w:pStyle w:val="enumlev1"/>
              <w:numPr>
                <w:ilvl w:val="0"/>
                <w:numId w:val="51"/>
              </w:numPr>
              <w:pBdr>
                <w:bottom w:val="single" w:sz="12" w:space="1" w:color="808080"/>
              </w:pBdr>
              <w:spacing w:before="40"/>
              <w:rPr>
                <w:rFonts w:asciiTheme="minorHAnsi" w:hAnsiTheme="minorHAnsi"/>
                <w:sz w:val="22"/>
                <w:szCs w:val="22"/>
              </w:rPr>
            </w:pPr>
            <w:r w:rsidRPr="00680F63">
              <w:rPr>
                <w:rFonts w:asciiTheme="minorHAnsi" w:hAnsiTheme="minorHAnsi"/>
                <w:sz w:val="22"/>
                <w:szCs w:val="22"/>
              </w:rPr>
              <w:t>Human exposure to electromagnetic fields and safe disposal of electronic waste.</w:t>
            </w:r>
          </w:p>
          <w:p w14:paraId="18C9DB63" w14:textId="40DA7F09" w:rsidR="00D2367F" w:rsidRPr="00680F63" w:rsidRDefault="00D2367F" w:rsidP="00CB0AA1">
            <w:pPr>
              <w:pStyle w:val="CEOHeading1Underlined"/>
              <w:spacing w:before="240"/>
              <w:rPr>
                <w:rFonts w:asciiTheme="minorHAnsi" w:hAnsiTheme="minorHAnsi"/>
                <w:sz w:val="22"/>
                <w:szCs w:val="22"/>
              </w:rPr>
            </w:pPr>
            <w:r w:rsidRPr="00680F63">
              <w:rPr>
                <w:rFonts w:asciiTheme="minorHAnsi" w:hAnsiTheme="minorHAnsi"/>
                <w:sz w:val="22"/>
                <w:szCs w:val="22"/>
              </w:rPr>
              <w:lastRenderedPageBreak/>
              <w:t>Study Group 2 Questions as assigned by WTDC-1</w:t>
            </w:r>
            <w:r w:rsidR="00903A75" w:rsidRPr="00680F63">
              <w:rPr>
                <w:rFonts w:asciiTheme="minorHAnsi" w:hAnsiTheme="minorHAnsi"/>
                <w:sz w:val="22"/>
                <w:szCs w:val="22"/>
              </w:rPr>
              <w:t>7</w:t>
            </w:r>
          </w:p>
          <w:p w14:paraId="12F22AE0" w14:textId="77777777" w:rsidR="00D2367F" w:rsidRPr="001350CF" w:rsidRDefault="00D2367F" w:rsidP="00D2367F">
            <w:pPr>
              <w:pStyle w:val="enumlev1"/>
              <w:spacing w:before="0"/>
              <w:jc w:val="both"/>
              <w:rPr>
                <w:rFonts w:asciiTheme="minorHAnsi" w:eastAsia="SimSun" w:hAnsiTheme="minorHAnsi"/>
                <w:sz w:val="22"/>
                <w:szCs w:val="22"/>
                <w:highlight w:val="yellow"/>
                <w:lang w:eastAsia="zh-CN"/>
              </w:rPr>
            </w:pPr>
          </w:p>
          <w:tbl>
            <w:tblPr>
              <w:tblStyle w:val="TableGrid"/>
              <w:tblW w:w="5000" w:type="pct"/>
              <w:tblLook w:val="04A0" w:firstRow="1" w:lastRow="0" w:firstColumn="1" w:lastColumn="0" w:noHBand="0" w:noVBand="1"/>
            </w:tblPr>
            <w:tblGrid>
              <w:gridCol w:w="1021"/>
              <w:gridCol w:w="8382"/>
            </w:tblGrid>
            <w:tr w:rsidR="0041287F" w:rsidRPr="00680F63" w14:paraId="3D018E99" w14:textId="77777777" w:rsidTr="001350CF">
              <w:trPr>
                <w:tblHeader/>
              </w:trPr>
              <w:tc>
                <w:tcPr>
                  <w:tcW w:w="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398E8" w14:textId="19486266" w:rsidR="0041287F" w:rsidRPr="00680F63" w:rsidRDefault="005F6D31" w:rsidP="001350CF">
                  <w:pPr>
                    <w:keepNext/>
                    <w:spacing w:before="40" w:after="40"/>
                    <w:rPr>
                      <w:rFonts w:asciiTheme="minorHAnsi" w:hAnsiTheme="minorHAnsi"/>
                      <w:b/>
                      <w:bCs/>
                      <w:sz w:val="22"/>
                      <w:szCs w:val="22"/>
                      <w:lang w:val="en-GB"/>
                    </w:rPr>
                  </w:pPr>
                  <w:r w:rsidRPr="00680F63">
                    <w:rPr>
                      <w:rFonts w:asciiTheme="minorHAnsi" w:hAnsiTheme="minorHAnsi"/>
                      <w:b/>
                      <w:bCs/>
                      <w:sz w:val="22"/>
                      <w:szCs w:val="22"/>
                      <w:lang w:val="en-GB"/>
                    </w:rPr>
                    <w:t>N</w:t>
                  </w:r>
                  <w:r w:rsidR="0041287F" w:rsidRPr="00680F63">
                    <w:rPr>
                      <w:rFonts w:asciiTheme="minorHAnsi" w:hAnsiTheme="minorHAnsi"/>
                      <w:b/>
                      <w:bCs/>
                      <w:sz w:val="22"/>
                      <w:szCs w:val="22"/>
                      <w:lang w:val="en-GB"/>
                    </w:rPr>
                    <w:t>umber</w:t>
                  </w:r>
                </w:p>
              </w:tc>
              <w:tc>
                <w:tcPr>
                  <w:tcW w:w="445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EDEBB3" w14:textId="77777777" w:rsidR="0041287F" w:rsidRPr="00680F63" w:rsidRDefault="0041287F" w:rsidP="001350CF">
                  <w:pPr>
                    <w:keepNext/>
                    <w:spacing w:before="40" w:after="40"/>
                    <w:rPr>
                      <w:rFonts w:asciiTheme="minorHAnsi" w:hAnsiTheme="minorHAnsi"/>
                      <w:b/>
                      <w:bCs/>
                      <w:sz w:val="22"/>
                      <w:szCs w:val="22"/>
                      <w:lang w:val="en-GB"/>
                    </w:rPr>
                  </w:pPr>
                  <w:r w:rsidRPr="00680F63">
                    <w:rPr>
                      <w:rFonts w:asciiTheme="minorHAnsi" w:hAnsiTheme="minorHAnsi"/>
                      <w:b/>
                      <w:bCs/>
                      <w:sz w:val="22"/>
                      <w:szCs w:val="22"/>
                      <w:lang w:val="en-GB"/>
                    </w:rPr>
                    <w:t>Title</w:t>
                  </w:r>
                </w:p>
              </w:tc>
            </w:tr>
            <w:tr w:rsidR="0041287F" w:rsidRPr="00680F63" w14:paraId="470CAE94" w14:textId="77777777" w:rsidTr="001350CF">
              <w:trPr>
                <w:cantSplit/>
              </w:trPr>
              <w:tc>
                <w:tcPr>
                  <w:tcW w:w="543" w:type="pct"/>
                  <w:tcBorders>
                    <w:top w:val="single" w:sz="4" w:space="0" w:color="auto"/>
                    <w:left w:val="single" w:sz="4" w:space="0" w:color="auto"/>
                    <w:bottom w:val="single" w:sz="4" w:space="0" w:color="auto"/>
                    <w:right w:val="single" w:sz="4" w:space="0" w:color="auto"/>
                  </w:tcBorders>
                  <w:hideMark/>
                </w:tcPr>
                <w:p w14:paraId="7314E40E" w14:textId="08F3ACA3" w:rsidR="0041287F" w:rsidRPr="00680F63" w:rsidRDefault="0041287F" w:rsidP="00903A75">
                  <w:pPr>
                    <w:spacing w:before="40" w:after="40"/>
                    <w:rPr>
                      <w:rFonts w:asciiTheme="minorHAnsi" w:hAnsiTheme="minorHAnsi"/>
                      <w:sz w:val="22"/>
                      <w:szCs w:val="22"/>
                      <w:highlight w:val="yellow"/>
                    </w:rPr>
                  </w:pPr>
                  <w:r w:rsidRPr="00680F63">
                    <w:rPr>
                      <w:rFonts w:asciiTheme="minorHAnsi" w:hAnsiTheme="minorHAnsi"/>
                      <w:sz w:val="22"/>
                      <w:szCs w:val="22"/>
                    </w:rPr>
                    <w:t>Q1/2</w:t>
                  </w:r>
                </w:p>
              </w:tc>
              <w:tc>
                <w:tcPr>
                  <w:tcW w:w="4457" w:type="pct"/>
                  <w:tcBorders>
                    <w:top w:val="single" w:sz="4" w:space="0" w:color="auto"/>
                    <w:left w:val="single" w:sz="4" w:space="0" w:color="auto"/>
                    <w:bottom w:val="single" w:sz="4" w:space="0" w:color="auto"/>
                    <w:right w:val="single" w:sz="4" w:space="0" w:color="auto"/>
                  </w:tcBorders>
                  <w:hideMark/>
                </w:tcPr>
                <w:p w14:paraId="037DF0D0" w14:textId="3DD42B67" w:rsidR="0041287F" w:rsidRPr="00680F63" w:rsidRDefault="0041287F">
                  <w:pPr>
                    <w:spacing w:before="40" w:after="40"/>
                    <w:rPr>
                      <w:rFonts w:asciiTheme="minorHAnsi" w:hAnsiTheme="minorHAnsi"/>
                      <w:sz w:val="22"/>
                      <w:szCs w:val="22"/>
                      <w:highlight w:val="yellow"/>
                      <w:lang w:val="en-GB"/>
                    </w:rPr>
                  </w:pPr>
                  <w:r w:rsidRPr="00680F63">
                    <w:rPr>
                      <w:rFonts w:asciiTheme="minorHAnsi" w:hAnsiTheme="minorHAnsi"/>
                      <w:sz w:val="22"/>
                      <w:szCs w:val="22"/>
                      <w:lang w:val="en-GB"/>
                    </w:rPr>
                    <w:t>Creating the smart cities and society: Employing ICTs for sustainable social and economic development</w:t>
                  </w:r>
                </w:p>
              </w:tc>
            </w:tr>
            <w:tr w:rsidR="0041287F" w:rsidRPr="00680F63" w14:paraId="3CF9218C" w14:textId="77777777" w:rsidTr="001350CF">
              <w:trPr>
                <w:cantSplit/>
              </w:trPr>
              <w:tc>
                <w:tcPr>
                  <w:tcW w:w="543" w:type="pct"/>
                  <w:tcBorders>
                    <w:top w:val="single" w:sz="4" w:space="0" w:color="auto"/>
                    <w:left w:val="single" w:sz="4" w:space="0" w:color="auto"/>
                    <w:bottom w:val="single" w:sz="4" w:space="0" w:color="auto"/>
                    <w:right w:val="single" w:sz="4" w:space="0" w:color="auto"/>
                  </w:tcBorders>
                  <w:hideMark/>
                </w:tcPr>
                <w:p w14:paraId="4C923B5B" w14:textId="0F91D813" w:rsidR="0041287F" w:rsidRPr="00680F63" w:rsidRDefault="0041287F" w:rsidP="00903A75">
                  <w:pPr>
                    <w:spacing w:before="40" w:after="40"/>
                    <w:rPr>
                      <w:rFonts w:asciiTheme="minorHAnsi" w:hAnsiTheme="minorHAnsi"/>
                      <w:sz w:val="22"/>
                      <w:szCs w:val="22"/>
                      <w:highlight w:val="yellow"/>
                    </w:rPr>
                  </w:pPr>
                  <w:r w:rsidRPr="00680F63">
                    <w:rPr>
                      <w:rFonts w:asciiTheme="minorHAnsi" w:hAnsiTheme="minorHAnsi"/>
                      <w:sz w:val="22"/>
                      <w:szCs w:val="22"/>
                    </w:rPr>
                    <w:t>Q2/2</w:t>
                  </w:r>
                </w:p>
              </w:tc>
              <w:tc>
                <w:tcPr>
                  <w:tcW w:w="4457" w:type="pct"/>
                  <w:tcBorders>
                    <w:top w:val="single" w:sz="4" w:space="0" w:color="auto"/>
                    <w:left w:val="single" w:sz="4" w:space="0" w:color="auto"/>
                    <w:bottom w:val="single" w:sz="4" w:space="0" w:color="auto"/>
                    <w:right w:val="single" w:sz="4" w:space="0" w:color="auto"/>
                  </w:tcBorders>
                  <w:hideMark/>
                </w:tcPr>
                <w:p w14:paraId="20FBF8DD" w14:textId="167F2947" w:rsidR="0041287F" w:rsidRPr="00680F63" w:rsidRDefault="00655C82" w:rsidP="00903A75">
                  <w:pPr>
                    <w:spacing w:before="40" w:after="40"/>
                    <w:rPr>
                      <w:rFonts w:asciiTheme="minorHAnsi" w:hAnsiTheme="minorHAnsi"/>
                      <w:sz w:val="22"/>
                      <w:szCs w:val="22"/>
                      <w:highlight w:val="yellow"/>
                      <w:lang w:val="en-GB"/>
                    </w:rPr>
                  </w:pPr>
                  <w:r>
                    <w:rPr>
                      <w:rFonts w:asciiTheme="minorHAnsi" w:hAnsiTheme="minorHAnsi"/>
                      <w:sz w:val="22"/>
                      <w:szCs w:val="22"/>
                      <w:lang w:val="en-GB"/>
                    </w:rPr>
                    <w:t>Telecommunications/ICTs for e</w:t>
                  </w:r>
                  <w:r w:rsidR="0041287F" w:rsidRPr="00680F63">
                    <w:rPr>
                      <w:rFonts w:asciiTheme="minorHAnsi" w:hAnsiTheme="minorHAnsi"/>
                      <w:sz w:val="22"/>
                      <w:szCs w:val="22"/>
                      <w:lang w:val="en-GB"/>
                    </w:rPr>
                    <w:t>Health</w:t>
                  </w:r>
                </w:p>
              </w:tc>
            </w:tr>
            <w:tr w:rsidR="0041287F" w:rsidRPr="00680F63" w14:paraId="1E346CD6" w14:textId="77777777" w:rsidTr="001350CF">
              <w:trPr>
                <w:cantSplit/>
              </w:trPr>
              <w:tc>
                <w:tcPr>
                  <w:tcW w:w="543" w:type="pct"/>
                  <w:tcBorders>
                    <w:top w:val="single" w:sz="4" w:space="0" w:color="auto"/>
                    <w:left w:val="single" w:sz="4" w:space="0" w:color="auto"/>
                    <w:bottom w:val="single" w:sz="4" w:space="0" w:color="auto"/>
                    <w:right w:val="single" w:sz="4" w:space="0" w:color="auto"/>
                  </w:tcBorders>
                  <w:hideMark/>
                </w:tcPr>
                <w:p w14:paraId="3C88BA52" w14:textId="4FB14A4F" w:rsidR="0041287F" w:rsidRPr="00680F63" w:rsidRDefault="0041287F" w:rsidP="00903A75">
                  <w:pPr>
                    <w:spacing w:before="40" w:after="40"/>
                    <w:rPr>
                      <w:rFonts w:asciiTheme="minorHAnsi" w:hAnsiTheme="minorHAnsi"/>
                      <w:sz w:val="22"/>
                      <w:szCs w:val="22"/>
                      <w:highlight w:val="yellow"/>
                    </w:rPr>
                  </w:pPr>
                  <w:r w:rsidRPr="00680F63">
                    <w:rPr>
                      <w:rFonts w:asciiTheme="minorHAnsi" w:hAnsiTheme="minorHAnsi"/>
                      <w:sz w:val="22"/>
                      <w:szCs w:val="22"/>
                    </w:rPr>
                    <w:t>Q3/2</w:t>
                  </w:r>
                </w:p>
              </w:tc>
              <w:tc>
                <w:tcPr>
                  <w:tcW w:w="4457" w:type="pct"/>
                  <w:tcBorders>
                    <w:top w:val="single" w:sz="4" w:space="0" w:color="auto"/>
                    <w:left w:val="single" w:sz="4" w:space="0" w:color="auto"/>
                    <w:bottom w:val="single" w:sz="4" w:space="0" w:color="auto"/>
                    <w:right w:val="single" w:sz="4" w:space="0" w:color="auto"/>
                  </w:tcBorders>
                  <w:hideMark/>
                </w:tcPr>
                <w:p w14:paraId="6460BA0C" w14:textId="5F7CA917" w:rsidR="0041287F" w:rsidRPr="00680F63" w:rsidRDefault="0041287F" w:rsidP="00903A75">
                  <w:pPr>
                    <w:spacing w:before="40" w:after="40"/>
                    <w:rPr>
                      <w:rFonts w:asciiTheme="minorHAnsi" w:hAnsiTheme="minorHAnsi"/>
                      <w:sz w:val="22"/>
                      <w:szCs w:val="22"/>
                      <w:highlight w:val="yellow"/>
                      <w:lang w:val="en-GB"/>
                    </w:rPr>
                  </w:pPr>
                  <w:r w:rsidRPr="00680F63">
                    <w:rPr>
                      <w:rFonts w:asciiTheme="minorHAnsi" w:hAnsiTheme="minorHAnsi"/>
                      <w:sz w:val="22"/>
                      <w:szCs w:val="22"/>
                      <w:lang w:val="en-GB"/>
                    </w:rPr>
                    <w:t xml:space="preserve">Securing information and communication networks: Best practices for developing a culture of cybersecurity </w:t>
                  </w:r>
                </w:p>
              </w:tc>
            </w:tr>
            <w:tr w:rsidR="0041287F" w:rsidRPr="00680F63" w14:paraId="1344DE16" w14:textId="77777777" w:rsidTr="001350CF">
              <w:trPr>
                <w:cantSplit/>
              </w:trPr>
              <w:tc>
                <w:tcPr>
                  <w:tcW w:w="543" w:type="pct"/>
                  <w:tcBorders>
                    <w:top w:val="single" w:sz="4" w:space="0" w:color="auto"/>
                    <w:left w:val="single" w:sz="4" w:space="0" w:color="auto"/>
                    <w:bottom w:val="single" w:sz="4" w:space="0" w:color="auto"/>
                    <w:right w:val="single" w:sz="4" w:space="0" w:color="auto"/>
                  </w:tcBorders>
                  <w:hideMark/>
                </w:tcPr>
                <w:p w14:paraId="5C400BB5" w14:textId="4C6FC2E1" w:rsidR="0041287F" w:rsidRPr="00680F63" w:rsidRDefault="0041287F" w:rsidP="00903A75">
                  <w:pPr>
                    <w:spacing w:before="40" w:after="40"/>
                    <w:rPr>
                      <w:rFonts w:asciiTheme="minorHAnsi" w:hAnsiTheme="minorHAnsi"/>
                      <w:sz w:val="22"/>
                      <w:szCs w:val="22"/>
                      <w:highlight w:val="yellow"/>
                    </w:rPr>
                  </w:pPr>
                  <w:r w:rsidRPr="00680F63">
                    <w:rPr>
                      <w:rFonts w:asciiTheme="minorHAnsi" w:hAnsiTheme="minorHAnsi"/>
                      <w:sz w:val="22"/>
                      <w:szCs w:val="22"/>
                    </w:rPr>
                    <w:t>Q4/2</w:t>
                  </w:r>
                </w:p>
              </w:tc>
              <w:tc>
                <w:tcPr>
                  <w:tcW w:w="4457" w:type="pct"/>
                  <w:tcBorders>
                    <w:top w:val="single" w:sz="4" w:space="0" w:color="auto"/>
                    <w:left w:val="single" w:sz="4" w:space="0" w:color="auto"/>
                    <w:bottom w:val="single" w:sz="4" w:space="0" w:color="auto"/>
                    <w:right w:val="single" w:sz="4" w:space="0" w:color="auto"/>
                  </w:tcBorders>
                  <w:hideMark/>
                </w:tcPr>
                <w:p w14:paraId="200E00EA" w14:textId="7693FE50" w:rsidR="0041287F" w:rsidRPr="00680F63" w:rsidRDefault="0041287F">
                  <w:pPr>
                    <w:spacing w:before="40" w:after="40"/>
                    <w:rPr>
                      <w:rFonts w:asciiTheme="minorHAnsi" w:hAnsiTheme="minorHAnsi"/>
                      <w:sz w:val="22"/>
                      <w:szCs w:val="22"/>
                      <w:highlight w:val="yellow"/>
                      <w:lang w:val="en-GB"/>
                    </w:rPr>
                  </w:pPr>
                  <w:r w:rsidRPr="00680F63">
                    <w:rPr>
                      <w:rFonts w:asciiTheme="minorHAnsi" w:hAnsiTheme="minorHAnsi"/>
                      <w:sz w:val="22"/>
                      <w:szCs w:val="22"/>
                      <w:lang w:val="en-GB"/>
                    </w:rPr>
                    <w:t>Assistance to developing countries for implementing conformance and interoperability (C&amp;I) programmes and combating counterfeit ICT equipment and theft of mobile devices</w:t>
                  </w:r>
                </w:p>
              </w:tc>
            </w:tr>
            <w:tr w:rsidR="0041287F" w:rsidRPr="00680F63" w14:paraId="45B3FF94" w14:textId="77777777" w:rsidTr="001350CF">
              <w:trPr>
                <w:cantSplit/>
              </w:trPr>
              <w:tc>
                <w:tcPr>
                  <w:tcW w:w="543" w:type="pct"/>
                  <w:tcBorders>
                    <w:top w:val="single" w:sz="4" w:space="0" w:color="auto"/>
                    <w:left w:val="single" w:sz="4" w:space="0" w:color="auto"/>
                    <w:bottom w:val="single" w:sz="4" w:space="0" w:color="auto"/>
                    <w:right w:val="single" w:sz="4" w:space="0" w:color="auto"/>
                  </w:tcBorders>
                  <w:hideMark/>
                </w:tcPr>
                <w:p w14:paraId="4081BC57" w14:textId="26903554" w:rsidR="0041287F" w:rsidRPr="00680F63" w:rsidRDefault="0041287F" w:rsidP="00903A75">
                  <w:pPr>
                    <w:spacing w:before="40" w:after="40"/>
                    <w:rPr>
                      <w:rFonts w:asciiTheme="minorHAnsi" w:hAnsiTheme="minorHAnsi"/>
                      <w:sz w:val="22"/>
                      <w:szCs w:val="22"/>
                    </w:rPr>
                  </w:pPr>
                  <w:r w:rsidRPr="00680F63">
                    <w:rPr>
                      <w:rFonts w:asciiTheme="minorHAnsi" w:hAnsiTheme="minorHAnsi"/>
                      <w:sz w:val="22"/>
                      <w:szCs w:val="22"/>
                    </w:rPr>
                    <w:t>Q5/2</w:t>
                  </w:r>
                </w:p>
              </w:tc>
              <w:tc>
                <w:tcPr>
                  <w:tcW w:w="4457" w:type="pct"/>
                  <w:tcBorders>
                    <w:top w:val="single" w:sz="4" w:space="0" w:color="auto"/>
                    <w:left w:val="single" w:sz="4" w:space="0" w:color="auto"/>
                    <w:bottom w:val="single" w:sz="4" w:space="0" w:color="auto"/>
                    <w:right w:val="single" w:sz="4" w:space="0" w:color="auto"/>
                  </w:tcBorders>
                  <w:hideMark/>
                </w:tcPr>
                <w:p w14:paraId="4C23203C" w14:textId="0358817A"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lang w:val="en-GB"/>
                    </w:rPr>
                    <w:t>Utilizing telecommunications/ICTs for disaster risk reduction and management</w:t>
                  </w:r>
                </w:p>
              </w:tc>
            </w:tr>
            <w:tr w:rsidR="0041287F" w:rsidRPr="00680F63" w14:paraId="1D2D8B6E" w14:textId="77777777" w:rsidTr="001350CF">
              <w:trPr>
                <w:cantSplit/>
              </w:trPr>
              <w:tc>
                <w:tcPr>
                  <w:tcW w:w="543" w:type="pct"/>
                  <w:tcBorders>
                    <w:top w:val="single" w:sz="4" w:space="0" w:color="auto"/>
                    <w:left w:val="single" w:sz="4" w:space="0" w:color="auto"/>
                    <w:bottom w:val="single" w:sz="4" w:space="0" w:color="auto"/>
                    <w:right w:val="single" w:sz="4" w:space="0" w:color="auto"/>
                  </w:tcBorders>
                  <w:hideMark/>
                </w:tcPr>
                <w:p w14:paraId="25609FD1" w14:textId="756BD01A" w:rsidR="0041287F" w:rsidRPr="00680F63" w:rsidRDefault="0041287F" w:rsidP="00903A75">
                  <w:pPr>
                    <w:spacing w:before="40" w:after="40"/>
                    <w:rPr>
                      <w:rFonts w:asciiTheme="minorHAnsi" w:hAnsiTheme="minorHAnsi"/>
                      <w:sz w:val="22"/>
                      <w:szCs w:val="22"/>
                    </w:rPr>
                  </w:pPr>
                  <w:r w:rsidRPr="00680F63">
                    <w:rPr>
                      <w:rFonts w:asciiTheme="minorHAnsi" w:hAnsiTheme="minorHAnsi"/>
                      <w:sz w:val="22"/>
                      <w:szCs w:val="22"/>
                    </w:rPr>
                    <w:t>Q6/2</w:t>
                  </w:r>
                </w:p>
              </w:tc>
              <w:tc>
                <w:tcPr>
                  <w:tcW w:w="4457" w:type="pct"/>
                  <w:tcBorders>
                    <w:top w:val="single" w:sz="4" w:space="0" w:color="auto"/>
                    <w:left w:val="single" w:sz="4" w:space="0" w:color="auto"/>
                    <w:bottom w:val="single" w:sz="4" w:space="0" w:color="auto"/>
                    <w:right w:val="single" w:sz="4" w:space="0" w:color="auto"/>
                  </w:tcBorders>
                  <w:hideMark/>
                </w:tcPr>
                <w:p w14:paraId="06DFE09B" w14:textId="441B6AC8"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lang w:val="en-GB"/>
                    </w:rPr>
                    <w:t>ICT</w:t>
                  </w:r>
                  <w:r w:rsidR="00125116" w:rsidRPr="00680F63">
                    <w:rPr>
                      <w:rFonts w:asciiTheme="minorHAnsi" w:hAnsiTheme="minorHAnsi"/>
                      <w:sz w:val="22"/>
                      <w:szCs w:val="22"/>
                      <w:lang w:val="en-GB"/>
                    </w:rPr>
                    <w:t>s</w:t>
                  </w:r>
                  <w:r w:rsidRPr="00680F63">
                    <w:rPr>
                      <w:rFonts w:asciiTheme="minorHAnsi" w:hAnsiTheme="minorHAnsi"/>
                      <w:sz w:val="22"/>
                      <w:szCs w:val="22"/>
                      <w:lang w:val="en-GB"/>
                    </w:rPr>
                    <w:t xml:space="preserve"> and the environment</w:t>
                  </w:r>
                </w:p>
              </w:tc>
            </w:tr>
            <w:tr w:rsidR="0041287F" w:rsidRPr="00680F63" w14:paraId="27387BF0" w14:textId="77777777" w:rsidTr="001350CF">
              <w:trPr>
                <w:cantSplit/>
              </w:trPr>
              <w:tc>
                <w:tcPr>
                  <w:tcW w:w="543" w:type="pct"/>
                  <w:tcBorders>
                    <w:top w:val="single" w:sz="4" w:space="0" w:color="auto"/>
                    <w:left w:val="single" w:sz="4" w:space="0" w:color="auto"/>
                    <w:bottom w:val="single" w:sz="4" w:space="0" w:color="auto"/>
                    <w:right w:val="single" w:sz="4" w:space="0" w:color="auto"/>
                  </w:tcBorders>
                  <w:hideMark/>
                </w:tcPr>
                <w:p w14:paraId="774ACF1A" w14:textId="6ADC65E0" w:rsidR="0041287F" w:rsidRPr="00680F63" w:rsidRDefault="0041287F" w:rsidP="00903A75">
                  <w:pPr>
                    <w:spacing w:before="40" w:after="40"/>
                    <w:rPr>
                      <w:rFonts w:asciiTheme="minorHAnsi" w:hAnsiTheme="minorHAnsi"/>
                      <w:sz w:val="22"/>
                      <w:szCs w:val="22"/>
                    </w:rPr>
                  </w:pPr>
                  <w:r w:rsidRPr="00680F63">
                    <w:rPr>
                      <w:rFonts w:asciiTheme="minorHAnsi" w:hAnsiTheme="minorHAnsi"/>
                      <w:sz w:val="22"/>
                      <w:szCs w:val="22"/>
                    </w:rPr>
                    <w:t>Q7/2</w:t>
                  </w:r>
                </w:p>
              </w:tc>
              <w:tc>
                <w:tcPr>
                  <w:tcW w:w="4457" w:type="pct"/>
                  <w:tcBorders>
                    <w:top w:val="single" w:sz="4" w:space="0" w:color="auto"/>
                    <w:left w:val="single" w:sz="4" w:space="0" w:color="auto"/>
                    <w:bottom w:val="single" w:sz="4" w:space="0" w:color="auto"/>
                    <w:right w:val="single" w:sz="4" w:space="0" w:color="auto"/>
                  </w:tcBorders>
                  <w:hideMark/>
                </w:tcPr>
                <w:p w14:paraId="0BF817FA" w14:textId="5CC59E5F" w:rsidR="0041287F" w:rsidRPr="00680F63" w:rsidRDefault="0041287F" w:rsidP="00903A75">
                  <w:pPr>
                    <w:spacing w:before="40" w:after="40"/>
                    <w:rPr>
                      <w:rFonts w:asciiTheme="minorHAnsi" w:hAnsiTheme="minorHAnsi"/>
                      <w:sz w:val="22"/>
                      <w:szCs w:val="22"/>
                      <w:lang w:val="en-GB"/>
                    </w:rPr>
                  </w:pPr>
                  <w:r w:rsidRPr="00680F63">
                    <w:rPr>
                      <w:rFonts w:asciiTheme="minorHAnsi" w:hAnsiTheme="minorHAnsi"/>
                      <w:sz w:val="22"/>
                      <w:szCs w:val="22"/>
                      <w:lang w:val="en-GB"/>
                    </w:rPr>
                    <w:t>Strategies and policies concerning human exposure to electromagnetic fields</w:t>
                  </w:r>
                </w:p>
              </w:tc>
            </w:tr>
          </w:tbl>
          <w:p w14:paraId="377C0F8C" w14:textId="77777777" w:rsidR="00D2367F" w:rsidRPr="001350CF" w:rsidRDefault="00D2367F" w:rsidP="00B64B2B">
            <w:pPr>
              <w:pStyle w:val="BDTNormal"/>
              <w:rPr>
                <w:rFonts w:asciiTheme="minorHAnsi" w:hAnsiTheme="minorHAnsi"/>
                <w:sz w:val="22"/>
                <w:szCs w:val="22"/>
                <w:highlight w:val="yellow"/>
                <w:lang w:val="en-GB"/>
              </w:rPr>
            </w:pPr>
          </w:p>
        </w:tc>
      </w:tr>
    </w:tbl>
    <w:p w14:paraId="55BD602E" w14:textId="77777777" w:rsidR="00D2367F" w:rsidRPr="005F6D31" w:rsidRDefault="00D2367F" w:rsidP="00D2367F">
      <w:pPr>
        <w:spacing w:before="0" w:after="0"/>
        <w:rPr>
          <w:rFonts w:asciiTheme="minorHAnsi" w:hAnsiTheme="minorHAnsi"/>
          <w:szCs w:val="22"/>
          <w:highlight w:val="yellow"/>
          <w:lang w:val="en-GB"/>
        </w:rPr>
      </w:pPr>
      <w:r w:rsidRPr="005F6D31">
        <w:rPr>
          <w:rFonts w:asciiTheme="minorHAnsi" w:hAnsiTheme="minorHAnsi"/>
          <w:szCs w:val="22"/>
          <w:highlight w:val="yellow"/>
          <w:lang w:val="en-GB"/>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2367F" w14:paraId="557401CC" w14:textId="77777777" w:rsidTr="00B64B2B">
        <w:tc>
          <w:tcPr>
            <w:tcW w:w="9629" w:type="dxa"/>
          </w:tcPr>
          <w:p w14:paraId="5D1FA24C" w14:textId="77777777" w:rsidR="00D2367F" w:rsidRPr="001350CF" w:rsidRDefault="00D2367F" w:rsidP="00B64B2B">
            <w:pPr>
              <w:pStyle w:val="BDTNormal"/>
              <w:spacing w:before="360" w:after="360"/>
              <w:jc w:val="center"/>
              <w:rPr>
                <w:rFonts w:asciiTheme="minorHAnsi" w:hAnsiTheme="minorHAnsi"/>
                <w:sz w:val="22"/>
                <w:szCs w:val="22"/>
                <w:lang w:val="en-GB"/>
              </w:rPr>
            </w:pPr>
            <w:r w:rsidRPr="001350CF">
              <w:rPr>
                <w:rFonts w:asciiTheme="minorHAnsi" w:hAnsiTheme="minorHAnsi"/>
                <w:szCs w:val="22"/>
                <w:lang w:val="en-GB"/>
              </w:rPr>
              <w:lastRenderedPageBreak/>
              <w:t>Annex 2</w:t>
            </w:r>
          </w:p>
          <w:p w14:paraId="7BC8B9FC" w14:textId="0AE4A6D5" w:rsidR="00D2367F" w:rsidRPr="001350CF" w:rsidRDefault="00D2367F">
            <w:pPr>
              <w:pStyle w:val="AnnexNo"/>
              <w:spacing w:before="120"/>
            </w:pPr>
            <w:bookmarkStart w:id="6" w:name="Annex5"/>
            <w:r w:rsidRPr="001350CF">
              <w:t>Annex 5</w:t>
            </w:r>
            <w:bookmarkEnd w:id="6"/>
            <w:r w:rsidRPr="001350CF">
              <w:t xml:space="preserve"> to Resolution 1 (R</w:t>
            </w:r>
            <w:r w:rsidRPr="001350CF">
              <w:rPr>
                <w:caps w:val="0"/>
              </w:rPr>
              <w:t>ev</w:t>
            </w:r>
            <w:r w:rsidRPr="001350CF">
              <w:t xml:space="preserve">. </w:t>
            </w:r>
            <w:r w:rsidR="008672C4">
              <w:t>Buenos Aires</w:t>
            </w:r>
            <w:r w:rsidRPr="001350CF">
              <w:t>, 201</w:t>
            </w:r>
            <w:r w:rsidR="008672C4">
              <w:t>7</w:t>
            </w:r>
            <w:r w:rsidRPr="001350CF">
              <w:t>)</w:t>
            </w:r>
          </w:p>
          <w:p w14:paraId="5E93EE68" w14:textId="00E0F4F3" w:rsidR="00D2367F" w:rsidRPr="001350CF" w:rsidRDefault="00D2367F" w:rsidP="00D2367F">
            <w:pPr>
              <w:pStyle w:val="Annextitle"/>
            </w:pPr>
            <w:r w:rsidRPr="001350CF">
              <w:t>Rapporteur</w:t>
            </w:r>
            <w:r w:rsidR="008672C4" w:rsidRPr="001350CF">
              <w:t>’</w:t>
            </w:r>
            <w:r w:rsidRPr="001350CF">
              <w:t>s checklist</w:t>
            </w:r>
          </w:p>
          <w:p w14:paraId="7C9960AF" w14:textId="77777777" w:rsidR="008672C4" w:rsidRPr="00B77E96" w:rsidRDefault="008672C4" w:rsidP="008672C4">
            <w:pPr>
              <w:pStyle w:val="Normalaftertitle"/>
              <w:rPr>
                <w:rFonts w:ascii="Calibri" w:hAnsi="Calibri"/>
                <w:sz w:val="22"/>
                <w:szCs w:val="22"/>
              </w:rPr>
            </w:pPr>
            <w:r w:rsidRPr="00B77E96">
              <w:rPr>
                <w:rFonts w:ascii="Calibri" w:hAnsi="Calibri"/>
                <w:sz w:val="22"/>
                <w:szCs w:val="22"/>
              </w:rPr>
              <w:t>1</w:t>
            </w:r>
            <w:r w:rsidRPr="00B77E96">
              <w:rPr>
                <w:rFonts w:ascii="Calibri" w:hAnsi="Calibri"/>
                <w:sz w:val="22"/>
                <w:szCs w:val="22"/>
              </w:rPr>
              <w:tab/>
              <w:t>Establish a work plan in consultation with the vice-rapporteurs or relevant working parties. The work plan should be reviewed periodically by the relevant working party and study group and contain the following:</w:t>
            </w:r>
          </w:p>
          <w:p w14:paraId="231F0553" w14:textId="5121D143" w:rsidR="008672C4" w:rsidRPr="00B77E96" w:rsidRDefault="008672C4" w:rsidP="001350CF">
            <w:pPr>
              <w:pStyle w:val="enumlev1"/>
              <w:numPr>
                <w:ilvl w:val="0"/>
                <w:numId w:val="52"/>
              </w:numPr>
              <w:spacing w:before="40"/>
              <w:ind w:left="357" w:hanging="357"/>
              <w:rPr>
                <w:rFonts w:ascii="Calibri" w:hAnsi="Calibri"/>
                <w:sz w:val="22"/>
                <w:szCs w:val="22"/>
              </w:rPr>
            </w:pPr>
            <w:r w:rsidRPr="00B77E96">
              <w:rPr>
                <w:rFonts w:ascii="Calibri" w:hAnsi="Calibri"/>
                <w:sz w:val="22"/>
                <w:szCs w:val="22"/>
              </w:rPr>
              <w:t>list of tasks to be completed;</w:t>
            </w:r>
          </w:p>
          <w:p w14:paraId="781BFC6B" w14:textId="1965E005" w:rsidR="008672C4" w:rsidRPr="00B77E96" w:rsidRDefault="008672C4" w:rsidP="001350CF">
            <w:pPr>
              <w:pStyle w:val="enumlev1"/>
              <w:numPr>
                <w:ilvl w:val="0"/>
                <w:numId w:val="52"/>
              </w:numPr>
              <w:spacing w:before="40"/>
              <w:ind w:left="357" w:hanging="357"/>
              <w:rPr>
                <w:rFonts w:ascii="Calibri" w:hAnsi="Calibri"/>
                <w:sz w:val="22"/>
                <w:szCs w:val="22"/>
              </w:rPr>
            </w:pPr>
            <w:r w:rsidRPr="00B77E96">
              <w:rPr>
                <w:rFonts w:ascii="Calibri" w:hAnsi="Calibri"/>
                <w:sz w:val="22"/>
                <w:szCs w:val="22"/>
              </w:rPr>
              <w:t>target dates for milestones in consideration of annual output reports;</w:t>
            </w:r>
          </w:p>
          <w:p w14:paraId="64AF88B5" w14:textId="744FD53D" w:rsidR="008672C4" w:rsidRPr="00B77E96" w:rsidRDefault="008672C4" w:rsidP="001350CF">
            <w:pPr>
              <w:pStyle w:val="enumlev1"/>
              <w:numPr>
                <w:ilvl w:val="0"/>
                <w:numId w:val="52"/>
              </w:numPr>
              <w:spacing w:before="40"/>
              <w:ind w:left="357" w:hanging="357"/>
              <w:rPr>
                <w:rFonts w:ascii="Calibri" w:hAnsi="Calibri"/>
                <w:sz w:val="22"/>
                <w:szCs w:val="22"/>
              </w:rPr>
            </w:pPr>
            <w:r w:rsidRPr="00B77E96">
              <w:rPr>
                <w:rFonts w:ascii="Calibri" w:hAnsi="Calibri"/>
                <w:sz w:val="22"/>
                <w:szCs w:val="22"/>
              </w:rPr>
              <w:t>results anticipated, including titles of output documents and annual output reports;</w:t>
            </w:r>
          </w:p>
          <w:p w14:paraId="3D1C8110" w14:textId="35B4728E" w:rsidR="008672C4" w:rsidRPr="00B77E96" w:rsidRDefault="008672C4" w:rsidP="001350CF">
            <w:pPr>
              <w:pStyle w:val="enumlev1"/>
              <w:numPr>
                <w:ilvl w:val="0"/>
                <w:numId w:val="52"/>
              </w:numPr>
              <w:spacing w:before="40"/>
              <w:ind w:left="357" w:hanging="357"/>
              <w:rPr>
                <w:rFonts w:ascii="Calibri" w:hAnsi="Calibri"/>
                <w:sz w:val="22"/>
                <w:szCs w:val="22"/>
              </w:rPr>
            </w:pPr>
            <w:r w:rsidRPr="00B77E96">
              <w:rPr>
                <w:rFonts w:ascii="Calibri" w:hAnsi="Calibri"/>
                <w:sz w:val="22"/>
                <w:szCs w:val="22"/>
              </w:rPr>
              <w:t>liaison required with other groups, and schedules for liaisons, if known;</w:t>
            </w:r>
          </w:p>
          <w:p w14:paraId="09901F94" w14:textId="669B92EA" w:rsidR="008672C4" w:rsidRPr="00B77E96" w:rsidRDefault="008672C4" w:rsidP="001350CF">
            <w:pPr>
              <w:pStyle w:val="enumlev1"/>
              <w:numPr>
                <w:ilvl w:val="0"/>
                <w:numId w:val="52"/>
              </w:numPr>
              <w:spacing w:before="40"/>
              <w:ind w:left="357" w:hanging="357"/>
              <w:rPr>
                <w:rFonts w:ascii="Calibri" w:hAnsi="Calibri"/>
                <w:sz w:val="22"/>
                <w:szCs w:val="22"/>
              </w:rPr>
            </w:pPr>
            <w:proofErr w:type="gramStart"/>
            <w:r w:rsidRPr="00B77E96">
              <w:rPr>
                <w:rFonts w:ascii="Calibri" w:hAnsi="Calibri"/>
                <w:sz w:val="22"/>
                <w:szCs w:val="22"/>
              </w:rPr>
              <w:t>proposed</w:t>
            </w:r>
            <w:proofErr w:type="gramEnd"/>
            <w:r w:rsidRPr="00B77E96">
              <w:rPr>
                <w:rFonts w:ascii="Calibri" w:hAnsi="Calibri"/>
                <w:sz w:val="22"/>
                <w:szCs w:val="22"/>
              </w:rPr>
              <w:t xml:space="preserve"> meeting(s) of rapporteur’s group and estimated dates, with request for interpretation, if any.</w:t>
            </w:r>
          </w:p>
          <w:p w14:paraId="79181F4B" w14:textId="77777777" w:rsidR="008672C4" w:rsidRPr="00B77E96" w:rsidRDefault="008672C4" w:rsidP="008672C4">
            <w:pPr>
              <w:rPr>
                <w:sz w:val="22"/>
                <w:szCs w:val="22"/>
                <w:lang w:val="en-GB"/>
              </w:rPr>
            </w:pPr>
            <w:r w:rsidRPr="00B77E96">
              <w:rPr>
                <w:sz w:val="22"/>
                <w:szCs w:val="22"/>
                <w:lang w:val="en-GB"/>
              </w:rPr>
              <w:t>2</w:t>
            </w:r>
            <w:r w:rsidRPr="00B77E96">
              <w:rPr>
                <w:sz w:val="22"/>
                <w:szCs w:val="22"/>
                <w:lang w:val="en-GB"/>
              </w:rPr>
              <w:tab/>
              <w:t>Adopt work methods appropriate to the group. Use of electronic document handling (EDH), electronic and facsimile mail to exchange views is strongly encouraged.</w:t>
            </w:r>
          </w:p>
          <w:p w14:paraId="2D7578BB" w14:textId="4C75174B" w:rsidR="008672C4" w:rsidRPr="00B77E96" w:rsidRDefault="008672C4" w:rsidP="008672C4">
            <w:pPr>
              <w:rPr>
                <w:sz w:val="22"/>
                <w:szCs w:val="22"/>
                <w:lang w:val="en-GB"/>
              </w:rPr>
            </w:pPr>
            <w:r w:rsidRPr="00B77E96">
              <w:rPr>
                <w:sz w:val="22"/>
                <w:szCs w:val="22"/>
                <w:lang w:val="en-GB"/>
              </w:rPr>
              <w:t>3</w:t>
            </w:r>
            <w:r w:rsidRPr="00B77E96">
              <w:rPr>
                <w:sz w:val="22"/>
                <w:szCs w:val="22"/>
                <w:lang w:val="en-GB"/>
              </w:rPr>
              <w:tab/>
              <w:t>Act as chairman at all meetings of the relevant question. If special meetings on the question are necessary, give appropriate advance notice.</w:t>
            </w:r>
          </w:p>
          <w:p w14:paraId="0EA57AC6" w14:textId="77777777" w:rsidR="008672C4" w:rsidRPr="00B77E96" w:rsidRDefault="008672C4" w:rsidP="008672C4">
            <w:pPr>
              <w:rPr>
                <w:sz w:val="22"/>
                <w:szCs w:val="22"/>
                <w:lang w:val="en-GB"/>
              </w:rPr>
            </w:pPr>
            <w:r w:rsidRPr="00B77E96">
              <w:rPr>
                <w:sz w:val="22"/>
                <w:szCs w:val="22"/>
                <w:lang w:val="en-GB"/>
              </w:rPr>
              <w:t>4</w:t>
            </w:r>
            <w:r w:rsidRPr="00B77E96">
              <w:rPr>
                <w:sz w:val="22"/>
                <w:szCs w:val="22"/>
                <w:lang w:val="en-GB"/>
              </w:rPr>
              <w:tab/>
              <w:t>Delegate portions of the work to vice-rapporteurs or other collaborators, depending on the workload.</w:t>
            </w:r>
          </w:p>
          <w:p w14:paraId="74E750F5" w14:textId="430B65A6" w:rsidR="008672C4" w:rsidRPr="00B77E96" w:rsidRDefault="008672C4" w:rsidP="001350CF">
            <w:pPr>
              <w:spacing w:before="0"/>
              <w:rPr>
                <w:sz w:val="22"/>
                <w:szCs w:val="22"/>
                <w:lang w:val="en-GB"/>
              </w:rPr>
            </w:pPr>
            <w:r w:rsidRPr="00B77E96">
              <w:rPr>
                <w:sz w:val="22"/>
                <w:szCs w:val="22"/>
                <w:lang w:val="en-GB"/>
              </w:rPr>
              <w:br w:type="page"/>
              <w:t>5</w:t>
            </w:r>
            <w:r w:rsidRPr="00B77E96">
              <w:rPr>
                <w:sz w:val="22"/>
                <w:szCs w:val="22"/>
                <w:lang w:val="en-GB"/>
              </w:rPr>
              <w:tab/>
              <w:t>Keep the working party and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r w:rsidRPr="00B77E96">
              <w:rPr>
                <w:rFonts w:cstheme="minorHAnsi"/>
                <w:sz w:val="22"/>
                <w:szCs w:val="22"/>
                <w:lang w:val="en-GB"/>
              </w:rPr>
              <w:t xml:space="preserve"> </w:t>
            </w:r>
          </w:p>
          <w:p w14:paraId="6919CAA7" w14:textId="77777777" w:rsidR="008672C4" w:rsidRPr="00B77E96" w:rsidRDefault="008672C4" w:rsidP="008672C4">
            <w:pPr>
              <w:rPr>
                <w:sz w:val="22"/>
                <w:szCs w:val="22"/>
                <w:lang w:val="en-GB"/>
              </w:rPr>
            </w:pPr>
            <w:r w:rsidRPr="00B77E96">
              <w:rPr>
                <w:sz w:val="22"/>
                <w:szCs w:val="22"/>
                <w:lang w:val="en-GB"/>
              </w:rPr>
              <w:t>6</w:t>
            </w:r>
            <w:r w:rsidRPr="00B77E96">
              <w:rPr>
                <w:sz w:val="22"/>
                <w:szCs w:val="22"/>
                <w:lang w:val="en-GB"/>
              </w:rPr>
              <w:tab/>
              <w:t>Keep the study group informed of the progress of work through reports to study group meetings. The reports should be in the template of white contributions (when substantial progress has been made such as completion of draft Recommendations or a report) or temporary documents.</w:t>
            </w:r>
            <w:r w:rsidRPr="00B77E96">
              <w:rPr>
                <w:rFonts w:cstheme="minorHAnsi"/>
                <w:sz w:val="22"/>
                <w:szCs w:val="22"/>
                <w:lang w:val="en-GB"/>
              </w:rPr>
              <w:t xml:space="preserve"> </w:t>
            </w:r>
          </w:p>
          <w:p w14:paraId="1D80480E" w14:textId="0E8E528D" w:rsidR="008672C4" w:rsidRPr="00B77E96" w:rsidRDefault="008672C4" w:rsidP="008672C4">
            <w:pPr>
              <w:rPr>
                <w:sz w:val="22"/>
                <w:szCs w:val="22"/>
                <w:lang w:val="en-GB"/>
              </w:rPr>
            </w:pPr>
            <w:r w:rsidRPr="00B77E96">
              <w:rPr>
                <w:sz w:val="22"/>
                <w:szCs w:val="22"/>
                <w:lang w:val="en-GB"/>
              </w:rPr>
              <w:t>7</w:t>
            </w:r>
            <w:r w:rsidRPr="00B77E96">
              <w:rPr>
                <w:sz w:val="22"/>
                <w:szCs w:val="22"/>
                <w:lang w:val="en-GB"/>
              </w:rPr>
              <w:tab/>
              <w:t>The progress report mentioned in §§ 12.1 and 12.3 above should, as far as applicable, comply with the format given in those sections of this resolution.</w:t>
            </w:r>
          </w:p>
          <w:p w14:paraId="5D58FD54" w14:textId="77777777" w:rsidR="008672C4" w:rsidRPr="00B77E96" w:rsidRDefault="008672C4" w:rsidP="008672C4">
            <w:pPr>
              <w:rPr>
                <w:sz w:val="22"/>
                <w:szCs w:val="22"/>
                <w:lang w:val="en-GB"/>
              </w:rPr>
            </w:pPr>
            <w:r w:rsidRPr="00B77E96">
              <w:rPr>
                <w:sz w:val="22"/>
                <w:szCs w:val="22"/>
                <w:lang w:val="en-GB"/>
              </w:rPr>
              <w:t>8</w:t>
            </w:r>
            <w:r w:rsidRPr="00B77E96">
              <w:rPr>
                <w:sz w:val="22"/>
                <w:szCs w:val="22"/>
                <w:lang w:val="en-GB"/>
              </w:rPr>
              <w:tab/>
              <w:t xml:space="preserve">Ensure that liaison statements are submitted as soon as possible after all meetings, with copies to the study group chairmen and BDT. Liaison statements must contain the information described on the </w:t>
            </w:r>
            <w:r w:rsidRPr="00B77E96">
              <w:rPr>
                <w:i/>
                <w:sz w:val="22"/>
                <w:szCs w:val="22"/>
                <w:lang w:val="en-GB"/>
              </w:rPr>
              <w:t>Template for liaison statements</w:t>
            </w:r>
            <w:r w:rsidRPr="00B77E96">
              <w:rPr>
                <w:sz w:val="22"/>
                <w:szCs w:val="22"/>
                <w:lang w:val="en-GB"/>
              </w:rPr>
              <w:t xml:space="preserve"> described in Annex 4 to this resolution. BDT may provide assistance in distributing the liaison statements.</w:t>
            </w:r>
          </w:p>
          <w:p w14:paraId="39FB5ADB" w14:textId="77777777" w:rsidR="008672C4" w:rsidRPr="00B77E96" w:rsidRDefault="008672C4" w:rsidP="008672C4">
            <w:pPr>
              <w:rPr>
                <w:sz w:val="22"/>
                <w:szCs w:val="22"/>
                <w:lang w:val="en-GB"/>
              </w:rPr>
            </w:pPr>
            <w:r w:rsidRPr="00B77E96">
              <w:rPr>
                <w:sz w:val="22"/>
                <w:szCs w:val="22"/>
                <w:lang w:val="en-GB"/>
              </w:rPr>
              <w:t>9</w:t>
            </w:r>
            <w:r w:rsidRPr="00B77E96">
              <w:rPr>
                <w:sz w:val="22"/>
                <w:szCs w:val="22"/>
                <w:lang w:val="en-GB"/>
              </w:rPr>
              <w:tab/>
              <w:t>Oversee the quality of texts up to and including the final text submitted for approval.</w:t>
            </w:r>
          </w:p>
          <w:p w14:paraId="568207D9" w14:textId="77777777" w:rsidR="00D2367F" w:rsidRDefault="00D2367F" w:rsidP="00B64B2B">
            <w:pPr>
              <w:pStyle w:val="BDTNormal"/>
              <w:rPr>
                <w:rFonts w:asciiTheme="minorHAnsi" w:hAnsiTheme="minorHAnsi"/>
                <w:szCs w:val="22"/>
                <w:lang w:val="en-GB"/>
              </w:rPr>
            </w:pPr>
          </w:p>
        </w:tc>
      </w:tr>
    </w:tbl>
    <w:p w14:paraId="5E75D383" w14:textId="77777777" w:rsidR="00D2367F" w:rsidRDefault="00D2367F" w:rsidP="00D2367F">
      <w:pPr>
        <w:pStyle w:val="BDTNormal"/>
        <w:rPr>
          <w:rFonts w:asciiTheme="minorHAnsi" w:hAnsiTheme="minorHAnsi"/>
          <w:szCs w:val="22"/>
          <w:lang w:val="en-GB"/>
        </w:rPr>
      </w:pPr>
    </w:p>
    <w:p w14:paraId="74057EA0" w14:textId="4A52AA05" w:rsidR="002F05DD" w:rsidRDefault="000267D9" w:rsidP="000267D9">
      <w:pPr>
        <w:pStyle w:val="BDTNormal"/>
        <w:jc w:val="center"/>
        <w:rPr>
          <w:rFonts w:asciiTheme="minorHAnsi" w:hAnsiTheme="minorHAnsi"/>
          <w:szCs w:val="22"/>
          <w:lang w:val="en-GB"/>
        </w:rPr>
      </w:pPr>
      <w:r>
        <w:rPr>
          <w:rFonts w:asciiTheme="minorHAnsi" w:hAnsiTheme="minorHAnsi"/>
          <w:szCs w:val="22"/>
          <w:lang w:val="en-GB"/>
        </w:rPr>
        <w:t>______________</w:t>
      </w:r>
    </w:p>
    <w:sectPr w:rsidR="002F05DD" w:rsidSect="002F05DD">
      <w:headerReference w:type="default" r:id="rId9"/>
      <w:headerReference w:type="first" r:id="rId10"/>
      <w:footerReference w:type="first" r:id="rId11"/>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0200" w14:textId="77777777" w:rsidR="0095141F" w:rsidRDefault="0095141F">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14:paraId="40258C1F" w14:textId="77777777" w:rsidR="0095141F" w:rsidRDefault="0095141F">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7B7D5E18" w14:textId="77777777" w:rsidR="0095141F" w:rsidRDefault="0095141F"/>
  </w:endnote>
  <w:endnote w:type="continuationSeparator" w:id="0">
    <w:p w14:paraId="0CE9D211" w14:textId="77777777" w:rsidR="0095141F" w:rsidRDefault="0095141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14:paraId="012C9AF7" w14:textId="77777777" w:rsidR="0095141F" w:rsidRDefault="0095141F">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27419F78" w14:textId="77777777" w:rsidR="0095141F" w:rsidRDefault="00951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CD66" w14:textId="52616649" w:rsidR="00166F2E" w:rsidRPr="00C85F93" w:rsidRDefault="00C85F93" w:rsidP="00851504">
    <w:pPr>
      <w:pStyle w:val="BDTFooter"/>
      <w:ind w:right="-142" w:firstLine="142"/>
      <w:jc w:val="left"/>
      <w:rPr>
        <w:color w:val="189CD7"/>
        <w:lang w:val="fr-CH"/>
      </w:rPr>
    </w:pPr>
    <w:r>
      <w:rPr>
        <w:noProof/>
        <w:color w:val="189CD7"/>
        <w:lang w:val="en-GB" w:eastAsia="zh-CN"/>
      </w:rPr>
      <w:drawing>
        <wp:anchor distT="0" distB="0" distL="114300" distR="114300" simplePos="0" relativeHeight="251673600" behindDoc="0" locked="0" layoutInCell="1" allowOverlap="1" wp14:anchorId="312CE416" wp14:editId="7E5F8640">
          <wp:simplePos x="0" y="0"/>
          <wp:positionH relativeFrom="column">
            <wp:posOffset>4395470</wp:posOffset>
          </wp:positionH>
          <wp:positionV relativeFrom="page">
            <wp:posOffset>9768205</wp:posOffset>
          </wp:positionV>
          <wp:extent cx="1720215" cy="647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_25Years_Horizontal-411959.jpg"/>
                  <pic:cNvPicPr/>
                </pic:nvPicPr>
                <pic:blipFill>
                  <a:blip r:embed="rId1">
                    <a:extLst>
                      <a:ext uri="{28A0092B-C50C-407E-A947-70E740481C1C}">
                        <a14:useLocalDpi xmlns:a14="http://schemas.microsoft.com/office/drawing/2010/main" val="0"/>
                      </a:ext>
                    </a:extLst>
                  </a:blip>
                  <a:stretch>
                    <a:fillRect/>
                  </a:stretch>
                </pic:blipFill>
                <pic:spPr>
                  <a:xfrm>
                    <a:off x="0" y="0"/>
                    <a:ext cx="1720215" cy="647700"/>
                  </a:xfrm>
                  <a:prstGeom prst="rect">
                    <a:avLst/>
                  </a:prstGeom>
                </pic:spPr>
              </pic:pic>
            </a:graphicData>
          </a:graphic>
          <wp14:sizeRelH relativeFrom="margin">
            <wp14:pctWidth>0</wp14:pctWidth>
          </wp14:sizeRelH>
          <wp14:sizeRelV relativeFrom="margin">
            <wp14:pctHeight>0</wp14:pctHeight>
          </wp14:sizeRelV>
        </wp:anchor>
      </w:drawing>
    </w:r>
    <w:r w:rsidR="00166F2E" w:rsidRPr="00C85F93">
      <w:rPr>
        <w:color w:val="189CD7"/>
        <w:lang w:val="fr-CH"/>
      </w:rPr>
      <w:t xml:space="preserve">International </w:t>
    </w:r>
    <w:proofErr w:type="spellStart"/>
    <w:r w:rsidR="00166F2E" w:rsidRPr="00C85F93">
      <w:rPr>
        <w:color w:val="189CD7"/>
        <w:lang w:val="fr-CH"/>
      </w:rPr>
      <w:t>Telecommunication</w:t>
    </w:r>
    <w:proofErr w:type="spellEnd"/>
    <w:r w:rsidR="00166F2E" w:rsidRPr="00C85F93">
      <w:rPr>
        <w:color w:val="189CD7"/>
        <w:lang w:val="fr-CH"/>
      </w:rPr>
      <w:t xml:space="preserve"> Union </w:t>
    </w:r>
  </w:p>
  <w:p w14:paraId="15F5851E" w14:textId="389B0F08" w:rsidR="00166F2E" w:rsidRPr="00C85F93" w:rsidRDefault="00166F2E" w:rsidP="00FE0775">
    <w:pPr>
      <w:pStyle w:val="BDTFooter"/>
      <w:ind w:firstLine="142"/>
      <w:jc w:val="left"/>
      <w:rPr>
        <w:color w:val="189CD7"/>
        <w:lang w:val="fr-CH"/>
      </w:rPr>
    </w:pPr>
    <w:r w:rsidRPr="00C85F93">
      <w:rPr>
        <w:color w:val="189CD7"/>
        <w:lang w:val="fr-CH"/>
      </w:rPr>
      <w:t xml:space="preserve">Place des Nations • CH-1211 Geneva 20 • </w:t>
    </w:r>
    <w:proofErr w:type="spellStart"/>
    <w:r w:rsidRPr="00C85F93">
      <w:rPr>
        <w:color w:val="189CD7"/>
        <w:lang w:val="fr-CH"/>
      </w:rPr>
      <w:t>Switzerland</w:t>
    </w:r>
    <w:proofErr w:type="spellEnd"/>
  </w:p>
  <w:p w14:paraId="0700992F" w14:textId="3451C6A0" w:rsidR="00166F2E" w:rsidRPr="00C85F93" w:rsidRDefault="00166F2E" w:rsidP="00D231DF">
    <w:pPr>
      <w:pStyle w:val="BDTFooter"/>
      <w:tabs>
        <w:tab w:val="clear" w:pos="9072"/>
        <w:tab w:val="left" w:pos="7533"/>
      </w:tabs>
      <w:ind w:firstLine="142"/>
      <w:jc w:val="left"/>
      <w:rPr>
        <w:color w:val="189CD7"/>
        <w:lang w:val="fr-CH"/>
      </w:rPr>
    </w:pPr>
    <w:r w:rsidRPr="00C85F93">
      <w:rPr>
        <w:color w:val="189CD7"/>
        <w:lang w:val="fr-CH"/>
      </w:rPr>
      <w:t>Tel: +41 22 730 5111 • Fax: +41 22 730 5545/730 5484</w:t>
    </w:r>
    <w:r w:rsidR="00D231DF" w:rsidRPr="00C85F93">
      <w:rPr>
        <w:color w:val="189CD7"/>
        <w:lang w:val="fr-CH"/>
      </w:rPr>
      <w:tab/>
    </w:r>
  </w:p>
  <w:p w14:paraId="3D0145EA" w14:textId="5831D828" w:rsidR="00166F2E" w:rsidRPr="00C85F93" w:rsidRDefault="00166F2E" w:rsidP="00D924E0">
    <w:pPr>
      <w:pStyle w:val="BDTFooter"/>
      <w:tabs>
        <w:tab w:val="left" w:pos="5670"/>
      </w:tabs>
      <w:ind w:firstLine="142"/>
      <w:jc w:val="left"/>
      <w:rPr>
        <w:rFonts w:cs="Times New Roman"/>
        <w:color w:val="189CD7"/>
        <w:szCs w:val="18"/>
        <w:u w:val="single"/>
        <w:lang w:val="fr-CH"/>
      </w:rPr>
    </w:pPr>
    <w:r w:rsidRPr="00C85F93">
      <w:rPr>
        <w:color w:val="189CD7"/>
        <w:lang w:val="fr-CH"/>
      </w:rPr>
      <w:t xml:space="preserve">E-mail: </w:t>
    </w:r>
    <w:hyperlink r:id="rId2" w:history="1">
      <w:r w:rsidRPr="00C85F93">
        <w:rPr>
          <w:rStyle w:val="Hyperlink"/>
          <w:color w:val="189CD7"/>
          <w:szCs w:val="18"/>
          <w:lang w:val="fr-CH"/>
        </w:rPr>
        <w:t>bdtmail@itu.int</w:t>
      </w:r>
    </w:hyperlink>
    <w:r w:rsidRPr="00C85F93">
      <w:rPr>
        <w:color w:val="189CD7"/>
        <w:lang w:val="fr-CH"/>
      </w:rPr>
      <w:t xml:space="preserve"> • </w:t>
    </w:r>
    <w:hyperlink r:id="rId3" w:history="1">
      <w:r w:rsidRPr="00C85F93">
        <w:rPr>
          <w:rStyle w:val="Hyperlink"/>
          <w:color w:val="189CD7"/>
          <w:szCs w:val="18"/>
          <w:lang w:val="fr-CH"/>
        </w:rPr>
        <w:t>www.itu.int/itu-d</w:t>
      </w:r>
    </w:hyperlink>
    <w:r w:rsidRPr="00C85F93">
      <w:rPr>
        <w:rStyle w:val="Hyperlink"/>
        <w:color w:val="189CD7"/>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7E1CA" w14:textId="77777777" w:rsidR="0095141F" w:rsidRDefault="0095141F">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14:paraId="67EDCCB6" w14:textId="77777777" w:rsidR="0095141F" w:rsidRDefault="0095141F">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28D34327" w14:textId="77777777" w:rsidR="0095141F" w:rsidRDefault="0095141F"/>
  </w:footnote>
  <w:footnote w:type="continuationSeparator" w:id="0">
    <w:p w14:paraId="362536BE" w14:textId="77777777" w:rsidR="0095141F" w:rsidRDefault="0095141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14:paraId="4CB1E2DA" w14:textId="77777777" w:rsidR="0095141F" w:rsidRDefault="0095141F">
      <w:pPr>
        <w:tabs>
          <w:tab w:val="left" w:pos="794"/>
          <w:tab w:val="left" w:pos="1191"/>
          <w:tab w:val="left" w:pos="1588"/>
          <w:tab w:val="left" w:pos="1985"/>
        </w:tabs>
        <w:overflowPunct w:val="0"/>
        <w:autoSpaceDE w:val="0"/>
        <w:autoSpaceDN w:val="0"/>
        <w:adjustRightInd w:val="0"/>
        <w:spacing w:before="160" w:line="280" w:lineRule="exact"/>
        <w:textAlignment w:val="baseline"/>
      </w:pPr>
    </w:p>
    <w:p w14:paraId="5F589824" w14:textId="77777777" w:rsidR="0095141F" w:rsidRDefault="009514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19422"/>
      <w:docPartObj>
        <w:docPartGallery w:val="Page Numbers (Top of Page)"/>
        <w:docPartUnique/>
      </w:docPartObj>
    </w:sdtPr>
    <w:sdtEndPr>
      <w:rPr>
        <w:noProof/>
      </w:rPr>
    </w:sdtEndPr>
    <w:sdtContent>
      <w:p w14:paraId="493A40DF" w14:textId="2CEF8B32" w:rsidR="00D871C6" w:rsidRPr="00D871C6" w:rsidRDefault="00D871C6" w:rsidP="00851504">
        <w:pPr>
          <w:pStyle w:val="Header"/>
          <w:jc w:val="center"/>
        </w:pPr>
        <w:r>
          <w:fldChar w:fldCharType="begin"/>
        </w:r>
        <w:r>
          <w:instrText xml:space="preserve"> PAGE   \* MERGEFORMAT </w:instrText>
        </w:r>
        <w:r>
          <w:fldChar w:fldCharType="separate"/>
        </w:r>
        <w:r w:rsidR="00792E8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B3C1" w14:textId="2A588853" w:rsidR="002F05DD" w:rsidRDefault="00C85F93" w:rsidP="00E85F6F">
    <w:pPr>
      <w:pStyle w:val="Header"/>
    </w:pPr>
    <w:r>
      <w:rPr>
        <w:noProof/>
        <w:lang w:val="en-GB" w:eastAsia="zh-CN"/>
      </w:rPr>
      <w:drawing>
        <wp:anchor distT="0" distB="0" distL="114300" distR="114300" simplePos="0" relativeHeight="251672576" behindDoc="0" locked="0" layoutInCell="1" allowOverlap="1" wp14:anchorId="6C1EB497" wp14:editId="2D0594E8">
          <wp:simplePos x="0" y="0"/>
          <wp:positionH relativeFrom="column">
            <wp:posOffset>4276725</wp:posOffset>
          </wp:positionH>
          <wp:positionV relativeFrom="paragraph">
            <wp:posOffset>452755</wp:posOffset>
          </wp:positionV>
          <wp:extent cx="1839595" cy="626110"/>
          <wp:effectExtent l="0" t="0" r="8255"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_WTDC 17_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839595" cy="626110"/>
                  </a:xfrm>
                  <a:prstGeom prst="rect">
                    <a:avLst/>
                  </a:prstGeom>
                </pic:spPr>
              </pic:pic>
            </a:graphicData>
          </a:graphic>
          <wp14:sizeRelH relativeFrom="margin">
            <wp14:pctWidth>0</wp14:pctWidth>
          </wp14:sizeRelH>
          <wp14:sizeRelV relativeFrom="margin">
            <wp14:pctHeight>0</wp14:pctHeight>
          </wp14:sizeRelV>
        </wp:anchor>
      </w:drawing>
    </w:r>
    <w:r w:rsidR="00982422">
      <w:rPr>
        <w:noProof/>
        <w:lang w:val="en-GB" w:eastAsia="zh-CN"/>
      </w:rPr>
      <w:drawing>
        <wp:anchor distT="0" distB="0" distL="114300" distR="114300" simplePos="0" relativeHeight="251674624" behindDoc="0" locked="0" layoutInCell="1" allowOverlap="1" wp14:anchorId="02AF6CE6" wp14:editId="2172A6D4">
          <wp:simplePos x="0" y="0"/>
          <wp:positionH relativeFrom="column">
            <wp:posOffset>89120</wp:posOffset>
          </wp:positionH>
          <wp:positionV relativeFrom="paragraph">
            <wp:posOffset>367665</wp:posOffset>
          </wp:positionV>
          <wp:extent cx="594444" cy="65780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U blue UN.jpg"/>
                  <pic:cNvPicPr/>
                </pic:nvPicPr>
                <pic:blipFill>
                  <a:blip r:embed="rId2">
                    <a:extLst>
                      <a:ext uri="{28A0092B-C50C-407E-A947-70E740481C1C}">
                        <a14:useLocalDpi xmlns:a14="http://schemas.microsoft.com/office/drawing/2010/main" val="0"/>
                      </a:ext>
                    </a:extLst>
                  </a:blip>
                  <a:stretch>
                    <a:fillRect/>
                  </a:stretch>
                </pic:blipFill>
                <pic:spPr>
                  <a:xfrm>
                    <a:off x="0" y="0"/>
                    <a:ext cx="594444" cy="657808"/>
                  </a:xfrm>
                  <a:prstGeom prst="rect">
                    <a:avLst/>
                  </a:prstGeom>
                </pic:spPr>
              </pic:pic>
            </a:graphicData>
          </a:graphic>
          <wp14:sizeRelH relativeFrom="margin">
            <wp14:pctWidth>0</wp14:pctWidth>
          </wp14:sizeRelH>
          <wp14:sizeRelV relativeFrom="margin">
            <wp14:pctHeight>0</wp14:pctHeight>
          </wp14:sizeRelV>
        </wp:anchor>
      </w:drawing>
    </w:r>
    <w:r w:rsidR="002F05DD" w:rsidRPr="00B70B00">
      <w:rPr>
        <w:b/>
        <w:bCs/>
        <w:noProof/>
        <w:lang w:val="en-GB" w:eastAsia="zh-CN"/>
      </w:rPr>
      <mc:AlternateContent>
        <mc:Choice Requires="wps">
          <w:drawing>
            <wp:anchor distT="0" distB="0" distL="114300" distR="114300" simplePos="0" relativeHeight="251664384" behindDoc="1" locked="0" layoutInCell="1" allowOverlap="1" wp14:anchorId="754A4A5D" wp14:editId="3EB7BF0E">
              <wp:simplePos x="0" y="0"/>
              <wp:positionH relativeFrom="column">
                <wp:posOffset>-28575</wp:posOffset>
              </wp:positionH>
              <wp:positionV relativeFrom="paragraph">
                <wp:posOffset>1352550</wp:posOffset>
              </wp:positionV>
              <wp:extent cx="205740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B003D" w14:textId="77777777" w:rsidR="002F05DD" w:rsidRPr="00B55FBD" w:rsidRDefault="002F05DD" w:rsidP="002F05DD">
                          <w:pPr>
                            <w:rPr>
                              <w:b/>
                              <w:color w:val="189CD7"/>
                              <w:sz w:val="24"/>
                              <w:szCs w:val="24"/>
                            </w:rPr>
                          </w:pPr>
                          <w:r w:rsidRPr="00C431A5">
                            <w:rPr>
                              <w:rStyle w:val="BDTName"/>
                              <w:color w:val="189CD7"/>
                              <w:sz w:val="24"/>
                              <w:szCs w:val="24"/>
                            </w:rPr>
                            <w:t>Telecommunication</w:t>
                          </w:r>
                          <w:r w:rsidRPr="00C431A5">
                            <w:rPr>
                              <w:rStyle w:val="BDTName"/>
                              <w:rFonts w:cs="Traditional Arabic"/>
                              <w:color w:val="189CD7"/>
                              <w:sz w:val="24"/>
                              <w:szCs w:val="24"/>
                            </w:rPr>
                            <w:t xml:space="preserve"> </w:t>
                          </w:r>
                          <w:r>
                            <w:rPr>
                              <w:rStyle w:val="BDTName"/>
                              <w:rFonts w:cs="Traditional Arabic"/>
                              <w:color w:val="189CD7"/>
                              <w:sz w:val="24"/>
                              <w:szCs w:val="24"/>
                            </w:rPr>
                            <w:br/>
                          </w:r>
                          <w:r w:rsidRPr="00C431A5">
                            <w:rPr>
                              <w:rStyle w:val="BDTName"/>
                              <w:rFonts w:cs="Traditional Arabic"/>
                              <w:color w:val="189CD7"/>
                              <w:sz w:val="24"/>
                              <w:szCs w:val="24"/>
                            </w:rPr>
                            <w:t>Development Bureau (BDT)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A4A5D" id="_x0000_t202" coordsize="21600,21600" o:spt="202" path="m,l,21600r21600,l21600,xe">
              <v:stroke joinstyle="miter"/>
              <v:path gradientshapeok="t" o:connecttype="rect"/>
            </v:shapetype>
            <v:shape id="Text Box 1" o:spid="_x0000_s1026" type="#_x0000_t202" style="position:absolute;margin-left:-2.25pt;margin-top:106.5pt;width:162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" fillcolor="white [3201]" stroked="f" strokeweight=".5pt">
              <v:textbox>
                <w:txbxContent>
                  <w:p w14:paraId="21DB003D" w14:textId="77777777" w:rsidR="002F05DD" w:rsidRPr="00B55FBD" w:rsidRDefault="002F05DD" w:rsidP="002F05DD">
                    <w:pPr>
                      <w:rPr>
                        <w:b/>
                        <w:color w:val="189CD7"/>
                        <w:sz w:val="24"/>
                        <w:szCs w:val="24"/>
                      </w:rPr>
                    </w:pPr>
                    <w:r w:rsidRPr="00C431A5">
                      <w:rPr>
                        <w:rStyle w:val="BDTName"/>
                        <w:color w:val="189CD7"/>
                        <w:sz w:val="24"/>
                        <w:szCs w:val="24"/>
                      </w:rPr>
                      <w:t>Telecommunication</w:t>
                    </w:r>
                    <w:r w:rsidRPr="00C431A5">
                      <w:rPr>
                        <w:rStyle w:val="BDTName"/>
                        <w:rFonts w:cs="Traditional Arabic"/>
                        <w:color w:val="189CD7"/>
                        <w:sz w:val="24"/>
                        <w:szCs w:val="24"/>
                      </w:rPr>
                      <w:t xml:space="preserve"> </w:t>
                    </w:r>
                    <w:r>
                      <w:rPr>
                        <w:rStyle w:val="BDTName"/>
                        <w:rFonts w:cs="Traditional Arabic"/>
                        <w:color w:val="189CD7"/>
                        <w:sz w:val="24"/>
                        <w:szCs w:val="24"/>
                      </w:rPr>
                      <w:br/>
                    </w:r>
                    <w:r w:rsidRPr="00C431A5">
                      <w:rPr>
                        <w:rStyle w:val="BDTName"/>
                        <w:rFonts w:cs="Traditional Arabic"/>
                        <w:color w:val="189CD7"/>
                        <w:sz w:val="24"/>
                        <w:szCs w:val="24"/>
                      </w:rPr>
                      <w:t>Development Bureau (BDT)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25pt;height:8.25pt" o:bullet="t">
        <v:imagedata r:id="rId1" o:title=""/>
      </v:shape>
    </w:pict>
  </w:numPicBullet>
  <w:abstractNum w:abstractNumId="0" w15:restartNumberingAfterBreak="0">
    <w:nsid w:val="FFFFFF7C"/>
    <w:multiLevelType w:val="singleLevel"/>
    <w:tmpl w:val="48987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5E1A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6C0FF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0D682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6E5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EA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FE20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24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2B7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F2E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4810479"/>
    <w:multiLevelType w:val="hybridMultilevel"/>
    <w:tmpl w:val="706C4E52"/>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9125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453403D"/>
    <w:multiLevelType w:val="hybridMultilevel"/>
    <w:tmpl w:val="3E5CE034"/>
    <w:lvl w:ilvl="0" w:tplc="A1666656">
      <w:start w:val="1"/>
      <w:numFmt w:val="lowerLetter"/>
      <w:lvlText w:val="%1."/>
      <w:lvlJc w:val="left"/>
      <w:pPr>
        <w:tabs>
          <w:tab w:val="num" w:pos="397"/>
        </w:tabs>
        <w:ind w:left="397" w:hanging="397"/>
      </w:pPr>
      <w:rPr>
        <w:rFonts w:ascii="Calibri" w:hAnsi="Calibri" w:cs="Albertus Medium"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95137F"/>
    <w:multiLevelType w:val="hybridMultilevel"/>
    <w:tmpl w:val="2A3C88F4"/>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51120C"/>
    <w:multiLevelType w:val="hybridMultilevel"/>
    <w:tmpl w:val="179C1FBE"/>
    <w:lvl w:ilvl="0" w:tplc="4D647F10">
      <w:start w:val="1"/>
      <w:numFmt w:val="decimal"/>
      <w:lvlText w:val="%1."/>
      <w:lvlJc w:val="left"/>
      <w:pPr>
        <w:ind w:left="927" w:hanging="360"/>
      </w:pPr>
      <w:rPr>
        <w:b w:val="0"/>
        <w:bCs w:val="0"/>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2"/>
  </w:num>
  <w:num w:numId="2">
    <w:abstractNumId w:val="32"/>
  </w:num>
  <w:num w:numId="3">
    <w:abstractNumId w:val="25"/>
  </w:num>
  <w:num w:numId="4">
    <w:abstractNumId w:val="24"/>
  </w:num>
  <w:num w:numId="5">
    <w:abstractNumId w:val="21"/>
  </w:num>
  <w:num w:numId="6">
    <w:abstractNumId w:val="14"/>
  </w:num>
  <w:num w:numId="7">
    <w:abstractNumId w:val="28"/>
  </w:num>
  <w:num w:numId="8">
    <w:abstractNumId w:val="31"/>
  </w:num>
  <w:num w:numId="9">
    <w:abstractNumId w:val="27"/>
  </w:num>
  <w:num w:numId="10">
    <w:abstractNumId w:val="17"/>
  </w:num>
  <w:num w:numId="11">
    <w:abstractNumId w:val="32"/>
  </w:num>
  <w:num w:numId="12">
    <w:abstractNumId w:val="23"/>
    <w:lvlOverride w:ilvl="0">
      <w:startOverride w:val="1"/>
    </w:lvlOverride>
  </w:num>
  <w:num w:numId="13">
    <w:abstractNumId w:val="32"/>
  </w:num>
  <w:num w:numId="14">
    <w:abstractNumId w:val="32"/>
  </w:num>
  <w:num w:numId="15">
    <w:abstractNumId w:val="25"/>
  </w:num>
  <w:num w:numId="16">
    <w:abstractNumId w:val="24"/>
  </w:num>
  <w:num w:numId="17">
    <w:abstractNumId w:val="21"/>
  </w:num>
  <w:num w:numId="18">
    <w:abstractNumId w:val="14"/>
  </w:num>
  <w:num w:numId="19">
    <w:abstractNumId w:val="28"/>
  </w:num>
  <w:num w:numId="20">
    <w:abstractNumId w:val="31"/>
  </w:num>
  <w:num w:numId="21">
    <w:abstractNumId w:val="27"/>
  </w:num>
  <w:num w:numId="22">
    <w:abstractNumId w:val="17"/>
  </w:num>
  <w:num w:numId="23">
    <w:abstractNumId w:val="32"/>
  </w:num>
  <w:num w:numId="24">
    <w:abstractNumId w:val="23"/>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0"/>
  </w:num>
  <w:num w:numId="37">
    <w:abstractNumId w:val="25"/>
  </w:num>
  <w:num w:numId="38">
    <w:abstractNumId w:val="30"/>
  </w:num>
  <w:num w:numId="39">
    <w:abstractNumId w:val="32"/>
  </w:num>
  <w:num w:numId="40">
    <w:abstractNumId w:val="24"/>
  </w:num>
  <w:num w:numId="41">
    <w:abstractNumId w:val="21"/>
  </w:num>
  <w:num w:numId="42">
    <w:abstractNumId w:val="14"/>
  </w:num>
  <w:num w:numId="43">
    <w:abstractNumId w:val="28"/>
  </w:num>
  <w:num w:numId="44">
    <w:abstractNumId w:val="27"/>
  </w:num>
  <w:num w:numId="45">
    <w:abstractNumId w:val="17"/>
  </w:num>
  <w:num w:numId="46">
    <w:abstractNumId w:val="30"/>
  </w:num>
  <w:num w:numId="47">
    <w:abstractNumId w:val="26"/>
  </w:num>
  <w:num w:numId="48">
    <w:abstractNumId w:val="19"/>
  </w:num>
  <w:num w:numId="49">
    <w:abstractNumId w:val="16"/>
  </w:num>
  <w:num w:numId="50">
    <w:abstractNumId w:val="29"/>
  </w:num>
  <w:num w:numId="51">
    <w:abstractNumId w:val="15"/>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0F2C"/>
    <w:rsid w:val="00010AB7"/>
    <w:rsid w:val="00010C0C"/>
    <w:rsid w:val="0002222E"/>
    <w:rsid w:val="0002282E"/>
    <w:rsid w:val="000267D9"/>
    <w:rsid w:val="00040129"/>
    <w:rsid w:val="00057E88"/>
    <w:rsid w:val="00073849"/>
    <w:rsid w:val="000758A6"/>
    <w:rsid w:val="000764E5"/>
    <w:rsid w:val="00082FA5"/>
    <w:rsid w:val="0008307C"/>
    <w:rsid w:val="00083361"/>
    <w:rsid w:val="000912B2"/>
    <w:rsid w:val="000930D9"/>
    <w:rsid w:val="0009681E"/>
    <w:rsid w:val="000A008B"/>
    <w:rsid w:val="000B1C1B"/>
    <w:rsid w:val="000B6E38"/>
    <w:rsid w:val="000C138E"/>
    <w:rsid w:val="000C322B"/>
    <w:rsid w:val="000C5788"/>
    <w:rsid w:val="000C7908"/>
    <w:rsid w:val="000D2000"/>
    <w:rsid w:val="000E573B"/>
    <w:rsid w:val="000F16E7"/>
    <w:rsid w:val="000F20A2"/>
    <w:rsid w:val="00125116"/>
    <w:rsid w:val="00133788"/>
    <w:rsid w:val="00133A57"/>
    <w:rsid w:val="001350CF"/>
    <w:rsid w:val="00137A51"/>
    <w:rsid w:val="001405AD"/>
    <w:rsid w:val="00142350"/>
    <w:rsid w:val="001466E3"/>
    <w:rsid w:val="00147582"/>
    <w:rsid w:val="00152685"/>
    <w:rsid w:val="00155E2E"/>
    <w:rsid w:val="0016111E"/>
    <w:rsid w:val="00163E88"/>
    <w:rsid w:val="00166F2E"/>
    <w:rsid w:val="00167BD8"/>
    <w:rsid w:val="0019683E"/>
    <w:rsid w:val="001A06D3"/>
    <w:rsid w:val="001A2527"/>
    <w:rsid w:val="001A27B7"/>
    <w:rsid w:val="001A50DB"/>
    <w:rsid w:val="001C23C4"/>
    <w:rsid w:val="001E0FC6"/>
    <w:rsid w:val="001F376B"/>
    <w:rsid w:val="001F5B41"/>
    <w:rsid w:val="002133C4"/>
    <w:rsid w:val="00222598"/>
    <w:rsid w:val="0022331B"/>
    <w:rsid w:val="00237EC0"/>
    <w:rsid w:val="00272BB0"/>
    <w:rsid w:val="002860F8"/>
    <w:rsid w:val="0028640A"/>
    <w:rsid w:val="002C7449"/>
    <w:rsid w:val="002D7282"/>
    <w:rsid w:val="002E24CE"/>
    <w:rsid w:val="002E4014"/>
    <w:rsid w:val="002F0502"/>
    <w:rsid w:val="002F05DD"/>
    <w:rsid w:val="002F40C2"/>
    <w:rsid w:val="003019D6"/>
    <w:rsid w:val="00301C7D"/>
    <w:rsid w:val="00306CC9"/>
    <w:rsid w:val="00311ECB"/>
    <w:rsid w:val="00330CB2"/>
    <w:rsid w:val="0033597E"/>
    <w:rsid w:val="0034565B"/>
    <w:rsid w:val="00350658"/>
    <w:rsid w:val="00352164"/>
    <w:rsid w:val="00366FFB"/>
    <w:rsid w:val="00371316"/>
    <w:rsid w:val="003754FF"/>
    <w:rsid w:val="00397410"/>
    <w:rsid w:val="003C5B91"/>
    <w:rsid w:val="003E4048"/>
    <w:rsid w:val="003E75AB"/>
    <w:rsid w:val="003F1B3D"/>
    <w:rsid w:val="0041287F"/>
    <w:rsid w:val="00431DF9"/>
    <w:rsid w:val="00450BD9"/>
    <w:rsid w:val="00452FD3"/>
    <w:rsid w:val="00453D41"/>
    <w:rsid w:val="0046449C"/>
    <w:rsid w:val="00465D05"/>
    <w:rsid w:val="00465EA3"/>
    <w:rsid w:val="004702DE"/>
    <w:rsid w:val="00472C4B"/>
    <w:rsid w:val="0047425C"/>
    <w:rsid w:val="00493C57"/>
    <w:rsid w:val="004949B5"/>
    <w:rsid w:val="004B4F44"/>
    <w:rsid w:val="004B7929"/>
    <w:rsid w:val="004C0C9D"/>
    <w:rsid w:val="004D6B3E"/>
    <w:rsid w:val="004F1439"/>
    <w:rsid w:val="004F7D4B"/>
    <w:rsid w:val="00505000"/>
    <w:rsid w:val="00524617"/>
    <w:rsid w:val="005451BE"/>
    <w:rsid w:val="005452C6"/>
    <w:rsid w:val="00552987"/>
    <w:rsid w:val="0055787F"/>
    <w:rsid w:val="00563963"/>
    <w:rsid w:val="00564E74"/>
    <w:rsid w:val="0057295F"/>
    <w:rsid w:val="00577FC7"/>
    <w:rsid w:val="00580B00"/>
    <w:rsid w:val="00592C45"/>
    <w:rsid w:val="005A6B77"/>
    <w:rsid w:val="005B2843"/>
    <w:rsid w:val="005B4D33"/>
    <w:rsid w:val="005D2B82"/>
    <w:rsid w:val="005E6A76"/>
    <w:rsid w:val="005F6D31"/>
    <w:rsid w:val="00611098"/>
    <w:rsid w:val="006154B0"/>
    <w:rsid w:val="0063090D"/>
    <w:rsid w:val="0063723C"/>
    <w:rsid w:val="00643582"/>
    <w:rsid w:val="00655C82"/>
    <w:rsid w:val="00673A6C"/>
    <w:rsid w:val="00680F63"/>
    <w:rsid w:val="00693251"/>
    <w:rsid w:val="006A61CA"/>
    <w:rsid w:val="006B3588"/>
    <w:rsid w:val="006B4212"/>
    <w:rsid w:val="006B7C59"/>
    <w:rsid w:val="006C424B"/>
    <w:rsid w:val="006E5260"/>
    <w:rsid w:val="006E7BE1"/>
    <w:rsid w:val="006E7E3A"/>
    <w:rsid w:val="006F0431"/>
    <w:rsid w:val="006F2693"/>
    <w:rsid w:val="006F5329"/>
    <w:rsid w:val="00705022"/>
    <w:rsid w:val="0071619F"/>
    <w:rsid w:val="00720E83"/>
    <w:rsid w:val="0073093C"/>
    <w:rsid w:val="00743EBE"/>
    <w:rsid w:val="007528CA"/>
    <w:rsid w:val="00752A1B"/>
    <w:rsid w:val="00765CCA"/>
    <w:rsid w:val="00771F6B"/>
    <w:rsid w:val="00777F4A"/>
    <w:rsid w:val="00792E84"/>
    <w:rsid w:val="0079362A"/>
    <w:rsid w:val="007A36B8"/>
    <w:rsid w:val="007A3D23"/>
    <w:rsid w:val="007A66FA"/>
    <w:rsid w:val="007B29D4"/>
    <w:rsid w:val="007B74C2"/>
    <w:rsid w:val="007C07D4"/>
    <w:rsid w:val="007D6313"/>
    <w:rsid w:val="007E1DE8"/>
    <w:rsid w:val="00832D0B"/>
    <w:rsid w:val="00833D88"/>
    <w:rsid w:val="0083424C"/>
    <w:rsid w:val="00843BB9"/>
    <w:rsid w:val="00851504"/>
    <w:rsid w:val="0085606F"/>
    <w:rsid w:val="00865260"/>
    <w:rsid w:val="008672C4"/>
    <w:rsid w:val="00887941"/>
    <w:rsid w:val="00894938"/>
    <w:rsid w:val="008A7AA7"/>
    <w:rsid w:val="008B7121"/>
    <w:rsid w:val="008C1197"/>
    <w:rsid w:val="008C2231"/>
    <w:rsid w:val="008C592A"/>
    <w:rsid w:val="008C6864"/>
    <w:rsid w:val="008D0C63"/>
    <w:rsid w:val="008D1F9D"/>
    <w:rsid w:val="008D2D01"/>
    <w:rsid w:val="008E2FFD"/>
    <w:rsid w:val="008E4D58"/>
    <w:rsid w:val="008E7118"/>
    <w:rsid w:val="008F445F"/>
    <w:rsid w:val="008F5BC8"/>
    <w:rsid w:val="0090146B"/>
    <w:rsid w:val="00903A75"/>
    <w:rsid w:val="00907C95"/>
    <w:rsid w:val="00916C12"/>
    <w:rsid w:val="0095141F"/>
    <w:rsid w:val="00953BBA"/>
    <w:rsid w:val="00962F2D"/>
    <w:rsid w:val="009714B2"/>
    <w:rsid w:val="0097562D"/>
    <w:rsid w:val="00977BB0"/>
    <w:rsid w:val="00982422"/>
    <w:rsid w:val="00985ECC"/>
    <w:rsid w:val="00986F20"/>
    <w:rsid w:val="0098755C"/>
    <w:rsid w:val="00992232"/>
    <w:rsid w:val="009A4390"/>
    <w:rsid w:val="009B6B47"/>
    <w:rsid w:val="009C3981"/>
    <w:rsid w:val="009C6EE3"/>
    <w:rsid w:val="009F0447"/>
    <w:rsid w:val="009F4012"/>
    <w:rsid w:val="00A02840"/>
    <w:rsid w:val="00A03A63"/>
    <w:rsid w:val="00A14489"/>
    <w:rsid w:val="00A148C4"/>
    <w:rsid w:val="00A5182F"/>
    <w:rsid w:val="00A55163"/>
    <w:rsid w:val="00A63256"/>
    <w:rsid w:val="00A6785D"/>
    <w:rsid w:val="00A7482D"/>
    <w:rsid w:val="00A80601"/>
    <w:rsid w:val="00A9056F"/>
    <w:rsid w:val="00A9564F"/>
    <w:rsid w:val="00AA6BBD"/>
    <w:rsid w:val="00AA7B0A"/>
    <w:rsid w:val="00AB00D3"/>
    <w:rsid w:val="00AB185D"/>
    <w:rsid w:val="00AC07DD"/>
    <w:rsid w:val="00AD135C"/>
    <w:rsid w:val="00B00C8D"/>
    <w:rsid w:val="00B04533"/>
    <w:rsid w:val="00B10B49"/>
    <w:rsid w:val="00B23469"/>
    <w:rsid w:val="00B41440"/>
    <w:rsid w:val="00B424A5"/>
    <w:rsid w:val="00B47D0C"/>
    <w:rsid w:val="00B55FBD"/>
    <w:rsid w:val="00B577EF"/>
    <w:rsid w:val="00B70B00"/>
    <w:rsid w:val="00B7533A"/>
    <w:rsid w:val="00B77E96"/>
    <w:rsid w:val="00B9305C"/>
    <w:rsid w:val="00B952E2"/>
    <w:rsid w:val="00BB69AF"/>
    <w:rsid w:val="00BC3D9B"/>
    <w:rsid w:val="00BD615D"/>
    <w:rsid w:val="00BE156D"/>
    <w:rsid w:val="00BE7818"/>
    <w:rsid w:val="00BF793D"/>
    <w:rsid w:val="00C03510"/>
    <w:rsid w:val="00C14E73"/>
    <w:rsid w:val="00C17D7E"/>
    <w:rsid w:val="00C204F2"/>
    <w:rsid w:val="00C431A5"/>
    <w:rsid w:val="00C51EA1"/>
    <w:rsid w:val="00C53D94"/>
    <w:rsid w:val="00C62CD1"/>
    <w:rsid w:val="00C73D7B"/>
    <w:rsid w:val="00C85F93"/>
    <w:rsid w:val="00C87AF3"/>
    <w:rsid w:val="00C87E46"/>
    <w:rsid w:val="00C95F92"/>
    <w:rsid w:val="00C96D42"/>
    <w:rsid w:val="00CB0AA1"/>
    <w:rsid w:val="00CB37B7"/>
    <w:rsid w:val="00CC1F10"/>
    <w:rsid w:val="00CD32B3"/>
    <w:rsid w:val="00CF44AC"/>
    <w:rsid w:val="00CF574D"/>
    <w:rsid w:val="00D0332D"/>
    <w:rsid w:val="00D231DF"/>
    <w:rsid w:val="00D2367F"/>
    <w:rsid w:val="00D27930"/>
    <w:rsid w:val="00D309B2"/>
    <w:rsid w:val="00D31BF0"/>
    <w:rsid w:val="00D749E0"/>
    <w:rsid w:val="00D80695"/>
    <w:rsid w:val="00D83BA8"/>
    <w:rsid w:val="00D871C6"/>
    <w:rsid w:val="00D9106D"/>
    <w:rsid w:val="00D924E0"/>
    <w:rsid w:val="00D95136"/>
    <w:rsid w:val="00D96991"/>
    <w:rsid w:val="00DA6FD5"/>
    <w:rsid w:val="00DB5A6C"/>
    <w:rsid w:val="00DB600F"/>
    <w:rsid w:val="00DD084D"/>
    <w:rsid w:val="00DD1145"/>
    <w:rsid w:val="00E17E30"/>
    <w:rsid w:val="00E27460"/>
    <w:rsid w:val="00E2786C"/>
    <w:rsid w:val="00E3391F"/>
    <w:rsid w:val="00E42828"/>
    <w:rsid w:val="00E42B1F"/>
    <w:rsid w:val="00E456B5"/>
    <w:rsid w:val="00E7149D"/>
    <w:rsid w:val="00E807A9"/>
    <w:rsid w:val="00E85F6F"/>
    <w:rsid w:val="00E91C04"/>
    <w:rsid w:val="00EA085F"/>
    <w:rsid w:val="00EC1ADE"/>
    <w:rsid w:val="00EE753D"/>
    <w:rsid w:val="00EF376E"/>
    <w:rsid w:val="00F00FB5"/>
    <w:rsid w:val="00F155E7"/>
    <w:rsid w:val="00F168D8"/>
    <w:rsid w:val="00F22944"/>
    <w:rsid w:val="00F34A36"/>
    <w:rsid w:val="00F46498"/>
    <w:rsid w:val="00F55550"/>
    <w:rsid w:val="00F5587A"/>
    <w:rsid w:val="00F70943"/>
    <w:rsid w:val="00F73252"/>
    <w:rsid w:val="00F83DEC"/>
    <w:rsid w:val="00F853A0"/>
    <w:rsid w:val="00F92FA7"/>
    <w:rsid w:val="00FA1AC1"/>
    <w:rsid w:val="00FC258E"/>
    <w:rsid w:val="00FD0565"/>
    <w:rsid w:val="00FE0775"/>
    <w:rsid w:val="00FE34E4"/>
    <w:rsid w:val="00FF5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3630D"/>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39"/>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7"/>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46"/>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40"/>
      </w:numPr>
    </w:pPr>
    <w:rPr>
      <w:rFonts w:eastAsia="SimHei"/>
    </w:rPr>
  </w:style>
  <w:style w:type="paragraph" w:customStyle="1" w:styleId="BDTFooter">
    <w:name w:val="BDT_Footer"/>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41"/>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42"/>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43"/>
      </w:numPr>
      <w:tabs>
        <w:tab w:val="clear" w:pos="1494"/>
        <w:tab w:val="num" w:pos="360"/>
      </w:tabs>
      <w:spacing w:before="60" w:after="60"/>
      <w:ind w:left="0" w:right="709" w:firstLine="0"/>
    </w:pPr>
    <w:rPr>
      <w:rFonts w:eastAsia="SimHei"/>
    </w:rPr>
  </w:style>
  <w:style w:type="paragraph" w:customStyle="1" w:styleId="BDTindent-abc">
    <w:name w:val="BDT_indent-abc"/>
    <w:uiPriority w:val="99"/>
    <w:rsid w:val="00DB600F"/>
    <w:pPr>
      <w:numPr>
        <w:ilvl w:val="1"/>
        <w:numId w:val="20"/>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44"/>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45"/>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ascii="Calibri" w:eastAsia="SimSun" w:hAnsi="Calibri" w:cs="Times New Roman"/>
      <w:sz w:val="19"/>
      <w:szCs w:val="19"/>
      <w:lang w:val="en-GB" w:eastAsia="en-US" w:bidi="ar-SA"/>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uiPriority w:val="34"/>
    <w:qFormat/>
    <w:rsid w:val="004F7D4B"/>
    <w:pPr>
      <w:ind w:left="720"/>
      <w:contextualSpacing/>
    </w:pPr>
  </w:style>
  <w:style w:type="paragraph" w:styleId="Header">
    <w:name w:val="header"/>
    <w:basedOn w:val="Normal"/>
    <w:link w:val="HeaderChar"/>
    <w:uiPriority w:val="99"/>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basedOn w:val="DefaultParagraphFont"/>
    <w:rsid w:val="00B10B49"/>
  </w:style>
  <w:style w:type="character" w:customStyle="1" w:styleId="apple-converted-space">
    <w:name w:val="apple-converted-space"/>
    <w:basedOn w:val="DefaultParagraphFont"/>
    <w:rsid w:val="00371316"/>
  </w:style>
  <w:style w:type="character" w:styleId="Strong">
    <w:name w:val="Strong"/>
    <w:basedOn w:val="DefaultParagraphFont"/>
    <w:uiPriority w:val="22"/>
    <w:qFormat/>
    <w:locked/>
    <w:rsid w:val="00371316"/>
    <w:rPr>
      <w:b/>
      <w:bCs/>
    </w:rPr>
  </w:style>
  <w:style w:type="character" w:customStyle="1" w:styleId="CEONormalChar">
    <w:name w:val="CEO_Normal Char"/>
    <w:basedOn w:val="DefaultParagraphFont"/>
    <w:uiPriority w:val="99"/>
    <w:rsid w:val="00851504"/>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D2367F"/>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D2367F"/>
    <w:pPr>
      <w:numPr>
        <w:numId w:val="49"/>
      </w:numPr>
    </w:pPr>
    <w:rPr>
      <w:rFonts w:ascii="Verdana" w:eastAsia="SimSun"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D2367F"/>
    <w:rPr>
      <w:rFonts w:ascii="Verdana" w:eastAsia="SimSun" w:hAnsi="Verdana" w:cs="Times New Roman Bold"/>
      <w:b/>
      <w:bCs/>
      <w:sz w:val="19"/>
      <w:szCs w:val="20"/>
      <w:lang w:val="en-GB" w:eastAsia="en-US"/>
    </w:rPr>
  </w:style>
  <w:style w:type="character" w:customStyle="1" w:styleId="enumlev1Char">
    <w:name w:val="enumlev1 Char"/>
    <w:link w:val="enumlev1"/>
    <w:locked/>
    <w:rsid w:val="00D2367F"/>
    <w:rPr>
      <w:rFonts w:ascii="Times New Roman" w:hAnsi="Times New Roman" w:cs="Times New Roman"/>
      <w:szCs w:val="20"/>
      <w:lang w:val="en-GB" w:eastAsia="en-US"/>
    </w:rPr>
  </w:style>
  <w:style w:type="paragraph" w:customStyle="1" w:styleId="enumlev1">
    <w:name w:val="enumlev1"/>
    <w:basedOn w:val="Normal"/>
    <w:link w:val="enumlev1Char"/>
    <w:rsid w:val="00D2367F"/>
    <w:pPr>
      <w:tabs>
        <w:tab w:val="left" w:pos="794"/>
        <w:tab w:val="left" w:pos="1191"/>
        <w:tab w:val="left" w:pos="1588"/>
        <w:tab w:val="left" w:pos="1985"/>
      </w:tabs>
      <w:overflowPunct w:val="0"/>
      <w:autoSpaceDE w:val="0"/>
      <w:autoSpaceDN w:val="0"/>
      <w:adjustRightInd w:val="0"/>
      <w:spacing w:before="80" w:after="0"/>
      <w:ind w:left="794" w:hanging="794"/>
    </w:pPr>
    <w:rPr>
      <w:rFonts w:ascii="Times New Roman" w:eastAsia="Times New Roman" w:hAnsi="Times New Roman" w:cs="Times New Roman"/>
      <w:szCs w:val="20"/>
      <w:lang w:val="en-GB"/>
    </w:rPr>
  </w:style>
  <w:style w:type="paragraph" w:customStyle="1" w:styleId="Headingi">
    <w:name w:val="Heading_i"/>
    <w:basedOn w:val="Normal"/>
    <w:next w:val="Normal"/>
    <w:uiPriority w:val="99"/>
    <w:rsid w:val="00D2367F"/>
    <w:pPr>
      <w:keepNext/>
      <w:tabs>
        <w:tab w:val="left" w:pos="794"/>
        <w:tab w:val="left" w:pos="1191"/>
        <w:tab w:val="left" w:pos="1588"/>
        <w:tab w:val="left" w:pos="1985"/>
      </w:tabs>
      <w:overflowPunct w:val="0"/>
      <w:autoSpaceDE w:val="0"/>
      <w:autoSpaceDN w:val="0"/>
      <w:adjustRightInd w:val="0"/>
      <w:spacing w:before="160" w:after="0"/>
    </w:pPr>
    <w:rPr>
      <w:rFonts w:asciiTheme="minorHAnsi" w:eastAsia="Times New Roman" w:hAnsiTheme="minorHAnsi" w:cs="Times New Roman"/>
      <w:i/>
      <w:sz w:val="24"/>
      <w:szCs w:val="20"/>
      <w:lang w:val="en-GB"/>
    </w:rPr>
  </w:style>
  <w:style w:type="paragraph" w:customStyle="1" w:styleId="Normalaftertitle">
    <w:name w:val="Normal after title"/>
    <w:basedOn w:val="Normal"/>
    <w:next w:val="Normal"/>
    <w:link w:val="NormalaftertitleChar"/>
    <w:rsid w:val="00D2367F"/>
    <w:pPr>
      <w:tabs>
        <w:tab w:val="left" w:pos="794"/>
        <w:tab w:val="left" w:pos="1191"/>
        <w:tab w:val="left" w:pos="1588"/>
        <w:tab w:val="left" w:pos="1985"/>
      </w:tabs>
      <w:overflowPunct w:val="0"/>
      <w:autoSpaceDE w:val="0"/>
      <w:autoSpaceDN w:val="0"/>
      <w:adjustRightInd w:val="0"/>
      <w:spacing w:before="280" w:after="0"/>
      <w:textAlignment w:val="baseline"/>
    </w:pPr>
    <w:rPr>
      <w:rFonts w:asciiTheme="minorHAnsi" w:eastAsia="Times New Roman" w:hAnsiTheme="minorHAnsi" w:cs="Times New Roman"/>
      <w:sz w:val="24"/>
      <w:szCs w:val="20"/>
      <w:lang w:val="en-GB"/>
    </w:rPr>
  </w:style>
  <w:style w:type="character" w:customStyle="1" w:styleId="NormalaftertitleChar">
    <w:name w:val="Normal after title Char"/>
    <w:link w:val="Normalaftertitle"/>
    <w:locked/>
    <w:rsid w:val="00D2367F"/>
    <w:rPr>
      <w:rFonts w:asciiTheme="minorHAnsi" w:hAnsiTheme="minorHAnsi" w:cs="Times New Roman"/>
      <w:sz w:val="24"/>
      <w:szCs w:val="20"/>
      <w:lang w:val="en-GB" w:eastAsia="en-US"/>
    </w:rPr>
  </w:style>
  <w:style w:type="paragraph" w:customStyle="1" w:styleId="AnnexNo">
    <w:name w:val="Annex_No"/>
    <w:basedOn w:val="Normal"/>
    <w:next w:val="Normal"/>
    <w:rsid w:val="00D2367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heme="minorHAnsi" w:eastAsia="Times New Roman" w:hAnsiTheme="minorHAnsi" w:cs="Times New Roman"/>
      <w:caps/>
      <w:sz w:val="28"/>
      <w:szCs w:val="20"/>
      <w:lang w:val="en-GB"/>
    </w:rPr>
  </w:style>
  <w:style w:type="paragraph" w:customStyle="1" w:styleId="Annextitle">
    <w:name w:val="Annex_title"/>
    <w:basedOn w:val="Normal"/>
    <w:next w:val="Normalaftertitle"/>
    <w:rsid w:val="00D2367F"/>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5645">
      <w:bodyDiv w:val="1"/>
      <w:marLeft w:val="0"/>
      <w:marRight w:val="0"/>
      <w:marTop w:val="0"/>
      <w:marBottom w:val="0"/>
      <w:divBdr>
        <w:top w:val="none" w:sz="0" w:space="0" w:color="auto"/>
        <w:left w:val="none" w:sz="0" w:space="0" w:color="auto"/>
        <w:bottom w:val="none" w:sz="0" w:space="0" w:color="auto"/>
        <w:right w:val="none" w:sz="0" w:space="0" w:color="auto"/>
      </w:divBdr>
    </w:div>
    <w:div w:id="622347999">
      <w:bodyDiv w:val="1"/>
      <w:marLeft w:val="0"/>
      <w:marRight w:val="0"/>
      <w:marTop w:val="0"/>
      <w:marBottom w:val="0"/>
      <w:divBdr>
        <w:top w:val="none" w:sz="0" w:space="0" w:color="auto"/>
        <w:left w:val="none" w:sz="0" w:space="0" w:color="auto"/>
        <w:bottom w:val="none" w:sz="0" w:space="0" w:color="auto"/>
        <w:right w:val="none" w:sz="0" w:space="0" w:color="auto"/>
      </w:divBdr>
    </w:div>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D/study-grou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itu-d" TargetMode="External"/><Relationship Id="rId2" Type="http://schemas.openxmlformats.org/officeDocument/2006/relationships/hyperlink" Target="mailto:bdtmail@itu.int" TargetMode="External"/><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1277-9B8D-4CC4-BD48-20675233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6861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BDT</dc:creator>
  <cp:lastModifiedBy>BDT</cp:lastModifiedBy>
  <cp:revision>4</cp:revision>
  <cp:lastPrinted>2017-05-17T15:53:00Z</cp:lastPrinted>
  <dcterms:created xsi:type="dcterms:W3CDTF">2017-10-26T12:43:00Z</dcterms:created>
  <dcterms:modified xsi:type="dcterms:W3CDTF">2017-11-01T09:22:00Z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