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Layout w:type="fixed"/>
        <w:tblLook w:val="00A0" w:firstRow="1" w:lastRow="0" w:firstColumn="1" w:lastColumn="0" w:noHBand="0" w:noVBand="0"/>
      </w:tblPr>
      <w:tblGrid>
        <w:gridCol w:w="1242"/>
        <w:gridCol w:w="3827"/>
        <w:gridCol w:w="601"/>
        <w:gridCol w:w="3969"/>
      </w:tblGrid>
      <w:tr w:rsidR="00152685" w:rsidTr="0005652B">
        <w:trPr>
          <w:trHeight w:val="1133"/>
        </w:trPr>
        <w:tc>
          <w:tcPr>
            <w:tcW w:w="9639" w:type="dxa"/>
            <w:gridSpan w:val="4"/>
          </w:tcPr>
          <w:p w:rsidR="00152685" w:rsidRPr="0041144E" w:rsidRDefault="00152685" w:rsidP="0041144E">
            <w:pPr>
              <w:tabs>
                <w:tab w:val="left" w:pos="8040"/>
              </w:tabs>
              <w:rPr>
                <w:lang w:val="en-GB" w:eastAsia="fr-CH"/>
              </w:rPr>
            </w:pPr>
          </w:p>
        </w:tc>
      </w:tr>
      <w:tr w:rsidR="00152685" w:rsidRPr="007606AF" w:rsidTr="0005652B">
        <w:tc>
          <w:tcPr>
            <w:tcW w:w="9639" w:type="dxa"/>
            <w:gridSpan w:val="4"/>
          </w:tcPr>
          <w:p w:rsidR="00152685" w:rsidRDefault="00152685" w:rsidP="00A27B6B">
            <w:pPr>
              <w:pStyle w:val="NoSpacing"/>
              <w:spacing w:before="120" w:after="120"/>
              <w:rPr>
                <w:rStyle w:val="BDTName"/>
                <w:rFonts w:cs="Traditional Arabic"/>
                <w:color w:val="189CD7"/>
                <w:sz w:val="24"/>
                <w:szCs w:val="24"/>
                <w:lang w:val="fr-CH"/>
              </w:rPr>
            </w:pPr>
          </w:p>
          <w:p w:rsidR="00393C0B" w:rsidRDefault="00393C0B" w:rsidP="00843E69">
            <w:pPr>
              <w:pStyle w:val="NoSpacing"/>
              <w:tabs>
                <w:tab w:val="left" w:pos="5895"/>
              </w:tabs>
              <w:spacing w:before="120" w:after="120"/>
              <w:jc w:val="both"/>
              <w:rPr>
                <w:rStyle w:val="BDTName"/>
                <w:rFonts w:cs="Traditional Arabic"/>
                <w:color w:val="189CD7"/>
                <w:sz w:val="24"/>
                <w:szCs w:val="24"/>
                <w:lang w:val="fr-CH"/>
              </w:rPr>
            </w:pPr>
          </w:p>
          <w:p w:rsidR="00A167BC" w:rsidRPr="00380342" w:rsidRDefault="00A167BC" w:rsidP="00F11A2B">
            <w:pPr>
              <w:pStyle w:val="NoSpacing"/>
              <w:spacing w:after="120"/>
              <w:rPr>
                <w:rStyle w:val="BDTName"/>
                <w:rFonts w:cs="Traditional Arabic"/>
                <w:color w:val="189CD7"/>
                <w:sz w:val="24"/>
                <w:szCs w:val="24"/>
                <w:lang w:val="fr-CH"/>
              </w:rPr>
            </w:pPr>
          </w:p>
        </w:tc>
      </w:tr>
      <w:tr w:rsidR="00563963" w:rsidRPr="007606AF" w:rsidTr="0005652B">
        <w:tc>
          <w:tcPr>
            <w:tcW w:w="9639" w:type="dxa"/>
            <w:gridSpan w:val="4"/>
            <w:vAlign w:val="center"/>
          </w:tcPr>
          <w:p w:rsidR="00563963" w:rsidRPr="00380342" w:rsidRDefault="006E7E3A">
            <w:pPr>
              <w:pStyle w:val="BDTSeparator"/>
              <w:rPr>
                <w:lang w:val="fr-CH"/>
              </w:rPr>
            </w:pPr>
            <w:r w:rsidRPr="00380342">
              <w:rPr>
                <w:lang w:val="fr-CH"/>
              </w:rPr>
              <w:t xml:space="preserve"> </w:t>
            </w:r>
          </w:p>
        </w:tc>
      </w:tr>
      <w:tr w:rsidR="00563963" w:rsidRPr="007A3D23" w:rsidTr="0005652B">
        <w:tc>
          <w:tcPr>
            <w:tcW w:w="1242" w:type="dxa"/>
            <w:vAlign w:val="center"/>
          </w:tcPr>
          <w:p w:rsidR="00563963" w:rsidRPr="00DE2133" w:rsidRDefault="00294295" w:rsidP="00DE2133">
            <w:pPr>
              <w:pStyle w:val="BDTRef"/>
              <w:rPr>
                <w:rFonts w:asciiTheme="minorHAnsi" w:hAnsiTheme="minorHAnsi"/>
                <w:szCs w:val="22"/>
                <w:highlight w:val="yellow"/>
              </w:rPr>
            </w:pPr>
            <w:r>
              <w:rPr>
                <w:rFonts w:asciiTheme="minorHAnsi" w:hAnsiTheme="minorHAnsi"/>
                <w:szCs w:val="22"/>
              </w:rPr>
              <w:t>Ré</w:t>
            </w:r>
            <w:r w:rsidR="00563963" w:rsidRPr="00DE2133">
              <w:rPr>
                <w:rFonts w:asciiTheme="minorHAnsi" w:hAnsiTheme="minorHAnsi"/>
                <w:szCs w:val="22"/>
              </w:rPr>
              <w:t>f.</w:t>
            </w:r>
            <w:r w:rsidR="008B7121" w:rsidRPr="00DE2133">
              <w:rPr>
                <w:rFonts w:asciiTheme="minorHAnsi" w:hAnsiTheme="minorHAnsi"/>
                <w:szCs w:val="22"/>
              </w:rPr>
              <w:t>:</w:t>
            </w:r>
          </w:p>
        </w:tc>
        <w:tc>
          <w:tcPr>
            <w:tcW w:w="4428" w:type="dxa"/>
            <w:gridSpan w:val="2"/>
            <w:vAlign w:val="center"/>
          </w:tcPr>
          <w:p w:rsidR="00563963" w:rsidRPr="00DE2133" w:rsidRDefault="00276577" w:rsidP="00276577">
            <w:pPr>
              <w:pStyle w:val="BDTRef-Details"/>
              <w:rPr>
                <w:rFonts w:asciiTheme="minorHAnsi" w:hAnsiTheme="minorHAnsi"/>
                <w:szCs w:val="22"/>
                <w:lang w:val="de-CH"/>
              </w:rPr>
            </w:pPr>
            <w:r w:rsidRPr="00276577">
              <w:rPr>
                <w:color w:val="000000" w:themeColor="text1"/>
                <w:lang w:val="fr-FR"/>
              </w:rPr>
              <w:t>Circulaire BDT/IP/CSTG-1</w:t>
            </w:r>
          </w:p>
        </w:tc>
        <w:tc>
          <w:tcPr>
            <w:tcW w:w="3969" w:type="dxa"/>
            <w:vAlign w:val="center"/>
          </w:tcPr>
          <w:p w:rsidR="00563963" w:rsidRPr="00DE2133" w:rsidRDefault="00380342" w:rsidP="00382074">
            <w:pPr>
              <w:pStyle w:val="BDTDate"/>
              <w:rPr>
                <w:rFonts w:asciiTheme="minorHAnsi" w:hAnsiTheme="minorHAnsi"/>
                <w:szCs w:val="22"/>
                <w:lang w:val="en-GB"/>
              </w:rPr>
            </w:pPr>
            <w:r w:rsidRPr="002257F0">
              <w:rPr>
                <w:rFonts w:asciiTheme="minorHAnsi" w:hAnsiTheme="minorHAnsi"/>
                <w:szCs w:val="22"/>
              </w:rPr>
              <w:t xml:space="preserve">Genève, le </w:t>
            </w:r>
            <w:r w:rsidR="00382074">
              <w:rPr>
                <w:rFonts w:asciiTheme="minorHAnsi" w:hAnsiTheme="minorHAnsi"/>
                <w:szCs w:val="22"/>
              </w:rPr>
              <w:t>1er novembre</w:t>
            </w:r>
            <w:r w:rsidR="002257F0" w:rsidRPr="002257F0">
              <w:rPr>
                <w:rFonts w:asciiTheme="minorHAnsi" w:hAnsiTheme="minorHAnsi"/>
                <w:szCs w:val="22"/>
              </w:rPr>
              <w:t xml:space="preserve"> </w:t>
            </w:r>
            <w:r w:rsidR="00090D6D" w:rsidRPr="002257F0">
              <w:rPr>
                <w:rFonts w:asciiTheme="minorHAnsi" w:hAnsiTheme="minorHAnsi"/>
                <w:szCs w:val="22"/>
              </w:rPr>
              <w:t>2017</w:t>
            </w:r>
          </w:p>
        </w:tc>
      </w:tr>
      <w:tr w:rsidR="00563963" w:rsidRPr="007A3D23" w:rsidTr="0005652B">
        <w:tc>
          <w:tcPr>
            <w:tcW w:w="1242" w:type="dxa"/>
            <w:vAlign w:val="center"/>
          </w:tcPr>
          <w:p w:rsidR="00563963" w:rsidRPr="007A3D23" w:rsidRDefault="00563963">
            <w:pPr>
              <w:pStyle w:val="BDTSeparator"/>
              <w:rPr>
                <w:rFonts w:asciiTheme="minorHAnsi" w:hAnsiTheme="minorHAnsi"/>
                <w:szCs w:val="22"/>
                <w:highlight w:val="yellow"/>
              </w:rPr>
            </w:pPr>
          </w:p>
        </w:tc>
        <w:tc>
          <w:tcPr>
            <w:tcW w:w="4428" w:type="dxa"/>
            <w:gridSpan w:val="2"/>
            <w:vAlign w:val="center"/>
          </w:tcPr>
          <w:p w:rsidR="00563963" w:rsidRPr="007A3D23" w:rsidRDefault="00563963">
            <w:pPr>
              <w:pStyle w:val="BDTSeparator"/>
              <w:rPr>
                <w:rFonts w:asciiTheme="minorHAnsi" w:hAnsiTheme="minorHAnsi"/>
                <w:szCs w:val="22"/>
              </w:rPr>
            </w:pPr>
          </w:p>
        </w:tc>
        <w:tc>
          <w:tcPr>
            <w:tcW w:w="3969" w:type="dxa"/>
            <w:vAlign w:val="center"/>
          </w:tcPr>
          <w:p w:rsidR="00563963" w:rsidRPr="007A3D23" w:rsidRDefault="00563963">
            <w:pPr>
              <w:pStyle w:val="BDTSeparator"/>
              <w:rPr>
                <w:rFonts w:asciiTheme="minorHAnsi" w:hAnsiTheme="minorHAnsi"/>
                <w:szCs w:val="22"/>
              </w:rPr>
            </w:pPr>
          </w:p>
        </w:tc>
      </w:tr>
      <w:tr w:rsidR="00563963" w:rsidRPr="00382074" w:rsidTr="0005652B">
        <w:tc>
          <w:tcPr>
            <w:tcW w:w="1242" w:type="dxa"/>
            <w:vAlign w:val="center"/>
          </w:tcPr>
          <w:p w:rsidR="00563963" w:rsidRPr="007A3D23" w:rsidRDefault="00563963">
            <w:pPr>
              <w:pStyle w:val="BDTContact"/>
              <w:rPr>
                <w:rFonts w:asciiTheme="minorHAnsi" w:hAnsiTheme="minorHAnsi"/>
                <w:szCs w:val="22"/>
              </w:rPr>
            </w:pPr>
          </w:p>
        </w:tc>
        <w:tc>
          <w:tcPr>
            <w:tcW w:w="3827" w:type="dxa"/>
            <w:vAlign w:val="center"/>
          </w:tcPr>
          <w:p w:rsidR="00563963" w:rsidRPr="007A3D23" w:rsidRDefault="00563963">
            <w:pPr>
              <w:pStyle w:val="BDTContact-Details"/>
              <w:rPr>
                <w:rFonts w:asciiTheme="minorHAnsi" w:hAnsiTheme="minorHAnsi"/>
                <w:szCs w:val="22"/>
              </w:rPr>
            </w:pPr>
            <w:bookmarkStart w:id="0" w:name="Contact"/>
            <w:bookmarkEnd w:id="0"/>
          </w:p>
        </w:tc>
        <w:tc>
          <w:tcPr>
            <w:tcW w:w="601" w:type="dxa"/>
            <w:vAlign w:val="center"/>
          </w:tcPr>
          <w:p w:rsidR="00563963" w:rsidRPr="007A3D23" w:rsidRDefault="00563963">
            <w:pPr>
              <w:pStyle w:val="BDTContact-Details"/>
              <w:rPr>
                <w:rFonts w:asciiTheme="minorHAnsi" w:hAnsiTheme="minorHAnsi"/>
                <w:szCs w:val="22"/>
              </w:rPr>
            </w:pPr>
          </w:p>
        </w:tc>
        <w:tc>
          <w:tcPr>
            <w:tcW w:w="3969" w:type="dxa"/>
            <w:vMerge w:val="restart"/>
            <w:vAlign w:val="center"/>
          </w:tcPr>
          <w:p w:rsidR="00276577" w:rsidRPr="00276577" w:rsidRDefault="00276577" w:rsidP="00E32BCB">
            <w:pPr>
              <w:tabs>
                <w:tab w:val="left" w:pos="282"/>
              </w:tabs>
              <w:ind w:left="282" w:hanging="282"/>
              <w:rPr>
                <w:lang w:val="fr-FR"/>
              </w:rPr>
            </w:pPr>
            <w:r w:rsidRPr="00276577">
              <w:rPr>
                <w:lang w:val="fr-FR"/>
              </w:rPr>
              <w:t>–</w:t>
            </w:r>
            <w:r w:rsidR="00E32BCB">
              <w:rPr>
                <w:lang w:val="fr-FR"/>
              </w:rPr>
              <w:tab/>
            </w:r>
            <w:r w:rsidRPr="00276577">
              <w:rPr>
                <w:lang w:val="fr-FR"/>
              </w:rPr>
              <w:t>Aux Adminis</w:t>
            </w:r>
            <w:r w:rsidR="00707FA1">
              <w:rPr>
                <w:lang w:val="fr-FR"/>
              </w:rPr>
              <w:t>trations des Etats Membres de l’</w:t>
            </w:r>
            <w:r w:rsidRPr="00276577">
              <w:rPr>
                <w:lang w:val="fr-FR"/>
              </w:rPr>
              <w:t>UIT</w:t>
            </w:r>
          </w:p>
          <w:p w:rsidR="00276577" w:rsidRPr="00276577" w:rsidRDefault="00276577" w:rsidP="00E32BCB">
            <w:pPr>
              <w:tabs>
                <w:tab w:val="left" w:pos="282"/>
              </w:tabs>
              <w:ind w:left="282" w:hanging="282"/>
              <w:rPr>
                <w:lang w:val="fr-FR"/>
              </w:rPr>
            </w:pPr>
            <w:r w:rsidRPr="00276577">
              <w:rPr>
                <w:lang w:val="fr-FR"/>
              </w:rPr>
              <w:t>–</w:t>
            </w:r>
            <w:r w:rsidR="00E32BCB">
              <w:rPr>
                <w:lang w:val="fr-FR"/>
              </w:rPr>
              <w:tab/>
            </w:r>
            <w:r w:rsidRPr="00276577">
              <w:rPr>
                <w:lang w:val="fr-FR"/>
              </w:rPr>
              <w:t>Aux Membres du Secteur UIT-D, Associés, établissements universitaires participant à ses travaux</w:t>
            </w:r>
          </w:p>
          <w:p w:rsidR="002257F0" w:rsidRPr="00643B5F" w:rsidRDefault="00276577" w:rsidP="00707FA1">
            <w:pPr>
              <w:tabs>
                <w:tab w:val="left" w:pos="282"/>
              </w:tabs>
              <w:ind w:left="282" w:hanging="282"/>
              <w:rPr>
                <w:lang w:val="fr-CH"/>
              </w:rPr>
            </w:pPr>
            <w:r w:rsidRPr="00276577">
              <w:rPr>
                <w:lang w:val="fr-FR"/>
              </w:rPr>
              <w:t>–</w:t>
            </w:r>
            <w:r w:rsidR="00E32BCB">
              <w:rPr>
                <w:lang w:val="fr-FR"/>
              </w:rPr>
              <w:tab/>
            </w:r>
            <w:r w:rsidRPr="00276577">
              <w:rPr>
                <w:lang w:val="fr-FR"/>
              </w:rPr>
              <w:t>Aux Présidents et Vice-Présidents des Commissions d</w:t>
            </w:r>
            <w:r w:rsidR="00707FA1">
              <w:rPr>
                <w:lang w:val="fr-FR"/>
              </w:rPr>
              <w:t>’</w:t>
            </w:r>
            <w:r w:rsidRPr="00276577">
              <w:rPr>
                <w:lang w:val="fr-FR"/>
              </w:rPr>
              <w:t>études 1 et 2 de l'UIT</w:t>
            </w:r>
            <w:r w:rsidR="00E32BCB">
              <w:rPr>
                <w:lang w:val="fr-FR"/>
              </w:rPr>
              <w:noBreakHyphen/>
            </w:r>
            <w:r w:rsidRPr="00276577">
              <w:rPr>
                <w:lang w:val="fr-FR"/>
              </w:rPr>
              <w:t>D</w:t>
            </w:r>
          </w:p>
          <w:p w:rsidR="002257F0" w:rsidRPr="00276577" w:rsidRDefault="002257F0" w:rsidP="002257F0">
            <w:pPr>
              <w:pStyle w:val="BDTAddressee"/>
              <w:rPr>
                <w:rFonts w:asciiTheme="minorHAnsi" w:hAnsiTheme="minorHAnsi"/>
                <w:szCs w:val="22"/>
                <w:lang w:val="fr-CH"/>
              </w:rPr>
            </w:pPr>
          </w:p>
        </w:tc>
      </w:tr>
      <w:tr w:rsidR="00563963" w:rsidRPr="00382074" w:rsidTr="0005652B">
        <w:tc>
          <w:tcPr>
            <w:tcW w:w="1242" w:type="dxa"/>
            <w:vAlign w:val="center"/>
          </w:tcPr>
          <w:p w:rsidR="00563963" w:rsidRPr="00276577" w:rsidRDefault="00563963">
            <w:pPr>
              <w:pStyle w:val="BDTContact"/>
              <w:rPr>
                <w:rFonts w:asciiTheme="minorHAnsi" w:hAnsiTheme="minorHAnsi"/>
                <w:szCs w:val="22"/>
                <w:lang w:val="fr-CH"/>
              </w:rPr>
            </w:pPr>
          </w:p>
        </w:tc>
        <w:tc>
          <w:tcPr>
            <w:tcW w:w="3827" w:type="dxa"/>
            <w:vAlign w:val="center"/>
          </w:tcPr>
          <w:p w:rsidR="00563963" w:rsidRPr="00276577" w:rsidRDefault="00563963">
            <w:pPr>
              <w:pStyle w:val="BDTContact-Details"/>
              <w:rPr>
                <w:rFonts w:asciiTheme="minorHAnsi" w:hAnsiTheme="minorHAnsi"/>
                <w:szCs w:val="22"/>
                <w:lang w:val="fr-CH"/>
              </w:rPr>
            </w:pPr>
          </w:p>
        </w:tc>
        <w:tc>
          <w:tcPr>
            <w:tcW w:w="601" w:type="dxa"/>
            <w:vAlign w:val="center"/>
          </w:tcPr>
          <w:p w:rsidR="00563963" w:rsidRPr="00276577" w:rsidRDefault="00563963">
            <w:pPr>
              <w:pStyle w:val="BDTContact-Details"/>
              <w:rPr>
                <w:rFonts w:asciiTheme="minorHAnsi" w:hAnsiTheme="minorHAnsi"/>
                <w:szCs w:val="22"/>
                <w:lang w:val="fr-CH"/>
              </w:rPr>
            </w:pPr>
          </w:p>
        </w:tc>
        <w:tc>
          <w:tcPr>
            <w:tcW w:w="3969" w:type="dxa"/>
            <w:vMerge/>
            <w:vAlign w:val="center"/>
          </w:tcPr>
          <w:p w:rsidR="00563963" w:rsidRPr="00276577" w:rsidRDefault="00563963">
            <w:pPr>
              <w:tabs>
                <w:tab w:val="left" w:pos="794"/>
                <w:tab w:val="left" w:pos="1191"/>
                <w:tab w:val="left" w:pos="1588"/>
                <w:tab w:val="left" w:pos="1985"/>
              </w:tabs>
              <w:overflowPunct w:val="0"/>
              <w:autoSpaceDE w:val="0"/>
              <w:autoSpaceDN w:val="0"/>
              <w:adjustRightInd w:val="0"/>
              <w:spacing w:line="280" w:lineRule="exact"/>
              <w:textAlignment w:val="baseline"/>
              <w:rPr>
                <w:rFonts w:asciiTheme="minorHAnsi" w:hAnsiTheme="minorHAnsi"/>
                <w:szCs w:val="22"/>
                <w:lang w:val="fr-CH"/>
              </w:rPr>
            </w:pPr>
          </w:p>
        </w:tc>
      </w:tr>
      <w:tr w:rsidR="00CC2D66" w:rsidRPr="00382074" w:rsidTr="0005652B">
        <w:tc>
          <w:tcPr>
            <w:tcW w:w="1242" w:type="dxa"/>
            <w:vAlign w:val="center"/>
          </w:tcPr>
          <w:p w:rsidR="00CC2D66" w:rsidRPr="00276577" w:rsidRDefault="00CC2D66">
            <w:pPr>
              <w:pStyle w:val="BDTContact"/>
              <w:rPr>
                <w:rFonts w:asciiTheme="minorHAnsi" w:hAnsiTheme="minorHAnsi"/>
                <w:szCs w:val="22"/>
                <w:lang w:val="fr-CH"/>
              </w:rPr>
            </w:pPr>
          </w:p>
        </w:tc>
        <w:tc>
          <w:tcPr>
            <w:tcW w:w="3827" w:type="dxa"/>
            <w:vAlign w:val="center"/>
          </w:tcPr>
          <w:p w:rsidR="00CC2D66" w:rsidRPr="00276577" w:rsidRDefault="00CC2D66">
            <w:pPr>
              <w:pStyle w:val="BDTContact-Details"/>
              <w:rPr>
                <w:rFonts w:asciiTheme="minorHAnsi" w:hAnsiTheme="minorHAnsi"/>
                <w:szCs w:val="22"/>
                <w:lang w:val="fr-CH"/>
              </w:rPr>
            </w:pPr>
          </w:p>
        </w:tc>
        <w:tc>
          <w:tcPr>
            <w:tcW w:w="601" w:type="dxa"/>
            <w:vAlign w:val="center"/>
          </w:tcPr>
          <w:p w:rsidR="00CC2D66" w:rsidRPr="00276577" w:rsidRDefault="00CC2D66">
            <w:pPr>
              <w:pStyle w:val="BDTContact-Details"/>
              <w:rPr>
                <w:rFonts w:asciiTheme="minorHAnsi" w:hAnsiTheme="minorHAnsi"/>
                <w:szCs w:val="22"/>
                <w:lang w:val="fr-CH"/>
              </w:rPr>
            </w:pPr>
          </w:p>
        </w:tc>
        <w:tc>
          <w:tcPr>
            <w:tcW w:w="3969" w:type="dxa"/>
            <w:vMerge/>
            <w:vAlign w:val="center"/>
          </w:tcPr>
          <w:p w:rsidR="00CC2D66" w:rsidRPr="00276577" w:rsidRDefault="00CC2D66">
            <w:pPr>
              <w:tabs>
                <w:tab w:val="left" w:pos="794"/>
                <w:tab w:val="left" w:pos="1191"/>
                <w:tab w:val="left" w:pos="1588"/>
                <w:tab w:val="left" w:pos="1985"/>
              </w:tabs>
              <w:overflowPunct w:val="0"/>
              <w:autoSpaceDE w:val="0"/>
              <w:autoSpaceDN w:val="0"/>
              <w:adjustRightInd w:val="0"/>
              <w:spacing w:line="280" w:lineRule="exact"/>
              <w:textAlignment w:val="baseline"/>
              <w:rPr>
                <w:rFonts w:asciiTheme="minorHAnsi" w:hAnsiTheme="minorHAnsi"/>
                <w:szCs w:val="22"/>
                <w:lang w:val="fr-CH"/>
              </w:rPr>
            </w:pPr>
          </w:p>
        </w:tc>
      </w:tr>
      <w:tr w:rsidR="00563963" w:rsidRPr="00382074" w:rsidTr="0005652B">
        <w:tc>
          <w:tcPr>
            <w:tcW w:w="1242" w:type="dxa"/>
            <w:vAlign w:val="center"/>
          </w:tcPr>
          <w:p w:rsidR="00563963" w:rsidRPr="00276577" w:rsidRDefault="00563963">
            <w:pPr>
              <w:pStyle w:val="BDTContact"/>
              <w:rPr>
                <w:rFonts w:asciiTheme="minorHAnsi" w:hAnsiTheme="minorHAnsi"/>
                <w:szCs w:val="22"/>
                <w:lang w:val="fr-CH"/>
              </w:rPr>
            </w:pPr>
          </w:p>
        </w:tc>
        <w:tc>
          <w:tcPr>
            <w:tcW w:w="3827" w:type="dxa"/>
            <w:vAlign w:val="center"/>
          </w:tcPr>
          <w:p w:rsidR="00563963" w:rsidRPr="00276577" w:rsidRDefault="00563963" w:rsidP="002C7449">
            <w:pPr>
              <w:pStyle w:val="BDTContact-Details"/>
              <w:rPr>
                <w:rFonts w:asciiTheme="minorHAnsi" w:hAnsiTheme="minorHAnsi"/>
                <w:szCs w:val="22"/>
                <w:lang w:val="fr-CH"/>
              </w:rPr>
            </w:pPr>
          </w:p>
        </w:tc>
        <w:tc>
          <w:tcPr>
            <w:tcW w:w="601" w:type="dxa"/>
            <w:vAlign w:val="center"/>
          </w:tcPr>
          <w:p w:rsidR="00563963" w:rsidRPr="00276577" w:rsidRDefault="00563963">
            <w:pPr>
              <w:pStyle w:val="BDTContact-Details"/>
              <w:rPr>
                <w:rFonts w:asciiTheme="minorHAnsi" w:hAnsiTheme="minorHAnsi"/>
                <w:szCs w:val="22"/>
                <w:lang w:val="fr-CH"/>
              </w:rPr>
            </w:pPr>
          </w:p>
        </w:tc>
        <w:tc>
          <w:tcPr>
            <w:tcW w:w="3969" w:type="dxa"/>
            <w:vMerge/>
            <w:vAlign w:val="center"/>
          </w:tcPr>
          <w:p w:rsidR="00563963" w:rsidRPr="00276577" w:rsidRDefault="00563963">
            <w:pPr>
              <w:tabs>
                <w:tab w:val="left" w:pos="794"/>
                <w:tab w:val="left" w:pos="1191"/>
                <w:tab w:val="left" w:pos="1588"/>
                <w:tab w:val="left" w:pos="1985"/>
              </w:tabs>
              <w:overflowPunct w:val="0"/>
              <w:autoSpaceDE w:val="0"/>
              <w:autoSpaceDN w:val="0"/>
              <w:adjustRightInd w:val="0"/>
              <w:spacing w:line="280" w:lineRule="exact"/>
              <w:textAlignment w:val="baseline"/>
              <w:rPr>
                <w:rFonts w:asciiTheme="minorHAnsi" w:hAnsiTheme="minorHAnsi"/>
                <w:szCs w:val="22"/>
                <w:lang w:val="fr-CH"/>
              </w:rPr>
            </w:pPr>
          </w:p>
        </w:tc>
      </w:tr>
      <w:tr w:rsidR="00563963" w:rsidRPr="00382074" w:rsidTr="0005652B">
        <w:tc>
          <w:tcPr>
            <w:tcW w:w="1242" w:type="dxa"/>
            <w:vAlign w:val="center"/>
          </w:tcPr>
          <w:p w:rsidR="00563963" w:rsidRPr="00276577" w:rsidRDefault="00563963">
            <w:pPr>
              <w:pStyle w:val="BDTContact"/>
              <w:rPr>
                <w:rFonts w:asciiTheme="minorHAnsi" w:hAnsiTheme="minorHAnsi"/>
                <w:szCs w:val="22"/>
                <w:lang w:val="fr-CH"/>
              </w:rPr>
            </w:pPr>
          </w:p>
        </w:tc>
        <w:tc>
          <w:tcPr>
            <w:tcW w:w="3827" w:type="dxa"/>
            <w:vAlign w:val="center"/>
          </w:tcPr>
          <w:p w:rsidR="00563963" w:rsidRPr="00276577" w:rsidRDefault="00563963">
            <w:pPr>
              <w:pStyle w:val="BDTContact-Details"/>
              <w:rPr>
                <w:rFonts w:asciiTheme="minorHAnsi" w:hAnsiTheme="minorHAnsi"/>
                <w:szCs w:val="22"/>
                <w:lang w:val="fr-CH"/>
              </w:rPr>
            </w:pPr>
          </w:p>
        </w:tc>
        <w:tc>
          <w:tcPr>
            <w:tcW w:w="601" w:type="dxa"/>
            <w:vAlign w:val="center"/>
          </w:tcPr>
          <w:p w:rsidR="00563963" w:rsidRPr="00276577" w:rsidRDefault="00563963">
            <w:pPr>
              <w:pStyle w:val="BDTContact-Details"/>
              <w:rPr>
                <w:rFonts w:asciiTheme="minorHAnsi" w:hAnsiTheme="minorHAnsi"/>
                <w:szCs w:val="22"/>
                <w:lang w:val="fr-CH"/>
              </w:rPr>
            </w:pPr>
          </w:p>
        </w:tc>
        <w:tc>
          <w:tcPr>
            <w:tcW w:w="3969" w:type="dxa"/>
            <w:vMerge/>
            <w:vAlign w:val="center"/>
          </w:tcPr>
          <w:p w:rsidR="00563963" w:rsidRPr="00276577" w:rsidRDefault="00563963">
            <w:pPr>
              <w:tabs>
                <w:tab w:val="left" w:pos="794"/>
                <w:tab w:val="left" w:pos="1191"/>
                <w:tab w:val="left" w:pos="1588"/>
                <w:tab w:val="left" w:pos="1985"/>
              </w:tabs>
              <w:overflowPunct w:val="0"/>
              <w:autoSpaceDE w:val="0"/>
              <w:autoSpaceDN w:val="0"/>
              <w:adjustRightInd w:val="0"/>
              <w:spacing w:line="280" w:lineRule="exact"/>
              <w:textAlignment w:val="baseline"/>
              <w:rPr>
                <w:rFonts w:asciiTheme="minorHAnsi" w:hAnsiTheme="minorHAnsi"/>
                <w:szCs w:val="22"/>
                <w:lang w:val="fr-CH"/>
              </w:rPr>
            </w:pPr>
          </w:p>
        </w:tc>
      </w:tr>
      <w:tr w:rsidR="00563963" w:rsidRPr="00382074" w:rsidTr="0005652B">
        <w:tc>
          <w:tcPr>
            <w:tcW w:w="9639" w:type="dxa"/>
            <w:gridSpan w:val="4"/>
            <w:vAlign w:val="center"/>
          </w:tcPr>
          <w:p w:rsidR="00563963" w:rsidRPr="00276577" w:rsidRDefault="00563963">
            <w:pPr>
              <w:pStyle w:val="BDTSeparator"/>
              <w:rPr>
                <w:rFonts w:asciiTheme="minorHAnsi" w:hAnsiTheme="minorHAnsi"/>
                <w:szCs w:val="22"/>
                <w:lang w:val="fr-CH"/>
              </w:rPr>
            </w:pPr>
          </w:p>
        </w:tc>
      </w:tr>
      <w:tr w:rsidR="00563963" w:rsidRPr="00382074" w:rsidTr="0005652B">
        <w:tc>
          <w:tcPr>
            <w:tcW w:w="1242" w:type="dxa"/>
          </w:tcPr>
          <w:p w:rsidR="00563963" w:rsidRPr="00276577" w:rsidRDefault="00090D6D" w:rsidP="00090D6D">
            <w:pPr>
              <w:pStyle w:val="BDTSubject"/>
              <w:spacing w:before="120"/>
              <w:rPr>
                <w:szCs w:val="22"/>
                <w:lang w:val="fr-CH"/>
              </w:rPr>
            </w:pPr>
            <w:r w:rsidRPr="00276577">
              <w:rPr>
                <w:b/>
                <w:bCs/>
                <w:lang w:val="fr-CH"/>
              </w:rPr>
              <w:t>Objet:</w:t>
            </w:r>
          </w:p>
        </w:tc>
        <w:tc>
          <w:tcPr>
            <w:tcW w:w="8397" w:type="dxa"/>
            <w:gridSpan w:val="3"/>
          </w:tcPr>
          <w:p w:rsidR="00563963" w:rsidRPr="00EB0427" w:rsidRDefault="003C0701" w:rsidP="003C0701">
            <w:pPr>
              <w:pStyle w:val="BDTOpening"/>
              <w:spacing w:after="120"/>
              <w:rPr>
                <w:b/>
                <w:bCs/>
                <w:lang w:val="fr-CH"/>
              </w:rPr>
            </w:pPr>
            <w:bookmarkStart w:id="1" w:name="Subject"/>
            <w:bookmarkEnd w:id="1"/>
            <w:r w:rsidRPr="003C0701">
              <w:rPr>
                <w:b/>
                <w:bCs/>
                <w:lang w:val="fr-FR"/>
              </w:rPr>
              <w:t xml:space="preserve">Candidats aux fonctions de Rapporteurs et de Vice-Rapporteurs pour les Questions confiées aux Commissions </w:t>
            </w:r>
            <w:r w:rsidR="00707FA1" w:rsidRPr="003C0701">
              <w:rPr>
                <w:b/>
                <w:bCs/>
                <w:lang w:val="fr-FR"/>
              </w:rPr>
              <w:t>d’étude</w:t>
            </w:r>
            <w:r w:rsidR="00707FA1">
              <w:rPr>
                <w:b/>
                <w:bCs/>
                <w:lang w:val="fr-FR"/>
              </w:rPr>
              <w:t>s</w:t>
            </w:r>
            <w:r w:rsidRPr="003C0701">
              <w:rPr>
                <w:b/>
                <w:bCs/>
                <w:lang w:val="fr-FR"/>
              </w:rPr>
              <w:t xml:space="preserve"> 1 et 2 de l'UIT-D pour la période 2018-2021</w:t>
            </w:r>
          </w:p>
        </w:tc>
      </w:tr>
      <w:tr w:rsidR="00563963" w:rsidRPr="00382074" w:rsidTr="0005652B">
        <w:tc>
          <w:tcPr>
            <w:tcW w:w="9639" w:type="dxa"/>
            <w:gridSpan w:val="4"/>
            <w:vAlign w:val="center"/>
          </w:tcPr>
          <w:p w:rsidR="00090D6D" w:rsidRPr="00276577" w:rsidRDefault="00090D6D" w:rsidP="000B01A5">
            <w:pPr>
              <w:pStyle w:val="BDTOpening"/>
              <w:spacing w:before="240" w:after="120"/>
              <w:rPr>
                <w:lang w:val="fr-CH"/>
              </w:rPr>
            </w:pPr>
            <w:r w:rsidRPr="00276577">
              <w:rPr>
                <w:lang w:val="fr-CH"/>
              </w:rPr>
              <w:t>Madame, Monsieur,</w:t>
            </w:r>
          </w:p>
          <w:p w:rsidR="003C0701" w:rsidRPr="003C0701" w:rsidRDefault="003C0701" w:rsidP="00707FA1">
            <w:pPr>
              <w:pStyle w:val="BDTNormal"/>
              <w:spacing w:before="0"/>
              <w:rPr>
                <w:rFonts w:cs="HelveticaNeueLT Std Lt"/>
                <w:color w:val="000000"/>
                <w:szCs w:val="22"/>
                <w:lang w:val="fr-FR"/>
              </w:rPr>
            </w:pPr>
            <w:r w:rsidRPr="003C0701">
              <w:rPr>
                <w:rFonts w:cs="HelveticaNeueLT Std Lt"/>
                <w:color w:val="000000"/>
                <w:szCs w:val="22"/>
                <w:lang w:val="fr-CH"/>
              </w:rPr>
              <w:t>La Conférence mondiale de développement des télécommunications de 2017 (CMDT-17) réunie à Buenos Aires a désigné les Présidents et Vice-Présidents des Commissions d</w:t>
            </w:r>
            <w:r w:rsidR="00707FA1">
              <w:rPr>
                <w:rFonts w:cs="HelveticaNeueLT Std Lt"/>
                <w:color w:val="000000"/>
                <w:szCs w:val="22"/>
                <w:lang w:val="fr-CH"/>
              </w:rPr>
              <w:t xml:space="preserve">’études de l’UIT-D. </w:t>
            </w:r>
            <w:r w:rsidRPr="003C0701">
              <w:rPr>
                <w:rFonts w:cs="HelveticaNeueLT Std Lt"/>
                <w:color w:val="000000"/>
                <w:szCs w:val="22"/>
                <w:lang w:val="fr-CH"/>
              </w:rPr>
              <w:t>Conformément aux résultats de la CMDT-17, les Commissions d</w:t>
            </w:r>
            <w:r w:rsidR="00707FA1">
              <w:rPr>
                <w:rFonts w:cs="HelveticaNeueLT Std Lt"/>
                <w:color w:val="000000"/>
                <w:szCs w:val="22"/>
                <w:lang w:val="fr-CH"/>
              </w:rPr>
              <w:t>’</w:t>
            </w:r>
            <w:r w:rsidRPr="003C0701">
              <w:rPr>
                <w:rFonts w:cs="HelveticaNeueLT Std Lt"/>
                <w:color w:val="000000"/>
                <w:szCs w:val="22"/>
                <w:lang w:val="fr-CH"/>
              </w:rPr>
              <w:t>études 1 et 2 poursuivront leurs travaux sur une séri</w:t>
            </w:r>
            <w:r w:rsidR="00707FA1">
              <w:rPr>
                <w:rFonts w:cs="HelveticaNeueLT Std Lt"/>
                <w:color w:val="000000"/>
                <w:szCs w:val="22"/>
                <w:lang w:val="fr-CH"/>
              </w:rPr>
              <w:t>e de Questions recensées dans l’</w:t>
            </w:r>
            <w:r w:rsidRPr="003C0701">
              <w:rPr>
                <w:rFonts w:cs="HelveticaNeueLT Std Lt"/>
                <w:b/>
                <w:bCs/>
                <w:color w:val="000000"/>
                <w:szCs w:val="22"/>
                <w:lang w:val="fr-CH"/>
              </w:rPr>
              <w:t>Annexe 1</w:t>
            </w:r>
            <w:r w:rsidR="00707FA1">
              <w:rPr>
                <w:rFonts w:cs="HelveticaNeueLT Std Lt"/>
                <w:color w:val="000000"/>
                <w:szCs w:val="22"/>
                <w:lang w:val="fr-CH"/>
              </w:rPr>
              <w:t xml:space="preserve"> de la présente Circulaire.</w:t>
            </w:r>
          </w:p>
          <w:p w:rsidR="003C0701" w:rsidRPr="003C0701" w:rsidRDefault="003C0701" w:rsidP="00B461EB">
            <w:pPr>
              <w:pStyle w:val="BDTNormal"/>
              <w:spacing w:before="0"/>
              <w:rPr>
                <w:rFonts w:cs="HelveticaNeueLT Std Lt"/>
                <w:color w:val="000000"/>
                <w:szCs w:val="22"/>
                <w:lang w:val="fr-FR"/>
              </w:rPr>
            </w:pPr>
            <w:r w:rsidRPr="003C0701">
              <w:rPr>
                <w:rFonts w:cs="HelveticaNeueLT Std Lt"/>
                <w:color w:val="000000"/>
                <w:szCs w:val="22"/>
                <w:lang w:val="fr-FR"/>
              </w:rPr>
              <w:t>Aux termes de la Résolution 1 (Rév.Buenos Aires, 2017), il est préc</w:t>
            </w:r>
            <w:r w:rsidR="00B461EB">
              <w:rPr>
                <w:rFonts w:cs="HelveticaNeueLT Std Lt"/>
                <w:color w:val="000000"/>
                <w:szCs w:val="22"/>
                <w:lang w:val="fr-FR"/>
              </w:rPr>
              <w:t>isé que les Rapporteurs et Vice</w:t>
            </w:r>
            <w:r w:rsidR="00B461EB">
              <w:rPr>
                <w:rFonts w:cs="HelveticaNeueLT Std Lt"/>
                <w:color w:val="000000"/>
                <w:szCs w:val="22"/>
                <w:lang w:val="fr-FR"/>
              </w:rPr>
              <w:noBreakHyphen/>
            </w:r>
            <w:r w:rsidRPr="003C0701">
              <w:rPr>
                <w:rFonts w:cs="HelveticaNeueLT Std Lt"/>
                <w:color w:val="000000"/>
                <w:szCs w:val="22"/>
                <w:lang w:val="fr-FR"/>
              </w:rPr>
              <w:t>Rapporteurs s</w:t>
            </w:r>
            <w:r w:rsidR="00707FA1">
              <w:rPr>
                <w:rFonts w:cs="HelveticaNeueLT Std Lt"/>
                <w:color w:val="000000"/>
                <w:szCs w:val="22"/>
                <w:lang w:val="fr-FR"/>
              </w:rPr>
              <w:t>ont nommés par une commission d’</w:t>
            </w:r>
            <w:r w:rsidRPr="003C0701">
              <w:rPr>
                <w:rFonts w:cs="HelveticaNeueLT Std Lt"/>
                <w:color w:val="000000"/>
                <w:szCs w:val="22"/>
                <w:lang w:val="fr-FR"/>
              </w:rPr>
              <w:t>étud</w:t>
            </w:r>
            <w:r w:rsidR="00707FA1">
              <w:rPr>
                <w:rFonts w:cs="HelveticaNeueLT Std Lt"/>
                <w:color w:val="000000"/>
                <w:szCs w:val="22"/>
                <w:lang w:val="fr-FR"/>
              </w:rPr>
              <w:t>es en vue de faire progresser l’</w:t>
            </w:r>
            <w:r w:rsidRPr="003C0701">
              <w:rPr>
                <w:rFonts w:cs="HelveticaNeueLT Std Lt"/>
                <w:color w:val="000000"/>
                <w:szCs w:val="22"/>
                <w:lang w:val="fr-FR"/>
              </w:rPr>
              <w:t>étude des Questions. En outre, en raison de la nature des études, les Rapporteurs devraient être nommés sur la base de leur connaissance du sujet considéré et de leur capacité à coordonne</w:t>
            </w:r>
            <w:r w:rsidR="00707FA1">
              <w:rPr>
                <w:rFonts w:cs="HelveticaNeueLT Std Lt"/>
                <w:color w:val="000000"/>
                <w:szCs w:val="22"/>
                <w:lang w:val="fr-FR"/>
              </w:rPr>
              <w:t>r les travaux. On trouve dans l’</w:t>
            </w:r>
            <w:r w:rsidRPr="003C0701">
              <w:rPr>
                <w:rFonts w:cs="HelveticaNeueLT Std Lt"/>
                <w:color w:val="000000"/>
                <w:szCs w:val="22"/>
                <w:lang w:val="fr-FR"/>
              </w:rPr>
              <w:t>Annexe 5 de la</w:t>
            </w:r>
            <w:r w:rsidR="00707FA1">
              <w:rPr>
                <w:rFonts w:cs="HelveticaNeueLT Std Lt"/>
                <w:color w:val="000000"/>
                <w:szCs w:val="22"/>
                <w:lang w:val="fr-FR"/>
              </w:rPr>
              <w:t xml:space="preserve"> Résolution 1, ainsi que dans l’</w:t>
            </w:r>
            <w:r w:rsidRPr="003C0701">
              <w:rPr>
                <w:rFonts w:cs="HelveticaNeueLT Std Lt"/>
                <w:b/>
                <w:bCs/>
                <w:color w:val="000000"/>
                <w:szCs w:val="22"/>
                <w:lang w:val="fr-FR"/>
              </w:rPr>
              <w:t>Annexe 2</w:t>
            </w:r>
            <w:r w:rsidRPr="003C0701">
              <w:rPr>
                <w:rFonts w:cs="HelveticaNeueLT Std Lt"/>
                <w:color w:val="000000"/>
                <w:szCs w:val="22"/>
                <w:lang w:val="fr-FR"/>
              </w:rPr>
              <w:t xml:space="preserve"> de la présente Circulaire, une description des éléments du travail attendu des Rapporteurs. Sous réserve des dispositions pertinentes de la Constitution et de la Convention, les </w:t>
            </w:r>
            <w:r w:rsidR="00B461EB">
              <w:rPr>
                <w:rFonts w:cs="HelveticaNeueLT Std Lt"/>
                <w:color w:val="000000"/>
                <w:szCs w:val="22"/>
                <w:lang w:val="fr-FR"/>
              </w:rPr>
              <w:t>E</w:t>
            </w:r>
            <w:r w:rsidRPr="003C0701">
              <w:rPr>
                <w:rFonts w:cs="HelveticaNeueLT Std Lt"/>
                <w:color w:val="000000"/>
                <w:szCs w:val="22"/>
                <w:lang w:val="fr-FR"/>
              </w:rPr>
              <w:t>tats Membres, les Membres du Secteur UIT-D, les Associés et les établissements universitaires participant aux travaux de l'UIT-D sont invités à indiquer au Directeur du BDT les candidats proposés, afin que ces candidatures soient examinées pendant les premières réunions des Commi</w:t>
            </w:r>
            <w:r w:rsidR="00707FA1">
              <w:rPr>
                <w:rFonts w:cs="HelveticaNeueLT Std Lt"/>
                <w:color w:val="000000"/>
                <w:szCs w:val="22"/>
                <w:lang w:val="fr-FR"/>
              </w:rPr>
              <w:t>ssions d'études 1 et 2 en 2018.</w:t>
            </w:r>
          </w:p>
          <w:p w:rsidR="00EB0427" w:rsidRDefault="003C0701" w:rsidP="00707FA1">
            <w:pPr>
              <w:pStyle w:val="BDTNormal"/>
              <w:spacing w:before="0"/>
              <w:rPr>
                <w:rFonts w:cs="HelveticaNeueLT Std Lt"/>
                <w:color w:val="000000"/>
                <w:szCs w:val="22"/>
                <w:lang w:val="fr-CH"/>
              </w:rPr>
            </w:pPr>
            <w:r w:rsidRPr="003C0701">
              <w:rPr>
                <w:rFonts w:cs="HelveticaNeueLT Std Lt"/>
                <w:color w:val="000000"/>
                <w:szCs w:val="22"/>
                <w:lang w:val="fr-CH"/>
              </w:rPr>
              <w:t>Si votre administration/organisation souhaite proposer un candidat à la fonction de Rapporteur ou de Vice</w:t>
            </w:r>
            <w:r w:rsidRPr="003C0701">
              <w:rPr>
                <w:rFonts w:cs="HelveticaNeueLT Std Lt"/>
                <w:color w:val="000000"/>
                <w:szCs w:val="22"/>
                <w:lang w:val="fr-CH"/>
              </w:rPr>
              <w:noBreakHyphen/>
              <w:t xml:space="preserve">Rapporteur pour les Questions confiées aux </w:t>
            </w:r>
            <w:r w:rsidR="00B461EB">
              <w:rPr>
                <w:rFonts w:cs="HelveticaNeueLT Std Lt"/>
                <w:color w:val="000000"/>
                <w:szCs w:val="22"/>
                <w:lang w:val="fr-CH"/>
              </w:rPr>
              <w:t>C</w:t>
            </w:r>
            <w:r w:rsidR="00707FA1">
              <w:rPr>
                <w:rFonts w:cs="HelveticaNeueLT Std Lt"/>
                <w:color w:val="000000"/>
                <w:szCs w:val="22"/>
                <w:lang w:val="fr-CH"/>
              </w:rPr>
              <w:t>ommissions d'études de l’</w:t>
            </w:r>
            <w:r w:rsidRPr="003C0701">
              <w:rPr>
                <w:rFonts w:cs="HelveticaNeueLT Std Lt"/>
                <w:color w:val="000000"/>
                <w:szCs w:val="22"/>
                <w:lang w:val="fr-CH"/>
              </w:rPr>
              <w:t>UIT</w:t>
            </w:r>
            <w:r w:rsidRPr="003C0701">
              <w:rPr>
                <w:rFonts w:cs="HelveticaNeueLT Std Lt"/>
                <w:color w:val="000000"/>
                <w:szCs w:val="22"/>
                <w:lang w:val="fr-CH"/>
              </w:rPr>
              <w:noBreakHyphen/>
              <w:t>D, je vous serais extrêmement reconnaissan</w:t>
            </w:r>
            <w:bookmarkStart w:id="2" w:name="Signature"/>
            <w:bookmarkEnd w:id="2"/>
            <w:r w:rsidRPr="003C0701">
              <w:rPr>
                <w:rFonts w:cs="HelveticaNeueLT Std Lt"/>
                <w:color w:val="000000"/>
                <w:szCs w:val="22"/>
                <w:lang w:val="fr-CH"/>
              </w:rPr>
              <w:t xml:space="preserve">t de bien vouloir me faire parvenir le plus tôt possible, et au plus tard avant le </w:t>
            </w:r>
            <w:r w:rsidRPr="003C0701">
              <w:rPr>
                <w:rFonts w:cs="HelveticaNeueLT Std Lt"/>
                <w:b/>
                <w:bCs/>
                <w:color w:val="000000"/>
                <w:szCs w:val="22"/>
                <w:lang w:val="fr-CH"/>
              </w:rPr>
              <w:t>8 décembre 2017</w:t>
            </w:r>
            <w:r w:rsidRPr="003C0701">
              <w:rPr>
                <w:rFonts w:cs="HelveticaNeueLT Std Lt"/>
                <w:color w:val="000000"/>
                <w:szCs w:val="22"/>
                <w:lang w:val="fr-CH"/>
              </w:rPr>
              <w:t xml:space="preserve">, le nom et une notice biographique de la personne concernée, faisant ressortir ses qualifications. Les noms et curriculum vitae des candidats désignés seront affichés sur le site web </w:t>
            </w:r>
            <w:hyperlink r:id="rId8" w:history="1">
              <w:r w:rsidRPr="003C0701">
                <w:rPr>
                  <w:rStyle w:val="Hyperlink"/>
                  <w:rFonts w:cs="HelveticaNeueLT Std Lt"/>
                  <w:szCs w:val="22"/>
                  <w:lang w:val="fr-CH"/>
                </w:rPr>
                <w:t>http://www.itu.int/ITU-D/study-groups</w:t>
              </w:r>
            </w:hyperlink>
            <w:r w:rsidRPr="003C0701">
              <w:rPr>
                <w:rFonts w:cs="HelveticaNeueLT Std Lt"/>
                <w:color w:val="000000"/>
                <w:szCs w:val="22"/>
                <w:lang w:val="fr-CH"/>
              </w:rPr>
              <w:t xml:space="preserve"> dès qu</w:t>
            </w:r>
            <w:r w:rsidR="00707FA1">
              <w:rPr>
                <w:rFonts w:cs="HelveticaNeueLT Std Lt"/>
                <w:color w:val="000000"/>
                <w:szCs w:val="22"/>
                <w:lang w:val="fr-CH"/>
              </w:rPr>
              <w:t>’</w:t>
            </w:r>
            <w:r w:rsidRPr="003C0701">
              <w:rPr>
                <w:rFonts w:cs="HelveticaNeueLT Std Lt"/>
                <w:color w:val="000000"/>
                <w:szCs w:val="22"/>
                <w:lang w:val="fr-CH"/>
              </w:rPr>
              <w:t>ils seront disponibles.</w:t>
            </w:r>
          </w:p>
          <w:p w:rsidR="003C0701" w:rsidRPr="0055787F" w:rsidRDefault="003C0701" w:rsidP="00707FA1">
            <w:pPr>
              <w:pStyle w:val="BDTNormal"/>
              <w:spacing w:before="0"/>
              <w:rPr>
                <w:rFonts w:cs="HelveticaNeueLT Std Lt"/>
                <w:color w:val="000000"/>
                <w:szCs w:val="22"/>
                <w:lang w:val="fr-CH"/>
              </w:rPr>
            </w:pPr>
            <w:r w:rsidRPr="003C0701">
              <w:rPr>
                <w:rFonts w:cs="HelveticaNeueLT Std Lt"/>
                <w:color w:val="000000"/>
                <w:szCs w:val="22"/>
                <w:lang w:val="fr-FR"/>
              </w:rPr>
              <w:lastRenderedPageBreak/>
              <w:t xml:space="preserve">En attendant de recevoir de votre part les candidatures que vous proposerez, je vous remercie de continuer à soutenir les activités des </w:t>
            </w:r>
            <w:r w:rsidR="00B461EB">
              <w:rPr>
                <w:rFonts w:cs="HelveticaNeueLT Std Lt"/>
                <w:color w:val="000000"/>
                <w:szCs w:val="22"/>
                <w:lang w:val="fr-FR"/>
              </w:rPr>
              <w:t>C</w:t>
            </w:r>
            <w:r w:rsidRPr="003C0701">
              <w:rPr>
                <w:rFonts w:cs="HelveticaNeueLT Std Lt"/>
                <w:color w:val="000000"/>
                <w:szCs w:val="22"/>
                <w:lang w:val="fr-FR"/>
              </w:rPr>
              <w:t>ommissions d</w:t>
            </w:r>
            <w:r w:rsidR="00707FA1">
              <w:rPr>
                <w:rFonts w:cs="HelveticaNeueLT Std Lt"/>
                <w:color w:val="000000"/>
                <w:szCs w:val="22"/>
                <w:lang w:val="fr-FR"/>
              </w:rPr>
              <w:t>’études de l’UIT-D et vous prie d’</w:t>
            </w:r>
            <w:r w:rsidRPr="003C0701">
              <w:rPr>
                <w:rFonts w:cs="HelveticaNeueLT Std Lt"/>
                <w:color w:val="000000"/>
                <w:szCs w:val="22"/>
                <w:lang w:val="fr-FR"/>
              </w:rPr>
              <w:t>agrée</w:t>
            </w:r>
            <w:r w:rsidR="00707FA1">
              <w:rPr>
                <w:rFonts w:cs="HelveticaNeueLT Std Lt"/>
                <w:color w:val="000000"/>
                <w:szCs w:val="22"/>
                <w:lang w:val="fr-FR"/>
              </w:rPr>
              <w:t>r, Madame, Monsieur, l’</w:t>
            </w:r>
            <w:r w:rsidRPr="003C0701">
              <w:rPr>
                <w:rFonts w:cs="HelveticaNeueLT Std Lt"/>
                <w:color w:val="000000"/>
                <w:szCs w:val="22"/>
                <w:lang w:val="fr-FR"/>
              </w:rPr>
              <w:t>assurance de ma considération distinguée.</w:t>
            </w:r>
          </w:p>
          <w:p w:rsidR="00D36B71" w:rsidRDefault="00707FA1" w:rsidP="00D36B71">
            <w:pPr>
              <w:spacing w:before="0" w:after="0"/>
              <w:rPr>
                <w:lang w:val="fr-CH"/>
              </w:rPr>
            </w:pPr>
            <w:bookmarkStart w:id="3" w:name="_GoBack"/>
            <w:r>
              <w:rPr>
                <w:lang w:val="fr-CH"/>
              </w:rPr>
              <w:t>[Original signé]</w:t>
            </w:r>
          </w:p>
          <w:bookmarkEnd w:id="3"/>
          <w:p w:rsidR="00D36B71" w:rsidRDefault="00D36B71" w:rsidP="00D36B71">
            <w:pPr>
              <w:spacing w:before="0" w:after="0"/>
              <w:rPr>
                <w:lang w:val="fr-CH"/>
              </w:rPr>
            </w:pPr>
          </w:p>
          <w:p w:rsidR="00382074" w:rsidRDefault="00382074" w:rsidP="00D36B71">
            <w:pPr>
              <w:spacing w:before="0" w:after="0"/>
              <w:rPr>
                <w:lang w:val="fr-CH"/>
              </w:rPr>
            </w:pPr>
          </w:p>
          <w:p w:rsidR="00382074" w:rsidRDefault="00382074" w:rsidP="00D36B71">
            <w:pPr>
              <w:spacing w:before="0" w:after="0"/>
              <w:rPr>
                <w:lang w:val="fr-CH"/>
              </w:rPr>
            </w:pPr>
          </w:p>
          <w:p w:rsidR="00382074" w:rsidRDefault="00382074" w:rsidP="00D36B71">
            <w:pPr>
              <w:spacing w:before="0" w:after="0"/>
              <w:rPr>
                <w:lang w:val="fr-CH"/>
              </w:rPr>
            </w:pPr>
          </w:p>
          <w:p w:rsidR="00382074" w:rsidRDefault="00382074" w:rsidP="00D36B71">
            <w:pPr>
              <w:spacing w:before="0" w:after="0"/>
              <w:rPr>
                <w:lang w:val="fr-CH"/>
              </w:rPr>
            </w:pPr>
          </w:p>
          <w:p w:rsidR="00382074" w:rsidRDefault="00382074" w:rsidP="00D36B71">
            <w:pPr>
              <w:spacing w:before="0" w:after="0"/>
              <w:rPr>
                <w:lang w:val="fr-CH"/>
              </w:rPr>
            </w:pPr>
          </w:p>
          <w:p w:rsidR="006850F2" w:rsidRDefault="00090D6D" w:rsidP="00D36B71">
            <w:pPr>
              <w:pStyle w:val="BDTOpening"/>
              <w:spacing w:before="0" w:after="0"/>
              <w:rPr>
                <w:lang w:val="fr-FR"/>
              </w:rPr>
            </w:pPr>
            <w:r w:rsidRPr="00090D6D">
              <w:rPr>
                <w:lang w:val="fr-FR"/>
              </w:rPr>
              <w:t>Brahima Sanou</w:t>
            </w:r>
          </w:p>
          <w:p w:rsidR="0008307C" w:rsidRPr="00E54B2C" w:rsidRDefault="00090D6D" w:rsidP="00D36B71">
            <w:pPr>
              <w:pStyle w:val="BDTOpening"/>
              <w:spacing w:before="0" w:after="0"/>
              <w:rPr>
                <w:rFonts w:asciiTheme="minorHAnsi" w:hAnsiTheme="minorHAnsi"/>
                <w:lang w:val="fr-CH"/>
              </w:rPr>
            </w:pPr>
            <w:r w:rsidRPr="00090D6D">
              <w:rPr>
                <w:lang w:val="fr-FR"/>
              </w:rPr>
              <w:t>Directeur</w:t>
            </w:r>
          </w:p>
        </w:tc>
      </w:tr>
    </w:tbl>
    <w:p w:rsidR="00541252" w:rsidRDefault="00541252">
      <w:pPr>
        <w:spacing w:before="0" w:after="0"/>
        <w:rPr>
          <w:lang w:val="fr-CH"/>
        </w:rPr>
      </w:pPr>
      <w:bookmarkStart w:id="4" w:name="Formula"/>
      <w:bookmarkStart w:id="5" w:name="MainStory"/>
      <w:bookmarkStart w:id="6" w:name="CurrentLocation"/>
      <w:bookmarkEnd w:id="4"/>
      <w:bookmarkEnd w:id="5"/>
      <w:bookmarkEnd w:id="6"/>
      <w:r>
        <w:rPr>
          <w:lang w:val="fr-CH"/>
        </w:rPr>
        <w:lastRenderedPageBreak/>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A27B6B" w:rsidRPr="00382074" w:rsidTr="00A27B6B">
        <w:tc>
          <w:tcPr>
            <w:tcW w:w="9629" w:type="dxa"/>
          </w:tcPr>
          <w:p w:rsidR="00A27B6B" w:rsidRPr="001C2CC5" w:rsidRDefault="008C2862" w:rsidP="008C2862">
            <w:pPr>
              <w:pStyle w:val="NoSpacing"/>
              <w:spacing w:before="360" w:after="360"/>
              <w:jc w:val="center"/>
              <w:rPr>
                <w:sz w:val="22"/>
                <w:szCs w:val="22"/>
              </w:rPr>
            </w:pPr>
            <w:r w:rsidRPr="001C2CC5">
              <w:rPr>
                <w:sz w:val="22"/>
                <w:szCs w:val="22"/>
              </w:rPr>
              <w:lastRenderedPageBreak/>
              <w:t>Annexe</w:t>
            </w:r>
            <w:r w:rsidR="00A27B6B" w:rsidRPr="001C2CC5">
              <w:rPr>
                <w:sz w:val="22"/>
                <w:szCs w:val="22"/>
              </w:rPr>
              <w:t xml:space="preserve"> 1</w:t>
            </w:r>
          </w:p>
          <w:p w:rsidR="00CF1AD9" w:rsidRDefault="00CF1AD9" w:rsidP="00CF1AD9">
            <w:pPr>
              <w:pStyle w:val="NoSpacing"/>
              <w:rPr>
                <w:szCs w:val="22"/>
                <w:lang w:val="fr-FR"/>
              </w:rPr>
            </w:pPr>
            <w:r w:rsidRPr="00CF1AD9">
              <w:rPr>
                <w:szCs w:val="22"/>
                <w:lang w:val="fr-FR"/>
              </w:rPr>
              <w:t>On trouvera ci-après des précisions sur les domaines de co</w:t>
            </w:r>
            <w:r w:rsidR="00707FA1">
              <w:rPr>
                <w:szCs w:val="22"/>
                <w:lang w:val="fr-FR"/>
              </w:rPr>
              <w:t>mpétence des deux Commissions d’études de l’</w:t>
            </w:r>
            <w:r w:rsidRPr="00CF1AD9">
              <w:rPr>
                <w:szCs w:val="22"/>
                <w:lang w:val="fr-FR"/>
              </w:rPr>
              <w:t>UIT-D et sur les Questions qui leur ont été confiées par la CMDT-17.</w:t>
            </w:r>
          </w:p>
          <w:p w:rsidR="006E2F6E" w:rsidRPr="006E2F6E" w:rsidRDefault="006E2F6E" w:rsidP="006E2F6E">
            <w:pPr>
              <w:pStyle w:val="CEOHeading1Underlined"/>
              <w:spacing w:before="240"/>
              <w:rPr>
                <w:rFonts w:asciiTheme="minorHAnsi" w:hAnsiTheme="minorHAnsi"/>
                <w:sz w:val="22"/>
                <w:szCs w:val="22"/>
                <w:lang w:val="fr-CH"/>
              </w:rPr>
            </w:pPr>
            <w:r w:rsidRPr="006E2F6E">
              <w:rPr>
                <w:rFonts w:asciiTheme="minorHAnsi" w:hAnsiTheme="minorHAnsi"/>
                <w:sz w:val="22"/>
                <w:szCs w:val="22"/>
                <w:lang w:val="fr-CH"/>
              </w:rPr>
              <w:t>Domaine d</w:t>
            </w:r>
            <w:r w:rsidR="00707FA1">
              <w:rPr>
                <w:rFonts w:asciiTheme="minorHAnsi" w:hAnsiTheme="minorHAnsi"/>
                <w:sz w:val="22"/>
                <w:szCs w:val="22"/>
                <w:lang w:val="fr-CH"/>
              </w:rPr>
              <w:t>e compétence de la Commission d’</w:t>
            </w:r>
            <w:r w:rsidRPr="006E2F6E">
              <w:rPr>
                <w:rFonts w:asciiTheme="minorHAnsi" w:hAnsiTheme="minorHAnsi"/>
                <w:sz w:val="22"/>
                <w:szCs w:val="22"/>
                <w:lang w:val="fr-CH"/>
              </w:rPr>
              <w:t>études 1</w:t>
            </w:r>
          </w:p>
          <w:p w:rsidR="00CF1AD9" w:rsidRPr="00CF1AD9" w:rsidRDefault="00CF1AD9" w:rsidP="00B7234F">
            <w:pPr>
              <w:pStyle w:val="NoSpacing"/>
              <w:spacing w:before="120" w:after="120"/>
              <w:rPr>
                <w:b/>
                <w:i/>
                <w:iCs/>
                <w:szCs w:val="22"/>
                <w:lang w:val="fr-FR"/>
              </w:rPr>
            </w:pPr>
            <w:r w:rsidRPr="00CF1AD9">
              <w:rPr>
                <w:b/>
                <w:i/>
                <w:iCs/>
                <w:szCs w:val="22"/>
                <w:lang w:val="fr-FR"/>
              </w:rPr>
              <w:t>Environnement propice</w:t>
            </w:r>
            <w:r w:rsidRPr="00CF1AD9">
              <w:rPr>
                <w:bCs/>
                <w:i/>
                <w:iCs/>
                <w:szCs w:val="22"/>
                <w:lang w:val="fr-FR"/>
              </w:rPr>
              <w:t xml:space="preserve"> </w:t>
            </w:r>
            <w:r w:rsidRPr="00CF1AD9">
              <w:rPr>
                <w:b/>
                <w:bCs/>
                <w:i/>
                <w:iCs/>
                <w:szCs w:val="22"/>
                <w:lang w:val="fr-FR"/>
              </w:rPr>
              <w:t>au développement des télécommunications/TIC</w:t>
            </w:r>
          </w:p>
          <w:p w:rsidR="00CF1AD9" w:rsidRPr="00CF1AD9" w:rsidRDefault="00FA2710" w:rsidP="00FA2710">
            <w:pPr>
              <w:pStyle w:val="NoSpacing"/>
              <w:tabs>
                <w:tab w:val="left" w:pos="384"/>
              </w:tabs>
              <w:ind w:left="384" w:hanging="384"/>
              <w:rPr>
                <w:szCs w:val="22"/>
              </w:rPr>
            </w:pPr>
            <w:r w:rsidRPr="00FA2710">
              <w:rPr>
                <w:szCs w:val="22"/>
                <w:lang w:val="fr-FR"/>
              </w:rPr>
              <w:t>–</w:t>
            </w:r>
            <w:r>
              <w:rPr>
                <w:szCs w:val="22"/>
                <w:lang w:val="fr-FR"/>
              </w:rPr>
              <w:tab/>
            </w:r>
            <w:r w:rsidR="00CF1AD9" w:rsidRPr="00CF1AD9">
              <w:rPr>
                <w:szCs w:val="22"/>
              </w:rPr>
              <w:t>Elaboration des politiques, des réglementations, des techniques et des stratégies nationales de télécommunication/TIC les mieux à même de permett</w:t>
            </w:r>
            <w:r w:rsidR="00707FA1">
              <w:rPr>
                <w:szCs w:val="22"/>
              </w:rPr>
              <w:t>re aux pays de tirer parti de l’</w:t>
            </w:r>
            <w:r w:rsidR="00CF1AD9" w:rsidRPr="00CF1AD9">
              <w:rPr>
                <w:szCs w:val="22"/>
              </w:rPr>
              <w:t>élan imprimé par les télécommunications/TIC, ainsi que des infrastructures adaptées</w:t>
            </w:r>
            <w:r w:rsidR="00707FA1">
              <w:rPr>
                <w:szCs w:val="22"/>
              </w:rPr>
              <w:t xml:space="preserve"> aux services large bande, de l’</w:t>
            </w:r>
            <w:r w:rsidR="00CF1AD9" w:rsidRPr="00CF1AD9">
              <w:rPr>
                <w:szCs w:val="22"/>
              </w:rPr>
              <w:t>informatique en nuage, de la virtualisation des fonctions de réseau (NVF), de la protection des consommateurs et des réseaux futurs, en tant que m</w:t>
            </w:r>
            <w:r w:rsidR="00707FA1">
              <w:rPr>
                <w:szCs w:val="22"/>
              </w:rPr>
              <w:t>oteur d’une croissance durable.</w:t>
            </w:r>
          </w:p>
          <w:p w:rsidR="00CF1AD9" w:rsidRPr="00CF1AD9" w:rsidRDefault="00FA2710" w:rsidP="00FA2710">
            <w:pPr>
              <w:pStyle w:val="NoSpacing"/>
              <w:tabs>
                <w:tab w:val="left" w:pos="384"/>
              </w:tabs>
              <w:ind w:left="384" w:hanging="384"/>
              <w:rPr>
                <w:szCs w:val="22"/>
              </w:rPr>
            </w:pPr>
            <w:r w:rsidRPr="00FA2710">
              <w:rPr>
                <w:szCs w:val="22"/>
                <w:lang w:val="fr-FR"/>
              </w:rPr>
              <w:t>–</w:t>
            </w:r>
            <w:r>
              <w:rPr>
                <w:szCs w:val="22"/>
                <w:lang w:val="fr-FR"/>
              </w:rPr>
              <w:tab/>
            </w:r>
            <w:r w:rsidR="00CF1AD9" w:rsidRPr="00CF1AD9">
              <w:rPr>
                <w:szCs w:val="22"/>
              </w:rPr>
              <w:t xml:space="preserve">Politiques économiques et méthodes de détermination des coûts des services relatifs aux télécommunications/TIC nationales, y compris les méthodes permettant de </w:t>
            </w:r>
            <w:r w:rsidR="00707FA1">
              <w:rPr>
                <w:szCs w:val="22"/>
              </w:rPr>
              <w:t>faciliter la mise en place de l’</w:t>
            </w:r>
            <w:r w:rsidR="00CF1AD9" w:rsidRPr="00CF1AD9">
              <w:rPr>
                <w:szCs w:val="22"/>
              </w:rPr>
              <w:t>économie numérique.</w:t>
            </w:r>
          </w:p>
          <w:p w:rsidR="00CF1AD9" w:rsidRPr="00CF1AD9" w:rsidRDefault="00FA2710" w:rsidP="00FA2710">
            <w:pPr>
              <w:pStyle w:val="NoSpacing"/>
              <w:tabs>
                <w:tab w:val="left" w:pos="384"/>
              </w:tabs>
              <w:rPr>
                <w:szCs w:val="22"/>
              </w:rPr>
            </w:pPr>
            <w:r w:rsidRPr="00FA2710">
              <w:rPr>
                <w:szCs w:val="22"/>
                <w:lang w:val="fr-FR"/>
              </w:rPr>
              <w:t>–</w:t>
            </w:r>
            <w:r>
              <w:rPr>
                <w:szCs w:val="22"/>
                <w:lang w:val="fr-FR"/>
              </w:rPr>
              <w:tab/>
            </w:r>
            <w:r w:rsidR="00CF1AD9" w:rsidRPr="00CF1AD9">
              <w:rPr>
                <w:szCs w:val="22"/>
              </w:rPr>
              <w:t>Accessibilité des télécommunications/TIC dans les zones rurales et isolées.</w:t>
            </w:r>
          </w:p>
          <w:p w:rsidR="00CF1AD9" w:rsidRPr="00CF1AD9" w:rsidRDefault="00FA2710" w:rsidP="00FA2710">
            <w:pPr>
              <w:pStyle w:val="NoSpacing"/>
              <w:tabs>
                <w:tab w:val="left" w:pos="384"/>
              </w:tabs>
              <w:ind w:left="384" w:hanging="384"/>
              <w:rPr>
                <w:szCs w:val="22"/>
              </w:rPr>
            </w:pPr>
            <w:r w:rsidRPr="00FA2710">
              <w:rPr>
                <w:szCs w:val="22"/>
                <w:lang w:val="fr-FR"/>
              </w:rPr>
              <w:t>–</w:t>
            </w:r>
            <w:r>
              <w:rPr>
                <w:szCs w:val="22"/>
                <w:lang w:val="fr-FR"/>
              </w:rPr>
              <w:tab/>
            </w:r>
            <w:r w:rsidR="00CF1AD9" w:rsidRPr="00CF1AD9">
              <w:rPr>
                <w:szCs w:val="22"/>
              </w:rPr>
              <w:t>Politiques, réglementations et stratégies nationa</w:t>
            </w:r>
            <w:r w:rsidR="00707FA1">
              <w:rPr>
                <w:szCs w:val="22"/>
              </w:rPr>
              <w:t>les relatives à la fourniture d’</w:t>
            </w:r>
            <w:r w:rsidR="00CF1AD9" w:rsidRPr="00CF1AD9">
              <w:rPr>
                <w:szCs w:val="22"/>
              </w:rPr>
              <w:t>un accès aux télécommunications/TIC dans les zones rurales et isolées.</w:t>
            </w:r>
          </w:p>
          <w:p w:rsidR="00CF1AD9" w:rsidRPr="00CF1AD9" w:rsidRDefault="00FA2710" w:rsidP="00FA2710">
            <w:pPr>
              <w:pStyle w:val="NoSpacing"/>
              <w:tabs>
                <w:tab w:val="left" w:pos="384"/>
              </w:tabs>
              <w:ind w:left="384" w:hanging="384"/>
              <w:rPr>
                <w:szCs w:val="22"/>
              </w:rPr>
            </w:pPr>
            <w:r w:rsidRPr="00FA2710">
              <w:rPr>
                <w:szCs w:val="22"/>
                <w:lang w:val="fr-FR"/>
              </w:rPr>
              <w:t>–</w:t>
            </w:r>
            <w:r>
              <w:rPr>
                <w:szCs w:val="22"/>
                <w:lang w:val="fr-FR"/>
              </w:rPr>
              <w:tab/>
            </w:r>
            <w:r w:rsidR="00CF1AD9" w:rsidRPr="00CF1AD9">
              <w:rPr>
                <w:szCs w:val="22"/>
              </w:rPr>
              <w:t>Accès des personnes handicapées et des autres personnes ayant des besoins particuliers aux services de télécommunication/TIC.</w:t>
            </w:r>
          </w:p>
          <w:p w:rsidR="00CF1AD9" w:rsidRPr="00CF1AD9" w:rsidRDefault="00CF1AD9" w:rsidP="00FA2710">
            <w:pPr>
              <w:pStyle w:val="NoSpacing"/>
              <w:tabs>
                <w:tab w:val="left" w:pos="384"/>
              </w:tabs>
              <w:rPr>
                <w:b/>
                <w:bCs/>
                <w:szCs w:val="22"/>
              </w:rPr>
            </w:pPr>
            <w:r w:rsidRPr="00CF1AD9">
              <w:rPr>
                <w:b/>
                <w:bCs/>
                <w:szCs w:val="22"/>
                <w:lang w:val="en-GB"/>
              </w:rPr>
              <w:sym w:font="Symbol" w:char="F02D"/>
            </w:r>
            <w:r w:rsidRPr="00CF1AD9">
              <w:rPr>
                <w:szCs w:val="22"/>
              </w:rPr>
              <w:tab/>
              <w:t>Transition vers la radiodiffusion numérique et son adoption, et mise en oeuvre de nouveaux services.</w:t>
            </w:r>
          </w:p>
          <w:p w:rsidR="00B7234F" w:rsidRPr="00B7234F" w:rsidRDefault="00CF1AD9" w:rsidP="00B7234F">
            <w:pPr>
              <w:pStyle w:val="CEOHeading1Underlined"/>
              <w:spacing w:before="240"/>
              <w:rPr>
                <w:rFonts w:asciiTheme="minorHAnsi" w:hAnsiTheme="minorHAnsi"/>
                <w:sz w:val="22"/>
                <w:szCs w:val="22"/>
                <w:lang w:val="fr-CH"/>
              </w:rPr>
            </w:pPr>
            <w:r w:rsidRPr="00B7234F">
              <w:rPr>
                <w:rFonts w:asciiTheme="minorHAnsi" w:hAnsiTheme="minorHAnsi"/>
                <w:sz w:val="22"/>
                <w:szCs w:val="22"/>
                <w:lang w:val="fr-CH"/>
              </w:rPr>
              <w:t>Questio</w:t>
            </w:r>
            <w:r w:rsidR="00707FA1">
              <w:rPr>
                <w:rFonts w:asciiTheme="minorHAnsi" w:hAnsiTheme="minorHAnsi"/>
                <w:sz w:val="22"/>
                <w:szCs w:val="22"/>
                <w:lang w:val="fr-CH"/>
              </w:rPr>
              <w:t>ns attribuées à la Commission d’</w:t>
            </w:r>
            <w:r w:rsidRPr="00B7234F">
              <w:rPr>
                <w:rFonts w:asciiTheme="minorHAnsi" w:hAnsiTheme="minorHAnsi"/>
                <w:sz w:val="22"/>
                <w:szCs w:val="22"/>
                <w:lang w:val="fr-CH"/>
              </w:rPr>
              <w:t>études 1 par la CMDT-17</w:t>
            </w:r>
          </w:p>
          <w:p w:rsidR="00B7234F" w:rsidRPr="0058789E" w:rsidRDefault="00B7234F" w:rsidP="00B7234F">
            <w:pPr>
              <w:pStyle w:val="CEONormal"/>
              <w:spacing w:before="0" w:after="0"/>
              <w:rPr>
                <w:rFonts w:asciiTheme="minorHAnsi" w:hAnsiTheme="minorHAnsi"/>
                <w:sz w:val="22"/>
                <w:szCs w:val="22"/>
                <w:highlight w:val="yellow"/>
                <w:lang w:val="fr-CH"/>
              </w:rPr>
            </w:pPr>
          </w:p>
          <w:tbl>
            <w:tblPr>
              <w:tblStyle w:val="TableGrid"/>
              <w:tblW w:w="0" w:type="auto"/>
              <w:tblLook w:val="04A0" w:firstRow="1" w:lastRow="0" w:firstColumn="1" w:lastColumn="0" w:noHBand="0" w:noVBand="1"/>
            </w:tblPr>
            <w:tblGrid>
              <w:gridCol w:w="1413"/>
              <w:gridCol w:w="7263"/>
            </w:tblGrid>
            <w:tr w:rsidR="00CF1AD9" w:rsidRPr="00CF1AD9" w:rsidTr="0058789E">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F1AD9" w:rsidRPr="00B7234F" w:rsidRDefault="00CF1AD9" w:rsidP="00CF1AD9">
                  <w:pPr>
                    <w:pStyle w:val="NoSpacing"/>
                    <w:rPr>
                      <w:b/>
                      <w:bCs/>
                      <w:szCs w:val="22"/>
                      <w:lang w:val="fr-FR"/>
                    </w:rPr>
                  </w:pPr>
                  <w:r w:rsidRPr="00B7234F">
                    <w:rPr>
                      <w:b/>
                      <w:bCs/>
                      <w:szCs w:val="22"/>
                      <w:lang w:val="fr-FR"/>
                    </w:rPr>
                    <w:t>Numéro</w:t>
                  </w:r>
                </w:p>
              </w:tc>
              <w:tc>
                <w:tcPr>
                  <w:tcW w:w="7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F1AD9" w:rsidRPr="00CF1AD9" w:rsidRDefault="00CF1AD9" w:rsidP="00CF1AD9">
                  <w:pPr>
                    <w:pStyle w:val="NoSpacing"/>
                    <w:rPr>
                      <w:b/>
                      <w:bCs/>
                      <w:szCs w:val="22"/>
                      <w:lang w:val="fr-FR"/>
                    </w:rPr>
                  </w:pPr>
                  <w:r w:rsidRPr="00CF1AD9">
                    <w:rPr>
                      <w:b/>
                      <w:bCs/>
                      <w:szCs w:val="22"/>
                      <w:lang w:val="fr-FR"/>
                    </w:rPr>
                    <w:t>Titre</w:t>
                  </w:r>
                </w:p>
              </w:tc>
            </w:tr>
            <w:tr w:rsidR="00CF1AD9" w:rsidRPr="00382074" w:rsidTr="0058789E">
              <w:tc>
                <w:tcPr>
                  <w:tcW w:w="1413" w:type="dxa"/>
                  <w:tcBorders>
                    <w:top w:val="single" w:sz="4" w:space="0" w:color="auto"/>
                    <w:left w:val="single" w:sz="4" w:space="0" w:color="auto"/>
                    <w:bottom w:val="single" w:sz="4" w:space="0" w:color="auto"/>
                    <w:right w:val="single" w:sz="4" w:space="0" w:color="auto"/>
                  </w:tcBorders>
                  <w:hideMark/>
                </w:tcPr>
                <w:p w:rsidR="00CF1AD9" w:rsidRPr="00CF1AD9" w:rsidRDefault="00CF1AD9" w:rsidP="00CF1AD9">
                  <w:pPr>
                    <w:pStyle w:val="NoSpacing"/>
                    <w:rPr>
                      <w:szCs w:val="22"/>
                      <w:lang w:val="fr-FR"/>
                    </w:rPr>
                  </w:pPr>
                  <w:r w:rsidRPr="00CF1AD9">
                    <w:rPr>
                      <w:szCs w:val="22"/>
                      <w:lang w:val="fr-FR"/>
                    </w:rPr>
                    <w:t>Q1/1</w:t>
                  </w:r>
                </w:p>
              </w:tc>
              <w:tc>
                <w:tcPr>
                  <w:tcW w:w="7263" w:type="dxa"/>
                  <w:tcBorders>
                    <w:top w:val="single" w:sz="4" w:space="0" w:color="auto"/>
                    <w:left w:val="single" w:sz="4" w:space="0" w:color="auto"/>
                    <w:bottom w:val="single" w:sz="4" w:space="0" w:color="auto"/>
                    <w:right w:val="single" w:sz="4" w:space="0" w:color="auto"/>
                  </w:tcBorders>
                  <w:hideMark/>
                </w:tcPr>
                <w:p w:rsidR="00CF1AD9" w:rsidRPr="00CF1AD9" w:rsidRDefault="00CF1AD9" w:rsidP="00CF1AD9">
                  <w:pPr>
                    <w:pStyle w:val="NoSpacing"/>
                    <w:rPr>
                      <w:szCs w:val="22"/>
                      <w:lang w:val="fr-FR"/>
                    </w:rPr>
                  </w:pPr>
                  <w:r w:rsidRPr="00CF1AD9">
                    <w:rPr>
                      <w:szCs w:val="22"/>
                    </w:rPr>
                    <w:t>Stratégies et politiques pour le déploiement du large bande dans les pays en développement</w:t>
                  </w:r>
                </w:p>
              </w:tc>
            </w:tr>
            <w:tr w:rsidR="00CF1AD9" w:rsidRPr="00382074" w:rsidTr="0058789E">
              <w:tc>
                <w:tcPr>
                  <w:tcW w:w="1413" w:type="dxa"/>
                  <w:tcBorders>
                    <w:top w:val="single" w:sz="4" w:space="0" w:color="auto"/>
                    <w:left w:val="single" w:sz="4" w:space="0" w:color="auto"/>
                    <w:bottom w:val="single" w:sz="4" w:space="0" w:color="auto"/>
                    <w:right w:val="single" w:sz="4" w:space="0" w:color="auto"/>
                  </w:tcBorders>
                  <w:hideMark/>
                </w:tcPr>
                <w:p w:rsidR="00CF1AD9" w:rsidRPr="00CF1AD9" w:rsidRDefault="00CF1AD9" w:rsidP="00CF1AD9">
                  <w:pPr>
                    <w:pStyle w:val="NoSpacing"/>
                    <w:rPr>
                      <w:szCs w:val="22"/>
                      <w:lang w:val="fr-FR"/>
                    </w:rPr>
                  </w:pPr>
                  <w:r w:rsidRPr="00CF1AD9">
                    <w:rPr>
                      <w:szCs w:val="22"/>
                      <w:lang w:val="fr-FR"/>
                    </w:rPr>
                    <w:t>Q2/1</w:t>
                  </w:r>
                </w:p>
              </w:tc>
              <w:tc>
                <w:tcPr>
                  <w:tcW w:w="7263" w:type="dxa"/>
                  <w:tcBorders>
                    <w:top w:val="single" w:sz="4" w:space="0" w:color="auto"/>
                    <w:left w:val="single" w:sz="4" w:space="0" w:color="auto"/>
                    <w:bottom w:val="single" w:sz="4" w:space="0" w:color="auto"/>
                    <w:right w:val="single" w:sz="4" w:space="0" w:color="auto"/>
                  </w:tcBorders>
                  <w:hideMark/>
                </w:tcPr>
                <w:p w:rsidR="00CF1AD9" w:rsidRPr="00CF1AD9" w:rsidRDefault="00CF1AD9" w:rsidP="00CF1AD9">
                  <w:pPr>
                    <w:pStyle w:val="NoSpacing"/>
                    <w:rPr>
                      <w:szCs w:val="22"/>
                      <w:lang w:val="fr-FR"/>
                    </w:rPr>
                  </w:pPr>
                  <w:r w:rsidRPr="00CF1AD9">
                    <w:rPr>
                      <w:szCs w:val="22"/>
                    </w:rPr>
                    <w:t>Stratégies, politiques, réglementations et méthodes relatives au passage à la radiodiffusion numérique et son adoption, et mise en oeuvre de nouveaux services</w:t>
                  </w:r>
                </w:p>
              </w:tc>
            </w:tr>
            <w:tr w:rsidR="00CF1AD9" w:rsidRPr="00382074" w:rsidTr="0058789E">
              <w:tc>
                <w:tcPr>
                  <w:tcW w:w="1413" w:type="dxa"/>
                  <w:tcBorders>
                    <w:top w:val="single" w:sz="4" w:space="0" w:color="auto"/>
                    <w:left w:val="single" w:sz="4" w:space="0" w:color="auto"/>
                    <w:bottom w:val="single" w:sz="4" w:space="0" w:color="auto"/>
                    <w:right w:val="single" w:sz="4" w:space="0" w:color="auto"/>
                  </w:tcBorders>
                  <w:hideMark/>
                </w:tcPr>
                <w:p w:rsidR="00CF1AD9" w:rsidRPr="00CF1AD9" w:rsidRDefault="00CF1AD9" w:rsidP="00CF1AD9">
                  <w:pPr>
                    <w:pStyle w:val="NoSpacing"/>
                    <w:rPr>
                      <w:szCs w:val="22"/>
                      <w:lang w:val="fr-FR"/>
                    </w:rPr>
                  </w:pPr>
                  <w:r w:rsidRPr="00CF1AD9">
                    <w:rPr>
                      <w:szCs w:val="22"/>
                      <w:lang w:val="fr-FR"/>
                    </w:rPr>
                    <w:t>Q3/1</w:t>
                  </w:r>
                </w:p>
              </w:tc>
              <w:tc>
                <w:tcPr>
                  <w:tcW w:w="7263" w:type="dxa"/>
                  <w:tcBorders>
                    <w:top w:val="single" w:sz="4" w:space="0" w:color="auto"/>
                    <w:left w:val="single" w:sz="4" w:space="0" w:color="auto"/>
                    <w:bottom w:val="single" w:sz="4" w:space="0" w:color="auto"/>
                    <w:right w:val="single" w:sz="4" w:space="0" w:color="auto"/>
                  </w:tcBorders>
                  <w:hideMark/>
                </w:tcPr>
                <w:p w:rsidR="00CF1AD9" w:rsidRPr="00CF1AD9" w:rsidRDefault="00CF1AD9" w:rsidP="00CF1AD9">
                  <w:pPr>
                    <w:pStyle w:val="NoSpacing"/>
                    <w:rPr>
                      <w:szCs w:val="22"/>
                    </w:rPr>
                  </w:pPr>
                  <w:r w:rsidRPr="00CF1AD9">
                    <w:rPr>
                      <w:szCs w:val="22"/>
                    </w:rPr>
                    <w:t>Techn</w:t>
                  </w:r>
                  <w:r w:rsidR="00707FA1">
                    <w:rPr>
                      <w:szCs w:val="22"/>
                    </w:rPr>
                    <w:t>ologies émergentes, y compris l’</w:t>
                  </w:r>
                  <w:r w:rsidRPr="00CF1AD9">
                    <w:rPr>
                      <w:szCs w:val="22"/>
                    </w:rPr>
                    <w:t>informatique en nuage, les services sur mobile et les services OTT: enjeux et perspectives, incidences sur le plan de l'économie et de la politique générale pour les pays en développement</w:t>
                  </w:r>
                </w:p>
              </w:tc>
            </w:tr>
            <w:tr w:rsidR="00CF1AD9" w:rsidRPr="00382074" w:rsidTr="0058789E">
              <w:tc>
                <w:tcPr>
                  <w:tcW w:w="1413" w:type="dxa"/>
                  <w:tcBorders>
                    <w:top w:val="single" w:sz="4" w:space="0" w:color="auto"/>
                    <w:left w:val="single" w:sz="4" w:space="0" w:color="auto"/>
                    <w:bottom w:val="single" w:sz="4" w:space="0" w:color="auto"/>
                    <w:right w:val="single" w:sz="4" w:space="0" w:color="auto"/>
                  </w:tcBorders>
                  <w:hideMark/>
                </w:tcPr>
                <w:p w:rsidR="00CF1AD9" w:rsidRPr="00CF1AD9" w:rsidRDefault="00CF1AD9" w:rsidP="00CF1AD9">
                  <w:pPr>
                    <w:pStyle w:val="NoSpacing"/>
                    <w:rPr>
                      <w:szCs w:val="22"/>
                      <w:lang w:val="fr-FR"/>
                    </w:rPr>
                  </w:pPr>
                  <w:r w:rsidRPr="00CF1AD9">
                    <w:rPr>
                      <w:szCs w:val="22"/>
                      <w:lang w:val="fr-FR"/>
                    </w:rPr>
                    <w:t>Q4/1</w:t>
                  </w:r>
                </w:p>
              </w:tc>
              <w:tc>
                <w:tcPr>
                  <w:tcW w:w="7263" w:type="dxa"/>
                  <w:tcBorders>
                    <w:top w:val="single" w:sz="4" w:space="0" w:color="auto"/>
                    <w:left w:val="single" w:sz="4" w:space="0" w:color="auto"/>
                    <w:bottom w:val="single" w:sz="4" w:space="0" w:color="auto"/>
                    <w:right w:val="single" w:sz="4" w:space="0" w:color="auto"/>
                  </w:tcBorders>
                </w:tcPr>
                <w:p w:rsidR="00CF1AD9" w:rsidRPr="00CF1AD9" w:rsidRDefault="00CF1AD9" w:rsidP="00CF1AD9">
                  <w:pPr>
                    <w:pStyle w:val="NoSpacing"/>
                    <w:rPr>
                      <w:szCs w:val="22"/>
                      <w:lang w:val="fr-FR"/>
                    </w:rPr>
                  </w:pPr>
                  <w:r w:rsidRPr="00CF1AD9">
                    <w:rPr>
                      <w:szCs w:val="22"/>
                    </w:rPr>
                    <w:t>Politiques économiques et méthodes de détermination des coûts des services relatifs aux réseaux nationaux de télécommunications/TIC</w:t>
                  </w:r>
                </w:p>
              </w:tc>
            </w:tr>
            <w:tr w:rsidR="00CF1AD9" w:rsidRPr="00382074" w:rsidTr="0058789E">
              <w:tc>
                <w:tcPr>
                  <w:tcW w:w="1413" w:type="dxa"/>
                  <w:tcBorders>
                    <w:top w:val="single" w:sz="4" w:space="0" w:color="auto"/>
                    <w:left w:val="single" w:sz="4" w:space="0" w:color="auto"/>
                    <w:bottom w:val="single" w:sz="4" w:space="0" w:color="auto"/>
                    <w:right w:val="single" w:sz="4" w:space="0" w:color="auto"/>
                  </w:tcBorders>
                  <w:hideMark/>
                </w:tcPr>
                <w:p w:rsidR="00CF1AD9" w:rsidRPr="00CF1AD9" w:rsidRDefault="00CF1AD9" w:rsidP="00CF1AD9">
                  <w:pPr>
                    <w:pStyle w:val="NoSpacing"/>
                    <w:rPr>
                      <w:szCs w:val="22"/>
                      <w:lang w:val="fr-FR"/>
                    </w:rPr>
                  </w:pPr>
                  <w:r w:rsidRPr="00CF1AD9">
                    <w:rPr>
                      <w:szCs w:val="22"/>
                      <w:lang w:val="fr-FR"/>
                    </w:rPr>
                    <w:t>Q5/1</w:t>
                  </w:r>
                </w:p>
              </w:tc>
              <w:tc>
                <w:tcPr>
                  <w:tcW w:w="7263" w:type="dxa"/>
                  <w:tcBorders>
                    <w:top w:val="single" w:sz="4" w:space="0" w:color="auto"/>
                    <w:left w:val="single" w:sz="4" w:space="0" w:color="auto"/>
                    <w:bottom w:val="single" w:sz="4" w:space="0" w:color="auto"/>
                    <w:right w:val="single" w:sz="4" w:space="0" w:color="auto"/>
                  </w:tcBorders>
                </w:tcPr>
                <w:p w:rsidR="00CF1AD9" w:rsidRPr="00CF1AD9" w:rsidRDefault="00CF1AD9" w:rsidP="00CF1AD9">
                  <w:pPr>
                    <w:pStyle w:val="NoSpacing"/>
                    <w:rPr>
                      <w:szCs w:val="22"/>
                      <w:lang w:val="fr-FR"/>
                    </w:rPr>
                  </w:pPr>
                  <w:r w:rsidRPr="00CF1AD9">
                    <w:rPr>
                      <w:szCs w:val="22"/>
                      <w:lang w:val="fr-FR"/>
                    </w:rPr>
                    <w:t>Télécommunications/TIC pour les zones rurales et isolées</w:t>
                  </w:r>
                </w:p>
              </w:tc>
            </w:tr>
            <w:tr w:rsidR="00CF1AD9" w:rsidRPr="00382074" w:rsidTr="0058789E">
              <w:tc>
                <w:tcPr>
                  <w:tcW w:w="1413" w:type="dxa"/>
                  <w:tcBorders>
                    <w:top w:val="single" w:sz="4" w:space="0" w:color="auto"/>
                    <w:left w:val="single" w:sz="4" w:space="0" w:color="auto"/>
                    <w:bottom w:val="single" w:sz="4" w:space="0" w:color="auto"/>
                    <w:right w:val="single" w:sz="4" w:space="0" w:color="auto"/>
                  </w:tcBorders>
                  <w:hideMark/>
                </w:tcPr>
                <w:p w:rsidR="00CF1AD9" w:rsidRPr="00CF1AD9" w:rsidRDefault="00CF1AD9" w:rsidP="00CF1AD9">
                  <w:pPr>
                    <w:pStyle w:val="NoSpacing"/>
                    <w:rPr>
                      <w:szCs w:val="22"/>
                      <w:lang w:val="fr-FR"/>
                    </w:rPr>
                  </w:pPr>
                  <w:r w:rsidRPr="00CF1AD9">
                    <w:rPr>
                      <w:szCs w:val="22"/>
                      <w:lang w:val="fr-FR"/>
                    </w:rPr>
                    <w:t>Q6/1</w:t>
                  </w:r>
                </w:p>
              </w:tc>
              <w:tc>
                <w:tcPr>
                  <w:tcW w:w="7263" w:type="dxa"/>
                  <w:tcBorders>
                    <w:top w:val="single" w:sz="4" w:space="0" w:color="auto"/>
                    <w:left w:val="single" w:sz="4" w:space="0" w:color="auto"/>
                    <w:bottom w:val="single" w:sz="4" w:space="0" w:color="auto"/>
                    <w:right w:val="single" w:sz="4" w:space="0" w:color="auto"/>
                  </w:tcBorders>
                  <w:hideMark/>
                </w:tcPr>
                <w:p w:rsidR="00CF1AD9" w:rsidRPr="00CF1AD9" w:rsidRDefault="00CF1AD9" w:rsidP="00CF1AD9">
                  <w:pPr>
                    <w:pStyle w:val="NoSpacing"/>
                    <w:rPr>
                      <w:szCs w:val="22"/>
                      <w:lang w:val="fr-FR"/>
                    </w:rPr>
                  </w:pPr>
                  <w:r w:rsidRPr="00CF1AD9">
                    <w:rPr>
                      <w:szCs w:val="22"/>
                    </w:rPr>
                    <w:t>Information, protection et droits du consommateur: lois, réglementation, fondements économiques, réseaux de consommateurs</w:t>
                  </w:r>
                </w:p>
              </w:tc>
            </w:tr>
            <w:tr w:rsidR="00CF1AD9" w:rsidRPr="00382074" w:rsidTr="0058789E">
              <w:tc>
                <w:tcPr>
                  <w:tcW w:w="1413" w:type="dxa"/>
                  <w:tcBorders>
                    <w:top w:val="single" w:sz="4" w:space="0" w:color="auto"/>
                    <w:left w:val="single" w:sz="4" w:space="0" w:color="auto"/>
                    <w:bottom w:val="single" w:sz="4" w:space="0" w:color="auto"/>
                    <w:right w:val="single" w:sz="4" w:space="0" w:color="auto"/>
                  </w:tcBorders>
                  <w:hideMark/>
                </w:tcPr>
                <w:p w:rsidR="00CF1AD9" w:rsidRPr="00CF1AD9" w:rsidRDefault="00CF1AD9" w:rsidP="00CF1AD9">
                  <w:pPr>
                    <w:pStyle w:val="NoSpacing"/>
                    <w:rPr>
                      <w:szCs w:val="22"/>
                      <w:lang w:val="fr-FR"/>
                    </w:rPr>
                  </w:pPr>
                  <w:r w:rsidRPr="00CF1AD9">
                    <w:rPr>
                      <w:szCs w:val="22"/>
                      <w:lang w:val="fr-FR"/>
                    </w:rPr>
                    <w:t>Q7/1</w:t>
                  </w:r>
                </w:p>
              </w:tc>
              <w:tc>
                <w:tcPr>
                  <w:tcW w:w="7263" w:type="dxa"/>
                  <w:tcBorders>
                    <w:top w:val="single" w:sz="4" w:space="0" w:color="auto"/>
                    <w:left w:val="single" w:sz="4" w:space="0" w:color="auto"/>
                    <w:bottom w:val="single" w:sz="4" w:space="0" w:color="auto"/>
                    <w:right w:val="single" w:sz="4" w:space="0" w:color="auto"/>
                  </w:tcBorders>
                  <w:hideMark/>
                </w:tcPr>
                <w:p w:rsidR="00CF1AD9" w:rsidRPr="00CF1AD9" w:rsidRDefault="00CF1AD9" w:rsidP="00CF1AD9">
                  <w:pPr>
                    <w:pStyle w:val="NoSpacing"/>
                    <w:rPr>
                      <w:szCs w:val="22"/>
                      <w:lang w:val="fr-FR"/>
                    </w:rPr>
                  </w:pPr>
                  <w:r w:rsidRPr="00CF1AD9">
                    <w:rPr>
                      <w:szCs w:val="22"/>
                    </w:rPr>
                    <w:t>Accès des personnes handicapées et des autres personnes ayant des besoins particuliers aux services de télécommunication/TIC</w:t>
                  </w:r>
                </w:p>
              </w:tc>
            </w:tr>
          </w:tbl>
          <w:p w:rsidR="00FC13EA" w:rsidRPr="00FC13EA" w:rsidRDefault="00CF1AD9" w:rsidP="00FC13EA">
            <w:pPr>
              <w:pStyle w:val="CEOHeading1Underlined"/>
              <w:spacing w:before="240"/>
              <w:rPr>
                <w:rFonts w:asciiTheme="minorHAnsi" w:hAnsiTheme="minorHAnsi"/>
                <w:sz w:val="22"/>
                <w:szCs w:val="22"/>
                <w:lang w:val="fr-CH"/>
              </w:rPr>
            </w:pPr>
            <w:r w:rsidRPr="00FC13EA">
              <w:rPr>
                <w:rFonts w:asciiTheme="minorHAnsi" w:hAnsiTheme="minorHAnsi"/>
                <w:sz w:val="22"/>
                <w:szCs w:val="22"/>
                <w:lang w:val="fr-CH"/>
              </w:rPr>
              <w:t>Domaine d</w:t>
            </w:r>
            <w:r w:rsidR="00707FA1">
              <w:rPr>
                <w:rFonts w:asciiTheme="minorHAnsi" w:hAnsiTheme="minorHAnsi"/>
                <w:sz w:val="22"/>
                <w:szCs w:val="22"/>
                <w:lang w:val="fr-CH"/>
              </w:rPr>
              <w:t>e compétence de la Commission d’</w:t>
            </w:r>
            <w:r w:rsidRPr="00FC13EA">
              <w:rPr>
                <w:rFonts w:asciiTheme="minorHAnsi" w:hAnsiTheme="minorHAnsi"/>
                <w:sz w:val="22"/>
                <w:szCs w:val="22"/>
                <w:lang w:val="fr-CH"/>
              </w:rPr>
              <w:t>études 2</w:t>
            </w:r>
          </w:p>
          <w:p w:rsidR="00CF1AD9" w:rsidRPr="000B0999" w:rsidRDefault="00707FA1" w:rsidP="00172C1A">
            <w:pPr>
              <w:pStyle w:val="NoSpacing"/>
              <w:spacing w:before="120" w:after="120"/>
              <w:rPr>
                <w:i/>
                <w:iCs/>
                <w:szCs w:val="22"/>
                <w:lang w:val="fr-FR"/>
              </w:rPr>
            </w:pPr>
            <w:r>
              <w:rPr>
                <w:b/>
                <w:bCs/>
                <w:i/>
                <w:iCs/>
                <w:szCs w:val="22"/>
                <w:lang w:val="fr-FR"/>
              </w:rPr>
              <w:t>Utilisation de services et d’</w:t>
            </w:r>
            <w:r w:rsidR="00CF1AD9" w:rsidRPr="000B0999">
              <w:rPr>
                <w:b/>
                <w:bCs/>
                <w:i/>
                <w:iCs/>
                <w:szCs w:val="22"/>
                <w:lang w:val="fr-FR"/>
              </w:rPr>
              <w:t>applications des TIC pour promouvoir le développement durable</w:t>
            </w:r>
          </w:p>
          <w:p w:rsidR="00CF1AD9" w:rsidRPr="00CF1AD9" w:rsidRDefault="00FC13EA" w:rsidP="0058789E">
            <w:pPr>
              <w:pStyle w:val="NoSpacing"/>
              <w:tabs>
                <w:tab w:val="left" w:pos="408"/>
              </w:tabs>
              <w:rPr>
                <w:szCs w:val="22"/>
              </w:rPr>
            </w:pPr>
            <w:r w:rsidRPr="00FA2710">
              <w:rPr>
                <w:szCs w:val="22"/>
                <w:lang w:val="fr-FR"/>
              </w:rPr>
              <w:t>–</w:t>
            </w:r>
            <w:r>
              <w:rPr>
                <w:szCs w:val="22"/>
                <w:lang w:val="fr-FR"/>
              </w:rPr>
              <w:tab/>
            </w:r>
            <w:r w:rsidR="00CF1AD9" w:rsidRPr="00CF1AD9">
              <w:rPr>
                <w:szCs w:val="22"/>
              </w:rPr>
              <w:t>Services et applications pris en charge par les télécommunications/TIC.</w:t>
            </w:r>
          </w:p>
          <w:p w:rsidR="00CF1AD9" w:rsidRPr="00CF1AD9" w:rsidRDefault="00CF1AD9" w:rsidP="00A2640A">
            <w:pPr>
              <w:pStyle w:val="NoSpacing"/>
              <w:tabs>
                <w:tab w:val="left" w:pos="408"/>
              </w:tabs>
              <w:rPr>
                <w:szCs w:val="22"/>
              </w:rPr>
            </w:pPr>
            <w:r w:rsidRPr="00CF1AD9">
              <w:rPr>
                <w:szCs w:val="22"/>
              </w:rPr>
              <w:t>–</w:t>
            </w:r>
            <w:r w:rsidRPr="00CF1AD9">
              <w:rPr>
                <w:szCs w:val="22"/>
              </w:rPr>
              <w:tab/>
              <w:t>Instauration de la confiance et de la sécurité dans l</w:t>
            </w:r>
            <w:r w:rsidR="00A2640A">
              <w:rPr>
                <w:szCs w:val="22"/>
              </w:rPr>
              <w:t>’</w:t>
            </w:r>
            <w:r w:rsidRPr="00CF1AD9">
              <w:rPr>
                <w:szCs w:val="22"/>
              </w:rPr>
              <w:t>utilisation des TIC.</w:t>
            </w:r>
          </w:p>
          <w:p w:rsidR="00CF1AD9" w:rsidRPr="00CF1AD9" w:rsidRDefault="00CF1AD9" w:rsidP="0058789E">
            <w:pPr>
              <w:pStyle w:val="NoSpacing"/>
              <w:tabs>
                <w:tab w:val="left" w:pos="408"/>
              </w:tabs>
              <w:ind w:left="408" w:hanging="408"/>
              <w:rPr>
                <w:szCs w:val="22"/>
              </w:rPr>
            </w:pPr>
            <w:r w:rsidRPr="00CF1AD9">
              <w:rPr>
                <w:szCs w:val="22"/>
                <w:lang w:val="fr-FR"/>
              </w:rPr>
              <w:sym w:font="Symbol" w:char="F02D"/>
            </w:r>
            <w:r w:rsidRPr="00CF1AD9">
              <w:rPr>
                <w:szCs w:val="22"/>
              </w:rPr>
              <w:tab/>
              <w:t>Utilisation des télécommun</w:t>
            </w:r>
            <w:r w:rsidR="00A2640A">
              <w:rPr>
                <w:szCs w:val="22"/>
              </w:rPr>
              <w:t>ications/TIC pour le suivi et l’</w:t>
            </w:r>
            <w:r w:rsidRPr="00CF1AD9">
              <w:rPr>
                <w:szCs w:val="22"/>
              </w:rPr>
              <w:t>atténuation des effets des changements climatiques, en particulier dans les pays en développement.</w:t>
            </w:r>
          </w:p>
          <w:p w:rsidR="00CF1AD9" w:rsidRPr="00CF1AD9" w:rsidRDefault="00CF1AD9" w:rsidP="0058789E">
            <w:pPr>
              <w:pStyle w:val="NoSpacing"/>
              <w:tabs>
                <w:tab w:val="left" w:pos="408"/>
              </w:tabs>
              <w:ind w:left="408" w:hanging="408"/>
              <w:rPr>
                <w:szCs w:val="22"/>
              </w:rPr>
            </w:pPr>
            <w:r w:rsidRPr="00CF1AD9">
              <w:rPr>
                <w:szCs w:val="22"/>
                <w:lang w:val="fr-FR"/>
              </w:rPr>
              <w:sym w:font="Symbol" w:char="F02D"/>
            </w:r>
            <w:r w:rsidRPr="00CF1AD9">
              <w:rPr>
                <w:szCs w:val="22"/>
              </w:rPr>
              <w:tab/>
              <w:t>Lutte contre la contrefaçon de dispositifs de télécommunication/TIC et contre le vol de dispositifs de télécommunication mobiles.</w:t>
            </w:r>
          </w:p>
          <w:p w:rsidR="00CF1AD9" w:rsidRPr="00CF1AD9" w:rsidRDefault="00CF1AD9" w:rsidP="00A2640A">
            <w:pPr>
              <w:pStyle w:val="NoSpacing"/>
              <w:tabs>
                <w:tab w:val="left" w:pos="408"/>
              </w:tabs>
              <w:ind w:left="408" w:hanging="408"/>
              <w:rPr>
                <w:szCs w:val="22"/>
              </w:rPr>
            </w:pPr>
            <w:r w:rsidRPr="00CF1AD9">
              <w:rPr>
                <w:szCs w:val="22"/>
                <w:lang w:val="fr-FR"/>
              </w:rPr>
              <w:sym w:font="Symbol" w:char="F02D"/>
            </w:r>
            <w:r w:rsidRPr="00CF1AD9">
              <w:rPr>
                <w:szCs w:val="22"/>
              </w:rPr>
              <w:tab/>
              <w:t>Mise en oeuvre des tests de conformité et d</w:t>
            </w:r>
            <w:r w:rsidR="00A2640A">
              <w:rPr>
                <w:szCs w:val="22"/>
              </w:rPr>
              <w:t>’</w:t>
            </w:r>
            <w:r w:rsidRPr="00CF1AD9">
              <w:rPr>
                <w:szCs w:val="22"/>
              </w:rPr>
              <w:t>interopérabilité pour les dispositifs et équipements de télécommunication/TIC.</w:t>
            </w:r>
          </w:p>
          <w:p w:rsidR="00CF1AD9" w:rsidRPr="00CF1AD9" w:rsidRDefault="00CF1AD9" w:rsidP="0058789E">
            <w:pPr>
              <w:pStyle w:val="NoSpacing"/>
              <w:tabs>
                <w:tab w:val="left" w:pos="408"/>
              </w:tabs>
              <w:ind w:left="408" w:hanging="408"/>
              <w:rPr>
                <w:szCs w:val="22"/>
              </w:rPr>
            </w:pPr>
            <w:r w:rsidRPr="00CF1AD9">
              <w:rPr>
                <w:szCs w:val="22"/>
              </w:rPr>
              <w:t>–</w:t>
            </w:r>
            <w:r w:rsidRPr="00CF1AD9">
              <w:rPr>
                <w:szCs w:val="22"/>
              </w:rPr>
              <w:tab/>
              <w:t>Exposition des personnes aux champs électromagnétiques et élimination en toute sécurité des déchets d'équipements électroniques.</w:t>
            </w:r>
          </w:p>
          <w:p w:rsidR="0058789E" w:rsidRPr="00FC13EA" w:rsidRDefault="00CF1AD9" w:rsidP="0058789E">
            <w:pPr>
              <w:pStyle w:val="CEOHeading1Underlined"/>
              <w:spacing w:before="240"/>
              <w:rPr>
                <w:rFonts w:asciiTheme="minorHAnsi" w:hAnsiTheme="minorHAnsi"/>
                <w:sz w:val="22"/>
                <w:szCs w:val="22"/>
                <w:lang w:val="fr-CH"/>
              </w:rPr>
            </w:pPr>
            <w:r w:rsidRPr="0058789E">
              <w:rPr>
                <w:rFonts w:asciiTheme="minorHAnsi" w:hAnsiTheme="minorHAnsi"/>
                <w:sz w:val="22"/>
                <w:szCs w:val="22"/>
                <w:lang w:val="fr-CH"/>
              </w:rPr>
              <w:lastRenderedPageBreak/>
              <w:t>Questio</w:t>
            </w:r>
            <w:r w:rsidR="00A2640A">
              <w:rPr>
                <w:rFonts w:asciiTheme="minorHAnsi" w:hAnsiTheme="minorHAnsi"/>
                <w:sz w:val="22"/>
                <w:szCs w:val="22"/>
                <w:lang w:val="fr-CH"/>
              </w:rPr>
              <w:t>ns attribuées à la Commission d’</w:t>
            </w:r>
            <w:r w:rsidRPr="0058789E">
              <w:rPr>
                <w:rFonts w:asciiTheme="minorHAnsi" w:hAnsiTheme="minorHAnsi"/>
                <w:sz w:val="22"/>
                <w:szCs w:val="22"/>
                <w:lang w:val="fr-CH"/>
              </w:rPr>
              <w:t>études 2 par la CMDT-17</w:t>
            </w:r>
          </w:p>
          <w:p w:rsidR="00CF1AD9" w:rsidRPr="00CF1AD9" w:rsidRDefault="00CF1AD9" w:rsidP="0058789E">
            <w:pPr>
              <w:pStyle w:val="NoSpacing"/>
              <w:keepNext/>
              <w:keepLines/>
              <w:rPr>
                <w:szCs w:val="22"/>
                <w:lang w:val="fr-FR"/>
              </w:rPr>
            </w:pPr>
          </w:p>
          <w:tbl>
            <w:tblPr>
              <w:tblStyle w:val="TableGrid"/>
              <w:tblW w:w="8818" w:type="dxa"/>
              <w:tblLook w:val="04A0" w:firstRow="1" w:lastRow="0" w:firstColumn="1" w:lastColumn="0" w:noHBand="0" w:noVBand="1"/>
            </w:tblPr>
            <w:tblGrid>
              <w:gridCol w:w="1526"/>
              <w:gridCol w:w="7292"/>
            </w:tblGrid>
            <w:tr w:rsidR="00CF1AD9" w:rsidRPr="00CF1AD9" w:rsidTr="001075B4">
              <w:trPr>
                <w:tblHeader/>
              </w:trPr>
              <w:tc>
                <w:tcPr>
                  <w:tcW w:w="15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F1AD9" w:rsidRPr="00CF1AD9" w:rsidRDefault="00CF1AD9" w:rsidP="0058789E">
                  <w:pPr>
                    <w:pStyle w:val="NoSpacing"/>
                    <w:keepNext/>
                    <w:keepLines/>
                    <w:rPr>
                      <w:b/>
                      <w:bCs/>
                      <w:szCs w:val="22"/>
                      <w:lang w:val="fr-FR"/>
                    </w:rPr>
                  </w:pPr>
                  <w:r w:rsidRPr="00CF1AD9">
                    <w:rPr>
                      <w:b/>
                      <w:bCs/>
                      <w:szCs w:val="22"/>
                      <w:lang w:val="fr-FR"/>
                    </w:rPr>
                    <w:t>Numéro</w:t>
                  </w:r>
                </w:p>
              </w:tc>
              <w:tc>
                <w:tcPr>
                  <w:tcW w:w="72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F1AD9" w:rsidRPr="00CF1AD9" w:rsidRDefault="00CF1AD9" w:rsidP="0058789E">
                  <w:pPr>
                    <w:pStyle w:val="NoSpacing"/>
                    <w:keepNext/>
                    <w:keepLines/>
                    <w:rPr>
                      <w:b/>
                      <w:bCs/>
                      <w:szCs w:val="22"/>
                      <w:lang w:val="fr-FR"/>
                    </w:rPr>
                  </w:pPr>
                  <w:r w:rsidRPr="00CF1AD9">
                    <w:rPr>
                      <w:b/>
                      <w:bCs/>
                      <w:szCs w:val="22"/>
                      <w:lang w:val="fr-FR"/>
                    </w:rPr>
                    <w:t>Titre</w:t>
                  </w:r>
                </w:p>
              </w:tc>
            </w:tr>
            <w:tr w:rsidR="00CF1AD9" w:rsidRPr="00382074" w:rsidTr="001075B4">
              <w:trPr>
                <w:cantSplit/>
              </w:trPr>
              <w:tc>
                <w:tcPr>
                  <w:tcW w:w="1526" w:type="dxa"/>
                  <w:tcBorders>
                    <w:top w:val="single" w:sz="4" w:space="0" w:color="auto"/>
                    <w:left w:val="single" w:sz="4" w:space="0" w:color="auto"/>
                    <w:bottom w:val="single" w:sz="4" w:space="0" w:color="auto"/>
                    <w:right w:val="single" w:sz="4" w:space="0" w:color="auto"/>
                  </w:tcBorders>
                  <w:hideMark/>
                </w:tcPr>
                <w:p w:rsidR="00CF1AD9" w:rsidRPr="00CF1AD9" w:rsidRDefault="00CF1AD9" w:rsidP="00CF1AD9">
                  <w:pPr>
                    <w:pStyle w:val="NoSpacing"/>
                    <w:rPr>
                      <w:szCs w:val="22"/>
                      <w:lang w:val="fr-FR"/>
                    </w:rPr>
                  </w:pPr>
                  <w:r w:rsidRPr="00CF1AD9">
                    <w:rPr>
                      <w:szCs w:val="22"/>
                      <w:lang w:val="fr-FR"/>
                    </w:rPr>
                    <w:t>Q1/2</w:t>
                  </w:r>
                </w:p>
              </w:tc>
              <w:tc>
                <w:tcPr>
                  <w:tcW w:w="7292" w:type="dxa"/>
                  <w:tcBorders>
                    <w:top w:val="single" w:sz="4" w:space="0" w:color="auto"/>
                    <w:left w:val="single" w:sz="4" w:space="0" w:color="auto"/>
                    <w:bottom w:val="single" w:sz="4" w:space="0" w:color="auto"/>
                    <w:right w:val="single" w:sz="4" w:space="0" w:color="auto"/>
                  </w:tcBorders>
                  <w:hideMark/>
                </w:tcPr>
                <w:p w:rsidR="00CF1AD9" w:rsidRPr="00CF1AD9" w:rsidRDefault="00CF1AD9" w:rsidP="00CF1AD9">
                  <w:pPr>
                    <w:pStyle w:val="NoSpacing"/>
                    <w:rPr>
                      <w:szCs w:val="22"/>
                    </w:rPr>
                  </w:pPr>
                  <w:r w:rsidRPr="00CF1AD9">
                    <w:rPr>
                      <w:szCs w:val="22"/>
                      <w:lang w:val="fr-FR"/>
                    </w:rPr>
                    <w:t>Créer une société et des villes intelligentes: utilisation des TIC au service du développement socio-économique durable</w:t>
                  </w:r>
                </w:p>
              </w:tc>
            </w:tr>
            <w:tr w:rsidR="00CF1AD9" w:rsidRPr="00382074" w:rsidTr="001075B4">
              <w:trPr>
                <w:cantSplit/>
              </w:trPr>
              <w:tc>
                <w:tcPr>
                  <w:tcW w:w="1526" w:type="dxa"/>
                  <w:tcBorders>
                    <w:top w:val="single" w:sz="4" w:space="0" w:color="auto"/>
                    <w:left w:val="single" w:sz="4" w:space="0" w:color="auto"/>
                    <w:bottom w:val="single" w:sz="4" w:space="0" w:color="auto"/>
                    <w:right w:val="single" w:sz="4" w:space="0" w:color="auto"/>
                  </w:tcBorders>
                  <w:hideMark/>
                </w:tcPr>
                <w:p w:rsidR="00CF1AD9" w:rsidRPr="00CF1AD9" w:rsidRDefault="00CF1AD9" w:rsidP="00CF1AD9">
                  <w:pPr>
                    <w:pStyle w:val="NoSpacing"/>
                    <w:rPr>
                      <w:szCs w:val="22"/>
                      <w:lang w:val="fr-FR"/>
                    </w:rPr>
                  </w:pPr>
                  <w:r w:rsidRPr="00CF1AD9">
                    <w:rPr>
                      <w:szCs w:val="22"/>
                      <w:lang w:val="fr-FR"/>
                    </w:rPr>
                    <w:t>Q2/2</w:t>
                  </w:r>
                </w:p>
              </w:tc>
              <w:tc>
                <w:tcPr>
                  <w:tcW w:w="7292" w:type="dxa"/>
                  <w:tcBorders>
                    <w:top w:val="single" w:sz="4" w:space="0" w:color="auto"/>
                    <w:left w:val="single" w:sz="4" w:space="0" w:color="auto"/>
                    <w:bottom w:val="single" w:sz="4" w:space="0" w:color="auto"/>
                    <w:right w:val="single" w:sz="4" w:space="0" w:color="auto"/>
                  </w:tcBorders>
                  <w:hideMark/>
                </w:tcPr>
                <w:p w:rsidR="00CF1AD9" w:rsidRPr="00CF1AD9" w:rsidRDefault="00CF1AD9" w:rsidP="00CF1AD9">
                  <w:pPr>
                    <w:pStyle w:val="NoSpacing"/>
                    <w:rPr>
                      <w:szCs w:val="22"/>
                      <w:lang w:val="fr-FR"/>
                    </w:rPr>
                  </w:pPr>
                  <w:r w:rsidRPr="00CF1AD9">
                    <w:rPr>
                      <w:szCs w:val="22"/>
                      <w:lang w:val="fr-FR"/>
                    </w:rPr>
                    <w:t>Les télécommunications/TIC au service de la cybersanté</w:t>
                  </w:r>
                </w:p>
              </w:tc>
            </w:tr>
            <w:tr w:rsidR="00CF1AD9" w:rsidRPr="00382074" w:rsidTr="001075B4">
              <w:trPr>
                <w:cantSplit/>
              </w:trPr>
              <w:tc>
                <w:tcPr>
                  <w:tcW w:w="1526" w:type="dxa"/>
                  <w:tcBorders>
                    <w:top w:val="single" w:sz="4" w:space="0" w:color="auto"/>
                    <w:left w:val="single" w:sz="4" w:space="0" w:color="auto"/>
                    <w:bottom w:val="single" w:sz="4" w:space="0" w:color="auto"/>
                    <w:right w:val="single" w:sz="4" w:space="0" w:color="auto"/>
                  </w:tcBorders>
                  <w:hideMark/>
                </w:tcPr>
                <w:p w:rsidR="00CF1AD9" w:rsidRPr="00CF1AD9" w:rsidRDefault="00CF1AD9" w:rsidP="00CF1AD9">
                  <w:pPr>
                    <w:pStyle w:val="NoSpacing"/>
                    <w:rPr>
                      <w:szCs w:val="22"/>
                      <w:lang w:val="fr-FR"/>
                    </w:rPr>
                  </w:pPr>
                  <w:r w:rsidRPr="00CF1AD9">
                    <w:rPr>
                      <w:szCs w:val="22"/>
                      <w:lang w:val="fr-FR"/>
                    </w:rPr>
                    <w:t>Q3/2</w:t>
                  </w:r>
                </w:p>
              </w:tc>
              <w:tc>
                <w:tcPr>
                  <w:tcW w:w="7292" w:type="dxa"/>
                  <w:tcBorders>
                    <w:top w:val="single" w:sz="4" w:space="0" w:color="auto"/>
                    <w:left w:val="single" w:sz="4" w:space="0" w:color="auto"/>
                    <w:bottom w:val="single" w:sz="4" w:space="0" w:color="auto"/>
                    <w:right w:val="single" w:sz="4" w:space="0" w:color="auto"/>
                  </w:tcBorders>
                  <w:hideMark/>
                </w:tcPr>
                <w:p w:rsidR="00CF1AD9" w:rsidRPr="00CF1AD9" w:rsidRDefault="00CF1AD9" w:rsidP="00A2640A">
                  <w:pPr>
                    <w:pStyle w:val="NoSpacing"/>
                    <w:rPr>
                      <w:szCs w:val="22"/>
                      <w:lang w:val="fr-FR"/>
                    </w:rPr>
                  </w:pPr>
                  <w:r w:rsidRPr="00CF1AD9">
                    <w:rPr>
                      <w:szCs w:val="22"/>
                      <w:lang w:val="fr-FR"/>
                    </w:rPr>
                    <w:t>Sécurisation des réseaux d</w:t>
                  </w:r>
                  <w:r w:rsidR="00A2640A">
                    <w:rPr>
                      <w:szCs w:val="22"/>
                      <w:lang w:val="fr-FR"/>
                    </w:rPr>
                    <w:t>’</w:t>
                  </w:r>
                  <w:r w:rsidRPr="00CF1AD9">
                    <w:rPr>
                      <w:szCs w:val="22"/>
                      <w:lang w:val="fr-FR"/>
                    </w:rPr>
                    <w:t>information et de communication: bonnes pratiques pour créer une culture de la cybersécurité</w:t>
                  </w:r>
                </w:p>
              </w:tc>
            </w:tr>
            <w:tr w:rsidR="00CF1AD9" w:rsidRPr="00382074" w:rsidTr="001075B4">
              <w:trPr>
                <w:cantSplit/>
              </w:trPr>
              <w:tc>
                <w:tcPr>
                  <w:tcW w:w="1526" w:type="dxa"/>
                  <w:tcBorders>
                    <w:top w:val="single" w:sz="4" w:space="0" w:color="auto"/>
                    <w:left w:val="single" w:sz="4" w:space="0" w:color="auto"/>
                    <w:bottom w:val="single" w:sz="4" w:space="0" w:color="auto"/>
                    <w:right w:val="single" w:sz="4" w:space="0" w:color="auto"/>
                  </w:tcBorders>
                  <w:hideMark/>
                </w:tcPr>
                <w:p w:rsidR="00CF1AD9" w:rsidRPr="00CF1AD9" w:rsidRDefault="00CF1AD9" w:rsidP="00CF1AD9">
                  <w:pPr>
                    <w:pStyle w:val="NoSpacing"/>
                    <w:rPr>
                      <w:szCs w:val="22"/>
                      <w:lang w:val="fr-FR"/>
                    </w:rPr>
                  </w:pPr>
                  <w:r w:rsidRPr="00CF1AD9">
                    <w:rPr>
                      <w:szCs w:val="22"/>
                      <w:lang w:val="fr-FR"/>
                    </w:rPr>
                    <w:t>Q4/2</w:t>
                  </w:r>
                </w:p>
              </w:tc>
              <w:tc>
                <w:tcPr>
                  <w:tcW w:w="7292" w:type="dxa"/>
                  <w:tcBorders>
                    <w:top w:val="single" w:sz="4" w:space="0" w:color="auto"/>
                    <w:left w:val="single" w:sz="4" w:space="0" w:color="auto"/>
                    <w:bottom w:val="single" w:sz="4" w:space="0" w:color="auto"/>
                    <w:right w:val="single" w:sz="4" w:space="0" w:color="auto"/>
                  </w:tcBorders>
                  <w:hideMark/>
                </w:tcPr>
                <w:p w:rsidR="00CF1AD9" w:rsidRPr="00CF1AD9" w:rsidRDefault="00CF1AD9" w:rsidP="00A2640A">
                  <w:pPr>
                    <w:pStyle w:val="NoSpacing"/>
                    <w:rPr>
                      <w:szCs w:val="22"/>
                    </w:rPr>
                  </w:pPr>
                  <w:r w:rsidRPr="00CF1AD9">
                    <w:rPr>
                      <w:szCs w:val="22"/>
                      <w:lang w:val="fr-FR"/>
                    </w:rPr>
                    <w:t>Assistance aux pays en développement concernant la mise en œuvre des programmes de conformité et d</w:t>
                  </w:r>
                  <w:r w:rsidR="00A2640A">
                    <w:rPr>
                      <w:szCs w:val="22"/>
                      <w:lang w:val="fr-FR"/>
                    </w:rPr>
                    <w:t>’</w:t>
                  </w:r>
                  <w:r w:rsidRPr="00CF1AD9">
                    <w:rPr>
                      <w:szCs w:val="22"/>
                      <w:lang w:val="fr-FR"/>
                    </w:rPr>
                    <w:t>interopérabilité et lutte contre la contrefaçon d’équipements TIC et le vol de dispositifs mobiles</w:t>
                  </w:r>
                </w:p>
              </w:tc>
            </w:tr>
            <w:tr w:rsidR="00CF1AD9" w:rsidRPr="00382074" w:rsidTr="001075B4">
              <w:trPr>
                <w:cantSplit/>
              </w:trPr>
              <w:tc>
                <w:tcPr>
                  <w:tcW w:w="1526" w:type="dxa"/>
                  <w:tcBorders>
                    <w:top w:val="single" w:sz="4" w:space="0" w:color="auto"/>
                    <w:left w:val="single" w:sz="4" w:space="0" w:color="auto"/>
                    <w:bottom w:val="single" w:sz="4" w:space="0" w:color="auto"/>
                    <w:right w:val="single" w:sz="4" w:space="0" w:color="auto"/>
                  </w:tcBorders>
                  <w:hideMark/>
                </w:tcPr>
                <w:p w:rsidR="00CF1AD9" w:rsidRPr="00CF1AD9" w:rsidRDefault="00CF1AD9" w:rsidP="00CF1AD9">
                  <w:pPr>
                    <w:pStyle w:val="NoSpacing"/>
                    <w:rPr>
                      <w:szCs w:val="22"/>
                      <w:lang w:val="fr-FR"/>
                    </w:rPr>
                  </w:pPr>
                  <w:r w:rsidRPr="00CF1AD9">
                    <w:rPr>
                      <w:szCs w:val="22"/>
                      <w:lang w:val="fr-FR"/>
                    </w:rPr>
                    <w:t>Q5/2</w:t>
                  </w:r>
                </w:p>
              </w:tc>
              <w:tc>
                <w:tcPr>
                  <w:tcW w:w="7292" w:type="dxa"/>
                  <w:tcBorders>
                    <w:top w:val="single" w:sz="4" w:space="0" w:color="auto"/>
                    <w:left w:val="single" w:sz="4" w:space="0" w:color="auto"/>
                    <w:bottom w:val="single" w:sz="4" w:space="0" w:color="auto"/>
                    <w:right w:val="single" w:sz="4" w:space="0" w:color="auto"/>
                  </w:tcBorders>
                  <w:hideMark/>
                </w:tcPr>
                <w:p w:rsidR="00CF1AD9" w:rsidRPr="00CF1AD9" w:rsidRDefault="00CF1AD9" w:rsidP="00CF1AD9">
                  <w:pPr>
                    <w:pStyle w:val="NoSpacing"/>
                    <w:rPr>
                      <w:szCs w:val="22"/>
                    </w:rPr>
                  </w:pPr>
                  <w:r w:rsidRPr="00CF1AD9">
                    <w:rPr>
                      <w:szCs w:val="22"/>
                    </w:rPr>
                    <w:t>Utilisation des télécommunications/TIC aux fins de la réduction des risques de catastrophe et de la gestion des catastrophes</w:t>
                  </w:r>
                </w:p>
              </w:tc>
            </w:tr>
            <w:tr w:rsidR="00CF1AD9" w:rsidRPr="00CF1AD9" w:rsidTr="001075B4">
              <w:trPr>
                <w:cantSplit/>
              </w:trPr>
              <w:tc>
                <w:tcPr>
                  <w:tcW w:w="1526" w:type="dxa"/>
                  <w:tcBorders>
                    <w:top w:val="single" w:sz="4" w:space="0" w:color="auto"/>
                    <w:left w:val="single" w:sz="4" w:space="0" w:color="auto"/>
                    <w:bottom w:val="single" w:sz="4" w:space="0" w:color="auto"/>
                    <w:right w:val="single" w:sz="4" w:space="0" w:color="auto"/>
                  </w:tcBorders>
                  <w:hideMark/>
                </w:tcPr>
                <w:p w:rsidR="00CF1AD9" w:rsidRPr="00CF1AD9" w:rsidRDefault="00CF1AD9" w:rsidP="00CF1AD9">
                  <w:pPr>
                    <w:pStyle w:val="NoSpacing"/>
                    <w:rPr>
                      <w:szCs w:val="22"/>
                      <w:lang w:val="fr-FR"/>
                    </w:rPr>
                  </w:pPr>
                  <w:r w:rsidRPr="00CF1AD9">
                    <w:rPr>
                      <w:szCs w:val="22"/>
                      <w:lang w:val="fr-FR"/>
                    </w:rPr>
                    <w:t>Q6/2</w:t>
                  </w:r>
                </w:p>
              </w:tc>
              <w:tc>
                <w:tcPr>
                  <w:tcW w:w="7292" w:type="dxa"/>
                  <w:tcBorders>
                    <w:top w:val="single" w:sz="4" w:space="0" w:color="auto"/>
                    <w:left w:val="single" w:sz="4" w:space="0" w:color="auto"/>
                    <w:bottom w:val="single" w:sz="4" w:space="0" w:color="auto"/>
                    <w:right w:val="single" w:sz="4" w:space="0" w:color="auto"/>
                  </w:tcBorders>
                  <w:hideMark/>
                </w:tcPr>
                <w:p w:rsidR="00CF1AD9" w:rsidRPr="00CF1AD9" w:rsidRDefault="00A2640A" w:rsidP="00CF1AD9">
                  <w:pPr>
                    <w:pStyle w:val="NoSpacing"/>
                    <w:rPr>
                      <w:szCs w:val="22"/>
                      <w:lang w:val="fr-FR"/>
                    </w:rPr>
                  </w:pPr>
                  <w:r>
                    <w:rPr>
                      <w:szCs w:val="22"/>
                    </w:rPr>
                    <w:t>Les TIC et l’</w:t>
                  </w:r>
                  <w:r w:rsidR="00CF1AD9" w:rsidRPr="00CF1AD9">
                    <w:rPr>
                      <w:szCs w:val="22"/>
                    </w:rPr>
                    <w:t>environnement</w:t>
                  </w:r>
                </w:p>
              </w:tc>
            </w:tr>
            <w:tr w:rsidR="00CF1AD9" w:rsidRPr="00382074" w:rsidTr="001075B4">
              <w:trPr>
                <w:cantSplit/>
              </w:trPr>
              <w:tc>
                <w:tcPr>
                  <w:tcW w:w="1526" w:type="dxa"/>
                  <w:tcBorders>
                    <w:top w:val="single" w:sz="4" w:space="0" w:color="auto"/>
                    <w:left w:val="single" w:sz="4" w:space="0" w:color="auto"/>
                    <w:bottom w:val="single" w:sz="4" w:space="0" w:color="auto"/>
                    <w:right w:val="single" w:sz="4" w:space="0" w:color="auto"/>
                  </w:tcBorders>
                  <w:hideMark/>
                </w:tcPr>
                <w:p w:rsidR="00CF1AD9" w:rsidRPr="00CF1AD9" w:rsidRDefault="00CF1AD9" w:rsidP="00CF1AD9">
                  <w:pPr>
                    <w:pStyle w:val="NoSpacing"/>
                    <w:rPr>
                      <w:szCs w:val="22"/>
                      <w:lang w:val="fr-FR"/>
                    </w:rPr>
                  </w:pPr>
                  <w:r w:rsidRPr="00CF1AD9">
                    <w:rPr>
                      <w:szCs w:val="22"/>
                      <w:lang w:val="fr-FR"/>
                    </w:rPr>
                    <w:t>Q7/2</w:t>
                  </w:r>
                </w:p>
              </w:tc>
              <w:tc>
                <w:tcPr>
                  <w:tcW w:w="7292" w:type="dxa"/>
                  <w:tcBorders>
                    <w:top w:val="single" w:sz="4" w:space="0" w:color="auto"/>
                    <w:left w:val="single" w:sz="4" w:space="0" w:color="auto"/>
                    <w:bottom w:val="single" w:sz="4" w:space="0" w:color="auto"/>
                    <w:right w:val="single" w:sz="4" w:space="0" w:color="auto"/>
                  </w:tcBorders>
                </w:tcPr>
                <w:p w:rsidR="00CF1AD9" w:rsidRPr="00CF1AD9" w:rsidRDefault="00CF1AD9" w:rsidP="00CF1AD9">
                  <w:pPr>
                    <w:pStyle w:val="NoSpacing"/>
                    <w:rPr>
                      <w:szCs w:val="22"/>
                    </w:rPr>
                  </w:pPr>
                  <w:r w:rsidRPr="00CF1AD9">
                    <w:rPr>
                      <w:szCs w:val="22"/>
                      <w:lang w:val="fr-FR"/>
                    </w:rPr>
                    <w:t>Straté</w:t>
                  </w:r>
                  <w:r w:rsidR="00A2640A">
                    <w:rPr>
                      <w:szCs w:val="22"/>
                      <w:lang w:val="fr-FR"/>
                    </w:rPr>
                    <w:t>gies et politiques concernant l’</w:t>
                  </w:r>
                  <w:r w:rsidRPr="00CF1AD9">
                    <w:rPr>
                      <w:szCs w:val="22"/>
                      <w:lang w:val="fr-FR"/>
                    </w:rPr>
                    <w:t>exposition des personnes aux champs électromagnétiques</w:t>
                  </w:r>
                </w:p>
              </w:tc>
            </w:tr>
          </w:tbl>
          <w:p w:rsidR="00A27B6B" w:rsidRPr="00CF1AD9" w:rsidRDefault="00A27B6B" w:rsidP="00A21CFB">
            <w:pPr>
              <w:pStyle w:val="NoSpacing"/>
              <w:rPr>
                <w:sz w:val="22"/>
                <w:szCs w:val="22"/>
                <w:lang w:val="fr-FR"/>
              </w:rPr>
            </w:pPr>
          </w:p>
          <w:p w:rsidR="00A27B6B" w:rsidRPr="001C2CC5" w:rsidRDefault="00A27B6B" w:rsidP="00A21CFB">
            <w:pPr>
              <w:pStyle w:val="NoSpacing"/>
              <w:rPr>
                <w:sz w:val="22"/>
                <w:szCs w:val="22"/>
              </w:rPr>
            </w:pPr>
          </w:p>
          <w:p w:rsidR="00A27B6B" w:rsidRPr="001C2CC5" w:rsidRDefault="00A27B6B" w:rsidP="00A21CFB">
            <w:pPr>
              <w:pStyle w:val="NoSpacing"/>
              <w:rPr>
                <w:sz w:val="22"/>
                <w:szCs w:val="22"/>
              </w:rPr>
            </w:pPr>
          </w:p>
          <w:p w:rsidR="00A27B6B" w:rsidRPr="001C2CC5" w:rsidRDefault="00A27B6B" w:rsidP="00A21CFB">
            <w:pPr>
              <w:pStyle w:val="NoSpacing"/>
              <w:rPr>
                <w:sz w:val="22"/>
                <w:szCs w:val="22"/>
              </w:rPr>
            </w:pPr>
          </w:p>
          <w:p w:rsidR="00A27B6B" w:rsidRPr="001C2CC5" w:rsidRDefault="00A27B6B" w:rsidP="00A21CFB">
            <w:pPr>
              <w:pStyle w:val="NoSpacing"/>
              <w:rPr>
                <w:sz w:val="22"/>
                <w:szCs w:val="22"/>
              </w:rPr>
            </w:pPr>
          </w:p>
          <w:p w:rsidR="00A27B6B" w:rsidRPr="001C2CC5" w:rsidRDefault="00A27B6B" w:rsidP="00A21CFB">
            <w:pPr>
              <w:pStyle w:val="NoSpacing"/>
              <w:rPr>
                <w:sz w:val="22"/>
                <w:szCs w:val="22"/>
              </w:rPr>
            </w:pPr>
          </w:p>
          <w:p w:rsidR="00A27B6B" w:rsidRPr="001C2CC5" w:rsidRDefault="00A27B6B" w:rsidP="00A21CFB">
            <w:pPr>
              <w:pStyle w:val="NoSpacing"/>
              <w:rPr>
                <w:sz w:val="22"/>
                <w:szCs w:val="22"/>
              </w:rPr>
            </w:pPr>
          </w:p>
          <w:p w:rsidR="00A27B6B" w:rsidRPr="001C2CC5" w:rsidRDefault="00A27B6B" w:rsidP="00A21CFB">
            <w:pPr>
              <w:pStyle w:val="NoSpacing"/>
              <w:rPr>
                <w:sz w:val="22"/>
                <w:szCs w:val="22"/>
              </w:rPr>
            </w:pPr>
          </w:p>
          <w:p w:rsidR="00A27B6B" w:rsidRPr="001C2CC5" w:rsidRDefault="00A27B6B" w:rsidP="00A21CFB">
            <w:pPr>
              <w:pStyle w:val="NoSpacing"/>
              <w:rPr>
                <w:sz w:val="22"/>
                <w:szCs w:val="22"/>
              </w:rPr>
            </w:pPr>
          </w:p>
          <w:p w:rsidR="00A27B6B" w:rsidRPr="001C2CC5" w:rsidRDefault="00A27B6B" w:rsidP="00A21CFB">
            <w:pPr>
              <w:pStyle w:val="NoSpacing"/>
              <w:rPr>
                <w:sz w:val="22"/>
                <w:szCs w:val="22"/>
              </w:rPr>
            </w:pPr>
          </w:p>
          <w:p w:rsidR="00A27B6B" w:rsidRDefault="00A27B6B" w:rsidP="00A21CFB">
            <w:pPr>
              <w:pStyle w:val="NoSpacing"/>
            </w:pPr>
          </w:p>
        </w:tc>
      </w:tr>
    </w:tbl>
    <w:p w:rsidR="00A27B6B" w:rsidRDefault="00A27B6B">
      <w:pPr>
        <w:spacing w:before="0" w:after="0"/>
        <w:rPr>
          <w:lang w:val="fr-CH"/>
        </w:rPr>
      </w:pPr>
      <w:r>
        <w:rPr>
          <w:lang w:val="fr-CH"/>
        </w:rPr>
        <w:lastRenderedPageBreak/>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171BB9" w:rsidRPr="00382074" w:rsidTr="00171BB9">
        <w:tc>
          <w:tcPr>
            <w:tcW w:w="9629" w:type="dxa"/>
          </w:tcPr>
          <w:p w:rsidR="00171BB9" w:rsidRPr="001C2CC5" w:rsidRDefault="00171BB9" w:rsidP="00171BB9">
            <w:pPr>
              <w:pStyle w:val="NoSpacing"/>
              <w:spacing w:before="360" w:after="360"/>
              <w:jc w:val="center"/>
              <w:rPr>
                <w:sz w:val="22"/>
                <w:szCs w:val="22"/>
              </w:rPr>
            </w:pPr>
            <w:r>
              <w:rPr>
                <w:sz w:val="22"/>
                <w:szCs w:val="22"/>
              </w:rPr>
              <w:lastRenderedPageBreak/>
              <w:t>A</w:t>
            </w:r>
            <w:r w:rsidRPr="001C2CC5">
              <w:rPr>
                <w:sz w:val="22"/>
                <w:szCs w:val="22"/>
              </w:rPr>
              <w:t xml:space="preserve">nnexe </w:t>
            </w:r>
            <w:r>
              <w:rPr>
                <w:sz w:val="22"/>
                <w:szCs w:val="22"/>
              </w:rPr>
              <w:t>2</w:t>
            </w:r>
          </w:p>
          <w:p w:rsidR="00CF1AD9" w:rsidRDefault="00CF1AD9" w:rsidP="00126F1E">
            <w:pPr>
              <w:pStyle w:val="AnnexNo"/>
              <w:spacing w:before="120"/>
              <w:rPr>
                <w:szCs w:val="22"/>
                <w:lang w:val="fr-CH"/>
              </w:rPr>
            </w:pPr>
            <w:r w:rsidRPr="00CF1AD9">
              <w:rPr>
                <w:szCs w:val="22"/>
                <w:lang w:val="fr-CH"/>
              </w:rPr>
              <w:t xml:space="preserve">Annexe 5 de la </w:t>
            </w:r>
            <w:r w:rsidRPr="00FF0EAA">
              <w:rPr>
                <w:lang w:val="fr-CH"/>
              </w:rPr>
              <w:t>Résolution</w:t>
            </w:r>
            <w:r w:rsidRPr="00CF1AD9">
              <w:rPr>
                <w:szCs w:val="22"/>
                <w:lang w:val="fr-CH"/>
              </w:rPr>
              <w:t xml:space="preserve"> 1 (R</w:t>
            </w:r>
            <w:r w:rsidR="000B0999" w:rsidRPr="00CF1AD9">
              <w:rPr>
                <w:caps w:val="0"/>
                <w:szCs w:val="22"/>
                <w:lang w:val="fr-CH"/>
              </w:rPr>
              <w:t>év</w:t>
            </w:r>
            <w:r w:rsidRPr="00CF1AD9">
              <w:rPr>
                <w:szCs w:val="22"/>
                <w:lang w:val="fr-CH"/>
              </w:rPr>
              <w:t>.</w:t>
            </w:r>
            <w:r w:rsidR="00A2640A">
              <w:rPr>
                <w:szCs w:val="22"/>
                <w:lang w:val="fr-CH"/>
              </w:rPr>
              <w:t xml:space="preserve"> </w:t>
            </w:r>
            <w:r w:rsidRPr="00CF1AD9">
              <w:rPr>
                <w:szCs w:val="22"/>
                <w:lang w:val="fr-CH"/>
              </w:rPr>
              <w:t>BUENOS AIRES, 2017)</w:t>
            </w:r>
          </w:p>
          <w:p w:rsidR="00CF1AD9" w:rsidRPr="00126F1E" w:rsidRDefault="00CF1AD9" w:rsidP="000A29AC">
            <w:pPr>
              <w:pStyle w:val="Annextitle"/>
              <w:rPr>
                <w:lang w:val="fr-CH"/>
              </w:rPr>
            </w:pPr>
            <w:r w:rsidRPr="00126F1E">
              <w:rPr>
                <w:lang w:val="fr-CH"/>
              </w:rPr>
              <w:t xml:space="preserve">Liste récapitulative des tâches du </w:t>
            </w:r>
            <w:r w:rsidR="000A29AC">
              <w:rPr>
                <w:lang w:val="fr-CH"/>
              </w:rPr>
              <w:t>R</w:t>
            </w:r>
            <w:r w:rsidRPr="00126F1E">
              <w:rPr>
                <w:lang w:val="fr-CH"/>
              </w:rPr>
              <w:t>apporteur</w:t>
            </w:r>
          </w:p>
          <w:p w:rsidR="00CF1AD9" w:rsidRPr="00CF1AD9" w:rsidRDefault="00CF1AD9" w:rsidP="000A29AC">
            <w:pPr>
              <w:pStyle w:val="NoSpacing"/>
              <w:spacing w:before="120"/>
              <w:rPr>
                <w:szCs w:val="22"/>
              </w:rPr>
            </w:pPr>
            <w:r w:rsidRPr="00CF1AD9">
              <w:rPr>
                <w:szCs w:val="22"/>
              </w:rPr>
              <w:t>1</w:t>
            </w:r>
            <w:r w:rsidRPr="00CF1AD9">
              <w:rPr>
                <w:szCs w:val="22"/>
              </w:rPr>
              <w:tab/>
              <w:t xml:space="preserve">Etablir un plan de travail en accord avec les </w:t>
            </w:r>
            <w:r w:rsidR="000A29AC">
              <w:rPr>
                <w:szCs w:val="22"/>
              </w:rPr>
              <w:t>V</w:t>
            </w:r>
            <w:r w:rsidRPr="00CF1AD9">
              <w:rPr>
                <w:szCs w:val="22"/>
              </w:rPr>
              <w:t>ice-</w:t>
            </w:r>
            <w:r w:rsidR="000A29AC">
              <w:rPr>
                <w:szCs w:val="22"/>
              </w:rPr>
              <w:t>R</w:t>
            </w:r>
            <w:r w:rsidRPr="00CF1AD9">
              <w:rPr>
                <w:szCs w:val="22"/>
              </w:rPr>
              <w:t>apporteurs ou les groupes de travail concernés. Ce plan, que devrait examiner périodiquement le groupe de travail ou la commission d'études concerné, comprend les points suivants:</w:t>
            </w:r>
          </w:p>
          <w:p w:rsidR="00CF1AD9" w:rsidRPr="00CF1AD9" w:rsidRDefault="00CF1AD9" w:rsidP="000B0999">
            <w:pPr>
              <w:pStyle w:val="NoSpacing"/>
              <w:tabs>
                <w:tab w:val="left" w:pos="408"/>
              </w:tabs>
              <w:spacing w:before="80"/>
              <w:ind w:left="408" w:hanging="408"/>
              <w:rPr>
                <w:szCs w:val="22"/>
              </w:rPr>
            </w:pPr>
            <w:r w:rsidRPr="00CF1AD9">
              <w:rPr>
                <w:szCs w:val="22"/>
              </w:rPr>
              <w:t>–</w:t>
            </w:r>
            <w:r w:rsidRPr="00CF1AD9">
              <w:rPr>
                <w:szCs w:val="22"/>
              </w:rPr>
              <w:tab/>
              <w:t>liste des tâches à effectuer;</w:t>
            </w:r>
          </w:p>
          <w:p w:rsidR="00CF1AD9" w:rsidRPr="00CF1AD9" w:rsidRDefault="00A2640A" w:rsidP="000B0999">
            <w:pPr>
              <w:pStyle w:val="NoSpacing"/>
              <w:tabs>
                <w:tab w:val="left" w:pos="408"/>
              </w:tabs>
              <w:spacing w:before="80"/>
              <w:ind w:left="408" w:hanging="408"/>
              <w:rPr>
                <w:szCs w:val="22"/>
              </w:rPr>
            </w:pPr>
            <w:r>
              <w:rPr>
                <w:szCs w:val="22"/>
              </w:rPr>
              <w:t>–</w:t>
            </w:r>
            <w:r>
              <w:rPr>
                <w:szCs w:val="22"/>
              </w:rPr>
              <w:tab/>
              <w:t>dates limites pour l’</w:t>
            </w:r>
            <w:r w:rsidR="00CF1AD9" w:rsidRPr="00CF1AD9">
              <w:rPr>
                <w:szCs w:val="22"/>
              </w:rPr>
              <w:t>achèvement des tâches principales en tenant compte des rapports finals annuels;</w:t>
            </w:r>
          </w:p>
          <w:p w:rsidR="00CF1AD9" w:rsidRPr="00CF1AD9" w:rsidRDefault="00CF1AD9" w:rsidP="000B0999">
            <w:pPr>
              <w:pStyle w:val="NoSpacing"/>
              <w:tabs>
                <w:tab w:val="left" w:pos="408"/>
              </w:tabs>
              <w:spacing w:before="80"/>
              <w:ind w:left="408" w:hanging="408"/>
              <w:rPr>
                <w:szCs w:val="22"/>
              </w:rPr>
            </w:pPr>
            <w:r w:rsidRPr="00CF1AD9">
              <w:rPr>
                <w:szCs w:val="22"/>
              </w:rPr>
              <w:t>–</w:t>
            </w:r>
            <w:r w:rsidRPr="00CF1AD9">
              <w:rPr>
                <w:szCs w:val="22"/>
              </w:rPr>
              <w:tab/>
              <w:t>résultats escomptés, y compris titres des documents finals et des rapports finals annuels;</w:t>
            </w:r>
          </w:p>
          <w:p w:rsidR="00CF1AD9" w:rsidRPr="00CF1AD9" w:rsidRDefault="00CF1AD9" w:rsidP="000B0999">
            <w:pPr>
              <w:pStyle w:val="NoSpacing"/>
              <w:tabs>
                <w:tab w:val="left" w:pos="408"/>
              </w:tabs>
              <w:spacing w:before="80"/>
              <w:ind w:left="408" w:hanging="408"/>
              <w:rPr>
                <w:szCs w:val="22"/>
              </w:rPr>
            </w:pPr>
            <w:r w:rsidRPr="00CF1AD9">
              <w:rPr>
                <w:szCs w:val="22"/>
              </w:rPr>
              <w:t>–</w:t>
            </w:r>
            <w:r w:rsidRPr="00CF1AD9">
              <w:rPr>
                <w:szCs w:val="22"/>
              </w:rPr>
              <w:tab/>
              <w:t>liaisons à établir avec d'autres groupes et programmes correspondants, s'ils sont connus;</w:t>
            </w:r>
          </w:p>
          <w:p w:rsidR="00CF1AD9" w:rsidRPr="00CF1AD9" w:rsidRDefault="00CF1AD9" w:rsidP="000A29AC">
            <w:pPr>
              <w:pStyle w:val="NoSpacing"/>
              <w:tabs>
                <w:tab w:val="left" w:pos="408"/>
              </w:tabs>
              <w:spacing w:before="80"/>
              <w:ind w:left="408" w:hanging="408"/>
              <w:rPr>
                <w:szCs w:val="22"/>
              </w:rPr>
            </w:pPr>
            <w:r w:rsidRPr="00CF1AD9">
              <w:rPr>
                <w:szCs w:val="22"/>
              </w:rPr>
              <w:t>–</w:t>
            </w:r>
            <w:r w:rsidRPr="00CF1AD9">
              <w:rPr>
                <w:szCs w:val="22"/>
              </w:rPr>
              <w:tab/>
              <w:t xml:space="preserve">réunion(s) proposée(s) du groupe du </w:t>
            </w:r>
            <w:r w:rsidR="000A29AC">
              <w:rPr>
                <w:szCs w:val="22"/>
              </w:rPr>
              <w:t>R</w:t>
            </w:r>
            <w:r w:rsidRPr="00CF1AD9">
              <w:rPr>
                <w:szCs w:val="22"/>
              </w:rPr>
              <w:t>apporteur, dates prévues et demande de services d'interprétation, le cas échéant.</w:t>
            </w:r>
          </w:p>
          <w:p w:rsidR="00CF1AD9" w:rsidRPr="00CF1AD9" w:rsidRDefault="00CF1AD9" w:rsidP="000B0999">
            <w:pPr>
              <w:pStyle w:val="NoSpacing"/>
              <w:spacing w:before="120"/>
              <w:rPr>
                <w:szCs w:val="22"/>
              </w:rPr>
            </w:pPr>
            <w:r w:rsidRPr="00CF1AD9">
              <w:rPr>
                <w:szCs w:val="22"/>
              </w:rPr>
              <w:t>2</w:t>
            </w:r>
            <w:r w:rsidRPr="00CF1AD9">
              <w:rPr>
                <w:szCs w:val="22"/>
              </w:rPr>
              <w:tab/>
              <w:t>Adopter des méthodes de travail adaptées au groupe. Pour les échanges de vues, il est vivement recommandé d'utiliser le traitement électronique de documents (EDH), le courrier électronique et la télécopie.</w:t>
            </w:r>
          </w:p>
          <w:p w:rsidR="00CF1AD9" w:rsidRPr="00CF1AD9" w:rsidRDefault="00CF1AD9" w:rsidP="00232E2E">
            <w:pPr>
              <w:pStyle w:val="NoSpacing"/>
              <w:spacing w:before="120"/>
              <w:rPr>
                <w:szCs w:val="22"/>
              </w:rPr>
            </w:pPr>
            <w:r w:rsidRPr="00CF1AD9">
              <w:rPr>
                <w:szCs w:val="22"/>
              </w:rPr>
              <w:t>3</w:t>
            </w:r>
            <w:r w:rsidRPr="00CF1AD9">
              <w:rPr>
                <w:szCs w:val="22"/>
              </w:rPr>
              <w:tab/>
              <w:t>Présider toutes les réunions sur la Question concernée. S</w:t>
            </w:r>
            <w:r w:rsidR="00232E2E">
              <w:rPr>
                <w:szCs w:val="22"/>
              </w:rPr>
              <w:t>’il est nécessaire d’</w:t>
            </w:r>
            <w:r w:rsidRPr="00CF1AD9">
              <w:rPr>
                <w:szCs w:val="22"/>
              </w:rPr>
              <w:t>organiser des réunions spéciales sur la Question, en informer les participants suffisamment à l'avance.</w:t>
            </w:r>
          </w:p>
          <w:p w:rsidR="00CF1AD9" w:rsidRPr="00CF1AD9" w:rsidRDefault="00CF1AD9" w:rsidP="000A29AC">
            <w:pPr>
              <w:pStyle w:val="NoSpacing"/>
              <w:spacing w:before="120"/>
              <w:rPr>
                <w:szCs w:val="22"/>
              </w:rPr>
            </w:pPr>
            <w:r w:rsidRPr="00CF1AD9">
              <w:rPr>
                <w:szCs w:val="22"/>
              </w:rPr>
              <w:t>4</w:t>
            </w:r>
            <w:r w:rsidRPr="00CF1AD9">
              <w:rPr>
                <w:szCs w:val="22"/>
              </w:rPr>
              <w:tab/>
              <w:t xml:space="preserve">Déléguer une partie des tâches aux </w:t>
            </w:r>
            <w:r w:rsidR="000A29AC">
              <w:rPr>
                <w:szCs w:val="22"/>
              </w:rPr>
              <w:t>V</w:t>
            </w:r>
            <w:r w:rsidRPr="00CF1AD9">
              <w:rPr>
                <w:szCs w:val="22"/>
              </w:rPr>
              <w:t>ice-</w:t>
            </w:r>
            <w:r w:rsidR="000A29AC">
              <w:rPr>
                <w:szCs w:val="22"/>
              </w:rPr>
              <w:t>R</w:t>
            </w:r>
            <w:r w:rsidRPr="00CF1AD9">
              <w:rPr>
                <w:szCs w:val="22"/>
              </w:rPr>
              <w:t>apporteurs ou aux autres collaborateurs, selon la charge de travail.</w:t>
            </w:r>
          </w:p>
          <w:p w:rsidR="00CF1AD9" w:rsidRPr="00CF1AD9" w:rsidRDefault="00CF1AD9" w:rsidP="00232E2E">
            <w:pPr>
              <w:pStyle w:val="NoSpacing"/>
              <w:spacing w:before="120"/>
              <w:rPr>
                <w:szCs w:val="22"/>
              </w:rPr>
            </w:pPr>
            <w:r w:rsidRPr="00CF1AD9">
              <w:rPr>
                <w:szCs w:val="22"/>
              </w:rPr>
              <w:br w:type="page"/>
              <w:t>5</w:t>
            </w:r>
            <w:r w:rsidRPr="00CF1AD9">
              <w:rPr>
                <w:szCs w:val="22"/>
              </w:rPr>
              <w:tab/>
              <w:t>Tenir régulièrement au co</w:t>
            </w:r>
            <w:r w:rsidR="00232E2E">
              <w:rPr>
                <w:szCs w:val="22"/>
              </w:rPr>
              <w:t>urant le groupe de travail et l’</w:t>
            </w:r>
            <w:r w:rsidRPr="00CF1AD9">
              <w:rPr>
                <w:szCs w:val="22"/>
              </w:rPr>
              <w:t xml:space="preserve">équipe </w:t>
            </w:r>
            <w:r w:rsidR="00232E2E">
              <w:rPr>
                <w:szCs w:val="22"/>
              </w:rPr>
              <w:t>de direction de la commission d’études de l’état d’</w:t>
            </w:r>
            <w:r w:rsidRPr="00CF1AD9">
              <w:rPr>
                <w:szCs w:val="22"/>
              </w:rPr>
              <w:t>avancement des travaux. Au cas où aucun progrès n</w:t>
            </w:r>
            <w:r w:rsidR="00232E2E">
              <w:rPr>
                <w:szCs w:val="22"/>
              </w:rPr>
              <w:t>’</w:t>
            </w:r>
            <w:r w:rsidRPr="00CF1AD9">
              <w:rPr>
                <w:szCs w:val="22"/>
              </w:rPr>
              <w:t>aurait été accompli dans l</w:t>
            </w:r>
            <w:r w:rsidR="00232E2E">
              <w:rPr>
                <w:szCs w:val="22"/>
              </w:rPr>
              <w:t>’</w:t>
            </w:r>
            <w:r w:rsidRPr="00CF1AD9">
              <w:rPr>
                <w:szCs w:val="22"/>
              </w:rPr>
              <w:t>étude d</w:t>
            </w:r>
            <w:r w:rsidR="00232E2E">
              <w:rPr>
                <w:szCs w:val="22"/>
              </w:rPr>
              <w:t>’</w:t>
            </w:r>
            <w:r w:rsidRPr="00CF1AD9">
              <w:rPr>
                <w:szCs w:val="22"/>
              </w:rPr>
              <w:t>une Question donnée entre d</w:t>
            </w:r>
            <w:r w:rsidR="00232E2E">
              <w:rPr>
                <w:szCs w:val="22"/>
              </w:rPr>
              <w:t>eux réunions de la commission d’</w:t>
            </w:r>
            <w:r w:rsidRPr="00CF1AD9">
              <w:rPr>
                <w:szCs w:val="22"/>
              </w:rPr>
              <w:t xml:space="preserve">études, le </w:t>
            </w:r>
            <w:r w:rsidR="000A29AC">
              <w:rPr>
                <w:szCs w:val="22"/>
              </w:rPr>
              <w:t>R</w:t>
            </w:r>
            <w:r w:rsidRPr="00CF1AD9">
              <w:rPr>
                <w:szCs w:val="22"/>
              </w:rPr>
              <w:t>apporteur devrait néanmoins présenter un rapport indiquant les raisons possible</w:t>
            </w:r>
            <w:r w:rsidR="00232E2E">
              <w:rPr>
                <w:szCs w:val="22"/>
              </w:rPr>
              <w:t>s pour lesquelles les travaux n’</w:t>
            </w:r>
            <w:r w:rsidRPr="00CF1AD9">
              <w:rPr>
                <w:szCs w:val="22"/>
              </w:rPr>
              <w:t>ont pas avancé. Pour permettre au président et au BDT de prendre les mesures nécessaires pour que les travaux sur la Question soient effectués, les rapports devraient être soumis au moins deux mois avant la réunion de la commission d</w:t>
            </w:r>
            <w:r w:rsidR="00232E2E">
              <w:rPr>
                <w:szCs w:val="22"/>
              </w:rPr>
              <w:t>’</w:t>
            </w:r>
            <w:r w:rsidRPr="00CF1AD9">
              <w:rPr>
                <w:szCs w:val="22"/>
              </w:rPr>
              <w:t>études.</w:t>
            </w:r>
          </w:p>
          <w:p w:rsidR="00CF1AD9" w:rsidRPr="00CF1AD9" w:rsidRDefault="00CF1AD9" w:rsidP="00232E2E">
            <w:pPr>
              <w:pStyle w:val="NoSpacing"/>
              <w:spacing w:before="120"/>
              <w:rPr>
                <w:szCs w:val="22"/>
              </w:rPr>
            </w:pPr>
            <w:r w:rsidRPr="00CF1AD9">
              <w:rPr>
                <w:szCs w:val="22"/>
              </w:rPr>
              <w:t>6</w:t>
            </w:r>
            <w:r w:rsidRPr="00CF1AD9">
              <w:rPr>
                <w:szCs w:val="22"/>
              </w:rPr>
              <w:tab/>
              <w:t>Tenir au cour</w:t>
            </w:r>
            <w:r w:rsidR="00232E2E">
              <w:rPr>
                <w:szCs w:val="22"/>
              </w:rPr>
              <w:t>ant la commission d’études de l’</w:t>
            </w:r>
            <w:r w:rsidRPr="00CF1AD9">
              <w:rPr>
                <w:szCs w:val="22"/>
              </w:rPr>
              <w:t>état d</w:t>
            </w:r>
            <w:r w:rsidR="00232E2E">
              <w:rPr>
                <w:szCs w:val="22"/>
              </w:rPr>
              <w:t>’</w:t>
            </w:r>
            <w:r w:rsidRPr="00CF1AD9">
              <w:rPr>
                <w:szCs w:val="22"/>
              </w:rPr>
              <w:t xml:space="preserve">avancement des travaux en soumettant des rapports à ses réunions. Ces rapports devraient être présentés sous forme de contributions (lorsque des progrès </w:t>
            </w:r>
            <w:r w:rsidR="00232E2E">
              <w:rPr>
                <w:szCs w:val="22"/>
              </w:rPr>
              <w:t>importants ont été accomplis, s’</w:t>
            </w:r>
            <w:r w:rsidRPr="00CF1AD9">
              <w:rPr>
                <w:szCs w:val="22"/>
              </w:rPr>
              <w:t>agissant, par exemple, de</w:t>
            </w:r>
            <w:r w:rsidR="00232E2E">
              <w:rPr>
                <w:szCs w:val="22"/>
              </w:rPr>
              <w:t xml:space="preserve"> projets de recommandation ou d’</w:t>
            </w:r>
            <w:r w:rsidRPr="00CF1AD9">
              <w:rPr>
                <w:szCs w:val="22"/>
              </w:rPr>
              <w:t>un rapport) ou de documents temporaires.</w:t>
            </w:r>
          </w:p>
          <w:p w:rsidR="00CF1AD9" w:rsidRPr="00CF1AD9" w:rsidRDefault="00232E2E" w:rsidP="000B0999">
            <w:pPr>
              <w:pStyle w:val="NoSpacing"/>
              <w:spacing w:before="120"/>
              <w:rPr>
                <w:szCs w:val="22"/>
              </w:rPr>
            </w:pPr>
            <w:r>
              <w:rPr>
                <w:szCs w:val="22"/>
              </w:rPr>
              <w:t>7</w:t>
            </w:r>
            <w:r>
              <w:rPr>
                <w:szCs w:val="22"/>
              </w:rPr>
              <w:tab/>
              <w:t>Le rapport d’</w:t>
            </w:r>
            <w:r w:rsidR="00CF1AD9" w:rsidRPr="00CF1AD9">
              <w:rPr>
                <w:szCs w:val="22"/>
              </w:rPr>
              <w:t>activité mentionné aux § 12.1 et 12.3 ci-dessus devrait suivre, dans la mesure du possible, la présentation indiquée dans ces sections de la présente Résolution.</w:t>
            </w:r>
          </w:p>
          <w:p w:rsidR="00CF1AD9" w:rsidRPr="00CF1AD9" w:rsidRDefault="00CF1AD9" w:rsidP="000B0999">
            <w:pPr>
              <w:pStyle w:val="NoSpacing"/>
              <w:spacing w:before="120"/>
              <w:rPr>
                <w:szCs w:val="22"/>
              </w:rPr>
            </w:pPr>
            <w:r w:rsidRPr="00CF1AD9">
              <w:rPr>
                <w:szCs w:val="22"/>
              </w:rPr>
              <w:t>8</w:t>
            </w:r>
            <w:r w:rsidRPr="00CF1AD9">
              <w:rPr>
                <w:szCs w:val="22"/>
              </w:rPr>
              <w:tab/>
              <w:t>Veiller à ce que les notes de liaison soient soumises dès que possible après les réunions et que des copies soient transmises a</w:t>
            </w:r>
            <w:r w:rsidR="00232E2E">
              <w:rPr>
                <w:szCs w:val="22"/>
              </w:rPr>
              <w:t>ux présidents des commissions d’</w:t>
            </w:r>
            <w:r w:rsidRPr="00CF1AD9">
              <w:rPr>
                <w:szCs w:val="22"/>
              </w:rPr>
              <w:t>études et au BDT. Les notes de liaison doivent contenir les renseignements indiqués sur le modèle d</w:t>
            </w:r>
            <w:r w:rsidR="00232E2E">
              <w:rPr>
                <w:szCs w:val="22"/>
              </w:rPr>
              <w:t>e note de liaison décrit dans l’</w:t>
            </w:r>
            <w:r w:rsidRPr="00CF1AD9">
              <w:rPr>
                <w:szCs w:val="22"/>
              </w:rPr>
              <w:t>Annexe 4 de la présente Résolution. Le BDT peut fournir une assistance pour la diffusion des notes de liaison.</w:t>
            </w:r>
          </w:p>
          <w:p w:rsidR="00171BB9" w:rsidRPr="004B6364" w:rsidRDefault="00CF1AD9" w:rsidP="000B0999">
            <w:pPr>
              <w:pStyle w:val="NoSpacing"/>
              <w:spacing w:before="120"/>
              <w:rPr>
                <w:szCs w:val="20"/>
              </w:rPr>
            </w:pPr>
            <w:r w:rsidRPr="004B6364">
              <w:rPr>
                <w:szCs w:val="20"/>
              </w:rPr>
              <w:t>9</w:t>
            </w:r>
            <w:r w:rsidRPr="004B6364">
              <w:rPr>
                <w:szCs w:val="20"/>
              </w:rPr>
              <w:tab/>
              <w:t>Contrôler la qualité des textes, y compris du texte final soumis pour approbation.</w:t>
            </w:r>
          </w:p>
          <w:p w:rsidR="00171BB9" w:rsidRPr="004B6364" w:rsidRDefault="00171BB9" w:rsidP="00171BB9">
            <w:pPr>
              <w:pStyle w:val="NoSpacing"/>
              <w:rPr>
                <w:szCs w:val="20"/>
              </w:rPr>
            </w:pPr>
          </w:p>
          <w:p w:rsidR="00171BB9" w:rsidRPr="004B6364" w:rsidRDefault="00171BB9" w:rsidP="00171BB9">
            <w:pPr>
              <w:pStyle w:val="NoSpacing"/>
              <w:rPr>
                <w:szCs w:val="20"/>
              </w:rPr>
            </w:pPr>
          </w:p>
          <w:p w:rsidR="00171BB9" w:rsidRDefault="00171BB9" w:rsidP="00A21CFB">
            <w:pPr>
              <w:pStyle w:val="NoSpacing"/>
            </w:pPr>
          </w:p>
        </w:tc>
      </w:tr>
    </w:tbl>
    <w:p w:rsidR="00541252" w:rsidRPr="000B0999" w:rsidRDefault="00384958" w:rsidP="000B0999">
      <w:pPr>
        <w:jc w:val="center"/>
      </w:pPr>
      <w:r>
        <w:t>______________</w:t>
      </w:r>
    </w:p>
    <w:sectPr w:rsidR="00541252" w:rsidRPr="000B0999" w:rsidSect="00843E69">
      <w:headerReference w:type="even" r:id="rId9"/>
      <w:headerReference w:type="default" r:id="rId10"/>
      <w:headerReference w:type="first" r:id="rId11"/>
      <w:footerReference w:type="first" r:id="rId12"/>
      <w:pgSz w:w="11907" w:h="16834" w:code="9"/>
      <w:pgMar w:top="1134" w:right="1134" w:bottom="1134" w:left="1134" w:header="567" w:footer="567" w:gutter="0"/>
      <w:paperSrc w:first="4" w:other="4"/>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577" w:rsidRDefault="00276577">
      <w:pPr>
        <w:tabs>
          <w:tab w:val="left" w:pos="794"/>
          <w:tab w:val="left" w:pos="1191"/>
          <w:tab w:val="left" w:pos="1588"/>
          <w:tab w:val="left" w:pos="1985"/>
        </w:tabs>
        <w:overflowPunct w:val="0"/>
        <w:autoSpaceDE w:val="0"/>
        <w:autoSpaceDN w:val="0"/>
        <w:adjustRightInd w:val="0"/>
        <w:spacing w:before="160" w:line="280" w:lineRule="exact"/>
        <w:textAlignment w:val="baseline"/>
      </w:pPr>
      <w:r>
        <w:separator/>
      </w:r>
    </w:p>
    <w:p w:rsidR="00276577" w:rsidRDefault="00276577">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276577" w:rsidRDefault="00276577"/>
  </w:endnote>
  <w:endnote w:type="continuationSeparator" w:id="0">
    <w:p w:rsidR="00276577" w:rsidRDefault="00276577">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276577" w:rsidRDefault="00276577">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276577" w:rsidRDefault="002765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bats">
    <w:panose1 w:val="00000000000000000000"/>
    <w:charset w:val="02"/>
    <w:family w:val="auto"/>
    <w:notTrueType/>
    <w:pitch w:val="default"/>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Medium">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implified Arabic">
    <w:altName w:val="Times New Roman"/>
    <w:panose1 w:val="02020603050405020304"/>
    <w:charset w:val="00"/>
    <w:family w:val="roman"/>
    <w:pitch w:val="variable"/>
    <w:sig w:usb0="00002003" w:usb1="00000000" w:usb2="00000000"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181" w:rsidRDefault="0005652B" w:rsidP="00CB5EA6">
    <w:pPr>
      <w:pStyle w:val="BDTFooter"/>
      <w:ind w:firstLine="142"/>
      <w:jc w:val="left"/>
      <w:rPr>
        <w:color w:val="189CD7"/>
        <w:lang w:val="fr-CH"/>
      </w:rPr>
    </w:pPr>
    <w:r>
      <w:rPr>
        <w:noProof/>
        <w:color w:val="189CD7"/>
        <w:lang w:val="en-GB" w:eastAsia="zh-CN"/>
      </w:rPr>
      <w:drawing>
        <wp:anchor distT="0" distB="0" distL="114300" distR="114300" simplePos="0" relativeHeight="251664384" behindDoc="0" locked="0" layoutInCell="1" allowOverlap="1" wp14:anchorId="3166ED75" wp14:editId="1C51BFF4">
          <wp:simplePos x="0" y="0"/>
          <wp:positionH relativeFrom="column">
            <wp:posOffset>4198620</wp:posOffset>
          </wp:positionH>
          <wp:positionV relativeFrom="paragraph">
            <wp:posOffset>135255</wp:posOffset>
          </wp:positionV>
          <wp:extent cx="2087880" cy="647700"/>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_25Years_Horizontal-411959.jpg"/>
                  <pic:cNvPicPr/>
                </pic:nvPicPr>
                <pic:blipFill>
                  <a:blip r:embed="rId1">
                    <a:extLst>
                      <a:ext uri="{28A0092B-C50C-407E-A947-70E740481C1C}">
                        <a14:useLocalDpi xmlns:a14="http://schemas.microsoft.com/office/drawing/2010/main" val="0"/>
                      </a:ext>
                    </a:extLst>
                  </a:blip>
                  <a:stretch>
                    <a:fillRect/>
                  </a:stretch>
                </pic:blipFill>
                <pic:spPr>
                  <a:xfrm>
                    <a:off x="0" y="0"/>
                    <a:ext cx="2087880" cy="647700"/>
                  </a:xfrm>
                  <a:prstGeom prst="rect">
                    <a:avLst/>
                  </a:prstGeom>
                </pic:spPr>
              </pic:pic>
            </a:graphicData>
          </a:graphic>
          <wp14:sizeRelH relativeFrom="margin">
            <wp14:pctWidth>0</wp14:pctWidth>
          </wp14:sizeRelH>
          <wp14:sizeRelV relativeFrom="margin">
            <wp14:pctHeight>0</wp14:pctHeight>
          </wp14:sizeRelV>
        </wp:anchor>
      </w:drawing>
    </w:r>
  </w:p>
  <w:p w:rsidR="00843E69" w:rsidRPr="004949B5" w:rsidRDefault="00843E69" w:rsidP="00CB5EA6">
    <w:pPr>
      <w:pStyle w:val="BDTFooter"/>
      <w:ind w:firstLine="142"/>
      <w:jc w:val="left"/>
      <w:rPr>
        <w:color w:val="189CD7"/>
        <w:lang w:val="fr-CH"/>
      </w:rPr>
    </w:pPr>
    <w:r w:rsidRPr="00017FE4">
      <w:rPr>
        <w:color w:val="189CD7"/>
        <w:lang w:val="fr-CH"/>
      </w:rPr>
      <w:t>Union internationale des télécommunications</w:t>
    </w:r>
    <w:r w:rsidRPr="004949B5">
      <w:rPr>
        <w:color w:val="189CD7"/>
        <w:lang w:val="fr-CH"/>
      </w:rPr>
      <w:t xml:space="preserve"> </w:t>
    </w:r>
  </w:p>
  <w:p w:rsidR="00843E69" w:rsidRDefault="00843E69" w:rsidP="00CB5EA6">
    <w:pPr>
      <w:pStyle w:val="BDTFooter"/>
      <w:ind w:firstLine="142"/>
      <w:jc w:val="left"/>
      <w:rPr>
        <w:color w:val="189CD7"/>
        <w:lang w:val="fr-CH"/>
      </w:rPr>
    </w:pPr>
    <w:r w:rsidRPr="004949B5">
      <w:rPr>
        <w:color w:val="189CD7"/>
        <w:lang w:val="fr-CH"/>
      </w:rPr>
      <w:t>Place des Nations • CH-1211 Gen</w:t>
    </w:r>
    <w:r>
      <w:rPr>
        <w:color w:val="189CD7"/>
        <w:lang w:val="fr-CH"/>
      </w:rPr>
      <w:t>ève</w:t>
    </w:r>
    <w:r w:rsidRPr="004949B5">
      <w:rPr>
        <w:color w:val="189CD7"/>
        <w:lang w:val="fr-CH"/>
      </w:rPr>
      <w:t xml:space="preserve"> 20 • S</w:t>
    </w:r>
    <w:r>
      <w:rPr>
        <w:color w:val="189CD7"/>
        <w:lang w:val="fr-CH"/>
      </w:rPr>
      <w:t xml:space="preserve">uisse </w:t>
    </w:r>
  </w:p>
  <w:p w:rsidR="00843E69" w:rsidRDefault="00843E69" w:rsidP="00CB5EA6">
    <w:pPr>
      <w:pStyle w:val="BDTFooter"/>
      <w:ind w:firstLine="142"/>
      <w:jc w:val="left"/>
      <w:rPr>
        <w:color w:val="189CD7"/>
        <w:lang w:val="fr-CH"/>
      </w:rPr>
    </w:pPr>
    <w:r>
      <w:rPr>
        <w:color w:val="189CD7"/>
        <w:lang w:val="fr-CH"/>
      </w:rPr>
      <w:t>Té</w:t>
    </w:r>
    <w:r w:rsidRPr="004949B5">
      <w:rPr>
        <w:color w:val="189CD7"/>
        <w:lang w:val="fr-CH"/>
      </w:rPr>
      <w:t>l</w:t>
    </w:r>
    <w:r w:rsidR="00B461EB">
      <w:rPr>
        <w:color w:val="189CD7"/>
        <w:lang w:val="fr-CH"/>
      </w:rPr>
      <w:t>.</w:t>
    </w:r>
    <w:r w:rsidRPr="004949B5">
      <w:rPr>
        <w:color w:val="189CD7"/>
        <w:lang w:val="fr-CH"/>
      </w:rPr>
      <w:t xml:space="preserve">: +41 22 730 5111 • Fax: +41 22 730 5545/730 5484 </w:t>
    </w:r>
  </w:p>
  <w:p w:rsidR="00843E69" w:rsidRDefault="00843E69" w:rsidP="00CB5EA6">
    <w:pPr>
      <w:pStyle w:val="BDTFooter"/>
      <w:ind w:firstLine="142"/>
      <w:jc w:val="left"/>
      <w:rPr>
        <w:color w:val="189CD7"/>
        <w:lang w:val="fr-CH"/>
      </w:rPr>
    </w:pPr>
    <w:r w:rsidRPr="004949B5">
      <w:rPr>
        <w:color w:val="189CD7"/>
        <w:lang w:val="fr-CH"/>
      </w:rPr>
      <w:t xml:space="preserve">E-mail: </w:t>
    </w:r>
    <w:hyperlink r:id="rId2" w:history="1">
      <w:r w:rsidRPr="004949B5">
        <w:rPr>
          <w:rStyle w:val="Hyperlink"/>
          <w:color w:val="189CD7"/>
          <w:szCs w:val="18"/>
          <w:lang w:val="fr-CH"/>
        </w:rPr>
        <w:t>bdtmail@itu.int</w:t>
      </w:r>
    </w:hyperlink>
    <w:r w:rsidRPr="004949B5">
      <w:rPr>
        <w:color w:val="189CD7"/>
        <w:lang w:val="fr-CH"/>
      </w:rPr>
      <w:t xml:space="preserve"> • </w:t>
    </w:r>
    <w:hyperlink r:id="rId3" w:history="1">
      <w:r w:rsidRPr="00380342">
        <w:rPr>
          <w:rStyle w:val="Hyperlink"/>
          <w:color w:val="189CD7"/>
          <w:szCs w:val="18"/>
          <w:lang w:val="fr-CH"/>
        </w:rPr>
        <w:t>www.itu.int/itu-d</w:t>
      </w:r>
    </w:hyperlink>
    <w:r>
      <w:rPr>
        <w:color w:val="189CD7"/>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577" w:rsidRDefault="00276577">
      <w:pPr>
        <w:tabs>
          <w:tab w:val="left" w:pos="794"/>
          <w:tab w:val="left" w:pos="1191"/>
          <w:tab w:val="left" w:pos="1588"/>
          <w:tab w:val="left" w:pos="1985"/>
        </w:tabs>
        <w:overflowPunct w:val="0"/>
        <w:autoSpaceDE w:val="0"/>
        <w:autoSpaceDN w:val="0"/>
        <w:adjustRightInd w:val="0"/>
        <w:spacing w:before="160" w:line="280" w:lineRule="exact"/>
        <w:textAlignment w:val="baseline"/>
      </w:pPr>
      <w:r>
        <w:t>____________________</w:t>
      </w:r>
    </w:p>
    <w:p w:rsidR="00276577" w:rsidRDefault="00276577">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276577" w:rsidRDefault="00276577"/>
  </w:footnote>
  <w:footnote w:type="continuationSeparator" w:id="0">
    <w:p w:rsidR="00276577" w:rsidRDefault="00276577">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276577" w:rsidRDefault="00276577">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276577" w:rsidRDefault="002765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6242104"/>
      <w:docPartObj>
        <w:docPartGallery w:val="Page Numbers (Top of Page)"/>
        <w:docPartUnique/>
      </w:docPartObj>
    </w:sdtPr>
    <w:sdtEndPr>
      <w:rPr>
        <w:noProof/>
      </w:rPr>
    </w:sdtEndPr>
    <w:sdtContent>
      <w:p w:rsidR="00541252" w:rsidRDefault="00541252" w:rsidP="00541252">
        <w:pPr>
          <w:pStyle w:val="Header"/>
          <w:jc w:val="center"/>
        </w:pPr>
        <w:r>
          <w:fldChar w:fldCharType="begin"/>
        </w:r>
        <w:r>
          <w:instrText xml:space="preserve"> PAGE   \* MERGEFORMAT </w:instrText>
        </w:r>
        <w:r>
          <w:fldChar w:fldCharType="separate"/>
        </w:r>
        <w:r w:rsidR="00843E69">
          <w:rPr>
            <w:noProof/>
          </w:rPr>
          <w:t>2</w:t>
        </w:r>
        <w:r>
          <w:rPr>
            <w:noProof/>
          </w:rPr>
          <w:fldChar w:fldCharType="end"/>
        </w:r>
      </w:p>
    </w:sdtContent>
  </w:sdt>
  <w:p w:rsidR="00541252" w:rsidRDefault="00541252" w:rsidP="00541252">
    <w:pPr>
      <w:pStyle w:val="Header"/>
    </w:pPr>
  </w:p>
  <w:p w:rsidR="00541252" w:rsidRPr="00541252" w:rsidRDefault="00541252" w:rsidP="005412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8358971"/>
      <w:docPartObj>
        <w:docPartGallery w:val="Page Numbers (Top of Page)"/>
        <w:docPartUnique/>
      </w:docPartObj>
    </w:sdtPr>
    <w:sdtEndPr>
      <w:rPr>
        <w:noProof/>
        <w:sz w:val="18"/>
        <w:szCs w:val="18"/>
      </w:rPr>
    </w:sdtEndPr>
    <w:sdtContent>
      <w:p w:rsidR="001C2CC5" w:rsidRPr="00B461EB" w:rsidRDefault="001C2CC5" w:rsidP="001C2CC5">
        <w:pPr>
          <w:pStyle w:val="Header"/>
          <w:jc w:val="center"/>
          <w:rPr>
            <w:sz w:val="18"/>
            <w:szCs w:val="18"/>
          </w:rPr>
        </w:pPr>
        <w:r w:rsidRPr="00B461EB">
          <w:rPr>
            <w:sz w:val="18"/>
            <w:szCs w:val="18"/>
          </w:rPr>
          <w:fldChar w:fldCharType="begin"/>
        </w:r>
        <w:r w:rsidRPr="00B461EB">
          <w:rPr>
            <w:sz w:val="18"/>
            <w:szCs w:val="18"/>
          </w:rPr>
          <w:instrText xml:space="preserve"> PAGE   \* MERGEFORMAT </w:instrText>
        </w:r>
        <w:r w:rsidRPr="00B461EB">
          <w:rPr>
            <w:sz w:val="18"/>
            <w:szCs w:val="18"/>
          </w:rPr>
          <w:fldChar w:fldCharType="separate"/>
        </w:r>
        <w:r w:rsidR="00000CFB">
          <w:rPr>
            <w:noProof/>
            <w:sz w:val="18"/>
            <w:szCs w:val="18"/>
          </w:rPr>
          <w:t>2</w:t>
        </w:r>
        <w:r w:rsidRPr="00B461EB">
          <w:rPr>
            <w:noProof/>
            <w:sz w:val="18"/>
            <w:szCs w:val="18"/>
          </w:rPr>
          <w:fldChar w:fldCharType="end"/>
        </w:r>
      </w:p>
    </w:sdtContent>
  </w:sdt>
  <w:p w:rsidR="00171BB9" w:rsidRPr="001C2CC5" w:rsidRDefault="00171BB9" w:rsidP="001C2C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E69" w:rsidRDefault="0005652B" w:rsidP="00995A0A">
    <w:pPr>
      <w:pStyle w:val="Header"/>
      <w:tabs>
        <w:tab w:val="clear" w:pos="9360"/>
        <w:tab w:val="left" w:pos="9214"/>
        <w:tab w:val="right" w:pos="9639"/>
      </w:tabs>
    </w:pPr>
    <w:r>
      <w:rPr>
        <w:noProof/>
        <w:color w:val="189CD7"/>
        <w:lang w:val="en-GB" w:eastAsia="zh-CN"/>
      </w:rPr>
      <w:drawing>
        <wp:anchor distT="0" distB="0" distL="114300" distR="114300" simplePos="0" relativeHeight="251663360" behindDoc="0" locked="0" layoutInCell="1" allowOverlap="1" wp14:anchorId="2D0D5785" wp14:editId="4AB1F339">
          <wp:simplePos x="0" y="0"/>
          <wp:positionH relativeFrom="column">
            <wp:posOffset>4275455</wp:posOffset>
          </wp:positionH>
          <wp:positionV relativeFrom="paragraph">
            <wp:posOffset>457200</wp:posOffset>
          </wp:positionV>
          <wp:extent cx="1835785" cy="62611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_WTDC 17_Logo_Horizontal.jpg"/>
                  <pic:cNvPicPr/>
                </pic:nvPicPr>
                <pic:blipFill>
                  <a:blip r:embed="rId1">
                    <a:extLst>
                      <a:ext uri="{28A0092B-C50C-407E-A947-70E740481C1C}">
                        <a14:useLocalDpi xmlns:a14="http://schemas.microsoft.com/office/drawing/2010/main" val="0"/>
                      </a:ext>
                    </a:extLst>
                  </a:blip>
                  <a:stretch>
                    <a:fillRect/>
                  </a:stretch>
                </pic:blipFill>
                <pic:spPr>
                  <a:xfrm>
                    <a:off x="0" y="0"/>
                    <a:ext cx="1835785" cy="626110"/>
                  </a:xfrm>
                  <a:prstGeom prst="rect">
                    <a:avLst/>
                  </a:prstGeom>
                </pic:spPr>
              </pic:pic>
            </a:graphicData>
          </a:graphic>
          <wp14:sizeRelH relativeFrom="margin">
            <wp14:pctWidth>0</wp14:pctWidth>
          </wp14:sizeRelH>
          <wp14:sizeRelV relativeFrom="margin">
            <wp14:pctHeight>0</wp14:pctHeight>
          </wp14:sizeRelV>
        </wp:anchor>
      </w:drawing>
    </w:r>
    <w:r w:rsidR="007A58F6">
      <w:rPr>
        <w:noProof/>
        <w:lang w:val="en-GB" w:eastAsia="zh-CN"/>
      </w:rPr>
      <w:drawing>
        <wp:anchor distT="0" distB="0" distL="114300" distR="114300" simplePos="0" relativeHeight="251666432" behindDoc="0" locked="0" layoutInCell="1" allowOverlap="1" wp14:anchorId="5FC40AF1" wp14:editId="008D1BD2">
          <wp:simplePos x="0" y="0"/>
          <wp:positionH relativeFrom="column">
            <wp:posOffset>89120</wp:posOffset>
          </wp:positionH>
          <wp:positionV relativeFrom="paragraph">
            <wp:posOffset>364490</wp:posOffset>
          </wp:positionV>
          <wp:extent cx="594360" cy="6572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TU blue UN.jpg"/>
                  <pic:cNvPicPr/>
                </pic:nvPicPr>
                <pic:blipFill>
                  <a:blip r:embed="rId2">
                    <a:extLst>
                      <a:ext uri="{28A0092B-C50C-407E-A947-70E740481C1C}">
                        <a14:useLocalDpi xmlns:a14="http://schemas.microsoft.com/office/drawing/2010/main" val="0"/>
                      </a:ext>
                    </a:extLst>
                  </a:blip>
                  <a:stretch>
                    <a:fillRect/>
                  </a:stretch>
                </pic:blipFill>
                <pic:spPr>
                  <a:xfrm>
                    <a:off x="0" y="0"/>
                    <a:ext cx="594360" cy="657225"/>
                  </a:xfrm>
                  <a:prstGeom prst="rect">
                    <a:avLst/>
                  </a:prstGeom>
                </pic:spPr>
              </pic:pic>
            </a:graphicData>
          </a:graphic>
          <wp14:sizeRelH relativeFrom="margin">
            <wp14:pctWidth>0</wp14:pctWidth>
          </wp14:sizeRelH>
          <wp14:sizeRelV relativeFrom="margin">
            <wp14:pctHeight>0</wp14:pctHeight>
          </wp14:sizeRelV>
        </wp:anchor>
      </w:drawing>
    </w:r>
    <w:r w:rsidR="00843E69" w:rsidRPr="009B6AA2">
      <w:rPr>
        <w:noProof/>
        <w:lang w:val="en-GB" w:eastAsia="zh-CN"/>
      </w:rPr>
      <mc:AlternateContent>
        <mc:Choice Requires="wps">
          <w:drawing>
            <wp:anchor distT="0" distB="0" distL="114300" distR="114300" simplePos="0" relativeHeight="251662336" behindDoc="0" locked="0" layoutInCell="1" allowOverlap="1" wp14:anchorId="00B093C2" wp14:editId="56693F9F">
              <wp:simplePos x="0" y="0"/>
              <wp:positionH relativeFrom="column">
                <wp:posOffset>0</wp:posOffset>
              </wp:positionH>
              <wp:positionV relativeFrom="paragraph">
                <wp:posOffset>1362075</wp:posOffset>
              </wp:positionV>
              <wp:extent cx="2647950" cy="5810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264795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43E69" w:rsidRPr="00A167BC" w:rsidRDefault="00843E69" w:rsidP="00843E69">
                          <w:pPr>
                            <w:pStyle w:val="NoSpacing"/>
                            <w:spacing w:before="120" w:after="120"/>
                            <w:rPr>
                              <w:lang w:val="fr-CH"/>
                            </w:rPr>
                          </w:pPr>
                          <w:r w:rsidRPr="00380342">
                            <w:rPr>
                              <w:rStyle w:val="BDTName"/>
                              <w:color w:val="189CD7"/>
                              <w:sz w:val="24"/>
                              <w:szCs w:val="24"/>
                              <w:lang w:val="fr-CH"/>
                            </w:rPr>
                            <w:t>Bureau de développement</w:t>
                          </w:r>
                          <w:r>
                            <w:rPr>
                              <w:rStyle w:val="BDTName"/>
                              <w:color w:val="189CD7"/>
                              <w:sz w:val="24"/>
                              <w:szCs w:val="24"/>
                              <w:lang w:val="fr-CH"/>
                            </w:rPr>
                            <w:br/>
                          </w:r>
                          <w:r w:rsidRPr="00380342">
                            <w:rPr>
                              <w:rStyle w:val="BDTName"/>
                              <w:color w:val="189CD7"/>
                              <w:sz w:val="24"/>
                              <w:szCs w:val="24"/>
                              <w:lang w:val="fr-CH"/>
                            </w:rPr>
                            <w:t>des télécommunications (BDT)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B093C2" id="_x0000_t202" coordsize="21600,21600" o:spt="202" path="m,l,21600r21600,l21600,xe">
              <v:stroke joinstyle="miter"/>
              <v:path gradientshapeok="t" o:connecttype="rect"/>
            </v:shapetype>
            <v:shape id="Text Box 1" o:spid="_x0000_s1026" type="#_x0000_t202" style="position:absolute;margin-left:0;margin-top:107.25pt;width:208.5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" fillcolor="white [3201]" stroked="f" strokeweight=".5pt">
              <v:textbox>
                <w:txbxContent>
                  <w:p w:rsidR="00843E69" w:rsidRPr="00A167BC" w:rsidRDefault="00843E69" w:rsidP="00843E69">
                    <w:pPr>
                      <w:pStyle w:val="NoSpacing"/>
                      <w:spacing w:before="120" w:after="120"/>
                      <w:rPr>
                        <w:lang w:val="fr-CH"/>
                      </w:rPr>
                    </w:pPr>
                    <w:r w:rsidRPr="00380342">
                      <w:rPr>
                        <w:rStyle w:val="BDTName"/>
                        <w:color w:val="189CD7"/>
                        <w:sz w:val="24"/>
                        <w:szCs w:val="24"/>
                        <w:lang w:val="fr-CH"/>
                      </w:rPr>
                      <w:t>Bureau de développement</w:t>
                    </w:r>
                    <w:r>
                      <w:rPr>
                        <w:rStyle w:val="BDTName"/>
                        <w:color w:val="189CD7"/>
                        <w:sz w:val="24"/>
                        <w:szCs w:val="24"/>
                        <w:lang w:val="fr-CH"/>
                      </w:rPr>
                      <w:br/>
                    </w:r>
                    <w:r w:rsidRPr="00380342">
                      <w:rPr>
                        <w:rStyle w:val="BDTName"/>
                        <w:color w:val="189CD7"/>
                        <w:sz w:val="24"/>
                        <w:szCs w:val="24"/>
                        <w:lang w:val="fr-CH"/>
                      </w:rPr>
                      <w:t>des télécommunications (BDT)</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7.5pt;height:7.5pt" o:bullet="t">
        <v:imagedata r:id="rId1" o:title=""/>
      </v:shape>
    </w:pict>
  </w:numPicBullet>
  <w:abstractNum w:abstractNumId="0" w15:restartNumberingAfterBreak="0">
    <w:nsid w:val="FFFFFF7C"/>
    <w:multiLevelType w:val="singleLevel"/>
    <w:tmpl w:val="489870F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55E1A8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6C0FF2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0D6824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E6E58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4EA1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FE20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724D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72B7F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AF2E5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46D7EC1"/>
    <w:multiLevelType w:val="hybridMultilevel"/>
    <w:tmpl w:val="052A60E0"/>
    <w:lvl w:ilvl="0" w:tplc="19227E42">
      <w:start w:val="1"/>
      <w:numFmt w:val="decimal"/>
      <w:pStyle w:val="BDTIndent1-123"/>
      <w:lvlText w:val="%1."/>
      <w:lvlJc w:val="left"/>
      <w:pPr>
        <w:tabs>
          <w:tab w:val="num" w:pos="927"/>
        </w:tabs>
        <w:ind w:left="927" w:hanging="360"/>
      </w:pPr>
      <w:rPr>
        <w:rFonts w:ascii="Verdana" w:hAnsi="Verdana" w:cs="Times New Roman" w:hint="default"/>
        <w:b w:val="0"/>
        <w:i w:val="0"/>
        <w:sz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0D912516"/>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2453403D"/>
    <w:multiLevelType w:val="hybridMultilevel"/>
    <w:tmpl w:val="3E5CE034"/>
    <w:lvl w:ilvl="0" w:tplc="A1666656">
      <w:start w:val="1"/>
      <w:numFmt w:val="lowerLetter"/>
      <w:lvlText w:val="%1."/>
      <w:lvlJc w:val="left"/>
      <w:pPr>
        <w:tabs>
          <w:tab w:val="num" w:pos="397"/>
        </w:tabs>
        <w:ind w:left="397" w:hanging="397"/>
      </w:pPr>
      <w:rPr>
        <w:rFonts w:ascii="Calibri" w:hAnsi="Calibri" w:cs="Albertus Medium"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8FF7C6E"/>
    <w:multiLevelType w:val="hybridMultilevel"/>
    <w:tmpl w:val="D1DA13B6"/>
    <w:lvl w:ilvl="0" w:tplc="8C9CD970">
      <w:start w:val="1"/>
      <w:numFmt w:val="decimal"/>
      <w:pStyle w:val="BDT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4414FCE"/>
    <w:multiLevelType w:val="hybridMultilevel"/>
    <w:tmpl w:val="8E5E39E2"/>
    <w:lvl w:ilvl="0" w:tplc="00421AD6">
      <w:start w:val="1"/>
      <w:numFmt w:val="lowerLetter"/>
      <w:pStyle w:val="BDTNormalabc"/>
      <w:lvlText w:val="%1."/>
      <w:lvlJc w:val="left"/>
      <w:pPr>
        <w:ind w:left="717"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0" w15:restartNumberingAfterBreak="0">
    <w:nsid w:val="37ED3CC0"/>
    <w:multiLevelType w:val="hybridMultilevel"/>
    <w:tmpl w:val="1A881D94"/>
    <w:lvl w:ilvl="0" w:tplc="3FDADA78">
      <w:start w:val="1"/>
      <w:numFmt w:val="bullet"/>
      <w:pStyle w:val="BDT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1775F4"/>
    <w:multiLevelType w:val="hybridMultilevel"/>
    <w:tmpl w:val="6762B042"/>
    <w:lvl w:ilvl="0" w:tplc="7A9AC6D6">
      <w:start w:val="1"/>
      <w:numFmt w:val="decimal"/>
      <w:pStyle w:val="BDTcontribution-H123"/>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751120C"/>
    <w:multiLevelType w:val="hybridMultilevel"/>
    <w:tmpl w:val="179C1FBE"/>
    <w:lvl w:ilvl="0" w:tplc="4D647F10">
      <w:start w:val="1"/>
      <w:numFmt w:val="decimal"/>
      <w:lvlText w:val="%1."/>
      <w:lvlJc w:val="left"/>
      <w:pPr>
        <w:ind w:left="927" w:hanging="360"/>
      </w:pPr>
      <w:rPr>
        <w:b w:val="0"/>
        <w:bCs w:val="0"/>
        <w:i w:val="0"/>
        <w:iCs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505F91"/>
    <w:multiLevelType w:val="hybridMultilevel"/>
    <w:tmpl w:val="7EC83216"/>
    <w:lvl w:ilvl="0" w:tplc="ED405FDA">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D96243"/>
    <w:multiLevelType w:val="hybridMultilevel"/>
    <w:tmpl w:val="C8867728"/>
    <w:lvl w:ilvl="0" w:tplc="D30C1158">
      <w:start w:val="1"/>
      <w:numFmt w:val="lowerLetter"/>
      <w:pStyle w:val="BDTIndent1-abc"/>
      <w:lvlText w:val="%1."/>
      <w:lvlJc w:val="left"/>
      <w:pPr>
        <w:tabs>
          <w:tab w:val="num" w:pos="1494"/>
        </w:tabs>
        <w:ind w:left="1494" w:hanging="360"/>
      </w:pPr>
      <w:rPr>
        <w:rFonts w:ascii="Calibri" w:hAnsi="Calibri"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3E26E2E"/>
    <w:multiLevelType w:val="hybridMultilevel"/>
    <w:tmpl w:val="497ECF36"/>
    <w:lvl w:ilvl="0" w:tplc="E4BA2EBC">
      <w:start w:val="1"/>
      <w:numFmt w:val="bullet"/>
      <w:pStyle w:val="BDTDistributionEmdash"/>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cs="Times New Roman" w:hint="default"/>
      </w:rPr>
    </w:lvl>
    <w:lvl w:ilvl="1" w:tplc="E258DE48">
      <w:start w:val="1"/>
      <w:numFmt w:val="lowerLetter"/>
      <w:pStyle w:val="BDTindent-abc"/>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C2F6C2A"/>
    <w:multiLevelType w:val="hybridMultilevel"/>
    <w:tmpl w:val="339C4BC2"/>
    <w:lvl w:ilvl="0" w:tplc="A4C46C42">
      <w:start w:val="1"/>
      <w:numFmt w:val="bullet"/>
      <w:pStyle w:val="BDTEmdashList"/>
      <w:lvlText w:val="–"/>
      <w:lvlJc w:val="left"/>
      <w:pPr>
        <w:tabs>
          <w:tab w:val="num" w:pos="1069"/>
        </w:tabs>
        <w:ind w:left="1069" w:hanging="360"/>
      </w:pPr>
      <w:rPr>
        <w:rFonts w:ascii="Verdana" w:hAnsi="Verdana" w:hint="default"/>
        <w:color w:val="auto"/>
      </w:rPr>
    </w:lvl>
    <w:lvl w:ilvl="1" w:tplc="FFFFFFFF">
      <w:start w:val="1"/>
      <w:numFmt w:val="bullet"/>
      <w:lvlText w:val="o"/>
      <w:lvlJc w:val="left"/>
      <w:pPr>
        <w:tabs>
          <w:tab w:val="num" w:pos="272"/>
        </w:tabs>
        <w:ind w:left="272" w:hanging="360"/>
      </w:pPr>
      <w:rPr>
        <w:rFonts w:ascii="Courier New" w:hAnsi="Courier New" w:hint="default"/>
      </w:rPr>
    </w:lvl>
    <w:lvl w:ilvl="2" w:tplc="FFFFFFFF">
      <w:start w:val="1"/>
      <w:numFmt w:val="bullet"/>
      <w:lvlText w:val=""/>
      <w:lvlJc w:val="left"/>
      <w:pPr>
        <w:tabs>
          <w:tab w:val="num" w:pos="992"/>
        </w:tabs>
        <w:ind w:left="992" w:hanging="360"/>
      </w:pPr>
      <w:rPr>
        <w:rFonts w:ascii="Wingdings" w:hAnsi="Wingdings" w:hint="default"/>
      </w:rPr>
    </w:lvl>
    <w:lvl w:ilvl="3" w:tplc="FFFFFFFF">
      <w:start w:val="1"/>
      <w:numFmt w:val="bullet"/>
      <w:lvlText w:val=""/>
      <w:lvlJc w:val="left"/>
      <w:pPr>
        <w:tabs>
          <w:tab w:val="num" w:pos="1712"/>
        </w:tabs>
        <w:ind w:left="1712" w:hanging="360"/>
      </w:pPr>
      <w:rPr>
        <w:rFonts w:ascii="Symbol" w:hAnsi="Symbol" w:hint="default"/>
      </w:rPr>
    </w:lvl>
    <w:lvl w:ilvl="4" w:tplc="FFFFFFFF">
      <w:start w:val="1"/>
      <w:numFmt w:val="bullet"/>
      <w:lvlText w:val="o"/>
      <w:lvlJc w:val="left"/>
      <w:pPr>
        <w:tabs>
          <w:tab w:val="num" w:pos="2432"/>
        </w:tabs>
        <w:ind w:left="2432" w:hanging="360"/>
      </w:pPr>
      <w:rPr>
        <w:rFonts w:ascii="Courier New" w:hAnsi="Courier New" w:hint="default"/>
      </w:rPr>
    </w:lvl>
    <w:lvl w:ilvl="5" w:tplc="FFFFFFFF" w:tentative="1">
      <w:start w:val="1"/>
      <w:numFmt w:val="bullet"/>
      <w:lvlText w:val=""/>
      <w:lvlJc w:val="left"/>
      <w:pPr>
        <w:tabs>
          <w:tab w:val="num" w:pos="3152"/>
        </w:tabs>
        <w:ind w:left="3152" w:hanging="360"/>
      </w:pPr>
      <w:rPr>
        <w:rFonts w:ascii="Wingdings" w:hAnsi="Wingdings" w:hint="default"/>
      </w:rPr>
    </w:lvl>
    <w:lvl w:ilvl="6" w:tplc="FFFFFFFF" w:tentative="1">
      <w:start w:val="1"/>
      <w:numFmt w:val="bullet"/>
      <w:lvlText w:val=""/>
      <w:lvlJc w:val="left"/>
      <w:pPr>
        <w:tabs>
          <w:tab w:val="num" w:pos="3872"/>
        </w:tabs>
        <w:ind w:left="3872" w:hanging="360"/>
      </w:pPr>
      <w:rPr>
        <w:rFonts w:ascii="Symbol" w:hAnsi="Symbol" w:hint="default"/>
      </w:rPr>
    </w:lvl>
    <w:lvl w:ilvl="7" w:tplc="FFFFFFFF" w:tentative="1">
      <w:start w:val="1"/>
      <w:numFmt w:val="bullet"/>
      <w:lvlText w:val="o"/>
      <w:lvlJc w:val="left"/>
      <w:pPr>
        <w:tabs>
          <w:tab w:val="num" w:pos="4592"/>
        </w:tabs>
        <w:ind w:left="4592" w:hanging="360"/>
      </w:pPr>
      <w:rPr>
        <w:rFonts w:ascii="Courier New" w:hAnsi="Courier New" w:hint="default"/>
      </w:rPr>
    </w:lvl>
    <w:lvl w:ilvl="8" w:tplc="FFFFFFFF" w:tentative="1">
      <w:start w:val="1"/>
      <w:numFmt w:val="bullet"/>
      <w:lvlText w:val=""/>
      <w:lvlJc w:val="left"/>
      <w:pPr>
        <w:tabs>
          <w:tab w:val="num" w:pos="5312"/>
        </w:tabs>
        <w:ind w:left="5312" w:hanging="360"/>
      </w:pPr>
      <w:rPr>
        <w:rFonts w:ascii="Wingdings" w:hAnsi="Wingdings" w:hint="default"/>
      </w:rPr>
    </w:lvl>
  </w:abstractNum>
  <w:num w:numId="1">
    <w:abstractNumId w:val="27"/>
  </w:num>
  <w:num w:numId="2">
    <w:abstractNumId w:val="27"/>
  </w:num>
  <w:num w:numId="3">
    <w:abstractNumId w:val="21"/>
  </w:num>
  <w:num w:numId="4">
    <w:abstractNumId w:val="20"/>
  </w:num>
  <w:num w:numId="5">
    <w:abstractNumId w:val="18"/>
  </w:num>
  <w:num w:numId="6">
    <w:abstractNumId w:val="14"/>
  </w:num>
  <w:num w:numId="7">
    <w:abstractNumId w:val="24"/>
  </w:num>
  <w:num w:numId="8">
    <w:abstractNumId w:val="26"/>
  </w:num>
  <w:num w:numId="9">
    <w:abstractNumId w:val="23"/>
  </w:num>
  <w:num w:numId="10">
    <w:abstractNumId w:val="15"/>
  </w:num>
  <w:num w:numId="11">
    <w:abstractNumId w:val="27"/>
  </w:num>
  <w:num w:numId="12">
    <w:abstractNumId w:val="19"/>
    <w:lvlOverride w:ilvl="0">
      <w:startOverride w:val="1"/>
    </w:lvlOverride>
  </w:num>
  <w:num w:numId="13">
    <w:abstractNumId w:val="27"/>
  </w:num>
  <w:num w:numId="14">
    <w:abstractNumId w:val="27"/>
  </w:num>
  <w:num w:numId="15">
    <w:abstractNumId w:val="21"/>
  </w:num>
  <w:num w:numId="16">
    <w:abstractNumId w:val="20"/>
  </w:num>
  <w:num w:numId="17">
    <w:abstractNumId w:val="18"/>
  </w:num>
  <w:num w:numId="18">
    <w:abstractNumId w:val="14"/>
  </w:num>
  <w:num w:numId="19">
    <w:abstractNumId w:val="24"/>
  </w:num>
  <w:num w:numId="20">
    <w:abstractNumId w:val="26"/>
  </w:num>
  <w:num w:numId="21">
    <w:abstractNumId w:val="23"/>
  </w:num>
  <w:num w:numId="22">
    <w:abstractNumId w:val="15"/>
  </w:num>
  <w:num w:numId="23">
    <w:abstractNumId w:val="27"/>
  </w:num>
  <w:num w:numId="24">
    <w:abstractNumId w:val="19"/>
    <w:lvlOverride w:ilvl="0">
      <w:startOverride w:val="1"/>
    </w:lvlOverride>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6"/>
  </w:num>
  <w:num w:numId="36">
    <w:abstractNumId w:val="17"/>
  </w:num>
  <w:num w:numId="37">
    <w:abstractNumId w:val="21"/>
  </w:num>
  <w:num w:numId="38">
    <w:abstractNumId w:val="25"/>
  </w:num>
  <w:num w:numId="39">
    <w:abstractNumId w:val="27"/>
  </w:num>
  <w:num w:numId="40">
    <w:abstractNumId w:val="20"/>
  </w:num>
  <w:num w:numId="41">
    <w:abstractNumId w:val="18"/>
  </w:num>
  <w:num w:numId="42">
    <w:abstractNumId w:val="14"/>
  </w:num>
  <w:num w:numId="43">
    <w:abstractNumId w:val="24"/>
  </w:num>
  <w:num w:numId="44">
    <w:abstractNumId w:val="23"/>
  </w:num>
  <w:num w:numId="45">
    <w:abstractNumId w:val="15"/>
  </w:num>
  <w:num w:numId="46">
    <w:abstractNumId w:val="25"/>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stylePaneFormatFilter w:val="C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1"/>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563963"/>
    <w:rsid w:val="00000CFB"/>
    <w:rsid w:val="000066FC"/>
    <w:rsid w:val="00010AB7"/>
    <w:rsid w:val="00010C0C"/>
    <w:rsid w:val="00012E9E"/>
    <w:rsid w:val="00017FE4"/>
    <w:rsid w:val="00040129"/>
    <w:rsid w:val="000466E2"/>
    <w:rsid w:val="0005652B"/>
    <w:rsid w:val="0008307C"/>
    <w:rsid w:val="00083361"/>
    <w:rsid w:val="00090D6D"/>
    <w:rsid w:val="000912B2"/>
    <w:rsid w:val="0009681E"/>
    <w:rsid w:val="000A008B"/>
    <w:rsid w:val="000A29AC"/>
    <w:rsid w:val="000B01A5"/>
    <w:rsid w:val="000B0999"/>
    <w:rsid w:val="000B1C1B"/>
    <w:rsid w:val="000B6E38"/>
    <w:rsid w:val="000C138E"/>
    <w:rsid w:val="000C2782"/>
    <w:rsid w:val="000C322B"/>
    <w:rsid w:val="000C5788"/>
    <w:rsid w:val="000C7908"/>
    <w:rsid w:val="000D2000"/>
    <w:rsid w:val="000E573B"/>
    <w:rsid w:val="000F20A2"/>
    <w:rsid w:val="001075B4"/>
    <w:rsid w:val="00126F1E"/>
    <w:rsid w:val="00137A51"/>
    <w:rsid w:val="001405AD"/>
    <w:rsid w:val="001466E3"/>
    <w:rsid w:val="00147582"/>
    <w:rsid w:val="00152685"/>
    <w:rsid w:val="00155E2E"/>
    <w:rsid w:val="0016111E"/>
    <w:rsid w:val="00163E88"/>
    <w:rsid w:val="00167BD8"/>
    <w:rsid w:val="0017000F"/>
    <w:rsid w:val="00171BB9"/>
    <w:rsid w:val="00172C1A"/>
    <w:rsid w:val="0019683E"/>
    <w:rsid w:val="001A27B7"/>
    <w:rsid w:val="001A50DB"/>
    <w:rsid w:val="001B56FB"/>
    <w:rsid w:val="001C23C4"/>
    <w:rsid w:val="001C2CC5"/>
    <w:rsid w:val="001F376B"/>
    <w:rsid w:val="00222598"/>
    <w:rsid w:val="0022331B"/>
    <w:rsid w:val="002257F0"/>
    <w:rsid w:val="00232E2E"/>
    <w:rsid w:val="00237EC0"/>
    <w:rsid w:val="00272BB0"/>
    <w:rsid w:val="00276577"/>
    <w:rsid w:val="002860F8"/>
    <w:rsid w:val="0028640A"/>
    <w:rsid w:val="00294295"/>
    <w:rsid w:val="002C7449"/>
    <w:rsid w:val="002D7282"/>
    <w:rsid w:val="002E24CE"/>
    <w:rsid w:val="002E4014"/>
    <w:rsid w:val="002F0502"/>
    <w:rsid w:val="003019D6"/>
    <w:rsid w:val="00301C7D"/>
    <w:rsid w:val="00306CC9"/>
    <w:rsid w:val="00311ECB"/>
    <w:rsid w:val="003159FF"/>
    <w:rsid w:val="0033597E"/>
    <w:rsid w:val="0034565B"/>
    <w:rsid w:val="00350658"/>
    <w:rsid w:val="0036347D"/>
    <w:rsid w:val="00366FFB"/>
    <w:rsid w:val="00371316"/>
    <w:rsid w:val="003754FF"/>
    <w:rsid w:val="00380342"/>
    <w:rsid w:val="00382074"/>
    <w:rsid w:val="00384958"/>
    <w:rsid w:val="00393C0B"/>
    <w:rsid w:val="00397410"/>
    <w:rsid w:val="003C0701"/>
    <w:rsid w:val="003C5B91"/>
    <w:rsid w:val="003E4048"/>
    <w:rsid w:val="003E75AB"/>
    <w:rsid w:val="003F1B3D"/>
    <w:rsid w:val="0041144E"/>
    <w:rsid w:val="00431DF9"/>
    <w:rsid w:val="00450BD9"/>
    <w:rsid w:val="00452FD3"/>
    <w:rsid w:val="00453D41"/>
    <w:rsid w:val="00465D05"/>
    <w:rsid w:val="00465EA3"/>
    <w:rsid w:val="004702DE"/>
    <w:rsid w:val="00472C4B"/>
    <w:rsid w:val="004949B5"/>
    <w:rsid w:val="004B4F44"/>
    <w:rsid w:val="004B6364"/>
    <w:rsid w:val="004C0C9D"/>
    <w:rsid w:val="004D6B3E"/>
    <w:rsid w:val="004F1439"/>
    <w:rsid w:val="004F7D4B"/>
    <w:rsid w:val="00505000"/>
    <w:rsid w:val="00524617"/>
    <w:rsid w:val="00533367"/>
    <w:rsid w:val="00541252"/>
    <w:rsid w:val="005451BE"/>
    <w:rsid w:val="00563963"/>
    <w:rsid w:val="00564E74"/>
    <w:rsid w:val="00580B00"/>
    <w:rsid w:val="0058789E"/>
    <w:rsid w:val="0059339A"/>
    <w:rsid w:val="005A6B77"/>
    <w:rsid w:val="005B2843"/>
    <w:rsid w:val="005B4D33"/>
    <w:rsid w:val="005B537C"/>
    <w:rsid w:val="005D2B82"/>
    <w:rsid w:val="00611098"/>
    <w:rsid w:val="0063090D"/>
    <w:rsid w:val="0063723C"/>
    <w:rsid w:val="00643582"/>
    <w:rsid w:val="00643B5F"/>
    <w:rsid w:val="00673A6C"/>
    <w:rsid w:val="006762E2"/>
    <w:rsid w:val="006850F2"/>
    <w:rsid w:val="00693251"/>
    <w:rsid w:val="006A61CA"/>
    <w:rsid w:val="006B3588"/>
    <w:rsid w:val="006B4212"/>
    <w:rsid w:val="006B7C59"/>
    <w:rsid w:val="006C2181"/>
    <w:rsid w:val="006C424B"/>
    <w:rsid w:val="006D591F"/>
    <w:rsid w:val="006E2F6E"/>
    <w:rsid w:val="006E5260"/>
    <w:rsid w:val="006E7BE1"/>
    <w:rsid w:val="006E7E3A"/>
    <w:rsid w:val="006F2693"/>
    <w:rsid w:val="00707FA1"/>
    <w:rsid w:val="0071619F"/>
    <w:rsid w:val="00720E83"/>
    <w:rsid w:val="0073093C"/>
    <w:rsid w:val="00741E8B"/>
    <w:rsid w:val="007528CA"/>
    <w:rsid w:val="007606AF"/>
    <w:rsid w:val="00765CCA"/>
    <w:rsid w:val="00771F6B"/>
    <w:rsid w:val="00777178"/>
    <w:rsid w:val="00777F4A"/>
    <w:rsid w:val="007A36B8"/>
    <w:rsid w:val="007A3D23"/>
    <w:rsid w:val="007A58F6"/>
    <w:rsid w:val="007A66FA"/>
    <w:rsid w:val="007B29D4"/>
    <w:rsid w:val="007C07D4"/>
    <w:rsid w:val="007D6313"/>
    <w:rsid w:val="007E1DE8"/>
    <w:rsid w:val="00832D0B"/>
    <w:rsid w:val="00833D88"/>
    <w:rsid w:val="0083424C"/>
    <w:rsid w:val="00843BB9"/>
    <w:rsid w:val="00843E69"/>
    <w:rsid w:val="00865260"/>
    <w:rsid w:val="00887941"/>
    <w:rsid w:val="00894938"/>
    <w:rsid w:val="008A7AA7"/>
    <w:rsid w:val="008B7121"/>
    <w:rsid w:val="008C1197"/>
    <w:rsid w:val="008C2231"/>
    <w:rsid w:val="008C2862"/>
    <w:rsid w:val="008C592A"/>
    <w:rsid w:val="008C6864"/>
    <w:rsid w:val="008C69EF"/>
    <w:rsid w:val="008D0C63"/>
    <w:rsid w:val="008D1F9D"/>
    <w:rsid w:val="008D2D01"/>
    <w:rsid w:val="008E1EE0"/>
    <w:rsid w:val="008E4D58"/>
    <w:rsid w:val="008F5BC8"/>
    <w:rsid w:val="0090146B"/>
    <w:rsid w:val="00907C95"/>
    <w:rsid w:val="00916C12"/>
    <w:rsid w:val="009420EA"/>
    <w:rsid w:val="0095141F"/>
    <w:rsid w:val="00953BBA"/>
    <w:rsid w:val="009714B2"/>
    <w:rsid w:val="0097562D"/>
    <w:rsid w:val="00977BB0"/>
    <w:rsid w:val="00985ECC"/>
    <w:rsid w:val="00986F20"/>
    <w:rsid w:val="00992232"/>
    <w:rsid w:val="00995A0A"/>
    <w:rsid w:val="009B6B47"/>
    <w:rsid w:val="009C3981"/>
    <w:rsid w:val="009F0447"/>
    <w:rsid w:val="009F4012"/>
    <w:rsid w:val="009F7908"/>
    <w:rsid w:val="00A02840"/>
    <w:rsid w:val="00A03A63"/>
    <w:rsid w:val="00A13885"/>
    <w:rsid w:val="00A14489"/>
    <w:rsid w:val="00A148C4"/>
    <w:rsid w:val="00A167BC"/>
    <w:rsid w:val="00A21CFB"/>
    <w:rsid w:val="00A24A8B"/>
    <w:rsid w:val="00A2640A"/>
    <w:rsid w:val="00A27B6B"/>
    <w:rsid w:val="00A5182F"/>
    <w:rsid w:val="00A55163"/>
    <w:rsid w:val="00A63256"/>
    <w:rsid w:val="00A6785D"/>
    <w:rsid w:val="00A7482D"/>
    <w:rsid w:val="00A80601"/>
    <w:rsid w:val="00A85797"/>
    <w:rsid w:val="00A9056F"/>
    <w:rsid w:val="00A9564F"/>
    <w:rsid w:val="00AA6BBD"/>
    <w:rsid w:val="00AB185D"/>
    <w:rsid w:val="00AD135C"/>
    <w:rsid w:val="00AD1971"/>
    <w:rsid w:val="00B00C8D"/>
    <w:rsid w:val="00B04533"/>
    <w:rsid w:val="00B10B49"/>
    <w:rsid w:val="00B23469"/>
    <w:rsid w:val="00B41440"/>
    <w:rsid w:val="00B424A5"/>
    <w:rsid w:val="00B461EB"/>
    <w:rsid w:val="00B577EF"/>
    <w:rsid w:val="00B7234F"/>
    <w:rsid w:val="00B7533A"/>
    <w:rsid w:val="00B9305C"/>
    <w:rsid w:val="00B952E2"/>
    <w:rsid w:val="00BC3D9B"/>
    <w:rsid w:val="00BD615D"/>
    <w:rsid w:val="00BE7818"/>
    <w:rsid w:val="00BF793D"/>
    <w:rsid w:val="00C018AA"/>
    <w:rsid w:val="00C14E73"/>
    <w:rsid w:val="00C17D7E"/>
    <w:rsid w:val="00C204F2"/>
    <w:rsid w:val="00C31D17"/>
    <w:rsid w:val="00C431A5"/>
    <w:rsid w:val="00C51EA1"/>
    <w:rsid w:val="00C53D94"/>
    <w:rsid w:val="00C62CD1"/>
    <w:rsid w:val="00C73D7B"/>
    <w:rsid w:val="00C87E46"/>
    <w:rsid w:val="00C96D42"/>
    <w:rsid w:val="00CB37B7"/>
    <w:rsid w:val="00CB5EA6"/>
    <w:rsid w:val="00CC1F10"/>
    <w:rsid w:val="00CC2D66"/>
    <w:rsid w:val="00CE43ED"/>
    <w:rsid w:val="00CF1AD9"/>
    <w:rsid w:val="00CF44AC"/>
    <w:rsid w:val="00CF574D"/>
    <w:rsid w:val="00D0332D"/>
    <w:rsid w:val="00D27930"/>
    <w:rsid w:val="00D309B2"/>
    <w:rsid w:val="00D36B71"/>
    <w:rsid w:val="00D749E0"/>
    <w:rsid w:val="00D75344"/>
    <w:rsid w:val="00D83BA8"/>
    <w:rsid w:val="00D9106D"/>
    <w:rsid w:val="00D95136"/>
    <w:rsid w:val="00D96991"/>
    <w:rsid w:val="00DA6FD5"/>
    <w:rsid w:val="00DB5A6C"/>
    <w:rsid w:val="00DB600F"/>
    <w:rsid w:val="00DD084D"/>
    <w:rsid w:val="00DD1145"/>
    <w:rsid w:val="00DE2133"/>
    <w:rsid w:val="00E17E30"/>
    <w:rsid w:val="00E32BCB"/>
    <w:rsid w:val="00E3391F"/>
    <w:rsid w:val="00E358C0"/>
    <w:rsid w:val="00E42828"/>
    <w:rsid w:val="00E42B1F"/>
    <w:rsid w:val="00E54B2C"/>
    <w:rsid w:val="00E7149D"/>
    <w:rsid w:val="00E807A9"/>
    <w:rsid w:val="00E91C04"/>
    <w:rsid w:val="00EA085F"/>
    <w:rsid w:val="00EB0427"/>
    <w:rsid w:val="00EC1ADE"/>
    <w:rsid w:val="00EE6CAF"/>
    <w:rsid w:val="00EE753D"/>
    <w:rsid w:val="00EF376E"/>
    <w:rsid w:val="00F00FB5"/>
    <w:rsid w:val="00F11A2B"/>
    <w:rsid w:val="00F155E7"/>
    <w:rsid w:val="00F22944"/>
    <w:rsid w:val="00F34A36"/>
    <w:rsid w:val="00F46498"/>
    <w:rsid w:val="00F55550"/>
    <w:rsid w:val="00F5587A"/>
    <w:rsid w:val="00F717E2"/>
    <w:rsid w:val="00F73252"/>
    <w:rsid w:val="00F83DEC"/>
    <w:rsid w:val="00F853A0"/>
    <w:rsid w:val="00FA1AC1"/>
    <w:rsid w:val="00FA2710"/>
    <w:rsid w:val="00FC13EA"/>
    <w:rsid w:val="00FC258E"/>
    <w:rsid w:val="00FF0EAA"/>
    <w:rsid w:val="00FF50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351CB82-93C2-4B04-A77D-1D02D10DC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00F"/>
    <w:pPr>
      <w:spacing w:before="120" w:after="120"/>
    </w:pPr>
    <w:rPr>
      <w:rFonts w:eastAsia="SimSun" w:cs="Traditional Arabic"/>
      <w:szCs w:val="30"/>
      <w:lang w:eastAsia="en-US"/>
    </w:rPr>
  </w:style>
  <w:style w:type="paragraph" w:styleId="Heading1">
    <w:name w:val="heading 1"/>
    <w:basedOn w:val="Normal"/>
    <w:next w:val="Normal"/>
    <w:link w:val="Heading1Char"/>
    <w:uiPriority w:val="99"/>
    <w:qFormat/>
    <w:rsid w:val="00DB600F"/>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uiPriority w:val="99"/>
    <w:qFormat/>
    <w:rsid w:val="00DB600F"/>
    <w:pPr>
      <w:spacing w:before="360"/>
      <w:outlineLvl w:val="1"/>
    </w:pPr>
  </w:style>
  <w:style w:type="paragraph" w:styleId="Heading3">
    <w:name w:val="heading 3"/>
    <w:basedOn w:val="Heading1"/>
    <w:next w:val="Normal"/>
    <w:link w:val="Heading3Char"/>
    <w:uiPriority w:val="99"/>
    <w:qFormat/>
    <w:rsid w:val="00DB600F"/>
    <w:pPr>
      <w:spacing w:before="240"/>
      <w:outlineLvl w:val="2"/>
    </w:pPr>
  </w:style>
  <w:style w:type="paragraph" w:styleId="Heading4">
    <w:name w:val="heading 4"/>
    <w:basedOn w:val="Heading3"/>
    <w:next w:val="Normal"/>
    <w:link w:val="Heading4Char"/>
    <w:uiPriority w:val="99"/>
    <w:qFormat/>
    <w:rsid w:val="00DB600F"/>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DB600F"/>
    <w:pPr>
      <w:outlineLvl w:val="4"/>
    </w:pPr>
  </w:style>
  <w:style w:type="paragraph" w:styleId="Heading6">
    <w:name w:val="heading 6"/>
    <w:basedOn w:val="Heading4"/>
    <w:next w:val="Normal"/>
    <w:link w:val="Heading6Char"/>
    <w:uiPriority w:val="99"/>
    <w:qFormat/>
    <w:rsid w:val="00DB600F"/>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DB600F"/>
    <w:pPr>
      <w:outlineLvl w:val="6"/>
    </w:pPr>
  </w:style>
  <w:style w:type="paragraph" w:styleId="Heading8">
    <w:name w:val="heading 8"/>
    <w:basedOn w:val="Heading6"/>
    <w:next w:val="Normal"/>
    <w:link w:val="Heading8Char"/>
    <w:uiPriority w:val="99"/>
    <w:qFormat/>
    <w:rsid w:val="00DB600F"/>
    <w:pPr>
      <w:outlineLvl w:val="7"/>
    </w:pPr>
  </w:style>
  <w:style w:type="paragraph" w:styleId="Heading9">
    <w:name w:val="heading 9"/>
    <w:basedOn w:val="Heading6"/>
    <w:next w:val="Normal"/>
    <w:link w:val="Heading9Char"/>
    <w:uiPriority w:val="99"/>
    <w:qFormat/>
    <w:rsid w:val="00DB600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DB600F"/>
    <w:rPr>
      <w:rFonts w:eastAsia="SimSun" w:cs="Traditional Arabic"/>
      <w:b/>
      <w:sz w:val="30"/>
      <w:szCs w:val="30"/>
      <w:lang w:eastAsia="en-US" w:bidi="ar-SA"/>
    </w:rPr>
  </w:style>
  <w:style w:type="character" w:customStyle="1" w:styleId="Heading2Char">
    <w:name w:val="Heading 2 Char"/>
    <w:basedOn w:val="DefaultParagraphFont"/>
    <w:link w:val="Heading2"/>
    <w:uiPriority w:val="99"/>
    <w:semiHidden/>
    <w:locked/>
    <w:rsid w:val="00DB600F"/>
    <w:rPr>
      <w:rFonts w:eastAsia="SimSun" w:cs="Traditional Arabic"/>
      <w:b/>
      <w:sz w:val="30"/>
      <w:szCs w:val="30"/>
      <w:lang w:eastAsia="en-US" w:bidi="ar-SA"/>
    </w:rPr>
  </w:style>
  <w:style w:type="character" w:customStyle="1" w:styleId="Heading3Char">
    <w:name w:val="Heading 3 Char"/>
    <w:basedOn w:val="DefaultParagraphFont"/>
    <w:link w:val="Heading3"/>
    <w:uiPriority w:val="99"/>
    <w:semiHidden/>
    <w:locked/>
    <w:rsid w:val="00DB600F"/>
    <w:rPr>
      <w:rFonts w:eastAsia="SimSun" w:cs="Traditional Arabic"/>
      <w:b/>
      <w:sz w:val="30"/>
      <w:szCs w:val="30"/>
      <w:lang w:eastAsia="en-US" w:bidi="ar-SA"/>
    </w:rPr>
  </w:style>
  <w:style w:type="character" w:customStyle="1" w:styleId="Heading4Char">
    <w:name w:val="Heading 4 Char"/>
    <w:basedOn w:val="DefaultParagraphFont"/>
    <w:link w:val="Heading4"/>
    <w:uiPriority w:val="99"/>
    <w:semiHidden/>
    <w:locked/>
    <w:rsid w:val="00DB600F"/>
    <w:rPr>
      <w:rFonts w:eastAsia="SimSun" w:cs="Traditional Arabic"/>
      <w:b/>
      <w:sz w:val="30"/>
      <w:szCs w:val="30"/>
      <w:lang w:eastAsia="en-US" w:bidi="ar-SA"/>
    </w:rPr>
  </w:style>
  <w:style w:type="character" w:customStyle="1" w:styleId="Heading5Char">
    <w:name w:val="Heading 5 Char"/>
    <w:basedOn w:val="DefaultParagraphFont"/>
    <w:link w:val="Heading5"/>
    <w:uiPriority w:val="99"/>
    <w:semiHidden/>
    <w:locked/>
    <w:rsid w:val="00DB600F"/>
    <w:rPr>
      <w:rFonts w:eastAsia="SimSun" w:cs="Traditional Arabic"/>
      <w:b/>
      <w:sz w:val="30"/>
      <w:szCs w:val="30"/>
      <w:lang w:eastAsia="en-US" w:bidi="ar-SA"/>
    </w:rPr>
  </w:style>
  <w:style w:type="character" w:customStyle="1" w:styleId="Heading6Char">
    <w:name w:val="Heading 6 Char"/>
    <w:basedOn w:val="DefaultParagraphFont"/>
    <w:link w:val="Heading6"/>
    <w:uiPriority w:val="99"/>
    <w:semiHidden/>
    <w:locked/>
    <w:rsid w:val="00DB600F"/>
    <w:rPr>
      <w:rFonts w:eastAsia="SimSun" w:cs="Traditional Arabic"/>
      <w:b/>
      <w:sz w:val="30"/>
      <w:szCs w:val="30"/>
      <w:lang w:eastAsia="en-US" w:bidi="ar-SA"/>
    </w:rPr>
  </w:style>
  <w:style w:type="character" w:customStyle="1" w:styleId="Heading7Char">
    <w:name w:val="Heading 7 Char"/>
    <w:basedOn w:val="DefaultParagraphFont"/>
    <w:link w:val="Heading7"/>
    <w:uiPriority w:val="99"/>
    <w:semiHidden/>
    <w:locked/>
    <w:rsid w:val="00DB600F"/>
    <w:rPr>
      <w:rFonts w:eastAsia="SimSun" w:cs="Traditional Arabic"/>
      <w:b/>
      <w:sz w:val="30"/>
      <w:szCs w:val="30"/>
      <w:lang w:eastAsia="en-US" w:bidi="ar-SA"/>
    </w:rPr>
  </w:style>
  <w:style w:type="character" w:customStyle="1" w:styleId="Heading8Char">
    <w:name w:val="Heading 8 Char"/>
    <w:basedOn w:val="DefaultParagraphFont"/>
    <w:link w:val="Heading8"/>
    <w:uiPriority w:val="99"/>
    <w:semiHidden/>
    <w:locked/>
    <w:rsid w:val="00DB600F"/>
    <w:rPr>
      <w:rFonts w:eastAsia="SimSun" w:cs="Traditional Arabic"/>
      <w:b/>
      <w:sz w:val="30"/>
      <w:szCs w:val="30"/>
      <w:lang w:eastAsia="en-US" w:bidi="ar-SA"/>
    </w:rPr>
  </w:style>
  <w:style w:type="character" w:customStyle="1" w:styleId="Heading9Char">
    <w:name w:val="Heading 9 Char"/>
    <w:basedOn w:val="DefaultParagraphFont"/>
    <w:link w:val="Heading9"/>
    <w:uiPriority w:val="99"/>
    <w:semiHidden/>
    <w:locked/>
    <w:rsid w:val="00DB600F"/>
    <w:rPr>
      <w:rFonts w:eastAsia="SimSun" w:cs="Traditional Arabic"/>
      <w:b/>
      <w:sz w:val="30"/>
      <w:szCs w:val="30"/>
      <w:lang w:eastAsia="en-US" w:bidi="ar-SA"/>
    </w:rPr>
  </w:style>
  <w:style w:type="paragraph" w:styleId="Footer">
    <w:name w:val="footer"/>
    <w:basedOn w:val="Normal"/>
    <w:link w:val="FooterChar"/>
    <w:uiPriority w:val="99"/>
    <w:semiHidden/>
    <w:rsid w:val="00DB600F"/>
    <w:pPr>
      <w:tabs>
        <w:tab w:val="center" w:pos="4320"/>
        <w:tab w:val="right" w:pos="8640"/>
      </w:tabs>
      <w:overflowPunct w:val="0"/>
      <w:autoSpaceDE w:val="0"/>
      <w:autoSpaceDN w:val="0"/>
      <w:adjustRightInd w:val="0"/>
      <w:spacing w:before="160" w:line="280" w:lineRule="exact"/>
      <w:textAlignment w:val="baseline"/>
    </w:pPr>
  </w:style>
  <w:style w:type="character" w:customStyle="1" w:styleId="FooterChar">
    <w:name w:val="Footer Char"/>
    <w:basedOn w:val="DefaultParagraphFont"/>
    <w:link w:val="Footer"/>
    <w:uiPriority w:val="99"/>
    <w:semiHidden/>
    <w:locked/>
    <w:rsid w:val="00DB600F"/>
    <w:rPr>
      <w:rFonts w:eastAsia="SimSun" w:cs="Traditional Arabic"/>
      <w:sz w:val="30"/>
      <w:szCs w:val="30"/>
      <w:lang w:eastAsia="en-US" w:bidi="ar-SA"/>
    </w:rPr>
  </w:style>
  <w:style w:type="character" w:styleId="FootnoteReference">
    <w:name w:val="footnote reference"/>
    <w:basedOn w:val="DefaultParagraphFont"/>
    <w:uiPriority w:val="99"/>
    <w:semiHidden/>
    <w:rsid w:val="00DB600F"/>
    <w:rPr>
      <w:rFonts w:cs="Times New Roman"/>
      <w:position w:val="6"/>
      <w:sz w:val="18"/>
    </w:rPr>
  </w:style>
  <w:style w:type="paragraph" w:styleId="FootnoteText">
    <w:name w:val="footnote text"/>
    <w:basedOn w:val="Normal"/>
    <w:link w:val="FootnoteTextChar"/>
    <w:uiPriority w:val="99"/>
    <w:semiHidden/>
    <w:rsid w:val="00DB600F"/>
    <w:pPr>
      <w:keepLines/>
      <w:tabs>
        <w:tab w:val="left" w:pos="255"/>
        <w:tab w:val="left" w:pos="794"/>
        <w:tab w:val="left" w:pos="1191"/>
        <w:tab w:val="left" w:pos="1588"/>
        <w:tab w:val="left" w:pos="1985"/>
      </w:tabs>
      <w:overflowPunct w:val="0"/>
      <w:autoSpaceDE w:val="0"/>
      <w:autoSpaceDN w:val="0"/>
      <w:adjustRightInd w:val="0"/>
      <w:spacing w:before="160" w:line="280" w:lineRule="exact"/>
      <w:ind w:left="255" w:hanging="255"/>
      <w:textAlignment w:val="baseline"/>
    </w:pPr>
  </w:style>
  <w:style w:type="character" w:customStyle="1" w:styleId="FootnoteTextChar">
    <w:name w:val="Footnote Text Char"/>
    <w:basedOn w:val="DefaultParagraphFont"/>
    <w:link w:val="FootnoteText"/>
    <w:uiPriority w:val="99"/>
    <w:semiHidden/>
    <w:locked/>
    <w:rsid w:val="00DB600F"/>
    <w:rPr>
      <w:rFonts w:eastAsia="SimSun" w:cs="Traditional Arabic"/>
      <w:sz w:val="20"/>
      <w:szCs w:val="20"/>
      <w:lang w:eastAsia="en-US" w:bidi="ar-SA"/>
    </w:rPr>
  </w:style>
  <w:style w:type="character" w:styleId="PageNumber">
    <w:name w:val="page number"/>
    <w:basedOn w:val="DefaultParagraphFont"/>
    <w:uiPriority w:val="99"/>
    <w:semiHidden/>
    <w:rsid w:val="00DB600F"/>
    <w:rPr>
      <w:rFonts w:cs="Times New Roman"/>
    </w:rPr>
  </w:style>
  <w:style w:type="paragraph" w:customStyle="1" w:styleId="Reftitle">
    <w:name w:val="Ref_title"/>
    <w:basedOn w:val="Normal"/>
    <w:next w:val="Reftext"/>
    <w:uiPriority w:val="99"/>
    <w:semiHidden/>
    <w:rsid w:val="00DB600F"/>
    <w:pPr>
      <w:tabs>
        <w:tab w:val="left" w:pos="794"/>
        <w:tab w:val="left" w:pos="1191"/>
        <w:tab w:val="left" w:pos="1588"/>
        <w:tab w:val="left" w:pos="1985"/>
      </w:tabs>
      <w:overflowPunct w:val="0"/>
      <w:autoSpaceDE w:val="0"/>
      <w:autoSpaceDN w:val="0"/>
      <w:adjustRightInd w:val="0"/>
      <w:spacing w:before="480" w:line="280" w:lineRule="exact"/>
      <w:jc w:val="center"/>
      <w:textAlignment w:val="baseline"/>
    </w:pPr>
    <w:rPr>
      <w:b/>
    </w:rPr>
  </w:style>
  <w:style w:type="paragraph" w:customStyle="1" w:styleId="Reftext">
    <w:name w:val="Ref_text"/>
    <w:basedOn w:val="Normal"/>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ind w:left="794" w:hanging="794"/>
      <w:textAlignment w:val="baseline"/>
    </w:pPr>
  </w:style>
  <w:style w:type="paragraph" w:customStyle="1" w:styleId="Formal">
    <w:name w:val="Formal"/>
    <w:basedOn w:val="Normal"/>
    <w:uiPriority w:val="99"/>
    <w:semiHidden/>
    <w:rsid w:val="00DB600F"/>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 w:val="20"/>
      <w:szCs w:val="20"/>
      <w:lang w:val="fr-FR"/>
    </w:rPr>
  </w:style>
  <w:style w:type="paragraph" w:customStyle="1" w:styleId="AnnexNoTitle">
    <w:name w:val="Annex_No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semiHidden/>
    <w:rsid w:val="00DB600F"/>
  </w:style>
  <w:style w:type="paragraph" w:customStyle="1" w:styleId="Equationlegend">
    <w:name w:val="Equation_legend"/>
    <w:basedOn w:val="Normal"/>
    <w:uiPriority w:val="99"/>
    <w:semiHidden/>
    <w:rsid w:val="00DB600F"/>
    <w:pPr>
      <w:tabs>
        <w:tab w:val="right" w:pos="1814"/>
        <w:tab w:val="left" w:pos="1985"/>
      </w:tabs>
      <w:overflowPunct w:val="0"/>
      <w:autoSpaceDE w:val="0"/>
      <w:autoSpaceDN w:val="0"/>
      <w:adjustRightInd w:val="0"/>
      <w:spacing w:before="80" w:line="280" w:lineRule="exact"/>
      <w:ind w:left="1985" w:hanging="1985"/>
      <w:textAlignment w:val="baseline"/>
    </w:pPr>
  </w:style>
  <w:style w:type="paragraph" w:customStyle="1" w:styleId="Figurelegend">
    <w:name w:val="Figure_legend"/>
    <w:basedOn w:val="Normal"/>
    <w:uiPriority w:val="99"/>
    <w:semiHidden/>
    <w:rsid w:val="00DB600F"/>
    <w:pPr>
      <w:keepNext/>
      <w:keepLines/>
      <w:overflowPunct w:val="0"/>
      <w:autoSpaceDE w:val="0"/>
      <w:autoSpaceDN w:val="0"/>
      <w:adjustRightInd w:val="0"/>
      <w:spacing w:before="20" w:after="20" w:line="280" w:lineRule="exact"/>
      <w:textAlignment w:val="baseline"/>
    </w:pPr>
    <w:rPr>
      <w:sz w:val="18"/>
    </w:rPr>
  </w:style>
  <w:style w:type="paragraph" w:customStyle="1" w:styleId="Figure">
    <w:name w:val="Figure"/>
    <w:basedOn w:val="Normal"/>
    <w:next w:val="FigureNo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NoTitle">
    <w:name w:val="Figure_No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rPr>
      <w:b/>
    </w:rPr>
  </w:style>
  <w:style w:type="paragraph" w:customStyle="1" w:styleId="Figurewithouttitle">
    <w:name w:val="Figure_without_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style>
  <w:style w:type="paragraph" w:customStyle="1" w:styleId="FirstFooter">
    <w:name w:val="FirstFooter"/>
    <w:basedOn w:val="Normal"/>
    <w:uiPriority w:val="99"/>
    <w:semiHidden/>
    <w:rsid w:val="00DB600F"/>
    <w:pPr>
      <w:spacing w:before="40" w:line="280" w:lineRule="exact"/>
    </w:pPr>
    <w:rPr>
      <w:sz w:val="16"/>
    </w:rPr>
  </w:style>
  <w:style w:type="paragraph" w:customStyle="1" w:styleId="FooterQP">
    <w:name w:val="Footer_QP"/>
    <w:basedOn w:val="Normal"/>
    <w:uiPriority w:val="99"/>
    <w:semiHidden/>
    <w:rsid w:val="00DB600F"/>
    <w:pPr>
      <w:tabs>
        <w:tab w:val="left" w:pos="907"/>
        <w:tab w:val="right" w:pos="8789"/>
        <w:tab w:val="right" w:pos="9639"/>
      </w:tabs>
      <w:overflowPunct w:val="0"/>
      <w:autoSpaceDE w:val="0"/>
      <w:autoSpaceDN w:val="0"/>
      <w:adjustRightInd w:val="0"/>
      <w:spacing w:line="280" w:lineRule="exact"/>
      <w:textAlignment w:val="baseline"/>
    </w:pPr>
    <w:rPr>
      <w:b/>
    </w:rPr>
  </w:style>
  <w:style w:type="paragraph" w:customStyle="1" w:styleId="Partref">
    <w:name w:val="Part_ref"/>
    <w:basedOn w:val="Normal"/>
    <w:next w:val="Part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80" w:line="280" w:lineRule="exact"/>
      <w:jc w:val="center"/>
      <w:textAlignment w:val="baseline"/>
    </w:pPr>
  </w:style>
  <w:style w:type="paragraph" w:customStyle="1" w:styleId="Parttitle">
    <w:name w:val="Part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after="280" w:line="320" w:lineRule="exact"/>
      <w:jc w:val="center"/>
      <w:textAlignment w:val="baseline"/>
    </w:pPr>
    <w:rPr>
      <w:b/>
      <w:sz w:val="24"/>
    </w:rPr>
  </w:style>
  <w:style w:type="paragraph" w:customStyle="1" w:styleId="Recdate">
    <w:name w:val="Rec_date"/>
    <w:basedOn w:val="Normal"/>
    <w:next w:val="Normal"/>
    <w:uiPriority w:val="99"/>
    <w:semiHidden/>
    <w:rsid w:val="00DB600F"/>
    <w:pPr>
      <w:keepNext/>
      <w:keepLines/>
      <w:overflowPunct w:val="0"/>
      <w:autoSpaceDE w:val="0"/>
      <w:autoSpaceDN w:val="0"/>
      <w:adjustRightInd w:val="0"/>
      <w:spacing w:before="160" w:line="280" w:lineRule="exact"/>
      <w:jc w:val="right"/>
      <w:textAlignment w:val="baseline"/>
    </w:pPr>
    <w:rPr>
      <w:i/>
    </w:rPr>
  </w:style>
  <w:style w:type="paragraph" w:customStyle="1" w:styleId="Questiondate">
    <w:name w:val="Question_date"/>
    <w:basedOn w:val="Recdate"/>
    <w:next w:val="Normal"/>
    <w:uiPriority w:val="99"/>
    <w:semiHidden/>
    <w:rsid w:val="00DB600F"/>
  </w:style>
  <w:style w:type="paragraph" w:customStyle="1" w:styleId="RecNo">
    <w:name w:val="Rec_No"/>
    <w:basedOn w:val="Normal"/>
    <w:next w:val="Rectitle"/>
    <w:uiPriority w:val="99"/>
    <w:semiHidden/>
    <w:rsid w:val="00DB600F"/>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Rectitle">
    <w:name w:val="Rec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No">
    <w:name w:val="Question_No"/>
    <w:basedOn w:val="RecNo"/>
    <w:next w:val="Questiontitle"/>
    <w:uiPriority w:val="99"/>
    <w:semiHidden/>
    <w:rsid w:val="00DB600F"/>
  </w:style>
  <w:style w:type="paragraph" w:customStyle="1" w:styleId="Questiontitle">
    <w:name w:val="Question_title"/>
    <w:basedOn w:val="Rectitle"/>
    <w:next w:val="Questionref"/>
    <w:uiPriority w:val="99"/>
    <w:semiHidden/>
    <w:rsid w:val="00DB600F"/>
  </w:style>
  <w:style w:type="paragraph" w:customStyle="1" w:styleId="Questionref">
    <w:name w:val="Question_ref"/>
    <w:basedOn w:val="Recref"/>
    <w:next w:val="Questiondate"/>
    <w:uiPriority w:val="99"/>
    <w:semiHidden/>
    <w:rsid w:val="00DB600F"/>
  </w:style>
  <w:style w:type="paragraph" w:customStyle="1" w:styleId="Recref">
    <w:name w:val="Rec_ref"/>
    <w:basedOn w:val="Normal"/>
    <w:next w:val="Recdate"/>
    <w:uiPriority w:val="99"/>
    <w:semiHidden/>
    <w:rsid w:val="00DB600F"/>
    <w:pPr>
      <w:keepNext/>
      <w:keepLines/>
      <w:overflowPunct w:val="0"/>
      <w:autoSpaceDE w:val="0"/>
      <w:autoSpaceDN w:val="0"/>
      <w:adjustRightInd w:val="0"/>
      <w:spacing w:before="160" w:line="280" w:lineRule="exact"/>
      <w:jc w:val="center"/>
      <w:textAlignment w:val="baseline"/>
    </w:pPr>
    <w:rPr>
      <w:i/>
    </w:rPr>
  </w:style>
  <w:style w:type="paragraph" w:customStyle="1" w:styleId="Repdate">
    <w:name w:val="Rep_date"/>
    <w:basedOn w:val="Recdate"/>
    <w:next w:val="Normal"/>
    <w:uiPriority w:val="99"/>
    <w:semiHidden/>
    <w:rsid w:val="00DB600F"/>
  </w:style>
  <w:style w:type="paragraph" w:customStyle="1" w:styleId="Reptitle">
    <w:name w:val="Rep_title"/>
    <w:basedOn w:val="Rectitle"/>
    <w:next w:val="Repref"/>
    <w:uiPriority w:val="99"/>
    <w:semiHidden/>
    <w:rsid w:val="00DB600F"/>
  </w:style>
  <w:style w:type="paragraph" w:customStyle="1" w:styleId="Repref">
    <w:name w:val="Rep_ref"/>
    <w:basedOn w:val="Recref"/>
    <w:next w:val="Repdate"/>
    <w:uiPriority w:val="99"/>
    <w:semiHidden/>
    <w:rsid w:val="00DB600F"/>
  </w:style>
  <w:style w:type="paragraph" w:customStyle="1" w:styleId="Resdate">
    <w:name w:val="Res_date"/>
    <w:basedOn w:val="Recdate"/>
    <w:next w:val="Normal"/>
    <w:uiPriority w:val="99"/>
    <w:semiHidden/>
    <w:rsid w:val="00DB600F"/>
  </w:style>
  <w:style w:type="paragraph" w:customStyle="1" w:styleId="ResNo">
    <w:name w:val="Res_No"/>
    <w:basedOn w:val="RecNo"/>
    <w:next w:val="Restitle"/>
    <w:uiPriority w:val="99"/>
    <w:semiHidden/>
    <w:rsid w:val="00DB600F"/>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semiHidden/>
    <w:rsid w:val="00DB600F"/>
  </w:style>
  <w:style w:type="paragraph" w:customStyle="1" w:styleId="Resref">
    <w:name w:val="Res_ref"/>
    <w:basedOn w:val="Recref"/>
    <w:next w:val="Resdate"/>
    <w:uiPriority w:val="99"/>
    <w:semiHidden/>
    <w:rsid w:val="00DB600F"/>
  </w:style>
  <w:style w:type="paragraph" w:customStyle="1" w:styleId="SectionNo">
    <w:name w:val="Section_No"/>
    <w:basedOn w:val="Normal"/>
    <w:next w:val="Section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320" w:lineRule="exact"/>
      <w:jc w:val="center"/>
      <w:textAlignment w:val="baseline"/>
    </w:pPr>
    <w:rPr>
      <w:caps/>
      <w:sz w:val="28"/>
    </w:rPr>
  </w:style>
  <w:style w:type="paragraph" w:customStyle="1" w:styleId="Sectiontitle">
    <w:name w:val="Section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line="320" w:lineRule="exact"/>
      <w:jc w:val="center"/>
      <w:textAlignment w:val="baseline"/>
    </w:pPr>
    <w:rPr>
      <w:b/>
      <w:sz w:val="28"/>
    </w:rPr>
  </w:style>
  <w:style w:type="paragraph" w:customStyle="1" w:styleId="Source">
    <w:name w:val="Source"/>
    <w:basedOn w:val="Normal"/>
    <w:next w:val="Normal"/>
    <w:uiPriority w:val="99"/>
    <w:semiHidden/>
    <w:rsid w:val="00DB600F"/>
    <w:pPr>
      <w:tabs>
        <w:tab w:val="left" w:pos="794"/>
        <w:tab w:val="left" w:pos="1191"/>
        <w:tab w:val="left" w:pos="1588"/>
        <w:tab w:val="left" w:pos="1985"/>
      </w:tabs>
      <w:overflowPunct w:val="0"/>
      <w:autoSpaceDE w:val="0"/>
      <w:autoSpaceDN w:val="0"/>
      <w:adjustRightInd w:val="0"/>
      <w:spacing w:before="840" w:after="200" w:line="280" w:lineRule="exact"/>
      <w:jc w:val="center"/>
      <w:textAlignment w:val="baseline"/>
    </w:pPr>
    <w:rPr>
      <w:b/>
      <w:sz w:val="28"/>
    </w:rPr>
  </w:style>
  <w:style w:type="paragraph" w:customStyle="1" w:styleId="SpecialFooter">
    <w:name w:val="Special Footer"/>
    <w:basedOn w:val="Normal"/>
    <w:uiPriority w:val="99"/>
    <w:semiHidden/>
    <w:rsid w:val="00DB600F"/>
    <w:pPr>
      <w:tabs>
        <w:tab w:val="left" w:pos="567"/>
        <w:tab w:val="left" w:pos="1134"/>
        <w:tab w:val="left" w:pos="1701"/>
        <w:tab w:val="left" w:pos="2268"/>
        <w:tab w:val="left" w:pos="2835"/>
        <w:tab w:val="left" w:pos="5954"/>
        <w:tab w:val="right" w:pos="9639"/>
      </w:tabs>
      <w:overflowPunct w:val="0"/>
      <w:autoSpaceDE w:val="0"/>
      <w:autoSpaceDN w:val="0"/>
      <w:adjustRightInd w:val="0"/>
      <w:spacing w:line="280" w:lineRule="exact"/>
      <w:textAlignment w:val="baseline"/>
    </w:pPr>
    <w:rPr>
      <w:sz w:val="16"/>
    </w:rPr>
  </w:style>
  <w:style w:type="paragraph" w:customStyle="1" w:styleId="Tablelegend">
    <w:name w:val="Table_legend"/>
    <w:basedOn w:val="Normal"/>
    <w:uiPriority w:val="99"/>
    <w:semiHidden/>
    <w:rsid w:val="00DB600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customStyle="1" w:styleId="Section2">
    <w:name w:val="Section_2"/>
    <w:basedOn w:val="Normal"/>
    <w:next w:val="Normal"/>
    <w:uiPriority w:val="99"/>
    <w:semiHidden/>
    <w:rsid w:val="00DB600F"/>
    <w:pPr>
      <w:overflowPunct w:val="0"/>
      <w:autoSpaceDE w:val="0"/>
      <w:autoSpaceDN w:val="0"/>
      <w:adjustRightInd w:val="0"/>
      <w:spacing w:before="240" w:line="280" w:lineRule="exact"/>
      <w:jc w:val="center"/>
      <w:textAlignment w:val="baseline"/>
    </w:pPr>
    <w:rPr>
      <w:i/>
    </w:rPr>
  </w:style>
  <w:style w:type="character" w:customStyle="1" w:styleId="href">
    <w:name w:val="href"/>
    <w:basedOn w:val="DefaultParagraphFont"/>
    <w:uiPriority w:val="99"/>
    <w:semiHidden/>
    <w:rsid w:val="00DB600F"/>
    <w:rPr>
      <w:rFonts w:cs="Times New Roman"/>
    </w:rPr>
  </w:style>
  <w:style w:type="paragraph" w:styleId="BalloonText">
    <w:name w:val="Balloon Text"/>
    <w:basedOn w:val="Normal"/>
    <w:link w:val="BalloonTextChar"/>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600F"/>
    <w:rPr>
      <w:rFonts w:ascii="Times New Roman" w:eastAsia="SimSun" w:hAnsi="Times New Roman" w:cs="Times New Roman"/>
      <w:sz w:val="2"/>
      <w:lang w:eastAsia="en-US"/>
    </w:rPr>
  </w:style>
  <w:style w:type="paragraph" w:customStyle="1" w:styleId="BDTSignatureName">
    <w:name w:val="BDT_SignatureName"/>
    <w:basedOn w:val="Normal"/>
    <w:next w:val="BDTSignatureTitle"/>
    <w:uiPriority w:val="99"/>
    <w:rsid w:val="00DB600F"/>
    <w:pPr>
      <w:spacing w:before="360" w:after="0"/>
    </w:pPr>
    <w:rPr>
      <w:rFonts w:eastAsia="SimHei" w:cs="Simplified Arabic"/>
      <w:bCs/>
      <w:szCs w:val="19"/>
      <w:lang w:val="en-GB"/>
    </w:rPr>
  </w:style>
  <w:style w:type="paragraph" w:customStyle="1" w:styleId="BDTSignatureTitle">
    <w:name w:val="BDT_SignatureTitle"/>
    <w:basedOn w:val="Normal"/>
    <w:next w:val="BDTVisa"/>
    <w:uiPriority w:val="99"/>
    <w:rsid w:val="00DB600F"/>
    <w:pPr>
      <w:spacing w:before="0" w:after="0"/>
    </w:pPr>
  </w:style>
  <w:style w:type="paragraph" w:customStyle="1" w:styleId="BDTVisa">
    <w:name w:val="BDT_Visa"/>
    <w:basedOn w:val="Normal"/>
    <w:uiPriority w:val="99"/>
    <w:rsid w:val="00DB600F"/>
    <w:pPr>
      <w:spacing w:before="360"/>
      <w:ind w:left="993" w:hanging="993"/>
    </w:pPr>
    <w:rPr>
      <w:rFonts w:cs="Times New Roman"/>
      <w:szCs w:val="20"/>
      <w:lang w:val="fr-FR"/>
    </w:rPr>
  </w:style>
  <w:style w:type="paragraph" w:customStyle="1" w:styleId="BDTAnnex">
    <w:name w:val="BDT_Annex"/>
    <w:basedOn w:val="Normal"/>
    <w:next w:val="Normal"/>
    <w:link w:val="BDTAnnexChar"/>
    <w:uiPriority w:val="99"/>
    <w:rsid w:val="00DB600F"/>
    <w:pPr>
      <w:jc w:val="center"/>
    </w:pPr>
    <w:rPr>
      <w:b/>
    </w:rPr>
  </w:style>
  <w:style w:type="character" w:customStyle="1" w:styleId="BDTAnnexChar">
    <w:name w:val="BDT_Annex Char"/>
    <w:basedOn w:val="DefaultParagraphFont"/>
    <w:link w:val="BDTAnnex"/>
    <w:uiPriority w:val="99"/>
    <w:locked/>
    <w:rsid w:val="00DB600F"/>
    <w:rPr>
      <w:rFonts w:eastAsia="SimSun" w:cs="Traditional Arabic"/>
      <w:b/>
      <w:sz w:val="30"/>
      <w:szCs w:val="30"/>
      <w:lang w:val="en-US" w:eastAsia="en-US" w:bidi="ar-SA"/>
    </w:rPr>
  </w:style>
  <w:style w:type="paragraph" w:customStyle="1" w:styleId="BDTAnnexabc-start">
    <w:name w:val="BDT_Annex_abc-start"/>
    <w:basedOn w:val="Normal"/>
    <w:next w:val="Normal"/>
    <w:uiPriority w:val="99"/>
    <w:rsid w:val="00DB600F"/>
    <w:pPr>
      <w:ind w:left="1763" w:right="709" w:hanging="442"/>
    </w:pPr>
    <w:rPr>
      <w:rFonts w:ascii="Verdana" w:hAnsi="Verdana" w:cs="Times New Roman"/>
      <w:sz w:val="19"/>
      <w:szCs w:val="19"/>
    </w:rPr>
  </w:style>
  <w:style w:type="paragraph" w:customStyle="1" w:styleId="BDTAnnexi-ii-iii">
    <w:name w:val="BDT_Annex_i-ii-iii"/>
    <w:basedOn w:val="Normal"/>
    <w:next w:val="Normal"/>
    <w:uiPriority w:val="99"/>
    <w:rsid w:val="00DB600F"/>
    <w:pPr>
      <w:ind w:left="2421" w:hanging="329"/>
    </w:pPr>
    <w:rPr>
      <w:rFonts w:cs="Times New Roman"/>
      <w:szCs w:val="19"/>
      <w:lang w:val="en-GB"/>
    </w:rPr>
  </w:style>
  <w:style w:type="paragraph" w:customStyle="1" w:styleId="BDTAnnexMain123">
    <w:name w:val="BDT_AnnexMain123"/>
    <w:basedOn w:val="Normal"/>
    <w:next w:val="Normal"/>
    <w:uiPriority w:val="99"/>
    <w:rsid w:val="00DB600F"/>
    <w:pPr>
      <w:snapToGrid w:val="0"/>
      <w:ind w:left="1100" w:right="709" w:hanging="329"/>
    </w:pPr>
    <w:rPr>
      <w:rFonts w:cs="Times New Roman"/>
      <w:szCs w:val="19"/>
    </w:rPr>
  </w:style>
  <w:style w:type="paragraph" w:customStyle="1" w:styleId="BDTAnnexActionPlan">
    <w:name w:val="BDT_AnnexActionPlan"/>
    <w:basedOn w:val="Normal"/>
    <w:next w:val="Normal"/>
    <w:uiPriority w:val="99"/>
    <w:rsid w:val="00DB600F"/>
    <w:pPr>
      <w:spacing w:before="240"/>
      <w:ind w:left="1321" w:hanging="550"/>
    </w:pPr>
    <w:rPr>
      <w:b/>
      <w:bCs/>
    </w:rPr>
  </w:style>
  <w:style w:type="paragraph" w:customStyle="1" w:styleId="BDTAnnexCheckBox">
    <w:name w:val="BDT_AnnexCheckBox"/>
    <w:basedOn w:val="Normal"/>
    <w:next w:val="Normal"/>
    <w:uiPriority w:val="99"/>
    <w:rsid w:val="00DB600F"/>
    <w:pPr>
      <w:spacing w:line="281" w:lineRule="auto"/>
    </w:pPr>
    <w:rPr>
      <w:rFonts w:cs="Times New Roman"/>
      <w:szCs w:val="24"/>
      <w:lang w:eastAsia="zh-CN"/>
    </w:rPr>
  </w:style>
  <w:style w:type="paragraph" w:customStyle="1" w:styleId="BDTAnnexes">
    <w:name w:val="BDT_Annexes"/>
    <w:basedOn w:val="Normal"/>
    <w:next w:val="Normal"/>
    <w:uiPriority w:val="99"/>
    <w:rsid w:val="00DB600F"/>
    <w:pPr>
      <w:spacing w:before="600"/>
    </w:pPr>
    <w:rPr>
      <w:rFonts w:cs="Times New Roman"/>
      <w:lang w:val="en-GB"/>
    </w:rPr>
  </w:style>
  <w:style w:type="paragraph" w:customStyle="1" w:styleId="BDTDistribution">
    <w:name w:val="BDT_Distribution"/>
    <w:basedOn w:val="Normal"/>
    <w:uiPriority w:val="99"/>
    <w:rsid w:val="00DB600F"/>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uiPriority w:val="99"/>
    <w:rsid w:val="00DB600F"/>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uiPriority w:val="99"/>
    <w:locked/>
    <w:rsid w:val="00DB600F"/>
    <w:rPr>
      <w:rFonts w:ascii="Calibri" w:eastAsia="SimSun" w:hAnsi="Calibri" w:cs="Times New Roman"/>
      <w:b/>
      <w:bCs/>
      <w:sz w:val="22"/>
      <w:lang w:val="en-GB" w:eastAsia="en-US"/>
    </w:rPr>
  </w:style>
  <w:style w:type="paragraph" w:customStyle="1" w:styleId="BDTEmdashList">
    <w:name w:val="BDT_EmdashList"/>
    <w:basedOn w:val="Normal"/>
    <w:uiPriority w:val="99"/>
    <w:rsid w:val="00DB600F"/>
    <w:pPr>
      <w:numPr>
        <w:numId w:val="39"/>
      </w:numPr>
    </w:pPr>
    <w:rPr>
      <w:rFonts w:cs="Times New Roman"/>
      <w:szCs w:val="20"/>
      <w:lang w:eastAsia="zh-CN"/>
    </w:rPr>
  </w:style>
  <w:style w:type="paragraph" w:customStyle="1" w:styleId="BDTblackbullets">
    <w:name w:val="BDT_blackbullets"/>
    <w:basedOn w:val="Normal"/>
    <w:uiPriority w:val="99"/>
    <w:rsid w:val="00DB600F"/>
    <w:pPr>
      <w:numPr>
        <w:ilvl w:val="3"/>
      </w:numPr>
      <w:tabs>
        <w:tab w:val="num" w:pos="2160"/>
      </w:tabs>
    </w:pPr>
  </w:style>
  <w:style w:type="paragraph" w:customStyle="1" w:styleId="BDTClosing">
    <w:name w:val="BDT_Closing"/>
    <w:basedOn w:val="BDTOpening"/>
    <w:next w:val="BDTSignatureName"/>
    <w:link w:val="BDTClosingChar"/>
    <w:rsid w:val="00DB600F"/>
    <w:rPr>
      <w:noProof/>
    </w:rPr>
  </w:style>
  <w:style w:type="paragraph" w:customStyle="1" w:styleId="BDTOpening">
    <w:name w:val="BDT_Opening"/>
    <w:basedOn w:val="Normal"/>
    <w:rsid w:val="00DB600F"/>
    <w:pPr>
      <w:spacing w:after="240"/>
    </w:pPr>
    <w:rPr>
      <w:rFonts w:cs="Times New Roman"/>
      <w:szCs w:val="22"/>
      <w:lang w:eastAsia="zh-CN"/>
    </w:rPr>
  </w:style>
  <w:style w:type="character" w:customStyle="1" w:styleId="BDTClosingChar">
    <w:name w:val="BDT_Closing Char"/>
    <w:basedOn w:val="DefaultParagraphFont"/>
    <w:link w:val="BDTClosing"/>
    <w:locked/>
    <w:rsid w:val="00DB600F"/>
    <w:rPr>
      <w:rFonts w:ascii="Calibri" w:eastAsia="SimSun" w:hAnsi="Calibri" w:cs="Times New Roman"/>
      <w:noProof/>
      <w:sz w:val="22"/>
      <w:szCs w:val="22"/>
      <w:lang w:val="en-US" w:eastAsia="zh-CN" w:bidi="ar-SA"/>
    </w:rPr>
  </w:style>
  <w:style w:type="paragraph" w:customStyle="1" w:styleId="BDTOriginalSigned">
    <w:name w:val="BDT_OriginalSigned"/>
    <w:basedOn w:val="BDTNormal"/>
    <w:next w:val="BDTSignatureName"/>
    <w:uiPriority w:val="99"/>
    <w:rsid w:val="00DB600F"/>
    <w:pPr>
      <w:spacing w:before="360" w:after="360"/>
    </w:pPr>
    <w:rPr>
      <w:rFonts w:cs="Times New Roman"/>
      <w:szCs w:val="24"/>
      <w:lang w:eastAsia="zh-CN"/>
    </w:rPr>
  </w:style>
  <w:style w:type="paragraph" w:customStyle="1" w:styleId="BDTNormal">
    <w:name w:val="BDT_Normal"/>
    <w:link w:val="BDTNormalChar"/>
    <w:rsid w:val="00DB600F"/>
    <w:pPr>
      <w:spacing w:before="120" w:after="120"/>
    </w:pPr>
    <w:rPr>
      <w:rFonts w:eastAsia="SimSun" w:cs="Traditional Arabic"/>
      <w:szCs w:val="30"/>
      <w:lang w:val="es-ES" w:eastAsia="en-US"/>
    </w:rPr>
  </w:style>
  <w:style w:type="paragraph" w:customStyle="1" w:styleId="BDTcontribution-H123">
    <w:name w:val="BDT_contribution-H123"/>
    <w:basedOn w:val="Normal"/>
    <w:uiPriority w:val="99"/>
    <w:rsid w:val="00DB600F"/>
    <w:pPr>
      <w:numPr>
        <w:numId w:val="37"/>
      </w:numPr>
    </w:pPr>
    <w:rPr>
      <w:rFonts w:eastAsia="SimHei"/>
      <w:b/>
      <w:bCs/>
    </w:rPr>
  </w:style>
  <w:style w:type="paragraph" w:customStyle="1" w:styleId="BDTcontributionH1">
    <w:name w:val="BDT_contributionH1"/>
    <w:basedOn w:val="Normal"/>
    <w:uiPriority w:val="99"/>
    <w:rsid w:val="00DB600F"/>
    <w:rPr>
      <w:rFonts w:cs="Times New Roman Bold"/>
      <w:b/>
      <w:bCs/>
    </w:rPr>
  </w:style>
  <w:style w:type="paragraph" w:customStyle="1" w:styleId="BDTcontributionStart">
    <w:name w:val="BDT_contributionStart"/>
    <w:basedOn w:val="Normal"/>
    <w:uiPriority w:val="99"/>
    <w:rsid w:val="00DB600F"/>
    <w:pPr>
      <w:spacing w:before="360"/>
    </w:pPr>
    <w:rPr>
      <w:rFonts w:eastAsia="SimHei" w:cs="Simplified Arabic"/>
      <w:b/>
      <w:szCs w:val="28"/>
      <w:lang w:val="en-GB"/>
    </w:rPr>
  </w:style>
  <w:style w:type="paragraph" w:customStyle="1" w:styleId="BDTDistributionEmdash">
    <w:name w:val="BDT_Distribution_Emdash"/>
    <w:basedOn w:val="Normal"/>
    <w:uiPriority w:val="99"/>
    <w:rsid w:val="00DB600F"/>
    <w:pPr>
      <w:numPr>
        <w:numId w:val="46"/>
      </w:numPr>
    </w:pPr>
    <w:rPr>
      <w:rFonts w:cs="Times New Roman"/>
      <w:szCs w:val="18"/>
      <w:lang w:eastAsia="zh-CN"/>
    </w:rPr>
  </w:style>
  <w:style w:type="paragraph" w:customStyle="1" w:styleId="BDTDocDates">
    <w:name w:val="BDT_DocDates"/>
    <w:basedOn w:val="Normal"/>
    <w:uiPriority w:val="99"/>
    <w:rsid w:val="00DB600F"/>
    <w:rPr>
      <w:rFonts w:eastAsia="SimHei"/>
      <w:b/>
      <w:bCs/>
    </w:rPr>
  </w:style>
  <w:style w:type="paragraph" w:customStyle="1" w:styleId="BDTDocNo">
    <w:name w:val="BDT_DocNo"/>
    <w:basedOn w:val="Normal"/>
    <w:next w:val="Normal"/>
    <w:uiPriority w:val="99"/>
    <w:rsid w:val="00DB600F"/>
    <w:rPr>
      <w:rFonts w:eastAsia="SimHei"/>
      <w:b/>
      <w:bCs/>
    </w:rPr>
  </w:style>
  <w:style w:type="paragraph" w:customStyle="1" w:styleId="BDTDocNoDetails">
    <w:name w:val="BDT_DocNoDetails"/>
    <w:basedOn w:val="Normal"/>
    <w:uiPriority w:val="99"/>
    <w:rsid w:val="00DB600F"/>
    <w:pPr>
      <w:spacing w:before="80" w:after="80"/>
      <w:jc w:val="center"/>
    </w:pPr>
    <w:rPr>
      <w:rFonts w:eastAsia="SimHei"/>
      <w:szCs w:val="19"/>
    </w:rPr>
  </w:style>
  <w:style w:type="paragraph" w:customStyle="1" w:styleId="BDTDocTitle-1line">
    <w:name w:val="BDT_DocTitle-1line"/>
    <w:basedOn w:val="Normal"/>
    <w:uiPriority w:val="99"/>
    <w:rsid w:val="00DB600F"/>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DB600F"/>
    <w:pPr>
      <w:spacing w:after="0"/>
    </w:pPr>
  </w:style>
  <w:style w:type="paragraph" w:customStyle="1" w:styleId="BDTDocTitle2lines-Second">
    <w:name w:val="BDT_DocTitle2lines-Second"/>
    <w:basedOn w:val="BDTDocTitle2lines-First"/>
    <w:uiPriority w:val="99"/>
    <w:rsid w:val="00DB600F"/>
    <w:pPr>
      <w:spacing w:before="0" w:after="480"/>
    </w:pPr>
  </w:style>
  <w:style w:type="paragraph" w:customStyle="1" w:styleId="BDTEndashListNoIndent">
    <w:name w:val="BDT_EndashListNoIndent"/>
    <w:basedOn w:val="Normal"/>
    <w:uiPriority w:val="99"/>
    <w:rsid w:val="00DB600F"/>
    <w:pPr>
      <w:numPr>
        <w:numId w:val="40"/>
      </w:numPr>
    </w:pPr>
    <w:rPr>
      <w:rFonts w:eastAsia="SimHei"/>
    </w:rPr>
  </w:style>
  <w:style w:type="paragraph" w:customStyle="1" w:styleId="BDTFooter">
    <w:name w:val="BDT_Footer"/>
    <w:rsid w:val="0034565B"/>
    <w:pPr>
      <w:tabs>
        <w:tab w:val="right" w:pos="9072"/>
      </w:tabs>
      <w:jc w:val="center"/>
    </w:pPr>
    <w:rPr>
      <w:rFonts w:eastAsia="SimHei" w:cs="Traditional Arabic"/>
      <w:sz w:val="18"/>
      <w:szCs w:val="30"/>
      <w:lang w:eastAsia="en-US"/>
    </w:rPr>
  </w:style>
  <w:style w:type="paragraph" w:customStyle="1" w:styleId="BDTFooterContact2-3">
    <w:name w:val="BDT_FooterContact2-3"/>
    <w:basedOn w:val="Normal"/>
    <w:uiPriority w:val="99"/>
    <w:rsid w:val="00DB600F"/>
    <w:pPr>
      <w:ind w:left="3828" w:hanging="2268"/>
    </w:pPr>
    <w:rPr>
      <w:rFonts w:eastAsia="SimHei"/>
      <w:sz w:val="20"/>
      <w:szCs w:val="20"/>
    </w:rPr>
  </w:style>
  <w:style w:type="paragraph" w:customStyle="1" w:styleId="BDTFooterContact1">
    <w:name w:val="BDT_FooterContact1"/>
    <w:basedOn w:val="Normal"/>
    <w:next w:val="Normal"/>
    <w:uiPriority w:val="99"/>
    <w:rsid w:val="00DB600F"/>
    <w:pPr>
      <w:pBdr>
        <w:top w:val="single" w:sz="4" w:space="8" w:color="auto"/>
      </w:pBdr>
      <w:tabs>
        <w:tab w:val="left" w:pos="1560"/>
      </w:tabs>
      <w:ind w:hanging="3828"/>
    </w:pPr>
    <w:rPr>
      <w:sz w:val="20"/>
    </w:rPr>
  </w:style>
  <w:style w:type="paragraph" w:customStyle="1" w:styleId="BDTFootnoteText">
    <w:name w:val="BDT_Footnote Text"/>
    <w:uiPriority w:val="99"/>
    <w:rsid w:val="00DB600F"/>
    <w:pPr>
      <w:tabs>
        <w:tab w:val="left" w:pos="357"/>
      </w:tabs>
      <w:spacing w:before="120" w:after="120"/>
    </w:pPr>
    <w:rPr>
      <w:rFonts w:eastAsia="SimHei" w:cs="Traditional Arabic"/>
      <w:szCs w:val="30"/>
      <w:lang w:eastAsia="en-US"/>
    </w:rPr>
  </w:style>
  <w:style w:type="paragraph" w:customStyle="1" w:styleId="BDTForAction">
    <w:name w:val="BDT_ForAction"/>
    <w:basedOn w:val="Normal"/>
    <w:uiPriority w:val="99"/>
    <w:rsid w:val="00DB600F"/>
    <w:pPr>
      <w:spacing w:before="240"/>
      <w:ind w:left="1877"/>
    </w:pPr>
    <w:rPr>
      <w:rFonts w:eastAsia="SimHei"/>
      <w:b/>
      <w:bCs/>
      <w:iCs/>
    </w:rPr>
  </w:style>
  <w:style w:type="paragraph" w:customStyle="1" w:styleId="BDTHeader1">
    <w:name w:val="BDT_Header1"/>
    <w:basedOn w:val="Normal"/>
    <w:uiPriority w:val="99"/>
    <w:rsid w:val="00DB600F"/>
    <w:rPr>
      <w:rFonts w:eastAsia="SimHei"/>
      <w:sz w:val="19"/>
    </w:rPr>
  </w:style>
  <w:style w:type="paragraph" w:customStyle="1" w:styleId="BDTHeader2">
    <w:name w:val="BDT_Header2"/>
    <w:basedOn w:val="Normal"/>
    <w:uiPriority w:val="99"/>
    <w:rsid w:val="00DB600F"/>
    <w:pPr>
      <w:spacing w:before="720"/>
    </w:pPr>
    <w:rPr>
      <w:rFonts w:eastAsia="SimHei"/>
      <w:sz w:val="19"/>
    </w:rPr>
  </w:style>
  <w:style w:type="paragraph" w:customStyle="1" w:styleId="BDTHeaderPageNumber">
    <w:name w:val="BDT_HeaderPageNumber"/>
    <w:basedOn w:val="Normal"/>
    <w:uiPriority w:val="99"/>
    <w:rsid w:val="00DB600F"/>
    <w:pPr>
      <w:tabs>
        <w:tab w:val="center" w:pos="4536"/>
        <w:tab w:val="right" w:pos="9072"/>
      </w:tabs>
      <w:jc w:val="center"/>
    </w:pPr>
    <w:rPr>
      <w:rFonts w:eastAsia="SimHei"/>
      <w:smallCaps/>
    </w:rPr>
  </w:style>
  <w:style w:type="paragraph" w:customStyle="1" w:styleId="BDTHeading1-Numbered">
    <w:name w:val="BDT_Heading1-Numbered"/>
    <w:basedOn w:val="Normal"/>
    <w:next w:val="Normal"/>
    <w:uiPriority w:val="99"/>
    <w:rsid w:val="00DB600F"/>
    <w:pPr>
      <w:numPr>
        <w:numId w:val="41"/>
      </w:numPr>
      <w:pBdr>
        <w:bottom w:val="single" w:sz="12" w:space="1" w:color="808080"/>
      </w:pBdr>
    </w:pPr>
    <w:rPr>
      <w:rFonts w:eastAsia="SimHei"/>
      <w:b/>
      <w:bCs/>
      <w:color w:val="808080"/>
    </w:rPr>
  </w:style>
  <w:style w:type="paragraph" w:customStyle="1" w:styleId="BDTHeading1">
    <w:name w:val="BDT_Heading1"/>
    <w:basedOn w:val="Normal"/>
    <w:next w:val="Normal"/>
    <w:uiPriority w:val="99"/>
    <w:rsid w:val="00DB600F"/>
    <w:rPr>
      <w:lang w:val="fr-CH"/>
    </w:rPr>
  </w:style>
  <w:style w:type="paragraph" w:customStyle="1" w:styleId="BDTIndent1-123">
    <w:name w:val="BDT_Indent1-123"/>
    <w:basedOn w:val="Normal"/>
    <w:uiPriority w:val="99"/>
    <w:rsid w:val="00DB600F"/>
    <w:pPr>
      <w:numPr>
        <w:numId w:val="42"/>
      </w:numPr>
      <w:spacing w:before="60" w:after="60"/>
      <w:ind w:right="709"/>
    </w:pPr>
    <w:rPr>
      <w:rFonts w:eastAsia="SimHei" w:cs="Simplified Arabic"/>
      <w:bCs/>
      <w:szCs w:val="28"/>
    </w:rPr>
  </w:style>
  <w:style w:type="paragraph" w:customStyle="1" w:styleId="BDTIndent1-abc">
    <w:name w:val="BDT_Indent1-abc"/>
    <w:basedOn w:val="Normal"/>
    <w:uiPriority w:val="99"/>
    <w:rsid w:val="00DB600F"/>
    <w:pPr>
      <w:numPr>
        <w:numId w:val="43"/>
      </w:numPr>
      <w:tabs>
        <w:tab w:val="clear" w:pos="1494"/>
        <w:tab w:val="num" w:pos="360"/>
      </w:tabs>
      <w:spacing w:before="60" w:after="60"/>
      <w:ind w:left="0" w:right="709" w:firstLine="0"/>
    </w:pPr>
    <w:rPr>
      <w:rFonts w:eastAsia="SimHei"/>
    </w:rPr>
  </w:style>
  <w:style w:type="paragraph" w:customStyle="1" w:styleId="BDTindent-abc">
    <w:name w:val="BDT_indent-abc"/>
    <w:uiPriority w:val="99"/>
    <w:rsid w:val="00DB600F"/>
    <w:pPr>
      <w:numPr>
        <w:ilvl w:val="1"/>
        <w:numId w:val="20"/>
      </w:numPr>
    </w:pPr>
    <w:rPr>
      <w:rFonts w:eastAsia="SimHei" w:cs="Traditional Arabic"/>
      <w:szCs w:val="30"/>
      <w:lang w:eastAsia="en-US"/>
    </w:rPr>
  </w:style>
  <w:style w:type="paragraph" w:customStyle="1" w:styleId="BDTIndent-bulletsblackdot">
    <w:name w:val="BDT_Indent-bulletsblackdot"/>
    <w:basedOn w:val="BDTNormal"/>
    <w:uiPriority w:val="99"/>
    <w:rsid w:val="00DB600F"/>
    <w:pPr>
      <w:numPr>
        <w:numId w:val="44"/>
      </w:numPr>
      <w:spacing w:before="60" w:after="60"/>
    </w:pPr>
    <w:rPr>
      <w:rFonts w:eastAsia="SimHei"/>
      <w:color w:val="333333"/>
    </w:rPr>
  </w:style>
  <w:style w:type="paragraph" w:customStyle="1" w:styleId="BDTIndent-bulletsBlueSquare">
    <w:name w:val="BDT_Indent-bulletsBlueSquare"/>
    <w:basedOn w:val="Normal"/>
    <w:uiPriority w:val="99"/>
    <w:rsid w:val="00DB600F"/>
    <w:pPr>
      <w:numPr>
        <w:numId w:val="45"/>
      </w:numPr>
    </w:pPr>
  </w:style>
  <w:style w:type="paragraph" w:customStyle="1" w:styleId="BDTindentendash">
    <w:name w:val="BDT_indentendash"/>
    <w:basedOn w:val="BDTDistributionEmdash"/>
    <w:uiPriority w:val="99"/>
    <w:rsid w:val="00DB600F"/>
    <w:pPr>
      <w:numPr>
        <w:numId w:val="0"/>
      </w:numPr>
    </w:pPr>
    <w:rPr>
      <w:lang w:val="en-GB"/>
    </w:rPr>
  </w:style>
  <w:style w:type="paragraph" w:customStyle="1" w:styleId="BDTLogo">
    <w:name w:val="BDT_Logo"/>
    <w:uiPriority w:val="99"/>
    <w:rsid w:val="00DB600F"/>
    <w:pPr>
      <w:jc w:val="center"/>
    </w:pPr>
    <w:rPr>
      <w:rFonts w:eastAsia="SimHei" w:cs="Simplified Arabic"/>
      <w:szCs w:val="28"/>
      <w:lang w:val="en-GB" w:eastAsia="en-US"/>
    </w:rPr>
  </w:style>
  <w:style w:type="paragraph" w:customStyle="1" w:styleId="BDTMeetingDates">
    <w:name w:val="BDT_MeetingDates"/>
    <w:basedOn w:val="BDTNormal"/>
    <w:uiPriority w:val="99"/>
    <w:rsid w:val="00DB600F"/>
    <w:pPr>
      <w:spacing w:after="40"/>
    </w:pPr>
    <w:rPr>
      <w:rFonts w:eastAsia="SimHei"/>
      <w:b/>
      <w:bCs/>
    </w:rPr>
  </w:style>
  <w:style w:type="paragraph" w:customStyle="1" w:styleId="BDTMeetingName">
    <w:name w:val="BDT_MeetingName"/>
    <w:basedOn w:val="BDTNormal"/>
    <w:uiPriority w:val="99"/>
    <w:rsid w:val="00DB600F"/>
    <w:rPr>
      <w:rFonts w:eastAsia="SimHei"/>
      <w:b/>
      <w:bCs/>
    </w:rPr>
  </w:style>
  <w:style w:type="paragraph" w:customStyle="1" w:styleId="BDTNormalabc">
    <w:name w:val="BDT_Normal_abc"/>
    <w:basedOn w:val="Normal"/>
    <w:link w:val="BDTNormalabcChar"/>
    <w:uiPriority w:val="99"/>
    <w:rsid w:val="00DB600F"/>
    <w:pPr>
      <w:numPr>
        <w:numId w:val="24"/>
      </w:numPr>
    </w:pPr>
    <w:rPr>
      <w:rFonts w:cs="Times New Roman"/>
      <w:szCs w:val="19"/>
      <w:lang w:val="en-GB"/>
    </w:rPr>
  </w:style>
  <w:style w:type="character" w:customStyle="1" w:styleId="BDTNormalabcChar">
    <w:name w:val="BDT_Normal_abc Char"/>
    <w:basedOn w:val="DefaultParagraphFont"/>
    <w:link w:val="BDTNormalabc"/>
    <w:uiPriority w:val="99"/>
    <w:locked/>
    <w:rsid w:val="00DB600F"/>
    <w:rPr>
      <w:rFonts w:ascii="Calibri" w:eastAsia="SimSun" w:hAnsi="Calibri" w:cs="Times New Roman"/>
      <w:sz w:val="19"/>
      <w:szCs w:val="19"/>
      <w:lang w:val="en-GB" w:eastAsia="en-US" w:bidi="ar-SA"/>
    </w:rPr>
  </w:style>
  <w:style w:type="paragraph" w:customStyle="1" w:styleId="BDTOriginalLanguage">
    <w:name w:val="BDT_OriginalLanguage"/>
    <w:basedOn w:val="Normal"/>
    <w:uiPriority w:val="99"/>
    <w:rsid w:val="00DB600F"/>
    <w:rPr>
      <w:rFonts w:eastAsia="SimHei"/>
      <w:b/>
      <w:bCs/>
      <w:szCs w:val="19"/>
    </w:rPr>
  </w:style>
  <w:style w:type="paragraph" w:customStyle="1" w:styleId="BDTSourceTitle">
    <w:name w:val="BDT_Source_Title"/>
    <w:basedOn w:val="Normal"/>
    <w:uiPriority w:val="99"/>
    <w:rsid w:val="00DB600F"/>
    <w:rPr>
      <w:rFonts w:ascii="Verdana" w:eastAsia="SimHei" w:hAnsi="Verdana" w:cs="Simplified Arabic"/>
      <w:b/>
      <w:sz w:val="19"/>
      <w:szCs w:val="19"/>
      <w:lang w:val="en-GB"/>
    </w:rPr>
  </w:style>
  <w:style w:type="paragraph" w:customStyle="1" w:styleId="BDTParagraph11">
    <w:name w:val="BDT_Paragraph 1.1"/>
    <w:basedOn w:val="Normal"/>
    <w:uiPriority w:val="99"/>
    <w:rsid w:val="00DB600F"/>
    <w:rPr>
      <w:rFonts w:eastAsia="SimHei" w:cs="Simplified Arabic"/>
      <w:szCs w:val="28"/>
      <w:lang w:val="en-GB"/>
    </w:rPr>
  </w:style>
  <w:style w:type="paragraph" w:customStyle="1" w:styleId="BDTParagraph111">
    <w:name w:val="BDT_Paragraph1.1.1"/>
    <w:basedOn w:val="Normal"/>
    <w:uiPriority w:val="99"/>
    <w:rsid w:val="00DB600F"/>
    <w:rPr>
      <w:rFonts w:eastAsia="SimHei" w:cs="Simplified Arabic"/>
      <w:szCs w:val="28"/>
      <w:lang w:val="en-GB"/>
    </w:rPr>
  </w:style>
  <w:style w:type="paragraph" w:customStyle="1" w:styleId="BDTQ1">
    <w:name w:val="BDT_Q1"/>
    <w:basedOn w:val="Normal"/>
    <w:uiPriority w:val="99"/>
    <w:rsid w:val="00DB600F"/>
    <w:pPr>
      <w:spacing w:before="600"/>
    </w:pPr>
    <w:rPr>
      <w:rFonts w:cs="Times New Roman"/>
      <w:b/>
      <w:bCs/>
      <w:szCs w:val="24"/>
    </w:rPr>
  </w:style>
  <w:style w:type="paragraph" w:customStyle="1" w:styleId="BDTQuestion">
    <w:name w:val="BDT_Question"/>
    <w:basedOn w:val="Normal"/>
    <w:uiPriority w:val="99"/>
    <w:rsid w:val="00DB600F"/>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DB600F"/>
  </w:style>
  <w:style w:type="paragraph" w:customStyle="1" w:styleId="BDTRevision">
    <w:name w:val="BDT_Revision"/>
    <w:basedOn w:val="Normal"/>
    <w:uiPriority w:val="99"/>
    <w:rsid w:val="00DB600F"/>
    <w:pPr>
      <w:tabs>
        <w:tab w:val="right" w:pos="3011"/>
      </w:tabs>
    </w:pPr>
    <w:rPr>
      <w:rFonts w:eastAsia="SimHei"/>
      <w:b/>
      <w:bCs/>
      <w:noProof/>
      <w:sz w:val="20"/>
      <w:szCs w:val="20"/>
      <w:lang w:val="fr-CA"/>
    </w:rPr>
  </w:style>
  <w:style w:type="paragraph" w:customStyle="1" w:styleId="BDTRevision2">
    <w:name w:val="BDT_Revision2"/>
    <w:basedOn w:val="Normal"/>
    <w:uiPriority w:val="99"/>
    <w:rsid w:val="00DB600F"/>
    <w:rPr>
      <w:rFonts w:eastAsia="SimHei"/>
      <w:b/>
      <w:sz w:val="20"/>
      <w:szCs w:val="16"/>
      <w:lang w:val="es-ES"/>
    </w:rPr>
  </w:style>
  <w:style w:type="paragraph" w:customStyle="1" w:styleId="BDTSectorName">
    <w:name w:val="BDT_SectorName"/>
    <w:basedOn w:val="Normal"/>
    <w:uiPriority w:val="99"/>
    <w:rsid w:val="00DB600F"/>
    <w:rPr>
      <w:rFonts w:ascii="Verdana" w:eastAsia="SimHei" w:hAnsi="Verdana" w:cs="Simplified Arabic"/>
      <w:b/>
      <w:sz w:val="26"/>
      <w:szCs w:val="28"/>
      <w:lang w:val="en-GB"/>
    </w:rPr>
  </w:style>
  <w:style w:type="paragraph" w:customStyle="1" w:styleId="BDTSmall">
    <w:name w:val="BDT_Small"/>
    <w:basedOn w:val="Normal"/>
    <w:uiPriority w:val="99"/>
    <w:rsid w:val="00DB600F"/>
    <w:rPr>
      <w:rFonts w:eastAsia="SimHei"/>
      <w:sz w:val="19"/>
    </w:rPr>
  </w:style>
  <w:style w:type="paragraph" w:customStyle="1" w:styleId="BDTSourceTitleDetails">
    <w:name w:val="BDT_SourceTitleDetails"/>
    <w:basedOn w:val="Normal"/>
    <w:uiPriority w:val="99"/>
    <w:rsid w:val="00DB600F"/>
    <w:rPr>
      <w:rFonts w:eastAsia="SimHei"/>
      <w:sz w:val="19"/>
      <w:szCs w:val="19"/>
    </w:rPr>
  </w:style>
  <w:style w:type="paragraph" w:customStyle="1" w:styleId="BDTStartNextPage">
    <w:name w:val="BDT_StartNextPage"/>
    <w:basedOn w:val="Normal"/>
    <w:uiPriority w:val="99"/>
    <w:rsid w:val="00DB600F"/>
    <w:pPr>
      <w:jc w:val="center"/>
    </w:pPr>
    <w:rPr>
      <w:rFonts w:eastAsia="SimHei" w:cs="Simplified Arabic"/>
      <w:sz w:val="16"/>
      <w:szCs w:val="24"/>
      <w:lang w:val="en-GB"/>
    </w:rPr>
  </w:style>
  <w:style w:type="paragraph" w:customStyle="1" w:styleId="BDTSubjectdetail">
    <w:name w:val="BDT_Subject_detail"/>
    <w:basedOn w:val="BDTSubject"/>
    <w:uiPriority w:val="99"/>
    <w:rsid w:val="00DB600F"/>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uiPriority w:val="99"/>
    <w:rsid w:val="00DB600F"/>
    <w:pPr>
      <w:spacing w:after="80"/>
    </w:pPr>
    <w:rPr>
      <w:rFonts w:eastAsia="SimSun" w:cs="Traditional Arabic"/>
      <w:szCs w:val="30"/>
      <w:lang w:val="en-GB" w:eastAsia="en-US"/>
    </w:rPr>
  </w:style>
  <w:style w:type="paragraph" w:customStyle="1" w:styleId="BDTSeparator">
    <w:name w:val="BDT_Separator"/>
    <w:basedOn w:val="Normal"/>
    <w:uiPriority w:val="99"/>
    <w:rsid w:val="00DB600F"/>
    <w:pPr>
      <w:spacing w:before="0" w:after="0"/>
    </w:pPr>
    <w:rPr>
      <w:lang w:val="en-GB"/>
    </w:rPr>
  </w:style>
  <w:style w:type="paragraph" w:customStyle="1" w:styleId="BDTEndReturn">
    <w:name w:val="BDT_EndReturn"/>
    <w:basedOn w:val="Normal"/>
    <w:uiPriority w:val="99"/>
    <w:rsid w:val="00DB600F"/>
    <w:rPr>
      <w:sz w:val="20"/>
      <w:szCs w:val="16"/>
      <w:lang w:val="fr-FR"/>
    </w:rPr>
  </w:style>
  <w:style w:type="paragraph" w:customStyle="1" w:styleId="BDTAddressee">
    <w:name w:val="BDT_Addressee"/>
    <w:rsid w:val="00DB600F"/>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eastAsia="en-US"/>
    </w:rPr>
  </w:style>
  <w:style w:type="paragraph" w:customStyle="1" w:styleId="BDTRef">
    <w:name w:val="BDT_Ref"/>
    <w:basedOn w:val="Normal"/>
    <w:next w:val="Normal"/>
    <w:uiPriority w:val="99"/>
    <w:rsid w:val="00DB600F"/>
    <w:rPr>
      <w:lang w:val="en-GB"/>
    </w:rPr>
  </w:style>
  <w:style w:type="paragraph" w:customStyle="1" w:styleId="BDTDate">
    <w:name w:val="BDT_Date"/>
    <w:basedOn w:val="Normal"/>
    <w:uiPriority w:val="99"/>
    <w:rsid w:val="00DB600F"/>
    <w:rPr>
      <w:rFonts w:cs="Arial"/>
    </w:rPr>
  </w:style>
  <w:style w:type="paragraph" w:customStyle="1" w:styleId="BDTContact-Details">
    <w:name w:val="BDT_Contact-Details"/>
    <w:uiPriority w:val="99"/>
    <w:rsid w:val="00DB600F"/>
    <w:pPr>
      <w:tabs>
        <w:tab w:val="left" w:pos="794"/>
        <w:tab w:val="left" w:pos="1191"/>
        <w:tab w:val="left" w:pos="1588"/>
        <w:tab w:val="left" w:pos="1985"/>
      </w:tabs>
      <w:overflowPunct w:val="0"/>
      <w:autoSpaceDE w:val="0"/>
      <w:autoSpaceDN w:val="0"/>
      <w:adjustRightInd w:val="0"/>
      <w:spacing w:after="40"/>
      <w:textAlignment w:val="baseline"/>
    </w:pPr>
    <w:rPr>
      <w:rFonts w:eastAsia="SimSun" w:cs="Traditional Arabic"/>
      <w:szCs w:val="30"/>
      <w:lang w:val="en-GB" w:eastAsia="en-US"/>
    </w:rPr>
  </w:style>
  <w:style w:type="paragraph" w:customStyle="1" w:styleId="BDTContact">
    <w:name w:val="BDT_Contact"/>
    <w:link w:val="BDTContactCharChar"/>
    <w:uiPriority w:val="99"/>
    <w:rsid w:val="00DB600F"/>
    <w:pPr>
      <w:tabs>
        <w:tab w:val="left" w:pos="794"/>
        <w:tab w:val="left" w:pos="1191"/>
        <w:tab w:val="left" w:pos="1588"/>
        <w:tab w:val="left" w:pos="1985"/>
      </w:tabs>
      <w:overflowPunct w:val="0"/>
      <w:autoSpaceDE w:val="0"/>
      <w:autoSpaceDN w:val="0"/>
      <w:adjustRightInd w:val="0"/>
      <w:spacing w:after="40"/>
      <w:textAlignment w:val="baseline"/>
    </w:pPr>
    <w:rPr>
      <w:rFonts w:eastAsia="SimSun" w:cs="Traditional Arabic"/>
      <w:szCs w:val="30"/>
      <w:lang w:val="en-GB" w:eastAsia="en-US"/>
    </w:rPr>
  </w:style>
  <w:style w:type="character" w:customStyle="1" w:styleId="BDTContactCharChar">
    <w:name w:val="BDT_Contact Char Char"/>
    <w:basedOn w:val="DefaultParagraphFont"/>
    <w:link w:val="BDTContact"/>
    <w:uiPriority w:val="99"/>
    <w:locked/>
    <w:rsid w:val="00DB600F"/>
    <w:rPr>
      <w:rFonts w:eastAsia="SimSun" w:cs="Traditional Arabic"/>
      <w:sz w:val="30"/>
      <w:szCs w:val="30"/>
      <w:lang w:val="en-GB" w:eastAsia="en-US" w:bidi="ar-SA"/>
    </w:rPr>
  </w:style>
  <w:style w:type="character" w:styleId="Hyperlink">
    <w:name w:val="Hyperlink"/>
    <w:basedOn w:val="DefaultParagraphFont"/>
    <w:uiPriority w:val="1"/>
    <w:rsid w:val="00DB600F"/>
    <w:rPr>
      <w:rFonts w:cs="Times New Roman"/>
      <w:color w:val="0000FF"/>
      <w:u w:val="single"/>
    </w:rPr>
  </w:style>
  <w:style w:type="character" w:customStyle="1" w:styleId="BDTName">
    <w:name w:val="BDT_Name"/>
    <w:basedOn w:val="DefaultParagraphFont"/>
    <w:uiPriority w:val="99"/>
    <w:rsid w:val="00DB600F"/>
    <w:rPr>
      <w:rFonts w:cs="Times New Roman"/>
      <w:b/>
      <w:color w:val="808080"/>
      <w:sz w:val="28"/>
    </w:rPr>
  </w:style>
  <w:style w:type="paragraph" w:customStyle="1" w:styleId="BDTNoSpace">
    <w:name w:val="BDT_NoSpace"/>
    <w:basedOn w:val="BDTNormal"/>
    <w:uiPriority w:val="99"/>
    <w:rsid w:val="00DB600F"/>
    <w:pPr>
      <w:spacing w:before="0" w:after="0"/>
    </w:pPr>
    <w:rPr>
      <w:sz w:val="10"/>
      <w:szCs w:val="4"/>
    </w:rPr>
  </w:style>
  <w:style w:type="paragraph" w:customStyle="1" w:styleId="BDTRef-Details">
    <w:name w:val="BDT_Ref-Details"/>
    <w:basedOn w:val="BDTNormal"/>
    <w:uiPriority w:val="99"/>
    <w:rsid w:val="00DB600F"/>
    <w:rPr>
      <w:lang w:val="en-GB"/>
    </w:rPr>
  </w:style>
  <w:style w:type="paragraph" w:customStyle="1" w:styleId="BDTSubjectdata">
    <w:name w:val="BDT_Subject_data"/>
    <w:basedOn w:val="Normal"/>
    <w:uiPriority w:val="99"/>
    <w:rsid w:val="00DB600F"/>
    <w:pPr>
      <w:spacing w:before="0" w:after="0"/>
    </w:pPr>
    <w:rPr>
      <w:lang w:val="en-GB"/>
    </w:rPr>
  </w:style>
  <w:style w:type="paragraph" w:customStyle="1" w:styleId="BDTCopie">
    <w:name w:val="BDT_Copie"/>
    <w:basedOn w:val="BDTNormal"/>
    <w:next w:val="BDTVisa"/>
    <w:qFormat/>
    <w:rsid w:val="003754FF"/>
    <w:rPr>
      <w:color w:val="333333"/>
    </w:rPr>
  </w:style>
  <w:style w:type="paragraph" w:customStyle="1" w:styleId="BDTCopies">
    <w:name w:val="BDT_Copies"/>
    <w:basedOn w:val="BDTNormal"/>
    <w:next w:val="BDTVisa"/>
    <w:qFormat/>
    <w:rsid w:val="003754FF"/>
    <w:pPr>
      <w:bidi/>
      <w:spacing w:before="0" w:after="0" w:line="192" w:lineRule="auto"/>
    </w:pPr>
    <w:rPr>
      <w:rFonts w:cs="Simplified Arabic"/>
      <w:color w:val="333333"/>
      <w:szCs w:val="28"/>
      <w:lang w:val="fr-CH"/>
    </w:rPr>
  </w:style>
  <w:style w:type="paragraph" w:customStyle="1" w:styleId="bdtopening0">
    <w:name w:val="bdtopening"/>
    <w:basedOn w:val="Normal"/>
    <w:rsid w:val="00147582"/>
    <w:pPr>
      <w:spacing w:before="100" w:beforeAutospacing="1" w:after="100" w:afterAutospacing="1"/>
    </w:pPr>
    <w:rPr>
      <w:rFonts w:ascii="Times New Roman" w:eastAsia="Times New Roman" w:hAnsi="Times New Roman" w:cs="Times New Roman"/>
      <w:sz w:val="24"/>
      <w:szCs w:val="24"/>
    </w:rPr>
  </w:style>
  <w:style w:type="paragraph" w:customStyle="1" w:styleId="bdtnormal0">
    <w:name w:val="bdtnormal"/>
    <w:basedOn w:val="Normal"/>
    <w:rsid w:val="00147582"/>
    <w:pPr>
      <w:spacing w:before="100" w:beforeAutospacing="1" w:after="100" w:afterAutospacing="1"/>
    </w:pPr>
    <w:rPr>
      <w:rFonts w:ascii="Times New Roman" w:eastAsia="Times New Roman" w:hAnsi="Times New Roman" w:cs="Times New Roman"/>
      <w:sz w:val="24"/>
      <w:szCs w:val="24"/>
    </w:rPr>
  </w:style>
  <w:style w:type="character" w:customStyle="1" w:styleId="CEONormalCharChar">
    <w:name w:val="CEO_Normal Char Char"/>
    <w:basedOn w:val="DefaultParagraphFont"/>
    <w:link w:val="CEONormal"/>
    <w:uiPriority w:val="99"/>
    <w:rsid w:val="002F0502"/>
    <w:rPr>
      <w:rFonts w:eastAsia="SimSun"/>
      <w:lang w:val="en-GB" w:eastAsia="en-US"/>
    </w:rPr>
  </w:style>
  <w:style w:type="paragraph" w:customStyle="1" w:styleId="CEONormal">
    <w:name w:val="CEO_Normal"/>
    <w:link w:val="CEONormalCharChar"/>
    <w:uiPriority w:val="99"/>
    <w:rsid w:val="002F0502"/>
    <w:pPr>
      <w:spacing w:before="120" w:after="120"/>
    </w:pPr>
    <w:rPr>
      <w:rFonts w:eastAsia="SimSun"/>
      <w:lang w:val="en-GB" w:eastAsia="en-US"/>
    </w:rPr>
  </w:style>
  <w:style w:type="paragraph" w:customStyle="1" w:styleId="CEOIndent1-123">
    <w:name w:val="CEO_Indent1-123"/>
    <w:basedOn w:val="Normal"/>
    <w:rsid w:val="002F0502"/>
    <w:pPr>
      <w:tabs>
        <w:tab w:val="num" w:pos="927"/>
      </w:tabs>
      <w:spacing w:before="60" w:after="60"/>
      <w:ind w:left="927" w:right="709" w:hanging="360"/>
    </w:pPr>
    <w:rPr>
      <w:rFonts w:ascii="Verdana" w:hAnsi="Verdana" w:cs="Times New Roman"/>
      <w:sz w:val="18"/>
      <w:szCs w:val="20"/>
    </w:rPr>
  </w:style>
  <w:style w:type="character" w:customStyle="1" w:styleId="BDTNormalChar">
    <w:name w:val="BDT_Normal Char"/>
    <w:basedOn w:val="CEONormalCharChar"/>
    <w:link w:val="BDTNormal"/>
    <w:locked/>
    <w:rsid w:val="002F0502"/>
    <w:rPr>
      <w:rFonts w:eastAsia="SimSun" w:cs="Traditional Arabic"/>
      <w:szCs w:val="30"/>
      <w:lang w:val="es-ES" w:eastAsia="en-US"/>
    </w:rPr>
  </w:style>
  <w:style w:type="paragraph" w:styleId="ListParagraph">
    <w:name w:val="List Paragraph"/>
    <w:basedOn w:val="Normal"/>
    <w:uiPriority w:val="34"/>
    <w:qFormat/>
    <w:rsid w:val="004F7D4B"/>
    <w:pPr>
      <w:ind w:left="720"/>
      <w:contextualSpacing/>
    </w:pPr>
  </w:style>
  <w:style w:type="paragraph" w:styleId="Header">
    <w:name w:val="header"/>
    <w:basedOn w:val="Normal"/>
    <w:link w:val="HeaderChar"/>
    <w:uiPriority w:val="99"/>
    <w:unhideWhenUsed/>
    <w:locked/>
    <w:rsid w:val="004F7D4B"/>
    <w:pPr>
      <w:tabs>
        <w:tab w:val="center" w:pos="4680"/>
        <w:tab w:val="right" w:pos="9360"/>
      </w:tabs>
      <w:spacing w:before="0" w:after="0"/>
    </w:pPr>
  </w:style>
  <w:style w:type="character" w:customStyle="1" w:styleId="HeaderChar">
    <w:name w:val="Header Char"/>
    <w:basedOn w:val="DefaultParagraphFont"/>
    <w:link w:val="Header"/>
    <w:uiPriority w:val="99"/>
    <w:rsid w:val="004F7D4B"/>
    <w:rPr>
      <w:rFonts w:eastAsia="SimSun" w:cs="Traditional Arabic"/>
      <w:szCs w:val="30"/>
      <w:lang w:eastAsia="en-US"/>
    </w:rPr>
  </w:style>
  <w:style w:type="paragraph" w:styleId="NoSpacing">
    <w:name w:val="No Spacing"/>
    <w:uiPriority w:val="1"/>
    <w:qFormat/>
    <w:rsid w:val="007A3D23"/>
    <w:rPr>
      <w:rFonts w:eastAsia="SimSun" w:cs="Traditional Arabic"/>
      <w:szCs w:val="30"/>
      <w:lang w:eastAsia="en-US"/>
    </w:rPr>
  </w:style>
  <w:style w:type="table" w:styleId="TableGrid">
    <w:name w:val="Table Grid"/>
    <w:basedOn w:val="TableNormal"/>
    <w:locked/>
    <w:rsid w:val="006E7E3A"/>
    <w:rPr>
      <w:sz w:val="20"/>
      <w:szCs w:val="20"/>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rtefontsize-2">
    <w:name w:val="ms-rtefontsize-2"/>
    <w:basedOn w:val="DefaultParagraphFont"/>
    <w:rsid w:val="00B10B49"/>
  </w:style>
  <w:style w:type="character" w:customStyle="1" w:styleId="apple-converted-space">
    <w:name w:val="apple-converted-space"/>
    <w:basedOn w:val="DefaultParagraphFont"/>
    <w:rsid w:val="00371316"/>
  </w:style>
  <w:style w:type="character" w:styleId="Strong">
    <w:name w:val="Strong"/>
    <w:basedOn w:val="DefaultParagraphFont"/>
    <w:uiPriority w:val="22"/>
    <w:qFormat/>
    <w:locked/>
    <w:rsid w:val="00371316"/>
    <w:rPr>
      <w:b/>
      <w:bCs/>
    </w:rPr>
  </w:style>
  <w:style w:type="character" w:styleId="FollowedHyperlink">
    <w:name w:val="FollowedHyperlink"/>
    <w:basedOn w:val="DefaultParagraphFont"/>
    <w:uiPriority w:val="99"/>
    <w:semiHidden/>
    <w:unhideWhenUsed/>
    <w:locked/>
    <w:rsid w:val="00090D6D"/>
    <w:rPr>
      <w:color w:val="800080" w:themeColor="followedHyperlink"/>
      <w:u w:val="single"/>
    </w:rPr>
  </w:style>
  <w:style w:type="paragraph" w:customStyle="1" w:styleId="CEOHeading1Underlined">
    <w:name w:val="CEO_Heading 1_Underlined"/>
    <w:basedOn w:val="Normal"/>
    <w:link w:val="CEOHeading1UnderlinedChar"/>
    <w:rsid w:val="006E2F6E"/>
    <w:pPr>
      <w:keepNext/>
      <w:keepLines/>
      <w:pBdr>
        <w:bottom w:val="single" w:sz="12" w:space="1" w:color="808080"/>
      </w:pBdr>
      <w:spacing w:before="360" w:after="0"/>
    </w:pPr>
    <w:rPr>
      <w:rFonts w:ascii="Verdana" w:hAnsi="Verdana" w:cs="Times New Roman Bold"/>
      <w:b/>
      <w:bCs/>
      <w:sz w:val="19"/>
      <w:szCs w:val="20"/>
      <w:lang w:val="en-GB"/>
    </w:rPr>
  </w:style>
  <w:style w:type="character" w:customStyle="1" w:styleId="CEOHeading1UnderlinedChar">
    <w:name w:val="CEO_Heading 1_Underlined Char"/>
    <w:basedOn w:val="DefaultParagraphFont"/>
    <w:link w:val="CEOHeading1Underlined"/>
    <w:rsid w:val="006E2F6E"/>
    <w:rPr>
      <w:rFonts w:ascii="Verdana" w:eastAsia="SimSun" w:hAnsi="Verdana" w:cs="Times New Roman Bold"/>
      <w:b/>
      <w:bCs/>
      <w:sz w:val="19"/>
      <w:szCs w:val="20"/>
      <w:lang w:val="en-GB" w:eastAsia="en-US"/>
    </w:rPr>
  </w:style>
  <w:style w:type="paragraph" w:customStyle="1" w:styleId="AnnexNo">
    <w:name w:val="Annex_No"/>
    <w:basedOn w:val="Normal"/>
    <w:next w:val="Normal"/>
    <w:rsid w:val="00126F1E"/>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asciiTheme="minorHAnsi" w:eastAsia="Times New Roman" w:hAnsiTheme="minorHAnsi" w:cs="Times New Roman"/>
      <w:caps/>
      <w:sz w:val="28"/>
      <w:szCs w:val="20"/>
      <w:lang w:val="en-GB"/>
    </w:rPr>
  </w:style>
  <w:style w:type="paragraph" w:customStyle="1" w:styleId="Annextitle">
    <w:name w:val="Annex_title"/>
    <w:basedOn w:val="Normal"/>
    <w:next w:val="Normal"/>
    <w:rsid w:val="00126F1E"/>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heme="minorHAnsi" w:eastAsia="Times New Roman" w:hAnsiTheme="minorHAnsi" w:cs="Times New Roman"/>
      <w:b/>
      <w:sz w:val="28"/>
      <w:szCs w:val="20"/>
      <w:lang w:val="en-GB"/>
    </w:rPr>
  </w:style>
  <w:style w:type="paragraph" w:customStyle="1" w:styleId="Reasons">
    <w:name w:val="Reasons"/>
    <w:basedOn w:val="Normal"/>
    <w:qFormat/>
    <w:rsid w:val="00384958"/>
    <w:pPr>
      <w:spacing w:before="0" w:after="0"/>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605645">
      <w:bodyDiv w:val="1"/>
      <w:marLeft w:val="0"/>
      <w:marRight w:val="0"/>
      <w:marTop w:val="0"/>
      <w:marBottom w:val="0"/>
      <w:divBdr>
        <w:top w:val="none" w:sz="0" w:space="0" w:color="auto"/>
        <w:left w:val="none" w:sz="0" w:space="0" w:color="auto"/>
        <w:bottom w:val="none" w:sz="0" w:space="0" w:color="auto"/>
        <w:right w:val="none" w:sz="0" w:space="0" w:color="auto"/>
      </w:divBdr>
    </w:div>
    <w:div w:id="937442341">
      <w:bodyDiv w:val="1"/>
      <w:marLeft w:val="0"/>
      <w:marRight w:val="0"/>
      <w:marTop w:val="0"/>
      <w:marBottom w:val="0"/>
      <w:divBdr>
        <w:top w:val="none" w:sz="0" w:space="0" w:color="auto"/>
        <w:left w:val="none" w:sz="0" w:space="0" w:color="auto"/>
        <w:bottom w:val="none" w:sz="0" w:space="0" w:color="auto"/>
        <w:right w:val="none" w:sz="0" w:space="0" w:color="auto"/>
      </w:divBdr>
    </w:div>
    <w:div w:id="1098480949">
      <w:bodyDiv w:val="1"/>
      <w:marLeft w:val="0"/>
      <w:marRight w:val="0"/>
      <w:marTop w:val="0"/>
      <w:marBottom w:val="0"/>
      <w:divBdr>
        <w:top w:val="none" w:sz="0" w:space="0" w:color="auto"/>
        <w:left w:val="none" w:sz="0" w:space="0" w:color="auto"/>
        <w:bottom w:val="none" w:sz="0" w:space="0" w:color="auto"/>
        <w:right w:val="none" w:sz="0" w:space="0" w:color="auto"/>
      </w:divBdr>
    </w:div>
    <w:div w:id="1546408266">
      <w:bodyDiv w:val="1"/>
      <w:marLeft w:val="0"/>
      <w:marRight w:val="0"/>
      <w:marTop w:val="0"/>
      <w:marBottom w:val="0"/>
      <w:divBdr>
        <w:top w:val="none" w:sz="0" w:space="0" w:color="auto"/>
        <w:left w:val="none" w:sz="0" w:space="0" w:color="auto"/>
        <w:bottom w:val="none" w:sz="0" w:space="0" w:color="auto"/>
        <w:right w:val="none" w:sz="0" w:space="0" w:color="auto"/>
      </w:divBdr>
    </w:div>
    <w:div w:id="1668482881">
      <w:marLeft w:val="0"/>
      <w:marRight w:val="0"/>
      <w:marTop w:val="0"/>
      <w:marBottom w:val="0"/>
      <w:divBdr>
        <w:top w:val="none" w:sz="0" w:space="0" w:color="auto"/>
        <w:left w:val="none" w:sz="0" w:space="0" w:color="auto"/>
        <w:bottom w:val="none" w:sz="0" w:space="0" w:color="auto"/>
        <w:right w:val="none" w:sz="0" w:space="0" w:color="auto"/>
      </w:divBdr>
    </w:div>
    <w:div w:id="1668482882">
      <w:marLeft w:val="0"/>
      <w:marRight w:val="0"/>
      <w:marTop w:val="0"/>
      <w:marBottom w:val="0"/>
      <w:divBdr>
        <w:top w:val="none" w:sz="0" w:space="0" w:color="auto"/>
        <w:left w:val="none" w:sz="0" w:space="0" w:color="auto"/>
        <w:bottom w:val="none" w:sz="0" w:space="0" w:color="auto"/>
        <w:right w:val="none" w:sz="0" w:space="0" w:color="auto"/>
      </w:divBdr>
    </w:div>
    <w:div w:id="1668482883">
      <w:marLeft w:val="0"/>
      <w:marRight w:val="0"/>
      <w:marTop w:val="0"/>
      <w:marBottom w:val="0"/>
      <w:divBdr>
        <w:top w:val="none" w:sz="0" w:space="0" w:color="auto"/>
        <w:left w:val="none" w:sz="0" w:space="0" w:color="auto"/>
        <w:bottom w:val="none" w:sz="0" w:space="0" w:color="auto"/>
        <w:right w:val="none" w:sz="0" w:space="0" w:color="auto"/>
      </w:divBdr>
    </w:div>
    <w:div w:id="209335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D/study-group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tu.int/itu-d" TargetMode="External"/><Relationship Id="rId2" Type="http://schemas.openxmlformats.org/officeDocument/2006/relationships/hyperlink" Target="mailto:bdtmail@itu.int" TargetMode="External"/><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D1BDA-FB6E-47D2-8FA1-DE79940A4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1407</Words>
  <Characters>8467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ITU Letter-Fax (English)</vt:lpstr>
    </vt:vector>
  </TitlesOfParts>
  <Company>ITU</Company>
  <LinksUpToDate>false</LinksUpToDate>
  <CharactersWithSpaces>9855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Geneux</dc:creator>
  <cp:lastModifiedBy>BDT</cp:lastModifiedBy>
  <cp:revision>2</cp:revision>
  <cp:lastPrinted>2017-10-30T08:13:00Z</cp:lastPrinted>
  <dcterms:created xsi:type="dcterms:W3CDTF">2017-10-31T16:00:00Z</dcterms:created>
  <dcterms:modified xsi:type="dcterms:W3CDTF">2017-10-31T16:00:00Z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