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76"/>
        <w:gridCol w:w="3260"/>
        <w:gridCol w:w="709"/>
        <w:gridCol w:w="4644"/>
      </w:tblGrid>
      <w:tr w:rsidR="00340C64" w:rsidRPr="00F61E99" w:rsidTr="006A02CC">
        <w:trPr>
          <w:trHeight w:val="992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340C64" w:rsidRPr="00F61E99" w:rsidRDefault="004643E9" w:rsidP="00300E9F">
            <w:pPr>
              <w:pStyle w:val="BDTLogo"/>
              <w:tabs>
                <w:tab w:val="right" w:pos="9673"/>
              </w:tabs>
              <w:jc w:val="left"/>
              <w:rPr>
                <w:sz w:val="18"/>
                <w:szCs w:val="22"/>
                <w:lang w:val="ru-RU" w:eastAsia="fr-CH"/>
              </w:rPr>
            </w:pPr>
            <w:r w:rsidRPr="00F26ACA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10F922D3" wp14:editId="40B9ADA0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33655</wp:posOffset>
                  </wp:positionV>
                  <wp:extent cx="183197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_WTDC 17_Logo_Horizontal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9250"/>
                          <a:stretch/>
                        </pic:blipFill>
                        <pic:spPr bwMode="auto">
                          <a:xfrm>
                            <a:off x="0" y="0"/>
                            <a:ext cx="18319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E9F" w:rsidRPr="00F61E99">
              <w:rPr>
                <w:noProof/>
                <w:color w:val="3399FF"/>
                <w:sz w:val="18"/>
                <w:szCs w:val="22"/>
                <w:lang w:eastAsia="zh-CN"/>
              </w:rPr>
              <w:drawing>
                <wp:inline distT="0" distB="0" distL="0" distR="0" wp14:anchorId="3FDF76FE" wp14:editId="7AE4C1E4">
                  <wp:extent cx="771525" cy="700486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0E9F" w:rsidRPr="00F61E99">
              <w:rPr>
                <w:rFonts w:asciiTheme="minorHAnsi" w:hAnsiTheme="minorHAnsi"/>
                <w:sz w:val="18"/>
                <w:szCs w:val="22"/>
                <w:lang w:val="ru-RU" w:eastAsia="zh-CN"/>
              </w:rPr>
              <w:tab/>
            </w:r>
            <w:r w:rsidRPr="00F26ACA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51CE482" wp14:editId="10771A88">
                  <wp:simplePos x="0" y="0"/>
                  <wp:positionH relativeFrom="column">
                    <wp:posOffset>2083572811</wp:posOffset>
                  </wp:positionH>
                  <wp:positionV relativeFrom="paragraph">
                    <wp:posOffset>1806656931</wp:posOffset>
                  </wp:positionV>
                  <wp:extent cx="1831975" cy="6667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_WTDC 17_Logo_Horizontal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9250"/>
                          <a:stretch/>
                        </pic:blipFill>
                        <pic:spPr bwMode="auto">
                          <a:xfrm>
                            <a:off x="0" y="0"/>
                            <a:ext cx="18319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C64" w:rsidRPr="00F61E99" w:rsidTr="005F550D">
        <w:tc>
          <w:tcPr>
            <w:tcW w:w="9889" w:type="dxa"/>
            <w:gridSpan w:val="4"/>
          </w:tcPr>
          <w:p w:rsidR="00340C64" w:rsidRPr="00F61E99" w:rsidRDefault="00300E9F" w:rsidP="004643E9">
            <w:pPr>
              <w:spacing w:line="240" w:lineRule="auto"/>
              <w:rPr>
                <w:rStyle w:val="BDTName"/>
                <w:lang w:val="ru-RU"/>
              </w:rPr>
            </w:pPr>
            <w:r w:rsidRPr="00F61E99"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  <w:t xml:space="preserve">Бюро развития </w:t>
            </w:r>
            <w:r w:rsidRPr="00F61E99"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  <w:br/>
              <w:t>электросвязи (</w:t>
            </w:r>
            <w:r w:rsidR="004643E9">
              <w:rPr>
                <w:rStyle w:val="BDTName"/>
                <w:rFonts w:asciiTheme="minorHAnsi" w:hAnsiTheme="minorHAnsi"/>
                <w:color w:val="189CD7"/>
                <w:szCs w:val="28"/>
                <w:lang w:val="en-GB"/>
              </w:rPr>
              <w:t>BDT</w:t>
            </w:r>
            <w:r w:rsidRPr="00F61E99"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  <w:t>)</w:t>
            </w:r>
          </w:p>
        </w:tc>
      </w:tr>
      <w:tr w:rsidR="004D4427" w:rsidRPr="00F61E99" w:rsidTr="006A02CC">
        <w:tc>
          <w:tcPr>
            <w:tcW w:w="5245" w:type="dxa"/>
            <w:gridSpan w:val="3"/>
          </w:tcPr>
          <w:p w:rsidR="004D4427" w:rsidRPr="00F61E99" w:rsidRDefault="004D4427" w:rsidP="00F61E99">
            <w:pPr>
              <w:pStyle w:val="BDTSeparator"/>
              <w:spacing w:before="120"/>
              <w:rPr>
                <w:lang w:val="ru-RU"/>
              </w:rPr>
            </w:pPr>
          </w:p>
        </w:tc>
        <w:tc>
          <w:tcPr>
            <w:tcW w:w="4644" w:type="dxa"/>
          </w:tcPr>
          <w:p w:rsidR="004D4427" w:rsidRPr="00F61E99" w:rsidRDefault="004D4427" w:rsidP="00F61E99">
            <w:pPr>
              <w:pStyle w:val="BDTSeparator"/>
              <w:spacing w:before="120"/>
              <w:rPr>
                <w:lang w:val="ru-RU"/>
              </w:rPr>
            </w:pPr>
          </w:p>
        </w:tc>
      </w:tr>
      <w:tr w:rsidR="00404461" w:rsidRPr="00F61E99" w:rsidTr="006A02CC">
        <w:tc>
          <w:tcPr>
            <w:tcW w:w="1276" w:type="dxa"/>
          </w:tcPr>
          <w:p w:rsidR="00404461" w:rsidRPr="00F61E99" w:rsidRDefault="00404461" w:rsidP="00F61E99">
            <w:pPr>
              <w:pStyle w:val="BDTRef"/>
              <w:spacing w:before="0" w:after="240"/>
              <w:rPr>
                <w:lang w:val="ru-RU"/>
              </w:rPr>
            </w:pPr>
            <w:r w:rsidRPr="00F61E99">
              <w:rPr>
                <w:lang w:val="ru-RU"/>
              </w:rPr>
              <w:t>Осн.</w:t>
            </w:r>
            <w:r w:rsidR="006E2D79" w:rsidRPr="00F61E99">
              <w:rPr>
                <w:lang w:val="ru-RU"/>
              </w:rPr>
              <w:t>:</w:t>
            </w:r>
          </w:p>
        </w:tc>
        <w:tc>
          <w:tcPr>
            <w:tcW w:w="3969" w:type="dxa"/>
            <w:gridSpan w:val="2"/>
          </w:tcPr>
          <w:p w:rsidR="00404461" w:rsidRPr="00F61E99" w:rsidRDefault="0011781F" w:rsidP="00F61E99">
            <w:pPr>
              <w:pStyle w:val="BDTRef-Details"/>
              <w:spacing w:before="0" w:after="240"/>
              <w:rPr>
                <w:color w:val="auto"/>
                <w:lang w:val="ru-RU"/>
              </w:rPr>
            </w:pPr>
            <w:bookmarkStart w:id="0" w:name="lt_pId005"/>
            <w:r w:rsidRPr="00F61E99">
              <w:rPr>
                <w:rFonts w:asciiTheme="minorHAnsi" w:hAnsiTheme="minorHAnsi"/>
                <w:szCs w:val="22"/>
                <w:lang w:val="ru-RU"/>
              </w:rPr>
              <w:t>Циркуляр BDT/IP/CSTG-1</w:t>
            </w:r>
            <w:bookmarkEnd w:id="0"/>
          </w:p>
        </w:tc>
        <w:tc>
          <w:tcPr>
            <w:tcW w:w="4644" w:type="dxa"/>
          </w:tcPr>
          <w:p w:rsidR="00404461" w:rsidRPr="00F61E99" w:rsidRDefault="00404461" w:rsidP="0082438D">
            <w:pPr>
              <w:pStyle w:val="BDTDate"/>
              <w:spacing w:before="0" w:after="360"/>
              <w:rPr>
                <w:color w:val="auto"/>
                <w:lang w:val="ru-RU"/>
              </w:rPr>
            </w:pPr>
            <w:r w:rsidRPr="00F61E99">
              <w:rPr>
                <w:color w:val="auto"/>
                <w:lang w:val="ru-RU"/>
              </w:rPr>
              <w:t xml:space="preserve">Женева, </w:t>
            </w:r>
            <w:sdt>
              <w:sdtPr>
                <w:rPr>
                  <w:rFonts w:cs="Calibri"/>
                  <w:szCs w:val="22"/>
                  <w:lang w:val="ru-RU"/>
                </w:rPr>
                <w:alias w:val="Date"/>
                <w:tag w:val="Date"/>
                <w:id w:val="20922293"/>
                <w:placeholder>
                  <w:docPart w:val="111CF0599C3F4A629EB74A98FC6D712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="0082438D" w:rsidRPr="0082438D">
                  <w:rPr>
                    <w:rFonts w:cs="Calibri"/>
                    <w:szCs w:val="22"/>
                    <w:lang w:val="ru-RU"/>
                  </w:rPr>
                  <w:t>1</w:t>
                </w:r>
                <w:r w:rsidR="0082438D" w:rsidRPr="0082438D">
                  <w:rPr>
                    <w:rFonts w:cs="Calibri"/>
                    <w:szCs w:val="22"/>
                    <w:lang w:val="ru-RU"/>
                  </w:rPr>
                  <w:t xml:space="preserve"> </w:t>
                </w:r>
                <w:r w:rsidR="0082438D" w:rsidRPr="0082438D">
                  <w:rPr>
                    <w:rFonts w:cs="Calibri"/>
                    <w:szCs w:val="22"/>
                    <w:lang w:val="ru-RU"/>
                  </w:rPr>
                  <w:t>ноября 2017 года</w:t>
                </w:r>
              </w:sdtContent>
            </w:sdt>
          </w:p>
        </w:tc>
      </w:tr>
      <w:tr w:rsidR="00616B4A" w:rsidRPr="0082438D" w:rsidTr="006A02CC">
        <w:tc>
          <w:tcPr>
            <w:tcW w:w="1276" w:type="dxa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  <w:bookmarkStart w:id="1" w:name="Contact"/>
            <w:bookmarkEnd w:id="1"/>
          </w:p>
        </w:tc>
        <w:tc>
          <w:tcPr>
            <w:tcW w:w="709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 w:val="restart"/>
            <w:vAlign w:val="center"/>
          </w:tcPr>
          <w:p w:rsidR="0011781F" w:rsidRPr="00F61E99" w:rsidRDefault="0011781F" w:rsidP="00F61E99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F61E99">
              <w:rPr>
                <w:rFonts w:cs="Calibri"/>
                <w:szCs w:val="22"/>
                <w:lang w:val="ru-RU"/>
              </w:rPr>
              <w:t>−</w:t>
            </w:r>
            <w:r w:rsidRPr="00F61E99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11781F" w:rsidRPr="00F61E99" w:rsidRDefault="0011781F" w:rsidP="00F61E99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F61E99">
              <w:rPr>
                <w:rFonts w:cs="Calibri"/>
                <w:szCs w:val="22"/>
                <w:lang w:val="ru-RU"/>
              </w:rPr>
              <w:t>−</w:t>
            </w:r>
            <w:r w:rsidRPr="00F61E99">
              <w:rPr>
                <w:rFonts w:cs="Calibri"/>
                <w:szCs w:val="22"/>
                <w:lang w:val="ru-RU"/>
              </w:rPr>
              <w:tab/>
              <w:t>Членам Сектора МСЭ-D, Ассоциированным членам и Академическим организациям – Членам</w:t>
            </w:r>
          </w:p>
          <w:p w:rsidR="00616B4A" w:rsidRPr="00F61E99" w:rsidRDefault="006872B4" w:rsidP="00F61E99">
            <w:pPr>
              <w:pStyle w:val="BDTAddressee"/>
              <w:tabs>
                <w:tab w:val="left" w:pos="317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F61E99">
              <w:rPr>
                <w:rFonts w:cs="Calibri"/>
                <w:szCs w:val="22"/>
                <w:lang w:val="ru-RU"/>
              </w:rPr>
              <w:t>−</w:t>
            </w:r>
            <w:r w:rsidRPr="00F61E99">
              <w:rPr>
                <w:rFonts w:cs="Calibri"/>
                <w:szCs w:val="22"/>
                <w:lang w:val="ru-RU"/>
              </w:rPr>
              <w:tab/>
            </w:r>
            <w:r w:rsidR="00907330" w:rsidRPr="00F61E99">
              <w:rPr>
                <w:rFonts w:cs="Calibri"/>
                <w:szCs w:val="22"/>
                <w:lang w:val="ru-RU"/>
              </w:rPr>
              <w:t>Председателям и заместителям председателей 1-й и 2</w:t>
            </w:r>
            <w:r w:rsidR="00907330" w:rsidRPr="00F61E99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</w:tc>
      </w:tr>
      <w:tr w:rsidR="00616B4A" w:rsidRPr="0082438D" w:rsidTr="006A02CC">
        <w:tc>
          <w:tcPr>
            <w:tcW w:w="1276" w:type="dxa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F61E99" w:rsidRDefault="00616B4A" w:rsidP="00F61E99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82438D" w:rsidTr="006A02CC">
        <w:tc>
          <w:tcPr>
            <w:tcW w:w="1276" w:type="dxa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F61E99" w:rsidRDefault="00616B4A" w:rsidP="00F61E99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82438D" w:rsidTr="006A02CC">
        <w:tc>
          <w:tcPr>
            <w:tcW w:w="1276" w:type="dxa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F61E99" w:rsidRDefault="00616B4A" w:rsidP="00F61E99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82438D" w:rsidTr="006A02CC">
        <w:tc>
          <w:tcPr>
            <w:tcW w:w="1276" w:type="dxa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F61E99" w:rsidRDefault="00616B4A" w:rsidP="00F61E99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82438D" w:rsidTr="006A02CC">
        <w:tc>
          <w:tcPr>
            <w:tcW w:w="1276" w:type="dxa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F61E99" w:rsidRDefault="00616B4A" w:rsidP="00F61E99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F61E99" w:rsidRDefault="00616B4A" w:rsidP="00F61E99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82438D" w:rsidTr="00F647FC">
        <w:tc>
          <w:tcPr>
            <w:tcW w:w="9889" w:type="dxa"/>
            <w:gridSpan w:val="4"/>
            <w:vAlign w:val="center"/>
          </w:tcPr>
          <w:p w:rsidR="00616B4A" w:rsidRPr="00F61E99" w:rsidRDefault="00616B4A" w:rsidP="00F61E99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4D4427" w:rsidRPr="0082438D" w:rsidTr="006A02CC">
        <w:tc>
          <w:tcPr>
            <w:tcW w:w="1276" w:type="dxa"/>
          </w:tcPr>
          <w:p w:rsidR="004D4427" w:rsidRPr="00F61E99" w:rsidRDefault="004D4427" w:rsidP="00F61E99">
            <w:pPr>
              <w:pStyle w:val="BDTSubject"/>
              <w:spacing w:after="120"/>
              <w:rPr>
                <w:lang w:val="ru-RU"/>
              </w:rPr>
            </w:pPr>
            <w:r w:rsidRPr="00F61E99">
              <w:rPr>
                <w:lang w:val="ru-RU"/>
              </w:rPr>
              <w:t>Предмет:</w:t>
            </w:r>
          </w:p>
        </w:tc>
        <w:tc>
          <w:tcPr>
            <w:tcW w:w="8613" w:type="dxa"/>
            <w:gridSpan w:val="3"/>
          </w:tcPr>
          <w:p w:rsidR="004D4427" w:rsidRPr="00F61E99" w:rsidRDefault="00FE2902" w:rsidP="00F61E99">
            <w:pPr>
              <w:pStyle w:val="BDTSubjectDetails"/>
              <w:spacing w:after="0"/>
              <w:rPr>
                <w:lang w:val="ru-RU"/>
              </w:rPr>
            </w:pPr>
            <w:bookmarkStart w:id="2" w:name="Subject"/>
            <w:bookmarkEnd w:id="2"/>
            <w:r w:rsidRPr="00F61E99">
              <w:rPr>
                <w:rFonts w:cs="Calibri"/>
                <w:b/>
                <w:bCs/>
                <w:szCs w:val="22"/>
                <w:lang w:val="ru-RU"/>
              </w:rPr>
              <w:t xml:space="preserve">Кандидатуры на посты </w:t>
            </w:r>
            <w:r w:rsidR="004734E2" w:rsidRPr="00F61E99">
              <w:rPr>
                <w:rFonts w:cs="Calibri"/>
                <w:b/>
                <w:bCs/>
                <w:szCs w:val="22"/>
                <w:lang w:val="ru-RU"/>
              </w:rPr>
              <w:t>докладч</w:t>
            </w:r>
            <w:r w:rsidRPr="00F61E99">
              <w:rPr>
                <w:rFonts w:cs="Calibri"/>
                <w:b/>
                <w:bCs/>
                <w:szCs w:val="22"/>
                <w:lang w:val="ru-RU"/>
              </w:rPr>
              <w:t xml:space="preserve">иков и заместителей </w:t>
            </w:r>
            <w:r w:rsidR="004734E2" w:rsidRPr="00F61E99">
              <w:rPr>
                <w:rFonts w:cs="Calibri"/>
                <w:b/>
                <w:bCs/>
                <w:szCs w:val="22"/>
                <w:lang w:val="ru-RU"/>
              </w:rPr>
              <w:t>докладч</w:t>
            </w:r>
            <w:r w:rsidRPr="00F61E99">
              <w:rPr>
                <w:rFonts w:cs="Calibri"/>
                <w:b/>
                <w:bCs/>
                <w:szCs w:val="22"/>
                <w:lang w:val="ru-RU"/>
              </w:rPr>
              <w:t>иков 1-й и 2</w:t>
            </w:r>
            <w:r w:rsidRPr="00F61E99">
              <w:rPr>
                <w:rFonts w:cs="Calibri"/>
                <w:b/>
                <w:bCs/>
                <w:szCs w:val="22"/>
                <w:lang w:val="ru-RU"/>
              </w:rPr>
              <w:noBreakHyphen/>
              <w:t>й </w:t>
            </w:r>
            <w:r w:rsidR="0019043D" w:rsidRPr="00F61E99">
              <w:rPr>
                <w:rFonts w:cs="Calibri"/>
                <w:b/>
                <w:bCs/>
                <w:szCs w:val="22"/>
                <w:lang w:val="ru-RU"/>
              </w:rPr>
              <w:t xml:space="preserve">Исследовательских </w:t>
            </w:r>
            <w:r w:rsidRPr="00F61E99">
              <w:rPr>
                <w:rFonts w:cs="Calibri"/>
                <w:b/>
                <w:bCs/>
                <w:szCs w:val="22"/>
                <w:lang w:val="ru-RU"/>
              </w:rPr>
              <w:t>комиссий МСЭ-D</w:t>
            </w:r>
            <w:r w:rsidRPr="00F61E99">
              <w:rPr>
                <w:rFonts w:cs="Calibri"/>
                <w:b/>
                <w:bCs/>
                <w:szCs w:val="22"/>
                <w:lang w:val="ru-RU" w:eastAsia="zh-CN"/>
              </w:rPr>
              <w:t xml:space="preserve"> </w:t>
            </w:r>
            <w:r w:rsidRPr="00F61E99">
              <w:rPr>
                <w:rFonts w:cs="Calibri"/>
                <w:b/>
                <w:bCs/>
                <w:szCs w:val="22"/>
                <w:lang w:val="ru-RU"/>
              </w:rPr>
              <w:t>на период 2018–2021 годов</w:t>
            </w:r>
          </w:p>
        </w:tc>
      </w:tr>
      <w:tr w:rsidR="00EE25B8" w:rsidRPr="0082438D" w:rsidTr="005F550D">
        <w:tc>
          <w:tcPr>
            <w:tcW w:w="9889" w:type="dxa"/>
            <w:gridSpan w:val="4"/>
          </w:tcPr>
          <w:p w:rsidR="00FE2902" w:rsidRPr="00F61E99" w:rsidRDefault="00FE2902" w:rsidP="00F61E99">
            <w:pPr>
              <w:spacing w:before="600" w:line="240" w:lineRule="auto"/>
              <w:rPr>
                <w:lang w:val="ru-RU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F61E99">
              <w:rPr>
                <w:lang w:val="ru-RU"/>
              </w:rPr>
              <w:t>Уважаемый господин,</w:t>
            </w:r>
            <w:r w:rsidRPr="00F61E99">
              <w:rPr>
                <w:lang w:val="ru-RU"/>
              </w:rPr>
              <w:br/>
              <w:t>уважаемая госпожа,</w:t>
            </w:r>
          </w:p>
          <w:p w:rsidR="00FE2902" w:rsidRPr="00F61E99" w:rsidRDefault="00FE2902" w:rsidP="00714B46">
            <w:pPr>
              <w:spacing w:line="240" w:lineRule="auto"/>
              <w:jc w:val="both"/>
              <w:rPr>
                <w:lang w:val="ru-RU"/>
              </w:rPr>
            </w:pPr>
            <w:r w:rsidRPr="00F61E99">
              <w:rPr>
                <w:lang w:val="ru-RU"/>
              </w:rPr>
              <w:t>Всемирная конференция по развитию электросвязи 2017 года (ВКРЭ-17), состоявшаяся в Буэнос</w:t>
            </w:r>
            <w:r w:rsidR="00714B46">
              <w:rPr>
                <w:lang w:val="ru-RU"/>
              </w:rPr>
              <w:noBreakHyphen/>
            </w:r>
            <w:r w:rsidRPr="00F61E99">
              <w:rPr>
                <w:lang w:val="ru-RU"/>
              </w:rPr>
              <w:t>Айресе, назначила председателей и заместителей председателей исследовательских комиссий МСЭ</w:t>
            </w:r>
            <w:r w:rsidRPr="00F61E99">
              <w:rPr>
                <w:lang w:val="ru-RU"/>
              </w:rPr>
              <w:noBreakHyphen/>
              <w:t>D. В соответствии с решениями ВКРЭ-17 обе</w:t>
            </w:r>
            <w:r w:rsidR="000675E3" w:rsidRPr="00F61E99">
              <w:rPr>
                <w:lang w:val="ru-RU"/>
              </w:rPr>
              <w:t xml:space="preserve"> </w:t>
            </w:r>
            <w:r w:rsidR="00D33043" w:rsidRPr="00F61E99">
              <w:rPr>
                <w:lang w:val="ru-RU"/>
              </w:rPr>
              <w:t>и</w:t>
            </w:r>
            <w:r w:rsidR="000675E3" w:rsidRPr="00F61E99">
              <w:rPr>
                <w:lang w:val="ru-RU"/>
              </w:rPr>
              <w:t>сследовательские</w:t>
            </w:r>
            <w:r w:rsidRPr="00F61E99">
              <w:rPr>
                <w:lang w:val="ru-RU"/>
              </w:rPr>
              <w:t xml:space="preserve"> комиссии – 1-я и 2</w:t>
            </w:r>
            <w:r w:rsidRPr="00F61E99">
              <w:rPr>
                <w:lang w:val="ru-RU"/>
              </w:rPr>
              <w:noBreakHyphen/>
              <w:t xml:space="preserve">я – продолжат работу над серией исследуемых Вопросов, перечень которых приведен в </w:t>
            </w:r>
            <w:r w:rsidRPr="00F61E99">
              <w:rPr>
                <w:b/>
                <w:bCs/>
                <w:lang w:val="ru-RU"/>
              </w:rPr>
              <w:t>Приложении 1</w:t>
            </w:r>
            <w:r w:rsidRPr="00F61E99">
              <w:rPr>
                <w:lang w:val="ru-RU"/>
              </w:rPr>
              <w:t xml:space="preserve"> к</w:t>
            </w:r>
            <w:r w:rsidR="00F61E99">
              <w:rPr>
                <w:lang w:val="ru-RU"/>
              </w:rPr>
              <w:t> </w:t>
            </w:r>
            <w:r w:rsidRPr="00F61E99">
              <w:rPr>
                <w:lang w:val="ru-RU"/>
              </w:rPr>
              <w:t>настоящему Циркуляру.</w:t>
            </w:r>
          </w:p>
          <w:p w:rsidR="00FE2902" w:rsidRPr="00F61E99" w:rsidRDefault="00FE2902" w:rsidP="00F61E99">
            <w:pPr>
              <w:spacing w:line="240" w:lineRule="auto"/>
              <w:jc w:val="both"/>
              <w:rPr>
                <w:lang w:val="ru-RU"/>
              </w:rPr>
            </w:pPr>
            <w:r w:rsidRPr="00F61E99">
              <w:rPr>
                <w:lang w:val="ru-RU"/>
              </w:rPr>
              <w:t xml:space="preserve">В Резолюции 1 (Пересм. Буэнос-Айрес, 2017 г.) предусмотрено, что </w:t>
            </w:r>
            <w:r w:rsidR="004734E2" w:rsidRPr="00F61E99">
              <w:rPr>
                <w:lang w:val="ru-RU"/>
              </w:rPr>
              <w:t>с целью продвижения изучения исследуемых Вопросов назначаются докладч</w:t>
            </w:r>
            <w:r w:rsidRPr="00F61E99">
              <w:rPr>
                <w:lang w:val="ru-RU"/>
              </w:rPr>
              <w:t xml:space="preserve">ики и заместители </w:t>
            </w:r>
            <w:r w:rsidR="004734E2" w:rsidRPr="00F61E99">
              <w:rPr>
                <w:lang w:val="ru-RU"/>
              </w:rPr>
              <w:t>докладч</w:t>
            </w:r>
            <w:r w:rsidRPr="00F61E99">
              <w:rPr>
                <w:lang w:val="ru-RU"/>
              </w:rPr>
              <w:t xml:space="preserve">иков. Кроме того, с учетом характера исследований назначение </w:t>
            </w:r>
            <w:r w:rsidR="004734E2" w:rsidRPr="00F61E99">
              <w:rPr>
                <w:lang w:val="ru-RU"/>
              </w:rPr>
              <w:t>докладч</w:t>
            </w:r>
            <w:r w:rsidRPr="00F61E99">
              <w:rPr>
                <w:lang w:val="ru-RU"/>
              </w:rPr>
              <w:t xml:space="preserve">иков следует основывать на их компетентности в изучаемой области и способности координировать работу. Элементы ожидаемой от </w:t>
            </w:r>
            <w:r w:rsidR="004734E2" w:rsidRPr="00F61E99">
              <w:rPr>
                <w:lang w:val="ru-RU"/>
              </w:rPr>
              <w:t>докладч</w:t>
            </w:r>
            <w:r w:rsidRPr="00F61E99">
              <w:rPr>
                <w:lang w:val="ru-RU"/>
              </w:rPr>
              <w:t>иков деятельности опис</w:t>
            </w:r>
            <w:r w:rsidR="00D33043" w:rsidRPr="00F61E99">
              <w:rPr>
                <w:lang w:val="ru-RU"/>
              </w:rPr>
              <w:t>аны</w:t>
            </w:r>
            <w:r w:rsidRPr="00F61E99">
              <w:rPr>
                <w:lang w:val="ru-RU"/>
              </w:rPr>
              <w:t xml:space="preserve"> в Приложении 5 к Резолюции</w:t>
            </w:r>
            <w:r w:rsidR="000675E3" w:rsidRPr="00F61E99">
              <w:rPr>
                <w:lang w:val="ru-RU"/>
              </w:rPr>
              <w:t> 1</w:t>
            </w:r>
            <w:r w:rsidRPr="00F61E99">
              <w:rPr>
                <w:lang w:val="ru-RU"/>
              </w:rPr>
              <w:t xml:space="preserve">, которое также прилагается к настоящему Циркуляру и содержится в </w:t>
            </w:r>
            <w:r w:rsidRPr="00F61E99">
              <w:rPr>
                <w:b/>
                <w:bCs/>
                <w:lang w:val="ru-RU"/>
              </w:rPr>
              <w:t>Приложении 2</w:t>
            </w:r>
            <w:r w:rsidRPr="00F61E99">
              <w:rPr>
                <w:lang w:val="ru-RU"/>
              </w:rPr>
              <w:t>. Согласно соответствующим положениям Устава и Конвенции Государствам-Членам, Членам Сектора</w:t>
            </w:r>
            <w:r w:rsidR="000675E3" w:rsidRPr="00F61E99">
              <w:rPr>
                <w:lang w:val="ru-RU"/>
              </w:rPr>
              <w:t xml:space="preserve"> МСЭ-D</w:t>
            </w:r>
            <w:r w:rsidRPr="00F61E99">
              <w:rPr>
                <w:lang w:val="ru-RU"/>
              </w:rPr>
              <w:t xml:space="preserve">, Ассоциированным членам и </w:t>
            </w:r>
            <w:r w:rsidR="000675E3" w:rsidRPr="00F61E99">
              <w:rPr>
                <w:lang w:val="ru-RU"/>
              </w:rPr>
              <w:t>А</w:t>
            </w:r>
            <w:r w:rsidRPr="00F61E99">
              <w:rPr>
                <w:lang w:val="ru-RU"/>
              </w:rPr>
              <w:t xml:space="preserve">кадемическим организациям – Членам настоятельно рекомендуется сообщить Директору БРЭ о предлагаемых кандидатах для рассмотрения в ходе первых собраний 1-й и 2-й </w:t>
            </w:r>
            <w:r w:rsidR="0019043D" w:rsidRPr="00F61E99">
              <w:rPr>
                <w:lang w:val="ru-RU"/>
              </w:rPr>
              <w:t xml:space="preserve">Исследовательских </w:t>
            </w:r>
            <w:r w:rsidRPr="00F61E99">
              <w:rPr>
                <w:lang w:val="ru-RU"/>
              </w:rPr>
              <w:t>комиссий в 2018</w:t>
            </w:r>
            <w:r w:rsidR="00D33043" w:rsidRPr="00F61E99">
              <w:rPr>
                <w:lang w:val="ru-RU"/>
              </w:rPr>
              <w:t> году</w:t>
            </w:r>
            <w:r w:rsidRPr="00F61E99">
              <w:rPr>
                <w:lang w:val="ru-RU"/>
              </w:rPr>
              <w:t xml:space="preserve">. </w:t>
            </w:r>
          </w:p>
          <w:p w:rsidR="00FE2902" w:rsidRPr="00F61E99" w:rsidRDefault="00FE2902" w:rsidP="00F61E99">
            <w:pPr>
              <w:spacing w:line="240" w:lineRule="auto"/>
              <w:jc w:val="both"/>
              <w:rPr>
                <w:lang w:val="ru-RU"/>
              </w:rPr>
            </w:pPr>
            <w:r w:rsidRPr="00F61E99">
              <w:rPr>
                <w:lang w:val="ru-RU"/>
              </w:rPr>
              <w:t xml:space="preserve">Если ваша администрация/организация желает предложить кандидата на пост </w:t>
            </w:r>
            <w:r w:rsidR="004734E2" w:rsidRPr="00F61E99">
              <w:rPr>
                <w:lang w:val="ru-RU"/>
              </w:rPr>
              <w:t>докладч</w:t>
            </w:r>
            <w:r w:rsidRPr="00F61E99">
              <w:rPr>
                <w:lang w:val="ru-RU"/>
              </w:rPr>
              <w:t xml:space="preserve">ика или заместителя </w:t>
            </w:r>
            <w:r w:rsidR="004734E2" w:rsidRPr="00F61E99">
              <w:rPr>
                <w:lang w:val="ru-RU"/>
              </w:rPr>
              <w:t>докладч</w:t>
            </w:r>
            <w:r w:rsidRPr="00F61E99">
              <w:rPr>
                <w:lang w:val="ru-RU"/>
              </w:rPr>
              <w:t>ика по Вопросам исследовательских комиссий МСЭ-D, буду весьма признателен, если получу от вас в кратчайшие сроки</w:t>
            </w:r>
            <w:r w:rsidR="00B9048C" w:rsidRPr="00F61E99">
              <w:rPr>
                <w:lang w:val="ru-RU"/>
              </w:rPr>
              <w:t>, но</w:t>
            </w:r>
            <w:r w:rsidRPr="00F61E99">
              <w:rPr>
                <w:lang w:val="ru-RU"/>
              </w:rPr>
              <w:t xml:space="preserve"> не позднее </w:t>
            </w:r>
            <w:r w:rsidRPr="00F61E99">
              <w:rPr>
                <w:b/>
                <w:bCs/>
                <w:lang w:val="ru-RU"/>
              </w:rPr>
              <w:t>8 декабря 2017 года</w:t>
            </w:r>
            <w:r w:rsidRPr="00F61E99">
              <w:rPr>
                <w:lang w:val="ru-RU"/>
              </w:rPr>
              <w:t xml:space="preserve"> фамилии этих кандидатов и их краткие биографические </w:t>
            </w:r>
            <w:r w:rsidR="00450C41" w:rsidRPr="00F61E99">
              <w:rPr>
                <w:lang w:val="ru-RU"/>
              </w:rPr>
              <w:t>справки</w:t>
            </w:r>
            <w:r w:rsidRPr="00F61E99">
              <w:rPr>
                <w:lang w:val="ru-RU"/>
              </w:rPr>
              <w:t xml:space="preserve"> с описанием квалификации представленных лиц, соответствующей предполагаемым постам. Фамилии и биографические справки выдвинутых кандидатов будут размещены на веб-сайте по адресу: </w:t>
            </w:r>
            <w:hyperlink r:id="rId10" w:history="1">
              <w:r w:rsidRPr="00F61E99">
                <w:rPr>
                  <w:rStyle w:val="Hyperlink"/>
                  <w:rFonts w:asciiTheme="minorHAnsi" w:hAnsiTheme="minorHAnsi" w:cs="Simplified Arabic"/>
                  <w:szCs w:val="22"/>
                  <w:lang w:val="ru-RU"/>
                </w:rPr>
                <w:t>http://www.itu.int/ITU-D/study-groups</w:t>
              </w:r>
            </w:hyperlink>
            <w:r w:rsidRPr="00F61E99">
              <w:rPr>
                <w:lang w:val="ru-RU"/>
              </w:rPr>
              <w:t xml:space="preserve"> сразу же после их получения.</w:t>
            </w:r>
          </w:p>
          <w:p w:rsidR="00FE2902" w:rsidRPr="00F61E99" w:rsidRDefault="00FE2902" w:rsidP="00F61E99">
            <w:pPr>
              <w:spacing w:line="240" w:lineRule="auto"/>
              <w:jc w:val="both"/>
              <w:rPr>
                <w:lang w:val="ru-RU"/>
              </w:rPr>
            </w:pPr>
            <w:r w:rsidRPr="00F61E99">
              <w:rPr>
                <w:lang w:val="ru-RU"/>
              </w:rPr>
              <w:lastRenderedPageBreak/>
              <w:t>Надеюсь на получение предлагаемых(ой) вами кандидатур(ы) и на вашу неизменную поддержку деятельности исследовательских комиссий МСЭ-D.</w:t>
            </w:r>
          </w:p>
          <w:p w:rsidR="0011781F" w:rsidRDefault="0011781F" w:rsidP="00F61E99">
            <w:pPr>
              <w:spacing w:before="240" w:line="240" w:lineRule="auto"/>
              <w:rPr>
                <w:rFonts w:cs="Calibri"/>
                <w:szCs w:val="22"/>
                <w:lang w:val="ru-RU"/>
              </w:rPr>
            </w:pPr>
            <w:r w:rsidRPr="00F61E99">
              <w:rPr>
                <w:rFonts w:cs="Calibri"/>
                <w:szCs w:val="22"/>
                <w:lang w:val="ru-RU"/>
              </w:rPr>
              <w:t>С уважением,</w:t>
            </w:r>
          </w:p>
          <w:p w:rsidR="00E30F27" w:rsidRPr="006E2D79" w:rsidRDefault="00E30F27" w:rsidP="00E30F27">
            <w:pPr>
              <w:spacing w:before="480" w:after="120" w:line="240" w:lineRule="auto"/>
              <w:jc w:val="both"/>
              <w:rPr>
                <w:rFonts w:eastAsia="Calibri"/>
                <w:noProof/>
                <w:sz w:val="20"/>
                <w:szCs w:val="20"/>
                <w:lang w:val="ru-RU" w:eastAsia="zh-CN"/>
              </w:rPr>
            </w:pPr>
            <w:r w:rsidRPr="006F597A">
              <w:rPr>
                <w:rFonts w:eastAsia="Calibri"/>
                <w:noProof/>
                <w:sz w:val="20"/>
                <w:szCs w:val="20"/>
                <w:lang w:val="ru-RU" w:eastAsia="zh-CN"/>
              </w:rPr>
              <w:t>[Оригинал подписан]</w:t>
            </w:r>
          </w:p>
          <w:p w:rsidR="00EE25B8" w:rsidRPr="00F61E99" w:rsidRDefault="0011781F" w:rsidP="00F61E99">
            <w:pPr>
              <w:spacing w:before="1080" w:line="240" w:lineRule="auto"/>
              <w:rPr>
                <w:rFonts w:cs="Calibri"/>
                <w:szCs w:val="22"/>
                <w:lang w:val="ru-RU"/>
              </w:rPr>
            </w:pPr>
            <w:bookmarkStart w:id="6" w:name="_GoBack"/>
            <w:bookmarkEnd w:id="6"/>
            <w:r w:rsidRPr="00F61E99">
              <w:rPr>
                <w:rFonts w:cs="Calibri"/>
                <w:szCs w:val="22"/>
                <w:lang w:val="ru-RU"/>
              </w:rPr>
              <w:t>Брахима Сану</w:t>
            </w:r>
            <w:r w:rsidRPr="00F61E99">
              <w:rPr>
                <w:rFonts w:cs="Calibri"/>
                <w:szCs w:val="22"/>
                <w:lang w:val="ru-RU"/>
              </w:rPr>
              <w:br/>
              <w:t>Директор</w:t>
            </w:r>
          </w:p>
        </w:tc>
      </w:tr>
    </w:tbl>
    <w:p w:rsidR="00FE2902" w:rsidRPr="00F61E99" w:rsidRDefault="00FE2902" w:rsidP="00FE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Times New Roman"/>
          <w:szCs w:val="20"/>
          <w:lang w:val="ru-RU" w:eastAsia="zh-CN"/>
        </w:rPr>
      </w:pPr>
      <w:r w:rsidRPr="00F61E99">
        <w:rPr>
          <w:rFonts w:asciiTheme="minorHAnsi" w:hAnsiTheme="minorHAnsi"/>
          <w:lang w:val="ru-RU" w:eastAsia="zh-CN"/>
        </w:rPr>
        <w:lastRenderedPageBreak/>
        <w:br w:type="page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FE2902" w:rsidRPr="0082438D" w:rsidTr="00F32159">
        <w:tc>
          <w:tcPr>
            <w:tcW w:w="9781" w:type="dxa"/>
          </w:tcPr>
          <w:p w:rsidR="00FE2902" w:rsidRPr="00F61E99" w:rsidRDefault="00FE2902" w:rsidP="00F32159">
            <w:pPr>
              <w:pStyle w:val="AnnexNo"/>
              <w:pageBreakBefore/>
              <w:spacing w:before="0"/>
              <w:rPr>
                <w:lang w:val="ru-RU"/>
              </w:rPr>
            </w:pPr>
            <w:r w:rsidRPr="00F61E99">
              <w:rPr>
                <w:lang w:val="ru-RU"/>
              </w:rPr>
              <w:lastRenderedPageBreak/>
              <w:t>Приложение 1</w:t>
            </w:r>
          </w:p>
          <w:p w:rsidR="00FE2902" w:rsidRPr="00F61E99" w:rsidRDefault="00FE2902" w:rsidP="00FE2902">
            <w:pPr>
              <w:pStyle w:val="Normalaftertitle"/>
              <w:rPr>
                <w:i/>
                <w:iCs/>
                <w:lang w:eastAsia="pt-BR"/>
              </w:rPr>
            </w:pPr>
            <w:r w:rsidRPr="00F61E99">
              <w:t>Ниже представлена сфера деятельности двух исследовательских комиссий МСЭ-D и Вопросы, порученные им ВКРЭ-17.</w:t>
            </w:r>
          </w:p>
          <w:p w:rsidR="00FE2902" w:rsidRPr="00F61E99" w:rsidRDefault="00FE2902" w:rsidP="00F32159">
            <w:pPr>
              <w:pStyle w:val="CEOHeading1Underlined"/>
              <w:framePr w:wrap="auto" w:vAnchor="margin" w:yAlign="inline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61E99">
              <w:rPr>
                <w:rFonts w:asciiTheme="minorHAnsi" w:hAnsiTheme="minorHAnsi"/>
                <w:sz w:val="22"/>
                <w:szCs w:val="22"/>
                <w:lang w:val="ru-RU"/>
              </w:rPr>
              <w:t>Сфера деятельности 1-й Исследовательской комиссии</w:t>
            </w:r>
          </w:p>
          <w:p w:rsidR="00FE2902" w:rsidRPr="00F61E99" w:rsidRDefault="00FE2902" w:rsidP="00F32159">
            <w:pPr>
              <w:pStyle w:val="Headingb"/>
              <w:spacing w:before="100" w:beforeAutospacing="1"/>
              <w:rPr>
                <w:b w:val="0"/>
                <w:iCs/>
                <w:szCs w:val="22"/>
                <w:lang w:val="ru-RU"/>
              </w:rPr>
            </w:pPr>
            <w:r w:rsidRPr="00F61E99">
              <w:rPr>
                <w:i/>
                <w:iCs/>
                <w:szCs w:val="22"/>
                <w:lang w:val="ru-RU" w:eastAsia="pt-BR"/>
              </w:rPr>
              <w:t>Благоприятная среда для развития электросвязи</w:t>
            </w:r>
            <w:r w:rsidRPr="00F61E99">
              <w:rPr>
                <w:szCs w:val="22"/>
                <w:lang w:val="ru-RU" w:eastAsia="pt-BR"/>
              </w:rPr>
              <w:t>/</w:t>
            </w:r>
            <w:r w:rsidRPr="00F61E99">
              <w:rPr>
                <w:i/>
                <w:iCs/>
                <w:szCs w:val="22"/>
                <w:lang w:val="ru-RU" w:eastAsia="pt-BR"/>
              </w:rPr>
              <w:t>ИКТ</w:t>
            </w:r>
          </w:p>
          <w:p w:rsidR="00FE2902" w:rsidRPr="00F61E99" w:rsidRDefault="00FE2902" w:rsidP="00FE2902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инфраструктуру, поддерживающую услуги широкополосной связи, облачные вычисления, виртуализацию сетевых функций (NFV), защиту прав потребителей и будущие сети, как движущей силы устойчивого роста.</w:t>
            </w:r>
          </w:p>
          <w:p w:rsidR="00FE2902" w:rsidRPr="00F61E99" w:rsidRDefault="00FE2902" w:rsidP="00FE2902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Экономическая политика и методы определения стоимости услуг электросвязи/ИКТ на национальном уровне, включая содействие развитию цифровой экономики.</w:t>
            </w:r>
          </w:p>
          <w:p w:rsidR="00FE2902" w:rsidRPr="00F61E99" w:rsidRDefault="00FE2902" w:rsidP="00FE2902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Доступ к электросвязи/ИКТ в сельских и отдаленных районах.</w:t>
            </w:r>
          </w:p>
          <w:p w:rsidR="00FE2902" w:rsidRPr="00F61E99" w:rsidRDefault="00FE2902" w:rsidP="00FE2902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Национальная политика, регулирование и стратегии для предоставления доступа к электросвязи/ИКТ в сельских и отдаленных районах.</w:t>
            </w:r>
          </w:p>
          <w:p w:rsidR="00FE2902" w:rsidRPr="00F61E99" w:rsidRDefault="00FE2902" w:rsidP="00FE2902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Доступ к услугам электросвязи/ИКТ для лиц с ограниченными возможностями и других лиц с особыми потребностями.</w:t>
            </w:r>
          </w:p>
          <w:p w:rsidR="00FE2902" w:rsidRPr="00F61E99" w:rsidRDefault="00FE2902" w:rsidP="00FE2902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Переход к цифровому радиовещанию и его внедрение, а также развертывание новых услуг.</w:t>
            </w:r>
          </w:p>
          <w:p w:rsidR="00FE2902" w:rsidRPr="0082438D" w:rsidRDefault="00FE2902" w:rsidP="00F32159">
            <w:pPr>
              <w:pStyle w:val="CEOHeading1Underlined"/>
              <w:framePr w:wrap="auto" w:vAnchor="margin" w:yAlign="inline"/>
              <w:spacing w:before="240" w:after="240"/>
              <w:ind w:left="0"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61E99">
              <w:rPr>
                <w:rFonts w:asciiTheme="minorHAnsi" w:hAnsiTheme="minorHAnsi"/>
                <w:sz w:val="22"/>
                <w:szCs w:val="22"/>
                <w:lang w:val="ru-RU"/>
              </w:rPr>
              <w:t>Вопросы 1-й Исследовательс</w:t>
            </w:r>
            <w:r w:rsidR="00714B46">
              <w:rPr>
                <w:rFonts w:asciiTheme="minorHAnsi" w:hAnsiTheme="minorHAnsi"/>
                <w:sz w:val="22"/>
                <w:szCs w:val="22"/>
                <w:lang w:val="ru-RU"/>
              </w:rPr>
              <w:t>кой комиссии, порученные ВКРЭ-1</w:t>
            </w:r>
            <w:r w:rsidR="00714B46" w:rsidRPr="0082438D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8006"/>
            </w:tblGrid>
            <w:tr w:rsidR="00EF6515" w:rsidRPr="00F61E99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EF6515" w:rsidRPr="00F61E99" w:rsidRDefault="00EF6515" w:rsidP="00EF6515">
                  <w:pPr>
                    <w:keepNext/>
                    <w:spacing w:before="40" w:after="40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b/>
                      <w:bCs/>
                      <w:sz w:val="20"/>
                      <w:szCs w:val="20"/>
                      <w:lang w:val="ru-RU"/>
                    </w:rPr>
                    <w:t>Номер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EF6515" w:rsidRPr="00F61E99" w:rsidRDefault="00EF6515" w:rsidP="00F32159">
                  <w:pPr>
                    <w:keepNext/>
                    <w:spacing w:before="40" w:after="40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b/>
                      <w:bCs/>
                      <w:sz w:val="20"/>
                      <w:szCs w:val="20"/>
                      <w:lang w:val="ru-RU"/>
                    </w:rPr>
                    <w:t>Название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1/1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C1FBA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Стратегии и политика для развертывания широкополосн</w:t>
                  </w:r>
                  <w:r w:rsidR="00FC1FBA" w:rsidRPr="00F61E99">
                    <w:rPr>
                      <w:sz w:val="20"/>
                      <w:szCs w:val="20"/>
                      <w:lang w:val="ru-RU"/>
                    </w:rPr>
                    <w:t>ой связи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 в развивающихся странах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2/1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Стратегии, политика, регуляторные нормы и методы перехода к цифровому радиовещанию и его внедрения, а также развертывания новых услуг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3/1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FC1FBA" w:rsidP="00F61E9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Появляющиеся 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>технологи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 xml:space="preserve">, в том числе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облачные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 xml:space="preserve"> вычисления, мобильны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 xml:space="preserve"> услуг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 xml:space="preserve"> и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услуги</w:t>
                  </w:r>
                  <w:r w:rsidR="00F61E99" w:rsidRPr="00F61E99">
                    <w:rPr>
                      <w:sz w:val="20"/>
                      <w:szCs w:val="20"/>
                      <w:lang w:val="ru-RU"/>
                    </w:rPr>
                    <w:t> 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>ОТТ: проблемы и возможности</w:t>
                  </w:r>
                  <w:r w:rsidR="00AC5780" w:rsidRPr="00F61E99"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а также </w:t>
                  </w:r>
                  <w:r w:rsidR="00AC5780" w:rsidRPr="00F61E99">
                    <w:rPr>
                      <w:sz w:val="20"/>
                      <w:szCs w:val="20"/>
                      <w:lang w:val="ru-RU"/>
                    </w:rPr>
                    <w:t>экономическ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AC5780" w:rsidRPr="00F61E99">
                    <w:rPr>
                      <w:sz w:val="20"/>
                      <w:szCs w:val="20"/>
                      <w:lang w:val="ru-RU"/>
                    </w:rPr>
                    <w:t>е и политическ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AC5780" w:rsidRPr="00F61E99">
                    <w:rPr>
                      <w:sz w:val="20"/>
                      <w:szCs w:val="20"/>
                      <w:lang w:val="ru-RU"/>
                    </w:rPr>
                    <w:t xml:space="preserve">е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последствия </w:t>
                  </w:r>
                  <w:r w:rsidR="00EF6515" w:rsidRPr="00F61E99">
                    <w:rPr>
                      <w:sz w:val="20"/>
                      <w:szCs w:val="20"/>
                      <w:lang w:val="ru-RU"/>
                    </w:rPr>
                    <w:t>для развивающихся стран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4/1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C1FBA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Экономическая политика и методы определения стоимости услуг национальны</w:t>
                  </w:r>
                  <w:r w:rsidR="00FC1FBA" w:rsidRPr="00F61E99">
                    <w:rPr>
                      <w:sz w:val="20"/>
                      <w:szCs w:val="20"/>
                      <w:lang w:val="ru-RU"/>
                    </w:rPr>
                    <w:t>х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 сет</w:t>
                  </w:r>
                  <w:r w:rsidR="00FC1FBA" w:rsidRPr="00F61E99">
                    <w:rPr>
                      <w:sz w:val="20"/>
                      <w:szCs w:val="20"/>
                      <w:lang w:val="ru-RU"/>
                    </w:rPr>
                    <w:t>ей</w:t>
                  </w:r>
                  <w:r w:rsidR="00AC5780" w:rsidRPr="00F61E99">
                    <w:rPr>
                      <w:sz w:val="20"/>
                      <w:szCs w:val="20"/>
                      <w:lang w:val="ru-RU"/>
                    </w:rPr>
                    <w:t xml:space="preserve"> электросвязи/ИКТ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5/1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Электросвязь/ИКТ для сельских и отдаленных районов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6/1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C1FBA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Информация для потребителей, </w:t>
                  </w:r>
                  <w:r w:rsidR="00FC1FBA" w:rsidRPr="00F61E99">
                    <w:rPr>
                      <w:sz w:val="20"/>
                      <w:szCs w:val="20"/>
                      <w:lang w:val="ru-RU"/>
                    </w:rPr>
                    <w:t xml:space="preserve">их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защита и права: законы, </w:t>
                  </w:r>
                  <w:r w:rsidR="00FC1FBA" w:rsidRPr="00F61E99">
                    <w:rPr>
                      <w:sz w:val="20"/>
                      <w:szCs w:val="20"/>
                      <w:lang w:val="ru-RU"/>
                    </w:rPr>
                    <w:t>нормативные положения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, экономические основы, сети потребителей</w:t>
                  </w:r>
                </w:p>
              </w:tc>
            </w:tr>
            <w:tr w:rsidR="00EF6515" w:rsidRPr="0082438D" w:rsidTr="00EF6515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 7/1</w:t>
                  </w:r>
                </w:p>
              </w:tc>
              <w:tc>
                <w:tcPr>
                  <w:tcW w:w="8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515" w:rsidRPr="00F61E99" w:rsidRDefault="00EF6515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Доступ к услугам электросвязи/ИКТ для лиц с ограниченными возможностями и </w:t>
                  </w:r>
                  <w:r w:rsidR="00AC5780" w:rsidRPr="00F61E99">
                    <w:rPr>
                      <w:sz w:val="20"/>
                      <w:szCs w:val="20"/>
                      <w:lang w:val="ru-RU"/>
                    </w:rPr>
                    <w:t xml:space="preserve">других лиц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с особыми потребностями</w:t>
                  </w:r>
                </w:p>
              </w:tc>
            </w:tr>
          </w:tbl>
          <w:p w:rsidR="00FE2902" w:rsidRPr="00F61E99" w:rsidRDefault="00FE2902" w:rsidP="00F32159">
            <w:pPr>
              <w:pStyle w:val="CEOHeading1Underlined"/>
              <w:framePr w:wrap="auto" w:vAnchor="margin" w:yAlign="inline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61E99">
              <w:rPr>
                <w:rFonts w:asciiTheme="minorHAnsi" w:hAnsiTheme="minorHAnsi"/>
                <w:sz w:val="22"/>
                <w:szCs w:val="22"/>
                <w:lang w:val="ru-RU"/>
              </w:rPr>
              <w:t>Сфера деятельности 2-й Исследовательской комиссии</w:t>
            </w:r>
          </w:p>
          <w:p w:rsidR="00EF6515" w:rsidRPr="00F61E99" w:rsidRDefault="00EF6515" w:rsidP="00EF6515">
            <w:pPr>
              <w:rPr>
                <w:b/>
                <w:bCs/>
                <w:i/>
                <w:iCs/>
                <w:lang w:val="ru-RU"/>
              </w:rPr>
            </w:pPr>
            <w:r w:rsidRPr="00F61E99">
              <w:rPr>
                <w:b/>
                <w:bCs/>
                <w:i/>
                <w:iCs/>
                <w:lang w:val="ru-RU"/>
              </w:rPr>
              <w:t>Использование услуг и приложений ИКТ в целях содействия устойчивому развитию</w:t>
            </w:r>
          </w:p>
          <w:p w:rsidR="00EF6515" w:rsidRPr="00F61E99" w:rsidRDefault="00EF6515" w:rsidP="00EF6515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Услуги и приложения, поддерживаемые сетями электросвязи/ИКТ.</w:t>
            </w:r>
          </w:p>
          <w:p w:rsidR="00EF6515" w:rsidRPr="00F61E99" w:rsidRDefault="00EF6515" w:rsidP="00EF6515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Укрепление доверия и безопасности при использовании ИКТ.</w:t>
            </w:r>
          </w:p>
          <w:p w:rsidR="00EF6515" w:rsidRPr="00F61E99" w:rsidRDefault="00EF6515" w:rsidP="00EF6515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Использование электросвязи/ИКТ для мониторинга и смягчения воздействия изменения климата, в особенности на развивающиеся страны.</w:t>
            </w:r>
          </w:p>
          <w:p w:rsidR="00EF6515" w:rsidRPr="00F61E99" w:rsidRDefault="00EF6515" w:rsidP="00EF6515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lastRenderedPageBreak/>
              <w:t>–</w:t>
            </w:r>
            <w:r w:rsidRPr="00F61E99">
              <w:rPr>
                <w:lang w:val="ru-RU"/>
              </w:rPr>
              <w:tab/>
              <w:t>Борьба с использованием контрафактных устройств электросвязи/ИКТ и борьба с хищениями мобильных устройств электросвязи.</w:t>
            </w:r>
          </w:p>
          <w:p w:rsidR="00EF6515" w:rsidRPr="00F61E99" w:rsidRDefault="00EF6515" w:rsidP="00EF6515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−</w:t>
            </w:r>
            <w:r w:rsidRPr="00F61E99">
              <w:rPr>
                <w:lang w:val="ru-RU"/>
              </w:rPr>
              <w:tab/>
              <w:t>Проведение проверок на соответствие и функциональную совместимость устройств и оборудования электросвязи/ИКТ.</w:t>
            </w:r>
          </w:p>
          <w:p w:rsidR="00EF6515" w:rsidRPr="00F61E99" w:rsidRDefault="00EF6515" w:rsidP="00EF6515">
            <w:pPr>
              <w:pStyle w:val="enumlev1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Воздействие электромагнитных полей на человека и безопасное удаление электронных отходов.</w:t>
            </w:r>
          </w:p>
          <w:p w:rsidR="00FE2902" w:rsidRPr="0082438D" w:rsidRDefault="00FE2902" w:rsidP="00F32159">
            <w:pPr>
              <w:pStyle w:val="CEOHeading1Underlined"/>
              <w:framePr w:wrap="auto" w:vAnchor="margin" w:yAlign="inline"/>
              <w:spacing w:before="240" w:after="24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61E99">
              <w:rPr>
                <w:rFonts w:asciiTheme="minorHAnsi" w:hAnsiTheme="minorHAnsi"/>
                <w:sz w:val="22"/>
                <w:szCs w:val="22"/>
                <w:lang w:val="ru-RU"/>
              </w:rPr>
              <w:t>Вопросы 2-й Исследовательс</w:t>
            </w:r>
            <w:r w:rsidR="00714B46">
              <w:rPr>
                <w:rFonts w:asciiTheme="minorHAnsi" w:hAnsiTheme="minorHAnsi"/>
                <w:sz w:val="22"/>
                <w:szCs w:val="22"/>
                <w:lang w:val="ru-RU"/>
              </w:rPr>
              <w:t>кой комиссии, порученные ВКРЭ-1</w:t>
            </w:r>
            <w:r w:rsidR="00714B46" w:rsidRPr="0082438D">
              <w:rPr>
                <w:rFonts w:asciiTheme="minorHAnsi" w:hAnsiTheme="minorHAnsi"/>
                <w:sz w:val="22"/>
                <w:szCs w:val="22"/>
                <w:lang w:val="ru-RU"/>
              </w:rPr>
              <w:t>7</w:t>
            </w:r>
          </w:p>
          <w:tbl>
            <w:tblPr>
              <w:tblStyle w:val="TableGrid"/>
              <w:tblW w:w="9419" w:type="dxa"/>
              <w:tblLook w:val="04A0" w:firstRow="1" w:lastRow="0" w:firstColumn="1" w:lastColumn="0" w:noHBand="0" w:noVBand="1"/>
            </w:tblPr>
            <w:tblGrid>
              <w:gridCol w:w="1526"/>
              <w:gridCol w:w="7893"/>
            </w:tblGrid>
            <w:tr w:rsidR="00B3680B" w:rsidRPr="00F61E99" w:rsidTr="00B3680B">
              <w:trPr>
                <w:tblHeader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3680B" w:rsidRPr="00F61E99" w:rsidRDefault="00B3680B" w:rsidP="00F32159">
                  <w:pPr>
                    <w:keepNext/>
                    <w:spacing w:before="40" w:after="40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b/>
                      <w:bCs/>
                      <w:sz w:val="20"/>
                      <w:szCs w:val="20"/>
                      <w:lang w:val="ru-RU"/>
                    </w:rPr>
                    <w:t>Номер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3680B" w:rsidRPr="00F61E99" w:rsidRDefault="00B3680B" w:rsidP="00F32159">
                  <w:pPr>
                    <w:keepNext/>
                    <w:spacing w:before="40" w:after="40"/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b/>
                      <w:bCs/>
                      <w:sz w:val="20"/>
                      <w:szCs w:val="20"/>
                      <w:lang w:val="ru-RU"/>
                    </w:rPr>
                    <w:t>Название</w:t>
                  </w:r>
                </w:p>
              </w:tc>
            </w:tr>
            <w:tr w:rsidR="00B3680B" w:rsidRPr="0082438D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1/2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F61E99" w:rsidP="00F61E9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Формирование</w:t>
                  </w:r>
                  <w:r w:rsidR="00B3680B" w:rsidRPr="00F61E99">
                    <w:rPr>
                      <w:sz w:val="20"/>
                      <w:szCs w:val="20"/>
                      <w:lang w:val="ru-RU"/>
                    </w:rPr>
                    <w:t xml:space="preserve"> "умных" городов и "умного" общества: использование ИКТ 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в целях</w:t>
                  </w:r>
                  <w:r w:rsidR="00B3680B" w:rsidRPr="00F61E99">
                    <w:rPr>
                      <w:sz w:val="20"/>
                      <w:szCs w:val="20"/>
                      <w:lang w:val="ru-RU"/>
                    </w:rPr>
                    <w:t xml:space="preserve"> устойчивого социально-</w:t>
                  </w:r>
                  <w:r w:rsidR="00B3680B" w:rsidRPr="00F61E99">
                    <w:rPr>
                      <w:sz w:val="20"/>
                      <w:szCs w:val="20"/>
                      <w:cs/>
                      <w:lang w:val="ru-RU"/>
                    </w:rPr>
                    <w:t>‎</w:t>
                  </w:r>
                  <w:r w:rsidR="00B3680B" w:rsidRPr="00F61E99">
                    <w:rPr>
                      <w:sz w:val="20"/>
                      <w:szCs w:val="20"/>
                      <w:lang w:val="ru-RU"/>
                    </w:rPr>
                    <w:t>экономического развития</w:t>
                  </w:r>
                </w:p>
              </w:tc>
            </w:tr>
            <w:tr w:rsidR="00B3680B" w:rsidRPr="0082438D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2/2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Электросвязь/ИКТ для электронного здравоохранения</w:t>
                  </w:r>
                </w:p>
              </w:tc>
            </w:tr>
            <w:tr w:rsidR="00B3680B" w:rsidRPr="0082438D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3/2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3861ED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Защищенность сетей информации и связи: передовой опыт по созданию культуры кибербезопасности</w:t>
                  </w:r>
                </w:p>
              </w:tc>
            </w:tr>
            <w:tr w:rsidR="00B3680B" w:rsidRPr="0082438D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4/2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Помощь развивающимся странам в выполнении программ по проверке на соответствие и </w:t>
                  </w:r>
                  <w:r w:rsidRPr="00F61E99">
                    <w:rPr>
                      <w:sz w:val="20"/>
                      <w:szCs w:val="20"/>
                      <w:cs/>
                      <w:lang w:val="ru-RU"/>
                    </w:rPr>
                    <w:t>‎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>функциональную совместимость (C&amp;I), а также в борьбе с использованием контрафактного оборудования</w:t>
                  </w:r>
                  <w:r w:rsidR="00F61E99" w:rsidRPr="00F61E99">
                    <w:rPr>
                      <w:sz w:val="20"/>
                      <w:szCs w:val="20"/>
                      <w:lang w:val="ru-RU"/>
                    </w:rPr>
                    <w:t xml:space="preserve"> ИКТ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 и хищением мобильных устройств</w:t>
                  </w:r>
                </w:p>
              </w:tc>
            </w:tr>
            <w:tr w:rsidR="00B3680B" w:rsidRPr="0082438D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5/2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61E9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Использование электросвязи/ИКТ для </w:t>
                  </w:r>
                  <w:r w:rsidR="00F61E99" w:rsidRPr="00F61E99">
                    <w:rPr>
                      <w:sz w:val="20"/>
                      <w:szCs w:val="20"/>
                      <w:lang w:val="ru-RU"/>
                    </w:rPr>
                    <w:t>снижения риска</w:t>
                  </w:r>
                  <w:r w:rsidRPr="00F61E99">
                    <w:rPr>
                      <w:sz w:val="20"/>
                      <w:szCs w:val="20"/>
                      <w:lang w:val="ru-RU"/>
                    </w:rPr>
                    <w:t xml:space="preserve"> бедствий и управления операциями в случае бедствий</w:t>
                  </w:r>
                </w:p>
              </w:tc>
            </w:tr>
            <w:tr w:rsidR="00B3680B" w:rsidRPr="00F61E99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6/2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ИКТ и окружающая среда</w:t>
                  </w:r>
                </w:p>
              </w:tc>
            </w:tr>
            <w:tr w:rsidR="00B3680B" w:rsidRPr="0082438D" w:rsidTr="00B3680B">
              <w:trPr>
                <w:cantSplit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Вопрос 7/2</w:t>
                  </w:r>
                </w:p>
              </w:tc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680B" w:rsidRPr="00F61E99" w:rsidRDefault="00B3680B" w:rsidP="00F32159">
                  <w:pPr>
                    <w:spacing w:before="40" w:after="40"/>
                    <w:rPr>
                      <w:sz w:val="20"/>
                      <w:szCs w:val="20"/>
                      <w:lang w:val="ru-RU"/>
                    </w:rPr>
                  </w:pPr>
                  <w:r w:rsidRPr="00F61E99">
                    <w:rPr>
                      <w:sz w:val="20"/>
                      <w:szCs w:val="20"/>
                      <w:lang w:val="ru-RU"/>
                    </w:rPr>
                    <w:t>Стратегии и политика, касающиеся воздействия электромагнитных полей на человека</w:t>
                  </w:r>
                </w:p>
              </w:tc>
            </w:tr>
          </w:tbl>
          <w:p w:rsidR="00FE2902" w:rsidRPr="00F61E99" w:rsidRDefault="00FE2902" w:rsidP="00F32159">
            <w:pPr>
              <w:pStyle w:val="enumlev1"/>
              <w:spacing w:before="0"/>
              <w:ind w:left="0" w:firstLine="0"/>
              <w:jc w:val="both"/>
              <w:rPr>
                <w:rFonts w:eastAsia="SimSun"/>
                <w:lang w:val="ru-RU" w:eastAsia="zh-CN"/>
              </w:rPr>
            </w:pPr>
          </w:p>
        </w:tc>
      </w:tr>
    </w:tbl>
    <w:p w:rsidR="00FE2902" w:rsidRPr="00F61E99" w:rsidRDefault="00FE2902" w:rsidP="00FE2902">
      <w:pPr>
        <w:pStyle w:val="enumlev1"/>
        <w:spacing w:before="0"/>
        <w:jc w:val="both"/>
        <w:rPr>
          <w:rFonts w:asciiTheme="minorHAnsi" w:eastAsia="SimSun" w:hAnsiTheme="minorHAnsi"/>
          <w:lang w:val="ru-RU" w:eastAsia="zh-CN"/>
        </w:rPr>
      </w:pPr>
    </w:p>
    <w:p w:rsidR="00FE2902" w:rsidRPr="00F61E99" w:rsidRDefault="00FE2902" w:rsidP="00FE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="Times New Roman"/>
          <w:szCs w:val="20"/>
          <w:lang w:val="ru-RU" w:eastAsia="zh-CN"/>
        </w:rPr>
      </w:pPr>
      <w:r w:rsidRPr="00F61E99">
        <w:rPr>
          <w:rFonts w:asciiTheme="minorHAnsi" w:hAnsiTheme="minorHAnsi"/>
          <w:lang w:val="ru-RU" w:eastAsia="zh-CN"/>
        </w:rPr>
        <w:br w:type="page"/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FE2902" w:rsidRPr="00F61E99" w:rsidTr="00F32159">
        <w:tc>
          <w:tcPr>
            <w:tcW w:w="9889" w:type="dxa"/>
          </w:tcPr>
          <w:p w:rsidR="00FE2902" w:rsidRPr="00F61E99" w:rsidRDefault="00FE2902" w:rsidP="00F32159">
            <w:pPr>
              <w:pStyle w:val="AnnexNo"/>
              <w:pageBreakBefore/>
              <w:spacing w:before="0"/>
              <w:rPr>
                <w:lang w:val="ru-RU"/>
              </w:rPr>
            </w:pPr>
            <w:bookmarkStart w:id="7" w:name="_Toc270684662"/>
            <w:r w:rsidRPr="00F61E99">
              <w:rPr>
                <w:lang w:val="ru-RU"/>
              </w:rPr>
              <w:lastRenderedPageBreak/>
              <w:t>Приложение 2</w:t>
            </w:r>
          </w:p>
          <w:bookmarkEnd w:id="7"/>
          <w:p w:rsidR="00B3680B" w:rsidRPr="00F61E99" w:rsidRDefault="00B3680B" w:rsidP="00B3680B">
            <w:pPr>
              <w:pStyle w:val="AnnexNo"/>
              <w:spacing w:before="240"/>
              <w:rPr>
                <w:lang w:val="ru-RU"/>
              </w:rPr>
            </w:pPr>
            <w:r w:rsidRPr="00F61E99">
              <w:rPr>
                <w:lang w:val="ru-RU"/>
              </w:rPr>
              <w:t>ПРИЛОЖЕНИЕ 5 К РЕЗОЛЮЦИИ 1 (Пересм. буэнос-айрес, 2017 г.)</w:t>
            </w:r>
          </w:p>
          <w:p w:rsidR="00B3680B" w:rsidRPr="00F61E99" w:rsidRDefault="00B3680B" w:rsidP="00B3680B">
            <w:pPr>
              <w:pStyle w:val="Annextitle"/>
              <w:spacing w:before="200" w:after="200"/>
              <w:rPr>
                <w:bCs/>
                <w:szCs w:val="26"/>
                <w:lang w:val="ru-RU"/>
              </w:rPr>
            </w:pPr>
            <w:bookmarkStart w:id="8" w:name="_Toc270684663"/>
            <w:r w:rsidRPr="00F61E99">
              <w:rPr>
                <w:lang w:val="ru-RU"/>
              </w:rPr>
              <w:t>Контрольный список докладчика</w:t>
            </w:r>
            <w:bookmarkEnd w:id="8"/>
          </w:p>
          <w:p w:rsidR="00B3680B" w:rsidRPr="00F61E99" w:rsidRDefault="00B3680B" w:rsidP="00B3680B">
            <w:pPr>
              <w:pStyle w:val="Normalaftertitle"/>
              <w:keepNext/>
              <w:spacing w:before="120"/>
              <w:jc w:val="left"/>
            </w:pPr>
            <w:r w:rsidRPr="00F61E99">
              <w:t>1</w:t>
            </w:r>
            <w:r w:rsidRPr="00F61E99">
              <w:tab/>
              <w:t xml:space="preserve">После консультации с </w:t>
            </w:r>
            <w:r w:rsidRPr="00F61E99">
              <w:rPr>
                <w:color w:val="000000"/>
              </w:rPr>
              <w:t>заместителями докладчиков либо соответствующими рабочими группами</w:t>
            </w:r>
            <w:r w:rsidRPr="00F61E99">
              <w:t xml:space="preserve"> составить план работы. Следует, чтобы план работы периодически пересматривался соответствующей рабочей группой и исследовательской комиссией и включал следующие пункты:</w:t>
            </w:r>
          </w:p>
          <w:p w:rsidR="00B3680B" w:rsidRPr="00F61E99" w:rsidRDefault="00B3680B" w:rsidP="004643E9">
            <w:pPr>
              <w:pStyle w:val="enumlev1"/>
              <w:tabs>
                <w:tab w:val="clear" w:pos="567"/>
              </w:tabs>
              <w:spacing w:before="60"/>
              <w:ind w:left="794" w:hanging="794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перечень задач, подлежащих выполнению;</w:t>
            </w:r>
          </w:p>
          <w:p w:rsidR="00B3680B" w:rsidRPr="00F61E99" w:rsidRDefault="00B3680B" w:rsidP="004643E9">
            <w:pPr>
              <w:pStyle w:val="enumlev1"/>
              <w:tabs>
                <w:tab w:val="clear" w:pos="567"/>
              </w:tabs>
              <w:spacing w:before="60"/>
              <w:ind w:left="794" w:hanging="794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планируемые сроки проведения основных мероприятий</w:t>
            </w:r>
            <w:r w:rsidRPr="00F61E99">
              <w:rPr>
                <w:szCs w:val="24"/>
                <w:lang w:val="ru-RU"/>
              </w:rPr>
              <w:t xml:space="preserve"> по рассмотрению </w:t>
            </w:r>
            <w:r w:rsidRPr="00F61E99">
              <w:rPr>
                <w:color w:val="000000"/>
                <w:lang w:val="ru-RU"/>
              </w:rPr>
              <w:t>годовых итоговых отчетов</w:t>
            </w:r>
            <w:r w:rsidRPr="00F61E99">
              <w:rPr>
                <w:lang w:val="ru-RU"/>
              </w:rPr>
              <w:t>;</w:t>
            </w:r>
          </w:p>
          <w:p w:rsidR="00B3680B" w:rsidRPr="00F61E99" w:rsidRDefault="00B3680B" w:rsidP="004643E9">
            <w:pPr>
              <w:pStyle w:val="enumlev1"/>
              <w:tabs>
                <w:tab w:val="clear" w:pos="567"/>
              </w:tabs>
              <w:spacing w:before="60"/>
              <w:ind w:left="794" w:hanging="794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ожидаемые результаты, включая названия подготавливаемых документов</w:t>
            </w:r>
            <w:r w:rsidRPr="00F61E99">
              <w:rPr>
                <w:color w:val="000000"/>
                <w:lang w:val="ru-RU"/>
              </w:rPr>
              <w:t xml:space="preserve"> и годовых итоговых отчетов</w:t>
            </w:r>
            <w:r w:rsidRPr="00F61E99">
              <w:rPr>
                <w:lang w:val="ru-RU"/>
              </w:rPr>
              <w:t>;</w:t>
            </w:r>
          </w:p>
          <w:p w:rsidR="00B3680B" w:rsidRPr="00F61E99" w:rsidRDefault="00B3680B" w:rsidP="004643E9">
            <w:pPr>
              <w:pStyle w:val="enumlev1"/>
              <w:tabs>
                <w:tab w:val="clear" w:pos="567"/>
              </w:tabs>
              <w:spacing w:before="60"/>
              <w:ind w:left="794" w:hanging="794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требуемое взаимодействие с другими группами и графики осуществления такого взаимодействия, если они известны;</w:t>
            </w:r>
          </w:p>
          <w:p w:rsidR="00B3680B" w:rsidRPr="00F61E99" w:rsidRDefault="00B3680B" w:rsidP="004643E9">
            <w:pPr>
              <w:pStyle w:val="enumlev1"/>
              <w:tabs>
                <w:tab w:val="clear" w:pos="567"/>
              </w:tabs>
              <w:spacing w:before="60"/>
              <w:ind w:left="794" w:hanging="794"/>
              <w:rPr>
                <w:lang w:val="ru-RU"/>
              </w:rPr>
            </w:pPr>
            <w:r w:rsidRPr="00F61E99">
              <w:rPr>
                <w:lang w:val="ru-RU"/>
              </w:rPr>
              <w:t>–</w:t>
            </w:r>
            <w:r w:rsidRPr="00F61E99">
              <w:rPr>
                <w:lang w:val="ru-RU"/>
              </w:rPr>
              <w:tab/>
              <w:t>предлагаемое(ые) собрание(я) группы докладчика и ориентировочные даты, а также запрос на осуществление устного перевода, если такой необходим.</w:t>
            </w:r>
          </w:p>
          <w:p w:rsidR="00B3680B" w:rsidRPr="00F61E99" w:rsidRDefault="00B3680B" w:rsidP="00B3680B">
            <w:pPr>
              <w:rPr>
                <w:lang w:val="ru-RU"/>
              </w:rPr>
            </w:pPr>
            <w:r w:rsidRPr="00F61E99">
              <w:rPr>
                <w:lang w:val="ru-RU"/>
              </w:rPr>
              <w:t>2</w:t>
            </w:r>
            <w:r w:rsidRPr="00F61E99">
              <w:rPr>
                <w:lang w:val="ru-RU"/>
              </w:rPr>
              <w:tab/>
              <w:t>Выбрать для данной группы соответствующие методы работы. Настоятельно рекомендуется использовать для обмена мнениями электронную обработку документов (ЭОД), электронную и факсимильную почту.</w:t>
            </w:r>
          </w:p>
          <w:p w:rsidR="00B3680B" w:rsidRPr="00F61E99" w:rsidRDefault="00B3680B" w:rsidP="008E6213">
            <w:pPr>
              <w:rPr>
                <w:lang w:val="ru-RU"/>
              </w:rPr>
            </w:pPr>
            <w:r w:rsidRPr="00F61E99">
              <w:rPr>
                <w:lang w:val="ru-RU"/>
              </w:rPr>
              <w:t>3</w:t>
            </w:r>
            <w:r w:rsidRPr="00F61E99">
              <w:rPr>
                <w:lang w:val="ru-RU"/>
              </w:rPr>
              <w:tab/>
              <w:t xml:space="preserve">Выполнять функции председателя на всех собраниях </w:t>
            </w:r>
            <w:r w:rsidRPr="00F61E99">
              <w:rPr>
                <w:color w:val="000000"/>
                <w:lang w:val="ru-RU"/>
              </w:rPr>
              <w:t xml:space="preserve">по соответствующему </w:t>
            </w:r>
            <w:r w:rsidR="008E6213" w:rsidRPr="00F61E99">
              <w:rPr>
                <w:color w:val="000000"/>
                <w:lang w:val="ru-RU"/>
              </w:rPr>
              <w:t>В</w:t>
            </w:r>
            <w:r w:rsidRPr="00F61E99">
              <w:rPr>
                <w:color w:val="000000"/>
                <w:lang w:val="ru-RU"/>
              </w:rPr>
              <w:t>опросу</w:t>
            </w:r>
            <w:r w:rsidRPr="00F61E99">
              <w:rPr>
                <w:lang w:val="ru-RU"/>
              </w:rPr>
              <w:t xml:space="preserve">. Если потребуется проведение специальных собраний </w:t>
            </w:r>
            <w:r w:rsidRPr="00F61E99">
              <w:rPr>
                <w:color w:val="000000"/>
                <w:lang w:val="ru-RU"/>
              </w:rPr>
              <w:t xml:space="preserve">по соответствующему </w:t>
            </w:r>
            <w:r w:rsidR="008E6213" w:rsidRPr="00F61E99">
              <w:rPr>
                <w:color w:val="000000"/>
                <w:lang w:val="ru-RU"/>
              </w:rPr>
              <w:t>В</w:t>
            </w:r>
            <w:r w:rsidRPr="00F61E99">
              <w:rPr>
                <w:color w:val="000000"/>
                <w:lang w:val="ru-RU"/>
              </w:rPr>
              <w:t>опросу</w:t>
            </w:r>
            <w:r w:rsidRPr="00F61E99">
              <w:rPr>
                <w:lang w:val="ru-RU"/>
              </w:rPr>
              <w:t>, сделать соответствующее предварительное уведомление.</w:t>
            </w:r>
          </w:p>
          <w:p w:rsidR="00B3680B" w:rsidRPr="00F61E99" w:rsidRDefault="00B3680B" w:rsidP="00B3680B">
            <w:pPr>
              <w:rPr>
                <w:lang w:val="ru-RU"/>
              </w:rPr>
            </w:pPr>
            <w:r w:rsidRPr="00F61E99">
              <w:rPr>
                <w:lang w:val="ru-RU"/>
              </w:rPr>
              <w:t>4</w:t>
            </w:r>
            <w:r w:rsidRPr="00F61E99">
              <w:rPr>
                <w:lang w:val="ru-RU"/>
              </w:rPr>
              <w:tab/>
              <w:t>В зависимости от объема работы делегировать часть работы заместителям докладчика и другим сотрудникам.</w:t>
            </w:r>
          </w:p>
          <w:p w:rsidR="00B3680B" w:rsidRPr="00F61E99" w:rsidRDefault="00B3680B" w:rsidP="00B3680B">
            <w:pPr>
              <w:rPr>
                <w:lang w:val="ru-RU"/>
              </w:rPr>
            </w:pPr>
            <w:r w:rsidRPr="00F61E99">
              <w:rPr>
                <w:lang w:val="ru-RU"/>
              </w:rPr>
              <w:br w:type="page"/>
              <w:t>5</w:t>
            </w:r>
            <w:r w:rsidRPr="00F61E99">
              <w:rPr>
                <w:lang w:val="ru-RU"/>
              </w:rPr>
              <w:tab/>
              <w:t>Постоянно держать рабочую группу и руководство исследовательской комиссии в курсе всех дел. Если в период между двумя собраниями исследовательской комиссии прогресса по конкретному Вопросу не наблюдалось, тем не менее, следует, чтобы докладчик представил отчет с указанием возможных причин отсутствия такого прогресса. Для того чтобы председатель и БРЭ могли принять необходимые меры с целью выполнения работы по данному Вопросу, отчеты следует представлять, по меньшей мере, за два месяца до собрания исследовательской комиссии.</w:t>
            </w:r>
          </w:p>
          <w:p w:rsidR="00B3680B" w:rsidRPr="00F61E99" w:rsidRDefault="00B3680B" w:rsidP="00B3680B">
            <w:pPr>
              <w:rPr>
                <w:lang w:val="ru-RU"/>
              </w:rPr>
            </w:pPr>
            <w:r w:rsidRPr="00F61E99">
              <w:rPr>
                <w:lang w:val="ru-RU"/>
              </w:rPr>
              <w:t>6</w:t>
            </w:r>
            <w:r w:rsidRPr="00F61E99">
              <w:rPr>
                <w:lang w:val="ru-RU"/>
              </w:rPr>
              <w:tab/>
              <w:t xml:space="preserve">Держать исследовательскую комиссию в курсе всех дел путем представления отчетов собраниям исследовательской комиссии. Отчеты должны быть составлены в </w:t>
            </w:r>
            <w:r w:rsidRPr="00F61E99">
              <w:rPr>
                <w:color w:val="000000"/>
                <w:lang w:val="ru-RU"/>
              </w:rPr>
              <w:t xml:space="preserve">шаблоне </w:t>
            </w:r>
            <w:r w:rsidRPr="00F61E99">
              <w:rPr>
                <w:lang w:val="ru-RU"/>
              </w:rPr>
              <w:t>белых вкладов (если достигнут существенный прогресс, такой, как завершение работы над проектами рекомендаций или отчетом) или временных документов.</w:t>
            </w:r>
          </w:p>
          <w:p w:rsidR="00B3680B" w:rsidRPr="00F61E99" w:rsidRDefault="00B3680B" w:rsidP="008E6213">
            <w:pPr>
              <w:rPr>
                <w:lang w:val="ru-RU"/>
              </w:rPr>
            </w:pPr>
            <w:r w:rsidRPr="00F61E99">
              <w:rPr>
                <w:lang w:val="ru-RU"/>
              </w:rPr>
              <w:t>7</w:t>
            </w:r>
            <w:r w:rsidRPr="00F61E99">
              <w:rPr>
                <w:lang w:val="ru-RU"/>
              </w:rPr>
              <w:tab/>
              <w:t>Следует, чтобы отчет о ходе работы, упомянутый в пп. 12.1 и 12.3, выше, по возможности соответствовал формату, приведенному в этих разделах настоящей Резолюции.</w:t>
            </w:r>
          </w:p>
          <w:p w:rsidR="00B3680B" w:rsidRPr="00F61E99" w:rsidRDefault="00B3680B" w:rsidP="00B3680B">
            <w:pPr>
              <w:rPr>
                <w:lang w:val="ru-RU"/>
              </w:rPr>
            </w:pPr>
            <w:r w:rsidRPr="00F61E99">
              <w:rPr>
                <w:lang w:val="ru-RU"/>
              </w:rPr>
              <w:t>8</w:t>
            </w:r>
            <w:r w:rsidRPr="00F61E99">
              <w:rPr>
                <w:lang w:val="ru-RU"/>
              </w:rPr>
              <w:tab/>
              <w:t xml:space="preserve">Обеспечить, чтобы заявления о взаимодействии представлялись незамедлительно после всех собраний, причем копии этих заявлений направляются председателям исследовательских комиссий и в БРЭ. Заявления о взаимодействии должны содержать информацию, указанную в </w:t>
            </w:r>
            <w:r w:rsidRPr="00F61E99">
              <w:rPr>
                <w:i/>
                <w:iCs/>
                <w:lang w:val="ru-RU"/>
              </w:rPr>
              <w:t>Образце для заявлений о взаимодействии</w:t>
            </w:r>
            <w:r w:rsidRPr="00F61E99">
              <w:rPr>
                <w:lang w:val="ru-RU"/>
              </w:rPr>
              <w:t>, который приведен в Приложении 4 к настоящей Резолюции. БРЭ может оказывать содействие в распространении заявлений о взаимодействии.</w:t>
            </w:r>
          </w:p>
          <w:p w:rsidR="00B3680B" w:rsidRPr="00F61E99" w:rsidRDefault="00B3680B" w:rsidP="00B3680B">
            <w:pPr>
              <w:rPr>
                <w:lang w:val="ru-RU"/>
              </w:rPr>
            </w:pPr>
            <w:r w:rsidRPr="00F61E99">
              <w:rPr>
                <w:lang w:val="ru-RU"/>
              </w:rPr>
              <w:t>9</w:t>
            </w:r>
            <w:r w:rsidRPr="00F61E99">
              <w:rPr>
                <w:lang w:val="ru-RU"/>
              </w:rPr>
              <w:tab/>
              <w:t>Осуществлять надзор за качеством текстов вплоть до окончательного варианта текста, представляемого на утверждение.</w:t>
            </w:r>
          </w:p>
          <w:p w:rsidR="00B3680B" w:rsidRPr="00F61E99" w:rsidRDefault="00B3680B" w:rsidP="00B3680B">
            <w:pPr>
              <w:pStyle w:val="Reasons"/>
              <w:rPr>
                <w:sz w:val="16"/>
                <w:szCs w:val="16"/>
                <w:lang w:val="ru-RU"/>
              </w:rPr>
            </w:pPr>
          </w:p>
          <w:p w:rsidR="00FE2902" w:rsidRPr="00F61E99" w:rsidRDefault="00FE2902" w:rsidP="00B3680B">
            <w:pPr>
              <w:pStyle w:val="enumlev1"/>
              <w:spacing w:before="0"/>
              <w:ind w:left="0" w:firstLine="0"/>
              <w:jc w:val="center"/>
              <w:rPr>
                <w:lang w:val="ru-RU"/>
              </w:rPr>
            </w:pPr>
            <w:r w:rsidRPr="00F61E99">
              <w:rPr>
                <w:lang w:val="ru-RU"/>
              </w:rPr>
              <w:t>______________</w:t>
            </w:r>
          </w:p>
        </w:tc>
      </w:tr>
    </w:tbl>
    <w:p w:rsidR="00FE2902" w:rsidRPr="00F61E99" w:rsidRDefault="00FE2902" w:rsidP="00B368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 w:val="4"/>
          <w:szCs w:val="4"/>
          <w:lang w:val="ru-RU"/>
        </w:rPr>
      </w:pPr>
    </w:p>
    <w:sectPr w:rsidR="00FE2902" w:rsidRPr="00F61E99" w:rsidSect="005F550D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43" w:rsidRDefault="00F12E43">
      <w:r>
        <w:separator/>
      </w:r>
    </w:p>
    <w:p w:rsidR="00F12E43" w:rsidRDefault="00F12E43"/>
  </w:endnote>
  <w:endnote w:type="continuationSeparator" w:id="0">
    <w:p w:rsidR="00F12E43" w:rsidRDefault="00F12E43">
      <w:r>
        <w:continuationSeparator/>
      </w:r>
    </w:p>
    <w:p w:rsidR="00F12E43" w:rsidRDefault="00F12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B" w:rsidRPr="0082438D" w:rsidRDefault="00B3680B" w:rsidP="00824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9F" w:rsidRPr="00300E9F" w:rsidRDefault="00300E9F" w:rsidP="00300E9F">
    <w:pPr>
      <w:tabs>
        <w:tab w:val="clear" w:pos="794"/>
        <w:tab w:val="clear" w:pos="1191"/>
        <w:tab w:val="clear" w:pos="1588"/>
        <w:tab w:val="clear" w:pos="1985"/>
        <w:tab w:val="right" w:pos="9072"/>
      </w:tabs>
      <w:overflowPunct/>
      <w:autoSpaceDE/>
      <w:autoSpaceDN/>
      <w:adjustRightInd/>
      <w:spacing w:before="120" w:line="240" w:lineRule="auto"/>
      <w:textAlignment w:val="auto"/>
      <w:rPr>
        <w:rFonts w:eastAsia="SimHei"/>
        <w:color w:val="189CD7"/>
        <w:sz w:val="18"/>
        <w:lang w:val="fr-CH"/>
      </w:rPr>
    </w:pPr>
    <w:r w:rsidRPr="00300E9F">
      <w:rPr>
        <w:rFonts w:eastAsia="SimHei"/>
        <w:noProof/>
        <w:sz w:val="18"/>
        <w:lang w:val="en-GB" w:eastAsia="zh-CN"/>
      </w:rPr>
      <w:drawing>
        <wp:anchor distT="0" distB="0" distL="114300" distR="114300" simplePos="0" relativeHeight="251659264" behindDoc="0" locked="0" layoutInCell="1" allowOverlap="1" wp14:anchorId="7A622032" wp14:editId="217A1454">
          <wp:simplePos x="0" y="0"/>
          <wp:positionH relativeFrom="margin">
            <wp:posOffset>4412230</wp:posOffset>
          </wp:positionH>
          <wp:positionV relativeFrom="paragraph">
            <wp:posOffset>8448</wp:posOffset>
          </wp:positionV>
          <wp:extent cx="1708562" cy="675474"/>
          <wp:effectExtent l="0" t="0" r="6350" b="0"/>
          <wp:wrapNone/>
          <wp:docPr id="2" name="Picture 2" descr="C:\Users\murphy\Documents\WTDC17\bd_R_25Years_Horizontal-4119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rphy\Documents\WTDC17\bd_R_25Years_Horizontal-41195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54" b="10691"/>
                  <a:stretch/>
                </pic:blipFill>
                <pic:spPr bwMode="auto">
                  <a:xfrm>
                    <a:off x="0" y="0"/>
                    <a:ext cx="1708562" cy="675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0E9F">
      <w:rPr>
        <w:rFonts w:eastAsia="SimHei"/>
        <w:color w:val="189CD7"/>
        <w:sz w:val="18"/>
        <w:lang w:val="fr-CH"/>
      </w:rPr>
      <w:t xml:space="preserve">International Telecommunication Union </w:t>
    </w:r>
  </w:p>
  <w:p w:rsidR="008049A5" w:rsidRPr="00300E9F" w:rsidRDefault="00300E9F" w:rsidP="00300E9F">
    <w:pPr>
      <w:tabs>
        <w:tab w:val="clear" w:pos="794"/>
        <w:tab w:val="clear" w:pos="1191"/>
        <w:tab w:val="clear" w:pos="1588"/>
        <w:tab w:val="clear" w:pos="1985"/>
        <w:tab w:val="right" w:pos="9072"/>
      </w:tabs>
      <w:overflowPunct/>
      <w:autoSpaceDE/>
      <w:autoSpaceDN/>
      <w:adjustRightInd/>
      <w:spacing w:before="0" w:line="240" w:lineRule="auto"/>
      <w:textAlignment w:val="auto"/>
      <w:rPr>
        <w:rFonts w:eastAsia="SimHei" w:cs="Times New Roman"/>
        <w:color w:val="189CD7"/>
        <w:sz w:val="18"/>
        <w:szCs w:val="18"/>
        <w:u w:val="single"/>
      </w:rPr>
    </w:pPr>
    <w:r w:rsidRPr="00300E9F">
      <w:rPr>
        <w:rFonts w:eastAsia="SimHei"/>
        <w:color w:val="189CD7"/>
        <w:sz w:val="18"/>
        <w:lang w:val="fr-CH"/>
      </w:rPr>
      <w:t xml:space="preserve">Place des Nations • CH-1211 Geneva 20 • Switzerland </w:t>
    </w:r>
    <w:r w:rsidRPr="00300E9F">
      <w:rPr>
        <w:rFonts w:eastAsia="SimHei"/>
        <w:color w:val="189CD7"/>
        <w:sz w:val="18"/>
        <w:lang w:val="fr-CH"/>
      </w:rPr>
      <w:br/>
    </w:r>
    <w:r w:rsidRPr="00300E9F">
      <w:rPr>
        <w:rFonts w:eastAsia="SimHei"/>
        <w:color w:val="189CD7"/>
        <w:sz w:val="18"/>
        <w:lang w:val="ru-RU"/>
      </w:rPr>
      <w:t>Тел.</w:t>
    </w:r>
    <w:r w:rsidRPr="00300E9F">
      <w:rPr>
        <w:rFonts w:eastAsia="SimHei"/>
        <w:color w:val="189CD7"/>
        <w:sz w:val="18"/>
        <w:lang w:val="fr-CH"/>
      </w:rPr>
      <w:t xml:space="preserve">: +41 22 730 5111 • </w:t>
    </w:r>
    <w:r w:rsidRPr="00300E9F">
      <w:rPr>
        <w:rFonts w:eastAsia="SimHei"/>
        <w:color w:val="189CD7"/>
        <w:sz w:val="18"/>
        <w:lang w:val="ru-RU"/>
      </w:rPr>
      <w:t>Факс</w:t>
    </w:r>
    <w:r w:rsidRPr="00300E9F">
      <w:rPr>
        <w:rFonts w:eastAsia="SimHei"/>
        <w:color w:val="189CD7"/>
        <w:sz w:val="18"/>
        <w:lang w:val="fr-CH"/>
      </w:rPr>
      <w:t xml:space="preserve">: +41 22 730 5545/730 5484 </w:t>
    </w:r>
    <w:r w:rsidRPr="00300E9F">
      <w:rPr>
        <w:rFonts w:eastAsia="SimHei"/>
        <w:color w:val="189CD7"/>
        <w:sz w:val="18"/>
        <w:lang w:val="fr-CH"/>
      </w:rPr>
      <w:br/>
    </w:r>
    <w:r w:rsidRPr="00300E9F">
      <w:rPr>
        <w:rFonts w:eastAsia="SimHei"/>
        <w:color w:val="189CD7"/>
        <w:sz w:val="18"/>
        <w:lang w:val="ru-RU"/>
      </w:rPr>
      <w:t>Эл. почта</w:t>
    </w:r>
    <w:r w:rsidRPr="00300E9F">
      <w:rPr>
        <w:rFonts w:eastAsia="SimHei"/>
        <w:color w:val="189CD7"/>
        <w:sz w:val="18"/>
        <w:lang w:val="fr-CH"/>
      </w:rPr>
      <w:t xml:space="preserve">: </w:t>
    </w:r>
    <w:hyperlink r:id="rId2" w:history="1">
      <w:r w:rsidRPr="00300E9F">
        <w:rPr>
          <w:rFonts w:eastAsia="SimHei" w:cs="Times New Roman"/>
          <w:color w:val="189CD7"/>
          <w:sz w:val="18"/>
          <w:szCs w:val="18"/>
          <w:u w:val="single"/>
          <w:lang w:val="fr-CH"/>
        </w:rPr>
        <w:t>bdtmail@itu.int</w:t>
      </w:r>
    </w:hyperlink>
    <w:r w:rsidRPr="00300E9F">
      <w:rPr>
        <w:rFonts w:eastAsia="SimHei"/>
        <w:color w:val="189CD7"/>
        <w:sz w:val="18"/>
        <w:lang w:val="fr-CH"/>
      </w:rPr>
      <w:t xml:space="preserve"> • </w:t>
    </w:r>
    <w:hyperlink r:id="rId3" w:history="1">
      <w:r w:rsidRPr="00300E9F">
        <w:rPr>
          <w:rFonts w:eastAsia="SimHei" w:cs="Times New Roman"/>
          <w:color w:val="189CD7"/>
          <w:sz w:val="18"/>
          <w:szCs w:val="18"/>
          <w:u w:val="single"/>
          <w:lang w:val="fr-CH"/>
        </w:rPr>
        <w:t>www.itu.int/itu-</w:t>
      </w:r>
    </w:hyperlink>
    <w:r w:rsidRPr="00300E9F">
      <w:rPr>
        <w:rFonts w:eastAsia="SimHei" w:cs="Times New Roman"/>
        <w:color w:val="189CD7"/>
        <w:sz w:val="18"/>
        <w:szCs w:val="18"/>
        <w:u w:val="single"/>
        <w:lang w:val="fr-CH"/>
      </w:rPr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43" w:rsidRDefault="00F12E43">
      <w:r>
        <w:t>____________________</w:t>
      </w:r>
    </w:p>
    <w:p w:rsidR="00F12E43" w:rsidRDefault="00F12E43"/>
  </w:footnote>
  <w:footnote w:type="continuationSeparator" w:id="0">
    <w:p w:rsidR="00F12E43" w:rsidRDefault="00F12E43">
      <w:r>
        <w:continuationSeparator/>
      </w:r>
    </w:p>
    <w:p w:rsidR="00F12E43" w:rsidRDefault="00F12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A1F" w:rsidRDefault="00CC6A1F" w:rsidP="00CC6A1F">
        <w:pPr>
          <w:pStyle w:val="Header"/>
          <w:spacing w:before="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27" w:rsidRPr="00BB2B5D" w:rsidRDefault="00BB2B5D" w:rsidP="00BB2B5D">
    <w:pPr>
      <w:pStyle w:val="BDTHeaderPageNumber"/>
      <w:rPr>
        <w:lang w:val="fr-CH"/>
      </w:rPr>
    </w:pPr>
    <w:r>
      <w:rPr>
        <w:lang w:val="fr-CH"/>
      </w:rPr>
      <w:t xml:space="preserve">-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E30F27">
      <w:rPr>
        <w:rStyle w:val="PageNumber"/>
        <w:rFonts w:cs="Traditional Arabic"/>
        <w:noProof/>
      </w:rPr>
      <w:t>5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51CE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DFED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9A5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22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08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C7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606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29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F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6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0B36F2"/>
    <w:multiLevelType w:val="hybridMultilevel"/>
    <w:tmpl w:val="1D7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23E76"/>
    <w:multiLevelType w:val="hybridMultilevel"/>
    <w:tmpl w:val="DC2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8D1553"/>
    <w:multiLevelType w:val="hybridMultilevel"/>
    <w:tmpl w:val="93C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D697D"/>
    <w:multiLevelType w:val="hybridMultilevel"/>
    <w:tmpl w:val="5580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84FC5"/>
    <w:multiLevelType w:val="hybridMultilevel"/>
    <w:tmpl w:val="7A1E5DF8"/>
    <w:lvl w:ilvl="0" w:tplc="24680064">
      <w:numFmt w:val="bullet"/>
      <w:lvlText w:val="-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4115"/>
    <w:multiLevelType w:val="hybridMultilevel"/>
    <w:tmpl w:val="06A8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0BBA"/>
    <w:multiLevelType w:val="hybridMultilevel"/>
    <w:tmpl w:val="42BE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D107B"/>
    <w:multiLevelType w:val="hybridMultilevel"/>
    <w:tmpl w:val="0080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A20F0"/>
    <w:multiLevelType w:val="hybridMultilevel"/>
    <w:tmpl w:val="82C8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15C3A"/>
    <w:multiLevelType w:val="hybridMultilevel"/>
    <w:tmpl w:val="BAB6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C6EB5"/>
    <w:multiLevelType w:val="hybridMultilevel"/>
    <w:tmpl w:val="EC8E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20"/>
  </w:num>
  <w:num w:numId="5">
    <w:abstractNumId w:val="17"/>
  </w:num>
  <w:num w:numId="6">
    <w:abstractNumId w:val="14"/>
  </w:num>
  <w:num w:numId="7">
    <w:abstractNumId w:val="32"/>
  </w:num>
  <w:num w:numId="8">
    <w:abstractNumId w:val="35"/>
  </w:num>
  <w:num w:numId="9">
    <w:abstractNumId w:val="29"/>
  </w:num>
  <w:num w:numId="10">
    <w:abstractNumId w:val="16"/>
  </w:num>
  <w:num w:numId="11">
    <w:abstractNumId w:val="19"/>
    <w:lvlOverride w:ilvl="0">
      <w:startOverride w:val="1"/>
    </w:lvlOverride>
  </w:num>
  <w:num w:numId="12">
    <w:abstractNumId w:val="15"/>
  </w:num>
  <w:num w:numId="13">
    <w:abstractNumId w:val="27"/>
  </w:num>
  <w:num w:numId="14">
    <w:abstractNumId w:val="18"/>
  </w:num>
  <w:num w:numId="15">
    <w:abstractNumId w:val="23"/>
  </w:num>
  <w:num w:numId="16">
    <w:abstractNumId w:val="30"/>
  </w:num>
  <w:num w:numId="17">
    <w:abstractNumId w:val="25"/>
  </w:num>
  <w:num w:numId="18">
    <w:abstractNumId w:val="34"/>
  </w:num>
  <w:num w:numId="19">
    <w:abstractNumId w:val="22"/>
  </w:num>
  <w:num w:numId="20">
    <w:abstractNumId w:val="26"/>
  </w:num>
  <w:num w:numId="21">
    <w:abstractNumId w:val="3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4"/>
  </w:num>
  <w:num w:numId="3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2236"/>
    <w:rsid w:val="00002844"/>
    <w:rsid w:val="000058A5"/>
    <w:rsid w:val="00044D34"/>
    <w:rsid w:val="000675E3"/>
    <w:rsid w:val="00074058"/>
    <w:rsid w:val="000829BC"/>
    <w:rsid w:val="000E4282"/>
    <w:rsid w:val="0011781F"/>
    <w:rsid w:val="00165401"/>
    <w:rsid w:val="0018181E"/>
    <w:rsid w:val="0019043D"/>
    <w:rsid w:val="001B18AA"/>
    <w:rsid w:val="001B667E"/>
    <w:rsid w:val="001D031A"/>
    <w:rsid w:val="001D2236"/>
    <w:rsid w:val="002150E0"/>
    <w:rsid w:val="002B4C0F"/>
    <w:rsid w:val="002D4063"/>
    <w:rsid w:val="002E20F3"/>
    <w:rsid w:val="00300E9F"/>
    <w:rsid w:val="003369F6"/>
    <w:rsid w:val="00340C64"/>
    <w:rsid w:val="0036320E"/>
    <w:rsid w:val="003861ED"/>
    <w:rsid w:val="003C7EDE"/>
    <w:rsid w:val="003D74DE"/>
    <w:rsid w:val="003E0DA4"/>
    <w:rsid w:val="003F3CD5"/>
    <w:rsid w:val="003F7692"/>
    <w:rsid w:val="00404461"/>
    <w:rsid w:val="00450C41"/>
    <w:rsid w:val="004643E9"/>
    <w:rsid w:val="004734E2"/>
    <w:rsid w:val="00495DCA"/>
    <w:rsid w:val="004D19CD"/>
    <w:rsid w:val="004D4427"/>
    <w:rsid w:val="004F0A4A"/>
    <w:rsid w:val="00515207"/>
    <w:rsid w:val="00531BB5"/>
    <w:rsid w:val="005F550D"/>
    <w:rsid w:val="00616B4A"/>
    <w:rsid w:val="006315B4"/>
    <w:rsid w:val="0063201E"/>
    <w:rsid w:val="00682721"/>
    <w:rsid w:val="006872B4"/>
    <w:rsid w:val="006A02CC"/>
    <w:rsid w:val="006E2D79"/>
    <w:rsid w:val="0070565A"/>
    <w:rsid w:val="00714B46"/>
    <w:rsid w:val="007161D9"/>
    <w:rsid w:val="0071736C"/>
    <w:rsid w:val="007367F0"/>
    <w:rsid w:val="0075340F"/>
    <w:rsid w:val="00765B28"/>
    <w:rsid w:val="007977FA"/>
    <w:rsid w:val="007C5AD2"/>
    <w:rsid w:val="007C7E4E"/>
    <w:rsid w:val="007F7495"/>
    <w:rsid w:val="008049A5"/>
    <w:rsid w:val="0082438D"/>
    <w:rsid w:val="008513FE"/>
    <w:rsid w:val="008A478A"/>
    <w:rsid w:val="008B03C9"/>
    <w:rsid w:val="008B244D"/>
    <w:rsid w:val="008E6213"/>
    <w:rsid w:val="00907330"/>
    <w:rsid w:val="009612A7"/>
    <w:rsid w:val="00972915"/>
    <w:rsid w:val="00983815"/>
    <w:rsid w:val="009D5796"/>
    <w:rsid w:val="00A01A35"/>
    <w:rsid w:val="00A3340E"/>
    <w:rsid w:val="00A36ADB"/>
    <w:rsid w:val="00A9668A"/>
    <w:rsid w:val="00AB16B1"/>
    <w:rsid w:val="00AC5780"/>
    <w:rsid w:val="00B3680B"/>
    <w:rsid w:val="00B459DD"/>
    <w:rsid w:val="00B563F7"/>
    <w:rsid w:val="00B64068"/>
    <w:rsid w:val="00B9048C"/>
    <w:rsid w:val="00BB2B5D"/>
    <w:rsid w:val="00BB61A1"/>
    <w:rsid w:val="00BD1EB9"/>
    <w:rsid w:val="00BD55A9"/>
    <w:rsid w:val="00BE17EF"/>
    <w:rsid w:val="00BE3747"/>
    <w:rsid w:val="00BE6703"/>
    <w:rsid w:val="00BF7A03"/>
    <w:rsid w:val="00CA228E"/>
    <w:rsid w:val="00CA3490"/>
    <w:rsid w:val="00CB19D6"/>
    <w:rsid w:val="00CC6A1F"/>
    <w:rsid w:val="00D00CD4"/>
    <w:rsid w:val="00D16BFB"/>
    <w:rsid w:val="00D33043"/>
    <w:rsid w:val="00D90341"/>
    <w:rsid w:val="00E107EE"/>
    <w:rsid w:val="00E20940"/>
    <w:rsid w:val="00E30F27"/>
    <w:rsid w:val="00EA7BF9"/>
    <w:rsid w:val="00EE25B8"/>
    <w:rsid w:val="00EF6515"/>
    <w:rsid w:val="00F03248"/>
    <w:rsid w:val="00F0668A"/>
    <w:rsid w:val="00F12E43"/>
    <w:rsid w:val="00F20AD9"/>
    <w:rsid w:val="00F349F2"/>
    <w:rsid w:val="00F41744"/>
    <w:rsid w:val="00F61E99"/>
    <w:rsid w:val="00F64B88"/>
    <w:rsid w:val="00F95A18"/>
    <w:rsid w:val="00F9657B"/>
    <w:rsid w:val="00FA17BC"/>
    <w:rsid w:val="00FC1FBA"/>
    <w:rsid w:val="00FD2EBD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6FE9D0-EB08-48F3-8A1C-80E40BF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B2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5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8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9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eastAsia="SimSun" w:cs="Times New Roman"/>
      <w:szCs w:val="19"/>
      <w:lang w:val="en-GB" w:eastAsia="en-US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,超级链接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igurewithouttitle">
    <w:name w:val="Figure_without_title"/>
    <w:basedOn w:val="Normal"/>
    <w:next w:val="Normal"/>
    <w:uiPriority w:val="99"/>
    <w:semiHidden/>
    <w:rsid w:val="00BB2B5D"/>
    <w:pPr>
      <w:keepLines/>
      <w:spacing w:before="240" w:after="120"/>
      <w:jc w:val="center"/>
    </w:pPr>
  </w:style>
  <w:style w:type="paragraph" w:styleId="ListParagraph">
    <w:name w:val="List Paragraph"/>
    <w:basedOn w:val="Normal"/>
    <w:uiPriority w:val="99"/>
    <w:qFormat/>
    <w:locked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EOMeetingDates">
    <w:name w:val="CEO_MeetingDates"/>
    <w:basedOn w:val="Normal"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hAnsi="Verdana" w:cs="Times New Roman"/>
      <w:b/>
      <w:bCs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BB2B5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B5D"/>
    <w:rPr>
      <w:color w:val="808080"/>
    </w:rPr>
  </w:style>
  <w:style w:type="paragraph" w:customStyle="1" w:styleId="Event">
    <w:name w:val="Event"/>
    <w:basedOn w:val="Normal"/>
    <w:qFormat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240" w:lineRule="auto"/>
      <w:textAlignment w:val="auto"/>
    </w:pPr>
    <w:rPr>
      <w:rFonts w:eastAsia="Calibri" w:cs="Arial"/>
      <w:sz w:val="18"/>
      <w:szCs w:val="22"/>
    </w:rPr>
  </w:style>
  <w:style w:type="table" w:customStyle="1" w:styleId="LightShading-Accent11">
    <w:name w:val="Light Shading - Accent 11"/>
    <w:basedOn w:val="TableNormal"/>
    <w:uiPriority w:val="60"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locked/>
    <w:rsid w:val="00BB2B5D"/>
    <w:rPr>
      <w:rFonts w:eastAsia="SimSun" w:cs="Traditional Arabic"/>
      <w:szCs w:val="30"/>
      <w:lang w:eastAsia="en-US"/>
    </w:rPr>
  </w:style>
  <w:style w:type="paragraph" w:customStyle="1" w:styleId="Reasons">
    <w:name w:val="Reasons"/>
    <w:basedOn w:val="Normal"/>
    <w:qFormat/>
    <w:rsid w:val="003D74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ONormal">
    <w:name w:val="CEO_Normal"/>
    <w:link w:val="CEONormalChar"/>
    <w:uiPriority w:val="99"/>
    <w:rsid w:val="00404461"/>
    <w:pPr>
      <w:spacing w:before="120"/>
    </w:pPr>
    <w:rPr>
      <w:rFonts w:ascii="Verdana" w:hAnsi="Verdana" w:cs="Simplified Arabic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404461"/>
    <w:rPr>
      <w:rFonts w:ascii="Verdana" w:hAnsi="Verdana" w:cs="Simplified Arabic"/>
      <w:sz w:val="28"/>
      <w:szCs w:val="28"/>
      <w:lang w:val="en-GB" w:eastAsia="en-US"/>
    </w:rPr>
  </w:style>
  <w:style w:type="paragraph" w:customStyle="1" w:styleId="FirstFooter">
    <w:name w:val="FirstFooter"/>
    <w:basedOn w:val="Normal"/>
    <w:rsid w:val="008049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jc w:val="both"/>
      <w:textAlignment w:val="auto"/>
    </w:pPr>
    <w:rPr>
      <w:rFonts w:eastAsia="Times New Roman" w:cs="Calibri"/>
      <w:sz w:val="16"/>
      <w:szCs w:val="22"/>
    </w:rPr>
  </w:style>
  <w:style w:type="paragraph" w:customStyle="1" w:styleId="CEOHeading1">
    <w:name w:val="CEO_Heading1"/>
    <w:basedOn w:val="Normal"/>
    <w:next w:val="CEONormal"/>
    <w:rsid w:val="0011781F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textAlignment w:val="auto"/>
    </w:pPr>
    <w:rPr>
      <w:rFonts w:eastAsia="SimHei" w:cs="Simplified Arabic"/>
      <w:b/>
      <w:bCs/>
      <w:color w:val="808080"/>
      <w:sz w:val="20"/>
      <w:szCs w:val="28"/>
      <w:lang w:val="fr-CH"/>
    </w:rPr>
  </w:style>
  <w:style w:type="paragraph" w:customStyle="1" w:styleId="enumlev1">
    <w:name w:val="enumlev1"/>
    <w:basedOn w:val="Normal"/>
    <w:link w:val="enumlev1Char"/>
    <w:rsid w:val="0011781F"/>
    <w:pPr>
      <w:tabs>
        <w:tab w:val="clear" w:pos="794"/>
        <w:tab w:val="clear" w:pos="1191"/>
        <w:tab w:val="clear" w:pos="1588"/>
        <w:tab w:val="clear" w:pos="1985"/>
        <w:tab w:val="left" w:pos="567"/>
      </w:tabs>
      <w:spacing w:before="80" w:line="240" w:lineRule="auto"/>
      <w:ind w:left="567" w:hanging="567"/>
    </w:pPr>
    <w:rPr>
      <w:rFonts w:eastAsia="Times New Roman" w:cs="Times New Roman"/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11781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eastAsia="Times New Roman" w:cs="Times New Roman"/>
      <w:sz w:val="22"/>
      <w:szCs w:val="20"/>
      <w:lang w:val="en-GB"/>
    </w:rPr>
  </w:style>
  <w:style w:type="paragraph" w:customStyle="1" w:styleId="AnnexNo">
    <w:name w:val="Annex_No"/>
    <w:basedOn w:val="Normal"/>
    <w:next w:val="Normal"/>
    <w:rsid w:val="0011781F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11781F"/>
    <w:rPr>
      <w:rFonts w:cs="Times New Roman"/>
      <w:szCs w:val="20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11781F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 w:line="240" w:lineRule="auto"/>
      <w:ind w:left="567" w:hanging="567"/>
      <w:jc w:val="both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11781F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1781F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178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Ocontribution-H123">
    <w:name w:val="CEO_contribution-H123"/>
    <w:basedOn w:val="CEONormal"/>
    <w:next w:val="CEONormal"/>
    <w:rsid w:val="0011781F"/>
    <w:pPr>
      <w:tabs>
        <w:tab w:val="num" w:pos="720"/>
      </w:tabs>
      <w:ind w:left="720" w:hanging="360"/>
    </w:pPr>
    <w:rPr>
      <w:rFonts w:ascii="Calibri" w:eastAsia="SimHei" w:hAnsi="Calibri"/>
      <w:b/>
      <w:bCs/>
      <w:sz w:val="19"/>
    </w:rPr>
  </w:style>
  <w:style w:type="paragraph" w:customStyle="1" w:styleId="Headingi">
    <w:name w:val="Heading_i"/>
    <w:basedOn w:val="Heading3"/>
    <w:next w:val="Normal"/>
    <w:rsid w:val="0011781F"/>
    <w:pPr>
      <w:spacing w:before="160" w:line="240" w:lineRule="auto"/>
      <w:ind w:left="0" w:firstLine="0"/>
    </w:pPr>
    <w:rPr>
      <w:rFonts w:eastAsia="Times New Roman" w:cs="Times New Roman"/>
      <w:b w:val="0"/>
      <w:i/>
      <w:sz w:val="22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2EBD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FE2902"/>
    <w:pPr>
      <w:spacing w:before="280" w:line="240" w:lineRule="auto"/>
      <w:jc w:val="both"/>
    </w:pPr>
    <w:rPr>
      <w:rFonts w:eastAsia="Times New Roman" w:cs="Times New Roman"/>
      <w:szCs w:val="20"/>
      <w:lang w:val="ru-RU"/>
    </w:rPr>
  </w:style>
  <w:style w:type="paragraph" w:customStyle="1" w:styleId="Annextitle">
    <w:name w:val="Annex_title"/>
    <w:basedOn w:val="Normal"/>
    <w:next w:val="Normalaftertitle"/>
    <w:rsid w:val="00FE2902"/>
    <w:pPr>
      <w:keepNext/>
      <w:keepLines/>
      <w:spacing w:before="240" w:after="280" w:line="240" w:lineRule="auto"/>
      <w:jc w:val="center"/>
    </w:pPr>
    <w:rPr>
      <w:rFonts w:eastAsia="Times New Roman" w:cs="Times New Roman"/>
      <w:b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E2902"/>
    <w:rPr>
      <w:rFonts w:cs="Times New Roman"/>
      <w:szCs w:val="20"/>
      <w:lang w:val="ru-RU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E2902"/>
    <w:rPr>
      <w:rFonts w:cs="Times New Roman"/>
      <w:b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D/study-grou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" TargetMode="External"/><Relationship Id="rId2" Type="http://schemas.openxmlformats.org/officeDocument/2006/relationships/hyperlink" Target="mailto:bdtmail@itu.int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1CF0599C3F4A629EB74A98FC6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F7EF-CF84-4B28-AF39-0201ACADD757}"/>
      </w:docPartPr>
      <w:docPartBody>
        <w:p w:rsidR="007936D9" w:rsidRDefault="005D16CA" w:rsidP="005D16CA">
          <w:pPr>
            <w:pStyle w:val="111CF0599C3F4A629EB74A98FC6D712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A"/>
    <w:rsid w:val="002F4EFF"/>
    <w:rsid w:val="005D16CA"/>
    <w:rsid w:val="005E3EA5"/>
    <w:rsid w:val="007936D9"/>
    <w:rsid w:val="00F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EA5"/>
    <w:rPr>
      <w:color w:val="808080"/>
    </w:rPr>
  </w:style>
  <w:style w:type="paragraph" w:customStyle="1" w:styleId="111CF0599C3F4A629EB74A98FC6D712F">
    <w:name w:val="111CF0599C3F4A629EB74A98FC6D712F"/>
    <w:rsid w:val="005D16CA"/>
  </w:style>
  <w:style w:type="paragraph" w:customStyle="1" w:styleId="6B75BBCCBC1A4BEF98C8216D4E8C37BC">
    <w:name w:val="6B75BBCCBC1A4BEF98C8216D4E8C37BC"/>
    <w:rsid w:val="005E3EA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57B0-498B-4D39-808F-6239F808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1</TotalTime>
  <Pages>5</Pages>
  <Words>1090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Fedosova, Elena</dc:creator>
  <cp:lastModifiedBy>BDT</cp:lastModifiedBy>
  <cp:revision>2</cp:revision>
  <cp:lastPrinted>2017-10-30T14:26:00Z</cp:lastPrinted>
  <dcterms:created xsi:type="dcterms:W3CDTF">2017-10-31T16:04:00Z</dcterms:created>
  <dcterms:modified xsi:type="dcterms:W3CDTF">2017-10-31T16:04:00Z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