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7750C" w14:paraId="29EB03BC" w14:textId="77777777" w:rsidTr="00777F4A">
        <w:trPr>
          <w:jc w:val="center"/>
        </w:trPr>
        <w:tc>
          <w:tcPr>
            <w:tcW w:w="9889" w:type="dxa"/>
            <w:gridSpan w:val="4"/>
            <w:vAlign w:val="center"/>
          </w:tcPr>
          <w:p w14:paraId="44B33452" w14:textId="77777777" w:rsidR="00563963" w:rsidRPr="0037750C" w:rsidRDefault="00563963">
            <w:pPr>
              <w:pStyle w:val="BDTSeparator"/>
              <w:rPr>
                <w:rFonts w:asciiTheme="minorHAnsi" w:hAnsiTheme="minorHAnsi"/>
                <w:szCs w:val="22"/>
              </w:rPr>
            </w:pPr>
          </w:p>
        </w:tc>
      </w:tr>
      <w:tr w:rsidR="00563963" w:rsidRPr="0037750C" w14:paraId="6D3B90F3" w14:textId="77777777" w:rsidTr="00777F4A">
        <w:trPr>
          <w:jc w:val="center"/>
        </w:trPr>
        <w:tc>
          <w:tcPr>
            <w:tcW w:w="1242" w:type="dxa"/>
            <w:vAlign w:val="center"/>
          </w:tcPr>
          <w:p w14:paraId="37FB03E3" w14:textId="77777777" w:rsidR="00563963" w:rsidRPr="0037750C" w:rsidRDefault="00563963" w:rsidP="001950AE">
            <w:pPr>
              <w:pStyle w:val="BDTRef"/>
              <w:rPr>
                <w:rFonts w:asciiTheme="minorHAnsi" w:hAnsiTheme="minorHAnsi"/>
                <w:szCs w:val="22"/>
                <w:highlight w:val="yellow"/>
              </w:rPr>
            </w:pPr>
            <w:r w:rsidRPr="0037750C">
              <w:rPr>
                <w:rFonts w:asciiTheme="minorHAnsi" w:hAnsiTheme="minorHAnsi"/>
                <w:szCs w:val="22"/>
              </w:rPr>
              <w:t>Ref.</w:t>
            </w:r>
            <w:r w:rsidR="008B7121" w:rsidRPr="0037750C">
              <w:rPr>
                <w:rFonts w:asciiTheme="minorHAnsi" w:hAnsiTheme="minorHAnsi"/>
                <w:szCs w:val="22"/>
              </w:rPr>
              <w:t>:</w:t>
            </w:r>
          </w:p>
        </w:tc>
        <w:tc>
          <w:tcPr>
            <w:tcW w:w="4111" w:type="dxa"/>
            <w:gridSpan w:val="2"/>
            <w:vAlign w:val="center"/>
          </w:tcPr>
          <w:p w14:paraId="33D0E4F8" w14:textId="73AE47E7" w:rsidR="00563963" w:rsidRPr="00DF7973" w:rsidRDefault="00DF7973" w:rsidP="00704E5F">
            <w:pPr>
              <w:pStyle w:val="BDTRef-Details"/>
              <w:rPr>
                <w:rFonts w:asciiTheme="minorHAnsi" w:hAnsiTheme="minorHAnsi"/>
                <w:szCs w:val="22"/>
                <w:lang w:val="de-CH"/>
              </w:rPr>
            </w:pPr>
            <w:r w:rsidRPr="00DF7973">
              <w:rPr>
                <w:color w:val="000000" w:themeColor="text1"/>
              </w:rPr>
              <w:t>BDT/</w:t>
            </w:r>
            <w:r w:rsidR="000821A9">
              <w:rPr>
                <w:color w:val="000000" w:themeColor="text1"/>
              </w:rPr>
              <w:t>DDR/DM/162</w:t>
            </w:r>
          </w:p>
        </w:tc>
        <w:tc>
          <w:tcPr>
            <w:tcW w:w="4536" w:type="dxa"/>
            <w:vAlign w:val="center"/>
          </w:tcPr>
          <w:p w14:paraId="6FECDF33" w14:textId="70F482DB" w:rsidR="00563963" w:rsidRPr="0037750C" w:rsidRDefault="008A7983" w:rsidP="00B85DDF">
            <w:pPr>
              <w:pStyle w:val="BDTDate"/>
              <w:rPr>
                <w:rFonts w:asciiTheme="minorHAnsi" w:hAnsiTheme="minorHAnsi"/>
                <w:szCs w:val="22"/>
                <w:lang w:val="en-GB"/>
              </w:rPr>
            </w:pPr>
            <w:r w:rsidRPr="0037750C">
              <w:rPr>
                <w:rFonts w:asciiTheme="minorHAnsi" w:hAnsiTheme="minorHAnsi"/>
                <w:szCs w:val="22"/>
                <w:lang w:val="en-GB"/>
              </w:rPr>
              <w:t xml:space="preserve">Geneva, </w:t>
            </w:r>
            <w:r w:rsidR="000821A9">
              <w:rPr>
                <w:rFonts w:asciiTheme="minorHAnsi" w:hAnsiTheme="minorHAnsi"/>
                <w:szCs w:val="22"/>
                <w:lang w:val="en-GB"/>
              </w:rPr>
              <w:t>20 July 2020</w:t>
            </w:r>
          </w:p>
        </w:tc>
      </w:tr>
      <w:tr w:rsidR="00563963" w:rsidRPr="0037750C" w14:paraId="3DF7756F" w14:textId="77777777" w:rsidTr="00777F4A">
        <w:trPr>
          <w:jc w:val="center"/>
        </w:trPr>
        <w:tc>
          <w:tcPr>
            <w:tcW w:w="1242" w:type="dxa"/>
            <w:vAlign w:val="center"/>
          </w:tcPr>
          <w:p w14:paraId="2134A9FF" w14:textId="77777777" w:rsidR="00563963" w:rsidRPr="0037750C" w:rsidRDefault="00563963">
            <w:pPr>
              <w:pStyle w:val="BDTSeparator"/>
              <w:rPr>
                <w:rFonts w:asciiTheme="minorHAnsi" w:hAnsiTheme="minorHAnsi"/>
                <w:szCs w:val="22"/>
                <w:highlight w:val="yellow"/>
              </w:rPr>
            </w:pPr>
          </w:p>
        </w:tc>
        <w:tc>
          <w:tcPr>
            <w:tcW w:w="4111" w:type="dxa"/>
            <w:gridSpan w:val="2"/>
            <w:vAlign w:val="center"/>
          </w:tcPr>
          <w:p w14:paraId="7C6A6EE1" w14:textId="77777777" w:rsidR="00563963" w:rsidRPr="0037750C" w:rsidRDefault="00563963">
            <w:pPr>
              <w:pStyle w:val="BDTSeparator"/>
              <w:rPr>
                <w:rFonts w:asciiTheme="minorHAnsi" w:hAnsiTheme="minorHAnsi"/>
                <w:szCs w:val="22"/>
              </w:rPr>
            </w:pPr>
          </w:p>
        </w:tc>
        <w:tc>
          <w:tcPr>
            <w:tcW w:w="4536" w:type="dxa"/>
            <w:vAlign w:val="center"/>
          </w:tcPr>
          <w:p w14:paraId="1A2CA660" w14:textId="77777777" w:rsidR="00563963" w:rsidRPr="0037750C" w:rsidRDefault="00563963">
            <w:pPr>
              <w:pStyle w:val="BDTSeparator"/>
              <w:rPr>
                <w:rFonts w:asciiTheme="minorHAnsi" w:hAnsiTheme="minorHAnsi"/>
                <w:szCs w:val="22"/>
              </w:rPr>
            </w:pPr>
          </w:p>
        </w:tc>
      </w:tr>
      <w:tr w:rsidR="000821A9" w:rsidRPr="0037750C" w14:paraId="73D4775A" w14:textId="77777777" w:rsidTr="00777F4A">
        <w:trPr>
          <w:jc w:val="center"/>
        </w:trPr>
        <w:tc>
          <w:tcPr>
            <w:tcW w:w="1242" w:type="dxa"/>
            <w:vAlign w:val="center"/>
          </w:tcPr>
          <w:p w14:paraId="596104E1" w14:textId="77777777" w:rsidR="000821A9" w:rsidRPr="0037750C" w:rsidRDefault="000821A9" w:rsidP="000821A9">
            <w:pPr>
              <w:pStyle w:val="BDTContact"/>
              <w:rPr>
                <w:rFonts w:asciiTheme="minorHAnsi" w:hAnsiTheme="minorHAnsi"/>
                <w:szCs w:val="22"/>
              </w:rPr>
            </w:pPr>
          </w:p>
        </w:tc>
        <w:tc>
          <w:tcPr>
            <w:tcW w:w="3827" w:type="dxa"/>
            <w:vAlign w:val="center"/>
          </w:tcPr>
          <w:p w14:paraId="7A05189B" w14:textId="77777777" w:rsidR="000821A9" w:rsidRPr="0037750C" w:rsidRDefault="000821A9" w:rsidP="000821A9">
            <w:pPr>
              <w:pStyle w:val="BDTContact-Details"/>
              <w:rPr>
                <w:rFonts w:asciiTheme="minorHAnsi" w:hAnsiTheme="minorHAnsi"/>
                <w:szCs w:val="22"/>
              </w:rPr>
            </w:pPr>
            <w:bookmarkStart w:id="0" w:name="Contact"/>
            <w:bookmarkEnd w:id="0"/>
          </w:p>
        </w:tc>
        <w:tc>
          <w:tcPr>
            <w:tcW w:w="284" w:type="dxa"/>
            <w:vAlign w:val="center"/>
          </w:tcPr>
          <w:p w14:paraId="308DEF97" w14:textId="77777777" w:rsidR="000821A9" w:rsidRPr="0037750C" w:rsidRDefault="000821A9" w:rsidP="000821A9">
            <w:pPr>
              <w:pStyle w:val="BDTContact-Details"/>
              <w:rPr>
                <w:rFonts w:asciiTheme="minorHAnsi" w:hAnsiTheme="minorHAnsi"/>
                <w:szCs w:val="22"/>
              </w:rPr>
            </w:pPr>
          </w:p>
        </w:tc>
        <w:tc>
          <w:tcPr>
            <w:tcW w:w="4536" w:type="dxa"/>
            <w:vMerge w:val="restart"/>
            <w:vAlign w:val="center"/>
          </w:tcPr>
          <w:p w14:paraId="13D4BEA0" w14:textId="77777777" w:rsidR="000821A9" w:rsidRPr="00486B82" w:rsidRDefault="000821A9" w:rsidP="000821A9">
            <w:pPr>
              <w:spacing w:before="240" w:after="0"/>
              <w:rPr>
                <w:rFonts w:asciiTheme="minorHAnsi" w:hAnsiTheme="minorHAnsi"/>
                <w:szCs w:val="22"/>
              </w:rPr>
            </w:pPr>
            <w:r w:rsidRPr="00486B82">
              <w:rPr>
                <w:rFonts w:asciiTheme="minorHAnsi" w:hAnsiTheme="minorHAnsi"/>
                <w:szCs w:val="22"/>
              </w:rPr>
              <w:t>To:</w:t>
            </w:r>
          </w:p>
          <w:p w14:paraId="63A1C67B" w14:textId="77777777" w:rsidR="000821A9" w:rsidRPr="00486B82" w:rsidRDefault="000821A9" w:rsidP="000821A9">
            <w:pPr>
              <w:spacing w:before="0" w:after="0"/>
              <w:rPr>
                <w:rFonts w:asciiTheme="minorHAnsi" w:hAnsiTheme="minorHAnsi"/>
                <w:szCs w:val="22"/>
              </w:rPr>
            </w:pPr>
            <w:r w:rsidRPr="00486B82">
              <w:rPr>
                <w:rFonts w:asciiTheme="minorHAnsi" w:hAnsiTheme="minorHAnsi"/>
                <w:szCs w:val="22"/>
              </w:rPr>
              <w:t xml:space="preserve">- </w:t>
            </w:r>
            <w:r>
              <w:rPr>
                <w:rFonts w:asciiTheme="minorHAnsi" w:hAnsiTheme="minorHAnsi"/>
                <w:szCs w:val="22"/>
              </w:rPr>
              <w:t>Regional Telecommunication Organizations</w:t>
            </w:r>
          </w:p>
          <w:p w14:paraId="50484C07" w14:textId="77777777" w:rsidR="000821A9" w:rsidRDefault="000821A9" w:rsidP="000821A9">
            <w:pPr>
              <w:spacing w:before="0" w:after="0"/>
              <w:rPr>
                <w:rFonts w:asciiTheme="minorHAnsi" w:hAnsiTheme="minorHAnsi"/>
                <w:szCs w:val="22"/>
              </w:rPr>
            </w:pPr>
            <w:r>
              <w:rPr>
                <w:rFonts w:asciiTheme="minorHAnsi" w:hAnsiTheme="minorHAnsi"/>
                <w:szCs w:val="22"/>
              </w:rPr>
              <w:t>- Chairmen TDAG Working Groups</w:t>
            </w:r>
          </w:p>
          <w:p w14:paraId="4EE64AE8" w14:textId="00997F3D" w:rsidR="000821A9" w:rsidRPr="0037750C" w:rsidRDefault="000821A9" w:rsidP="000821A9">
            <w:pPr>
              <w:pStyle w:val="BDTAddressee"/>
              <w:spacing w:after="120"/>
              <w:rPr>
                <w:rFonts w:asciiTheme="minorHAnsi" w:hAnsiTheme="minorHAnsi"/>
                <w:szCs w:val="22"/>
              </w:rPr>
            </w:pPr>
            <w:r w:rsidRPr="00486B82">
              <w:rPr>
                <w:rFonts w:asciiTheme="minorHAnsi" w:hAnsiTheme="minorHAnsi"/>
                <w:szCs w:val="22"/>
              </w:rPr>
              <w:t>- TDAG Bureau members</w:t>
            </w:r>
          </w:p>
        </w:tc>
      </w:tr>
      <w:tr w:rsidR="000821A9" w:rsidRPr="0037750C" w14:paraId="07CF11DB" w14:textId="77777777" w:rsidTr="00777F4A">
        <w:trPr>
          <w:jc w:val="center"/>
        </w:trPr>
        <w:tc>
          <w:tcPr>
            <w:tcW w:w="1242" w:type="dxa"/>
            <w:vAlign w:val="center"/>
          </w:tcPr>
          <w:p w14:paraId="38F3A611" w14:textId="77777777" w:rsidR="000821A9" w:rsidRPr="0037750C" w:rsidRDefault="000821A9" w:rsidP="000821A9">
            <w:pPr>
              <w:pStyle w:val="BDTContact"/>
              <w:rPr>
                <w:rFonts w:asciiTheme="minorHAnsi" w:hAnsiTheme="minorHAnsi"/>
                <w:szCs w:val="22"/>
              </w:rPr>
            </w:pPr>
          </w:p>
        </w:tc>
        <w:tc>
          <w:tcPr>
            <w:tcW w:w="3827" w:type="dxa"/>
            <w:vAlign w:val="center"/>
          </w:tcPr>
          <w:p w14:paraId="7636A314" w14:textId="77777777" w:rsidR="000821A9" w:rsidRPr="0037750C" w:rsidRDefault="000821A9" w:rsidP="000821A9">
            <w:pPr>
              <w:pStyle w:val="BDTContact-Details"/>
              <w:rPr>
                <w:rFonts w:asciiTheme="minorHAnsi" w:hAnsiTheme="minorHAnsi"/>
                <w:szCs w:val="22"/>
              </w:rPr>
            </w:pPr>
          </w:p>
        </w:tc>
        <w:tc>
          <w:tcPr>
            <w:tcW w:w="284" w:type="dxa"/>
            <w:vAlign w:val="center"/>
          </w:tcPr>
          <w:p w14:paraId="291B2C5B" w14:textId="77777777" w:rsidR="000821A9" w:rsidRPr="0037750C" w:rsidRDefault="000821A9" w:rsidP="000821A9">
            <w:pPr>
              <w:pStyle w:val="BDTContact-Details"/>
              <w:rPr>
                <w:rFonts w:asciiTheme="minorHAnsi" w:hAnsiTheme="minorHAnsi"/>
                <w:szCs w:val="22"/>
              </w:rPr>
            </w:pPr>
          </w:p>
        </w:tc>
        <w:tc>
          <w:tcPr>
            <w:tcW w:w="4536" w:type="dxa"/>
            <w:vMerge/>
            <w:vAlign w:val="center"/>
          </w:tcPr>
          <w:p w14:paraId="12815CBA" w14:textId="77777777" w:rsidR="000821A9" w:rsidRPr="0037750C" w:rsidRDefault="000821A9" w:rsidP="000821A9">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0821A9" w:rsidRPr="0037750C" w14:paraId="7DB95C7F" w14:textId="77777777" w:rsidTr="00777F4A">
        <w:trPr>
          <w:jc w:val="center"/>
        </w:trPr>
        <w:tc>
          <w:tcPr>
            <w:tcW w:w="1242" w:type="dxa"/>
            <w:vAlign w:val="center"/>
          </w:tcPr>
          <w:p w14:paraId="2DECC092" w14:textId="77777777" w:rsidR="000821A9" w:rsidRPr="0037750C" w:rsidRDefault="000821A9" w:rsidP="000821A9">
            <w:pPr>
              <w:pStyle w:val="BDTContact"/>
              <w:rPr>
                <w:rFonts w:asciiTheme="minorHAnsi" w:hAnsiTheme="minorHAnsi"/>
                <w:szCs w:val="22"/>
              </w:rPr>
            </w:pPr>
          </w:p>
        </w:tc>
        <w:tc>
          <w:tcPr>
            <w:tcW w:w="3827" w:type="dxa"/>
            <w:vAlign w:val="center"/>
          </w:tcPr>
          <w:p w14:paraId="6EA47BDA" w14:textId="77777777" w:rsidR="000821A9" w:rsidRPr="0037750C" w:rsidRDefault="000821A9" w:rsidP="000821A9">
            <w:pPr>
              <w:pStyle w:val="BDTContact-Details"/>
              <w:rPr>
                <w:rFonts w:asciiTheme="minorHAnsi" w:hAnsiTheme="minorHAnsi"/>
                <w:szCs w:val="22"/>
              </w:rPr>
            </w:pPr>
          </w:p>
        </w:tc>
        <w:tc>
          <w:tcPr>
            <w:tcW w:w="284" w:type="dxa"/>
            <w:vAlign w:val="center"/>
          </w:tcPr>
          <w:p w14:paraId="373039BB" w14:textId="77777777" w:rsidR="000821A9" w:rsidRPr="0037750C" w:rsidRDefault="000821A9" w:rsidP="000821A9">
            <w:pPr>
              <w:pStyle w:val="BDTContact-Details"/>
              <w:rPr>
                <w:rFonts w:asciiTheme="minorHAnsi" w:hAnsiTheme="minorHAnsi"/>
                <w:szCs w:val="22"/>
              </w:rPr>
            </w:pPr>
          </w:p>
        </w:tc>
        <w:tc>
          <w:tcPr>
            <w:tcW w:w="4536" w:type="dxa"/>
            <w:vMerge/>
            <w:vAlign w:val="center"/>
          </w:tcPr>
          <w:p w14:paraId="50238530" w14:textId="77777777" w:rsidR="000821A9" w:rsidRPr="0037750C" w:rsidRDefault="000821A9" w:rsidP="000821A9">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0821A9" w:rsidRPr="0037750C" w14:paraId="7D7B9FA7" w14:textId="77777777" w:rsidTr="00777F4A">
        <w:trPr>
          <w:jc w:val="center"/>
        </w:trPr>
        <w:tc>
          <w:tcPr>
            <w:tcW w:w="1242" w:type="dxa"/>
            <w:vAlign w:val="center"/>
          </w:tcPr>
          <w:p w14:paraId="4B1E8114" w14:textId="77777777" w:rsidR="000821A9" w:rsidRPr="0037750C" w:rsidRDefault="000821A9" w:rsidP="000821A9">
            <w:pPr>
              <w:pStyle w:val="BDTContact"/>
              <w:rPr>
                <w:rFonts w:asciiTheme="minorHAnsi" w:hAnsiTheme="minorHAnsi"/>
                <w:szCs w:val="22"/>
              </w:rPr>
            </w:pPr>
          </w:p>
        </w:tc>
        <w:tc>
          <w:tcPr>
            <w:tcW w:w="3827" w:type="dxa"/>
            <w:vAlign w:val="center"/>
          </w:tcPr>
          <w:p w14:paraId="6C4AA95D" w14:textId="77777777" w:rsidR="000821A9" w:rsidRPr="0037750C" w:rsidRDefault="000821A9" w:rsidP="000821A9">
            <w:pPr>
              <w:pStyle w:val="BDTContact-Details"/>
              <w:rPr>
                <w:rFonts w:asciiTheme="minorHAnsi" w:hAnsiTheme="minorHAnsi"/>
                <w:szCs w:val="22"/>
              </w:rPr>
            </w:pPr>
          </w:p>
        </w:tc>
        <w:tc>
          <w:tcPr>
            <w:tcW w:w="284" w:type="dxa"/>
            <w:vAlign w:val="center"/>
          </w:tcPr>
          <w:p w14:paraId="07505178" w14:textId="77777777" w:rsidR="000821A9" w:rsidRPr="0037750C" w:rsidRDefault="000821A9" w:rsidP="000821A9">
            <w:pPr>
              <w:pStyle w:val="BDTContact-Details"/>
              <w:rPr>
                <w:rFonts w:asciiTheme="minorHAnsi" w:hAnsiTheme="minorHAnsi"/>
                <w:szCs w:val="22"/>
              </w:rPr>
            </w:pPr>
          </w:p>
        </w:tc>
        <w:tc>
          <w:tcPr>
            <w:tcW w:w="4536" w:type="dxa"/>
            <w:vMerge/>
            <w:vAlign w:val="center"/>
          </w:tcPr>
          <w:p w14:paraId="2F5225A9" w14:textId="77777777" w:rsidR="000821A9" w:rsidRPr="0037750C" w:rsidRDefault="000821A9" w:rsidP="000821A9">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0821A9" w:rsidRPr="0037750C" w14:paraId="7CACC9F9" w14:textId="77777777" w:rsidTr="00777F4A">
        <w:trPr>
          <w:jc w:val="center"/>
        </w:trPr>
        <w:tc>
          <w:tcPr>
            <w:tcW w:w="1242" w:type="dxa"/>
            <w:vAlign w:val="center"/>
          </w:tcPr>
          <w:p w14:paraId="0AA8D304" w14:textId="77777777" w:rsidR="000821A9" w:rsidRPr="0037750C" w:rsidRDefault="000821A9" w:rsidP="000821A9">
            <w:pPr>
              <w:pStyle w:val="BDTContact"/>
              <w:spacing w:after="0"/>
              <w:rPr>
                <w:rFonts w:asciiTheme="minorHAnsi" w:hAnsiTheme="minorHAnsi"/>
                <w:szCs w:val="22"/>
              </w:rPr>
            </w:pPr>
          </w:p>
        </w:tc>
        <w:tc>
          <w:tcPr>
            <w:tcW w:w="3827" w:type="dxa"/>
            <w:vAlign w:val="center"/>
          </w:tcPr>
          <w:p w14:paraId="09B3F1FC" w14:textId="77777777" w:rsidR="000821A9" w:rsidRPr="0037750C" w:rsidRDefault="000821A9" w:rsidP="000821A9">
            <w:pPr>
              <w:pStyle w:val="BDTContact-Details"/>
              <w:rPr>
                <w:rFonts w:asciiTheme="minorHAnsi" w:hAnsiTheme="minorHAnsi"/>
                <w:szCs w:val="22"/>
              </w:rPr>
            </w:pPr>
          </w:p>
        </w:tc>
        <w:tc>
          <w:tcPr>
            <w:tcW w:w="284" w:type="dxa"/>
            <w:vAlign w:val="center"/>
          </w:tcPr>
          <w:p w14:paraId="5757067F" w14:textId="77777777" w:rsidR="000821A9" w:rsidRPr="0037750C" w:rsidRDefault="000821A9" w:rsidP="000821A9">
            <w:pPr>
              <w:pStyle w:val="BDTContact-Details"/>
              <w:rPr>
                <w:rFonts w:asciiTheme="minorHAnsi" w:hAnsiTheme="minorHAnsi"/>
                <w:szCs w:val="22"/>
              </w:rPr>
            </w:pPr>
          </w:p>
        </w:tc>
        <w:tc>
          <w:tcPr>
            <w:tcW w:w="4536" w:type="dxa"/>
            <w:vMerge/>
            <w:vAlign w:val="center"/>
          </w:tcPr>
          <w:p w14:paraId="40A10796" w14:textId="77777777" w:rsidR="000821A9" w:rsidRPr="0037750C" w:rsidRDefault="000821A9" w:rsidP="000821A9">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0821A9" w:rsidRPr="0037750C" w14:paraId="5F78C4D9" w14:textId="77777777" w:rsidTr="00777F4A">
        <w:trPr>
          <w:jc w:val="center"/>
        </w:trPr>
        <w:tc>
          <w:tcPr>
            <w:tcW w:w="9889" w:type="dxa"/>
            <w:gridSpan w:val="4"/>
            <w:vAlign w:val="center"/>
          </w:tcPr>
          <w:p w14:paraId="0BCD566A" w14:textId="77777777" w:rsidR="000821A9" w:rsidRPr="0037750C" w:rsidRDefault="000821A9" w:rsidP="000821A9">
            <w:pPr>
              <w:pStyle w:val="BDTSeparator"/>
              <w:rPr>
                <w:rFonts w:asciiTheme="minorHAnsi" w:hAnsiTheme="minorHAnsi"/>
                <w:szCs w:val="22"/>
              </w:rPr>
            </w:pPr>
          </w:p>
        </w:tc>
      </w:tr>
      <w:tr w:rsidR="000821A9" w:rsidRPr="0037750C" w14:paraId="07A2F691" w14:textId="77777777" w:rsidTr="00777F4A">
        <w:trPr>
          <w:jc w:val="center"/>
        </w:trPr>
        <w:tc>
          <w:tcPr>
            <w:tcW w:w="1242" w:type="dxa"/>
            <w:vAlign w:val="center"/>
          </w:tcPr>
          <w:p w14:paraId="37249658" w14:textId="77777777" w:rsidR="000821A9" w:rsidRPr="0037750C" w:rsidRDefault="000821A9" w:rsidP="000821A9">
            <w:pPr>
              <w:pStyle w:val="BDTSubject"/>
              <w:spacing w:before="120" w:after="120" w:line="720" w:lineRule="auto"/>
              <w:rPr>
                <w:rFonts w:asciiTheme="minorHAnsi" w:hAnsiTheme="minorHAnsi"/>
                <w:b/>
                <w:bCs/>
                <w:szCs w:val="22"/>
              </w:rPr>
            </w:pPr>
            <w:r w:rsidRPr="0037750C">
              <w:rPr>
                <w:rFonts w:asciiTheme="minorHAnsi" w:hAnsiTheme="minorHAnsi"/>
                <w:b/>
                <w:bCs/>
                <w:szCs w:val="22"/>
              </w:rPr>
              <w:t>Subject:</w:t>
            </w:r>
          </w:p>
        </w:tc>
        <w:tc>
          <w:tcPr>
            <w:tcW w:w="8647" w:type="dxa"/>
            <w:gridSpan w:val="3"/>
            <w:vAlign w:val="center"/>
          </w:tcPr>
          <w:p w14:paraId="11A87BD3" w14:textId="7EA2D81D" w:rsidR="000821A9" w:rsidRPr="0037750C" w:rsidRDefault="000821A9" w:rsidP="000821A9">
            <w:pPr>
              <w:pStyle w:val="BDTSubjectdetail"/>
              <w:spacing w:before="120" w:after="120"/>
              <w:rPr>
                <w:rFonts w:asciiTheme="minorHAnsi" w:hAnsiTheme="minorHAnsi"/>
                <w:b/>
                <w:bCs/>
                <w:szCs w:val="22"/>
                <w:lang w:val="en-US"/>
              </w:rPr>
            </w:pPr>
            <w:bookmarkStart w:id="1" w:name="Subject"/>
            <w:bookmarkEnd w:id="1"/>
            <w:r>
              <w:rPr>
                <w:b/>
                <w:bCs/>
                <w:sz w:val="23"/>
                <w:szCs w:val="23"/>
              </w:rPr>
              <w:t>Invitation to appoint focal points to coordinate regional preparations for World Telecommunication Development Conference 2021 (WTDC-21) and to the Strategic and Operational Plans</w:t>
            </w:r>
          </w:p>
        </w:tc>
      </w:tr>
      <w:tr w:rsidR="000821A9" w:rsidRPr="0037750C" w14:paraId="6C7C7A33" w14:textId="77777777" w:rsidTr="00777F4A">
        <w:trPr>
          <w:jc w:val="center"/>
        </w:trPr>
        <w:tc>
          <w:tcPr>
            <w:tcW w:w="9889" w:type="dxa"/>
            <w:gridSpan w:val="4"/>
            <w:vAlign w:val="center"/>
          </w:tcPr>
          <w:p w14:paraId="11D9D2E6" w14:textId="77777777" w:rsidR="000821A9" w:rsidRPr="0037750C" w:rsidRDefault="000821A9" w:rsidP="000821A9">
            <w:pPr>
              <w:pStyle w:val="BDTSeparator"/>
              <w:rPr>
                <w:rFonts w:asciiTheme="minorHAnsi" w:hAnsiTheme="minorHAnsi"/>
                <w:szCs w:val="22"/>
                <w:lang w:val="en-US"/>
              </w:rPr>
            </w:pPr>
          </w:p>
        </w:tc>
      </w:tr>
      <w:tr w:rsidR="000821A9" w:rsidRPr="0037750C" w14:paraId="27CF3301" w14:textId="77777777" w:rsidTr="00777F4A">
        <w:trPr>
          <w:jc w:val="center"/>
        </w:trPr>
        <w:tc>
          <w:tcPr>
            <w:tcW w:w="9889" w:type="dxa"/>
            <w:gridSpan w:val="4"/>
            <w:vAlign w:val="center"/>
          </w:tcPr>
          <w:p w14:paraId="6F1A20F1" w14:textId="77777777" w:rsidR="000821A9" w:rsidRPr="004153E8" w:rsidRDefault="000821A9" w:rsidP="000821A9">
            <w:pPr>
              <w:spacing w:before="0" w:after="0"/>
              <w:jc w:val="both"/>
              <w:rPr>
                <w:rFonts w:eastAsia="SimHei" w:cs="Simplified Arabic"/>
                <w:sz w:val="23"/>
                <w:szCs w:val="23"/>
              </w:rPr>
            </w:pPr>
            <w:bookmarkStart w:id="2" w:name="Formula"/>
            <w:bookmarkStart w:id="3" w:name="MainStory"/>
            <w:bookmarkStart w:id="4" w:name="CurrentLocation"/>
            <w:bookmarkEnd w:id="2"/>
            <w:bookmarkEnd w:id="3"/>
            <w:bookmarkEnd w:id="4"/>
            <w:r w:rsidRPr="004153E8">
              <w:rPr>
                <w:rFonts w:eastAsia="SimHei" w:cs="Simplified Arabic"/>
                <w:sz w:val="23"/>
                <w:szCs w:val="23"/>
              </w:rPr>
              <w:t>Dear Sir/Madam,</w:t>
            </w:r>
          </w:p>
          <w:p w14:paraId="586EB5CF" w14:textId="77777777" w:rsidR="000821A9" w:rsidRDefault="000821A9" w:rsidP="000821A9">
            <w:pPr>
              <w:spacing w:before="160"/>
              <w:jc w:val="both"/>
              <w:rPr>
                <w:rFonts w:eastAsia="SimHei" w:cs="Simplified Arabic"/>
                <w:sz w:val="23"/>
                <w:szCs w:val="23"/>
              </w:rPr>
            </w:pPr>
            <w:r>
              <w:rPr>
                <w:rFonts w:eastAsia="SimHei" w:cs="Simplified Arabic"/>
                <w:sz w:val="23"/>
                <w:szCs w:val="23"/>
              </w:rPr>
              <w:t>I would like to refer to the meetings of the TDAG Working Groups that took place on 16 and 17 July 2020, fully virtually, as follows: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970"/>
              <w:gridCol w:w="1693"/>
            </w:tblGrid>
            <w:tr w:rsidR="000821A9" w:rsidRPr="00885BDB" w14:paraId="1755ECC5" w14:textId="77777777" w:rsidTr="00F5675B">
              <w:tc>
                <w:tcPr>
                  <w:tcW w:w="7970" w:type="dxa"/>
                </w:tcPr>
                <w:p w14:paraId="2A41B492" w14:textId="77777777" w:rsidR="000821A9" w:rsidRPr="00885BDB" w:rsidRDefault="000821A9" w:rsidP="000821A9">
                  <w:pPr>
                    <w:keepNext/>
                    <w:spacing w:before="40" w:after="40"/>
                    <w:jc w:val="both"/>
                    <w:rPr>
                      <w:rFonts w:eastAsia="SimHei" w:cs="Simplified Arabic"/>
                      <w:b/>
                      <w:bCs/>
                      <w:sz w:val="22"/>
                      <w:szCs w:val="22"/>
                      <w:lang w:val="en-GB"/>
                    </w:rPr>
                  </w:pPr>
                  <w:r w:rsidRPr="00885BDB">
                    <w:rPr>
                      <w:rFonts w:eastAsia="SimHei" w:cs="Simplified Arabic"/>
                      <w:b/>
                      <w:bCs/>
                      <w:sz w:val="22"/>
                      <w:szCs w:val="22"/>
                      <w:lang w:val="en-GB"/>
                    </w:rPr>
                    <w:t>Working Group</w:t>
                  </w:r>
                </w:p>
              </w:tc>
              <w:tc>
                <w:tcPr>
                  <w:tcW w:w="1693" w:type="dxa"/>
                </w:tcPr>
                <w:p w14:paraId="35B90DDF" w14:textId="77777777" w:rsidR="000821A9" w:rsidRPr="00885BDB" w:rsidRDefault="000821A9" w:rsidP="000821A9">
                  <w:pPr>
                    <w:keepNext/>
                    <w:spacing w:before="40" w:after="40"/>
                    <w:jc w:val="center"/>
                    <w:rPr>
                      <w:rFonts w:eastAsia="SimHei" w:cs="Simplified Arabic"/>
                      <w:b/>
                      <w:bCs/>
                      <w:sz w:val="22"/>
                      <w:szCs w:val="22"/>
                      <w:lang w:val="en-GB"/>
                    </w:rPr>
                  </w:pPr>
                  <w:r>
                    <w:rPr>
                      <w:rFonts w:eastAsia="SimHei" w:cs="Simplified Arabic"/>
                      <w:b/>
                      <w:bCs/>
                      <w:sz w:val="22"/>
                      <w:szCs w:val="22"/>
                      <w:lang w:val="en-GB"/>
                    </w:rPr>
                    <w:t>Date of kick-off meeting</w:t>
                  </w:r>
                </w:p>
              </w:tc>
            </w:tr>
            <w:tr w:rsidR="000821A9" w:rsidRPr="00EA605C" w14:paraId="7BE412A0" w14:textId="77777777" w:rsidTr="00F5675B">
              <w:tc>
                <w:tcPr>
                  <w:tcW w:w="7970" w:type="dxa"/>
                </w:tcPr>
                <w:p w14:paraId="5669035A" w14:textId="77777777" w:rsidR="000821A9" w:rsidRPr="00885BDB" w:rsidRDefault="000821A9" w:rsidP="000821A9">
                  <w:pPr>
                    <w:spacing w:before="40" w:after="40"/>
                    <w:rPr>
                      <w:rFonts w:eastAsia="SimHei" w:cs="Simplified Arabic"/>
                      <w:sz w:val="21"/>
                      <w:szCs w:val="21"/>
                      <w:lang w:val="en-GB"/>
                    </w:rPr>
                  </w:pPr>
                  <w:r w:rsidRPr="00885BDB">
                    <w:rPr>
                      <w:rFonts w:eastAsia="SimHei" w:cs="Simplified Arabic"/>
                      <w:sz w:val="21"/>
                      <w:szCs w:val="21"/>
                      <w:lang w:val="en-GB"/>
                    </w:rPr>
                    <w:t>TDAG Working Group on WTDC Preparations</w:t>
                  </w:r>
                  <w:r>
                    <w:rPr>
                      <w:rFonts w:eastAsia="SimHei" w:cs="Simplified Arabic"/>
                      <w:sz w:val="21"/>
                      <w:szCs w:val="21"/>
                      <w:lang w:val="en-GB"/>
                    </w:rPr>
                    <w:t xml:space="preserve"> (</w:t>
                  </w:r>
                  <w:hyperlink r:id="rId8" w:history="1">
                    <w:r w:rsidRPr="00412F67">
                      <w:rPr>
                        <w:rStyle w:val="Hyperlink"/>
                        <w:rFonts w:eastAsia="SimHei" w:cs="Simplified Arabic"/>
                        <w:sz w:val="21"/>
                        <w:szCs w:val="21"/>
                        <w:lang w:val="en-GB"/>
                      </w:rPr>
                      <w:t>TDAG-WG-Prep</w:t>
                    </w:r>
                  </w:hyperlink>
                  <w:r>
                    <w:rPr>
                      <w:rFonts w:eastAsia="SimHei" w:cs="Simplified Arabic"/>
                      <w:sz w:val="21"/>
                      <w:szCs w:val="21"/>
                      <w:lang w:val="en-GB"/>
                    </w:rPr>
                    <w:t>)</w:t>
                  </w:r>
                </w:p>
              </w:tc>
              <w:tc>
                <w:tcPr>
                  <w:tcW w:w="1693" w:type="dxa"/>
                </w:tcPr>
                <w:p w14:paraId="15B27FF8" w14:textId="77777777" w:rsidR="000821A9" w:rsidRPr="00EA605C" w:rsidRDefault="000821A9" w:rsidP="000821A9">
                  <w:pPr>
                    <w:keepNext/>
                    <w:spacing w:before="40" w:after="40"/>
                    <w:jc w:val="center"/>
                    <w:rPr>
                      <w:rFonts w:eastAsia="SimHei" w:cs="Simplified Arabic"/>
                      <w:sz w:val="21"/>
                      <w:szCs w:val="21"/>
                      <w:lang w:val="en-GB"/>
                    </w:rPr>
                  </w:pPr>
                  <w:r w:rsidRPr="00EA605C">
                    <w:rPr>
                      <w:rFonts w:eastAsia="SimHei" w:cs="Simplified Arabic"/>
                      <w:sz w:val="21"/>
                      <w:szCs w:val="21"/>
                      <w:lang w:val="en-GB"/>
                    </w:rPr>
                    <w:t>16 July</w:t>
                  </w:r>
                </w:p>
              </w:tc>
            </w:tr>
            <w:tr w:rsidR="000821A9" w:rsidRPr="004A0876" w14:paraId="4D43AF43" w14:textId="77777777" w:rsidTr="00F5675B">
              <w:tc>
                <w:tcPr>
                  <w:tcW w:w="7970" w:type="dxa"/>
                </w:tcPr>
                <w:p w14:paraId="77AB738A" w14:textId="77777777" w:rsidR="000821A9" w:rsidRPr="00885BDB" w:rsidRDefault="000821A9" w:rsidP="000821A9">
                  <w:pPr>
                    <w:keepNext/>
                    <w:spacing w:before="40" w:after="40"/>
                    <w:rPr>
                      <w:rFonts w:eastAsia="SimHei" w:cs="Simplified Arabic"/>
                      <w:sz w:val="21"/>
                      <w:szCs w:val="21"/>
                      <w:lang w:val="en-GB"/>
                    </w:rPr>
                  </w:pPr>
                  <w:r w:rsidRPr="00885BDB">
                    <w:rPr>
                      <w:rFonts w:eastAsia="SimHei" w:cs="Simplified Arabic"/>
                      <w:sz w:val="21"/>
                      <w:szCs w:val="21"/>
                      <w:lang w:val="en-GB"/>
                    </w:rPr>
                    <w:t>TDAG Working Group on WTDC Resolutions, Declaration and Thematic Priorities</w:t>
                  </w:r>
                  <w:r>
                    <w:rPr>
                      <w:rFonts w:eastAsia="SimHei" w:cs="Simplified Arabic"/>
                      <w:sz w:val="21"/>
                      <w:szCs w:val="21"/>
                      <w:lang w:val="en-GB"/>
                    </w:rPr>
                    <w:t xml:space="preserve"> (</w:t>
                  </w:r>
                  <w:hyperlink r:id="rId9" w:history="1">
                    <w:r w:rsidRPr="003A643A">
                      <w:rPr>
                        <w:rStyle w:val="Hyperlink"/>
                        <w:rFonts w:eastAsia="SimHei" w:cs="Simplified Arabic"/>
                        <w:sz w:val="21"/>
                        <w:szCs w:val="21"/>
                        <w:lang w:val="en-US"/>
                      </w:rPr>
                      <w:t>TDAG-WG-RDTP</w:t>
                    </w:r>
                  </w:hyperlink>
                  <w:r>
                    <w:rPr>
                      <w:rFonts w:eastAsia="SimHei" w:cs="Simplified Arabic"/>
                      <w:sz w:val="21"/>
                      <w:szCs w:val="21"/>
                      <w:lang w:val="en-GB"/>
                    </w:rPr>
                    <w:t>)</w:t>
                  </w:r>
                </w:p>
              </w:tc>
              <w:tc>
                <w:tcPr>
                  <w:tcW w:w="1693" w:type="dxa"/>
                </w:tcPr>
                <w:p w14:paraId="077C793C" w14:textId="77777777" w:rsidR="000821A9" w:rsidRPr="004A0876" w:rsidRDefault="000821A9" w:rsidP="000821A9">
                  <w:pPr>
                    <w:keepNext/>
                    <w:spacing w:before="40" w:after="40"/>
                    <w:jc w:val="center"/>
                    <w:rPr>
                      <w:rFonts w:eastAsia="SimHei" w:cs="Simplified Arabic"/>
                      <w:sz w:val="21"/>
                      <w:szCs w:val="21"/>
                      <w:lang w:val="en-GB"/>
                    </w:rPr>
                  </w:pPr>
                  <w:r w:rsidRPr="004A0876">
                    <w:rPr>
                      <w:rFonts w:eastAsia="SimHei" w:cs="Simplified Arabic"/>
                      <w:sz w:val="21"/>
                      <w:szCs w:val="21"/>
                      <w:lang w:val="en-GB"/>
                    </w:rPr>
                    <w:t>16 July</w:t>
                  </w:r>
                </w:p>
              </w:tc>
            </w:tr>
            <w:tr w:rsidR="000821A9" w:rsidRPr="004A0876" w14:paraId="11DDC34D" w14:textId="77777777" w:rsidTr="00F5675B">
              <w:tc>
                <w:tcPr>
                  <w:tcW w:w="7970" w:type="dxa"/>
                </w:tcPr>
                <w:p w14:paraId="38A78D95" w14:textId="3F7EC29D" w:rsidR="000821A9" w:rsidRPr="00885BDB" w:rsidRDefault="000821A9" w:rsidP="000821A9">
                  <w:pPr>
                    <w:spacing w:before="40" w:after="40"/>
                    <w:rPr>
                      <w:rFonts w:eastAsia="SimHei" w:cs="Simplified Arabic"/>
                      <w:sz w:val="21"/>
                      <w:szCs w:val="21"/>
                      <w:lang w:val="en-GB"/>
                    </w:rPr>
                  </w:pPr>
                  <w:r w:rsidRPr="00885BDB">
                    <w:rPr>
                      <w:rFonts w:eastAsia="SimHei" w:cs="Simplified Arabic"/>
                      <w:sz w:val="21"/>
                      <w:szCs w:val="21"/>
                      <w:lang w:val="en-GB"/>
                    </w:rPr>
                    <w:t>TDAG Working Group on Strategic and Operational Plans</w:t>
                  </w:r>
                  <w:r>
                    <w:rPr>
                      <w:rFonts w:eastAsia="SimHei" w:cs="Simplified Arabic"/>
                      <w:sz w:val="21"/>
                      <w:szCs w:val="21"/>
                      <w:lang w:val="en-GB"/>
                    </w:rPr>
                    <w:t xml:space="preserve"> (</w:t>
                  </w:r>
                  <w:hyperlink r:id="rId10" w:history="1">
                    <w:r w:rsidR="004247C1" w:rsidRPr="004247C1">
                      <w:rPr>
                        <w:rStyle w:val="Hyperlink"/>
                        <w:sz w:val="21"/>
                        <w:szCs w:val="21"/>
                        <w:lang w:val="en-GB"/>
                      </w:rPr>
                      <w:t>TDAG-WG-SOP</w:t>
                    </w:r>
                  </w:hyperlink>
                  <w:r w:rsidR="004247C1">
                    <w:rPr>
                      <w:sz w:val="21"/>
                      <w:szCs w:val="21"/>
                      <w:lang w:val="en-GB"/>
                    </w:rPr>
                    <w:t>)</w:t>
                  </w:r>
                  <w:bookmarkStart w:id="5" w:name="_GoBack"/>
                  <w:bookmarkEnd w:id="5"/>
                </w:p>
              </w:tc>
              <w:tc>
                <w:tcPr>
                  <w:tcW w:w="1693" w:type="dxa"/>
                </w:tcPr>
                <w:p w14:paraId="0EEF6AB8" w14:textId="77777777" w:rsidR="000821A9" w:rsidRPr="004A0876" w:rsidRDefault="000821A9" w:rsidP="000821A9">
                  <w:pPr>
                    <w:keepNext/>
                    <w:spacing w:before="40" w:after="40"/>
                    <w:jc w:val="center"/>
                    <w:rPr>
                      <w:rFonts w:eastAsia="SimHei" w:cs="Simplified Arabic"/>
                      <w:sz w:val="21"/>
                      <w:szCs w:val="21"/>
                      <w:lang w:val="en-GB"/>
                    </w:rPr>
                  </w:pPr>
                  <w:r w:rsidRPr="004A0876">
                    <w:rPr>
                      <w:rFonts w:eastAsia="SimHei" w:cs="Simplified Arabic"/>
                      <w:sz w:val="21"/>
                      <w:szCs w:val="21"/>
                      <w:lang w:val="en-GB"/>
                    </w:rPr>
                    <w:t xml:space="preserve">17 </w:t>
                  </w:r>
                  <w:r>
                    <w:rPr>
                      <w:rFonts w:eastAsia="SimHei" w:cs="Simplified Arabic"/>
                      <w:sz w:val="21"/>
                      <w:szCs w:val="21"/>
                      <w:lang w:val="en-GB"/>
                    </w:rPr>
                    <w:t>July</w:t>
                  </w:r>
                </w:p>
              </w:tc>
            </w:tr>
          </w:tbl>
          <w:p w14:paraId="039A2C21" w14:textId="77777777" w:rsidR="000821A9" w:rsidRDefault="000821A9" w:rsidP="000821A9">
            <w:pPr>
              <w:spacing w:before="160" w:after="0"/>
              <w:jc w:val="both"/>
              <w:rPr>
                <w:rFonts w:eastAsia="SimHei" w:cs="Simplified Arabic"/>
                <w:sz w:val="23"/>
                <w:szCs w:val="23"/>
              </w:rPr>
            </w:pPr>
            <w:r>
              <w:rPr>
                <w:rFonts w:eastAsia="SimHei" w:cs="Simplified Arabic"/>
                <w:sz w:val="23"/>
                <w:szCs w:val="23"/>
              </w:rPr>
              <w:t xml:space="preserve">The items on the agenda for the said meetings were, for all three groups, mainly procedural in nature and thus the participants discussed the workplans for the groups, as well as their working methods, including the following item: </w:t>
            </w:r>
          </w:p>
          <w:p w14:paraId="4C9BA895" w14:textId="77777777" w:rsidR="000821A9" w:rsidRDefault="000821A9" w:rsidP="000821A9">
            <w:pPr>
              <w:spacing w:before="160" w:after="0"/>
              <w:jc w:val="both"/>
              <w:rPr>
                <w:rFonts w:eastAsia="SimHei" w:cs="Simplified Arabic"/>
                <w:sz w:val="23"/>
                <w:szCs w:val="23"/>
              </w:rPr>
            </w:pPr>
            <w:r>
              <w:rPr>
                <w:rFonts w:eastAsia="SimHei" w:cs="Simplified Arabic"/>
                <w:sz w:val="23"/>
                <w:szCs w:val="23"/>
              </w:rPr>
              <w:t>e.</w:t>
            </w:r>
            <w:r>
              <w:rPr>
                <w:rFonts w:eastAsia="SimHei" w:cs="Simplified Arabic"/>
                <w:sz w:val="23"/>
                <w:szCs w:val="23"/>
              </w:rPr>
              <w:tab/>
              <w:t>Recommendation for RTOs to designate focal points for regional coordination</w:t>
            </w:r>
          </w:p>
          <w:p w14:paraId="0A9F379F" w14:textId="77777777" w:rsidR="000821A9" w:rsidRDefault="000821A9" w:rsidP="000821A9">
            <w:pPr>
              <w:spacing w:before="160" w:after="0"/>
              <w:jc w:val="both"/>
              <w:rPr>
                <w:rFonts w:eastAsia="SimHei" w:cs="Simplified Arabic"/>
                <w:sz w:val="23"/>
                <w:szCs w:val="23"/>
                <w:lang w:val="en-GB"/>
              </w:rPr>
            </w:pPr>
            <w:r>
              <w:rPr>
                <w:rFonts w:eastAsia="SimHei" w:cs="Simplified Arabic"/>
                <w:sz w:val="23"/>
                <w:szCs w:val="23"/>
                <w:lang w:val="en-GB"/>
              </w:rPr>
              <w:t>It is under this agenda item that I am reaching out to you to invite your organisation to nominate a focal point to better coordinate the activities in your region related to the three TDAG Working Groups.</w:t>
            </w:r>
          </w:p>
          <w:p w14:paraId="192579EC" w14:textId="77777777" w:rsidR="000821A9" w:rsidRDefault="000821A9" w:rsidP="000821A9">
            <w:pPr>
              <w:spacing w:before="160" w:after="0"/>
              <w:jc w:val="both"/>
              <w:rPr>
                <w:rFonts w:eastAsia="SimHei" w:cs="Simplified Arabic"/>
                <w:sz w:val="23"/>
                <w:szCs w:val="23"/>
                <w:lang w:val="en-GB"/>
              </w:rPr>
            </w:pPr>
            <w:r>
              <w:rPr>
                <w:rFonts w:eastAsia="SimHei" w:cs="Simplified Arabic"/>
                <w:sz w:val="23"/>
                <w:szCs w:val="23"/>
                <w:lang w:val="en-GB"/>
              </w:rPr>
              <w:t>I look forward to receiving the names of the focal points appointed by your organisation.</w:t>
            </w:r>
          </w:p>
          <w:p w14:paraId="4DC31E30" w14:textId="77777777" w:rsidR="000821A9" w:rsidRPr="004153E8" w:rsidRDefault="000821A9" w:rsidP="000821A9">
            <w:pPr>
              <w:keepNext/>
              <w:spacing w:before="240" w:after="0"/>
              <w:jc w:val="both"/>
              <w:rPr>
                <w:rFonts w:eastAsia="SimHei" w:cs="Simplified Arabic"/>
                <w:sz w:val="23"/>
                <w:szCs w:val="23"/>
              </w:rPr>
            </w:pPr>
            <w:r w:rsidRPr="004153E8">
              <w:rPr>
                <w:rFonts w:eastAsia="SimHei" w:cs="Simplified Arabic"/>
                <w:sz w:val="23"/>
                <w:szCs w:val="23"/>
              </w:rPr>
              <w:t>Yours faithfully,</w:t>
            </w:r>
          </w:p>
          <w:p w14:paraId="5169EDE7" w14:textId="17F6ECED" w:rsidR="000821A9" w:rsidRDefault="000821A9" w:rsidP="000821A9">
            <w:pPr>
              <w:keepNext/>
              <w:spacing w:before="0"/>
              <w:rPr>
                <w:rFonts w:eastAsia="SimHei" w:cs="Simplified Arabic"/>
                <w:sz w:val="23"/>
                <w:szCs w:val="23"/>
              </w:rPr>
            </w:pPr>
          </w:p>
          <w:p w14:paraId="67D8A848" w14:textId="132CBD1C" w:rsidR="000821A9" w:rsidRPr="004153E8" w:rsidRDefault="000821A9" w:rsidP="000821A9">
            <w:pPr>
              <w:keepNext/>
              <w:spacing w:before="0" w:after="240"/>
              <w:rPr>
                <w:rFonts w:eastAsia="SimHei" w:cs="Simplified Arabic"/>
                <w:sz w:val="23"/>
                <w:szCs w:val="23"/>
              </w:rPr>
            </w:pPr>
            <w:r>
              <w:rPr>
                <w:rFonts w:eastAsia="SimHei" w:cs="Simplified Arabic"/>
                <w:sz w:val="23"/>
                <w:szCs w:val="23"/>
              </w:rPr>
              <w:t>[Original signed]</w:t>
            </w:r>
          </w:p>
          <w:p w14:paraId="121AC39E" w14:textId="7DBCCB89" w:rsidR="000821A9" w:rsidRPr="0037750C" w:rsidRDefault="000821A9" w:rsidP="000821A9">
            <w:pPr>
              <w:pStyle w:val="CEONormal"/>
              <w:spacing w:before="0" w:after="0"/>
              <w:rPr>
                <w:rFonts w:asciiTheme="minorHAnsi" w:hAnsiTheme="minorHAnsi"/>
                <w:lang w:val="es-ES"/>
              </w:rPr>
            </w:pPr>
            <w:r w:rsidRPr="004153E8">
              <w:rPr>
                <w:rFonts w:eastAsia="SimHei" w:cs="Simplified Arabic"/>
                <w:sz w:val="23"/>
                <w:szCs w:val="23"/>
              </w:rPr>
              <w:t>Doreen Bogdan-Martin</w:t>
            </w:r>
            <w:r w:rsidRPr="004153E8">
              <w:rPr>
                <w:rFonts w:eastAsia="SimHei" w:cs="Simplified Arabic"/>
                <w:sz w:val="23"/>
                <w:szCs w:val="23"/>
              </w:rPr>
              <w:br/>
              <w:t xml:space="preserve">Director </w:t>
            </w:r>
            <w:bookmarkStart w:id="6" w:name="Signature"/>
            <w:bookmarkEnd w:id="6"/>
          </w:p>
        </w:tc>
      </w:tr>
    </w:tbl>
    <w:p w14:paraId="48639F65" w14:textId="77777777" w:rsidR="00AB6B91" w:rsidRPr="0037750C" w:rsidRDefault="00AB6B91" w:rsidP="006D7F0E">
      <w:pPr>
        <w:spacing w:before="0" w:after="0"/>
        <w:rPr>
          <w:rFonts w:asciiTheme="minorHAnsi" w:hAnsiTheme="minorHAnsi"/>
          <w:szCs w:val="22"/>
        </w:rPr>
      </w:pPr>
    </w:p>
    <w:sectPr w:rsidR="00AB6B91" w:rsidRPr="0037750C" w:rsidSect="00AB6B91">
      <w:headerReference w:type="even" r:id="rId11"/>
      <w:headerReference w:type="default" r:id="rId12"/>
      <w:headerReference w:type="first" r:id="rId13"/>
      <w:footerReference w:type="first"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16BD5"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14:paraId="6622CBA1"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5FEAC610" w14:textId="77777777" w:rsidR="000821A9" w:rsidRDefault="000821A9"/>
  </w:endnote>
  <w:endnote w:type="continuationSeparator" w:id="0">
    <w:p w14:paraId="1461653E"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7775BCB5"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7AD56D00" w14:textId="77777777" w:rsidR="000821A9" w:rsidRDefault="0008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bertus Medium">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6CCE" w14:textId="77777777" w:rsidR="00831DCD" w:rsidRDefault="00831DCD" w:rsidP="00BC6294">
    <w:pPr>
      <w:tabs>
        <w:tab w:val="right" w:pos="9072"/>
      </w:tabs>
      <w:spacing w:before="0" w:after="0"/>
      <w:jc w:val="center"/>
      <w:rPr>
        <w:rFonts w:eastAsia="SimHei"/>
        <w:sz w:val="18"/>
        <w:lang w:val="fr-CH"/>
      </w:rPr>
    </w:pPr>
  </w:p>
  <w:p w14:paraId="27A015DF" w14:textId="77777777" w:rsidR="00137A51" w:rsidRPr="00BC6294" w:rsidRDefault="00BC6294" w:rsidP="00BC6294">
    <w:pPr>
      <w:tabs>
        <w:tab w:val="right" w:pos="9072"/>
      </w:tabs>
      <w:spacing w:before="0" w:after="0"/>
      <w:jc w:val="center"/>
      <w:rPr>
        <w:rFonts w:eastAsia="SimHei"/>
        <w:sz w:val="18"/>
        <w:lang w:val="fr-CH"/>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4C74"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14:paraId="1F4AC793"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12D7062E" w14:textId="77777777" w:rsidR="000821A9" w:rsidRDefault="000821A9"/>
  </w:footnote>
  <w:footnote w:type="continuationSeparator" w:id="0">
    <w:p w14:paraId="60F7EF18"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229C61CF" w14:textId="77777777" w:rsidR="000821A9" w:rsidRDefault="000821A9">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6460FFDD" w14:textId="77777777" w:rsidR="000821A9" w:rsidRDefault="000821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228243"/>
      <w:docPartObj>
        <w:docPartGallery w:val="Page Numbers (Top of Page)"/>
        <w:docPartUnique/>
      </w:docPartObj>
    </w:sdtPr>
    <w:sdtEndPr>
      <w:rPr>
        <w:noProof/>
      </w:rPr>
    </w:sdtEndPr>
    <w:sdtContent>
      <w:p w14:paraId="34C1DBA7" w14:textId="77777777" w:rsidR="006B105A" w:rsidRDefault="006B105A">
        <w:pPr>
          <w:pStyle w:val="Header"/>
          <w:jc w:val="center"/>
          <w:rPr>
            <w:noProof/>
          </w:rPr>
        </w:pPr>
        <w:r>
          <w:fldChar w:fldCharType="begin"/>
        </w:r>
        <w:r>
          <w:instrText xml:space="preserve"> PAGE   \* MERGEFORMAT </w:instrText>
        </w:r>
        <w:r>
          <w:fldChar w:fldCharType="separate"/>
        </w:r>
        <w:r w:rsidR="00AB6B91">
          <w:rPr>
            <w:noProof/>
          </w:rPr>
          <w:t>2</w:t>
        </w:r>
        <w:r>
          <w:rPr>
            <w:noProof/>
          </w:rPr>
          <w:fldChar w:fldCharType="end"/>
        </w:r>
      </w:p>
      <w:p w14:paraId="0C146BFD" w14:textId="77777777" w:rsidR="006B105A" w:rsidRDefault="004247C1" w:rsidP="008F2F42">
        <w:pPr>
          <w:pStyle w:val="Header"/>
        </w:pPr>
      </w:p>
    </w:sdtContent>
  </w:sdt>
  <w:p w14:paraId="067F85FB" w14:textId="77777777" w:rsidR="006B105A" w:rsidRDefault="006B1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82434"/>
      <w:docPartObj>
        <w:docPartGallery w:val="Page Numbers (Top of Page)"/>
        <w:docPartUnique/>
      </w:docPartObj>
    </w:sdtPr>
    <w:sdtEndPr>
      <w:rPr>
        <w:noProof/>
      </w:rPr>
    </w:sdtEndPr>
    <w:sdtContent>
      <w:p w14:paraId="6ED43F9B" w14:textId="77777777" w:rsidR="00472C4B" w:rsidRDefault="00AB6B91" w:rsidP="00AB6B91">
        <w:pPr>
          <w:pStyle w:val="Header"/>
          <w:jc w:val="center"/>
        </w:pPr>
        <w:r>
          <w:fldChar w:fldCharType="begin"/>
        </w:r>
        <w:r>
          <w:instrText xml:space="preserve"> PAGE   \* MERGEFORMAT </w:instrText>
        </w:r>
        <w:r>
          <w:fldChar w:fldCharType="separate"/>
        </w:r>
        <w:r w:rsidR="00D729AA">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5FC2" w14:textId="77777777" w:rsidR="009B0270" w:rsidRPr="00867A3D" w:rsidRDefault="00D729AA"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r w:rsidRPr="008E52B1">
      <w:rPr>
        <w:noProof/>
        <w:color w:val="3399FF"/>
        <w:lang w:eastAsia="zh-CN"/>
      </w:rPr>
      <w:drawing>
        <wp:inline distT="0" distB="0" distL="0" distR="0" wp14:anchorId="6BA6C895" wp14:editId="7869FBC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22644AE" w14:textId="77777777" w:rsidR="009B0270" w:rsidRPr="00867A3D" w:rsidRDefault="009B0270" w:rsidP="009B0270">
    <w:pPr>
      <w:tabs>
        <w:tab w:val="left" w:pos="794"/>
        <w:tab w:val="left" w:pos="1191"/>
        <w:tab w:val="left" w:pos="1588"/>
        <w:tab w:val="left" w:pos="1985"/>
      </w:tabs>
      <w:overflowPunct w:val="0"/>
      <w:autoSpaceDE w:val="0"/>
      <w:autoSpaceDN w:val="0"/>
      <w:adjustRightInd w:val="0"/>
      <w:spacing w:before="0"/>
      <w:textAlignment w:val="baseline"/>
      <w:rPr>
        <w:rStyle w:val="BDTName"/>
        <w:sz w:val="24"/>
        <w:szCs w:val="24"/>
      </w:rPr>
    </w:pPr>
  </w:p>
  <w:p w14:paraId="7125B1AE" w14:textId="77777777" w:rsidR="00472C4B" w:rsidRPr="00867A3D" w:rsidRDefault="009B0270" w:rsidP="009B0270">
    <w:pPr>
      <w:tabs>
        <w:tab w:val="left" w:pos="794"/>
        <w:tab w:val="left" w:pos="1191"/>
        <w:tab w:val="left" w:pos="1588"/>
        <w:tab w:val="left" w:pos="1985"/>
      </w:tabs>
      <w:overflowPunct w:val="0"/>
      <w:autoSpaceDE w:val="0"/>
      <w:autoSpaceDN w:val="0"/>
      <w:adjustRightInd w:val="0"/>
      <w:spacing w:before="0"/>
      <w:textAlignment w:val="baseline"/>
      <w:rPr>
        <w:sz w:val="24"/>
        <w:szCs w:val="24"/>
      </w:rPr>
    </w:pPr>
    <w:r w:rsidRPr="00867A3D">
      <w:rPr>
        <w:rStyle w:val="BDTName"/>
        <w:sz w:val="24"/>
        <w:szCs w:val="24"/>
      </w:rPr>
      <w:t>Telecommunication</w:t>
    </w:r>
    <w:r w:rsidRPr="00867A3D">
      <w:rPr>
        <w:rStyle w:val="BDTName"/>
        <w:rFonts w:cs="Traditional Arabic"/>
        <w:sz w:val="24"/>
        <w:szCs w:val="24"/>
      </w:rPr>
      <w:t xml:space="preserve"> </w:t>
    </w:r>
    <w:r w:rsidRPr="00867A3D">
      <w:rPr>
        <w:rStyle w:val="BDTName"/>
        <w:rFonts w:cs="Traditional Arabic"/>
        <w:sz w:val="24"/>
        <w:szCs w:val="24"/>
      </w:rPr>
      <w:br/>
      <w:t>Development Bureau (BDT)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FFFFFF7C"/>
    <w:multiLevelType w:val="singleLevel"/>
    <w:tmpl w:val="489870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5E1A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6C0FF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D682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6E5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EA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E2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24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B7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2E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751120C"/>
    <w:multiLevelType w:val="hybridMultilevel"/>
    <w:tmpl w:val="179C1FBE"/>
    <w:lvl w:ilvl="0" w:tplc="4D647F10">
      <w:start w:val="1"/>
      <w:numFmt w:val="decimal"/>
      <w:lvlText w:val="%1."/>
      <w:lvlJc w:val="left"/>
      <w:pPr>
        <w:ind w:left="927" w:hanging="360"/>
      </w:pPr>
      <w:rPr>
        <w:b w:val="0"/>
        <w:bCs w:val="0"/>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7036E"/>
    <w:multiLevelType w:val="hybridMultilevel"/>
    <w:tmpl w:val="A6B88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8"/>
  </w:num>
  <w:num w:numId="2">
    <w:abstractNumId w:val="28"/>
  </w:num>
  <w:num w:numId="3">
    <w:abstractNumId w:val="21"/>
  </w:num>
  <w:num w:numId="4">
    <w:abstractNumId w:val="20"/>
  </w:num>
  <w:num w:numId="5">
    <w:abstractNumId w:val="18"/>
  </w:num>
  <w:num w:numId="6">
    <w:abstractNumId w:val="14"/>
  </w:num>
  <w:num w:numId="7">
    <w:abstractNumId w:val="25"/>
  </w:num>
  <w:num w:numId="8">
    <w:abstractNumId w:val="27"/>
  </w:num>
  <w:num w:numId="9">
    <w:abstractNumId w:val="24"/>
  </w:num>
  <w:num w:numId="10">
    <w:abstractNumId w:val="15"/>
  </w:num>
  <w:num w:numId="11">
    <w:abstractNumId w:val="28"/>
  </w:num>
  <w:num w:numId="12">
    <w:abstractNumId w:val="19"/>
    <w:lvlOverride w:ilvl="0">
      <w:startOverride w:val="1"/>
    </w:lvlOverride>
  </w:num>
  <w:num w:numId="13">
    <w:abstractNumId w:val="28"/>
  </w:num>
  <w:num w:numId="14">
    <w:abstractNumId w:val="28"/>
  </w:num>
  <w:num w:numId="15">
    <w:abstractNumId w:val="21"/>
  </w:num>
  <w:num w:numId="16">
    <w:abstractNumId w:val="20"/>
  </w:num>
  <w:num w:numId="17">
    <w:abstractNumId w:val="18"/>
  </w:num>
  <w:num w:numId="18">
    <w:abstractNumId w:val="14"/>
  </w:num>
  <w:num w:numId="19">
    <w:abstractNumId w:val="25"/>
  </w:num>
  <w:num w:numId="20">
    <w:abstractNumId w:val="27"/>
  </w:num>
  <w:num w:numId="21">
    <w:abstractNumId w:val="24"/>
  </w:num>
  <w:num w:numId="22">
    <w:abstractNumId w:val="15"/>
  </w:num>
  <w:num w:numId="23">
    <w:abstractNumId w:val="28"/>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7"/>
  </w:num>
  <w:num w:numId="37">
    <w:abstractNumId w:val="21"/>
  </w:num>
  <w:num w:numId="38">
    <w:abstractNumId w:val="26"/>
  </w:num>
  <w:num w:numId="39">
    <w:abstractNumId w:val="28"/>
  </w:num>
  <w:num w:numId="40">
    <w:abstractNumId w:val="20"/>
  </w:num>
  <w:num w:numId="41">
    <w:abstractNumId w:val="18"/>
  </w:num>
  <w:num w:numId="42">
    <w:abstractNumId w:val="14"/>
  </w:num>
  <w:num w:numId="43">
    <w:abstractNumId w:val="25"/>
  </w:num>
  <w:num w:numId="44">
    <w:abstractNumId w:val="24"/>
  </w:num>
  <w:num w:numId="45">
    <w:abstractNumId w:val="15"/>
  </w:num>
  <w:num w:numId="46">
    <w:abstractNumId w:val="26"/>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0821A9"/>
    <w:rsid w:val="000250B2"/>
    <w:rsid w:val="00040129"/>
    <w:rsid w:val="000821A9"/>
    <w:rsid w:val="0008307C"/>
    <w:rsid w:val="00083361"/>
    <w:rsid w:val="00085E2E"/>
    <w:rsid w:val="000912B2"/>
    <w:rsid w:val="0009681E"/>
    <w:rsid w:val="000A008B"/>
    <w:rsid w:val="000B1C1B"/>
    <w:rsid w:val="000B6E38"/>
    <w:rsid w:val="000C5788"/>
    <w:rsid w:val="000C7908"/>
    <w:rsid w:val="000D2000"/>
    <w:rsid w:val="000E573B"/>
    <w:rsid w:val="000F1761"/>
    <w:rsid w:val="000F20A2"/>
    <w:rsid w:val="00104B05"/>
    <w:rsid w:val="00105DC1"/>
    <w:rsid w:val="00137A51"/>
    <w:rsid w:val="001405AD"/>
    <w:rsid w:val="001466E3"/>
    <w:rsid w:val="00147582"/>
    <w:rsid w:val="00152685"/>
    <w:rsid w:val="00155E2E"/>
    <w:rsid w:val="00163E88"/>
    <w:rsid w:val="00167BD8"/>
    <w:rsid w:val="001706C0"/>
    <w:rsid w:val="001950AE"/>
    <w:rsid w:val="0019683E"/>
    <w:rsid w:val="001A27B7"/>
    <w:rsid w:val="001A50DB"/>
    <w:rsid w:val="001C23C4"/>
    <w:rsid w:val="001E1B22"/>
    <w:rsid w:val="001F376B"/>
    <w:rsid w:val="0022331B"/>
    <w:rsid w:val="00237EC0"/>
    <w:rsid w:val="00261F55"/>
    <w:rsid w:val="00272BB0"/>
    <w:rsid w:val="002860F8"/>
    <w:rsid w:val="0028640A"/>
    <w:rsid w:val="002C7449"/>
    <w:rsid w:val="002D7282"/>
    <w:rsid w:val="002E24CE"/>
    <w:rsid w:val="002E4014"/>
    <w:rsid w:val="002F0502"/>
    <w:rsid w:val="003019D6"/>
    <w:rsid w:val="00301C7D"/>
    <w:rsid w:val="00306CC9"/>
    <w:rsid w:val="00311ECB"/>
    <w:rsid w:val="0033597E"/>
    <w:rsid w:val="0034565B"/>
    <w:rsid w:val="00350658"/>
    <w:rsid w:val="00366FFB"/>
    <w:rsid w:val="003754FF"/>
    <w:rsid w:val="0037750C"/>
    <w:rsid w:val="003925B6"/>
    <w:rsid w:val="00397410"/>
    <w:rsid w:val="003C5B91"/>
    <w:rsid w:val="003E4048"/>
    <w:rsid w:val="004247C1"/>
    <w:rsid w:val="00431DF9"/>
    <w:rsid w:val="004505DB"/>
    <w:rsid w:val="00450BD9"/>
    <w:rsid w:val="00452FD3"/>
    <w:rsid w:val="00453D41"/>
    <w:rsid w:val="00465EA3"/>
    <w:rsid w:val="004702DE"/>
    <w:rsid w:val="00472C4B"/>
    <w:rsid w:val="004A4249"/>
    <w:rsid w:val="004B4F44"/>
    <w:rsid w:val="004C0C9D"/>
    <w:rsid w:val="004D2E86"/>
    <w:rsid w:val="004F1439"/>
    <w:rsid w:val="004F7D4B"/>
    <w:rsid w:val="00524617"/>
    <w:rsid w:val="00563963"/>
    <w:rsid w:val="00564E74"/>
    <w:rsid w:val="00580B00"/>
    <w:rsid w:val="005A6B77"/>
    <w:rsid w:val="005B2843"/>
    <w:rsid w:val="005D2B82"/>
    <w:rsid w:val="00611098"/>
    <w:rsid w:val="0063090D"/>
    <w:rsid w:val="0063723C"/>
    <w:rsid w:val="00673A6C"/>
    <w:rsid w:val="00693251"/>
    <w:rsid w:val="006A61CA"/>
    <w:rsid w:val="006B105A"/>
    <w:rsid w:val="006B3588"/>
    <w:rsid w:val="006B4212"/>
    <w:rsid w:val="006B7C59"/>
    <w:rsid w:val="006C424B"/>
    <w:rsid w:val="006D7F0E"/>
    <w:rsid w:val="006E7BE1"/>
    <w:rsid w:val="006E7E3A"/>
    <w:rsid w:val="006F2693"/>
    <w:rsid w:val="00704E5F"/>
    <w:rsid w:val="00720E83"/>
    <w:rsid w:val="0073093C"/>
    <w:rsid w:val="007528CA"/>
    <w:rsid w:val="00765CCA"/>
    <w:rsid w:val="00771F6B"/>
    <w:rsid w:val="00777F4A"/>
    <w:rsid w:val="007A36B8"/>
    <w:rsid w:val="007A3D23"/>
    <w:rsid w:val="007A66FA"/>
    <w:rsid w:val="007B29D4"/>
    <w:rsid w:val="007D6313"/>
    <w:rsid w:val="007E1DE8"/>
    <w:rsid w:val="00831DCD"/>
    <w:rsid w:val="00832D0B"/>
    <w:rsid w:val="00833D88"/>
    <w:rsid w:val="0083424C"/>
    <w:rsid w:val="00843BB9"/>
    <w:rsid w:val="00865260"/>
    <w:rsid w:val="00867A3D"/>
    <w:rsid w:val="00887941"/>
    <w:rsid w:val="00894938"/>
    <w:rsid w:val="008A7983"/>
    <w:rsid w:val="008A7AA7"/>
    <w:rsid w:val="008B7121"/>
    <w:rsid w:val="008C592A"/>
    <w:rsid w:val="008C6864"/>
    <w:rsid w:val="008D0C63"/>
    <w:rsid w:val="008D1F9D"/>
    <w:rsid w:val="008D2D01"/>
    <w:rsid w:val="008F2F42"/>
    <w:rsid w:val="008F5BC8"/>
    <w:rsid w:val="00907C95"/>
    <w:rsid w:val="00916C12"/>
    <w:rsid w:val="00924850"/>
    <w:rsid w:val="00953BBA"/>
    <w:rsid w:val="009714B2"/>
    <w:rsid w:val="0097562D"/>
    <w:rsid w:val="00977BB0"/>
    <w:rsid w:val="00985ECC"/>
    <w:rsid w:val="00986F20"/>
    <w:rsid w:val="00992232"/>
    <w:rsid w:val="009B0270"/>
    <w:rsid w:val="009B6B47"/>
    <w:rsid w:val="009C173E"/>
    <w:rsid w:val="009C3981"/>
    <w:rsid w:val="009F0447"/>
    <w:rsid w:val="009F4012"/>
    <w:rsid w:val="00A02840"/>
    <w:rsid w:val="00A03A63"/>
    <w:rsid w:val="00A14489"/>
    <w:rsid w:val="00A148C4"/>
    <w:rsid w:val="00A5182F"/>
    <w:rsid w:val="00A63256"/>
    <w:rsid w:val="00A6785D"/>
    <w:rsid w:val="00A7482D"/>
    <w:rsid w:val="00A9056F"/>
    <w:rsid w:val="00A9564F"/>
    <w:rsid w:val="00AA6BBD"/>
    <w:rsid w:val="00AB185D"/>
    <w:rsid w:val="00AB6B91"/>
    <w:rsid w:val="00AD135C"/>
    <w:rsid w:val="00AF53BB"/>
    <w:rsid w:val="00B04533"/>
    <w:rsid w:val="00B23469"/>
    <w:rsid w:val="00B424A5"/>
    <w:rsid w:val="00B45647"/>
    <w:rsid w:val="00B577EF"/>
    <w:rsid w:val="00B7533A"/>
    <w:rsid w:val="00B85DDF"/>
    <w:rsid w:val="00B9305C"/>
    <w:rsid w:val="00B95739"/>
    <w:rsid w:val="00BC3D9B"/>
    <w:rsid w:val="00BC6294"/>
    <w:rsid w:val="00BD615D"/>
    <w:rsid w:val="00BE7818"/>
    <w:rsid w:val="00BF2DF7"/>
    <w:rsid w:val="00C06072"/>
    <w:rsid w:val="00C14E73"/>
    <w:rsid w:val="00C17D7E"/>
    <w:rsid w:val="00C204F2"/>
    <w:rsid w:val="00C51EA1"/>
    <w:rsid w:val="00C53D94"/>
    <w:rsid w:val="00C62CD1"/>
    <w:rsid w:val="00C73D7B"/>
    <w:rsid w:val="00CB37B7"/>
    <w:rsid w:val="00CE10C2"/>
    <w:rsid w:val="00CE2CA3"/>
    <w:rsid w:val="00CF44AC"/>
    <w:rsid w:val="00CF574D"/>
    <w:rsid w:val="00D0332D"/>
    <w:rsid w:val="00D16BEC"/>
    <w:rsid w:val="00D20B51"/>
    <w:rsid w:val="00D22B36"/>
    <w:rsid w:val="00D27930"/>
    <w:rsid w:val="00D309B2"/>
    <w:rsid w:val="00D729AA"/>
    <w:rsid w:val="00D749E0"/>
    <w:rsid w:val="00D83BA8"/>
    <w:rsid w:val="00D9106D"/>
    <w:rsid w:val="00D96991"/>
    <w:rsid w:val="00DA6FD5"/>
    <w:rsid w:val="00DB5A6C"/>
    <w:rsid w:val="00DB600F"/>
    <w:rsid w:val="00DD084D"/>
    <w:rsid w:val="00DF7973"/>
    <w:rsid w:val="00E17E30"/>
    <w:rsid w:val="00E42828"/>
    <w:rsid w:val="00E42B1F"/>
    <w:rsid w:val="00E6378F"/>
    <w:rsid w:val="00E7149D"/>
    <w:rsid w:val="00E807A9"/>
    <w:rsid w:val="00E91C04"/>
    <w:rsid w:val="00EA085F"/>
    <w:rsid w:val="00EF376E"/>
    <w:rsid w:val="00F00FB5"/>
    <w:rsid w:val="00F155E7"/>
    <w:rsid w:val="00F22944"/>
    <w:rsid w:val="00F34A36"/>
    <w:rsid w:val="00F361AE"/>
    <w:rsid w:val="00F46498"/>
    <w:rsid w:val="00F532B3"/>
    <w:rsid w:val="00F55550"/>
    <w:rsid w:val="00F73252"/>
    <w:rsid w:val="00F853A0"/>
    <w:rsid w:val="00FA1AC1"/>
    <w:rsid w:val="00FA63C0"/>
    <w:rsid w:val="00FC258E"/>
    <w:rsid w:val="00FD2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48775"/>
  <w15:docId w15:val="{C36C588F-11DC-467B-BAFA-2F01F7DC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spacing w:before="60" w:after="60"/>
      <w:ind w:right="709"/>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3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Conferences/TDAG/Pages/TDAG_WG_WTDC_Prep.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D/Conferences/TDAG/Pages/TDAG_WG_SOP.aspx" TargetMode="External"/><Relationship Id="rId4" Type="http://schemas.openxmlformats.org/officeDocument/2006/relationships/settings" Target="settings.xml"/><Relationship Id="rId9" Type="http://schemas.openxmlformats.org/officeDocument/2006/relationships/hyperlink" Target="https://www.itu.int/en/ITU-D/Conferences/TDAG/Pages/TDAG_WG_WTDC.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81AE-2C0D-4CC6-9D7A-D83FA4C4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Villar Cabrera, Silvia </dc:creator>
  <cp:lastModifiedBy>Villar Cabrera, Silvia</cp:lastModifiedBy>
  <cp:revision>2</cp:revision>
  <cp:lastPrinted>2017-12-18T10:21:00Z</cp:lastPrinted>
  <dcterms:created xsi:type="dcterms:W3CDTF">2020-07-20T13:52:00Z</dcterms:created>
  <dcterms:modified xsi:type="dcterms:W3CDTF">2020-07-20T14:25:00Z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