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985"/>
        <w:gridCol w:w="1277"/>
      </w:tblGrid>
      <w:tr w:rsidR="008A3538" w:rsidRPr="00AE2BCA" w14:paraId="17753B25" w14:textId="77777777" w:rsidTr="008A3538">
        <w:trPr>
          <w:cantSplit/>
        </w:trPr>
        <w:tc>
          <w:tcPr>
            <w:tcW w:w="1985" w:type="dxa"/>
          </w:tcPr>
          <w:p w14:paraId="65C0AF54" w14:textId="329EA308" w:rsidR="008A3538" w:rsidRPr="00641CA0" w:rsidRDefault="008A3538" w:rsidP="008A3538">
            <w:pPr>
              <w:spacing w:after="120"/>
              <w:rPr>
                <w:b/>
                <w:bCs/>
                <w:sz w:val="32"/>
                <w:szCs w:val="32"/>
                <w:lang w:val="fr-CH"/>
              </w:rPr>
            </w:pPr>
            <w:r>
              <w:rPr>
                <w:b/>
                <w:bCs/>
                <w:noProof/>
                <w:sz w:val="32"/>
                <w:szCs w:val="32"/>
                <w:lang w:val="fr-CH"/>
              </w:rPr>
              <w:drawing>
                <wp:inline distT="0" distB="0" distL="0" distR="0" wp14:anchorId="0AE139C9" wp14:editId="7D727941">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33A8873" w14:textId="05D69CA4" w:rsidR="008A3538" w:rsidRPr="00D52E04" w:rsidRDefault="008A3538" w:rsidP="008A3538">
            <w:pPr>
              <w:spacing w:before="360" w:after="120"/>
              <w:rPr>
                <w:b/>
                <w:bCs/>
                <w:sz w:val="32"/>
                <w:szCs w:val="32"/>
                <w:lang w:val="es-ES"/>
              </w:rPr>
            </w:pPr>
            <w:r w:rsidRPr="00D52E04">
              <w:rPr>
                <w:b/>
                <w:bCs/>
                <w:sz w:val="32"/>
                <w:szCs w:val="32"/>
                <w:lang w:val="es-ES"/>
              </w:rPr>
              <w:t xml:space="preserve">Reunión Preparatoria Regional de la CMDT-21 </w:t>
            </w:r>
            <w:r w:rsidRPr="00D52E04">
              <w:rPr>
                <w:b/>
                <w:bCs/>
                <w:sz w:val="32"/>
                <w:szCs w:val="32"/>
                <w:lang w:val="es-ES"/>
              </w:rPr>
              <w:br/>
              <w:t>para las Américas (RPM-AMS)</w:t>
            </w:r>
            <w:r w:rsidRPr="00D52E04">
              <w:rPr>
                <w:b/>
                <w:bCs/>
                <w:sz w:val="32"/>
                <w:szCs w:val="32"/>
                <w:lang w:val="es-ES"/>
              </w:rPr>
              <w:br/>
            </w:r>
            <w:r w:rsidRPr="00D52E04">
              <w:rPr>
                <w:b/>
                <w:bCs/>
                <w:szCs w:val="24"/>
                <w:lang w:val="es-ES"/>
              </w:rPr>
              <w:t xml:space="preserve">Virtual, </w:t>
            </w:r>
            <w:r w:rsidR="00651B06" w:rsidRPr="00D52E04">
              <w:rPr>
                <w:b/>
                <w:bCs/>
                <w:szCs w:val="24"/>
                <w:lang w:val="es-ES"/>
              </w:rPr>
              <w:t>26</w:t>
            </w:r>
            <w:r w:rsidRPr="00D52E04">
              <w:rPr>
                <w:b/>
                <w:bCs/>
                <w:szCs w:val="24"/>
                <w:lang w:val="es-ES"/>
              </w:rPr>
              <w:t>-</w:t>
            </w:r>
            <w:r w:rsidR="00651B06" w:rsidRPr="00D52E04">
              <w:rPr>
                <w:b/>
                <w:bCs/>
                <w:szCs w:val="24"/>
                <w:lang w:val="es-ES"/>
              </w:rPr>
              <w:t>27</w:t>
            </w:r>
            <w:r w:rsidRPr="00D52E04">
              <w:rPr>
                <w:b/>
                <w:bCs/>
                <w:szCs w:val="24"/>
                <w:lang w:val="es-ES"/>
              </w:rPr>
              <w:t xml:space="preserve"> de abril de 2021</w:t>
            </w:r>
          </w:p>
        </w:tc>
        <w:tc>
          <w:tcPr>
            <w:tcW w:w="1277" w:type="dxa"/>
          </w:tcPr>
          <w:p w14:paraId="279197B1" w14:textId="09B5E2EB" w:rsidR="008A3538" w:rsidRPr="00AE2BCA" w:rsidRDefault="008A3538" w:rsidP="008A3538">
            <w:pPr>
              <w:spacing w:before="240"/>
              <w:ind w:right="142"/>
              <w:jc w:val="right"/>
            </w:pPr>
            <w:r>
              <w:rPr>
                <w:noProof/>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2D0049" w14:paraId="02CA2556" w14:textId="77777777" w:rsidTr="00504609">
        <w:trPr>
          <w:cantSplit/>
          <w:trHeight w:val="238"/>
        </w:trPr>
        <w:tc>
          <w:tcPr>
            <w:tcW w:w="6379" w:type="dxa"/>
            <w:gridSpan w:val="2"/>
            <w:tcBorders>
              <w:top w:val="single" w:sz="12" w:space="0" w:color="auto"/>
            </w:tcBorders>
          </w:tcPr>
          <w:p w14:paraId="5057834D" w14:textId="77777777" w:rsidR="0070796E" w:rsidRPr="002D0049" w:rsidRDefault="0070796E" w:rsidP="00504609">
            <w:pPr>
              <w:spacing w:before="0"/>
              <w:rPr>
                <w:lang w:val="en-US"/>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504609">
        <w:trPr>
          <w:cantSplit/>
          <w:trHeight w:val="20"/>
        </w:trPr>
        <w:tc>
          <w:tcPr>
            <w:tcW w:w="6379" w:type="dxa"/>
            <w:gridSpan w:val="2"/>
            <w:vMerge w:val="restart"/>
          </w:tcPr>
          <w:p w14:paraId="20070EC3" w14:textId="77777777" w:rsidR="0070796E" w:rsidRPr="002D0049" w:rsidRDefault="0070796E" w:rsidP="00504609">
            <w:pPr>
              <w:rPr>
                <w:lang w:val="en-US"/>
              </w:rPr>
            </w:pPr>
          </w:p>
        </w:tc>
        <w:tc>
          <w:tcPr>
            <w:tcW w:w="3262" w:type="dxa"/>
            <w:gridSpan w:val="2"/>
          </w:tcPr>
          <w:p w14:paraId="49CE235C" w14:textId="6838A1A0" w:rsidR="0070796E" w:rsidRPr="0093043A" w:rsidRDefault="0070796E" w:rsidP="00504609">
            <w:pPr>
              <w:spacing w:before="0"/>
              <w:rPr>
                <w:b/>
                <w:bCs/>
                <w:szCs w:val="24"/>
                <w:lang w:val="fr-CH"/>
              </w:rPr>
            </w:pPr>
            <w:proofErr w:type="spellStart"/>
            <w:r w:rsidRPr="0093043A">
              <w:rPr>
                <w:b/>
                <w:bCs/>
                <w:szCs w:val="24"/>
                <w:lang w:val="fr-CH"/>
              </w:rPr>
              <w:t>Document</w:t>
            </w:r>
            <w:r w:rsidR="00EC43F5">
              <w:rPr>
                <w:b/>
                <w:bCs/>
                <w:szCs w:val="24"/>
                <w:lang w:val="fr-CH"/>
              </w:rPr>
              <w:t>o</w:t>
            </w:r>
            <w:proofErr w:type="spellEnd"/>
            <w:r w:rsidR="006527BD" w:rsidRPr="0093043A">
              <w:rPr>
                <w:b/>
                <w:bCs/>
                <w:szCs w:val="24"/>
                <w:lang w:val="fr-CH"/>
              </w:rPr>
              <w:t xml:space="preserve"> </w:t>
            </w:r>
            <w:bookmarkStart w:id="2" w:name="DocRef1"/>
            <w:bookmarkEnd w:id="2"/>
            <w:r w:rsidR="00FF089C" w:rsidRPr="0093043A">
              <w:rPr>
                <w:b/>
                <w:bCs/>
                <w:szCs w:val="24"/>
                <w:lang w:val="fr-CH"/>
              </w:rPr>
              <w:t>RPM-</w:t>
            </w:r>
            <w:r w:rsidR="000309D3">
              <w:rPr>
                <w:b/>
                <w:bCs/>
                <w:szCs w:val="24"/>
                <w:lang w:val="fr-CH"/>
              </w:rPr>
              <w:t>AMS</w:t>
            </w:r>
            <w:r w:rsidR="00504609">
              <w:rPr>
                <w:b/>
                <w:bCs/>
                <w:szCs w:val="24"/>
                <w:lang w:val="fr-CH"/>
              </w:rPr>
              <w:t>21</w:t>
            </w:r>
            <w:r w:rsidR="00FF089C" w:rsidRPr="0093043A">
              <w:rPr>
                <w:b/>
                <w:bCs/>
                <w:szCs w:val="24"/>
                <w:lang w:val="fr-CH"/>
              </w:rPr>
              <w:t>/</w:t>
            </w:r>
            <w:r w:rsidR="0010493A">
              <w:rPr>
                <w:b/>
                <w:bCs/>
                <w:szCs w:val="24"/>
                <w:lang w:val="fr-CH"/>
              </w:rPr>
              <w:t>10</w:t>
            </w:r>
            <w:r w:rsidR="00FF089C" w:rsidRPr="0093043A">
              <w:rPr>
                <w:b/>
                <w:bCs/>
                <w:szCs w:val="24"/>
                <w:lang w:val="fr-CH"/>
              </w:rPr>
              <w:t>-</w:t>
            </w:r>
            <w:bookmarkStart w:id="3" w:name="DocNo1"/>
            <w:bookmarkEnd w:id="3"/>
            <w:r w:rsidR="00EC43F5">
              <w:rPr>
                <w:b/>
                <w:bCs/>
                <w:szCs w:val="24"/>
                <w:lang w:val="fr-CH"/>
              </w:rPr>
              <w:t>S</w:t>
            </w:r>
          </w:p>
        </w:tc>
      </w:tr>
      <w:tr w:rsidR="0070796E" w:rsidRPr="00AE2BCA" w14:paraId="2EA9F9CE" w14:textId="77777777" w:rsidTr="00504609">
        <w:trPr>
          <w:cantSplit/>
          <w:trHeight w:val="23"/>
        </w:trPr>
        <w:tc>
          <w:tcPr>
            <w:tcW w:w="6379" w:type="dxa"/>
            <w:gridSpan w:val="2"/>
            <w:vMerge/>
          </w:tcPr>
          <w:p w14:paraId="2A780D8D" w14:textId="77777777" w:rsidR="0070796E" w:rsidRPr="0093043A" w:rsidRDefault="0070796E" w:rsidP="00504609">
            <w:pPr>
              <w:tabs>
                <w:tab w:val="left" w:pos="851"/>
              </w:tabs>
              <w:spacing w:line="240" w:lineRule="atLeast"/>
              <w:rPr>
                <w:b/>
                <w:lang w:val="fr-CH"/>
              </w:rPr>
            </w:pPr>
          </w:p>
        </w:tc>
        <w:tc>
          <w:tcPr>
            <w:tcW w:w="3262" w:type="dxa"/>
            <w:gridSpan w:val="2"/>
          </w:tcPr>
          <w:p w14:paraId="5AACB509" w14:textId="55489F2F" w:rsidR="0070796E" w:rsidRPr="00930F7E" w:rsidRDefault="0010493A" w:rsidP="00504609">
            <w:pPr>
              <w:spacing w:before="0"/>
              <w:rPr>
                <w:b/>
                <w:bCs/>
                <w:szCs w:val="24"/>
                <w:lang w:val="fr-FR"/>
              </w:rPr>
            </w:pPr>
            <w:bookmarkStart w:id="4" w:name="CreationDate"/>
            <w:bookmarkEnd w:id="4"/>
            <w:r>
              <w:rPr>
                <w:b/>
                <w:bCs/>
                <w:szCs w:val="24"/>
                <w:lang w:val="fr-FR"/>
              </w:rPr>
              <w:t xml:space="preserve">12 de </w:t>
            </w:r>
            <w:proofErr w:type="spellStart"/>
            <w:r>
              <w:rPr>
                <w:b/>
                <w:bCs/>
                <w:szCs w:val="24"/>
                <w:lang w:val="fr-FR"/>
              </w:rPr>
              <w:t>abril</w:t>
            </w:r>
            <w:proofErr w:type="spellEnd"/>
            <w:r>
              <w:rPr>
                <w:b/>
                <w:bCs/>
                <w:szCs w:val="24"/>
                <w:lang w:val="fr-FR"/>
              </w:rPr>
              <w:t xml:space="preserve"> de 2021</w:t>
            </w:r>
          </w:p>
        </w:tc>
      </w:tr>
      <w:tr w:rsidR="0070796E" w:rsidRPr="00AE2BCA" w14:paraId="03F0AF90" w14:textId="77777777" w:rsidTr="00504609">
        <w:trPr>
          <w:cantSplit/>
          <w:trHeight w:val="333"/>
        </w:trPr>
        <w:tc>
          <w:tcPr>
            <w:tcW w:w="6379" w:type="dxa"/>
            <w:gridSpan w:val="2"/>
            <w:vMerge/>
          </w:tcPr>
          <w:p w14:paraId="49E11E04" w14:textId="77777777" w:rsidR="0070796E" w:rsidRPr="00AE2BCA" w:rsidRDefault="0070796E" w:rsidP="00504609">
            <w:pPr>
              <w:tabs>
                <w:tab w:val="left" w:pos="851"/>
              </w:tabs>
              <w:spacing w:line="240" w:lineRule="atLeast"/>
              <w:rPr>
                <w:b/>
              </w:rPr>
            </w:pPr>
          </w:p>
        </w:tc>
        <w:tc>
          <w:tcPr>
            <w:tcW w:w="3262" w:type="dxa"/>
            <w:gridSpan w:val="2"/>
          </w:tcPr>
          <w:p w14:paraId="5C49528C" w14:textId="1BBDF78F" w:rsidR="0070796E" w:rsidRPr="00930F7E" w:rsidRDefault="00D52E04" w:rsidP="0010493A">
            <w:pPr>
              <w:spacing w:before="0" w:after="120"/>
              <w:rPr>
                <w:b/>
                <w:bCs/>
                <w:szCs w:val="24"/>
                <w:lang w:val="fr-FR"/>
              </w:rPr>
            </w:pPr>
            <w:r>
              <w:rPr>
                <w:b/>
                <w:bCs/>
                <w:szCs w:val="24"/>
                <w:lang w:val="fr-FR"/>
              </w:rPr>
              <w:t xml:space="preserve">Original: </w:t>
            </w:r>
            <w:proofErr w:type="spellStart"/>
            <w:r w:rsidR="0010493A" w:rsidRPr="0010493A">
              <w:rPr>
                <w:b/>
                <w:bCs/>
                <w:szCs w:val="24"/>
                <w:lang w:val="fr-FR"/>
              </w:rPr>
              <w:t>Inglés</w:t>
            </w:r>
            <w:proofErr w:type="spellEnd"/>
            <w:r w:rsidR="0010493A" w:rsidRPr="0010493A">
              <w:rPr>
                <w:b/>
                <w:bCs/>
                <w:szCs w:val="24"/>
                <w:lang w:val="fr-FR"/>
              </w:rPr>
              <w:t xml:space="preserve"> y </w:t>
            </w:r>
            <w:proofErr w:type="spellStart"/>
            <w:r w:rsidR="0010493A" w:rsidRPr="0010493A">
              <w:rPr>
                <w:b/>
                <w:bCs/>
                <w:szCs w:val="24"/>
                <w:lang w:val="fr-FR"/>
              </w:rPr>
              <w:t>español</w:t>
            </w:r>
            <w:proofErr w:type="spellEnd"/>
            <w:r w:rsidR="0010493A" w:rsidRPr="0010493A">
              <w:rPr>
                <w:b/>
                <w:bCs/>
                <w:szCs w:val="24"/>
                <w:lang w:val="fr-FR"/>
              </w:rPr>
              <w:t xml:space="preserve"> </w:t>
            </w:r>
          </w:p>
        </w:tc>
      </w:tr>
      <w:tr w:rsidR="0070796E" w:rsidRPr="00D52E04" w14:paraId="655B5FD0" w14:textId="77777777" w:rsidTr="00504609">
        <w:trPr>
          <w:cantSplit/>
          <w:trHeight w:val="23"/>
        </w:trPr>
        <w:tc>
          <w:tcPr>
            <w:tcW w:w="9641" w:type="dxa"/>
            <w:gridSpan w:val="4"/>
          </w:tcPr>
          <w:p w14:paraId="438BCD9A" w14:textId="0893E8C2" w:rsidR="0070796E" w:rsidRPr="00D52E04" w:rsidRDefault="0010493A" w:rsidP="007471E9">
            <w:pPr>
              <w:tabs>
                <w:tab w:val="clear" w:pos="794"/>
                <w:tab w:val="clear" w:pos="1191"/>
                <w:tab w:val="clear" w:pos="1588"/>
                <w:tab w:val="clear" w:pos="1985"/>
              </w:tabs>
              <w:spacing w:before="240" w:after="240"/>
              <w:jc w:val="center"/>
              <w:rPr>
                <w:b/>
                <w:bCs/>
                <w:sz w:val="28"/>
                <w:szCs w:val="28"/>
                <w:lang w:val="es-ES"/>
              </w:rPr>
            </w:pPr>
            <w:r w:rsidRPr="00D52E04">
              <w:rPr>
                <w:b/>
                <w:bCs/>
                <w:sz w:val="28"/>
                <w:szCs w:val="28"/>
                <w:lang w:val="es-ES"/>
              </w:rPr>
              <w:t xml:space="preserve">Argentina, </w:t>
            </w:r>
            <w:r w:rsidR="007471E9">
              <w:rPr>
                <w:b/>
                <w:bCs/>
                <w:sz w:val="28"/>
                <w:szCs w:val="28"/>
                <w:lang w:val="es-ES"/>
              </w:rPr>
              <w:t>[</w:t>
            </w:r>
            <w:r w:rsidRPr="00D52E04">
              <w:rPr>
                <w:b/>
                <w:bCs/>
                <w:sz w:val="28"/>
                <w:szCs w:val="28"/>
                <w:lang w:val="es-ES"/>
              </w:rPr>
              <w:t>Bahamas</w:t>
            </w:r>
            <w:r w:rsidR="007471E9">
              <w:rPr>
                <w:b/>
                <w:bCs/>
                <w:sz w:val="28"/>
                <w:szCs w:val="28"/>
                <w:lang w:val="es-ES"/>
              </w:rPr>
              <w:t>]</w:t>
            </w:r>
            <w:r w:rsidRPr="00D52E04">
              <w:rPr>
                <w:b/>
                <w:bCs/>
                <w:sz w:val="28"/>
                <w:szCs w:val="28"/>
                <w:lang w:val="es-ES"/>
              </w:rPr>
              <w:t>, Brasil, Canadá, Dominicana</w:t>
            </w:r>
            <w:r w:rsidR="00F11529" w:rsidRPr="00D52E04">
              <w:rPr>
                <w:b/>
                <w:bCs/>
                <w:sz w:val="28"/>
                <w:szCs w:val="28"/>
                <w:lang w:val="es-ES"/>
              </w:rPr>
              <w:t xml:space="preserve"> (Rep.)</w:t>
            </w:r>
            <w:r w:rsidR="007471E9">
              <w:rPr>
                <w:b/>
                <w:bCs/>
                <w:sz w:val="28"/>
                <w:szCs w:val="28"/>
                <w:lang w:val="es-ES"/>
              </w:rPr>
              <w:t>,</w:t>
            </w:r>
            <w:r w:rsidR="007471E9" w:rsidRPr="00D52E04">
              <w:rPr>
                <w:b/>
                <w:bCs/>
                <w:sz w:val="28"/>
                <w:szCs w:val="28"/>
                <w:lang w:val="es-ES"/>
              </w:rPr>
              <w:t xml:space="preserve"> </w:t>
            </w:r>
            <w:r w:rsidR="007471E9">
              <w:rPr>
                <w:b/>
                <w:bCs/>
                <w:sz w:val="28"/>
                <w:szCs w:val="28"/>
                <w:lang w:val="es-ES"/>
              </w:rPr>
              <w:br/>
            </w:r>
            <w:r w:rsidR="007471E9" w:rsidRPr="00D52E04">
              <w:rPr>
                <w:b/>
                <w:bCs/>
                <w:sz w:val="28"/>
                <w:szCs w:val="28"/>
                <w:lang w:val="es-ES"/>
              </w:rPr>
              <w:t>Estados Unidos</w:t>
            </w:r>
            <w:r w:rsidR="007471E9">
              <w:rPr>
                <w:b/>
                <w:bCs/>
                <w:sz w:val="28"/>
                <w:szCs w:val="28"/>
                <w:lang w:val="es-ES"/>
              </w:rPr>
              <w:t xml:space="preserve">, Paraguay </w:t>
            </w:r>
            <w:r w:rsidR="00D9405D">
              <w:rPr>
                <w:b/>
                <w:bCs/>
                <w:sz w:val="28"/>
                <w:szCs w:val="28"/>
                <w:lang w:val="es-ES"/>
              </w:rPr>
              <w:t>y</w:t>
            </w:r>
            <w:r w:rsidR="007471E9">
              <w:rPr>
                <w:b/>
                <w:bCs/>
                <w:sz w:val="28"/>
                <w:szCs w:val="28"/>
                <w:lang w:val="es-ES"/>
              </w:rPr>
              <w:t xml:space="preserve"> Uruguay</w:t>
            </w:r>
          </w:p>
        </w:tc>
      </w:tr>
      <w:tr w:rsidR="00421F93" w:rsidRPr="00D52E04" w14:paraId="72DD2DDB" w14:textId="77777777" w:rsidTr="00504609">
        <w:trPr>
          <w:cantSplit/>
          <w:trHeight w:val="23"/>
        </w:trPr>
        <w:tc>
          <w:tcPr>
            <w:tcW w:w="9641" w:type="dxa"/>
            <w:gridSpan w:val="4"/>
          </w:tcPr>
          <w:p w14:paraId="7D77AAB7" w14:textId="42CFBE09" w:rsidR="00421F93" w:rsidRPr="00D52E04" w:rsidRDefault="0010493A" w:rsidP="00504609">
            <w:pPr>
              <w:tabs>
                <w:tab w:val="left" w:pos="1928"/>
              </w:tabs>
              <w:spacing w:after="120"/>
              <w:ind w:left="1928" w:hanging="1928"/>
              <w:jc w:val="center"/>
              <w:rPr>
                <w:sz w:val="28"/>
                <w:szCs w:val="28"/>
                <w:lang w:val="es-ES"/>
              </w:rPr>
            </w:pPr>
            <w:r w:rsidRPr="00D52E04">
              <w:rPr>
                <w:sz w:val="28"/>
                <w:szCs w:val="28"/>
                <w:lang w:val="es-ES"/>
              </w:rPr>
              <w:t>Prioridades Regionales para las Américas 2022-2025</w:t>
            </w:r>
          </w:p>
        </w:tc>
      </w:tr>
      <w:tr w:rsidR="00504609" w:rsidRPr="00D52E04" w14:paraId="3FF473AE" w14:textId="77777777" w:rsidTr="00504609">
        <w:trPr>
          <w:cantSplit/>
          <w:trHeight w:val="23"/>
        </w:trPr>
        <w:tc>
          <w:tcPr>
            <w:tcW w:w="9641" w:type="dxa"/>
            <w:gridSpan w:val="4"/>
            <w:tcBorders>
              <w:bottom w:val="single" w:sz="4" w:space="0" w:color="auto"/>
            </w:tcBorders>
          </w:tcPr>
          <w:p w14:paraId="414CF233" w14:textId="77777777" w:rsidR="00504609" w:rsidRPr="00D52E04" w:rsidRDefault="00504609" w:rsidP="00504609">
            <w:pPr>
              <w:tabs>
                <w:tab w:val="left" w:pos="1928"/>
              </w:tabs>
              <w:spacing w:after="120"/>
              <w:ind w:left="1928" w:hanging="1928"/>
              <w:jc w:val="center"/>
              <w:rPr>
                <w:sz w:val="28"/>
                <w:szCs w:val="28"/>
                <w:lang w:val="es-ES"/>
              </w:rPr>
            </w:pPr>
          </w:p>
        </w:tc>
      </w:tr>
      <w:tr w:rsidR="00504609" w:rsidRPr="00D52E04" w14:paraId="4D5D2375" w14:textId="77777777" w:rsidTr="0050460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378F6B3F" w14:textId="4D82535A" w:rsidR="00EC43F5" w:rsidRPr="00D52E04" w:rsidRDefault="00F704DE" w:rsidP="00EC43F5">
            <w:pPr>
              <w:tabs>
                <w:tab w:val="left" w:pos="1928"/>
              </w:tabs>
              <w:spacing w:after="120"/>
              <w:rPr>
                <w:b/>
                <w:bCs/>
                <w:szCs w:val="24"/>
                <w:lang w:val="es-ES"/>
              </w:rPr>
            </w:pPr>
            <w:r w:rsidRPr="00D52E04">
              <w:rPr>
                <w:b/>
                <w:bCs/>
                <w:szCs w:val="24"/>
                <w:lang w:val="es-ES"/>
              </w:rPr>
              <w:t>Punto del orden del día:</w:t>
            </w:r>
          </w:p>
          <w:p w14:paraId="2A3D46E1" w14:textId="77777777" w:rsidR="0010493A" w:rsidRPr="00D52E04" w:rsidRDefault="0010493A" w:rsidP="00EC43F5">
            <w:pPr>
              <w:tabs>
                <w:tab w:val="left" w:pos="1928"/>
              </w:tabs>
              <w:spacing w:after="120"/>
              <w:rPr>
                <w:szCs w:val="24"/>
                <w:lang w:val="es-ES"/>
              </w:rPr>
            </w:pPr>
            <w:r w:rsidRPr="00D52E04">
              <w:rPr>
                <w:szCs w:val="24"/>
                <w:lang w:val="es-ES"/>
              </w:rPr>
              <w:t>Punto 8</w:t>
            </w:r>
          </w:p>
          <w:p w14:paraId="14903C02" w14:textId="7124C242" w:rsidR="00EC43F5" w:rsidRPr="00D52E04" w:rsidRDefault="00EC43F5" w:rsidP="00EC43F5">
            <w:pPr>
              <w:tabs>
                <w:tab w:val="left" w:pos="1928"/>
              </w:tabs>
              <w:spacing w:after="120"/>
              <w:rPr>
                <w:b/>
                <w:bCs/>
                <w:szCs w:val="24"/>
                <w:lang w:val="es-ES"/>
              </w:rPr>
            </w:pPr>
            <w:r w:rsidRPr="00D52E04">
              <w:rPr>
                <w:b/>
                <w:bCs/>
                <w:szCs w:val="24"/>
                <w:lang w:val="es-ES"/>
              </w:rPr>
              <w:t xml:space="preserve">Resumen: </w:t>
            </w:r>
          </w:p>
          <w:p w14:paraId="7C5AD9D6" w14:textId="0BD04732" w:rsidR="00EC43F5" w:rsidRPr="00D52E04" w:rsidRDefault="0010493A" w:rsidP="00EC43F5">
            <w:pPr>
              <w:tabs>
                <w:tab w:val="left" w:pos="1928"/>
              </w:tabs>
              <w:spacing w:after="120"/>
              <w:rPr>
                <w:szCs w:val="24"/>
                <w:lang w:val="es-ES"/>
              </w:rPr>
            </w:pPr>
            <w:r w:rsidRPr="00D52E04">
              <w:rPr>
                <w:szCs w:val="24"/>
                <w:lang w:val="es-ES"/>
              </w:rPr>
              <w:t>El presente documento contiene principios generales y propuestas para la adopción de prioridades Regionales en la Reunión Preparatoria Regional para las Américas (RPR-AMS) a celebrarse de manera virtual los días 26-27 de abril de 2021.</w:t>
            </w:r>
          </w:p>
          <w:p w14:paraId="4463E106" w14:textId="77777777" w:rsidR="00EC43F5" w:rsidRPr="00D52E04" w:rsidRDefault="00EC43F5" w:rsidP="00EC43F5">
            <w:pPr>
              <w:tabs>
                <w:tab w:val="left" w:pos="1928"/>
              </w:tabs>
              <w:spacing w:after="120"/>
              <w:rPr>
                <w:b/>
                <w:bCs/>
                <w:szCs w:val="24"/>
                <w:lang w:val="es-ES"/>
              </w:rPr>
            </w:pPr>
            <w:r w:rsidRPr="00D52E04">
              <w:rPr>
                <w:b/>
                <w:bCs/>
                <w:szCs w:val="24"/>
                <w:lang w:val="es-ES"/>
              </w:rPr>
              <w:t>Resultados previstos:</w:t>
            </w:r>
          </w:p>
          <w:p w14:paraId="4EF491B9" w14:textId="77777777" w:rsidR="0010493A" w:rsidRPr="00D52E04" w:rsidRDefault="0010493A" w:rsidP="00EC43F5">
            <w:pPr>
              <w:tabs>
                <w:tab w:val="left" w:pos="1928"/>
              </w:tabs>
              <w:spacing w:after="120"/>
              <w:rPr>
                <w:szCs w:val="24"/>
                <w:lang w:val="es-ES"/>
              </w:rPr>
            </w:pPr>
            <w:r w:rsidRPr="00D52E04">
              <w:rPr>
                <w:szCs w:val="24"/>
                <w:lang w:val="es-ES"/>
              </w:rPr>
              <w:t>Se invita a la RPR-AMS a analizar y adoptar las Prioridades Regionales sugeridas.</w:t>
            </w:r>
          </w:p>
          <w:p w14:paraId="236CC21F" w14:textId="6344516C" w:rsidR="00EC43F5" w:rsidRPr="00D52E04" w:rsidRDefault="00EC43F5" w:rsidP="00EC43F5">
            <w:pPr>
              <w:tabs>
                <w:tab w:val="left" w:pos="1928"/>
              </w:tabs>
              <w:spacing w:after="120"/>
              <w:rPr>
                <w:b/>
                <w:bCs/>
                <w:szCs w:val="24"/>
                <w:lang w:val="es-ES"/>
              </w:rPr>
            </w:pPr>
            <w:r w:rsidRPr="00D52E04">
              <w:rPr>
                <w:b/>
                <w:bCs/>
                <w:szCs w:val="24"/>
                <w:lang w:val="es-ES"/>
              </w:rPr>
              <w:t>Referencias:</w:t>
            </w:r>
          </w:p>
          <w:p w14:paraId="51A1F5BD" w14:textId="42D60976" w:rsidR="00504609" w:rsidRPr="00D52E04" w:rsidRDefault="0010493A" w:rsidP="00EC43F5">
            <w:pPr>
              <w:tabs>
                <w:tab w:val="left" w:pos="1928"/>
              </w:tabs>
              <w:spacing w:after="120"/>
              <w:rPr>
                <w:szCs w:val="24"/>
                <w:lang w:val="es-ES"/>
              </w:rPr>
            </w:pPr>
            <w:r w:rsidRPr="00D52E04">
              <w:rPr>
                <w:szCs w:val="24"/>
                <w:lang w:val="es-ES"/>
              </w:rPr>
              <w:t>Resolución 17 (Rev. Buenos Aires, 2017).</w:t>
            </w:r>
          </w:p>
        </w:tc>
      </w:tr>
    </w:tbl>
    <w:p w14:paraId="2A3522AC" w14:textId="77777777" w:rsidR="00421F93" w:rsidRPr="00D52E04" w:rsidRDefault="00421F93" w:rsidP="00421F93">
      <w:pPr>
        <w:spacing w:before="0"/>
        <w:rPr>
          <w:lang w:val="es-ES"/>
        </w:rPr>
      </w:pPr>
      <w:bookmarkStart w:id="5" w:name="Results"/>
      <w:bookmarkEnd w:id="5"/>
    </w:p>
    <w:p w14:paraId="6B0A0245" w14:textId="77777777" w:rsidR="00A54CA6" w:rsidRPr="00D52E04" w:rsidRDefault="00A54CA6" w:rsidP="00A54CA6">
      <w:pPr>
        <w:rPr>
          <w:lang w:val="es-ES"/>
        </w:rPr>
      </w:pPr>
      <w:bookmarkStart w:id="6" w:name="References"/>
      <w:bookmarkEnd w:id="6"/>
    </w:p>
    <w:p w14:paraId="7A06117E" w14:textId="77777777" w:rsidR="00A54CA6" w:rsidRPr="00D52E04" w:rsidRDefault="00A54CA6" w:rsidP="00A54CA6">
      <w:pPr>
        <w:rPr>
          <w:lang w:val="es-ES"/>
        </w:rPr>
      </w:pPr>
    </w:p>
    <w:p w14:paraId="55DA0C6D" w14:textId="77777777" w:rsidR="00A54CA6" w:rsidRPr="00D52E04" w:rsidRDefault="00A54CA6" w:rsidP="00A54CA6">
      <w:pPr>
        <w:rPr>
          <w:lang w:val="es-ES"/>
        </w:rPr>
      </w:pPr>
    </w:p>
    <w:p w14:paraId="291BA2F7" w14:textId="77777777" w:rsidR="00A54CA6" w:rsidRPr="00D52E04" w:rsidRDefault="00A54CA6" w:rsidP="00A140EB">
      <w:pPr>
        <w:rPr>
          <w:lang w:val="es-ES"/>
        </w:rPr>
      </w:pPr>
    </w:p>
    <w:p w14:paraId="5AF85CB5" w14:textId="77808258" w:rsidR="0010493A" w:rsidRPr="00D52E04" w:rsidRDefault="001B4B9B" w:rsidP="0010493A">
      <w:pPr>
        <w:spacing w:after="120"/>
        <w:rPr>
          <w:rFonts w:asciiTheme="minorHAnsi" w:hAnsiTheme="minorHAnsi" w:cstheme="minorHAnsi"/>
          <w:b/>
          <w:bCs/>
          <w:szCs w:val="24"/>
          <w:lang w:val="es-ES"/>
        </w:rPr>
      </w:pPr>
      <w:r w:rsidRPr="00D52E04">
        <w:rPr>
          <w:lang w:val="es-ES"/>
        </w:rPr>
        <w:br w:type="page"/>
      </w:r>
      <w:r w:rsidR="0010493A" w:rsidRPr="00D52E04">
        <w:rPr>
          <w:rFonts w:asciiTheme="minorHAnsi" w:hAnsiTheme="minorHAnsi" w:cstheme="minorHAnsi"/>
          <w:b/>
          <w:bCs/>
          <w:szCs w:val="24"/>
          <w:lang w:val="es-ES"/>
        </w:rPr>
        <w:lastRenderedPageBreak/>
        <w:t>Resumen</w:t>
      </w:r>
    </w:p>
    <w:p w14:paraId="05096047" w14:textId="356C3FA3"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 xml:space="preserve">El presente documento refleja las labores de los Puntos Focales de la CITEL hacia el CMDT-21 y contiene una propuesta por parte de las Administraciones de Argentina, </w:t>
      </w:r>
      <w:r w:rsidR="007471E9">
        <w:rPr>
          <w:rFonts w:asciiTheme="minorHAnsi" w:hAnsiTheme="minorHAnsi" w:cstheme="minorHAnsi"/>
          <w:szCs w:val="24"/>
          <w:lang w:val="es-ES"/>
        </w:rPr>
        <w:t>[</w:t>
      </w:r>
      <w:r w:rsidRPr="00D52E04">
        <w:rPr>
          <w:rFonts w:asciiTheme="minorHAnsi" w:hAnsiTheme="minorHAnsi" w:cstheme="minorHAnsi"/>
          <w:szCs w:val="24"/>
          <w:lang w:val="es-ES"/>
        </w:rPr>
        <w:t>Bahamas</w:t>
      </w:r>
      <w:r w:rsidR="007471E9">
        <w:rPr>
          <w:rFonts w:asciiTheme="minorHAnsi" w:hAnsiTheme="minorHAnsi" w:cstheme="minorHAnsi"/>
          <w:szCs w:val="24"/>
          <w:lang w:val="es-ES"/>
        </w:rPr>
        <w:t>]</w:t>
      </w:r>
      <w:r w:rsidRPr="00D52E04">
        <w:rPr>
          <w:rFonts w:asciiTheme="minorHAnsi" w:hAnsiTheme="minorHAnsi" w:cstheme="minorHAnsi"/>
          <w:szCs w:val="24"/>
          <w:lang w:val="es-ES"/>
        </w:rPr>
        <w:t>, Brasil, Canadá</w:t>
      </w:r>
      <w:r w:rsidR="007471E9">
        <w:rPr>
          <w:rFonts w:asciiTheme="minorHAnsi" w:hAnsiTheme="minorHAnsi" w:cstheme="minorHAnsi"/>
          <w:szCs w:val="24"/>
          <w:lang w:val="es-ES"/>
        </w:rPr>
        <w:t xml:space="preserve">, </w:t>
      </w:r>
      <w:r w:rsidR="007471E9" w:rsidRPr="00D52E04">
        <w:rPr>
          <w:rFonts w:asciiTheme="minorHAnsi" w:hAnsiTheme="minorHAnsi" w:cstheme="minorHAnsi"/>
          <w:szCs w:val="24"/>
          <w:lang w:val="es-ES"/>
        </w:rPr>
        <w:t>Estados Unidos</w:t>
      </w:r>
      <w:r w:rsidR="007471E9">
        <w:rPr>
          <w:rFonts w:asciiTheme="minorHAnsi" w:hAnsiTheme="minorHAnsi" w:cstheme="minorHAnsi"/>
          <w:szCs w:val="24"/>
          <w:lang w:val="es-ES"/>
        </w:rPr>
        <w:t>, Dominicana (Rep.),</w:t>
      </w:r>
      <w:r w:rsidRPr="00D52E04">
        <w:rPr>
          <w:rFonts w:asciiTheme="minorHAnsi" w:hAnsiTheme="minorHAnsi" w:cstheme="minorHAnsi"/>
          <w:szCs w:val="24"/>
          <w:lang w:val="es-ES"/>
        </w:rPr>
        <w:t xml:space="preserve"> </w:t>
      </w:r>
      <w:r w:rsidR="007471E9">
        <w:rPr>
          <w:rFonts w:asciiTheme="minorHAnsi" w:hAnsiTheme="minorHAnsi" w:cstheme="minorHAnsi"/>
          <w:szCs w:val="24"/>
          <w:lang w:val="es-ES"/>
        </w:rPr>
        <w:t xml:space="preserve">Paraguay </w:t>
      </w:r>
      <w:r w:rsidR="00D9405D">
        <w:rPr>
          <w:rFonts w:asciiTheme="minorHAnsi" w:hAnsiTheme="minorHAnsi" w:cstheme="minorHAnsi"/>
          <w:szCs w:val="24"/>
          <w:lang w:val="es-ES"/>
        </w:rPr>
        <w:t>y</w:t>
      </w:r>
      <w:bookmarkStart w:id="7" w:name="_GoBack"/>
      <w:bookmarkEnd w:id="7"/>
      <w:r w:rsidR="007471E9">
        <w:rPr>
          <w:rFonts w:asciiTheme="minorHAnsi" w:hAnsiTheme="minorHAnsi" w:cstheme="minorHAnsi"/>
          <w:szCs w:val="24"/>
          <w:lang w:val="es-ES"/>
        </w:rPr>
        <w:t xml:space="preserve"> Uruguay </w:t>
      </w:r>
      <w:r w:rsidRPr="00D52E04">
        <w:rPr>
          <w:rFonts w:asciiTheme="minorHAnsi" w:hAnsiTheme="minorHAnsi" w:cstheme="minorHAnsi"/>
          <w:szCs w:val="24"/>
          <w:lang w:val="es-ES"/>
        </w:rPr>
        <w:t>para la definición y adopción de las Prioridades Regionales para las Américas durante el período 2022-2025.</w:t>
      </w:r>
    </w:p>
    <w:p w14:paraId="69172AFA" w14:textId="77777777"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Dichas Prioridades se identificaron teniendo en cuenta las prioridades temáticas (Conectividad, [Transformación Digital] [Innovación], Entorno Habilitante y Movilización de Recursos &amp; Cooperación Internacional) estudiadas por el Grupo de Trabajo del GADT sobre las Resoluciones, la Declaración y las Prioridades Temáticas (GT-RDPT), así como los principios de universalidad, equidad y asequibilidad para ampliar la infraestructura de banda ancha en el contexto de la transformación digital en la región, centrándose en las necesidades de las poblaciones más vulnerables.</w:t>
      </w:r>
    </w:p>
    <w:p w14:paraId="6D44AC97" w14:textId="38FF788D" w:rsidR="0010493A" w:rsidRPr="00D52E04" w:rsidRDefault="0010493A" w:rsidP="0010493A">
      <w:pPr>
        <w:spacing w:after="120"/>
        <w:rPr>
          <w:rFonts w:asciiTheme="minorHAnsi" w:hAnsiTheme="minorHAnsi" w:cstheme="minorHAnsi"/>
          <w:b/>
          <w:bCs/>
          <w:szCs w:val="24"/>
          <w:lang w:val="es-ES"/>
        </w:rPr>
      </w:pPr>
      <w:r w:rsidRPr="00D52E04">
        <w:rPr>
          <w:rFonts w:asciiTheme="minorHAnsi" w:hAnsiTheme="minorHAnsi" w:cstheme="minorHAnsi"/>
          <w:b/>
          <w:bCs/>
          <w:szCs w:val="24"/>
          <w:lang w:val="es-ES"/>
        </w:rPr>
        <w:t>Introducción</w:t>
      </w:r>
    </w:p>
    <w:p w14:paraId="11802933" w14:textId="77777777"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Las siguientes Iniciativas Regionales para las Américas fueron adoptadas en la Conferencia Mundial de Desarrollo de las Telecomunicaciones celebrada en Buenos Aires en el 2017 (CMDT-17) para el período 2018-2021:</w:t>
      </w:r>
    </w:p>
    <w:p w14:paraId="6D097722" w14:textId="409FBF12" w:rsidR="0010493A" w:rsidRPr="00D52E04" w:rsidRDefault="0010493A" w:rsidP="0010493A">
      <w:pPr>
        <w:pStyle w:val="ListParagraph"/>
        <w:numPr>
          <w:ilvl w:val="0"/>
          <w:numId w:val="33"/>
        </w:numPr>
        <w:tabs>
          <w:tab w:val="clear" w:pos="794"/>
          <w:tab w:val="clear" w:pos="1191"/>
          <w:tab w:val="clear" w:pos="1588"/>
          <w:tab w:val="clear" w:pos="1985"/>
        </w:tabs>
        <w:overflowPunct/>
        <w:autoSpaceDE/>
        <w:autoSpaceDN/>
        <w:adjustRightInd/>
        <w:spacing w:before="60" w:after="60"/>
        <w:contextualSpacing w:val="0"/>
        <w:textAlignment w:val="auto"/>
        <w:rPr>
          <w:rFonts w:cs="Calibri"/>
          <w:szCs w:val="24"/>
          <w:lang w:val="es-ES" w:eastAsia="en-GB"/>
        </w:rPr>
      </w:pPr>
      <w:r w:rsidRPr="00D52E04">
        <w:rPr>
          <w:rFonts w:cs="Calibri"/>
          <w:szCs w:val="24"/>
          <w:lang w:val="es-ES" w:eastAsia="en-GB"/>
        </w:rPr>
        <w:t>AMS1: Comunicaciones para la reducción de riesgo y administración de catástrofes</w:t>
      </w:r>
    </w:p>
    <w:p w14:paraId="1F2C3463" w14:textId="0928F5C9" w:rsidR="0010493A" w:rsidRPr="00D52E04" w:rsidRDefault="0010493A" w:rsidP="0010493A">
      <w:pPr>
        <w:pStyle w:val="ListParagraph"/>
        <w:numPr>
          <w:ilvl w:val="0"/>
          <w:numId w:val="33"/>
        </w:numPr>
        <w:tabs>
          <w:tab w:val="clear" w:pos="794"/>
          <w:tab w:val="clear" w:pos="1191"/>
          <w:tab w:val="clear" w:pos="1588"/>
          <w:tab w:val="clear" w:pos="1985"/>
        </w:tabs>
        <w:overflowPunct/>
        <w:autoSpaceDE/>
        <w:autoSpaceDN/>
        <w:adjustRightInd/>
        <w:spacing w:before="60" w:after="60"/>
        <w:contextualSpacing w:val="0"/>
        <w:textAlignment w:val="auto"/>
        <w:rPr>
          <w:rFonts w:cs="Calibri"/>
          <w:szCs w:val="24"/>
          <w:lang w:val="es-ES" w:eastAsia="en-GB"/>
        </w:rPr>
      </w:pPr>
      <w:r w:rsidRPr="00D52E04">
        <w:rPr>
          <w:rFonts w:cs="Calibri"/>
          <w:szCs w:val="24"/>
          <w:lang w:val="es-ES" w:eastAsia="en-GB"/>
        </w:rPr>
        <w:t>AMS2: Gestión del espectro y transición a la radiodifusión digital</w:t>
      </w:r>
    </w:p>
    <w:p w14:paraId="73DACAB8" w14:textId="3EE02D60" w:rsidR="0010493A" w:rsidRPr="00D52E04" w:rsidRDefault="0010493A" w:rsidP="00415A3E">
      <w:pPr>
        <w:pStyle w:val="ListParagraph"/>
        <w:numPr>
          <w:ilvl w:val="0"/>
          <w:numId w:val="33"/>
        </w:numPr>
        <w:tabs>
          <w:tab w:val="clear" w:pos="794"/>
          <w:tab w:val="clear" w:pos="1191"/>
          <w:tab w:val="clear" w:pos="1588"/>
          <w:tab w:val="clear" w:pos="1985"/>
        </w:tabs>
        <w:overflowPunct/>
        <w:autoSpaceDE/>
        <w:autoSpaceDN/>
        <w:adjustRightInd/>
        <w:spacing w:before="60" w:after="60"/>
        <w:contextualSpacing w:val="0"/>
        <w:textAlignment w:val="auto"/>
        <w:rPr>
          <w:rFonts w:cs="Calibri"/>
          <w:szCs w:val="24"/>
          <w:lang w:val="es-ES" w:eastAsia="en-GB"/>
        </w:rPr>
      </w:pPr>
      <w:r w:rsidRPr="00D52E04">
        <w:rPr>
          <w:rFonts w:cs="Calibri"/>
          <w:szCs w:val="24"/>
          <w:lang w:val="es-ES" w:eastAsia="en-GB"/>
        </w:rPr>
        <w:t>AMS3: Despliegue de la infraestructura de banda ancha, especialmente en zonas rurales y desatendidas, y fortalecimiento del acceso a servicios y aplicaciones de banda ancha</w:t>
      </w:r>
    </w:p>
    <w:p w14:paraId="2B9FE311" w14:textId="0BCFB8BD" w:rsidR="0010493A" w:rsidRPr="00D52E04" w:rsidRDefault="0010493A" w:rsidP="0010493A">
      <w:pPr>
        <w:pStyle w:val="ListParagraph"/>
        <w:numPr>
          <w:ilvl w:val="0"/>
          <w:numId w:val="33"/>
        </w:numPr>
        <w:tabs>
          <w:tab w:val="clear" w:pos="794"/>
          <w:tab w:val="clear" w:pos="1191"/>
          <w:tab w:val="clear" w:pos="1588"/>
          <w:tab w:val="clear" w:pos="1985"/>
        </w:tabs>
        <w:overflowPunct/>
        <w:autoSpaceDE/>
        <w:autoSpaceDN/>
        <w:adjustRightInd/>
        <w:spacing w:before="60" w:after="60"/>
        <w:contextualSpacing w:val="0"/>
        <w:textAlignment w:val="auto"/>
        <w:rPr>
          <w:rFonts w:cs="Calibri"/>
          <w:szCs w:val="24"/>
          <w:lang w:val="es-ES" w:eastAsia="en-GB"/>
        </w:rPr>
      </w:pPr>
      <w:r w:rsidRPr="00D52E04">
        <w:rPr>
          <w:rFonts w:cs="Calibri"/>
          <w:szCs w:val="24"/>
          <w:lang w:val="es-ES" w:eastAsia="en-GB"/>
        </w:rPr>
        <w:t>AMS4: Accesibilidad y asequibilidad para una Región Américas incluyente y sostenible</w:t>
      </w:r>
    </w:p>
    <w:p w14:paraId="5C496968" w14:textId="4A0816C8" w:rsidR="0010493A" w:rsidRPr="00D52E04" w:rsidRDefault="0010493A" w:rsidP="00506238">
      <w:pPr>
        <w:pStyle w:val="ListParagraph"/>
        <w:numPr>
          <w:ilvl w:val="0"/>
          <w:numId w:val="33"/>
        </w:numPr>
        <w:tabs>
          <w:tab w:val="clear" w:pos="794"/>
          <w:tab w:val="clear" w:pos="1191"/>
          <w:tab w:val="clear" w:pos="1588"/>
          <w:tab w:val="clear" w:pos="1985"/>
        </w:tabs>
        <w:overflowPunct/>
        <w:autoSpaceDE/>
        <w:autoSpaceDN/>
        <w:adjustRightInd/>
        <w:spacing w:before="60" w:after="60"/>
        <w:contextualSpacing w:val="0"/>
        <w:textAlignment w:val="auto"/>
        <w:rPr>
          <w:rFonts w:cs="Calibri"/>
          <w:szCs w:val="24"/>
          <w:lang w:val="es-ES" w:eastAsia="en-GB"/>
        </w:rPr>
      </w:pPr>
      <w:r w:rsidRPr="00D52E04">
        <w:rPr>
          <w:rFonts w:cs="Calibri"/>
          <w:szCs w:val="24"/>
          <w:lang w:val="es-ES" w:eastAsia="en-GB"/>
        </w:rPr>
        <w:t>AMS5: Desarrollo de la economía digital, las ciudades y comunidades inteligentes e Internet de las cosas, promoviendo la innovación</w:t>
      </w:r>
    </w:p>
    <w:p w14:paraId="2D859924" w14:textId="39399FE8"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Ha llegado el momento de analizar y adoptar las prioridades regionales para el período 2022-2025, en particular ante el nuevo mundo gravemente afectado por el COVID-19. Más que nunca, la crisis ha expuesto las diferencias digitales entre los países y dentro de ellos, afectando en particular a las minorías y poblaciones vulnerables de cada país.</w:t>
      </w:r>
    </w:p>
    <w:p w14:paraId="29B9D442" w14:textId="77777777"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 xml:space="preserve">Está muy claro que siguen siendo necesidades críticas para la región el despliegue de la banda ancha (AMS3) y las preocupaciones sobre la accesibilidad y la asequibilidad (AMS4). En este nuevo contexto, las telecomunicaciones/TIC aún constituyen herramientas fundamentales para cerrar las brechas digitales y abrir oportunidades para la reconstrucción socioeconómica en un mundo </w:t>
      </w:r>
      <w:proofErr w:type="spellStart"/>
      <w:r w:rsidRPr="00D52E04">
        <w:rPr>
          <w:rFonts w:asciiTheme="minorHAnsi" w:hAnsiTheme="minorHAnsi" w:cstheme="minorHAnsi"/>
          <w:szCs w:val="24"/>
          <w:lang w:val="es-ES"/>
        </w:rPr>
        <w:t>postCOVID</w:t>
      </w:r>
      <w:proofErr w:type="spellEnd"/>
      <w:r w:rsidRPr="00D52E04">
        <w:rPr>
          <w:rFonts w:asciiTheme="minorHAnsi" w:hAnsiTheme="minorHAnsi" w:cstheme="minorHAnsi"/>
          <w:szCs w:val="24"/>
          <w:lang w:val="es-ES"/>
        </w:rPr>
        <w:t>, especialmente para las poblaciones más vulnerables.</w:t>
      </w:r>
    </w:p>
    <w:p w14:paraId="6D8FFE27" w14:textId="77777777"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A tal efecto, el Grupo de Trabajo sobre la Preparación para Conferencias (GT-CONF) de la CITEL se ha reunido el 17 de febrero y el 17 de marzo de 2021 para iniciar sus diálogos hacia los preparativos de la CMDT-21, con especial enfoque en la definición de los principios que orientarán la fijación de las Prioridades Regionales para las Américas.</w:t>
      </w:r>
    </w:p>
    <w:p w14:paraId="144A2C3E" w14:textId="77777777"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El documento CONSIDERACIONES PARA LA ADOPCIÓN DE PRIORIDADES REGIONALES GTCONF/doc. 057/21), presentado por la Presidencia, esboza cuatro proyectos para las Prioridades Regionales y temas que podrían incluirse en la formulación de las prioridades para la Región de las Américas en la CMDT-21.</w:t>
      </w:r>
    </w:p>
    <w:p w14:paraId="2FB765E6" w14:textId="0E7CBC54"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 xml:space="preserve">En el documento se proponen las prioridades temáticas (Conectividad, Transformación Digital, Entorno Habilitante y Movilización de Recursos &amp; Cooperación Internacional), estudiadas en el </w:t>
      </w:r>
      <w:r w:rsidRPr="00D52E04">
        <w:rPr>
          <w:rFonts w:asciiTheme="minorHAnsi" w:hAnsiTheme="minorHAnsi" w:cstheme="minorHAnsi"/>
          <w:szCs w:val="24"/>
          <w:lang w:val="es-ES"/>
        </w:rPr>
        <w:lastRenderedPageBreak/>
        <w:t>marco del proceso preparatorio a tener en cuenta en la definición y adopción de las Prioridades Regionales de la AMS. Por otra parte, se reiteró la importancia de los principios de universalidad, equidad y asequibilidad en la fijación de las prioridades. También se sugirió que la CITEL brinde un cierto nivel de especificidad para aclarar lo anticipado en materia de resultados concretos y medibles.</w:t>
      </w:r>
    </w:p>
    <w:p w14:paraId="4F473F3E" w14:textId="70F3ABEC"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En los diálogos celebrados en esas reuniones también se consideró la reducción del número de Prioridades Regionales debido a las limitaciones presupuestarias de la UIT, así como la identificación de sinergias con las prioridades analizadas en otras regiones, con miras a optimizar la asignación de recursos humanos y financieros de la BDT y la aplicación de prioridades a nivel mundial.</w:t>
      </w:r>
    </w:p>
    <w:p w14:paraId="15028BAF" w14:textId="0F49A1B9" w:rsidR="0010493A" w:rsidRPr="00D52E04" w:rsidRDefault="0010493A" w:rsidP="0010493A">
      <w:pPr>
        <w:spacing w:after="120"/>
        <w:rPr>
          <w:rFonts w:asciiTheme="minorHAnsi" w:hAnsiTheme="minorHAnsi" w:cstheme="minorHAnsi"/>
          <w:b/>
          <w:bCs/>
          <w:szCs w:val="24"/>
          <w:lang w:val="es-ES"/>
        </w:rPr>
      </w:pPr>
      <w:r w:rsidRPr="00D52E04">
        <w:rPr>
          <w:rFonts w:asciiTheme="minorHAnsi" w:hAnsiTheme="minorHAnsi" w:cstheme="minorHAnsi"/>
          <w:b/>
          <w:bCs/>
          <w:szCs w:val="24"/>
          <w:lang w:val="es-ES"/>
        </w:rPr>
        <w:t>Propuesta</w:t>
      </w:r>
    </w:p>
    <w:p w14:paraId="55F8E9A2" w14:textId="77777777"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Teniendo en cuenta las directrices generales especificadas en lo anterior, se proponen las siguientes Prioridades Regionales para las Américas:</w:t>
      </w:r>
    </w:p>
    <w:p w14:paraId="1DCE8893" w14:textId="7CECB726" w:rsidR="0010493A" w:rsidRPr="00D52E04" w:rsidRDefault="0010493A" w:rsidP="0010493A">
      <w:pPr>
        <w:pStyle w:val="ListParagraph"/>
        <w:numPr>
          <w:ilvl w:val="0"/>
          <w:numId w:val="33"/>
        </w:numPr>
        <w:tabs>
          <w:tab w:val="clear" w:pos="794"/>
          <w:tab w:val="clear" w:pos="1191"/>
          <w:tab w:val="clear" w:pos="1588"/>
          <w:tab w:val="clear" w:pos="1985"/>
        </w:tabs>
        <w:overflowPunct/>
        <w:autoSpaceDE/>
        <w:autoSpaceDN/>
        <w:adjustRightInd/>
        <w:spacing w:before="60" w:after="60"/>
        <w:contextualSpacing w:val="0"/>
        <w:textAlignment w:val="auto"/>
        <w:rPr>
          <w:rFonts w:cs="Calibri"/>
          <w:szCs w:val="24"/>
          <w:lang w:val="es-ES" w:eastAsia="en-GB"/>
        </w:rPr>
      </w:pPr>
      <w:r w:rsidRPr="00D52E04">
        <w:rPr>
          <w:rFonts w:cs="Calibri"/>
          <w:szCs w:val="24"/>
          <w:lang w:val="es-ES" w:eastAsia="en-GB"/>
        </w:rPr>
        <w:t>AMS1: Despliegue de infraestructuras de telecomunicaciones/TIC de banda ancha, con énfasis en los países en desarrollo, los PMA, los países sin litoral y los PEID, utilizando una combinación de soluciones y enfoques de conectividad nuevos, existentes y emergentes, incluido el fomento de las redes comunitarias;</w:t>
      </w:r>
    </w:p>
    <w:p w14:paraId="224762C6" w14:textId="34D38299" w:rsidR="0010493A" w:rsidRPr="00D52E04" w:rsidRDefault="0010493A" w:rsidP="0010493A">
      <w:pPr>
        <w:pStyle w:val="ListParagraph"/>
        <w:numPr>
          <w:ilvl w:val="0"/>
          <w:numId w:val="33"/>
        </w:numPr>
        <w:tabs>
          <w:tab w:val="clear" w:pos="794"/>
          <w:tab w:val="clear" w:pos="1191"/>
          <w:tab w:val="clear" w:pos="1588"/>
          <w:tab w:val="clear" w:pos="1985"/>
        </w:tabs>
        <w:overflowPunct/>
        <w:autoSpaceDE/>
        <w:autoSpaceDN/>
        <w:adjustRightInd/>
        <w:spacing w:before="60" w:after="60"/>
        <w:contextualSpacing w:val="0"/>
        <w:textAlignment w:val="auto"/>
        <w:rPr>
          <w:rFonts w:cs="Calibri"/>
          <w:szCs w:val="24"/>
          <w:lang w:val="es-ES" w:eastAsia="en-GB"/>
        </w:rPr>
      </w:pPr>
      <w:r w:rsidRPr="00D52E04">
        <w:rPr>
          <w:rFonts w:cs="Calibri"/>
          <w:szCs w:val="24"/>
          <w:lang w:val="es-ES" w:eastAsia="en-GB"/>
        </w:rPr>
        <w:t>AMS2: Promoción de la alfabetización digital para posibilitar la utilización y aplicación fiable de tecnologías y servicios nuevos y emergentes, especialmente entre las poblaciones vulnerables;</w:t>
      </w:r>
      <w:r>
        <w:rPr>
          <w:rStyle w:val="FootnoteReference"/>
          <w:rFonts w:cs="Calibri"/>
          <w:szCs w:val="24"/>
          <w:lang w:eastAsia="en-GB"/>
        </w:rPr>
        <w:footnoteReference w:id="1"/>
      </w:r>
    </w:p>
    <w:p w14:paraId="009BE9F7" w14:textId="063019C7" w:rsidR="0010493A" w:rsidRPr="00D52E04" w:rsidRDefault="0010493A" w:rsidP="0010493A">
      <w:pPr>
        <w:pStyle w:val="ListParagraph"/>
        <w:numPr>
          <w:ilvl w:val="0"/>
          <w:numId w:val="33"/>
        </w:numPr>
        <w:tabs>
          <w:tab w:val="clear" w:pos="794"/>
          <w:tab w:val="clear" w:pos="1191"/>
          <w:tab w:val="clear" w:pos="1588"/>
          <w:tab w:val="clear" w:pos="1985"/>
        </w:tabs>
        <w:overflowPunct/>
        <w:autoSpaceDE/>
        <w:autoSpaceDN/>
        <w:adjustRightInd/>
        <w:spacing w:before="60" w:after="60"/>
        <w:contextualSpacing w:val="0"/>
        <w:textAlignment w:val="auto"/>
        <w:rPr>
          <w:rFonts w:cs="Calibri"/>
          <w:szCs w:val="24"/>
          <w:lang w:val="es-ES" w:eastAsia="en-GB"/>
        </w:rPr>
      </w:pPr>
      <w:r w:rsidRPr="00D52E04">
        <w:rPr>
          <w:rFonts w:cs="Calibri"/>
          <w:szCs w:val="24"/>
          <w:lang w:val="es-ES" w:eastAsia="en-GB"/>
        </w:rPr>
        <w:t>AMS3: Mejora del ecosistema de [transformación digital] [innovación] mediante proyectos de conectividad, promoviendo la participación activa de la sociedad civil, las instituciones financieras internacionales, los socios sectoriales y otras partes interesadas pertinentes.</w:t>
      </w:r>
    </w:p>
    <w:p w14:paraId="479827A1" w14:textId="3A5BE9C3" w:rsidR="0010493A" w:rsidRPr="00D52E04" w:rsidRDefault="0010493A" w:rsidP="0010493A">
      <w:pPr>
        <w:spacing w:after="120"/>
        <w:rPr>
          <w:rFonts w:asciiTheme="minorHAnsi" w:hAnsiTheme="minorHAnsi" w:cstheme="minorHAnsi"/>
          <w:b/>
          <w:bCs/>
          <w:szCs w:val="24"/>
          <w:lang w:val="es-ES"/>
        </w:rPr>
      </w:pPr>
      <w:r w:rsidRPr="00D52E04">
        <w:rPr>
          <w:rFonts w:asciiTheme="minorHAnsi" w:hAnsiTheme="minorHAnsi" w:cstheme="minorHAnsi"/>
          <w:b/>
          <w:bCs/>
          <w:szCs w:val="24"/>
          <w:lang w:val="es-ES"/>
        </w:rPr>
        <w:t>Conclusiones</w:t>
      </w:r>
    </w:p>
    <w:p w14:paraId="17CC25DD" w14:textId="77777777"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Más que nunca, el embate del COVID-19 ha puesto de relieve la importancia fundamental de las telecomunicaciones y las tecnologías de la información y la comunicación (TIC) en todo aspecto de la vida humana, tales como la salud, la educación, el trabajo y el entretenimiento. El impacto del COVID-19 afectará el camino hacia la recuperación económica para los países tanto desarrollados como en desarrollo durante años por venir, y las telecomunicaciones/TIC desempeñarán un papel crítico en dicha recuperación.</w:t>
      </w:r>
    </w:p>
    <w:p w14:paraId="4C65E25F" w14:textId="6D74A219" w:rsidR="0010493A" w:rsidRPr="00D52E04" w:rsidRDefault="0010493A" w:rsidP="0010493A">
      <w:pPr>
        <w:spacing w:after="120"/>
        <w:rPr>
          <w:rFonts w:asciiTheme="minorHAnsi" w:hAnsiTheme="minorHAnsi" w:cstheme="minorHAnsi"/>
          <w:szCs w:val="24"/>
          <w:lang w:val="es-ES"/>
        </w:rPr>
      </w:pPr>
      <w:r w:rsidRPr="00D52E04">
        <w:rPr>
          <w:rFonts w:asciiTheme="minorHAnsi" w:hAnsiTheme="minorHAnsi" w:cstheme="minorHAnsi"/>
          <w:szCs w:val="24"/>
          <w:lang w:val="es-ES"/>
        </w:rPr>
        <w:t>La Región insta, más que nunca, a superar las brechas enormemente expuestas por la crisis del COVID-19, en particular mejorando el despliegue de infraestructuras de banda ancha y posibilitando a la población utilizarlas adecuadamente en su propio beneficio. La forma más realista de lograr dichas prioridades es mediante alianzas eficaces. En cuanto al establecimiento de esas prioridades, la Región podrá encontrar soluciones para conectar a los no conectados para el desarrollo sostenible a nivel tanto regional como mundial.</w:t>
      </w:r>
    </w:p>
    <w:p w14:paraId="2E7B9BFC" w14:textId="06D8AFDE" w:rsidR="0010493A" w:rsidRPr="0010493A" w:rsidRDefault="0010493A" w:rsidP="0010493A">
      <w:pPr>
        <w:spacing w:after="120"/>
        <w:jc w:val="center"/>
        <w:rPr>
          <w:rFonts w:asciiTheme="minorHAnsi" w:hAnsiTheme="minorHAnsi" w:cstheme="minorHAnsi"/>
          <w:szCs w:val="24"/>
        </w:rPr>
      </w:pPr>
      <w:r>
        <w:rPr>
          <w:rFonts w:asciiTheme="minorHAnsi" w:hAnsiTheme="minorHAnsi" w:cstheme="minorHAnsi"/>
          <w:szCs w:val="24"/>
        </w:rPr>
        <w:t>________________</w:t>
      </w:r>
    </w:p>
    <w:sectPr w:rsidR="0010493A" w:rsidRPr="0010493A" w:rsidSect="00504609">
      <w:headerReference w:type="default" r:id="rId10"/>
      <w:footerReference w:type="first" r:id="rId11"/>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10493A" w:rsidRPr="00D52E04" w14:paraId="0ED65971" w14:textId="77777777" w:rsidTr="0010493A">
      <w:trPr>
        <w:trHeight w:val="283"/>
      </w:trPr>
      <w:tc>
        <w:tcPr>
          <w:tcW w:w="1432" w:type="dxa"/>
          <w:tcBorders>
            <w:top w:val="single" w:sz="4" w:space="0" w:color="000000"/>
          </w:tcBorders>
          <w:shd w:val="clear" w:color="auto" w:fill="auto"/>
        </w:tcPr>
        <w:p w14:paraId="357C4279" w14:textId="77777777" w:rsidR="0010493A" w:rsidRPr="004D495C" w:rsidRDefault="0010493A" w:rsidP="0010493A">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44" w:type="dxa"/>
          <w:tcBorders>
            <w:top w:val="single" w:sz="4" w:space="0" w:color="000000"/>
          </w:tcBorders>
        </w:tcPr>
        <w:p w14:paraId="7B0EE89B" w14:textId="77777777" w:rsidR="0010493A" w:rsidRPr="000C7520" w:rsidRDefault="0010493A" w:rsidP="0010493A">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tcPr>
        <w:p w14:paraId="2EFC0CEB" w14:textId="38630F50" w:rsidR="0010493A" w:rsidRPr="00D52E04" w:rsidRDefault="0010493A" w:rsidP="0010493A">
          <w:pPr>
            <w:pStyle w:val="FirstFooter"/>
            <w:tabs>
              <w:tab w:val="left" w:pos="2302"/>
            </w:tabs>
            <w:rPr>
              <w:sz w:val="18"/>
              <w:szCs w:val="18"/>
              <w:highlight w:val="yellow"/>
              <w:lang w:val="es-ES"/>
            </w:rPr>
          </w:pPr>
          <w:r w:rsidRPr="00D52E04">
            <w:rPr>
              <w:sz w:val="18"/>
              <w:szCs w:val="18"/>
              <w:lang w:val="es-ES"/>
            </w:rPr>
            <w:t xml:space="preserve">Sra. Andrea </w:t>
          </w:r>
          <w:proofErr w:type="spellStart"/>
          <w:r w:rsidRPr="00D52E04">
            <w:rPr>
              <w:sz w:val="18"/>
              <w:szCs w:val="18"/>
              <w:lang w:val="es-ES"/>
            </w:rPr>
            <w:t>Grippa</w:t>
          </w:r>
          <w:proofErr w:type="spellEnd"/>
          <w:r w:rsidRPr="00D52E04">
            <w:rPr>
              <w:sz w:val="18"/>
              <w:szCs w:val="18"/>
              <w:lang w:val="es-ES"/>
            </w:rPr>
            <w:t xml:space="preserve">, </w:t>
          </w:r>
          <w:proofErr w:type="spellStart"/>
          <w:r w:rsidRPr="00D52E04">
            <w:rPr>
              <w:sz w:val="18"/>
              <w:szCs w:val="18"/>
              <w:lang w:val="es-ES"/>
            </w:rPr>
            <w:t>Agência</w:t>
          </w:r>
          <w:proofErr w:type="spellEnd"/>
          <w:r w:rsidRPr="00D52E04">
            <w:rPr>
              <w:sz w:val="18"/>
              <w:szCs w:val="18"/>
              <w:lang w:val="es-ES"/>
            </w:rPr>
            <w:t xml:space="preserve"> Nacional de </w:t>
          </w:r>
          <w:proofErr w:type="spellStart"/>
          <w:r w:rsidRPr="00D52E04">
            <w:rPr>
              <w:sz w:val="18"/>
              <w:szCs w:val="18"/>
              <w:lang w:val="es-ES"/>
            </w:rPr>
            <w:t>Telecomunicações</w:t>
          </w:r>
          <w:proofErr w:type="spellEnd"/>
          <w:r w:rsidRPr="00D52E04">
            <w:rPr>
              <w:sz w:val="18"/>
              <w:szCs w:val="18"/>
              <w:lang w:val="es-ES"/>
            </w:rPr>
            <w:t xml:space="preserve"> (ANATEL), Brasil</w:t>
          </w:r>
        </w:p>
      </w:tc>
      <w:bookmarkStart w:id="10" w:name="OrgName"/>
      <w:bookmarkEnd w:id="10"/>
    </w:tr>
    <w:tr w:rsidR="0010493A" w:rsidRPr="004D495C" w14:paraId="09F85CB9" w14:textId="77777777" w:rsidTr="0010493A">
      <w:tc>
        <w:tcPr>
          <w:tcW w:w="1432" w:type="dxa"/>
          <w:shd w:val="clear" w:color="auto" w:fill="auto"/>
        </w:tcPr>
        <w:p w14:paraId="503204A3" w14:textId="77777777" w:rsidR="0010493A" w:rsidRPr="00D52E04" w:rsidRDefault="0010493A" w:rsidP="0010493A">
          <w:pPr>
            <w:pStyle w:val="FirstFooter"/>
            <w:tabs>
              <w:tab w:val="left" w:pos="1559"/>
              <w:tab w:val="left" w:pos="3828"/>
            </w:tabs>
            <w:rPr>
              <w:sz w:val="20"/>
              <w:lang w:val="es-ES"/>
            </w:rPr>
          </w:pPr>
        </w:p>
      </w:tc>
      <w:tc>
        <w:tcPr>
          <w:tcW w:w="2544" w:type="dxa"/>
        </w:tcPr>
        <w:p w14:paraId="29E8D116" w14:textId="77777777" w:rsidR="0010493A" w:rsidRPr="000C7520" w:rsidRDefault="0010493A" w:rsidP="0010493A">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tcPr>
        <w:p w14:paraId="0BA178FB" w14:textId="65373A45" w:rsidR="0010493A" w:rsidRPr="004D495C" w:rsidRDefault="0010493A" w:rsidP="0010493A">
          <w:pPr>
            <w:pStyle w:val="FirstFooter"/>
            <w:tabs>
              <w:tab w:val="left" w:pos="2302"/>
            </w:tabs>
            <w:rPr>
              <w:sz w:val="18"/>
              <w:szCs w:val="18"/>
              <w:highlight w:val="yellow"/>
              <w:lang w:val="en-US"/>
            </w:rPr>
          </w:pPr>
          <w:r w:rsidRPr="000D1386">
            <w:rPr>
              <w:sz w:val="18"/>
              <w:szCs w:val="18"/>
            </w:rPr>
            <w:t>+55</w:t>
          </w:r>
          <w:r>
            <w:rPr>
              <w:sz w:val="18"/>
              <w:szCs w:val="18"/>
            </w:rPr>
            <w:t xml:space="preserve"> </w:t>
          </w:r>
          <w:r w:rsidRPr="000D1386">
            <w:rPr>
              <w:sz w:val="18"/>
              <w:szCs w:val="18"/>
            </w:rPr>
            <w:t>6123121702</w:t>
          </w:r>
        </w:p>
      </w:tc>
      <w:bookmarkStart w:id="11" w:name="PhoneNo"/>
      <w:bookmarkEnd w:id="11"/>
    </w:tr>
    <w:tr w:rsidR="0010493A" w:rsidRPr="004D495C" w14:paraId="0BA35A07" w14:textId="77777777" w:rsidTr="0010493A">
      <w:tc>
        <w:tcPr>
          <w:tcW w:w="1432" w:type="dxa"/>
          <w:shd w:val="clear" w:color="auto" w:fill="auto"/>
        </w:tcPr>
        <w:p w14:paraId="1809EE7D" w14:textId="77777777" w:rsidR="0010493A" w:rsidRPr="004D495C" w:rsidRDefault="0010493A" w:rsidP="0010493A">
          <w:pPr>
            <w:pStyle w:val="FirstFooter"/>
            <w:tabs>
              <w:tab w:val="left" w:pos="1559"/>
              <w:tab w:val="left" w:pos="3828"/>
            </w:tabs>
            <w:rPr>
              <w:sz w:val="20"/>
              <w:lang w:val="en-US"/>
            </w:rPr>
          </w:pPr>
        </w:p>
      </w:tc>
      <w:tc>
        <w:tcPr>
          <w:tcW w:w="2544" w:type="dxa"/>
        </w:tcPr>
        <w:p w14:paraId="500EFD9D" w14:textId="77777777" w:rsidR="0010493A" w:rsidRPr="0025794D" w:rsidRDefault="0010493A" w:rsidP="0010493A">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tc>
        <w:tcPr>
          <w:tcW w:w="5665" w:type="dxa"/>
        </w:tcPr>
        <w:p w14:paraId="55221C41" w14:textId="12C3606E" w:rsidR="0010493A" w:rsidRPr="004D495C" w:rsidRDefault="00D9405D" w:rsidP="0010493A">
          <w:pPr>
            <w:pStyle w:val="FirstFooter"/>
            <w:tabs>
              <w:tab w:val="left" w:pos="2302"/>
            </w:tabs>
            <w:rPr>
              <w:sz w:val="18"/>
              <w:szCs w:val="18"/>
              <w:highlight w:val="yellow"/>
              <w:lang w:val="en-US"/>
            </w:rPr>
          </w:pPr>
          <w:hyperlink r:id="rId1" w:history="1">
            <w:r w:rsidR="0010493A" w:rsidRPr="00320ADA">
              <w:rPr>
                <w:rStyle w:val="Hyperlink"/>
                <w:sz w:val="18"/>
                <w:szCs w:val="18"/>
              </w:rPr>
              <w:t>agrippa@anatel.gov.br</w:t>
            </w:r>
          </w:hyperlink>
          <w:r w:rsidR="0010493A">
            <w:rPr>
              <w:sz w:val="18"/>
              <w:szCs w:val="18"/>
            </w:rPr>
            <w:t xml:space="preserve"> </w:t>
          </w:r>
        </w:p>
      </w:tc>
      <w:bookmarkStart w:id="12" w:name="Email"/>
      <w:bookmarkEnd w:id="12"/>
    </w:tr>
  </w:tbl>
  <w:p w14:paraId="73D28639" w14:textId="6E004BB7" w:rsidR="00E2379D" w:rsidRPr="008C182E" w:rsidRDefault="00D9405D" w:rsidP="008C182E">
    <w:pPr>
      <w:jc w:val="center"/>
      <w:rPr>
        <w:sz w:val="20"/>
        <w:szCs w:val="16"/>
      </w:rPr>
    </w:pPr>
    <w:hyperlink r:id="rId2" w:history="1">
      <w:r w:rsidR="008C182E" w:rsidRPr="002654FD">
        <w:rPr>
          <w:rStyle w:val="Hyperlink"/>
          <w:sz w:val="20"/>
          <w:szCs w:val="16"/>
        </w:rPr>
        <w:t>RPM-A</w:t>
      </w:r>
      <w:r w:rsidR="008C182E">
        <w:rPr>
          <w:rStyle w:val="Hyperlink"/>
          <w:sz w:val="20"/>
          <w:szCs w:val="16"/>
        </w:rPr>
        <w:t>MS</w:t>
      </w:r>
      <w:r w:rsidR="008C182E"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3145EEC4" w14:textId="0471A03A" w:rsidR="0010493A" w:rsidRPr="00D52E04" w:rsidRDefault="0010493A" w:rsidP="0010493A">
      <w:pPr>
        <w:pStyle w:val="FootnoteText"/>
        <w:spacing w:before="0"/>
        <w:ind w:left="0" w:firstLine="0"/>
        <w:rPr>
          <w:lang w:val="es-ES"/>
        </w:rPr>
      </w:pPr>
      <w:r>
        <w:rPr>
          <w:rStyle w:val="FootnoteReference"/>
        </w:rPr>
        <w:footnoteRef/>
      </w:r>
      <w:r w:rsidRPr="00D52E04">
        <w:rPr>
          <w:lang w:val="es-ES"/>
        </w:rPr>
        <w:t xml:space="preserve"> </w:t>
      </w:r>
      <w:r w:rsidRPr="00D52E04">
        <w:rPr>
          <w:sz w:val="20"/>
          <w:lang w:val="es-ES"/>
        </w:rPr>
        <w:t>Mujeres y niñas, personas con discapacidades y necesidades específicas, los jóvenes, las comunidades marginadas y los pueblos indígenas.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38E10471" w:rsidR="00E2379D" w:rsidRPr="00D52E04" w:rsidRDefault="00E2379D" w:rsidP="006E4CA9">
    <w:pPr>
      <w:tabs>
        <w:tab w:val="clear" w:pos="794"/>
        <w:tab w:val="clear" w:pos="1191"/>
        <w:tab w:val="clear" w:pos="1588"/>
        <w:tab w:val="clear" w:pos="1985"/>
        <w:tab w:val="center" w:pos="4820"/>
        <w:tab w:val="right" w:pos="10206"/>
      </w:tabs>
      <w:ind w:right="1"/>
      <w:rPr>
        <w:smallCaps/>
        <w:spacing w:val="24"/>
        <w:sz w:val="22"/>
        <w:szCs w:val="22"/>
      </w:rPr>
    </w:pPr>
    <w:r w:rsidRPr="004D495C">
      <w:rPr>
        <w:sz w:val="22"/>
        <w:szCs w:val="22"/>
      </w:rPr>
      <w:tab/>
    </w:r>
    <w:r w:rsidRPr="00D52E04">
      <w:rPr>
        <w:sz w:val="22"/>
        <w:szCs w:val="22"/>
      </w:rPr>
      <w:t>ITU-D/</w:t>
    </w:r>
    <w:bookmarkStart w:id="8" w:name="DocRef2"/>
    <w:bookmarkEnd w:id="8"/>
    <w:r w:rsidR="00FF089C" w:rsidRPr="00D52E04">
      <w:rPr>
        <w:sz w:val="22"/>
        <w:szCs w:val="22"/>
      </w:rPr>
      <w:t>RPM-</w:t>
    </w:r>
    <w:r w:rsidR="000309D3" w:rsidRPr="00D52E04">
      <w:rPr>
        <w:sz w:val="22"/>
        <w:szCs w:val="22"/>
      </w:rPr>
      <w:t>AMS</w:t>
    </w:r>
    <w:r w:rsidR="00882AA1" w:rsidRPr="00D52E04">
      <w:rPr>
        <w:sz w:val="22"/>
        <w:szCs w:val="22"/>
      </w:rPr>
      <w:t>21</w:t>
    </w:r>
    <w:r w:rsidRPr="00D52E04">
      <w:rPr>
        <w:sz w:val="22"/>
        <w:szCs w:val="22"/>
      </w:rPr>
      <w:t>/</w:t>
    </w:r>
    <w:bookmarkStart w:id="9" w:name="DocNo2"/>
    <w:bookmarkEnd w:id="9"/>
    <w:r w:rsidR="0010493A" w:rsidRPr="00D52E04">
      <w:rPr>
        <w:sz w:val="22"/>
        <w:szCs w:val="22"/>
      </w:rPr>
      <w:t>10</w:t>
    </w:r>
    <w:r w:rsidR="00FF089C" w:rsidRPr="00D52E04">
      <w:rPr>
        <w:sz w:val="22"/>
        <w:szCs w:val="22"/>
      </w:rPr>
      <w:t>-</w:t>
    </w:r>
    <w:r w:rsidR="00EC43F5" w:rsidRPr="00D52E04">
      <w:rPr>
        <w:sz w:val="22"/>
        <w:szCs w:val="22"/>
      </w:rPr>
      <w:t>S</w:t>
    </w:r>
    <w:r w:rsidRPr="00D52E04">
      <w:rPr>
        <w:sz w:val="22"/>
        <w:szCs w:val="22"/>
      </w:rPr>
      <w:tab/>
      <w:t xml:space="preserve">Page </w:t>
    </w:r>
    <w:r w:rsidRPr="004D495C">
      <w:rPr>
        <w:sz w:val="22"/>
        <w:szCs w:val="22"/>
      </w:rPr>
      <w:fldChar w:fldCharType="begin"/>
    </w:r>
    <w:r w:rsidRPr="00D52E04">
      <w:rPr>
        <w:sz w:val="22"/>
        <w:szCs w:val="22"/>
      </w:rPr>
      <w:instrText xml:space="preserve"> PAGE </w:instrText>
    </w:r>
    <w:r w:rsidRPr="004D495C">
      <w:rPr>
        <w:sz w:val="22"/>
        <w:szCs w:val="22"/>
      </w:rPr>
      <w:fldChar w:fldCharType="separate"/>
    </w:r>
    <w:r w:rsidR="00BA2A7B" w:rsidRPr="00D52E04">
      <w:rPr>
        <w:noProof/>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B716DE4"/>
    <w:multiLevelType w:val="hybridMultilevel"/>
    <w:tmpl w:val="6F00CCC4"/>
    <w:lvl w:ilvl="0" w:tplc="C79EAB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213CF9"/>
    <w:multiLevelType w:val="hybridMultilevel"/>
    <w:tmpl w:val="AF1C373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2"/>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30"/>
  </w:num>
  <w:num w:numId="29">
    <w:abstractNumId w:val="11"/>
  </w:num>
  <w:num w:numId="30">
    <w:abstractNumId w:val="21"/>
  </w:num>
  <w:num w:numId="31">
    <w:abstractNumId w:val="31"/>
  </w:num>
  <w:num w:numId="32">
    <w:abstractNumId w:val="24"/>
  </w:num>
  <w:num w:numId="33">
    <w:abstractNumId w:val="2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09D3"/>
    <w:rsid w:val="00032DD2"/>
    <w:rsid w:val="000370A8"/>
    <w:rsid w:val="0006050B"/>
    <w:rsid w:val="00080665"/>
    <w:rsid w:val="00085784"/>
    <w:rsid w:val="0009676A"/>
    <w:rsid w:val="000A0187"/>
    <w:rsid w:val="000A3328"/>
    <w:rsid w:val="000D0403"/>
    <w:rsid w:val="000D61A2"/>
    <w:rsid w:val="000D7961"/>
    <w:rsid w:val="000E397B"/>
    <w:rsid w:val="000F1580"/>
    <w:rsid w:val="0010493A"/>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66A5F"/>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65328"/>
    <w:rsid w:val="00385ABF"/>
    <w:rsid w:val="00392AF3"/>
    <w:rsid w:val="003A6A11"/>
    <w:rsid w:val="003B75F4"/>
    <w:rsid w:val="003C78E4"/>
    <w:rsid w:val="003E20FF"/>
    <w:rsid w:val="00406F1F"/>
    <w:rsid w:val="004077C9"/>
    <w:rsid w:val="00414E6F"/>
    <w:rsid w:val="00415F06"/>
    <w:rsid w:val="00416D38"/>
    <w:rsid w:val="00421F93"/>
    <w:rsid w:val="004331DF"/>
    <w:rsid w:val="0043566B"/>
    <w:rsid w:val="004430CE"/>
    <w:rsid w:val="00451232"/>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1B06"/>
    <w:rsid w:val="006527BD"/>
    <w:rsid w:val="00663234"/>
    <w:rsid w:val="00667E12"/>
    <w:rsid w:val="00676C62"/>
    <w:rsid w:val="00677A58"/>
    <w:rsid w:val="00685848"/>
    <w:rsid w:val="006A6F8F"/>
    <w:rsid w:val="006C0E12"/>
    <w:rsid w:val="006C7A7B"/>
    <w:rsid w:val="006D0B95"/>
    <w:rsid w:val="006D1217"/>
    <w:rsid w:val="006E4CA9"/>
    <w:rsid w:val="006F1CE9"/>
    <w:rsid w:val="006F7908"/>
    <w:rsid w:val="0070090A"/>
    <w:rsid w:val="0070796E"/>
    <w:rsid w:val="007274B6"/>
    <w:rsid w:val="00735AC3"/>
    <w:rsid w:val="00735B54"/>
    <w:rsid w:val="007471E9"/>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87162"/>
    <w:rsid w:val="00891809"/>
    <w:rsid w:val="008A3538"/>
    <w:rsid w:val="008A357D"/>
    <w:rsid w:val="008C182E"/>
    <w:rsid w:val="008F2196"/>
    <w:rsid w:val="009043C2"/>
    <w:rsid w:val="009058E9"/>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338F"/>
    <w:rsid w:val="009D7B40"/>
    <w:rsid w:val="009E3FEB"/>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906AA"/>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52E04"/>
    <w:rsid w:val="00D80072"/>
    <w:rsid w:val="00D839D8"/>
    <w:rsid w:val="00D92439"/>
    <w:rsid w:val="00D9405D"/>
    <w:rsid w:val="00DA1664"/>
    <w:rsid w:val="00DA2F6F"/>
    <w:rsid w:val="00DA3130"/>
    <w:rsid w:val="00DB5B1B"/>
    <w:rsid w:val="00DB6C98"/>
    <w:rsid w:val="00DD05EF"/>
    <w:rsid w:val="00DD5A07"/>
    <w:rsid w:val="00DE3F2D"/>
    <w:rsid w:val="00DE460C"/>
    <w:rsid w:val="00E207C7"/>
    <w:rsid w:val="00E2379D"/>
    <w:rsid w:val="00E244D1"/>
    <w:rsid w:val="00E45EB4"/>
    <w:rsid w:val="00E7476B"/>
    <w:rsid w:val="00E74841"/>
    <w:rsid w:val="00E84413"/>
    <w:rsid w:val="00E97390"/>
    <w:rsid w:val="00E97800"/>
    <w:rsid w:val="00EA3797"/>
    <w:rsid w:val="00EA467D"/>
    <w:rsid w:val="00EA6520"/>
    <w:rsid w:val="00EA72D0"/>
    <w:rsid w:val="00EC43F5"/>
    <w:rsid w:val="00EF62C8"/>
    <w:rsid w:val="00F11529"/>
    <w:rsid w:val="00F2422E"/>
    <w:rsid w:val="00F35A0C"/>
    <w:rsid w:val="00F40E2E"/>
    <w:rsid w:val="00F620CA"/>
    <w:rsid w:val="00F704DE"/>
    <w:rsid w:val="00F74154"/>
    <w:rsid w:val="00F842D3"/>
    <w:rsid w:val="00F87092"/>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ListParagraphChar">
    <w:name w:val="List Paragraph Char"/>
    <w:link w:val="ListParagraph"/>
    <w:uiPriority w:val="34"/>
    <w:locked/>
    <w:rsid w:val="0010493A"/>
    <w:rPr>
      <w:rFonts w:ascii="Calibri" w:eastAsia="Times New Roman"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agrippa@anatel.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FFF7-2D6F-4775-9957-4624DE34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4</cp:revision>
  <cp:lastPrinted>2016-05-13T07:33:00Z</cp:lastPrinted>
  <dcterms:created xsi:type="dcterms:W3CDTF">2021-04-14T06:17:00Z</dcterms:created>
  <dcterms:modified xsi:type="dcterms:W3CDTF">2021-04-14T06:25:00Z</dcterms:modified>
</cp:coreProperties>
</file>