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3740B" w14:textId="443B7BE0" w:rsidR="00FF2FA8" w:rsidRPr="003E4841" w:rsidRDefault="00375954" w:rsidP="003E4841">
      <w:pPr>
        <w:pStyle w:val="Annextitle"/>
        <w:rPr>
          <w:lang w:val="fr-FR"/>
        </w:rPr>
      </w:pPr>
      <w:r w:rsidRPr="003E4841">
        <w:rPr>
          <w:lang w:val="fr-FR"/>
        </w:rPr>
        <w:t xml:space="preserve">Annexe </w:t>
      </w:r>
      <w:r w:rsidR="00BB1F28" w:rsidRPr="003E4841">
        <w:rPr>
          <w:lang w:val="fr-FR"/>
        </w:rPr>
        <w:t>2</w:t>
      </w:r>
      <w:r w:rsidR="00D94A1A">
        <w:rPr>
          <w:lang w:val="fr-FR"/>
        </w:rPr>
        <w:br/>
      </w:r>
      <w:r w:rsidR="00D94A1A">
        <w:rPr>
          <w:lang w:val="fr-FR"/>
        </w:rPr>
        <w:br/>
      </w:r>
      <w:r w:rsidR="001174FD" w:rsidRPr="003E4841">
        <w:rPr>
          <w:lang w:val="fr-FR"/>
        </w:rPr>
        <w:t>I</w:t>
      </w:r>
      <w:r w:rsidR="00BB1F28" w:rsidRPr="003E4841">
        <w:rPr>
          <w:lang w:val="fr-FR"/>
        </w:rPr>
        <w:t>nformations détaillées sur le travail acco</w:t>
      </w:r>
      <w:r w:rsidR="00D94A1A">
        <w:rPr>
          <w:lang w:val="fr-FR"/>
        </w:rPr>
        <w:t>mpli en vue de mener à bien les </w:t>
      </w:r>
      <w:r w:rsidR="00BB1F28" w:rsidRPr="003E4841">
        <w:rPr>
          <w:lang w:val="fr-FR"/>
        </w:rPr>
        <w:t>initiatives régionales pour l</w:t>
      </w:r>
      <w:r w:rsidR="00DE155C" w:rsidRPr="003E4841">
        <w:rPr>
          <w:lang w:val="fr-FR"/>
        </w:rPr>
        <w:t>a région des États arabes</w:t>
      </w:r>
    </w:p>
    <w:p w14:paraId="62B48818" w14:textId="77777777" w:rsidR="00FF2FA8" w:rsidRPr="003E4841" w:rsidRDefault="00375954" w:rsidP="003E4841">
      <w:pPr>
        <w:pStyle w:val="Headingb"/>
        <w:rPr>
          <w:lang w:val="fr-FR"/>
        </w:rPr>
      </w:pPr>
      <w:r w:rsidRPr="003E4841">
        <w:rPr>
          <w:lang w:val="fr-FR"/>
        </w:rPr>
        <w:t>Introduction</w:t>
      </w:r>
    </w:p>
    <w:p w14:paraId="42D5E44C" w14:textId="12E52143" w:rsidR="00FF2FA8" w:rsidRPr="003E4841" w:rsidRDefault="00375954" w:rsidP="003E4841">
      <w:pPr>
        <w:rPr>
          <w:rFonts w:cstheme="minorHAnsi"/>
          <w:szCs w:val="24"/>
          <w:lang w:val="fr-FR"/>
        </w:rPr>
      </w:pPr>
      <w:r w:rsidRPr="003E4841">
        <w:rPr>
          <w:rFonts w:cstheme="minorHAnsi"/>
          <w:szCs w:val="24"/>
          <w:lang w:val="fr-FR"/>
        </w:rPr>
        <w:t xml:space="preserve">Le présent document décrit toutes les activités </w:t>
      </w:r>
      <w:r w:rsidR="00C57C65" w:rsidRPr="003E4841">
        <w:rPr>
          <w:rFonts w:cstheme="minorHAnsi"/>
          <w:szCs w:val="24"/>
          <w:lang w:val="fr-FR"/>
        </w:rPr>
        <w:t xml:space="preserve">que l'UIT a </w:t>
      </w:r>
      <w:r w:rsidRPr="003E4841">
        <w:rPr>
          <w:rFonts w:cstheme="minorHAnsi"/>
          <w:szCs w:val="24"/>
          <w:lang w:val="fr-FR"/>
        </w:rPr>
        <w:t xml:space="preserve">entreprises entre 2018 et 2020 </w:t>
      </w:r>
      <w:r w:rsidR="00E80E1C" w:rsidRPr="003E4841">
        <w:rPr>
          <w:rFonts w:cstheme="minorHAnsi"/>
          <w:szCs w:val="24"/>
          <w:lang w:val="fr-FR"/>
        </w:rPr>
        <w:t xml:space="preserve">pour </w:t>
      </w:r>
      <w:r w:rsidR="00F47BCC" w:rsidRPr="003E4841">
        <w:rPr>
          <w:rFonts w:cstheme="minorHAnsi"/>
          <w:szCs w:val="24"/>
          <w:lang w:val="fr-FR"/>
        </w:rPr>
        <w:t xml:space="preserve">atteindre </w:t>
      </w:r>
      <w:r w:rsidR="00E80E1C" w:rsidRPr="003E4841">
        <w:rPr>
          <w:rFonts w:cstheme="minorHAnsi"/>
          <w:szCs w:val="24"/>
          <w:lang w:val="fr-FR"/>
        </w:rPr>
        <w:t xml:space="preserve">les </w:t>
      </w:r>
      <w:r w:rsidRPr="003E4841">
        <w:rPr>
          <w:rFonts w:cstheme="minorHAnsi"/>
          <w:szCs w:val="24"/>
          <w:lang w:val="fr-FR"/>
        </w:rPr>
        <w:t>résultats attendus des initiatives régionales de l'U</w:t>
      </w:r>
      <w:r w:rsidR="00C57C65" w:rsidRPr="003E4841">
        <w:rPr>
          <w:rFonts w:cstheme="minorHAnsi"/>
          <w:szCs w:val="24"/>
          <w:lang w:val="fr-FR"/>
        </w:rPr>
        <w:t xml:space="preserve">nion </w:t>
      </w:r>
      <w:r w:rsidRPr="003E4841">
        <w:rPr>
          <w:rFonts w:cstheme="minorHAnsi"/>
          <w:szCs w:val="24"/>
          <w:lang w:val="fr-FR"/>
        </w:rPr>
        <w:t xml:space="preserve">pour la région </w:t>
      </w:r>
      <w:r w:rsidR="00DE155C" w:rsidRPr="003E4841">
        <w:rPr>
          <w:rFonts w:cstheme="minorHAnsi"/>
          <w:szCs w:val="24"/>
          <w:lang w:val="fr-FR"/>
        </w:rPr>
        <w:t>des États</w:t>
      </w:r>
      <w:r w:rsidR="002450E8" w:rsidRPr="003E4841">
        <w:rPr>
          <w:rFonts w:cstheme="minorHAnsi"/>
          <w:szCs w:val="24"/>
          <w:lang w:val="fr-FR"/>
        </w:rPr>
        <w:t> </w:t>
      </w:r>
      <w:r w:rsidR="00DE155C" w:rsidRPr="003E4841">
        <w:rPr>
          <w:rFonts w:cstheme="minorHAnsi"/>
          <w:szCs w:val="24"/>
          <w:lang w:val="fr-FR"/>
        </w:rPr>
        <w:t>arabes</w:t>
      </w:r>
      <w:r w:rsidRPr="003E4841">
        <w:rPr>
          <w:rFonts w:cstheme="minorHAnsi"/>
          <w:szCs w:val="24"/>
          <w:lang w:val="fr-FR"/>
        </w:rPr>
        <w:t xml:space="preserve">, qui regroupe </w:t>
      </w:r>
      <w:r w:rsidR="00DE155C" w:rsidRPr="003E4841">
        <w:rPr>
          <w:rFonts w:cstheme="minorHAnsi"/>
          <w:szCs w:val="24"/>
          <w:lang w:val="fr-FR"/>
        </w:rPr>
        <w:t>22</w:t>
      </w:r>
      <w:r w:rsidRPr="003E4841">
        <w:rPr>
          <w:rFonts w:cstheme="minorHAnsi"/>
          <w:szCs w:val="24"/>
          <w:lang w:val="fr-FR"/>
        </w:rPr>
        <w:t xml:space="preserve"> pays. </w:t>
      </w:r>
      <w:r w:rsidR="00F47BCC" w:rsidRPr="003E4841">
        <w:rPr>
          <w:rFonts w:cstheme="minorHAnsi"/>
          <w:szCs w:val="24"/>
          <w:lang w:val="fr-FR"/>
        </w:rPr>
        <w:t xml:space="preserve">Il </w:t>
      </w:r>
      <w:r w:rsidRPr="003E4841">
        <w:rPr>
          <w:rFonts w:cstheme="minorHAnsi"/>
          <w:szCs w:val="24"/>
          <w:lang w:val="fr-FR"/>
        </w:rPr>
        <w:t xml:space="preserve">décrit les résultats </w:t>
      </w:r>
      <w:r w:rsidR="00C57C65" w:rsidRPr="003E4841">
        <w:rPr>
          <w:rFonts w:cstheme="minorHAnsi"/>
          <w:szCs w:val="24"/>
          <w:lang w:val="fr-FR"/>
        </w:rPr>
        <w:t xml:space="preserve">et l'impact obtenu </w:t>
      </w:r>
      <w:r w:rsidR="00F47BCC" w:rsidRPr="003E4841">
        <w:rPr>
          <w:rFonts w:cstheme="minorHAnsi"/>
          <w:szCs w:val="24"/>
          <w:lang w:val="fr-FR"/>
        </w:rPr>
        <w:t xml:space="preserve">pour chaque </w:t>
      </w:r>
      <w:r w:rsidRPr="003E4841">
        <w:rPr>
          <w:rFonts w:cstheme="minorHAnsi"/>
          <w:szCs w:val="24"/>
          <w:lang w:val="fr-FR"/>
        </w:rPr>
        <w:t xml:space="preserve">initiative régionale ainsi que </w:t>
      </w:r>
      <w:r w:rsidR="00F47BCC" w:rsidRPr="003E4841">
        <w:rPr>
          <w:rFonts w:cstheme="minorHAnsi"/>
          <w:szCs w:val="24"/>
          <w:lang w:val="fr-FR"/>
        </w:rPr>
        <w:t xml:space="preserve">pour chaque </w:t>
      </w:r>
      <w:r w:rsidRPr="003E4841">
        <w:rPr>
          <w:rFonts w:cstheme="minorHAnsi"/>
          <w:szCs w:val="24"/>
          <w:lang w:val="fr-FR"/>
        </w:rPr>
        <w:t xml:space="preserve">activité. </w:t>
      </w:r>
      <w:r w:rsidR="00F47BCC" w:rsidRPr="003E4841">
        <w:rPr>
          <w:rFonts w:cstheme="minorHAnsi"/>
          <w:szCs w:val="24"/>
          <w:lang w:val="fr-FR"/>
        </w:rPr>
        <w:t xml:space="preserve">Les activités </w:t>
      </w:r>
      <w:r w:rsidRPr="003E4841">
        <w:rPr>
          <w:rFonts w:cstheme="minorHAnsi"/>
          <w:szCs w:val="24"/>
          <w:lang w:val="fr-FR"/>
        </w:rPr>
        <w:t xml:space="preserve">sont </w:t>
      </w:r>
      <w:r w:rsidR="00C57C65" w:rsidRPr="003E4841">
        <w:rPr>
          <w:rFonts w:cstheme="minorHAnsi"/>
          <w:szCs w:val="24"/>
          <w:lang w:val="fr-FR"/>
        </w:rPr>
        <w:t>présentées dans l'</w:t>
      </w:r>
      <w:r w:rsidRPr="003E4841">
        <w:rPr>
          <w:rFonts w:cstheme="minorHAnsi"/>
          <w:szCs w:val="24"/>
          <w:lang w:val="fr-FR"/>
        </w:rPr>
        <w:t xml:space="preserve">ordre chronologique </w:t>
      </w:r>
      <w:r w:rsidR="00C57C65" w:rsidRPr="003E4841">
        <w:rPr>
          <w:rFonts w:cstheme="minorHAnsi"/>
          <w:szCs w:val="24"/>
          <w:lang w:val="fr-FR"/>
        </w:rPr>
        <w:t xml:space="preserve">pour chaque </w:t>
      </w:r>
      <w:r w:rsidRPr="003E4841">
        <w:rPr>
          <w:rFonts w:cstheme="minorHAnsi"/>
          <w:szCs w:val="24"/>
          <w:lang w:val="fr-FR"/>
        </w:rPr>
        <w:t xml:space="preserve">sujet. Toutes les activités menées dans le cadre des initiatives régionales de l'UIT pour </w:t>
      </w:r>
      <w:r w:rsidR="00DE155C" w:rsidRPr="003E4841">
        <w:rPr>
          <w:rFonts w:cstheme="minorHAnsi"/>
          <w:szCs w:val="24"/>
          <w:lang w:val="fr-FR"/>
        </w:rPr>
        <w:t>la région des États arabes sont directem</w:t>
      </w:r>
      <w:r w:rsidRPr="003E4841">
        <w:rPr>
          <w:rFonts w:cstheme="minorHAnsi"/>
          <w:szCs w:val="24"/>
          <w:lang w:val="fr-FR"/>
        </w:rPr>
        <w:t xml:space="preserve">ent liées aux priorités thématiques correspondantes du BDT et coordonnées au sein de celles-ci, </w:t>
      </w:r>
      <w:r w:rsidR="00F47BCC" w:rsidRPr="003E4841">
        <w:rPr>
          <w:rFonts w:cstheme="minorHAnsi"/>
          <w:szCs w:val="24"/>
          <w:lang w:val="fr-FR"/>
        </w:rPr>
        <w:t>ce qui permet de renforcer l'</w:t>
      </w:r>
      <w:r w:rsidR="00C57C65" w:rsidRPr="003E4841">
        <w:rPr>
          <w:rFonts w:cstheme="minorHAnsi"/>
          <w:szCs w:val="24"/>
          <w:lang w:val="fr-FR"/>
        </w:rPr>
        <w:t xml:space="preserve">action </w:t>
      </w:r>
      <w:r w:rsidR="00F47BCC" w:rsidRPr="003E4841">
        <w:rPr>
          <w:rFonts w:cstheme="minorHAnsi"/>
          <w:szCs w:val="24"/>
          <w:lang w:val="fr-FR"/>
        </w:rPr>
        <w:t xml:space="preserve">de l'UIT et </w:t>
      </w:r>
      <w:r w:rsidR="00C57C65" w:rsidRPr="003E4841">
        <w:rPr>
          <w:rFonts w:cstheme="minorHAnsi"/>
          <w:szCs w:val="24"/>
          <w:lang w:val="fr-FR"/>
        </w:rPr>
        <w:t xml:space="preserve">son impact </w:t>
      </w:r>
      <w:r w:rsidRPr="003E4841">
        <w:rPr>
          <w:rFonts w:cstheme="minorHAnsi"/>
          <w:szCs w:val="24"/>
          <w:lang w:val="fr-FR"/>
        </w:rPr>
        <w:t xml:space="preserve">aux niveaux régional et national. </w:t>
      </w:r>
      <w:r w:rsidR="00BC0196" w:rsidRPr="003E4841">
        <w:rPr>
          <w:rFonts w:cstheme="minorHAnsi"/>
          <w:szCs w:val="24"/>
          <w:lang w:val="fr-FR"/>
        </w:rPr>
        <w:t>Dans le même temps</w:t>
      </w:r>
      <w:r w:rsidRPr="003E4841">
        <w:rPr>
          <w:rFonts w:cstheme="minorHAnsi"/>
          <w:szCs w:val="24"/>
          <w:lang w:val="fr-FR"/>
        </w:rPr>
        <w:t xml:space="preserve">, le document </w:t>
      </w:r>
      <w:r w:rsidR="00BC0196" w:rsidRPr="003E4841">
        <w:rPr>
          <w:rFonts w:cstheme="minorHAnsi"/>
          <w:szCs w:val="24"/>
          <w:lang w:val="fr-FR"/>
        </w:rPr>
        <w:t xml:space="preserve">présente </w:t>
      </w:r>
      <w:r w:rsidRPr="003E4841">
        <w:rPr>
          <w:rFonts w:cstheme="minorHAnsi"/>
          <w:szCs w:val="24"/>
          <w:lang w:val="fr-FR"/>
        </w:rPr>
        <w:t xml:space="preserve">la contribution des activités aux travaux des </w:t>
      </w:r>
      <w:r w:rsidR="007C0B80" w:rsidRPr="003E4841">
        <w:rPr>
          <w:rFonts w:cstheme="minorHAnsi"/>
          <w:szCs w:val="24"/>
          <w:lang w:val="fr-FR"/>
        </w:rPr>
        <w:t>C</w:t>
      </w:r>
      <w:r w:rsidRPr="003E4841">
        <w:rPr>
          <w:rFonts w:cstheme="minorHAnsi"/>
          <w:szCs w:val="24"/>
          <w:lang w:val="fr-FR"/>
        </w:rPr>
        <w:t xml:space="preserve">ommissions d'études de l'UIT, ainsi que la contribution de l'UIT à la mise en œuvre des grandes orientations du SMSI et </w:t>
      </w:r>
      <w:r w:rsidR="00200391" w:rsidRPr="003E4841">
        <w:rPr>
          <w:rFonts w:cstheme="minorHAnsi"/>
          <w:szCs w:val="24"/>
          <w:lang w:val="fr-FR"/>
        </w:rPr>
        <w:t xml:space="preserve">à la réalisation </w:t>
      </w:r>
      <w:r w:rsidRPr="003E4841">
        <w:rPr>
          <w:rFonts w:cstheme="minorHAnsi"/>
          <w:szCs w:val="24"/>
          <w:lang w:val="fr-FR"/>
        </w:rPr>
        <w:t xml:space="preserve">des </w:t>
      </w:r>
      <w:r w:rsidR="00BC0196" w:rsidRPr="003E4841">
        <w:rPr>
          <w:rFonts w:cstheme="minorHAnsi"/>
          <w:szCs w:val="24"/>
          <w:lang w:val="fr-FR"/>
        </w:rPr>
        <w:t>O</w:t>
      </w:r>
      <w:r w:rsidRPr="003E4841">
        <w:rPr>
          <w:rFonts w:cstheme="minorHAnsi"/>
          <w:szCs w:val="24"/>
          <w:lang w:val="fr-FR"/>
        </w:rPr>
        <w:t>bjectifs de développement durable</w:t>
      </w:r>
      <w:r w:rsidR="003475E0" w:rsidRPr="003E4841">
        <w:rPr>
          <w:rFonts w:cstheme="minorHAnsi"/>
          <w:szCs w:val="24"/>
          <w:lang w:val="fr-FR"/>
        </w:rPr>
        <w:t>.</w:t>
      </w:r>
    </w:p>
    <w:p w14:paraId="22A420D0" w14:textId="2C542734" w:rsidR="00FF2FA8" w:rsidRPr="003E4841" w:rsidRDefault="00375954" w:rsidP="003E4841">
      <w:pPr>
        <w:rPr>
          <w:rFonts w:cstheme="minorHAnsi"/>
          <w:szCs w:val="24"/>
          <w:lang w:val="fr-FR"/>
        </w:rPr>
      </w:pPr>
      <w:r w:rsidRPr="003E4841">
        <w:rPr>
          <w:rFonts w:cstheme="minorHAnsi"/>
          <w:szCs w:val="24"/>
          <w:lang w:val="fr-FR"/>
        </w:rPr>
        <w:t>Les initiatives régionales</w:t>
      </w:r>
      <w:r w:rsidR="00200391" w:rsidRPr="003E4841">
        <w:rPr>
          <w:rFonts w:cstheme="minorHAnsi"/>
          <w:szCs w:val="24"/>
          <w:lang w:val="fr-FR"/>
        </w:rPr>
        <w:t xml:space="preserve">, qui correspondent aux </w:t>
      </w:r>
      <w:r w:rsidRPr="003E4841">
        <w:rPr>
          <w:rFonts w:cstheme="minorHAnsi"/>
          <w:szCs w:val="24"/>
          <w:lang w:val="fr-FR"/>
        </w:rPr>
        <w:t xml:space="preserve">cinq domaines prioritaires </w:t>
      </w:r>
      <w:r w:rsidR="00BC0196" w:rsidRPr="003E4841">
        <w:rPr>
          <w:rFonts w:cstheme="minorHAnsi"/>
          <w:szCs w:val="24"/>
          <w:lang w:val="fr-FR"/>
        </w:rPr>
        <w:t xml:space="preserve">définis </w:t>
      </w:r>
      <w:r w:rsidRPr="003E4841">
        <w:rPr>
          <w:rFonts w:cstheme="minorHAnsi"/>
          <w:szCs w:val="24"/>
          <w:lang w:val="fr-FR"/>
        </w:rPr>
        <w:t xml:space="preserve">et </w:t>
      </w:r>
      <w:r w:rsidR="00BC0196" w:rsidRPr="003E4841">
        <w:rPr>
          <w:rFonts w:cstheme="minorHAnsi"/>
          <w:szCs w:val="24"/>
          <w:lang w:val="fr-FR"/>
        </w:rPr>
        <w:t xml:space="preserve">arrêtés </w:t>
      </w:r>
      <w:r w:rsidRPr="003E4841">
        <w:rPr>
          <w:rFonts w:cstheme="minorHAnsi"/>
          <w:szCs w:val="24"/>
          <w:lang w:val="fr-FR"/>
        </w:rPr>
        <w:t xml:space="preserve">par les </w:t>
      </w:r>
      <w:r w:rsidR="00BC0196" w:rsidRPr="003E4841">
        <w:rPr>
          <w:rFonts w:cstheme="minorHAnsi"/>
          <w:szCs w:val="24"/>
          <w:lang w:val="fr-FR"/>
        </w:rPr>
        <w:t>M</w:t>
      </w:r>
      <w:r w:rsidRPr="003E4841">
        <w:rPr>
          <w:rFonts w:cstheme="minorHAnsi"/>
          <w:szCs w:val="24"/>
          <w:lang w:val="fr-FR"/>
        </w:rPr>
        <w:t xml:space="preserve">embres de la région </w:t>
      </w:r>
      <w:r w:rsidR="00DE155C" w:rsidRPr="003E4841">
        <w:rPr>
          <w:rFonts w:cstheme="minorHAnsi"/>
          <w:szCs w:val="24"/>
          <w:lang w:val="fr-FR"/>
        </w:rPr>
        <w:t>des États arabes</w:t>
      </w:r>
      <w:r w:rsidRPr="003E4841">
        <w:rPr>
          <w:rFonts w:cstheme="minorHAnsi"/>
          <w:szCs w:val="24"/>
          <w:lang w:val="fr-FR"/>
        </w:rPr>
        <w:t xml:space="preserve"> et approuvés par la Conférence mondiale de développement des télécommunications, tenue en 2017 à Buenos Aires</w:t>
      </w:r>
      <w:r w:rsidR="00BC0196" w:rsidRPr="003E4841">
        <w:rPr>
          <w:rFonts w:cstheme="minorHAnsi"/>
          <w:szCs w:val="24"/>
          <w:lang w:val="fr-FR"/>
        </w:rPr>
        <w:t xml:space="preserve"> (</w:t>
      </w:r>
      <w:r w:rsidRPr="003E4841">
        <w:rPr>
          <w:rFonts w:cstheme="minorHAnsi"/>
          <w:szCs w:val="24"/>
          <w:lang w:val="fr-FR"/>
        </w:rPr>
        <w:t>Argentine</w:t>
      </w:r>
      <w:r w:rsidR="00BC0196" w:rsidRPr="003E4841">
        <w:rPr>
          <w:rFonts w:cstheme="minorHAnsi"/>
          <w:szCs w:val="24"/>
          <w:lang w:val="fr-FR"/>
        </w:rPr>
        <w:t>)</w:t>
      </w:r>
      <w:r w:rsidRPr="003E4841">
        <w:rPr>
          <w:rFonts w:cstheme="minorHAnsi"/>
          <w:szCs w:val="24"/>
          <w:lang w:val="fr-FR"/>
        </w:rPr>
        <w:t>, sont décrit</w:t>
      </w:r>
      <w:r w:rsidR="00BC0196" w:rsidRPr="003E4841">
        <w:rPr>
          <w:rFonts w:cstheme="minorHAnsi"/>
          <w:szCs w:val="24"/>
          <w:lang w:val="fr-FR"/>
        </w:rPr>
        <w:t>e</w:t>
      </w:r>
      <w:r w:rsidRPr="003E4841">
        <w:rPr>
          <w:rFonts w:cstheme="minorHAnsi"/>
          <w:szCs w:val="24"/>
          <w:lang w:val="fr-FR"/>
        </w:rPr>
        <w:t xml:space="preserve">s dans le </w:t>
      </w:r>
      <w:r w:rsidR="007C0B80" w:rsidRPr="003E4841">
        <w:rPr>
          <w:rFonts w:cstheme="minorHAnsi"/>
          <w:szCs w:val="24"/>
          <w:lang w:val="fr-FR"/>
        </w:rPr>
        <w:t>P</w:t>
      </w:r>
      <w:r w:rsidRPr="003E4841">
        <w:rPr>
          <w:rFonts w:cstheme="minorHAnsi"/>
          <w:szCs w:val="24"/>
          <w:lang w:val="fr-FR"/>
        </w:rPr>
        <w:t>lan d'action de Buenos Aires</w:t>
      </w:r>
      <w:r w:rsidR="00200391" w:rsidRPr="003E4841">
        <w:rPr>
          <w:rFonts w:cstheme="minorHAnsi"/>
          <w:szCs w:val="24"/>
          <w:lang w:val="fr-FR"/>
        </w:rPr>
        <w:t>.</w:t>
      </w:r>
    </w:p>
    <w:p w14:paraId="291BA2F7" w14:textId="40990E71" w:rsidR="00FF2FA8" w:rsidRPr="003E4841" w:rsidRDefault="00375954" w:rsidP="003E4841">
      <w:pPr>
        <w:rPr>
          <w:lang w:val="fr-FR"/>
        </w:rPr>
      </w:pPr>
      <w:r w:rsidRPr="003E4841">
        <w:rPr>
          <w:rFonts w:cstheme="minorHAnsi"/>
          <w:szCs w:val="24"/>
          <w:lang w:val="fr-FR"/>
        </w:rPr>
        <w:t xml:space="preserve">Les initiatives régionales </w:t>
      </w:r>
      <w:r w:rsidR="00BC0196" w:rsidRPr="003E4841">
        <w:rPr>
          <w:rFonts w:cstheme="minorHAnsi"/>
          <w:szCs w:val="24"/>
          <w:lang w:val="fr-FR"/>
        </w:rPr>
        <w:t xml:space="preserve">ont pour objet de </w:t>
      </w:r>
      <w:r w:rsidRPr="003E4841">
        <w:rPr>
          <w:rFonts w:cstheme="minorHAnsi"/>
          <w:szCs w:val="24"/>
          <w:lang w:val="fr-FR"/>
        </w:rPr>
        <w:t xml:space="preserve">traiter </w:t>
      </w:r>
      <w:r w:rsidR="00BC0196" w:rsidRPr="003E4841">
        <w:rPr>
          <w:rFonts w:cstheme="minorHAnsi"/>
          <w:szCs w:val="24"/>
          <w:lang w:val="fr-FR"/>
        </w:rPr>
        <w:t>différent</w:t>
      </w:r>
      <w:r w:rsidRPr="003E4841">
        <w:rPr>
          <w:rFonts w:cstheme="minorHAnsi"/>
          <w:szCs w:val="24"/>
          <w:lang w:val="fr-FR"/>
        </w:rPr>
        <w:t xml:space="preserve">s domaines prioritaires des télécommunications/TIC qui nécessitent une action spéciale de l'UIT au niveau régional. Dans le cadre de chaque initiative régionale, un ensemble d'activités, d'initiatives, de partenariats et de projets ont été </w:t>
      </w:r>
      <w:r w:rsidR="00BC0196" w:rsidRPr="003E4841">
        <w:rPr>
          <w:rFonts w:cstheme="minorHAnsi"/>
          <w:szCs w:val="24"/>
          <w:lang w:val="fr-FR"/>
        </w:rPr>
        <w:t>élaborés</w:t>
      </w:r>
      <w:r w:rsidRPr="003E4841">
        <w:rPr>
          <w:rFonts w:cstheme="minorHAnsi"/>
          <w:szCs w:val="24"/>
          <w:lang w:val="fr-FR"/>
        </w:rPr>
        <w:t xml:space="preserve"> pour répondre aux besoins de la région. Les forums annuels </w:t>
      </w:r>
      <w:r w:rsidR="00BC0196" w:rsidRPr="003E4841">
        <w:rPr>
          <w:rFonts w:cstheme="minorHAnsi"/>
          <w:szCs w:val="24"/>
          <w:lang w:val="fr-FR"/>
        </w:rPr>
        <w:t xml:space="preserve">régionaux de l'UIT sur le </w:t>
      </w:r>
      <w:r w:rsidRPr="003E4841">
        <w:rPr>
          <w:rFonts w:cstheme="minorHAnsi"/>
          <w:szCs w:val="24"/>
          <w:lang w:val="fr-FR"/>
        </w:rPr>
        <w:t>développement serv</w:t>
      </w:r>
      <w:r w:rsidR="00BC0196" w:rsidRPr="003E4841">
        <w:rPr>
          <w:rFonts w:cstheme="minorHAnsi"/>
          <w:szCs w:val="24"/>
          <w:lang w:val="fr-FR"/>
        </w:rPr>
        <w:t>ent</w:t>
      </w:r>
      <w:r w:rsidRPr="003E4841">
        <w:rPr>
          <w:rFonts w:cstheme="minorHAnsi"/>
          <w:szCs w:val="24"/>
          <w:lang w:val="fr-FR"/>
        </w:rPr>
        <w:t xml:space="preserve"> de mécanismes de coordination facilitant la mise en œuvre des initiatives régionales</w:t>
      </w:r>
      <w:r w:rsidR="00BC0196" w:rsidRPr="003E4841">
        <w:rPr>
          <w:rFonts w:cstheme="minorHAnsi"/>
          <w:szCs w:val="24"/>
          <w:lang w:val="fr-FR"/>
        </w:rPr>
        <w:t>.</w:t>
      </w:r>
      <w:r w:rsidRPr="003E4841">
        <w:rPr>
          <w:rFonts w:cstheme="minorHAnsi"/>
          <w:szCs w:val="24"/>
          <w:lang w:val="fr-FR"/>
        </w:rPr>
        <w:t xml:space="preserve"> Les initiatives régionales de l'UIT pour </w:t>
      </w:r>
      <w:r w:rsidR="00DE155C" w:rsidRPr="003E4841">
        <w:rPr>
          <w:rFonts w:cstheme="minorHAnsi"/>
          <w:szCs w:val="24"/>
          <w:lang w:val="fr-FR"/>
        </w:rPr>
        <w:t>la région des États arabes</w:t>
      </w:r>
      <w:r w:rsidRPr="003E4841">
        <w:rPr>
          <w:rFonts w:cstheme="minorHAnsi"/>
          <w:szCs w:val="24"/>
          <w:lang w:val="fr-FR"/>
        </w:rPr>
        <w:t xml:space="preserve"> sont les suivantes</w:t>
      </w:r>
      <w:r w:rsidR="00BC0196" w:rsidRPr="003E4841">
        <w:rPr>
          <w:rFonts w:cstheme="minorHAnsi"/>
          <w:szCs w:val="24"/>
          <w:lang w:val="fr-FR"/>
        </w:rPr>
        <w:t>:</w:t>
      </w:r>
    </w:p>
    <w:p w14:paraId="77C08B23" w14:textId="44A6DD75" w:rsidR="0039790E" w:rsidRPr="003E4841" w:rsidRDefault="0039790E" w:rsidP="003E4841">
      <w:pPr>
        <w:pStyle w:val="enumlev1"/>
        <w:rPr>
          <w:lang w:val="fr-FR"/>
        </w:rPr>
      </w:pPr>
      <w:r w:rsidRPr="003E4841">
        <w:rPr>
          <w:lang w:val="fr-FR"/>
        </w:rPr>
        <w:t>•</w:t>
      </w:r>
      <w:r w:rsidRPr="003E4841">
        <w:rPr>
          <w:lang w:val="fr-FR"/>
        </w:rPr>
        <w:tab/>
        <w:t>ARB1: Environnement, changements climatiques et télécommunications d'urgence</w:t>
      </w:r>
    </w:p>
    <w:p w14:paraId="23EBA126" w14:textId="508AA4D3" w:rsidR="0039790E" w:rsidRPr="003E4841" w:rsidRDefault="0039790E" w:rsidP="003E4841">
      <w:pPr>
        <w:pStyle w:val="enumlev1"/>
        <w:rPr>
          <w:lang w:val="fr-FR"/>
        </w:rPr>
      </w:pPr>
      <w:r w:rsidRPr="003E4841">
        <w:rPr>
          <w:lang w:val="fr-FR"/>
        </w:rPr>
        <w:t>•</w:t>
      </w:r>
      <w:r w:rsidRPr="003E4841">
        <w:rPr>
          <w:lang w:val="fr-FR"/>
        </w:rPr>
        <w:tab/>
        <w:t>ARB2: Confiance et sécurité dans l'utilisation des télécommunications/technologies de l'information et de la communication</w:t>
      </w:r>
    </w:p>
    <w:p w14:paraId="363A7139" w14:textId="71E20BE4" w:rsidR="0039790E" w:rsidRPr="003E4841" w:rsidRDefault="0039790E" w:rsidP="003E4841">
      <w:pPr>
        <w:pStyle w:val="enumlev1"/>
        <w:rPr>
          <w:lang w:val="fr-FR"/>
        </w:rPr>
      </w:pPr>
      <w:r w:rsidRPr="003E4841">
        <w:rPr>
          <w:lang w:val="fr-FR"/>
        </w:rPr>
        <w:t>•</w:t>
      </w:r>
      <w:r w:rsidRPr="003E4841">
        <w:rPr>
          <w:lang w:val="fr-FR"/>
        </w:rPr>
        <w:tab/>
        <w:t>ARB3: Inclusion financière numérique</w:t>
      </w:r>
    </w:p>
    <w:p w14:paraId="62700AAC" w14:textId="07EF107C" w:rsidR="0039790E" w:rsidRPr="003E4841" w:rsidRDefault="0039790E" w:rsidP="003E4841">
      <w:pPr>
        <w:pStyle w:val="enumlev1"/>
        <w:rPr>
          <w:lang w:val="fr-FR"/>
        </w:rPr>
      </w:pPr>
      <w:r w:rsidRPr="003E4841">
        <w:rPr>
          <w:lang w:val="fr-FR"/>
        </w:rPr>
        <w:t>•</w:t>
      </w:r>
      <w:r w:rsidRPr="003E4841">
        <w:rPr>
          <w:lang w:val="fr-FR"/>
        </w:rPr>
        <w:tab/>
        <w:t>ARB4: Internet des objets, villes intelligentes et mégadonnées</w:t>
      </w:r>
    </w:p>
    <w:p w14:paraId="1813EF82" w14:textId="7E36AC11" w:rsidR="0039790E" w:rsidRDefault="0039790E" w:rsidP="003E4841">
      <w:pPr>
        <w:pStyle w:val="enumlev1"/>
        <w:spacing w:after="240"/>
        <w:rPr>
          <w:lang w:val="fr-FR"/>
        </w:rPr>
      </w:pPr>
      <w:r w:rsidRPr="003E4841">
        <w:rPr>
          <w:lang w:val="fr-FR"/>
        </w:rPr>
        <w:t>•</w:t>
      </w:r>
      <w:r w:rsidRPr="003E4841">
        <w:rPr>
          <w:lang w:val="fr-FR"/>
        </w:rPr>
        <w:tab/>
        <w:t>ARB5: Innovation et esprit d'entreprise</w:t>
      </w:r>
    </w:p>
    <w:p w14:paraId="1273FF3D" w14:textId="5F5D2866" w:rsidR="00D94A1A" w:rsidRDefault="00D94A1A" w:rsidP="003E4841">
      <w:pPr>
        <w:pStyle w:val="enumlev1"/>
        <w:spacing w:after="240"/>
        <w:rPr>
          <w:lang w:val="fr-FR"/>
        </w:rPr>
      </w:pPr>
      <w:r>
        <w:rPr>
          <w:lang w:val="fr-FR"/>
        </w:rPr>
        <w:br w:type="page"/>
      </w:r>
    </w:p>
    <w:tbl>
      <w:tblPr>
        <w:tblStyle w:val="TableGrid"/>
        <w:tblW w:w="0" w:type="auto"/>
        <w:jc w:val="center"/>
        <w:tblLook w:val="04A0" w:firstRow="1" w:lastRow="0" w:firstColumn="1" w:lastColumn="0" w:noHBand="0" w:noVBand="1"/>
      </w:tblPr>
      <w:tblGrid>
        <w:gridCol w:w="3266"/>
        <w:gridCol w:w="4405"/>
        <w:gridCol w:w="1960"/>
      </w:tblGrid>
      <w:tr w:rsidR="005D65F1" w:rsidRPr="00E30FF2" w14:paraId="59E64B77" w14:textId="77777777" w:rsidTr="00D94A1A">
        <w:trPr>
          <w:tblHeader/>
          <w:jc w:val="center"/>
        </w:trPr>
        <w:tc>
          <w:tcPr>
            <w:tcW w:w="3266" w:type="dxa"/>
          </w:tcPr>
          <w:p w14:paraId="70B63A65" w14:textId="77777777" w:rsidR="005D65F1" w:rsidRPr="003E4841" w:rsidRDefault="005D65F1" w:rsidP="003E4841">
            <w:pPr>
              <w:pStyle w:val="Tablehead"/>
              <w:rPr>
                <w:lang w:val="fr-FR"/>
              </w:rPr>
            </w:pPr>
            <w:r w:rsidRPr="003E4841">
              <w:rPr>
                <w:lang w:val="fr-FR"/>
              </w:rPr>
              <w:lastRenderedPageBreak/>
              <w:t>Initiatives régionales</w:t>
            </w:r>
          </w:p>
        </w:tc>
        <w:tc>
          <w:tcPr>
            <w:tcW w:w="4405" w:type="dxa"/>
          </w:tcPr>
          <w:p w14:paraId="19EB156D" w14:textId="77777777" w:rsidR="005D65F1" w:rsidRPr="003E4841" w:rsidRDefault="005D65F1" w:rsidP="003E4841">
            <w:pPr>
              <w:pStyle w:val="Tablehead"/>
              <w:rPr>
                <w:lang w:val="fr-FR"/>
              </w:rPr>
            </w:pPr>
            <w:r w:rsidRPr="003E4841">
              <w:rPr>
                <w:lang w:val="fr-FR"/>
              </w:rPr>
              <w:t>Priorités thématiques du BDT</w:t>
            </w:r>
          </w:p>
        </w:tc>
        <w:tc>
          <w:tcPr>
            <w:tcW w:w="1960" w:type="dxa"/>
          </w:tcPr>
          <w:p w14:paraId="6AA1BD41" w14:textId="77777777" w:rsidR="005D65F1" w:rsidRPr="003E4841" w:rsidRDefault="005D65F1" w:rsidP="003E4841">
            <w:pPr>
              <w:pStyle w:val="Tablehead"/>
              <w:rPr>
                <w:lang w:val="fr-FR"/>
              </w:rPr>
            </w:pPr>
            <w:r w:rsidRPr="003E4841">
              <w:rPr>
                <w:lang w:val="fr-FR"/>
              </w:rPr>
              <w:t>Commissions d'études de l'UIT</w:t>
            </w:r>
            <w:r w:rsidRPr="003E4841">
              <w:rPr>
                <w:lang w:val="fr-FR"/>
              </w:rPr>
              <w:noBreakHyphen/>
              <w:t>D</w:t>
            </w:r>
          </w:p>
        </w:tc>
      </w:tr>
      <w:tr w:rsidR="005D65F1" w:rsidRPr="003E4841" w14:paraId="201944A5" w14:textId="77777777" w:rsidTr="00D94A1A">
        <w:trPr>
          <w:jc w:val="center"/>
        </w:trPr>
        <w:tc>
          <w:tcPr>
            <w:tcW w:w="3266" w:type="dxa"/>
          </w:tcPr>
          <w:p w14:paraId="72EA00CC" w14:textId="6F15C2E4" w:rsidR="005D65F1" w:rsidRPr="003E4841" w:rsidRDefault="005D65F1" w:rsidP="003E4841">
            <w:pPr>
              <w:pStyle w:val="Tabletext"/>
              <w:rPr>
                <w:sz w:val="20"/>
                <w:lang w:val="fr-FR"/>
              </w:rPr>
            </w:pPr>
            <w:r w:rsidRPr="003E4841">
              <w:rPr>
                <w:szCs w:val="24"/>
                <w:lang w:val="fr-FR"/>
              </w:rPr>
              <w:t xml:space="preserve">ARB1: </w:t>
            </w:r>
            <w:r w:rsidRPr="003E4841">
              <w:rPr>
                <w:lang w:val="fr-FR"/>
              </w:rPr>
              <w:t>Environnement, changements climatiques et télécommunications d'urgence</w:t>
            </w:r>
          </w:p>
        </w:tc>
        <w:tc>
          <w:tcPr>
            <w:tcW w:w="4405" w:type="dxa"/>
          </w:tcPr>
          <w:p w14:paraId="162D99E2" w14:textId="24AEFA99" w:rsidR="005D65F1" w:rsidRPr="003E4841" w:rsidRDefault="002F2FDB" w:rsidP="003E4841">
            <w:pPr>
              <w:pStyle w:val="Tabletext"/>
              <w:rPr>
                <w:sz w:val="20"/>
                <w:lang w:val="fr-FR"/>
              </w:rPr>
            </w:pPr>
            <w:r w:rsidRPr="003E4841">
              <w:rPr>
                <w:rFonts w:cstheme="minorHAnsi"/>
                <w:szCs w:val="24"/>
                <w:lang w:val="fr-FR"/>
              </w:rPr>
              <w:t>Environnement et télécommunications d</w:t>
            </w:r>
            <w:r w:rsidR="002450E8" w:rsidRPr="003E4841">
              <w:rPr>
                <w:rFonts w:cstheme="minorHAnsi"/>
                <w:szCs w:val="24"/>
                <w:lang w:val="fr-FR"/>
              </w:rPr>
              <w:t>'</w:t>
            </w:r>
            <w:r w:rsidRPr="003E4841">
              <w:rPr>
                <w:rFonts w:cstheme="minorHAnsi"/>
                <w:szCs w:val="24"/>
                <w:lang w:val="fr-FR"/>
              </w:rPr>
              <w:t>urgence</w:t>
            </w:r>
          </w:p>
        </w:tc>
        <w:tc>
          <w:tcPr>
            <w:tcW w:w="1960" w:type="dxa"/>
          </w:tcPr>
          <w:p w14:paraId="6E752BAB" w14:textId="77BEC8FF" w:rsidR="005D65F1" w:rsidRPr="003E4841" w:rsidRDefault="005D65F1" w:rsidP="003E4841">
            <w:pPr>
              <w:pStyle w:val="Tabletext"/>
              <w:jc w:val="center"/>
              <w:rPr>
                <w:sz w:val="20"/>
                <w:lang w:val="fr-FR"/>
              </w:rPr>
            </w:pPr>
            <w:r w:rsidRPr="003E4841">
              <w:rPr>
                <w:rFonts w:cstheme="minorHAnsi"/>
                <w:szCs w:val="24"/>
                <w:lang w:val="fr-FR"/>
              </w:rPr>
              <w:t>Q</w:t>
            </w:r>
            <w:r w:rsidR="00417509" w:rsidRPr="003E4841">
              <w:rPr>
                <w:rFonts w:cstheme="minorHAnsi"/>
                <w:szCs w:val="24"/>
                <w:lang w:val="fr-FR"/>
              </w:rPr>
              <w:t xml:space="preserve">uestion </w:t>
            </w:r>
            <w:r w:rsidRPr="003E4841">
              <w:rPr>
                <w:rFonts w:cstheme="minorHAnsi"/>
                <w:szCs w:val="24"/>
                <w:lang w:val="fr-FR"/>
              </w:rPr>
              <w:t>5/2, Q</w:t>
            </w:r>
            <w:r w:rsidR="00417509" w:rsidRPr="003E4841">
              <w:rPr>
                <w:rFonts w:cstheme="minorHAnsi"/>
                <w:szCs w:val="24"/>
                <w:lang w:val="fr-FR"/>
              </w:rPr>
              <w:t xml:space="preserve">uestion </w:t>
            </w:r>
            <w:r w:rsidRPr="003E4841">
              <w:rPr>
                <w:rFonts w:cstheme="minorHAnsi"/>
                <w:szCs w:val="24"/>
                <w:lang w:val="fr-FR"/>
              </w:rPr>
              <w:t>6/2</w:t>
            </w:r>
          </w:p>
        </w:tc>
      </w:tr>
      <w:tr w:rsidR="005D65F1" w:rsidRPr="003E4841" w14:paraId="367FC211" w14:textId="77777777" w:rsidTr="00D94A1A">
        <w:trPr>
          <w:jc w:val="center"/>
        </w:trPr>
        <w:tc>
          <w:tcPr>
            <w:tcW w:w="3266" w:type="dxa"/>
          </w:tcPr>
          <w:p w14:paraId="046B3BCC" w14:textId="75E9C001" w:rsidR="005D65F1" w:rsidRPr="003E4841" w:rsidRDefault="005D65F1" w:rsidP="003E4841">
            <w:pPr>
              <w:pStyle w:val="Tabletext"/>
              <w:rPr>
                <w:sz w:val="20"/>
                <w:lang w:val="fr-FR"/>
              </w:rPr>
            </w:pPr>
            <w:r w:rsidRPr="003E4841">
              <w:rPr>
                <w:lang w:val="fr-FR"/>
              </w:rPr>
              <w:t>ARB2: Confiance et sécurité dans l'utilisation des télécommunications/technologies de l'information et de la communication</w:t>
            </w:r>
          </w:p>
        </w:tc>
        <w:tc>
          <w:tcPr>
            <w:tcW w:w="4405" w:type="dxa"/>
          </w:tcPr>
          <w:p w14:paraId="20E1AA06" w14:textId="22969BD4" w:rsidR="005D65F1" w:rsidRPr="003E4841" w:rsidRDefault="002F2FDB" w:rsidP="003E4841">
            <w:pPr>
              <w:pStyle w:val="Tabletext"/>
              <w:rPr>
                <w:sz w:val="20"/>
                <w:lang w:val="fr-FR"/>
              </w:rPr>
            </w:pPr>
            <w:r w:rsidRPr="003E4841">
              <w:rPr>
                <w:rFonts w:cstheme="minorHAnsi"/>
                <w:szCs w:val="24"/>
                <w:lang w:val="fr-FR"/>
              </w:rPr>
              <w:t>Cybersécurité et renforcement des capacités</w:t>
            </w:r>
          </w:p>
        </w:tc>
        <w:tc>
          <w:tcPr>
            <w:tcW w:w="1960" w:type="dxa"/>
          </w:tcPr>
          <w:p w14:paraId="0C446267" w14:textId="4DC1087B" w:rsidR="005D65F1" w:rsidRPr="003E4841" w:rsidRDefault="005D65F1" w:rsidP="003E4841">
            <w:pPr>
              <w:pStyle w:val="Tabletext"/>
              <w:jc w:val="center"/>
              <w:rPr>
                <w:sz w:val="20"/>
                <w:lang w:val="fr-FR"/>
              </w:rPr>
            </w:pPr>
            <w:r w:rsidRPr="003E4841">
              <w:rPr>
                <w:rFonts w:cstheme="minorHAnsi"/>
                <w:szCs w:val="24"/>
                <w:lang w:val="fr-FR"/>
              </w:rPr>
              <w:t>Q</w:t>
            </w:r>
            <w:r w:rsidR="00417509" w:rsidRPr="003E4841">
              <w:rPr>
                <w:rFonts w:cstheme="minorHAnsi"/>
                <w:szCs w:val="24"/>
                <w:lang w:val="fr-FR"/>
              </w:rPr>
              <w:t xml:space="preserve">uestion </w:t>
            </w:r>
            <w:r w:rsidRPr="003E4841">
              <w:rPr>
                <w:rFonts w:cstheme="minorHAnsi"/>
                <w:szCs w:val="24"/>
                <w:lang w:val="fr-FR"/>
              </w:rPr>
              <w:t>3/2</w:t>
            </w:r>
          </w:p>
        </w:tc>
      </w:tr>
      <w:tr w:rsidR="005D65F1" w:rsidRPr="003E4841" w14:paraId="2C8C098F" w14:textId="77777777" w:rsidTr="00D94A1A">
        <w:trPr>
          <w:jc w:val="center"/>
        </w:trPr>
        <w:tc>
          <w:tcPr>
            <w:tcW w:w="3266" w:type="dxa"/>
          </w:tcPr>
          <w:p w14:paraId="5E44C5F0" w14:textId="24B63D65" w:rsidR="005D65F1" w:rsidRPr="003E4841" w:rsidRDefault="005D65F1" w:rsidP="003E4841">
            <w:pPr>
              <w:pStyle w:val="Tabletext"/>
              <w:rPr>
                <w:sz w:val="20"/>
                <w:lang w:val="fr-FR"/>
              </w:rPr>
            </w:pPr>
            <w:r w:rsidRPr="003E4841">
              <w:rPr>
                <w:lang w:val="fr-FR"/>
              </w:rPr>
              <w:t>ARB3: Inclusion financière numérique</w:t>
            </w:r>
          </w:p>
        </w:tc>
        <w:tc>
          <w:tcPr>
            <w:tcW w:w="4405" w:type="dxa"/>
          </w:tcPr>
          <w:p w14:paraId="028F7211" w14:textId="35C9D15C" w:rsidR="005D65F1" w:rsidRPr="003E4841" w:rsidRDefault="002F2FDB" w:rsidP="003E4841">
            <w:pPr>
              <w:pStyle w:val="Tabletext"/>
              <w:rPr>
                <w:sz w:val="20"/>
                <w:u w:val="single"/>
                <w:lang w:val="fr-FR"/>
              </w:rPr>
            </w:pPr>
            <w:r w:rsidRPr="003E4841">
              <w:rPr>
                <w:rFonts w:cstheme="minorHAnsi"/>
                <w:szCs w:val="24"/>
                <w:lang w:val="fr-FR"/>
              </w:rPr>
              <w:t>Politiques et réglementation</w:t>
            </w:r>
            <w:r w:rsidR="002D6A49" w:rsidRPr="003E4841">
              <w:rPr>
                <w:rFonts w:cstheme="minorHAnsi"/>
                <w:szCs w:val="24"/>
                <w:lang w:val="fr-FR"/>
              </w:rPr>
              <w:t>;</w:t>
            </w:r>
            <w:r w:rsidR="005D65F1" w:rsidRPr="003E4841">
              <w:rPr>
                <w:rFonts w:cstheme="minorHAnsi"/>
                <w:szCs w:val="24"/>
                <w:lang w:val="fr-FR"/>
              </w:rPr>
              <w:t xml:space="preserve"> </w:t>
            </w:r>
            <w:r w:rsidRPr="003E4841">
              <w:rPr>
                <w:rFonts w:cstheme="minorHAnsi"/>
                <w:szCs w:val="24"/>
                <w:lang w:val="fr-FR"/>
              </w:rPr>
              <w:t>services numériques</w:t>
            </w:r>
          </w:p>
        </w:tc>
        <w:tc>
          <w:tcPr>
            <w:tcW w:w="1960" w:type="dxa"/>
          </w:tcPr>
          <w:p w14:paraId="5417B51D" w14:textId="01D8E1EB" w:rsidR="005D65F1" w:rsidRPr="003E4841" w:rsidRDefault="005D65F1" w:rsidP="003E4841">
            <w:pPr>
              <w:pStyle w:val="Tabletext"/>
              <w:jc w:val="center"/>
              <w:rPr>
                <w:sz w:val="20"/>
                <w:lang w:val="fr-FR"/>
              </w:rPr>
            </w:pPr>
            <w:r w:rsidRPr="003E4841">
              <w:rPr>
                <w:rFonts w:cstheme="minorHAnsi"/>
                <w:szCs w:val="24"/>
                <w:lang w:val="fr-FR"/>
              </w:rPr>
              <w:t>Q</w:t>
            </w:r>
            <w:r w:rsidR="00417509" w:rsidRPr="003E4841">
              <w:rPr>
                <w:rFonts w:cstheme="minorHAnsi"/>
                <w:szCs w:val="24"/>
                <w:lang w:val="fr-FR"/>
              </w:rPr>
              <w:t xml:space="preserve">uestion </w:t>
            </w:r>
            <w:r w:rsidRPr="003E4841">
              <w:rPr>
                <w:rFonts w:cstheme="minorHAnsi"/>
                <w:szCs w:val="24"/>
                <w:lang w:val="fr-FR"/>
              </w:rPr>
              <w:t>1/2</w:t>
            </w:r>
          </w:p>
        </w:tc>
      </w:tr>
      <w:tr w:rsidR="005D65F1" w:rsidRPr="003E4841" w14:paraId="07FED38C" w14:textId="77777777" w:rsidTr="00D94A1A">
        <w:trPr>
          <w:jc w:val="center"/>
        </w:trPr>
        <w:tc>
          <w:tcPr>
            <w:tcW w:w="3266" w:type="dxa"/>
          </w:tcPr>
          <w:p w14:paraId="13576C46" w14:textId="0900F5EF" w:rsidR="005D65F1" w:rsidRPr="003E4841" w:rsidRDefault="005D65F1" w:rsidP="003E4841">
            <w:pPr>
              <w:pStyle w:val="Tabletext"/>
              <w:rPr>
                <w:sz w:val="20"/>
                <w:lang w:val="fr-FR"/>
              </w:rPr>
            </w:pPr>
            <w:r w:rsidRPr="003E4841">
              <w:rPr>
                <w:lang w:val="fr-FR"/>
              </w:rPr>
              <w:t>ARB4: Internet des objets, villes intelligentes et mégadonnées</w:t>
            </w:r>
          </w:p>
        </w:tc>
        <w:tc>
          <w:tcPr>
            <w:tcW w:w="4405" w:type="dxa"/>
          </w:tcPr>
          <w:p w14:paraId="1BE16B2F" w14:textId="25643693" w:rsidR="005D65F1" w:rsidRPr="003E4841" w:rsidRDefault="002D6A49" w:rsidP="003E4841">
            <w:pPr>
              <w:pStyle w:val="Tabletext"/>
              <w:rPr>
                <w:sz w:val="20"/>
                <w:lang w:val="fr-FR"/>
              </w:rPr>
            </w:pPr>
            <w:r w:rsidRPr="003E4841">
              <w:rPr>
                <w:rFonts w:cstheme="minorHAnsi"/>
                <w:szCs w:val="24"/>
                <w:lang w:val="fr-FR"/>
              </w:rPr>
              <w:t>Réseaux et infrastructure numérique;</w:t>
            </w:r>
            <w:r w:rsidR="005D65F1" w:rsidRPr="003E4841">
              <w:rPr>
                <w:rFonts w:cstheme="minorHAnsi"/>
                <w:szCs w:val="24"/>
                <w:lang w:val="fr-FR"/>
              </w:rPr>
              <w:t xml:space="preserve"> </w:t>
            </w:r>
            <w:r w:rsidRPr="003E4841">
              <w:rPr>
                <w:rFonts w:cstheme="minorHAnsi"/>
                <w:szCs w:val="24"/>
                <w:lang w:val="fr-FR"/>
              </w:rPr>
              <w:t>politiques et réglementation;</w:t>
            </w:r>
            <w:r w:rsidR="005D65F1" w:rsidRPr="003E4841">
              <w:rPr>
                <w:rFonts w:cstheme="minorHAnsi"/>
                <w:szCs w:val="24"/>
                <w:lang w:val="fr-FR"/>
              </w:rPr>
              <w:t xml:space="preserve"> </w:t>
            </w:r>
            <w:r w:rsidRPr="003E4841">
              <w:rPr>
                <w:rFonts w:cstheme="minorHAnsi"/>
                <w:szCs w:val="24"/>
                <w:lang w:val="fr-FR"/>
              </w:rPr>
              <w:t>renforcement des capacités; services numériques</w:t>
            </w:r>
          </w:p>
        </w:tc>
        <w:tc>
          <w:tcPr>
            <w:tcW w:w="1960" w:type="dxa"/>
          </w:tcPr>
          <w:p w14:paraId="31D9B4EE" w14:textId="786393A3" w:rsidR="005D65F1" w:rsidRPr="003E4841" w:rsidRDefault="005D65F1" w:rsidP="003E4841">
            <w:pPr>
              <w:pStyle w:val="Tabletext"/>
              <w:jc w:val="center"/>
              <w:rPr>
                <w:sz w:val="20"/>
                <w:lang w:val="fr-FR"/>
              </w:rPr>
            </w:pPr>
            <w:r w:rsidRPr="003E4841">
              <w:rPr>
                <w:rFonts w:cstheme="minorHAnsi"/>
                <w:szCs w:val="24"/>
                <w:lang w:val="fr-FR"/>
              </w:rPr>
              <w:t>Q</w:t>
            </w:r>
            <w:r w:rsidR="00417509" w:rsidRPr="003E4841">
              <w:rPr>
                <w:rFonts w:cstheme="minorHAnsi"/>
                <w:szCs w:val="24"/>
                <w:lang w:val="fr-FR"/>
              </w:rPr>
              <w:t xml:space="preserve">uestion </w:t>
            </w:r>
            <w:r w:rsidRPr="003E4841">
              <w:rPr>
                <w:rFonts w:cstheme="minorHAnsi"/>
                <w:szCs w:val="24"/>
                <w:lang w:val="fr-FR"/>
              </w:rPr>
              <w:t>3/1</w:t>
            </w:r>
          </w:p>
        </w:tc>
      </w:tr>
      <w:tr w:rsidR="005D65F1" w:rsidRPr="003E4841" w14:paraId="72FDE759" w14:textId="77777777" w:rsidTr="00D94A1A">
        <w:trPr>
          <w:jc w:val="center"/>
        </w:trPr>
        <w:tc>
          <w:tcPr>
            <w:tcW w:w="3266" w:type="dxa"/>
          </w:tcPr>
          <w:p w14:paraId="56066777" w14:textId="60642F86" w:rsidR="005D65F1" w:rsidRPr="003E4841" w:rsidRDefault="005D65F1" w:rsidP="003E4841">
            <w:pPr>
              <w:pStyle w:val="Tabletext"/>
              <w:rPr>
                <w:sz w:val="20"/>
                <w:lang w:val="fr-FR"/>
              </w:rPr>
            </w:pPr>
            <w:r w:rsidRPr="003E4841">
              <w:rPr>
                <w:lang w:val="fr-FR"/>
              </w:rPr>
              <w:t>ARB5: Innovation et esprit d'entreprise</w:t>
            </w:r>
          </w:p>
        </w:tc>
        <w:tc>
          <w:tcPr>
            <w:tcW w:w="4405" w:type="dxa"/>
          </w:tcPr>
          <w:p w14:paraId="4EBC369E" w14:textId="46786E7A" w:rsidR="005D65F1" w:rsidRPr="003E4841" w:rsidRDefault="002D6A49" w:rsidP="003E4841">
            <w:pPr>
              <w:pStyle w:val="Tabletext"/>
              <w:rPr>
                <w:sz w:val="20"/>
                <w:lang w:val="fr-FR"/>
              </w:rPr>
            </w:pPr>
            <w:r w:rsidRPr="003E4841">
              <w:rPr>
                <w:rFonts w:cstheme="minorHAnsi"/>
                <w:szCs w:val="24"/>
                <w:lang w:val="fr-FR"/>
              </w:rPr>
              <w:t>Écosystème de l</w:t>
            </w:r>
            <w:r w:rsidR="002450E8" w:rsidRPr="003E4841">
              <w:rPr>
                <w:rFonts w:cstheme="minorHAnsi"/>
                <w:szCs w:val="24"/>
                <w:lang w:val="fr-FR"/>
              </w:rPr>
              <w:t>'</w:t>
            </w:r>
            <w:r w:rsidRPr="003E4841">
              <w:rPr>
                <w:rFonts w:cstheme="minorHAnsi"/>
                <w:szCs w:val="24"/>
                <w:lang w:val="fr-FR"/>
              </w:rPr>
              <w:t>innovation numérique et renforcement des capacités</w:t>
            </w:r>
          </w:p>
        </w:tc>
        <w:tc>
          <w:tcPr>
            <w:tcW w:w="1960" w:type="dxa"/>
          </w:tcPr>
          <w:p w14:paraId="258824F1" w14:textId="4E209E76" w:rsidR="005D65F1" w:rsidRPr="003E4841" w:rsidRDefault="005D65F1" w:rsidP="003E4841">
            <w:pPr>
              <w:pStyle w:val="Tabletext"/>
              <w:jc w:val="center"/>
              <w:rPr>
                <w:sz w:val="20"/>
                <w:lang w:val="fr-FR"/>
              </w:rPr>
            </w:pPr>
            <w:r w:rsidRPr="003E4841">
              <w:rPr>
                <w:rFonts w:cstheme="minorHAnsi"/>
                <w:szCs w:val="24"/>
                <w:lang w:val="fr-FR"/>
              </w:rPr>
              <w:t>Q</w:t>
            </w:r>
            <w:r w:rsidR="00417509" w:rsidRPr="003E4841">
              <w:rPr>
                <w:rFonts w:cstheme="minorHAnsi"/>
                <w:szCs w:val="24"/>
                <w:lang w:val="fr-FR"/>
              </w:rPr>
              <w:t xml:space="preserve">uestion </w:t>
            </w:r>
            <w:r w:rsidRPr="003E4841">
              <w:rPr>
                <w:rFonts w:cstheme="minorHAnsi"/>
                <w:szCs w:val="24"/>
                <w:lang w:val="fr-FR"/>
              </w:rPr>
              <w:t>1/2</w:t>
            </w:r>
          </w:p>
        </w:tc>
      </w:tr>
    </w:tbl>
    <w:p w14:paraId="28F3E61E" w14:textId="61F8A833" w:rsidR="00FF2FA8" w:rsidRPr="003E4841" w:rsidRDefault="00375954" w:rsidP="003E4841">
      <w:pPr>
        <w:spacing w:before="240"/>
        <w:rPr>
          <w:lang w:val="fr-FR"/>
        </w:rPr>
      </w:pPr>
      <w:r w:rsidRPr="003E4841">
        <w:rPr>
          <w:lang w:val="fr-FR"/>
        </w:rPr>
        <w:t xml:space="preserve">Les </w:t>
      </w:r>
      <w:r w:rsidR="00200391" w:rsidRPr="003E4841">
        <w:rPr>
          <w:lang w:val="fr-FR"/>
        </w:rPr>
        <w:t>C</w:t>
      </w:r>
      <w:r w:rsidRPr="003E4841">
        <w:rPr>
          <w:lang w:val="fr-FR"/>
        </w:rPr>
        <w:t xml:space="preserve">entres d'excellence de l'UIT </w:t>
      </w:r>
      <w:r w:rsidR="00BC0196" w:rsidRPr="003E4841">
        <w:rPr>
          <w:lang w:val="fr-FR"/>
        </w:rPr>
        <w:t xml:space="preserve">apportent un appui </w:t>
      </w:r>
      <w:r w:rsidRPr="003E4841">
        <w:rPr>
          <w:lang w:val="fr-FR"/>
        </w:rPr>
        <w:t>à la mise en œuvre des initiatives régionales de l'UIT pour l</w:t>
      </w:r>
      <w:r w:rsidR="002D6A49" w:rsidRPr="003E4841">
        <w:rPr>
          <w:lang w:val="fr-FR"/>
        </w:rPr>
        <w:t>a région des États arabes</w:t>
      </w:r>
      <w:r w:rsidRPr="003E4841">
        <w:rPr>
          <w:lang w:val="fr-FR"/>
        </w:rPr>
        <w:t xml:space="preserve">, </w:t>
      </w:r>
      <w:r w:rsidR="008A321E" w:rsidRPr="003E4841">
        <w:rPr>
          <w:lang w:val="fr-FR"/>
        </w:rPr>
        <w:t xml:space="preserve">dans la mesure où </w:t>
      </w:r>
      <w:r w:rsidRPr="003E4841">
        <w:rPr>
          <w:lang w:val="fr-FR"/>
        </w:rPr>
        <w:t xml:space="preserve">ils offrent des possibilités de formation et de renforcement des capacités aux </w:t>
      </w:r>
      <w:r w:rsidR="008A321E" w:rsidRPr="003E4841">
        <w:rPr>
          <w:lang w:val="fr-FR"/>
        </w:rPr>
        <w:t xml:space="preserve">parties prenantes </w:t>
      </w:r>
      <w:r w:rsidRPr="003E4841">
        <w:rPr>
          <w:lang w:val="fr-FR"/>
        </w:rPr>
        <w:t>de la région.</w:t>
      </w:r>
    </w:p>
    <w:p w14:paraId="2FCFE4A4" w14:textId="799B73E3" w:rsidR="00FF2FA8" w:rsidRPr="003E4841" w:rsidRDefault="00375954" w:rsidP="003E4841">
      <w:pPr>
        <w:pStyle w:val="Headingb"/>
        <w:rPr>
          <w:lang w:val="fr-FR"/>
        </w:rPr>
      </w:pPr>
      <w:r w:rsidRPr="003E4841">
        <w:rPr>
          <w:lang w:val="fr-FR"/>
        </w:rPr>
        <w:t xml:space="preserve">Forums </w:t>
      </w:r>
      <w:r w:rsidR="008A321E" w:rsidRPr="003E4841">
        <w:rPr>
          <w:lang w:val="fr-FR"/>
        </w:rPr>
        <w:t xml:space="preserve">régionaux </w:t>
      </w:r>
      <w:r w:rsidRPr="003E4841">
        <w:rPr>
          <w:lang w:val="fr-FR"/>
        </w:rPr>
        <w:t>sur le développement</w:t>
      </w:r>
    </w:p>
    <w:p w14:paraId="558335F4" w14:textId="4F04531F" w:rsidR="00FF2FA8" w:rsidRPr="003E4841" w:rsidRDefault="008A321E" w:rsidP="003E4841">
      <w:pPr>
        <w:rPr>
          <w:rFonts w:cstheme="minorHAnsi"/>
          <w:szCs w:val="24"/>
          <w:lang w:val="fr-FR"/>
        </w:rPr>
      </w:pPr>
      <w:r w:rsidRPr="003E4841">
        <w:rPr>
          <w:rFonts w:cstheme="minorHAnsi"/>
          <w:szCs w:val="24"/>
          <w:lang w:val="fr-FR"/>
        </w:rPr>
        <w:t>D</w:t>
      </w:r>
      <w:r w:rsidR="00375954" w:rsidRPr="003E4841">
        <w:rPr>
          <w:rFonts w:cstheme="minorHAnsi"/>
          <w:szCs w:val="24"/>
          <w:lang w:val="fr-FR"/>
        </w:rPr>
        <w:t xml:space="preserve">es </w:t>
      </w:r>
      <w:r w:rsidR="00466578" w:rsidRPr="003E4841">
        <w:rPr>
          <w:rFonts w:cstheme="minorHAnsi"/>
          <w:szCs w:val="24"/>
          <w:lang w:val="fr-FR"/>
        </w:rPr>
        <w:t>f</w:t>
      </w:r>
      <w:r w:rsidR="00375954" w:rsidRPr="003E4841">
        <w:rPr>
          <w:rFonts w:cstheme="minorHAnsi"/>
          <w:szCs w:val="24"/>
          <w:lang w:val="fr-FR"/>
        </w:rPr>
        <w:t xml:space="preserve">orums </w:t>
      </w:r>
      <w:r w:rsidRPr="003E4841">
        <w:rPr>
          <w:rFonts w:cstheme="minorHAnsi"/>
          <w:szCs w:val="24"/>
          <w:lang w:val="fr-FR"/>
        </w:rPr>
        <w:t xml:space="preserve">régionaux de l'UIT sur le </w:t>
      </w:r>
      <w:r w:rsidR="00375954" w:rsidRPr="003E4841">
        <w:rPr>
          <w:rFonts w:cstheme="minorHAnsi"/>
          <w:szCs w:val="24"/>
          <w:lang w:val="fr-FR"/>
        </w:rPr>
        <w:t>développement</w:t>
      </w:r>
      <w:r w:rsidR="00074B15" w:rsidRPr="003E4841">
        <w:rPr>
          <w:rFonts w:cstheme="minorHAnsi"/>
          <w:szCs w:val="24"/>
          <w:lang w:val="fr-FR"/>
        </w:rPr>
        <w:t xml:space="preserve"> (RDF)</w:t>
      </w:r>
      <w:r w:rsidR="00375954" w:rsidRPr="003E4841">
        <w:rPr>
          <w:rFonts w:cstheme="minorHAnsi"/>
          <w:szCs w:val="24"/>
          <w:lang w:val="fr-FR"/>
        </w:rPr>
        <w:t xml:space="preserve"> ont été organisés </w:t>
      </w:r>
      <w:r w:rsidRPr="003E4841">
        <w:rPr>
          <w:rFonts w:cstheme="minorHAnsi"/>
          <w:szCs w:val="24"/>
          <w:lang w:val="fr-FR"/>
        </w:rPr>
        <w:t>chaque année</w:t>
      </w:r>
      <w:r w:rsidR="00375954" w:rsidRPr="003E4841">
        <w:rPr>
          <w:rFonts w:cstheme="minorHAnsi"/>
          <w:szCs w:val="24"/>
          <w:lang w:val="fr-FR"/>
        </w:rPr>
        <w:t xml:space="preserve"> </w:t>
      </w:r>
      <w:r w:rsidRPr="003E4841">
        <w:rPr>
          <w:rFonts w:cstheme="minorHAnsi"/>
          <w:szCs w:val="24"/>
          <w:lang w:val="fr-FR"/>
        </w:rPr>
        <w:t>pour:</w:t>
      </w:r>
    </w:p>
    <w:p w14:paraId="254846F8" w14:textId="4AA79AB7" w:rsidR="00375954" w:rsidRPr="003E4841" w:rsidRDefault="00375954" w:rsidP="003E4841">
      <w:pPr>
        <w:pStyle w:val="enumlev1"/>
        <w:rPr>
          <w:lang w:val="fr-FR"/>
        </w:rPr>
      </w:pPr>
      <w:r w:rsidRPr="003E4841">
        <w:rPr>
          <w:lang w:val="fr-FR"/>
        </w:rPr>
        <w:t>•</w:t>
      </w:r>
      <w:r w:rsidRPr="003E4841">
        <w:rPr>
          <w:lang w:val="fr-FR"/>
        </w:rPr>
        <w:tab/>
        <w:t xml:space="preserve">faciliter la mise en œuvre des initiatives régionales de l'UIT pour </w:t>
      </w:r>
      <w:r w:rsidR="00074B15" w:rsidRPr="003E4841">
        <w:rPr>
          <w:lang w:val="fr-FR"/>
        </w:rPr>
        <w:t>la région des États arabes</w:t>
      </w:r>
      <w:r w:rsidRPr="003E4841">
        <w:rPr>
          <w:lang w:val="fr-FR"/>
        </w:rPr>
        <w:t xml:space="preserve"> et encourager les partenariats;</w:t>
      </w:r>
    </w:p>
    <w:p w14:paraId="60D76DCF" w14:textId="4EE8CF30" w:rsidR="00375954" w:rsidRPr="003E4841" w:rsidRDefault="00375954" w:rsidP="003E4841">
      <w:pPr>
        <w:pStyle w:val="enumlev1"/>
        <w:rPr>
          <w:lang w:val="fr-FR"/>
        </w:rPr>
      </w:pPr>
      <w:r w:rsidRPr="003E4841">
        <w:rPr>
          <w:lang w:val="fr-FR"/>
        </w:rPr>
        <w:t>•</w:t>
      </w:r>
      <w:r w:rsidRPr="003E4841">
        <w:rPr>
          <w:lang w:val="fr-FR"/>
        </w:rPr>
        <w:tab/>
        <w:t>aligne</w:t>
      </w:r>
      <w:r w:rsidR="008A321E" w:rsidRPr="003E4841">
        <w:rPr>
          <w:lang w:val="fr-FR"/>
        </w:rPr>
        <w:t>r</w:t>
      </w:r>
      <w:r w:rsidRPr="003E4841">
        <w:rPr>
          <w:lang w:val="fr-FR"/>
        </w:rPr>
        <w:t xml:space="preserve"> </w:t>
      </w:r>
      <w:r w:rsidR="008A321E" w:rsidRPr="003E4841">
        <w:rPr>
          <w:lang w:val="fr-FR"/>
        </w:rPr>
        <w:t>l</w:t>
      </w:r>
      <w:r w:rsidRPr="003E4841">
        <w:rPr>
          <w:lang w:val="fr-FR"/>
        </w:rPr>
        <w:t>es activités régionales sur les priorités thématiques du BDT et les autres activités de l'UIT</w:t>
      </w:r>
      <w:r w:rsidR="00BC0196" w:rsidRPr="003E4841">
        <w:rPr>
          <w:lang w:val="fr-FR"/>
        </w:rPr>
        <w:t>;</w:t>
      </w:r>
    </w:p>
    <w:p w14:paraId="439C969C" w14:textId="7E2241E8" w:rsidR="00375954" w:rsidRPr="003E4841" w:rsidRDefault="00375954" w:rsidP="003E4841">
      <w:pPr>
        <w:pStyle w:val="enumlev1"/>
        <w:rPr>
          <w:lang w:val="fr-FR"/>
        </w:rPr>
      </w:pPr>
      <w:r w:rsidRPr="003E4841">
        <w:rPr>
          <w:lang w:val="fr-FR"/>
        </w:rPr>
        <w:t>•</w:t>
      </w:r>
      <w:r w:rsidRPr="003E4841">
        <w:rPr>
          <w:lang w:val="fr-FR"/>
        </w:rPr>
        <w:tab/>
      </w:r>
      <w:r w:rsidR="008A321E" w:rsidRPr="003E4841">
        <w:rPr>
          <w:lang w:val="fr-FR"/>
        </w:rPr>
        <w:t xml:space="preserve">veiller à </w:t>
      </w:r>
      <w:r w:rsidRPr="003E4841">
        <w:rPr>
          <w:lang w:val="fr-FR"/>
        </w:rPr>
        <w:t>aligne</w:t>
      </w:r>
      <w:r w:rsidR="008A321E" w:rsidRPr="003E4841">
        <w:rPr>
          <w:lang w:val="fr-FR"/>
        </w:rPr>
        <w:t>r</w:t>
      </w:r>
      <w:r w:rsidRPr="003E4841">
        <w:rPr>
          <w:lang w:val="fr-FR"/>
        </w:rPr>
        <w:t xml:space="preserve"> </w:t>
      </w:r>
      <w:r w:rsidR="008A321E" w:rsidRPr="003E4841">
        <w:rPr>
          <w:lang w:val="fr-FR"/>
        </w:rPr>
        <w:t>l</w:t>
      </w:r>
      <w:r w:rsidRPr="003E4841">
        <w:rPr>
          <w:lang w:val="fr-FR"/>
        </w:rPr>
        <w:t>es acti</w:t>
      </w:r>
      <w:r w:rsidR="008A321E" w:rsidRPr="003E4841">
        <w:rPr>
          <w:lang w:val="fr-FR"/>
        </w:rPr>
        <w:t xml:space="preserve">vités </w:t>
      </w:r>
      <w:r w:rsidRPr="003E4841">
        <w:rPr>
          <w:lang w:val="fr-FR"/>
        </w:rPr>
        <w:t xml:space="preserve">de l'UIT sur les processus des Nations </w:t>
      </w:r>
      <w:r w:rsidR="008A321E" w:rsidRPr="003E4841">
        <w:rPr>
          <w:lang w:val="fr-FR"/>
        </w:rPr>
        <w:t>U</w:t>
      </w:r>
      <w:r w:rsidRPr="003E4841">
        <w:rPr>
          <w:lang w:val="fr-FR"/>
        </w:rPr>
        <w:t xml:space="preserve">nies, notamment le Sommet mondial sur la société de l'information </w:t>
      </w:r>
      <w:r w:rsidR="008A321E" w:rsidRPr="003E4841">
        <w:rPr>
          <w:lang w:val="fr-FR"/>
        </w:rPr>
        <w:t xml:space="preserve">organisé par les </w:t>
      </w:r>
      <w:r w:rsidRPr="003E4841">
        <w:rPr>
          <w:lang w:val="fr-FR"/>
        </w:rPr>
        <w:t xml:space="preserve">Nations </w:t>
      </w:r>
      <w:r w:rsidR="00466578" w:rsidRPr="003E4841">
        <w:rPr>
          <w:lang w:val="fr-FR"/>
        </w:rPr>
        <w:t>U</w:t>
      </w:r>
      <w:r w:rsidRPr="003E4841">
        <w:rPr>
          <w:lang w:val="fr-FR"/>
        </w:rPr>
        <w:t xml:space="preserve">nies ainsi que </w:t>
      </w:r>
      <w:r w:rsidR="00466578" w:rsidRPr="003E4841">
        <w:rPr>
          <w:lang w:val="fr-FR"/>
        </w:rPr>
        <w:t xml:space="preserve">le </w:t>
      </w:r>
      <w:r w:rsidR="008A321E" w:rsidRPr="003E4841">
        <w:rPr>
          <w:lang w:val="fr-FR"/>
        </w:rPr>
        <w:t>Programme de développement durable à l'horizon 2030 défini par les Nations Unies</w:t>
      </w:r>
      <w:r w:rsidRPr="003E4841">
        <w:rPr>
          <w:lang w:val="fr-FR"/>
        </w:rPr>
        <w:t>.</w:t>
      </w:r>
    </w:p>
    <w:p w14:paraId="3FC2EFED" w14:textId="66D8A37D" w:rsidR="00FF2FA8" w:rsidRPr="003E4841" w:rsidRDefault="00375954" w:rsidP="003E4841">
      <w:pPr>
        <w:rPr>
          <w:rFonts w:cstheme="minorHAnsi"/>
          <w:szCs w:val="24"/>
          <w:lang w:val="fr-FR"/>
        </w:rPr>
      </w:pPr>
      <w:r w:rsidRPr="003E4841">
        <w:rPr>
          <w:rFonts w:cstheme="minorHAnsi"/>
          <w:szCs w:val="24"/>
          <w:lang w:val="fr-FR"/>
        </w:rPr>
        <w:t xml:space="preserve">Trois </w:t>
      </w:r>
      <w:r w:rsidR="00466578" w:rsidRPr="003E4841">
        <w:rPr>
          <w:rFonts w:cstheme="minorHAnsi"/>
          <w:szCs w:val="24"/>
          <w:lang w:val="fr-FR"/>
        </w:rPr>
        <w:t>f</w:t>
      </w:r>
      <w:r w:rsidRPr="003E4841">
        <w:rPr>
          <w:rFonts w:cstheme="minorHAnsi"/>
          <w:szCs w:val="24"/>
          <w:lang w:val="fr-FR"/>
        </w:rPr>
        <w:t xml:space="preserve">orums </w:t>
      </w:r>
      <w:r w:rsidR="008A321E" w:rsidRPr="003E4841">
        <w:rPr>
          <w:rFonts w:cstheme="minorHAnsi"/>
          <w:szCs w:val="24"/>
          <w:lang w:val="fr-FR"/>
        </w:rPr>
        <w:t xml:space="preserve">régionaux sur le </w:t>
      </w:r>
      <w:r w:rsidRPr="003E4841">
        <w:rPr>
          <w:rFonts w:cstheme="minorHAnsi"/>
          <w:szCs w:val="24"/>
          <w:lang w:val="fr-FR"/>
        </w:rPr>
        <w:t xml:space="preserve">développement </w:t>
      </w:r>
      <w:r w:rsidR="00AD2C6B" w:rsidRPr="003E4841">
        <w:rPr>
          <w:rFonts w:cstheme="minorHAnsi"/>
          <w:szCs w:val="24"/>
          <w:lang w:val="fr-FR"/>
        </w:rPr>
        <w:t xml:space="preserve">(RDF) </w:t>
      </w:r>
      <w:r w:rsidRPr="003E4841">
        <w:rPr>
          <w:rFonts w:cstheme="minorHAnsi"/>
          <w:szCs w:val="24"/>
          <w:lang w:val="fr-FR"/>
        </w:rPr>
        <w:t>ont été organisés au cours de la période</w:t>
      </w:r>
      <w:r w:rsidR="00506E6D" w:rsidRPr="003E4841">
        <w:rPr>
          <w:rFonts w:cstheme="minorHAnsi"/>
          <w:szCs w:val="24"/>
          <w:lang w:val="fr-FR"/>
        </w:rPr>
        <w:t> </w:t>
      </w:r>
      <w:r w:rsidRPr="003E4841">
        <w:rPr>
          <w:rFonts w:cstheme="minorHAnsi"/>
          <w:szCs w:val="24"/>
          <w:lang w:val="fr-FR"/>
        </w:rPr>
        <w:t>2018</w:t>
      </w:r>
      <w:r w:rsidR="002450E8" w:rsidRPr="003E4841">
        <w:rPr>
          <w:rFonts w:cstheme="minorHAnsi"/>
          <w:szCs w:val="24"/>
          <w:lang w:val="fr-FR"/>
        </w:rPr>
        <w:noBreakHyphen/>
      </w:r>
      <w:r w:rsidRPr="003E4841">
        <w:rPr>
          <w:rFonts w:cstheme="minorHAnsi"/>
          <w:szCs w:val="24"/>
          <w:lang w:val="fr-FR"/>
        </w:rPr>
        <w:t>2020</w:t>
      </w:r>
      <w:r w:rsidR="008A321E" w:rsidRPr="003E4841">
        <w:rPr>
          <w:rFonts w:cstheme="minorHAnsi"/>
          <w:szCs w:val="24"/>
          <w:lang w:val="fr-FR"/>
        </w:rPr>
        <w:t>:</w:t>
      </w:r>
      <w:r w:rsidR="00FF6F7D" w:rsidRPr="003E4841">
        <w:rPr>
          <w:rFonts w:cstheme="minorHAnsi"/>
          <w:szCs w:val="24"/>
          <w:lang w:val="fr-FR"/>
        </w:rPr>
        <w:t xml:space="preserve"> </w:t>
      </w:r>
    </w:p>
    <w:p w14:paraId="51609394" w14:textId="52E62A48" w:rsidR="005D65F1" w:rsidRPr="003E4841" w:rsidRDefault="005D65F1" w:rsidP="003E4841">
      <w:pPr>
        <w:pStyle w:val="enumlev1"/>
        <w:rPr>
          <w:rFonts w:cstheme="minorHAnsi"/>
          <w:szCs w:val="24"/>
          <w:lang w:val="fr-FR"/>
        </w:rPr>
      </w:pPr>
      <w:r w:rsidRPr="003E4841">
        <w:rPr>
          <w:lang w:val="fr-FR"/>
        </w:rPr>
        <w:t>–</w:t>
      </w:r>
      <w:r w:rsidRPr="003E4841">
        <w:rPr>
          <w:lang w:val="fr-FR"/>
        </w:rPr>
        <w:tab/>
      </w:r>
      <w:hyperlink r:id="rId8" w:history="1">
        <w:r w:rsidR="00074B15" w:rsidRPr="003E4841">
          <w:rPr>
            <w:rStyle w:val="Hyperlink"/>
            <w:rFonts w:cstheme="minorHAnsi"/>
            <w:szCs w:val="24"/>
            <w:lang w:val="fr-FR"/>
          </w:rPr>
          <w:t>Forum régional de l'UIT sur le développement pour la région des États arabes</w:t>
        </w:r>
        <w:r w:rsidRPr="003E4841">
          <w:rPr>
            <w:rStyle w:val="Hyperlink"/>
            <w:rFonts w:cstheme="minorHAnsi"/>
            <w:szCs w:val="24"/>
            <w:lang w:val="fr-FR"/>
          </w:rPr>
          <w:t xml:space="preserve"> (RDF-ARB) 2018</w:t>
        </w:r>
      </w:hyperlink>
    </w:p>
    <w:p w14:paraId="1E691916" w14:textId="667D142F" w:rsidR="005D65F1" w:rsidRPr="003E4841" w:rsidRDefault="005D65F1" w:rsidP="003E4841">
      <w:pPr>
        <w:pStyle w:val="enumlev1"/>
        <w:rPr>
          <w:rFonts w:cstheme="minorHAnsi"/>
          <w:szCs w:val="24"/>
          <w:lang w:val="fr-FR"/>
        </w:rPr>
      </w:pPr>
      <w:r w:rsidRPr="003E4841">
        <w:rPr>
          <w:lang w:val="fr-FR"/>
        </w:rPr>
        <w:t>–</w:t>
      </w:r>
      <w:r w:rsidRPr="003E4841">
        <w:rPr>
          <w:lang w:val="fr-FR"/>
        </w:rPr>
        <w:tab/>
      </w:r>
      <w:hyperlink r:id="rId9" w:history="1">
        <w:r w:rsidR="00074B15" w:rsidRPr="003E4841">
          <w:rPr>
            <w:rStyle w:val="Hyperlink"/>
            <w:rFonts w:cstheme="minorHAnsi"/>
            <w:szCs w:val="24"/>
            <w:lang w:val="fr-FR"/>
          </w:rPr>
          <w:t>Forum régional de l</w:t>
        </w:r>
        <w:r w:rsidR="002450E8" w:rsidRPr="003E4841">
          <w:rPr>
            <w:rStyle w:val="Hyperlink"/>
            <w:rFonts w:cstheme="minorHAnsi"/>
            <w:szCs w:val="24"/>
            <w:lang w:val="fr-FR"/>
          </w:rPr>
          <w:t>'</w:t>
        </w:r>
        <w:r w:rsidR="00074B15" w:rsidRPr="003E4841">
          <w:rPr>
            <w:rStyle w:val="Hyperlink"/>
            <w:rFonts w:cstheme="minorHAnsi"/>
            <w:szCs w:val="24"/>
            <w:lang w:val="fr-FR"/>
          </w:rPr>
          <w:t>UIT sur le développement pour la région des États arabes</w:t>
        </w:r>
        <w:r w:rsidRPr="003E4841">
          <w:rPr>
            <w:rStyle w:val="Hyperlink"/>
            <w:rFonts w:cstheme="minorHAnsi"/>
            <w:szCs w:val="24"/>
            <w:lang w:val="fr-FR"/>
          </w:rPr>
          <w:t xml:space="preserve"> (RDF-ARB) 2019</w:t>
        </w:r>
      </w:hyperlink>
    </w:p>
    <w:p w14:paraId="22959B79" w14:textId="21A7A5C4" w:rsidR="00FC36CC" w:rsidRPr="003E4841" w:rsidRDefault="005D65F1" w:rsidP="003E4841">
      <w:pPr>
        <w:pStyle w:val="enumlev1"/>
        <w:rPr>
          <w:rStyle w:val="FollowedHyperlink"/>
          <w:rFonts w:ascii="Calibri" w:hAnsi="Calibri" w:cstheme="minorHAnsi"/>
          <w:color w:val="auto"/>
          <w:sz w:val="24"/>
          <w:szCs w:val="24"/>
          <w:u w:val="none"/>
          <w:lang w:val="fr-FR"/>
        </w:rPr>
      </w:pPr>
      <w:r w:rsidRPr="003E4841">
        <w:rPr>
          <w:lang w:val="fr-FR"/>
        </w:rPr>
        <w:t>–</w:t>
      </w:r>
      <w:r w:rsidRPr="003E4841">
        <w:rPr>
          <w:lang w:val="fr-FR"/>
        </w:rPr>
        <w:tab/>
      </w:r>
      <w:hyperlink r:id="rId10" w:history="1">
        <w:r w:rsidR="00222007" w:rsidRPr="003E4841">
          <w:rPr>
            <w:rStyle w:val="Hyperlink"/>
            <w:lang w:val="fr-FR"/>
          </w:rPr>
          <w:t>Forum régional de l</w:t>
        </w:r>
        <w:r w:rsidR="002450E8" w:rsidRPr="003E4841">
          <w:rPr>
            <w:rStyle w:val="Hyperlink"/>
            <w:lang w:val="fr-FR"/>
          </w:rPr>
          <w:t>'</w:t>
        </w:r>
        <w:r w:rsidR="00222007" w:rsidRPr="003E4841">
          <w:rPr>
            <w:rStyle w:val="Hyperlink"/>
            <w:lang w:val="fr-FR"/>
          </w:rPr>
          <w:t>UIT sur le développement pour la région des États arabes</w:t>
        </w:r>
        <w:r w:rsidRPr="003E4841">
          <w:rPr>
            <w:rStyle w:val="Hyperlink"/>
            <w:lang w:val="fr-FR"/>
          </w:rPr>
          <w:t xml:space="preserve"> (RDF-ARB) 2020</w:t>
        </w:r>
      </w:hyperlink>
    </w:p>
    <w:p w14:paraId="1FDD9B56" w14:textId="77777777" w:rsidR="00D94A1A" w:rsidRDefault="00D94A1A" w:rsidP="003E4841">
      <w:pPr>
        <w:pStyle w:val="Headingb"/>
        <w:rPr>
          <w:lang w:val="fr-FR"/>
        </w:rPr>
      </w:pPr>
      <w:r>
        <w:rPr>
          <w:lang w:val="fr-FR"/>
        </w:rPr>
        <w:br w:type="page"/>
      </w:r>
    </w:p>
    <w:p w14:paraId="2F99A31D" w14:textId="436F4CAF" w:rsidR="00FF2FA8" w:rsidRPr="003E4841" w:rsidRDefault="00375954" w:rsidP="003E4841">
      <w:pPr>
        <w:pStyle w:val="Headingb"/>
        <w:rPr>
          <w:lang w:val="fr-FR"/>
        </w:rPr>
      </w:pPr>
      <w:r w:rsidRPr="003E4841">
        <w:rPr>
          <w:lang w:val="fr-FR"/>
        </w:rPr>
        <w:lastRenderedPageBreak/>
        <w:t xml:space="preserve">Initiatives régionales de l'UIT pour </w:t>
      </w:r>
      <w:r w:rsidR="00222007" w:rsidRPr="003E4841">
        <w:rPr>
          <w:lang w:val="fr-FR"/>
        </w:rPr>
        <w:t>la région des États arabes</w:t>
      </w:r>
      <w:r w:rsidRPr="003E4841">
        <w:rPr>
          <w:lang w:val="fr-FR"/>
        </w:rPr>
        <w:t xml:space="preserve"> 2018-2020</w:t>
      </w:r>
    </w:p>
    <w:p w14:paraId="4AFFF887" w14:textId="48418616" w:rsidR="00FF2FA8" w:rsidRPr="003E4841" w:rsidRDefault="00AC340B" w:rsidP="003E4841">
      <w:pPr>
        <w:rPr>
          <w:rFonts w:cstheme="minorHAnsi"/>
          <w:szCs w:val="24"/>
          <w:lang w:val="fr-FR"/>
        </w:rPr>
      </w:pPr>
      <w:r w:rsidRPr="003E4841">
        <w:rPr>
          <w:rFonts w:cstheme="minorHAnsi"/>
          <w:szCs w:val="24"/>
          <w:lang w:val="fr-FR"/>
        </w:rPr>
        <w:t xml:space="preserve">On trouvera ci-après toutes les activités menées au cours de la période 2018-2020. </w:t>
      </w:r>
      <w:r w:rsidR="00375954" w:rsidRPr="003E4841">
        <w:rPr>
          <w:rFonts w:cstheme="minorHAnsi"/>
          <w:szCs w:val="24"/>
          <w:lang w:val="fr-FR"/>
        </w:rPr>
        <w:t xml:space="preserve">Les activités sont présentées par initiative régionale et par </w:t>
      </w:r>
      <w:r w:rsidR="00211D8B" w:rsidRPr="003E4841">
        <w:rPr>
          <w:rFonts w:cstheme="minorHAnsi"/>
          <w:szCs w:val="24"/>
          <w:lang w:val="fr-FR"/>
        </w:rPr>
        <w:t xml:space="preserve">sujet </w:t>
      </w:r>
      <w:r w:rsidR="00375954" w:rsidRPr="003E4841">
        <w:rPr>
          <w:rFonts w:cstheme="minorHAnsi"/>
          <w:szCs w:val="24"/>
          <w:lang w:val="fr-FR"/>
        </w:rPr>
        <w:t xml:space="preserve">dans </w:t>
      </w:r>
      <w:r w:rsidR="00211D8B" w:rsidRPr="003E4841">
        <w:rPr>
          <w:rFonts w:cstheme="minorHAnsi"/>
          <w:szCs w:val="24"/>
          <w:lang w:val="fr-FR"/>
        </w:rPr>
        <w:t>l'</w:t>
      </w:r>
      <w:r w:rsidR="00375954" w:rsidRPr="003E4841">
        <w:rPr>
          <w:rFonts w:cstheme="minorHAnsi"/>
          <w:szCs w:val="24"/>
          <w:lang w:val="fr-FR"/>
        </w:rPr>
        <w:t>ordre chronologique.</w:t>
      </w:r>
    </w:p>
    <w:p w14:paraId="204AEBDA" w14:textId="3E315812" w:rsidR="00FF2FA8" w:rsidRPr="003E4841" w:rsidRDefault="00063D37" w:rsidP="003E4841">
      <w:pPr>
        <w:pStyle w:val="Headingb"/>
        <w:rPr>
          <w:lang w:val="fr-FR"/>
        </w:rPr>
      </w:pPr>
      <w:r w:rsidRPr="003E4841">
        <w:rPr>
          <w:lang w:val="fr-FR"/>
        </w:rPr>
        <w:t>ARB1: Environnement, changements climatiques et télécommunications d'urgence</w:t>
      </w:r>
    </w:p>
    <w:p w14:paraId="1B255BD5" w14:textId="46A2C6B9" w:rsidR="00FF2FA8" w:rsidRPr="003E4841" w:rsidRDefault="00375954" w:rsidP="003E4841">
      <w:pPr>
        <w:rPr>
          <w:lang w:val="fr-FR"/>
        </w:rPr>
      </w:pPr>
      <w:r w:rsidRPr="003E4841">
        <w:rPr>
          <w:b/>
          <w:bCs/>
          <w:lang w:val="fr-FR"/>
        </w:rPr>
        <w:t>Objectif</w:t>
      </w:r>
      <w:r w:rsidR="005A3BCE" w:rsidRPr="003E4841">
        <w:rPr>
          <w:bCs/>
          <w:lang w:val="fr-FR"/>
        </w:rPr>
        <w:t>:</w:t>
      </w:r>
      <w:r w:rsidR="005A3BCE" w:rsidRPr="003E4841">
        <w:rPr>
          <w:lang w:val="fr-FR"/>
        </w:rPr>
        <w:t xml:space="preserve"> </w:t>
      </w:r>
      <w:r w:rsidR="00063D37" w:rsidRPr="003E4841">
        <w:rPr>
          <w:szCs w:val="24"/>
          <w:lang w:val="fr-FR"/>
        </w:rPr>
        <w:t>Sensibiliser davantage l'opinion aux principaux problèmes qui se posent dans les domaines de l'environnement, des changements climatiques et d</w:t>
      </w:r>
      <w:r w:rsidR="00D94A1A">
        <w:rPr>
          <w:szCs w:val="24"/>
          <w:lang w:val="fr-FR"/>
        </w:rPr>
        <w:t>es télécommunications d'urgence </w:t>
      </w:r>
      <w:r w:rsidR="00063D37" w:rsidRPr="003E4841">
        <w:rPr>
          <w:szCs w:val="24"/>
          <w:lang w:val="fr-FR"/>
        </w:rPr>
        <w:t>et prêter une assistance à cet égard, élaborer des cadre</w:t>
      </w:r>
      <w:r w:rsidR="00D94A1A">
        <w:rPr>
          <w:szCs w:val="24"/>
          <w:lang w:val="fr-FR"/>
        </w:rPr>
        <w:t>s réglementaires et prendre les </w:t>
      </w:r>
      <w:r w:rsidR="00063D37" w:rsidRPr="003E4841">
        <w:rPr>
          <w:szCs w:val="24"/>
          <w:lang w:val="fr-FR"/>
        </w:rPr>
        <w:t>mesures nécessaires pour relever les défis dans ce domaine.</w:t>
      </w:r>
      <w:r w:rsidR="009A2B8A" w:rsidRPr="003E4841">
        <w:rPr>
          <w:lang w:val="fr-FR"/>
        </w:rPr>
        <w:t xml:space="preserve"> </w:t>
      </w:r>
      <w:r w:rsidR="00063D37" w:rsidRPr="003E4841">
        <w:rPr>
          <w:lang w:val="fr-FR"/>
        </w:rPr>
        <w:t>Pour atteindre les résultats attendus des initiatives régionales de l'UIT, différentes activités ont été menées au cours de la période 2018</w:t>
      </w:r>
      <w:r w:rsidR="009A2B8A" w:rsidRPr="003E4841">
        <w:rPr>
          <w:lang w:val="fr-FR"/>
        </w:rPr>
        <w:noBreakHyphen/>
      </w:r>
      <w:r w:rsidR="00063D37" w:rsidRPr="003E4841">
        <w:rPr>
          <w:lang w:val="fr-FR"/>
        </w:rPr>
        <w:t>2020 pour renforcer les capacités des Membres dans les domaines suivants:</w:t>
      </w:r>
    </w:p>
    <w:p w14:paraId="5748CFC1" w14:textId="7B39C680" w:rsidR="00375954" w:rsidRPr="003E4841" w:rsidRDefault="00375954" w:rsidP="003E4841">
      <w:pPr>
        <w:pStyle w:val="enumlev1"/>
        <w:rPr>
          <w:lang w:val="fr-FR"/>
        </w:rPr>
      </w:pPr>
      <w:r w:rsidRPr="003E4841">
        <w:rPr>
          <w:lang w:val="fr-FR"/>
        </w:rPr>
        <w:t>–</w:t>
      </w:r>
      <w:r w:rsidRPr="003E4841">
        <w:rPr>
          <w:lang w:val="fr-FR"/>
        </w:rPr>
        <w:tab/>
      </w:r>
      <w:r w:rsidR="00001E5E" w:rsidRPr="003E4841">
        <w:rPr>
          <w:lang w:val="fr-FR" w:eastAsia="zh-CN"/>
        </w:rPr>
        <w:t>E</w:t>
      </w:r>
      <w:r w:rsidR="00222007" w:rsidRPr="003E4841">
        <w:rPr>
          <w:lang w:val="fr-FR" w:eastAsia="zh-CN"/>
        </w:rPr>
        <w:t>xposition des personnes</w:t>
      </w:r>
      <w:r w:rsidR="00063D37" w:rsidRPr="003E4841">
        <w:rPr>
          <w:lang w:val="fr-FR" w:eastAsia="zh-CN"/>
        </w:rPr>
        <w:t xml:space="preserve"> aux champs électromagnétiques, télécommunications d'urgence et gestion des déchets d'équipements électriques et électroniques</w:t>
      </w:r>
      <w:r w:rsidR="00A41C8C" w:rsidRPr="003E4841">
        <w:rPr>
          <w:lang w:val="fr-FR" w:eastAsia="zh-CN"/>
        </w:rPr>
        <w:t xml:space="preserve"> (DEEE)</w:t>
      </w:r>
      <w:r w:rsidR="00001E5E" w:rsidRPr="003E4841">
        <w:rPr>
          <w:lang w:val="fr-FR" w:eastAsia="zh-CN"/>
        </w:rPr>
        <w:t>.</w:t>
      </w:r>
    </w:p>
    <w:p w14:paraId="1F56F429" w14:textId="5EEC0F10" w:rsidR="00375954" w:rsidRPr="003E4841" w:rsidRDefault="00375954" w:rsidP="003E4841">
      <w:pPr>
        <w:pStyle w:val="enumlev1"/>
        <w:rPr>
          <w:lang w:val="fr-FR"/>
        </w:rPr>
      </w:pPr>
      <w:r w:rsidRPr="003E4841">
        <w:rPr>
          <w:lang w:val="fr-FR"/>
        </w:rPr>
        <w:t>–</w:t>
      </w:r>
      <w:r w:rsidRPr="003E4841">
        <w:rPr>
          <w:lang w:val="fr-FR"/>
        </w:rPr>
        <w:tab/>
      </w:r>
      <w:r w:rsidR="00001E5E" w:rsidRPr="003E4841">
        <w:rPr>
          <w:lang w:val="fr-FR" w:eastAsia="zh-CN"/>
        </w:rPr>
        <w:t>O</w:t>
      </w:r>
      <w:r w:rsidR="004163A7" w:rsidRPr="003E4841">
        <w:rPr>
          <w:lang w:val="fr-FR" w:eastAsia="zh-CN"/>
        </w:rPr>
        <w:t>rganisation de</w:t>
      </w:r>
      <w:r w:rsidR="00063D37" w:rsidRPr="003E4841">
        <w:rPr>
          <w:lang w:val="fr-FR" w:eastAsia="zh-CN"/>
        </w:rPr>
        <w:t xml:space="preserve"> programmes de formation sur l</w:t>
      </w:r>
      <w:r w:rsidR="00222007" w:rsidRPr="003E4841">
        <w:rPr>
          <w:lang w:val="fr-FR" w:eastAsia="zh-CN"/>
        </w:rPr>
        <w:t xml:space="preserve">es télécommunications d'urgence, sur </w:t>
      </w:r>
      <w:r w:rsidR="00063D37" w:rsidRPr="003E4841">
        <w:rPr>
          <w:lang w:val="fr-FR" w:eastAsia="zh-CN"/>
        </w:rPr>
        <w:t xml:space="preserve">l'exposition </w:t>
      </w:r>
      <w:r w:rsidR="00222007" w:rsidRPr="003E4841">
        <w:rPr>
          <w:lang w:val="fr-FR" w:eastAsia="zh-CN"/>
        </w:rPr>
        <w:t xml:space="preserve">des personnes </w:t>
      </w:r>
      <w:r w:rsidR="00063D37" w:rsidRPr="003E4841">
        <w:rPr>
          <w:lang w:val="fr-FR" w:eastAsia="zh-CN"/>
        </w:rPr>
        <w:t xml:space="preserve">aux </w:t>
      </w:r>
      <w:r w:rsidR="00417509" w:rsidRPr="003E4841">
        <w:rPr>
          <w:lang w:val="fr-FR" w:eastAsia="zh-CN"/>
        </w:rPr>
        <w:t xml:space="preserve">champs électromagnétiques </w:t>
      </w:r>
      <w:r w:rsidR="004163A7" w:rsidRPr="003E4841">
        <w:rPr>
          <w:lang w:val="fr-FR" w:eastAsia="zh-CN"/>
        </w:rPr>
        <w:t>et sur</w:t>
      </w:r>
      <w:r w:rsidR="00063D37" w:rsidRPr="003E4841">
        <w:rPr>
          <w:lang w:val="fr-FR" w:eastAsia="zh-CN"/>
        </w:rPr>
        <w:t xml:space="preserve"> </w:t>
      </w:r>
      <w:r w:rsidR="004163A7" w:rsidRPr="003E4841">
        <w:rPr>
          <w:lang w:val="fr-FR" w:eastAsia="zh-CN"/>
        </w:rPr>
        <w:t>l</w:t>
      </w:r>
      <w:r w:rsidR="00063D37" w:rsidRPr="003E4841">
        <w:rPr>
          <w:lang w:val="fr-FR" w:eastAsia="zh-CN"/>
        </w:rPr>
        <w:t xml:space="preserve">es </w:t>
      </w:r>
      <w:r w:rsidR="00A41C8C" w:rsidRPr="003E4841">
        <w:rPr>
          <w:lang w:val="fr-FR" w:eastAsia="zh-CN"/>
        </w:rPr>
        <w:t>DEEE</w:t>
      </w:r>
      <w:r w:rsidR="00001E5E" w:rsidRPr="003E4841">
        <w:rPr>
          <w:lang w:val="fr-FR" w:eastAsia="zh-CN"/>
        </w:rPr>
        <w:t>.</w:t>
      </w:r>
    </w:p>
    <w:p w14:paraId="65E18296" w14:textId="08810CA8" w:rsidR="00375954" w:rsidRPr="003E4841" w:rsidRDefault="00375954" w:rsidP="003E4841">
      <w:pPr>
        <w:pStyle w:val="enumlev1"/>
        <w:rPr>
          <w:lang w:val="fr-FR"/>
        </w:rPr>
      </w:pPr>
      <w:r w:rsidRPr="003E4841">
        <w:rPr>
          <w:lang w:val="fr-FR"/>
        </w:rPr>
        <w:t>–</w:t>
      </w:r>
      <w:r w:rsidRPr="003E4841">
        <w:rPr>
          <w:lang w:val="fr-FR"/>
        </w:rPr>
        <w:tab/>
      </w:r>
      <w:r w:rsidR="00001E5E" w:rsidRPr="003E4841">
        <w:rPr>
          <w:lang w:val="fr-FR"/>
        </w:rPr>
        <w:t>M</w:t>
      </w:r>
      <w:r w:rsidR="00063D37" w:rsidRPr="003E4841">
        <w:rPr>
          <w:lang w:val="fr-FR"/>
        </w:rPr>
        <w:t xml:space="preserve">ise en place d'un environnement propice et de pratiques réglementaires, y compris le renforcement de la coopération avec les plates-formes </w:t>
      </w:r>
      <w:r w:rsidR="00001E5E" w:rsidRPr="003E4841">
        <w:rPr>
          <w:lang w:val="fr-FR"/>
        </w:rPr>
        <w:t>sous-régionales des régulateurs.</w:t>
      </w:r>
    </w:p>
    <w:p w14:paraId="175BAF74" w14:textId="41294217" w:rsidR="00375954" w:rsidRPr="003E4841" w:rsidRDefault="00375954" w:rsidP="003E4841">
      <w:pPr>
        <w:pStyle w:val="enumlev1"/>
        <w:rPr>
          <w:lang w:val="fr-FR" w:eastAsia="zh-CN"/>
        </w:rPr>
      </w:pPr>
      <w:r w:rsidRPr="003E4841">
        <w:rPr>
          <w:lang w:val="fr-FR"/>
        </w:rPr>
        <w:t>–</w:t>
      </w:r>
      <w:r w:rsidRPr="003E4841">
        <w:rPr>
          <w:lang w:val="fr-FR"/>
        </w:rPr>
        <w:tab/>
      </w:r>
      <w:r w:rsidR="00001E5E" w:rsidRPr="003E4841">
        <w:rPr>
          <w:lang w:val="fr-FR" w:eastAsia="zh-CN"/>
        </w:rPr>
        <w:t>O</w:t>
      </w:r>
      <w:r w:rsidR="00D53B2E" w:rsidRPr="003E4841">
        <w:rPr>
          <w:lang w:val="fr-FR" w:eastAsia="zh-CN"/>
        </w:rPr>
        <w:t>rganisation de</w:t>
      </w:r>
      <w:r w:rsidR="00063D37" w:rsidRPr="003E4841">
        <w:rPr>
          <w:lang w:val="fr-FR" w:eastAsia="zh-CN"/>
        </w:rPr>
        <w:t xml:space="preserve"> c</w:t>
      </w:r>
      <w:r w:rsidR="00D53B2E" w:rsidRPr="003E4841">
        <w:rPr>
          <w:lang w:val="fr-FR" w:eastAsia="zh-CN"/>
        </w:rPr>
        <w:t>ampagnes et de</w:t>
      </w:r>
      <w:r w:rsidR="00063D37" w:rsidRPr="003E4841">
        <w:rPr>
          <w:lang w:val="fr-FR" w:eastAsia="zh-CN"/>
        </w:rPr>
        <w:t xml:space="preserve"> programmes de sensibilisation concernant les risques liés à l'exposition aux champs électromagnétiques ainsi qu'au recyclage et au traitement des </w:t>
      </w:r>
      <w:r w:rsidR="00A41C8C" w:rsidRPr="003E4841">
        <w:rPr>
          <w:lang w:val="fr-FR" w:eastAsia="zh-CN"/>
        </w:rPr>
        <w:t>DEEE</w:t>
      </w:r>
      <w:r w:rsidR="00001E5E" w:rsidRPr="003E4841">
        <w:rPr>
          <w:lang w:val="fr-FR" w:eastAsia="zh-CN"/>
        </w:rPr>
        <w:t>.</w:t>
      </w:r>
    </w:p>
    <w:p w14:paraId="1E877FD5" w14:textId="677E2E65" w:rsidR="00063D37" w:rsidRPr="003E4841" w:rsidRDefault="00063D37" w:rsidP="003E4841">
      <w:pPr>
        <w:pStyle w:val="enumlev1"/>
        <w:rPr>
          <w:lang w:val="fr-FR"/>
        </w:rPr>
      </w:pPr>
      <w:r w:rsidRPr="003E4841">
        <w:rPr>
          <w:lang w:val="fr-FR"/>
        </w:rPr>
        <w:t>–</w:t>
      </w:r>
      <w:r w:rsidRPr="003E4841">
        <w:rPr>
          <w:lang w:val="fr-FR"/>
        </w:rPr>
        <w:tab/>
      </w:r>
      <w:r w:rsidR="00001E5E" w:rsidRPr="003E4841">
        <w:rPr>
          <w:lang w:val="fr-FR"/>
        </w:rPr>
        <w:t>S</w:t>
      </w:r>
      <w:r w:rsidR="006E1F6C" w:rsidRPr="003E4841">
        <w:rPr>
          <w:lang w:val="fr-FR"/>
        </w:rPr>
        <w:t xml:space="preserve">tatistiques relatives aux </w:t>
      </w:r>
      <w:r w:rsidR="00A41C8C" w:rsidRPr="003E4841">
        <w:rPr>
          <w:lang w:val="fr-FR"/>
        </w:rPr>
        <w:t>DEEE</w:t>
      </w:r>
      <w:r w:rsidR="006E1F6C" w:rsidRPr="003E4841">
        <w:rPr>
          <w:lang w:val="fr-FR"/>
        </w:rPr>
        <w:t xml:space="preserve"> et suivi </w:t>
      </w:r>
      <w:r w:rsidR="00A41C8C" w:rsidRPr="003E4841">
        <w:rPr>
          <w:lang w:val="fr-FR"/>
        </w:rPr>
        <w:t>des DEEE</w:t>
      </w:r>
      <w:r w:rsidR="006E1F6C" w:rsidRPr="003E4841">
        <w:rPr>
          <w:lang w:val="fr-FR"/>
        </w:rPr>
        <w:t xml:space="preserve"> pour la région des États arabes.</w:t>
      </w:r>
    </w:p>
    <w:p w14:paraId="5C849700" w14:textId="6B089410" w:rsidR="005137BF" w:rsidRDefault="005137BF" w:rsidP="00643CB4">
      <w:pPr>
        <w:spacing w:after="120"/>
        <w:rPr>
          <w:lang w:val="fr-FR"/>
        </w:rPr>
      </w:pPr>
      <w:r w:rsidRPr="003E4841">
        <w:rPr>
          <w:b/>
          <w:bCs/>
          <w:lang w:val="fr-FR"/>
        </w:rPr>
        <w:t>IMPACT</w:t>
      </w:r>
      <w:r w:rsidRPr="003E4841">
        <w:rPr>
          <w:bCs/>
          <w:lang w:val="fr-FR"/>
        </w:rPr>
        <w:t>:</w:t>
      </w:r>
      <w:r w:rsidRPr="003E4841">
        <w:rPr>
          <w:lang w:val="fr-FR"/>
        </w:rPr>
        <w:t xml:space="preserve"> Cette initiative régionale de l'UIT a permis de renforcer le</w:t>
      </w:r>
      <w:r w:rsidR="00643CB4">
        <w:rPr>
          <w:lang w:val="fr-FR"/>
        </w:rPr>
        <w:t>s capacités humaines de plus de </w:t>
      </w:r>
      <w:r w:rsidR="006E1F6C" w:rsidRPr="003E4841">
        <w:rPr>
          <w:lang w:val="fr-FR"/>
        </w:rPr>
        <w:t>1</w:t>
      </w:r>
      <w:r w:rsidRPr="003E4841">
        <w:rPr>
          <w:lang w:val="fr-FR"/>
        </w:rPr>
        <w:t xml:space="preserve"> 000 parties prenantes de plus de </w:t>
      </w:r>
      <w:r w:rsidR="006E1F6C" w:rsidRPr="003E4841">
        <w:rPr>
          <w:lang w:val="fr-FR"/>
        </w:rPr>
        <w:t>22 pays et un</w:t>
      </w:r>
      <w:r w:rsidRPr="003E4841">
        <w:rPr>
          <w:lang w:val="fr-FR"/>
        </w:rPr>
        <w:t xml:space="preserve"> projet de grande envergure a été mis en place pour apporter un appui direct à </w:t>
      </w:r>
      <w:r w:rsidR="006E1F6C" w:rsidRPr="003E4841">
        <w:rPr>
          <w:lang w:val="fr-FR"/>
        </w:rPr>
        <w:t>22</w:t>
      </w:r>
      <w:r w:rsidRPr="003E4841">
        <w:rPr>
          <w:lang w:val="fr-FR"/>
        </w:rPr>
        <w:t xml:space="preserve"> </w:t>
      </w:r>
      <w:r w:rsidR="006E1F6C" w:rsidRPr="003E4841">
        <w:rPr>
          <w:lang w:val="fr-FR"/>
        </w:rPr>
        <w:t>États arabes</w:t>
      </w:r>
      <w:r w:rsidRPr="003E4841">
        <w:rPr>
          <w:lang w:val="fr-FR"/>
        </w:rPr>
        <w:t xml:space="preserve">. La coopération avec </w:t>
      </w:r>
      <w:r w:rsidR="00BB5B97" w:rsidRPr="003E4841">
        <w:rPr>
          <w:lang w:val="fr-FR"/>
        </w:rPr>
        <w:t>l</w:t>
      </w:r>
      <w:r w:rsidR="002450E8" w:rsidRPr="003E4841">
        <w:rPr>
          <w:lang w:val="fr-FR"/>
        </w:rPr>
        <w:t>'</w:t>
      </w:r>
      <w:r w:rsidR="00BB5B97" w:rsidRPr="003E4841">
        <w:rPr>
          <w:lang w:val="fr-FR"/>
        </w:rPr>
        <w:t xml:space="preserve">Université des Nations Unies (UNU), qui travaille sur les statistiques relatives aux </w:t>
      </w:r>
      <w:r w:rsidR="00A41C8C" w:rsidRPr="003E4841">
        <w:rPr>
          <w:lang w:val="fr-FR"/>
        </w:rPr>
        <w:t>DEEE</w:t>
      </w:r>
      <w:r w:rsidR="00BB5B97" w:rsidRPr="003E4841">
        <w:rPr>
          <w:lang w:val="fr-FR"/>
        </w:rPr>
        <w:t xml:space="preserve">, a été renforcée et un accord de coopération a été signé. </w:t>
      </w:r>
      <w:r w:rsidR="00D50654" w:rsidRPr="003E4841">
        <w:rPr>
          <w:lang w:val="fr-FR"/>
        </w:rPr>
        <w:t>Dans la région des</w:t>
      </w:r>
      <w:r w:rsidR="00BB5B97" w:rsidRPr="003E4841">
        <w:rPr>
          <w:lang w:val="fr-FR"/>
        </w:rPr>
        <w:t xml:space="preserve"> États arabes</w:t>
      </w:r>
      <w:r w:rsidR="00D50654" w:rsidRPr="003E4841">
        <w:rPr>
          <w:lang w:val="fr-FR"/>
        </w:rPr>
        <w:t>, 22 pays</w:t>
      </w:r>
      <w:r w:rsidR="00BB5B97" w:rsidRPr="003E4841">
        <w:rPr>
          <w:lang w:val="fr-FR"/>
        </w:rPr>
        <w:t xml:space="preserve"> ont bénéficié du suivi </w:t>
      </w:r>
      <w:r w:rsidR="00D50654" w:rsidRPr="003E4841">
        <w:rPr>
          <w:lang w:val="fr-FR"/>
        </w:rPr>
        <w:t xml:space="preserve">régional des </w:t>
      </w:r>
      <w:r w:rsidR="00A41C8C" w:rsidRPr="003E4841">
        <w:rPr>
          <w:lang w:val="fr-FR"/>
        </w:rPr>
        <w:t>DEEE</w:t>
      </w:r>
      <w:r w:rsidR="00D50654" w:rsidRPr="003E4841">
        <w:rPr>
          <w:lang w:val="fr-FR"/>
        </w:rPr>
        <w:t xml:space="preserve"> pour la région des États arabes et 11 pays ont bénéficié d</w:t>
      </w:r>
      <w:r w:rsidR="002450E8" w:rsidRPr="003E4841">
        <w:rPr>
          <w:lang w:val="fr-FR"/>
        </w:rPr>
        <w:t>'</w:t>
      </w:r>
      <w:r w:rsidR="00D50654" w:rsidRPr="003E4841">
        <w:rPr>
          <w:lang w:val="fr-FR"/>
        </w:rPr>
        <w:t>un</w:t>
      </w:r>
      <w:r w:rsidR="008822F4" w:rsidRPr="003E4841">
        <w:rPr>
          <w:lang w:val="fr-FR"/>
        </w:rPr>
        <w:t>e</w:t>
      </w:r>
      <w:r w:rsidR="00D50654" w:rsidRPr="003E4841">
        <w:rPr>
          <w:lang w:val="fr-FR"/>
        </w:rPr>
        <w:t xml:space="preserve"> </w:t>
      </w:r>
      <w:r w:rsidR="008822F4" w:rsidRPr="003E4841">
        <w:rPr>
          <w:lang w:val="fr-FR"/>
        </w:rPr>
        <w:t xml:space="preserve">assistance technique </w:t>
      </w:r>
      <w:r w:rsidR="00D50654" w:rsidRPr="003E4841">
        <w:rPr>
          <w:lang w:val="fr-FR"/>
        </w:rPr>
        <w:t>direct</w:t>
      </w:r>
      <w:r w:rsidR="008822F4" w:rsidRPr="003E4841">
        <w:rPr>
          <w:lang w:val="fr-FR"/>
        </w:rPr>
        <w:t>e</w:t>
      </w:r>
      <w:r w:rsidR="00D50654" w:rsidRPr="003E4841">
        <w:rPr>
          <w:lang w:val="fr-FR"/>
        </w:rPr>
        <w:t xml:space="preserve"> </w:t>
      </w:r>
      <w:r w:rsidR="00993DE4" w:rsidRPr="003E4841">
        <w:rPr>
          <w:lang w:val="fr-FR"/>
        </w:rPr>
        <w:t xml:space="preserve">pour </w:t>
      </w:r>
      <w:r w:rsidR="008822F4" w:rsidRPr="003E4841">
        <w:rPr>
          <w:lang w:val="fr-FR"/>
        </w:rPr>
        <w:t xml:space="preserve">promouvoir </w:t>
      </w:r>
      <w:r w:rsidR="00993DE4" w:rsidRPr="003E4841">
        <w:rPr>
          <w:lang w:val="fr-FR"/>
        </w:rPr>
        <w:t>l</w:t>
      </w:r>
      <w:r w:rsidR="002450E8" w:rsidRPr="003E4841">
        <w:rPr>
          <w:lang w:val="fr-FR"/>
        </w:rPr>
        <w:t>'</w:t>
      </w:r>
      <w:r w:rsidR="00993DE4" w:rsidRPr="003E4841">
        <w:rPr>
          <w:lang w:val="fr-FR"/>
        </w:rPr>
        <w:t xml:space="preserve">élaboration des statistiques </w:t>
      </w:r>
      <w:r w:rsidR="005C58E9" w:rsidRPr="003E4841">
        <w:rPr>
          <w:lang w:val="fr-FR"/>
        </w:rPr>
        <w:t>relatives aux DEEE</w:t>
      </w:r>
      <w:r w:rsidR="003F3354" w:rsidRPr="003E4841">
        <w:rPr>
          <w:lang w:val="fr-FR"/>
        </w:rPr>
        <w:t xml:space="preserve"> et faire le point sur les politiques et la réglementation en vigueur dans ces pays concernant les DEEE. Cela a permis à ces pays de progresser dans la réalisation de leurs objectifs nationaux (statistiques, politiques et réglementation relatives aux DEEE). </w:t>
      </w:r>
      <w:r w:rsidR="00F27E6A" w:rsidRPr="003E4841">
        <w:rPr>
          <w:lang w:val="fr-FR"/>
        </w:rPr>
        <w:t>Cinq pays ont accueilli des activités et des ateliers de l</w:t>
      </w:r>
      <w:r w:rsidR="002450E8" w:rsidRPr="003E4841">
        <w:rPr>
          <w:lang w:val="fr-FR"/>
        </w:rPr>
        <w:t>'</w:t>
      </w:r>
      <w:r w:rsidR="0009250F" w:rsidRPr="003E4841">
        <w:rPr>
          <w:lang w:val="fr-FR"/>
        </w:rPr>
        <w:t>UIT. Deux rapports ont été élaborés</w:t>
      </w:r>
      <w:r w:rsidR="0022552D" w:rsidRPr="003E4841">
        <w:rPr>
          <w:lang w:val="fr-FR"/>
        </w:rPr>
        <w:t xml:space="preserve"> concernant les </w:t>
      </w:r>
      <w:r w:rsidR="00417509" w:rsidRPr="003E4841">
        <w:rPr>
          <w:lang w:val="fr-FR"/>
        </w:rPr>
        <w:t xml:space="preserve">champs électromagnétiques </w:t>
      </w:r>
      <w:r w:rsidR="0022552D" w:rsidRPr="003E4841">
        <w:rPr>
          <w:lang w:val="fr-FR"/>
        </w:rPr>
        <w:t>et les DEEE, ce qui a permis de contribuer au processus d</w:t>
      </w:r>
      <w:r w:rsidR="002450E8" w:rsidRPr="003E4841">
        <w:rPr>
          <w:lang w:val="fr-FR"/>
        </w:rPr>
        <w:t>'</w:t>
      </w:r>
      <w:r w:rsidR="0022552D" w:rsidRPr="003E4841">
        <w:rPr>
          <w:lang w:val="fr-FR"/>
        </w:rPr>
        <w:t>harmonisation des approches nationales au niveau régional.</w:t>
      </w:r>
    </w:p>
    <w:tbl>
      <w:tblPr>
        <w:tblStyle w:val="TableGrid"/>
        <w:tblW w:w="0" w:type="auto"/>
        <w:shd w:val="clear" w:color="auto" w:fill="8EAADB" w:themeFill="accent5" w:themeFillTint="99"/>
        <w:tblLook w:val="04A0" w:firstRow="1" w:lastRow="0" w:firstColumn="1" w:lastColumn="0" w:noHBand="0" w:noVBand="1"/>
      </w:tblPr>
      <w:tblGrid>
        <w:gridCol w:w="9631"/>
      </w:tblGrid>
      <w:tr w:rsidR="00780F67" w:rsidRPr="00E30FF2" w14:paraId="00E1A809" w14:textId="77777777" w:rsidTr="00780F67">
        <w:tc>
          <w:tcPr>
            <w:tcW w:w="9631" w:type="dxa"/>
            <w:shd w:val="clear" w:color="auto" w:fill="8EAADB" w:themeFill="accent5" w:themeFillTint="99"/>
          </w:tcPr>
          <w:p w14:paraId="25030B9F" w14:textId="0121E481" w:rsidR="00780F67" w:rsidRDefault="00780F67" w:rsidP="00643CB4">
            <w:pPr>
              <w:spacing w:after="120"/>
              <w:rPr>
                <w:lang w:val="fr-FR"/>
              </w:rPr>
            </w:pPr>
            <w:r w:rsidRPr="00780F67">
              <w:rPr>
                <w:b/>
                <w:bCs/>
                <w:iCs/>
                <w:lang w:val="fr-FR"/>
              </w:rPr>
              <w:t>Différentes activités ont été menées pour renforcer les capacités des Membres de l'UIT dans le domaine des DEEE, de l'exposition des personnes aux champs électromagnétiques et des télécommunications d'urgence</w:t>
            </w:r>
          </w:p>
        </w:tc>
      </w:tr>
    </w:tbl>
    <w:p w14:paraId="4BF14E1B" w14:textId="4D824FAA" w:rsidR="005137BF" w:rsidRPr="003E4841" w:rsidRDefault="005137BF" w:rsidP="00643CB4">
      <w:pPr>
        <w:pStyle w:val="enumlev1"/>
        <w:spacing w:before="120"/>
        <w:rPr>
          <w:rFonts w:eastAsiaTheme="minorEastAsia" w:cstheme="minorBidi"/>
          <w:i/>
          <w:iCs/>
          <w:lang w:val="fr-FR"/>
        </w:rPr>
      </w:pPr>
      <w:r w:rsidRPr="003E4841">
        <w:rPr>
          <w:i/>
          <w:iCs/>
          <w:lang w:val="fr-FR"/>
        </w:rPr>
        <w:t>–</w:t>
      </w:r>
      <w:r w:rsidRPr="003E4841">
        <w:rPr>
          <w:i/>
          <w:iCs/>
          <w:lang w:val="fr-FR"/>
        </w:rPr>
        <w:tab/>
      </w:r>
      <w:hyperlink r:id="rId11">
        <w:r w:rsidR="0022552D" w:rsidRPr="003E4841">
          <w:rPr>
            <w:i/>
            <w:iCs/>
            <w:lang w:val="fr-FR"/>
          </w:rPr>
          <w:t>Forum et formation de l</w:t>
        </w:r>
        <w:r w:rsidR="002450E8" w:rsidRPr="003E4841">
          <w:rPr>
            <w:i/>
            <w:iCs/>
            <w:lang w:val="fr-FR"/>
          </w:rPr>
          <w:t>'</w:t>
        </w:r>
        <w:r w:rsidR="0022552D" w:rsidRPr="003E4841">
          <w:rPr>
            <w:i/>
            <w:iCs/>
            <w:lang w:val="fr-FR"/>
          </w:rPr>
          <w:t xml:space="preserve">UIT sur le thème </w:t>
        </w:r>
        <w:r w:rsidR="002450E8" w:rsidRPr="003E4841">
          <w:rPr>
            <w:i/>
            <w:iCs/>
            <w:lang w:val="fr-FR"/>
          </w:rPr>
          <w:t>"</w:t>
        </w:r>
        <w:r w:rsidR="0022552D" w:rsidRPr="003E4841">
          <w:rPr>
            <w:i/>
            <w:iCs/>
            <w:lang w:val="fr-FR"/>
          </w:rPr>
          <w:t>Omniprésence des TIC et champs électromagnétiques</w:t>
        </w:r>
        <w:r w:rsidR="002450E8" w:rsidRPr="003E4841">
          <w:rPr>
            <w:i/>
            <w:iCs/>
            <w:lang w:val="fr-FR"/>
          </w:rPr>
          <w:t>:</w:t>
        </w:r>
        <w:r w:rsidR="0022552D" w:rsidRPr="003E4841">
          <w:rPr>
            <w:i/>
            <w:iCs/>
            <w:lang w:val="fr-FR"/>
          </w:rPr>
          <w:t xml:space="preserve"> niveaux de sécurité</w:t>
        </w:r>
        <w:r w:rsidR="002450E8" w:rsidRPr="003E4841">
          <w:rPr>
            <w:i/>
            <w:iCs/>
            <w:lang w:val="fr-FR"/>
          </w:rPr>
          <w:t>?"</w:t>
        </w:r>
        <w:r w:rsidR="0022552D" w:rsidRPr="003E4841">
          <w:rPr>
            <w:i/>
            <w:iCs/>
            <w:lang w:val="fr-FR"/>
          </w:rPr>
          <w:t xml:space="preserve"> et formation</w:t>
        </w:r>
        <w:r w:rsidR="0024224F" w:rsidRPr="003E4841">
          <w:rPr>
            <w:i/>
            <w:iCs/>
            <w:lang w:val="fr-FR"/>
          </w:rPr>
          <w:t xml:space="preserve"> sur les statistiques relatives aux déchets d</w:t>
        </w:r>
        <w:r w:rsidR="002450E8" w:rsidRPr="003E4841">
          <w:rPr>
            <w:i/>
            <w:iCs/>
            <w:lang w:val="fr-FR"/>
          </w:rPr>
          <w:t>'</w:t>
        </w:r>
        <w:r w:rsidR="0024224F" w:rsidRPr="003E4841">
          <w:rPr>
            <w:i/>
            <w:iCs/>
            <w:lang w:val="fr-FR"/>
          </w:rPr>
          <w:t>équipements électriques et électroniques, Zanzibar (Tanzanie)</w:t>
        </w:r>
      </w:hyperlink>
      <w:r w:rsidRPr="003E4841">
        <w:rPr>
          <w:i/>
          <w:iCs/>
          <w:lang w:val="fr-FR"/>
        </w:rPr>
        <w:t xml:space="preserve">, 10-12 </w:t>
      </w:r>
      <w:r w:rsidR="0022552D" w:rsidRPr="003E4841">
        <w:rPr>
          <w:i/>
          <w:iCs/>
          <w:lang w:val="fr-FR"/>
        </w:rPr>
        <w:t>avril</w:t>
      </w:r>
      <w:r w:rsidR="0024224F" w:rsidRPr="003E4841">
        <w:rPr>
          <w:i/>
          <w:iCs/>
          <w:lang w:val="fr-FR"/>
        </w:rPr>
        <w:t xml:space="preserve"> 2018</w:t>
      </w:r>
      <w:r w:rsidR="00E11E8E" w:rsidRPr="003E4841">
        <w:rPr>
          <w:i/>
          <w:iCs/>
          <w:lang w:val="fr-FR"/>
        </w:rPr>
        <w:t>.</w:t>
      </w:r>
    </w:p>
    <w:p w14:paraId="034E3D3A" w14:textId="786720C9" w:rsidR="005137BF" w:rsidRPr="003E4841" w:rsidRDefault="005137BF" w:rsidP="003E4841">
      <w:pPr>
        <w:pStyle w:val="enumlev1"/>
        <w:rPr>
          <w:rFonts w:eastAsiaTheme="minorEastAsia" w:cstheme="minorBidi"/>
          <w:i/>
          <w:iCs/>
          <w:lang w:val="fr-FR"/>
        </w:rPr>
      </w:pPr>
      <w:r w:rsidRPr="003E4841">
        <w:rPr>
          <w:i/>
          <w:iCs/>
          <w:lang w:val="fr-FR"/>
        </w:rPr>
        <w:t>–</w:t>
      </w:r>
      <w:r w:rsidRPr="003E4841">
        <w:rPr>
          <w:i/>
          <w:iCs/>
          <w:lang w:val="fr-FR"/>
        </w:rPr>
        <w:tab/>
      </w:r>
      <w:hyperlink r:id="rId12" w:history="1">
        <w:r w:rsidR="0024224F" w:rsidRPr="003E4841">
          <w:rPr>
            <w:rStyle w:val="Hyperlink"/>
            <w:i/>
            <w:iCs/>
            <w:color w:val="auto"/>
            <w:u w:val="none"/>
            <w:lang w:val="fr-FR"/>
          </w:rPr>
          <w:t xml:space="preserve">Atelier </w:t>
        </w:r>
        <w:r w:rsidR="00C60E67" w:rsidRPr="003E4841">
          <w:rPr>
            <w:rStyle w:val="Hyperlink"/>
            <w:i/>
            <w:iCs/>
            <w:color w:val="auto"/>
            <w:u w:val="none"/>
            <w:lang w:val="fr-FR"/>
          </w:rPr>
          <w:t>régional</w:t>
        </w:r>
        <w:r w:rsidR="0024224F" w:rsidRPr="003E4841">
          <w:rPr>
            <w:rStyle w:val="Hyperlink"/>
            <w:i/>
            <w:iCs/>
            <w:color w:val="auto"/>
            <w:u w:val="none"/>
            <w:lang w:val="fr-FR"/>
          </w:rPr>
          <w:t xml:space="preserve"> multi-parties prenantes de l</w:t>
        </w:r>
        <w:r w:rsidR="002450E8" w:rsidRPr="003E4841">
          <w:rPr>
            <w:rStyle w:val="Hyperlink"/>
            <w:i/>
            <w:iCs/>
            <w:color w:val="auto"/>
            <w:u w:val="none"/>
            <w:lang w:val="fr-FR"/>
          </w:rPr>
          <w:t>'</w:t>
        </w:r>
        <w:r w:rsidR="0024224F" w:rsidRPr="003E4841">
          <w:rPr>
            <w:rStyle w:val="Hyperlink"/>
            <w:i/>
            <w:iCs/>
            <w:color w:val="auto"/>
            <w:u w:val="none"/>
            <w:lang w:val="fr-FR"/>
          </w:rPr>
          <w:t>UIT sur le rôle des télécommunications/TIC</w:t>
        </w:r>
        <w:r w:rsidR="00C60E67" w:rsidRPr="003E4841">
          <w:rPr>
            <w:rStyle w:val="Hyperlink"/>
            <w:i/>
            <w:iCs/>
            <w:color w:val="auto"/>
            <w:u w:val="none"/>
            <w:lang w:val="fr-FR"/>
          </w:rPr>
          <w:t xml:space="preserve"> dans la gestion des catastrophes et la réduction des risques de catastrophe à l</w:t>
        </w:r>
        <w:r w:rsidR="002450E8" w:rsidRPr="003E4841">
          <w:rPr>
            <w:rStyle w:val="Hyperlink"/>
            <w:i/>
            <w:iCs/>
            <w:color w:val="auto"/>
            <w:u w:val="none"/>
            <w:lang w:val="fr-FR"/>
          </w:rPr>
          <w:t>'</w:t>
        </w:r>
        <w:r w:rsidR="00C60E67" w:rsidRPr="003E4841">
          <w:rPr>
            <w:rStyle w:val="Hyperlink"/>
            <w:i/>
            <w:iCs/>
            <w:color w:val="auto"/>
            <w:u w:val="none"/>
            <w:lang w:val="fr-FR"/>
          </w:rPr>
          <w:t>intention des États arabes, Riyad (Royaume d</w:t>
        </w:r>
        <w:r w:rsidR="002450E8" w:rsidRPr="003E4841">
          <w:rPr>
            <w:rStyle w:val="Hyperlink"/>
            <w:i/>
            <w:iCs/>
            <w:color w:val="auto"/>
            <w:u w:val="none"/>
            <w:lang w:val="fr-FR"/>
          </w:rPr>
          <w:t>'</w:t>
        </w:r>
        <w:r w:rsidR="00C60E67" w:rsidRPr="003E4841">
          <w:rPr>
            <w:rStyle w:val="Hyperlink"/>
            <w:i/>
            <w:iCs/>
            <w:color w:val="auto"/>
            <w:u w:val="none"/>
            <w:lang w:val="fr-FR"/>
          </w:rPr>
          <w:t>Arabie saoudite), 26-28 novembre 2019</w:t>
        </w:r>
      </w:hyperlink>
      <w:r w:rsidR="00E11E8E" w:rsidRPr="003E4841">
        <w:rPr>
          <w:i/>
          <w:iCs/>
          <w:lang w:val="fr-FR"/>
        </w:rPr>
        <w:t>.</w:t>
      </w:r>
    </w:p>
    <w:p w14:paraId="6B8F7E42" w14:textId="2CA60D34" w:rsidR="005137BF" w:rsidRPr="003E4841" w:rsidRDefault="005137BF" w:rsidP="003E4841">
      <w:pPr>
        <w:pStyle w:val="enumlev1"/>
        <w:rPr>
          <w:rFonts w:eastAsiaTheme="minorEastAsia" w:cstheme="minorBidi"/>
          <w:i/>
          <w:iCs/>
          <w:lang w:val="fr-FR"/>
        </w:rPr>
      </w:pPr>
      <w:r w:rsidRPr="003E4841">
        <w:rPr>
          <w:i/>
          <w:iCs/>
          <w:lang w:val="fr-FR"/>
        </w:rPr>
        <w:t>–</w:t>
      </w:r>
      <w:r w:rsidRPr="003E4841">
        <w:rPr>
          <w:i/>
          <w:iCs/>
          <w:lang w:val="fr-FR"/>
        </w:rPr>
        <w:tab/>
      </w:r>
      <w:hyperlink r:id="rId13" w:history="1">
        <w:r w:rsidR="00C60E67" w:rsidRPr="003E4841">
          <w:rPr>
            <w:rStyle w:val="Hyperlink"/>
            <w:i/>
            <w:iCs/>
            <w:color w:val="auto"/>
            <w:u w:val="none"/>
            <w:lang w:val="fr-FR"/>
          </w:rPr>
          <w:t>Atelier régional de formation de l</w:t>
        </w:r>
        <w:r w:rsidR="002450E8" w:rsidRPr="003E4841">
          <w:rPr>
            <w:rStyle w:val="Hyperlink"/>
            <w:i/>
            <w:iCs/>
            <w:color w:val="auto"/>
            <w:u w:val="none"/>
            <w:lang w:val="fr-FR"/>
          </w:rPr>
          <w:t>'</w:t>
        </w:r>
        <w:r w:rsidR="00C60E67" w:rsidRPr="003E4841">
          <w:rPr>
            <w:rStyle w:val="Hyperlink"/>
            <w:i/>
            <w:iCs/>
            <w:color w:val="auto"/>
            <w:u w:val="none"/>
            <w:lang w:val="fr-FR"/>
          </w:rPr>
          <w:t>UIT sur l</w:t>
        </w:r>
        <w:r w:rsidR="002450E8" w:rsidRPr="003E4841">
          <w:rPr>
            <w:rStyle w:val="Hyperlink"/>
            <w:i/>
            <w:iCs/>
            <w:color w:val="auto"/>
            <w:u w:val="none"/>
            <w:lang w:val="fr-FR"/>
          </w:rPr>
          <w:t>'</w:t>
        </w:r>
        <w:r w:rsidR="00C60E67" w:rsidRPr="003E4841">
          <w:rPr>
            <w:rStyle w:val="Hyperlink"/>
            <w:i/>
            <w:iCs/>
            <w:color w:val="auto"/>
            <w:u w:val="none"/>
            <w:lang w:val="fr-FR"/>
          </w:rPr>
          <w:t>exposition des personnes aux champs électromagnétiques et sur le débit d</w:t>
        </w:r>
        <w:r w:rsidR="002450E8" w:rsidRPr="003E4841">
          <w:rPr>
            <w:rStyle w:val="Hyperlink"/>
            <w:i/>
            <w:iCs/>
            <w:color w:val="auto"/>
            <w:u w:val="none"/>
            <w:lang w:val="fr-FR"/>
          </w:rPr>
          <w:t>'</w:t>
        </w:r>
        <w:r w:rsidR="00C60E67" w:rsidRPr="003E4841">
          <w:rPr>
            <w:rStyle w:val="Hyperlink"/>
            <w:i/>
            <w:iCs/>
            <w:color w:val="auto"/>
            <w:u w:val="none"/>
            <w:lang w:val="fr-FR"/>
          </w:rPr>
          <w:t>absorption spécifique (DAS) à l</w:t>
        </w:r>
        <w:r w:rsidR="002450E8" w:rsidRPr="003E4841">
          <w:rPr>
            <w:rStyle w:val="Hyperlink"/>
            <w:i/>
            <w:iCs/>
            <w:color w:val="auto"/>
            <w:u w:val="none"/>
            <w:lang w:val="fr-FR"/>
          </w:rPr>
          <w:t>'</w:t>
        </w:r>
        <w:r w:rsidR="00C60E67" w:rsidRPr="003E4841">
          <w:rPr>
            <w:rStyle w:val="Hyperlink"/>
            <w:i/>
            <w:iCs/>
            <w:color w:val="auto"/>
            <w:u w:val="none"/>
            <w:lang w:val="fr-FR"/>
          </w:rPr>
          <w:t>intention des États</w:t>
        </w:r>
        <w:r w:rsidR="00432197" w:rsidRPr="003E4841">
          <w:rPr>
            <w:rStyle w:val="Hyperlink"/>
            <w:i/>
            <w:iCs/>
            <w:color w:val="auto"/>
            <w:u w:val="none"/>
            <w:lang w:val="fr-FR"/>
          </w:rPr>
          <w:t> </w:t>
        </w:r>
        <w:r w:rsidR="00C60E67" w:rsidRPr="003E4841">
          <w:rPr>
            <w:rStyle w:val="Hyperlink"/>
            <w:i/>
            <w:iCs/>
            <w:color w:val="auto"/>
            <w:u w:val="none"/>
            <w:lang w:val="fr-FR"/>
          </w:rPr>
          <w:t>arabes, Amman (Jordanie), 2-3 décembre 2019</w:t>
        </w:r>
      </w:hyperlink>
      <w:r w:rsidR="00E11E8E" w:rsidRPr="003E4841">
        <w:rPr>
          <w:i/>
          <w:iCs/>
          <w:lang w:val="fr-FR"/>
        </w:rPr>
        <w:t>.</w:t>
      </w:r>
    </w:p>
    <w:p w14:paraId="7AEB9FEA" w14:textId="3532161C" w:rsidR="005137BF" w:rsidRPr="003E4841" w:rsidRDefault="005137BF" w:rsidP="003E4841">
      <w:pPr>
        <w:pStyle w:val="enumlev1"/>
        <w:rPr>
          <w:rFonts w:eastAsiaTheme="minorEastAsia" w:cstheme="minorBidi"/>
          <w:i/>
          <w:iCs/>
          <w:lang w:val="fr-FR"/>
        </w:rPr>
      </w:pPr>
      <w:r w:rsidRPr="003E4841">
        <w:rPr>
          <w:i/>
          <w:iCs/>
          <w:lang w:val="fr-FR"/>
        </w:rPr>
        <w:t>–</w:t>
      </w:r>
      <w:r w:rsidRPr="003E4841">
        <w:rPr>
          <w:i/>
          <w:iCs/>
          <w:lang w:val="fr-FR"/>
        </w:rPr>
        <w:tab/>
      </w:r>
      <w:hyperlink r:id="rId14" w:history="1">
        <w:r w:rsidR="002A7609" w:rsidRPr="003E4841">
          <w:rPr>
            <w:rStyle w:val="Hyperlink"/>
            <w:i/>
            <w:iCs/>
            <w:color w:val="auto"/>
            <w:u w:val="none"/>
            <w:lang w:val="fr-FR"/>
          </w:rPr>
          <w:t xml:space="preserve">Atelier régional de formation sur les statistiques relatives aux DEEE dans la région des États arabes, Tunis (Tunisie), </w:t>
        </w:r>
        <w:r w:rsidRPr="003E4841">
          <w:rPr>
            <w:rStyle w:val="Hyperlink"/>
            <w:i/>
            <w:iCs/>
            <w:color w:val="auto"/>
            <w:u w:val="none"/>
            <w:lang w:val="fr-FR"/>
          </w:rPr>
          <w:t xml:space="preserve">16-18 </w:t>
        </w:r>
        <w:r w:rsidR="002A7609" w:rsidRPr="003E4841">
          <w:rPr>
            <w:rStyle w:val="Hyperlink"/>
            <w:i/>
            <w:iCs/>
            <w:color w:val="auto"/>
            <w:u w:val="none"/>
            <w:lang w:val="fr-FR"/>
          </w:rPr>
          <w:t>décembre</w:t>
        </w:r>
        <w:r w:rsidRPr="003E4841">
          <w:rPr>
            <w:rStyle w:val="Hyperlink"/>
            <w:i/>
            <w:iCs/>
            <w:color w:val="auto"/>
            <w:u w:val="none"/>
            <w:lang w:val="fr-FR"/>
          </w:rPr>
          <w:t xml:space="preserve"> 2019</w:t>
        </w:r>
        <w:r w:rsidR="002A7609" w:rsidRPr="003E4841">
          <w:rPr>
            <w:rStyle w:val="Hyperlink"/>
            <w:i/>
            <w:iCs/>
            <w:color w:val="auto"/>
            <w:u w:val="none"/>
            <w:lang w:val="fr-FR"/>
          </w:rPr>
          <w:t>.</w:t>
        </w:r>
      </w:hyperlink>
    </w:p>
    <w:p w14:paraId="3C62C12E" w14:textId="4801C100" w:rsidR="005137BF" w:rsidRPr="003E4841" w:rsidRDefault="005137BF" w:rsidP="003E4841">
      <w:pPr>
        <w:pStyle w:val="enumlev1"/>
        <w:rPr>
          <w:i/>
          <w:iCs/>
          <w:lang w:val="fr-FR"/>
        </w:rPr>
      </w:pPr>
      <w:r w:rsidRPr="003E4841">
        <w:rPr>
          <w:i/>
          <w:iCs/>
          <w:lang w:val="fr-FR"/>
        </w:rPr>
        <w:t>–</w:t>
      </w:r>
      <w:r w:rsidRPr="003E4841">
        <w:rPr>
          <w:i/>
          <w:iCs/>
          <w:lang w:val="fr-FR"/>
        </w:rPr>
        <w:tab/>
      </w:r>
      <w:hyperlink r:id="rId15">
        <w:r w:rsidR="00241AA5" w:rsidRPr="003E4841">
          <w:rPr>
            <w:i/>
            <w:iCs/>
            <w:lang w:val="fr-FR"/>
          </w:rPr>
          <w:t>Atelier en ligne de l</w:t>
        </w:r>
        <w:r w:rsidR="002450E8" w:rsidRPr="003E4841">
          <w:rPr>
            <w:i/>
            <w:iCs/>
            <w:lang w:val="fr-FR"/>
          </w:rPr>
          <w:t>'</w:t>
        </w:r>
        <w:r w:rsidR="00241AA5" w:rsidRPr="003E4841">
          <w:rPr>
            <w:i/>
            <w:iCs/>
            <w:lang w:val="fr-FR"/>
          </w:rPr>
          <w:t xml:space="preserve">UIT sur </w:t>
        </w:r>
        <w:r w:rsidR="002A7609" w:rsidRPr="003E4841">
          <w:rPr>
            <w:i/>
            <w:iCs/>
            <w:lang w:val="fr-FR"/>
          </w:rPr>
          <w:t>les exercices théoriques en matière de TIC, le protocole d</w:t>
        </w:r>
        <w:r w:rsidR="002450E8" w:rsidRPr="003E4841">
          <w:rPr>
            <w:i/>
            <w:iCs/>
            <w:lang w:val="fr-FR"/>
          </w:rPr>
          <w:t>'</w:t>
        </w:r>
        <w:r w:rsidR="002A7609" w:rsidRPr="003E4841">
          <w:rPr>
            <w:i/>
            <w:iCs/>
            <w:lang w:val="fr-FR"/>
          </w:rPr>
          <w:t xml:space="preserve">alerte commun (CAP) et la Convention de Tampere sur la gestion des catastrophes dans la région des États arabes, </w:t>
        </w:r>
        <w:r w:rsidRPr="003E4841">
          <w:rPr>
            <w:i/>
            <w:iCs/>
            <w:lang w:val="fr-FR"/>
          </w:rPr>
          <w:t xml:space="preserve">28-29 </w:t>
        </w:r>
        <w:r w:rsidR="002A7609" w:rsidRPr="003E4841">
          <w:rPr>
            <w:i/>
            <w:iCs/>
            <w:lang w:val="fr-FR"/>
          </w:rPr>
          <w:t>octobre</w:t>
        </w:r>
        <w:r w:rsidRPr="003E4841">
          <w:rPr>
            <w:i/>
            <w:iCs/>
            <w:lang w:val="fr-FR"/>
          </w:rPr>
          <w:t xml:space="preserve"> 2020</w:t>
        </w:r>
        <w:r w:rsidR="002A7609" w:rsidRPr="003E4841">
          <w:rPr>
            <w:i/>
            <w:iCs/>
            <w:lang w:val="fr-FR"/>
          </w:rPr>
          <w:t>.</w:t>
        </w:r>
      </w:hyperlink>
    </w:p>
    <w:p w14:paraId="76D7C890" w14:textId="49E53D42" w:rsidR="005137BF" w:rsidRDefault="005137BF" w:rsidP="00780F67">
      <w:pPr>
        <w:pStyle w:val="enumlev1"/>
        <w:spacing w:before="0" w:after="120"/>
        <w:rPr>
          <w:i/>
          <w:iCs/>
          <w:lang w:val="fr-FR"/>
        </w:rPr>
      </w:pPr>
      <w:r w:rsidRPr="003E4841">
        <w:rPr>
          <w:i/>
          <w:iCs/>
          <w:lang w:val="fr-FR"/>
        </w:rPr>
        <w:t>–</w:t>
      </w:r>
      <w:r w:rsidRPr="003E4841">
        <w:rPr>
          <w:i/>
          <w:iCs/>
          <w:lang w:val="fr-FR"/>
        </w:rPr>
        <w:tab/>
      </w:r>
      <w:hyperlink r:id="rId16" w:history="1">
        <w:r w:rsidR="00964AD1" w:rsidRPr="003E4841">
          <w:rPr>
            <w:rStyle w:val="Hyperlink"/>
            <w:i/>
            <w:iCs/>
            <w:color w:val="auto"/>
            <w:u w:val="none"/>
            <w:lang w:val="fr-FR"/>
          </w:rPr>
          <w:t>Atelier conjoint de l</w:t>
        </w:r>
        <w:r w:rsidR="002450E8" w:rsidRPr="003E4841">
          <w:rPr>
            <w:rStyle w:val="Hyperlink"/>
            <w:i/>
            <w:iCs/>
            <w:color w:val="auto"/>
            <w:u w:val="none"/>
            <w:lang w:val="fr-FR"/>
          </w:rPr>
          <w:t>'</w:t>
        </w:r>
        <w:r w:rsidR="00964AD1" w:rsidRPr="003E4841">
          <w:rPr>
            <w:rStyle w:val="Hyperlink"/>
            <w:i/>
            <w:iCs/>
            <w:color w:val="auto"/>
            <w:u w:val="none"/>
            <w:lang w:val="fr-FR"/>
          </w:rPr>
          <w:t>UIT, du PNUE et de l</w:t>
        </w:r>
        <w:r w:rsidR="002450E8" w:rsidRPr="003E4841">
          <w:rPr>
            <w:rStyle w:val="Hyperlink"/>
            <w:i/>
            <w:iCs/>
            <w:color w:val="auto"/>
            <w:u w:val="none"/>
            <w:lang w:val="fr-FR"/>
          </w:rPr>
          <w:t>'</w:t>
        </w:r>
        <w:r w:rsidR="00964AD1" w:rsidRPr="003E4841">
          <w:rPr>
            <w:rStyle w:val="Hyperlink"/>
            <w:i/>
            <w:iCs/>
            <w:color w:val="auto"/>
            <w:u w:val="none"/>
            <w:lang w:val="fr-FR"/>
          </w:rPr>
          <w:t>UNU sur les DEEE et la transition vers une harmonisation régionale des politiques, des réglementati</w:t>
        </w:r>
        <w:r w:rsidR="00643CB4">
          <w:rPr>
            <w:rStyle w:val="Hyperlink"/>
            <w:i/>
            <w:iCs/>
            <w:color w:val="auto"/>
            <w:u w:val="none"/>
            <w:lang w:val="fr-FR"/>
          </w:rPr>
          <w:t>ons et des normes en matière de </w:t>
        </w:r>
        <w:r w:rsidR="00964AD1" w:rsidRPr="003E4841">
          <w:rPr>
            <w:rStyle w:val="Hyperlink"/>
            <w:i/>
            <w:iCs/>
            <w:color w:val="auto"/>
            <w:u w:val="none"/>
            <w:lang w:val="fr-FR"/>
          </w:rPr>
          <w:t>DEEE dans les États arabes, 2-3 décembre 2020</w:t>
        </w:r>
      </w:hyperlink>
      <w:r w:rsidR="00964AD1" w:rsidRPr="003E4841">
        <w:rPr>
          <w:i/>
          <w:iCs/>
          <w:lang w:val="fr-FR"/>
        </w:rPr>
        <w:t>.</w:t>
      </w:r>
    </w:p>
    <w:tbl>
      <w:tblPr>
        <w:tblStyle w:val="TableGrid"/>
        <w:tblW w:w="0" w:type="auto"/>
        <w:shd w:val="clear" w:color="auto" w:fill="8EAADB" w:themeFill="accent5" w:themeFillTint="99"/>
        <w:tblLook w:val="04A0" w:firstRow="1" w:lastRow="0" w:firstColumn="1" w:lastColumn="0" w:noHBand="0" w:noVBand="1"/>
      </w:tblPr>
      <w:tblGrid>
        <w:gridCol w:w="9631"/>
      </w:tblGrid>
      <w:tr w:rsidR="00780F67" w:rsidRPr="00E30FF2" w14:paraId="0EEF00C4" w14:textId="77777777" w:rsidTr="00780F67">
        <w:tc>
          <w:tcPr>
            <w:tcW w:w="9631" w:type="dxa"/>
            <w:shd w:val="clear" w:color="auto" w:fill="8EAADB" w:themeFill="accent5" w:themeFillTint="99"/>
          </w:tcPr>
          <w:p w14:paraId="584CA1FB" w14:textId="4DC73AFB" w:rsidR="00780F67" w:rsidRDefault="00780F67" w:rsidP="00780F67">
            <w:pPr>
              <w:spacing w:after="120"/>
              <w:rPr>
                <w:lang w:val="fr-FR"/>
              </w:rPr>
            </w:pPr>
            <w:r w:rsidRPr="00780F67">
              <w:rPr>
                <w:b/>
                <w:bCs/>
                <w:iCs/>
                <w:lang w:val="fr-FR"/>
              </w:rPr>
              <w:t>Différents modèles de cadres stratégiques et réglementaires ainsi que des rapports thématiques ont été élaborés concernant les DEEE, les champs électromagnétiques et les télécommunications d'urgence. Une assistance directe a également été fournie à plusieurs pays les moins avancés (PMA) de la région des États arabes</w:t>
            </w:r>
          </w:p>
        </w:tc>
      </w:tr>
    </w:tbl>
    <w:p w14:paraId="52F6670B" w14:textId="1F5AD376" w:rsidR="005137BF" w:rsidRPr="003E4841" w:rsidRDefault="005137BF" w:rsidP="00643CB4">
      <w:pPr>
        <w:pStyle w:val="enumlev1"/>
        <w:spacing w:before="120"/>
        <w:rPr>
          <w:i/>
          <w:iCs/>
          <w:lang w:val="fr-FR"/>
        </w:rPr>
      </w:pPr>
      <w:r w:rsidRPr="003E4841">
        <w:rPr>
          <w:i/>
          <w:iCs/>
          <w:lang w:val="fr-FR"/>
        </w:rPr>
        <w:t>–</w:t>
      </w:r>
      <w:r w:rsidRPr="003E4841">
        <w:rPr>
          <w:i/>
          <w:iCs/>
          <w:lang w:val="fr-FR"/>
        </w:rPr>
        <w:tab/>
      </w:r>
      <w:r w:rsidR="00964AD1" w:rsidRPr="003E4841">
        <w:rPr>
          <w:i/>
          <w:iCs/>
          <w:lang w:val="fr-FR"/>
        </w:rPr>
        <w:t>Rapport sur le suivi régional des DEEE dans la région des États arabes.</w:t>
      </w:r>
    </w:p>
    <w:p w14:paraId="7C908820" w14:textId="2A5E1C14" w:rsidR="005137BF" w:rsidRPr="003E4841" w:rsidRDefault="005137BF" w:rsidP="003E4841">
      <w:pPr>
        <w:pStyle w:val="enumlev1"/>
        <w:rPr>
          <w:i/>
          <w:iCs/>
          <w:lang w:val="fr-FR"/>
        </w:rPr>
      </w:pPr>
      <w:r w:rsidRPr="003E4841">
        <w:rPr>
          <w:i/>
          <w:iCs/>
          <w:lang w:val="fr-FR"/>
        </w:rPr>
        <w:t>–</w:t>
      </w:r>
      <w:r w:rsidRPr="003E4841">
        <w:rPr>
          <w:i/>
          <w:iCs/>
          <w:lang w:val="fr-FR"/>
        </w:rPr>
        <w:tab/>
      </w:r>
      <w:r w:rsidR="00D540CE" w:rsidRPr="003E4841">
        <w:rPr>
          <w:i/>
          <w:iCs/>
          <w:lang w:val="fr-FR"/>
        </w:rPr>
        <w:t>Modèle de cadre stratégique et réglementaire sur l</w:t>
      </w:r>
      <w:r w:rsidR="002450E8" w:rsidRPr="003E4841">
        <w:rPr>
          <w:i/>
          <w:iCs/>
          <w:lang w:val="fr-FR"/>
        </w:rPr>
        <w:t>'</w:t>
      </w:r>
      <w:r w:rsidR="00D540CE" w:rsidRPr="003E4841">
        <w:rPr>
          <w:i/>
          <w:iCs/>
          <w:lang w:val="fr-FR"/>
        </w:rPr>
        <w:t xml:space="preserve">utilisation des TIC à des fins de </w:t>
      </w:r>
      <w:r w:rsidR="00174D26" w:rsidRPr="003E4841">
        <w:rPr>
          <w:i/>
          <w:iCs/>
          <w:lang w:val="fr-FR"/>
        </w:rPr>
        <w:t>réduction</w:t>
      </w:r>
      <w:r w:rsidR="00D540CE" w:rsidRPr="003E4841">
        <w:rPr>
          <w:i/>
          <w:iCs/>
          <w:lang w:val="fr-FR"/>
        </w:rPr>
        <w:t xml:space="preserve"> des</w:t>
      </w:r>
      <w:r w:rsidR="00174D26" w:rsidRPr="003E4841">
        <w:rPr>
          <w:i/>
          <w:iCs/>
          <w:lang w:val="fr-FR"/>
        </w:rPr>
        <w:t xml:space="preserve"> risques de catastrophe</w:t>
      </w:r>
      <w:r w:rsidR="00D540CE" w:rsidRPr="003E4841">
        <w:rPr>
          <w:i/>
          <w:iCs/>
          <w:lang w:val="fr-FR"/>
        </w:rPr>
        <w:t xml:space="preserve"> dans la région des États arabes.</w:t>
      </w:r>
      <w:r w:rsidRPr="003E4841">
        <w:rPr>
          <w:i/>
          <w:iCs/>
          <w:lang w:val="fr-FR"/>
        </w:rPr>
        <w:t xml:space="preserve"> </w:t>
      </w:r>
    </w:p>
    <w:p w14:paraId="4FC33D31" w14:textId="4182C28C" w:rsidR="005137BF" w:rsidRPr="003E4841" w:rsidRDefault="005137BF" w:rsidP="003E4841">
      <w:pPr>
        <w:pStyle w:val="enumlev1"/>
        <w:rPr>
          <w:rFonts w:eastAsiaTheme="minorEastAsia"/>
          <w:i/>
          <w:iCs/>
          <w:szCs w:val="24"/>
          <w:lang w:val="fr-FR"/>
        </w:rPr>
      </w:pPr>
      <w:r w:rsidRPr="003E4841">
        <w:rPr>
          <w:i/>
          <w:iCs/>
          <w:lang w:val="fr-FR"/>
        </w:rPr>
        <w:t>–</w:t>
      </w:r>
      <w:r w:rsidRPr="003E4841">
        <w:rPr>
          <w:i/>
          <w:iCs/>
          <w:lang w:val="fr-FR"/>
        </w:rPr>
        <w:tab/>
      </w:r>
      <w:r w:rsidR="00D540CE" w:rsidRPr="003E4841">
        <w:rPr>
          <w:i/>
          <w:iCs/>
          <w:lang w:val="fr-FR"/>
        </w:rPr>
        <w:t>Plan national pour les télécommunications d</w:t>
      </w:r>
      <w:r w:rsidR="002450E8" w:rsidRPr="003E4841">
        <w:rPr>
          <w:i/>
          <w:iCs/>
          <w:lang w:val="fr-FR"/>
        </w:rPr>
        <w:t>'</w:t>
      </w:r>
      <w:r w:rsidR="00D540CE" w:rsidRPr="003E4841">
        <w:rPr>
          <w:i/>
          <w:iCs/>
          <w:lang w:val="fr-FR"/>
        </w:rPr>
        <w:t>urgence à l</w:t>
      </w:r>
      <w:r w:rsidR="002450E8" w:rsidRPr="003E4841">
        <w:rPr>
          <w:i/>
          <w:iCs/>
          <w:lang w:val="fr-FR"/>
        </w:rPr>
        <w:t>'</w:t>
      </w:r>
      <w:r w:rsidR="00D540CE" w:rsidRPr="003E4841">
        <w:rPr>
          <w:i/>
          <w:iCs/>
          <w:lang w:val="fr-FR"/>
        </w:rPr>
        <w:t>intention de la Somalie et du Soudan.</w:t>
      </w:r>
    </w:p>
    <w:p w14:paraId="100F6D86" w14:textId="341E4B92" w:rsidR="005137BF" w:rsidRPr="003E4841" w:rsidRDefault="005137BF" w:rsidP="003E4841">
      <w:pPr>
        <w:pStyle w:val="enumlev1"/>
        <w:rPr>
          <w:rFonts w:eastAsiaTheme="minorEastAsia"/>
          <w:i/>
          <w:iCs/>
          <w:szCs w:val="24"/>
          <w:lang w:val="fr-FR"/>
        </w:rPr>
      </w:pPr>
      <w:r w:rsidRPr="003E4841">
        <w:rPr>
          <w:i/>
          <w:iCs/>
          <w:lang w:val="fr-FR"/>
        </w:rPr>
        <w:t>–</w:t>
      </w:r>
      <w:r w:rsidRPr="003E4841">
        <w:rPr>
          <w:i/>
          <w:iCs/>
          <w:lang w:val="fr-FR"/>
        </w:rPr>
        <w:tab/>
      </w:r>
      <w:r w:rsidR="00D540CE" w:rsidRPr="003E4841">
        <w:rPr>
          <w:i/>
          <w:iCs/>
          <w:lang w:val="fr-FR"/>
        </w:rPr>
        <w:t>Rapport d</w:t>
      </w:r>
      <w:r w:rsidR="002450E8" w:rsidRPr="003E4841">
        <w:rPr>
          <w:i/>
          <w:iCs/>
          <w:lang w:val="fr-FR"/>
        </w:rPr>
        <w:t>'</w:t>
      </w:r>
      <w:r w:rsidR="00D540CE" w:rsidRPr="003E4841">
        <w:rPr>
          <w:i/>
          <w:iCs/>
          <w:lang w:val="fr-FR"/>
        </w:rPr>
        <w:t>analyse détaillé sur la législation et les statistiques relatives aux DEEE dans certains États arabes.</w:t>
      </w:r>
    </w:p>
    <w:p w14:paraId="06452B42" w14:textId="31675D50" w:rsidR="005137BF" w:rsidRPr="003E4841" w:rsidRDefault="005137BF" w:rsidP="003E4841">
      <w:pPr>
        <w:pStyle w:val="enumlev1"/>
        <w:rPr>
          <w:i/>
          <w:iCs/>
          <w:szCs w:val="24"/>
          <w:lang w:val="fr-FR"/>
        </w:rPr>
      </w:pPr>
      <w:r w:rsidRPr="003E4841">
        <w:rPr>
          <w:i/>
          <w:iCs/>
          <w:lang w:val="fr-FR"/>
        </w:rPr>
        <w:t>–</w:t>
      </w:r>
      <w:r w:rsidRPr="003E4841">
        <w:rPr>
          <w:i/>
          <w:iCs/>
          <w:lang w:val="fr-FR"/>
        </w:rPr>
        <w:tab/>
      </w:r>
      <w:r w:rsidR="007A591E" w:rsidRPr="003E4841">
        <w:rPr>
          <w:i/>
          <w:iCs/>
          <w:lang w:val="fr-FR"/>
        </w:rPr>
        <w:t>Rapport bilan pilote concernant 2 PMA arabes (Mauritanie et Soudan).</w:t>
      </w:r>
    </w:p>
    <w:p w14:paraId="538F69B7" w14:textId="146F5C7C" w:rsidR="00D431C8" w:rsidRPr="003E4841" w:rsidRDefault="00D431C8" w:rsidP="003E4841">
      <w:pPr>
        <w:pStyle w:val="Headingb"/>
        <w:rPr>
          <w:lang w:val="fr-FR"/>
        </w:rPr>
      </w:pPr>
      <w:bookmarkStart w:id="0" w:name="_Toc496877167"/>
      <w:r w:rsidRPr="003E4841">
        <w:rPr>
          <w:lang w:val="fr-FR"/>
        </w:rPr>
        <w:t>ARB2:</w:t>
      </w:r>
      <w:r w:rsidR="00CB1208" w:rsidRPr="003E4841">
        <w:rPr>
          <w:lang w:val="fr-FR"/>
        </w:rPr>
        <w:t xml:space="preserve"> </w:t>
      </w:r>
      <w:r w:rsidRPr="003E4841">
        <w:rPr>
          <w:lang w:val="fr-FR"/>
        </w:rPr>
        <w:t>Confiance et sécurité dans l'utilisation des télécommunications/</w:t>
      </w:r>
      <w:bookmarkEnd w:id="0"/>
      <w:r w:rsidRPr="003E4841">
        <w:rPr>
          <w:lang w:val="fr-FR"/>
        </w:rPr>
        <w:t>technologies de l'information et de la communication</w:t>
      </w:r>
    </w:p>
    <w:p w14:paraId="4611DC67" w14:textId="5C004E2F" w:rsidR="00D431C8" w:rsidRPr="003E4841" w:rsidRDefault="00D431C8" w:rsidP="003E4841">
      <w:pPr>
        <w:rPr>
          <w:szCs w:val="24"/>
          <w:lang w:val="fr-FR"/>
        </w:rPr>
      </w:pPr>
      <w:r w:rsidRPr="003E4841">
        <w:rPr>
          <w:b/>
          <w:lang w:val="fr-FR"/>
        </w:rPr>
        <w:t>Objectif</w:t>
      </w:r>
      <w:r w:rsidRPr="003E4841">
        <w:rPr>
          <w:bCs/>
          <w:lang w:val="fr-FR"/>
        </w:rPr>
        <w:t xml:space="preserve">: </w:t>
      </w:r>
      <w:r w:rsidRPr="003E4841">
        <w:rPr>
          <w:lang w:val="fr-FR"/>
        </w:rPr>
        <w:t xml:space="preserve">Renforcer la confiance et la sécurité dans l'utilisation des </w:t>
      </w:r>
      <w:r w:rsidR="009D05A8" w:rsidRPr="003E4841">
        <w:rPr>
          <w:lang w:val="fr-FR"/>
        </w:rPr>
        <w:t>TIC</w:t>
      </w:r>
      <w:r w:rsidRPr="003E4841">
        <w:rPr>
          <w:lang w:val="fr-FR"/>
        </w:rPr>
        <w:t>, encourager la protection en ligne des enfants et lutter contre les cybermenaces sous toutes leurs formes, y compris l'utilisation abusive des télécommunications/TIC.</w:t>
      </w:r>
    </w:p>
    <w:p w14:paraId="7C57B128" w14:textId="5392BC8E" w:rsidR="00D431C8" w:rsidRPr="003E4841" w:rsidRDefault="00D431C8" w:rsidP="003E4841">
      <w:pPr>
        <w:rPr>
          <w:szCs w:val="24"/>
          <w:lang w:val="fr-FR"/>
        </w:rPr>
      </w:pPr>
      <w:r w:rsidRPr="003E4841">
        <w:rPr>
          <w:lang w:val="fr-FR"/>
        </w:rPr>
        <w:t>Pour atteindre les résultats attendus des initiatives régionales de l'UIT, différentes activités ont été menées au cours de la période 2018-2020 pour renforcer les capacités des Membres dans les domaines suivants:</w:t>
      </w:r>
    </w:p>
    <w:p w14:paraId="420B2BAB" w14:textId="5F136BF4" w:rsidR="00D431C8" w:rsidRPr="003E4841" w:rsidRDefault="00D431C8" w:rsidP="003E4841">
      <w:pPr>
        <w:pStyle w:val="enumlev1"/>
        <w:rPr>
          <w:lang w:val="fr-FR"/>
        </w:rPr>
      </w:pPr>
      <w:r w:rsidRPr="003E4841">
        <w:rPr>
          <w:lang w:val="fr-FR"/>
        </w:rPr>
        <w:t>–</w:t>
      </w:r>
      <w:r w:rsidRPr="003E4841">
        <w:rPr>
          <w:lang w:val="fr-FR"/>
        </w:rPr>
        <w:tab/>
      </w:r>
      <w:r w:rsidR="007A591E" w:rsidRPr="003E4841">
        <w:rPr>
          <w:lang w:val="fr-FR"/>
        </w:rPr>
        <w:t>Cybersécurité.</w:t>
      </w:r>
    </w:p>
    <w:p w14:paraId="41971E5B" w14:textId="48A9A915" w:rsidR="00D431C8" w:rsidRPr="003E4841" w:rsidRDefault="00D431C8" w:rsidP="003E4841">
      <w:pPr>
        <w:pStyle w:val="enumlev1"/>
        <w:rPr>
          <w:rFonts w:asciiTheme="minorBidi" w:eastAsiaTheme="minorBidi" w:hAnsiTheme="minorBidi"/>
          <w:szCs w:val="24"/>
          <w:lang w:val="fr-FR"/>
        </w:rPr>
      </w:pPr>
      <w:r w:rsidRPr="003E4841">
        <w:rPr>
          <w:szCs w:val="24"/>
          <w:lang w:val="fr-FR"/>
        </w:rPr>
        <w:t>–</w:t>
      </w:r>
      <w:r w:rsidRPr="003E4841">
        <w:rPr>
          <w:szCs w:val="24"/>
          <w:lang w:val="fr-FR"/>
        </w:rPr>
        <w:tab/>
      </w:r>
      <w:r w:rsidR="007A591E" w:rsidRPr="003E4841">
        <w:rPr>
          <w:szCs w:val="24"/>
          <w:lang w:val="fr-FR"/>
        </w:rPr>
        <w:t>Lignes directrices en matière de politique, cadres techniques et réglementaires.</w:t>
      </w:r>
    </w:p>
    <w:p w14:paraId="5D745DBA" w14:textId="523F907A" w:rsidR="00D431C8" w:rsidRPr="003E4841" w:rsidRDefault="00D431C8" w:rsidP="003E4841">
      <w:pPr>
        <w:pStyle w:val="enumlev1"/>
        <w:rPr>
          <w:lang w:val="fr-FR"/>
        </w:rPr>
      </w:pPr>
      <w:r w:rsidRPr="003E4841">
        <w:rPr>
          <w:lang w:val="fr-FR"/>
        </w:rPr>
        <w:t>–</w:t>
      </w:r>
      <w:r w:rsidRPr="003E4841">
        <w:rPr>
          <w:lang w:val="fr-FR"/>
        </w:rPr>
        <w:tab/>
      </w:r>
      <w:r w:rsidR="007A591E" w:rsidRPr="003E4841">
        <w:rPr>
          <w:lang w:val="fr-FR"/>
        </w:rPr>
        <w:t>Protection en ligne des enfants.</w:t>
      </w:r>
      <w:r w:rsidRPr="003E4841">
        <w:rPr>
          <w:lang w:val="fr-FR"/>
        </w:rPr>
        <w:t xml:space="preserve"> </w:t>
      </w:r>
    </w:p>
    <w:p w14:paraId="543C8C26" w14:textId="0824F7EE" w:rsidR="00D431C8" w:rsidRPr="003E4841" w:rsidRDefault="00D431C8" w:rsidP="003E4841">
      <w:pPr>
        <w:pStyle w:val="enumlev1"/>
        <w:rPr>
          <w:lang w:val="fr-FR"/>
        </w:rPr>
      </w:pPr>
      <w:r w:rsidRPr="003E4841">
        <w:rPr>
          <w:lang w:val="fr-FR"/>
        </w:rPr>
        <w:t>–</w:t>
      </w:r>
      <w:r w:rsidRPr="003E4841">
        <w:rPr>
          <w:lang w:val="fr-FR"/>
        </w:rPr>
        <w:tab/>
      </w:r>
      <w:r w:rsidR="007A591E" w:rsidRPr="003E4841">
        <w:rPr>
          <w:lang w:val="fr-FR"/>
        </w:rPr>
        <w:t>Renforcement des capacités.</w:t>
      </w:r>
    </w:p>
    <w:p w14:paraId="31D97701" w14:textId="7B62D0F5" w:rsidR="00D431C8" w:rsidRPr="003E4841" w:rsidRDefault="00D431C8" w:rsidP="003E4841">
      <w:pPr>
        <w:pStyle w:val="enumlev1"/>
        <w:rPr>
          <w:lang w:val="fr-FR"/>
        </w:rPr>
      </w:pPr>
      <w:r w:rsidRPr="003E4841">
        <w:rPr>
          <w:lang w:val="fr-FR"/>
        </w:rPr>
        <w:t>–</w:t>
      </w:r>
      <w:r w:rsidRPr="003E4841">
        <w:rPr>
          <w:lang w:val="fr-FR"/>
        </w:rPr>
        <w:tab/>
      </w:r>
      <w:r w:rsidR="008A70C7" w:rsidRPr="003E4841">
        <w:rPr>
          <w:lang w:val="fr-FR"/>
        </w:rPr>
        <w:t>Capacités dans le domaine des équipes CIRT</w:t>
      </w:r>
      <w:r w:rsidRPr="003E4841">
        <w:rPr>
          <w:lang w:val="fr-FR"/>
        </w:rPr>
        <w:t>.</w:t>
      </w:r>
    </w:p>
    <w:p w14:paraId="30589C53" w14:textId="6AE1B4E3" w:rsidR="00D431C8" w:rsidRDefault="00D431C8" w:rsidP="005E6542">
      <w:pPr>
        <w:spacing w:after="80"/>
        <w:rPr>
          <w:lang w:val="fr-FR"/>
        </w:rPr>
      </w:pPr>
      <w:r w:rsidRPr="003E4841">
        <w:rPr>
          <w:b/>
          <w:bCs/>
          <w:lang w:val="fr-FR"/>
        </w:rPr>
        <w:t>IMPACT</w:t>
      </w:r>
      <w:r w:rsidRPr="003E4841">
        <w:rPr>
          <w:lang w:val="fr-FR"/>
        </w:rPr>
        <w:t>: Cett</w:t>
      </w:r>
      <w:r w:rsidR="00196774" w:rsidRPr="003E4841">
        <w:rPr>
          <w:lang w:val="fr-FR"/>
        </w:rPr>
        <w:t xml:space="preserve">e initiative régionale de l'UIT </w:t>
      </w:r>
      <w:r w:rsidRPr="003E4841">
        <w:rPr>
          <w:lang w:val="fr-FR"/>
        </w:rPr>
        <w:t>a permis de renforcer le</w:t>
      </w:r>
      <w:r w:rsidR="00643CB4">
        <w:rPr>
          <w:lang w:val="fr-FR"/>
        </w:rPr>
        <w:t>s capacités humaines de plus de </w:t>
      </w:r>
      <w:r w:rsidR="00851B5C" w:rsidRPr="003E4841">
        <w:rPr>
          <w:lang w:val="fr-FR"/>
        </w:rPr>
        <w:t xml:space="preserve">700 </w:t>
      </w:r>
      <w:r w:rsidRPr="003E4841">
        <w:rPr>
          <w:lang w:val="fr-FR"/>
        </w:rPr>
        <w:t xml:space="preserve">parties prenantes de plus de </w:t>
      </w:r>
      <w:r w:rsidR="00851B5C" w:rsidRPr="003E4841">
        <w:rPr>
          <w:lang w:val="fr-FR"/>
        </w:rPr>
        <w:t>22</w:t>
      </w:r>
      <w:r w:rsidRPr="003E4841">
        <w:rPr>
          <w:lang w:val="fr-FR"/>
        </w:rPr>
        <w:t xml:space="preserve"> pays. </w:t>
      </w:r>
      <w:r w:rsidR="00196774" w:rsidRPr="003E4841">
        <w:rPr>
          <w:lang w:val="fr-FR"/>
        </w:rPr>
        <w:t>Un projet d</w:t>
      </w:r>
      <w:r w:rsidR="002450E8" w:rsidRPr="003E4841">
        <w:rPr>
          <w:lang w:val="fr-FR"/>
        </w:rPr>
        <w:t>'</w:t>
      </w:r>
      <w:r w:rsidR="00196774" w:rsidRPr="003E4841">
        <w:rPr>
          <w:lang w:val="fr-FR"/>
        </w:rPr>
        <w:t xml:space="preserve">envergure mondiale intitulé </w:t>
      </w:r>
      <w:r w:rsidR="002450E8" w:rsidRPr="003E4841">
        <w:rPr>
          <w:lang w:val="fr-FR"/>
        </w:rPr>
        <w:t>"</w:t>
      </w:r>
      <w:r w:rsidR="00196774" w:rsidRPr="003E4841">
        <w:rPr>
          <w:lang w:val="fr-FR"/>
        </w:rPr>
        <w:t>Créer un cyberespace sain et sécurisé au profit des enfants</w:t>
      </w:r>
      <w:r w:rsidR="00432197" w:rsidRPr="003E4841">
        <w:rPr>
          <w:lang w:val="fr-FR"/>
        </w:rPr>
        <w:t>"</w:t>
      </w:r>
      <w:r w:rsidR="00196774" w:rsidRPr="003E4841">
        <w:rPr>
          <w:lang w:val="fr-FR"/>
        </w:rPr>
        <w:t xml:space="preserve"> a été lancé fin 2020. </w:t>
      </w:r>
      <w:r w:rsidR="00A0276B" w:rsidRPr="003E4841">
        <w:rPr>
          <w:lang w:val="fr-FR"/>
        </w:rPr>
        <w:t xml:space="preserve">Les relations avec les principales institutions régionales s'occupant </w:t>
      </w:r>
      <w:r w:rsidR="00196774" w:rsidRPr="003E4841">
        <w:rPr>
          <w:lang w:val="fr-FR"/>
        </w:rPr>
        <w:t>de la cybersécurité et de la sécurité des enfants sur l</w:t>
      </w:r>
      <w:r w:rsidR="002450E8" w:rsidRPr="003E4841">
        <w:rPr>
          <w:lang w:val="fr-FR"/>
        </w:rPr>
        <w:t>'</w:t>
      </w:r>
      <w:r w:rsidR="00196774" w:rsidRPr="003E4841">
        <w:rPr>
          <w:lang w:val="fr-FR"/>
        </w:rPr>
        <w:t>Internet</w:t>
      </w:r>
      <w:r w:rsidR="00A0276B" w:rsidRPr="003E4841">
        <w:rPr>
          <w:lang w:val="fr-FR"/>
        </w:rPr>
        <w:t xml:space="preserve"> ont été renforcées et des cadres de coopération ont été mis en place, notamment avec </w:t>
      </w:r>
      <w:r w:rsidR="002A119E" w:rsidRPr="003E4841">
        <w:rPr>
          <w:lang w:val="fr-FR"/>
        </w:rPr>
        <w:t>Meem Ain, la NCA et la NAUSS</w:t>
      </w:r>
      <w:r w:rsidR="00A0276B" w:rsidRPr="003E4841">
        <w:rPr>
          <w:lang w:val="fr-FR"/>
        </w:rPr>
        <w:t xml:space="preserve">. Quatre pays ont bénéficié d'une assistance technique directe et ont pu progresser dans la réalisation de leurs objectifs nationaux grâce à l'appui de l'UIT. </w:t>
      </w:r>
      <w:r w:rsidR="002A119E" w:rsidRPr="003E4841">
        <w:rPr>
          <w:lang w:val="fr-FR"/>
        </w:rPr>
        <w:t>Quatre</w:t>
      </w:r>
      <w:r w:rsidR="00432197" w:rsidRPr="003E4841">
        <w:rPr>
          <w:lang w:val="fr-FR"/>
        </w:rPr>
        <w:t> </w:t>
      </w:r>
      <w:r w:rsidR="002A119E" w:rsidRPr="003E4841">
        <w:rPr>
          <w:lang w:val="fr-FR"/>
        </w:rPr>
        <w:t>pays ont accueilli des activités et des ateliers de l</w:t>
      </w:r>
      <w:r w:rsidR="002450E8" w:rsidRPr="003E4841">
        <w:rPr>
          <w:lang w:val="fr-FR"/>
        </w:rPr>
        <w:t>'</w:t>
      </w:r>
      <w:r w:rsidR="002A119E" w:rsidRPr="003E4841">
        <w:rPr>
          <w:lang w:val="fr-FR"/>
        </w:rPr>
        <w:t xml:space="preserve">UIT; le renforcement des capacités et les activités de sensibilisation ont touché plus de 700 participants. </w:t>
      </w:r>
      <w:r w:rsidR="002A38A6" w:rsidRPr="003E4841">
        <w:rPr>
          <w:lang w:val="fr-FR"/>
        </w:rPr>
        <w:t>Quatre rapports ont été élaborés et ont permis de renforcer la confiance et la sécurité dans l</w:t>
      </w:r>
      <w:r w:rsidR="002450E8" w:rsidRPr="003E4841">
        <w:rPr>
          <w:lang w:val="fr-FR"/>
        </w:rPr>
        <w:t>'</w:t>
      </w:r>
      <w:r w:rsidR="002A38A6" w:rsidRPr="003E4841">
        <w:rPr>
          <w:lang w:val="fr-FR"/>
        </w:rPr>
        <w:t>utilisation des télécommunications/TIC.</w:t>
      </w:r>
    </w:p>
    <w:tbl>
      <w:tblPr>
        <w:tblStyle w:val="TableGrid"/>
        <w:tblW w:w="0" w:type="auto"/>
        <w:shd w:val="clear" w:color="auto" w:fill="8EAADB" w:themeFill="accent5" w:themeFillTint="99"/>
        <w:tblLook w:val="04A0" w:firstRow="1" w:lastRow="0" w:firstColumn="1" w:lastColumn="0" w:noHBand="0" w:noVBand="1"/>
      </w:tblPr>
      <w:tblGrid>
        <w:gridCol w:w="9631"/>
      </w:tblGrid>
      <w:tr w:rsidR="00780F67" w:rsidRPr="00E30FF2" w14:paraId="2829FF58" w14:textId="77777777" w:rsidTr="00780F67">
        <w:tc>
          <w:tcPr>
            <w:tcW w:w="9631" w:type="dxa"/>
            <w:shd w:val="clear" w:color="auto" w:fill="8EAADB" w:themeFill="accent5" w:themeFillTint="99"/>
          </w:tcPr>
          <w:p w14:paraId="5A0C6275" w14:textId="0042A0E6" w:rsidR="00780F67" w:rsidRDefault="00780F67" w:rsidP="00780F67">
            <w:pPr>
              <w:spacing w:after="120"/>
              <w:rPr>
                <w:lang w:val="fr-FR"/>
              </w:rPr>
            </w:pPr>
            <w:r w:rsidRPr="00780F67">
              <w:rPr>
                <w:b/>
                <w:bCs/>
                <w:iCs/>
                <w:lang w:val="fr-FR"/>
              </w:rPr>
              <w:t>Différentes activités ont été menées pour renforcer les capacités des Membres de l'UIT concernant le renforcement de la confiance et de la sécurité dans l'utilisation des télécommunications/technologies de l'information et de la communication</w:t>
            </w:r>
          </w:p>
        </w:tc>
      </w:tr>
    </w:tbl>
    <w:p w14:paraId="05EF3982" w14:textId="178D5A38" w:rsidR="00A0276B" w:rsidRPr="003E4841" w:rsidRDefault="00A0276B" w:rsidP="005E6542">
      <w:pPr>
        <w:pStyle w:val="enumlev1"/>
        <w:rPr>
          <w:rFonts w:eastAsiaTheme="minorEastAsia" w:cstheme="minorBidi"/>
          <w:i/>
          <w:iCs/>
          <w:lang w:val="fr-FR"/>
        </w:rPr>
      </w:pPr>
      <w:r w:rsidRPr="003E4841">
        <w:rPr>
          <w:rFonts w:eastAsia="Calibri"/>
          <w:i/>
          <w:iCs/>
          <w:lang w:val="fr-FR"/>
        </w:rPr>
        <w:t>–</w:t>
      </w:r>
      <w:r w:rsidRPr="003E4841">
        <w:rPr>
          <w:rFonts w:eastAsia="Calibri"/>
          <w:i/>
          <w:iCs/>
          <w:lang w:val="fr-FR"/>
        </w:rPr>
        <w:tab/>
      </w:r>
      <w:r w:rsidR="00B62754" w:rsidRPr="003E4841">
        <w:rPr>
          <w:rFonts w:eastAsia="Calibri"/>
          <w:i/>
          <w:iCs/>
          <w:lang w:val="fr-FR"/>
        </w:rPr>
        <w:t>Atelier régional de l</w:t>
      </w:r>
      <w:r w:rsidR="002450E8" w:rsidRPr="003E4841">
        <w:rPr>
          <w:rFonts w:eastAsia="Calibri"/>
          <w:i/>
          <w:iCs/>
          <w:lang w:val="fr-FR"/>
        </w:rPr>
        <w:t>'</w:t>
      </w:r>
      <w:r w:rsidR="00B62754" w:rsidRPr="003E4841">
        <w:rPr>
          <w:rFonts w:eastAsia="Calibri"/>
          <w:i/>
          <w:iCs/>
          <w:lang w:val="fr-FR"/>
        </w:rPr>
        <w:t xml:space="preserve">UIT sur le thème </w:t>
      </w:r>
      <w:r w:rsidR="002450E8" w:rsidRPr="003E4841">
        <w:rPr>
          <w:rFonts w:eastAsia="Calibri"/>
          <w:i/>
          <w:iCs/>
          <w:lang w:val="fr-FR"/>
        </w:rPr>
        <w:t>"</w:t>
      </w:r>
      <w:r w:rsidR="00B62754" w:rsidRPr="003E4841">
        <w:rPr>
          <w:rFonts w:eastAsia="Calibri"/>
          <w:i/>
          <w:iCs/>
          <w:lang w:val="fr-FR"/>
        </w:rPr>
        <w:t>Sécuriser l'infrastructure essentielle du secteur financier</w:t>
      </w:r>
      <w:r w:rsidR="002450E8" w:rsidRPr="003E4841">
        <w:rPr>
          <w:rFonts w:eastAsia="Calibri"/>
          <w:i/>
          <w:iCs/>
          <w:lang w:val="fr-FR"/>
        </w:rPr>
        <w:t>"</w:t>
      </w:r>
      <w:r w:rsidR="00B62754" w:rsidRPr="003E4841">
        <w:rPr>
          <w:rFonts w:eastAsia="Calibri"/>
          <w:i/>
          <w:iCs/>
          <w:lang w:val="fr-FR"/>
        </w:rPr>
        <w:t>, Le Caire, 14-15 octobre 2018.</w:t>
      </w:r>
    </w:p>
    <w:p w14:paraId="153F8CF4" w14:textId="6DF09778" w:rsidR="000970BD" w:rsidRPr="003E4841" w:rsidRDefault="00A0276B" w:rsidP="003E4841">
      <w:pPr>
        <w:pStyle w:val="enumlev1"/>
        <w:rPr>
          <w:i/>
          <w:iCs/>
          <w:lang w:val="fr-FR"/>
        </w:rPr>
      </w:pPr>
      <w:r w:rsidRPr="003E4841">
        <w:rPr>
          <w:i/>
          <w:iCs/>
          <w:lang w:val="fr-FR"/>
        </w:rPr>
        <w:t>–</w:t>
      </w:r>
      <w:r w:rsidRPr="003E4841">
        <w:rPr>
          <w:i/>
          <w:iCs/>
          <w:lang w:val="fr-FR"/>
        </w:rPr>
        <w:tab/>
      </w:r>
      <w:r w:rsidR="000970BD" w:rsidRPr="003E4841">
        <w:rPr>
          <w:i/>
          <w:iCs/>
          <w:lang w:val="fr-FR"/>
        </w:rPr>
        <w:t>Édition de 2018 de la Semaine de la cybersécurité pour la région des États arabes, Koweït, 21-25 octobre 2018, y compris:</w:t>
      </w:r>
    </w:p>
    <w:p w14:paraId="08E30A16" w14:textId="6FEEBFEA" w:rsidR="00A0276B" w:rsidRPr="003E4841" w:rsidRDefault="00A0276B" w:rsidP="003E4841">
      <w:pPr>
        <w:pStyle w:val="enumlev2"/>
        <w:rPr>
          <w:rFonts w:eastAsiaTheme="minorEastAsia" w:cstheme="minorBidi"/>
          <w:i/>
          <w:iCs/>
          <w:lang w:val="fr-FR"/>
        </w:rPr>
      </w:pPr>
      <w:r w:rsidRPr="003E4841">
        <w:rPr>
          <w:rFonts w:eastAsia="Calibri"/>
          <w:lang w:val="fr-FR"/>
        </w:rPr>
        <w:t>•</w:t>
      </w:r>
      <w:r w:rsidRPr="003E4841">
        <w:rPr>
          <w:rFonts w:eastAsia="Calibri"/>
          <w:lang w:val="fr-FR"/>
        </w:rPr>
        <w:tab/>
      </w:r>
      <w:r w:rsidR="000970BD" w:rsidRPr="003E4841">
        <w:rPr>
          <w:rFonts w:eastAsia="Calibri"/>
          <w:lang w:val="fr-FR"/>
        </w:rPr>
        <w:t>un sommet régional sur la cybersécurité;</w:t>
      </w:r>
    </w:p>
    <w:p w14:paraId="090693FC" w14:textId="7CB9B8E2" w:rsidR="00A0276B" w:rsidRPr="003E4841" w:rsidRDefault="00A0276B" w:rsidP="003E4841">
      <w:pPr>
        <w:pStyle w:val="enumlev2"/>
        <w:rPr>
          <w:rFonts w:eastAsia="Calibri"/>
          <w:lang w:val="fr-FR"/>
        </w:rPr>
      </w:pPr>
      <w:r w:rsidRPr="003E4841">
        <w:rPr>
          <w:rFonts w:eastAsia="Calibri"/>
          <w:lang w:val="fr-FR"/>
        </w:rPr>
        <w:t>•</w:t>
      </w:r>
      <w:r w:rsidRPr="003E4841">
        <w:rPr>
          <w:rFonts w:eastAsia="Calibri"/>
          <w:lang w:val="fr-FR"/>
        </w:rPr>
        <w:tab/>
      </w:r>
      <w:r w:rsidR="000970BD" w:rsidRPr="003E4841">
        <w:rPr>
          <w:rFonts w:eastAsia="Calibri"/>
          <w:lang w:val="fr-FR"/>
        </w:rPr>
        <w:t>le</w:t>
      </w:r>
      <w:r w:rsidRPr="003E4841">
        <w:rPr>
          <w:rFonts w:eastAsia="Calibri"/>
          <w:lang w:val="fr-FR"/>
        </w:rPr>
        <w:t xml:space="preserve"> cyberexercice </w:t>
      </w:r>
      <w:r w:rsidR="000970BD" w:rsidRPr="003E4841">
        <w:rPr>
          <w:rFonts w:eastAsia="Calibri"/>
          <w:lang w:val="fr-FR"/>
        </w:rPr>
        <w:t>régional</w:t>
      </w:r>
      <w:r w:rsidRPr="003E4841">
        <w:rPr>
          <w:rFonts w:eastAsia="Calibri"/>
          <w:lang w:val="fr-FR"/>
        </w:rPr>
        <w:t xml:space="preserve"> de l'UIT</w:t>
      </w:r>
      <w:r w:rsidR="000970BD" w:rsidRPr="003E4841">
        <w:rPr>
          <w:rFonts w:eastAsia="Calibri"/>
          <w:lang w:val="fr-FR"/>
        </w:rPr>
        <w:t xml:space="preserve"> </w:t>
      </w:r>
      <w:r w:rsidR="00432197" w:rsidRPr="003E4841">
        <w:rPr>
          <w:rFonts w:eastAsia="Calibri"/>
          <w:lang w:val="fr-FR"/>
        </w:rPr>
        <w:t>–</w:t>
      </w:r>
      <w:r w:rsidR="000970BD" w:rsidRPr="003E4841">
        <w:rPr>
          <w:rFonts w:eastAsia="Calibri"/>
          <w:lang w:val="fr-FR"/>
        </w:rPr>
        <w:t xml:space="preserve"> ALERT</w:t>
      </w:r>
      <w:r w:rsidR="00CD5BAD" w:rsidRPr="003E4841">
        <w:rPr>
          <w:rFonts w:eastAsia="Calibri"/>
          <w:lang w:val="fr-FR"/>
        </w:rPr>
        <w:t>;</w:t>
      </w:r>
    </w:p>
    <w:p w14:paraId="5C67E18B" w14:textId="2F7EF9D9" w:rsidR="00A0276B" w:rsidRPr="003E4841" w:rsidRDefault="00A0276B" w:rsidP="003E4841">
      <w:pPr>
        <w:pStyle w:val="enumlev2"/>
        <w:rPr>
          <w:rFonts w:eastAsiaTheme="minorEastAsia" w:cstheme="minorBidi"/>
          <w:i/>
          <w:iCs/>
          <w:lang w:val="fr-FR"/>
        </w:rPr>
      </w:pPr>
      <w:r w:rsidRPr="003E4841">
        <w:rPr>
          <w:rFonts w:eastAsia="Calibri"/>
          <w:lang w:val="fr-FR"/>
        </w:rPr>
        <w:t>•</w:t>
      </w:r>
      <w:r w:rsidRPr="003E4841">
        <w:rPr>
          <w:rFonts w:eastAsia="Calibri"/>
          <w:lang w:val="fr-FR"/>
        </w:rPr>
        <w:tab/>
      </w:r>
      <w:r w:rsidR="00CD5BAD" w:rsidRPr="003E4841">
        <w:rPr>
          <w:rFonts w:eastAsia="Calibri"/>
          <w:lang w:val="fr-FR"/>
        </w:rPr>
        <w:t>la deuxième réunion du Groupe régional de la CE 17 de l</w:t>
      </w:r>
      <w:r w:rsidR="002450E8" w:rsidRPr="003E4841">
        <w:rPr>
          <w:rFonts w:eastAsia="Calibri"/>
          <w:lang w:val="fr-FR"/>
        </w:rPr>
        <w:t>'</w:t>
      </w:r>
      <w:r w:rsidR="00CD5BAD" w:rsidRPr="003E4841">
        <w:rPr>
          <w:rFonts w:eastAsia="Calibri"/>
          <w:lang w:val="fr-FR"/>
        </w:rPr>
        <w:t>UIT-T pour la région des États</w:t>
      </w:r>
      <w:r w:rsidR="00432197" w:rsidRPr="003E4841">
        <w:rPr>
          <w:rFonts w:eastAsia="Calibri"/>
          <w:lang w:val="fr-FR"/>
        </w:rPr>
        <w:t> </w:t>
      </w:r>
      <w:r w:rsidR="00CD5BAD" w:rsidRPr="003E4841">
        <w:rPr>
          <w:rFonts w:eastAsia="Calibri"/>
          <w:lang w:val="fr-FR"/>
        </w:rPr>
        <w:t>arabes;</w:t>
      </w:r>
    </w:p>
    <w:p w14:paraId="184477C7" w14:textId="7C11CD10" w:rsidR="00A0276B" w:rsidRPr="003E4841" w:rsidRDefault="00A0276B" w:rsidP="003E4841">
      <w:pPr>
        <w:pStyle w:val="enumlev2"/>
        <w:rPr>
          <w:rFonts w:eastAsiaTheme="minorEastAsia" w:cstheme="minorBidi"/>
          <w:i/>
          <w:iCs/>
          <w:lang w:val="fr-FR"/>
        </w:rPr>
      </w:pPr>
      <w:r w:rsidRPr="003E4841">
        <w:rPr>
          <w:rFonts w:eastAsia="Calibri"/>
          <w:lang w:val="fr-FR"/>
        </w:rPr>
        <w:t>•</w:t>
      </w:r>
      <w:r w:rsidRPr="003E4841">
        <w:rPr>
          <w:rFonts w:eastAsia="Calibri"/>
          <w:lang w:val="fr-FR"/>
        </w:rPr>
        <w:tab/>
      </w:r>
      <w:r w:rsidR="00CD5BAD" w:rsidRPr="003E4841">
        <w:rPr>
          <w:rFonts w:eastAsia="Calibri"/>
          <w:lang w:val="fr-FR"/>
        </w:rPr>
        <w:t>la 6ème réunion annuelle de l</w:t>
      </w:r>
      <w:r w:rsidR="002450E8" w:rsidRPr="003E4841">
        <w:rPr>
          <w:rFonts w:eastAsia="Calibri"/>
          <w:lang w:val="fr-FR"/>
        </w:rPr>
        <w:t>'</w:t>
      </w:r>
      <w:r w:rsidR="00CD5BAD" w:rsidRPr="003E4841">
        <w:rPr>
          <w:rFonts w:eastAsia="Calibri"/>
          <w:lang w:val="fr-FR"/>
        </w:rPr>
        <w:t xml:space="preserve">équipe de coopération sur la cybersécurité dans les </w:t>
      </w:r>
      <w:r w:rsidR="00316182" w:rsidRPr="003E4841">
        <w:rPr>
          <w:rFonts w:eastAsia="Calibri"/>
          <w:lang w:val="fr-FR"/>
        </w:rPr>
        <w:t xml:space="preserve">États </w:t>
      </w:r>
      <w:r w:rsidR="00CD5BAD" w:rsidRPr="003E4841">
        <w:rPr>
          <w:rFonts w:eastAsia="Calibri"/>
          <w:lang w:val="fr-FR"/>
        </w:rPr>
        <w:t>arabes (ACCT).</w:t>
      </w:r>
    </w:p>
    <w:p w14:paraId="6595D03A" w14:textId="3861C21E" w:rsidR="00A0276B" w:rsidRPr="003E4841" w:rsidRDefault="00A0276B" w:rsidP="003E4841">
      <w:pPr>
        <w:pStyle w:val="enumlev1"/>
        <w:rPr>
          <w:rFonts w:eastAsiaTheme="minorEastAsia" w:cstheme="minorBidi"/>
          <w:i/>
          <w:iCs/>
          <w:lang w:val="fr-FR"/>
        </w:rPr>
      </w:pPr>
      <w:r w:rsidRPr="003E4841">
        <w:rPr>
          <w:lang w:val="fr-FR"/>
        </w:rPr>
        <w:t>–</w:t>
      </w:r>
      <w:r w:rsidRPr="003E4841">
        <w:rPr>
          <w:lang w:val="fr-FR"/>
        </w:rPr>
        <w:tab/>
      </w:r>
      <w:r w:rsidR="00032DB6" w:rsidRPr="003E4841">
        <w:rPr>
          <w:i/>
          <w:lang w:val="fr-FR"/>
        </w:rPr>
        <w:t>Réunion régionale de haut niveau de l</w:t>
      </w:r>
      <w:r w:rsidR="002450E8" w:rsidRPr="003E4841">
        <w:rPr>
          <w:i/>
          <w:lang w:val="fr-FR"/>
        </w:rPr>
        <w:t>'</w:t>
      </w:r>
      <w:r w:rsidR="00032DB6" w:rsidRPr="003E4841">
        <w:rPr>
          <w:i/>
          <w:lang w:val="fr-FR"/>
        </w:rPr>
        <w:t>UIT</w:t>
      </w:r>
      <w:r w:rsidR="00191F45" w:rsidRPr="003E4841">
        <w:rPr>
          <w:i/>
          <w:lang w:val="fr-FR"/>
        </w:rPr>
        <w:t xml:space="preserve"> pour la conclusion d'un partenariat avec le secteur universitaire dans le domaine de la cybersécurité,</w:t>
      </w:r>
      <w:r w:rsidR="00191F45" w:rsidRPr="003E4841">
        <w:rPr>
          <w:lang w:val="fr-FR"/>
        </w:rPr>
        <w:t xml:space="preserve"> </w:t>
      </w:r>
      <w:r w:rsidRPr="003E4841">
        <w:rPr>
          <w:i/>
          <w:iCs/>
          <w:lang w:val="fr-FR"/>
        </w:rPr>
        <w:t xml:space="preserve">Amman, 4 </w:t>
      </w:r>
      <w:r w:rsidR="00191F45" w:rsidRPr="003E4841">
        <w:rPr>
          <w:i/>
          <w:iCs/>
          <w:lang w:val="fr-FR"/>
        </w:rPr>
        <w:t>décembre</w:t>
      </w:r>
      <w:r w:rsidRPr="003E4841">
        <w:rPr>
          <w:i/>
          <w:iCs/>
          <w:lang w:val="fr-FR"/>
        </w:rPr>
        <w:t xml:space="preserve"> 2018.</w:t>
      </w:r>
    </w:p>
    <w:p w14:paraId="3F621B49" w14:textId="4E56B77B" w:rsidR="00A0276B" w:rsidRPr="003E4841" w:rsidRDefault="00A0276B" w:rsidP="003E4841">
      <w:pPr>
        <w:pStyle w:val="enumlev1"/>
        <w:rPr>
          <w:i/>
          <w:iCs/>
          <w:lang w:val="fr-FR"/>
        </w:rPr>
      </w:pPr>
      <w:r w:rsidRPr="003E4841">
        <w:rPr>
          <w:i/>
          <w:iCs/>
          <w:lang w:val="fr-FR"/>
        </w:rPr>
        <w:t>–</w:t>
      </w:r>
      <w:r w:rsidRPr="003E4841">
        <w:rPr>
          <w:i/>
          <w:iCs/>
          <w:lang w:val="fr-FR"/>
        </w:rPr>
        <w:tab/>
      </w:r>
      <w:r w:rsidR="00B82A56" w:rsidRPr="003E4841">
        <w:rPr>
          <w:i/>
          <w:iCs/>
          <w:lang w:val="fr-FR"/>
        </w:rPr>
        <w:t>Cours de formation sur la cybersécurité et la confidentialité des données à l</w:t>
      </w:r>
      <w:r w:rsidR="002450E8" w:rsidRPr="003E4841">
        <w:rPr>
          <w:i/>
          <w:iCs/>
          <w:lang w:val="fr-FR"/>
        </w:rPr>
        <w:t>'</w:t>
      </w:r>
      <w:r w:rsidR="00643CB4">
        <w:rPr>
          <w:i/>
          <w:iCs/>
          <w:lang w:val="fr-FR"/>
        </w:rPr>
        <w:t>intention des </w:t>
      </w:r>
      <w:r w:rsidR="00B82A56" w:rsidRPr="003E4841">
        <w:rPr>
          <w:i/>
          <w:iCs/>
          <w:lang w:val="fr-FR"/>
        </w:rPr>
        <w:t>membres de la Commission saoudienne des procureurs généraux, Le Caire, 9</w:t>
      </w:r>
      <w:r w:rsidR="00432197" w:rsidRPr="003E4841">
        <w:rPr>
          <w:i/>
          <w:iCs/>
          <w:lang w:val="fr-FR"/>
        </w:rPr>
        <w:noBreakHyphen/>
      </w:r>
      <w:r w:rsidR="00B82A56" w:rsidRPr="003E4841">
        <w:rPr>
          <w:i/>
          <w:iCs/>
          <w:lang w:val="fr-FR"/>
        </w:rPr>
        <w:t>13</w:t>
      </w:r>
      <w:r w:rsidR="00432197" w:rsidRPr="003E4841">
        <w:rPr>
          <w:i/>
          <w:iCs/>
          <w:lang w:val="fr-FR"/>
        </w:rPr>
        <w:t> </w:t>
      </w:r>
      <w:r w:rsidR="00B82A56" w:rsidRPr="003E4841">
        <w:rPr>
          <w:i/>
          <w:iCs/>
          <w:lang w:val="fr-FR"/>
        </w:rPr>
        <w:t>décembre</w:t>
      </w:r>
      <w:r w:rsidR="00432197" w:rsidRPr="003E4841">
        <w:rPr>
          <w:i/>
          <w:iCs/>
          <w:lang w:val="fr-FR"/>
        </w:rPr>
        <w:t> </w:t>
      </w:r>
      <w:r w:rsidR="00B82A56" w:rsidRPr="003E4841">
        <w:rPr>
          <w:i/>
          <w:iCs/>
          <w:lang w:val="fr-FR"/>
        </w:rPr>
        <w:t>2018.</w:t>
      </w:r>
    </w:p>
    <w:p w14:paraId="31BD8DAC" w14:textId="22A9F37D" w:rsidR="00A0276B" w:rsidRPr="003E4841" w:rsidRDefault="00A0276B" w:rsidP="003E4841">
      <w:pPr>
        <w:pStyle w:val="enumlev1"/>
        <w:rPr>
          <w:i/>
          <w:iCs/>
          <w:lang w:val="fr-FR"/>
        </w:rPr>
      </w:pPr>
      <w:r w:rsidRPr="003E4841">
        <w:rPr>
          <w:i/>
          <w:iCs/>
          <w:lang w:val="fr-FR"/>
        </w:rPr>
        <w:t>–</w:t>
      </w:r>
      <w:r w:rsidRPr="003E4841">
        <w:rPr>
          <w:i/>
          <w:iCs/>
          <w:lang w:val="fr-FR"/>
        </w:rPr>
        <w:tab/>
      </w:r>
      <w:r w:rsidR="00B82A56" w:rsidRPr="003E4841">
        <w:rPr>
          <w:i/>
          <w:iCs/>
          <w:lang w:val="fr-FR"/>
        </w:rPr>
        <w:t xml:space="preserve">Atelier de validation </w:t>
      </w:r>
      <w:r w:rsidR="00AD5A9B" w:rsidRPr="003E4841">
        <w:rPr>
          <w:i/>
          <w:iCs/>
          <w:lang w:val="fr-FR"/>
        </w:rPr>
        <w:t>pour l</w:t>
      </w:r>
      <w:r w:rsidR="002450E8" w:rsidRPr="003E4841">
        <w:rPr>
          <w:i/>
          <w:iCs/>
          <w:lang w:val="fr-FR"/>
        </w:rPr>
        <w:t>'</w:t>
      </w:r>
      <w:r w:rsidR="00AD5A9B" w:rsidRPr="003E4841">
        <w:rPr>
          <w:i/>
          <w:iCs/>
          <w:lang w:val="fr-FR"/>
        </w:rPr>
        <w:t xml:space="preserve">élaboration du projet de rapport sur la stratégie nationale de la Mauritanie </w:t>
      </w:r>
      <w:r w:rsidR="001E1415" w:rsidRPr="003E4841">
        <w:rPr>
          <w:i/>
          <w:iCs/>
          <w:lang w:val="fr-FR"/>
        </w:rPr>
        <w:t>en matière de cybersécurité pour la période 2019-2022, Nouakchott (Mauritanie), 18 décembre 2018.</w:t>
      </w:r>
    </w:p>
    <w:p w14:paraId="4FF0C445" w14:textId="75F615C5" w:rsidR="00A0276B" w:rsidRPr="003E4841" w:rsidRDefault="00A0276B" w:rsidP="003E4841">
      <w:pPr>
        <w:pStyle w:val="enumlev1"/>
        <w:rPr>
          <w:i/>
          <w:iCs/>
          <w:lang w:val="fr-FR"/>
        </w:rPr>
      </w:pPr>
      <w:r w:rsidRPr="003E4841">
        <w:rPr>
          <w:i/>
          <w:iCs/>
          <w:lang w:val="fr-FR"/>
        </w:rPr>
        <w:t>–</w:t>
      </w:r>
      <w:r w:rsidRPr="003E4841">
        <w:rPr>
          <w:i/>
          <w:iCs/>
          <w:lang w:val="fr-FR"/>
        </w:rPr>
        <w:tab/>
      </w:r>
      <w:r w:rsidR="008758AD" w:rsidRPr="003E4841">
        <w:rPr>
          <w:i/>
          <w:iCs/>
          <w:lang w:val="fr-FR"/>
        </w:rPr>
        <w:t>Atelier sur l</w:t>
      </w:r>
      <w:r w:rsidR="002450E8" w:rsidRPr="003E4841">
        <w:rPr>
          <w:i/>
          <w:iCs/>
          <w:lang w:val="fr-FR"/>
        </w:rPr>
        <w:t>'</w:t>
      </w:r>
      <w:r w:rsidR="008758AD" w:rsidRPr="003E4841">
        <w:rPr>
          <w:i/>
          <w:iCs/>
          <w:lang w:val="fr-FR"/>
        </w:rPr>
        <w:t>évaluation technique de l</w:t>
      </w:r>
      <w:r w:rsidR="002450E8" w:rsidRPr="003E4841">
        <w:rPr>
          <w:i/>
          <w:iCs/>
          <w:lang w:val="fr-FR"/>
        </w:rPr>
        <w:t>'</w:t>
      </w:r>
      <w:r w:rsidR="008758AD" w:rsidRPr="003E4841">
        <w:rPr>
          <w:i/>
          <w:iCs/>
          <w:lang w:val="fr-FR"/>
        </w:rPr>
        <w:t xml:space="preserve">état de préparation à la création </w:t>
      </w:r>
      <w:r w:rsidR="000C6DC1" w:rsidRPr="003E4841">
        <w:rPr>
          <w:i/>
          <w:iCs/>
          <w:lang w:val="fr-FR"/>
        </w:rPr>
        <w:t>d'</w:t>
      </w:r>
      <w:r w:rsidR="008758AD" w:rsidRPr="003E4841">
        <w:rPr>
          <w:i/>
          <w:iCs/>
          <w:lang w:val="fr-FR"/>
        </w:rPr>
        <w:t>équipes d</w:t>
      </w:r>
      <w:r w:rsidR="002450E8" w:rsidRPr="003E4841">
        <w:rPr>
          <w:i/>
          <w:iCs/>
          <w:lang w:val="fr-FR"/>
        </w:rPr>
        <w:t>'</w:t>
      </w:r>
      <w:r w:rsidR="008758AD" w:rsidRPr="003E4841">
        <w:rPr>
          <w:i/>
          <w:iCs/>
          <w:lang w:val="fr-FR"/>
        </w:rPr>
        <w:t>intervention en cas d</w:t>
      </w:r>
      <w:r w:rsidR="002450E8" w:rsidRPr="003E4841">
        <w:rPr>
          <w:i/>
          <w:iCs/>
          <w:lang w:val="fr-FR"/>
        </w:rPr>
        <w:t>'</w:t>
      </w:r>
      <w:r w:rsidR="008758AD" w:rsidRPr="003E4841">
        <w:rPr>
          <w:i/>
          <w:iCs/>
          <w:lang w:val="fr-FR"/>
        </w:rPr>
        <w:t>incident informatique (CIRT) en Mauritanie, Nouakchott, 19</w:t>
      </w:r>
      <w:r w:rsidR="00432197" w:rsidRPr="003E4841">
        <w:rPr>
          <w:i/>
          <w:iCs/>
          <w:lang w:val="fr-FR"/>
        </w:rPr>
        <w:noBreakHyphen/>
      </w:r>
      <w:r w:rsidR="008758AD" w:rsidRPr="003E4841">
        <w:rPr>
          <w:i/>
          <w:iCs/>
          <w:lang w:val="fr-FR"/>
        </w:rPr>
        <w:t>21</w:t>
      </w:r>
      <w:r w:rsidR="00432197" w:rsidRPr="003E4841">
        <w:rPr>
          <w:i/>
          <w:iCs/>
          <w:lang w:val="fr-FR"/>
        </w:rPr>
        <w:t> </w:t>
      </w:r>
      <w:r w:rsidR="008758AD" w:rsidRPr="003E4841">
        <w:rPr>
          <w:i/>
          <w:iCs/>
          <w:lang w:val="fr-FR"/>
        </w:rPr>
        <w:t>décembre 2018.</w:t>
      </w:r>
    </w:p>
    <w:p w14:paraId="62A65B2A" w14:textId="32A918AA" w:rsidR="00A0276B" w:rsidRPr="003E4841" w:rsidRDefault="00A0276B" w:rsidP="003E4841">
      <w:pPr>
        <w:pStyle w:val="enumlev1"/>
        <w:rPr>
          <w:i/>
          <w:iCs/>
          <w:lang w:val="fr-FR"/>
        </w:rPr>
      </w:pPr>
      <w:r w:rsidRPr="003E4841">
        <w:rPr>
          <w:i/>
          <w:iCs/>
          <w:lang w:val="fr-FR"/>
        </w:rPr>
        <w:t>–</w:t>
      </w:r>
      <w:r w:rsidRPr="003E4841">
        <w:rPr>
          <w:i/>
          <w:iCs/>
          <w:lang w:val="fr-FR"/>
        </w:rPr>
        <w:tab/>
      </w:r>
      <w:r w:rsidR="001007F8" w:rsidRPr="003E4841">
        <w:rPr>
          <w:i/>
          <w:iCs/>
          <w:lang w:val="fr-FR"/>
        </w:rPr>
        <w:t>Mise en place d</w:t>
      </w:r>
      <w:r w:rsidR="002450E8" w:rsidRPr="003E4841">
        <w:rPr>
          <w:i/>
          <w:iCs/>
          <w:lang w:val="fr-FR"/>
        </w:rPr>
        <w:t>'</w:t>
      </w:r>
      <w:r w:rsidR="001007F8" w:rsidRPr="003E4841">
        <w:rPr>
          <w:i/>
          <w:iCs/>
          <w:lang w:val="fr-FR"/>
        </w:rPr>
        <w:t>une formation sur les CIRT à l</w:t>
      </w:r>
      <w:r w:rsidR="002450E8" w:rsidRPr="003E4841">
        <w:rPr>
          <w:i/>
          <w:iCs/>
          <w:lang w:val="fr-FR"/>
        </w:rPr>
        <w:t>'</w:t>
      </w:r>
      <w:r w:rsidR="001007F8" w:rsidRPr="003E4841">
        <w:rPr>
          <w:i/>
          <w:iCs/>
          <w:lang w:val="fr-FR"/>
        </w:rPr>
        <w:t>intention de la Palestine, Le Caire (Égypte), 17-28 mars 2019.</w:t>
      </w:r>
    </w:p>
    <w:p w14:paraId="32B1501D" w14:textId="2BCCD60D" w:rsidR="00EF6AF7" w:rsidRPr="003E4841" w:rsidRDefault="00A0276B" w:rsidP="003E4841">
      <w:pPr>
        <w:pStyle w:val="enumlev1"/>
        <w:rPr>
          <w:i/>
          <w:iCs/>
          <w:lang w:val="fr-FR"/>
        </w:rPr>
      </w:pPr>
      <w:r w:rsidRPr="003E4841">
        <w:rPr>
          <w:i/>
          <w:iCs/>
          <w:lang w:val="fr-FR"/>
        </w:rPr>
        <w:t>–</w:t>
      </w:r>
      <w:r w:rsidRPr="003E4841">
        <w:rPr>
          <w:i/>
          <w:iCs/>
          <w:lang w:val="fr-FR"/>
        </w:rPr>
        <w:tab/>
      </w:r>
      <w:r w:rsidR="00EF6AF7" w:rsidRPr="003E4841">
        <w:rPr>
          <w:i/>
          <w:iCs/>
          <w:lang w:val="fr-FR"/>
        </w:rPr>
        <w:t xml:space="preserve">Cours de formation ASBU/UIT </w:t>
      </w:r>
      <w:r w:rsidR="00A64143" w:rsidRPr="003E4841">
        <w:rPr>
          <w:i/>
          <w:iCs/>
          <w:lang w:val="fr-FR"/>
        </w:rPr>
        <w:t>sur la cybersécurité, organisé conjointement avec le Centre de formation de l</w:t>
      </w:r>
      <w:r w:rsidR="002450E8" w:rsidRPr="003E4841">
        <w:rPr>
          <w:i/>
          <w:iCs/>
          <w:lang w:val="fr-FR"/>
        </w:rPr>
        <w:t>'</w:t>
      </w:r>
      <w:r w:rsidR="00A64143" w:rsidRPr="003E4841">
        <w:rPr>
          <w:i/>
          <w:iCs/>
          <w:lang w:val="fr-FR"/>
        </w:rPr>
        <w:t>ASBU de Tunis, Tunis (Tunisie), 17-21 juin 2019.</w:t>
      </w:r>
    </w:p>
    <w:p w14:paraId="7B7F6ADE" w14:textId="66BAD0AC" w:rsidR="00A64143" w:rsidRPr="003E4841" w:rsidRDefault="00A0276B" w:rsidP="003E4841">
      <w:pPr>
        <w:pStyle w:val="enumlev1"/>
        <w:rPr>
          <w:i/>
          <w:iCs/>
          <w:lang w:val="fr-FR"/>
        </w:rPr>
      </w:pPr>
      <w:r w:rsidRPr="003E4841">
        <w:rPr>
          <w:i/>
          <w:iCs/>
          <w:lang w:val="fr-FR"/>
        </w:rPr>
        <w:t>–</w:t>
      </w:r>
      <w:r w:rsidRPr="003E4841">
        <w:rPr>
          <w:i/>
          <w:iCs/>
          <w:lang w:val="fr-FR"/>
        </w:rPr>
        <w:tab/>
      </w:r>
      <w:r w:rsidR="00A64143" w:rsidRPr="003E4841">
        <w:rPr>
          <w:i/>
          <w:iCs/>
          <w:lang w:val="fr-FR"/>
        </w:rPr>
        <w:t>Édition de 2019 de la Semaine de la cybersécurité pour la région des États arabes, Mascate, 27-31 octobre 2019, y compris:</w:t>
      </w:r>
    </w:p>
    <w:p w14:paraId="56DCFA70" w14:textId="494CE596" w:rsidR="00A0276B" w:rsidRPr="003E4841" w:rsidRDefault="00A0276B" w:rsidP="005E6542">
      <w:pPr>
        <w:pStyle w:val="enumlev2"/>
        <w:spacing w:before="60"/>
        <w:rPr>
          <w:rFonts w:eastAsiaTheme="minorEastAsia" w:cstheme="minorBidi"/>
          <w:lang w:val="fr-FR"/>
        </w:rPr>
      </w:pPr>
      <w:r w:rsidRPr="003E4841">
        <w:rPr>
          <w:rFonts w:eastAsia="Calibri"/>
          <w:lang w:val="fr-FR"/>
        </w:rPr>
        <w:t>•</w:t>
      </w:r>
      <w:r w:rsidRPr="003E4841">
        <w:rPr>
          <w:rFonts w:eastAsia="Calibri"/>
          <w:lang w:val="fr-FR"/>
        </w:rPr>
        <w:tab/>
      </w:r>
      <w:r w:rsidR="00A64143" w:rsidRPr="003E4841">
        <w:rPr>
          <w:rFonts w:eastAsia="Calibri"/>
          <w:lang w:val="fr-FR"/>
        </w:rPr>
        <w:t>un sommet régional sur la cybersécurité;</w:t>
      </w:r>
    </w:p>
    <w:p w14:paraId="768070DA" w14:textId="41783EF1" w:rsidR="00A0276B" w:rsidRPr="003E4841" w:rsidRDefault="00A0276B" w:rsidP="005E6542">
      <w:pPr>
        <w:pStyle w:val="enumlev2"/>
        <w:spacing w:before="60"/>
        <w:rPr>
          <w:rFonts w:eastAsiaTheme="minorEastAsia" w:cstheme="minorBidi"/>
          <w:lang w:val="fr-FR"/>
        </w:rPr>
      </w:pPr>
      <w:r w:rsidRPr="003E4841">
        <w:rPr>
          <w:rFonts w:eastAsia="Calibri"/>
          <w:lang w:val="fr-FR"/>
        </w:rPr>
        <w:t>•</w:t>
      </w:r>
      <w:r w:rsidRPr="003E4841">
        <w:rPr>
          <w:rFonts w:eastAsia="Calibri"/>
          <w:lang w:val="fr-FR"/>
        </w:rPr>
        <w:tab/>
      </w:r>
      <w:r w:rsidR="00A64143" w:rsidRPr="003E4841">
        <w:rPr>
          <w:rFonts w:eastAsia="Calibri"/>
          <w:lang w:val="fr-FR"/>
        </w:rPr>
        <w:t>le cyberexercice régional de l'UIT</w:t>
      </w:r>
      <w:r w:rsidR="00432197" w:rsidRPr="003E4841">
        <w:rPr>
          <w:rFonts w:eastAsia="Calibri"/>
          <w:lang w:val="fr-FR"/>
        </w:rPr>
        <w:t xml:space="preserve"> – </w:t>
      </w:r>
      <w:r w:rsidR="00A64143" w:rsidRPr="003E4841">
        <w:rPr>
          <w:rFonts w:eastAsia="Calibri"/>
          <w:lang w:val="fr-FR"/>
        </w:rPr>
        <w:t>ALERT;</w:t>
      </w:r>
    </w:p>
    <w:p w14:paraId="0C099688" w14:textId="7CAE20B2" w:rsidR="00A64143" w:rsidRPr="003E4841" w:rsidRDefault="00A0276B" w:rsidP="005E6542">
      <w:pPr>
        <w:pStyle w:val="enumlev2"/>
        <w:spacing w:before="60"/>
        <w:rPr>
          <w:rFonts w:eastAsia="Calibri"/>
          <w:lang w:val="fr-FR"/>
        </w:rPr>
      </w:pPr>
      <w:r w:rsidRPr="003E4841">
        <w:rPr>
          <w:rFonts w:eastAsia="Calibri"/>
          <w:lang w:val="fr-FR"/>
        </w:rPr>
        <w:t>•</w:t>
      </w:r>
      <w:r w:rsidRPr="003E4841">
        <w:rPr>
          <w:rFonts w:eastAsia="Calibri"/>
          <w:lang w:val="fr-FR"/>
        </w:rPr>
        <w:tab/>
      </w:r>
      <w:r w:rsidR="004F2C76" w:rsidRPr="003E4841">
        <w:rPr>
          <w:rFonts w:eastAsia="Calibri"/>
          <w:lang w:val="fr-FR"/>
        </w:rPr>
        <w:t>le</w:t>
      </w:r>
      <w:r w:rsidR="00A64143" w:rsidRPr="003E4841">
        <w:rPr>
          <w:rFonts w:eastAsia="Calibri"/>
          <w:lang w:val="fr-FR"/>
        </w:rPr>
        <w:t xml:space="preserve"> </w:t>
      </w:r>
      <w:r w:rsidR="004F2C76" w:rsidRPr="003E4841">
        <w:rPr>
          <w:rFonts w:eastAsia="Calibri"/>
          <w:lang w:val="fr-FR"/>
        </w:rPr>
        <w:t>C</w:t>
      </w:r>
      <w:r w:rsidR="00A64143" w:rsidRPr="003E4841">
        <w:rPr>
          <w:rFonts w:eastAsia="Calibri"/>
          <w:lang w:val="fr-FR"/>
        </w:rPr>
        <w:t xml:space="preserve">olloque </w:t>
      </w:r>
      <w:r w:rsidR="004F2C76" w:rsidRPr="003E4841">
        <w:rPr>
          <w:rFonts w:eastAsia="Calibri"/>
          <w:lang w:val="fr-FR"/>
        </w:rPr>
        <w:t>du</w:t>
      </w:r>
      <w:r w:rsidR="00A64143" w:rsidRPr="003E4841">
        <w:rPr>
          <w:rFonts w:eastAsia="Calibri"/>
          <w:lang w:val="fr-FR"/>
        </w:rPr>
        <w:t xml:space="preserve"> FIRST et de l</w:t>
      </w:r>
      <w:r w:rsidR="002450E8" w:rsidRPr="003E4841">
        <w:rPr>
          <w:rFonts w:eastAsia="Calibri"/>
          <w:lang w:val="fr-FR"/>
        </w:rPr>
        <w:t>'</w:t>
      </w:r>
      <w:r w:rsidR="00A64143" w:rsidRPr="003E4841">
        <w:rPr>
          <w:rFonts w:eastAsia="Calibri"/>
          <w:lang w:val="fr-FR"/>
        </w:rPr>
        <w:t>UIT-ARCC</w:t>
      </w:r>
      <w:r w:rsidR="004F2C76" w:rsidRPr="003E4841">
        <w:rPr>
          <w:rFonts w:eastAsia="Calibri"/>
          <w:lang w:val="fr-FR"/>
        </w:rPr>
        <w:t>;</w:t>
      </w:r>
    </w:p>
    <w:p w14:paraId="2EF6714E" w14:textId="14BCF6DE" w:rsidR="00A0276B" w:rsidRPr="003E4841" w:rsidRDefault="00A0276B" w:rsidP="005E6542">
      <w:pPr>
        <w:pStyle w:val="enumlev2"/>
        <w:spacing w:before="60"/>
        <w:rPr>
          <w:rFonts w:eastAsiaTheme="minorEastAsia" w:cstheme="minorBidi"/>
          <w:lang w:val="fr-FR"/>
        </w:rPr>
      </w:pPr>
      <w:r w:rsidRPr="003E4841">
        <w:rPr>
          <w:rFonts w:eastAsia="Calibri"/>
          <w:lang w:val="fr-FR"/>
        </w:rPr>
        <w:t>•</w:t>
      </w:r>
      <w:r w:rsidRPr="003E4841">
        <w:rPr>
          <w:rFonts w:eastAsia="Calibri"/>
          <w:lang w:val="fr-FR"/>
        </w:rPr>
        <w:tab/>
      </w:r>
      <w:r w:rsidR="004F2C76" w:rsidRPr="003E4841">
        <w:rPr>
          <w:rFonts w:eastAsia="Calibri"/>
          <w:lang w:val="fr-FR"/>
        </w:rPr>
        <w:t>la 7ème réunion annuelle de l</w:t>
      </w:r>
      <w:r w:rsidR="002450E8" w:rsidRPr="003E4841">
        <w:rPr>
          <w:rFonts w:eastAsia="Calibri"/>
          <w:lang w:val="fr-FR"/>
        </w:rPr>
        <w:t>'</w:t>
      </w:r>
      <w:r w:rsidR="004F2C76" w:rsidRPr="003E4841">
        <w:rPr>
          <w:rFonts w:eastAsia="Calibri"/>
          <w:lang w:val="fr-FR"/>
        </w:rPr>
        <w:t xml:space="preserve">équipe de coopération sur la cybersécurité dans les </w:t>
      </w:r>
      <w:r w:rsidR="00316182" w:rsidRPr="003E4841">
        <w:rPr>
          <w:rFonts w:eastAsia="Calibri"/>
          <w:lang w:val="fr-FR"/>
        </w:rPr>
        <w:t xml:space="preserve">États </w:t>
      </w:r>
      <w:r w:rsidR="004F2C76" w:rsidRPr="003E4841">
        <w:rPr>
          <w:rFonts w:eastAsia="Calibri"/>
          <w:lang w:val="fr-FR"/>
        </w:rPr>
        <w:t>arabes (ACCT);</w:t>
      </w:r>
    </w:p>
    <w:p w14:paraId="3F65802C" w14:textId="22BACDD9" w:rsidR="00A0276B" w:rsidRPr="003E4841" w:rsidRDefault="00A0276B" w:rsidP="005E6542">
      <w:pPr>
        <w:pStyle w:val="enumlev2"/>
        <w:spacing w:before="60"/>
        <w:rPr>
          <w:rFonts w:eastAsiaTheme="minorEastAsia" w:cstheme="minorBidi"/>
          <w:lang w:val="fr-FR"/>
        </w:rPr>
      </w:pPr>
      <w:r w:rsidRPr="003E4841">
        <w:rPr>
          <w:rFonts w:eastAsia="Calibri"/>
          <w:lang w:val="fr-FR"/>
        </w:rPr>
        <w:t>•</w:t>
      </w:r>
      <w:r w:rsidRPr="003E4841">
        <w:rPr>
          <w:rFonts w:eastAsia="Calibri"/>
          <w:lang w:val="fr-FR"/>
        </w:rPr>
        <w:tab/>
      </w:r>
      <w:r w:rsidR="004F2C76" w:rsidRPr="003E4841">
        <w:rPr>
          <w:rFonts w:eastAsia="Calibri"/>
          <w:lang w:val="fr-FR"/>
        </w:rPr>
        <w:t xml:space="preserve">la 11ème Conférence annuelle </w:t>
      </w:r>
      <w:r w:rsidR="00185228" w:rsidRPr="003E4841">
        <w:rPr>
          <w:rFonts w:eastAsia="Calibri"/>
          <w:lang w:val="fr-FR"/>
        </w:rPr>
        <w:t>de l</w:t>
      </w:r>
      <w:r w:rsidR="002450E8" w:rsidRPr="003E4841">
        <w:rPr>
          <w:rFonts w:eastAsia="Calibri"/>
          <w:lang w:val="fr-FR"/>
        </w:rPr>
        <w:t>'</w:t>
      </w:r>
      <w:r w:rsidR="00185228" w:rsidRPr="003E4841">
        <w:rPr>
          <w:rFonts w:eastAsia="Calibri"/>
          <w:lang w:val="fr-FR"/>
        </w:rPr>
        <w:t>OIC-CERT.</w:t>
      </w:r>
    </w:p>
    <w:p w14:paraId="2F90BD81" w14:textId="54C15EE6" w:rsidR="00185228" w:rsidRPr="003E4841" w:rsidRDefault="00A0276B" w:rsidP="003E4841">
      <w:pPr>
        <w:pStyle w:val="enumlev1"/>
        <w:rPr>
          <w:i/>
          <w:iCs/>
          <w:lang w:val="fr-FR"/>
        </w:rPr>
      </w:pPr>
      <w:r w:rsidRPr="003E4841">
        <w:rPr>
          <w:i/>
          <w:iCs/>
          <w:lang w:val="fr-FR"/>
        </w:rPr>
        <w:t>–</w:t>
      </w:r>
      <w:r w:rsidRPr="003E4841">
        <w:rPr>
          <w:i/>
          <w:iCs/>
          <w:lang w:val="fr-FR"/>
        </w:rPr>
        <w:tab/>
      </w:r>
      <w:r w:rsidR="00185228" w:rsidRPr="003E4841">
        <w:rPr>
          <w:i/>
          <w:iCs/>
          <w:lang w:val="fr-FR"/>
        </w:rPr>
        <w:t>Atelier de l</w:t>
      </w:r>
      <w:r w:rsidR="002450E8" w:rsidRPr="003E4841">
        <w:rPr>
          <w:i/>
          <w:iCs/>
          <w:lang w:val="fr-FR"/>
        </w:rPr>
        <w:t>'</w:t>
      </w:r>
      <w:r w:rsidR="00185228" w:rsidRPr="003E4841">
        <w:rPr>
          <w:i/>
          <w:iCs/>
          <w:lang w:val="fr-FR"/>
        </w:rPr>
        <w:t>UIT sur la sécurisation de l</w:t>
      </w:r>
      <w:r w:rsidR="002450E8" w:rsidRPr="003E4841">
        <w:rPr>
          <w:i/>
          <w:iCs/>
          <w:lang w:val="fr-FR"/>
        </w:rPr>
        <w:t>'</w:t>
      </w:r>
      <w:r w:rsidR="00185228" w:rsidRPr="003E4841">
        <w:rPr>
          <w:i/>
          <w:iCs/>
          <w:lang w:val="fr-FR"/>
        </w:rPr>
        <w:t>infrastructure nationale essentielle des TIC au Soudan, Khartoum, 1er-3 décembre 2019.</w:t>
      </w:r>
    </w:p>
    <w:p w14:paraId="54AD7BA6" w14:textId="209173D2" w:rsidR="006545CC" w:rsidRPr="003E4841" w:rsidRDefault="00A0276B" w:rsidP="003E4841">
      <w:pPr>
        <w:pStyle w:val="enumlev1"/>
        <w:rPr>
          <w:i/>
          <w:iCs/>
          <w:lang w:val="fr-FR"/>
        </w:rPr>
      </w:pPr>
      <w:r w:rsidRPr="003E4841">
        <w:rPr>
          <w:i/>
          <w:iCs/>
          <w:lang w:val="fr-FR"/>
        </w:rPr>
        <w:t>–</w:t>
      </w:r>
      <w:r w:rsidRPr="003E4841">
        <w:rPr>
          <w:i/>
          <w:iCs/>
          <w:lang w:val="fr-FR"/>
        </w:rPr>
        <w:tab/>
      </w:r>
      <w:r w:rsidR="006545CC" w:rsidRPr="003E4841">
        <w:rPr>
          <w:i/>
          <w:iCs/>
          <w:lang w:val="fr-FR"/>
        </w:rPr>
        <w:t>Atelier interrégional de l</w:t>
      </w:r>
      <w:r w:rsidR="002450E8" w:rsidRPr="003E4841">
        <w:rPr>
          <w:i/>
          <w:iCs/>
          <w:lang w:val="fr-FR"/>
        </w:rPr>
        <w:t>'</w:t>
      </w:r>
      <w:r w:rsidR="006545CC" w:rsidRPr="003E4841">
        <w:rPr>
          <w:i/>
          <w:iCs/>
          <w:lang w:val="fr-FR"/>
        </w:rPr>
        <w:t>UIT sur les stratégies nationales en matière de cybersécurité</w:t>
      </w:r>
      <w:r w:rsidR="007F64C3" w:rsidRPr="003E4841">
        <w:rPr>
          <w:i/>
          <w:iCs/>
          <w:lang w:val="fr-FR"/>
        </w:rPr>
        <w:t xml:space="preserve"> </w:t>
      </w:r>
      <w:r w:rsidR="00833E4E" w:rsidRPr="003E4841">
        <w:rPr>
          <w:i/>
          <w:iCs/>
          <w:lang w:val="fr-FR"/>
        </w:rPr>
        <w:t>dans la région des États arabes et la région Afrique</w:t>
      </w:r>
      <w:r w:rsidR="00F04682" w:rsidRPr="003E4841">
        <w:rPr>
          <w:i/>
          <w:iCs/>
          <w:lang w:val="fr-FR"/>
        </w:rPr>
        <w:t>; r</w:t>
      </w:r>
      <w:r w:rsidR="007F64C3" w:rsidRPr="003E4841">
        <w:rPr>
          <w:i/>
          <w:iCs/>
          <w:lang w:val="fr-FR"/>
        </w:rPr>
        <w:t>apport relatif à l</w:t>
      </w:r>
      <w:r w:rsidR="002450E8" w:rsidRPr="003E4841">
        <w:rPr>
          <w:i/>
          <w:iCs/>
          <w:lang w:val="fr-FR"/>
        </w:rPr>
        <w:t>'</w:t>
      </w:r>
      <w:r w:rsidR="007F64C3" w:rsidRPr="003E4841">
        <w:rPr>
          <w:i/>
          <w:iCs/>
          <w:lang w:val="fr-FR"/>
        </w:rPr>
        <w:t>indice mondial de cybersécurité (GCI), version de 2018, Tunis, 10-13 décembre 2019.</w:t>
      </w:r>
    </w:p>
    <w:p w14:paraId="32D7293B" w14:textId="3A8F894C" w:rsidR="00A0276B" w:rsidRPr="003E4841" w:rsidRDefault="00A0276B" w:rsidP="003E4841">
      <w:pPr>
        <w:pStyle w:val="enumlev1"/>
        <w:rPr>
          <w:i/>
          <w:iCs/>
          <w:lang w:val="fr-FR"/>
        </w:rPr>
      </w:pPr>
      <w:r w:rsidRPr="003E4841">
        <w:rPr>
          <w:i/>
          <w:iCs/>
          <w:lang w:val="fr-FR"/>
        </w:rPr>
        <w:t>–</w:t>
      </w:r>
      <w:r w:rsidRPr="003E4841">
        <w:rPr>
          <w:i/>
          <w:iCs/>
          <w:lang w:val="fr-FR"/>
        </w:rPr>
        <w:tab/>
      </w:r>
      <w:r w:rsidR="007F64C3" w:rsidRPr="003E4841">
        <w:rPr>
          <w:i/>
          <w:iCs/>
          <w:lang w:val="fr-FR"/>
        </w:rPr>
        <w:t>Édition de 2020 du cyberexercice mondial de l'UIT</w:t>
      </w:r>
      <w:r w:rsidR="00062DE1" w:rsidRPr="003E4841">
        <w:rPr>
          <w:i/>
          <w:iCs/>
          <w:lang w:val="fr-FR"/>
        </w:rPr>
        <w:t>, y compris:</w:t>
      </w:r>
    </w:p>
    <w:p w14:paraId="786D8517" w14:textId="6D802674" w:rsidR="00A34F5F" w:rsidRPr="003E4841" w:rsidRDefault="00A0276B" w:rsidP="003E4841">
      <w:pPr>
        <w:pStyle w:val="enumlev2"/>
        <w:rPr>
          <w:rFonts w:eastAsia="Calibri"/>
          <w:lang w:val="fr-FR"/>
        </w:rPr>
      </w:pPr>
      <w:r w:rsidRPr="003E4841">
        <w:rPr>
          <w:rFonts w:eastAsia="Calibri"/>
          <w:lang w:val="fr-FR"/>
        </w:rPr>
        <w:t>•</w:t>
      </w:r>
      <w:r w:rsidRPr="003E4841">
        <w:rPr>
          <w:rFonts w:eastAsia="Calibri"/>
          <w:lang w:val="fr-FR"/>
        </w:rPr>
        <w:tab/>
      </w:r>
      <w:r w:rsidR="00A34F5F" w:rsidRPr="003E4841">
        <w:rPr>
          <w:rFonts w:eastAsia="Calibri"/>
          <w:lang w:val="fr-FR"/>
        </w:rPr>
        <w:t xml:space="preserve">le Dialogue régional pour les États arabes: </w:t>
      </w:r>
      <w:r w:rsidR="0033670C" w:rsidRPr="003E4841">
        <w:rPr>
          <w:rFonts w:eastAsia="Calibri"/>
          <w:lang w:val="fr-FR"/>
        </w:rPr>
        <w:t>les CIRT et les enseignements tirés de la crise du COVID-19</w:t>
      </w:r>
      <w:r w:rsidR="00302119" w:rsidRPr="003E4841">
        <w:rPr>
          <w:rFonts w:eastAsia="Calibri"/>
          <w:lang w:val="fr-FR"/>
        </w:rPr>
        <w:t>, 22 septembre 2020;</w:t>
      </w:r>
    </w:p>
    <w:p w14:paraId="7FCA5FCB" w14:textId="49D65028" w:rsidR="00BC3B09" w:rsidRPr="003E4841" w:rsidRDefault="00A0276B" w:rsidP="003E4841">
      <w:pPr>
        <w:pStyle w:val="enumlev2"/>
        <w:rPr>
          <w:rFonts w:eastAsia="Calibri"/>
          <w:lang w:val="fr-FR"/>
        </w:rPr>
      </w:pPr>
      <w:r w:rsidRPr="003E4841">
        <w:rPr>
          <w:rFonts w:eastAsia="Calibri"/>
          <w:lang w:val="fr-FR"/>
        </w:rPr>
        <w:t>•</w:t>
      </w:r>
      <w:r w:rsidRPr="003E4841">
        <w:rPr>
          <w:rFonts w:eastAsia="Calibri"/>
          <w:lang w:val="fr-FR"/>
        </w:rPr>
        <w:tab/>
      </w:r>
      <w:r w:rsidR="00302119" w:rsidRPr="003E4841">
        <w:rPr>
          <w:bCs/>
          <w:szCs w:val="22"/>
          <w:lang w:val="fr-FR"/>
        </w:rPr>
        <w:t>le webinaire sur les femmes et la</w:t>
      </w:r>
      <w:r w:rsidR="00BC3B09" w:rsidRPr="003E4841">
        <w:rPr>
          <w:bCs/>
          <w:szCs w:val="22"/>
          <w:lang w:val="fr-FR"/>
        </w:rPr>
        <w:t xml:space="preserve"> cybersécurité</w:t>
      </w:r>
      <w:r w:rsidR="00302119" w:rsidRPr="003E4841">
        <w:rPr>
          <w:bCs/>
          <w:szCs w:val="22"/>
          <w:lang w:val="fr-FR"/>
        </w:rPr>
        <w:t>;</w:t>
      </w:r>
      <w:r w:rsidR="00BC3B09" w:rsidRPr="003E4841">
        <w:rPr>
          <w:rFonts w:eastAsia="Calibri"/>
          <w:lang w:val="fr-FR"/>
        </w:rPr>
        <w:t xml:space="preserve"> </w:t>
      </w:r>
    </w:p>
    <w:p w14:paraId="3B49C72A" w14:textId="2E1157AD" w:rsidR="00BC3B09" w:rsidRPr="003E4841" w:rsidRDefault="00A0276B" w:rsidP="003E4841">
      <w:pPr>
        <w:pStyle w:val="enumlev2"/>
        <w:rPr>
          <w:rFonts w:eastAsia="Calibri"/>
          <w:lang w:val="fr-FR"/>
        </w:rPr>
      </w:pPr>
      <w:r w:rsidRPr="003E4841">
        <w:rPr>
          <w:rFonts w:eastAsia="Calibri"/>
          <w:lang w:val="fr-FR"/>
        </w:rPr>
        <w:t>•</w:t>
      </w:r>
      <w:r w:rsidRPr="003E4841">
        <w:rPr>
          <w:rFonts w:eastAsia="Calibri"/>
          <w:lang w:val="fr-FR"/>
        </w:rPr>
        <w:tab/>
      </w:r>
      <w:r w:rsidR="00165A36" w:rsidRPr="003E4841">
        <w:rPr>
          <w:szCs w:val="22"/>
          <w:lang w:val="fr-FR"/>
        </w:rPr>
        <w:t>le webinaire sur la gestion des cybercrises;</w:t>
      </w:r>
    </w:p>
    <w:p w14:paraId="7179CEBE" w14:textId="02317EC3" w:rsidR="00BC3B09" w:rsidRPr="003E4841" w:rsidRDefault="00A0276B" w:rsidP="003E4841">
      <w:pPr>
        <w:pStyle w:val="enumlev2"/>
        <w:rPr>
          <w:rFonts w:eastAsia="Calibri"/>
          <w:lang w:val="fr-FR"/>
        </w:rPr>
      </w:pPr>
      <w:r w:rsidRPr="003E4841">
        <w:rPr>
          <w:rFonts w:eastAsia="Calibri"/>
          <w:lang w:val="fr-FR"/>
        </w:rPr>
        <w:t>•</w:t>
      </w:r>
      <w:r w:rsidRPr="003E4841">
        <w:rPr>
          <w:rFonts w:eastAsia="Calibri"/>
          <w:lang w:val="fr-FR"/>
        </w:rPr>
        <w:tab/>
      </w:r>
      <w:r w:rsidR="00EA7C45" w:rsidRPr="003E4841">
        <w:rPr>
          <w:rFonts w:eastAsia="Calibri"/>
          <w:lang w:val="fr-FR"/>
        </w:rPr>
        <w:t xml:space="preserve">le webinaire sur </w:t>
      </w:r>
      <w:r w:rsidR="00EA7C45" w:rsidRPr="003E4841">
        <w:rPr>
          <w:szCs w:val="22"/>
          <w:lang w:val="fr-FR"/>
        </w:rPr>
        <w:t>l</w:t>
      </w:r>
      <w:r w:rsidR="002450E8" w:rsidRPr="003E4841">
        <w:rPr>
          <w:szCs w:val="22"/>
          <w:lang w:val="fr-FR"/>
        </w:rPr>
        <w:t>'</w:t>
      </w:r>
      <w:r w:rsidR="00EA7C45" w:rsidRPr="003E4841">
        <w:rPr>
          <w:szCs w:val="22"/>
          <w:lang w:val="fr-FR"/>
        </w:rPr>
        <w:t>évaluation et l</w:t>
      </w:r>
      <w:r w:rsidR="002450E8" w:rsidRPr="003E4841">
        <w:rPr>
          <w:szCs w:val="22"/>
          <w:lang w:val="fr-FR"/>
        </w:rPr>
        <w:t>'</w:t>
      </w:r>
      <w:r w:rsidR="00EA7C45" w:rsidRPr="003E4841">
        <w:rPr>
          <w:szCs w:val="22"/>
          <w:lang w:val="fr-FR"/>
        </w:rPr>
        <w:t>amélioration de</w:t>
      </w:r>
      <w:r w:rsidR="00BC3B09" w:rsidRPr="003E4841">
        <w:rPr>
          <w:szCs w:val="22"/>
          <w:lang w:val="fr-FR"/>
        </w:rPr>
        <w:t xml:space="preserve"> la maturité des équipes CIRT</w:t>
      </w:r>
      <w:r w:rsidR="00EA7C45" w:rsidRPr="003E4841">
        <w:rPr>
          <w:rFonts w:eastAsia="Calibri"/>
          <w:lang w:val="fr-FR"/>
        </w:rPr>
        <w:t>;</w:t>
      </w:r>
    </w:p>
    <w:p w14:paraId="2CE1DF9B" w14:textId="172100A9" w:rsidR="00BC3B09" w:rsidRPr="003E4841" w:rsidRDefault="00A0276B" w:rsidP="003E4841">
      <w:pPr>
        <w:pStyle w:val="enumlev2"/>
        <w:rPr>
          <w:szCs w:val="22"/>
          <w:lang w:val="fr-FR"/>
        </w:rPr>
      </w:pPr>
      <w:r w:rsidRPr="003E4841">
        <w:rPr>
          <w:rFonts w:eastAsia="Calibri"/>
          <w:lang w:val="fr-FR"/>
        </w:rPr>
        <w:t>•</w:t>
      </w:r>
      <w:r w:rsidRPr="003E4841">
        <w:rPr>
          <w:rFonts w:eastAsia="Calibri"/>
          <w:lang w:val="fr-FR"/>
        </w:rPr>
        <w:tab/>
      </w:r>
      <w:r w:rsidR="000E0365" w:rsidRPr="003E4841">
        <w:rPr>
          <w:szCs w:val="22"/>
          <w:lang w:val="fr-FR"/>
        </w:rPr>
        <w:t xml:space="preserve">six </w:t>
      </w:r>
      <w:r w:rsidR="00BC3B09" w:rsidRPr="003E4841">
        <w:rPr>
          <w:szCs w:val="22"/>
          <w:lang w:val="fr-FR"/>
        </w:rPr>
        <w:t>séances de formation</w:t>
      </w:r>
      <w:r w:rsidR="000E0365" w:rsidRPr="003E4841">
        <w:rPr>
          <w:szCs w:val="22"/>
          <w:lang w:val="fr-FR"/>
        </w:rPr>
        <w:t>, qui ont été</w:t>
      </w:r>
      <w:r w:rsidR="00BC3B09" w:rsidRPr="003E4841">
        <w:rPr>
          <w:szCs w:val="22"/>
          <w:lang w:val="fr-FR"/>
        </w:rPr>
        <w:t xml:space="preserve"> l'occasion de débattre des moyens propres à renforcer efficacement les capacités de renseignement sur les cybermenaces (CTI), d'intervention en cas d'incident, de communication lors de la gestion des crises, de cybersécurité industrielle et d'intervention en cas d'incident, d'identification des fausses informations et de renseignements sur les</w:t>
      </w:r>
      <w:r w:rsidR="000E0365" w:rsidRPr="003E4841">
        <w:rPr>
          <w:szCs w:val="22"/>
          <w:lang w:val="fr-FR"/>
        </w:rPr>
        <w:t xml:space="preserve"> cybermenaces dans la pratique;</w:t>
      </w:r>
    </w:p>
    <w:p w14:paraId="5994A7B2" w14:textId="3AC0B137" w:rsidR="00A0276B" w:rsidRDefault="00A0276B" w:rsidP="005E6542">
      <w:pPr>
        <w:pStyle w:val="enumlev2"/>
        <w:spacing w:after="120"/>
        <w:rPr>
          <w:szCs w:val="22"/>
          <w:lang w:val="fr-FR"/>
        </w:rPr>
      </w:pPr>
      <w:r w:rsidRPr="003E4841">
        <w:rPr>
          <w:rFonts w:eastAsia="Calibri"/>
          <w:lang w:val="fr-FR"/>
        </w:rPr>
        <w:t>•</w:t>
      </w:r>
      <w:r w:rsidRPr="003E4841">
        <w:rPr>
          <w:rFonts w:eastAsia="Calibri"/>
          <w:lang w:val="fr-FR"/>
        </w:rPr>
        <w:tab/>
      </w:r>
      <w:r w:rsidR="000E0365" w:rsidRPr="003E4841">
        <w:rPr>
          <w:szCs w:val="22"/>
          <w:lang w:val="fr-FR"/>
        </w:rPr>
        <w:t xml:space="preserve">six </w:t>
      </w:r>
      <w:r w:rsidR="00BC3B09" w:rsidRPr="003E4841">
        <w:rPr>
          <w:szCs w:val="22"/>
          <w:lang w:val="fr-FR"/>
        </w:rPr>
        <w:t>exercices fondés sur des scénarios.</w:t>
      </w:r>
    </w:p>
    <w:tbl>
      <w:tblPr>
        <w:tblStyle w:val="TableGrid"/>
        <w:tblW w:w="0" w:type="auto"/>
        <w:shd w:val="clear" w:color="auto" w:fill="8EAADB" w:themeFill="accent5" w:themeFillTint="99"/>
        <w:tblLook w:val="04A0" w:firstRow="1" w:lastRow="0" w:firstColumn="1" w:lastColumn="0" w:noHBand="0" w:noVBand="1"/>
      </w:tblPr>
      <w:tblGrid>
        <w:gridCol w:w="9631"/>
      </w:tblGrid>
      <w:tr w:rsidR="005E6542" w:rsidRPr="00E30FF2" w14:paraId="09EFB362" w14:textId="77777777" w:rsidTr="005E6542">
        <w:tc>
          <w:tcPr>
            <w:tcW w:w="9631" w:type="dxa"/>
            <w:shd w:val="clear" w:color="auto" w:fill="8EAADB" w:themeFill="accent5" w:themeFillTint="99"/>
          </w:tcPr>
          <w:p w14:paraId="081432DB" w14:textId="3111CAE3" w:rsidR="005E6542" w:rsidRDefault="005E6542" w:rsidP="005E6542">
            <w:pPr>
              <w:spacing w:after="120"/>
              <w:rPr>
                <w:lang w:val="fr-FR"/>
              </w:rPr>
            </w:pPr>
            <w:r w:rsidRPr="005E6542">
              <w:rPr>
                <w:b/>
                <w:bCs/>
                <w:iCs/>
                <w:lang w:val="fr-FR"/>
              </w:rPr>
              <w:t>Différents modèles de cadres stratégiques et réglementaires ainsi que des rapports thématiques ont été élaborés concernant la cybersécurité et la protection en ligne des enfants. Une assistance directe a également été fournie à plusieurs pays de la région des États arabes</w:t>
            </w:r>
          </w:p>
        </w:tc>
      </w:tr>
    </w:tbl>
    <w:p w14:paraId="69648462" w14:textId="744F60DA" w:rsidR="00BC3B09" w:rsidRPr="003E4841" w:rsidRDefault="00BC3B09" w:rsidP="00643CB4">
      <w:pPr>
        <w:pStyle w:val="enumlev1"/>
        <w:spacing w:before="120"/>
        <w:rPr>
          <w:i/>
          <w:iCs/>
          <w:lang w:val="fr-FR"/>
        </w:rPr>
      </w:pPr>
      <w:r w:rsidRPr="003E4841">
        <w:rPr>
          <w:i/>
          <w:iCs/>
          <w:lang w:val="fr-FR"/>
        </w:rPr>
        <w:t>–</w:t>
      </w:r>
      <w:r w:rsidRPr="003E4841">
        <w:rPr>
          <w:i/>
          <w:iCs/>
          <w:lang w:val="fr-FR"/>
        </w:rPr>
        <w:tab/>
        <w:t xml:space="preserve">Assistance </w:t>
      </w:r>
      <w:r w:rsidR="00C3774F" w:rsidRPr="003E4841">
        <w:rPr>
          <w:i/>
          <w:iCs/>
          <w:lang w:val="fr-FR"/>
        </w:rPr>
        <w:t>au Soudan pour l</w:t>
      </w:r>
      <w:r w:rsidR="002450E8" w:rsidRPr="003E4841">
        <w:rPr>
          <w:i/>
          <w:iCs/>
          <w:lang w:val="fr-FR"/>
        </w:rPr>
        <w:t>'</w:t>
      </w:r>
      <w:r w:rsidR="00C3774F" w:rsidRPr="003E4841">
        <w:rPr>
          <w:i/>
          <w:iCs/>
          <w:lang w:val="fr-FR"/>
        </w:rPr>
        <w:t>élaboration de sa stratégie nationale en matière de protection en ligne des enfants, décembre 2018.</w:t>
      </w:r>
    </w:p>
    <w:p w14:paraId="5037998A" w14:textId="578A0EB2" w:rsidR="00BC3B09" w:rsidRPr="003E4841" w:rsidRDefault="00BC3B09" w:rsidP="003E4841">
      <w:pPr>
        <w:pStyle w:val="enumlev1"/>
        <w:rPr>
          <w:i/>
          <w:iCs/>
          <w:lang w:val="fr-FR"/>
        </w:rPr>
      </w:pPr>
      <w:r w:rsidRPr="003E4841">
        <w:rPr>
          <w:i/>
          <w:iCs/>
          <w:lang w:val="fr-FR"/>
        </w:rPr>
        <w:t>–</w:t>
      </w:r>
      <w:r w:rsidRPr="003E4841">
        <w:rPr>
          <w:i/>
          <w:iCs/>
          <w:lang w:val="fr-FR"/>
        </w:rPr>
        <w:tab/>
      </w:r>
      <w:r w:rsidR="00C3774F" w:rsidRPr="003E4841">
        <w:rPr>
          <w:i/>
          <w:iCs/>
          <w:lang w:val="fr-FR"/>
        </w:rPr>
        <w:t>Stratégie nationale de la Mauritanie en matière d</w:t>
      </w:r>
      <w:r w:rsidR="00643CB4">
        <w:rPr>
          <w:i/>
          <w:iCs/>
          <w:lang w:val="fr-FR"/>
        </w:rPr>
        <w:t>e cybersécurité pour la période </w:t>
      </w:r>
      <w:r w:rsidR="00C3774F" w:rsidRPr="003E4841">
        <w:rPr>
          <w:i/>
          <w:iCs/>
          <w:lang w:val="fr-FR"/>
        </w:rPr>
        <w:t>2019</w:t>
      </w:r>
      <w:r w:rsidR="00A12213" w:rsidRPr="003E4841">
        <w:rPr>
          <w:i/>
          <w:iCs/>
          <w:lang w:val="fr-FR"/>
        </w:rPr>
        <w:noBreakHyphen/>
      </w:r>
      <w:r w:rsidR="00C3774F" w:rsidRPr="003E4841">
        <w:rPr>
          <w:i/>
          <w:iCs/>
          <w:lang w:val="fr-FR"/>
        </w:rPr>
        <w:t>2022, septembre 2019.</w:t>
      </w:r>
    </w:p>
    <w:p w14:paraId="000A193B" w14:textId="7282E78D" w:rsidR="00BC3B09" w:rsidRPr="003E4841" w:rsidRDefault="00BC3B09" w:rsidP="003E4841">
      <w:pPr>
        <w:pStyle w:val="enumlev1"/>
        <w:rPr>
          <w:i/>
          <w:iCs/>
          <w:lang w:val="fr-FR"/>
        </w:rPr>
      </w:pPr>
      <w:r w:rsidRPr="003E4841">
        <w:rPr>
          <w:i/>
          <w:iCs/>
          <w:lang w:val="fr-FR"/>
        </w:rPr>
        <w:t>–</w:t>
      </w:r>
      <w:r w:rsidRPr="003E4841">
        <w:rPr>
          <w:i/>
          <w:iCs/>
          <w:lang w:val="fr-FR"/>
        </w:rPr>
        <w:tab/>
      </w:r>
      <w:r w:rsidR="00C3774F" w:rsidRPr="003E4841">
        <w:rPr>
          <w:i/>
          <w:iCs/>
          <w:lang w:val="fr-FR"/>
        </w:rPr>
        <w:t>Rapport sur l</w:t>
      </w:r>
      <w:r w:rsidR="002450E8" w:rsidRPr="003E4841">
        <w:rPr>
          <w:i/>
          <w:iCs/>
          <w:lang w:val="fr-FR"/>
        </w:rPr>
        <w:t>'</w:t>
      </w:r>
      <w:r w:rsidR="00C3774F" w:rsidRPr="003E4841">
        <w:rPr>
          <w:i/>
          <w:iCs/>
          <w:lang w:val="fr-FR"/>
        </w:rPr>
        <w:t>évaluation de l</w:t>
      </w:r>
      <w:r w:rsidR="002450E8" w:rsidRPr="003E4841">
        <w:rPr>
          <w:i/>
          <w:iCs/>
          <w:lang w:val="fr-FR"/>
        </w:rPr>
        <w:t>'</w:t>
      </w:r>
      <w:r w:rsidR="00C3774F" w:rsidRPr="003E4841">
        <w:rPr>
          <w:i/>
          <w:iCs/>
          <w:lang w:val="fr-FR"/>
        </w:rPr>
        <w:t>état de préparation à la création de CIRT en Mauritanie, 2019.</w:t>
      </w:r>
    </w:p>
    <w:p w14:paraId="1E769499" w14:textId="141D3E69" w:rsidR="00BC3B09" w:rsidRPr="003E4841" w:rsidRDefault="00BC3B09" w:rsidP="003E4841">
      <w:pPr>
        <w:pStyle w:val="enumlev1"/>
        <w:rPr>
          <w:i/>
          <w:iCs/>
          <w:lang w:val="fr-FR"/>
        </w:rPr>
      </w:pPr>
      <w:r w:rsidRPr="003E4841">
        <w:rPr>
          <w:i/>
          <w:iCs/>
          <w:lang w:val="fr-FR"/>
        </w:rPr>
        <w:t>–</w:t>
      </w:r>
      <w:r w:rsidRPr="003E4841">
        <w:rPr>
          <w:i/>
          <w:iCs/>
          <w:lang w:val="fr-FR"/>
        </w:rPr>
        <w:tab/>
      </w:r>
      <w:r w:rsidR="00C3774F" w:rsidRPr="003E4841">
        <w:rPr>
          <w:i/>
          <w:iCs/>
          <w:lang w:val="fr-FR"/>
        </w:rPr>
        <w:t>P</w:t>
      </w:r>
      <w:r w:rsidR="009A2B8A" w:rsidRPr="003E4841">
        <w:rPr>
          <w:i/>
          <w:iCs/>
          <w:lang w:val="fr-FR"/>
        </w:rPr>
        <w:t xml:space="preserve">rojet </w:t>
      </w:r>
      <w:r w:rsidR="002450E8" w:rsidRPr="003E4841">
        <w:rPr>
          <w:i/>
          <w:iCs/>
          <w:lang w:val="fr-FR"/>
        </w:rPr>
        <w:t>"</w:t>
      </w:r>
      <w:r w:rsidR="009A2B8A" w:rsidRPr="003E4841">
        <w:rPr>
          <w:i/>
          <w:iCs/>
          <w:lang w:val="fr-FR"/>
        </w:rPr>
        <w:t>Mise en œuvre de services CIRT et des capacités connexes</w:t>
      </w:r>
      <w:r w:rsidR="002450E8" w:rsidRPr="003E4841">
        <w:rPr>
          <w:i/>
          <w:iCs/>
          <w:lang w:val="fr-FR"/>
        </w:rPr>
        <w:t>"</w:t>
      </w:r>
      <w:r w:rsidR="005E7CA2" w:rsidRPr="003E4841">
        <w:rPr>
          <w:i/>
          <w:iCs/>
          <w:lang w:val="fr-FR"/>
        </w:rPr>
        <w:t xml:space="preserve">, lancé en Palestine, </w:t>
      </w:r>
      <w:r w:rsidR="00C3774F" w:rsidRPr="003E4841">
        <w:rPr>
          <w:i/>
          <w:iCs/>
          <w:lang w:val="fr-FR"/>
        </w:rPr>
        <w:t>visant à mettre en place et à déployer</w:t>
      </w:r>
      <w:r w:rsidR="009A2B8A" w:rsidRPr="003E4841">
        <w:rPr>
          <w:i/>
          <w:iCs/>
          <w:lang w:val="fr-FR"/>
        </w:rPr>
        <w:t xml:space="preserve"> des capacités techniques et des formations associées nécessaires pour mettre en plac</w:t>
      </w:r>
      <w:r w:rsidR="00C3774F" w:rsidRPr="003E4841">
        <w:rPr>
          <w:i/>
          <w:iCs/>
          <w:lang w:val="fr-FR"/>
        </w:rPr>
        <w:t xml:space="preserve">e l'équipe CIRT de la Palestine, </w:t>
      </w:r>
      <w:r w:rsidR="005E7CA2" w:rsidRPr="003E4841">
        <w:rPr>
          <w:i/>
          <w:iCs/>
          <w:lang w:val="fr-FR"/>
        </w:rPr>
        <w:t>2019.</w:t>
      </w:r>
    </w:p>
    <w:p w14:paraId="235F2874" w14:textId="5564DFC9" w:rsidR="005E7CA2" w:rsidRPr="003E4841" w:rsidRDefault="00BC3B09" w:rsidP="003E4841">
      <w:pPr>
        <w:pStyle w:val="enumlev1"/>
        <w:rPr>
          <w:i/>
          <w:iCs/>
          <w:lang w:val="fr-FR"/>
        </w:rPr>
      </w:pPr>
      <w:r w:rsidRPr="003E4841">
        <w:rPr>
          <w:i/>
          <w:iCs/>
          <w:lang w:val="fr-FR"/>
        </w:rPr>
        <w:t>–</w:t>
      </w:r>
      <w:r w:rsidRPr="003E4841">
        <w:rPr>
          <w:i/>
          <w:iCs/>
          <w:lang w:val="fr-FR"/>
        </w:rPr>
        <w:tab/>
      </w:r>
      <w:r w:rsidR="00AF3795" w:rsidRPr="003E4841">
        <w:rPr>
          <w:i/>
          <w:iCs/>
          <w:lang w:val="fr-FR"/>
        </w:rPr>
        <w:t>Feuille de route à l</w:t>
      </w:r>
      <w:r w:rsidR="002450E8" w:rsidRPr="003E4841">
        <w:rPr>
          <w:i/>
          <w:iCs/>
          <w:lang w:val="fr-FR"/>
        </w:rPr>
        <w:t>'</w:t>
      </w:r>
      <w:r w:rsidR="00AF3795" w:rsidRPr="003E4841">
        <w:rPr>
          <w:i/>
          <w:iCs/>
          <w:lang w:val="fr-FR"/>
        </w:rPr>
        <w:t>intention du Soudan concernant la cybersécurité de l</w:t>
      </w:r>
      <w:r w:rsidR="002450E8" w:rsidRPr="003E4841">
        <w:rPr>
          <w:i/>
          <w:iCs/>
          <w:lang w:val="fr-FR"/>
        </w:rPr>
        <w:t>'</w:t>
      </w:r>
      <w:r w:rsidR="00AF3795" w:rsidRPr="003E4841">
        <w:rPr>
          <w:i/>
          <w:iCs/>
          <w:lang w:val="fr-FR"/>
        </w:rPr>
        <w:t xml:space="preserve">infrastructure essentielle </w:t>
      </w:r>
      <w:r w:rsidR="00AA6997" w:rsidRPr="003E4841">
        <w:rPr>
          <w:i/>
          <w:iCs/>
          <w:lang w:val="fr-FR"/>
        </w:rPr>
        <w:t>dans le domaine</w:t>
      </w:r>
      <w:r w:rsidR="00AF3795" w:rsidRPr="003E4841">
        <w:rPr>
          <w:i/>
          <w:iCs/>
          <w:lang w:val="fr-FR"/>
        </w:rPr>
        <w:t xml:space="preserve"> des ICS et des OT, mars 2020.</w:t>
      </w:r>
    </w:p>
    <w:p w14:paraId="2EAADE76" w14:textId="06EA8506" w:rsidR="009A2B8A" w:rsidRPr="003E4841" w:rsidRDefault="009A2B8A" w:rsidP="003E4841">
      <w:pPr>
        <w:pStyle w:val="Headingb"/>
        <w:rPr>
          <w:lang w:val="fr-FR"/>
        </w:rPr>
      </w:pPr>
      <w:bookmarkStart w:id="1" w:name="_Toc496877168"/>
      <w:r w:rsidRPr="003E4841">
        <w:rPr>
          <w:lang w:val="fr-FR"/>
        </w:rPr>
        <w:t>ARB3:</w:t>
      </w:r>
      <w:r w:rsidR="00CB1208" w:rsidRPr="003E4841">
        <w:rPr>
          <w:lang w:val="fr-FR"/>
        </w:rPr>
        <w:t xml:space="preserve"> </w:t>
      </w:r>
      <w:r w:rsidRPr="003E4841">
        <w:rPr>
          <w:lang w:val="fr-FR"/>
        </w:rPr>
        <w:t>Inclusion financière numérique</w:t>
      </w:r>
      <w:bookmarkEnd w:id="1"/>
    </w:p>
    <w:p w14:paraId="3DD1B498" w14:textId="6C252C28" w:rsidR="00A0276B" w:rsidRPr="003E4841" w:rsidRDefault="009A2B8A" w:rsidP="003E4841">
      <w:pPr>
        <w:rPr>
          <w:lang w:val="fr-FR"/>
        </w:rPr>
      </w:pPr>
      <w:r w:rsidRPr="003E4841">
        <w:rPr>
          <w:b/>
          <w:bCs/>
          <w:szCs w:val="24"/>
          <w:lang w:val="fr-FR"/>
        </w:rPr>
        <w:t>Objectif</w:t>
      </w:r>
      <w:r w:rsidRPr="003E4841">
        <w:rPr>
          <w:szCs w:val="24"/>
          <w:lang w:val="fr-FR"/>
        </w:rPr>
        <w:t>: Favoriser et permettre l'accès aux services financiers numériques et l'utilisation de ces services, grâce à l'utilisation des télécommunications et des technologies de l'information, et assurer des niveaux élevés d'inclusion financière numérique.</w:t>
      </w:r>
    </w:p>
    <w:p w14:paraId="3C6D9923" w14:textId="404A9A46" w:rsidR="009A2B8A" w:rsidRPr="003E4841" w:rsidRDefault="009A2B8A" w:rsidP="003E4841">
      <w:pPr>
        <w:rPr>
          <w:lang w:val="fr-FR"/>
        </w:rPr>
      </w:pPr>
      <w:r w:rsidRPr="003E4841">
        <w:rPr>
          <w:lang w:val="fr-FR"/>
        </w:rPr>
        <w:t>Pour atteindre les résultats attendus des initiatives régionales de l'UIT, différentes activités ont été menées au cours de la période 2018</w:t>
      </w:r>
      <w:r w:rsidRPr="003E4841">
        <w:rPr>
          <w:lang w:val="fr-FR"/>
        </w:rPr>
        <w:noBreakHyphen/>
        <w:t>2020 pour</w:t>
      </w:r>
      <w:r w:rsidR="00AA6997" w:rsidRPr="003E4841">
        <w:rPr>
          <w:lang w:val="fr-FR"/>
        </w:rPr>
        <w:t xml:space="preserve"> créer des environnements favorables </w:t>
      </w:r>
      <w:r w:rsidR="00D73D79" w:rsidRPr="003E4841">
        <w:rPr>
          <w:lang w:val="fr-FR"/>
        </w:rPr>
        <w:t>à l</w:t>
      </w:r>
      <w:r w:rsidR="002450E8" w:rsidRPr="003E4841">
        <w:rPr>
          <w:lang w:val="fr-FR"/>
        </w:rPr>
        <w:t>'</w:t>
      </w:r>
      <w:r w:rsidR="00D73D79" w:rsidRPr="003E4841">
        <w:rPr>
          <w:lang w:val="fr-FR"/>
        </w:rPr>
        <w:t xml:space="preserve">inclusion </w:t>
      </w:r>
      <w:r w:rsidR="005E5C9E" w:rsidRPr="003E4841">
        <w:rPr>
          <w:lang w:val="fr-FR"/>
        </w:rPr>
        <w:t>financière numérique, au renforcement des capacités et à la sensibilisation des Membres au sein de la région</w:t>
      </w:r>
      <w:r w:rsidRPr="003E4841">
        <w:rPr>
          <w:lang w:val="fr-FR"/>
        </w:rPr>
        <w:t>.</w:t>
      </w:r>
    </w:p>
    <w:p w14:paraId="54742911" w14:textId="77777777" w:rsidR="00643CB4" w:rsidRDefault="00643CB4" w:rsidP="003E4841">
      <w:pPr>
        <w:rPr>
          <w:b/>
          <w:bCs/>
          <w:lang w:val="fr-FR"/>
        </w:rPr>
      </w:pPr>
      <w:r>
        <w:rPr>
          <w:b/>
          <w:bCs/>
          <w:lang w:val="fr-FR"/>
        </w:rPr>
        <w:br w:type="page"/>
      </w:r>
    </w:p>
    <w:p w14:paraId="393900BE" w14:textId="59BC3EDC" w:rsidR="005E5C9E" w:rsidRDefault="009A2B8A" w:rsidP="005E6542">
      <w:pPr>
        <w:spacing w:after="120"/>
        <w:rPr>
          <w:lang w:val="fr-FR"/>
        </w:rPr>
      </w:pPr>
      <w:r w:rsidRPr="003E4841">
        <w:rPr>
          <w:b/>
          <w:bCs/>
          <w:lang w:val="fr-FR"/>
        </w:rPr>
        <w:t>IMPACT</w:t>
      </w:r>
      <w:r w:rsidRPr="003E4841">
        <w:rPr>
          <w:lang w:val="fr-FR"/>
        </w:rPr>
        <w:t xml:space="preserve">: </w:t>
      </w:r>
      <w:r w:rsidR="005E5C9E" w:rsidRPr="003E4841">
        <w:rPr>
          <w:lang w:val="fr-FR"/>
        </w:rPr>
        <w:t>Six partenariats stratégiques ont été mis en place, notamment avec la Banque mondiale, la Fondation Bill et Melinda Gates, Meem Ain, la CESAO</w:t>
      </w:r>
      <w:r w:rsidR="00E02C13" w:rsidRPr="003E4841">
        <w:rPr>
          <w:lang w:val="fr-FR"/>
        </w:rPr>
        <w:t xml:space="preserve"> des Nations Unies</w:t>
      </w:r>
      <w:r w:rsidR="005E5C9E" w:rsidRPr="003E4841">
        <w:rPr>
          <w:lang w:val="fr-FR"/>
        </w:rPr>
        <w:t xml:space="preserve"> et l</w:t>
      </w:r>
      <w:r w:rsidR="002450E8" w:rsidRPr="003E4841">
        <w:rPr>
          <w:lang w:val="fr-FR"/>
        </w:rPr>
        <w:t>'</w:t>
      </w:r>
      <w:r w:rsidR="00E02C13" w:rsidRPr="003E4841">
        <w:rPr>
          <w:lang w:val="fr-FR"/>
        </w:rPr>
        <w:t>UNESCO.</w:t>
      </w:r>
      <w:r w:rsidR="00024957" w:rsidRPr="003E4841">
        <w:rPr>
          <w:lang w:val="fr-FR"/>
        </w:rPr>
        <w:t xml:space="preserve"> </w:t>
      </w:r>
      <w:r w:rsidR="0077394F" w:rsidRPr="003E4841">
        <w:rPr>
          <w:lang w:val="fr-FR"/>
        </w:rPr>
        <w:t>L</w:t>
      </w:r>
      <w:r w:rsidR="002450E8" w:rsidRPr="003E4841">
        <w:rPr>
          <w:lang w:val="fr-FR"/>
        </w:rPr>
        <w:t>'</w:t>
      </w:r>
      <w:r w:rsidR="0077394F" w:rsidRPr="003E4841">
        <w:rPr>
          <w:lang w:val="fr-FR"/>
        </w:rPr>
        <w:t>UIT a organisé, c</w:t>
      </w:r>
      <w:r w:rsidR="00024957" w:rsidRPr="003E4841">
        <w:rPr>
          <w:lang w:val="fr-FR"/>
        </w:rPr>
        <w:t>onjointement avec l</w:t>
      </w:r>
      <w:r w:rsidR="002450E8" w:rsidRPr="003E4841">
        <w:rPr>
          <w:lang w:val="fr-FR"/>
        </w:rPr>
        <w:t>'</w:t>
      </w:r>
      <w:r w:rsidR="00024957" w:rsidRPr="003E4841">
        <w:rPr>
          <w:lang w:val="fr-FR"/>
        </w:rPr>
        <w:t xml:space="preserve">UNESCO et avec plus de 90 partenaires dans toute la région, </w:t>
      </w:r>
      <w:r w:rsidR="0077394F" w:rsidRPr="003E4841">
        <w:rPr>
          <w:lang w:val="fr-FR"/>
        </w:rPr>
        <w:t>une semaine annuelle consacrée à l</w:t>
      </w:r>
      <w:r w:rsidR="002450E8" w:rsidRPr="003E4841">
        <w:rPr>
          <w:lang w:val="fr-FR"/>
        </w:rPr>
        <w:t>'</w:t>
      </w:r>
      <w:r w:rsidR="0077394F" w:rsidRPr="003E4841">
        <w:rPr>
          <w:lang w:val="fr-FR"/>
        </w:rPr>
        <w:t>inclusion numérique et comprenant notamment des activités sur l</w:t>
      </w:r>
      <w:r w:rsidR="002450E8" w:rsidRPr="003E4841">
        <w:rPr>
          <w:lang w:val="fr-FR"/>
        </w:rPr>
        <w:t>'</w:t>
      </w:r>
      <w:r w:rsidR="0077394F" w:rsidRPr="003E4841">
        <w:rPr>
          <w:lang w:val="fr-FR"/>
        </w:rPr>
        <w:t xml:space="preserve">inclusion financière numérique. </w:t>
      </w:r>
      <w:r w:rsidR="00B879DF" w:rsidRPr="003E4841">
        <w:rPr>
          <w:lang w:val="fr-FR"/>
        </w:rPr>
        <w:t>Deux pays ont bénéficié d</w:t>
      </w:r>
      <w:r w:rsidR="002450E8" w:rsidRPr="003E4841">
        <w:rPr>
          <w:lang w:val="fr-FR"/>
        </w:rPr>
        <w:t>'</w:t>
      </w:r>
      <w:r w:rsidR="00B879DF" w:rsidRPr="003E4841">
        <w:rPr>
          <w:lang w:val="fr-FR"/>
        </w:rPr>
        <w:t>une assistance technique directe et un examen régional a été réalisé</w:t>
      </w:r>
      <w:r w:rsidR="0091004C" w:rsidRPr="003E4841">
        <w:rPr>
          <w:lang w:val="fr-FR"/>
        </w:rPr>
        <w:t xml:space="preserve">, ce qui permettra </w:t>
      </w:r>
      <w:r w:rsidR="00636045" w:rsidRPr="003E4841">
        <w:rPr>
          <w:lang w:val="fr-FR"/>
        </w:rPr>
        <w:t>de fournir une assistance directe plus ciblée et efficace à l</w:t>
      </w:r>
      <w:r w:rsidR="002450E8" w:rsidRPr="003E4841">
        <w:rPr>
          <w:lang w:val="fr-FR"/>
        </w:rPr>
        <w:t>'</w:t>
      </w:r>
      <w:r w:rsidR="00636045" w:rsidRPr="003E4841">
        <w:rPr>
          <w:lang w:val="fr-FR"/>
        </w:rPr>
        <w:t>avenir.</w:t>
      </w:r>
    </w:p>
    <w:tbl>
      <w:tblPr>
        <w:tblStyle w:val="TableGrid"/>
        <w:tblW w:w="0" w:type="auto"/>
        <w:shd w:val="clear" w:color="auto" w:fill="8EAADB" w:themeFill="accent5" w:themeFillTint="99"/>
        <w:tblLook w:val="04A0" w:firstRow="1" w:lastRow="0" w:firstColumn="1" w:lastColumn="0" w:noHBand="0" w:noVBand="1"/>
      </w:tblPr>
      <w:tblGrid>
        <w:gridCol w:w="9631"/>
      </w:tblGrid>
      <w:tr w:rsidR="005E6542" w14:paraId="055C38ED" w14:textId="77777777" w:rsidTr="005E6542">
        <w:tc>
          <w:tcPr>
            <w:tcW w:w="9631" w:type="dxa"/>
            <w:shd w:val="clear" w:color="auto" w:fill="8EAADB" w:themeFill="accent5" w:themeFillTint="99"/>
          </w:tcPr>
          <w:p w14:paraId="110EF1BA" w14:textId="2BEDE302" w:rsidR="005E6542" w:rsidRPr="005E6542" w:rsidRDefault="005E6542" w:rsidP="005E6542">
            <w:pPr>
              <w:spacing w:after="120"/>
              <w:rPr>
                <w:lang w:val="fr-FR"/>
              </w:rPr>
            </w:pPr>
            <w:r w:rsidRPr="005E6542">
              <w:rPr>
                <w:rFonts w:cs="Calibri"/>
                <w:b/>
                <w:bCs/>
                <w:iCs/>
                <w:szCs w:val="24"/>
                <w:lang w:val="fr-FR"/>
              </w:rPr>
              <w:t>Différentes activités ont été menées pour renforcer les capacités des parties prenantes des États arabes dans les domaines liés à l'inclusion financière numérique. Les activités étaient notamment les suivantes:</w:t>
            </w:r>
          </w:p>
        </w:tc>
      </w:tr>
    </w:tbl>
    <w:p w14:paraId="43E111FF" w14:textId="2E8ADEA6" w:rsidR="009A2B8A" w:rsidRPr="003E4841" w:rsidRDefault="009A2B8A" w:rsidP="003E4841">
      <w:pPr>
        <w:pStyle w:val="enumlev1"/>
        <w:rPr>
          <w:i/>
          <w:iCs/>
          <w:lang w:val="fr-FR"/>
        </w:rPr>
      </w:pPr>
      <w:r w:rsidRPr="003E4841">
        <w:rPr>
          <w:i/>
          <w:iCs/>
          <w:lang w:val="fr-FR"/>
        </w:rPr>
        <w:t>–</w:t>
      </w:r>
      <w:r w:rsidRPr="003E4841">
        <w:rPr>
          <w:i/>
          <w:iCs/>
          <w:lang w:val="fr-FR"/>
        </w:rPr>
        <w:tab/>
      </w:r>
      <w:r w:rsidR="00C64D73" w:rsidRPr="003E4841">
        <w:rPr>
          <w:i/>
          <w:iCs/>
          <w:lang w:val="fr-FR"/>
        </w:rPr>
        <w:t>Semaine de l'inclusion numérique pour l</w:t>
      </w:r>
      <w:r w:rsidR="00C36773" w:rsidRPr="003E4841">
        <w:rPr>
          <w:i/>
          <w:iCs/>
          <w:lang w:val="fr-FR"/>
        </w:rPr>
        <w:t>a région d</w:t>
      </w:r>
      <w:r w:rsidR="00C64D73" w:rsidRPr="003E4841">
        <w:rPr>
          <w:i/>
          <w:iCs/>
          <w:lang w:val="fr-FR"/>
        </w:rPr>
        <w:t>es États arabes, Le Caire (Égypte), 23</w:t>
      </w:r>
      <w:r w:rsidR="00A12213" w:rsidRPr="003E4841">
        <w:rPr>
          <w:i/>
          <w:iCs/>
          <w:lang w:val="fr-FR"/>
        </w:rPr>
        <w:noBreakHyphen/>
      </w:r>
      <w:r w:rsidR="00C64D73" w:rsidRPr="003E4841">
        <w:rPr>
          <w:i/>
          <w:iCs/>
          <w:lang w:val="fr-FR"/>
        </w:rPr>
        <w:t>28</w:t>
      </w:r>
      <w:r w:rsidR="00A12213" w:rsidRPr="003E4841">
        <w:rPr>
          <w:i/>
          <w:iCs/>
          <w:lang w:val="fr-FR"/>
        </w:rPr>
        <w:t> </w:t>
      </w:r>
      <w:r w:rsidR="00C64D73" w:rsidRPr="003E4841">
        <w:rPr>
          <w:i/>
          <w:iCs/>
          <w:lang w:val="fr-FR"/>
        </w:rPr>
        <w:t>septembre 2018.</w:t>
      </w:r>
    </w:p>
    <w:p w14:paraId="2C7C2FEA" w14:textId="1BF16691" w:rsidR="009A2B8A" w:rsidRPr="003E4841" w:rsidRDefault="009A2B8A" w:rsidP="003E4841">
      <w:pPr>
        <w:pStyle w:val="enumlev1"/>
        <w:rPr>
          <w:i/>
          <w:iCs/>
          <w:lang w:val="fr-FR"/>
        </w:rPr>
      </w:pPr>
      <w:r w:rsidRPr="003E4841">
        <w:rPr>
          <w:i/>
          <w:iCs/>
          <w:lang w:val="fr-FR"/>
        </w:rPr>
        <w:t>–</w:t>
      </w:r>
      <w:r w:rsidRPr="003E4841">
        <w:rPr>
          <w:i/>
          <w:iCs/>
          <w:lang w:val="fr-FR"/>
        </w:rPr>
        <w:tab/>
      </w:r>
      <w:r w:rsidR="008D3CD9" w:rsidRPr="003E4841">
        <w:rPr>
          <w:i/>
          <w:iCs/>
          <w:lang w:val="fr-FR"/>
        </w:rPr>
        <w:t>Forum de haut niveau sur l</w:t>
      </w:r>
      <w:r w:rsidR="002450E8" w:rsidRPr="003E4841">
        <w:rPr>
          <w:i/>
          <w:iCs/>
          <w:lang w:val="fr-FR"/>
        </w:rPr>
        <w:t>'</w:t>
      </w:r>
      <w:r w:rsidR="008D3CD9" w:rsidRPr="003E4841">
        <w:rPr>
          <w:i/>
          <w:iCs/>
          <w:lang w:val="fr-FR"/>
        </w:rPr>
        <w:t>inclusion numérique et clôture de la Semaine de l</w:t>
      </w:r>
      <w:r w:rsidR="002450E8" w:rsidRPr="003E4841">
        <w:rPr>
          <w:i/>
          <w:iCs/>
          <w:lang w:val="fr-FR"/>
        </w:rPr>
        <w:t>'</w:t>
      </w:r>
      <w:r w:rsidR="008D3CD9" w:rsidRPr="003E4841">
        <w:rPr>
          <w:i/>
          <w:iCs/>
          <w:lang w:val="fr-FR"/>
        </w:rPr>
        <w:t>inclusion numérique, Khartoum (Soudan), 27 septembre 2018.</w:t>
      </w:r>
    </w:p>
    <w:p w14:paraId="27C87143" w14:textId="520D56A8" w:rsidR="00A4779E" w:rsidRPr="003E4841" w:rsidRDefault="009A2B8A" w:rsidP="003E4841">
      <w:pPr>
        <w:pStyle w:val="enumlev1"/>
        <w:rPr>
          <w:i/>
          <w:iCs/>
          <w:lang w:val="fr-FR"/>
        </w:rPr>
      </w:pPr>
      <w:r w:rsidRPr="003E4841">
        <w:rPr>
          <w:i/>
          <w:iCs/>
          <w:lang w:val="fr-FR"/>
        </w:rPr>
        <w:t>–</w:t>
      </w:r>
      <w:r w:rsidRPr="003E4841">
        <w:rPr>
          <w:i/>
          <w:iCs/>
          <w:lang w:val="fr-FR"/>
        </w:rPr>
        <w:tab/>
      </w:r>
      <w:r w:rsidR="00A4779E" w:rsidRPr="003E4841">
        <w:rPr>
          <w:i/>
          <w:iCs/>
          <w:lang w:val="fr-FR"/>
        </w:rPr>
        <w:t>Atelier régional de l</w:t>
      </w:r>
      <w:r w:rsidR="002450E8" w:rsidRPr="003E4841">
        <w:rPr>
          <w:i/>
          <w:iCs/>
          <w:lang w:val="fr-FR"/>
        </w:rPr>
        <w:t>'</w:t>
      </w:r>
      <w:r w:rsidR="00A4779E" w:rsidRPr="003E4841">
        <w:rPr>
          <w:i/>
          <w:iCs/>
          <w:lang w:val="fr-FR"/>
        </w:rPr>
        <w:t xml:space="preserve">UIT sur le thème </w:t>
      </w:r>
      <w:r w:rsidR="002450E8" w:rsidRPr="003E4841">
        <w:rPr>
          <w:i/>
          <w:iCs/>
          <w:lang w:val="fr-FR"/>
        </w:rPr>
        <w:t>"</w:t>
      </w:r>
      <w:r w:rsidR="00A4779E" w:rsidRPr="003E4841">
        <w:rPr>
          <w:i/>
          <w:iCs/>
          <w:lang w:val="fr-FR"/>
        </w:rPr>
        <w:t>Sécuriser l</w:t>
      </w:r>
      <w:r w:rsidR="002450E8" w:rsidRPr="003E4841">
        <w:rPr>
          <w:i/>
          <w:iCs/>
          <w:lang w:val="fr-FR"/>
        </w:rPr>
        <w:t>'</w:t>
      </w:r>
      <w:r w:rsidR="00A4779E" w:rsidRPr="003E4841">
        <w:rPr>
          <w:i/>
          <w:iCs/>
          <w:lang w:val="fr-FR"/>
        </w:rPr>
        <w:t>infrastructure essentielle du secteur financier</w:t>
      </w:r>
      <w:r w:rsidR="002450E8" w:rsidRPr="003E4841">
        <w:rPr>
          <w:i/>
          <w:iCs/>
          <w:lang w:val="fr-FR"/>
        </w:rPr>
        <w:t>"</w:t>
      </w:r>
      <w:r w:rsidR="00A4779E" w:rsidRPr="003E4841">
        <w:rPr>
          <w:i/>
          <w:iCs/>
          <w:lang w:val="fr-FR"/>
        </w:rPr>
        <w:t>, Le Caire (Égypte), 14-15 octobre 2018.</w:t>
      </w:r>
    </w:p>
    <w:p w14:paraId="45010574" w14:textId="3657CFDA" w:rsidR="009A2B8A" w:rsidRPr="003E4841" w:rsidRDefault="009A2B8A" w:rsidP="003E4841">
      <w:pPr>
        <w:pStyle w:val="enumlev1"/>
        <w:rPr>
          <w:i/>
          <w:iCs/>
          <w:lang w:val="fr-FR"/>
        </w:rPr>
      </w:pPr>
      <w:r w:rsidRPr="003E4841">
        <w:rPr>
          <w:i/>
          <w:iCs/>
          <w:lang w:val="fr-FR"/>
        </w:rPr>
        <w:t>–</w:t>
      </w:r>
      <w:r w:rsidRPr="003E4841">
        <w:rPr>
          <w:i/>
          <w:iCs/>
          <w:lang w:val="fr-FR"/>
        </w:rPr>
        <w:tab/>
      </w:r>
      <w:r w:rsidR="00FF2AA3" w:rsidRPr="003E4841">
        <w:rPr>
          <w:i/>
          <w:iCs/>
          <w:lang w:val="fr-FR"/>
        </w:rPr>
        <w:t>Formation de l</w:t>
      </w:r>
      <w:r w:rsidR="002450E8" w:rsidRPr="003E4841">
        <w:rPr>
          <w:i/>
          <w:iCs/>
          <w:lang w:val="fr-FR"/>
        </w:rPr>
        <w:t>'</w:t>
      </w:r>
      <w:r w:rsidR="00FF2AA3" w:rsidRPr="003E4841">
        <w:rPr>
          <w:i/>
          <w:iCs/>
          <w:lang w:val="fr-FR"/>
        </w:rPr>
        <w:t>UIT sur l</w:t>
      </w:r>
      <w:r w:rsidR="002450E8" w:rsidRPr="003E4841">
        <w:rPr>
          <w:i/>
          <w:iCs/>
          <w:lang w:val="fr-FR"/>
        </w:rPr>
        <w:t>'</w:t>
      </w:r>
      <w:r w:rsidR="00FF2AA3" w:rsidRPr="003E4841">
        <w:rPr>
          <w:i/>
          <w:iCs/>
          <w:lang w:val="fr-FR"/>
        </w:rPr>
        <w:t>accessibilité du web à l</w:t>
      </w:r>
      <w:r w:rsidR="002450E8" w:rsidRPr="003E4841">
        <w:rPr>
          <w:i/>
          <w:iCs/>
          <w:lang w:val="fr-FR"/>
        </w:rPr>
        <w:t>'</w:t>
      </w:r>
      <w:r w:rsidR="00FF2AA3" w:rsidRPr="003E4841">
        <w:rPr>
          <w:i/>
          <w:iCs/>
          <w:lang w:val="fr-FR"/>
        </w:rPr>
        <w:t xml:space="preserve">intention des </w:t>
      </w:r>
      <w:r w:rsidR="00471A57" w:rsidRPr="003E4841">
        <w:rPr>
          <w:i/>
          <w:iCs/>
          <w:lang w:val="fr-FR"/>
        </w:rPr>
        <w:t>concepteurs de sites</w:t>
      </w:r>
      <w:r w:rsidR="00FF2AA3" w:rsidRPr="003E4841">
        <w:rPr>
          <w:i/>
          <w:iCs/>
          <w:lang w:val="fr-FR"/>
        </w:rPr>
        <w:t xml:space="preserve"> web du secteur bancaire, Le Caire (Égypte), 16-18 octobre 2018.</w:t>
      </w:r>
    </w:p>
    <w:p w14:paraId="5FD74BB4" w14:textId="380660DF" w:rsidR="00471A57" w:rsidRPr="003E4841" w:rsidRDefault="009A2B8A" w:rsidP="003E4841">
      <w:pPr>
        <w:pStyle w:val="enumlev1"/>
        <w:rPr>
          <w:i/>
          <w:iCs/>
          <w:lang w:val="fr-FR"/>
        </w:rPr>
      </w:pPr>
      <w:r w:rsidRPr="003E4841">
        <w:rPr>
          <w:i/>
          <w:iCs/>
          <w:lang w:val="fr-FR"/>
        </w:rPr>
        <w:t>–</w:t>
      </w:r>
      <w:r w:rsidRPr="003E4841">
        <w:rPr>
          <w:i/>
          <w:iCs/>
          <w:lang w:val="fr-FR"/>
        </w:rPr>
        <w:tab/>
      </w:r>
      <w:r w:rsidR="00471A57" w:rsidRPr="003E4841">
        <w:rPr>
          <w:i/>
          <w:iCs/>
          <w:lang w:val="fr-FR"/>
        </w:rPr>
        <w:t>Édition de 2019 du Colloque FIGI, Le Caire (Égypte), 22-24 janvier 2019.</w:t>
      </w:r>
    </w:p>
    <w:p w14:paraId="28555A56" w14:textId="427F9D91" w:rsidR="00471A57" w:rsidRPr="003E4841" w:rsidRDefault="009A2B8A" w:rsidP="003E4841">
      <w:pPr>
        <w:pStyle w:val="enumlev1"/>
        <w:rPr>
          <w:i/>
          <w:iCs/>
          <w:lang w:val="fr-FR"/>
        </w:rPr>
      </w:pPr>
      <w:r w:rsidRPr="003E4841">
        <w:rPr>
          <w:i/>
          <w:iCs/>
          <w:lang w:val="fr-FR"/>
        </w:rPr>
        <w:t>–</w:t>
      </w:r>
      <w:r w:rsidRPr="003E4841">
        <w:rPr>
          <w:i/>
          <w:iCs/>
          <w:lang w:val="fr-FR"/>
        </w:rPr>
        <w:tab/>
      </w:r>
      <w:r w:rsidR="00471A57" w:rsidRPr="003E4841">
        <w:rPr>
          <w:i/>
          <w:iCs/>
          <w:lang w:val="fr-FR"/>
        </w:rPr>
        <w:t>Semaine de l</w:t>
      </w:r>
      <w:r w:rsidR="002450E8" w:rsidRPr="003E4841">
        <w:rPr>
          <w:i/>
          <w:iCs/>
          <w:lang w:val="fr-FR"/>
        </w:rPr>
        <w:t>'</w:t>
      </w:r>
      <w:r w:rsidR="00471A57" w:rsidRPr="003E4841">
        <w:rPr>
          <w:i/>
          <w:iCs/>
          <w:lang w:val="fr-FR"/>
        </w:rPr>
        <w:t xml:space="preserve">inclusion numérique </w:t>
      </w:r>
      <w:r w:rsidR="00C36773" w:rsidRPr="003E4841">
        <w:rPr>
          <w:i/>
          <w:iCs/>
          <w:lang w:val="fr-FR"/>
        </w:rPr>
        <w:t xml:space="preserve">à l'échelle </w:t>
      </w:r>
      <w:r w:rsidR="00471A57" w:rsidRPr="003E4841">
        <w:rPr>
          <w:i/>
          <w:iCs/>
          <w:lang w:val="fr-FR"/>
        </w:rPr>
        <w:t>régionale, organisée par l</w:t>
      </w:r>
      <w:r w:rsidR="002450E8" w:rsidRPr="003E4841">
        <w:rPr>
          <w:i/>
          <w:iCs/>
          <w:lang w:val="fr-FR"/>
        </w:rPr>
        <w:t>'</w:t>
      </w:r>
      <w:r w:rsidR="00471A57" w:rsidRPr="003E4841">
        <w:rPr>
          <w:i/>
          <w:iCs/>
          <w:lang w:val="fr-FR"/>
        </w:rPr>
        <w:t>UIT et l</w:t>
      </w:r>
      <w:r w:rsidR="002450E8" w:rsidRPr="003E4841">
        <w:rPr>
          <w:i/>
          <w:iCs/>
          <w:lang w:val="fr-FR"/>
        </w:rPr>
        <w:t>'</w:t>
      </w:r>
      <w:r w:rsidR="00471A57" w:rsidRPr="003E4841">
        <w:rPr>
          <w:i/>
          <w:iCs/>
          <w:lang w:val="fr-FR"/>
        </w:rPr>
        <w:t>UNESCO, 22</w:t>
      </w:r>
      <w:r w:rsidR="00A12213" w:rsidRPr="003E4841">
        <w:rPr>
          <w:i/>
          <w:iCs/>
          <w:lang w:val="fr-FR"/>
        </w:rPr>
        <w:noBreakHyphen/>
      </w:r>
      <w:r w:rsidR="00471A57" w:rsidRPr="003E4841">
        <w:rPr>
          <w:i/>
          <w:iCs/>
          <w:lang w:val="fr-FR"/>
        </w:rPr>
        <w:t>28 septembre 2019.</w:t>
      </w:r>
    </w:p>
    <w:p w14:paraId="03086106" w14:textId="5FDBC42A" w:rsidR="00471A57" w:rsidRPr="003E4841" w:rsidRDefault="009A2B8A" w:rsidP="003E4841">
      <w:pPr>
        <w:pStyle w:val="enumlev1"/>
        <w:rPr>
          <w:i/>
          <w:iCs/>
          <w:lang w:val="fr-FR"/>
        </w:rPr>
      </w:pPr>
      <w:r w:rsidRPr="003E4841">
        <w:rPr>
          <w:i/>
          <w:iCs/>
          <w:lang w:val="fr-FR"/>
        </w:rPr>
        <w:t>–</w:t>
      </w:r>
      <w:r w:rsidRPr="003E4841">
        <w:rPr>
          <w:i/>
          <w:iCs/>
          <w:lang w:val="fr-FR"/>
        </w:rPr>
        <w:tab/>
      </w:r>
      <w:r w:rsidR="00793F63" w:rsidRPr="003E4841">
        <w:rPr>
          <w:i/>
          <w:iCs/>
          <w:lang w:val="fr-FR"/>
        </w:rPr>
        <w:t>Atelier national en Iraq sur la cybersécurité des services financiers, 25 septembre 2019.</w:t>
      </w:r>
    </w:p>
    <w:p w14:paraId="189E4D35" w14:textId="08F23721" w:rsidR="009A2B8A" w:rsidRPr="003E4841" w:rsidRDefault="00793F63" w:rsidP="003E4841">
      <w:pPr>
        <w:pStyle w:val="enumlev1"/>
        <w:rPr>
          <w:i/>
          <w:iCs/>
          <w:lang w:val="fr-FR"/>
        </w:rPr>
      </w:pPr>
      <w:r w:rsidRPr="003E4841">
        <w:rPr>
          <w:i/>
          <w:iCs/>
          <w:lang w:val="fr-FR"/>
        </w:rPr>
        <w:t>–</w:t>
      </w:r>
      <w:r w:rsidRPr="003E4841">
        <w:rPr>
          <w:i/>
          <w:iCs/>
          <w:lang w:val="fr-FR"/>
        </w:rPr>
        <w:tab/>
        <w:t>Semaine de l'inclusion numérique pour l</w:t>
      </w:r>
      <w:r w:rsidR="00C36773" w:rsidRPr="003E4841">
        <w:rPr>
          <w:i/>
          <w:iCs/>
          <w:lang w:val="fr-FR"/>
        </w:rPr>
        <w:t>a région d</w:t>
      </w:r>
      <w:r w:rsidRPr="003E4841">
        <w:rPr>
          <w:i/>
          <w:iCs/>
          <w:lang w:val="fr-FR"/>
        </w:rPr>
        <w:t>es États arabes organisée par l</w:t>
      </w:r>
      <w:r w:rsidR="002450E8" w:rsidRPr="003E4841">
        <w:rPr>
          <w:i/>
          <w:iCs/>
          <w:lang w:val="fr-FR"/>
        </w:rPr>
        <w:t>'</w:t>
      </w:r>
      <w:r w:rsidRPr="003E4841">
        <w:rPr>
          <w:i/>
          <w:iCs/>
          <w:lang w:val="fr-FR"/>
        </w:rPr>
        <w:t>UIT et l</w:t>
      </w:r>
      <w:r w:rsidR="002450E8" w:rsidRPr="003E4841">
        <w:rPr>
          <w:i/>
          <w:iCs/>
          <w:lang w:val="fr-FR"/>
        </w:rPr>
        <w:t>'</w:t>
      </w:r>
      <w:r w:rsidRPr="003E4841">
        <w:rPr>
          <w:i/>
          <w:iCs/>
          <w:lang w:val="fr-FR"/>
        </w:rPr>
        <w:t>UNESCO, 25-30 octobre 2020.</w:t>
      </w:r>
    </w:p>
    <w:p w14:paraId="10836483" w14:textId="115E2E8B" w:rsidR="00793F63" w:rsidRDefault="009A2B8A" w:rsidP="005E6542">
      <w:pPr>
        <w:pStyle w:val="enumlev1"/>
        <w:spacing w:after="120"/>
        <w:rPr>
          <w:i/>
          <w:iCs/>
          <w:lang w:val="fr-FR"/>
        </w:rPr>
      </w:pPr>
      <w:r w:rsidRPr="003E4841">
        <w:rPr>
          <w:i/>
          <w:iCs/>
          <w:lang w:val="fr-FR"/>
        </w:rPr>
        <w:t>–</w:t>
      </w:r>
      <w:r w:rsidRPr="003E4841">
        <w:rPr>
          <w:i/>
          <w:iCs/>
          <w:lang w:val="fr-FR"/>
        </w:rPr>
        <w:tab/>
      </w:r>
      <w:r w:rsidR="00793F63" w:rsidRPr="003E4841">
        <w:rPr>
          <w:i/>
          <w:iCs/>
          <w:lang w:val="fr-FR"/>
        </w:rPr>
        <w:t>Stage intensif sur la sécurité organisé à l</w:t>
      </w:r>
      <w:r w:rsidR="002450E8" w:rsidRPr="003E4841">
        <w:rPr>
          <w:i/>
          <w:iCs/>
          <w:lang w:val="fr-FR"/>
        </w:rPr>
        <w:t>'</w:t>
      </w:r>
      <w:r w:rsidR="00793F63" w:rsidRPr="003E4841">
        <w:rPr>
          <w:i/>
          <w:iCs/>
          <w:lang w:val="fr-FR"/>
        </w:rPr>
        <w:t>intention de l</w:t>
      </w:r>
      <w:r w:rsidR="002450E8" w:rsidRPr="003E4841">
        <w:rPr>
          <w:i/>
          <w:iCs/>
          <w:lang w:val="fr-FR"/>
        </w:rPr>
        <w:t>'</w:t>
      </w:r>
      <w:r w:rsidR="00793F63" w:rsidRPr="003E4841">
        <w:rPr>
          <w:i/>
          <w:iCs/>
          <w:lang w:val="fr-FR"/>
        </w:rPr>
        <w:t>Égypte dans le cadre de l</w:t>
      </w:r>
      <w:r w:rsidR="002450E8" w:rsidRPr="003E4841">
        <w:rPr>
          <w:i/>
          <w:iCs/>
          <w:lang w:val="fr-FR"/>
        </w:rPr>
        <w:t>'</w:t>
      </w:r>
      <w:r w:rsidR="00793F63" w:rsidRPr="003E4841">
        <w:rPr>
          <w:i/>
          <w:iCs/>
          <w:lang w:val="fr-FR"/>
        </w:rPr>
        <w:t>Initiative mondiale en faveur de l</w:t>
      </w:r>
      <w:r w:rsidR="002450E8" w:rsidRPr="003E4841">
        <w:rPr>
          <w:i/>
          <w:iCs/>
          <w:lang w:val="fr-FR"/>
        </w:rPr>
        <w:t>'</w:t>
      </w:r>
      <w:r w:rsidR="00793F63" w:rsidRPr="003E4841">
        <w:rPr>
          <w:i/>
          <w:iCs/>
          <w:lang w:val="fr-FR"/>
        </w:rPr>
        <w:t>inclusion financière (FIGI), 17-19 novembre 2020.</w:t>
      </w:r>
    </w:p>
    <w:tbl>
      <w:tblPr>
        <w:tblStyle w:val="TableGrid"/>
        <w:tblW w:w="0" w:type="auto"/>
        <w:shd w:val="clear" w:color="auto" w:fill="8EAADB" w:themeFill="accent5" w:themeFillTint="99"/>
        <w:tblLook w:val="04A0" w:firstRow="1" w:lastRow="0" w:firstColumn="1" w:lastColumn="0" w:noHBand="0" w:noVBand="1"/>
      </w:tblPr>
      <w:tblGrid>
        <w:gridCol w:w="9631"/>
      </w:tblGrid>
      <w:tr w:rsidR="005E6542" w:rsidRPr="00E30FF2" w14:paraId="59BC42C7" w14:textId="77777777" w:rsidTr="005E6542">
        <w:tc>
          <w:tcPr>
            <w:tcW w:w="9631" w:type="dxa"/>
            <w:shd w:val="clear" w:color="auto" w:fill="8EAADB" w:themeFill="accent5" w:themeFillTint="99"/>
          </w:tcPr>
          <w:p w14:paraId="4AA5E7D9" w14:textId="1105C8C3" w:rsidR="005E6542" w:rsidRDefault="005E6542" w:rsidP="005E6542">
            <w:pPr>
              <w:spacing w:after="120"/>
              <w:rPr>
                <w:lang w:val="fr-FR"/>
              </w:rPr>
            </w:pPr>
            <w:r w:rsidRPr="005E6542">
              <w:rPr>
                <w:rFonts w:cs="Calibri"/>
                <w:b/>
                <w:bCs/>
                <w:iCs/>
                <w:szCs w:val="24"/>
                <w:lang w:val="fr-FR"/>
              </w:rPr>
              <w:t>Différentes activités ont été menées pour créer des environnements favorables à l'inclusion financière numérique dans la région des États arabes</w:t>
            </w:r>
          </w:p>
        </w:tc>
      </w:tr>
    </w:tbl>
    <w:p w14:paraId="2034E455" w14:textId="4CD98E81" w:rsidR="00C2089F" w:rsidRPr="003E4841" w:rsidRDefault="00C2089F" w:rsidP="003E4841">
      <w:pPr>
        <w:pStyle w:val="enumlev1"/>
        <w:rPr>
          <w:i/>
          <w:iCs/>
          <w:lang w:val="fr-FR"/>
        </w:rPr>
      </w:pPr>
      <w:bookmarkStart w:id="2" w:name="_Toc30490144"/>
      <w:r w:rsidRPr="003E4841">
        <w:rPr>
          <w:i/>
          <w:iCs/>
          <w:lang w:val="fr-FR"/>
        </w:rPr>
        <w:t>–</w:t>
      </w:r>
      <w:r w:rsidRPr="003E4841">
        <w:rPr>
          <w:i/>
          <w:iCs/>
          <w:lang w:val="fr-FR"/>
        </w:rPr>
        <w:tab/>
      </w:r>
      <w:r w:rsidR="00D927A8" w:rsidRPr="003E4841">
        <w:rPr>
          <w:i/>
          <w:iCs/>
          <w:lang w:val="fr-FR"/>
        </w:rPr>
        <w:t>Projet visant à mettre en œuvre l</w:t>
      </w:r>
      <w:r w:rsidR="002450E8" w:rsidRPr="003E4841">
        <w:rPr>
          <w:i/>
          <w:iCs/>
          <w:lang w:val="fr-FR"/>
        </w:rPr>
        <w:t>'</w:t>
      </w:r>
      <w:r w:rsidR="00D927A8" w:rsidRPr="003E4841">
        <w:rPr>
          <w:i/>
          <w:iCs/>
          <w:lang w:val="fr-FR"/>
        </w:rPr>
        <w:t>Initiative FIGI en Égypte.</w:t>
      </w:r>
    </w:p>
    <w:p w14:paraId="282862DA" w14:textId="0B2C7872" w:rsidR="00C2089F" w:rsidRPr="003E4841" w:rsidRDefault="00C2089F" w:rsidP="003E4841">
      <w:pPr>
        <w:pStyle w:val="enumlev1"/>
        <w:rPr>
          <w:i/>
          <w:iCs/>
          <w:lang w:val="fr-FR"/>
        </w:rPr>
      </w:pPr>
      <w:r w:rsidRPr="003E4841">
        <w:rPr>
          <w:i/>
          <w:iCs/>
          <w:lang w:val="fr-FR"/>
        </w:rPr>
        <w:t>–</w:t>
      </w:r>
      <w:r w:rsidRPr="003E4841">
        <w:rPr>
          <w:i/>
          <w:iCs/>
          <w:lang w:val="fr-FR"/>
        </w:rPr>
        <w:tab/>
      </w:r>
      <w:r w:rsidR="00041F68" w:rsidRPr="003E4841">
        <w:rPr>
          <w:i/>
          <w:iCs/>
          <w:lang w:val="fr-FR"/>
        </w:rPr>
        <w:t xml:space="preserve">Projet </w:t>
      </w:r>
      <w:r w:rsidR="002450E8" w:rsidRPr="003E4841">
        <w:rPr>
          <w:i/>
          <w:iCs/>
          <w:lang w:val="fr-FR"/>
        </w:rPr>
        <w:t>"</w:t>
      </w:r>
      <w:r w:rsidR="00041F68" w:rsidRPr="003E4841">
        <w:rPr>
          <w:i/>
          <w:iCs/>
          <w:lang w:val="fr-FR"/>
        </w:rPr>
        <w:t>Malee</w:t>
      </w:r>
      <w:r w:rsidR="002450E8" w:rsidRPr="003E4841">
        <w:rPr>
          <w:i/>
          <w:iCs/>
          <w:lang w:val="fr-FR"/>
        </w:rPr>
        <w:t>"</w:t>
      </w:r>
      <w:r w:rsidR="00041F68" w:rsidRPr="003E4841">
        <w:rPr>
          <w:i/>
          <w:iCs/>
          <w:lang w:val="fr-FR"/>
        </w:rPr>
        <w:t xml:space="preserve"> visant à doter les enfants de connaissances en matière d</w:t>
      </w:r>
      <w:r w:rsidR="002450E8" w:rsidRPr="003E4841">
        <w:rPr>
          <w:i/>
          <w:iCs/>
          <w:lang w:val="fr-FR"/>
        </w:rPr>
        <w:t>'</w:t>
      </w:r>
      <w:r w:rsidR="00041F68" w:rsidRPr="003E4841">
        <w:rPr>
          <w:i/>
          <w:iCs/>
          <w:lang w:val="fr-FR"/>
        </w:rPr>
        <w:t>inclusion financière numérique en Arabie saoudite.</w:t>
      </w:r>
    </w:p>
    <w:p w14:paraId="730E2C00" w14:textId="2B1F060F" w:rsidR="00A82AA4" w:rsidRPr="003E4841" w:rsidRDefault="00C2089F" w:rsidP="003E4841">
      <w:pPr>
        <w:pStyle w:val="enumlev1"/>
        <w:rPr>
          <w:i/>
          <w:iCs/>
          <w:lang w:val="fr-FR"/>
        </w:rPr>
      </w:pPr>
      <w:r w:rsidRPr="003E4841">
        <w:rPr>
          <w:i/>
          <w:iCs/>
          <w:lang w:val="fr-FR"/>
        </w:rPr>
        <w:t>–</w:t>
      </w:r>
      <w:r w:rsidRPr="003E4841">
        <w:rPr>
          <w:i/>
          <w:iCs/>
          <w:lang w:val="fr-FR"/>
        </w:rPr>
        <w:tab/>
      </w:r>
      <w:r w:rsidR="00A82AA4" w:rsidRPr="003E4841">
        <w:rPr>
          <w:i/>
          <w:iCs/>
          <w:lang w:val="fr-FR"/>
        </w:rPr>
        <w:t>Rapport d</w:t>
      </w:r>
      <w:r w:rsidR="002450E8" w:rsidRPr="003E4841">
        <w:rPr>
          <w:i/>
          <w:iCs/>
          <w:lang w:val="fr-FR"/>
        </w:rPr>
        <w:t>'</w:t>
      </w:r>
      <w:r w:rsidR="00A82AA4" w:rsidRPr="003E4841">
        <w:rPr>
          <w:i/>
          <w:iCs/>
          <w:lang w:val="fr-FR"/>
        </w:rPr>
        <w:t>évaluation sur l</w:t>
      </w:r>
      <w:r w:rsidR="002450E8" w:rsidRPr="003E4841">
        <w:rPr>
          <w:i/>
          <w:iCs/>
          <w:lang w:val="fr-FR"/>
        </w:rPr>
        <w:t>'</w:t>
      </w:r>
      <w:r w:rsidR="00A82AA4" w:rsidRPr="003E4841">
        <w:rPr>
          <w:i/>
          <w:iCs/>
          <w:lang w:val="fr-FR"/>
        </w:rPr>
        <w:t>inclusion financière numérique au Soudan.</w:t>
      </w:r>
    </w:p>
    <w:p w14:paraId="4738C41F" w14:textId="0EA98AC2" w:rsidR="00A82AA4" w:rsidRPr="003E4841" w:rsidRDefault="00C2089F" w:rsidP="003E4841">
      <w:pPr>
        <w:pStyle w:val="enumlev1"/>
        <w:rPr>
          <w:i/>
          <w:iCs/>
          <w:lang w:val="fr-FR"/>
        </w:rPr>
      </w:pPr>
      <w:r w:rsidRPr="003E4841">
        <w:rPr>
          <w:i/>
          <w:iCs/>
          <w:lang w:val="fr-FR"/>
        </w:rPr>
        <w:t>–</w:t>
      </w:r>
      <w:r w:rsidRPr="003E4841">
        <w:rPr>
          <w:i/>
          <w:iCs/>
          <w:lang w:val="fr-FR"/>
        </w:rPr>
        <w:tab/>
      </w:r>
      <w:r w:rsidR="00A82AA4" w:rsidRPr="003E4841">
        <w:rPr>
          <w:i/>
          <w:iCs/>
          <w:lang w:val="fr-FR"/>
        </w:rPr>
        <w:t>Rapport d</w:t>
      </w:r>
      <w:r w:rsidR="002450E8" w:rsidRPr="003E4841">
        <w:rPr>
          <w:i/>
          <w:iCs/>
          <w:lang w:val="fr-FR"/>
        </w:rPr>
        <w:t>'</w:t>
      </w:r>
      <w:r w:rsidR="00A82AA4" w:rsidRPr="003E4841">
        <w:rPr>
          <w:i/>
          <w:iCs/>
          <w:lang w:val="fr-FR"/>
        </w:rPr>
        <w:t xml:space="preserve">évaluation </w:t>
      </w:r>
      <w:r w:rsidR="00CC28B6" w:rsidRPr="003E4841">
        <w:rPr>
          <w:i/>
          <w:iCs/>
          <w:lang w:val="fr-FR"/>
        </w:rPr>
        <w:t>sur la mise en place d'</w:t>
      </w:r>
      <w:r w:rsidR="00A82AA4" w:rsidRPr="003E4841">
        <w:rPr>
          <w:i/>
          <w:iCs/>
          <w:lang w:val="fr-FR"/>
        </w:rPr>
        <w:t>un environnement favorable à l</w:t>
      </w:r>
      <w:r w:rsidR="002450E8" w:rsidRPr="003E4841">
        <w:rPr>
          <w:i/>
          <w:iCs/>
          <w:lang w:val="fr-FR"/>
        </w:rPr>
        <w:t>'</w:t>
      </w:r>
      <w:r w:rsidR="00A82AA4" w:rsidRPr="003E4841">
        <w:rPr>
          <w:i/>
          <w:iCs/>
          <w:lang w:val="fr-FR"/>
        </w:rPr>
        <w:t xml:space="preserve">inclusion financière numérique dans la région des États arabes, </w:t>
      </w:r>
      <w:r w:rsidR="00D8353C" w:rsidRPr="003E4841">
        <w:rPr>
          <w:i/>
          <w:iCs/>
          <w:lang w:val="fr-FR"/>
        </w:rPr>
        <w:t>du</w:t>
      </w:r>
      <w:r w:rsidR="00A82AA4" w:rsidRPr="003E4841">
        <w:rPr>
          <w:i/>
          <w:iCs/>
          <w:lang w:val="fr-FR"/>
        </w:rPr>
        <w:t xml:space="preserve"> point de vue du secteur des TIC. </w:t>
      </w:r>
    </w:p>
    <w:p w14:paraId="39977069" w14:textId="42D7CCEB" w:rsidR="00C2089F" w:rsidRPr="003E4841" w:rsidRDefault="00C2089F" w:rsidP="003E4841">
      <w:pPr>
        <w:pStyle w:val="Headingb"/>
        <w:rPr>
          <w:lang w:val="fr-FR"/>
        </w:rPr>
      </w:pPr>
      <w:bookmarkStart w:id="3" w:name="_Toc496877169"/>
      <w:bookmarkEnd w:id="2"/>
      <w:r w:rsidRPr="003E4841">
        <w:rPr>
          <w:lang w:val="fr-FR"/>
        </w:rPr>
        <w:t>ARB4:</w:t>
      </w:r>
      <w:r w:rsidR="00CB1208" w:rsidRPr="003E4841">
        <w:rPr>
          <w:lang w:val="fr-FR"/>
        </w:rPr>
        <w:t xml:space="preserve"> </w:t>
      </w:r>
      <w:r w:rsidRPr="003E4841">
        <w:rPr>
          <w:lang w:val="fr-FR"/>
        </w:rPr>
        <w:t>Internet des objets, villes intelligentes et mégadonnées</w:t>
      </w:r>
      <w:bookmarkEnd w:id="3"/>
    </w:p>
    <w:p w14:paraId="7416DAB7" w14:textId="68F3AC57" w:rsidR="00C2089F" w:rsidRPr="003E4841" w:rsidRDefault="00C2089F" w:rsidP="003E4841">
      <w:pPr>
        <w:rPr>
          <w:szCs w:val="24"/>
          <w:lang w:val="fr-FR"/>
        </w:rPr>
      </w:pPr>
      <w:r w:rsidRPr="003E4841">
        <w:rPr>
          <w:b/>
          <w:bCs/>
          <w:szCs w:val="24"/>
          <w:lang w:val="fr-FR"/>
        </w:rPr>
        <w:t>Objectif</w:t>
      </w:r>
      <w:r w:rsidRPr="003E4841">
        <w:rPr>
          <w:szCs w:val="24"/>
          <w:lang w:val="fr-FR"/>
        </w:rPr>
        <w:t xml:space="preserve">: Sensibiliser davantage l'opinion et mieux faire connaître l'importance des défis à venir à l'ère de l'Internet des objets (IoT) et des mégadonnées ainsi que la manière de relever ces défis, élaborer des cadres réglementaires et prendre des mesures permettant de faire face à l'évolution rapide du secteur des télécommunications et des technologies de l'information et </w:t>
      </w:r>
      <w:r w:rsidR="00B27F2D" w:rsidRPr="003E4841">
        <w:rPr>
          <w:szCs w:val="24"/>
          <w:lang w:val="fr-FR"/>
        </w:rPr>
        <w:t>œuvrer</w:t>
      </w:r>
      <w:r w:rsidRPr="003E4841">
        <w:rPr>
          <w:szCs w:val="24"/>
          <w:lang w:val="fr-FR"/>
        </w:rPr>
        <w:t xml:space="preserve"> pour instaurer des villes e</w:t>
      </w:r>
      <w:r w:rsidR="009E0404" w:rsidRPr="003E4841">
        <w:rPr>
          <w:szCs w:val="24"/>
          <w:lang w:val="fr-FR"/>
        </w:rPr>
        <w:t>t des communautés intelligentes</w:t>
      </w:r>
      <w:r w:rsidRPr="003E4841">
        <w:rPr>
          <w:szCs w:val="24"/>
          <w:lang w:val="fr-FR"/>
        </w:rPr>
        <w:t>.</w:t>
      </w:r>
    </w:p>
    <w:p w14:paraId="2F35EEC9" w14:textId="725B5C11" w:rsidR="00C2089F" w:rsidRPr="003E4841" w:rsidRDefault="00C2089F" w:rsidP="003E4841">
      <w:pPr>
        <w:rPr>
          <w:lang w:val="fr-FR"/>
        </w:rPr>
      </w:pPr>
      <w:r w:rsidRPr="003E4841">
        <w:rPr>
          <w:lang w:val="fr-FR"/>
        </w:rPr>
        <w:t>Pour atteindre les résultats attendus des initiatives régionales de l'UIT, différentes activités ont été menées au cours de la période 2018</w:t>
      </w:r>
      <w:r w:rsidRPr="003E4841">
        <w:rPr>
          <w:lang w:val="fr-FR"/>
        </w:rPr>
        <w:noBreakHyphen/>
        <w:t>2020 pour renforcer les capacités des Membres dans les domaines suivants:</w:t>
      </w:r>
    </w:p>
    <w:p w14:paraId="07122396" w14:textId="1380C480" w:rsidR="00C2089F" w:rsidRPr="003E4841" w:rsidRDefault="00C2089F" w:rsidP="003E4841">
      <w:pPr>
        <w:pStyle w:val="enumlev1"/>
        <w:rPr>
          <w:i/>
          <w:iCs/>
          <w:lang w:val="fr-FR"/>
        </w:rPr>
      </w:pPr>
      <w:r w:rsidRPr="003E4841">
        <w:rPr>
          <w:i/>
          <w:iCs/>
          <w:lang w:val="fr-FR"/>
        </w:rPr>
        <w:t>–</w:t>
      </w:r>
      <w:r w:rsidRPr="003E4841">
        <w:rPr>
          <w:i/>
          <w:iCs/>
          <w:lang w:val="fr-FR"/>
        </w:rPr>
        <w:tab/>
      </w:r>
      <w:r w:rsidR="00001E5E" w:rsidRPr="003E4841">
        <w:rPr>
          <w:i/>
          <w:iCs/>
          <w:lang w:val="fr-FR"/>
        </w:rPr>
        <w:t>I</w:t>
      </w:r>
      <w:r w:rsidR="007E1121" w:rsidRPr="003E4841">
        <w:rPr>
          <w:i/>
          <w:iCs/>
          <w:lang w:val="fr-FR"/>
        </w:rPr>
        <w:t xml:space="preserve">nternet des objets (IoT), mégadonnées et villes et </w:t>
      </w:r>
      <w:r w:rsidR="00001E5E" w:rsidRPr="003E4841">
        <w:rPr>
          <w:i/>
          <w:iCs/>
          <w:lang w:val="fr-FR"/>
        </w:rPr>
        <w:t>communautés intelligentes.</w:t>
      </w:r>
    </w:p>
    <w:p w14:paraId="5FFC8C2D" w14:textId="6544448B" w:rsidR="007E1121" w:rsidRPr="003E4841" w:rsidRDefault="00C2089F" w:rsidP="003E4841">
      <w:pPr>
        <w:pStyle w:val="enumlev1"/>
        <w:rPr>
          <w:i/>
          <w:iCs/>
          <w:lang w:val="fr-FR"/>
        </w:rPr>
      </w:pPr>
      <w:r w:rsidRPr="003E4841">
        <w:rPr>
          <w:i/>
          <w:iCs/>
          <w:lang w:val="fr-FR"/>
        </w:rPr>
        <w:t>–</w:t>
      </w:r>
      <w:r w:rsidRPr="003E4841">
        <w:rPr>
          <w:i/>
          <w:iCs/>
          <w:lang w:val="fr-FR"/>
        </w:rPr>
        <w:tab/>
      </w:r>
      <w:r w:rsidR="00001E5E" w:rsidRPr="003E4841">
        <w:rPr>
          <w:i/>
          <w:iCs/>
          <w:lang w:val="fr-FR"/>
        </w:rPr>
        <w:t>T</w:t>
      </w:r>
      <w:r w:rsidR="00A17767" w:rsidRPr="003E4841">
        <w:rPr>
          <w:i/>
          <w:iCs/>
          <w:lang w:val="fr-FR"/>
        </w:rPr>
        <w:t>echnologies</w:t>
      </w:r>
      <w:r w:rsidR="00516ADB" w:rsidRPr="003E4841">
        <w:rPr>
          <w:i/>
          <w:iCs/>
          <w:lang w:val="fr-FR"/>
        </w:rPr>
        <w:t xml:space="preserve"> émergentes</w:t>
      </w:r>
      <w:r w:rsidR="00A17767" w:rsidRPr="003E4841">
        <w:rPr>
          <w:i/>
          <w:iCs/>
          <w:lang w:val="fr-FR"/>
        </w:rPr>
        <w:t>, notamment l</w:t>
      </w:r>
      <w:r w:rsidR="002450E8" w:rsidRPr="003E4841">
        <w:rPr>
          <w:i/>
          <w:iCs/>
          <w:lang w:val="fr-FR"/>
        </w:rPr>
        <w:t>'</w:t>
      </w:r>
      <w:r w:rsidR="00A17767" w:rsidRPr="003E4841">
        <w:rPr>
          <w:i/>
          <w:iCs/>
          <w:lang w:val="fr-FR"/>
        </w:rPr>
        <w:t>intelligence artificielle (IA) et la 5G</w:t>
      </w:r>
      <w:r w:rsidR="00001E5E" w:rsidRPr="003E4841">
        <w:rPr>
          <w:i/>
          <w:iCs/>
          <w:lang w:val="fr-FR"/>
        </w:rPr>
        <w:t>.</w:t>
      </w:r>
    </w:p>
    <w:p w14:paraId="66913C5E" w14:textId="1B534AC7" w:rsidR="00A17767" w:rsidRPr="003E4841" w:rsidRDefault="00C2089F" w:rsidP="003E4841">
      <w:pPr>
        <w:pStyle w:val="enumlev1"/>
        <w:rPr>
          <w:i/>
          <w:iCs/>
          <w:lang w:val="fr-FR"/>
        </w:rPr>
      </w:pPr>
      <w:r w:rsidRPr="003E4841">
        <w:rPr>
          <w:i/>
          <w:iCs/>
          <w:lang w:val="fr-FR"/>
        </w:rPr>
        <w:t>–</w:t>
      </w:r>
      <w:r w:rsidRPr="003E4841">
        <w:rPr>
          <w:i/>
          <w:iCs/>
          <w:lang w:val="fr-FR"/>
        </w:rPr>
        <w:tab/>
      </w:r>
      <w:r w:rsidR="00001E5E" w:rsidRPr="003E4841">
        <w:rPr>
          <w:i/>
          <w:iCs/>
          <w:lang w:val="fr-FR"/>
        </w:rPr>
        <w:t>R</w:t>
      </w:r>
      <w:r w:rsidR="00A17767" w:rsidRPr="003E4841">
        <w:rPr>
          <w:i/>
          <w:iCs/>
          <w:lang w:val="fr-FR"/>
        </w:rPr>
        <w:t>enforcement des capacités et des compétences concernant le protocole IPv6 et l</w:t>
      </w:r>
      <w:r w:rsidR="002450E8" w:rsidRPr="003E4841">
        <w:rPr>
          <w:i/>
          <w:iCs/>
          <w:lang w:val="fr-FR"/>
        </w:rPr>
        <w:t>'</w:t>
      </w:r>
      <w:r w:rsidR="00A17767" w:rsidRPr="003E4841">
        <w:rPr>
          <w:i/>
          <w:iCs/>
          <w:lang w:val="fr-FR"/>
        </w:rPr>
        <w:t xml:space="preserve">IoT. </w:t>
      </w:r>
    </w:p>
    <w:p w14:paraId="33090A83" w14:textId="4CBE2CC1" w:rsidR="005C27EE" w:rsidRDefault="00C2089F" w:rsidP="005E6542">
      <w:pPr>
        <w:spacing w:after="120"/>
        <w:rPr>
          <w:lang w:val="fr-FR"/>
        </w:rPr>
      </w:pPr>
      <w:r w:rsidRPr="003E4841">
        <w:rPr>
          <w:b/>
          <w:bCs/>
          <w:lang w:val="fr-FR"/>
        </w:rPr>
        <w:t>IMPACT</w:t>
      </w:r>
      <w:r w:rsidRPr="003E4841">
        <w:rPr>
          <w:lang w:val="fr-FR"/>
        </w:rPr>
        <w:t xml:space="preserve">: </w:t>
      </w:r>
      <w:r w:rsidR="005C27EE" w:rsidRPr="003E4841">
        <w:rPr>
          <w:lang w:val="fr-FR"/>
        </w:rPr>
        <w:t>Cette initiative régionale de l</w:t>
      </w:r>
      <w:r w:rsidR="002450E8" w:rsidRPr="003E4841">
        <w:rPr>
          <w:lang w:val="fr-FR"/>
        </w:rPr>
        <w:t>'</w:t>
      </w:r>
      <w:r w:rsidR="005C27EE" w:rsidRPr="003E4841">
        <w:rPr>
          <w:lang w:val="fr-FR"/>
        </w:rPr>
        <w:t xml:space="preserve">UIT a permis </w:t>
      </w:r>
      <w:r w:rsidR="000C707B" w:rsidRPr="003E4841">
        <w:rPr>
          <w:lang w:val="fr-FR"/>
        </w:rPr>
        <w:t xml:space="preserve">de renforcer les capacités humaines de </w:t>
      </w:r>
      <w:r w:rsidR="00643CB4">
        <w:rPr>
          <w:lang w:val="fr-FR"/>
        </w:rPr>
        <w:t>plus de </w:t>
      </w:r>
      <w:r w:rsidR="008255DA" w:rsidRPr="003E4841">
        <w:rPr>
          <w:lang w:val="fr-FR"/>
        </w:rPr>
        <w:t xml:space="preserve">1 500 parties prenantes de plus de 22 pays. </w:t>
      </w:r>
      <w:r w:rsidR="00CB6D63" w:rsidRPr="003E4841">
        <w:rPr>
          <w:lang w:val="fr-FR"/>
        </w:rPr>
        <w:t>Plus de huit</w:t>
      </w:r>
      <w:r w:rsidR="00022298" w:rsidRPr="003E4841">
        <w:rPr>
          <w:lang w:val="fr-FR"/>
        </w:rPr>
        <w:t xml:space="preserve"> partenariats stratégiques </w:t>
      </w:r>
      <w:r w:rsidR="005F7C67" w:rsidRPr="003E4841">
        <w:rPr>
          <w:lang w:val="fr-FR"/>
        </w:rPr>
        <w:t xml:space="preserve">ont été mis en place, notamment avec </w:t>
      </w:r>
      <w:r w:rsidR="00CC28B6" w:rsidRPr="003E4841">
        <w:rPr>
          <w:lang w:val="fr-FR"/>
        </w:rPr>
        <w:t>d</w:t>
      </w:r>
      <w:r w:rsidR="00AE4E69" w:rsidRPr="003E4841">
        <w:rPr>
          <w:lang w:val="fr-FR"/>
        </w:rPr>
        <w:t xml:space="preserve">es organismes nationaux de réglementation des télécommunications, Intel, </w:t>
      </w:r>
      <w:r w:rsidR="00CC28B6" w:rsidRPr="003E4841">
        <w:rPr>
          <w:lang w:val="fr-FR"/>
        </w:rPr>
        <w:t xml:space="preserve">la </w:t>
      </w:r>
      <w:r w:rsidR="00AE4E69" w:rsidRPr="003E4841">
        <w:rPr>
          <w:lang w:val="fr-FR"/>
        </w:rPr>
        <w:t>GSMA, Huawei, Siemens, Google, Nokia, Ericsson, Microsoft, l</w:t>
      </w:r>
      <w:r w:rsidR="002450E8" w:rsidRPr="003E4841">
        <w:rPr>
          <w:lang w:val="fr-FR"/>
        </w:rPr>
        <w:t>'</w:t>
      </w:r>
      <w:r w:rsidR="00AE4E69" w:rsidRPr="003E4841">
        <w:rPr>
          <w:lang w:val="fr-FR"/>
        </w:rPr>
        <w:t>Université du Nil (Égypte) et HERE Technologies.</w:t>
      </w:r>
      <w:r w:rsidR="00CF7A74" w:rsidRPr="003E4841">
        <w:rPr>
          <w:lang w:val="fr-FR"/>
        </w:rPr>
        <w:t xml:space="preserve"> Trois pays ont bénéficié d</w:t>
      </w:r>
      <w:r w:rsidR="002450E8" w:rsidRPr="003E4841">
        <w:rPr>
          <w:lang w:val="fr-FR"/>
        </w:rPr>
        <w:t>'</w:t>
      </w:r>
      <w:r w:rsidR="00CF7A74" w:rsidRPr="003E4841">
        <w:rPr>
          <w:lang w:val="fr-FR"/>
        </w:rPr>
        <w:t xml:space="preserve">une assistance technique directe et ont pu progresser dans la réalisation de leurs objectifs nationaux grâce à l'appui de l'UIT. </w:t>
      </w:r>
      <w:r w:rsidR="008656AB" w:rsidRPr="003E4841">
        <w:rPr>
          <w:lang w:val="fr-FR"/>
        </w:rPr>
        <w:t>Une stratégie régionale en matière de protocole IPv6 et d</w:t>
      </w:r>
      <w:r w:rsidR="002450E8" w:rsidRPr="003E4841">
        <w:rPr>
          <w:lang w:val="fr-FR"/>
        </w:rPr>
        <w:t>'</w:t>
      </w:r>
      <w:r w:rsidR="008656AB" w:rsidRPr="003E4841">
        <w:rPr>
          <w:lang w:val="fr-FR"/>
        </w:rPr>
        <w:t xml:space="preserve">IoT est </w:t>
      </w:r>
      <w:r w:rsidR="00687221" w:rsidRPr="003E4841">
        <w:rPr>
          <w:lang w:val="fr-FR"/>
        </w:rPr>
        <w:t xml:space="preserve">élaborée actuellement en collaboration avec </w:t>
      </w:r>
      <w:r w:rsidR="00151AA6" w:rsidRPr="003E4841">
        <w:rPr>
          <w:lang w:val="fr-FR"/>
        </w:rPr>
        <w:t>l</w:t>
      </w:r>
      <w:r w:rsidR="002450E8" w:rsidRPr="003E4841">
        <w:rPr>
          <w:lang w:val="fr-FR"/>
        </w:rPr>
        <w:t>'</w:t>
      </w:r>
      <w:r w:rsidR="00151AA6" w:rsidRPr="003E4841">
        <w:rPr>
          <w:lang w:val="fr-FR"/>
        </w:rPr>
        <w:t xml:space="preserve">Autorité de régulation des télécommunications et des postes </w:t>
      </w:r>
      <w:r w:rsidR="006E6719" w:rsidRPr="003E4841">
        <w:rPr>
          <w:lang w:val="fr-FR"/>
        </w:rPr>
        <w:t xml:space="preserve">(TPRA) du Soudan, ce qui permettra de fournir une assistance directe plus ciblée et efficace </w:t>
      </w:r>
      <w:r w:rsidR="007E5B1B" w:rsidRPr="003E4841">
        <w:rPr>
          <w:lang w:val="fr-FR"/>
        </w:rPr>
        <w:t>aux États arabes concernant les politiques, les stratégies et les activités de renforcement des capacités liées au protocole IPv6 et à l</w:t>
      </w:r>
      <w:r w:rsidR="002450E8" w:rsidRPr="003E4841">
        <w:rPr>
          <w:lang w:val="fr-FR"/>
        </w:rPr>
        <w:t>'</w:t>
      </w:r>
      <w:r w:rsidR="007E5B1B" w:rsidRPr="003E4841">
        <w:rPr>
          <w:lang w:val="fr-FR"/>
        </w:rPr>
        <w:t>IoT.</w:t>
      </w:r>
    </w:p>
    <w:tbl>
      <w:tblPr>
        <w:tblStyle w:val="TableGrid"/>
        <w:tblW w:w="0" w:type="auto"/>
        <w:shd w:val="clear" w:color="auto" w:fill="8EAADB" w:themeFill="accent5" w:themeFillTint="99"/>
        <w:tblLook w:val="04A0" w:firstRow="1" w:lastRow="0" w:firstColumn="1" w:lastColumn="0" w:noHBand="0" w:noVBand="1"/>
      </w:tblPr>
      <w:tblGrid>
        <w:gridCol w:w="9631"/>
      </w:tblGrid>
      <w:tr w:rsidR="005E6542" w:rsidRPr="00E30FF2" w14:paraId="5A9A26DA" w14:textId="77777777" w:rsidTr="005E6542">
        <w:tc>
          <w:tcPr>
            <w:tcW w:w="9631" w:type="dxa"/>
            <w:shd w:val="clear" w:color="auto" w:fill="8EAADB" w:themeFill="accent5" w:themeFillTint="99"/>
          </w:tcPr>
          <w:p w14:paraId="67F91B53" w14:textId="071FE650" w:rsidR="005E6542" w:rsidRPr="00E3372C" w:rsidRDefault="005E6542" w:rsidP="005E6542">
            <w:pPr>
              <w:spacing w:after="120"/>
              <w:rPr>
                <w:lang w:val="fr-FR"/>
              </w:rPr>
            </w:pPr>
            <w:r w:rsidRPr="00E3372C">
              <w:rPr>
                <w:b/>
                <w:bCs/>
                <w:iCs/>
                <w:lang w:val="fr-FR"/>
              </w:rPr>
              <w:t>Différentes activités ont été menées pour renforcer les capacités des Membres de l'UIT dans le domaine de l'IoT, des villes intelligentes et des mégadonnées</w:t>
            </w:r>
          </w:p>
        </w:tc>
      </w:tr>
    </w:tbl>
    <w:p w14:paraId="1835077D" w14:textId="55C67774" w:rsidR="00C2089F" w:rsidRPr="003E4841" w:rsidRDefault="00C2089F" w:rsidP="003E4841">
      <w:pPr>
        <w:pStyle w:val="enumlev1"/>
        <w:rPr>
          <w:rFonts w:cs="Calibri"/>
          <w:i/>
          <w:iCs/>
          <w:szCs w:val="24"/>
          <w:lang w:val="fr-FR"/>
        </w:rPr>
      </w:pPr>
      <w:r w:rsidRPr="003E4841">
        <w:rPr>
          <w:rFonts w:cs="Calibri"/>
          <w:i/>
          <w:iCs/>
          <w:szCs w:val="24"/>
          <w:lang w:val="fr-FR"/>
        </w:rPr>
        <w:t>–</w:t>
      </w:r>
      <w:r w:rsidRPr="003E4841">
        <w:rPr>
          <w:rFonts w:cs="Calibri"/>
          <w:i/>
          <w:iCs/>
          <w:szCs w:val="24"/>
          <w:lang w:val="fr-FR"/>
        </w:rPr>
        <w:tab/>
      </w:r>
      <w:r w:rsidR="00D46E6D" w:rsidRPr="003E4841">
        <w:rPr>
          <w:rFonts w:cs="Calibri"/>
          <w:i/>
          <w:iCs/>
          <w:szCs w:val="24"/>
          <w:lang w:val="fr-FR"/>
        </w:rPr>
        <w:t>Atelier régional de l</w:t>
      </w:r>
      <w:r w:rsidR="002450E8" w:rsidRPr="003E4841">
        <w:rPr>
          <w:rFonts w:cs="Calibri"/>
          <w:i/>
          <w:iCs/>
          <w:szCs w:val="24"/>
          <w:lang w:val="fr-FR"/>
        </w:rPr>
        <w:t>'</w:t>
      </w:r>
      <w:r w:rsidR="00D46E6D" w:rsidRPr="003E4841">
        <w:rPr>
          <w:rFonts w:cs="Calibri"/>
          <w:i/>
          <w:iCs/>
          <w:szCs w:val="24"/>
          <w:lang w:val="fr-FR"/>
        </w:rPr>
        <w:t xml:space="preserve">UIT sur les technologies </w:t>
      </w:r>
      <w:r w:rsidR="00F602A4" w:rsidRPr="003E4841">
        <w:rPr>
          <w:rFonts w:cs="Calibri"/>
          <w:i/>
          <w:iCs/>
          <w:szCs w:val="24"/>
          <w:lang w:val="fr-FR"/>
        </w:rPr>
        <w:t>émergentes, Alger (Algérie), 12</w:t>
      </w:r>
      <w:r w:rsidR="00A12213" w:rsidRPr="003E4841">
        <w:rPr>
          <w:rFonts w:cs="Calibri"/>
          <w:i/>
          <w:iCs/>
          <w:szCs w:val="24"/>
          <w:lang w:val="fr-FR"/>
        </w:rPr>
        <w:noBreakHyphen/>
      </w:r>
      <w:r w:rsidR="00F602A4" w:rsidRPr="003E4841">
        <w:rPr>
          <w:rFonts w:cs="Calibri"/>
          <w:i/>
          <w:iCs/>
          <w:szCs w:val="24"/>
          <w:lang w:val="fr-FR"/>
        </w:rPr>
        <w:t>15</w:t>
      </w:r>
      <w:r w:rsidR="00A12213" w:rsidRPr="003E4841">
        <w:rPr>
          <w:rFonts w:cs="Calibri"/>
          <w:i/>
          <w:iCs/>
          <w:szCs w:val="24"/>
          <w:lang w:val="fr-FR"/>
        </w:rPr>
        <w:t> </w:t>
      </w:r>
      <w:r w:rsidR="00F602A4" w:rsidRPr="003E4841">
        <w:rPr>
          <w:rFonts w:cs="Calibri"/>
          <w:i/>
          <w:iCs/>
          <w:szCs w:val="24"/>
          <w:lang w:val="fr-FR"/>
        </w:rPr>
        <w:t>février</w:t>
      </w:r>
      <w:r w:rsidR="00A12213" w:rsidRPr="003E4841">
        <w:rPr>
          <w:rFonts w:cs="Calibri"/>
          <w:i/>
          <w:iCs/>
          <w:szCs w:val="24"/>
          <w:lang w:val="fr-FR"/>
        </w:rPr>
        <w:t> </w:t>
      </w:r>
      <w:r w:rsidR="00F602A4" w:rsidRPr="003E4841">
        <w:rPr>
          <w:rFonts w:cs="Calibri"/>
          <w:i/>
          <w:iCs/>
          <w:szCs w:val="24"/>
          <w:lang w:val="fr-FR"/>
        </w:rPr>
        <w:t>2018.</w:t>
      </w:r>
    </w:p>
    <w:p w14:paraId="456CFBD6" w14:textId="5C2FC019" w:rsidR="00C2089F" w:rsidRPr="003E4841" w:rsidRDefault="00E30FF2" w:rsidP="003E4841">
      <w:pPr>
        <w:pStyle w:val="enumlev1"/>
        <w:rPr>
          <w:rFonts w:cs="Calibri"/>
          <w:i/>
          <w:iCs/>
          <w:szCs w:val="24"/>
          <w:lang w:val="fr-FR"/>
        </w:rPr>
      </w:pPr>
      <w:hyperlink r:id="rId17">
        <w:r w:rsidR="00C2089F" w:rsidRPr="003E4841">
          <w:rPr>
            <w:i/>
            <w:lang w:val="fr-FR"/>
          </w:rPr>
          <w:t>–</w:t>
        </w:r>
        <w:r w:rsidR="00C2089F" w:rsidRPr="003E4841">
          <w:rPr>
            <w:i/>
            <w:lang w:val="fr-FR"/>
          </w:rPr>
          <w:tab/>
        </w:r>
        <w:r w:rsidR="00F602A4" w:rsidRPr="003E4841">
          <w:rPr>
            <w:i/>
            <w:lang w:val="fr-FR"/>
          </w:rPr>
          <w:t>Forum annuel régional de l</w:t>
        </w:r>
        <w:r w:rsidR="002450E8" w:rsidRPr="003E4841">
          <w:rPr>
            <w:i/>
            <w:lang w:val="fr-FR"/>
          </w:rPr>
          <w:t>'</w:t>
        </w:r>
        <w:r w:rsidR="00F602A4" w:rsidRPr="003E4841">
          <w:rPr>
            <w:i/>
            <w:lang w:val="fr-FR"/>
          </w:rPr>
          <w:t>UIT sur l</w:t>
        </w:r>
        <w:r w:rsidR="002450E8" w:rsidRPr="003E4841">
          <w:rPr>
            <w:i/>
            <w:lang w:val="fr-FR"/>
          </w:rPr>
          <w:t>'</w:t>
        </w:r>
        <w:r w:rsidR="00F602A4" w:rsidRPr="003E4841">
          <w:rPr>
            <w:i/>
            <w:lang w:val="fr-FR"/>
          </w:rPr>
          <w:t>Internet des objets, les villes intelligentes et les mégadonnées pour l</w:t>
        </w:r>
        <w:r w:rsidR="006B00B2" w:rsidRPr="003E4841">
          <w:rPr>
            <w:i/>
            <w:lang w:val="fr-FR"/>
          </w:rPr>
          <w:t>a région d</w:t>
        </w:r>
        <w:r w:rsidR="00F602A4" w:rsidRPr="003E4841">
          <w:rPr>
            <w:i/>
            <w:lang w:val="fr-FR"/>
          </w:rPr>
          <w:t>es États arabes, Koweït (Koweït), 17 décembre 2018.</w:t>
        </w:r>
      </w:hyperlink>
      <w:r w:rsidR="00F602A4" w:rsidRPr="003E4841">
        <w:rPr>
          <w:rFonts w:cs="Calibri"/>
          <w:i/>
          <w:iCs/>
          <w:szCs w:val="24"/>
          <w:lang w:val="fr-FR"/>
        </w:rPr>
        <w:t xml:space="preserve"> </w:t>
      </w:r>
    </w:p>
    <w:p w14:paraId="010607C7" w14:textId="378C30DD" w:rsidR="00C2089F" w:rsidRPr="003E4841" w:rsidRDefault="00C2089F" w:rsidP="003E4841">
      <w:pPr>
        <w:pStyle w:val="enumlev1"/>
        <w:rPr>
          <w:rFonts w:cs="Calibri"/>
          <w:i/>
          <w:iCs/>
          <w:szCs w:val="24"/>
          <w:lang w:val="fr-FR"/>
        </w:rPr>
      </w:pPr>
      <w:r w:rsidRPr="003E4841">
        <w:rPr>
          <w:lang w:val="fr-FR"/>
        </w:rPr>
        <w:t>–</w:t>
      </w:r>
      <w:r w:rsidRPr="003E4841">
        <w:rPr>
          <w:lang w:val="fr-FR"/>
        </w:rPr>
        <w:tab/>
      </w:r>
      <w:hyperlink r:id="rId18" w:history="1">
        <w:r w:rsidRPr="003E4841">
          <w:rPr>
            <w:rStyle w:val="Hyperlink"/>
            <w:i/>
            <w:iCs/>
            <w:color w:val="auto"/>
            <w:szCs w:val="24"/>
            <w:u w:val="none"/>
            <w:lang w:val="fr-FR"/>
          </w:rPr>
          <w:t xml:space="preserve">Semaine régionale </w:t>
        </w:r>
        <w:r w:rsidR="00F602A4" w:rsidRPr="003E4841">
          <w:rPr>
            <w:rStyle w:val="Hyperlink"/>
            <w:i/>
            <w:iCs/>
            <w:color w:val="auto"/>
            <w:szCs w:val="24"/>
            <w:u w:val="none"/>
            <w:lang w:val="fr-FR"/>
          </w:rPr>
          <w:t>de</w:t>
        </w:r>
        <w:r w:rsidRPr="003E4841">
          <w:rPr>
            <w:rStyle w:val="Hyperlink"/>
            <w:i/>
            <w:iCs/>
            <w:color w:val="auto"/>
            <w:szCs w:val="24"/>
            <w:u w:val="none"/>
            <w:lang w:val="fr-FR"/>
          </w:rPr>
          <w:t xml:space="preserve"> l'UIT sur le thème des technologies émergentes au service du développement durable et de la transformation numérique dans la région des États</w:t>
        </w:r>
        <w:r w:rsidR="00F602A4" w:rsidRPr="003E4841">
          <w:rPr>
            <w:rStyle w:val="Hyperlink"/>
            <w:i/>
            <w:iCs/>
            <w:color w:val="auto"/>
            <w:szCs w:val="24"/>
            <w:u w:val="none"/>
            <w:lang w:val="fr-FR"/>
          </w:rPr>
          <w:t> arabes, Dubaï (Émirats arabes unis),</w:t>
        </w:r>
        <w:r w:rsidRPr="003E4841">
          <w:rPr>
            <w:rStyle w:val="Hyperlink"/>
            <w:i/>
            <w:iCs/>
            <w:color w:val="auto"/>
            <w:szCs w:val="24"/>
            <w:u w:val="none"/>
            <w:lang w:val="fr-FR"/>
          </w:rPr>
          <w:t xml:space="preserve"> </w:t>
        </w:r>
        <w:r w:rsidR="00F602A4" w:rsidRPr="003E4841">
          <w:rPr>
            <w:rStyle w:val="Hyperlink"/>
            <w:i/>
            <w:iCs/>
            <w:color w:val="auto"/>
            <w:szCs w:val="24"/>
            <w:u w:val="none"/>
            <w:lang w:val="fr-FR"/>
          </w:rPr>
          <w:t>26-29</w:t>
        </w:r>
        <w:r w:rsidRPr="003E4841">
          <w:rPr>
            <w:rStyle w:val="Hyperlink"/>
            <w:i/>
            <w:iCs/>
            <w:color w:val="auto"/>
            <w:szCs w:val="24"/>
            <w:u w:val="none"/>
            <w:lang w:val="fr-FR"/>
          </w:rPr>
          <w:t xml:space="preserve"> août 2019</w:t>
        </w:r>
      </w:hyperlink>
      <w:r w:rsidR="00F602A4" w:rsidRPr="003E4841">
        <w:rPr>
          <w:i/>
          <w:iCs/>
          <w:szCs w:val="24"/>
          <w:lang w:val="fr-FR"/>
        </w:rPr>
        <w:t>.</w:t>
      </w:r>
    </w:p>
    <w:p w14:paraId="5F651843" w14:textId="51F49947" w:rsidR="00C2089F" w:rsidRPr="003E4841" w:rsidRDefault="00C2089F" w:rsidP="003E4841">
      <w:pPr>
        <w:pStyle w:val="enumlev1"/>
        <w:rPr>
          <w:rFonts w:cs="Calibri"/>
          <w:i/>
          <w:iCs/>
          <w:szCs w:val="24"/>
          <w:lang w:val="fr-FR"/>
        </w:rPr>
      </w:pPr>
      <w:r w:rsidRPr="003E4841">
        <w:rPr>
          <w:rFonts w:cs="Calibri"/>
          <w:i/>
          <w:iCs/>
          <w:szCs w:val="24"/>
          <w:lang w:val="fr-FR"/>
        </w:rPr>
        <w:t>–</w:t>
      </w:r>
      <w:r w:rsidRPr="003E4841">
        <w:rPr>
          <w:rFonts w:cs="Calibri"/>
          <w:i/>
          <w:iCs/>
          <w:szCs w:val="24"/>
          <w:lang w:val="fr-FR"/>
        </w:rPr>
        <w:tab/>
      </w:r>
      <w:r w:rsidR="00F602A4" w:rsidRPr="003E4841">
        <w:rPr>
          <w:rFonts w:cs="Calibri"/>
          <w:i/>
          <w:iCs/>
          <w:szCs w:val="24"/>
          <w:lang w:val="fr-FR"/>
        </w:rPr>
        <w:t>Cours de formation sur la 5G dans la région des États arabes, Dubaï (Émirats arabes unis), 27-28 août 2019.</w:t>
      </w:r>
    </w:p>
    <w:p w14:paraId="44609A4F" w14:textId="4A135B40" w:rsidR="00C2089F" w:rsidRPr="003E4841" w:rsidRDefault="00C2089F" w:rsidP="003E4841">
      <w:pPr>
        <w:pStyle w:val="enumlev1"/>
        <w:rPr>
          <w:rFonts w:cs="Calibri"/>
          <w:i/>
          <w:iCs/>
          <w:szCs w:val="24"/>
          <w:lang w:val="fr-FR"/>
        </w:rPr>
      </w:pPr>
      <w:r w:rsidRPr="003E4841">
        <w:rPr>
          <w:lang w:val="fr-FR"/>
        </w:rPr>
        <w:t>–</w:t>
      </w:r>
      <w:r w:rsidRPr="003E4841">
        <w:rPr>
          <w:lang w:val="fr-FR"/>
        </w:rPr>
        <w:tab/>
      </w:r>
      <w:r w:rsidR="00833E4E" w:rsidRPr="003E4841">
        <w:rPr>
          <w:i/>
          <w:iCs/>
          <w:lang w:val="fr-FR"/>
        </w:rPr>
        <w:t>Semaine</w:t>
      </w:r>
      <w:r w:rsidR="00FA6577" w:rsidRPr="003E4841">
        <w:rPr>
          <w:i/>
          <w:iCs/>
          <w:lang w:val="fr-FR"/>
        </w:rPr>
        <w:t xml:space="preserve"> interrégional</w:t>
      </w:r>
      <w:r w:rsidR="00833E4E" w:rsidRPr="003E4841">
        <w:rPr>
          <w:i/>
          <w:iCs/>
          <w:lang w:val="fr-FR"/>
        </w:rPr>
        <w:t>e</w:t>
      </w:r>
      <w:r w:rsidR="00FA6577" w:rsidRPr="003E4841">
        <w:rPr>
          <w:i/>
          <w:iCs/>
          <w:lang w:val="fr-FR"/>
        </w:rPr>
        <w:t xml:space="preserve"> de l</w:t>
      </w:r>
      <w:r w:rsidR="002450E8" w:rsidRPr="003E4841">
        <w:rPr>
          <w:i/>
          <w:iCs/>
          <w:lang w:val="fr-FR"/>
        </w:rPr>
        <w:t>'</w:t>
      </w:r>
      <w:r w:rsidR="00FA6577" w:rsidRPr="003E4841">
        <w:rPr>
          <w:i/>
          <w:iCs/>
          <w:lang w:val="fr-FR"/>
        </w:rPr>
        <w:t>UIT sur</w:t>
      </w:r>
      <w:r w:rsidR="00833E4E" w:rsidRPr="003E4841">
        <w:rPr>
          <w:i/>
          <w:iCs/>
          <w:lang w:val="fr-FR"/>
        </w:rPr>
        <w:t xml:space="preserve"> les technologies émergentes au service du développement dans la région des États arabes et la région Afrique, 13-18 décembre 2020.</w:t>
      </w:r>
    </w:p>
    <w:p w14:paraId="490C9114" w14:textId="34559104" w:rsidR="00C2089F" w:rsidRDefault="00C2089F" w:rsidP="005E6542">
      <w:pPr>
        <w:pStyle w:val="enumlev1"/>
        <w:spacing w:after="120"/>
        <w:rPr>
          <w:rFonts w:cs="Calibri"/>
          <w:i/>
          <w:iCs/>
          <w:szCs w:val="24"/>
          <w:lang w:val="fr-FR"/>
        </w:rPr>
      </w:pPr>
      <w:r w:rsidRPr="003E4841">
        <w:rPr>
          <w:rFonts w:cs="Calibri"/>
          <w:i/>
          <w:iCs/>
          <w:szCs w:val="24"/>
          <w:lang w:val="fr-FR"/>
        </w:rPr>
        <w:t>–</w:t>
      </w:r>
      <w:r w:rsidRPr="003E4841">
        <w:rPr>
          <w:rFonts w:cs="Calibri"/>
          <w:i/>
          <w:iCs/>
          <w:szCs w:val="24"/>
          <w:lang w:val="fr-FR"/>
        </w:rPr>
        <w:tab/>
      </w:r>
      <w:r w:rsidR="000C6D85" w:rsidRPr="003E4841">
        <w:rPr>
          <w:rFonts w:cs="Calibri"/>
          <w:i/>
          <w:iCs/>
          <w:szCs w:val="24"/>
          <w:lang w:val="fr-FR"/>
        </w:rPr>
        <w:t xml:space="preserve">Cours de formation virtuel </w:t>
      </w:r>
      <w:r w:rsidR="009D3EF6" w:rsidRPr="003E4841">
        <w:rPr>
          <w:rFonts w:cs="Calibri"/>
          <w:i/>
          <w:iCs/>
          <w:szCs w:val="24"/>
          <w:lang w:val="fr-FR"/>
        </w:rPr>
        <w:t>sur la 5G dans la région des États arabes et la région Afrique, 13-15 décembre 2020.</w:t>
      </w:r>
    </w:p>
    <w:tbl>
      <w:tblPr>
        <w:tblStyle w:val="TableGrid"/>
        <w:tblW w:w="0" w:type="auto"/>
        <w:tblLook w:val="04A0" w:firstRow="1" w:lastRow="0" w:firstColumn="1" w:lastColumn="0" w:noHBand="0" w:noVBand="1"/>
      </w:tblPr>
      <w:tblGrid>
        <w:gridCol w:w="9631"/>
      </w:tblGrid>
      <w:tr w:rsidR="005E6542" w:rsidRPr="00E30FF2" w14:paraId="1A056908" w14:textId="77777777" w:rsidTr="005E6542">
        <w:tc>
          <w:tcPr>
            <w:tcW w:w="9631" w:type="dxa"/>
            <w:shd w:val="clear" w:color="auto" w:fill="8EAADB" w:themeFill="accent5" w:themeFillTint="99"/>
          </w:tcPr>
          <w:p w14:paraId="62EF8670" w14:textId="596F6739" w:rsidR="005E6542" w:rsidRPr="005E6542" w:rsidRDefault="005E6542" w:rsidP="005E6542">
            <w:pPr>
              <w:spacing w:after="120"/>
              <w:rPr>
                <w:lang w:val="fr-FR"/>
              </w:rPr>
            </w:pPr>
            <w:r w:rsidRPr="005E6542">
              <w:rPr>
                <w:rFonts w:cs="Calibri"/>
                <w:b/>
                <w:bCs/>
                <w:iCs/>
                <w:szCs w:val="24"/>
                <w:lang w:val="fr-FR"/>
              </w:rPr>
              <w:t>Une série de hackathons et d'activités ont été organisés pour renforcer les capacités des États Membres de l'UIT dans le domaine de l'IoT et de l'IA</w:t>
            </w:r>
          </w:p>
        </w:tc>
      </w:tr>
    </w:tbl>
    <w:p w14:paraId="76E1221B" w14:textId="1ECA98C6" w:rsidR="001407D1" w:rsidRPr="003E4841" w:rsidRDefault="005577D8" w:rsidP="003E4841">
      <w:pPr>
        <w:pStyle w:val="enumlev1"/>
        <w:rPr>
          <w:rFonts w:cs="Calibri"/>
          <w:i/>
          <w:iCs/>
          <w:szCs w:val="24"/>
          <w:lang w:val="fr-FR"/>
        </w:rPr>
      </w:pPr>
      <w:r w:rsidRPr="003E4841">
        <w:rPr>
          <w:rFonts w:cs="Calibri"/>
          <w:i/>
          <w:iCs/>
          <w:szCs w:val="24"/>
          <w:lang w:val="fr-FR"/>
        </w:rPr>
        <w:t>–</w:t>
      </w:r>
      <w:r w:rsidRPr="003E4841">
        <w:rPr>
          <w:rFonts w:cs="Calibri"/>
          <w:i/>
          <w:iCs/>
          <w:szCs w:val="24"/>
          <w:lang w:val="fr-FR"/>
        </w:rPr>
        <w:tab/>
      </w:r>
      <w:r w:rsidR="00296E3E" w:rsidRPr="003E4841">
        <w:rPr>
          <w:rFonts w:cs="Calibri"/>
          <w:i/>
          <w:iCs/>
          <w:szCs w:val="24"/>
          <w:lang w:val="fr-FR"/>
        </w:rPr>
        <w:t>Hackathon régional de l</w:t>
      </w:r>
      <w:r w:rsidR="002450E8" w:rsidRPr="003E4841">
        <w:rPr>
          <w:rFonts w:cs="Calibri"/>
          <w:i/>
          <w:iCs/>
          <w:szCs w:val="24"/>
          <w:lang w:val="fr-FR"/>
        </w:rPr>
        <w:t>'</w:t>
      </w:r>
      <w:r w:rsidR="00296E3E" w:rsidRPr="003E4841">
        <w:rPr>
          <w:rFonts w:cs="Calibri"/>
          <w:i/>
          <w:iCs/>
          <w:szCs w:val="24"/>
          <w:lang w:val="fr-FR"/>
        </w:rPr>
        <w:t>UIT sur l</w:t>
      </w:r>
      <w:r w:rsidR="002450E8" w:rsidRPr="003E4841">
        <w:rPr>
          <w:rFonts w:cs="Calibri"/>
          <w:i/>
          <w:iCs/>
          <w:szCs w:val="24"/>
          <w:lang w:val="fr-FR"/>
        </w:rPr>
        <w:t>'</w:t>
      </w:r>
      <w:r w:rsidR="00296E3E" w:rsidRPr="003E4841">
        <w:rPr>
          <w:rFonts w:cs="Calibri"/>
          <w:i/>
          <w:iCs/>
          <w:szCs w:val="24"/>
          <w:lang w:val="fr-FR"/>
        </w:rPr>
        <w:t>IoT et l</w:t>
      </w:r>
      <w:r w:rsidR="002450E8" w:rsidRPr="003E4841">
        <w:rPr>
          <w:rFonts w:cs="Calibri"/>
          <w:i/>
          <w:iCs/>
          <w:szCs w:val="24"/>
          <w:lang w:val="fr-FR"/>
        </w:rPr>
        <w:t>'</w:t>
      </w:r>
      <w:r w:rsidR="00296E3E" w:rsidRPr="003E4841">
        <w:rPr>
          <w:rFonts w:cs="Calibri"/>
          <w:i/>
          <w:iCs/>
          <w:szCs w:val="24"/>
          <w:lang w:val="fr-FR"/>
        </w:rPr>
        <w:t>IA pour la région des États arabes, Dubaï (Émirats</w:t>
      </w:r>
      <w:r w:rsidR="00A12213" w:rsidRPr="003E4841">
        <w:rPr>
          <w:rFonts w:cs="Calibri"/>
          <w:i/>
          <w:iCs/>
          <w:szCs w:val="24"/>
          <w:lang w:val="fr-FR"/>
        </w:rPr>
        <w:t> </w:t>
      </w:r>
      <w:r w:rsidR="00296E3E" w:rsidRPr="003E4841">
        <w:rPr>
          <w:rFonts w:cs="Calibri"/>
          <w:i/>
          <w:iCs/>
          <w:szCs w:val="24"/>
          <w:lang w:val="fr-FR"/>
        </w:rPr>
        <w:t>arabes unis), 27-28 août 2019.</w:t>
      </w:r>
    </w:p>
    <w:p w14:paraId="7D70566C" w14:textId="5E639A6F" w:rsidR="00C2089F" w:rsidRPr="003E4841" w:rsidRDefault="005577D8" w:rsidP="003E4841">
      <w:pPr>
        <w:pStyle w:val="enumlev1"/>
        <w:rPr>
          <w:rFonts w:cs="Calibri"/>
          <w:i/>
          <w:iCs/>
          <w:szCs w:val="24"/>
          <w:lang w:val="fr-FR"/>
        </w:rPr>
      </w:pPr>
      <w:r w:rsidRPr="003E4841">
        <w:rPr>
          <w:rFonts w:cs="Calibri"/>
          <w:i/>
          <w:iCs/>
          <w:szCs w:val="24"/>
          <w:lang w:val="fr-FR"/>
        </w:rPr>
        <w:t>–</w:t>
      </w:r>
      <w:r w:rsidRPr="003E4841">
        <w:rPr>
          <w:rFonts w:cs="Calibri"/>
          <w:i/>
          <w:iCs/>
          <w:szCs w:val="24"/>
          <w:lang w:val="fr-FR"/>
        </w:rPr>
        <w:tab/>
      </w:r>
      <w:r w:rsidR="00F61D8F" w:rsidRPr="003E4841">
        <w:rPr>
          <w:rFonts w:cs="Calibri"/>
          <w:i/>
          <w:iCs/>
          <w:szCs w:val="24"/>
          <w:lang w:val="fr-FR"/>
        </w:rPr>
        <w:t xml:space="preserve">Défi </w:t>
      </w:r>
      <w:r w:rsidR="0016110F" w:rsidRPr="003E4841">
        <w:rPr>
          <w:rFonts w:cs="Calibri"/>
          <w:i/>
          <w:iCs/>
          <w:szCs w:val="24"/>
          <w:lang w:val="fr-FR"/>
        </w:rPr>
        <w:t>régional sur les mégadonnées au service de la santé, décembre 2019.</w:t>
      </w:r>
    </w:p>
    <w:p w14:paraId="6FA3DB9A" w14:textId="48D31830" w:rsidR="003F778F" w:rsidRPr="003E4841" w:rsidRDefault="005577D8" w:rsidP="003E4841">
      <w:pPr>
        <w:pStyle w:val="enumlev1"/>
        <w:rPr>
          <w:rFonts w:cs="Calibri"/>
          <w:i/>
          <w:iCs/>
          <w:szCs w:val="24"/>
          <w:lang w:val="fr-FR"/>
        </w:rPr>
      </w:pPr>
      <w:r w:rsidRPr="003E4841">
        <w:rPr>
          <w:rFonts w:cs="Calibri"/>
          <w:i/>
          <w:iCs/>
          <w:szCs w:val="24"/>
          <w:lang w:val="fr-FR"/>
        </w:rPr>
        <w:t>–</w:t>
      </w:r>
      <w:r w:rsidRPr="003E4841">
        <w:rPr>
          <w:rFonts w:cs="Calibri"/>
          <w:i/>
          <w:iCs/>
          <w:szCs w:val="24"/>
          <w:lang w:val="fr-FR"/>
        </w:rPr>
        <w:tab/>
      </w:r>
      <w:r w:rsidR="00F61D8F" w:rsidRPr="003E4841">
        <w:rPr>
          <w:rFonts w:cs="Calibri"/>
          <w:i/>
          <w:iCs/>
          <w:szCs w:val="24"/>
          <w:lang w:val="fr-FR"/>
        </w:rPr>
        <w:t xml:space="preserve">Défi </w:t>
      </w:r>
      <w:r w:rsidR="003F778F" w:rsidRPr="003E4841">
        <w:rPr>
          <w:rFonts w:cs="Calibri"/>
          <w:i/>
          <w:iCs/>
          <w:szCs w:val="24"/>
          <w:lang w:val="fr-FR"/>
        </w:rPr>
        <w:t>régional de l</w:t>
      </w:r>
      <w:r w:rsidR="002450E8" w:rsidRPr="003E4841">
        <w:rPr>
          <w:rFonts w:cs="Calibri"/>
          <w:i/>
          <w:iCs/>
          <w:szCs w:val="24"/>
          <w:lang w:val="fr-FR"/>
        </w:rPr>
        <w:t>'</w:t>
      </w:r>
      <w:r w:rsidR="003F778F" w:rsidRPr="003E4841">
        <w:rPr>
          <w:rFonts w:cs="Calibri"/>
          <w:i/>
          <w:iCs/>
          <w:szCs w:val="24"/>
          <w:lang w:val="fr-FR"/>
        </w:rPr>
        <w:t>UIT sur l</w:t>
      </w:r>
      <w:r w:rsidR="002450E8" w:rsidRPr="003E4841">
        <w:rPr>
          <w:rFonts w:cs="Calibri"/>
          <w:i/>
          <w:iCs/>
          <w:szCs w:val="24"/>
          <w:lang w:val="fr-FR"/>
        </w:rPr>
        <w:t>'</w:t>
      </w:r>
      <w:r w:rsidR="003F778F" w:rsidRPr="003E4841">
        <w:rPr>
          <w:rFonts w:cs="Calibri"/>
          <w:i/>
          <w:iCs/>
          <w:szCs w:val="24"/>
          <w:lang w:val="fr-FR"/>
        </w:rPr>
        <w:t>IA au service du développement dans la région des États arabes et la région Afrique, 1er novembre</w:t>
      </w:r>
      <w:r w:rsidR="00A12213" w:rsidRPr="003E4841">
        <w:rPr>
          <w:rFonts w:cs="Calibri"/>
          <w:i/>
          <w:iCs/>
          <w:szCs w:val="24"/>
          <w:lang w:val="fr-FR"/>
        </w:rPr>
        <w:t xml:space="preserve"> – </w:t>
      </w:r>
      <w:r w:rsidR="003F778F" w:rsidRPr="003E4841">
        <w:rPr>
          <w:rFonts w:cs="Calibri"/>
          <w:i/>
          <w:iCs/>
          <w:szCs w:val="24"/>
          <w:lang w:val="fr-FR"/>
        </w:rPr>
        <w:t>18 décembre 2020.</w:t>
      </w:r>
    </w:p>
    <w:p w14:paraId="52189822" w14:textId="4D467FC0" w:rsidR="003F778F" w:rsidRPr="003E4841" w:rsidRDefault="005577D8" w:rsidP="003E4841">
      <w:pPr>
        <w:pStyle w:val="enumlev1"/>
        <w:rPr>
          <w:rFonts w:cs="Calibri"/>
          <w:i/>
          <w:iCs/>
          <w:szCs w:val="24"/>
          <w:lang w:val="fr-FR"/>
        </w:rPr>
      </w:pPr>
      <w:r w:rsidRPr="003E4841">
        <w:rPr>
          <w:rFonts w:cs="Calibri"/>
          <w:i/>
          <w:iCs/>
          <w:szCs w:val="24"/>
          <w:lang w:val="fr-FR"/>
        </w:rPr>
        <w:t>–</w:t>
      </w:r>
      <w:r w:rsidRPr="003E4841">
        <w:rPr>
          <w:rFonts w:cs="Calibri"/>
          <w:i/>
          <w:iCs/>
          <w:szCs w:val="24"/>
          <w:lang w:val="fr-FR"/>
        </w:rPr>
        <w:tab/>
      </w:r>
      <w:r w:rsidR="003F778F" w:rsidRPr="003E4841">
        <w:rPr>
          <w:rFonts w:cs="Calibri"/>
          <w:i/>
          <w:iCs/>
          <w:szCs w:val="24"/>
          <w:lang w:val="fr-FR"/>
        </w:rPr>
        <w:t>Projet d</w:t>
      </w:r>
      <w:r w:rsidR="002450E8" w:rsidRPr="003E4841">
        <w:rPr>
          <w:rFonts w:cs="Calibri"/>
          <w:i/>
          <w:iCs/>
          <w:szCs w:val="24"/>
          <w:lang w:val="fr-FR"/>
        </w:rPr>
        <w:t>'</w:t>
      </w:r>
      <w:r w:rsidR="003F778F" w:rsidRPr="003E4841">
        <w:rPr>
          <w:rFonts w:cs="Calibri"/>
          <w:i/>
          <w:iCs/>
          <w:szCs w:val="24"/>
          <w:lang w:val="fr-FR"/>
        </w:rPr>
        <w:t xml:space="preserve">initiative régionale: </w:t>
      </w:r>
      <w:r w:rsidR="00295028" w:rsidRPr="003E4841">
        <w:rPr>
          <w:rFonts w:cs="Calibri"/>
          <w:i/>
          <w:iCs/>
          <w:szCs w:val="24"/>
          <w:lang w:val="fr-FR"/>
        </w:rPr>
        <w:t>centre régional d</w:t>
      </w:r>
      <w:r w:rsidR="002450E8" w:rsidRPr="003E4841">
        <w:rPr>
          <w:rFonts w:cs="Calibri"/>
          <w:i/>
          <w:iCs/>
          <w:szCs w:val="24"/>
          <w:lang w:val="fr-FR"/>
        </w:rPr>
        <w:t>'</w:t>
      </w:r>
      <w:r w:rsidR="00295028" w:rsidRPr="003E4841">
        <w:rPr>
          <w:rFonts w:cs="Calibri"/>
          <w:i/>
          <w:iCs/>
          <w:szCs w:val="24"/>
          <w:lang w:val="fr-FR"/>
        </w:rPr>
        <w:t>expertise de l</w:t>
      </w:r>
      <w:r w:rsidR="002450E8" w:rsidRPr="003E4841">
        <w:rPr>
          <w:rFonts w:cs="Calibri"/>
          <w:i/>
          <w:iCs/>
          <w:szCs w:val="24"/>
          <w:lang w:val="fr-FR"/>
        </w:rPr>
        <w:t>'</w:t>
      </w:r>
      <w:r w:rsidR="00295028" w:rsidRPr="003E4841">
        <w:rPr>
          <w:rFonts w:cs="Calibri"/>
          <w:i/>
          <w:iCs/>
          <w:szCs w:val="24"/>
          <w:lang w:val="fr-FR"/>
        </w:rPr>
        <w:t>UIT sur le protocole IPv6 et l</w:t>
      </w:r>
      <w:r w:rsidR="002450E8" w:rsidRPr="003E4841">
        <w:rPr>
          <w:rFonts w:cs="Calibri"/>
          <w:i/>
          <w:iCs/>
          <w:szCs w:val="24"/>
          <w:lang w:val="fr-FR"/>
        </w:rPr>
        <w:t>'</w:t>
      </w:r>
      <w:r w:rsidR="00295028" w:rsidRPr="003E4841">
        <w:rPr>
          <w:rFonts w:cs="Calibri"/>
          <w:i/>
          <w:iCs/>
          <w:szCs w:val="24"/>
          <w:lang w:val="fr-FR"/>
        </w:rPr>
        <w:t>IoT pour la région des États arabes (</w:t>
      </w:r>
      <w:r w:rsidR="00080B56" w:rsidRPr="003E4841">
        <w:rPr>
          <w:rFonts w:cs="Calibri"/>
          <w:i/>
          <w:iCs/>
          <w:szCs w:val="24"/>
          <w:lang w:val="fr-FR"/>
        </w:rPr>
        <w:t>sous l</w:t>
      </w:r>
      <w:r w:rsidR="002450E8" w:rsidRPr="003E4841">
        <w:rPr>
          <w:rFonts w:cs="Calibri"/>
          <w:i/>
          <w:iCs/>
          <w:szCs w:val="24"/>
          <w:lang w:val="fr-FR"/>
        </w:rPr>
        <w:t>'</w:t>
      </w:r>
      <w:r w:rsidR="00080B56" w:rsidRPr="003E4841">
        <w:rPr>
          <w:rFonts w:cs="Calibri"/>
          <w:i/>
          <w:iCs/>
          <w:szCs w:val="24"/>
          <w:lang w:val="fr-FR"/>
        </w:rPr>
        <w:t>égide et avec l</w:t>
      </w:r>
      <w:r w:rsidR="002450E8" w:rsidRPr="003E4841">
        <w:rPr>
          <w:rFonts w:cs="Calibri"/>
          <w:i/>
          <w:iCs/>
          <w:szCs w:val="24"/>
          <w:lang w:val="fr-FR"/>
        </w:rPr>
        <w:t>'</w:t>
      </w:r>
      <w:r w:rsidR="00080B56" w:rsidRPr="003E4841">
        <w:rPr>
          <w:rFonts w:cs="Calibri"/>
          <w:i/>
          <w:iCs/>
          <w:szCs w:val="24"/>
          <w:lang w:val="fr-FR"/>
        </w:rPr>
        <w:t>appui de la TPRA du Soudan), 2020-2022.</w:t>
      </w:r>
    </w:p>
    <w:p w14:paraId="7E975114" w14:textId="21341B0C" w:rsidR="006262E1" w:rsidRPr="003E4841" w:rsidRDefault="005577D8" w:rsidP="003E4841">
      <w:pPr>
        <w:pStyle w:val="enumlev1"/>
        <w:rPr>
          <w:rFonts w:cs="Calibri"/>
          <w:i/>
          <w:iCs/>
          <w:szCs w:val="24"/>
          <w:lang w:val="fr-FR"/>
        </w:rPr>
      </w:pPr>
      <w:r w:rsidRPr="003E4841">
        <w:rPr>
          <w:rFonts w:cs="Calibri"/>
          <w:i/>
          <w:iCs/>
          <w:szCs w:val="24"/>
          <w:lang w:val="fr-FR"/>
        </w:rPr>
        <w:t>–</w:t>
      </w:r>
      <w:r w:rsidRPr="003E4841">
        <w:rPr>
          <w:rFonts w:cs="Calibri"/>
          <w:i/>
          <w:iCs/>
          <w:szCs w:val="24"/>
          <w:lang w:val="fr-FR"/>
        </w:rPr>
        <w:tab/>
      </w:r>
      <w:r w:rsidR="006262E1" w:rsidRPr="003E4841">
        <w:rPr>
          <w:rFonts w:cs="Calibri"/>
          <w:i/>
          <w:iCs/>
          <w:szCs w:val="24"/>
          <w:lang w:val="fr-FR"/>
        </w:rPr>
        <w:t>Projet relatif à la gestion intelligente des nappes phréatiques en Égypte, 2016-2020.</w:t>
      </w:r>
    </w:p>
    <w:p w14:paraId="15EC7EE9" w14:textId="1C8CDFC7" w:rsidR="005577D8" w:rsidRPr="003E4841" w:rsidRDefault="005577D8" w:rsidP="003E4841">
      <w:pPr>
        <w:pStyle w:val="Headingb"/>
        <w:rPr>
          <w:lang w:val="fr-FR"/>
        </w:rPr>
      </w:pPr>
      <w:r w:rsidRPr="003E4841">
        <w:rPr>
          <w:lang w:val="fr-FR"/>
        </w:rPr>
        <w:t>ARB5:</w:t>
      </w:r>
      <w:r w:rsidR="00CB1208" w:rsidRPr="003E4841">
        <w:rPr>
          <w:lang w:val="fr-FR"/>
        </w:rPr>
        <w:t xml:space="preserve"> </w:t>
      </w:r>
      <w:r w:rsidRPr="003E4841">
        <w:rPr>
          <w:lang w:val="fr-FR"/>
        </w:rPr>
        <w:t>Innovation et esprit d'entreprise</w:t>
      </w:r>
    </w:p>
    <w:p w14:paraId="3FB0D00D" w14:textId="77777777" w:rsidR="005577D8" w:rsidRPr="003E4841" w:rsidRDefault="005577D8" w:rsidP="003E4841">
      <w:pPr>
        <w:rPr>
          <w:szCs w:val="24"/>
          <w:lang w:val="fr-FR"/>
        </w:rPr>
      </w:pPr>
      <w:r w:rsidRPr="003E4841">
        <w:rPr>
          <w:b/>
          <w:bCs/>
          <w:szCs w:val="24"/>
          <w:lang w:val="fr-FR"/>
        </w:rPr>
        <w:t>Objectif</w:t>
      </w:r>
      <w:r w:rsidRPr="003E4841">
        <w:rPr>
          <w:szCs w:val="24"/>
          <w:lang w:val="fr-FR"/>
        </w:rPr>
        <w:t>: Renforcer les capacités et sensibiliser l'opinion à la culture de l'innovation et de l'esprit d'entreprise, en particulier pour autonomiser les jeunes et les femmes, afin d'exploiter les outils des télécommunications/</w:t>
      </w:r>
      <w:r w:rsidRPr="003E4841">
        <w:rPr>
          <w:rFonts w:eastAsia="Batang"/>
          <w:szCs w:val="24"/>
          <w:lang w:val="fr-FR"/>
        </w:rPr>
        <w:t>technologies de l'information et de la communication</w:t>
      </w:r>
      <w:r w:rsidRPr="003E4841">
        <w:rPr>
          <w:szCs w:val="24"/>
          <w:lang w:val="fr-FR"/>
        </w:rPr>
        <w:t xml:space="preserve"> (TIC) pour lancer des projets et entreprendre des activités économiques privilégiant la création d'emplois. </w:t>
      </w:r>
    </w:p>
    <w:p w14:paraId="45CE49A8" w14:textId="5C10361C" w:rsidR="005577D8" w:rsidRPr="003E4841" w:rsidRDefault="005577D8" w:rsidP="003E4841">
      <w:pPr>
        <w:rPr>
          <w:szCs w:val="24"/>
          <w:lang w:val="fr-FR"/>
        </w:rPr>
      </w:pPr>
      <w:r w:rsidRPr="003E4841">
        <w:rPr>
          <w:szCs w:val="24"/>
          <w:lang w:val="fr-FR"/>
        </w:rPr>
        <w:t>Pour atteindre les résultats attendus des initiatives régionales de l'UIT, différentes activités ont été menées au cours de la période 2018</w:t>
      </w:r>
      <w:r w:rsidRPr="003E4841">
        <w:rPr>
          <w:szCs w:val="24"/>
          <w:lang w:val="fr-FR"/>
        </w:rPr>
        <w:noBreakHyphen/>
        <w:t>2020 pour renforcer les capacités des Membres dans les domaines suivants:</w:t>
      </w:r>
    </w:p>
    <w:p w14:paraId="07565073" w14:textId="64E3B4CC" w:rsidR="005577D8" w:rsidRPr="003E4841" w:rsidRDefault="005577D8" w:rsidP="003E4841">
      <w:pPr>
        <w:pStyle w:val="enumlev1"/>
        <w:rPr>
          <w:lang w:val="fr-FR"/>
        </w:rPr>
      </w:pPr>
      <w:r w:rsidRPr="003E4841">
        <w:rPr>
          <w:lang w:val="fr-FR"/>
        </w:rPr>
        <w:t>–</w:t>
      </w:r>
      <w:r w:rsidRPr="003E4841">
        <w:rPr>
          <w:lang w:val="fr-FR"/>
        </w:rPr>
        <w:tab/>
      </w:r>
      <w:r w:rsidR="00001E5E" w:rsidRPr="003E4841">
        <w:rPr>
          <w:lang w:val="fr-FR"/>
        </w:rPr>
        <w:t>A</w:t>
      </w:r>
      <w:r w:rsidRPr="003E4841">
        <w:rPr>
          <w:lang w:val="fr-FR"/>
        </w:rPr>
        <w:t xml:space="preserve">ssistance directe en vue de l'élaboration d'écosystèmes </w:t>
      </w:r>
      <w:r w:rsidR="00643CB4">
        <w:rPr>
          <w:lang w:val="fr-FR"/>
        </w:rPr>
        <w:t>de l'innovation centrés sur les </w:t>
      </w:r>
      <w:r w:rsidRPr="003E4841">
        <w:rPr>
          <w:lang w:val="fr-FR"/>
        </w:rPr>
        <w:t>TIC</w:t>
      </w:r>
      <w:r w:rsidR="00001E5E" w:rsidRPr="003E4841">
        <w:rPr>
          <w:lang w:val="fr-FR"/>
        </w:rPr>
        <w:t>.</w:t>
      </w:r>
    </w:p>
    <w:p w14:paraId="74F8C97A" w14:textId="014ACFED" w:rsidR="005577D8" w:rsidRPr="003E4841" w:rsidRDefault="005577D8" w:rsidP="003E4841">
      <w:pPr>
        <w:pStyle w:val="enumlev1"/>
        <w:rPr>
          <w:rFonts w:cstheme="minorHAnsi"/>
          <w:lang w:val="fr-FR"/>
        </w:rPr>
      </w:pPr>
      <w:r w:rsidRPr="003E4841">
        <w:rPr>
          <w:lang w:val="fr-FR"/>
        </w:rPr>
        <w:t>–</w:t>
      </w:r>
      <w:r w:rsidRPr="003E4841">
        <w:rPr>
          <w:lang w:val="fr-FR"/>
        </w:rPr>
        <w:tab/>
      </w:r>
      <w:r w:rsidR="00001E5E" w:rsidRPr="003E4841">
        <w:rPr>
          <w:lang w:val="fr-FR"/>
        </w:rPr>
        <w:t>R</w:t>
      </w:r>
      <w:r w:rsidRPr="003E4841">
        <w:rPr>
          <w:lang w:val="fr-FR"/>
        </w:rPr>
        <w:t xml:space="preserve">enforcement des capacités et mise en place de </w:t>
      </w:r>
      <w:r w:rsidRPr="003E4841">
        <w:rPr>
          <w:rFonts w:cstheme="minorHAnsi"/>
          <w:lang w:val="fr-FR"/>
        </w:rPr>
        <w:t>communautés</w:t>
      </w:r>
      <w:r w:rsidR="006262E1" w:rsidRPr="003E4841">
        <w:rPr>
          <w:rFonts w:cstheme="minorHAnsi"/>
          <w:lang w:val="fr-FR"/>
        </w:rPr>
        <w:t>.</w:t>
      </w:r>
    </w:p>
    <w:p w14:paraId="2CC51CDD" w14:textId="55DF28CA" w:rsidR="005577D8" w:rsidRDefault="005577D8" w:rsidP="003E4841">
      <w:pPr>
        <w:spacing w:after="120"/>
        <w:rPr>
          <w:lang w:val="fr-FR"/>
        </w:rPr>
      </w:pPr>
      <w:r w:rsidRPr="003E4841">
        <w:rPr>
          <w:b/>
          <w:bCs/>
          <w:lang w:val="fr-FR"/>
        </w:rPr>
        <w:t>IMPACT</w:t>
      </w:r>
      <w:r w:rsidRPr="003E4841">
        <w:rPr>
          <w:bCs/>
          <w:lang w:val="fr-FR"/>
        </w:rPr>
        <w:t>:</w:t>
      </w:r>
      <w:r w:rsidRPr="003E4841">
        <w:rPr>
          <w:lang w:val="fr-FR"/>
        </w:rPr>
        <w:t xml:space="preserve"> </w:t>
      </w:r>
      <w:r w:rsidR="0023552F" w:rsidRPr="003E4841">
        <w:rPr>
          <w:lang w:val="fr-FR"/>
        </w:rPr>
        <w:t>Trois</w:t>
      </w:r>
      <w:r w:rsidRPr="003E4841">
        <w:rPr>
          <w:lang w:val="fr-FR"/>
        </w:rPr>
        <w:t xml:space="preserve"> pays ont bénéficié d'une assistance technique directe et ont pu progresser vers la réalisation de leurs objectifs nationaux grâce à l'appui de l'UIT. </w:t>
      </w:r>
      <w:bookmarkStart w:id="4" w:name="lt_pId180"/>
      <w:r w:rsidR="00760A69" w:rsidRPr="003E4841">
        <w:rPr>
          <w:lang w:val="fr-FR"/>
        </w:rPr>
        <w:t>Un réseau comprenant 22</w:t>
      </w:r>
      <w:r w:rsidR="00A12213" w:rsidRPr="003E4841">
        <w:rPr>
          <w:lang w:val="fr-FR"/>
        </w:rPr>
        <w:t> </w:t>
      </w:r>
      <w:r w:rsidR="00760A69" w:rsidRPr="003E4841">
        <w:rPr>
          <w:lang w:val="fr-FR"/>
        </w:rPr>
        <w:t>technoparcs et pépinières d</w:t>
      </w:r>
      <w:r w:rsidR="002450E8" w:rsidRPr="003E4841">
        <w:rPr>
          <w:lang w:val="fr-FR"/>
        </w:rPr>
        <w:t>'</w:t>
      </w:r>
      <w:r w:rsidR="00760A69" w:rsidRPr="003E4841">
        <w:rPr>
          <w:lang w:val="fr-FR"/>
        </w:rPr>
        <w:t xml:space="preserve">entreprise a été créé </w:t>
      </w:r>
      <w:r w:rsidR="0091004C" w:rsidRPr="003E4841">
        <w:rPr>
          <w:lang w:val="fr-FR"/>
        </w:rPr>
        <w:t>afin d</w:t>
      </w:r>
      <w:r w:rsidR="002450E8" w:rsidRPr="003E4841">
        <w:rPr>
          <w:lang w:val="fr-FR"/>
        </w:rPr>
        <w:t>'</w:t>
      </w:r>
      <w:r w:rsidR="0091004C" w:rsidRPr="003E4841">
        <w:rPr>
          <w:lang w:val="fr-FR"/>
        </w:rPr>
        <w:t>encourager</w:t>
      </w:r>
      <w:r w:rsidR="00760A69" w:rsidRPr="003E4841">
        <w:rPr>
          <w:lang w:val="fr-FR"/>
        </w:rPr>
        <w:t xml:space="preserve"> les partenariats et la collaborati</w:t>
      </w:r>
      <w:r w:rsidR="0091004C" w:rsidRPr="003E4841">
        <w:rPr>
          <w:lang w:val="fr-FR"/>
        </w:rPr>
        <w:t xml:space="preserve">on entre </w:t>
      </w:r>
      <w:r w:rsidR="00316182" w:rsidRPr="003E4841">
        <w:rPr>
          <w:lang w:val="fr-FR"/>
        </w:rPr>
        <w:t>ces entités</w:t>
      </w:r>
      <w:r w:rsidR="0091004C" w:rsidRPr="003E4841">
        <w:rPr>
          <w:lang w:val="fr-FR"/>
        </w:rPr>
        <w:t xml:space="preserve">. Un examen régional a été réalisé, ce qui </w:t>
      </w:r>
      <w:r w:rsidR="00CB5E63" w:rsidRPr="003E4841">
        <w:rPr>
          <w:lang w:val="fr-FR"/>
        </w:rPr>
        <w:t>permettra</w:t>
      </w:r>
      <w:r w:rsidR="0091004C" w:rsidRPr="003E4841">
        <w:rPr>
          <w:lang w:val="fr-FR"/>
        </w:rPr>
        <w:t xml:space="preserve"> de fournir une assistance directe plus ciblée et efficace</w:t>
      </w:r>
      <w:bookmarkEnd w:id="4"/>
      <w:r w:rsidR="00CB5E63" w:rsidRPr="003E4841">
        <w:rPr>
          <w:lang w:val="fr-FR"/>
        </w:rPr>
        <w:t xml:space="preserve"> à l</w:t>
      </w:r>
      <w:r w:rsidR="002450E8" w:rsidRPr="003E4841">
        <w:rPr>
          <w:lang w:val="fr-FR"/>
        </w:rPr>
        <w:t>'</w:t>
      </w:r>
      <w:r w:rsidR="00CB5E63" w:rsidRPr="003E4841">
        <w:rPr>
          <w:lang w:val="fr-FR"/>
        </w:rPr>
        <w:t>avenir.</w:t>
      </w:r>
    </w:p>
    <w:tbl>
      <w:tblPr>
        <w:tblStyle w:val="TableGrid"/>
        <w:tblW w:w="0" w:type="auto"/>
        <w:shd w:val="clear" w:color="auto" w:fill="8EAADB" w:themeFill="accent5" w:themeFillTint="99"/>
        <w:tblLook w:val="04A0" w:firstRow="1" w:lastRow="0" w:firstColumn="1" w:lastColumn="0" w:noHBand="0" w:noVBand="1"/>
      </w:tblPr>
      <w:tblGrid>
        <w:gridCol w:w="9631"/>
      </w:tblGrid>
      <w:tr w:rsidR="00E3372C" w:rsidRPr="00E30FF2" w14:paraId="53383A85" w14:textId="77777777" w:rsidTr="00E3372C">
        <w:tc>
          <w:tcPr>
            <w:tcW w:w="9631" w:type="dxa"/>
            <w:shd w:val="clear" w:color="auto" w:fill="8EAADB" w:themeFill="accent5" w:themeFillTint="99"/>
          </w:tcPr>
          <w:p w14:paraId="6F7E16A9" w14:textId="5042CDE0" w:rsidR="00E3372C" w:rsidRDefault="00E3372C" w:rsidP="003E4841">
            <w:pPr>
              <w:spacing w:after="120"/>
              <w:rPr>
                <w:lang w:val="fr-FR"/>
              </w:rPr>
            </w:pPr>
            <w:r w:rsidRPr="00E3372C">
              <w:rPr>
                <w:b/>
                <w:bCs/>
                <w:iCs/>
                <w:lang w:val="fr-FR"/>
              </w:rPr>
              <w:t>Différentes activités ont été menées pour renforcer les capacités des États Membres de l'UIT en vue de l'élaboration d'écosystèmes de l'innovation centrés sur les TIC</w:t>
            </w:r>
          </w:p>
        </w:tc>
      </w:tr>
    </w:tbl>
    <w:p w14:paraId="6689DE13" w14:textId="2D4921CC" w:rsidR="005577D8" w:rsidRPr="003E4841" w:rsidRDefault="005577D8" w:rsidP="003E4841">
      <w:pPr>
        <w:pStyle w:val="enumlev1"/>
        <w:rPr>
          <w:i/>
          <w:iCs/>
          <w:lang w:val="fr-FR"/>
        </w:rPr>
      </w:pPr>
      <w:bookmarkStart w:id="5" w:name="lt_pId183"/>
      <w:r w:rsidRPr="003E4841">
        <w:rPr>
          <w:i/>
          <w:iCs/>
          <w:lang w:val="fr-FR"/>
        </w:rPr>
        <w:t>–</w:t>
      </w:r>
      <w:r w:rsidRPr="003E4841">
        <w:rPr>
          <w:i/>
          <w:iCs/>
          <w:lang w:val="fr-FR"/>
        </w:rPr>
        <w:tab/>
      </w:r>
      <w:r w:rsidR="002F14FD" w:rsidRPr="003E4841">
        <w:rPr>
          <w:i/>
          <w:iCs/>
          <w:lang w:val="fr-FR"/>
        </w:rPr>
        <w:t>Profil d'innovation numérique d</w:t>
      </w:r>
      <w:r w:rsidR="002450E8" w:rsidRPr="003E4841">
        <w:rPr>
          <w:i/>
          <w:iCs/>
          <w:lang w:val="fr-FR"/>
        </w:rPr>
        <w:t>'</w:t>
      </w:r>
      <w:r w:rsidR="002F14FD" w:rsidRPr="003E4841">
        <w:rPr>
          <w:i/>
          <w:iCs/>
          <w:lang w:val="fr-FR"/>
        </w:rPr>
        <w:t>Oman (en cours de préparation)</w:t>
      </w:r>
      <w:bookmarkEnd w:id="5"/>
      <w:r w:rsidR="002F14FD" w:rsidRPr="003E4841">
        <w:rPr>
          <w:i/>
          <w:iCs/>
          <w:lang w:val="fr-FR"/>
        </w:rPr>
        <w:t>.</w:t>
      </w:r>
    </w:p>
    <w:p w14:paraId="52197CA2" w14:textId="3850E8CB" w:rsidR="005577D8" w:rsidRDefault="005577D8" w:rsidP="00E3372C">
      <w:pPr>
        <w:pStyle w:val="enumlev1"/>
        <w:spacing w:after="120"/>
        <w:rPr>
          <w:i/>
          <w:iCs/>
          <w:lang w:val="fr-FR"/>
        </w:rPr>
      </w:pPr>
      <w:bookmarkStart w:id="6" w:name="lt_pId184"/>
      <w:r w:rsidRPr="003E4841">
        <w:rPr>
          <w:i/>
          <w:iCs/>
          <w:lang w:val="fr-FR"/>
        </w:rPr>
        <w:t>–</w:t>
      </w:r>
      <w:r w:rsidRPr="003E4841">
        <w:rPr>
          <w:i/>
          <w:iCs/>
          <w:lang w:val="fr-FR"/>
        </w:rPr>
        <w:tab/>
      </w:r>
      <w:r w:rsidR="002F14FD" w:rsidRPr="003E4841">
        <w:rPr>
          <w:i/>
          <w:iCs/>
          <w:lang w:val="fr-FR"/>
        </w:rPr>
        <w:t>Profil d</w:t>
      </w:r>
      <w:r w:rsidR="002450E8" w:rsidRPr="003E4841">
        <w:rPr>
          <w:i/>
          <w:iCs/>
          <w:lang w:val="fr-FR"/>
        </w:rPr>
        <w:t>'</w:t>
      </w:r>
      <w:r w:rsidR="002F14FD" w:rsidRPr="003E4841">
        <w:rPr>
          <w:i/>
          <w:iCs/>
          <w:lang w:val="fr-FR"/>
        </w:rPr>
        <w:t>innovation numérique de l</w:t>
      </w:r>
      <w:r w:rsidR="002450E8" w:rsidRPr="003E4841">
        <w:rPr>
          <w:i/>
          <w:iCs/>
          <w:lang w:val="fr-FR"/>
        </w:rPr>
        <w:t>'</w:t>
      </w:r>
      <w:r w:rsidR="002F14FD" w:rsidRPr="003E4841">
        <w:rPr>
          <w:i/>
          <w:iCs/>
          <w:lang w:val="fr-FR"/>
        </w:rPr>
        <w:t>Égypte</w:t>
      </w:r>
      <w:r w:rsidRPr="003E4841">
        <w:rPr>
          <w:i/>
          <w:iCs/>
          <w:lang w:val="fr-FR"/>
        </w:rPr>
        <w:t xml:space="preserve"> (</w:t>
      </w:r>
      <w:r w:rsidR="002F14FD" w:rsidRPr="003E4841">
        <w:rPr>
          <w:i/>
          <w:iCs/>
          <w:lang w:val="fr-FR"/>
        </w:rPr>
        <w:t>en cours de préparation</w:t>
      </w:r>
      <w:r w:rsidRPr="003E4841">
        <w:rPr>
          <w:i/>
          <w:iCs/>
          <w:lang w:val="fr-FR"/>
        </w:rPr>
        <w:t>)</w:t>
      </w:r>
      <w:bookmarkEnd w:id="6"/>
      <w:r w:rsidR="002F14FD" w:rsidRPr="003E4841">
        <w:rPr>
          <w:i/>
          <w:iCs/>
          <w:lang w:val="fr-FR"/>
        </w:rPr>
        <w:t>.</w:t>
      </w:r>
    </w:p>
    <w:tbl>
      <w:tblPr>
        <w:tblStyle w:val="TableGrid"/>
        <w:tblW w:w="0" w:type="auto"/>
        <w:shd w:val="clear" w:color="auto" w:fill="8EAADB" w:themeFill="accent5" w:themeFillTint="99"/>
        <w:tblLook w:val="04A0" w:firstRow="1" w:lastRow="0" w:firstColumn="1" w:lastColumn="0" w:noHBand="0" w:noVBand="1"/>
      </w:tblPr>
      <w:tblGrid>
        <w:gridCol w:w="9631"/>
      </w:tblGrid>
      <w:tr w:rsidR="00E3372C" w:rsidRPr="00E30FF2" w14:paraId="47C3F453" w14:textId="77777777" w:rsidTr="00BF46CE">
        <w:tc>
          <w:tcPr>
            <w:tcW w:w="9631" w:type="dxa"/>
            <w:shd w:val="clear" w:color="auto" w:fill="8EAADB" w:themeFill="accent5" w:themeFillTint="99"/>
          </w:tcPr>
          <w:p w14:paraId="334A62FB" w14:textId="67613B41" w:rsidR="00E3372C" w:rsidRDefault="00E3372C" w:rsidP="00BF46CE">
            <w:pPr>
              <w:spacing w:after="120"/>
              <w:rPr>
                <w:lang w:val="fr-FR"/>
              </w:rPr>
            </w:pPr>
            <w:r w:rsidRPr="00E3372C">
              <w:rPr>
                <w:b/>
                <w:bCs/>
                <w:iCs/>
                <w:lang w:val="fr-FR"/>
              </w:rPr>
              <w:t>Différentes activités ont été menées pour renforcer les capacités et encourager la collaboration entre les différentes parties prenantes dans la région des États arabes</w:t>
            </w:r>
          </w:p>
        </w:tc>
      </w:tr>
    </w:tbl>
    <w:p w14:paraId="486A1146" w14:textId="621806AC" w:rsidR="005577D8" w:rsidRPr="003E4841" w:rsidRDefault="005577D8" w:rsidP="00E3372C">
      <w:pPr>
        <w:pStyle w:val="enumlev1"/>
        <w:spacing w:before="120"/>
        <w:rPr>
          <w:i/>
          <w:iCs/>
          <w:lang w:val="fr-FR"/>
        </w:rPr>
      </w:pPr>
      <w:r w:rsidRPr="003E4841">
        <w:rPr>
          <w:i/>
          <w:iCs/>
          <w:lang w:val="fr-FR"/>
        </w:rPr>
        <w:t>–</w:t>
      </w:r>
      <w:r w:rsidRPr="003E4841">
        <w:rPr>
          <w:i/>
          <w:iCs/>
          <w:lang w:val="fr-FR"/>
        </w:rPr>
        <w:tab/>
      </w:r>
      <w:r w:rsidR="00AC49C6" w:rsidRPr="003E4841">
        <w:rPr>
          <w:i/>
          <w:iCs/>
          <w:lang w:val="fr-FR"/>
        </w:rPr>
        <w:t>Cinquième</w:t>
      </w:r>
      <w:r w:rsidR="002F14FD" w:rsidRPr="003E4841">
        <w:rPr>
          <w:i/>
          <w:iCs/>
          <w:lang w:val="fr-FR"/>
        </w:rPr>
        <w:t xml:space="preserve"> réunion du Réseau arabe des technoparcs et pépinières d</w:t>
      </w:r>
      <w:r w:rsidR="002450E8" w:rsidRPr="003E4841">
        <w:rPr>
          <w:i/>
          <w:iCs/>
          <w:lang w:val="fr-FR"/>
        </w:rPr>
        <w:t>'</w:t>
      </w:r>
      <w:r w:rsidR="002F14FD" w:rsidRPr="003E4841">
        <w:rPr>
          <w:i/>
          <w:iCs/>
          <w:lang w:val="fr-FR"/>
        </w:rPr>
        <w:t>entreprise (ARTECNET), Tuni</w:t>
      </w:r>
      <w:r w:rsidR="000C3CAE" w:rsidRPr="003E4841">
        <w:rPr>
          <w:i/>
          <w:iCs/>
          <w:lang w:val="fr-FR"/>
        </w:rPr>
        <w:t>s</w:t>
      </w:r>
      <w:r w:rsidR="002F14FD" w:rsidRPr="003E4841">
        <w:rPr>
          <w:i/>
          <w:iCs/>
          <w:lang w:val="fr-FR"/>
        </w:rPr>
        <w:t xml:space="preserve"> (Tunisie), 16-17 avril 2018.</w:t>
      </w:r>
    </w:p>
    <w:p w14:paraId="28257A88" w14:textId="6D6A2248" w:rsidR="005577D8" w:rsidRPr="003E4841" w:rsidRDefault="005577D8" w:rsidP="003E4841">
      <w:pPr>
        <w:pStyle w:val="enumlev1"/>
        <w:rPr>
          <w:i/>
          <w:iCs/>
          <w:lang w:val="fr-FR"/>
        </w:rPr>
      </w:pPr>
      <w:r w:rsidRPr="003E4841">
        <w:rPr>
          <w:i/>
          <w:iCs/>
          <w:lang w:val="fr-FR"/>
        </w:rPr>
        <w:t>–</w:t>
      </w:r>
      <w:r w:rsidRPr="003E4841">
        <w:rPr>
          <w:i/>
          <w:iCs/>
          <w:lang w:val="fr-FR"/>
        </w:rPr>
        <w:tab/>
      </w:r>
      <w:r w:rsidR="002F14FD" w:rsidRPr="003E4841">
        <w:rPr>
          <w:i/>
          <w:iCs/>
          <w:lang w:val="fr-FR"/>
        </w:rPr>
        <w:t>Journées d</w:t>
      </w:r>
      <w:r w:rsidR="002450E8" w:rsidRPr="003E4841">
        <w:rPr>
          <w:i/>
          <w:iCs/>
          <w:lang w:val="fr-FR"/>
        </w:rPr>
        <w:t>'</w:t>
      </w:r>
      <w:r w:rsidR="002F14FD" w:rsidRPr="003E4841">
        <w:rPr>
          <w:i/>
          <w:iCs/>
          <w:lang w:val="fr-FR"/>
        </w:rPr>
        <w:t>études sur les écosystèmes de l</w:t>
      </w:r>
      <w:r w:rsidR="002450E8" w:rsidRPr="003E4841">
        <w:rPr>
          <w:i/>
          <w:iCs/>
          <w:lang w:val="fr-FR"/>
        </w:rPr>
        <w:t>'</w:t>
      </w:r>
      <w:r w:rsidR="002F14FD" w:rsidRPr="003E4841">
        <w:rPr>
          <w:i/>
          <w:iCs/>
          <w:lang w:val="fr-FR"/>
        </w:rPr>
        <w:t>innovation au service de l</w:t>
      </w:r>
      <w:r w:rsidR="002450E8" w:rsidRPr="003E4841">
        <w:rPr>
          <w:i/>
          <w:iCs/>
          <w:lang w:val="fr-FR"/>
        </w:rPr>
        <w:t>'</w:t>
      </w:r>
      <w:r w:rsidR="002F14FD" w:rsidRPr="003E4841">
        <w:rPr>
          <w:i/>
          <w:iCs/>
          <w:lang w:val="fr-FR"/>
        </w:rPr>
        <w:t>esprit d</w:t>
      </w:r>
      <w:r w:rsidR="002450E8" w:rsidRPr="003E4841">
        <w:rPr>
          <w:i/>
          <w:iCs/>
          <w:lang w:val="fr-FR"/>
        </w:rPr>
        <w:t>'</w:t>
      </w:r>
      <w:r w:rsidR="002F14FD" w:rsidRPr="003E4841">
        <w:rPr>
          <w:i/>
          <w:iCs/>
          <w:lang w:val="fr-FR"/>
        </w:rPr>
        <w:t xml:space="preserve">entreprise, </w:t>
      </w:r>
      <w:r w:rsidR="000C3CAE" w:rsidRPr="003E4841">
        <w:rPr>
          <w:i/>
          <w:iCs/>
          <w:lang w:val="fr-FR"/>
        </w:rPr>
        <w:t>Tataouine (Tunisie), 22-23 novembre 2018.</w:t>
      </w:r>
    </w:p>
    <w:p w14:paraId="40DA6D8D" w14:textId="4EEB68E6" w:rsidR="005577D8" w:rsidRPr="003E4841" w:rsidRDefault="005577D8" w:rsidP="003E4841">
      <w:pPr>
        <w:pStyle w:val="enumlev1"/>
        <w:rPr>
          <w:i/>
          <w:iCs/>
          <w:lang w:val="fr-FR"/>
        </w:rPr>
      </w:pPr>
      <w:r w:rsidRPr="003E4841">
        <w:rPr>
          <w:i/>
          <w:iCs/>
          <w:lang w:val="fr-FR"/>
        </w:rPr>
        <w:t>–</w:t>
      </w:r>
      <w:r w:rsidRPr="003E4841">
        <w:rPr>
          <w:i/>
          <w:iCs/>
          <w:lang w:val="fr-FR"/>
        </w:rPr>
        <w:tab/>
      </w:r>
      <w:r w:rsidR="000C3CAE" w:rsidRPr="003E4841">
        <w:rPr>
          <w:i/>
          <w:iCs/>
          <w:lang w:val="fr-FR"/>
        </w:rPr>
        <w:t>Atelier régional de l</w:t>
      </w:r>
      <w:r w:rsidR="002450E8" w:rsidRPr="003E4841">
        <w:rPr>
          <w:i/>
          <w:iCs/>
          <w:lang w:val="fr-FR"/>
        </w:rPr>
        <w:t>'</w:t>
      </w:r>
      <w:r w:rsidR="000C3CAE" w:rsidRPr="003E4841">
        <w:rPr>
          <w:i/>
          <w:iCs/>
          <w:lang w:val="fr-FR"/>
        </w:rPr>
        <w:t>UIT sur la réduction des disparités en matière d</w:t>
      </w:r>
      <w:r w:rsidR="002450E8" w:rsidRPr="003E4841">
        <w:rPr>
          <w:i/>
          <w:iCs/>
          <w:lang w:val="fr-FR"/>
        </w:rPr>
        <w:t>'</w:t>
      </w:r>
      <w:r w:rsidR="000C3CAE" w:rsidRPr="003E4841">
        <w:rPr>
          <w:i/>
          <w:iCs/>
          <w:lang w:val="fr-FR"/>
        </w:rPr>
        <w:t>innovation numérique, Le Caire (Égypte), 1er-2 octobre 2019.</w:t>
      </w:r>
    </w:p>
    <w:p w14:paraId="6BB4E20E" w14:textId="41CF8618" w:rsidR="000C3CAE" w:rsidRPr="003E4841" w:rsidRDefault="005577D8" w:rsidP="003E4841">
      <w:pPr>
        <w:pStyle w:val="enumlev1"/>
        <w:rPr>
          <w:i/>
          <w:iCs/>
          <w:lang w:val="fr-FR"/>
        </w:rPr>
      </w:pPr>
      <w:r w:rsidRPr="003E4841">
        <w:rPr>
          <w:i/>
          <w:iCs/>
          <w:lang w:val="fr-FR"/>
        </w:rPr>
        <w:t>–</w:t>
      </w:r>
      <w:r w:rsidRPr="003E4841">
        <w:rPr>
          <w:i/>
          <w:iCs/>
          <w:lang w:val="fr-FR"/>
        </w:rPr>
        <w:tab/>
      </w:r>
      <w:r w:rsidR="000C3CAE" w:rsidRPr="003E4841">
        <w:rPr>
          <w:i/>
          <w:iCs/>
          <w:lang w:val="fr-FR"/>
        </w:rPr>
        <w:t>Sixième réunion des membres de l</w:t>
      </w:r>
      <w:r w:rsidR="002450E8" w:rsidRPr="003E4841">
        <w:rPr>
          <w:i/>
          <w:iCs/>
          <w:lang w:val="fr-FR"/>
        </w:rPr>
        <w:t>'</w:t>
      </w:r>
      <w:r w:rsidR="000C3CAE" w:rsidRPr="003E4841">
        <w:rPr>
          <w:i/>
          <w:iCs/>
          <w:lang w:val="fr-FR"/>
        </w:rPr>
        <w:t>ARTECNET, 24 décembre 2019; atelier à l</w:t>
      </w:r>
      <w:r w:rsidR="002450E8" w:rsidRPr="003E4841">
        <w:rPr>
          <w:i/>
          <w:iCs/>
          <w:lang w:val="fr-FR"/>
        </w:rPr>
        <w:t>'</w:t>
      </w:r>
      <w:r w:rsidR="000C3CAE" w:rsidRPr="003E4841">
        <w:rPr>
          <w:i/>
          <w:iCs/>
          <w:lang w:val="fr-FR"/>
        </w:rPr>
        <w:t>intention des dirigeants de technoparcs et de pépinières d</w:t>
      </w:r>
      <w:r w:rsidR="002450E8" w:rsidRPr="003E4841">
        <w:rPr>
          <w:i/>
          <w:iCs/>
          <w:lang w:val="fr-FR"/>
        </w:rPr>
        <w:t>'</w:t>
      </w:r>
      <w:r w:rsidR="000C3CAE" w:rsidRPr="003E4841">
        <w:rPr>
          <w:i/>
          <w:iCs/>
          <w:lang w:val="fr-FR"/>
        </w:rPr>
        <w:t>entrepris</w:t>
      </w:r>
      <w:r w:rsidR="003E6F5A" w:rsidRPr="003E4841">
        <w:rPr>
          <w:i/>
          <w:iCs/>
          <w:lang w:val="fr-FR"/>
        </w:rPr>
        <w:t>e</w:t>
      </w:r>
      <w:r w:rsidR="000C3CAE" w:rsidRPr="003E4841">
        <w:rPr>
          <w:i/>
          <w:iCs/>
          <w:lang w:val="fr-FR"/>
        </w:rPr>
        <w:t>, 25 décembre 2019, Tunis (Tunisie).</w:t>
      </w:r>
    </w:p>
    <w:p w14:paraId="025CFE98" w14:textId="3DA924FE" w:rsidR="005577D8" w:rsidRPr="003E4841" w:rsidRDefault="005577D8" w:rsidP="003E4841">
      <w:pPr>
        <w:pStyle w:val="enumlev1"/>
        <w:rPr>
          <w:i/>
          <w:iCs/>
          <w:lang w:val="fr-FR"/>
        </w:rPr>
      </w:pPr>
      <w:r w:rsidRPr="003E4841">
        <w:rPr>
          <w:i/>
          <w:iCs/>
          <w:lang w:val="fr-FR"/>
        </w:rPr>
        <w:t>–</w:t>
      </w:r>
      <w:r w:rsidRPr="003E4841">
        <w:rPr>
          <w:i/>
          <w:iCs/>
          <w:lang w:val="fr-FR"/>
        </w:rPr>
        <w:tab/>
      </w:r>
      <w:r w:rsidR="00D60B86" w:rsidRPr="003E4841">
        <w:rPr>
          <w:i/>
          <w:iCs/>
          <w:lang w:val="fr-FR"/>
        </w:rPr>
        <w:t xml:space="preserve">Forum </w:t>
      </w:r>
      <w:r w:rsidR="003D25D2" w:rsidRPr="003E4841">
        <w:rPr>
          <w:i/>
          <w:iCs/>
          <w:lang w:val="fr-FR"/>
        </w:rPr>
        <w:t>régional de l</w:t>
      </w:r>
      <w:r w:rsidR="002450E8" w:rsidRPr="003E4841">
        <w:rPr>
          <w:i/>
          <w:iCs/>
          <w:lang w:val="fr-FR"/>
        </w:rPr>
        <w:t>'</w:t>
      </w:r>
      <w:r w:rsidR="003D25D2" w:rsidRPr="003E4841">
        <w:rPr>
          <w:i/>
          <w:iCs/>
          <w:lang w:val="fr-FR"/>
        </w:rPr>
        <w:t>UIT sur l</w:t>
      </w:r>
      <w:r w:rsidR="002450E8" w:rsidRPr="003E4841">
        <w:rPr>
          <w:i/>
          <w:iCs/>
          <w:lang w:val="fr-FR"/>
        </w:rPr>
        <w:t>'</w:t>
      </w:r>
      <w:r w:rsidR="003D25D2" w:rsidRPr="003E4841">
        <w:rPr>
          <w:i/>
          <w:iCs/>
          <w:lang w:val="fr-FR"/>
        </w:rPr>
        <w:t xml:space="preserve">innovation pour la région des États arabes: </w:t>
      </w:r>
      <w:r w:rsidR="00D60B86" w:rsidRPr="003E4841">
        <w:rPr>
          <w:i/>
          <w:iCs/>
          <w:lang w:val="fr-FR"/>
        </w:rPr>
        <w:t xml:space="preserve">Favoriser des écosystèmes de l'innovation numérique compétitifs à l'ère du COVID-19, </w:t>
      </w:r>
      <w:r w:rsidRPr="003E4841">
        <w:rPr>
          <w:i/>
          <w:iCs/>
          <w:lang w:val="fr-FR"/>
        </w:rPr>
        <w:t xml:space="preserve">29 </w:t>
      </w:r>
      <w:r w:rsidR="00F4562B" w:rsidRPr="003E4841">
        <w:rPr>
          <w:i/>
          <w:iCs/>
          <w:lang w:val="fr-FR"/>
        </w:rPr>
        <w:t>o</w:t>
      </w:r>
      <w:r w:rsidRPr="003E4841">
        <w:rPr>
          <w:i/>
          <w:iCs/>
          <w:lang w:val="fr-FR"/>
        </w:rPr>
        <w:t>ctob</w:t>
      </w:r>
      <w:r w:rsidR="00F4562B" w:rsidRPr="003E4841">
        <w:rPr>
          <w:i/>
          <w:iCs/>
          <w:lang w:val="fr-FR"/>
        </w:rPr>
        <w:t>re</w:t>
      </w:r>
      <w:r w:rsidR="003D25D2" w:rsidRPr="003E4841">
        <w:rPr>
          <w:i/>
          <w:iCs/>
          <w:lang w:val="fr-FR"/>
        </w:rPr>
        <w:t xml:space="preserve"> 2020.</w:t>
      </w:r>
    </w:p>
    <w:p w14:paraId="449FB00F" w14:textId="031F9C9B" w:rsidR="005577D8" w:rsidRPr="003E4841" w:rsidRDefault="005577D8" w:rsidP="003E4841">
      <w:pPr>
        <w:pStyle w:val="enumlev1"/>
        <w:rPr>
          <w:i/>
          <w:iCs/>
          <w:lang w:val="fr-FR"/>
        </w:rPr>
      </w:pPr>
      <w:r w:rsidRPr="003E4841">
        <w:rPr>
          <w:i/>
          <w:iCs/>
          <w:lang w:val="fr-FR"/>
        </w:rPr>
        <w:t>–</w:t>
      </w:r>
      <w:r w:rsidRPr="003E4841">
        <w:rPr>
          <w:i/>
          <w:iCs/>
          <w:lang w:val="fr-FR"/>
        </w:rPr>
        <w:tab/>
      </w:r>
      <w:r w:rsidR="00B70268" w:rsidRPr="003E4841">
        <w:rPr>
          <w:i/>
          <w:iCs/>
          <w:lang w:val="fr-FR"/>
        </w:rPr>
        <w:t xml:space="preserve">Rapport sur </w:t>
      </w:r>
      <w:r w:rsidR="00316182" w:rsidRPr="003E4841">
        <w:rPr>
          <w:i/>
          <w:iCs/>
          <w:lang w:val="fr-FR"/>
        </w:rPr>
        <w:t>l</w:t>
      </w:r>
      <w:r w:rsidR="002450E8" w:rsidRPr="003E4841">
        <w:rPr>
          <w:i/>
          <w:iCs/>
          <w:lang w:val="fr-FR"/>
        </w:rPr>
        <w:t>'</w:t>
      </w:r>
      <w:r w:rsidR="00316182" w:rsidRPr="003E4841">
        <w:rPr>
          <w:i/>
          <w:iCs/>
          <w:lang w:val="fr-FR"/>
        </w:rPr>
        <w:t xml:space="preserve">entrepreneuriat </w:t>
      </w:r>
      <w:r w:rsidR="00B70268" w:rsidRPr="003E4841">
        <w:rPr>
          <w:i/>
          <w:iCs/>
          <w:lang w:val="fr-FR"/>
        </w:rPr>
        <w:t>et les écosystèmes de l</w:t>
      </w:r>
      <w:r w:rsidR="002450E8" w:rsidRPr="003E4841">
        <w:rPr>
          <w:i/>
          <w:iCs/>
          <w:lang w:val="fr-FR"/>
        </w:rPr>
        <w:t>'</w:t>
      </w:r>
      <w:r w:rsidR="00B70268" w:rsidRPr="003E4841">
        <w:rPr>
          <w:i/>
          <w:iCs/>
          <w:lang w:val="fr-FR"/>
        </w:rPr>
        <w:t xml:space="preserve">innovation dans 22 États arabes: situation actuelle, obstacles et </w:t>
      </w:r>
      <w:r w:rsidR="00460D36" w:rsidRPr="003E4841">
        <w:rPr>
          <w:i/>
          <w:iCs/>
          <w:lang w:val="fr-FR"/>
        </w:rPr>
        <w:t>solutions possibles, début 2021.</w:t>
      </w:r>
    </w:p>
    <w:p w14:paraId="4772EF44" w14:textId="77B1A4BB" w:rsidR="00991B49" w:rsidRPr="003E4841" w:rsidRDefault="005577D8" w:rsidP="003E4841">
      <w:pPr>
        <w:pStyle w:val="enumlev1"/>
        <w:rPr>
          <w:i/>
          <w:iCs/>
          <w:lang w:val="fr-FR"/>
        </w:rPr>
      </w:pPr>
      <w:r w:rsidRPr="003E4841">
        <w:rPr>
          <w:i/>
          <w:iCs/>
          <w:lang w:val="fr-FR"/>
        </w:rPr>
        <w:t>–</w:t>
      </w:r>
      <w:r w:rsidRPr="003E4841">
        <w:rPr>
          <w:i/>
          <w:iCs/>
          <w:lang w:val="fr-FR"/>
        </w:rPr>
        <w:tab/>
      </w:r>
      <w:r w:rsidR="00991B49" w:rsidRPr="003E4841">
        <w:rPr>
          <w:i/>
          <w:iCs/>
          <w:lang w:val="fr-FR"/>
        </w:rPr>
        <w:t>Lancement du projet ARTECNET visant à créer un réseau de technoparcs et de pépinières d</w:t>
      </w:r>
      <w:r w:rsidR="002450E8" w:rsidRPr="003E4841">
        <w:rPr>
          <w:i/>
          <w:iCs/>
          <w:lang w:val="fr-FR"/>
        </w:rPr>
        <w:t>'</w:t>
      </w:r>
      <w:r w:rsidR="00991B49" w:rsidRPr="003E4841">
        <w:rPr>
          <w:i/>
          <w:iCs/>
          <w:lang w:val="fr-FR"/>
        </w:rPr>
        <w:t>entreprise dans la région des États arabes.</w:t>
      </w:r>
    </w:p>
    <w:p w14:paraId="1FD47808" w14:textId="77777777" w:rsidR="00D60B86" w:rsidRPr="003E4841" w:rsidRDefault="00D60B86" w:rsidP="003E4841">
      <w:pPr>
        <w:pStyle w:val="Headingb"/>
        <w:rPr>
          <w:lang w:val="fr-FR"/>
        </w:rPr>
      </w:pPr>
      <w:r w:rsidRPr="003E4841">
        <w:rPr>
          <w:lang w:val="fr-FR"/>
        </w:rPr>
        <w:t>Centres d'excellence de l'UIT 2018-2021</w:t>
      </w:r>
      <w:bookmarkStart w:id="7" w:name="_Toc30490177"/>
    </w:p>
    <w:bookmarkEnd w:id="7"/>
    <w:p w14:paraId="650920FE" w14:textId="08CD6C1C" w:rsidR="00D60B86" w:rsidRPr="003E4841" w:rsidRDefault="00D60B86" w:rsidP="003E4841">
      <w:pPr>
        <w:rPr>
          <w:bCs/>
          <w:szCs w:val="24"/>
          <w:lang w:val="fr-FR"/>
        </w:rPr>
      </w:pPr>
      <w:r w:rsidRPr="003E4841">
        <w:rPr>
          <w:bCs/>
          <w:szCs w:val="24"/>
          <w:lang w:val="fr-FR"/>
        </w:rPr>
        <w:t xml:space="preserve">Dans le cadre du projet des Centres d'excellence de l'UIT, un réseau de </w:t>
      </w:r>
      <w:r w:rsidR="007F4101" w:rsidRPr="003E4841">
        <w:rPr>
          <w:bCs/>
          <w:szCs w:val="24"/>
          <w:lang w:val="fr-FR"/>
        </w:rPr>
        <w:t>quatre</w:t>
      </w:r>
      <w:r w:rsidRPr="003E4841">
        <w:rPr>
          <w:bCs/>
          <w:szCs w:val="24"/>
          <w:lang w:val="fr-FR"/>
        </w:rPr>
        <w:t xml:space="preserve"> centres situés en </w:t>
      </w:r>
      <w:r w:rsidR="007F4101" w:rsidRPr="003E4841">
        <w:rPr>
          <w:bCs/>
          <w:szCs w:val="24"/>
          <w:lang w:val="fr-FR"/>
        </w:rPr>
        <w:t>Arabie saoudite (entité régionale faisant partie de la Ligue des États arabes) et au Soudan</w:t>
      </w:r>
      <w:r w:rsidRPr="003E4841">
        <w:rPr>
          <w:bCs/>
          <w:szCs w:val="24"/>
          <w:lang w:val="fr-FR"/>
        </w:rPr>
        <w:t xml:space="preserve"> </w:t>
      </w:r>
      <w:r w:rsidR="007F4101" w:rsidRPr="003E4841">
        <w:rPr>
          <w:bCs/>
          <w:szCs w:val="24"/>
          <w:lang w:val="fr-FR"/>
        </w:rPr>
        <w:t xml:space="preserve">a offert </w:t>
      </w:r>
      <w:r w:rsidRPr="003E4841">
        <w:rPr>
          <w:bCs/>
          <w:szCs w:val="24"/>
          <w:lang w:val="fr-FR"/>
        </w:rPr>
        <w:t xml:space="preserve">différentes possibilités de formation. Chaque année, plus de </w:t>
      </w:r>
      <w:r w:rsidR="007F4101" w:rsidRPr="003E4841">
        <w:rPr>
          <w:bCs/>
          <w:szCs w:val="24"/>
          <w:lang w:val="fr-FR"/>
        </w:rPr>
        <w:t>2</w:t>
      </w:r>
      <w:r w:rsidRPr="003E4841">
        <w:rPr>
          <w:bCs/>
          <w:szCs w:val="24"/>
          <w:lang w:val="fr-FR"/>
        </w:rPr>
        <w:t xml:space="preserve">00 parties prenantes ont recours à plus de </w:t>
      </w:r>
      <w:r w:rsidR="007F4101" w:rsidRPr="003E4841">
        <w:rPr>
          <w:bCs/>
          <w:szCs w:val="24"/>
          <w:lang w:val="fr-FR"/>
        </w:rPr>
        <w:t>1</w:t>
      </w:r>
      <w:r w:rsidRPr="003E4841">
        <w:rPr>
          <w:bCs/>
          <w:szCs w:val="24"/>
          <w:lang w:val="fr-FR"/>
        </w:rPr>
        <w:t>0 possibilités de formation pour renforcer leurs capacités humaines dans les domaines du large bande</w:t>
      </w:r>
      <w:r w:rsidR="007F4101" w:rsidRPr="003E4841">
        <w:rPr>
          <w:bCs/>
          <w:szCs w:val="24"/>
          <w:lang w:val="fr-FR"/>
        </w:rPr>
        <w:t xml:space="preserve"> hertzien fixe</w:t>
      </w:r>
      <w:r w:rsidRPr="003E4841">
        <w:rPr>
          <w:bCs/>
          <w:szCs w:val="24"/>
          <w:lang w:val="fr-FR"/>
        </w:rPr>
        <w:t xml:space="preserve">, de la gouvernance de l'Internet, </w:t>
      </w:r>
      <w:r w:rsidR="007F4101" w:rsidRPr="003E4841">
        <w:rPr>
          <w:bCs/>
          <w:szCs w:val="24"/>
          <w:lang w:val="fr-FR"/>
        </w:rPr>
        <w:t xml:space="preserve">des services et applications </w:t>
      </w:r>
      <w:r w:rsidRPr="003E4841">
        <w:rPr>
          <w:bCs/>
          <w:szCs w:val="24"/>
          <w:lang w:val="fr-FR"/>
        </w:rPr>
        <w:t>TIC</w:t>
      </w:r>
      <w:r w:rsidR="007F4101" w:rsidRPr="003E4841">
        <w:rPr>
          <w:bCs/>
          <w:szCs w:val="24"/>
          <w:lang w:val="fr-FR"/>
        </w:rPr>
        <w:t>, de l</w:t>
      </w:r>
      <w:r w:rsidR="002450E8" w:rsidRPr="003E4841">
        <w:rPr>
          <w:bCs/>
          <w:szCs w:val="24"/>
          <w:lang w:val="fr-FR"/>
        </w:rPr>
        <w:t>'</w:t>
      </w:r>
      <w:r w:rsidR="007F4101" w:rsidRPr="003E4841">
        <w:rPr>
          <w:bCs/>
          <w:szCs w:val="24"/>
          <w:lang w:val="fr-FR"/>
        </w:rPr>
        <w:t>Internet des objets</w:t>
      </w:r>
      <w:r w:rsidRPr="003E4841">
        <w:rPr>
          <w:bCs/>
          <w:szCs w:val="24"/>
          <w:lang w:val="fr-FR"/>
        </w:rPr>
        <w:t xml:space="preserve"> et de la cybersécurité. Il s'agit d'une offre importante, qui fait partie intégrante de la mise en œuvre des initiatives régionales de l'UIT pour </w:t>
      </w:r>
      <w:r w:rsidR="007F4101" w:rsidRPr="003E4841">
        <w:rPr>
          <w:bCs/>
          <w:szCs w:val="24"/>
          <w:lang w:val="fr-FR"/>
        </w:rPr>
        <w:t>les États arabes</w:t>
      </w:r>
      <w:r w:rsidRPr="003E4841">
        <w:rPr>
          <w:bCs/>
          <w:szCs w:val="24"/>
          <w:lang w:val="fr-FR"/>
        </w:rPr>
        <w:t>.</w:t>
      </w:r>
    </w:p>
    <w:p w14:paraId="2A439175" w14:textId="23366C2C" w:rsidR="00D60B86" w:rsidRPr="003E4841" w:rsidRDefault="00D60B86" w:rsidP="003E4841">
      <w:pPr>
        <w:rPr>
          <w:bCs/>
          <w:szCs w:val="24"/>
          <w:lang w:val="fr-FR"/>
        </w:rPr>
      </w:pPr>
      <w:r w:rsidRPr="003E4841">
        <w:rPr>
          <w:bCs/>
          <w:szCs w:val="24"/>
          <w:lang w:val="fr-FR"/>
        </w:rPr>
        <w:t xml:space="preserve">Au total, au cours de la période 2018-2020, plus de </w:t>
      </w:r>
      <w:r w:rsidR="00590637" w:rsidRPr="003E4841">
        <w:rPr>
          <w:bCs/>
          <w:szCs w:val="24"/>
          <w:lang w:val="fr-FR"/>
        </w:rPr>
        <w:t>4</w:t>
      </w:r>
      <w:r w:rsidRPr="003E4841">
        <w:rPr>
          <w:bCs/>
          <w:szCs w:val="24"/>
          <w:lang w:val="fr-FR"/>
        </w:rPr>
        <w:t>0 possibilités de formation ont été off</w:t>
      </w:r>
      <w:r w:rsidR="001762AE">
        <w:rPr>
          <w:bCs/>
          <w:szCs w:val="24"/>
          <w:lang w:val="fr-FR"/>
        </w:rPr>
        <w:t>ertes </w:t>
      </w:r>
      <w:r w:rsidRPr="003E4841">
        <w:rPr>
          <w:bCs/>
          <w:szCs w:val="24"/>
          <w:lang w:val="fr-FR"/>
        </w:rPr>
        <w:t>par le réseau des Centres d'excellence de l'UIT</w:t>
      </w:r>
      <w:r w:rsidR="00316182" w:rsidRPr="003E4841">
        <w:rPr>
          <w:bCs/>
          <w:szCs w:val="24"/>
          <w:lang w:val="fr-FR"/>
        </w:rPr>
        <w:t xml:space="preserve"> dans la région des États arabes</w:t>
      </w:r>
      <w:r w:rsidR="001762AE">
        <w:rPr>
          <w:bCs/>
          <w:szCs w:val="24"/>
          <w:lang w:val="fr-FR"/>
        </w:rPr>
        <w:t>. Plus de </w:t>
      </w:r>
      <w:r w:rsidRPr="003E4841">
        <w:rPr>
          <w:bCs/>
          <w:szCs w:val="24"/>
          <w:lang w:val="fr-FR"/>
        </w:rPr>
        <w:t>2</w:t>
      </w:r>
      <w:r w:rsidR="00A12213" w:rsidRPr="003E4841">
        <w:rPr>
          <w:bCs/>
          <w:szCs w:val="24"/>
          <w:lang w:val="fr-FR"/>
        </w:rPr>
        <w:t> </w:t>
      </w:r>
      <w:r w:rsidRPr="003E4841">
        <w:rPr>
          <w:bCs/>
          <w:szCs w:val="24"/>
          <w:lang w:val="fr-FR"/>
        </w:rPr>
        <w:t>000</w:t>
      </w:r>
      <w:r w:rsidR="00A12213" w:rsidRPr="003E4841">
        <w:rPr>
          <w:bCs/>
          <w:szCs w:val="24"/>
          <w:lang w:val="fr-FR"/>
        </w:rPr>
        <w:t> </w:t>
      </w:r>
      <w:r w:rsidRPr="003E4841">
        <w:rPr>
          <w:bCs/>
          <w:szCs w:val="24"/>
          <w:lang w:val="fr-FR"/>
        </w:rPr>
        <w:t>parties prenantes ont reçu une formation, sanctionnée par un certificat.</w:t>
      </w:r>
    </w:p>
    <w:p w14:paraId="7D2FFF88" w14:textId="681CA5D7" w:rsidR="00D60B86" w:rsidRPr="003E4841" w:rsidRDefault="00D60B86" w:rsidP="003E4841">
      <w:pPr>
        <w:rPr>
          <w:b/>
          <w:bCs/>
          <w:szCs w:val="24"/>
          <w:lang w:val="fr-FR"/>
        </w:rPr>
      </w:pPr>
      <w:r w:rsidRPr="003E4841">
        <w:rPr>
          <w:bCs/>
          <w:szCs w:val="24"/>
          <w:lang w:val="fr-FR"/>
        </w:rPr>
        <w:t xml:space="preserve">Des orientations stratégiques sont fournies au réseau des Centres d'excellence de l'UIT </w:t>
      </w:r>
      <w:r w:rsidR="00316182" w:rsidRPr="003E4841">
        <w:rPr>
          <w:bCs/>
          <w:szCs w:val="24"/>
          <w:lang w:val="fr-FR"/>
        </w:rPr>
        <w:t xml:space="preserve">dans la région des États arabes </w:t>
      </w:r>
      <w:r w:rsidRPr="003E4841">
        <w:rPr>
          <w:bCs/>
          <w:szCs w:val="24"/>
          <w:lang w:val="fr-FR"/>
        </w:rPr>
        <w:t>lors des réunions des comités directeurs organisées régulièrement.</w:t>
      </w:r>
    </w:p>
    <w:p w14:paraId="356AEFEE" w14:textId="77777777" w:rsidR="00D60B86" w:rsidRPr="003E4841" w:rsidRDefault="00D60B86" w:rsidP="003E4841">
      <w:pPr>
        <w:pStyle w:val="Headingb"/>
        <w:rPr>
          <w:lang w:val="fr-FR"/>
        </w:rPr>
      </w:pPr>
      <w:r w:rsidRPr="003E4841">
        <w:rPr>
          <w:lang w:val="fr-FR"/>
        </w:rPr>
        <w:t>Possibilités de formation offertes (2018-2020)</w:t>
      </w:r>
    </w:p>
    <w:p w14:paraId="63E7FC9A" w14:textId="0EE02EE4" w:rsidR="00D60B86" w:rsidRPr="003E4841" w:rsidRDefault="00D60B86" w:rsidP="003E4841">
      <w:pPr>
        <w:pStyle w:val="Headingb"/>
        <w:rPr>
          <w:lang w:val="fr-FR"/>
        </w:rPr>
      </w:pPr>
      <w:r w:rsidRPr="003E4841">
        <w:rPr>
          <w:lang w:val="fr-FR"/>
        </w:rPr>
        <w:t>2018</w:t>
      </w:r>
    </w:p>
    <w:p w14:paraId="2228470D" w14:textId="21078C4A" w:rsidR="006C6C2C" w:rsidRPr="003E4841" w:rsidRDefault="00D60B86" w:rsidP="003E4841">
      <w:pPr>
        <w:pStyle w:val="enumlev1"/>
        <w:rPr>
          <w:rFonts w:cs="Arial"/>
          <w:color w:val="0000FF"/>
          <w:szCs w:val="24"/>
          <w:u w:val="single"/>
          <w:lang w:val="fr-FR"/>
        </w:rPr>
      </w:pPr>
      <w:r w:rsidRPr="003E4841">
        <w:rPr>
          <w:lang w:val="fr-FR"/>
        </w:rPr>
        <w:t>–</w:t>
      </w:r>
      <w:r w:rsidRPr="003E4841">
        <w:rPr>
          <w:lang w:val="fr-FR"/>
        </w:rPr>
        <w:tab/>
      </w:r>
      <w:hyperlink r:id="rId19" w:history="1">
        <w:r w:rsidR="006C6C2C" w:rsidRPr="003E4841">
          <w:rPr>
            <w:rStyle w:val="Hyperlink"/>
            <w:rFonts w:cs="Arial"/>
            <w:szCs w:val="24"/>
            <w:lang w:val="fr-FR"/>
          </w:rPr>
          <w:t>Formation en ligne des Centres d</w:t>
        </w:r>
        <w:r w:rsidR="002450E8" w:rsidRPr="003E4841">
          <w:rPr>
            <w:rStyle w:val="Hyperlink"/>
            <w:rFonts w:cs="Arial"/>
            <w:szCs w:val="24"/>
            <w:lang w:val="fr-FR"/>
          </w:rPr>
          <w:t>'</w:t>
        </w:r>
        <w:r w:rsidR="006C6C2C" w:rsidRPr="003E4841">
          <w:rPr>
            <w:rStyle w:val="Hyperlink"/>
            <w:rFonts w:cs="Arial"/>
            <w:szCs w:val="24"/>
            <w:lang w:val="fr-FR"/>
          </w:rPr>
          <w:t>excellence de l</w:t>
        </w:r>
        <w:r w:rsidR="002450E8" w:rsidRPr="003E4841">
          <w:rPr>
            <w:rStyle w:val="Hyperlink"/>
            <w:rFonts w:cs="Arial"/>
            <w:szCs w:val="24"/>
            <w:lang w:val="fr-FR"/>
          </w:rPr>
          <w:t>'</w:t>
        </w:r>
        <w:r w:rsidR="006C6C2C" w:rsidRPr="003E4841">
          <w:rPr>
            <w:rStyle w:val="Hyperlink"/>
            <w:rFonts w:cs="Arial"/>
            <w:szCs w:val="24"/>
            <w:lang w:val="fr-FR"/>
          </w:rPr>
          <w:t>UIT sur l</w:t>
        </w:r>
        <w:r w:rsidR="002450E8" w:rsidRPr="003E4841">
          <w:rPr>
            <w:rStyle w:val="Hyperlink"/>
            <w:rFonts w:cs="Arial"/>
            <w:szCs w:val="24"/>
            <w:lang w:val="fr-FR"/>
          </w:rPr>
          <w:t>'</w:t>
        </w:r>
        <w:r w:rsidR="006C6C2C" w:rsidRPr="003E4841">
          <w:rPr>
            <w:rStyle w:val="Hyperlink"/>
            <w:rFonts w:cs="Arial"/>
            <w:szCs w:val="24"/>
            <w:lang w:val="fr-FR"/>
          </w:rPr>
          <w:t xml:space="preserve">analyse des activités relatives aux applications et aux services TIC, </w:t>
        </w:r>
        <w:r w:rsidR="00AC4B23" w:rsidRPr="003E4841">
          <w:rPr>
            <w:rStyle w:val="Hyperlink"/>
            <w:rFonts w:cs="Arial"/>
            <w:szCs w:val="24"/>
            <w:lang w:val="fr-FR"/>
          </w:rPr>
          <w:t>12-22 mars 2018</w:t>
        </w:r>
      </w:hyperlink>
    </w:p>
    <w:p w14:paraId="41D43DC3" w14:textId="0FA74AA0" w:rsidR="00D60B86" w:rsidRPr="003E4841" w:rsidRDefault="00D60B86" w:rsidP="003E4841">
      <w:pPr>
        <w:pStyle w:val="enumlev1"/>
        <w:rPr>
          <w:szCs w:val="24"/>
          <w:lang w:val="fr-FR"/>
        </w:rPr>
      </w:pPr>
      <w:r w:rsidRPr="003E4841">
        <w:rPr>
          <w:lang w:val="fr-FR"/>
        </w:rPr>
        <w:t>–</w:t>
      </w:r>
      <w:r w:rsidRPr="003E4841">
        <w:rPr>
          <w:lang w:val="fr-FR"/>
        </w:rPr>
        <w:tab/>
      </w:r>
      <w:hyperlink r:id="rId20" w:history="1">
        <w:r w:rsidR="006C6C2C" w:rsidRPr="003E4841">
          <w:rPr>
            <w:rStyle w:val="Hyperlink"/>
            <w:szCs w:val="24"/>
            <w:lang w:val="fr-FR"/>
          </w:rPr>
          <w:t>Formation en présentiel des Centres d</w:t>
        </w:r>
        <w:r w:rsidR="002450E8" w:rsidRPr="003E4841">
          <w:rPr>
            <w:rStyle w:val="Hyperlink"/>
            <w:szCs w:val="24"/>
            <w:lang w:val="fr-FR"/>
          </w:rPr>
          <w:t>'</w:t>
        </w:r>
        <w:r w:rsidR="006C6C2C" w:rsidRPr="003E4841">
          <w:rPr>
            <w:rStyle w:val="Hyperlink"/>
            <w:szCs w:val="24"/>
            <w:lang w:val="fr-FR"/>
          </w:rPr>
          <w:t>excellence de l</w:t>
        </w:r>
        <w:r w:rsidR="002450E8" w:rsidRPr="003E4841">
          <w:rPr>
            <w:rStyle w:val="Hyperlink"/>
            <w:szCs w:val="24"/>
            <w:lang w:val="fr-FR"/>
          </w:rPr>
          <w:t>'</w:t>
        </w:r>
        <w:r w:rsidR="006C6C2C" w:rsidRPr="003E4841">
          <w:rPr>
            <w:rStyle w:val="Hyperlink"/>
            <w:szCs w:val="24"/>
            <w:lang w:val="fr-FR"/>
          </w:rPr>
          <w:t xml:space="preserve">UIT sur </w:t>
        </w:r>
        <w:r w:rsidR="00E87175" w:rsidRPr="003E4841">
          <w:rPr>
            <w:rStyle w:val="Hyperlink"/>
            <w:szCs w:val="24"/>
            <w:lang w:val="fr-FR"/>
          </w:rPr>
          <w:t>la conception des installations FTTx extérieures, Tunis (Tunisie)</w:t>
        </w:r>
        <w:r w:rsidR="00AC4B23" w:rsidRPr="003E4841">
          <w:rPr>
            <w:rStyle w:val="Hyperlink"/>
            <w:szCs w:val="24"/>
            <w:lang w:val="fr-FR"/>
          </w:rPr>
          <w:t>, 12-16 mars 2018</w:t>
        </w:r>
      </w:hyperlink>
    </w:p>
    <w:p w14:paraId="06523D08" w14:textId="6301A302" w:rsidR="00D60B86" w:rsidRPr="003E4841" w:rsidRDefault="00D60B86" w:rsidP="003E4841">
      <w:pPr>
        <w:pStyle w:val="enumlev1"/>
        <w:rPr>
          <w:lang w:val="fr-FR"/>
        </w:rPr>
      </w:pPr>
      <w:r w:rsidRPr="003E4841">
        <w:rPr>
          <w:lang w:val="fr-FR"/>
        </w:rPr>
        <w:t>–</w:t>
      </w:r>
      <w:r w:rsidRPr="003E4841">
        <w:rPr>
          <w:lang w:val="fr-FR"/>
        </w:rPr>
        <w:tab/>
      </w:r>
      <w:hyperlink r:id="rId21" w:history="1">
        <w:r w:rsidR="00AC4B23" w:rsidRPr="003E4841">
          <w:rPr>
            <w:rStyle w:val="Hyperlink"/>
            <w:lang w:val="fr-FR"/>
          </w:rPr>
          <w:t>Formation en ligne des Centres d</w:t>
        </w:r>
        <w:r w:rsidR="002450E8" w:rsidRPr="003E4841">
          <w:rPr>
            <w:rStyle w:val="Hyperlink"/>
            <w:lang w:val="fr-FR"/>
          </w:rPr>
          <w:t>'</w:t>
        </w:r>
        <w:r w:rsidR="00AC4B23" w:rsidRPr="003E4841">
          <w:rPr>
            <w:rStyle w:val="Hyperlink"/>
            <w:lang w:val="fr-FR"/>
          </w:rPr>
          <w:t>excellence de l</w:t>
        </w:r>
        <w:r w:rsidR="002450E8" w:rsidRPr="003E4841">
          <w:rPr>
            <w:rStyle w:val="Hyperlink"/>
            <w:lang w:val="fr-FR"/>
          </w:rPr>
          <w:t>'</w:t>
        </w:r>
        <w:r w:rsidR="00AC4B23" w:rsidRPr="003E4841">
          <w:rPr>
            <w:rStyle w:val="Hyperlink"/>
            <w:lang w:val="fr-FR"/>
          </w:rPr>
          <w:t xml:space="preserve">UIT sur </w:t>
        </w:r>
        <w:r w:rsidR="00383CA1" w:rsidRPr="003E4841">
          <w:rPr>
            <w:rStyle w:val="Hyperlink"/>
            <w:lang w:val="fr-FR"/>
          </w:rPr>
          <w:t>l</w:t>
        </w:r>
        <w:r w:rsidR="001762AE">
          <w:rPr>
            <w:rStyle w:val="Hyperlink"/>
            <w:lang w:val="fr-FR"/>
          </w:rPr>
          <w:t>es aspects réglementaires de la </w:t>
        </w:r>
        <w:r w:rsidR="00383CA1" w:rsidRPr="003E4841">
          <w:rPr>
            <w:rStyle w:val="Hyperlink"/>
            <w:lang w:val="fr-FR"/>
          </w:rPr>
          <w:t>5G, de l</w:t>
        </w:r>
        <w:r w:rsidR="002450E8" w:rsidRPr="003E4841">
          <w:rPr>
            <w:rStyle w:val="Hyperlink"/>
            <w:lang w:val="fr-FR"/>
          </w:rPr>
          <w:t>'</w:t>
        </w:r>
        <w:r w:rsidR="00383CA1" w:rsidRPr="003E4841">
          <w:rPr>
            <w:rStyle w:val="Hyperlink"/>
            <w:lang w:val="fr-FR"/>
          </w:rPr>
          <w:t xml:space="preserve">IoT et des paiements sur mobiles, sur les technologies émergentes et </w:t>
        </w:r>
        <w:r w:rsidR="002937EB" w:rsidRPr="003E4841">
          <w:rPr>
            <w:rStyle w:val="Hyperlink"/>
            <w:lang w:val="fr-FR"/>
          </w:rPr>
          <w:t xml:space="preserve">les </w:t>
        </w:r>
        <w:r w:rsidR="00383CA1" w:rsidRPr="003E4841">
          <w:rPr>
            <w:rStyle w:val="Hyperlink"/>
            <w:lang w:val="fr-FR"/>
          </w:rPr>
          <w:t>écosystèmes, 16-25 avril 2018</w:t>
        </w:r>
      </w:hyperlink>
    </w:p>
    <w:p w14:paraId="3FEB1D19" w14:textId="4FA234BB" w:rsidR="00886258" w:rsidRPr="003E4841" w:rsidRDefault="00D60B86" w:rsidP="003E4841">
      <w:pPr>
        <w:pStyle w:val="enumlev1"/>
        <w:rPr>
          <w:lang w:val="fr-FR"/>
        </w:rPr>
      </w:pPr>
      <w:r w:rsidRPr="003E4841">
        <w:rPr>
          <w:lang w:val="fr-FR"/>
        </w:rPr>
        <w:t>–</w:t>
      </w:r>
      <w:r w:rsidRPr="003E4841">
        <w:rPr>
          <w:lang w:val="fr-FR"/>
        </w:rPr>
        <w:tab/>
      </w:r>
      <w:hyperlink r:id="rId22" w:history="1">
        <w:r w:rsidR="00886258" w:rsidRPr="003E4841">
          <w:rPr>
            <w:rStyle w:val="Hyperlink"/>
            <w:lang w:val="fr-FR"/>
          </w:rPr>
          <w:t>Formation en présentiel des Centres d</w:t>
        </w:r>
        <w:r w:rsidR="002450E8" w:rsidRPr="003E4841">
          <w:rPr>
            <w:rStyle w:val="Hyperlink"/>
            <w:lang w:val="fr-FR"/>
          </w:rPr>
          <w:t>'</w:t>
        </w:r>
        <w:r w:rsidR="00886258" w:rsidRPr="003E4841">
          <w:rPr>
            <w:rStyle w:val="Hyperlink"/>
            <w:lang w:val="fr-FR"/>
          </w:rPr>
          <w:t>excellence de l</w:t>
        </w:r>
        <w:r w:rsidR="002450E8" w:rsidRPr="003E4841">
          <w:rPr>
            <w:rStyle w:val="Hyperlink"/>
            <w:lang w:val="fr-FR"/>
          </w:rPr>
          <w:t>'</w:t>
        </w:r>
        <w:r w:rsidR="00886258" w:rsidRPr="003E4841">
          <w:rPr>
            <w:rStyle w:val="Hyperlink"/>
            <w:lang w:val="fr-FR"/>
          </w:rPr>
          <w:t xml:space="preserve">UIT sur </w:t>
        </w:r>
        <w:r w:rsidR="00792926" w:rsidRPr="003E4841">
          <w:rPr>
            <w:rStyle w:val="Hyperlink"/>
            <w:lang w:val="fr-FR"/>
          </w:rPr>
          <w:t xml:space="preserve">le thème </w:t>
        </w:r>
        <w:r w:rsidR="002450E8" w:rsidRPr="003E4841">
          <w:rPr>
            <w:rStyle w:val="Hyperlink"/>
            <w:lang w:val="fr-FR"/>
          </w:rPr>
          <w:t>"</w:t>
        </w:r>
        <w:r w:rsidR="00792926" w:rsidRPr="003E4841">
          <w:rPr>
            <w:rStyle w:val="Hyperlink"/>
            <w:lang w:val="fr-FR"/>
          </w:rPr>
          <w:t>LTE-Advanced and Beyond</w:t>
        </w:r>
        <w:r w:rsidR="002450E8" w:rsidRPr="003E4841">
          <w:rPr>
            <w:rStyle w:val="Hyperlink"/>
            <w:lang w:val="fr-FR"/>
          </w:rPr>
          <w:t>"</w:t>
        </w:r>
        <w:r w:rsidR="00792926" w:rsidRPr="003E4841">
          <w:rPr>
            <w:rStyle w:val="Hyperlink"/>
            <w:lang w:val="fr-FR"/>
          </w:rPr>
          <w:t>, 23-27 avril 2018</w:t>
        </w:r>
      </w:hyperlink>
    </w:p>
    <w:p w14:paraId="303A5086" w14:textId="12013436" w:rsidR="00D60B86" w:rsidRPr="003E4841" w:rsidRDefault="00D60B86" w:rsidP="003E4841">
      <w:pPr>
        <w:pStyle w:val="enumlev1"/>
        <w:rPr>
          <w:lang w:val="fr-FR"/>
        </w:rPr>
      </w:pPr>
      <w:r w:rsidRPr="003E4841">
        <w:rPr>
          <w:lang w:val="fr-FR"/>
        </w:rPr>
        <w:t>–</w:t>
      </w:r>
      <w:r w:rsidRPr="003E4841">
        <w:rPr>
          <w:lang w:val="fr-FR"/>
        </w:rPr>
        <w:tab/>
      </w:r>
      <w:hyperlink r:id="rId23" w:history="1">
        <w:r w:rsidR="002C60A8" w:rsidRPr="003E4841">
          <w:rPr>
            <w:rStyle w:val="Hyperlink"/>
            <w:lang w:val="fr-FR"/>
          </w:rPr>
          <w:t>Formation en présentiel des Centres d</w:t>
        </w:r>
        <w:r w:rsidR="002450E8" w:rsidRPr="003E4841">
          <w:rPr>
            <w:rStyle w:val="Hyperlink"/>
            <w:lang w:val="fr-FR"/>
          </w:rPr>
          <w:t>'</w:t>
        </w:r>
        <w:r w:rsidR="002C60A8" w:rsidRPr="003E4841">
          <w:rPr>
            <w:rStyle w:val="Hyperlink"/>
            <w:lang w:val="fr-FR"/>
          </w:rPr>
          <w:t>excellence de l</w:t>
        </w:r>
        <w:r w:rsidR="002450E8" w:rsidRPr="003E4841">
          <w:rPr>
            <w:rStyle w:val="Hyperlink"/>
            <w:lang w:val="fr-FR"/>
          </w:rPr>
          <w:t>'</w:t>
        </w:r>
        <w:r w:rsidR="002C60A8" w:rsidRPr="003E4841">
          <w:rPr>
            <w:rStyle w:val="Hyperlink"/>
            <w:lang w:val="fr-FR"/>
          </w:rPr>
          <w:t xml:space="preserve">UIT sur </w:t>
        </w:r>
        <w:r w:rsidR="008535E9" w:rsidRPr="003E4841">
          <w:rPr>
            <w:rStyle w:val="Hyperlink"/>
            <w:lang w:val="fr-FR"/>
          </w:rPr>
          <w:t xml:space="preserve">la gestion des risques liés aux applications et </w:t>
        </w:r>
        <w:r w:rsidR="004A4F84" w:rsidRPr="003E4841">
          <w:rPr>
            <w:rStyle w:val="Hyperlink"/>
            <w:lang w:val="fr-FR"/>
          </w:rPr>
          <w:t xml:space="preserve">aux </w:t>
        </w:r>
        <w:r w:rsidR="008535E9" w:rsidRPr="003E4841">
          <w:rPr>
            <w:rStyle w:val="Hyperlink"/>
            <w:lang w:val="fr-FR"/>
          </w:rPr>
          <w:t>services TIC, Khartoum (Soudan), 1er-3 mai 2018</w:t>
        </w:r>
      </w:hyperlink>
    </w:p>
    <w:p w14:paraId="482FF9A6" w14:textId="6E8A3391" w:rsidR="00D60B86" w:rsidRPr="003E4841" w:rsidRDefault="00D60B86" w:rsidP="003E4841">
      <w:pPr>
        <w:pStyle w:val="enumlev1"/>
        <w:rPr>
          <w:lang w:val="fr-FR"/>
        </w:rPr>
      </w:pPr>
      <w:r w:rsidRPr="003E4841">
        <w:rPr>
          <w:lang w:val="fr-FR"/>
        </w:rPr>
        <w:t>–</w:t>
      </w:r>
      <w:r w:rsidRPr="003E4841">
        <w:rPr>
          <w:lang w:val="fr-FR"/>
        </w:rPr>
        <w:tab/>
      </w:r>
      <w:hyperlink r:id="rId24" w:history="1">
        <w:r w:rsidR="004A4F84" w:rsidRPr="003E4841">
          <w:rPr>
            <w:rStyle w:val="Hyperlink"/>
            <w:lang w:val="fr-FR"/>
          </w:rPr>
          <w:t>Formation en présentiel des Centres d</w:t>
        </w:r>
        <w:r w:rsidR="002450E8" w:rsidRPr="003E4841">
          <w:rPr>
            <w:rStyle w:val="Hyperlink"/>
            <w:lang w:val="fr-FR"/>
          </w:rPr>
          <w:t>'</w:t>
        </w:r>
        <w:r w:rsidR="004A4F84" w:rsidRPr="003E4841">
          <w:rPr>
            <w:rStyle w:val="Hyperlink"/>
            <w:lang w:val="fr-FR"/>
          </w:rPr>
          <w:t>excellence de l</w:t>
        </w:r>
        <w:r w:rsidR="002450E8" w:rsidRPr="003E4841">
          <w:rPr>
            <w:rStyle w:val="Hyperlink"/>
            <w:lang w:val="fr-FR"/>
          </w:rPr>
          <w:t>'</w:t>
        </w:r>
        <w:r w:rsidR="004A4F84" w:rsidRPr="003E4841">
          <w:rPr>
            <w:rStyle w:val="Hyperlink"/>
            <w:lang w:val="fr-FR"/>
          </w:rPr>
          <w:t>UIT sur la conformité et l</w:t>
        </w:r>
        <w:r w:rsidR="002450E8" w:rsidRPr="003E4841">
          <w:rPr>
            <w:rStyle w:val="Hyperlink"/>
            <w:lang w:val="fr-FR"/>
          </w:rPr>
          <w:t>'</w:t>
        </w:r>
        <w:r w:rsidR="004A4F84" w:rsidRPr="003E4841">
          <w:rPr>
            <w:rStyle w:val="Hyperlink"/>
            <w:lang w:val="fr-FR"/>
          </w:rPr>
          <w:t xml:space="preserve">interopérabilité: cadre réglementaire et </w:t>
        </w:r>
        <w:r w:rsidR="000937D5" w:rsidRPr="003E4841">
          <w:rPr>
            <w:rStyle w:val="Hyperlink"/>
            <w:lang w:val="fr-FR"/>
          </w:rPr>
          <w:t xml:space="preserve">tests </w:t>
        </w:r>
        <w:r w:rsidR="009021E1" w:rsidRPr="003E4841">
          <w:rPr>
            <w:rStyle w:val="Hyperlink"/>
            <w:lang w:val="fr-FR"/>
          </w:rPr>
          <w:t xml:space="preserve">pratiques de </w:t>
        </w:r>
        <w:r w:rsidR="000937D5" w:rsidRPr="003E4841">
          <w:rPr>
            <w:rStyle w:val="Hyperlink"/>
            <w:lang w:val="fr-FR"/>
          </w:rPr>
          <w:t>compatibilité électromagnétique</w:t>
        </w:r>
        <w:r w:rsidR="009021E1" w:rsidRPr="003E4841">
          <w:rPr>
            <w:rStyle w:val="Hyperlink"/>
            <w:lang w:val="fr-FR"/>
          </w:rPr>
          <w:t>, Tunis (Tunisie), 7-9 mai 2018</w:t>
        </w:r>
      </w:hyperlink>
    </w:p>
    <w:p w14:paraId="53FCF82F" w14:textId="67D8AA0E" w:rsidR="00914CB0" w:rsidRPr="003E4841" w:rsidRDefault="00D60B86" w:rsidP="003E4841">
      <w:pPr>
        <w:pStyle w:val="enumlev1"/>
        <w:rPr>
          <w:lang w:val="fr-FR"/>
        </w:rPr>
      </w:pPr>
      <w:r w:rsidRPr="003E4841">
        <w:rPr>
          <w:lang w:val="fr-FR"/>
        </w:rPr>
        <w:t>–</w:t>
      </w:r>
      <w:r w:rsidRPr="003E4841">
        <w:rPr>
          <w:lang w:val="fr-FR"/>
        </w:rPr>
        <w:tab/>
      </w:r>
      <w:hyperlink r:id="rId25" w:history="1">
        <w:r w:rsidR="00914CB0" w:rsidRPr="003E4841">
          <w:rPr>
            <w:rStyle w:val="Hyperlink"/>
            <w:lang w:val="fr-FR"/>
          </w:rPr>
          <w:t>Formation en présentiel des Centres d</w:t>
        </w:r>
        <w:r w:rsidR="002450E8" w:rsidRPr="003E4841">
          <w:rPr>
            <w:rStyle w:val="Hyperlink"/>
            <w:lang w:val="fr-FR"/>
          </w:rPr>
          <w:t>'</w:t>
        </w:r>
        <w:r w:rsidR="00914CB0" w:rsidRPr="003E4841">
          <w:rPr>
            <w:rStyle w:val="Hyperlink"/>
            <w:lang w:val="fr-FR"/>
          </w:rPr>
          <w:t>excellence de l</w:t>
        </w:r>
        <w:r w:rsidR="002450E8" w:rsidRPr="003E4841">
          <w:rPr>
            <w:rStyle w:val="Hyperlink"/>
            <w:lang w:val="fr-FR"/>
          </w:rPr>
          <w:t>'</w:t>
        </w:r>
        <w:r w:rsidR="00914CB0" w:rsidRPr="003E4841">
          <w:rPr>
            <w:rStyle w:val="Hyperlink"/>
            <w:lang w:val="fr-FR"/>
          </w:rPr>
          <w:t xml:space="preserve">UIT sur </w:t>
        </w:r>
        <w:r w:rsidR="00BA5EFF" w:rsidRPr="003E4841">
          <w:rPr>
            <w:rStyle w:val="Hyperlink"/>
            <w:lang w:val="fr-FR"/>
          </w:rPr>
          <w:t>la caractérisation de la fibre optique, Tunis (Tunisie), 9-13 juillet 2018</w:t>
        </w:r>
      </w:hyperlink>
    </w:p>
    <w:p w14:paraId="70C5B167" w14:textId="4024EB9C" w:rsidR="00D60B86" w:rsidRPr="003E4841" w:rsidRDefault="00D60B86" w:rsidP="003E4841">
      <w:pPr>
        <w:pStyle w:val="enumlev1"/>
        <w:rPr>
          <w:lang w:val="fr-FR"/>
        </w:rPr>
      </w:pPr>
      <w:r w:rsidRPr="003E4841">
        <w:rPr>
          <w:lang w:val="fr-FR"/>
        </w:rPr>
        <w:t>–</w:t>
      </w:r>
      <w:r w:rsidRPr="003E4841">
        <w:rPr>
          <w:lang w:val="fr-FR"/>
        </w:rPr>
        <w:tab/>
      </w:r>
      <w:hyperlink r:id="rId26" w:history="1">
        <w:r w:rsidR="007731D0" w:rsidRPr="003E4841">
          <w:rPr>
            <w:rStyle w:val="Hyperlink"/>
            <w:lang w:val="fr-FR"/>
          </w:rPr>
          <w:t>Formation en présentiel des Centres d</w:t>
        </w:r>
        <w:r w:rsidR="002450E8" w:rsidRPr="003E4841">
          <w:rPr>
            <w:rStyle w:val="Hyperlink"/>
            <w:lang w:val="fr-FR"/>
          </w:rPr>
          <w:t>'</w:t>
        </w:r>
        <w:r w:rsidR="007731D0" w:rsidRPr="003E4841">
          <w:rPr>
            <w:rStyle w:val="Hyperlink"/>
            <w:lang w:val="fr-FR"/>
          </w:rPr>
          <w:t>excellence de l</w:t>
        </w:r>
        <w:r w:rsidR="002450E8" w:rsidRPr="003E4841">
          <w:rPr>
            <w:rStyle w:val="Hyperlink"/>
            <w:lang w:val="fr-FR"/>
          </w:rPr>
          <w:t>'</w:t>
        </w:r>
        <w:r w:rsidR="007731D0" w:rsidRPr="003E4841">
          <w:rPr>
            <w:rStyle w:val="Hyperlink"/>
            <w:lang w:val="fr-FR"/>
          </w:rPr>
          <w:t>UIT sur la gouvernance de l</w:t>
        </w:r>
        <w:r w:rsidR="002450E8" w:rsidRPr="003E4841">
          <w:rPr>
            <w:rStyle w:val="Hyperlink"/>
            <w:lang w:val="fr-FR"/>
          </w:rPr>
          <w:t>'</w:t>
        </w:r>
        <w:r w:rsidR="007731D0" w:rsidRPr="003E4841">
          <w:rPr>
            <w:rStyle w:val="Hyperlink"/>
            <w:lang w:val="fr-FR"/>
          </w:rPr>
          <w:t xml:space="preserve">Internet du point de vue politique et technique, </w:t>
        </w:r>
        <w:r w:rsidR="004A17A0" w:rsidRPr="003E4841">
          <w:rPr>
            <w:rStyle w:val="Hyperlink"/>
            <w:lang w:val="fr-FR"/>
          </w:rPr>
          <w:t>Khartoum (Soudan), 15-17 juillet 2018</w:t>
        </w:r>
      </w:hyperlink>
    </w:p>
    <w:p w14:paraId="6B33BF04" w14:textId="12EB6570" w:rsidR="00D60B86" w:rsidRPr="003E4841" w:rsidRDefault="00D60B86" w:rsidP="003E4841">
      <w:pPr>
        <w:pStyle w:val="enumlev1"/>
        <w:rPr>
          <w:lang w:val="fr-FR"/>
        </w:rPr>
      </w:pPr>
      <w:r w:rsidRPr="003E4841">
        <w:rPr>
          <w:lang w:val="fr-FR"/>
        </w:rPr>
        <w:t>–</w:t>
      </w:r>
      <w:r w:rsidRPr="003E4841">
        <w:rPr>
          <w:lang w:val="fr-FR"/>
        </w:rPr>
        <w:tab/>
      </w:r>
      <w:hyperlink r:id="rId27" w:history="1">
        <w:r w:rsidR="004A17A0" w:rsidRPr="003E4841">
          <w:rPr>
            <w:rStyle w:val="Hyperlink"/>
            <w:lang w:val="fr-FR"/>
          </w:rPr>
          <w:t>Formation en présentiel des Centres d</w:t>
        </w:r>
        <w:r w:rsidR="002450E8" w:rsidRPr="003E4841">
          <w:rPr>
            <w:rStyle w:val="Hyperlink"/>
            <w:lang w:val="fr-FR"/>
          </w:rPr>
          <w:t>'</w:t>
        </w:r>
        <w:r w:rsidR="004A17A0" w:rsidRPr="003E4841">
          <w:rPr>
            <w:rStyle w:val="Hyperlink"/>
            <w:lang w:val="fr-FR"/>
          </w:rPr>
          <w:t>excellence de l</w:t>
        </w:r>
        <w:r w:rsidR="002450E8" w:rsidRPr="003E4841">
          <w:rPr>
            <w:rStyle w:val="Hyperlink"/>
            <w:lang w:val="fr-FR"/>
          </w:rPr>
          <w:t>'</w:t>
        </w:r>
        <w:r w:rsidR="004A17A0" w:rsidRPr="003E4841">
          <w:rPr>
            <w:rStyle w:val="Hyperlink"/>
            <w:lang w:val="fr-FR"/>
          </w:rPr>
          <w:t xml:space="preserve">UIT sur </w:t>
        </w:r>
        <w:r w:rsidR="0052320A" w:rsidRPr="003E4841">
          <w:rPr>
            <w:rStyle w:val="Hyperlink"/>
            <w:lang w:val="fr-FR"/>
          </w:rPr>
          <w:t>les réseaux pilotés par logiciel (SDN) et la mise en œuvre pratique du protocole Openflow, Khartoum (Soudan), 7</w:t>
        </w:r>
        <w:r w:rsidR="00E77A5E" w:rsidRPr="003E4841">
          <w:rPr>
            <w:rStyle w:val="Hyperlink"/>
            <w:lang w:val="fr-FR"/>
          </w:rPr>
          <w:noBreakHyphen/>
        </w:r>
        <w:r w:rsidR="000937D5" w:rsidRPr="003E4841">
          <w:rPr>
            <w:rStyle w:val="Hyperlink"/>
            <w:lang w:val="fr-FR"/>
          </w:rPr>
          <w:t xml:space="preserve">9 </w:t>
        </w:r>
        <w:r w:rsidR="0052320A" w:rsidRPr="003E4841">
          <w:rPr>
            <w:rStyle w:val="Hyperlink"/>
            <w:lang w:val="fr-FR"/>
          </w:rPr>
          <w:t>août 2018</w:t>
        </w:r>
      </w:hyperlink>
    </w:p>
    <w:p w14:paraId="70B81EB2" w14:textId="06D375B8" w:rsidR="0052320A" w:rsidRPr="003E4841" w:rsidRDefault="00D60B86" w:rsidP="003E4841">
      <w:pPr>
        <w:pStyle w:val="enumlev1"/>
        <w:rPr>
          <w:lang w:val="fr-FR"/>
        </w:rPr>
      </w:pPr>
      <w:r w:rsidRPr="003E4841">
        <w:rPr>
          <w:lang w:val="fr-FR"/>
        </w:rPr>
        <w:t>–</w:t>
      </w:r>
      <w:r w:rsidRPr="003E4841">
        <w:rPr>
          <w:lang w:val="fr-FR"/>
        </w:rPr>
        <w:tab/>
      </w:r>
      <w:hyperlink r:id="rId28" w:history="1">
        <w:r w:rsidR="0052320A" w:rsidRPr="003E4841">
          <w:rPr>
            <w:rStyle w:val="Hyperlink"/>
            <w:lang w:val="fr-FR"/>
          </w:rPr>
          <w:t>Formation en présentiel des Centres d</w:t>
        </w:r>
        <w:r w:rsidR="002450E8" w:rsidRPr="003E4841">
          <w:rPr>
            <w:rStyle w:val="Hyperlink"/>
            <w:lang w:val="fr-FR"/>
          </w:rPr>
          <w:t>'</w:t>
        </w:r>
        <w:r w:rsidR="0052320A" w:rsidRPr="003E4841">
          <w:rPr>
            <w:rStyle w:val="Hyperlink"/>
            <w:lang w:val="fr-FR"/>
          </w:rPr>
          <w:t>excellence de l</w:t>
        </w:r>
        <w:r w:rsidR="002450E8" w:rsidRPr="003E4841">
          <w:rPr>
            <w:rStyle w:val="Hyperlink"/>
            <w:lang w:val="fr-FR"/>
          </w:rPr>
          <w:t>'</w:t>
        </w:r>
        <w:r w:rsidR="0052320A" w:rsidRPr="003E4841">
          <w:rPr>
            <w:rStyle w:val="Hyperlink"/>
            <w:lang w:val="fr-FR"/>
          </w:rPr>
          <w:t xml:space="preserve">UIT sur </w:t>
        </w:r>
        <w:r w:rsidR="000216C4" w:rsidRPr="003E4841">
          <w:rPr>
            <w:rStyle w:val="Hyperlink"/>
            <w:lang w:val="fr-FR"/>
          </w:rPr>
          <w:t>la compréhension du cadre d</w:t>
        </w:r>
        <w:r w:rsidR="002450E8" w:rsidRPr="003E4841">
          <w:rPr>
            <w:rStyle w:val="Hyperlink"/>
            <w:lang w:val="fr-FR"/>
          </w:rPr>
          <w:t>'</w:t>
        </w:r>
        <w:r w:rsidR="000216C4" w:rsidRPr="003E4841">
          <w:rPr>
            <w:rStyle w:val="Hyperlink"/>
            <w:lang w:val="fr-FR"/>
          </w:rPr>
          <w:t xml:space="preserve">architecture </w:t>
        </w:r>
        <w:r w:rsidR="00DF2F6C" w:rsidRPr="003E4841">
          <w:rPr>
            <w:rStyle w:val="Hyperlink"/>
            <w:lang w:val="fr-FR"/>
          </w:rPr>
          <w:t>d</w:t>
        </w:r>
        <w:r w:rsidR="002450E8" w:rsidRPr="003E4841">
          <w:rPr>
            <w:rStyle w:val="Hyperlink"/>
            <w:lang w:val="fr-FR"/>
          </w:rPr>
          <w:t>'</w:t>
        </w:r>
        <w:r w:rsidR="00DF2F6C" w:rsidRPr="003E4841">
          <w:rPr>
            <w:rStyle w:val="Hyperlink"/>
            <w:lang w:val="fr-FR"/>
          </w:rPr>
          <w:t>entreprise de l</w:t>
        </w:r>
        <w:r w:rsidR="002450E8" w:rsidRPr="003E4841">
          <w:rPr>
            <w:rStyle w:val="Hyperlink"/>
            <w:lang w:val="fr-FR"/>
          </w:rPr>
          <w:t>'</w:t>
        </w:r>
        <w:r w:rsidR="00DF2F6C" w:rsidRPr="003E4841">
          <w:rPr>
            <w:rStyle w:val="Hyperlink"/>
            <w:lang w:val="fr-FR"/>
          </w:rPr>
          <w:t>Open Group</w:t>
        </w:r>
        <w:r w:rsidR="000216C4" w:rsidRPr="003E4841">
          <w:rPr>
            <w:rStyle w:val="Hyperlink"/>
            <w:lang w:val="fr-FR"/>
          </w:rPr>
          <w:t xml:space="preserve"> (TOGAF) destiné aux applicatio</w:t>
        </w:r>
        <w:r w:rsidR="00DF2F6C" w:rsidRPr="003E4841">
          <w:rPr>
            <w:rStyle w:val="Hyperlink"/>
            <w:lang w:val="fr-FR"/>
          </w:rPr>
          <w:t>ns et aux services TIC, Khartoum</w:t>
        </w:r>
        <w:r w:rsidR="000216C4" w:rsidRPr="003E4841">
          <w:rPr>
            <w:rStyle w:val="Hyperlink"/>
            <w:lang w:val="fr-FR"/>
          </w:rPr>
          <w:t xml:space="preserve"> (Soudan), 15-17 octobre 2018</w:t>
        </w:r>
      </w:hyperlink>
    </w:p>
    <w:p w14:paraId="4B5B6232" w14:textId="46594652" w:rsidR="00DF2F6C" w:rsidRPr="003E4841" w:rsidRDefault="00D60B86" w:rsidP="003E4841">
      <w:pPr>
        <w:pStyle w:val="enumlev1"/>
        <w:rPr>
          <w:lang w:val="fr-FR"/>
        </w:rPr>
      </w:pPr>
      <w:r w:rsidRPr="003E4841">
        <w:rPr>
          <w:lang w:val="fr-FR"/>
        </w:rPr>
        <w:t>–</w:t>
      </w:r>
      <w:r w:rsidRPr="003E4841">
        <w:rPr>
          <w:lang w:val="fr-FR"/>
        </w:rPr>
        <w:tab/>
      </w:r>
      <w:hyperlink r:id="rId29" w:history="1">
        <w:r w:rsidR="009956A2" w:rsidRPr="003E4841">
          <w:rPr>
            <w:rStyle w:val="Hyperlink"/>
            <w:lang w:val="fr-FR"/>
          </w:rPr>
          <w:t>Formation en présentiel des Centres d</w:t>
        </w:r>
        <w:r w:rsidR="002450E8" w:rsidRPr="003E4841">
          <w:rPr>
            <w:rStyle w:val="Hyperlink"/>
            <w:lang w:val="fr-FR"/>
          </w:rPr>
          <w:t>'</w:t>
        </w:r>
        <w:r w:rsidR="009956A2" w:rsidRPr="003E4841">
          <w:rPr>
            <w:rStyle w:val="Hyperlink"/>
            <w:lang w:val="fr-FR"/>
          </w:rPr>
          <w:t>excellence de l</w:t>
        </w:r>
        <w:r w:rsidR="002450E8" w:rsidRPr="003E4841">
          <w:rPr>
            <w:rStyle w:val="Hyperlink"/>
            <w:lang w:val="fr-FR"/>
          </w:rPr>
          <w:t>'</w:t>
        </w:r>
        <w:r w:rsidR="00D82521" w:rsidRPr="003E4841">
          <w:rPr>
            <w:rStyle w:val="Hyperlink"/>
            <w:lang w:val="fr-FR"/>
          </w:rPr>
          <w:t>UIT sur la conception des réseaux optiques, Tunis (Tunisie), 22-26 octobre 2018</w:t>
        </w:r>
      </w:hyperlink>
    </w:p>
    <w:p w14:paraId="50303BCB" w14:textId="1EDEDD74" w:rsidR="006C5849" w:rsidRPr="003E4841" w:rsidRDefault="00D60B86" w:rsidP="003E4841">
      <w:pPr>
        <w:pStyle w:val="enumlev1"/>
        <w:rPr>
          <w:rFonts w:cs="Arial"/>
          <w:color w:val="0000FF"/>
          <w:szCs w:val="24"/>
          <w:u w:val="single"/>
          <w:lang w:val="fr-FR"/>
        </w:rPr>
      </w:pPr>
      <w:r w:rsidRPr="003E4841">
        <w:rPr>
          <w:lang w:val="fr-FR"/>
        </w:rPr>
        <w:t>–</w:t>
      </w:r>
      <w:r w:rsidRPr="003E4841">
        <w:rPr>
          <w:lang w:val="fr-FR"/>
        </w:rPr>
        <w:tab/>
      </w:r>
      <w:hyperlink r:id="rId30" w:history="1">
        <w:r w:rsidR="006C5849" w:rsidRPr="003E4841">
          <w:rPr>
            <w:rStyle w:val="Hyperlink"/>
            <w:rFonts w:cs="Arial"/>
            <w:szCs w:val="24"/>
            <w:lang w:val="fr-FR"/>
          </w:rPr>
          <w:t>Formation en présentiel des Centres d</w:t>
        </w:r>
        <w:r w:rsidR="002450E8" w:rsidRPr="003E4841">
          <w:rPr>
            <w:rStyle w:val="Hyperlink"/>
            <w:rFonts w:cs="Arial"/>
            <w:szCs w:val="24"/>
            <w:lang w:val="fr-FR"/>
          </w:rPr>
          <w:t>'</w:t>
        </w:r>
        <w:r w:rsidR="006C5849" w:rsidRPr="003E4841">
          <w:rPr>
            <w:rStyle w:val="Hyperlink"/>
            <w:rFonts w:cs="Arial"/>
            <w:szCs w:val="24"/>
            <w:lang w:val="fr-FR"/>
          </w:rPr>
          <w:t>excellence de l</w:t>
        </w:r>
        <w:r w:rsidR="002450E8" w:rsidRPr="003E4841">
          <w:rPr>
            <w:rStyle w:val="Hyperlink"/>
            <w:rFonts w:cs="Arial"/>
            <w:szCs w:val="24"/>
            <w:lang w:val="fr-FR"/>
          </w:rPr>
          <w:t>'</w:t>
        </w:r>
        <w:r w:rsidR="006C5849" w:rsidRPr="003E4841">
          <w:rPr>
            <w:rStyle w:val="Hyperlink"/>
            <w:rFonts w:cs="Arial"/>
            <w:szCs w:val="24"/>
            <w:lang w:val="fr-FR"/>
          </w:rPr>
          <w:t xml:space="preserve">UIT sur le thème </w:t>
        </w:r>
        <w:r w:rsidR="002450E8" w:rsidRPr="003E4841">
          <w:rPr>
            <w:rStyle w:val="Hyperlink"/>
            <w:rFonts w:cs="Arial"/>
            <w:szCs w:val="24"/>
            <w:lang w:val="fr-FR"/>
          </w:rPr>
          <w:t>"</w:t>
        </w:r>
        <w:r w:rsidR="006C5849" w:rsidRPr="003E4841">
          <w:rPr>
            <w:rStyle w:val="Hyperlink"/>
            <w:rFonts w:cs="Arial"/>
            <w:szCs w:val="24"/>
            <w:lang w:val="fr-FR"/>
          </w:rPr>
          <w:t>LTE-Advanced and Beyond</w:t>
        </w:r>
        <w:r w:rsidR="002450E8" w:rsidRPr="003E4841">
          <w:rPr>
            <w:rStyle w:val="Hyperlink"/>
            <w:rFonts w:cs="Arial"/>
            <w:szCs w:val="24"/>
            <w:lang w:val="fr-FR"/>
          </w:rPr>
          <w:t>"</w:t>
        </w:r>
        <w:r w:rsidR="006C5849" w:rsidRPr="003E4841">
          <w:rPr>
            <w:rStyle w:val="Hyperlink"/>
            <w:rFonts w:cs="Arial"/>
            <w:szCs w:val="24"/>
            <w:lang w:val="fr-FR"/>
          </w:rPr>
          <w:t>, Tunis (Tunisie), 12-16 novembre 2018</w:t>
        </w:r>
      </w:hyperlink>
    </w:p>
    <w:p w14:paraId="0782EB69" w14:textId="42FC1CFA" w:rsidR="00D60B86" w:rsidRPr="003E4841" w:rsidRDefault="00D60B86" w:rsidP="003E4841">
      <w:pPr>
        <w:pStyle w:val="enumlev1"/>
        <w:rPr>
          <w:lang w:val="fr-FR"/>
        </w:rPr>
      </w:pPr>
      <w:r w:rsidRPr="003E4841">
        <w:rPr>
          <w:lang w:val="fr-FR"/>
        </w:rPr>
        <w:t>–</w:t>
      </w:r>
      <w:r w:rsidRPr="003E4841">
        <w:rPr>
          <w:lang w:val="fr-FR"/>
        </w:rPr>
        <w:tab/>
      </w:r>
      <w:hyperlink r:id="rId31" w:history="1">
        <w:r w:rsidR="00B56A91" w:rsidRPr="003E4841">
          <w:rPr>
            <w:rStyle w:val="Hyperlink"/>
            <w:lang w:val="fr-FR"/>
          </w:rPr>
          <w:t>Formation en présentiel des Centres d</w:t>
        </w:r>
        <w:r w:rsidR="002450E8" w:rsidRPr="003E4841">
          <w:rPr>
            <w:rStyle w:val="Hyperlink"/>
            <w:lang w:val="fr-FR"/>
          </w:rPr>
          <w:t>'</w:t>
        </w:r>
        <w:r w:rsidR="00B56A91" w:rsidRPr="003E4841">
          <w:rPr>
            <w:rStyle w:val="Hyperlink"/>
            <w:lang w:val="fr-FR"/>
          </w:rPr>
          <w:t>excellence de l</w:t>
        </w:r>
        <w:r w:rsidR="002450E8" w:rsidRPr="003E4841">
          <w:rPr>
            <w:rStyle w:val="Hyperlink"/>
            <w:lang w:val="fr-FR"/>
          </w:rPr>
          <w:t>'</w:t>
        </w:r>
        <w:r w:rsidR="00B56A91" w:rsidRPr="003E4841">
          <w:rPr>
            <w:rStyle w:val="Hyperlink"/>
            <w:lang w:val="fr-FR"/>
          </w:rPr>
          <w:t>UIT sur la conformité et l</w:t>
        </w:r>
        <w:r w:rsidR="002450E8" w:rsidRPr="003E4841">
          <w:rPr>
            <w:rStyle w:val="Hyperlink"/>
            <w:lang w:val="fr-FR"/>
          </w:rPr>
          <w:t>'</w:t>
        </w:r>
        <w:r w:rsidR="00B56A91" w:rsidRPr="003E4841">
          <w:rPr>
            <w:rStyle w:val="Hyperlink"/>
            <w:lang w:val="fr-FR"/>
          </w:rPr>
          <w:t xml:space="preserve">interopérabilité: cadre réglementaire et </w:t>
        </w:r>
        <w:r w:rsidR="000937D5" w:rsidRPr="003E4841">
          <w:rPr>
            <w:rStyle w:val="Hyperlink"/>
            <w:lang w:val="fr-FR"/>
          </w:rPr>
          <w:t xml:space="preserve">tests </w:t>
        </w:r>
        <w:r w:rsidR="00B56A91" w:rsidRPr="003E4841">
          <w:rPr>
            <w:rStyle w:val="Hyperlink"/>
            <w:lang w:val="fr-FR"/>
          </w:rPr>
          <w:t>pratiques de compat</w:t>
        </w:r>
        <w:r w:rsidR="00EB58CE" w:rsidRPr="003E4841">
          <w:rPr>
            <w:rStyle w:val="Hyperlink"/>
            <w:lang w:val="fr-FR"/>
          </w:rPr>
          <w:t>ibilité électromagnétique, Tunis (Tunisie), 10-12 décembre 2018</w:t>
        </w:r>
      </w:hyperlink>
    </w:p>
    <w:p w14:paraId="448DDCC8" w14:textId="77777777" w:rsidR="00D60B86" w:rsidRPr="003E4841" w:rsidRDefault="00D60B86" w:rsidP="003E4841">
      <w:pPr>
        <w:pStyle w:val="Headingb"/>
        <w:rPr>
          <w:lang w:val="fr-FR"/>
        </w:rPr>
      </w:pPr>
      <w:r w:rsidRPr="003E4841">
        <w:rPr>
          <w:lang w:val="fr-FR"/>
        </w:rPr>
        <w:t>2019</w:t>
      </w:r>
    </w:p>
    <w:p w14:paraId="115BC2FF" w14:textId="4F1E43C6" w:rsidR="00D60B86" w:rsidRPr="003E4841" w:rsidRDefault="00D60B86" w:rsidP="003E4841">
      <w:pPr>
        <w:pStyle w:val="enumlev1"/>
        <w:rPr>
          <w:lang w:val="fr-FR"/>
        </w:rPr>
      </w:pPr>
      <w:r w:rsidRPr="003E4841">
        <w:rPr>
          <w:lang w:val="fr-FR"/>
        </w:rPr>
        <w:t>–</w:t>
      </w:r>
      <w:r w:rsidRPr="003E4841">
        <w:rPr>
          <w:lang w:val="fr-FR"/>
        </w:rPr>
        <w:tab/>
      </w:r>
      <w:hyperlink r:id="rId32" w:history="1">
        <w:r w:rsidR="001A4922" w:rsidRPr="003E4841">
          <w:rPr>
            <w:rStyle w:val="Hyperlink"/>
            <w:lang w:val="fr-FR"/>
          </w:rPr>
          <w:t xml:space="preserve">Cours de formation sur </w:t>
        </w:r>
        <w:r w:rsidR="000937D5" w:rsidRPr="003E4841">
          <w:rPr>
            <w:rStyle w:val="Hyperlink"/>
            <w:lang w:val="fr-FR"/>
          </w:rPr>
          <w:t xml:space="preserve">les </w:t>
        </w:r>
        <w:r w:rsidR="001A4922" w:rsidRPr="003E4841">
          <w:rPr>
            <w:rStyle w:val="Hyperlink"/>
            <w:lang w:val="fr-FR"/>
          </w:rPr>
          <w:t>technologies de communication mobile cellulaire</w:t>
        </w:r>
        <w:r w:rsidR="000937D5" w:rsidRPr="003E4841">
          <w:rPr>
            <w:rStyle w:val="Hyperlink"/>
            <w:lang w:val="fr-FR"/>
          </w:rPr>
          <w:t xml:space="preserve"> 4G et 5G</w:t>
        </w:r>
        <w:r w:rsidR="001A4922" w:rsidRPr="003E4841">
          <w:rPr>
            <w:rStyle w:val="Hyperlink"/>
            <w:lang w:val="fr-FR"/>
          </w:rPr>
          <w:t>, Tunis (Tunisie), 22-26 avril 2019</w:t>
        </w:r>
      </w:hyperlink>
    </w:p>
    <w:p w14:paraId="0854580D" w14:textId="1076F6D1" w:rsidR="00D60B86" w:rsidRPr="003E4841" w:rsidRDefault="00D60B86" w:rsidP="003E4841">
      <w:pPr>
        <w:pStyle w:val="enumlev1"/>
        <w:rPr>
          <w:lang w:val="fr-FR"/>
        </w:rPr>
      </w:pPr>
      <w:r w:rsidRPr="003E4841">
        <w:rPr>
          <w:lang w:val="fr-FR"/>
        </w:rPr>
        <w:t>–</w:t>
      </w:r>
      <w:r w:rsidRPr="003E4841">
        <w:rPr>
          <w:lang w:val="fr-FR"/>
        </w:rPr>
        <w:tab/>
      </w:r>
      <w:hyperlink r:id="rId33" w:history="1">
        <w:r w:rsidR="001A4922" w:rsidRPr="003E4841">
          <w:rPr>
            <w:rStyle w:val="Hyperlink"/>
            <w:lang w:val="fr-FR"/>
          </w:rPr>
          <w:t xml:space="preserve">Cours de formation sur </w:t>
        </w:r>
        <w:r w:rsidR="00565C1E" w:rsidRPr="003E4841">
          <w:rPr>
            <w:rStyle w:val="Hyperlink"/>
            <w:lang w:val="fr-FR"/>
          </w:rPr>
          <w:t>l</w:t>
        </w:r>
        <w:r w:rsidR="00894B11" w:rsidRPr="003E4841">
          <w:rPr>
            <w:rStyle w:val="Hyperlink"/>
            <w:lang w:val="fr-FR"/>
          </w:rPr>
          <w:t>a sensibilisation à la cybersécurité et la criminalistique</w:t>
        </w:r>
        <w:r w:rsidR="001762AE">
          <w:rPr>
            <w:rStyle w:val="Hyperlink"/>
            <w:lang w:val="fr-FR"/>
          </w:rPr>
          <w:t xml:space="preserve">, Tunis (Tunisie), 29 avril – </w:t>
        </w:r>
        <w:r w:rsidR="00565C1E" w:rsidRPr="003E4841">
          <w:rPr>
            <w:rStyle w:val="Hyperlink"/>
            <w:lang w:val="fr-FR"/>
          </w:rPr>
          <w:t>3 mai 2019</w:t>
        </w:r>
      </w:hyperlink>
    </w:p>
    <w:p w14:paraId="26C2B308" w14:textId="16B9EB6E" w:rsidR="00D60B86" w:rsidRPr="003E4841" w:rsidRDefault="00D60B86" w:rsidP="003E4841">
      <w:pPr>
        <w:pStyle w:val="enumlev1"/>
        <w:rPr>
          <w:lang w:val="fr-FR"/>
        </w:rPr>
      </w:pPr>
      <w:r w:rsidRPr="003E4841">
        <w:rPr>
          <w:lang w:val="fr-FR"/>
        </w:rPr>
        <w:t>–</w:t>
      </w:r>
      <w:r w:rsidRPr="003E4841">
        <w:rPr>
          <w:lang w:val="fr-FR"/>
        </w:rPr>
        <w:tab/>
      </w:r>
      <w:hyperlink r:id="rId34" w:history="1">
        <w:r w:rsidR="00CC4098" w:rsidRPr="003E4841">
          <w:rPr>
            <w:rStyle w:val="Hyperlink"/>
            <w:lang w:val="fr-FR"/>
          </w:rPr>
          <w:t>Cours de formation sur les réseaux pilotés par logiciel (SDN) et la mise en œuvre pratique du protocole Openflow, Khartoum (Soudan), 24-26 juin 2019</w:t>
        </w:r>
      </w:hyperlink>
    </w:p>
    <w:p w14:paraId="165AF840" w14:textId="03FE7C03" w:rsidR="00D60B86" w:rsidRPr="003E4841" w:rsidRDefault="00D60B86" w:rsidP="003E4841">
      <w:pPr>
        <w:pStyle w:val="enumlev1"/>
        <w:rPr>
          <w:lang w:val="fr-FR"/>
        </w:rPr>
      </w:pPr>
      <w:r w:rsidRPr="003E4841">
        <w:rPr>
          <w:lang w:val="fr-FR"/>
        </w:rPr>
        <w:t>–</w:t>
      </w:r>
      <w:r w:rsidRPr="003E4841">
        <w:rPr>
          <w:lang w:val="fr-FR"/>
        </w:rPr>
        <w:tab/>
      </w:r>
      <w:hyperlink r:id="rId35" w:history="1">
        <w:r w:rsidR="004060BD" w:rsidRPr="003E4841">
          <w:rPr>
            <w:rStyle w:val="Hyperlink"/>
            <w:lang w:val="fr-FR"/>
          </w:rPr>
          <w:t>Cours de formation sur les mégadonnées, Khartoum (Soudan), 3-5 septembre 2019</w:t>
        </w:r>
      </w:hyperlink>
    </w:p>
    <w:p w14:paraId="3AF26786" w14:textId="31672962" w:rsidR="00D60B86" w:rsidRPr="003E4841" w:rsidRDefault="00D60B86" w:rsidP="003E4841">
      <w:pPr>
        <w:pStyle w:val="enumlev1"/>
        <w:rPr>
          <w:lang w:val="fr-FR"/>
        </w:rPr>
      </w:pPr>
      <w:r w:rsidRPr="003E4841">
        <w:rPr>
          <w:lang w:val="fr-FR"/>
        </w:rPr>
        <w:t>–</w:t>
      </w:r>
      <w:r w:rsidRPr="003E4841">
        <w:rPr>
          <w:lang w:val="fr-FR"/>
        </w:rPr>
        <w:tab/>
      </w:r>
      <w:hyperlink r:id="rId36" w:history="1">
        <w:r w:rsidR="004060BD" w:rsidRPr="003E4841">
          <w:rPr>
            <w:rStyle w:val="Hyperlink"/>
            <w:lang w:val="fr-FR"/>
          </w:rPr>
          <w:t>Cours de formation sur la lutte contre la cybercriminalité selon une approche proactive, Tunis (Tunisie), 16-20 septembre 2019</w:t>
        </w:r>
      </w:hyperlink>
      <w:r w:rsidR="004060BD" w:rsidRPr="003E4841">
        <w:rPr>
          <w:lang w:val="fr-FR"/>
        </w:rPr>
        <w:t xml:space="preserve"> </w:t>
      </w:r>
    </w:p>
    <w:p w14:paraId="007A42F8" w14:textId="5D712B22" w:rsidR="00D60B86" w:rsidRPr="003E4841" w:rsidRDefault="00D60B86" w:rsidP="003E4841">
      <w:pPr>
        <w:pStyle w:val="enumlev1"/>
        <w:rPr>
          <w:lang w:val="fr-FR"/>
        </w:rPr>
      </w:pPr>
      <w:r w:rsidRPr="003E4841">
        <w:rPr>
          <w:lang w:val="fr-FR"/>
        </w:rPr>
        <w:t>–</w:t>
      </w:r>
      <w:r w:rsidRPr="003E4841">
        <w:rPr>
          <w:lang w:val="fr-FR"/>
        </w:rPr>
        <w:tab/>
      </w:r>
      <w:hyperlink r:id="rId37" w:history="1">
        <w:r w:rsidR="00337AF0" w:rsidRPr="003E4841">
          <w:rPr>
            <w:rStyle w:val="Hyperlink"/>
            <w:lang w:val="fr-FR"/>
          </w:rPr>
          <w:t>Cours de formation sur l</w:t>
        </w:r>
        <w:r w:rsidR="002450E8" w:rsidRPr="003E4841">
          <w:rPr>
            <w:rStyle w:val="Hyperlink"/>
            <w:lang w:val="fr-FR"/>
          </w:rPr>
          <w:t>'</w:t>
        </w:r>
        <w:r w:rsidR="00337AF0" w:rsidRPr="003E4841">
          <w:rPr>
            <w:rStyle w:val="Hyperlink"/>
            <w:lang w:val="fr-FR"/>
          </w:rPr>
          <w:t>informatique en nuage, Khartoum (Soudan), 17</w:t>
        </w:r>
        <w:r w:rsidR="00E77A5E" w:rsidRPr="003E4841">
          <w:rPr>
            <w:rStyle w:val="Hyperlink"/>
            <w:lang w:val="fr-FR"/>
          </w:rPr>
          <w:noBreakHyphen/>
        </w:r>
        <w:r w:rsidR="00337AF0" w:rsidRPr="003E4841">
          <w:rPr>
            <w:rStyle w:val="Hyperlink"/>
            <w:lang w:val="fr-FR"/>
          </w:rPr>
          <w:t>19</w:t>
        </w:r>
        <w:r w:rsidR="00E77A5E" w:rsidRPr="003E4841">
          <w:rPr>
            <w:rStyle w:val="Hyperlink"/>
            <w:lang w:val="fr-FR"/>
          </w:rPr>
          <w:t> </w:t>
        </w:r>
        <w:r w:rsidR="00337AF0" w:rsidRPr="003E4841">
          <w:rPr>
            <w:rStyle w:val="Hyperlink"/>
            <w:lang w:val="fr-FR"/>
          </w:rPr>
          <w:t>septembre</w:t>
        </w:r>
        <w:r w:rsidR="00E77A5E" w:rsidRPr="003E4841">
          <w:rPr>
            <w:rStyle w:val="Hyperlink"/>
            <w:lang w:val="fr-FR"/>
          </w:rPr>
          <w:t> </w:t>
        </w:r>
        <w:r w:rsidR="00337AF0" w:rsidRPr="003E4841">
          <w:rPr>
            <w:rStyle w:val="Hyperlink"/>
            <w:lang w:val="fr-FR"/>
          </w:rPr>
          <w:t>2019</w:t>
        </w:r>
      </w:hyperlink>
    </w:p>
    <w:p w14:paraId="6D67DBEA" w14:textId="00358FA9" w:rsidR="00D60B86" w:rsidRPr="003E4841" w:rsidRDefault="00D60B86" w:rsidP="003E4841">
      <w:pPr>
        <w:pStyle w:val="enumlev1"/>
        <w:rPr>
          <w:lang w:val="fr-FR"/>
        </w:rPr>
      </w:pPr>
      <w:r w:rsidRPr="003E4841">
        <w:rPr>
          <w:lang w:val="fr-FR"/>
        </w:rPr>
        <w:t>–</w:t>
      </w:r>
      <w:r w:rsidRPr="003E4841">
        <w:rPr>
          <w:lang w:val="fr-FR"/>
        </w:rPr>
        <w:tab/>
      </w:r>
      <w:hyperlink r:id="rId38" w:history="1">
        <w:r w:rsidR="00337AF0" w:rsidRPr="003E4841">
          <w:rPr>
            <w:rStyle w:val="Hyperlink"/>
            <w:lang w:val="fr-FR"/>
          </w:rPr>
          <w:t>Formation en présentiel des Centres d</w:t>
        </w:r>
        <w:r w:rsidR="002450E8" w:rsidRPr="003E4841">
          <w:rPr>
            <w:rStyle w:val="Hyperlink"/>
            <w:lang w:val="fr-FR"/>
          </w:rPr>
          <w:t>'</w:t>
        </w:r>
        <w:r w:rsidR="00337AF0" w:rsidRPr="003E4841">
          <w:rPr>
            <w:rStyle w:val="Hyperlink"/>
            <w:lang w:val="fr-FR"/>
          </w:rPr>
          <w:t>excellence de l</w:t>
        </w:r>
        <w:r w:rsidR="002450E8" w:rsidRPr="003E4841">
          <w:rPr>
            <w:rStyle w:val="Hyperlink"/>
            <w:lang w:val="fr-FR"/>
          </w:rPr>
          <w:t>'</w:t>
        </w:r>
        <w:r w:rsidR="00337AF0" w:rsidRPr="003E4841">
          <w:rPr>
            <w:rStyle w:val="Hyperlink"/>
            <w:lang w:val="fr-FR"/>
          </w:rPr>
          <w:t xml:space="preserve">UIT sur </w:t>
        </w:r>
        <w:r w:rsidR="00054EE8" w:rsidRPr="003E4841">
          <w:rPr>
            <w:rStyle w:val="Hyperlink"/>
            <w:lang w:val="fr-FR"/>
          </w:rPr>
          <w:t>l</w:t>
        </w:r>
        <w:r w:rsidR="002450E8" w:rsidRPr="003E4841">
          <w:rPr>
            <w:rStyle w:val="Hyperlink"/>
            <w:lang w:val="fr-FR"/>
          </w:rPr>
          <w:t>'</w:t>
        </w:r>
        <w:r w:rsidR="00054EE8" w:rsidRPr="003E4841">
          <w:rPr>
            <w:rStyle w:val="Hyperlink"/>
            <w:lang w:val="fr-FR"/>
          </w:rPr>
          <w:t>accès hyperfréquence à l</w:t>
        </w:r>
        <w:r w:rsidR="002450E8" w:rsidRPr="003E4841">
          <w:rPr>
            <w:rStyle w:val="Hyperlink"/>
            <w:lang w:val="fr-FR"/>
          </w:rPr>
          <w:t>'</w:t>
        </w:r>
        <w:r w:rsidR="00054EE8" w:rsidRPr="003E4841">
          <w:rPr>
            <w:rStyle w:val="Hyperlink"/>
            <w:lang w:val="fr-FR"/>
          </w:rPr>
          <w:t>Internet ultra-large bande, Khartoum (Soudan), 22-24 octobre 2019</w:t>
        </w:r>
      </w:hyperlink>
    </w:p>
    <w:p w14:paraId="446C8636" w14:textId="14D94DA6" w:rsidR="00D60B86" w:rsidRPr="003E4841" w:rsidRDefault="00D60B86" w:rsidP="003E4841">
      <w:pPr>
        <w:pStyle w:val="enumlev1"/>
        <w:rPr>
          <w:lang w:val="fr-FR"/>
        </w:rPr>
      </w:pPr>
      <w:r w:rsidRPr="003E4841">
        <w:rPr>
          <w:lang w:val="fr-FR"/>
        </w:rPr>
        <w:t>–</w:t>
      </w:r>
      <w:r w:rsidRPr="003E4841">
        <w:rPr>
          <w:lang w:val="fr-FR"/>
        </w:rPr>
        <w:tab/>
      </w:r>
      <w:hyperlink r:id="rId39" w:history="1">
        <w:r w:rsidR="00562953" w:rsidRPr="003E4841">
          <w:rPr>
            <w:rStyle w:val="Hyperlink"/>
            <w:lang w:val="fr-FR"/>
          </w:rPr>
          <w:t>Cours de formation en présentiel des Centres d</w:t>
        </w:r>
        <w:r w:rsidR="002450E8" w:rsidRPr="003E4841">
          <w:rPr>
            <w:rStyle w:val="Hyperlink"/>
            <w:lang w:val="fr-FR"/>
          </w:rPr>
          <w:t>'</w:t>
        </w:r>
        <w:r w:rsidR="00562953" w:rsidRPr="003E4841">
          <w:rPr>
            <w:rStyle w:val="Hyperlink"/>
            <w:lang w:val="fr-FR"/>
          </w:rPr>
          <w:t>excellence de l</w:t>
        </w:r>
        <w:r w:rsidR="002450E8" w:rsidRPr="003E4841">
          <w:rPr>
            <w:rStyle w:val="Hyperlink"/>
            <w:lang w:val="fr-FR"/>
          </w:rPr>
          <w:t>'</w:t>
        </w:r>
        <w:r w:rsidR="00562953" w:rsidRPr="003E4841">
          <w:rPr>
            <w:rStyle w:val="Hyperlink"/>
            <w:lang w:val="fr-FR"/>
          </w:rPr>
          <w:t>UIT</w:t>
        </w:r>
        <w:r w:rsidR="004B78B3" w:rsidRPr="003E4841">
          <w:rPr>
            <w:rStyle w:val="Hyperlink"/>
            <w:lang w:val="fr-FR"/>
          </w:rPr>
          <w:t xml:space="preserve"> </w:t>
        </w:r>
        <w:r w:rsidR="00631F7C" w:rsidRPr="003E4841">
          <w:rPr>
            <w:rStyle w:val="Hyperlink"/>
            <w:lang w:val="fr-FR"/>
          </w:rPr>
          <w:t>sur la gouvernance de l</w:t>
        </w:r>
        <w:r w:rsidR="002450E8" w:rsidRPr="003E4841">
          <w:rPr>
            <w:rStyle w:val="Hyperlink"/>
            <w:lang w:val="fr-FR"/>
          </w:rPr>
          <w:t>'</w:t>
        </w:r>
        <w:r w:rsidR="00631F7C" w:rsidRPr="003E4841">
          <w:rPr>
            <w:rStyle w:val="Hyperlink"/>
            <w:lang w:val="fr-FR"/>
          </w:rPr>
          <w:t>Internet du point de vue politique et technique, Khartoum (Soudan), 26</w:t>
        </w:r>
        <w:r w:rsidR="00E77A5E" w:rsidRPr="003E4841">
          <w:rPr>
            <w:rStyle w:val="Hyperlink"/>
            <w:lang w:val="fr-FR"/>
          </w:rPr>
          <w:noBreakHyphen/>
        </w:r>
        <w:r w:rsidR="00631F7C" w:rsidRPr="003E4841">
          <w:rPr>
            <w:rStyle w:val="Hyperlink"/>
            <w:lang w:val="fr-FR"/>
          </w:rPr>
          <w:t>28</w:t>
        </w:r>
        <w:r w:rsidR="00E77A5E" w:rsidRPr="003E4841">
          <w:rPr>
            <w:rStyle w:val="Hyperlink"/>
            <w:lang w:val="fr-FR"/>
          </w:rPr>
          <w:t> </w:t>
        </w:r>
        <w:r w:rsidR="00631F7C" w:rsidRPr="003E4841">
          <w:rPr>
            <w:rStyle w:val="Hyperlink"/>
            <w:lang w:val="fr-FR"/>
          </w:rPr>
          <w:t>novembre</w:t>
        </w:r>
        <w:r w:rsidR="00E77A5E" w:rsidRPr="003E4841">
          <w:rPr>
            <w:rStyle w:val="Hyperlink"/>
            <w:lang w:val="fr-FR"/>
          </w:rPr>
          <w:t> </w:t>
        </w:r>
        <w:r w:rsidR="00631F7C" w:rsidRPr="003E4841">
          <w:rPr>
            <w:rStyle w:val="Hyperlink"/>
            <w:lang w:val="fr-FR"/>
          </w:rPr>
          <w:t>2019</w:t>
        </w:r>
      </w:hyperlink>
    </w:p>
    <w:p w14:paraId="1265A1B5" w14:textId="19B2D2C4" w:rsidR="00D60B86" w:rsidRPr="003E4841" w:rsidRDefault="00D60B86" w:rsidP="003E4841">
      <w:pPr>
        <w:pStyle w:val="enumlev1"/>
        <w:rPr>
          <w:lang w:val="fr-FR"/>
        </w:rPr>
      </w:pPr>
      <w:r w:rsidRPr="003E4841">
        <w:rPr>
          <w:lang w:val="fr-FR"/>
        </w:rPr>
        <w:t>–</w:t>
      </w:r>
      <w:r w:rsidRPr="003E4841">
        <w:rPr>
          <w:lang w:val="fr-FR"/>
        </w:rPr>
        <w:tab/>
      </w:r>
      <w:hyperlink r:id="rId40" w:history="1">
        <w:r w:rsidR="00631F7C" w:rsidRPr="003E4841">
          <w:rPr>
            <w:rStyle w:val="Hyperlink"/>
            <w:lang w:val="fr-FR"/>
          </w:rPr>
          <w:t>Cours de formation en présentiel des Centres d</w:t>
        </w:r>
        <w:r w:rsidR="002450E8" w:rsidRPr="003E4841">
          <w:rPr>
            <w:rStyle w:val="Hyperlink"/>
            <w:lang w:val="fr-FR"/>
          </w:rPr>
          <w:t>'</w:t>
        </w:r>
        <w:r w:rsidR="00631F7C" w:rsidRPr="003E4841">
          <w:rPr>
            <w:rStyle w:val="Hyperlink"/>
            <w:lang w:val="fr-FR"/>
          </w:rPr>
          <w:t>excellence de l</w:t>
        </w:r>
        <w:r w:rsidR="002450E8" w:rsidRPr="003E4841">
          <w:rPr>
            <w:rStyle w:val="Hyperlink"/>
            <w:lang w:val="fr-FR"/>
          </w:rPr>
          <w:t>'</w:t>
        </w:r>
        <w:r w:rsidR="00631F7C" w:rsidRPr="003E4841">
          <w:rPr>
            <w:rStyle w:val="Hyperlink"/>
            <w:lang w:val="fr-FR"/>
          </w:rPr>
          <w:t xml:space="preserve">UIT sur </w:t>
        </w:r>
        <w:r w:rsidR="002450E8" w:rsidRPr="003E4841">
          <w:rPr>
            <w:rStyle w:val="Hyperlink"/>
            <w:lang w:val="fr-FR"/>
          </w:rPr>
          <w:t>"</w:t>
        </w:r>
        <w:r w:rsidR="003D6761" w:rsidRPr="003E4841">
          <w:rPr>
            <w:rStyle w:val="Hyperlink"/>
            <w:lang w:val="fr-FR"/>
          </w:rPr>
          <w:t>les applications du système d'information géographique (SIG) à la gestion de l'environnement et la protection des ressources</w:t>
        </w:r>
        <w:r w:rsidR="002450E8" w:rsidRPr="003E4841">
          <w:rPr>
            <w:rStyle w:val="Hyperlink"/>
            <w:lang w:val="fr-FR"/>
          </w:rPr>
          <w:t>"</w:t>
        </w:r>
        <w:r w:rsidR="003D6761" w:rsidRPr="003E4841">
          <w:rPr>
            <w:rStyle w:val="Hyperlink"/>
            <w:lang w:val="fr-FR"/>
          </w:rPr>
          <w:t>, Tunis (Tunisie), 25-28 novembre 2019</w:t>
        </w:r>
      </w:hyperlink>
    </w:p>
    <w:p w14:paraId="5FF9594B" w14:textId="77777777" w:rsidR="00D60B86" w:rsidRPr="003E4841" w:rsidRDefault="00D60B86" w:rsidP="003E4841">
      <w:pPr>
        <w:pStyle w:val="Headingb"/>
        <w:rPr>
          <w:lang w:val="fr-FR"/>
        </w:rPr>
      </w:pPr>
      <w:r w:rsidRPr="003E4841">
        <w:rPr>
          <w:lang w:val="fr-FR"/>
        </w:rPr>
        <w:t>2020</w:t>
      </w:r>
    </w:p>
    <w:p w14:paraId="7BE38974" w14:textId="2A1EF266" w:rsidR="00D60B86" w:rsidRPr="003E4841" w:rsidRDefault="00D60B86" w:rsidP="003E4841">
      <w:pPr>
        <w:pStyle w:val="enumlev1"/>
        <w:rPr>
          <w:lang w:val="fr-FR"/>
        </w:rPr>
      </w:pPr>
      <w:r w:rsidRPr="003E4841">
        <w:rPr>
          <w:lang w:val="fr-FR"/>
        </w:rPr>
        <w:t>–</w:t>
      </w:r>
      <w:r w:rsidRPr="003E4841">
        <w:rPr>
          <w:lang w:val="fr-FR"/>
        </w:rPr>
        <w:tab/>
      </w:r>
      <w:hyperlink r:id="rId41" w:history="1">
        <w:r w:rsidR="003D6761" w:rsidRPr="003E4841">
          <w:rPr>
            <w:rStyle w:val="Hyperlink"/>
            <w:rFonts w:cs="Arial"/>
            <w:szCs w:val="24"/>
            <w:lang w:val="fr-FR"/>
          </w:rPr>
          <w:t>Cours de formation en ligne des Centres d</w:t>
        </w:r>
        <w:r w:rsidR="002450E8" w:rsidRPr="003E4841">
          <w:rPr>
            <w:rStyle w:val="Hyperlink"/>
            <w:rFonts w:cs="Arial"/>
            <w:szCs w:val="24"/>
            <w:lang w:val="fr-FR"/>
          </w:rPr>
          <w:t>'</w:t>
        </w:r>
        <w:r w:rsidR="003D6761" w:rsidRPr="003E4841">
          <w:rPr>
            <w:rStyle w:val="Hyperlink"/>
            <w:rFonts w:cs="Arial"/>
            <w:szCs w:val="24"/>
            <w:lang w:val="fr-FR"/>
          </w:rPr>
          <w:t>excellence de l</w:t>
        </w:r>
        <w:r w:rsidR="002450E8" w:rsidRPr="003E4841">
          <w:rPr>
            <w:rStyle w:val="Hyperlink"/>
            <w:rFonts w:cs="Arial"/>
            <w:szCs w:val="24"/>
            <w:lang w:val="fr-FR"/>
          </w:rPr>
          <w:t>'</w:t>
        </w:r>
        <w:r w:rsidR="003D6761" w:rsidRPr="003E4841">
          <w:rPr>
            <w:rStyle w:val="Hyperlink"/>
            <w:rFonts w:cs="Arial"/>
            <w:szCs w:val="24"/>
            <w:lang w:val="fr-FR"/>
          </w:rPr>
          <w:t xml:space="preserve">UIT sur </w:t>
        </w:r>
        <w:r w:rsidR="0001268C" w:rsidRPr="003E4841">
          <w:rPr>
            <w:rStyle w:val="Hyperlink"/>
            <w:rFonts w:cs="Arial"/>
            <w:szCs w:val="24"/>
            <w:lang w:val="fr-FR"/>
          </w:rPr>
          <w:t>l</w:t>
        </w:r>
        <w:r w:rsidR="002450E8" w:rsidRPr="003E4841">
          <w:rPr>
            <w:rStyle w:val="Hyperlink"/>
            <w:rFonts w:cs="Arial"/>
            <w:szCs w:val="24"/>
            <w:lang w:val="fr-FR"/>
          </w:rPr>
          <w:t>'</w:t>
        </w:r>
        <w:r w:rsidR="0001268C" w:rsidRPr="003E4841">
          <w:rPr>
            <w:rStyle w:val="Hyperlink"/>
            <w:rFonts w:cs="Arial"/>
            <w:szCs w:val="24"/>
            <w:lang w:val="fr-FR"/>
          </w:rPr>
          <w:t>informatique en nuage, 2-4 mars 2020</w:t>
        </w:r>
      </w:hyperlink>
    </w:p>
    <w:p w14:paraId="631D26F7" w14:textId="707D38B5" w:rsidR="00D60B86" w:rsidRPr="003E4841" w:rsidRDefault="00D60B86" w:rsidP="003E4841">
      <w:pPr>
        <w:pStyle w:val="enumlev1"/>
        <w:rPr>
          <w:lang w:val="fr-FR"/>
        </w:rPr>
      </w:pPr>
      <w:r w:rsidRPr="003E4841">
        <w:rPr>
          <w:lang w:val="fr-FR"/>
        </w:rPr>
        <w:t>–</w:t>
      </w:r>
      <w:r w:rsidRPr="003E4841">
        <w:rPr>
          <w:lang w:val="fr-FR"/>
        </w:rPr>
        <w:tab/>
      </w:r>
      <w:hyperlink r:id="rId42" w:history="1">
        <w:r w:rsidR="0001268C" w:rsidRPr="003E4841">
          <w:rPr>
            <w:rStyle w:val="Hyperlink"/>
            <w:lang w:val="fr-FR"/>
          </w:rPr>
          <w:t>Gestion souple des projets liés aux applications et aux services TIC, 13-23 juin 2020</w:t>
        </w:r>
      </w:hyperlink>
    </w:p>
    <w:p w14:paraId="706CCD6F" w14:textId="29D433EC" w:rsidR="00D60B86" w:rsidRPr="003E4841" w:rsidRDefault="00D60B86" w:rsidP="003E4841">
      <w:pPr>
        <w:pStyle w:val="enumlev1"/>
        <w:rPr>
          <w:lang w:val="fr-FR"/>
        </w:rPr>
      </w:pPr>
      <w:r w:rsidRPr="003E4841">
        <w:rPr>
          <w:lang w:val="fr-FR"/>
        </w:rPr>
        <w:t>–</w:t>
      </w:r>
      <w:r w:rsidRPr="003E4841">
        <w:rPr>
          <w:lang w:val="fr-FR"/>
        </w:rPr>
        <w:tab/>
      </w:r>
      <w:hyperlink r:id="rId43" w:history="1">
        <w:r w:rsidR="00455EA1" w:rsidRPr="003E4841">
          <w:rPr>
            <w:rStyle w:val="Hyperlink"/>
            <w:lang w:val="fr-FR"/>
          </w:rPr>
          <w:t>Cours de formation en ligne des Centres d</w:t>
        </w:r>
        <w:r w:rsidR="002450E8" w:rsidRPr="003E4841">
          <w:rPr>
            <w:rStyle w:val="Hyperlink"/>
            <w:lang w:val="fr-FR"/>
          </w:rPr>
          <w:t>'</w:t>
        </w:r>
        <w:r w:rsidR="00455EA1" w:rsidRPr="003E4841">
          <w:rPr>
            <w:rStyle w:val="Hyperlink"/>
            <w:lang w:val="fr-FR"/>
          </w:rPr>
          <w:t>excellence de l</w:t>
        </w:r>
        <w:r w:rsidR="002450E8" w:rsidRPr="003E4841">
          <w:rPr>
            <w:rStyle w:val="Hyperlink"/>
            <w:lang w:val="fr-FR"/>
          </w:rPr>
          <w:t>'</w:t>
        </w:r>
        <w:r w:rsidR="00455EA1" w:rsidRPr="003E4841">
          <w:rPr>
            <w:rStyle w:val="Hyperlink"/>
            <w:lang w:val="fr-FR"/>
          </w:rPr>
          <w:t xml:space="preserve">UIT sur la sensibilisation </w:t>
        </w:r>
        <w:r w:rsidR="00894B11" w:rsidRPr="003E4841">
          <w:rPr>
            <w:rStyle w:val="Hyperlink"/>
            <w:lang w:val="fr-FR"/>
          </w:rPr>
          <w:t>à la cybersécurité et la criminalistique</w:t>
        </w:r>
        <w:r w:rsidR="00E3372C">
          <w:rPr>
            <w:rStyle w:val="Hyperlink"/>
            <w:lang w:val="fr-FR"/>
          </w:rPr>
          <w:t xml:space="preserve">, 27 juin </w:t>
        </w:r>
        <w:r w:rsidR="00E30FF2">
          <w:rPr>
            <w:rStyle w:val="Hyperlink"/>
            <w:lang w:val="fr-FR"/>
          </w:rPr>
          <w:t xml:space="preserve">– </w:t>
        </w:r>
        <w:bookmarkStart w:id="8" w:name="_GoBack"/>
        <w:bookmarkEnd w:id="8"/>
        <w:r w:rsidR="00455EA1" w:rsidRPr="003E4841">
          <w:rPr>
            <w:rStyle w:val="Hyperlink"/>
            <w:lang w:val="fr-FR"/>
          </w:rPr>
          <w:t>3 juillet 2020</w:t>
        </w:r>
      </w:hyperlink>
    </w:p>
    <w:p w14:paraId="19121742" w14:textId="0F2EAB4F" w:rsidR="00D60B86" w:rsidRPr="003E4841" w:rsidRDefault="00D60B86" w:rsidP="003E4841">
      <w:pPr>
        <w:pStyle w:val="enumlev1"/>
        <w:rPr>
          <w:lang w:val="fr-FR"/>
        </w:rPr>
      </w:pPr>
      <w:r w:rsidRPr="003E4841">
        <w:rPr>
          <w:lang w:val="fr-FR"/>
        </w:rPr>
        <w:t>–</w:t>
      </w:r>
      <w:r w:rsidRPr="003E4841">
        <w:rPr>
          <w:lang w:val="fr-FR"/>
        </w:rPr>
        <w:tab/>
      </w:r>
      <w:hyperlink r:id="rId44" w:history="1">
        <w:r w:rsidR="000D7DBD" w:rsidRPr="003E4841">
          <w:rPr>
            <w:rStyle w:val="Hyperlink"/>
            <w:lang w:val="fr-FR"/>
          </w:rPr>
          <w:t>Cours de formation en ligne des Centres d</w:t>
        </w:r>
        <w:r w:rsidR="002450E8" w:rsidRPr="003E4841">
          <w:rPr>
            <w:rStyle w:val="Hyperlink"/>
            <w:lang w:val="fr-FR"/>
          </w:rPr>
          <w:t>'</w:t>
        </w:r>
        <w:r w:rsidR="000D7DBD" w:rsidRPr="003E4841">
          <w:rPr>
            <w:rStyle w:val="Hyperlink"/>
            <w:lang w:val="fr-FR"/>
          </w:rPr>
          <w:t>excellence de l</w:t>
        </w:r>
        <w:r w:rsidR="002450E8" w:rsidRPr="003E4841">
          <w:rPr>
            <w:rStyle w:val="Hyperlink"/>
            <w:lang w:val="fr-FR"/>
          </w:rPr>
          <w:t>'</w:t>
        </w:r>
        <w:r w:rsidR="000D7DBD" w:rsidRPr="003E4841">
          <w:rPr>
            <w:rStyle w:val="Hyperlink"/>
            <w:lang w:val="fr-FR"/>
          </w:rPr>
          <w:t xml:space="preserve">UIT sur </w:t>
        </w:r>
        <w:r w:rsidR="002E4969" w:rsidRPr="003E4841">
          <w:rPr>
            <w:rStyle w:val="Hyperlink"/>
            <w:lang w:val="fr-FR"/>
          </w:rPr>
          <w:t>les réseaux pilotés par logiciel (SDN), 9-16 août 2020</w:t>
        </w:r>
      </w:hyperlink>
    </w:p>
    <w:p w14:paraId="6613033C" w14:textId="19B46391" w:rsidR="00D60B86" w:rsidRPr="003E4841" w:rsidRDefault="00D60B86" w:rsidP="003E4841">
      <w:pPr>
        <w:pStyle w:val="enumlev1"/>
        <w:rPr>
          <w:lang w:val="fr-FR"/>
        </w:rPr>
      </w:pPr>
      <w:r w:rsidRPr="003E4841">
        <w:rPr>
          <w:lang w:val="fr-FR"/>
        </w:rPr>
        <w:t>–</w:t>
      </w:r>
      <w:r w:rsidRPr="003E4841">
        <w:rPr>
          <w:lang w:val="fr-FR"/>
        </w:rPr>
        <w:tab/>
      </w:r>
      <w:hyperlink r:id="rId45" w:history="1">
        <w:r w:rsidR="004A7590" w:rsidRPr="003E4841">
          <w:rPr>
            <w:rStyle w:val="Hyperlink"/>
            <w:lang w:val="fr-FR"/>
          </w:rPr>
          <w:t>Cours de formation en ligne des Centres d</w:t>
        </w:r>
        <w:r w:rsidR="002450E8" w:rsidRPr="003E4841">
          <w:rPr>
            <w:rStyle w:val="Hyperlink"/>
            <w:lang w:val="fr-FR"/>
          </w:rPr>
          <w:t>'</w:t>
        </w:r>
        <w:r w:rsidR="004A7590" w:rsidRPr="003E4841">
          <w:rPr>
            <w:rStyle w:val="Hyperlink"/>
            <w:lang w:val="fr-FR"/>
          </w:rPr>
          <w:t>excellence de l</w:t>
        </w:r>
        <w:r w:rsidR="002450E8" w:rsidRPr="003E4841">
          <w:rPr>
            <w:rStyle w:val="Hyperlink"/>
            <w:lang w:val="fr-FR"/>
          </w:rPr>
          <w:t>'</w:t>
        </w:r>
        <w:r w:rsidR="004A7590" w:rsidRPr="003E4841">
          <w:rPr>
            <w:rStyle w:val="Hyperlink"/>
            <w:lang w:val="fr-FR"/>
          </w:rPr>
          <w:t xml:space="preserve">UIT sur les </w:t>
        </w:r>
        <w:r w:rsidR="002450E8" w:rsidRPr="003E4841">
          <w:rPr>
            <w:rStyle w:val="Hyperlink"/>
            <w:lang w:val="fr-FR"/>
          </w:rPr>
          <w:t>"</w:t>
        </w:r>
        <w:r w:rsidR="004A7590" w:rsidRPr="003E4841">
          <w:rPr>
            <w:rStyle w:val="Hyperlink"/>
            <w:lang w:val="fr-FR"/>
          </w:rPr>
          <w:t>Réseaux et systèmes mobiles 5G</w:t>
        </w:r>
        <w:r w:rsidR="002450E8" w:rsidRPr="003E4841">
          <w:rPr>
            <w:rStyle w:val="Hyperlink"/>
            <w:lang w:val="fr-FR"/>
          </w:rPr>
          <w:t>"</w:t>
        </w:r>
        <w:r w:rsidR="004A7590" w:rsidRPr="003E4841">
          <w:rPr>
            <w:rStyle w:val="Hyperlink"/>
            <w:lang w:val="fr-FR"/>
          </w:rPr>
          <w:t>, 14-20 septembre 2020</w:t>
        </w:r>
      </w:hyperlink>
    </w:p>
    <w:p w14:paraId="027000D9" w14:textId="1ED14697" w:rsidR="00D60B86" w:rsidRPr="003E4841" w:rsidRDefault="00D60B86" w:rsidP="003E4841">
      <w:pPr>
        <w:pStyle w:val="enumlev1"/>
        <w:rPr>
          <w:lang w:val="fr-FR"/>
        </w:rPr>
      </w:pPr>
      <w:r w:rsidRPr="003E4841">
        <w:rPr>
          <w:lang w:val="fr-FR"/>
        </w:rPr>
        <w:t>–</w:t>
      </w:r>
      <w:r w:rsidRPr="003E4841">
        <w:rPr>
          <w:lang w:val="fr-FR"/>
        </w:rPr>
        <w:tab/>
      </w:r>
      <w:hyperlink r:id="rId46" w:history="1">
        <w:r w:rsidR="00E027C2" w:rsidRPr="003E4841">
          <w:rPr>
            <w:rStyle w:val="Hyperlink"/>
            <w:lang w:val="fr-FR"/>
          </w:rPr>
          <w:t>Cours de formation en ligne des Centres d</w:t>
        </w:r>
        <w:r w:rsidR="002450E8" w:rsidRPr="003E4841">
          <w:rPr>
            <w:rStyle w:val="Hyperlink"/>
            <w:lang w:val="fr-FR"/>
          </w:rPr>
          <w:t>'</w:t>
        </w:r>
        <w:r w:rsidR="00E027C2" w:rsidRPr="003E4841">
          <w:rPr>
            <w:rStyle w:val="Hyperlink"/>
            <w:lang w:val="fr-FR"/>
          </w:rPr>
          <w:t>excellence de l</w:t>
        </w:r>
        <w:r w:rsidR="002450E8" w:rsidRPr="003E4841">
          <w:rPr>
            <w:rStyle w:val="Hyperlink"/>
            <w:lang w:val="fr-FR"/>
          </w:rPr>
          <w:t>'</w:t>
        </w:r>
        <w:r w:rsidR="00E027C2" w:rsidRPr="003E4841">
          <w:rPr>
            <w:rStyle w:val="Hyperlink"/>
            <w:lang w:val="fr-FR"/>
          </w:rPr>
          <w:t>UIT sur les applications du système d'information géographique (SIG) à la gestion de l'environnement et la protection des ressources – niveau 1, Tunis (Tunisie), 7-10 septembre 2020</w:t>
        </w:r>
      </w:hyperlink>
    </w:p>
    <w:p w14:paraId="1DDD3577" w14:textId="2B3F47A6" w:rsidR="00D60B86" w:rsidRPr="003E4841" w:rsidRDefault="00D60B86" w:rsidP="003E4841">
      <w:pPr>
        <w:pStyle w:val="enumlev1"/>
        <w:rPr>
          <w:lang w:val="fr-FR"/>
        </w:rPr>
      </w:pPr>
      <w:r w:rsidRPr="003E4841">
        <w:rPr>
          <w:lang w:val="fr-FR"/>
        </w:rPr>
        <w:t>–</w:t>
      </w:r>
      <w:r w:rsidRPr="003E4841">
        <w:rPr>
          <w:lang w:val="fr-FR"/>
        </w:rPr>
        <w:tab/>
      </w:r>
      <w:hyperlink r:id="rId47" w:history="1">
        <w:r w:rsidR="00682D4C" w:rsidRPr="003E4841">
          <w:rPr>
            <w:rStyle w:val="Hyperlink"/>
            <w:lang w:val="fr-FR"/>
          </w:rPr>
          <w:t>Cours de formation en ligne des Centres d</w:t>
        </w:r>
        <w:r w:rsidR="002450E8" w:rsidRPr="003E4841">
          <w:rPr>
            <w:rStyle w:val="Hyperlink"/>
            <w:lang w:val="fr-FR"/>
          </w:rPr>
          <w:t>'</w:t>
        </w:r>
        <w:r w:rsidR="00682D4C" w:rsidRPr="003E4841">
          <w:rPr>
            <w:rStyle w:val="Hyperlink"/>
            <w:lang w:val="fr-FR"/>
          </w:rPr>
          <w:t>excellence de l</w:t>
        </w:r>
        <w:r w:rsidR="002450E8" w:rsidRPr="003E4841">
          <w:rPr>
            <w:rStyle w:val="Hyperlink"/>
            <w:lang w:val="fr-FR"/>
          </w:rPr>
          <w:t>'</w:t>
        </w:r>
        <w:r w:rsidR="00682D4C" w:rsidRPr="003E4841">
          <w:rPr>
            <w:rStyle w:val="Hyperlink"/>
            <w:lang w:val="fr-FR"/>
          </w:rPr>
          <w:t>UIT sur les mégadonnées, Khartoum (Soudan), 22-24 septembre 2020</w:t>
        </w:r>
      </w:hyperlink>
    </w:p>
    <w:p w14:paraId="4A58C54A" w14:textId="4B341FC1" w:rsidR="00D60B86" w:rsidRPr="003E4841" w:rsidRDefault="00D60B86" w:rsidP="003E4841">
      <w:pPr>
        <w:pStyle w:val="enumlev1"/>
        <w:rPr>
          <w:lang w:val="fr-FR"/>
        </w:rPr>
      </w:pPr>
      <w:r w:rsidRPr="003E4841">
        <w:rPr>
          <w:lang w:val="fr-FR"/>
        </w:rPr>
        <w:t>–</w:t>
      </w:r>
      <w:r w:rsidRPr="003E4841">
        <w:rPr>
          <w:lang w:val="fr-FR"/>
        </w:rPr>
        <w:tab/>
      </w:r>
      <w:hyperlink r:id="rId48" w:history="1">
        <w:r w:rsidR="00355BE1" w:rsidRPr="003E4841">
          <w:rPr>
            <w:rStyle w:val="Hyperlink"/>
            <w:lang w:val="fr-FR"/>
          </w:rPr>
          <w:t>Cours de formation en ligne des Centres d</w:t>
        </w:r>
        <w:r w:rsidR="002450E8" w:rsidRPr="003E4841">
          <w:rPr>
            <w:rStyle w:val="Hyperlink"/>
            <w:lang w:val="fr-FR"/>
          </w:rPr>
          <w:t>'</w:t>
        </w:r>
        <w:r w:rsidR="00355BE1" w:rsidRPr="003E4841">
          <w:rPr>
            <w:rStyle w:val="Hyperlink"/>
            <w:lang w:val="fr-FR"/>
          </w:rPr>
          <w:t>excellence de l</w:t>
        </w:r>
        <w:r w:rsidR="002450E8" w:rsidRPr="003E4841">
          <w:rPr>
            <w:rStyle w:val="Hyperlink"/>
            <w:lang w:val="fr-FR"/>
          </w:rPr>
          <w:t>'</w:t>
        </w:r>
        <w:r w:rsidR="00355BE1" w:rsidRPr="003E4841">
          <w:rPr>
            <w:rStyle w:val="Hyperlink"/>
            <w:lang w:val="fr-FR"/>
          </w:rPr>
          <w:t xml:space="preserve">UIT sur </w:t>
        </w:r>
        <w:r w:rsidR="002450E8" w:rsidRPr="003E4841">
          <w:rPr>
            <w:rStyle w:val="Hyperlink"/>
            <w:lang w:val="fr-FR"/>
          </w:rPr>
          <w:t>"</w:t>
        </w:r>
        <w:r w:rsidR="00355BE1" w:rsidRPr="003E4841">
          <w:rPr>
            <w:rStyle w:val="Hyperlink"/>
            <w:lang w:val="fr-FR"/>
          </w:rPr>
          <w:t>l</w:t>
        </w:r>
        <w:r w:rsidR="002450E8" w:rsidRPr="003E4841">
          <w:rPr>
            <w:rStyle w:val="Hyperlink"/>
            <w:lang w:val="fr-FR"/>
          </w:rPr>
          <w:t>'</w:t>
        </w:r>
        <w:r w:rsidR="00355BE1" w:rsidRPr="003E4841">
          <w:rPr>
            <w:rStyle w:val="Hyperlink"/>
            <w:lang w:val="fr-FR"/>
          </w:rPr>
          <w:t>Extension de la sécurité du système de noms de domaine (DNSSEC)</w:t>
        </w:r>
        <w:r w:rsidR="002450E8" w:rsidRPr="003E4841">
          <w:rPr>
            <w:rStyle w:val="Hyperlink"/>
            <w:lang w:val="fr-FR"/>
          </w:rPr>
          <w:t>"</w:t>
        </w:r>
        <w:r w:rsidR="00AE6DAB" w:rsidRPr="003E4841">
          <w:rPr>
            <w:rStyle w:val="Hyperlink"/>
            <w:lang w:val="fr-FR"/>
          </w:rPr>
          <w:t>, 21-27 septembre 2020</w:t>
        </w:r>
      </w:hyperlink>
    </w:p>
    <w:p w14:paraId="4A95750F" w14:textId="5740332C" w:rsidR="00D60B86" w:rsidRPr="003E4841" w:rsidRDefault="00D60B86" w:rsidP="003E4841">
      <w:pPr>
        <w:pStyle w:val="enumlev1"/>
        <w:rPr>
          <w:lang w:val="fr-FR"/>
        </w:rPr>
      </w:pPr>
      <w:r w:rsidRPr="003E4841">
        <w:rPr>
          <w:lang w:val="fr-FR"/>
        </w:rPr>
        <w:t>–</w:t>
      </w:r>
      <w:r w:rsidRPr="003E4841">
        <w:rPr>
          <w:lang w:val="fr-FR"/>
        </w:rPr>
        <w:tab/>
      </w:r>
      <w:hyperlink r:id="rId49" w:history="1">
        <w:r w:rsidR="00B376C7" w:rsidRPr="003E4841">
          <w:rPr>
            <w:rStyle w:val="Hyperlink"/>
            <w:lang w:val="fr-FR"/>
          </w:rPr>
          <w:t>Cours de formation en ligne des Centres d</w:t>
        </w:r>
        <w:r w:rsidR="002450E8" w:rsidRPr="003E4841">
          <w:rPr>
            <w:rStyle w:val="Hyperlink"/>
            <w:lang w:val="fr-FR"/>
          </w:rPr>
          <w:t>'</w:t>
        </w:r>
        <w:r w:rsidR="00B376C7" w:rsidRPr="003E4841">
          <w:rPr>
            <w:rStyle w:val="Hyperlink"/>
            <w:lang w:val="fr-FR"/>
          </w:rPr>
          <w:t>excellence de l</w:t>
        </w:r>
        <w:r w:rsidR="002450E8" w:rsidRPr="003E4841">
          <w:rPr>
            <w:rStyle w:val="Hyperlink"/>
            <w:lang w:val="fr-FR"/>
          </w:rPr>
          <w:t>'</w:t>
        </w:r>
        <w:r w:rsidR="00B376C7" w:rsidRPr="003E4841">
          <w:rPr>
            <w:rStyle w:val="Hyperlink"/>
            <w:lang w:val="fr-FR"/>
          </w:rPr>
          <w:t xml:space="preserve">UIT sur </w:t>
        </w:r>
        <w:r w:rsidR="005A7F27" w:rsidRPr="003E4841">
          <w:rPr>
            <w:rStyle w:val="Hyperlink"/>
            <w:lang w:val="fr-FR"/>
          </w:rPr>
          <w:t>la fibre jusqu</w:t>
        </w:r>
        <w:r w:rsidR="002450E8" w:rsidRPr="003E4841">
          <w:rPr>
            <w:rStyle w:val="Hyperlink"/>
            <w:lang w:val="fr-FR"/>
          </w:rPr>
          <w:t>'</w:t>
        </w:r>
        <w:r w:rsidR="005A7F27" w:rsidRPr="003E4841">
          <w:rPr>
            <w:rStyle w:val="Hyperlink"/>
            <w:lang w:val="fr-FR"/>
          </w:rPr>
          <w:t>au domicile (FTTH), Khartoum (Soudan), 6-8 octobre 2020</w:t>
        </w:r>
      </w:hyperlink>
    </w:p>
    <w:p w14:paraId="62B89DBC" w14:textId="513E1E63" w:rsidR="00D60B86" w:rsidRPr="003E4841" w:rsidRDefault="00D60B86" w:rsidP="003E4841">
      <w:pPr>
        <w:pStyle w:val="enumlev1"/>
        <w:rPr>
          <w:lang w:val="fr-FR"/>
        </w:rPr>
      </w:pPr>
      <w:r w:rsidRPr="003E4841">
        <w:rPr>
          <w:lang w:val="fr-FR"/>
        </w:rPr>
        <w:t>–</w:t>
      </w:r>
      <w:r w:rsidRPr="003E4841">
        <w:rPr>
          <w:lang w:val="fr-FR"/>
        </w:rPr>
        <w:tab/>
      </w:r>
      <w:hyperlink r:id="rId50" w:history="1">
        <w:r w:rsidR="00317B00" w:rsidRPr="003E4841">
          <w:rPr>
            <w:rStyle w:val="Hyperlink"/>
            <w:lang w:val="fr-FR"/>
          </w:rPr>
          <w:t>Cours de formation en ligne des Centres d</w:t>
        </w:r>
        <w:r w:rsidR="002450E8" w:rsidRPr="003E4841">
          <w:rPr>
            <w:rStyle w:val="Hyperlink"/>
            <w:lang w:val="fr-FR"/>
          </w:rPr>
          <w:t>'</w:t>
        </w:r>
        <w:r w:rsidR="00317B00" w:rsidRPr="003E4841">
          <w:rPr>
            <w:rStyle w:val="Hyperlink"/>
            <w:lang w:val="fr-FR"/>
          </w:rPr>
          <w:t>excellence de l</w:t>
        </w:r>
        <w:r w:rsidR="002450E8" w:rsidRPr="003E4841">
          <w:rPr>
            <w:rStyle w:val="Hyperlink"/>
            <w:lang w:val="fr-FR"/>
          </w:rPr>
          <w:t>'</w:t>
        </w:r>
        <w:r w:rsidR="00317B00" w:rsidRPr="003E4841">
          <w:rPr>
            <w:rStyle w:val="Hyperlink"/>
            <w:lang w:val="fr-FR"/>
          </w:rPr>
          <w:t>UIT sur la gouvernance de l</w:t>
        </w:r>
        <w:r w:rsidR="002450E8" w:rsidRPr="003E4841">
          <w:rPr>
            <w:rStyle w:val="Hyperlink"/>
            <w:lang w:val="fr-FR"/>
          </w:rPr>
          <w:t>'</w:t>
        </w:r>
        <w:r w:rsidR="00317B00" w:rsidRPr="003E4841">
          <w:rPr>
            <w:rStyle w:val="Hyperlink"/>
            <w:lang w:val="fr-FR"/>
          </w:rPr>
          <w:t>Internet du point de vue politique et technique, Khartoum (Soudan), 27-29 octobre 2020</w:t>
        </w:r>
      </w:hyperlink>
    </w:p>
    <w:p w14:paraId="5F88149B" w14:textId="210EC11B" w:rsidR="00D60B86" w:rsidRPr="003E4841" w:rsidRDefault="00D60B86" w:rsidP="003E4841">
      <w:pPr>
        <w:pStyle w:val="enumlev1"/>
        <w:rPr>
          <w:lang w:val="fr-FR"/>
        </w:rPr>
      </w:pPr>
      <w:r w:rsidRPr="003E4841">
        <w:rPr>
          <w:lang w:val="fr-FR"/>
        </w:rPr>
        <w:t>–</w:t>
      </w:r>
      <w:r w:rsidRPr="003E4841">
        <w:rPr>
          <w:lang w:val="fr-FR"/>
        </w:rPr>
        <w:tab/>
      </w:r>
      <w:hyperlink r:id="rId51" w:history="1">
        <w:r w:rsidR="00317B00" w:rsidRPr="003E4841">
          <w:rPr>
            <w:rStyle w:val="Hyperlink"/>
            <w:lang w:val="fr-FR"/>
          </w:rPr>
          <w:t xml:space="preserve">Cours de formation en ligne sur </w:t>
        </w:r>
        <w:r w:rsidR="002B1AB6" w:rsidRPr="003E4841">
          <w:rPr>
            <w:rStyle w:val="Hyperlink"/>
            <w:lang w:val="fr-FR"/>
          </w:rPr>
          <w:t>les réseaux d</w:t>
        </w:r>
        <w:r w:rsidR="002450E8" w:rsidRPr="003E4841">
          <w:rPr>
            <w:rStyle w:val="Hyperlink"/>
            <w:lang w:val="fr-FR"/>
          </w:rPr>
          <w:t>'</w:t>
        </w:r>
        <w:r w:rsidR="002B1AB6" w:rsidRPr="003E4841">
          <w:rPr>
            <w:rStyle w:val="Hyperlink"/>
            <w:lang w:val="fr-FR"/>
          </w:rPr>
          <w:t>accès optiques et les technologies FTTX (fibre jusqu</w:t>
        </w:r>
        <w:r w:rsidR="002450E8" w:rsidRPr="003E4841">
          <w:rPr>
            <w:rStyle w:val="Hyperlink"/>
            <w:lang w:val="fr-FR"/>
          </w:rPr>
          <w:t>'</w:t>
        </w:r>
        <w:r w:rsidR="002B1AB6" w:rsidRPr="003E4841">
          <w:rPr>
            <w:rStyle w:val="Hyperlink"/>
            <w:lang w:val="fr-FR"/>
          </w:rPr>
          <w:t>à x)</w:t>
        </w:r>
        <w:r w:rsidR="00437561" w:rsidRPr="003E4841">
          <w:rPr>
            <w:rStyle w:val="Hyperlink"/>
            <w:lang w:val="fr-FR"/>
          </w:rPr>
          <w:t>, 2-8 novembre 2020</w:t>
        </w:r>
      </w:hyperlink>
    </w:p>
    <w:p w14:paraId="028B59F3" w14:textId="45D701A0" w:rsidR="00D60B86" w:rsidRPr="003E4841" w:rsidRDefault="00D60B86" w:rsidP="003E4841">
      <w:pPr>
        <w:pStyle w:val="enumlev1"/>
        <w:rPr>
          <w:lang w:val="fr-FR"/>
        </w:rPr>
      </w:pPr>
      <w:r w:rsidRPr="003E4841">
        <w:rPr>
          <w:lang w:val="fr-FR"/>
        </w:rPr>
        <w:t>–</w:t>
      </w:r>
      <w:r w:rsidRPr="003E4841">
        <w:rPr>
          <w:lang w:val="fr-FR"/>
        </w:rPr>
        <w:tab/>
      </w:r>
      <w:hyperlink r:id="rId52" w:history="1">
        <w:r w:rsidR="00DC3A6A" w:rsidRPr="003E4841">
          <w:rPr>
            <w:rStyle w:val="Hyperlink"/>
            <w:lang w:val="fr-FR"/>
          </w:rPr>
          <w:t>Cours de formation en ligne des Centres d</w:t>
        </w:r>
        <w:r w:rsidR="002450E8" w:rsidRPr="003E4841">
          <w:rPr>
            <w:rStyle w:val="Hyperlink"/>
            <w:lang w:val="fr-FR"/>
          </w:rPr>
          <w:t>'</w:t>
        </w:r>
        <w:r w:rsidR="00DC3A6A" w:rsidRPr="003E4841">
          <w:rPr>
            <w:rStyle w:val="Hyperlink"/>
            <w:lang w:val="fr-FR"/>
          </w:rPr>
          <w:t>excellence de l</w:t>
        </w:r>
        <w:r w:rsidR="002450E8" w:rsidRPr="003E4841">
          <w:rPr>
            <w:rStyle w:val="Hyperlink"/>
            <w:lang w:val="fr-FR"/>
          </w:rPr>
          <w:t>'</w:t>
        </w:r>
        <w:r w:rsidR="00DC3A6A" w:rsidRPr="003E4841">
          <w:rPr>
            <w:rStyle w:val="Hyperlink"/>
            <w:lang w:val="fr-FR"/>
          </w:rPr>
          <w:t xml:space="preserve">UIT sur </w:t>
        </w:r>
        <w:r w:rsidR="000379F0" w:rsidRPr="003E4841">
          <w:rPr>
            <w:rStyle w:val="Hyperlink"/>
            <w:lang w:val="fr-FR"/>
          </w:rPr>
          <w:t>l</w:t>
        </w:r>
        <w:r w:rsidR="0087715D" w:rsidRPr="003E4841">
          <w:rPr>
            <w:rStyle w:val="Hyperlink"/>
            <w:lang w:val="fr-FR"/>
          </w:rPr>
          <w:t xml:space="preserve">es réseaux de transport optiques </w:t>
        </w:r>
        <w:r w:rsidR="009C3A2F" w:rsidRPr="003E4841">
          <w:rPr>
            <w:rStyle w:val="Hyperlink"/>
            <w:lang w:val="fr-FR"/>
          </w:rPr>
          <w:t>et les technologies DWDM (multiplexage par répartition dense en longueur d</w:t>
        </w:r>
        <w:r w:rsidR="002450E8" w:rsidRPr="003E4841">
          <w:rPr>
            <w:rStyle w:val="Hyperlink"/>
            <w:lang w:val="fr-FR"/>
          </w:rPr>
          <w:t>'</w:t>
        </w:r>
        <w:r w:rsidR="009C3A2F" w:rsidRPr="003E4841">
          <w:rPr>
            <w:rStyle w:val="Hyperlink"/>
            <w:lang w:val="fr-FR"/>
          </w:rPr>
          <w:t>onde), 25 novembre</w:t>
        </w:r>
        <w:r w:rsidR="00E77A5E" w:rsidRPr="003E4841">
          <w:rPr>
            <w:rStyle w:val="Hyperlink"/>
            <w:lang w:val="fr-FR"/>
          </w:rPr>
          <w:t xml:space="preserve"> – </w:t>
        </w:r>
        <w:r w:rsidR="009C3A2F" w:rsidRPr="003E4841">
          <w:rPr>
            <w:rStyle w:val="Hyperlink"/>
            <w:lang w:val="fr-FR"/>
          </w:rPr>
          <w:t>2 décembre 2020</w:t>
        </w:r>
      </w:hyperlink>
    </w:p>
    <w:p w14:paraId="37067860" w14:textId="370D52BA" w:rsidR="00D60B86" w:rsidRPr="003E4841" w:rsidRDefault="00D60B86" w:rsidP="003E4841">
      <w:pPr>
        <w:pStyle w:val="enumlev1"/>
        <w:rPr>
          <w:lang w:val="fr-FR"/>
        </w:rPr>
      </w:pPr>
      <w:r w:rsidRPr="003E4841">
        <w:rPr>
          <w:lang w:val="fr-FR"/>
        </w:rPr>
        <w:t>–</w:t>
      </w:r>
      <w:r w:rsidRPr="003E4841">
        <w:rPr>
          <w:lang w:val="fr-FR"/>
        </w:rPr>
        <w:tab/>
      </w:r>
      <w:hyperlink r:id="rId53" w:history="1">
        <w:r w:rsidR="005C0F11" w:rsidRPr="003E4841">
          <w:rPr>
            <w:rStyle w:val="Hyperlink"/>
            <w:lang w:val="fr-FR"/>
          </w:rPr>
          <w:t>Cours de formation en ligne des Centres d</w:t>
        </w:r>
        <w:r w:rsidR="002450E8" w:rsidRPr="003E4841">
          <w:rPr>
            <w:rStyle w:val="Hyperlink"/>
            <w:lang w:val="fr-FR"/>
          </w:rPr>
          <w:t>'</w:t>
        </w:r>
        <w:r w:rsidR="005C0F11" w:rsidRPr="003E4841">
          <w:rPr>
            <w:rStyle w:val="Hyperlink"/>
            <w:lang w:val="fr-FR"/>
          </w:rPr>
          <w:t>excellence de l</w:t>
        </w:r>
        <w:r w:rsidR="002450E8" w:rsidRPr="003E4841">
          <w:rPr>
            <w:rStyle w:val="Hyperlink"/>
            <w:lang w:val="fr-FR"/>
          </w:rPr>
          <w:t>'</w:t>
        </w:r>
        <w:r w:rsidR="005C0F11" w:rsidRPr="003E4841">
          <w:rPr>
            <w:rStyle w:val="Hyperlink"/>
            <w:lang w:val="fr-FR"/>
          </w:rPr>
          <w:t xml:space="preserve">UIT sur </w:t>
        </w:r>
        <w:r w:rsidR="00720DFB" w:rsidRPr="003E4841">
          <w:rPr>
            <w:rStyle w:val="Hyperlink"/>
            <w:lang w:val="fr-FR"/>
          </w:rPr>
          <w:t>l</w:t>
        </w:r>
        <w:r w:rsidR="00D6560B" w:rsidRPr="003E4841">
          <w:rPr>
            <w:rStyle w:val="Hyperlink"/>
            <w:lang w:val="fr-FR"/>
          </w:rPr>
          <w:t>es modalités d</w:t>
        </w:r>
        <w:r w:rsidR="002450E8" w:rsidRPr="003E4841">
          <w:rPr>
            <w:rStyle w:val="Hyperlink"/>
            <w:lang w:val="fr-FR"/>
          </w:rPr>
          <w:t>'</w:t>
        </w:r>
        <w:r w:rsidR="00720DFB" w:rsidRPr="003E4841">
          <w:rPr>
            <w:rStyle w:val="Hyperlink"/>
            <w:lang w:val="fr-FR"/>
          </w:rPr>
          <w:t>évaluation de l</w:t>
        </w:r>
        <w:r w:rsidR="002450E8" w:rsidRPr="003E4841">
          <w:rPr>
            <w:rStyle w:val="Hyperlink"/>
            <w:lang w:val="fr-FR"/>
          </w:rPr>
          <w:t>'</w:t>
        </w:r>
        <w:r w:rsidR="00720DFB" w:rsidRPr="003E4841">
          <w:rPr>
            <w:rStyle w:val="Hyperlink"/>
            <w:lang w:val="fr-FR"/>
          </w:rPr>
          <w:t>empreinte carbone des produits, 7-11 décembre 2020</w:t>
        </w:r>
      </w:hyperlink>
    </w:p>
    <w:p w14:paraId="49739461" w14:textId="6C42F395" w:rsidR="00D60B86" w:rsidRDefault="00D60B86" w:rsidP="003E4841">
      <w:pPr>
        <w:pStyle w:val="enumlev1"/>
        <w:rPr>
          <w:rStyle w:val="Hyperlink"/>
          <w:lang w:val="fr-FR"/>
        </w:rPr>
      </w:pPr>
      <w:r w:rsidRPr="003E4841">
        <w:rPr>
          <w:lang w:val="fr-FR"/>
        </w:rPr>
        <w:t>–</w:t>
      </w:r>
      <w:r w:rsidRPr="003E4841">
        <w:rPr>
          <w:lang w:val="fr-FR"/>
        </w:rPr>
        <w:tab/>
      </w:r>
      <w:hyperlink r:id="rId54" w:history="1">
        <w:r w:rsidR="00384E10" w:rsidRPr="003E4841">
          <w:rPr>
            <w:rStyle w:val="Hyperlink"/>
            <w:lang w:val="fr-FR"/>
          </w:rPr>
          <w:t>Cours de formation en ligne des Centres d</w:t>
        </w:r>
        <w:r w:rsidR="002450E8" w:rsidRPr="003E4841">
          <w:rPr>
            <w:rStyle w:val="Hyperlink"/>
            <w:lang w:val="fr-FR"/>
          </w:rPr>
          <w:t>'</w:t>
        </w:r>
        <w:r w:rsidR="00384E10" w:rsidRPr="003E4841">
          <w:rPr>
            <w:rStyle w:val="Hyperlink"/>
            <w:lang w:val="fr-FR"/>
          </w:rPr>
          <w:t>excellence de l</w:t>
        </w:r>
        <w:r w:rsidR="002450E8" w:rsidRPr="003E4841">
          <w:rPr>
            <w:rStyle w:val="Hyperlink"/>
            <w:lang w:val="fr-FR"/>
          </w:rPr>
          <w:t>'</w:t>
        </w:r>
        <w:r w:rsidR="00384E10" w:rsidRPr="003E4841">
          <w:rPr>
            <w:rStyle w:val="Hyperlink"/>
            <w:lang w:val="fr-FR"/>
          </w:rPr>
          <w:t>UIT sur l</w:t>
        </w:r>
        <w:r w:rsidR="002450E8" w:rsidRPr="003E4841">
          <w:rPr>
            <w:rStyle w:val="Hyperlink"/>
            <w:lang w:val="fr-FR"/>
          </w:rPr>
          <w:t>'</w:t>
        </w:r>
        <w:r w:rsidR="00384E10" w:rsidRPr="003E4841">
          <w:rPr>
            <w:rStyle w:val="Hyperlink"/>
            <w:lang w:val="fr-FR"/>
          </w:rPr>
          <w:t>accès hyperfréquence à l</w:t>
        </w:r>
        <w:r w:rsidR="002450E8" w:rsidRPr="003E4841">
          <w:rPr>
            <w:rStyle w:val="Hyperlink"/>
            <w:lang w:val="fr-FR"/>
          </w:rPr>
          <w:t>'</w:t>
        </w:r>
        <w:r w:rsidR="00384E10" w:rsidRPr="003E4841">
          <w:rPr>
            <w:rStyle w:val="Hyperlink"/>
            <w:lang w:val="fr-FR"/>
          </w:rPr>
          <w:t>Internet ultra-large bande, 21-24 décembre 2020</w:t>
        </w:r>
      </w:hyperlink>
    </w:p>
    <w:p w14:paraId="5F878826" w14:textId="77777777" w:rsidR="001762AE" w:rsidRPr="003E4841" w:rsidRDefault="001762AE" w:rsidP="003E4841">
      <w:pPr>
        <w:pStyle w:val="enumlev1"/>
        <w:rPr>
          <w:lang w:val="fr-FR"/>
        </w:rPr>
      </w:pPr>
    </w:p>
    <w:p w14:paraId="524FDD51" w14:textId="77777777" w:rsidR="00D60B86" w:rsidRPr="003E4841" w:rsidRDefault="00D60B86" w:rsidP="003E4841">
      <w:pPr>
        <w:spacing w:before="360"/>
        <w:jc w:val="center"/>
        <w:rPr>
          <w:lang w:val="fr-FR"/>
        </w:rPr>
      </w:pPr>
      <w:r w:rsidRPr="003E4841">
        <w:rPr>
          <w:lang w:val="fr-FR"/>
        </w:rPr>
        <w:t>______________</w:t>
      </w:r>
    </w:p>
    <w:sectPr w:rsidR="00D60B86" w:rsidRPr="003E4841" w:rsidSect="00D94A1A">
      <w:headerReference w:type="default" r:id="rId55"/>
      <w:footerReference w:type="default" r:id="rId56"/>
      <w:footerReference w:type="first" r:id="rId57"/>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B187" w14:textId="77777777" w:rsidR="00562953" w:rsidRDefault="00562953">
      <w:r>
        <w:separator/>
      </w:r>
    </w:p>
  </w:endnote>
  <w:endnote w:type="continuationSeparator" w:id="0">
    <w:p w14:paraId="24758C63" w14:textId="77777777" w:rsidR="00562953" w:rsidRDefault="0056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8132" w14:textId="49D0DA1F" w:rsidR="00562953" w:rsidRPr="00D60B86" w:rsidRDefault="00562953" w:rsidP="00D60B86">
    <w:pPr>
      <w:pStyle w:val="Footer"/>
      <w:rPr>
        <w:lang w:val="en-GB"/>
      </w:rPr>
    </w:pPr>
    <w:r>
      <w:fldChar w:fldCharType="begin"/>
    </w:r>
    <w:r w:rsidRPr="00D60B86">
      <w:rPr>
        <w:lang w:val="en-GB"/>
      </w:rPr>
      <w:instrText xml:space="preserve"> FILENAME \p  \* MERGEFORMAT </w:instrText>
    </w:r>
    <w:r>
      <w:fldChar w:fldCharType="separate"/>
    </w:r>
    <w:r w:rsidR="00E30FF2">
      <w:rPr>
        <w:noProof/>
        <w:lang w:val="en-GB"/>
      </w:rPr>
      <w:t>P:\FRA\ITU-D\CONF-D\RPMS\ARB\000\004ANN2F.docx</w:t>
    </w:r>
    <w:r>
      <w:rPr>
        <w:noProof/>
      </w:rPr>
      <w:fldChar w:fldCharType="end"/>
    </w:r>
    <w:r w:rsidRPr="00D60B86">
      <w:rPr>
        <w:noProof/>
        <w:lang w:val="en-GB"/>
      </w:rPr>
      <w:t xml:space="preserve"> </w:t>
    </w:r>
    <w:r>
      <w:rPr>
        <w:noProof/>
        <w:lang w:val="en-GB"/>
      </w:rPr>
      <w:t>(</w:t>
    </w:r>
    <w:r w:rsidRPr="00D60B86">
      <w:rPr>
        <w:noProof/>
        <w:lang w:val="en-GB"/>
      </w:rPr>
      <w:t>484257</w:t>
    </w:r>
    <w:r>
      <w:rPr>
        <w:noProof/>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6D498" w14:textId="5749AC10" w:rsidR="00562953" w:rsidRPr="00CB1208" w:rsidRDefault="00970F81" w:rsidP="00610652">
    <w:pPr>
      <w:pStyle w:val="Footer"/>
      <w:rPr>
        <w:lang w:val="en-GB"/>
      </w:rPr>
    </w:pPr>
    <w:r>
      <w:fldChar w:fldCharType="begin"/>
    </w:r>
    <w:r w:rsidRPr="00D60B86">
      <w:rPr>
        <w:lang w:val="en-GB"/>
      </w:rPr>
      <w:instrText xml:space="preserve"> FILENAME \p  \* MERGEFORMAT </w:instrText>
    </w:r>
    <w:r>
      <w:fldChar w:fldCharType="separate"/>
    </w:r>
    <w:r w:rsidR="00E30FF2">
      <w:rPr>
        <w:noProof/>
        <w:lang w:val="en-GB"/>
      </w:rPr>
      <w:t>P:\FRA\ITU-D\CONF-D\RPMS\ARB\000\004ANN2F.docx</w:t>
    </w:r>
    <w:r>
      <w:rPr>
        <w:noProof/>
      </w:rPr>
      <w:fldChar w:fldCharType="end"/>
    </w:r>
    <w:r w:rsidRPr="00D60B86">
      <w:rPr>
        <w:noProof/>
        <w:lang w:val="en-GB"/>
      </w:rPr>
      <w:t xml:space="preserve"> </w:t>
    </w:r>
    <w:r>
      <w:rPr>
        <w:noProof/>
        <w:lang w:val="en-GB"/>
      </w:rPr>
      <w:t>(</w:t>
    </w:r>
    <w:r w:rsidRPr="00D60B86">
      <w:rPr>
        <w:noProof/>
        <w:lang w:val="en-GB"/>
      </w:rPr>
      <w:t>484257</w:t>
    </w:r>
    <w:r>
      <w:rPr>
        <w:noProof/>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93664" w14:textId="77777777" w:rsidR="00562953" w:rsidRDefault="00562953">
      <w:r>
        <w:separator/>
      </w:r>
    </w:p>
  </w:footnote>
  <w:footnote w:type="continuationSeparator" w:id="0">
    <w:p w14:paraId="26F895E9" w14:textId="77777777" w:rsidR="00562953" w:rsidRDefault="0056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78778D17" w:rsidR="00562953" w:rsidRPr="00FC36CC" w:rsidRDefault="00562953" w:rsidP="00FC36CC">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Pr>
        <w:sz w:val="22"/>
        <w:szCs w:val="22"/>
        <w:lang w:val="es-ES_tradnl"/>
      </w:rPr>
      <w:t>ARB21</w:t>
    </w:r>
    <w:r w:rsidRPr="00FF089C">
      <w:rPr>
        <w:sz w:val="22"/>
        <w:szCs w:val="22"/>
        <w:lang w:val="es-ES_tradnl"/>
      </w:rPr>
      <w:t>/</w:t>
    </w:r>
    <w:bookmarkStart w:id="10" w:name="DocNo2"/>
    <w:bookmarkEnd w:id="10"/>
    <w:r>
      <w:rPr>
        <w:sz w:val="22"/>
        <w:szCs w:val="22"/>
        <w:lang w:val="es-ES_tradnl"/>
      </w:rPr>
      <w:t>4(Ann.2)</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30FF2">
      <w:rPr>
        <w:noProof/>
        <w:sz w:val="22"/>
        <w:szCs w:val="22"/>
        <w:lang w:val="es-ES_tradnl"/>
      </w:rPr>
      <w:t>12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CCE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28AC1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42126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CACF41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810049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425DD9"/>
    <w:multiLevelType w:val="hybridMultilevel"/>
    <w:tmpl w:val="0B5C3F36"/>
    <w:lvl w:ilvl="0" w:tplc="78CCB72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03CDB"/>
    <w:multiLevelType w:val="hybridMultilevel"/>
    <w:tmpl w:val="7520F19E"/>
    <w:lvl w:ilvl="0" w:tplc="FFFFFFFF">
      <w:start w:val="1"/>
      <w:numFmt w:val="bullet"/>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40D1B93"/>
    <w:multiLevelType w:val="multilevel"/>
    <w:tmpl w:val="0EFAFF7C"/>
    <w:styleLink w:val="VariantaA-sla"/>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851" w:hanging="494"/>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tabs>
          <w:tab w:val="num" w:pos="1474"/>
        </w:tabs>
        <w:ind w:left="2268" w:hanging="794"/>
      </w:pPr>
      <w:rPr>
        <w:rFonts w:hint="default"/>
      </w:rPr>
    </w:lvl>
    <w:lvl w:ilvl="4">
      <w:start w:val="1"/>
      <w:numFmt w:val="decimal"/>
      <w:pStyle w:val="ListNumber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8" w15:restartNumberingAfterBreak="0">
    <w:nsid w:val="04FD069B"/>
    <w:multiLevelType w:val="hybridMultilevel"/>
    <w:tmpl w:val="723CFF1A"/>
    <w:lvl w:ilvl="0" w:tplc="78CCB72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872DA"/>
    <w:multiLevelType w:val="multilevel"/>
    <w:tmpl w:val="0EFAFF7C"/>
    <w:numStyleLink w:val="VariantaA-sla"/>
  </w:abstractNum>
  <w:abstractNum w:abstractNumId="10" w15:restartNumberingAfterBreak="0">
    <w:nsid w:val="1FF35953"/>
    <w:multiLevelType w:val="hybridMultilevel"/>
    <w:tmpl w:val="14009AD6"/>
    <w:lvl w:ilvl="0" w:tplc="78CCB72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B496F"/>
    <w:multiLevelType w:val="hybridMultilevel"/>
    <w:tmpl w:val="B0E6FBB2"/>
    <w:lvl w:ilvl="0" w:tplc="902C84C6">
      <w:start w:val="1"/>
      <w:numFmt w:val="bullet"/>
      <w:lvlText w:val="-"/>
      <w:lvlJc w:val="left"/>
      <w:pPr>
        <w:ind w:left="720" w:hanging="360"/>
      </w:pPr>
      <w:rPr>
        <w:rFonts w:ascii="Calibri" w:hAnsi="Calibri" w:hint="default"/>
      </w:rPr>
    </w:lvl>
    <w:lvl w:ilvl="1" w:tplc="3200B188">
      <w:start w:val="1"/>
      <w:numFmt w:val="bullet"/>
      <w:lvlText w:val="o"/>
      <w:lvlJc w:val="left"/>
      <w:pPr>
        <w:ind w:left="1440" w:hanging="360"/>
      </w:pPr>
      <w:rPr>
        <w:rFonts w:ascii="Courier New" w:hAnsi="Courier New" w:hint="default"/>
      </w:rPr>
    </w:lvl>
    <w:lvl w:ilvl="2" w:tplc="3064D0F6">
      <w:start w:val="1"/>
      <w:numFmt w:val="bullet"/>
      <w:lvlText w:val=""/>
      <w:lvlJc w:val="left"/>
      <w:pPr>
        <w:ind w:left="2160" w:hanging="360"/>
      </w:pPr>
      <w:rPr>
        <w:rFonts w:ascii="Wingdings" w:hAnsi="Wingdings" w:hint="default"/>
      </w:rPr>
    </w:lvl>
    <w:lvl w:ilvl="3" w:tplc="0AEC6FF2">
      <w:start w:val="1"/>
      <w:numFmt w:val="bullet"/>
      <w:lvlText w:val=""/>
      <w:lvlJc w:val="left"/>
      <w:pPr>
        <w:ind w:left="2880" w:hanging="360"/>
      </w:pPr>
      <w:rPr>
        <w:rFonts w:ascii="Symbol" w:hAnsi="Symbol" w:hint="default"/>
      </w:rPr>
    </w:lvl>
    <w:lvl w:ilvl="4" w:tplc="0A70C94A">
      <w:start w:val="1"/>
      <w:numFmt w:val="bullet"/>
      <w:lvlText w:val="o"/>
      <w:lvlJc w:val="left"/>
      <w:pPr>
        <w:ind w:left="3600" w:hanging="360"/>
      </w:pPr>
      <w:rPr>
        <w:rFonts w:ascii="Courier New" w:hAnsi="Courier New" w:hint="default"/>
      </w:rPr>
    </w:lvl>
    <w:lvl w:ilvl="5" w:tplc="8F7AA4CE">
      <w:start w:val="1"/>
      <w:numFmt w:val="bullet"/>
      <w:lvlText w:val=""/>
      <w:lvlJc w:val="left"/>
      <w:pPr>
        <w:ind w:left="4320" w:hanging="360"/>
      </w:pPr>
      <w:rPr>
        <w:rFonts w:ascii="Wingdings" w:hAnsi="Wingdings" w:hint="default"/>
      </w:rPr>
    </w:lvl>
    <w:lvl w:ilvl="6" w:tplc="E438C748">
      <w:start w:val="1"/>
      <w:numFmt w:val="bullet"/>
      <w:lvlText w:val=""/>
      <w:lvlJc w:val="left"/>
      <w:pPr>
        <w:ind w:left="5040" w:hanging="360"/>
      </w:pPr>
      <w:rPr>
        <w:rFonts w:ascii="Symbol" w:hAnsi="Symbol" w:hint="default"/>
      </w:rPr>
    </w:lvl>
    <w:lvl w:ilvl="7" w:tplc="A27A9A44">
      <w:start w:val="1"/>
      <w:numFmt w:val="bullet"/>
      <w:lvlText w:val="o"/>
      <w:lvlJc w:val="left"/>
      <w:pPr>
        <w:ind w:left="5760" w:hanging="360"/>
      </w:pPr>
      <w:rPr>
        <w:rFonts w:ascii="Courier New" w:hAnsi="Courier New" w:hint="default"/>
      </w:rPr>
    </w:lvl>
    <w:lvl w:ilvl="8" w:tplc="AEB62E40">
      <w:start w:val="1"/>
      <w:numFmt w:val="bullet"/>
      <w:lvlText w:val=""/>
      <w:lvlJc w:val="left"/>
      <w:pPr>
        <w:ind w:left="6480" w:hanging="360"/>
      </w:pPr>
      <w:rPr>
        <w:rFonts w:ascii="Wingdings" w:hAnsi="Wingdings" w:hint="default"/>
      </w:rPr>
    </w:lvl>
  </w:abstractNum>
  <w:abstractNum w:abstractNumId="12" w15:restartNumberingAfterBreak="0">
    <w:nsid w:val="23854DBD"/>
    <w:multiLevelType w:val="hybridMultilevel"/>
    <w:tmpl w:val="FFFFFFFF"/>
    <w:lvl w:ilvl="0" w:tplc="4850B2B8">
      <w:start w:val="1"/>
      <w:numFmt w:val="bullet"/>
      <w:lvlText w:val=""/>
      <w:lvlJc w:val="left"/>
      <w:pPr>
        <w:ind w:left="1080" w:hanging="360"/>
      </w:pPr>
      <w:rPr>
        <w:rFonts w:ascii="Symbol" w:hAnsi="Symbol" w:hint="default"/>
      </w:rPr>
    </w:lvl>
    <w:lvl w:ilvl="1" w:tplc="D1D45182">
      <w:start w:val="1"/>
      <w:numFmt w:val="bullet"/>
      <w:lvlText w:val="o"/>
      <w:lvlJc w:val="left"/>
      <w:pPr>
        <w:ind w:left="1800" w:hanging="360"/>
      </w:pPr>
      <w:rPr>
        <w:rFonts w:ascii="Courier New" w:hAnsi="Courier New" w:hint="default"/>
      </w:rPr>
    </w:lvl>
    <w:lvl w:ilvl="2" w:tplc="8070AD1E">
      <w:start w:val="1"/>
      <w:numFmt w:val="bullet"/>
      <w:lvlText w:val=""/>
      <w:lvlJc w:val="left"/>
      <w:pPr>
        <w:ind w:left="2520" w:hanging="360"/>
      </w:pPr>
      <w:rPr>
        <w:rFonts w:ascii="Wingdings" w:hAnsi="Wingdings" w:hint="default"/>
      </w:rPr>
    </w:lvl>
    <w:lvl w:ilvl="3" w:tplc="02B8A63A">
      <w:start w:val="1"/>
      <w:numFmt w:val="bullet"/>
      <w:lvlText w:val=""/>
      <w:lvlJc w:val="left"/>
      <w:pPr>
        <w:ind w:left="3240" w:hanging="360"/>
      </w:pPr>
      <w:rPr>
        <w:rFonts w:ascii="Symbol" w:hAnsi="Symbol" w:hint="default"/>
      </w:rPr>
    </w:lvl>
    <w:lvl w:ilvl="4" w:tplc="9128472E">
      <w:start w:val="1"/>
      <w:numFmt w:val="bullet"/>
      <w:lvlText w:val="o"/>
      <w:lvlJc w:val="left"/>
      <w:pPr>
        <w:ind w:left="3960" w:hanging="360"/>
      </w:pPr>
      <w:rPr>
        <w:rFonts w:ascii="Courier New" w:hAnsi="Courier New" w:hint="default"/>
      </w:rPr>
    </w:lvl>
    <w:lvl w:ilvl="5" w:tplc="32DEC2D8">
      <w:start w:val="1"/>
      <w:numFmt w:val="bullet"/>
      <w:lvlText w:val=""/>
      <w:lvlJc w:val="left"/>
      <w:pPr>
        <w:ind w:left="4680" w:hanging="360"/>
      </w:pPr>
      <w:rPr>
        <w:rFonts w:ascii="Wingdings" w:hAnsi="Wingdings" w:hint="default"/>
      </w:rPr>
    </w:lvl>
    <w:lvl w:ilvl="6" w:tplc="60948F5A">
      <w:start w:val="1"/>
      <w:numFmt w:val="bullet"/>
      <w:lvlText w:val=""/>
      <w:lvlJc w:val="left"/>
      <w:pPr>
        <w:ind w:left="5400" w:hanging="360"/>
      </w:pPr>
      <w:rPr>
        <w:rFonts w:ascii="Symbol" w:hAnsi="Symbol" w:hint="default"/>
      </w:rPr>
    </w:lvl>
    <w:lvl w:ilvl="7" w:tplc="1A2A3A94">
      <w:start w:val="1"/>
      <w:numFmt w:val="bullet"/>
      <w:lvlText w:val="o"/>
      <w:lvlJc w:val="left"/>
      <w:pPr>
        <w:ind w:left="6120" w:hanging="360"/>
      </w:pPr>
      <w:rPr>
        <w:rFonts w:ascii="Courier New" w:hAnsi="Courier New" w:hint="default"/>
      </w:rPr>
    </w:lvl>
    <w:lvl w:ilvl="8" w:tplc="9746D67C">
      <w:start w:val="1"/>
      <w:numFmt w:val="bullet"/>
      <w:lvlText w:val=""/>
      <w:lvlJc w:val="left"/>
      <w:pPr>
        <w:ind w:left="6840" w:hanging="360"/>
      </w:pPr>
      <w:rPr>
        <w:rFonts w:ascii="Wingdings" w:hAnsi="Wingdings" w:hint="default"/>
      </w:rPr>
    </w:lvl>
  </w:abstractNum>
  <w:abstractNum w:abstractNumId="13" w15:restartNumberingAfterBreak="0">
    <w:nsid w:val="3DAE028C"/>
    <w:multiLevelType w:val="hybridMultilevel"/>
    <w:tmpl w:val="E2F0B85A"/>
    <w:lvl w:ilvl="0" w:tplc="EE08649A">
      <w:start w:val="1"/>
      <w:numFmt w:val="bullet"/>
      <w:lvlText w:val=""/>
      <w:lvlJc w:val="left"/>
      <w:pPr>
        <w:ind w:left="720" w:hanging="360"/>
      </w:pPr>
      <w:rPr>
        <w:rFonts w:ascii="Symbol" w:hAnsi="Symbol" w:hint="default"/>
      </w:rPr>
    </w:lvl>
    <w:lvl w:ilvl="1" w:tplc="C58E74B2">
      <w:start w:val="1"/>
      <w:numFmt w:val="bullet"/>
      <w:lvlText w:val="o"/>
      <w:lvlJc w:val="left"/>
      <w:pPr>
        <w:ind w:left="1440" w:hanging="360"/>
      </w:pPr>
      <w:rPr>
        <w:rFonts w:ascii="Courier New" w:hAnsi="Courier New" w:hint="default"/>
      </w:rPr>
    </w:lvl>
    <w:lvl w:ilvl="2" w:tplc="5064A324">
      <w:start w:val="1"/>
      <w:numFmt w:val="bullet"/>
      <w:lvlText w:val=""/>
      <w:lvlJc w:val="left"/>
      <w:pPr>
        <w:ind w:left="2160" w:hanging="360"/>
      </w:pPr>
      <w:rPr>
        <w:rFonts w:ascii="Wingdings" w:hAnsi="Wingdings" w:hint="default"/>
      </w:rPr>
    </w:lvl>
    <w:lvl w:ilvl="3" w:tplc="3E26916C">
      <w:start w:val="1"/>
      <w:numFmt w:val="bullet"/>
      <w:lvlText w:val=""/>
      <w:lvlJc w:val="left"/>
      <w:pPr>
        <w:ind w:left="2880" w:hanging="360"/>
      </w:pPr>
      <w:rPr>
        <w:rFonts w:ascii="Symbol" w:hAnsi="Symbol" w:hint="default"/>
      </w:rPr>
    </w:lvl>
    <w:lvl w:ilvl="4" w:tplc="638C5118">
      <w:start w:val="1"/>
      <w:numFmt w:val="bullet"/>
      <w:lvlText w:val="o"/>
      <w:lvlJc w:val="left"/>
      <w:pPr>
        <w:ind w:left="3600" w:hanging="360"/>
      </w:pPr>
      <w:rPr>
        <w:rFonts w:ascii="Courier New" w:hAnsi="Courier New" w:hint="default"/>
      </w:rPr>
    </w:lvl>
    <w:lvl w:ilvl="5" w:tplc="991E9888">
      <w:start w:val="1"/>
      <w:numFmt w:val="bullet"/>
      <w:lvlText w:val=""/>
      <w:lvlJc w:val="left"/>
      <w:pPr>
        <w:ind w:left="4320" w:hanging="360"/>
      </w:pPr>
      <w:rPr>
        <w:rFonts w:ascii="Wingdings" w:hAnsi="Wingdings" w:hint="default"/>
      </w:rPr>
    </w:lvl>
    <w:lvl w:ilvl="6" w:tplc="1D00FBAC">
      <w:start w:val="1"/>
      <w:numFmt w:val="bullet"/>
      <w:lvlText w:val=""/>
      <w:lvlJc w:val="left"/>
      <w:pPr>
        <w:ind w:left="5040" w:hanging="360"/>
      </w:pPr>
      <w:rPr>
        <w:rFonts w:ascii="Symbol" w:hAnsi="Symbol" w:hint="default"/>
      </w:rPr>
    </w:lvl>
    <w:lvl w:ilvl="7" w:tplc="B9B6095C">
      <w:start w:val="1"/>
      <w:numFmt w:val="bullet"/>
      <w:lvlText w:val="o"/>
      <w:lvlJc w:val="left"/>
      <w:pPr>
        <w:ind w:left="5760" w:hanging="360"/>
      </w:pPr>
      <w:rPr>
        <w:rFonts w:ascii="Courier New" w:hAnsi="Courier New" w:hint="default"/>
      </w:rPr>
    </w:lvl>
    <w:lvl w:ilvl="8" w:tplc="83B2EDCC">
      <w:start w:val="1"/>
      <w:numFmt w:val="bullet"/>
      <w:lvlText w:val=""/>
      <w:lvlJc w:val="left"/>
      <w:pPr>
        <w:ind w:left="6480" w:hanging="360"/>
      </w:pPr>
      <w:rPr>
        <w:rFonts w:ascii="Wingdings" w:hAnsi="Wingdings" w:hint="default"/>
      </w:rPr>
    </w:lvl>
  </w:abstractNum>
  <w:abstractNum w:abstractNumId="14" w15:restartNumberingAfterBreak="0">
    <w:nsid w:val="45B14E67"/>
    <w:multiLevelType w:val="hybridMultilevel"/>
    <w:tmpl w:val="18B63F08"/>
    <w:lvl w:ilvl="0" w:tplc="8A50A662">
      <w:start w:val="1"/>
      <w:numFmt w:val="bullet"/>
      <w:lvlText w:val=""/>
      <w:lvlJc w:val="left"/>
      <w:pPr>
        <w:ind w:left="720" w:hanging="360"/>
      </w:pPr>
      <w:rPr>
        <w:rFonts w:ascii="Symbol" w:hAnsi="Symbol" w:hint="default"/>
      </w:rPr>
    </w:lvl>
    <w:lvl w:ilvl="1" w:tplc="6B2C1042">
      <w:start w:val="1"/>
      <w:numFmt w:val="bullet"/>
      <w:lvlText w:val="o"/>
      <w:lvlJc w:val="left"/>
      <w:pPr>
        <w:ind w:left="1440" w:hanging="360"/>
      </w:pPr>
      <w:rPr>
        <w:rFonts w:ascii="Courier New" w:hAnsi="Courier New" w:hint="default"/>
      </w:rPr>
    </w:lvl>
    <w:lvl w:ilvl="2" w:tplc="0242F37A">
      <w:start w:val="1"/>
      <w:numFmt w:val="bullet"/>
      <w:lvlText w:val=""/>
      <w:lvlJc w:val="left"/>
      <w:pPr>
        <w:ind w:left="2160" w:hanging="360"/>
      </w:pPr>
      <w:rPr>
        <w:rFonts w:ascii="Wingdings" w:hAnsi="Wingdings" w:hint="default"/>
      </w:rPr>
    </w:lvl>
    <w:lvl w:ilvl="3" w:tplc="218EABCA">
      <w:start w:val="1"/>
      <w:numFmt w:val="bullet"/>
      <w:lvlText w:val=""/>
      <w:lvlJc w:val="left"/>
      <w:pPr>
        <w:ind w:left="2880" w:hanging="360"/>
      </w:pPr>
      <w:rPr>
        <w:rFonts w:ascii="Symbol" w:hAnsi="Symbol" w:hint="default"/>
      </w:rPr>
    </w:lvl>
    <w:lvl w:ilvl="4" w:tplc="DED2C33C">
      <w:start w:val="1"/>
      <w:numFmt w:val="bullet"/>
      <w:lvlText w:val="o"/>
      <w:lvlJc w:val="left"/>
      <w:pPr>
        <w:ind w:left="3600" w:hanging="360"/>
      </w:pPr>
      <w:rPr>
        <w:rFonts w:ascii="Courier New" w:hAnsi="Courier New" w:hint="default"/>
      </w:rPr>
    </w:lvl>
    <w:lvl w:ilvl="5" w:tplc="8E54C15A">
      <w:start w:val="1"/>
      <w:numFmt w:val="bullet"/>
      <w:lvlText w:val=""/>
      <w:lvlJc w:val="left"/>
      <w:pPr>
        <w:ind w:left="4320" w:hanging="360"/>
      </w:pPr>
      <w:rPr>
        <w:rFonts w:ascii="Wingdings" w:hAnsi="Wingdings" w:hint="default"/>
      </w:rPr>
    </w:lvl>
    <w:lvl w:ilvl="6" w:tplc="47AAAA96">
      <w:start w:val="1"/>
      <w:numFmt w:val="bullet"/>
      <w:lvlText w:val=""/>
      <w:lvlJc w:val="left"/>
      <w:pPr>
        <w:ind w:left="5040" w:hanging="360"/>
      </w:pPr>
      <w:rPr>
        <w:rFonts w:ascii="Symbol" w:hAnsi="Symbol" w:hint="default"/>
      </w:rPr>
    </w:lvl>
    <w:lvl w:ilvl="7" w:tplc="B344B4F6">
      <w:start w:val="1"/>
      <w:numFmt w:val="bullet"/>
      <w:lvlText w:val="o"/>
      <w:lvlJc w:val="left"/>
      <w:pPr>
        <w:ind w:left="5760" w:hanging="360"/>
      </w:pPr>
      <w:rPr>
        <w:rFonts w:ascii="Courier New" w:hAnsi="Courier New" w:hint="default"/>
      </w:rPr>
    </w:lvl>
    <w:lvl w:ilvl="8" w:tplc="D5469BB8">
      <w:start w:val="1"/>
      <w:numFmt w:val="bullet"/>
      <w:lvlText w:val=""/>
      <w:lvlJc w:val="left"/>
      <w:pPr>
        <w:ind w:left="6480" w:hanging="360"/>
      </w:pPr>
      <w:rPr>
        <w:rFonts w:ascii="Wingdings" w:hAnsi="Wingdings" w:hint="default"/>
      </w:rPr>
    </w:lvl>
  </w:abstractNum>
  <w:abstractNum w:abstractNumId="15" w15:restartNumberingAfterBreak="0">
    <w:nsid w:val="59B83801"/>
    <w:multiLevelType w:val="hybridMultilevel"/>
    <w:tmpl w:val="A00A0782"/>
    <w:lvl w:ilvl="0" w:tplc="78CCB724">
      <w:start w:val="1"/>
      <w:numFmt w:val="bullet"/>
      <w:lvlText w:val="-"/>
      <w:lvlJc w:val="left"/>
      <w:pPr>
        <w:ind w:left="3621" w:hanging="360"/>
      </w:pPr>
      <w:rPr>
        <w:rFonts w:ascii="Calibri" w:eastAsiaTheme="minorHAnsi" w:hAnsi="Calibri" w:cstheme="minorBidi" w:hint="default"/>
      </w:rPr>
    </w:lvl>
    <w:lvl w:ilvl="1" w:tplc="08090003">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16" w15:restartNumberingAfterBreak="0">
    <w:nsid w:val="5B6D2F7B"/>
    <w:multiLevelType w:val="hybridMultilevel"/>
    <w:tmpl w:val="60A2C03A"/>
    <w:lvl w:ilvl="0" w:tplc="358492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9F3503"/>
    <w:multiLevelType w:val="hybridMultilevel"/>
    <w:tmpl w:val="0734A42C"/>
    <w:lvl w:ilvl="0" w:tplc="6DC0C740">
      <w:start w:val="1"/>
      <w:numFmt w:val="bullet"/>
      <w:lvlText w:val="-"/>
      <w:lvlJc w:val="left"/>
      <w:pPr>
        <w:ind w:left="720" w:hanging="360"/>
      </w:pPr>
      <w:rPr>
        <w:rFonts w:ascii="Calibri" w:eastAsiaTheme="minorHAnsi" w:hAnsi="Calibri" w:cstheme="minorBidi" w:hint="default"/>
      </w:rPr>
    </w:lvl>
    <w:lvl w:ilvl="1" w:tplc="9DDEE0D8" w:tentative="1">
      <w:start w:val="1"/>
      <w:numFmt w:val="bullet"/>
      <w:lvlText w:val="o"/>
      <w:lvlJc w:val="left"/>
      <w:pPr>
        <w:ind w:left="1440" w:hanging="360"/>
      </w:pPr>
      <w:rPr>
        <w:rFonts w:ascii="Courier New" w:hAnsi="Courier New" w:cs="Courier New" w:hint="default"/>
      </w:rPr>
    </w:lvl>
    <w:lvl w:ilvl="2" w:tplc="385C9ADA" w:tentative="1">
      <w:start w:val="1"/>
      <w:numFmt w:val="bullet"/>
      <w:lvlText w:val=""/>
      <w:lvlJc w:val="left"/>
      <w:pPr>
        <w:ind w:left="2160" w:hanging="360"/>
      </w:pPr>
      <w:rPr>
        <w:rFonts w:ascii="Wingdings" w:hAnsi="Wingdings" w:hint="default"/>
      </w:rPr>
    </w:lvl>
    <w:lvl w:ilvl="3" w:tplc="20EC6C86" w:tentative="1">
      <w:start w:val="1"/>
      <w:numFmt w:val="bullet"/>
      <w:lvlText w:val=""/>
      <w:lvlJc w:val="left"/>
      <w:pPr>
        <w:ind w:left="2880" w:hanging="360"/>
      </w:pPr>
      <w:rPr>
        <w:rFonts w:ascii="Symbol" w:hAnsi="Symbol" w:hint="default"/>
      </w:rPr>
    </w:lvl>
    <w:lvl w:ilvl="4" w:tplc="D16E0784" w:tentative="1">
      <w:start w:val="1"/>
      <w:numFmt w:val="bullet"/>
      <w:lvlText w:val="o"/>
      <w:lvlJc w:val="left"/>
      <w:pPr>
        <w:ind w:left="3600" w:hanging="360"/>
      </w:pPr>
      <w:rPr>
        <w:rFonts w:ascii="Courier New" w:hAnsi="Courier New" w:cs="Courier New" w:hint="default"/>
      </w:rPr>
    </w:lvl>
    <w:lvl w:ilvl="5" w:tplc="9C7473BC" w:tentative="1">
      <w:start w:val="1"/>
      <w:numFmt w:val="bullet"/>
      <w:lvlText w:val=""/>
      <w:lvlJc w:val="left"/>
      <w:pPr>
        <w:ind w:left="4320" w:hanging="360"/>
      </w:pPr>
      <w:rPr>
        <w:rFonts w:ascii="Wingdings" w:hAnsi="Wingdings" w:hint="default"/>
      </w:rPr>
    </w:lvl>
    <w:lvl w:ilvl="6" w:tplc="51860ED4" w:tentative="1">
      <w:start w:val="1"/>
      <w:numFmt w:val="bullet"/>
      <w:lvlText w:val=""/>
      <w:lvlJc w:val="left"/>
      <w:pPr>
        <w:ind w:left="5040" w:hanging="360"/>
      </w:pPr>
      <w:rPr>
        <w:rFonts w:ascii="Symbol" w:hAnsi="Symbol" w:hint="default"/>
      </w:rPr>
    </w:lvl>
    <w:lvl w:ilvl="7" w:tplc="297E2520" w:tentative="1">
      <w:start w:val="1"/>
      <w:numFmt w:val="bullet"/>
      <w:lvlText w:val="o"/>
      <w:lvlJc w:val="left"/>
      <w:pPr>
        <w:ind w:left="5760" w:hanging="360"/>
      </w:pPr>
      <w:rPr>
        <w:rFonts w:ascii="Courier New" w:hAnsi="Courier New" w:cs="Courier New" w:hint="default"/>
      </w:rPr>
    </w:lvl>
    <w:lvl w:ilvl="8" w:tplc="AA7E3C1A" w:tentative="1">
      <w:start w:val="1"/>
      <w:numFmt w:val="bullet"/>
      <w:lvlText w:val=""/>
      <w:lvlJc w:val="left"/>
      <w:pPr>
        <w:ind w:left="6480" w:hanging="360"/>
      </w:pPr>
      <w:rPr>
        <w:rFonts w:ascii="Wingdings" w:hAnsi="Wingdings" w:hint="default"/>
      </w:rPr>
    </w:lvl>
  </w:abstractNum>
  <w:abstractNum w:abstractNumId="18" w15:restartNumberingAfterBreak="0">
    <w:nsid w:val="7E25335C"/>
    <w:multiLevelType w:val="hybridMultilevel"/>
    <w:tmpl w:val="2D6608AC"/>
    <w:lvl w:ilvl="0" w:tplc="78CCB72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44951"/>
    <w:multiLevelType w:val="hybridMultilevel"/>
    <w:tmpl w:val="F68E3FA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18"/>
  </w:num>
  <w:num w:numId="5">
    <w:abstractNumId w:val="10"/>
  </w:num>
  <w:num w:numId="6">
    <w:abstractNumId w:val="5"/>
  </w:num>
  <w:num w:numId="7">
    <w:abstractNumId w:val="4"/>
  </w:num>
  <w:num w:numId="8">
    <w:abstractNumId w:val="3"/>
  </w:num>
  <w:num w:numId="9">
    <w:abstractNumId w:val="2"/>
  </w:num>
  <w:num w:numId="10">
    <w:abstractNumId w:val="1"/>
  </w:num>
  <w:num w:numId="11">
    <w:abstractNumId w:val="0"/>
  </w:num>
  <w:num w:numId="12">
    <w:abstractNumId w:val="6"/>
  </w:num>
  <w:num w:numId="13">
    <w:abstractNumId w:val="12"/>
  </w:num>
  <w:num w:numId="14">
    <w:abstractNumId w:val="15"/>
  </w:num>
  <w:num w:numId="15">
    <w:abstractNumId w:val="14"/>
  </w:num>
  <w:num w:numId="16">
    <w:abstractNumId w:val="13"/>
  </w:num>
  <w:num w:numId="17">
    <w:abstractNumId w:val="17"/>
  </w:num>
  <w:num w:numId="18">
    <w:abstractNumId w:val="11"/>
  </w:num>
  <w:num w:numId="19">
    <w:abstractNumId w:val="8"/>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fr-CH"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A8"/>
    <w:rsid w:val="00001C3E"/>
    <w:rsid w:val="00001E5E"/>
    <w:rsid w:val="00006192"/>
    <w:rsid w:val="0001268C"/>
    <w:rsid w:val="000216C4"/>
    <w:rsid w:val="00022298"/>
    <w:rsid w:val="00024957"/>
    <w:rsid w:val="00027A41"/>
    <w:rsid w:val="00032DB6"/>
    <w:rsid w:val="000379F0"/>
    <w:rsid w:val="00041F68"/>
    <w:rsid w:val="0005009D"/>
    <w:rsid w:val="0005047A"/>
    <w:rsid w:val="00054EE8"/>
    <w:rsid w:val="00062DE1"/>
    <w:rsid w:val="00063D37"/>
    <w:rsid w:val="00074B15"/>
    <w:rsid w:val="000767A4"/>
    <w:rsid w:val="00080B56"/>
    <w:rsid w:val="00085924"/>
    <w:rsid w:val="0009250F"/>
    <w:rsid w:val="000937D5"/>
    <w:rsid w:val="000970BD"/>
    <w:rsid w:val="000A41AC"/>
    <w:rsid w:val="000C3CAE"/>
    <w:rsid w:val="000C6D85"/>
    <w:rsid w:val="000C6DC1"/>
    <w:rsid w:val="000C707B"/>
    <w:rsid w:val="000D4C1C"/>
    <w:rsid w:val="000D7DBD"/>
    <w:rsid w:val="000E0365"/>
    <w:rsid w:val="000F7A4F"/>
    <w:rsid w:val="001007F8"/>
    <w:rsid w:val="001038D1"/>
    <w:rsid w:val="0011218C"/>
    <w:rsid w:val="001174FD"/>
    <w:rsid w:val="00125C9B"/>
    <w:rsid w:val="001407D1"/>
    <w:rsid w:val="001471FA"/>
    <w:rsid w:val="00151AA6"/>
    <w:rsid w:val="0016110F"/>
    <w:rsid w:val="00164E1E"/>
    <w:rsid w:val="00165A36"/>
    <w:rsid w:val="00174D26"/>
    <w:rsid w:val="001762AE"/>
    <w:rsid w:val="00183C58"/>
    <w:rsid w:val="00185228"/>
    <w:rsid w:val="00191F45"/>
    <w:rsid w:val="00196774"/>
    <w:rsid w:val="001A4922"/>
    <w:rsid w:val="001D4BA2"/>
    <w:rsid w:val="001E1415"/>
    <w:rsid w:val="001F7717"/>
    <w:rsid w:val="00200391"/>
    <w:rsid w:val="00211D8B"/>
    <w:rsid w:val="00220DF7"/>
    <w:rsid w:val="00222007"/>
    <w:rsid w:val="0022552D"/>
    <w:rsid w:val="0023552F"/>
    <w:rsid w:val="00241AA5"/>
    <w:rsid w:val="0024224F"/>
    <w:rsid w:val="002450E8"/>
    <w:rsid w:val="002463DF"/>
    <w:rsid w:val="0028212E"/>
    <w:rsid w:val="00285354"/>
    <w:rsid w:val="002937EB"/>
    <w:rsid w:val="00295028"/>
    <w:rsid w:val="00296E3E"/>
    <w:rsid w:val="002A110E"/>
    <w:rsid w:val="002A119E"/>
    <w:rsid w:val="002A38A6"/>
    <w:rsid w:val="002A56F2"/>
    <w:rsid w:val="002A5CB4"/>
    <w:rsid w:val="002A7609"/>
    <w:rsid w:val="002B1AB6"/>
    <w:rsid w:val="002B3539"/>
    <w:rsid w:val="002B4F2F"/>
    <w:rsid w:val="002C60A8"/>
    <w:rsid w:val="002D6A49"/>
    <w:rsid w:val="002D7260"/>
    <w:rsid w:val="002E4969"/>
    <w:rsid w:val="002F0000"/>
    <w:rsid w:val="002F14FD"/>
    <w:rsid w:val="002F2FDB"/>
    <w:rsid w:val="00302119"/>
    <w:rsid w:val="00316182"/>
    <w:rsid w:val="00317B00"/>
    <w:rsid w:val="00326546"/>
    <w:rsid w:val="0033670C"/>
    <w:rsid w:val="00337AF0"/>
    <w:rsid w:val="003475E0"/>
    <w:rsid w:val="00355BE1"/>
    <w:rsid w:val="00375954"/>
    <w:rsid w:val="00383CA1"/>
    <w:rsid w:val="00384E10"/>
    <w:rsid w:val="00387CA3"/>
    <w:rsid w:val="00395FD9"/>
    <w:rsid w:val="0039790E"/>
    <w:rsid w:val="003C4D69"/>
    <w:rsid w:val="003D25D2"/>
    <w:rsid w:val="003D6761"/>
    <w:rsid w:val="003E4841"/>
    <w:rsid w:val="003E6F5A"/>
    <w:rsid w:val="003F3354"/>
    <w:rsid w:val="003F778F"/>
    <w:rsid w:val="004060BD"/>
    <w:rsid w:val="004063D9"/>
    <w:rsid w:val="004163A7"/>
    <w:rsid w:val="00417509"/>
    <w:rsid w:val="00420D47"/>
    <w:rsid w:val="0042159A"/>
    <w:rsid w:val="00432197"/>
    <w:rsid w:val="00437561"/>
    <w:rsid w:val="004556D3"/>
    <w:rsid w:val="00455EA1"/>
    <w:rsid w:val="00460D36"/>
    <w:rsid w:val="00466578"/>
    <w:rsid w:val="00471A57"/>
    <w:rsid w:val="004A17A0"/>
    <w:rsid w:val="004A4F84"/>
    <w:rsid w:val="004A7590"/>
    <w:rsid w:val="004B11A8"/>
    <w:rsid w:val="004B5539"/>
    <w:rsid w:val="004B78B3"/>
    <w:rsid w:val="004F2C76"/>
    <w:rsid w:val="004F4297"/>
    <w:rsid w:val="00506E6D"/>
    <w:rsid w:val="005122DB"/>
    <w:rsid w:val="005137BF"/>
    <w:rsid w:val="00516ADB"/>
    <w:rsid w:val="0052320A"/>
    <w:rsid w:val="0055041F"/>
    <w:rsid w:val="005577D8"/>
    <w:rsid w:val="005627D5"/>
    <w:rsid w:val="00562953"/>
    <w:rsid w:val="00564939"/>
    <w:rsid w:val="00565C1E"/>
    <w:rsid w:val="0057015B"/>
    <w:rsid w:val="0058579D"/>
    <w:rsid w:val="005863E9"/>
    <w:rsid w:val="0058779A"/>
    <w:rsid w:val="00590637"/>
    <w:rsid w:val="005A1EFF"/>
    <w:rsid w:val="005A3BCE"/>
    <w:rsid w:val="005A61F2"/>
    <w:rsid w:val="005A7F27"/>
    <w:rsid w:val="005B6E37"/>
    <w:rsid w:val="005C0F11"/>
    <w:rsid w:val="005C27EE"/>
    <w:rsid w:val="005C58E9"/>
    <w:rsid w:val="005D65F1"/>
    <w:rsid w:val="005E588F"/>
    <w:rsid w:val="005E5C9E"/>
    <w:rsid w:val="005E6542"/>
    <w:rsid w:val="005E7CA2"/>
    <w:rsid w:val="005F1373"/>
    <w:rsid w:val="005F7C67"/>
    <w:rsid w:val="00610652"/>
    <w:rsid w:val="0061193F"/>
    <w:rsid w:val="006215A4"/>
    <w:rsid w:val="006225E0"/>
    <w:rsid w:val="00624E46"/>
    <w:rsid w:val="006262E1"/>
    <w:rsid w:val="00631977"/>
    <w:rsid w:val="00631F7C"/>
    <w:rsid w:val="006347C6"/>
    <w:rsid w:val="00636045"/>
    <w:rsid w:val="00643CB4"/>
    <w:rsid w:val="006545CC"/>
    <w:rsid w:val="00657DB3"/>
    <w:rsid w:val="0066189E"/>
    <w:rsid w:val="00670C7F"/>
    <w:rsid w:val="00682D4C"/>
    <w:rsid w:val="00687221"/>
    <w:rsid w:val="00694653"/>
    <w:rsid w:val="006B00B2"/>
    <w:rsid w:val="006B3EEA"/>
    <w:rsid w:val="006B6720"/>
    <w:rsid w:val="006C0662"/>
    <w:rsid w:val="006C5849"/>
    <w:rsid w:val="006C6C2C"/>
    <w:rsid w:val="006E1F6C"/>
    <w:rsid w:val="006E6719"/>
    <w:rsid w:val="0070031A"/>
    <w:rsid w:val="007169FD"/>
    <w:rsid w:val="00716ADB"/>
    <w:rsid w:val="00720DFB"/>
    <w:rsid w:val="0073736A"/>
    <w:rsid w:val="007404E7"/>
    <w:rsid w:val="00750B27"/>
    <w:rsid w:val="00760A69"/>
    <w:rsid w:val="0076471F"/>
    <w:rsid w:val="007731D0"/>
    <w:rsid w:val="0077394F"/>
    <w:rsid w:val="00780F67"/>
    <w:rsid w:val="00792926"/>
    <w:rsid w:val="00792BDD"/>
    <w:rsid w:val="00793F63"/>
    <w:rsid w:val="007A591E"/>
    <w:rsid w:val="007C0B80"/>
    <w:rsid w:val="007E1121"/>
    <w:rsid w:val="007E5B1B"/>
    <w:rsid w:val="007F4101"/>
    <w:rsid w:val="007F64C3"/>
    <w:rsid w:val="0080547A"/>
    <w:rsid w:val="00810D5D"/>
    <w:rsid w:val="00814D27"/>
    <w:rsid w:val="008255DA"/>
    <w:rsid w:val="00833E4E"/>
    <w:rsid w:val="00851B5C"/>
    <w:rsid w:val="008535E9"/>
    <w:rsid w:val="008656AB"/>
    <w:rsid w:val="00867E4A"/>
    <w:rsid w:val="008758AD"/>
    <w:rsid w:val="00876F67"/>
    <w:rsid w:val="0087715D"/>
    <w:rsid w:val="008822F4"/>
    <w:rsid w:val="00886258"/>
    <w:rsid w:val="008873ED"/>
    <w:rsid w:val="00894B11"/>
    <w:rsid w:val="008A321E"/>
    <w:rsid w:val="008A70C7"/>
    <w:rsid w:val="008B4CD9"/>
    <w:rsid w:val="008C1738"/>
    <w:rsid w:val="008C638B"/>
    <w:rsid w:val="008D3CD9"/>
    <w:rsid w:val="008F2257"/>
    <w:rsid w:val="008F5B0A"/>
    <w:rsid w:val="00900FF1"/>
    <w:rsid w:val="009021E1"/>
    <w:rsid w:val="0091004C"/>
    <w:rsid w:val="00914CB0"/>
    <w:rsid w:val="00937905"/>
    <w:rsid w:val="00964AD1"/>
    <w:rsid w:val="009665D2"/>
    <w:rsid w:val="00970F81"/>
    <w:rsid w:val="00991B49"/>
    <w:rsid w:val="00993DE4"/>
    <w:rsid w:val="009956A2"/>
    <w:rsid w:val="009A2B8A"/>
    <w:rsid w:val="009C3A2F"/>
    <w:rsid w:val="009D05A8"/>
    <w:rsid w:val="009D1BBA"/>
    <w:rsid w:val="009D3EF6"/>
    <w:rsid w:val="009E0404"/>
    <w:rsid w:val="009E5AA9"/>
    <w:rsid w:val="009F4C1B"/>
    <w:rsid w:val="00A0276B"/>
    <w:rsid w:val="00A12213"/>
    <w:rsid w:val="00A17767"/>
    <w:rsid w:val="00A32830"/>
    <w:rsid w:val="00A34F5F"/>
    <w:rsid w:val="00A35ECA"/>
    <w:rsid w:val="00A41C8C"/>
    <w:rsid w:val="00A43A0B"/>
    <w:rsid w:val="00A451C0"/>
    <w:rsid w:val="00A4779E"/>
    <w:rsid w:val="00A4782A"/>
    <w:rsid w:val="00A64143"/>
    <w:rsid w:val="00A661D4"/>
    <w:rsid w:val="00A673A0"/>
    <w:rsid w:val="00A70E60"/>
    <w:rsid w:val="00A718D1"/>
    <w:rsid w:val="00A82AA4"/>
    <w:rsid w:val="00AA5BC2"/>
    <w:rsid w:val="00AA6997"/>
    <w:rsid w:val="00AB349E"/>
    <w:rsid w:val="00AC340B"/>
    <w:rsid w:val="00AC49C6"/>
    <w:rsid w:val="00AC4B23"/>
    <w:rsid w:val="00AD2C6B"/>
    <w:rsid w:val="00AD5A9B"/>
    <w:rsid w:val="00AE4E69"/>
    <w:rsid w:val="00AE641C"/>
    <w:rsid w:val="00AE6DAB"/>
    <w:rsid w:val="00AE705F"/>
    <w:rsid w:val="00AF3795"/>
    <w:rsid w:val="00B03608"/>
    <w:rsid w:val="00B23962"/>
    <w:rsid w:val="00B24E7A"/>
    <w:rsid w:val="00B27F2D"/>
    <w:rsid w:val="00B30F41"/>
    <w:rsid w:val="00B359C2"/>
    <w:rsid w:val="00B376C7"/>
    <w:rsid w:val="00B45A08"/>
    <w:rsid w:val="00B537E3"/>
    <w:rsid w:val="00B56A91"/>
    <w:rsid w:val="00B62754"/>
    <w:rsid w:val="00B66091"/>
    <w:rsid w:val="00B70268"/>
    <w:rsid w:val="00B82A56"/>
    <w:rsid w:val="00B83845"/>
    <w:rsid w:val="00B879DF"/>
    <w:rsid w:val="00B97051"/>
    <w:rsid w:val="00BA5EFF"/>
    <w:rsid w:val="00BB1F28"/>
    <w:rsid w:val="00BB31FF"/>
    <w:rsid w:val="00BB5B97"/>
    <w:rsid w:val="00BC0196"/>
    <w:rsid w:val="00BC2806"/>
    <w:rsid w:val="00BC3B09"/>
    <w:rsid w:val="00BF6416"/>
    <w:rsid w:val="00C2089F"/>
    <w:rsid w:val="00C23632"/>
    <w:rsid w:val="00C33B32"/>
    <w:rsid w:val="00C34FDF"/>
    <w:rsid w:val="00C36773"/>
    <w:rsid w:val="00C3774F"/>
    <w:rsid w:val="00C57C65"/>
    <w:rsid w:val="00C60E67"/>
    <w:rsid w:val="00C63A90"/>
    <w:rsid w:val="00C64D73"/>
    <w:rsid w:val="00C65487"/>
    <w:rsid w:val="00C83639"/>
    <w:rsid w:val="00C95D37"/>
    <w:rsid w:val="00CA3641"/>
    <w:rsid w:val="00CA6B10"/>
    <w:rsid w:val="00CB1208"/>
    <w:rsid w:val="00CB5E63"/>
    <w:rsid w:val="00CB6D63"/>
    <w:rsid w:val="00CC28B6"/>
    <w:rsid w:val="00CC29BC"/>
    <w:rsid w:val="00CC4098"/>
    <w:rsid w:val="00CD5BAD"/>
    <w:rsid w:val="00CF41A5"/>
    <w:rsid w:val="00CF7A74"/>
    <w:rsid w:val="00D0668B"/>
    <w:rsid w:val="00D133ED"/>
    <w:rsid w:val="00D3233E"/>
    <w:rsid w:val="00D431C8"/>
    <w:rsid w:val="00D46E6D"/>
    <w:rsid w:val="00D46E78"/>
    <w:rsid w:val="00D50654"/>
    <w:rsid w:val="00D53B2E"/>
    <w:rsid w:val="00D540CE"/>
    <w:rsid w:val="00D60B86"/>
    <w:rsid w:val="00D6560B"/>
    <w:rsid w:val="00D73D79"/>
    <w:rsid w:val="00D82521"/>
    <w:rsid w:val="00D8353C"/>
    <w:rsid w:val="00D86F5E"/>
    <w:rsid w:val="00D927A8"/>
    <w:rsid w:val="00D94A1A"/>
    <w:rsid w:val="00DA6A3A"/>
    <w:rsid w:val="00DA7B34"/>
    <w:rsid w:val="00DC3063"/>
    <w:rsid w:val="00DC3A6A"/>
    <w:rsid w:val="00DE155C"/>
    <w:rsid w:val="00DF071C"/>
    <w:rsid w:val="00DF2F6C"/>
    <w:rsid w:val="00E027C2"/>
    <w:rsid w:val="00E02C13"/>
    <w:rsid w:val="00E11E8E"/>
    <w:rsid w:val="00E2780C"/>
    <w:rsid w:val="00E30FF2"/>
    <w:rsid w:val="00E33135"/>
    <w:rsid w:val="00E3372C"/>
    <w:rsid w:val="00E77A5E"/>
    <w:rsid w:val="00E80E1C"/>
    <w:rsid w:val="00E87175"/>
    <w:rsid w:val="00EA2410"/>
    <w:rsid w:val="00EA7C45"/>
    <w:rsid w:val="00EB58CE"/>
    <w:rsid w:val="00ED3573"/>
    <w:rsid w:val="00ED47D1"/>
    <w:rsid w:val="00EE638C"/>
    <w:rsid w:val="00EF0214"/>
    <w:rsid w:val="00EF59B8"/>
    <w:rsid w:val="00EF6AF7"/>
    <w:rsid w:val="00F04682"/>
    <w:rsid w:val="00F1039F"/>
    <w:rsid w:val="00F10418"/>
    <w:rsid w:val="00F227AB"/>
    <w:rsid w:val="00F27E6A"/>
    <w:rsid w:val="00F4562B"/>
    <w:rsid w:val="00F463AF"/>
    <w:rsid w:val="00F47BCC"/>
    <w:rsid w:val="00F602A4"/>
    <w:rsid w:val="00F61D8F"/>
    <w:rsid w:val="00F65C7C"/>
    <w:rsid w:val="00F924FE"/>
    <w:rsid w:val="00FA6577"/>
    <w:rsid w:val="00FB20FF"/>
    <w:rsid w:val="00FB2E60"/>
    <w:rsid w:val="00FC36CC"/>
    <w:rsid w:val="00FC72CE"/>
    <w:rsid w:val="00FD1E1F"/>
    <w:rsid w:val="00FD22DE"/>
    <w:rsid w:val="00FD765D"/>
    <w:rsid w:val="00FF2AA3"/>
    <w:rsid w:val="00FF2FA8"/>
    <w:rsid w:val="00FF6F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List Number" w:uiPriority="15" w:qFormat="1"/>
    <w:lsdException w:name="List Number 2" w:uiPriority="15" w:qFormat="1"/>
    <w:lsdException w:name="List Number 3" w:uiPriority="15" w:qFormat="1"/>
    <w:lsdException w:name="List Number 4" w:uiPriority="15" w:qFormat="1"/>
    <w:lsdException w:name="List Number 5" w:uiPriority="15"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pPr>
      <w:keepNext/>
      <w:keepLines/>
      <w:spacing w:before="280"/>
      <w:ind w:left="794" w:hanging="794"/>
      <w:outlineLvl w:val="0"/>
    </w:pPr>
    <w:rPr>
      <w:b/>
    </w:rPr>
  </w:style>
  <w:style w:type="paragraph" w:styleId="Heading2">
    <w:name w:val="heading 2"/>
    <w:basedOn w:val="Heading1"/>
    <w:next w:val="Normal"/>
    <w:qFormat/>
    <w:pPr>
      <w:spacing w:before="20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color w:val="606420"/>
      <w:sz w:val="19"/>
      <w:u w:val="single"/>
      <w:lang w:val="en-GB"/>
    </w:rPr>
  </w:style>
  <w:style w:type="character" w:styleId="Hyperlink">
    <w:name w:val="Hyperlink"/>
    <w:aliases w:val="CEO_Hyperlink"/>
    <w:uiPriority w:val="99"/>
    <w:qFormat/>
    <w:rPr>
      <w:color w:val="0000FF"/>
      <w:u w:val="single"/>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Pr>
      <w:rFonts w:ascii="Calibri" w:eastAsia="Times New Roman" w:hAnsi="Calibri"/>
      <w:sz w:val="18"/>
      <w:lang w:val="fr-FR" w:eastAsia="en-US"/>
    </w:r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6"/>
      <w:lang w:val="fr-FR"/>
    </w:rPr>
  </w:style>
  <w:style w:type="character" w:customStyle="1" w:styleId="FooterChar">
    <w:name w:val="Footer Char"/>
    <w:link w:val="Footer"/>
    <w:rPr>
      <w:rFonts w:ascii="Calibri" w:eastAsia="Times New Roman" w:hAnsi="Calibri"/>
      <w:caps/>
      <w:sz w:val="16"/>
      <w:lang w:val="fr-FR" w:eastAsia="en-U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pPr>
      <w:tabs>
        <w:tab w:val="clear" w:pos="1191"/>
        <w:tab w:val="clear" w:pos="1588"/>
        <w:tab w:val="clear" w:pos="1985"/>
        <w:tab w:val="center" w:pos="4820"/>
        <w:tab w:val="right" w:pos="9639"/>
      </w:tabs>
    </w:pPr>
  </w:style>
  <w:style w:type="table" w:styleId="TableGrid">
    <w:name w:val="Table Grid"/>
    <w:basedOn w:val="TableNormal"/>
    <w:uiPriority w:val="39"/>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b/>
      <w:sz w:val="28"/>
    </w:rPr>
  </w:style>
  <w:style w:type="character" w:customStyle="1" w:styleId="Appdef">
    <w:name w:val="App_def"/>
    <w:rPr>
      <w:rFonts w:ascii="Calibri" w:hAnsi="Calibri"/>
      <w:b/>
    </w:rPr>
  </w:style>
  <w:style w:type="character" w:customStyle="1" w:styleId="Appref">
    <w:name w:val="App_ref"/>
    <w:rPr>
      <w:rFonts w:ascii="Calibri" w:hAnsi="Calibri"/>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character" w:customStyle="1" w:styleId="Artdef">
    <w:name w:val="Art_def"/>
    <w:rPr>
      <w:rFonts w:ascii="Calibri" w:hAnsi="Calibri"/>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Normal"/>
    <w:rPr>
      <w:b/>
    </w:rPr>
  </w:style>
  <w:style w:type="paragraph" w:customStyle="1" w:styleId="Chaptitle">
    <w:name w:val="Chap_title"/>
    <w:basedOn w:val="Arttitle"/>
    <w:next w:val="Normal"/>
  </w:style>
  <w:style w:type="paragraph" w:customStyle="1" w:styleId="Committee">
    <w:name w:val="Committee"/>
    <w:basedOn w:val="Normal"/>
    <w:qFormat/>
    <w:rPr>
      <w:rFonts w:cs="Times New Roman Bold"/>
      <w:b/>
      <w:cap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pPr>
      <w:keepNext/>
      <w:keepLines/>
      <w:spacing w:before="480" w:after="120"/>
      <w:jc w:val="center"/>
    </w:pPr>
    <w:rPr>
      <w:caps/>
    </w:rPr>
  </w:style>
  <w:style w:type="paragraph" w:customStyle="1" w:styleId="Tabletitle">
    <w:name w:val="Table_title"/>
    <w:basedOn w:val="Normal"/>
    <w:next w:val="Normal"/>
    <w:pPr>
      <w:keepNext/>
      <w:keepLines/>
      <w:spacing w:before="0" w:after="120"/>
      <w:jc w:val="center"/>
    </w:pPr>
    <w:rPr>
      <w:b/>
    </w:rPr>
  </w:style>
  <w:style w:type="paragraph" w:customStyle="1" w:styleId="Figuretitle">
    <w:name w:val="Figure_title"/>
    <w:basedOn w:val="Tabletitle"/>
    <w:next w:val="Normal"/>
    <w:pPr>
      <w:keepNext w:val="0"/>
      <w:spacing w:after="480"/>
    </w:pPr>
  </w:style>
  <w:style w:type="paragraph" w:customStyle="1" w:styleId="Figurewithouttitle">
    <w:name w:val="Figure_without_title"/>
    <w:basedOn w:val="FigureNo"/>
    <w:next w:val="Normal"/>
    <w:pPr>
      <w:keepNext w:val="0"/>
    </w:pPr>
  </w:style>
  <w:style w:type="character" w:styleId="FootnoteReference">
    <w:name w:val="footnote reference"/>
    <w:uiPriority w:val="99"/>
    <w:rPr>
      <w:rFonts w:ascii="Calibri" w:hAnsi="Calibri"/>
      <w:position w:val="6"/>
      <w:sz w:val="18"/>
    </w:rPr>
  </w:style>
  <w:style w:type="paragraph" w:styleId="FootnoteText">
    <w:name w:val="footnote text"/>
    <w:basedOn w:val="Normal"/>
    <w:link w:val="FootnoteTextChar"/>
    <w:pPr>
      <w:keepLines/>
      <w:tabs>
        <w:tab w:val="left" w:pos="255"/>
      </w:tabs>
      <w:ind w:left="255" w:hanging="255"/>
    </w:pPr>
  </w:style>
  <w:style w:type="character" w:customStyle="1" w:styleId="FootnoteTextChar">
    <w:name w:val="Footnote Text Char"/>
    <w:link w:val="FootnoteText"/>
    <w:rPr>
      <w:rFonts w:ascii="Calibri" w:eastAsia="Times New Roman" w:hAnsi="Calibri"/>
      <w:sz w:val="24"/>
      <w:lang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style>
  <w:style w:type="paragraph" w:customStyle="1" w:styleId="Normalaftertitle">
    <w:name w:val="Normal after title"/>
    <w:basedOn w:val="Normal"/>
    <w:next w:val="Normal"/>
    <w:pPr>
      <w:spacing w:before="280"/>
    </w:pPr>
  </w:style>
  <w:style w:type="paragraph" w:styleId="NormalIndent">
    <w:name w:val="Normal Indent"/>
    <w:basedOn w:val="Normal"/>
    <w:pPr>
      <w:ind w:left="794"/>
    </w:pPr>
  </w:style>
  <w:style w:type="paragraph" w:customStyle="1" w:styleId="Note">
    <w:name w:val="Note"/>
    <w:basedOn w:val="Normal"/>
    <w:pPr>
      <w:spacing w:before="80"/>
    </w:pPr>
  </w:style>
  <w:style w:type="character" w:styleId="PageNumber">
    <w:name w:val="page number"/>
    <w:rPr>
      <w:rFonts w:ascii="Calibri" w:hAnsi="Calibri"/>
    </w:r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b/>
      <w:caps w:val="0"/>
    </w:rPr>
  </w:style>
  <w:style w:type="paragraph" w:customStyle="1" w:styleId="Recref">
    <w:name w:val="Rec_ref"/>
    <w:basedOn w:val="Rectitle"/>
    <w:next w:val="Normal"/>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character" w:customStyle="1" w:styleId="Recdef">
    <w:name w:val="Rec_def"/>
    <w:rPr>
      <w:rFonts w:ascii="Calibri" w:hAnsi="Calibri"/>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Calibri" w:hAnsi="Calibri"/>
      <w:b/>
    </w:rPr>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aftertitle"/>
    <w:rPr>
      <w:b/>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character" w:customStyle="1" w:styleId="Tablefreq">
    <w:name w:val="Table_freq"/>
    <w:rPr>
      <w:rFonts w:ascii="Calibri" w:hAnsi="Calibri"/>
      <w:b/>
      <w:color w:val="auto"/>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style>
  <w:style w:type="paragraph" w:customStyle="1" w:styleId="Title3">
    <w:name w:val="Title 3"/>
    <w:basedOn w:val="Title2"/>
    <w:next w:val="Normal"/>
  </w:style>
  <w:style w:type="paragraph" w:customStyle="1" w:styleId="Title4">
    <w:name w:val="Title 4"/>
    <w:basedOn w:val="Title3"/>
    <w:next w:val="Heading1"/>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TOC1">
    <w:name w:val="toc 1"/>
    <w:basedOn w:val="Normal"/>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styleId="TOC9">
    <w:name w:val="toc 9"/>
    <w:basedOn w:val="TOC3"/>
    <w:next w:val="Normal"/>
  </w:style>
  <w:style w:type="paragraph" w:styleId="ListParagraph">
    <w:name w:val="List Paragraph"/>
    <w:aliases w:val="List Paragraph1,Recommendation,List Paragraph11"/>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alibri" w:eastAsia="Times New Roman"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alibri" w:eastAsia="Times New Roman" w:hAnsi="Calibri"/>
      <w:b/>
      <w:bCs/>
      <w:lang w:eastAsia="en-US"/>
    </w:rPr>
  </w:style>
  <w:style w:type="paragraph" w:styleId="Revision">
    <w:name w:val="Revision"/>
    <w:hidden/>
    <w:uiPriority w:val="99"/>
    <w:semiHidden/>
    <w:rPr>
      <w:rFonts w:ascii="Calibri" w:eastAsia="Times New Roman" w:hAnsi="Calibri"/>
      <w:sz w:val="24"/>
      <w:lang w:eastAsia="en-US"/>
    </w:rPr>
  </w:style>
  <w:style w:type="paragraph" w:styleId="BalloonText">
    <w:name w:val="Balloon Text"/>
    <w:basedOn w:val="Normal"/>
    <w:link w:val="BalloonTextChar"/>
    <w:pPr>
      <w:spacing w:before="0"/>
    </w:pPr>
    <w:rPr>
      <w:rFonts w:ascii="Segoe UI" w:hAnsi="Segoe UI" w:cs="Segoe UI"/>
      <w:sz w:val="18"/>
      <w:szCs w:val="18"/>
    </w:rPr>
  </w:style>
  <w:style w:type="character" w:customStyle="1" w:styleId="BalloonTextChar">
    <w:name w:val="Balloon Text Char"/>
    <w:basedOn w:val="DefaultParagraphFont"/>
    <w:link w:val="BalloonText"/>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ListParagraphChar">
    <w:name w:val="List Paragraph Char"/>
    <w:aliases w:val="List Paragraph1 Char,Recommendation Char,List Paragraph11 Char"/>
    <w:basedOn w:val="DefaultParagraphFont"/>
    <w:link w:val="ListParagraph"/>
    <w:uiPriority w:val="34"/>
    <w:rPr>
      <w:rFonts w:ascii="Calibri" w:eastAsia="Times New Roman" w:hAnsi="Calibri"/>
      <w:sz w:val="24"/>
      <w:lang w:eastAsia="en-US"/>
    </w:rPr>
  </w:style>
  <w:style w:type="paragraph" w:customStyle="1" w:styleId="Figure">
    <w:name w:val="Figure"/>
    <w:basedOn w:val="enumlev1"/>
    <w:rsid w:val="00FC36CC"/>
    <w:pPr>
      <w:spacing w:after="240"/>
    </w:pPr>
    <w:rPr>
      <w:noProof/>
      <w:lang w:eastAsia="en-GB"/>
    </w:rPr>
  </w:style>
  <w:style w:type="numbering" w:customStyle="1" w:styleId="VariantaA-sla">
    <w:name w:val="Varianta A - čísla"/>
    <w:uiPriority w:val="99"/>
    <w:rsid w:val="005D65F1"/>
    <w:pPr>
      <w:numPr>
        <w:numId w:val="2"/>
      </w:numPr>
    </w:pPr>
  </w:style>
  <w:style w:type="paragraph" w:styleId="ListNumber">
    <w:name w:val="List Number"/>
    <w:aliases w:val="Číslovaný seznam A"/>
    <w:basedOn w:val="Normal"/>
    <w:uiPriority w:val="15"/>
    <w:qFormat/>
    <w:rsid w:val="005D65F1"/>
    <w:pPr>
      <w:numPr>
        <w:numId w:val="3"/>
      </w:numPr>
      <w:tabs>
        <w:tab w:val="clear" w:pos="794"/>
        <w:tab w:val="clear" w:pos="1191"/>
        <w:tab w:val="clear" w:pos="1588"/>
        <w:tab w:val="clear" w:pos="1985"/>
      </w:tabs>
      <w:overflowPunct/>
      <w:autoSpaceDE/>
      <w:autoSpaceDN/>
      <w:adjustRightInd/>
      <w:spacing w:before="0" w:line="293" w:lineRule="auto"/>
      <w:textAlignment w:val="auto"/>
    </w:pPr>
    <w:rPr>
      <w:rFonts w:asciiTheme="minorHAnsi" w:eastAsiaTheme="minorHAnsi" w:hAnsiTheme="minorHAnsi" w:cstheme="minorBidi"/>
      <w:color w:val="000000" w:themeColor="text1"/>
      <w:sz w:val="22"/>
      <w:szCs w:val="22"/>
      <w:lang w:val="cs-CZ"/>
    </w:rPr>
  </w:style>
  <w:style w:type="paragraph" w:styleId="ListNumber2">
    <w:name w:val="List Number 2"/>
    <w:aliases w:val="Číslovaný seznam A 2"/>
    <w:basedOn w:val="Normal"/>
    <w:uiPriority w:val="15"/>
    <w:qFormat/>
    <w:rsid w:val="005D65F1"/>
    <w:pPr>
      <w:numPr>
        <w:ilvl w:val="1"/>
        <w:numId w:val="3"/>
      </w:numPr>
      <w:tabs>
        <w:tab w:val="clear" w:pos="794"/>
        <w:tab w:val="clear" w:pos="1191"/>
        <w:tab w:val="clear" w:pos="1588"/>
        <w:tab w:val="clear" w:pos="1985"/>
      </w:tabs>
      <w:overflowPunct/>
      <w:autoSpaceDE/>
      <w:autoSpaceDN/>
      <w:adjustRightInd/>
      <w:spacing w:before="0" w:line="293" w:lineRule="auto"/>
      <w:contextualSpacing/>
      <w:textAlignment w:val="auto"/>
    </w:pPr>
    <w:rPr>
      <w:rFonts w:asciiTheme="minorHAnsi" w:eastAsiaTheme="minorHAnsi" w:hAnsiTheme="minorHAnsi" w:cstheme="minorBidi"/>
      <w:color w:val="000000" w:themeColor="text1"/>
      <w:sz w:val="22"/>
      <w:szCs w:val="22"/>
      <w:lang w:val="cs-CZ"/>
    </w:rPr>
  </w:style>
  <w:style w:type="paragraph" w:styleId="ListNumber3">
    <w:name w:val="List Number 3"/>
    <w:aliases w:val="Číslovaný seznam A 3"/>
    <w:basedOn w:val="Normal"/>
    <w:uiPriority w:val="15"/>
    <w:qFormat/>
    <w:rsid w:val="005D65F1"/>
    <w:pPr>
      <w:numPr>
        <w:ilvl w:val="2"/>
        <w:numId w:val="3"/>
      </w:numPr>
      <w:tabs>
        <w:tab w:val="clear" w:pos="794"/>
        <w:tab w:val="clear" w:pos="1191"/>
        <w:tab w:val="clear" w:pos="1588"/>
        <w:tab w:val="clear" w:pos="1985"/>
      </w:tabs>
      <w:overflowPunct/>
      <w:autoSpaceDE/>
      <w:autoSpaceDN/>
      <w:adjustRightInd/>
      <w:spacing w:before="0" w:line="293" w:lineRule="auto"/>
      <w:contextualSpacing/>
      <w:textAlignment w:val="auto"/>
    </w:pPr>
    <w:rPr>
      <w:rFonts w:asciiTheme="minorHAnsi" w:eastAsiaTheme="minorHAnsi" w:hAnsiTheme="minorHAnsi" w:cstheme="minorBidi"/>
      <w:color w:val="000000" w:themeColor="text1"/>
      <w:sz w:val="22"/>
      <w:szCs w:val="22"/>
      <w:lang w:val="cs-CZ"/>
    </w:rPr>
  </w:style>
  <w:style w:type="paragraph" w:styleId="ListNumber4">
    <w:name w:val="List Number 4"/>
    <w:aliases w:val="Číslovaný seznam A 4"/>
    <w:basedOn w:val="Normal"/>
    <w:uiPriority w:val="15"/>
    <w:qFormat/>
    <w:rsid w:val="005D65F1"/>
    <w:pPr>
      <w:numPr>
        <w:ilvl w:val="3"/>
        <w:numId w:val="3"/>
      </w:numPr>
      <w:tabs>
        <w:tab w:val="clear" w:pos="794"/>
        <w:tab w:val="clear" w:pos="1191"/>
        <w:tab w:val="clear" w:pos="1588"/>
        <w:tab w:val="clear" w:pos="1985"/>
      </w:tabs>
      <w:overflowPunct/>
      <w:autoSpaceDE/>
      <w:autoSpaceDN/>
      <w:adjustRightInd/>
      <w:spacing w:before="0" w:line="293" w:lineRule="auto"/>
      <w:contextualSpacing/>
      <w:textAlignment w:val="auto"/>
    </w:pPr>
    <w:rPr>
      <w:rFonts w:asciiTheme="minorHAnsi" w:eastAsiaTheme="minorHAnsi" w:hAnsiTheme="minorHAnsi" w:cstheme="minorBidi"/>
      <w:color w:val="000000" w:themeColor="text1"/>
      <w:sz w:val="22"/>
      <w:szCs w:val="22"/>
      <w:lang w:val="cs-CZ"/>
    </w:rPr>
  </w:style>
  <w:style w:type="paragraph" w:styleId="ListNumber5">
    <w:name w:val="List Number 5"/>
    <w:aliases w:val="Číslovaný seznam A 5"/>
    <w:basedOn w:val="Normal"/>
    <w:uiPriority w:val="15"/>
    <w:qFormat/>
    <w:rsid w:val="005D65F1"/>
    <w:pPr>
      <w:numPr>
        <w:ilvl w:val="4"/>
        <w:numId w:val="3"/>
      </w:numPr>
      <w:tabs>
        <w:tab w:val="clear" w:pos="794"/>
        <w:tab w:val="clear" w:pos="1191"/>
        <w:tab w:val="clear" w:pos="1588"/>
        <w:tab w:val="clear" w:pos="1985"/>
      </w:tabs>
      <w:overflowPunct/>
      <w:autoSpaceDE/>
      <w:autoSpaceDN/>
      <w:adjustRightInd/>
      <w:spacing w:before="0" w:line="293" w:lineRule="auto"/>
      <w:contextualSpacing/>
      <w:textAlignment w:val="auto"/>
    </w:pPr>
    <w:rPr>
      <w:rFonts w:asciiTheme="minorHAnsi" w:eastAsiaTheme="minorHAnsi" w:hAnsiTheme="minorHAnsi" w:cstheme="minorBidi"/>
      <w:color w:val="000000" w:themeColor="text1"/>
      <w:sz w:val="22"/>
      <w:szCs w:val="22"/>
      <w:lang w:val="cs-CZ"/>
    </w:rPr>
  </w:style>
  <w:style w:type="paragraph" w:customStyle="1" w:styleId="heading1color">
    <w:name w:val="heading_1color"/>
    <w:basedOn w:val="Heading1"/>
    <w:qFormat/>
    <w:rsid w:val="009A2B8A"/>
    <w:pPr>
      <w:tabs>
        <w:tab w:val="clear" w:pos="794"/>
        <w:tab w:val="clear" w:pos="1191"/>
        <w:tab w:val="clear" w:pos="1588"/>
        <w:tab w:val="clear" w:pos="1985"/>
        <w:tab w:val="left" w:pos="851"/>
        <w:tab w:val="left" w:pos="1134"/>
        <w:tab w:val="left" w:pos="1701"/>
        <w:tab w:val="left" w:pos="2268"/>
        <w:tab w:val="left" w:pos="2835"/>
      </w:tabs>
      <w:overflowPunct/>
      <w:autoSpaceDE/>
      <w:autoSpaceDN/>
      <w:adjustRightInd/>
      <w:jc w:val="both"/>
      <w:textAlignment w:val="auto"/>
    </w:pPr>
    <w:rPr>
      <w:rFonts w:eastAsia="Batang" w:cs="Times New Roman Bold"/>
      <w:bCs/>
      <w:color w:val="314999"/>
      <w:sz w:val="34"/>
      <w:lang w:val="fr-CH"/>
    </w:rPr>
  </w:style>
  <w:style w:type="character" w:styleId="Strong">
    <w:name w:val="Strong"/>
    <w:basedOn w:val="DefaultParagraphFont"/>
    <w:uiPriority w:val="22"/>
    <w:qFormat/>
    <w:rsid w:val="00302119"/>
    <w:rPr>
      <w:b/>
      <w:bCs/>
    </w:rPr>
  </w:style>
  <w:style w:type="character" w:customStyle="1" w:styleId="UnresolvedMention">
    <w:name w:val="Unresolved Mention"/>
    <w:basedOn w:val="DefaultParagraphFont"/>
    <w:uiPriority w:val="99"/>
    <w:semiHidden/>
    <w:unhideWhenUsed/>
    <w:rsid w:val="00E7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Regional-Presence/ArabStates/Pages/Events/2019/EMF/EMF.aspx" TargetMode="External"/><Relationship Id="rId18" Type="http://schemas.openxmlformats.org/officeDocument/2006/relationships/hyperlink" Target="https://www.itu.int/en/ITU-D/Regional-Presence/ArabStates/Pages/Events/2019/IoT/IoT.aspx" TargetMode="External"/><Relationship Id="rId26" Type="http://schemas.openxmlformats.org/officeDocument/2006/relationships/hyperlink" Target="https://academy.itu.int/index.php?option=com_joomdle&amp;view=coursescatalogdomain&amp;Itemid=478&amp;source=homeevents&amp;lang=en" TargetMode="External"/><Relationship Id="rId39" Type="http://schemas.openxmlformats.org/officeDocument/2006/relationships/hyperlink" Target="https://academy.itu.int/training-courses/full-catalogue" TargetMode="External"/><Relationship Id="rId21" Type="http://schemas.openxmlformats.org/officeDocument/2006/relationships/hyperlink" Target="https://academy.itu.int/index.php?option=com_joomdle&amp;view=coursecategoryextended&amp;cat_id=:&amp;course_id=1223:regulatory-aspects-of-5g-iot-m-payment-emerging-technologies-and-eco-systems&amp;Itemid=478&amp;lang=en" TargetMode="External"/><Relationship Id="rId34" Type="http://schemas.openxmlformats.org/officeDocument/2006/relationships/hyperlink" Target="https://academy.itu.int/index.php?option=com_joomdle&amp;view=coursecategoryextended&amp;cat_id=:&amp;course_id=1852:software-defined-networking-sdn-and-openflow-protocol-practical-implementation&amp;Itemid=478&amp;lang=en" TargetMode="External"/><Relationship Id="rId42" Type="http://schemas.openxmlformats.org/officeDocument/2006/relationships/hyperlink" Target="https://academy.itu.int/training-courses/full-catalogue/agile-project-management-ict-applications-services-0" TargetMode="External"/><Relationship Id="rId47" Type="http://schemas.openxmlformats.org/officeDocument/2006/relationships/hyperlink" Target="https://academy.itu.int/training-courses/full-catalogue/big-data-0" TargetMode="External"/><Relationship Id="rId50" Type="http://schemas.openxmlformats.org/officeDocument/2006/relationships/hyperlink" Target="https://academy.itu.int/index.php/training-courses/full-catalogue/internet-governance-policy-and-technical-perspective-1"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D/Regional-Presence/ArabStates/Pages/Events/2020/WEEE/WEEE.aspx" TargetMode="External"/><Relationship Id="rId29" Type="http://schemas.openxmlformats.org/officeDocument/2006/relationships/hyperlink" Target="https://academy.itu.int/index.php?option=com_joomdle&amp;view=coursescatalogdomain&amp;Itemid=478&amp;source=homeevents&amp;lang=en" TargetMode="External"/><Relationship Id="rId11" Type="http://schemas.openxmlformats.org/officeDocument/2006/relationships/hyperlink" Target="https://www.itu.int/en/ITU-D/Regional-Presence/ArabStates/Pages/Events/2018/EMF-EW/EMF-EW.aspx" TargetMode="External"/><Relationship Id="rId24" Type="http://schemas.openxmlformats.org/officeDocument/2006/relationships/hyperlink" Target="https://academy.itu.int/index.php?option=com_joomdle&amp;view=coursecategoryextended&amp;cat_id=:&amp;course_id=1293:training-on-conformity-and-interoperability-regulatory-framework-and-practical-emc-testing&amp;Itemid=478&amp;lang=en" TargetMode="External"/><Relationship Id="rId32" Type="http://schemas.openxmlformats.org/officeDocument/2006/relationships/hyperlink" Target="https://academy.itu.int/index.php/training-courses" TargetMode="External"/><Relationship Id="rId37" Type="http://schemas.openxmlformats.org/officeDocument/2006/relationships/hyperlink" Target="https://academy.itu.int/training-courses/full-catalogue/cloud-computing-0" TargetMode="External"/><Relationship Id="rId40" Type="http://schemas.openxmlformats.org/officeDocument/2006/relationships/hyperlink" Target="https://academy.itu.int/training-courses/full-catalogue/application-geographic-information-system-gis-environmental-management-and-resources-protection-0" TargetMode="External"/><Relationship Id="rId45" Type="http://schemas.openxmlformats.org/officeDocument/2006/relationships/hyperlink" Target="https://academy.itu.int/training-courses/full-catalogue/5g-mobile-networks-and-systems" TargetMode="External"/><Relationship Id="rId53" Type="http://schemas.openxmlformats.org/officeDocument/2006/relationships/hyperlink" Target="https://academy.itu.int/index.php/training-courses/full-catalogue/how-assess-your-products-carbon-footprint"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academy.itu.int/index.php?option=com_joomdle&amp;view=coursecategoryextended&amp;cat_id=:&amp;course_id=1237:business-analysis-of-icts-applications-and-services&amp;Itemid=478&amp;lang=en" TargetMode="External"/><Relationship Id="rId4" Type="http://schemas.openxmlformats.org/officeDocument/2006/relationships/settings" Target="settings.xml"/><Relationship Id="rId9" Type="http://schemas.openxmlformats.org/officeDocument/2006/relationships/hyperlink" Target="https://www.itu.int/en/ITU-D/Regional-Presence/ArabStates/Pages/Events/2019/RDF19/RDF.aspx" TargetMode="External"/><Relationship Id="rId14" Type="http://schemas.openxmlformats.org/officeDocument/2006/relationships/hyperlink" Target="https://www.itu.int/en/ITU-D/Regional-Presence/ArabStates/Pages/Events/2019/E%20waste/E-waste.aspx" TargetMode="External"/><Relationship Id="rId22" Type="http://schemas.openxmlformats.org/officeDocument/2006/relationships/hyperlink" Target="https://academy.itu.int/index.php?option=com_joomdle&amp;view=coursecategoryextended&amp;cat_id=:&amp;course_id=1284:lte-advanced-and-beyond&amp;Itemid=478&amp;lang=en" TargetMode="External"/><Relationship Id="rId27" Type="http://schemas.openxmlformats.org/officeDocument/2006/relationships/hyperlink" Target="https://academy.itu.int/index.php?option=com_joomdle&amp;view=coursescatalogdomain&amp;Itemid=478&amp;source=homeevents&amp;lang=en" TargetMode="External"/><Relationship Id="rId30" Type="http://schemas.openxmlformats.org/officeDocument/2006/relationships/hyperlink" Target="https://academy.itu.int/index.php?option=com_joomdle&amp;view=coursescatalogdomain&amp;Itemid=478&amp;source=homeevents&amp;lang=en" TargetMode="External"/><Relationship Id="rId35" Type="http://schemas.openxmlformats.org/officeDocument/2006/relationships/hyperlink" Target="https://academy.itu.int/index.php/training-courses/full-catalogue/big-data" TargetMode="External"/><Relationship Id="rId43" Type="http://schemas.openxmlformats.org/officeDocument/2006/relationships/hyperlink" Target="https://academy.itu.int/index.php/training-courses/full-catalogue/cyber-security-awareness-forensics-0" TargetMode="External"/><Relationship Id="rId48" Type="http://schemas.openxmlformats.org/officeDocument/2006/relationships/hyperlink" Target="https://academy.itu.int/index.php/training-courses/full-catalogue/domain-name-system-security-extensions-dnssec-0" TargetMode="External"/><Relationship Id="rId56" Type="http://schemas.openxmlformats.org/officeDocument/2006/relationships/footer" Target="footer1.xml"/><Relationship Id="rId8" Type="http://schemas.openxmlformats.org/officeDocument/2006/relationships/hyperlink" Target="https://www.itu.int/en/ITU-D/Regional-Presence/ArabStates/Pages/Events/2018/RDF/RDF18.aspx" TargetMode="External"/><Relationship Id="rId51" Type="http://schemas.openxmlformats.org/officeDocument/2006/relationships/hyperlink" Target="https://academy.itu.int/index.php/training-courses/full-catalogue/optical-access-networks-and-fiber-x-fttx-technologies" TargetMode="External"/><Relationship Id="rId3" Type="http://schemas.openxmlformats.org/officeDocument/2006/relationships/styles" Target="styles.xml"/><Relationship Id="rId12" Type="http://schemas.openxmlformats.org/officeDocument/2006/relationships/hyperlink" Target="https://www.itu.int/en/ITU-D/Regional-Presence/ArabStates/Pages/Events/2019/ICT4DRR/DRR.aspx" TargetMode="External"/><Relationship Id="rId17" Type="http://schemas.openxmlformats.org/officeDocument/2006/relationships/hyperlink" Target="https://www.itu.int/en/ITU-D/Regional-Presence/ArabStates/Pages/Events/2018/IoT/IoT.aspx" TargetMode="External"/><Relationship Id="rId25" Type="http://schemas.openxmlformats.org/officeDocument/2006/relationships/hyperlink" Target="https://academy.itu.int/index.php?option=com_joomdle&amp;view=coursescatalogdomain&amp;Itemid=478&amp;source=homeevents&amp;lang=en" TargetMode="External"/><Relationship Id="rId33" Type="http://schemas.openxmlformats.org/officeDocument/2006/relationships/hyperlink" Target="https://academy.itu.int/index.php/training-courses" TargetMode="External"/><Relationship Id="rId38" Type="http://schemas.openxmlformats.org/officeDocument/2006/relationships/hyperlink" Target="https://academy.itu.int/training-courses/full-catalogue/ultra-microwave-broadband-internet-access" TargetMode="External"/><Relationship Id="rId46" Type="http://schemas.openxmlformats.org/officeDocument/2006/relationships/hyperlink" Target="https://academy.itu.int/training-courses/full-catalogue/applications-geographic-information-system-gis-environmental-management-and-resources-protection" TargetMode="External"/><Relationship Id="rId59" Type="http://schemas.openxmlformats.org/officeDocument/2006/relationships/theme" Target="theme/theme1.xml"/><Relationship Id="rId20" Type="http://schemas.openxmlformats.org/officeDocument/2006/relationships/hyperlink" Target="https://academy.itu.int/index.php?option=com_joomdle&amp;view=coursecategoryextended&amp;cat_id=:&amp;course_id=1238:fttx-outside-plant-design&amp;Itemid=478&amp;lang=en" TargetMode="External"/><Relationship Id="rId41" Type="http://schemas.openxmlformats.org/officeDocument/2006/relationships/hyperlink" Target="https://academy.itu.int/training-courses/full-catalogue" TargetMode="External"/><Relationship Id="rId54" Type="http://schemas.openxmlformats.org/officeDocument/2006/relationships/hyperlink" Target="https://academy.itu.int/index.php/training-courses/full-catalogue/ultra-microwave-broadband-internet-access-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Regional-Presence/ArabStates/Pages/Events/2020/CAP/CAP.aspx" TargetMode="External"/><Relationship Id="rId23" Type="http://schemas.openxmlformats.org/officeDocument/2006/relationships/hyperlink" Target="https://academy.itu.int/index.php?option=com_joomdle&amp;view=coursecategoryextended&amp;cat_id=:&amp;course_id=1294:risk-management-for-ict-implementation-and-services&amp;Itemid=478&amp;lang=en" TargetMode="External"/><Relationship Id="rId28" Type="http://schemas.openxmlformats.org/officeDocument/2006/relationships/hyperlink" Target="https://academy.itu.int/index.php?option=com_joomdle&amp;view=coursescatalogdomain&amp;Itemid=478&amp;source=homeevents&amp;lang=en" TargetMode="External"/><Relationship Id="rId36" Type="http://schemas.openxmlformats.org/officeDocument/2006/relationships/hyperlink" Target="https://academy.itu.int/index.php/training-courses/full-catalogue/cybercrime-management-proactive-approach" TargetMode="External"/><Relationship Id="rId49" Type="http://schemas.openxmlformats.org/officeDocument/2006/relationships/hyperlink" Target="https://academy.itu.int/index.php/training-courses/full-catalogue/fiber-home-ftth" TargetMode="External"/><Relationship Id="rId57" Type="http://schemas.openxmlformats.org/officeDocument/2006/relationships/footer" Target="footer2.xml"/><Relationship Id="rId10" Type="http://schemas.openxmlformats.org/officeDocument/2006/relationships/hyperlink" Target="https://www.itu.int/en/ITU-D/Regional-Presence/ArabStates/Pages/Events/2020/RDF/default.aspx" TargetMode="External"/><Relationship Id="rId31" Type="http://schemas.openxmlformats.org/officeDocument/2006/relationships/hyperlink" Target="https://academy.itu.int/index.php?option=com_joomdle&amp;view=coursecategoryextended&amp;cat_id=:&amp;course_id=1293:conformity-and-interoperability-regulatory-framework-and-practical-emc-testing&amp;Itemid=478&amp;lang=en" TargetMode="External"/><Relationship Id="rId44" Type="http://schemas.openxmlformats.org/officeDocument/2006/relationships/hyperlink" Target="https://academy.itu.int/index.php/training-courses/full-catalogue/software-defined-networking-sdn" TargetMode="External"/><Relationship Id="rId52" Type="http://schemas.openxmlformats.org/officeDocument/2006/relationships/hyperlink" Target="https://academy.itu.int/index.php/training-courses/full-catalogue/optical-transport-networks-dense-wavelength-division-multiplexing-dwdm-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8B1B0-319A-4FFD-9625-27D466C3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4710</Words>
  <Characters>33676</Characters>
  <Application>Microsoft Office Word</Application>
  <DocSecurity>0</DocSecurity>
  <Lines>280</Lines>
  <Paragraphs>76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15</cp:revision>
  <cp:lastPrinted>2016-05-13T07:33:00Z</cp:lastPrinted>
  <dcterms:created xsi:type="dcterms:W3CDTF">2021-03-11T11:18:00Z</dcterms:created>
  <dcterms:modified xsi:type="dcterms:W3CDTF">2021-03-12T06:57:00Z</dcterms:modified>
</cp:coreProperties>
</file>