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3969"/>
        <w:gridCol w:w="2268"/>
        <w:gridCol w:w="1275"/>
      </w:tblGrid>
      <w:tr w:rsidR="006D14DF" w:rsidRPr="00674952" w14:paraId="1B474B43" w14:textId="77777777" w:rsidTr="002F3E54">
        <w:trPr>
          <w:cantSplit/>
        </w:trPr>
        <w:tc>
          <w:tcPr>
            <w:tcW w:w="2127" w:type="dxa"/>
          </w:tcPr>
          <w:p w14:paraId="4B446A00" w14:textId="77777777" w:rsidR="006D14DF" w:rsidRPr="00A96DFE" w:rsidRDefault="006D14DF" w:rsidP="002F3E54">
            <w:pPr>
              <w:spacing w:after="120"/>
              <w:rPr>
                <w:rFonts w:cstheme="minorHAnsi"/>
                <w:b/>
                <w:bCs/>
                <w:sz w:val="32"/>
                <w:szCs w:val="32"/>
              </w:rPr>
            </w:pPr>
            <w:r>
              <w:rPr>
                <w:rFonts w:cstheme="minorHAnsi"/>
                <w:noProof/>
              </w:rPr>
              <w:drawing>
                <wp:inline distT="0" distB="0" distL="0" distR="0" wp14:anchorId="69AE4FEA" wp14:editId="5F3CB5E6">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1AA35805" w14:textId="360874F6" w:rsidR="006D14DF" w:rsidRPr="00A96DFE" w:rsidRDefault="00DF269F" w:rsidP="00DF269F">
            <w:pPr>
              <w:spacing w:before="360" w:after="120"/>
              <w:rPr>
                <w:rFonts w:cstheme="minorHAnsi"/>
                <w:b/>
                <w:bCs/>
                <w:sz w:val="32"/>
                <w:szCs w:val="32"/>
              </w:rPr>
            </w:pPr>
            <w:r w:rsidRPr="00DF269F">
              <w:rPr>
                <w:rFonts w:cstheme="minorHAnsi"/>
                <w:b/>
                <w:bCs/>
                <w:sz w:val="32"/>
                <w:szCs w:val="32"/>
              </w:rPr>
              <w:t xml:space="preserve">Regional Preparatory Meeting </w:t>
            </w:r>
            <w:r>
              <w:rPr>
                <w:rFonts w:cstheme="minorHAnsi"/>
                <w:b/>
                <w:bCs/>
                <w:sz w:val="32"/>
                <w:szCs w:val="32"/>
              </w:rPr>
              <w:br/>
            </w:r>
            <w:r w:rsidRPr="00DF269F">
              <w:rPr>
                <w:rFonts w:cstheme="minorHAnsi"/>
                <w:b/>
                <w:bCs/>
                <w:sz w:val="32"/>
                <w:szCs w:val="32"/>
              </w:rPr>
              <w:t>for WTDC-21 for Arab States (RPM-ARB)</w:t>
            </w:r>
            <w:r w:rsidR="006D14DF">
              <w:rPr>
                <w:rFonts w:cstheme="minorHAnsi"/>
                <w:b/>
                <w:bCs/>
                <w:szCs w:val="24"/>
              </w:rPr>
              <w:br/>
            </w:r>
            <w:r w:rsidRPr="00DF269F">
              <w:rPr>
                <w:rFonts w:cstheme="minorHAnsi"/>
                <w:b/>
                <w:bCs/>
                <w:szCs w:val="24"/>
              </w:rPr>
              <w:t>Virtual, 7-8 April 2021</w:t>
            </w:r>
          </w:p>
        </w:tc>
        <w:tc>
          <w:tcPr>
            <w:tcW w:w="1275" w:type="dxa"/>
          </w:tcPr>
          <w:p w14:paraId="07747F60" w14:textId="77777777" w:rsidR="006D14DF" w:rsidRPr="00674952" w:rsidRDefault="006D14DF" w:rsidP="002F3E54">
            <w:pPr>
              <w:spacing w:before="240" w:line="240" w:lineRule="atLeast"/>
              <w:jc w:val="right"/>
              <w:rPr>
                <w:rFonts w:cstheme="minorHAnsi"/>
              </w:rPr>
            </w:pPr>
            <w:r>
              <w:rPr>
                <w:noProof/>
                <w:lang w:val="fr-FR" w:eastAsia="fr-FR"/>
              </w:rPr>
              <w:drawing>
                <wp:inline distT="0" distB="0" distL="0" distR="0" wp14:anchorId="371B15FE" wp14:editId="25277828">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D14DF" w:rsidRPr="00674952" w14:paraId="14CC8AD2" w14:textId="77777777" w:rsidTr="001C6F5B">
        <w:trPr>
          <w:cantSplit/>
        </w:trPr>
        <w:tc>
          <w:tcPr>
            <w:tcW w:w="6096" w:type="dxa"/>
            <w:gridSpan w:val="2"/>
            <w:tcBorders>
              <w:top w:val="single" w:sz="12" w:space="0" w:color="auto"/>
            </w:tcBorders>
          </w:tcPr>
          <w:p w14:paraId="191F0476" w14:textId="77777777" w:rsidR="006D14DF" w:rsidRPr="00674952" w:rsidRDefault="006D14DF" w:rsidP="002F3E54">
            <w:pPr>
              <w:spacing w:before="0" w:after="48" w:line="240" w:lineRule="atLeast"/>
              <w:rPr>
                <w:rFonts w:cstheme="minorHAnsi"/>
                <w:b/>
                <w:smallCaps/>
                <w:sz w:val="20"/>
              </w:rPr>
            </w:pPr>
          </w:p>
        </w:tc>
        <w:tc>
          <w:tcPr>
            <w:tcW w:w="3543" w:type="dxa"/>
            <w:gridSpan w:val="2"/>
            <w:tcBorders>
              <w:top w:val="single" w:sz="12" w:space="0" w:color="auto"/>
            </w:tcBorders>
          </w:tcPr>
          <w:p w14:paraId="55FAE268" w14:textId="77777777" w:rsidR="006D14DF" w:rsidRPr="00674952" w:rsidRDefault="006D14DF" w:rsidP="002F3E54">
            <w:pPr>
              <w:spacing w:before="0" w:line="240" w:lineRule="atLeast"/>
              <w:rPr>
                <w:rFonts w:cstheme="minorHAnsi"/>
                <w:sz w:val="20"/>
              </w:rPr>
            </w:pPr>
          </w:p>
        </w:tc>
      </w:tr>
      <w:tr w:rsidR="006D14DF" w:rsidRPr="00674952" w14:paraId="208226F4" w14:textId="77777777" w:rsidTr="001C6F5B">
        <w:trPr>
          <w:cantSplit/>
          <w:trHeight w:val="23"/>
        </w:trPr>
        <w:tc>
          <w:tcPr>
            <w:tcW w:w="6096" w:type="dxa"/>
            <w:gridSpan w:val="2"/>
            <w:shd w:val="clear" w:color="auto" w:fill="auto"/>
          </w:tcPr>
          <w:p w14:paraId="05F6685E" w14:textId="77777777" w:rsidR="006D14DF" w:rsidRPr="00674952" w:rsidRDefault="006D14DF" w:rsidP="002F3E54">
            <w:pPr>
              <w:pStyle w:val="Committee"/>
              <w:framePr w:hSpace="0" w:wrap="auto" w:hAnchor="text" w:yAlign="inline"/>
            </w:pPr>
          </w:p>
        </w:tc>
        <w:tc>
          <w:tcPr>
            <w:tcW w:w="3543" w:type="dxa"/>
            <w:gridSpan w:val="2"/>
          </w:tcPr>
          <w:p w14:paraId="590E9BF7" w14:textId="3F54CA81" w:rsidR="006D14DF" w:rsidRPr="00674952" w:rsidRDefault="006D14DF" w:rsidP="002F3E54">
            <w:pPr>
              <w:tabs>
                <w:tab w:val="left" w:pos="851"/>
              </w:tabs>
              <w:spacing w:before="0" w:line="240" w:lineRule="atLeast"/>
              <w:rPr>
                <w:rFonts w:cstheme="minorHAnsi"/>
                <w:szCs w:val="24"/>
                <w:lang w:val="es-ES_tradnl"/>
              </w:rPr>
            </w:pPr>
            <w:r w:rsidRPr="00674952">
              <w:rPr>
                <w:rFonts w:cstheme="minorHAnsi"/>
                <w:b/>
                <w:bCs/>
                <w:szCs w:val="24"/>
                <w:lang w:val="es-ES_tradnl"/>
              </w:rPr>
              <w:t>Document RPM-</w:t>
            </w:r>
            <w:r>
              <w:rPr>
                <w:rFonts w:cstheme="minorHAnsi"/>
                <w:b/>
                <w:bCs/>
                <w:szCs w:val="24"/>
                <w:lang w:val="es-ES_tradnl"/>
              </w:rPr>
              <w:t>A</w:t>
            </w:r>
            <w:r w:rsidR="00DF269F">
              <w:rPr>
                <w:rFonts w:cstheme="minorHAnsi"/>
                <w:b/>
                <w:bCs/>
                <w:szCs w:val="24"/>
                <w:lang w:val="es-ES_tradnl"/>
              </w:rPr>
              <w:t>RB</w:t>
            </w:r>
            <w:r>
              <w:rPr>
                <w:rFonts w:cstheme="minorHAnsi"/>
                <w:b/>
                <w:bCs/>
                <w:szCs w:val="24"/>
                <w:lang w:val="es-ES_tradnl"/>
              </w:rPr>
              <w:t>21</w:t>
            </w:r>
            <w:r w:rsidRPr="00674952">
              <w:rPr>
                <w:rFonts w:cstheme="minorHAnsi"/>
                <w:b/>
                <w:bCs/>
                <w:szCs w:val="24"/>
                <w:lang w:val="es-ES_tradnl"/>
              </w:rPr>
              <w:t>/</w:t>
            </w:r>
            <w:r w:rsidR="001C6F5B">
              <w:rPr>
                <w:rFonts w:cstheme="minorHAnsi"/>
                <w:b/>
                <w:bCs/>
                <w:szCs w:val="24"/>
                <w:lang w:val="es-ES_tradnl"/>
              </w:rPr>
              <w:t>INF/</w:t>
            </w:r>
            <w:r w:rsidR="009B07DF">
              <w:rPr>
                <w:rFonts w:cstheme="minorHAnsi"/>
                <w:b/>
                <w:bCs/>
                <w:szCs w:val="24"/>
                <w:lang w:val="es-ES_tradnl"/>
              </w:rPr>
              <w:t>1</w:t>
            </w:r>
            <w:r w:rsidRPr="00674952">
              <w:rPr>
                <w:rFonts w:cstheme="minorHAnsi"/>
                <w:b/>
                <w:bCs/>
                <w:szCs w:val="24"/>
                <w:lang w:val="es-ES_tradnl"/>
              </w:rPr>
              <w:t>-E</w:t>
            </w:r>
          </w:p>
        </w:tc>
      </w:tr>
      <w:tr w:rsidR="006D14DF" w:rsidRPr="00674952" w14:paraId="4884AB3E" w14:textId="77777777" w:rsidTr="001C6F5B">
        <w:trPr>
          <w:cantSplit/>
          <w:trHeight w:val="23"/>
        </w:trPr>
        <w:tc>
          <w:tcPr>
            <w:tcW w:w="6096" w:type="dxa"/>
            <w:gridSpan w:val="2"/>
            <w:shd w:val="clear" w:color="auto" w:fill="auto"/>
          </w:tcPr>
          <w:p w14:paraId="3C1D1869" w14:textId="77777777" w:rsidR="006D14DF" w:rsidRPr="00674952" w:rsidRDefault="006D14DF" w:rsidP="002F3E54">
            <w:pPr>
              <w:tabs>
                <w:tab w:val="left" w:pos="851"/>
              </w:tabs>
              <w:spacing w:before="0" w:line="240" w:lineRule="atLeast"/>
              <w:rPr>
                <w:rFonts w:cstheme="minorHAnsi"/>
                <w:b/>
                <w:szCs w:val="24"/>
                <w:lang w:val="es-ES_tradnl"/>
              </w:rPr>
            </w:pPr>
          </w:p>
        </w:tc>
        <w:tc>
          <w:tcPr>
            <w:tcW w:w="3543" w:type="dxa"/>
            <w:gridSpan w:val="2"/>
          </w:tcPr>
          <w:p w14:paraId="433E4FB5" w14:textId="73A43828" w:rsidR="006D14DF" w:rsidRPr="00674952" w:rsidRDefault="001C6F5B" w:rsidP="002F3E54">
            <w:pPr>
              <w:spacing w:before="0" w:line="240" w:lineRule="atLeast"/>
              <w:rPr>
                <w:rFonts w:cstheme="minorHAnsi"/>
                <w:szCs w:val="24"/>
              </w:rPr>
            </w:pPr>
            <w:r>
              <w:rPr>
                <w:rFonts w:cstheme="minorHAnsi"/>
                <w:b/>
                <w:bCs/>
                <w:szCs w:val="24"/>
                <w:lang w:val="fr-FR"/>
              </w:rPr>
              <w:t>7</w:t>
            </w:r>
            <w:r w:rsidR="009B07DF">
              <w:rPr>
                <w:rFonts w:cstheme="minorHAnsi"/>
                <w:b/>
                <w:bCs/>
                <w:szCs w:val="24"/>
                <w:lang w:val="fr-FR"/>
              </w:rPr>
              <w:t xml:space="preserve"> </w:t>
            </w:r>
            <w:r>
              <w:rPr>
                <w:rFonts w:cstheme="minorHAnsi"/>
                <w:b/>
                <w:bCs/>
                <w:szCs w:val="24"/>
                <w:lang w:val="fr-FR"/>
              </w:rPr>
              <w:t>April</w:t>
            </w:r>
            <w:r w:rsidR="009F4C9F">
              <w:rPr>
                <w:rFonts w:cstheme="minorHAnsi"/>
                <w:b/>
                <w:bCs/>
                <w:szCs w:val="24"/>
                <w:lang w:val="fr-FR"/>
              </w:rPr>
              <w:t xml:space="preserve"> 2021</w:t>
            </w:r>
          </w:p>
        </w:tc>
      </w:tr>
      <w:tr w:rsidR="006D14DF" w:rsidRPr="00674952" w14:paraId="0D85B6EC" w14:textId="77777777" w:rsidTr="001C6F5B">
        <w:trPr>
          <w:cantSplit/>
          <w:trHeight w:val="23"/>
        </w:trPr>
        <w:tc>
          <w:tcPr>
            <w:tcW w:w="6096" w:type="dxa"/>
            <w:gridSpan w:val="2"/>
            <w:shd w:val="clear" w:color="auto" w:fill="auto"/>
          </w:tcPr>
          <w:p w14:paraId="24AA5738" w14:textId="77777777" w:rsidR="006D14DF" w:rsidRPr="00674952" w:rsidRDefault="006D14DF" w:rsidP="002F3E54">
            <w:pPr>
              <w:tabs>
                <w:tab w:val="left" w:pos="851"/>
              </w:tabs>
              <w:spacing w:before="0" w:line="240" w:lineRule="atLeast"/>
              <w:rPr>
                <w:rFonts w:cstheme="minorHAnsi"/>
                <w:szCs w:val="24"/>
              </w:rPr>
            </w:pPr>
          </w:p>
        </w:tc>
        <w:tc>
          <w:tcPr>
            <w:tcW w:w="3543" w:type="dxa"/>
            <w:gridSpan w:val="2"/>
          </w:tcPr>
          <w:p w14:paraId="35E0D630" w14:textId="2FF02653" w:rsidR="006D14DF" w:rsidRPr="00674952" w:rsidRDefault="006D14DF" w:rsidP="002F3E54">
            <w:pPr>
              <w:tabs>
                <w:tab w:val="left" w:pos="993"/>
              </w:tabs>
              <w:spacing w:before="0"/>
              <w:rPr>
                <w:rFonts w:cstheme="minorHAnsi"/>
                <w:b/>
                <w:szCs w:val="24"/>
              </w:rPr>
            </w:pPr>
            <w:r w:rsidRPr="00674952">
              <w:rPr>
                <w:rFonts w:cstheme="minorHAnsi"/>
                <w:b/>
                <w:bCs/>
                <w:szCs w:val="24"/>
                <w:lang w:val="fr-FR"/>
              </w:rPr>
              <w:t>English</w:t>
            </w:r>
            <w:r w:rsidR="001C6F5B">
              <w:rPr>
                <w:rFonts w:cstheme="minorHAnsi"/>
                <w:b/>
                <w:bCs/>
                <w:szCs w:val="24"/>
                <w:lang w:val="fr-FR"/>
              </w:rPr>
              <w:t xml:space="preserve"> only</w:t>
            </w:r>
          </w:p>
        </w:tc>
      </w:tr>
      <w:tr w:rsidR="006D14DF" w:rsidRPr="00674952" w14:paraId="3F0EA968" w14:textId="77777777" w:rsidTr="002F3E54">
        <w:trPr>
          <w:cantSplit/>
          <w:trHeight w:val="23"/>
        </w:trPr>
        <w:tc>
          <w:tcPr>
            <w:tcW w:w="9639" w:type="dxa"/>
            <w:gridSpan w:val="4"/>
            <w:shd w:val="clear" w:color="auto" w:fill="auto"/>
          </w:tcPr>
          <w:p w14:paraId="5DC73A26" w14:textId="3DADB7A7" w:rsidR="006D14DF" w:rsidRPr="00674952" w:rsidRDefault="006D14DF" w:rsidP="006D14DF">
            <w:pPr>
              <w:pStyle w:val="Source"/>
              <w:spacing w:before="240" w:after="240"/>
              <w:rPr>
                <w:rFonts w:cstheme="minorHAnsi"/>
              </w:rPr>
            </w:pPr>
            <w:r w:rsidRPr="00330F7A">
              <w:rPr>
                <w:rFonts w:cstheme="minorHAnsi"/>
              </w:rPr>
              <w:t>Director, Telecommunication Development Bureau</w:t>
            </w:r>
          </w:p>
        </w:tc>
      </w:tr>
      <w:tr w:rsidR="006D14DF" w:rsidRPr="00674952" w14:paraId="1AFB1543" w14:textId="77777777" w:rsidTr="00F826F4">
        <w:trPr>
          <w:cantSplit/>
          <w:trHeight w:val="1001"/>
        </w:trPr>
        <w:tc>
          <w:tcPr>
            <w:tcW w:w="9639" w:type="dxa"/>
            <w:gridSpan w:val="4"/>
            <w:shd w:val="clear" w:color="auto" w:fill="auto"/>
          </w:tcPr>
          <w:p w14:paraId="3085E04F" w14:textId="52EEA92F" w:rsidR="001C6F5B" w:rsidRPr="00F826F4" w:rsidRDefault="001C6F5B" w:rsidP="00F826F4">
            <w:pPr>
              <w:pStyle w:val="Title1"/>
              <w:spacing w:after="120"/>
              <w:rPr>
                <w:caps w:val="0"/>
                <w:lang w:val="en-US"/>
              </w:rPr>
            </w:pPr>
            <w:r w:rsidRPr="001C6F5B">
              <w:rPr>
                <w:caps w:val="0"/>
                <w:lang w:val="en-US"/>
              </w:rPr>
              <w:t>O</w:t>
            </w:r>
            <w:r>
              <w:rPr>
                <w:caps w:val="0"/>
                <w:lang w:val="en-US"/>
              </w:rPr>
              <w:t xml:space="preserve">pening remarks of Ms </w:t>
            </w:r>
            <w:r w:rsidRPr="001C6F5B">
              <w:rPr>
                <w:caps w:val="0"/>
                <w:lang w:val="en-US"/>
              </w:rPr>
              <w:t>D</w:t>
            </w:r>
            <w:r>
              <w:rPr>
                <w:caps w:val="0"/>
                <w:lang w:val="en-US"/>
              </w:rPr>
              <w:t>oreen Bogdan-Martin</w:t>
            </w:r>
            <w:r w:rsidRPr="001C6F5B">
              <w:rPr>
                <w:caps w:val="0"/>
                <w:lang w:val="en-US"/>
              </w:rPr>
              <w:t xml:space="preserve">, </w:t>
            </w:r>
            <w:r>
              <w:rPr>
                <w:caps w:val="0"/>
                <w:lang w:val="en-US"/>
              </w:rPr>
              <w:t>Director</w:t>
            </w:r>
            <w:r w:rsidRPr="001C6F5B">
              <w:rPr>
                <w:caps w:val="0"/>
                <w:lang w:val="en-US"/>
              </w:rPr>
              <w:t xml:space="preserve">, </w:t>
            </w:r>
            <w:r>
              <w:rPr>
                <w:caps w:val="0"/>
                <w:lang w:val="en-US"/>
              </w:rPr>
              <w:br/>
            </w:r>
            <w:r w:rsidRPr="001C6F5B">
              <w:rPr>
                <w:caps w:val="0"/>
                <w:lang w:val="en-US"/>
              </w:rPr>
              <w:t>Telecommunication Development Bureau</w:t>
            </w:r>
          </w:p>
        </w:tc>
      </w:tr>
      <w:tr w:rsidR="006D14DF" w:rsidRPr="00674952" w14:paraId="0C747A57" w14:textId="77777777" w:rsidTr="002F3E54">
        <w:trPr>
          <w:cantSplit/>
          <w:trHeight w:val="23"/>
        </w:trPr>
        <w:tc>
          <w:tcPr>
            <w:tcW w:w="9639" w:type="dxa"/>
            <w:gridSpan w:val="4"/>
            <w:tcBorders>
              <w:bottom w:val="single" w:sz="4" w:space="0" w:color="auto"/>
            </w:tcBorders>
            <w:shd w:val="clear" w:color="auto" w:fill="auto"/>
          </w:tcPr>
          <w:p w14:paraId="2D6B67A9" w14:textId="77777777" w:rsidR="006D14DF" w:rsidRPr="00674952" w:rsidRDefault="006D14DF" w:rsidP="002F3E54">
            <w:pPr>
              <w:pStyle w:val="Title1"/>
              <w:rPr>
                <w:rFonts w:cstheme="minorHAnsi"/>
                <w:szCs w:val="28"/>
              </w:rPr>
            </w:pPr>
          </w:p>
        </w:tc>
      </w:tr>
    </w:tbl>
    <w:p w14:paraId="143D0E7F" w14:textId="77777777" w:rsidR="009B07DF" w:rsidRPr="00F826F4" w:rsidRDefault="009B07DF" w:rsidP="00F826F4">
      <w:pPr>
        <w:spacing w:after="120"/>
        <w:rPr>
          <w:rFonts w:cstheme="minorHAnsi"/>
          <w:szCs w:val="24"/>
        </w:rPr>
      </w:pPr>
    </w:p>
    <w:p w14:paraId="6D14453A" w14:textId="77777777" w:rsidR="00F826F4" w:rsidRPr="00F826F4" w:rsidRDefault="00F826F4" w:rsidP="00F826F4">
      <w:pPr>
        <w:tabs>
          <w:tab w:val="clear" w:pos="1871"/>
          <w:tab w:val="clear" w:pos="2268"/>
          <w:tab w:val="left" w:pos="567"/>
          <w:tab w:val="left" w:leader="hyphen" w:pos="1134"/>
          <w:tab w:val="left" w:pos="1701"/>
        </w:tabs>
        <w:snapToGrid w:val="0"/>
        <w:spacing w:after="120"/>
        <w:rPr>
          <w:rFonts w:cstheme="minorHAnsi"/>
          <w:szCs w:val="24"/>
        </w:rPr>
      </w:pPr>
      <w:r w:rsidRPr="00F826F4">
        <w:rPr>
          <w:rFonts w:cstheme="minorHAnsi"/>
          <w:szCs w:val="24"/>
        </w:rPr>
        <w:t>Distinguished delegates, ladies &amp; gentlemen, Salaam Alaikum</w:t>
      </w:r>
    </w:p>
    <w:p w14:paraId="3EFA81B2" w14:textId="77777777" w:rsidR="00F826F4" w:rsidRPr="00F826F4" w:rsidRDefault="00F826F4" w:rsidP="00F826F4">
      <w:pPr>
        <w:tabs>
          <w:tab w:val="clear" w:pos="1871"/>
          <w:tab w:val="clear" w:pos="2268"/>
          <w:tab w:val="left" w:pos="567"/>
          <w:tab w:val="left" w:leader="hyphen" w:pos="1134"/>
          <w:tab w:val="left" w:pos="1701"/>
        </w:tabs>
        <w:snapToGrid w:val="0"/>
        <w:spacing w:after="120"/>
        <w:rPr>
          <w:rFonts w:cstheme="minorHAnsi"/>
          <w:szCs w:val="24"/>
        </w:rPr>
      </w:pPr>
      <w:r w:rsidRPr="00F826F4">
        <w:rPr>
          <w:rFonts w:cstheme="minorHAnsi"/>
          <w:szCs w:val="24"/>
        </w:rPr>
        <w:t>Good morning, afternoon and evening.</w:t>
      </w:r>
    </w:p>
    <w:p w14:paraId="774F546C" w14:textId="77777777" w:rsidR="00F826F4" w:rsidRPr="00F826F4" w:rsidRDefault="00F826F4" w:rsidP="00F826F4">
      <w:pPr>
        <w:tabs>
          <w:tab w:val="clear" w:pos="1871"/>
          <w:tab w:val="clear" w:pos="2268"/>
          <w:tab w:val="left" w:pos="567"/>
          <w:tab w:val="left" w:leader="hyphen" w:pos="1134"/>
          <w:tab w:val="left" w:pos="1701"/>
        </w:tabs>
        <w:snapToGrid w:val="0"/>
        <w:spacing w:after="120"/>
        <w:rPr>
          <w:rFonts w:cstheme="minorHAnsi"/>
          <w:szCs w:val="24"/>
        </w:rPr>
      </w:pPr>
      <w:r w:rsidRPr="00F826F4">
        <w:rPr>
          <w:rFonts w:cstheme="minorHAnsi"/>
          <w:szCs w:val="24"/>
        </w:rPr>
        <w:t>It is a pleasure to welcome to our ITU Regional Preparatory Meeting for the Arab States region.</w:t>
      </w:r>
    </w:p>
    <w:p w14:paraId="3401813B" w14:textId="77777777" w:rsidR="00F826F4" w:rsidRPr="00F826F4" w:rsidRDefault="00F826F4" w:rsidP="00F826F4">
      <w:pPr>
        <w:tabs>
          <w:tab w:val="clear" w:pos="1871"/>
          <w:tab w:val="clear" w:pos="2268"/>
          <w:tab w:val="left" w:pos="567"/>
          <w:tab w:val="left" w:leader="hyphen" w:pos="1134"/>
          <w:tab w:val="left" w:pos="1701"/>
        </w:tabs>
        <w:snapToGrid w:val="0"/>
        <w:spacing w:after="120"/>
        <w:rPr>
          <w:rFonts w:cstheme="minorHAnsi"/>
          <w:szCs w:val="24"/>
        </w:rPr>
      </w:pPr>
      <w:r w:rsidRPr="00F826F4">
        <w:rPr>
          <w:rFonts w:cstheme="minorHAnsi"/>
          <w:szCs w:val="24"/>
        </w:rPr>
        <w:t>I want to start by thanking all you for your commitment to ITU's Development Sector, and for your support for the many activities that are advancing digital transformation across the 22 countries of the Arab region at a time when connectivity has never been more critical.</w:t>
      </w:r>
    </w:p>
    <w:p w14:paraId="59FA8CFD" w14:textId="77777777" w:rsidR="00F826F4" w:rsidRPr="00F826F4" w:rsidRDefault="00F826F4" w:rsidP="00F826F4">
      <w:pPr>
        <w:tabs>
          <w:tab w:val="clear" w:pos="1871"/>
          <w:tab w:val="clear" w:pos="2268"/>
          <w:tab w:val="left" w:pos="567"/>
          <w:tab w:val="left" w:leader="hyphen" w:pos="1134"/>
          <w:tab w:val="left" w:pos="1701"/>
        </w:tabs>
        <w:snapToGrid w:val="0"/>
        <w:spacing w:after="120"/>
        <w:rPr>
          <w:rFonts w:cstheme="minorHAnsi"/>
          <w:szCs w:val="24"/>
        </w:rPr>
      </w:pPr>
      <w:r w:rsidRPr="00F826F4">
        <w:rPr>
          <w:rFonts w:cstheme="minorHAnsi"/>
          <w:szCs w:val="24"/>
        </w:rPr>
        <w:t>Our next World Telecommunication Development Conference comes at a defining moment for the world, and for ITU's place in it. It also comes at a time of enormous transformation for the Arab States region itself, which is already home to some of the world’s most connected and technologically advanced nations.</w:t>
      </w:r>
    </w:p>
    <w:p w14:paraId="1BBC969A" w14:textId="77777777" w:rsidR="00F826F4" w:rsidRPr="00F826F4" w:rsidRDefault="00F826F4" w:rsidP="00F826F4">
      <w:pPr>
        <w:tabs>
          <w:tab w:val="clear" w:pos="1871"/>
          <w:tab w:val="clear" w:pos="2268"/>
          <w:tab w:val="left" w:pos="567"/>
          <w:tab w:val="left" w:leader="hyphen" w:pos="1134"/>
          <w:tab w:val="left" w:pos="1701"/>
        </w:tabs>
        <w:snapToGrid w:val="0"/>
        <w:spacing w:after="120"/>
        <w:rPr>
          <w:rFonts w:cstheme="minorHAnsi"/>
          <w:szCs w:val="24"/>
        </w:rPr>
      </w:pPr>
      <w:r w:rsidRPr="00F826F4">
        <w:rPr>
          <w:rFonts w:cstheme="minorHAnsi"/>
          <w:szCs w:val="24"/>
        </w:rPr>
        <w:t>In the past few months we have seen the region take another bold step forward, with the launch of the Al Amal – or ‘Hope’ – probe to Mars.</w:t>
      </w:r>
    </w:p>
    <w:p w14:paraId="33CF0263" w14:textId="77777777" w:rsidR="00F826F4" w:rsidRPr="00F826F4" w:rsidRDefault="00F826F4" w:rsidP="00F826F4">
      <w:pPr>
        <w:tabs>
          <w:tab w:val="clear" w:pos="1871"/>
          <w:tab w:val="clear" w:pos="2268"/>
          <w:tab w:val="left" w:pos="567"/>
          <w:tab w:val="left" w:leader="hyphen" w:pos="1134"/>
          <w:tab w:val="left" w:pos="1701"/>
        </w:tabs>
        <w:snapToGrid w:val="0"/>
        <w:spacing w:after="120"/>
        <w:rPr>
          <w:rFonts w:cstheme="minorHAnsi"/>
          <w:szCs w:val="24"/>
        </w:rPr>
      </w:pPr>
      <w:r w:rsidRPr="00F826F4">
        <w:rPr>
          <w:rFonts w:cstheme="minorHAnsi"/>
          <w:szCs w:val="24"/>
        </w:rPr>
        <w:t>The Mars mission represents not only the UAE but the Arab world’s first venture into space, and confirms the region’s arrival on the world stage as a leading pioneer in science and technology, as well as its commitment to ever-closer engagement and collaboration with the broader international community.</w:t>
      </w:r>
    </w:p>
    <w:p w14:paraId="10C68F0B" w14:textId="77777777" w:rsidR="00F826F4" w:rsidRPr="00F826F4" w:rsidRDefault="00F826F4" w:rsidP="00F826F4">
      <w:pPr>
        <w:tabs>
          <w:tab w:val="clear" w:pos="1871"/>
          <w:tab w:val="clear" w:pos="2268"/>
          <w:tab w:val="left" w:pos="567"/>
          <w:tab w:val="left" w:leader="hyphen" w:pos="1134"/>
          <w:tab w:val="left" w:pos="1701"/>
        </w:tabs>
        <w:snapToGrid w:val="0"/>
        <w:spacing w:after="120"/>
        <w:rPr>
          <w:rFonts w:cstheme="minorHAnsi"/>
          <w:szCs w:val="24"/>
        </w:rPr>
      </w:pPr>
      <w:r w:rsidRPr="00F826F4">
        <w:rPr>
          <w:rFonts w:cstheme="minorHAnsi"/>
          <w:szCs w:val="24"/>
        </w:rPr>
        <w:t>These developments come at a critical moment for the world, with the global pandemic underlining the stark reality that in today's societies, connectivity is not just important – it is crucial… it was a nice to have and now it is a must have</w:t>
      </w:r>
    </w:p>
    <w:p w14:paraId="0890E6C4" w14:textId="77777777" w:rsidR="00F826F4" w:rsidRPr="00F826F4" w:rsidRDefault="00F826F4" w:rsidP="00F826F4">
      <w:pPr>
        <w:tabs>
          <w:tab w:val="clear" w:pos="1871"/>
          <w:tab w:val="clear" w:pos="2268"/>
          <w:tab w:val="left" w:pos="567"/>
          <w:tab w:val="left" w:leader="hyphen" w:pos="1134"/>
          <w:tab w:val="left" w:pos="1701"/>
        </w:tabs>
        <w:snapToGrid w:val="0"/>
        <w:spacing w:after="120"/>
        <w:rPr>
          <w:rFonts w:cstheme="minorHAnsi"/>
          <w:szCs w:val="24"/>
        </w:rPr>
      </w:pPr>
      <w:r w:rsidRPr="00F826F4">
        <w:rPr>
          <w:rFonts w:cstheme="minorHAnsi"/>
          <w:szCs w:val="24"/>
        </w:rPr>
        <w:t>Digital solutions will be our key to success in this final Decade of Action to achieve our own Connect 2030 agenda, the 17 SDGs and the UN Agenda 2030.</w:t>
      </w:r>
    </w:p>
    <w:p w14:paraId="05ED420B" w14:textId="77777777" w:rsidR="00F826F4" w:rsidRPr="00F826F4" w:rsidRDefault="00F826F4" w:rsidP="00F826F4">
      <w:pPr>
        <w:tabs>
          <w:tab w:val="clear" w:pos="1871"/>
          <w:tab w:val="clear" w:pos="2268"/>
          <w:tab w:val="left" w:pos="567"/>
          <w:tab w:val="left" w:leader="hyphen" w:pos="1134"/>
          <w:tab w:val="left" w:pos="1701"/>
        </w:tabs>
        <w:snapToGrid w:val="0"/>
        <w:spacing w:after="120"/>
        <w:rPr>
          <w:rFonts w:cstheme="minorHAnsi"/>
          <w:szCs w:val="24"/>
        </w:rPr>
      </w:pPr>
      <w:bookmarkStart w:id="0" w:name="_GoBack"/>
      <w:bookmarkEnd w:id="0"/>
      <w:r w:rsidRPr="00F826F4">
        <w:rPr>
          <w:rFonts w:cstheme="minorHAnsi"/>
          <w:szCs w:val="24"/>
        </w:rPr>
        <w:lastRenderedPageBreak/>
        <w:t>And ITU’s World Telecommunication Development Conference is the event where the promise of what technology can do for global development must translate into action.</w:t>
      </w:r>
    </w:p>
    <w:p w14:paraId="1D663376" w14:textId="77777777" w:rsidR="00F826F4" w:rsidRPr="00F826F4" w:rsidRDefault="00F826F4" w:rsidP="00F826F4">
      <w:pPr>
        <w:tabs>
          <w:tab w:val="clear" w:pos="1871"/>
          <w:tab w:val="clear" w:pos="2268"/>
          <w:tab w:val="left" w:pos="567"/>
          <w:tab w:val="left" w:leader="hyphen" w:pos="1134"/>
          <w:tab w:val="left" w:pos="1701"/>
        </w:tabs>
        <w:snapToGrid w:val="0"/>
        <w:spacing w:after="120"/>
        <w:rPr>
          <w:rFonts w:cstheme="minorHAnsi"/>
          <w:szCs w:val="24"/>
        </w:rPr>
      </w:pPr>
      <w:r w:rsidRPr="00F826F4">
        <w:rPr>
          <w:rFonts w:cstheme="minorHAnsi"/>
          <w:szCs w:val="24"/>
        </w:rPr>
        <w:t>By bringing together Member States, the private sector, financial institutions like regional development banks, and key civil society organizations, WTDC-21 offers a unique opportunity to harness that clear global recognition around the urgency to bridge the digital divide, build long-lasting partnerships that advance our digital transformation agenda.</w:t>
      </w:r>
    </w:p>
    <w:p w14:paraId="1120FDC7" w14:textId="77777777" w:rsidR="00F826F4" w:rsidRPr="00F826F4" w:rsidRDefault="00F826F4" w:rsidP="00F826F4">
      <w:pPr>
        <w:tabs>
          <w:tab w:val="clear" w:pos="1871"/>
          <w:tab w:val="clear" w:pos="2268"/>
          <w:tab w:val="left" w:pos="567"/>
          <w:tab w:val="left" w:leader="hyphen" w:pos="1134"/>
          <w:tab w:val="left" w:pos="1701"/>
        </w:tabs>
        <w:snapToGrid w:val="0"/>
        <w:spacing w:after="120"/>
        <w:rPr>
          <w:rFonts w:cstheme="minorHAnsi"/>
          <w:szCs w:val="24"/>
        </w:rPr>
      </w:pPr>
      <w:r w:rsidRPr="00F826F4">
        <w:rPr>
          <w:rFonts w:cstheme="minorHAnsi"/>
          <w:szCs w:val="24"/>
        </w:rPr>
        <w:t xml:space="preserve">To ensure this crucially important conference delivers on its promise, we have introduced some new elements in the preparatory process and the conference itself working in close coordination with you. </w:t>
      </w:r>
    </w:p>
    <w:p w14:paraId="5A4F4A22" w14:textId="524B2B9A" w:rsidR="00F826F4" w:rsidRPr="00F826F4" w:rsidRDefault="00F826F4" w:rsidP="00F826F4">
      <w:pPr>
        <w:pStyle w:val="ListParagraph"/>
        <w:numPr>
          <w:ilvl w:val="0"/>
          <w:numId w:val="14"/>
        </w:numPr>
        <w:tabs>
          <w:tab w:val="clear" w:pos="1871"/>
          <w:tab w:val="clear" w:pos="2268"/>
          <w:tab w:val="left" w:pos="567"/>
          <w:tab w:val="left" w:leader="hyphen" w:pos="1134"/>
          <w:tab w:val="left" w:pos="1701"/>
        </w:tabs>
        <w:snapToGrid w:val="0"/>
        <w:spacing w:after="120"/>
        <w:contextualSpacing w:val="0"/>
        <w:rPr>
          <w:rFonts w:cstheme="minorHAnsi"/>
          <w:szCs w:val="24"/>
        </w:rPr>
      </w:pPr>
      <w:r>
        <w:rPr>
          <w:rFonts w:cstheme="minorHAnsi"/>
          <w:szCs w:val="24"/>
        </w:rPr>
        <w:tab/>
      </w:r>
      <w:r w:rsidRPr="00F826F4">
        <w:rPr>
          <w:rFonts w:cstheme="minorHAnsi"/>
          <w:szCs w:val="24"/>
        </w:rPr>
        <w:t xml:space="preserve">One new element of our preparatory process is the Road to Addis … a discussion series on critical development topics, which aims to build awareness and excitement among our traditional stakeholders as well as helping us reach out to important new constituencies. </w:t>
      </w:r>
    </w:p>
    <w:p w14:paraId="44C3D250" w14:textId="77777777" w:rsidR="00F826F4" w:rsidRPr="00F826F4" w:rsidRDefault="00F826F4" w:rsidP="00F826F4">
      <w:pPr>
        <w:tabs>
          <w:tab w:val="clear" w:pos="1871"/>
          <w:tab w:val="clear" w:pos="2268"/>
          <w:tab w:val="left" w:pos="567"/>
          <w:tab w:val="left" w:leader="hyphen" w:pos="1134"/>
          <w:tab w:val="left" w:pos="1701"/>
        </w:tabs>
        <w:snapToGrid w:val="0"/>
        <w:spacing w:after="120"/>
        <w:ind w:left="567"/>
        <w:rPr>
          <w:rFonts w:cstheme="minorHAnsi"/>
          <w:szCs w:val="24"/>
        </w:rPr>
      </w:pPr>
      <w:r w:rsidRPr="00F826F4">
        <w:rPr>
          <w:rFonts w:cstheme="minorHAnsi"/>
          <w:szCs w:val="24"/>
        </w:rPr>
        <w:t>The next stop on the Road to Addis is on April 28</w:t>
      </w:r>
      <w:r w:rsidRPr="00F826F4">
        <w:rPr>
          <w:rFonts w:cstheme="minorHAnsi"/>
          <w:szCs w:val="24"/>
          <w:vertAlign w:val="superscript"/>
        </w:rPr>
        <w:t>th</w:t>
      </w:r>
      <w:r w:rsidRPr="00F826F4">
        <w:rPr>
          <w:rFonts w:cstheme="minorHAnsi"/>
          <w:szCs w:val="24"/>
        </w:rPr>
        <w:t>, where we will be grappling with the thorny issue of financing and investment.</w:t>
      </w:r>
    </w:p>
    <w:p w14:paraId="633B7323" w14:textId="4BA34998" w:rsidR="00F826F4" w:rsidRPr="00F826F4" w:rsidRDefault="00F826F4" w:rsidP="00F826F4">
      <w:pPr>
        <w:pStyle w:val="ListParagraph"/>
        <w:numPr>
          <w:ilvl w:val="0"/>
          <w:numId w:val="14"/>
        </w:numPr>
        <w:tabs>
          <w:tab w:val="clear" w:pos="1871"/>
          <w:tab w:val="clear" w:pos="2268"/>
          <w:tab w:val="left" w:pos="567"/>
          <w:tab w:val="left" w:leader="hyphen" w:pos="1134"/>
          <w:tab w:val="left" w:pos="1701"/>
        </w:tabs>
        <w:snapToGrid w:val="0"/>
        <w:spacing w:after="120"/>
        <w:contextualSpacing w:val="0"/>
        <w:rPr>
          <w:rFonts w:cstheme="minorHAnsi"/>
          <w:szCs w:val="24"/>
        </w:rPr>
      </w:pPr>
      <w:r>
        <w:rPr>
          <w:rFonts w:cstheme="minorHAnsi"/>
          <w:szCs w:val="24"/>
        </w:rPr>
        <w:tab/>
      </w:r>
      <w:r w:rsidRPr="00F826F4">
        <w:rPr>
          <w:rFonts w:cstheme="minorHAnsi"/>
          <w:szCs w:val="24"/>
        </w:rPr>
        <w:t xml:space="preserve">Another important new element in our revamped preparatory process is the establishment of our three inter-regional coordination meetings, or IRMs to complement the six regional RPMs. Many of you already participated in the first of these meetings; the next will take place on May 12th, and I hope, once again, that you will be able to join us. </w:t>
      </w:r>
    </w:p>
    <w:p w14:paraId="3CE444B9" w14:textId="2DCCE0E6" w:rsidR="00F826F4" w:rsidRPr="00F826F4" w:rsidRDefault="00F826F4" w:rsidP="00F826F4">
      <w:pPr>
        <w:pStyle w:val="ListParagraph"/>
        <w:numPr>
          <w:ilvl w:val="0"/>
          <w:numId w:val="14"/>
        </w:numPr>
        <w:tabs>
          <w:tab w:val="clear" w:pos="1871"/>
          <w:tab w:val="clear" w:pos="2268"/>
          <w:tab w:val="left" w:pos="567"/>
          <w:tab w:val="left" w:leader="hyphen" w:pos="1134"/>
          <w:tab w:val="left" w:pos="1701"/>
        </w:tabs>
        <w:snapToGrid w:val="0"/>
        <w:spacing w:after="120"/>
        <w:contextualSpacing w:val="0"/>
        <w:rPr>
          <w:rFonts w:cstheme="minorHAnsi"/>
          <w:szCs w:val="24"/>
        </w:rPr>
      </w:pPr>
      <w:r>
        <w:rPr>
          <w:rFonts w:cstheme="minorHAnsi"/>
          <w:szCs w:val="24"/>
        </w:rPr>
        <w:tab/>
      </w:r>
      <w:r w:rsidRPr="00F826F4">
        <w:rPr>
          <w:rFonts w:cstheme="minorHAnsi"/>
          <w:szCs w:val="24"/>
        </w:rPr>
        <w:t>One major new feature of our upcoming WTDC is, of course, the inclusion of a Partnerships track within the main body of the conference.</w:t>
      </w:r>
    </w:p>
    <w:p w14:paraId="0CCF8E48" w14:textId="77777777" w:rsidR="00F826F4" w:rsidRPr="00F826F4" w:rsidRDefault="00F826F4" w:rsidP="00F826F4">
      <w:pPr>
        <w:tabs>
          <w:tab w:val="clear" w:pos="1871"/>
          <w:tab w:val="clear" w:pos="2268"/>
          <w:tab w:val="left" w:pos="567"/>
          <w:tab w:val="left" w:leader="hyphen" w:pos="1134"/>
          <w:tab w:val="left" w:pos="1701"/>
        </w:tabs>
        <w:snapToGrid w:val="0"/>
        <w:spacing w:after="120"/>
        <w:ind w:left="567"/>
        <w:rPr>
          <w:rFonts w:cstheme="minorHAnsi"/>
          <w:szCs w:val="24"/>
        </w:rPr>
      </w:pPr>
      <w:r w:rsidRPr="00F826F4">
        <w:rPr>
          <w:rFonts w:cstheme="minorHAnsi"/>
          <w:szCs w:val="24"/>
        </w:rPr>
        <w:t>Comprising high-level panels and thematic discussions, this new track will enable us to expand our conversation to bring in new players and to more actively engage with future development partners, including international financial institutions, regional development banks, our UN sister agencies, private sector players, and civil society.</w:t>
      </w:r>
    </w:p>
    <w:p w14:paraId="2B9AC470" w14:textId="27DCAB67" w:rsidR="00F826F4" w:rsidRPr="00F826F4" w:rsidRDefault="00F826F4" w:rsidP="00F826F4">
      <w:pPr>
        <w:pStyle w:val="ListParagraph"/>
        <w:numPr>
          <w:ilvl w:val="0"/>
          <w:numId w:val="14"/>
        </w:numPr>
        <w:tabs>
          <w:tab w:val="clear" w:pos="1871"/>
          <w:tab w:val="clear" w:pos="2268"/>
          <w:tab w:val="left" w:pos="567"/>
          <w:tab w:val="left" w:leader="hyphen" w:pos="1134"/>
          <w:tab w:val="left" w:pos="1701"/>
        </w:tabs>
        <w:snapToGrid w:val="0"/>
        <w:spacing w:after="120"/>
        <w:contextualSpacing w:val="0"/>
        <w:rPr>
          <w:rFonts w:cstheme="minorHAnsi"/>
          <w:szCs w:val="24"/>
        </w:rPr>
      </w:pPr>
      <w:r>
        <w:rPr>
          <w:rFonts w:cstheme="minorHAnsi"/>
          <w:szCs w:val="24"/>
        </w:rPr>
        <w:tab/>
      </w:r>
      <w:r w:rsidRPr="00F826F4">
        <w:rPr>
          <w:rFonts w:cstheme="minorHAnsi"/>
          <w:szCs w:val="24"/>
        </w:rPr>
        <w:t>And WTDC-21 will also see the launch of our inaugural WTDC Youth Summit, to be held just prior to the start of the conference, as part of ITU's 'Generation Connect' initiative.</w:t>
      </w:r>
    </w:p>
    <w:p w14:paraId="16904610" w14:textId="77777777" w:rsidR="00F826F4" w:rsidRPr="00F826F4" w:rsidRDefault="00F826F4" w:rsidP="00F826F4">
      <w:pPr>
        <w:tabs>
          <w:tab w:val="clear" w:pos="1871"/>
          <w:tab w:val="clear" w:pos="2268"/>
          <w:tab w:val="left" w:pos="567"/>
          <w:tab w:val="left" w:leader="hyphen" w:pos="1134"/>
          <w:tab w:val="left" w:pos="1701"/>
        </w:tabs>
        <w:snapToGrid w:val="0"/>
        <w:spacing w:after="120"/>
        <w:ind w:left="567"/>
        <w:rPr>
          <w:rFonts w:cstheme="minorHAnsi"/>
          <w:szCs w:val="24"/>
        </w:rPr>
      </w:pPr>
      <w:r w:rsidRPr="00F826F4">
        <w:rPr>
          <w:rFonts w:cstheme="minorHAnsi"/>
          <w:szCs w:val="24"/>
        </w:rPr>
        <w:t xml:space="preserve">I am excited to see the Generation Connect initiative for the Arab region being launched during this RPM. </w:t>
      </w:r>
    </w:p>
    <w:p w14:paraId="22F6EB48" w14:textId="77777777" w:rsidR="00F826F4" w:rsidRPr="00F826F4" w:rsidRDefault="00F826F4" w:rsidP="00F826F4">
      <w:pPr>
        <w:tabs>
          <w:tab w:val="clear" w:pos="1871"/>
          <w:tab w:val="clear" w:pos="2268"/>
          <w:tab w:val="left" w:pos="567"/>
          <w:tab w:val="left" w:leader="hyphen" w:pos="1134"/>
          <w:tab w:val="left" w:pos="1701"/>
        </w:tabs>
        <w:snapToGrid w:val="0"/>
        <w:spacing w:after="120"/>
        <w:ind w:left="567"/>
        <w:rPr>
          <w:rFonts w:cstheme="minorHAnsi"/>
          <w:szCs w:val="24"/>
        </w:rPr>
      </w:pPr>
      <w:r w:rsidRPr="00F826F4">
        <w:rPr>
          <w:rFonts w:cstheme="minorHAnsi"/>
          <w:szCs w:val="24"/>
        </w:rPr>
        <w:t>I do hope you will help us to engage the youth in our deliberations so that they can contribute to and participate in the development of our programmes.</w:t>
      </w:r>
    </w:p>
    <w:p w14:paraId="043FBD07" w14:textId="57A84BB5" w:rsidR="00F826F4" w:rsidRPr="00F826F4" w:rsidRDefault="00F826F4" w:rsidP="00F826F4">
      <w:pPr>
        <w:pStyle w:val="ListParagraph"/>
        <w:numPr>
          <w:ilvl w:val="0"/>
          <w:numId w:val="14"/>
        </w:numPr>
        <w:tabs>
          <w:tab w:val="clear" w:pos="1871"/>
          <w:tab w:val="clear" w:pos="2268"/>
          <w:tab w:val="left" w:pos="567"/>
          <w:tab w:val="left" w:leader="hyphen" w:pos="1134"/>
          <w:tab w:val="left" w:pos="1701"/>
        </w:tabs>
        <w:snapToGrid w:val="0"/>
        <w:spacing w:after="120"/>
        <w:contextualSpacing w:val="0"/>
        <w:rPr>
          <w:rFonts w:cstheme="minorHAnsi"/>
          <w:szCs w:val="24"/>
        </w:rPr>
      </w:pPr>
      <w:r>
        <w:rPr>
          <w:rFonts w:cstheme="minorHAnsi"/>
          <w:szCs w:val="24"/>
        </w:rPr>
        <w:tab/>
      </w:r>
      <w:r w:rsidRPr="00F826F4">
        <w:rPr>
          <w:rFonts w:cstheme="minorHAnsi"/>
          <w:szCs w:val="24"/>
        </w:rPr>
        <w:t xml:space="preserve">To encourage the equal participation of women in leading roles in the WTDC conference and process, we have launched a new Network of Women – or NoW – for the Development Sector. There will be a dedicated side-event to unveil this new network in the Arab States region, during this RPM. </w:t>
      </w:r>
    </w:p>
    <w:p w14:paraId="5FBC4686" w14:textId="6E6D4EEB" w:rsidR="00F826F4" w:rsidRPr="00F826F4" w:rsidRDefault="00F826F4" w:rsidP="00F826F4">
      <w:pPr>
        <w:tabs>
          <w:tab w:val="clear" w:pos="1871"/>
          <w:tab w:val="clear" w:pos="2268"/>
          <w:tab w:val="left" w:pos="567"/>
          <w:tab w:val="left" w:leader="hyphen" w:pos="1134"/>
          <w:tab w:val="left" w:pos="1701"/>
        </w:tabs>
        <w:snapToGrid w:val="0"/>
        <w:spacing w:after="120"/>
        <w:ind w:left="567"/>
        <w:rPr>
          <w:rFonts w:cstheme="minorHAnsi"/>
          <w:szCs w:val="24"/>
        </w:rPr>
      </w:pPr>
      <w:r w:rsidRPr="00F826F4">
        <w:rPr>
          <w:rFonts w:cstheme="minorHAnsi"/>
          <w:szCs w:val="24"/>
        </w:rPr>
        <w:t>AT the event, participants from this region, my colleagues and I will share more information about how you can support it, and how you can get involved.</w:t>
      </w:r>
    </w:p>
    <w:p w14:paraId="3FB2578E" w14:textId="0BAC4429" w:rsidR="00F826F4" w:rsidRPr="00F826F4" w:rsidRDefault="00F826F4" w:rsidP="00F826F4">
      <w:pPr>
        <w:tabs>
          <w:tab w:val="clear" w:pos="1871"/>
          <w:tab w:val="clear" w:pos="2268"/>
          <w:tab w:val="left" w:pos="567"/>
          <w:tab w:val="left" w:leader="hyphen" w:pos="1134"/>
          <w:tab w:val="left" w:pos="1701"/>
        </w:tabs>
        <w:snapToGrid w:val="0"/>
        <w:spacing w:after="120"/>
        <w:rPr>
          <w:rFonts w:cstheme="minorHAnsi"/>
          <w:szCs w:val="24"/>
        </w:rPr>
      </w:pPr>
      <w:r w:rsidRPr="00F826F4">
        <w:rPr>
          <w:rFonts w:cstheme="minorHAnsi"/>
          <w:szCs w:val="24"/>
        </w:rPr>
        <w:t>And, finally, noting the increasing importance our Member States are according to digital innovation, I wish to recognized the UAE for partnering with us on our new i-CoDI, the</w:t>
      </w:r>
      <w:r>
        <w:rPr>
          <w:rFonts w:cstheme="minorHAnsi"/>
          <w:szCs w:val="24"/>
        </w:rPr>
        <w:t xml:space="preserve"> </w:t>
      </w:r>
      <w:r w:rsidRPr="00F826F4">
        <w:rPr>
          <w:rFonts w:cstheme="minorHAnsi"/>
          <w:szCs w:val="24"/>
        </w:rPr>
        <w:t xml:space="preserve">International Center of Digital Innovation. </w:t>
      </w:r>
    </w:p>
    <w:p w14:paraId="1DC1723D" w14:textId="77777777" w:rsidR="00F826F4" w:rsidRPr="00F826F4" w:rsidRDefault="00F826F4" w:rsidP="00F826F4">
      <w:pPr>
        <w:tabs>
          <w:tab w:val="clear" w:pos="1871"/>
          <w:tab w:val="clear" w:pos="2268"/>
          <w:tab w:val="left" w:pos="567"/>
          <w:tab w:val="left" w:leader="hyphen" w:pos="1134"/>
          <w:tab w:val="left" w:pos="1701"/>
        </w:tabs>
        <w:snapToGrid w:val="0"/>
        <w:spacing w:after="120"/>
        <w:rPr>
          <w:rFonts w:cstheme="minorHAnsi"/>
          <w:szCs w:val="24"/>
        </w:rPr>
      </w:pPr>
      <w:r w:rsidRPr="00F826F4">
        <w:rPr>
          <w:rFonts w:cstheme="minorHAnsi"/>
          <w:szCs w:val="24"/>
        </w:rPr>
        <w:t xml:space="preserve">This platform has demonstrated its effectiveness in the region by utilizing it, for the first time, to help formulate the priorities of the regional membership during the workshop that was held on </w:t>
      </w:r>
      <w:r w:rsidRPr="00F826F4">
        <w:rPr>
          <w:rFonts w:cstheme="minorHAnsi"/>
          <w:szCs w:val="24"/>
        </w:rPr>
        <w:lastRenderedPageBreak/>
        <w:t xml:space="preserve">30-31 March. During this workshop we had around 85 participants from almost all the Arab member states including Member States, Sector Members and Academia. </w:t>
      </w:r>
    </w:p>
    <w:p w14:paraId="3BBD77A3" w14:textId="77777777" w:rsidR="00F826F4" w:rsidRDefault="00F826F4" w:rsidP="00F826F4">
      <w:pPr>
        <w:tabs>
          <w:tab w:val="clear" w:pos="1871"/>
          <w:tab w:val="clear" w:pos="2268"/>
          <w:tab w:val="left" w:pos="567"/>
          <w:tab w:val="left" w:leader="hyphen" w:pos="1134"/>
          <w:tab w:val="left" w:pos="1701"/>
        </w:tabs>
        <w:snapToGrid w:val="0"/>
        <w:spacing w:after="120"/>
        <w:rPr>
          <w:rFonts w:cstheme="minorHAnsi"/>
          <w:szCs w:val="24"/>
        </w:rPr>
      </w:pPr>
    </w:p>
    <w:p w14:paraId="6CC89359" w14:textId="72798A59" w:rsidR="00F826F4" w:rsidRPr="00F826F4" w:rsidRDefault="00F826F4" w:rsidP="00F826F4">
      <w:pPr>
        <w:tabs>
          <w:tab w:val="clear" w:pos="1871"/>
          <w:tab w:val="clear" w:pos="2268"/>
          <w:tab w:val="left" w:pos="567"/>
          <w:tab w:val="left" w:leader="hyphen" w:pos="1134"/>
          <w:tab w:val="left" w:pos="1701"/>
        </w:tabs>
        <w:snapToGrid w:val="0"/>
        <w:spacing w:after="120"/>
        <w:rPr>
          <w:rFonts w:cstheme="minorHAnsi"/>
          <w:szCs w:val="24"/>
        </w:rPr>
      </w:pPr>
      <w:r w:rsidRPr="00F826F4">
        <w:rPr>
          <w:rFonts w:cstheme="minorHAnsi"/>
          <w:szCs w:val="24"/>
        </w:rPr>
        <w:t>Dear colleagues,</w:t>
      </w:r>
    </w:p>
    <w:p w14:paraId="06E3893F" w14:textId="77777777" w:rsidR="00F826F4" w:rsidRPr="00F826F4" w:rsidRDefault="00F826F4" w:rsidP="00F826F4">
      <w:pPr>
        <w:tabs>
          <w:tab w:val="clear" w:pos="1871"/>
          <w:tab w:val="clear" w:pos="2268"/>
          <w:tab w:val="left" w:pos="567"/>
          <w:tab w:val="left" w:leader="hyphen" w:pos="1134"/>
          <w:tab w:val="left" w:pos="1701"/>
        </w:tabs>
        <w:snapToGrid w:val="0"/>
        <w:spacing w:after="120"/>
        <w:rPr>
          <w:rFonts w:cstheme="minorHAnsi"/>
          <w:szCs w:val="24"/>
        </w:rPr>
      </w:pPr>
      <w:r w:rsidRPr="00F826F4">
        <w:rPr>
          <w:rFonts w:cstheme="minorHAnsi"/>
          <w:szCs w:val="24"/>
        </w:rPr>
        <w:t>I spoke earlier of the Arab States’ growing competence as leader in digital innovation and development. While this is undoubtedly true, we know that, across this vast region, large disparities remain.</w:t>
      </w:r>
    </w:p>
    <w:p w14:paraId="55E2169F" w14:textId="4F7C2113" w:rsidR="00F826F4" w:rsidRPr="00F826F4" w:rsidRDefault="00F826F4" w:rsidP="00F826F4">
      <w:pPr>
        <w:tabs>
          <w:tab w:val="clear" w:pos="1871"/>
          <w:tab w:val="clear" w:pos="2268"/>
          <w:tab w:val="left" w:pos="567"/>
          <w:tab w:val="left" w:leader="hyphen" w:pos="1134"/>
          <w:tab w:val="left" w:pos="1701"/>
        </w:tabs>
        <w:snapToGrid w:val="0"/>
        <w:spacing w:after="120"/>
        <w:rPr>
          <w:rFonts w:cstheme="minorHAnsi"/>
          <w:szCs w:val="24"/>
        </w:rPr>
      </w:pPr>
      <w:r w:rsidRPr="00F826F4">
        <w:rPr>
          <w:rFonts w:cstheme="minorHAnsi"/>
          <w:szCs w:val="24"/>
        </w:rPr>
        <w:t>The latest figures from ITU’s Digital Trends report</w:t>
      </w:r>
      <w:r>
        <w:rPr>
          <w:rFonts w:cstheme="minorHAnsi"/>
          <w:szCs w:val="24"/>
        </w:rPr>
        <w:t xml:space="preserve"> </w:t>
      </w:r>
      <w:r w:rsidRPr="00F826F4">
        <w:rPr>
          <w:rFonts w:cstheme="minorHAnsi"/>
          <w:szCs w:val="24"/>
        </w:rPr>
        <w:t>that we are unveiling this morning reveal stark contrasts between the GCC countries, with their world-class connectivity, and the region’s six LDCs</w:t>
      </w:r>
      <w:r w:rsidRPr="00F826F4">
        <w:rPr>
          <w:rStyle w:val="FootnoteReference"/>
          <w:rFonts w:cstheme="minorHAnsi"/>
          <w:sz w:val="24"/>
          <w:szCs w:val="24"/>
        </w:rPr>
        <w:footnoteReference w:id="1"/>
      </w:r>
      <w:r w:rsidRPr="00F826F4">
        <w:rPr>
          <w:rFonts w:cstheme="minorHAnsi"/>
          <w:szCs w:val="24"/>
        </w:rPr>
        <w:t>, where less than 10% of the population is using the internet.</w:t>
      </w:r>
    </w:p>
    <w:p w14:paraId="2E4A4912" w14:textId="77777777" w:rsidR="00F826F4" w:rsidRPr="00F826F4" w:rsidRDefault="00F826F4" w:rsidP="00F826F4">
      <w:pPr>
        <w:spacing w:after="120"/>
        <w:rPr>
          <w:rFonts w:cstheme="minorHAnsi"/>
          <w:szCs w:val="24"/>
        </w:rPr>
      </w:pPr>
      <w:r w:rsidRPr="00F826F4">
        <w:rPr>
          <w:rFonts w:cstheme="minorHAnsi"/>
          <w:szCs w:val="24"/>
        </w:rPr>
        <w:t>The COVID crisis has highlighted the impact of the digital divide on the nearly 350 million people in the region that are still unable to connect.</w:t>
      </w:r>
    </w:p>
    <w:p w14:paraId="665FA0CC" w14:textId="77777777" w:rsidR="00F826F4" w:rsidRPr="00F826F4" w:rsidRDefault="00F826F4" w:rsidP="00F826F4">
      <w:pPr>
        <w:tabs>
          <w:tab w:val="clear" w:pos="1871"/>
          <w:tab w:val="clear" w:pos="2268"/>
          <w:tab w:val="left" w:pos="567"/>
          <w:tab w:val="left" w:leader="hyphen" w:pos="1134"/>
          <w:tab w:val="left" w:pos="1701"/>
        </w:tabs>
        <w:snapToGrid w:val="0"/>
        <w:spacing w:after="120"/>
        <w:rPr>
          <w:rFonts w:cstheme="minorHAnsi"/>
          <w:szCs w:val="24"/>
        </w:rPr>
      </w:pPr>
      <w:r w:rsidRPr="00F826F4">
        <w:rPr>
          <w:rFonts w:cstheme="minorHAnsi"/>
          <w:szCs w:val="24"/>
        </w:rPr>
        <w:t>And while the region overall has made progress in key areas like household connectivity, with at-home internet access growing from around 52% of households in 2017 to close to 60% at the end of 2019, there remains a gaping urban-rural divide, with 74% of urban households connected, versus just 38% of rural dwellings.</w:t>
      </w:r>
    </w:p>
    <w:p w14:paraId="46867584" w14:textId="77777777" w:rsidR="00F826F4" w:rsidRPr="00F826F4" w:rsidRDefault="00F826F4" w:rsidP="00F826F4">
      <w:pPr>
        <w:tabs>
          <w:tab w:val="clear" w:pos="1871"/>
          <w:tab w:val="clear" w:pos="2268"/>
          <w:tab w:val="left" w:pos="567"/>
          <w:tab w:val="left" w:leader="hyphen" w:pos="1134"/>
          <w:tab w:val="left" w:pos="1701"/>
        </w:tabs>
        <w:snapToGrid w:val="0"/>
        <w:spacing w:after="120"/>
        <w:rPr>
          <w:rFonts w:cstheme="minorHAnsi"/>
          <w:szCs w:val="24"/>
        </w:rPr>
      </w:pPr>
      <w:r w:rsidRPr="00F826F4">
        <w:rPr>
          <w:rFonts w:cstheme="minorHAnsi"/>
          <w:szCs w:val="24"/>
        </w:rPr>
        <w:t>Across the region as a whole we also see a persistent gender gap, with an average of 61% of men using the internet, but just 47% of women, with chronically low levels of women’s connectivity in poorer nations skewing the parity we see in the GCC countries.</w:t>
      </w:r>
    </w:p>
    <w:p w14:paraId="3F9BF7DD" w14:textId="77777777" w:rsidR="00F826F4" w:rsidRPr="00F826F4" w:rsidRDefault="00F826F4" w:rsidP="00F826F4">
      <w:pPr>
        <w:tabs>
          <w:tab w:val="clear" w:pos="1871"/>
          <w:tab w:val="clear" w:pos="2268"/>
          <w:tab w:val="left" w:pos="567"/>
          <w:tab w:val="left" w:leader="hyphen" w:pos="1134"/>
          <w:tab w:val="left" w:pos="1701"/>
        </w:tabs>
        <w:snapToGrid w:val="0"/>
        <w:spacing w:after="120"/>
        <w:rPr>
          <w:rFonts w:cstheme="minorHAnsi"/>
          <w:szCs w:val="24"/>
        </w:rPr>
      </w:pPr>
      <w:r w:rsidRPr="00F826F4">
        <w:rPr>
          <w:rFonts w:cstheme="minorHAnsi"/>
          <w:szCs w:val="24"/>
        </w:rPr>
        <w:t xml:space="preserve">And while steady progress has been made in extending coverage, affordability of digital devices and services remains a major barrier to uptake. </w:t>
      </w:r>
    </w:p>
    <w:p w14:paraId="2C1CF30B" w14:textId="77777777" w:rsidR="00F826F4" w:rsidRPr="00F826F4" w:rsidRDefault="00F826F4" w:rsidP="00F826F4">
      <w:pPr>
        <w:tabs>
          <w:tab w:val="clear" w:pos="1871"/>
          <w:tab w:val="clear" w:pos="2268"/>
          <w:tab w:val="left" w:pos="567"/>
          <w:tab w:val="left" w:leader="hyphen" w:pos="1134"/>
          <w:tab w:val="left" w:pos="1701"/>
        </w:tabs>
        <w:snapToGrid w:val="0"/>
        <w:spacing w:after="120"/>
        <w:rPr>
          <w:rFonts w:cstheme="minorHAnsi"/>
          <w:szCs w:val="24"/>
        </w:rPr>
      </w:pPr>
      <w:r w:rsidRPr="00F826F4">
        <w:rPr>
          <w:rFonts w:cstheme="minorHAnsi"/>
          <w:szCs w:val="24"/>
        </w:rPr>
        <w:t>A handful of countries in the region have now achieved the Broadband Commission’s target of entry-level broadband access at less than 2% of per capita GNI – including Bahrain, Kuwait, Qatar, Saudi Arabia, and the UAE, but in some nations</w:t>
      </w:r>
      <w:r w:rsidRPr="00F826F4">
        <w:rPr>
          <w:rFonts w:cstheme="minorHAnsi"/>
          <w:szCs w:val="24"/>
          <w:vertAlign w:val="superscript"/>
        </w:rPr>
        <w:footnoteReference w:id="2"/>
      </w:r>
      <w:r w:rsidRPr="00F826F4">
        <w:rPr>
          <w:rFonts w:cstheme="minorHAnsi"/>
          <w:szCs w:val="24"/>
        </w:rPr>
        <w:t xml:space="preserve"> cost of service was still more than 30% of per capita GNI at end 2019.</w:t>
      </w:r>
    </w:p>
    <w:p w14:paraId="6106041C" w14:textId="77777777" w:rsidR="00F826F4" w:rsidRPr="00F826F4" w:rsidRDefault="00F826F4" w:rsidP="00F826F4">
      <w:pPr>
        <w:tabs>
          <w:tab w:val="clear" w:pos="1871"/>
          <w:tab w:val="clear" w:pos="2268"/>
          <w:tab w:val="left" w:pos="567"/>
          <w:tab w:val="left" w:leader="hyphen" w:pos="1134"/>
          <w:tab w:val="left" w:pos="1701"/>
        </w:tabs>
        <w:snapToGrid w:val="0"/>
        <w:spacing w:after="120"/>
        <w:rPr>
          <w:rFonts w:cstheme="minorHAnsi"/>
          <w:szCs w:val="24"/>
        </w:rPr>
      </w:pPr>
      <w:r w:rsidRPr="00F826F4">
        <w:rPr>
          <w:rFonts w:cstheme="minorHAnsi"/>
          <w:szCs w:val="24"/>
        </w:rPr>
        <w:t xml:space="preserve">ITU data also reveals that 95% of individuals in the region are now covered by a mobile network, with more than 90% within reach of a 3G signal. </w:t>
      </w:r>
    </w:p>
    <w:p w14:paraId="13493E0A" w14:textId="77777777" w:rsidR="00F826F4" w:rsidRPr="00F826F4" w:rsidRDefault="00F826F4" w:rsidP="00F826F4">
      <w:pPr>
        <w:tabs>
          <w:tab w:val="clear" w:pos="1871"/>
          <w:tab w:val="clear" w:pos="2268"/>
          <w:tab w:val="left" w:pos="567"/>
          <w:tab w:val="left" w:leader="hyphen" w:pos="1134"/>
          <w:tab w:val="left" w:pos="1701"/>
        </w:tabs>
        <w:snapToGrid w:val="0"/>
        <w:spacing w:after="120"/>
        <w:rPr>
          <w:rFonts w:cstheme="minorHAnsi"/>
          <w:szCs w:val="24"/>
        </w:rPr>
      </w:pPr>
      <w:r w:rsidRPr="00F826F4">
        <w:rPr>
          <w:rFonts w:cstheme="minorHAnsi"/>
          <w:szCs w:val="24"/>
        </w:rPr>
        <w:t>Yet the fact remains that only around 55% are using the Internet, with the high cost of smartphones and lack of digital skills identified as major impediments.</w:t>
      </w:r>
    </w:p>
    <w:p w14:paraId="06635E35" w14:textId="701EBD90" w:rsidR="00F826F4" w:rsidRPr="00F826F4" w:rsidRDefault="00F826F4" w:rsidP="00F826F4">
      <w:pPr>
        <w:spacing w:after="120"/>
        <w:jc w:val="both"/>
        <w:rPr>
          <w:rFonts w:cstheme="minorHAnsi"/>
          <w:szCs w:val="24"/>
        </w:rPr>
      </w:pPr>
      <w:r w:rsidRPr="00F826F4">
        <w:rPr>
          <w:rFonts w:cstheme="minorHAnsi"/>
          <w:szCs w:val="24"/>
        </w:rPr>
        <w:t>COVID has been called the great accelerator for anything digital.</w:t>
      </w:r>
      <w:r>
        <w:rPr>
          <w:rFonts w:cstheme="minorHAnsi"/>
          <w:szCs w:val="24"/>
        </w:rPr>
        <w:t xml:space="preserve"> </w:t>
      </w:r>
    </w:p>
    <w:p w14:paraId="039C42EC" w14:textId="77777777" w:rsidR="00F826F4" w:rsidRPr="00F826F4" w:rsidRDefault="00F826F4" w:rsidP="00F826F4">
      <w:pPr>
        <w:spacing w:after="120"/>
        <w:jc w:val="both"/>
        <w:rPr>
          <w:rFonts w:cstheme="minorHAnsi"/>
          <w:szCs w:val="24"/>
        </w:rPr>
      </w:pPr>
      <w:r w:rsidRPr="00F826F4">
        <w:rPr>
          <w:rFonts w:cstheme="minorHAnsi"/>
          <w:szCs w:val="24"/>
        </w:rPr>
        <w:t xml:space="preserve">That is certainly true in this region, with a rising appetite for e-commerce…, and its subsequent positive impact on digital payments. </w:t>
      </w:r>
    </w:p>
    <w:p w14:paraId="0CE2BAA8" w14:textId="77777777" w:rsidR="00F826F4" w:rsidRPr="00F826F4" w:rsidRDefault="00F826F4" w:rsidP="00F826F4">
      <w:pPr>
        <w:spacing w:after="120"/>
        <w:jc w:val="both"/>
        <w:rPr>
          <w:rFonts w:cstheme="minorHAnsi"/>
          <w:szCs w:val="24"/>
        </w:rPr>
      </w:pPr>
      <w:r w:rsidRPr="00F826F4">
        <w:rPr>
          <w:rFonts w:cstheme="minorHAnsi"/>
          <w:szCs w:val="24"/>
        </w:rPr>
        <w:t xml:space="preserve">More countries in the region have also boosted digital solutions including the infusion of numerous new approaches to education and healthcare. </w:t>
      </w:r>
    </w:p>
    <w:p w14:paraId="5FDD26DC" w14:textId="77777777" w:rsidR="00F826F4" w:rsidRPr="00F826F4" w:rsidRDefault="00F826F4" w:rsidP="00F826F4">
      <w:pPr>
        <w:spacing w:after="120"/>
        <w:jc w:val="both"/>
        <w:rPr>
          <w:rFonts w:cstheme="minorHAnsi"/>
          <w:szCs w:val="24"/>
        </w:rPr>
      </w:pPr>
      <w:r w:rsidRPr="00F826F4">
        <w:rPr>
          <w:rFonts w:cstheme="minorHAnsi"/>
          <w:szCs w:val="24"/>
        </w:rPr>
        <w:t xml:space="preserve">I do want to acknowledge these efforts and the way the region has demonstrated both tenacity and determination to step up digital progress. </w:t>
      </w:r>
    </w:p>
    <w:p w14:paraId="4228B989" w14:textId="77777777" w:rsidR="00F826F4" w:rsidRPr="00F826F4" w:rsidRDefault="00F826F4" w:rsidP="00F826F4">
      <w:pPr>
        <w:tabs>
          <w:tab w:val="clear" w:pos="1871"/>
          <w:tab w:val="clear" w:pos="2268"/>
          <w:tab w:val="left" w:pos="567"/>
          <w:tab w:val="left" w:leader="hyphen" w:pos="1134"/>
          <w:tab w:val="left" w:pos="1701"/>
        </w:tabs>
        <w:snapToGrid w:val="0"/>
        <w:spacing w:after="120"/>
        <w:rPr>
          <w:rFonts w:cstheme="minorHAnsi"/>
          <w:szCs w:val="24"/>
        </w:rPr>
      </w:pPr>
    </w:p>
    <w:p w14:paraId="2F62A106" w14:textId="77777777" w:rsidR="00F826F4" w:rsidRPr="00F826F4" w:rsidRDefault="00F826F4" w:rsidP="00F826F4">
      <w:pPr>
        <w:tabs>
          <w:tab w:val="clear" w:pos="1871"/>
          <w:tab w:val="clear" w:pos="2268"/>
          <w:tab w:val="left" w:pos="567"/>
          <w:tab w:val="left" w:leader="hyphen" w:pos="1134"/>
          <w:tab w:val="left" w:pos="1701"/>
        </w:tabs>
        <w:snapToGrid w:val="0"/>
        <w:spacing w:after="120"/>
        <w:rPr>
          <w:rFonts w:cstheme="minorHAnsi"/>
          <w:szCs w:val="24"/>
        </w:rPr>
      </w:pPr>
      <w:r w:rsidRPr="00F826F4">
        <w:rPr>
          <w:rFonts w:cstheme="minorHAnsi"/>
          <w:szCs w:val="24"/>
        </w:rPr>
        <w:lastRenderedPageBreak/>
        <w:t>Ladies and gentlemen,</w:t>
      </w:r>
    </w:p>
    <w:p w14:paraId="1E0D782A" w14:textId="77777777" w:rsidR="00F826F4" w:rsidRPr="00F826F4" w:rsidRDefault="00F826F4" w:rsidP="00F826F4">
      <w:pPr>
        <w:tabs>
          <w:tab w:val="clear" w:pos="1871"/>
          <w:tab w:val="clear" w:pos="2268"/>
          <w:tab w:val="left" w:pos="567"/>
          <w:tab w:val="left" w:leader="hyphen" w:pos="1134"/>
          <w:tab w:val="left" w:pos="1701"/>
        </w:tabs>
        <w:snapToGrid w:val="0"/>
        <w:spacing w:after="120"/>
        <w:rPr>
          <w:rFonts w:cstheme="minorHAnsi"/>
          <w:szCs w:val="24"/>
        </w:rPr>
      </w:pPr>
      <w:r w:rsidRPr="00F826F4">
        <w:rPr>
          <w:rFonts w:cstheme="minorHAnsi"/>
          <w:szCs w:val="24"/>
        </w:rPr>
        <w:t>Overcoming the hurdles to affordable universal connectivity across the entire Arab States region is at the heart of the five Regional Initiatives adopted by the World Telecommunication Development Conference in 2017.</w:t>
      </w:r>
    </w:p>
    <w:p w14:paraId="553EF859" w14:textId="77777777" w:rsidR="00F826F4" w:rsidRPr="00F826F4" w:rsidRDefault="00F826F4" w:rsidP="00F826F4">
      <w:pPr>
        <w:tabs>
          <w:tab w:val="clear" w:pos="1871"/>
          <w:tab w:val="clear" w:pos="2268"/>
          <w:tab w:val="left" w:pos="567"/>
          <w:tab w:val="left" w:leader="hyphen" w:pos="1134"/>
          <w:tab w:val="left" w:pos="1701"/>
        </w:tabs>
        <w:snapToGrid w:val="0"/>
        <w:spacing w:after="120"/>
        <w:rPr>
          <w:rFonts w:cstheme="minorHAnsi"/>
          <w:szCs w:val="24"/>
        </w:rPr>
      </w:pPr>
      <w:r w:rsidRPr="00F826F4">
        <w:rPr>
          <w:rFonts w:cstheme="minorHAnsi"/>
          <w:szCs w:val="24"/>
        </w:rPr>
        <w:t xml:space="preserve">These Regional Initiatives remain our roadmap for delivering on the priorities of the region, and I am pleased to report that we have advanced well on a number of concrete projects to respond to these priorities. </w:t>
      </w:r>
    </w:p>
    <w:p w14:paraId="6BCA476B" w14:textId="77777777" w:rsidR="00F826F4" w:rsidRPr="00F826F4" w:rsidRDefault="00F826F4" w:rsidP="00F826F4">
      <w:pPr>
        <w:tabs>
          <w:tab w:val="clear" w:pos="1871"/>
          <w:tab w:val="clear" w:pos="2268"/>
          <w:tab w:val="left" w:pos="567"/>
          <w:tab w:val="left" w:leader="hyphen" w:pos="1134"/>
          <w:tab w:val="left" w:pos="1701"/>
        </w:tabs>
        <w:snapToGrid w:val="0"/>
        <w:spacing w:after="120"/>
        <w:rPr>
          <w:rFonts w:cstheme="minorHAnsi"/>
          <w:szCs w:val="24"/>
        </w:rPr>
      </w:pPr>
      <w:r w:rsidRPr="00F826F4">
        <w:rPr>
          <w:rFonts w:cstheme="minorHAnsi"/>
          <w:szCs w:val="24"/>
        </w:rPr>
        <w:t xml:space="preserve">To give just a few examples: </w:t>
      </w:r>
    </w:p>
    <w:p w14:paraId="4A22D2F3" w14:textId="77777777" w:rsidR="00F826F4" w:rsidRPr="00F826F4" w:rsidRDefault="00F826F4" w:rsidP="00F826F4">
      <w:pPr>
        <w:pStyle w:val="ListParagraph"/>
        <w:numPr>
          <w:ilvl w:val="0"/>
          <w:numId w:val="15"/>
        </w:numPr>
        <w:tabs>
          <w:tab w:val="clear" w:pos="1871"/>
          <w:tab w:val="clear" w:pos="2268"/>
          <w:tab w:val="left" w:pos="567"/>
          <w:tab w:val="left" w:leader="hyphen" w:pos="1134"/>
          <w:tab w:val="left" w:pos="1701"/>
        </w:tabs>
        <w:snapToGrid w:val="0"/>
        <w:spacing w:after="120"/>
        <w:ind w:left="851" w:hanging="357"/>
        <w:contextualSpacing w:val="0"/>
        <w:rPr>
          <w:rFonts w:cstheme="minorHAnsi"/>
          <w:szCs w:val="24"/>
        </w:rPr>
      </w:pPr>
      <w:r w:rsidRPr="00F826F4">
        <w:rPr>
          <w:rFonts w:cstheme="minorHAnsi"/>
          <w:szCs w:val="24"/>
        </w:rPr>
        <w:t>A network of 22 technoparks and incubators has been established to promote partnerships and collaboration around innovation and entrepreneurship.</w:t>
      </w:r>
    </w:p>
    <w:p w14:paraId="35039084" w14:textId="77777777" w:rsidR="00F826F4" w:rsidRPr="00F826F4" w:rsidRDefault="00F826F4" w:rsidP="00F826F4">
      <w:pPr>
        <w:pStyle w:val="ListParagraph"/>
        <w:numPr>
          <w:ilvl w:val="0"/>
          <w:numId w:val="15"/>
        </w:numPr>
        <w:tabs>
          <w:tab w:val="clear" w:pos="1871"/>
          <w:tab w:val="clear" w:pos="2268"/>
          <w:tab w:val="left" w:pos="567"/>
          <w:tab w:val="left" w:leader="hyphen" w:pos="1134"/>
          <w:tab w:val="left" w:pos="1701"/>
        </w:tabs>
        <w:snapToGrid w:val="0"/>
        <w:spacing w:after="120"/>
        <w:ind w:left="851" w:hanging="357"/>
        <w:contextualSpacing w:val="0"/>
        <w:rPr>
          <w:rFonts w:cstheme="minorHAnsi"/>
          <w:szCs w:val="24"/>
        </w:rPr>
      </w:pPr>
      <w:r w:rsidRPr="00F826F4">
        <w:rPr>
          <w:rFonts w:cstheme="minorHAnsi"/>
          <w:szCs w:val="24"/>
        </w:rPr>
        <w:t>The Arab network of the ITU Centres of Excellence has delivered over 40 training and certification sessions, empowering over 2,000 stakeholders.</w:t>
      </w:r>
    </w:p>
    <w:p w14:paraId="64CBE26E" w14:textId="77777777" w:rsidR="00F826F4" w:rsidRPr="00F826F4" w:rsidRDefault="00F826F4" w:rsidP="00F826F4">
      <w:pPr>
        <w:pStyle w:val="ListParagraph"/>
        <w:numPr>
          <w:ilvl w:val="0"/>
          <w:numId w:val="15"/>
        </w:numPr>
        <w:tabs>
          <w:tab w:val="clear" w:pos="1871"/>
          <w:tab w:val="clear" w:pos="2268"/>
          <w:tab w:val="left" w:pos="567"/>
          <w:tab w:val="left" w:leader="hyphen" w:pos="1134"/>
          <w:tab w:val="left" w:pos="1701"/>
        </w:tabs>
        <w:snapToGrid w:val="0"/>
        <w:spacing w:after="120"/>
        <w:ind w:left="851" w:hanging="357"/>
        <w:contextualSpacing w:val="0"/>
        <w:rPr>
          <w:rFonts w:cstheme="minorHAnsi"/>
          <w:szCs w:val="24"/>
        </w:rPr>
      </w:pPr>
      <w:r w:rsidRPr="00F826F4">
        <w:rPr>
          <w:rFonts w:cstheme="minorHAnsi"/>
          <w:szCs w:val="24"/>
        </w:rPr>
        <w:t>A large-scale global project to Create a Safe and Prosperous Cyberspace for Children was established late last year, and we have continued to strengthen relationships with key regional institutions working on child online safety, including Meem Ain, NCA, and NAUSS from the Kingdom of Saudi Arabia.</w:t>
      </w:r>
    </w:p>
    <w:p w14:paraId="7CBA84ED" w14:textId="77777777" w:rsidR="00F826F4" w:rsidRPr="00F826F4" w:rsidRDefault="00F826F4" w:rsidP="00F826F4">
      <w:pPr>
        <w:pStyle w:val="ListParagraph"/>
        <w:numPr>
          <w:ilvl w:val="0"/>
          <w:numId w:val="15"/>
        </w:numPr>
        <w:tabs>
          <w:tab w:val="clear" w:pos="1871"/>
          <w:tab w:val="clear" w:pos="2268"/>
          <w:tab w:val="left" w:pos="567"/>
          <w:tab w:val="left" w:leader="hyphen" w:pos="1134"/>
          <w:tab w:val="left" w:pos="1701"/>
        </w:tabs>
        <w:snapToGrid w:val="0"/>
        <w:spacing w:after="120"/>
        <w:ind w:left="851" w:hanging="357"/>
        <w:contextualSpacing w:val="0"/>
        <w:rPr>
          <w:rFonts w:cstheme="minorHAnsi"/>
          <w:szCs w:val="24"/>
        </w:rPr>
      </w:pPr>
      <w:r w:rsidRPr="00F826F4">
        <w:rPr>
          <w:rFonts w:cstheme="minorHAnsi"/>
          <w:szCs w:val="24"/>
        </w:rPr>
        <w:t>In the area of e-waste, we established a large scale project providing direct support to 22 Arab countries, and signed a cooperation agreement with the UN University to strengthen our statistics gathering efforts . We also provided direct technical assistance to 11 countries in the area of e-waste data, policy, and regulation.</w:t>
      </w:r>
    </w:p>
    <w:p w14:paraId="1A8A78AD" w14:textId="77777777" w:rsidR="00F826F4" w:rsidRPr="00F826F4" w:rsidRDefault="00F826F4" w:rsidP="00F826F4">
      <w:pPr>
        <w:pStyle w:val="ListParagraph"/>
        <w:numPr>
          <w:ilvl w:val="0"/>
          <w:numId w:val="15"/>
        </w:numPr>
        <w:tabs>
          <w:tab w:val="clear" w:pos="1871"/>
          <w:tab w:val="clear" w:pos="2268"/>
          <w:tab w:val="left" w:pos="567"/>
          <w:tab w:val="left" w:leader="hyphen" w:pos="1134"/>
          <w:tab w:val="left" w:pos="1701"/>
        </w:tabs>
        <w:snapToGrid w:val="0"/>
        <w:spacing w:after="120"/>
        <w:ind w:left="851" w:hanging="357"/>
        <w:contextualSpacing w:val="0"/>
        <w:rPr>
          <w:rFonts w:cstheme="minorHAnsi"/>
          <w:szCs w:val="24"/>
        </w:rPr>
      </w:pPr>
      <w:r w:rsidRPr="00F826F4">
        <w:rPr>
          <w:rFonts w:cstheme="minorHAnsi"/>
          <w:szCs w:val="24"/>
        </w:rPr>
        <w:t>We forged 6 new strategic partnerships in the area of digital financial inclusion, including with the World Bank, the Bill and Melinda Gates Foundation, Meem Ain, UNESCWA, and UNESCO.</w:t>
      </w:r>
    </w:p>
    <w:p w14:paraId="4D4452FF" w14:textId="77777777" w:rsidR="00F826F4" w:rsidRPr="00F826F4" w:rsidRDefault="00F826F4" w:rsidP="00F826F4">
      <w:pPr>
        <w:pStyle w:val="ListParagraph"/>
        <w:numPr>
          <w:ilvl w:val="0"/>
          <w:numId w:val="15"/>
        </w:numPr>
        <w:tabs>
          <w:tab w:val="clear" w:pos="1871"/>
          <w:tab w:val="clear" w:pos="2268"/>
          <w:tab w:val="left" w:pos="567"/>
          <w:tab w:val="left" w:leader="hyphen" w:pos="1134"/>
          <w:tab w:val="left" w:pos="1701"/>
        </w:tabs>
        <w:snapToGrid w:val="0"/>
        <w:spacing w:after="120"/>
        <w:ind w:left="851" w:hanging="357"/>
        <w:contextualSpacing w:val="0"/>
        <w:rPr>
          <w:rFonts w:cstheme="minorHAnsi"/>
          <w:szCs w:val="24"/>
        </w:rPr>
      </w:pPr>
      <w:r w:rsidRPr="00F826F4">
        <w:rPr>
          <w:rFonts w:cstheme="minorHAnsi"/>
          <w:szCs w:val="24"/>
        </w:rPr>
        <w:t xml:space="preserve">And we established 8 important new partnerships to support our efforts in the area of IoT, smart cities and big data. </w:t>
      </w:r>
    </w:p>
    <w:p w14:paraId="5130EBC9" w14:textId="77777777" w:rsidR="00F826F4" w:rsidRPr="00F826F4" w:rsidRDefault="00F826F4" w:rsidP="00F826F4">
      <w:pPr>
        <w:pStyle w:val="ListParagraph"/>
        <w:numPr>
          <w:ilvl w:val="0"/>
          <w:numId w:val="15"/>
        </w:numPr>
        <w:tabs>
          <w:tab w:val="clear" w:pos="1871"/>
          <w:tab w:val="clear" w:pos="2268"/>
          <w:tab w:val="left" w:pos="567"/>
          <w:tab w:val="left" w:leader="hyphen" w:pos="1134"/>
          <w:tab w:val="left" w:pos="1701"/>
        </w:tabs>
        <w:snapToGrid w:val="0"/>
        <w:spacing w:after="120"/>
        <w:ind w:left="851" w:hanging="357"/>
        <w:contextualSpacing w:val="0"/>
        <w:rPr>
          <w:rFonts w:cstheme="minorHAnsi"/>
          <w:szCs w:val="24"/>
        </w:rPr>
      </w:pPr>
      <w:r w:rsidRPr="00F826F4">
        <w:rPr>
          <w:rFonts w:cstheme="minorHAnsi"/>
          <w:szCs w:val="24"/>
        </w:rPr>
        <w:t>New partners include Intel, the GSMA, Huawei, Siemens, Google, Nokia, Ericsson, Microsoft, Nile University-Egypt, and HERE Technology, and we are currently working with TPRA-Sudan to provide assistance to Arab countries on IPv6 and IoT-related policy, strategy and capacity-building activities.</w:t>
      </w:r>
    </w:p>
    <w:p w14:paraId="5CD24E1E" w14:textId="77777777" w:rsidR="00F826F4" w:rsidRPr="00F826F4" w:rsidRDefault="00F826F4" w:rsidP="00F826F4">
      <w:pPr>
        <w:pStyle w:val="ListParagraph"/>
        <w:numPr>
          <w:ilvl w:val="0"/>
          <w:numId w:val="15"/>
        </w:numPr>
        <w:tabs>
          <w:tab w:val="clear" w:pos="1871"/>
          <w:tab w:val="clear" w:pos="2268"/>
          <w:tab w:val="left" w:pos="567"/>
          <w:tab w:val="left" w:leader="hyphen" w:pos="1134"/>
          <w:tab w:val="left" w:pos="1701"/>
        </w:tabs>
        <w:snapToGrid w:val="0"/>
        <w:spacing w:after="120"/>
        <w:ind w:left="851" w:hanging="357"/>
        <w:contextualSpacing w:val="0"/>
        <w:rPr>
          <w:rFonts w:cstheme="minorHAnsi"/>
          <w:szCs w:val="24"/>
        </w:rPr>
      </w:pPr>
      <w:r w:rsidRPr="00F826F4">
        <w:rPr>
          <w:rFonts w:cstheme="minorHAnsi"/>
          <w:szCs w:val="24"/>
        </w:rPr>
        <w:t xml:space="preserve">We recently signed a cooperation framework agreement with the Arab Red Crescent and Red Cross Organization (ARCO) to further support the region in facing emergency situations. </w:t>
      </w:r>
    </w:p>
    <w:p w14:paraId="5B3B2ED2" w14:textId="77777777" w:rsidR="00F826F4" w:rsidRPr="00F826F4" w:rsidRDefault="00F826F4" w:rsidP="00F826F4">
      <w:pPr>
        <w:tabs>
          <w:tab w:val="clear" w:pos="1871"/>
          <w:tab w:val="clear" w:pos="2268"/>
          <w:tab w:val="left" w:pos="567"/>
          <w:tab w:val="left" w:leader="hyphen" w:pos="1134"/>
          <w:tab w:val="left" w:pos="1701"/>
        </w:tabs>
        <w:snapToGrid w:val="0"/>
        <w:spacing w:after="120"/>
        <w:rPr>
          <w:rFonts w:cstheme="minorHAnsi"/>
          <w:szCs w:val="24"/>
        </w:rPr>
      </w:pPr>
      <w:r w:rsidRPr="00F826F4">
        <w:rPr>
          <w:rFonts w:cstheme="minorHAnsi"/>
          <w:szCs w:val="24"/>
        </w:rPr>
        <w:t xml:space="preserve">I want to thank our many partners for their collaboration and contribution to ITU's Regional Initiatives, and to the Arab States region’s ambitious digital development agenda. </w:t>
      </w:r>
    </w:p>
    <w:p w14:paraId="353A2F57" w14:textId="54A46AAA" w:rsidR="00F826F4" w:rsidRPr="00F826F4" w:rsidRDefault="00F826F4" w:rsidP="00F826F4">
      <w:pPr>
        <w:tabs>
          <w:tab w:val="clear" w:pos="1871"/>
          <w:tab w:val="clear" w:pos="2268"/>
          <w:tab w:val="left" w:pos="567"/>
          <w:tab w:val="left" w:leader="hyphen" w:pos="1134"/>
          <w:tab w:val="left" w:pos="1701"/>
        </w:tabs>
        <w:snapToGrid w:val="0"/>
        <w:spacing w:after="120"/>
        <w:rPr>
          <w:rFonts w:cstheme="minorHAnsi"/>
          <w:szCs w:val="24"/>
        </w:rPr>
      </w:pPr>
      <w:r w:rsidRPr="00F826F4">
        <w:rPr>
          <w:rFonts w:cstheme="minorHAnsi"/>
          <w:szCs w:val="24"/>
        </w:rPr>
        <w:t>This year marks 30 years since ITU established the Arab Regional Offices which helps us maintain our direct contact with our members.</w:t>
      </w:r>
      <w:r>
        <w:rPr>
          <w:rFonts w:cstheme="minorHAnsi"/>
          <w:szCs w:val="24"/>
        </w:rPr>
        <w:t xml:space="preserve"> </w:t>
      </w:r>
    </w:p>
    <w:p w14:paraId="1882C8A7" w14:textId="77777777" w:rsidR="00F826F4" w:rsidRPr="00F826F4" w:rsidRDefault="00F826F4" w:rsidP="00F826F4">
      <w:pPr>
        <w:tabs>
          <w:tab w:val="clear" w:pos="1871"/>
          <w:tab w:val="clear" w:pos="2268"/>
          <w:tab w:val="left" w:pos="567"/>
          <w:tab w:val="left" w:leader="hyphen" w:pos="1134"/>
          <w:tab w:val="left" w:pos="1701"/>
        </w:tabs>
        <w:snapToGrid w:val="0"/>
        <w:spacing w:after="120"/>
        <w:rPr>
          <w:rFonts w:cstheme="minorHAnsi"/>
          <w:szCs w:val="24"/>
        </w:rPr>
      </w:pPr>
      <w:r w:rsidRPr="00F826F4">
        <w:rPr>
          <w:rFonts w:cstheme="minorHAnsi"/>
          <w:szCs w:val="24"/>
        </w:rPr>
        <w:t xml:space="preserve">We are pleased to see all the developments which we believe are accelerated by our presence in the region. </w:t>
      </w:r>
    </w:p>
    <w:p w14:paraId="18C4F412" w14:textId="77777777" w:rsidR="00F826F4" w:rsidRPr="00F826F4" w:rsidRDefault="00F826F4" w:rsidP="00F826F4">
      <w:pPr>
        <w:tabs>
          <w:tab w:val="clear" w:pos="1871"/>
          <w:tab w:val="clear" w:pos="2268"/>
          <w:tab w:val="left" w:pos="567"/>
          <w:tab w:val="left" w:leader="hyphen" w:pos="1134"/>
          <w:tab w:val="left" w:pos="1701"/>
        </w:tabs>
        <w:snapToGrid w:val="0"/>
        <w:spacing w:after="120"/>
        <w:rPr>
          <w:rFonts w:cstheme="minorHAnsi"/>
          <w:szCs w:val="24"/>
        </w:rPr>
      </w:pPr>
      <w:r w:rsidRPr="00F826F4">
        <w:rPr>
          <w:rFonts w:cstheme="minorHAnsi"/>
          <w:szCs w:val="24"/>
        </w:rPr>
        <w:t xml:space="preserve">We hope to continue the engagement so that we can help meet your needs even more effectively. </w:t>
      </w:r>
    </w:p>
    <w:p w14:paraId="56D4055E" w14:textId="77777777" w:rsidR="00F826F4" w:rsidRPr="00F826F4" w:rsidRDefault="00F826F4" w:rsidP="00F826F4">
      <w:pPr>
        <w:tabs>
          <w:tab w:val="clear" w:pos="1871"/>
          <w:tab w:val="clear" w:pos="2268"/>
          <w:tab w:val="left" w:pos="567"/>
          <w:tab w:val="left" w:leader="hyphen" w:pos="1134"/>
          <w:tab w:val="left" w:pos="1701"/>
        </w:tabs>
        <w:snapToGrid w:val="0"/>
        <w:spacing w:after="120"/>
        <w:rPr>
          <w:rFonts w:cstheme="minorHAnsi"/>
          <w:szCs w:val="24"/>
        </w:rPr>
      </w:pPr>
    </w:p>
    <w:p w14:paraId="1EDED525" w14:textId="77777777" w:rsidR="00F826F4" w:rsidRPr="00F826F4" w:rsidRDefault="00F826F4" w:rsidP="00F826F4">
      <w:pPr>
        <w:tabs>
          <w:tab w:val="clear" w:pos="1871"/>
          <w:tab w:val="clear" w:pos="2268"/>
          <w:tab w:val="left" w:pos="567"/>
          <w:tab w:val="left" w:leader="hyphen" w:pos="1134"/>
          <w:tab w:val="left" w:pos="1701"/>
        </w:tabs>
        <w:snapToGrid w:val="0"/>
        <w:spacing w:after="120"/>
        <w:rPr>
          <w:rFonts w:cstheme="minorHAnsi"/>
          <w:szCs w:val="24"/>
        </w:rPr>
      </w:pPr>
      <w:r w:rsidRPr="00F826F4">
        <w:rPr>
          <w:rFonts w:cstheme="minorHAnsi"/>
          <w:szCs w:val="24"/>
        </w:rPr>
        <w:lastRenderedPageBreak/>
        <w:t>Ladies and gentlemen,</w:t>
      </w:r>
    </w:p>
    <w:p w14:paraId="65A3B8CB" w14:textId="152E4698" w:rsidR="00F826F4" w:rsidRPr="00F826F4" w:rsidRDefault="00F826F4" w:rsidP="00F826F4">
      <w:pPr>
        <w:tabs>
          <w:tab w:val="clear" w:pos="1871"/>
          <w:tab w:val="clear" w:pos="2268"/>
          <w:tab w:val="left" w:pos="567"/>
          <w:tab w:val="left" w:leader="hyphen" w:pos="1134"/>
          <w:tab w:val="left" w:pos="1701"/>
        </w:tabs>
        <w:snapToGrid w:val="0"/>
        <w:spacing w:after="120"/>
        <w:rPr>
          <w:rFonts w:cstheme="minorHAnsi"/>
          <w:szCs w:val="24"/>
        </w:rPr>
      </w:pPr>
      <w:r w:rsidRPr="00F826F4">
        <w:rPr>
          <w:rFonts w:cstheme="minorHAnsi"/>
          <w:szCs w:val="24"/>
        </w:rPr>
        <w:t>In our BDT end-of-year review,</w:t>
      </w:r>
      <w:r>
        <w:rPr>
          <w:rFonts w:cstheme="minorHAnsi"/>
          <w:szCs w:val="24"/>
        </w:rPr>
        <w:t xml:space="preserve"> </w:t>
      </w:r>
      <w:r w:rsidRPr="00F826F4">
        <w:rPr>
          <w:rFonts w:cstheme="minorHAnsi"/>
          <w:szCs w:val="24"/>
        </w:rPr>
        <w:t xml:space="preserve">we stressed the need to build forward better together. </w:t>
      </w:r>
    </w:p>
    <w:p w14:paraId="40F7F682" w14:textId="77777777" w:rsidR="00F826F4" w:rsidRPr="00F826F4" w:rsidRDefault="00F826F4" w:rsidP="00F826F4">
      <w:pPr>
        <w:tabs>
          <w:tab w:val="clear" w:pos="1871"/>
          <w:tab w:val="clear" w:pos="2268"/>
          <w:tab w:val="left" w:pos="567"/>
          <w:tab w:val="left" w:leader="hyphen" w:pos="1134"/>
          <w:tab w:val="left" w:pos="1701"/>
        </w:tabs>
        <w:snapToGrid w:val="0"/>
        <w:spacing w:after="120"/>
        <w:rPr>
          <w:rFonts w:cstheme="minorHAnsi"/>
          <w:szCs w:val="24"/>
        </w:rPr>
      </w:pPr>
      <w:r w:rsidRPr="00F826F4">
        <w:rPr>
          <w:rFonts w:cstheme="minorHAnsi"/>
          <w:szCs w:val="24"/>
        </w:rPr>
        <w:t>Our Regional Preparatory Meetings are a vital element of that collaborative effort, and will be critical to the success of WTDC.</w:t>
      </w:r>
    </w:p>
    <w:p w14:paraId="60A05A80" w14:textId="77777777" w:rsidR="00F826F4" w:rsidRPr="00F826F4" w:rsidRDefault="00F826F4" w:rsidP="00F826F4">
      <w:pPr>
        <w:tabs>
          <w:tab w:val="clear" w:pos="1871"/>
          <w:tab w:val="clear" w:pos="2268"/>
          <w:tab w:val="left" w:pos="567"/>
          <w:tab w:val="left" w:leader="hyphen" w:pos="1134"/>
          <w:tab w:val="left" w:pos="1701"/>
        </w:tabs>
        <w:snapToGrid w:val="0"/>
        <w:spacing w:after="120"/>
        <w:rPr>
          <w:rFonts w:cstheme="minorHAnsi"/>
          <w:szCs w:val="24"/>
        </w:rPr>
      </w:pPr>
      <w:r w:rsidRPr="00F826F4">
        <w:rPr>
          <w:rFonts w:cstheme="minorHAnsi"/>
          <w:szCs w:val="24"/>
        </w:rPr>
        <w:t>We have an incredible opportunity to leverage the power of digital to truly change the world.</w:t>
      </w:r>
    </w:p>
    <w:p w14:paraId="1F8A1328" w14:textId="77777777" w:rsidR="00F826F4" w:rsidRPr="00F826F4" w:rsidRDefault="00F826F4" w:rsidP="00F826F4">
      <w:pPr>
        <w:tabs>
          <w:tab w:val="clear" w:pos="1871"/>
          <w:tab w:val="clear" w:pos="2268"/>
          <w:tab w:val="left" w:pos="567"/>
          <w:tab w:val="left" w:leader="hyphen" w:pos="1134"/>
          <w:tab w:val="left" w:pos="1701"/>
        </w:tabs>
        <w:snapToGrid w:val="0"/>
        <w:spacing w:after="120"/>
        <w:rPr>
          <w:rFonts w:cstheme="minorHAnsi"/>
          <w:szCs w:val="24"/>
        </w:rPr>
      </w:pPr>
      <w:r w:rsidRPr="00F826F4">
        <w:rPr>
          <w:rFonts w:cstheme="minorHAnsi"/>
          <w:szCs w:val="24"/>
        </w:rPr>
        <w:t>I know you all share that vision and enthusiasm for what we might achieve, and I look forward to very fruitful and insightful discussions.</w:t>
      </w:r>
    </w:p>
    <w:p w14:paraId="0F0DA41A" w14:textId="77777777" w:rsidR="00F826F4" w:rsidRPr="00F826F4" w:rsidRDefault="00F826F4" w:rsidP="00F826F4">
      <w:pPr>
        <w:tabs>
          <w:tab w:val="clear" w:pos="1871"/>
          <w:tab w:val="clear" w:pos="2268"/>
          <w:tab w:val="left" w:pos="567"/>
          <w:tab w:val="left" w:leader="hyphen" w:pos="1134"/>
          <w:tab w:val="left" w:pos="1701"/>
        </w:tabs>
        <w:snapToGrid w:val="0"/>
        <w:spacing w:after="120"/>
        <w:rPr>
          <w:rFonts w:cstheme="minorHAnsi"/>
          <w:szCs w:val="24"/>
        </w:rPr>
      </w:pPr>
      <w:r w:rsidRPr="00F826F4">
        <w:rPr>
          <w:rFonts w:cstheme="minorHAnsi"/>
          <w:szCs w:val="24"/>
        </w:rPr>
        <w:t>Thank you.</w:t>
      </w:r>
    </w:p>
    <w:p w14:paraId="7572B8B5" w14:textId="0A54D90B" w:rsidR="00D83BF5" w:rsidRPr="0084734D" w:rsidRDefault="00D83BF5" w:rsidP="00D83BF5">
      <w:pPr>
        <w:jc w:val="center"/>
        <w:rPr>
          <w:szCs w:val="24"/>
        </w:rPr>
      </w:pPr>
      <w:r>
        <w:rPr>
          <w:szCs w:val="24"/>
        </w:rPr>
        <w:t>_______________</w:t>
      </w:r>
    </w:p>
    <w:sectPr w:rsidR="00D83BF5" w:rsidRPr="0084734D" w:rsidSect="00674952">
      <w:headerReference w:type="default" r:id="rId13"/>
      <w:footerReference w:type="even" r:id="rId14"/>
      <w:footerReference w:type="first" r:id="rId15"/>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88704" w14:textId="77777777" w:rsidR="00F33F7E" w:rsidRDefault="00F33F7E">
      <w:r>
        <w:separator/>
      </w:r>
    </w:p>
  </w:endnote>
  <w:endnote w:type="continuationSeparator" w:id="0">
    <w:p w14:paraId="00875239" w14:textId="77777777" w:rsidR="00F33F7E" w:rsidRDefault="00F3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6794" w14:textId="77777777" w:rsidR="00E45D05" w:rsidRDefault="00E45D05">
    <w:pPr>
      <w:framePr w:wrap="around" w:vAnchor="text" w:hAnchor="margin" w:xAlign="right" w:y="1"/>
    </w:pPr>
    <w:r>
      <w:fldChar w:fldCharType="begin"/>
    </w:r>
    <w:r>
      <w:instrText xml:space="preserve">PAGE  </w:instrText>
    </w:r>
    <w:r>
      <w:fldChar w:fldCharType="end"/>
    </w:r>
  </w:p>
  <w:p w14:paraId="0BCC69B1" w14:textId="6EF9121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F826F4">
      <w:rPr>
        <w:noProof/>
      </w:rPr>
      <w:t>07.04.21</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9"/>
    </w:tblGrid>
    <w:tr w:rsidR="00E55C11" w:rsidRPr="004D495C" w14:paraId="1A193024" w14:textId="77777777" w:rsidTr="00E55C11">
      <w:tc>
        <w:tcPr>
          <w:tcW w:w="1432" w:type="dxa"/>
          <w:tcBorders>
            <w:top w:val="single" w:sz="4" w:space="0" w:color="000000"/>
          </w:tcBorders>
          <w:shd w:val="clear" w:color="auto" w:fill="auto"/>
        </w:tcPr>
        <w:p w14:paraId="733FBCF4" w14:textId="77777777" w:rsidR="00E55C11" w:rsidRPr="004D495C" w:rsidRDefault="00E55C11" w:rsidP="00E55C11">
          <w:pPr>
            <w:pStyle w:val="FirstFooter"/>
            <w:tabs>
              <w:tab w:val="left" w:pos="1559"/>
              <w:tab w:val="left" w:pos="3828"/>
            </w:tabs>
            <w:rPr>
              <w:sz w:val="18"/>
              <w:szCs w:val="18"/>
            </w:rPr>
          </w:pPr>
          <w:r w:rsidRPr="004D495C">
            <w:rPr>
              <w:sz w:val="18"/>
              <w:szCs w:val="18"/>
              <w:lang w:val="en-US"/>
            </w:rPr>
            <w:t>Contact:</w:t>
          </w:r>
        </w:p>
      </w:tc>
      <w:tc>
        <w:tcPr>
          <w:tcW w:w="2250" w:type="dxa"/>
          <w:tcBorders>
            <w:top w:val="single" w:sz="4" w:space="0" w:color="000000"/>
          </w:tcBorders>
          <w:shd w:val="clear" w:color="auto" w:fill="auto"/>
        </w:tcPr>
        <w:p w14:paraId="6F40D1FA" w14:textId="77777777" w:rsidR="00E55C11" w:rsidRPr="004D495C" w:rsidRDefault="00E55C11" w:rsidP="00E55C11">
          <w:pPr>
            <w:pStyle w:val="FirstFooter"/>
            <w:tabs>
              <w:tab w:val="left" w:pos="2302"/>
            </w:tabs>
            <w:ind w:left="2302" w:hanging="2302"/>
            <w:rPr>
              <w:sz w:val="18"/>
              <w:szCs w:val="18"/>
              <w:lang w:val="en-US"/>
            </w:rPr>
          </w:pPr>
          <w:r w:rsidRPr="004D495C">
            <w:rPr>
              <w:sz w:val="18"/>
              <w:szCs w:val="18"/>
              <w:lang w:val="en-US"/>
            </w:rPr>
            <w:t>Name/Organization/Entity:</w:t>
          </w:r>
        </w:p>
      </w:tc>
      <w:tc>
        <w:tcPr>
          <w:tcW w:w="5959" w:type="dxa"/>
          <w:tcBorders>
            <w:top w:val="single" w:sz="4" w:space="0" w:color="000000"/>
          </w:tcBorders>
        </w:tcPr>
        <w:p w14:paraId="406F0FE3" w14:textId="0EFE401E" w:rsidR="00E55C11" w:rsidRDefault="00E55C11" w:rsidP="00E55C11">
          <w:pPr>
            <w:pStyle w:val="FirstFooter"/>
            <w:tabs>
              <w:tab w:val="left" w:pos="2302"/>
            </w:tabs>
            <w:rPr>
              <w:sz w:val="18"/>
              <w:szCs w:val="18"/>
              <w:highlight w:val="yellow"/>
              <w:lang w:val="en-US"/>
            </w:rPr>
          </w:pPr>
          <w:r w:rsidRPr="00D8064E">
            <w:rPr>
              <w:sz w:val="18"/>
              <w:szCs w:val="18"/>
              <w:lang w:val="en-US"/>
            </w:rPr>
            <w:t xml:space="preserve">Ms Doreen Bogdan-Martin, Director, </w:t>
          </w:r>
          <w:r w:rsidRPr="00D8064E">
            <w:rPr>
              <w:sz w:val="18"/>
              <w:szCs w:val="18"/>
            </w:rPr>
            <w:t>Telecommunication Development Bureau</w:t>
          </w:r>
        </w:p>
      </w:tc>
      <w:bookmarkStart w:id="3" w:name="OrgName"/>
      <w:bookmarkEnd w:id="3"/>
    </w:tr>
    <w:tr w:rsidR="00E55C11" w:rsidRPr="004D495C" w14:paraId="797CA01F" w14:textId="77777777" w:rsidTr="00E55C11">
      <w:tc>
        <w:tcPr>
          <w:tcW w:w="1432" w:type="dxa"/>
          <w:shd w:val="clear" w:color="auto" w:fill="auto"/>
        </w:tcPr>
        <w:p w14:paraId="53589212" w14:textId="77777777" w:rsidR="00E55C11" w:rsidRPr="004D495C" w:rsidRDefault="00E55C11" w:rsidP="00E55C11">
          <w:pPr>
            <w:pStyle w:val="FirstFooter"/>
            <w:tabs>
              <w:tab w:val="left" w:pos="1559"/>
              <w:tab w:val="left" w:pos="3828"/>
            </w:tabs>
            <w:rPr>
              <w:sz w:val="20"/>
              <w:lang w:val="en-US"/>
            </w:rPr>
          </w:pPr>
        </w:p>
      </w:tc>
      <w:tc>
        <w:tcPr>
          <w:tcW w:w="2250" w:type="dxa"/>
          <w:shd w:val="clear" w:color="auto" w:fill="auto"/>
        </w:tcPr>
        <w:p w14:paraId="07E890D6" w14:textId="77777777" w:rsidR="00E55C11" w:rsidRPr="004D495C" w:rsidRDefault="00E55C11" w:rsidP="00E55C11">
          <w:pPr>
            <w:pStyle w:val="FirstFooter"/>
            <w:tabs>
              <w:tab w:val="left" w:pos="2302"/>
            </w:tabs>
            <w:rPr>
              <w:sz w:val="18"/>
              <w:szCs w:val="18"/>
              <w:lang w:val="en-US"/>
            </w:rPr>
          </w:pPr>
          <w:r w:rsidRPr="004D495C">
            <w:rPr>
              <w:sz w:val="18"/>
              <w:szCs w:val="18"/>
              <w:lang w:val="en-US"/>
            </w:rPr>
            <w:t>Phone number:</w:t>
          </w:r>
        </w:p>
      </w:tc>
      <w:tc>
        <w:tcPr>
          <w:tcW w:w="5959" w:type="dxa"/>
        </w:tcPr>
        <w:p w14:paraId="35EE93CB" w14:textId="4AEE7718" w:rsidR="00E55C11" w:rsidRPr="004D495C" w:rsidRDefault="00E55C11" w:rsidP="00E55C11">
          <w:pPr>
            <w:pStyle w:val="FirstFooter"/>
            <w:tabs>
              <w:tab w:val="left" w:pos="2302"/>
            </w:tabs>
            <w:rPr>
              <w:sz w:val="18"/>
              <w:szCs w:val="18"/>
              <w:highlight w:val="yellow"/>
              <w:lang w:val="en-US"/>
            </w:rPr>
          </w:pPr>
          <w:r w:rsidRPr="00523FA7">
            <w:rPr>
              <w:sz w:val="18"/>
              <w:szCs w:val="18"/>
              <w:lang w:val="en-US"/>
            </w:rPr>
            <w:t>+41 22 730 5533</w:t>
          </w:r>
        </w:p>
      </w:tc>
      <w:bookmarkStart w:id="4" w:name="PhoneNo"/>
      <w:bookmarkEnd w:id="4"/>
    </w:tr>
    <w:tr w:rsidR="00E55C11" w:rsidRPr="004D495C" w14:paraId="06BA182D" w14:textId="77777777" w:rsidTr="00E55C11">
      <w:tc>
        <w:tcPr>
          <w:tcW w:w="1432" w:type="dxa"/>
          <w:shd w:val="clear" w:color="auto" w:fill="auto"/>
        </w:tcPr>
        <w:p w14:paraId="3D17C47E" w14:textId="77777777" w:rsidR="00E55C11" w:rsidRPr="004D495C" w:rsidRDefault="00E55C11" w:rsidP="00E55C11">
          <w:pPr>
            <w:pStyle w:val="FirstFooter"/>
            <w:tabs>
              <w:tab w:val="left" w:pos="1559"/>
              <w:tab w:val="left" w:pos="3828"/>
            </w:tabs>
            <w:rPr>
              <w:sz w:val="20"/>
              <w:lang w:val="en-US"/>
            </w:rPr>
          </w:pPr>
        </w:p>
      </w:tc>
      <w:tc>
        <w:tcPr>
          <w:tcW w:w="2250" w:type="dxa"/>
          <w:shd w:val="clear" w:color="auto" w:fill="auto"/>
        </w:tcPr>
        <w:p w14:paraId="53D9E75F" w14:textId="77777777" w:rsidR="00E55C11" w:rsidRPr="004D495C" w:rsidRDefault="00E55C11" w:rsidP="00E55C11">
          <w:pPr>
            <w:pStyle w:val="FirstFooter"/>
            <w:tabs>
              <w:tab w:val="left" w:pos="2302"/>
            </w:tabs>
            <w:rPr>
              <w:sz w:val="18"/>
              <w:szCs w:val="18"/>
              <w:lang w:val="en-US"/>
            </w:rPr>
          </w:pPr>
          <w:r w:rsidRPr="004D495C">
            <w:rPr>
              <w:sz w:val="18"/>
              <w:szCs w:val="18"/>
              <w:lang w:val="en-US"/>
            </w:rPr>
            <w:t>E-mail:</w:t>
          </w:r>
        </w:p>
      </w:tc>
      <w:tc>
        <w:tcPr>
          <w:tcW w:w="5959" w:type="dxa"/>
        </w:tcPr>
        <w:p w14:paraId="0DBE0A7F" w14:textId="395BB666" w:rsidR="00E55C11" w:rsidRPr="004D495C" w:rsidRDefault="00F826F4" w:rsidP="00E55C11">
          <w:pPr>
            <w:pStyle w:val="FirstFooter"/>
            <w:tabs>
              <w:tab w:val="left" w:pos="2302"/>
            </w:tabs>
            <w:rPr>
              <w:sz w:val="18"/>
              <w:szCs w:val="18"/>
              <w:highlight w:val="yellow"/>
              <w:lang w:val="en-US"/>
            </w:rPr>
          </w:pPr>
          <w:hyperlink r:id="rId1" w:history="1">
            <w:r w:rsidR="00E55C11" w:rsidRPr="00523FA7">
              <w:rPr>
                <w:rStyle w:val="Hyperlink"/>
                <w:sz w:val="18"/>
                <w:szCs w:val="18"/>
              </w:rPr>
              <w:t>bdtdirector@itu.int</w:t>
            </w:r>
          </w:hyperlink>
          <w:r w:rsidR="00E55C11" w:rsidRPr="00523FA7">
            <w:rPr>
              <w:sz w:val="18"/>
              <w:szCs w:val="18"/>
            </w:rPr>
            <w:t xml:space="preserve">. </w:t>
          </w:r>
        </w:p>
      </w:tc>
      <w:bookmarkStart w:id="5" w:name="Email"/>
      <w:bookmarkEnd w:id="5"/>
    </w:tr>
  </w:tbl>
  <w:p w14:paraId="65715F79" w14:textId="722C5EF4" w:rsidR="00E45D05" w:rsidRPr="0070310A" w:rsidRDefault="00F826F4" w:rsidP="00DF269F">
    <w:pPr>
      <w:jc w:val="center"/>
      <w:rPr>
        <w:rFonts w:ascii="Calibri" w:hAnsi="Calibri"/>
        <w:sz w:val="20"/>
        <w:szCs w:val="16"/>
      </w:rPr>
    </w:pPr>
    <w:hyperlink r:id="rId2" w:history="1">
      <w:r w:rsidR="00DF269F" w:rsidRPr="00FB1951">
        <w:rPr>
          <w:rStyle w:val="Hyperlink"/>
          <w:sz w:val="20"/>
          <w:szCs w:val="16"/>
        </w:rPr>
        <w:t>RPM-ARB21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1092D" w14:textId="77777777" w:rsidR="00F33F7E" w:rsidRDefault="00F33F7E">
      <w:r>
        <w:rPr>
          <w:b/>
        </w:rPr>
        <w:t>_______________</w:t>
      </w:r>
    </w:p>
  </w:footnote>
  <w:footnote w:type="continuationSeparator" w:id="0">
    <w:p w14:paraId="2E3524AF" w14:textId="77777777" w:rsidR="00F33F7E" w:rsidRDefault="00F33F7E">
      <w:r>
        <w:continuationSeparator/>
      </w:r>
    </w:p>
  </w:footnote>
  <w:footnote w:id="1">
    <w:p w14:paraId="195D3744" w14:textId="77777777" w:rsidR="00F826F4" w:rsidRPr="00F826F4" w:rsidRDefault="00F826F4" w:rsidP="00F826F4">
      <w:pPr>
        <w:pStyle w:val="FootnoteText"/>
        <w:spacing w:before="0"/>
        <w:rPr>
          <w:sz w:val="20"/>
        </w:rPr>
      </w:pPr>
      <w:r w:rsidRPr="00F826F4">
        <w:rPr>
          <w:rStyle w:val="FootnoteReference"/>
          <w:sz w:val="20"/>
        </w:rPr>
        <w:footnoteRef/>
      </w:r>
      <w:r w:rsidRPr="00F826F4">
        <w:rPr>
          <w:sz w:val="20"/>
        </w:rPr>
        <w:t xml:space="preserve"> Comoros, Djibouti, Mauritania, Somalia, the Sudan and Yemen.</w:t>
      </w:r>
    </w:p>
  </w:footnote>
  <w:footnote w:id="2">
    <w:p w14:paraId="281DD990" w14:textId="77777777" w:rsidR="00F826F4" w:rsidRPr="00F826F4" w:rsidRDefault="00F826F4" w:rsidP="00F826F4">
      <w:pPr>
        <w:pStyle w:val="FootnoteText"/>
        <w:spacing w:before="0"/>
        <w:rPr>
          <w:sz w:val="20"/>
        </w:rPr>
      </w:pPr>
      <w:r w:rsidRPr="00F826F4">
        <w:rPr>
          <w:rStyle w:val="FootnoteReference"/>
          <w:sz w:val="20"/>
        </w:rPr>
        <w:footnoteRef/>
      </w:r>
      <w:r w:rsidRPr="00F826F4">
        <w:rPr>
          <w:sz w:val="20"/>
        </w:rPr>
        <w:t xml:space="preserve"> Comoros and Mauritania. Djibouti, Iraq, Mauritania and Yemen are also named as having affordability issues.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233B5" w14:textId="1B638428" w:rsidR="00A066F1" w:rsidRPr="00DF269F" w:rsidRDefault="00DF269F" w:rsidP="00DF269F">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1" w:name="DocRef2"/>
    <w:bookmarkEnd w:id="1"/>
    <w:r w:rsidRPr="00FF089C">
      <w:rPr>
        <w:sz w:val="22"/>
        <w:szCs w:val="22"/>
        <w:lang w:val="es-ES_tradnl"/>
      </w:rPr>
      <w:t>RPM-</w:t>
    </w:r>
    <w:r>
      <w:rPr>
        <w:sz w:val="22"/>
        <w:szCs w:val="22"/>
        <w:lang w:val="es-ES_tradnl"/>
      </w:rPr>
      <w:t>ARB21</w:t>
    </w:r>
    <w:r w:rsidRPr="00FF089C">
      <w:rPr>
        <w:sz w:val="22"/>
        <w:szCs w:val="22"/>
        <w:lang w:val="es-ES_tradnl"/>
      </w:rPr>
      <w:t>/</w:t>
    </w:r>
    <w:bookmarkStart w:id="2" w:name="DocNo2"/>
    <w:bookmarkEnd w:id="2"/>
    <w:r w:rsidR="001C6F5B">
      <w:rPr>
        <w:sz w:val="22"/>
        <w:szCs w:val="22"/>
        <w:lang w:val="es-ES_tradnl"/>
      </w:rPr>
      <w:t>INF/1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6010DA2"/>
    <w:multiLevelType w:val="hybridMultilevel"/>
    <w:tmpl w:val="ECAE8A48"/>
    <w:lvl w:ilvl="0" w:tplc="992E0E82">
      <w:start w:val="7"/>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EC117BB"/>
    <w:multiLevelType w:val="hybridMultilevel"/>
    <w:tmpl w:val="22102F1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20203273"/>
    <w:multiLevelType w:val="hybridMultilevel"/>
    <w:tmpl w:val="3DF41652"/>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4160BA1"/>
    <w:multiLevelType w:val="hybridMultilevel"/>
    <w:tmpl w:val="7CA68B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C006A5"/>
    <w:multiLevelType w:val="hybridMultilevel"/>
    <w:tmpl w:val="2D323D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82155C"/>
    <w:multiLevelType w:val="hybridMultilevel"/>
    <w:tmpl w:val="2356E210"/>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BF3292"/>
    <w:multiLevelType w:val="hybridMultilevel"/>
    <w:tmpl w:val="732CC87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 w15:restartNumberingAfterBreak="0">
    <w:nsid w:val="56F250F6"/>
    <w:multiLevelType w:val="hybridMultilevel"/>
    <w:tmpl w:val="9B60202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8E62CCC"/>
    <w:multiLevelType w:val="hybridMultilevel"/>
    <w:tmpl w:val="0F14F1B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F044966"/>
    <w:multiLevelType w:val="hybridMultilevel"/>
    <w:tmpl w:val="6980B21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1E0FC5"/>
    <w:multiLevelType w:val="hybridMultilevel"/>
    <w:tmpl w:val="C1B85DBC"/>
    <w:lvl w:ilvl="0" w:tplc="933867AC">
      <w:start w:val="9"/>
      <w:numFmt w:val="bullet"/>
      <w:lvlText w:val="-"/>
      <w:lvlJc w:val="left"/>
      <w:pPr>
        <w:ind w:left="920" w:hanging="360"/>
      </w:pPr>
      <w:rPr>
        <w:rFonts w:ascii="Calibri" w:eastAsia="Times New Roman" w:hAnsi="Calibri" w:cs="Calibri"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3"/>
  </w:num>
  <w:num w:numId="5">
    <w:abstractNumId w:val="10"/>
  </w:num>
  <w:num w:numId="6">
    <w:abstractNumId w:val="9"/>
  </w:num>
  <w:num w:numId="7">
    <w:abstractNumId w:val="5"/>
  </w:num>
  <w:num w:numId="8">
    <w:abstractNumId w:val="11"/>
  </w:num>
  <w:num w:numId="9">
    <w:abstractNumId w:val="6"/>
  </w:num>
  <w:num w:numId="10">
    <w:abstractNumId w:val="7"/>
  </w:num>
  <w:num w:numId="11">
    <w:abstractNumId w:val="4"/>
  </w:num>
  <w:num w:numId="12">
    <w:abstractNumId w:val="2"/>
  </w:num>
  <w:num w:numId="13">
    <w:abstractNumId w:val="14"/>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n-US" w:vendorID="64" w:dllVersion="0" w:nlCheck="1" w:checkStyle="0"/>
  <w:activeWritingStyle w:appName="MSWord" w:lang="es-ES_tradnl"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445E"/>
    <w:rsid w:val="000224E5"/>
    <w:rsid w:val="00022A29"/>
    <w:rsid w:val="00022F94"/>
    <w:rsid w:val="000355FD"/>
    <w:rsid w:val="00051E39"/>
    <w:rsid w:val="00057BF9"/>
    <w:rsid w:val="00075C63"/>
    <w:rsid w:val="00077239"/>
    <w:rsid w:val="000822BE"/>
    <w:rsid w:val="00086491"/>
    <w:rsid w:val="00091346"/>
    <w:rsid w:val="000A74E7"/>
    <w:rsid w:val="000D41C5"/>
    <w:rsid w:val="000F73FF"/>
    <w:rsid w:val="00114CF7"/>
    <w:rsid w:val="00123B68"/>
    <w:rsid w:val="00124A96"/>
    <w:rsid w:val="00126F2E"/>
    <w:rsid w:val="00137DC5"/>
    <w:rsid w:val="00146F6F"/>
    <w:rsid w:val="00152957"/>
    <w:rsid w:val="001816BA"/>
    <w:rsid w:val="00187BD9"/>
    <w:rsid w:val="00190B55"/>
    <w:rsid w:val="00194CFB"/>
    <w:rsid w:val="001968E3"/>
    <w:rsid w:val="001B2ED3"/>
    <w:rsid w:val="001C3A63"/>
    <w:rsid w:val="001C3B5F"/>
    <w:rsid w:val="001C6F5B"/>
    <w:rsid w:val="001D058F"/>
    <w:rsid w:val="001E0E5F"/>
    <w:rsid w:val="001F42FE"/>
    <w:rsid w:val="002009EA"/>
    <w:rsid w:val="00202CA0"/>
    <w:rsid w:val="00214A94"/>
    <w:rsid w:val="002154A6"/>
    <w:rsid w:val="002255B3"/>
    <w:rsid w:val="002418F1"/>
    <w:rsid w:val="00266B76"/>
    <w:rsid w:val="00271316"/>
    <w:rsid w:val="00281004"/>
    <w:rsid w:val="00293327"/>
    <w:rsid w:val="002A71E7"/>
    <w:rsid w:val="002C1030"/>
    <w:rsid w:val="002D58BE"/>
    <w:rsid w:val="003013EE"/>
    <w:rsid w:val="00302A6F"/>
    <w:rsid w:val="00317B00"/>
    <w:rsid w:val="003254E4"/>
    <w:rsid w:val="003455FD"/>
    <w:rsid w:val="003631CE"/>
    <w:rsid w:val="00377BD3"/>
    <w:rsid w:val="003831C9"/>
    <w:rsid w:val="00384088"/>
    <w:rsid w:val="0039169B"/>
    <w:rsid w:val="003A20D5"/>
    <w:rsid w:val="003A7F8C"/>
    <w:rsid w:val="003B532E"/>
    <w:rsid w:val="003B6F14"/>
    <w:rsid w:val="003D0F8B"/>
    <w:rsid w:val="003D5EED"/>
    <w:rsid w:val="004131D4"/>
    <w:rsid w:val="0041348E"/>
    <w:rsid w:val="00415E61"/>
    <w:rsid w:val="004237E1"/>
    <w:rsid w:val="00447308"/>
    <w:rsid w:val="004518D3"/>
    <w:rsid w:val="004535AA"/>
    <w:rsid w:val="004765FF"/>
    <w:rsid w:val="004900CA"/>
    <w:rsid w:val="00492075"/>
    <w:rsid w:val="004969AD"/>
    <w:rsid w:val="004B13CB"/>
    <w:rsid w:val="004B4FDF"/>
    <w:rsid w:val="004D5D5C"/>
    <w:rsid w:val="0050139F"/>
    <w:rsid w:val="00515E90"/>
    <w:rsid w:val="00521223"/>
    <w:rsid w:val="0052241C"/>
    <w:rsid w:val="0055118B"/>
    <w:rsid w:val="0055140B"/>
    <w:rsid w:val="00580CA8"/>
    <w:rsid w:val="005964AB"/>
    <w:rsid w:val="005C099A"/>
    <w:rsid w:val="005C31A5"/>
    <w:rsid w:val="005E10C9"/>
    <w:rsid w:val="005E61DD"/>
    <w:rsid w:val="005E6321"/>
    <w:rsid w:val="006023DF"/>
    <w:rsid w:val="00642423"/>
    <w:rsid w:val="006528E0"/>
    <w:rsid w:val="00653BA7"/>
    <w:rsid w:val="00657DE0"/>
    <w:rsid w:val="00664911"/>
    <w:rsid w:val="0067199F"/>
    <w:rsid w:val="00674952"/>
    <w:rsid w:val="00685313"/>
    <w:rsid w:val="00687800"/>
    <w:rsid w:val="006A6E9B"/>
    <w:rsid w:val="006B4E6E"/>
    <w:rsid w:val="006B7C2A"/>
    <w:rsid w:val="006C23DA"/>
    <w:rsid w:val="006D14DF"/>
    <w:rsid w:val="006E3D45"/>
    <w:rsid w:val="006F3509"/>
    <w:rsid w:val="0070310A"/>
    <w:rsid w:val="007149F9"/>
    <w:rsid w:val="0072428F"/>
    <w:rsid w:val="00733A30"/>
    <w:rsid w:val="00736D8A"/>
    <w:rsid w:val="00745AEE"/>
    <w:rsid w:val="007479EA"/>
    <w:rsid w:val="00750F10"/>
    <w:rsid w:val="007742CA"/>
    <w:rsid w:val="007977D7"/>
    <w:rsid w:val="007D06F0"/>
    <w:rsid w:val="007D45E3"/>
    <w:rsid w:val="007D5320"/>
    <w:rsid w:val="00800972"/>
    <w:rsid w:val="00804475"/>
    <w:rsid w:val="00811633"/>
    <w:rsid w:val="00821CEF"/>
    <w:rsid w:val="00821F10"/>
    <w:rsid w:val="00830473"/>
    <w:rsid w:val="00832828"/>
    <w:rsid w:val="0083645A"/>
    <w:rsid w:val="00854635"/>
    <w:rsid w:val="00856663"/>
    <w:rsid w:val="00872FC8"/>
    <w:rsid w:val="008801D3"/>
    <w:rsid w:val="008845D0"/>
    <w:rsid w:val="00885779"/>
    <w:rsid w:val="00892F05"/>
    <w:rsid w:val="008A0496"/>
    <w:rsid w:val="008B43F2"/>
    <w:rsid w:val="008B473F"/>
    <w:rsid w:val="008B6CFF"/>
    <w:rsid w:val="008E1A06"/>
    <w:rsid w:val="00903047"/>
    <w:rsid w:val="00903ECB"/>
    <w:rsid w:val="00910B26"/>
    <w:rsid w:val="009274B4"/>
    <w:rsid w:val="00930E4B"/>
    <w:rsid w:val="00934EA2"/>
    <w:rsid w:val="00944A5C"/>
    <w:rsid w:val="00952A66"/>
    <w:rsid w:val="00973389"/>
    <w:rsid w:val="009B07DF"/>
    <w:rsid w:val="009C56E5"/>
    <w:rsid w:val="009E5FC8"/>
    <w:rsid w:val="009E687A"/>
    <w:rsid w:val="009F4C9F"/>
    <w:rsid w:val="00A03C5C"/>
    <w:rsid w:val="00A066F1"/>
    <w:rsid w:val="00A141AF"/>
    <w:rsid w:val="00A15693"/>
    <w:rsid w:val="00A16D29"/>
    <w:rsid w:val="00A20E5E"/>
    <w:rsid w:val="00A30305"/>
    <w:rsid w:val="00A31D2D"/>
    <w:rsid w:val="00A404F0"/>
    <w:rsid w:val="00A4600A"/>
    <w:rsid w:val="00A538A6"/>
    <w:rsid w:val="00A53972"/>
    <w:rsid w:val="00A544EA"/>
    <w:rsid w:val="00A54C25"/>
    <w:rsid w:val="00A6404C"/>
    <w:rsid w:val="00A710E7"/>
    <w:rsid w:val="00A7372E"/>
    <w:rsid w:val="00A85602"/>
    <w:rsid w:val="00A93B85"/>
    <w:rsid w:val="00A96DFE"/>
    <w:rsid w:val="00AA0B18"/>
    <w:rsid w:val="00AA2B39"/>
    <w:rsid w:val="00AA666F"/>
    <w:rsid w:val="00AB2274"/>
    <w:rsid w:val="00AC4375"/>
    <w:rsid w:val="00B004E5"/>
    <w:rsid w:val="00B639E9"/>
    <w:rsid w:val="00B817CD"/>
    <w:rsid w:val="00B82B1A"/>
    <w:rsid w:val="00BA65F3"/>
    <w:rsid w:val="00BB29C8"/>
    <w:rsid w:val="00BB3A95"/>
    <w:rsid w:val="00BC7459"/>
    <w:rsid w:val="00C0018F"/>
    <w:rsid w:val="00C20466"/>
    <w:rsid w:val="00C214ED"/>
    <w:rsid w:val="00C234E6"/>
    <w:rsid w:val="00C264DA"/>
    <w:rsid w:val="00C3005A"/>
    <w:rsid w:val="00C31918"/>
    <w:rsid w:val="00C324A8"/>
    <w:rsid w:val="00C54517"/>
    <w:rsid w:val="00C55A32"/>
    <w:rsid w:val="00C64B30"/>
    <w:rsid w:val="00C64CD8"/>
    <w:rsid w:val="00C8720F"/>
    <w:rsid w:val="00C911C4"/>
    <w:rsid w:val="00C97C68"/>
    <w:rsid w:val="00CA1A47"/>
    <w:rsid w:val="00CC247A"/>
    <w:rsid w:val="00CC6351"/>
    <w:rsid w:val="00CE04FD"/>
    <w:rsid w:val="00CE5E47"/>
    <w:rsid w:val="00CF020F"/>
    <w:rsid w:val="00CF2B5B"/>
    <w:rsid w:val="00D14CE0"/>
    <w:rsid w:val="00D23F64"/>
    <w:rsid w:val="00D5651D"/>
    <w:rsid w:val="00D74898"/>
    <w:rsid w:val="00D801ED"/>
    <w:rsid w:val="00D83BF5"/>
    <w:rsid w:val="00D925C2"/>
    <w:rsid w:val="00D936BC"/>
    <w:rsid w:val="00D96530"/>
    <w:rsid w:val="00D96B4B"/>
    <w:rsid w:val="00DA7078"/>
    <w:rsid w:val="00DB13E0"/>
    <w:rsid w:val="00DD08B4"/>
    <w:rsid w:val="00DD44AF"/>
    <w:rsid w:val="00DE2AC3"/>
    <w:rsid w:val="00DE434C"/>
    <w:rsid w:val="00DE5692"/>
    <w:rsid w:val="00DF269F"/>
    <w:rsid w:val="00DF6F8E"/>
    <w:rsid w:val="00E03C94"/>
    <w:rsid w:val="00E07105"/>
    <w:rsid w:val="00E13126"/>
    <w:rsid w:val="00E14514"/>
    <w:rsid w:val="00E168B4"/>
    <w:rsid w:val="00E26226"/>
    <w:rsid w:val="00E27946"/>
    <w:rsid w:val="00E432AD"/>
    <w:rsid w:val="00E45D05"/>
    <w:rsid w:val="00E55816"/>
    <w:rsid w:val="00E55AEF"/>
    <w:rsid w:val="00E55C11"/>
    <w:rsid w:val="00E776B4"/>
    <w:rsid w:val="00E901C1"/>
    <w:rsid w:val="00E976C1"/>
    <w:rsid w:val="00EA12E5"/>
    <w:rsid w:val="00F02766"/>
    <w:rsid w:val="00F04067"/>
    <w:rsid w:val="00F05BD4"/>
    <w:rsid w:val="00F21A1D"/>
    <w:rsid w:val="00F2390F"/>
    <w:rsid w:val="00F33F7E"/>
    <w:rsid w:val="00F55876"/>
    <w:rsid w:val="00F64D43"/>
    <w:rsid w:val="00F65C19"/>
    <w:rsid w:val="00F717D3"/>
    <w:rsid w:val="00F77372"/>
    <w:rsid w:val="00F826F4"/>
    <w:rsid w:val="00F9304A"/>
    <w:rsid w:val="00FD2546"/>
    <w:rsid w:val="00FD772E"/>
    <w:rsid w:val="00FE33A8"/>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DBC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character" w:customStyle="1" w:styleId="ListParagraphChar">
    <w:name w:val="List Paragraph Char"/>
    <w:basedOn w:val="DefaultParagraphFont"/>
    <w:link w:val="ListParagraph"/>
    <w:uiPriority w:val="34"/>
    <w:locked/>
    <w:rsid w:val="00F77372"/>
    <w:rPr>
      <w:rFonts w:asciiTheme="minorHAnsi" w:hAnsiTheme="minorHAnsi"/>
      <w:sz w:val="24"/>
      <w:lang w:val="en-GB" w:eastAsia="en-US"/>
    </w:rPr>
  </w:style>
  <w:style w:type="character" w:styleId="CommentReference">
    <w:name w:val="annotation reference"/>
    <w:basedOn w:val="DefaultParagraphFont"/>
    <w:semiHidden/>
    <w:unhideWhenUsed/>
    <w:rsid w:val="00F717D3"/>
    <w:rPr>
      <w:sz w:val="16"/>
      <w:szCs w:val="16"/>
    </w:rPr>
  </w:style>
  <w:style w:type="paragraph" w:styleId="CommentText">
    <w:name w:val="annotation text"/>
    <w:basedOn w:val="Normal"/>
    <w:link w:val="CommentTextChar"/>
    <w:semiHidden/>
    <w:unhideWhenUsed/>
    <w:rsid w:val="00F717D3"/>
    <w:rPr>
      <w:sz w:val="20"/>
    </w:rPr>
  </w:style>
  <w:style w:type="character" w:customStyle="1" w:styleId="CommentTextChar">
    <w:name w:val="Comment Text Char"/>
    <w:basedOn w:val="DefaultParagraphFont"/>
    <w:link w:val="CommentText"/>
    <w:semiHidden/>
    <w:rsid w:val="00F717D3"/>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F717D3"/>
    <w:rPr>
      <w:b/>
      <w:bCs/>
    </w:rPr>
  </w:style>
  <w:style w:type="character" w:customStyle="1" w:styleId="CommentSubjectChar">
    <w:name w:val="Comment Subject Char"/>
    <w:basedOn w:val="CommentTextChar"/>
    <w:link w:val="CommentSubject"/>
    <w:semiHidden/>
    <w:rsid w:val="00F717D3"/>
    <w:rPr>
      <w:rFonts w:asciiTheme="minorHAnsi" w:hAnsiTheme="minorHAnsi"/>
      <w:b/>
      <w:bCs/>
      <w:lang w:val="en-GB" w:eastAsia="en-US"/>
    </w:rPr>
  </w:style>
  <w:style w:type="paragraph" w:styleId="Revision">
    <w:name w:val="Revision"/>
    <w:hidden/>
    <w:uiPriority w:val="99"/>
    <w:semiHidden/>
    <w:rsid w:val="00FE33A8"/>
    <w:rPr>
      <w:rFonts w:asciiTheme="minorHAnsi" w:hAnsiTheme="minorHAnsi"/>
      <w:sz w:val="24"/>
      <w:lang w:val="en-GB" w:eastAsia="en-US"/>
    </w:rPr>
  </w:style>
  <w:style w:type="paragraph" w:customStyle="1" w:styleId="CEONormal">
    <w:name w:val="CEO_Normal"/>
    <w:link w:val="CEONormalChar"/>
    <w:rsid w:val="009B07DF"/>
    <w:pPr>
      <w:spacing w:before="120" w:after="120"/>
    </w:pPr>
    <w:rPr>
      <w:rFonts w:ascii="Verdana" w:eastAsia="SimSun" w:hAnsi="Verdana"/>
      <w:sz w:val="19"/>
      <w:szCs w:val="19"/>
      <w:lang w:val="en-GB" w:eastAsia="en-US"/>
    </w:rPr>
  </w:style>
  <w:style w:type="table" w:styleId="TableGrid">
    <w:name w:val="Table Grid"/>
    <w:basedOn w:val="TableNormal"/>
    <w:rsid w:val="009B07DF"/>
    <w:pPr>
      <w:spacing w:before="120" w:after="12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ONormalChar">
    <w:name w:val="CEO_Normal Char"/>
    <w:link w:val="CEONormal"/>
    <w:rsid w:val="009B07DF"/>
    <w:rPr>
      <w:rFonts w:ascii="Verdana" w:eastAsia="SimSun" w:hAnsi="Verdana"/>
      <w:sz w:val="19"/>
      <w:szCs w:val="1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493985494">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8668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RPM-ARB.aspx" TargetMode="External"/><Relationship Id="rId1" Type="http://schemas.openxmlformats.org/officeDocument/2006/relationships/hyperlink" Target="mailto:bdtdirecto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F3B8D2DFE274DB69D0B705DFB6042" ma:contentTypeVersion="4" ma:contentTypeDescription="Create a new document." ma:contentTypeScope="" ma:versionID="9c4c57fdcc4c10664baee78d8cf71564">
  <xsd:schema xmlns:xsd="http://www.w3.org/2001/XMLSchema" xmlns:xs="http://www.w3.org/2001/XMLSchema" xmlns:p="http://schemas.microsoft.com/office/2006/metadata/properties" xmlns:ns2="c101bbcd-4607-4127-b732-e8f57ee1d9f1" targetNamespace="http://schemas.microsoft.com/office/2006/metadata/properties" ma:root="true" ma:fieldsID="b47fc1278c7c4d3167d4b3f05e1c49c4" ns2:_="">
    <xsd:import namespace="c101bbcd-4607-4127-b732-e8f57ee1d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bbcd-4607-4127-b732-e8f57ee1d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C048F-29CF-4D2B-B658-420DB8CC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1bbcd-4607-4127-b732-e8f57ee1d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BA7B26-E153-4ED6-878F-22D2EB11A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1760</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10940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12</cp:revision>
  <cp:lastPrinted>2011-08-24T07:41:00Z</cp:lastPrinted>
  <dcterms:created xsi:type="dcterms:W3CDTF">2020-12-21T12:01:00Z</dcterms:created>
  <dcterms:modified xsi:type="dcterms:W3CDTF">2021-04-07T16:02:00Z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0x0101001D3F3B8D2DFE274DB69D0B705DFB6042</vt:lpwstr>
  </property>
  <property fmtid="{D5CDD505-2E9C-101B-9397-08002B2CF9AE}" pid="10" name="_dlc_DocIdItemGuid">
    <vt:lpwstr>1277586e-23f4-4a9c-8b22-c68c4fc349db</vt:lpwstr>
  </property>
</Properties>
</file>