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05B6" w14:textId="34456A13" w:rsidR="009641C6" w:rsidRPr="002A17EA" w:rsidRDefault="00174FB7" w:rsidP="00C731B1">
      <w:pPr>
        <w:pStyle w:val="FrontMatterTitleLeftAligned"/>
        <w:rPr>
          <w:b/>
          <w:sz w:val="26"/>
          <w:szCs w:val="26"/>
        </w:rPr>
      </w:pPr>
      <w:r w:rsidRPr="002A17EA">
        <w:rPr>
          <w:b/>
          <w:sz w:val="26"/>
          <w:szCs w:val="26"/>
        </w:rPr>
        <w:t>Тенденции в цифровой сфере в Содружеств</w:t>
      </w:r>
      <w:r w:rsidR="00E90DEE">
        <w:rPr>
          <w:b/>
          <w:sz w:val="26"/>
          <w:szCs w:val="26"/>
        </w:rPr>
        <w:t>е</w:t>
      </w:r>
      <w:r w:rsidRPr="002A17EA">
        <w:rPr>
          <w:b/>
          <w:sz w:val="26"/>
          <w:szCs w:val="26"/>
        </w:rPr>
        <w:t xml:space="preserve"> Независимых </w:t>
      </w:r>
      <w:r w:rsidR="00585998" w:rsidRPr="002A17EA">
        <w:rPr>
          <w:b/>
          <w:sz w:val="26"/>
          <w:szCs w:val="26"/>
        </w:rPr>
        <w:t>Г</w:t>
      </w:r>
      <w:r w:rsidRPr="002A17EA">
        <w:rPr>
          <w:b/>
          <w:sz w:val="26"/>
          <w:szCs w:val="26"/>
        </w:rPr>
        <w:t xml:space="preserve">осударств, </w:t>
      </w:r>
      <w:r w:rsidR="009641C6" w:rsidRPr="002A17EA">
        <w:rPr>
          <w:b/>
          <w:sz w:val="26"/>
          <w:szCs w:val="26"/>
        </w:rPr>
        <w:t>2021</w:t>
      </w:r>
      <w:r w:rsidRPr="002A17EA">
        <w:rPr>
          <w:b/>
          <w:sz w:val="26"/>
          <w:szCs w:val="26"/>
        </w:rPr>
        <w:t> год</w:t>
      </w:r>
    </w:p>
    <w:p w14:paraId="39E7F2C1" w14:textId="5E516EBF" w:rsidR="007E7B1E" w:rsidRPr="002A17EA" w:rsidRDefault="00174FB7" w:rsidP="00C731B1">
      <w:pPr>
        <w:pStyle w:val="FrontMatterTitleLeftAligned"/>
        <w:rPr>
          <w:b/>
          <w:i/>
          <w:sz w:val="26"/>
          <w:szCs w:val="26"/>
        </w:rPr>
      </w:pPr>
      <w:r w:rsidRPr="002A17EA">
        <w:rPr>
          <w:b/>
          <w:i/>
          <w:sz w:val="26"/>
          <w:szCs w:val="26"/>
        </w:rPr>
        <w:t>Тенденции и изменения в развитии информационно-коммуникационных технологий в регионе СНГ в</w:t>
      </w:r>
      <w:r w:rsidR="007E7B1E" w:rsidRPr="002A17EA">
        <w:rPr>
          <w:b/>
          <w:i/>
          <w:sz w:val="26"/>
          <w:szCs w:val="26"/>
        </w:rPr>
        <w:t xml:space="preserve"> 2017</w:t>
      </w:r>
      <w:r w:rsidRPr="002A17EA">
        <w:rPr>
          <w:b/>
          <w:i/>
          <w:sz w:val="26"/>
          <w:szCs w:val="26"/>
        </w:rPr>
        <w:t>–</w:t>
      </w:r>
      <w:r w:rsidR="007E7B1E" w:rsidRPr="002A17EA">
        <w:rPr>
          <w:b/>
          <w:i/>
          <w:sz w:val="26"/>
          <w:szCs w:val="26"/>
        </w:rPr>
        <w:t>202</w:t>
      </w:r>
      <w:r w:rsidR="009641C6" w:rsidRPr="002A17EA">
        <w:rPr>
          <w:b/>
          <w:i/>
          <w:sz w:val="26"/>
          <w:szCs w:val="26"/>
        </w:rPr>
        <w:t>0</w:t>
      </w:r>
      <w:r w:rsidRPr="002A17EA">
        <w:rPr>
          <w:b/>
          <w:i/>
          <w:sz w:val="26"/>
          <w:szCs w:val="26"/>
        </w:rPr>
        <w:t> годах</w:t>
      </w:r>
    </w:p>
    <w:p w14:paraId="1258B593" w14:textId="77777777" w:rsidR="009641C6" w:rsidRPr="00174FB7" w:rsidRDefault="009641C6" w:rsidP="00C731B1">
      <w:pPr>
        <w:pStyle w:val="FrontMatterTitleLeftAligned"/>
        <w:rPr>
          <w:b/>
          <w:sz w:val="32"/>
          <w:szCs w:val="32"/>
          <w:highlight w:val="green"/>
        </w:rPr>
      </w:pPr>
    </w:p>
    <w:p w14:paraId="703A8B9C" w14:textId="7E21C162" w:rsidR="00C731B1" w:rsidRPr="003F2C96" w:rsidRDefault="00585998" w:rsidP="00C731B1">
      <w:pPr>
        <w:pStyle w:val="FrontMatterTitleLeftAligned"/>
        <w:rPr>
          <w:b/>
          <w:sz w:val="30"/>
          <w:szCs w:val="30"/>
        </w:rPr>
      </w:pPr>
      <w:r w:rsidRPr="002A17EA">
        <w:rPr>
          <w:b/>
          <w:sz w:val="30"/>
          <w:szCs w:val="30"/>
        </w:rPr>
        <w:t>Основные положения</w:t>
      </w:r>
    </w:p>
    <w:p w14:paraId="110ADD41" w14:textId="77777777" w:rsidR="009641C6" w:rsidRPr="003F2C96" w:rsidRDefault="009641C6" w:rsidP="00C731B1">
      <w:pPr>
        <w:pStyle w:val="FrontMatterTitleLeftAligned"/>
        <w:rPr>
          <w:b/>
          <w:sz w:val="32"/>
          <w:szCs w:val="32"/>
        </w:rPr>
      </w:pPr>
    </w:p>
    <w:p w14:paraId="68D6CA92" w14:textId="22859B85" w:rsidR="00785C3A" w:rsidRPr="003F2C96" w:rsidRDefault="00947BE3" w:rsidP="00C731B1">
      <w:pPr>
        <w:pStyle w:val="FrontMatterTitleLeftAligned"/>
        <w:rPr>
          <w:b/>
          <w:sz w:val="30"/>
          <w:szCs w:val="30"/>
        </w:rPr>
      </w:pPr>
      <w:r w:rsidRPr="002A17EA">
        <w:rPr>
          <w:b/>
          <w:sz w:val="30"/>
          <w:szCs w:val="30"/>
        </w:rPr>
        <w:t>Резюме</w:t>
      </w:r>
    </w:p>
    <w:p w14:paraId="13263994" w14:textId="135D1CAA" w:rsidR="00C731B1" w:rsidRPr="003F2C96" w:rsidRDefault="00947BE3" w:rsidP="009641C6">
      <w:pPr>
        <w:pStyle w:val="FrontMatterTitleLeftAligned"/>
      </w:pPr>
      <w:r w:rsidRPr="00947BE3">
        <w:rPr>
          <w:b/>
        </w:rPr>
        <w:t>В отчете "Тенденции в цифровой сфере в Содружеств</w:t>
      </w:r>
      <w:r w:rsidR="00E90DEE">
        <w:rPr>
          <w:b/>
        </w:rPr>
        <w:t>е</w:t>
      </w:r>
      <w:r w:rsidRPr="00947BE3">
        <w:rPr>
          <w:b/>
        </w:rPr>
        <w:t xml:space="preserve"> Независимых </w:t>
      </w:r>
      <w:r w:rsidR="00585998">
        <w:rPr>
          <w:b/>
        </w:rPr>
        <w:t>Г</w:t>
      </w:r>
      <w:r w:rsidRPr="00947BE3">
        <w:rPr>
          <w:b/>
        </w:rPr>
        <w:t>осударств, 2021</w:t>
      </w:r>
      <w:r w:rsidRPr="00947BE3">
        <w:rPr>
          <w:b/>
          <w:lang w:val="en-GB"/>
        </w:rPr>
        <w:t> </w:t>
      </w:r>
      <w:r w:rsidRPr="00947BE3">
        <w:rPr>
          <w:b/>
        </w:rPr>
        <w:t>год"</w:t>
      </w:r>
      <w:r w:rsidR="009641C6" w:rsidRPr="00947BE3">
        <w:rPr>
          <w:b/>
        </w:rPr>
        <w:t xml:space="preserve"> </w:t>
      </w:r>
      <w:r w:rsidRPr="00952E0B">
        <w:t xml:space="preserve">представлен обзор тенденций и изменений в </w:t>
      </w:r>
      <w:r w:rsidR="00797C41">
        <w:t xml:space="preserve">развитии </w:t>
      </w:r>
      <w:r w:rsidRPr="00952E0B">
        <w:t>инфраструктур</w:t>
      </w:r>
      <w:r w:rsidR="00585998">
        <w:t>ы</w:t>
      </w:r>
      <w:r w:rsidRPr="00952E0B">
        <w:t xml:space="preserve"> информационно-коммуникационных технологий (ИКТ), доступ</w:t>
      </w:r>
      <w:r w:rsidR="00585998">
        <w:t>а</w:t>
      </w:r>
      <w:r w:rsidRPr="00952E0B">
        <w:t xml:space="preserve"> к ним и их использовани</w:t>
      </w:r>
      <w:r w:rsidR="00585998">
        <w:t>я</w:t>
      </w:r>
      <w:r w:rsidRPr="00952E0B">
        <w:t xml:space="preserve"> в регионе СНГ, в котором находятся девять Государств-Членов и проживает 240 млн человек. В Отчете освещаются изменения, которые произошли во внедрении ИКТ </w:t>
      </w:r>
      <w:r w:rsidR="00797C41">
        <w:t xml:space="preserve">в период </w:t>
      </w:r>
      <w:r w:rsidRPr="00952E0B">
        <w:t>после прошлой Всемирной конференции по развитию электросвязи 2017 года (ВКРЭ-17) и в условиях пандемии COVID-19, прослежива</w:t>
      </w:r>
      <w:r w:rsidR="00797C41">
        <w:t>ется эволюция</w:t>
      </w:r>
      <w:r w:rsidRPr="00952E0B">
        <w:t xml:space="preserve"> регулирования, а также проводится анализ достигнутого прогресса и возникших проблем при выполнении инициатив для региона СНГ. Отчет предназначен для использования членами МСЭ в качестве справочн</w:t>
      </w:r>
      <w:r>
        <w:t>ого</w:t>
      </w:r>
      <w:r w:rsidRPr="00952E0B">
        <w:t xml:space="preserve"> материал</w:t>
      </w:r>
      <w:r>
        <w:t>а</w:t>
      </w:r>
      <w:r w:rsidRPr="00952E0B">
        <w:t xml:space="preserve"> при рассмотрении результатов и определени</w:t>
      </w:r>
      <w:r>
        <w:t>и</w:t>
      </w:r>
      <w:r w:rsidRPr="00952E0B">
        <w:t xml:space="preserve"> приоритетных направлений развития ИКТ в регионе СНГ.</w:t>
      </w:r>
    </w:p>
    <w:p w14:paraId="3C7BA3E1" w14:textId="7C382ACE" w:rsidR="00472B47" w:rsidRPr="00947BE3" w:rsidRDefault="00585998" w:rsidP="009641C6">
      <w:pPr>
        <w:pStyle w:val="FrontMatterTitleLeftAligned"/>
        <w:rPr>
          <w:b/>
        </w:rPr>
      </w:pPr>
      <w:r>
        <w:rPr>
          <w:b/>
        </w:rPr>
        <w:t>С</w:t>
      </w:r>
      <w:r w:rsidR="00947BE3" w:rsidRPr="00585998">
        <w:rPr>
          <w:b/>
        </w:rPr>
        <w:t>ледующ</w:t>
      </w:r>
      <w:r>
        <w:rPr>
          <w:b/>
        </w:rPr>
        <w:t>ие</w:t>
      </w:r>
      <w:r w:rsidR="00947BE3" w:rsidRPr="00585998">
        <w:rPr>
          <w:b/>
        </w:rPr>
        <w:t xml:space="preserve"> далее </w:t>
      </w:r>
      <w:r w:rsidR="00797C41" w:rsidRPr="00585998">
        <w:rPr>
          <w:b/>
        </w:rPr>
        <w:t>"</w:t>
      </w:r>
      <w:r w:rsidRPr="00585998">
        <w:rPr>
          <w:b/>
        </w:rPr>
        <w:t>Основны</w:t>
      </w:r>
      <w:r>
        <w:rPr>
          <w:b/>
        </w:rPr>
        <w:t>е</w:t>
      </w:r>
      <w:r w:rsidRPr="00585998">
        <w:rPr>
          <w:b/>
        </w:rPr>
        <w:t xml:space="preserve"> положения</w:t>
      </w:r>
      <w:r w:rsidR="00797C41" w:rsidRPr="00585998">
        <w:rPr>
          <w:b/>
        </w:rPr>
        <w:t>"</w:t>
      </w:r>
      <w:r w:rsidR="00472B47" w:rsidRPr="00585998">
        <w:rPr>
          <w:b/>
        </w:rPr>
        <w:t xml:space="preserve"> </w:t>
      </w:r>
      <w:r>
        <w:rPr>
          <w:b/>
        </w:rPr>
        <w:t>включают</w:t>
      </w:r>
      <w:r w:rsidR="00947BE3" w:rsidRPr="00585998">
        <w:rPr>
          <w:b/>
        </w:rPr>
        <w:t xml:space="preserve"> общий обзор и заключение, а также приложение, в котором представлено полное содержание отчета</w:t>
      </w:r>
      <w:r w:rsidR="00472B47" w:rsidRPr="00585998">
        <w:rPr>
          <w:b/>
        </w:rPr>
        <w:t>.</w:t>
      </w:r>
      <w:r w:rsidR="00472B47" w:rsidRPr="00947BE3">
        <w:rPr>
          <w:b/>
        </w:rPr>
        <w:t xml:space="preserve">  </w:t>
      </w:r>
    </w:p>
    <w:p w14:paraId="1839D13C" w14:textId="00230670" w:rsidR="00797C41" w:rsidRPr="003F2C96" w:rsidRDefault="00585998" w:rsidP="00797C41">
      <w:pPr>
        <w:pStyle w:val="Heading1"/>
        <w:rPr>
          <w:b/>
          <w:lang w:val="ru-RU"/>
        </w:rPr>
      </w:pPr>
      <w:r>
        <w:rPr>
          <w:lang w:val="ru-RU"/>
        </w:rPr>
        <w:t>Общий обзор</w:t>
      </w:r>
      <w:r w:rsidR="00797C41" w:rsidRPr="003F2C96">
        <w:rPr>
          <w:b/>
          <w:lang w:val="ru-RU"/>
        </w:rPr>
        <w:t xml:space="preserve"> </w:t>
      </w:r>
    </w:p>
    <w:p w14:paraId="451A91A7" w14:textId="5611AE1D" w:rsidR="00785C3A" w:rsidRPr="00585998" w:rsidRDefault="00585998" w:rsidP="00785C3A">
      <w:bookmarkStart w:id="0" w:name="lt_pId003"/>
      <w:r>
        <w:t>В то время как основное</w:t>
      </w:r>
      <w:r w:rsidRPr="002A4EB6">
        <w:t xml:space="preserve"> </w:t>
      </w:r>
      <w:r>
        <w:t>внимание</w:t>
      </w:r>
      <w:r w:rsidRPr="002A4EB6">
        <w:t xml:space="preserve"> </w:t>
      </w:r>
      <w:r>
        <w:t>мировых СМИ</w:t>
      </w:r>
      <w:r w:rsidRPr="002A4EB6">
        <w:t xml:space="preserve"> </w:t>
      </w:r>
      <w:r>
        <w:t>на</w:t>
      </w:r>
      <w:r w:rsidRPr="002A4EB6">
        <w:t xml:space="preserve"> </w:t>
      </w:r>
      <w:r>
        <w:t>протяжении</w:t>
      </w:r>
      <w:r w:rsidRPr="002A4EB6">
        <w:t xml:space="preserve"> 2020</w:t>
      </w:r>
      <w:r w:rsidRPr="0022242E">
        <w:t> </w:t>
      </w:r>
      <w:r>
        <w:t>года</w:t>
      </w:r>
      <w:r w:rsidRPr="002A4EB6">
        <w:t xml:space="preserve"> </w:t>
      </w:r>
      <w:r>
        <w:t>было</w:t>
      </w:r>
      <w:r w:rsidRPr="002A4EB6">
        <w:t xml:space="preserve"> </w:t>
      </w:r>
      <w:r>
        <w:t>приковано</w:t>
      </w:r>
      <w:r w:rsidRPr="002A4EB6">
        <w:t xml:space="preserve"> </w:t>
      </w:r>
      <w:r>
        <w:t>к</w:t>
      </w:r>
      <w:r w:rsidRPr="002A4EB6">
        <w:t xml:space="preserve"> </w:t>
      </w:r>
      <w:r w:rsidRPr="00AA2C19">
        <w:t>COVID</w:t>
      </w:r>
      <w:r w:rsidRPr="002A4EB6">
        <w:t>-19,</w:t>
      </w:r>
      <w:r>
        <w:t xml:space="preserve"> последовательное</w:t>
      </w:r>
      <w:r w:rsidRPr="002A4EB6">
        <w:t xml:space="preserve"> </w:t>
      </w:r>
      <w:r>
        <w:t>развитие</w:t>
      </w:r>
      <w:r w:rsidRPr="002A4EB6">
        <w:t xml:space="preserve"> </w:t>
      </w:r>
      <w:r>
        <w:t>и</w:t>
      </w:r>
      <w:r w:rsidRPr="002A4EB6">
        <w:t xml:space="preserve"> </w:t>
      </w:r>
      <w:r>
        <w:t>развертывание</w:t>
      </w:r>
      <w:r w:rsidRPr="002A4EB6">
        <w:t xml:space="preserve"> </w:t>
      </w:r>
      <w:r>
        <w:t>инфраструктуры</w:t>
      </w:r>
      <w:r w:rsidRPr="002A4EB6">
        <w:t xml:space="preserve"> </w:t>
      </w:r>
      <w:r>
        <w:t>ИКТ</w:t>
      </w:r>
      <w:r w:rsidRPr="002A4EB6">
        <w:t xml:space="preserve"> </w:t>
      </w:r>
      <w:r>
        <w:t>и</w:t>
      </w:r>
      <w:r w:rsidRPr="002A4EB6">
        <w:t xml:space="preserve"> </w:t>
      </w:r>
      <w:r>
        <w:t>сопутствующих</w:t>
      </w:r>
      <w:r w:rsidRPr="002A4EB6">
        <w:t xml:space="preserve"> </w:t>
      </w:r>
      <w:r>
        <w:t>этому</w:t>
      </w:r>
      <w:r w:rsidRPr="002A4EB6">
        <w:t xml:space="preserve"> </w:t>
      </w:r>
      <w:r>
        <w:t>услуг</w:t>
      </w:r>
      <w:r w:rsidRPr="002A4EB6">
        <w:t xml:space="preserve"> </w:t>
      </w:r>
      <w:r>
        <w:t>означало</w:t>
      </w:r>
      <w:r w:rsidRPr="002A4EB6">
        <w:t xml:space="preserve"> </w:t>
      </w:r>
      <w:r w:rsidRPr="00172DAA">
        <w:t>сохраняющуюся тенденцию к осуществлению цифровой трансформации как для общества, так и для предприятий и правительств.</w:t>
      </w:r>
      <w:bookmarkEnd w:id="0"/>
      <w:r w:rsidRPr="00172DAA">
        <w:t xml:space="preserve"> </w:t>
      </w:r>
      <w:bookmarkStart w:id="1" w:name="lt_pId004"/>
      <w:r w:rsidRPr="00172DAA">
        <w:t>После ВКРЭ-17 происходило непрерывное</w:t>
      </w:r>
      <w:r w:rsidRPr="0052358D">
        <w:t xml:space="preserve"> </w:t>
      </w:r>
      <w:r>
        <w:t>распространение</w:t>
      </w:r>
      <w:r w:rsidRPr="0052358D">
        <w:t xml:space="preserve"> </w:t>
      </w:r>
      <w:r>
        <w:t>информационно</w:t>
      </w:r>
      <w:r w:rsidRPr="0052358D">
        <w:t>-</w:t>
      </w:r>
      <w:r>
        <w:t>коммуникационных</w:t>
      </w:r>
      <w:r w:rsidRPr="0052358D">
        <w:t xml:space="preserve"> </w:t>
      </w:r>
      <w:r>
        <w:t>технологий</w:t>
      </w:r>
      <w:r w:rsidRPr="0052358D">
        <w:t xml:space="preserve"> (</w:t>
      </w:r>
      <w:r>
        <w:t>ИКТ</w:t>
      </w:r>
      <w:r w:rsidRPr="0052358D">
        <w:t>).</w:t>
      </w:r>
      <w:bookmarkEnd w:id="1"/>
      <w:r w:rsidRPr="0052358D">
        <w:t xml:space="preserve"> </w:t>
      </w:r>
      <w:bookmarkStart w:id="2" w:name="lt_pId005"/>
      <w:r>
        <w:t>Данные</w:t>
      </w:r>
      <w:r w:rsidRPr="00BB5804">
        <w:t xml:space="preserve"> </w:t>
      </w:r>
      <w:r>
        <w:t>МСЭ</w:t>
      </w:r>
      <w:r w:rsidRPr="00BB5804">
        <w:t xml:space="preserve"> </w:t>
      </w:r>
      <w:r>
        <w:t>показывают</w:t>
      </w:r>
      <w:r w:rsidRPr="00BB5804">
        <w:t xml:space="preserve">, </w:t>
      </w:r>
      <w:r>
        <w:t>что</w:t>
      </w:r>
      <w:r w:rsidRPr="00BB5804">
        <w:t xml:space="preserve"> </w:t>
      </w:r>
      <w:r>
        <w:t>в</w:t>
      </w:r>
      <w:r w:rsidRPr="00BB5804">
        <w:t xml:space="preserve"> 2019</w:t>
      </w:r>
      <w:r w:rsidRPr="00B8701C">
        <w:t> </w:t>
      </w:r>
      <w:r>
        <w:t>году</w:t>
      </w:r>
      <w:r w:rsidRPr="00BB5804">
        <w:t xml:space="preserve"> </w:t>
      </w:r>
      <w:r>
        <w:t>более</w:t>
      </w:r>
      <w:r w:rsidRPr="00BB5804">
        <w:t xml:space="preserve"> 50</w:t>
      </w:r>
      <w:r w:rsidRPr="00B8701C">
        <w:t> </w:t>
      </w:r>
      <w:r>
        <w:t>процентов</w:t>
      </w:r>
      <w:r w:rsidRPr="00BB5804">
        <w:t xml:space="preserve"> </w:t>
      </w:r>
      <w:r>
        <w:t>отдельных</w:t>
      </w:r>
      <w:r w:rsidRPr="00BB5804">
        <w:t xml:space="preserve"> </w:t>
      </w:r>
      <w:r>
        <w:t>лиц</w:t>
      </w:r>
      <w:r w:rsidRPr="00BB5804">
        <w:t xml:space="preserve"> </w:t>
      </w:r>
      <w:r>
        <w:t>пользовались</w:t>
      </w:r>
      <w:r w:rsidRPr="00BB5804">
        <w:t xml:space="preserve"> </w:t>
      </w:r>
      <w:r>
        <w:t>интернетом</w:t>
      </w:r>
      <w:r w:rsidRPr="00BB5804">
        <w:t xml:space="preserve"> (51,4 </w:t>
      </w:r>
      <w:r>
        <w:t>процента</w:t>
      </w:r>
      <w:r w:rsidRPr="00BB5804">
        <w:t xml:space="preserve"> </w:t>
      </w:r>
      <w:r>
        <w:t>во</w:t>
      </w:r>
      <w:r w:rsidRPr="00BB5804">
        <w:t xml:space="preserve"> </w:t>
      </w:r>
      <w:r>
        <w:t>всем</w:t>
      </w:r>
      <w:r w:rsidRPr="00BB5804">
        <w:t xml:space="preserve"> </w:t>
      </w:r>
      <w:r>
        <w:t>мире</w:t>
      </w:r>
      <w:r w:rsidRPr="00BB5804">
        <w:t xml:space="preserve"> </w:t>
      </w:r>
      <w:r>
        <w:t>к</w:t>
      </w:r>
      <w:r w:rsidRPr="00BB5804">
        <w:t xml:space="preserve"> </w:t>
      </w:r>
      <w:r>
        <w:t>концу</w:t>
      </w:r>
      <w:r w:rsidRPr="00BB5804">
        <w:t xml:space="preserve"> 2019 </w:t>
      </w:r>
      <w:r>
        <w:t>г</w:t>
      </w:r>
      <w:r w:rsidRPr="00BB5804">
        <w:t>.), 75 </w:t>
      </w:r>
      <w:r>
        <w:t>процентов</w:t>
      </w:r>
      <w:r w:rsidRPr="00BB5804">
        <w:t xml:space="preserve"> </w:t>
      </w:r>
      <w:r>
        <w:t>всего</w:t>
      </w:r>
      <w:r w:rsidRPr="00BB5804">
        <w:t xml:space="preserve"> </w:t>
      </w:r>
      <w:r>
        <w:t>населения</w:t>
      </w:r>
      <w:r w:rsidRPr="00BB5804">
        <w:t xml:space="preserve"> </w:t>
      </w:r>
      <w:r>
        <w:t>мира</w:t>
      </w:r>
      <w:r w:rsidRPr="00BB5804">
        <w:t xml:space="preserve"> </w:t>
      </w:r>
      <w:r>
        <w:t>имели</w:t>
      </w:r>
      <w:r w:rsidRPr="00BB5804">
        <w:t xml:space="preserve"> </w:t>
      </w:r>
      <w:r>
        <w:t>активные</w:t>
      </w:r>
      <w:r w:rsidRPr="00BB5804">
        <w:t xml:space="preserve"> </w:t>
      </w:r>
      <w:r>
        <w:t>контракты</w:t>
      </w:r>
      <w:r w:rsidRPr="00BB5804">
        <w:t xml:space="preserve"> </w:t>
      </w:r>
      <w:r>
        <w:t>на</w:t>
      </w:r>
      <w:r w:rsidRPr="00BB5804">
        <w:t xml:space="preserve"> </w:t>
      </w:r>
      <w:r>
        <w:t>подвижную</w:t>
      </w:r>
      <w:r w:rsidRPr="00BB5804">
        <w:t xml:space="preserve"> </w:t>
      </w:r>
      <w:r>
        <w:t>широкополосную</w:t>
      </w:r>
      <w:r w:rsidRPr="00BB5804">
        <w:t xml:space="preserve"> </w:t>
      </w:r>
      <w:r>
        <w:t>связь</w:t>
      </w:r>
      <w:r w:rsidRPr="00BB5804">
        <w:t xml:space="preserve">, </w:t>
      </w:r>
      <w:r>
        <w:t>а доля контрактов на фиксированную широкополосную связь несколько превысила</w:t>
      </w:r>
      <w:r w:rsidRPr="00BB5804">
        <w:t xml:space="preserve"> 15</w:t>
      </w:r>
      <w:r>
        <w:t> процентов</w:t>
      </w:r>
      <w:r w:rsidRPr="00BB5804">
        <w:t>.</w:t>
      </w:r>
      <w:bookmarkEnd w:id="2"/>
      <w:r w:rsidRPr="00BB5804">
        <w:t xml:space="preserve"> </w:t>
      </w:r>
      <w:bookmarkStart w:id="3" w:name="lt_pId006"/>
      <w:r>
        <w:t>В</w:t>
      </w:r>
      <w:r w:rsidRPr="005F7FF5">
        <w:t> </w:t>
      </w:r>
      <w:r>
        <w:t>настоящее</w:t>
      </w:r>
      <w:r w:rsidRPr="005F7FF5">
        <w:t xml:space="preserve"> </w:t>
      </w:r>
      <w:r>
        <w:t>время</w:t>
      </w:r>
      <w:r w:rsidRPr="005F7FF5">
        <w:t xml:space="preserve"> </w:t>
      </w:r>
      <w:r>
        <w:t>более</w:t>
      </w:r>
      <w:r w:rsidRPr="005F7FF5">
        <w:t xml:space="preserve"> 57 </w:t>
      </w:r>
      <w:r>
        <w:t>процентов</w:t>
      </w:r>
      <w:r w:rsidRPr="005F7FF5">
        <w:t xml:space="preserve"> </w:t>
      </w:r>
      <w:r>
        <w:t>домашних</w:t>
      </w:r>
      <w:r w:rsidRPr="005F7FF5">
        <w:t xml:space="preserve"> </w:t>
      </w:r>
      <w:r>
        <w:t>хозяйств имеют собственный доступ в интернет</w:t>
      </w:r>
      <w:r w:rsidRPr="005F7FF5">
        <w:t>.</w:t>
      </w:r>
      <w:bookmarkEnd w:id="3"/>
      <w:r w:rsidRPr="005F7FF5">
        <w:t xml:space="preserve"> </w:t>
      </w:r>
      <w:bookmarkStart w:id="4" w:name="lt_pId007"/>
      <w:r>
        <w:t>Кроме</w:t>
      </w:r>
      <w:r w:rsidRPr="00B01F9F">
        <w:t xml:space="preserve"> </w:t>
      </w:r>
      <w:r>
        <w:t>того</w:t>
      </w:r>
      <w:r w:rsidRPr="00B01F9F">
        <w:t xml:space="preserve">, </w:t>
      </w:r>
      <w:r w:rsidRPr="008A5561">
        <w:t>учитывая рост спроса на данные, который вызывают требующие все большей полосы пропускания услуги</w:t>
      </w:r>
      <w:r w:rsidRPr="00B01F9F">
        <w:t xml:space="preserve">, </w:t>
      </w:r>
      <w:r>
        <w:t>с</w:t>
      </w:r>
      <w:r w:rsidRPr="00006199">
        <w:t>реднегодовые темпы роста</w:t>
      </w:r>
      <w:r>
        <w:t xml:space="preserve"> (СГТР)</w:t>
      </w:r>
      <w:r w:rsidRPr="00006199">
        <w:t xml:space="preserve"> </w:t>
      </w:r>
      <w:r>
        <w:t xml:space="preserve">полосы пропускания международного трафика в период с </w:t>
      </w:r>
      <w:r w:rsidRPr="00B01F9F">
        <w:t xml:space="preserve">2017 </w:t>
      </w:r>
      <w:r>
        <w:t>по</w:t>
      </w:r>
      <w:r w:rsidRPr="00B01F9F">
        <w:t xml:space="preserve"> 2020</w:t>
      </w:r>
      <w:r>
        <w:t> год составили, в</w:t>
      </w:r>
      <w:r w:rsidRPr="00B01F9F">
        <w:t xml:space="preserve"> </w:t>
      </w:r>
      <w:r>
        <w:t>среднем</w:t>
      </w:r>
      <w:r w:rsidRPr="00B01F9F">
        <w:t>, 36</w:t>
      </w:r>
      <w:r>
        <w:t xml:space="preserve"> процентов, при этом СГТР полосы пропускания международного трафика в расчете на одного пользователя интернета в период с </w:t>
      </w:r>
      <w:r w:rsidRPr="00B01F9F">
        <w:t xml:space="preserve">2017 </w:t>
      </w:r>
      <w:r>
        <w:t>по</w:t>
      </w:r>
      <w:r w:rsidRPr="00B01F9F">
        <w:t xml:space="preserve"> 2020</w:t>
      </w:r>
      <w:r>
        <w:t> год составили</w:t>
      </w:r>
      <w:r w:rsidRPr="00006199">
        <w:t xml:space="preserve"> </w:t>
      </w:r>
      <w:r w:rsidRPr="00B01F9F">
        <w:t>26</w:t>
      </w:r>
      <w:r>
        <w:t> процентов</w:t>
      </w:r>
      <w:r w:rsidRPr="00B01F9F">
        <w:t>.</w:t>
      </w:r>
      <w:bookmarkEnd w:id="4"/>
      <w:r w:rsidRPr="00B01F9F">
        <w:t xml:space="preserve"> </w:t>
      </w:r>
      <w:bookmarkStart w:id="5" w:name="lt_pId008"/>
      <w:r>
        <w:t>Тем</w:t>
      </w:r>
      <w:r w:rsidRPr="0052358D">
        <w:t xml:space="preserve"> </w:t>
      </w:r>
      <w:r>
        <w:t>не</w:t>
      </w:r>
      <w:r w:rsidRPr="0052358D">
        <w:t xml:space="preserve"> </w:t>
      </w:r>
      <w:r>
        <w:t>менее</w:t>
      </w:r>
      <w:r w:rsidRPr="0052358D">
        <w:t xml:space="preserve">, </w:t>
      </w:r>
      <w:r>
        <w:t>цифровой</w:t>
      </w:r>
      <w:r w:rsidRPr="0052358D">
        <w:t xml:space="preserve"> </w:t>
      </w:r>
      <w:r>
        <w:t>разрыв</w:t>
      </w:r>
      <w:r w:rsidRPr="0052358D">
        <w:t xml:space="preserve"> </w:t>
      </w:r>
      <w:r>
        <w:t>сохраняется</w:t>
      </w:r>
      <w:r w:rsidRPr="0052358D">
        <w:t>.</w:t>
      </w:r>
      <w:bookmarkEnd w:id="5"/>
      <w:r w:rsidRPr="0052358D">
        <w:t xml:space="preserve"> </w:t>
      </w:r>
      <w:bookmarkStart w:id="6" w:name="lt_pId009"/>
      <w:r>
        <w:t>Притом что</w:t>
      </w:r>
      <w:r w:rsidRPr="00DD7694">
        <w:t xml:space="preserve"> </w:t>
      </w:r>
      <w:r>
        <w:t>почти</w:t>
      </w:r>
      <w:r w:rsidRPr="00DD7694">
        <w:t xml:space="preserve"> </w:t>
      </w:r>
      <w:r>
        <w:t>во</w:t>
      </w:r>
      <w:r w:rsidRPr="00DD7694">
        <w:t xml:space="preserve"> </w:t>
      </w:r>
      <w:r>
        <w:t>всех</w:t>
      </w:r>
      <w:r w:rsidRPr="00DD7694">
        <w:t xml:space="preserve"> </w:t>
      </w:r>
      <w:r>
        <w:t>городских</w:t>
      </w:r>
      <w:r w:rsidRPr="00DD7694">
        <w:t xml:space="preserve"> </w:t>
      </w:r>
      <w:r>
        <w:t>районах</w:t>
      </w:r>
      <w:r w:rsidRPr="00DD7694">
        <w:t xml:space="preserve"> </w:t>
      </w:r>
      <w:r>
        <w:t>мира</w:t>
      </w:r>
      <w:r w:rsidRPr="00DD7694">
        <w:t xml:space="preserve"> </w:t>
      </w:r>
      <w:r>
        <w:t>обеспечено</w:t>
      </w:r>
      <w:r w:rsidRPr="00DD7694">
        <w:t xml:space="preserve"> </w:t>
      </w:r>
      <w:r>
        <w:t>покрытие сетями</w:t>
      </w:r>
      <w:r w:rsidRPr="00DD7694">
        <w:t xml:space="preserve"> </w:t>
      </w:r>
      <w:r>
        <w:t>подвижной</w:t>
      </w:r>
      <w:r w:rsidRPr="00DD7694">
        <w:t xml:space="preserve"> </w:t>
      </w:r>
      <w:r>
        <w:t>широкополосной</w:t>
      </w:r>
      <w:r w:rsidRPr="00DD7694">
        <w:t xml:space="preserve"> </w:t>
      </w:r>
      <w:r>
        <w:t>связи</w:t>
      </w:r>
      <w:r w:rsidRPr="00DD7694">
        <w:t xml:space="preserve">, </w:t>
      </w:r>
      <w:r>
        <w:t>в сельских</w:t>
      </w:r>
      <w:r w:rsidRPr="00DD7694">
        <w:t xml:space="preserve"> </w:t>
      </w:r>
      <w:r>
        <w:t>районах</w:t>
      </w:r>
      <w:r w:rsidRPr="00DD7694">
        <w:t xml:space="preserve"> </w:t>
      </w:r>
      <w:r>
        <w:t>все еще</w:t>
      </w:r>
      <w:r w:rsidRPr="00DD7694">
        <w:t xml:space="preserve"> </w:t>
      </w:r>
      <w:r>
        <w:t>существуют</w:t>
      </w:r>
      <w:r w:rsidRPr="00DD7694">
        <w:t xml:space="preserve"> </w:t>
      </w:r>
      <w:r>
        <w:lastRenderedPageBreak/>
        <w:t>многочисленные</w:t>
      </w:r>
      <w:r w:rsidRPr="00DD7694">
        <w:t xml:space="preserve"> </w:t>
      </w:r>
      <w:r>
        <w:t>разрывы</w:t>
      </w:r>
      <w:r w:rsidRPr="00DD7694">
        <w:t>.</w:t>
      </w:r>
      <w:bookmarkEnd w:id="6"/>
      <w:r w:rsidRPr="00DD7694">
        <w:t xml:space="preserve"> </w:t>
      </w:r>
      <w:bookmarkStart w:id="7" w:name="lt_pId010"/>
      <w:r>
        <w:t>Сохраняется</w:t>
      </w:r>
      <w:r w:rsidRPr="00A85DEF">
        <w:t xml:space="preserve"> </w:t>
      </w:r>
      <w:r>
        <w:t>гендерный</w:t>
      </w:r>
      <w:r w:rsidRPr="00A85DEF">
        <w:t xml:space="preserve"> </w:t>
      </w:r>
      <w:r>
        <w:t>разрыв</w:t>
      </w:r>
      <w:r w:rsidRPr="00A85DEF">
        <w:t xml:space="preserve">, </w:t>
      </w:r>
      <w:r>
        <w:t>по</w:t>
      </w:r>
      <w:r w:rsidRPr="00A85DEF">
        <w:t>-</w:t>
      </w:r>
      <w:r>
        <w:t>прежнему</w:t>
      </w:r>
      <w:r w:rsidRPr="00A85DEF">
        <w:t xml:space="preserve"> </w:t>
      </w:r>
      <w:r>
        <w:t>меньше</w:t>
      </w:r>
      <w:r w:rsidRPr="00A85DEF">
        <w:t xml:space="preserve"> </w:t>
      </w:r>
      <w:r>
        <w:t>женщин</w:t>
      </w:r>
      <w:r w:rsidRPr="00A85DEF">
        <w:t xml:space="preserve">, </w:t>
      </w:r>
      <w:r>
        <w:t>чем</w:t>
      </w:r>
      <w:r w:rsidRPr="00A85DEF">
        <w:t xml:space="preserve"> </w:t>
      </w:r>
      <w:r>
        <w:t>мужчин</w:t>
      </w:r>
      <w:r w:rsidRPr="00A85DEF">
        <w:t xml:space="preserve"> </w:t>
      </w:r>
      <w:r>
        <w:t>пользуется</w:t>
      </w:r>
      <w:r w:rsidRPr="00A85DEF">
        <w:t xml:space="preserve"> </w:t>
      </w:r>
      <w:r>
        <w:t>интернетом</w:t>
      </w:r>
      <w:r w:rsidRPr="00A85DEF">
        <w:t xml:space="preserve"> (</w:t>
      </w:r>
      <w:r>
        <w:t>Рисунок </w:t>
      </w:r>
      <w:r w:rsidRPr="00A85DEF">
        <w:t>1).</w:t>
      </w:r>
      <w:bookmarkEnd w:id="7"/>
    </w:p>
    <w:p w14:paraId="27529FCB" w14:textId="3C490EFB" w:rsidR="00785C3A" w:rsidRPr="00585998" w:rsidRDefault="00585998" w:rsidP="00785C3A">
      <w:pPr>
        <w:pStyle w:val="Figuretitle"/>
      </w:pPr>
      <w:r w:rsidRPr="00585998">
        <w:t>Рисунок</w:t>
      </w:r>
      <w:r>
        <w:t xml:space="preserve"> 1</w:t>
      </w:r>
      <w:r w:rsidRPr="00585998">
        <w:t>: Глобальные показатели ИКТ (на 100 человек населения и в процентах) за 2019 и 2020</w:t>
      </w:r>
      <w:r w:rsidR="001D13E9">
        <w:rPr>
          <w:lang w:val="en-GB"/>
        </w:rPr>
        <w:t> </w:t>
      </w:r>
      <w:r w:rsidRPr="00585998">
        <w:t>годы, а также СГТР за период 2017–2019 и 2017–2020 годов, при наличии</w:t>
      </w:r>
    </w:p>
    <w:p w14:paraId="61398F44" w14:textId="2366AA5A" w:rsidR="00785C3A" w:rsidRPr="00623393" w:rsidRDefault="001D13E9" w:rsidP="001D13E9">
      <w:pPr>
        <w:pStyle w:val="Figure"/>
      </w:pPr>
      <w:r w:rsidRPr="001D13E9">
        <w:rPr>
          <w:noProof/>
          <w:lang w:val="en-US"/>
        </w:rPr>
        <w:drawing>
          <wp:inline distT="0" distB="0" distL="0" distR="0" wp14:anchorId="1FBF5E35" wp14:editId="5A7E0AE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C66B" w14:textId="1A1E1FF6" w:rsidR="00585998" w:rsidRPr="001D13E9" w:rsidRDefault="00585998" w:rsidP="00585998">
      <w:pPr>
        <w:rPr>
          <w:sz w:val="20"/>
          <w:szCs w:val="20"/>
        </w:rPr>
      </w:pPr>
      <w:bookmarkStart w:id="8" w:name="lt_pId013"/>
      <w:r w:rsidRPr="001D13E9">
        <w:rPr>
          <w:sz w:val="20"/>
          <w:szCs w:val="20"/>
        </w:rPr>
        <w:t>Источник: на основе базы данных МСЭ по всемирным показателям в области электросвязи/ИКТ (WTI) за 2017, 2019 и 2020 год</w:t>
      </w:r>
      <w:r w:rsidR="00623393" w:rsidRPr="001D13E9">
        <w:rPr>
          <w:sz w:val="20"/>
          <w:szCs w:val="20"/>
        </w:rPr>
        <w:t>ы</w:t>
      </w:r>
      <w:r w:rsidRPr="001D13E9">
        <w:rPr>
          <w:sz w:val="20"/>
          <w:szCs w:val="20"/>
        </w:rPr>
        <w:t>, при наличии.</w:t>
      </w:r>
      <w:bookmarkEnd w:id="8"/>
    </w:p>
    <w:p w14:paraId="643669DD" w14:textId="0E39C86A" w:rsidR="00785C3A" w:rsidRPr="00585998" w:rsidRDefault="00585998" w:rsidP="00785C3A">
      <w:bookmarkStart w:id="9" w:name="lt_pId014"/>
      <w:r>
        <w:t>Большинство</w:t>
      </w:r>
      <w:r w:rsidRPr="009A1DA4">
        <w:t xml:space="preserve"> </w:t>
      </w:r>
      <w:r>
        <w:t>стран</w:t>
      </w:r>
      <w:r w:rsidRPr="009A1DA4">
        <w:t xml:space="preserve"> </w:t>
      </w:r>
      <w:r>
        <w:t>во</w:t>
      </w:r>
      <w:r w:rsidRPr="009A1DA4">
        <w:t xml:space="preserve"> </w:t>
      </w:r>
      <w:r>
        <w:t>всем</w:t>
      </w:r>
      <w:r w:rsidRPr="009A1DA4">
        <w:t xml:space="preserve"> </w:t>
      </w:r>
      <w:r>
        <w:t>мире</w:t>
      </w:r>
      <w:r w:rsidRPr="009A1DA4">
        <w:t xml:space="preserve"> </w:t>
      </w:r>
      <w:r>
        <w:t>борются</w:t>
      </w:r>
      <w:r w:rsidRPr="009A1DA4">
        <w:t xml:space="preserve"> </w:t>
      </w:r>
      <w:r>
        <w:t>с</w:t>
      </w:r>
      <w:r w:rsidRPr="009A1DA4">
        <w:t xml:space="preserve"> </w:t>
      </w:r>
      <w:r>
        <w:t>последствиями</w:t>
      </w:r>
      <w:r w:rsidRPr="009A1DA4">
        <w:t xml:space="preserve"> </w:t>
      </w:r>
      <w:r>
        <w:t>пандемии</w:t>
      </w:r>
      <w:r w:rsidRPr="009A1DA4">
        <w:t xml:space="preserve"> </w:t>
      </w:r>
      <w:r w:rsidRPr="00645030">
        <w:t>COVID</w:t>
      </w:r>
      <w:r w:rsidRPr="009A1DA4">
        <w:t xml:space="preserve">-19, </w:t>
      </w:r>
      <w:r>
        <w:t>вследствие чего</w:t>
      </w:r>
      <w:r w:rsidRPr="009A1DA4">
        <w:t xml:space="preserve"> </w:t>
      </w:r>
      <w:r>
        <w:t>роль</w:t>
      </w:r>
      <w:r w:rsidRPr="009A1DA4">
        <w:t xml:space="preserve"> </w:t>
      </w:r>
      <w:r>
        <w:t>ИКТ</w:t>
      </w:r>
      <w:r w:rsidRPr="009A1DA4">
        <w:t xml:space="preserve"> </w:t>
      </w:r>
      <w:r>
        <w:t>и</w:t>
      </w:r>
      <w:r w:rsidRPr="009A1DA4">
        <w:t xml:space="preserve"> </w:t>
      </w:r>
      <w:r>
        <w:t>услуг</w:t>
      </w:r>
      <w:r w:rsidRPr="009A1DA4">
        <w:t xml:space="preserve">, </w:t>
      </w:r>
      <w:r>
        <w:t>а</w:t>
      </w:r>
      <w:r w:rsidRPr="009A1DA4">
        <w:t xml:space="preserve"> </w:t>
      </w:r>
      <w:r>
        <w:t>также</w:t>
      </w:r>
      <w:r w:rsidRPr="009A1DA4">
        <w:t xml:space="preserve"> </w:t>
      </w:r>
      <w:r>
        <w:t>цифровой</w:t>
      </w:r>
      <w:r w:rsidRPr="009A1DA4">
        <w:t xml:space="preserve"> </w:t>
      </w:r>
      <w:r>
        <w:t>инфраструктуры</w:t>
      </w:r>
      <w:r w:rsidRPr="009A1DA4">
        <w:t xml:space="preserve">, </w:t>
      </w:r>
      <w:r>
        <w:t>на</w:t>
      </w:r>
      <w:r w:rsidRPr="009A1DA4">
        <w:t xml:space="preserve"> </w:t>
      </w:r>
      <w:r>
        <w:t>основе</w:t>
      </w:r>
      <w:r w:rsidRPr="009A1DA4">
        <w:t xml:space="preserve"> </w:t>
      </w:r>
      <w:r>
        <w:t>которой</w:t>
      </w:r>
      <w:r w:rsidRPr="009A1DA4">
        <w:t xml:space="preserve"> </w:t>
      </w:r>
      <w:r>
        <w:t>они</w:t>
      </w:r>
      <w:r w:rsidRPr="009A1DA4">
        <w:t xml:space="preserve"> </w:t>
      </w:r>
      <w:r>
        <w:t>работают и развиваются, стала главной для обеспечения непрерывной социально-экономической деятельности и уменьшения воздействия пандемии</w:t>
      </w:r>
      <w:r w:rsidRPr="009A1DA4">
        <w:t>.</w:t>
      </w:r>
      <w:bookmarkEnd w:id="9"/>
      <w:r w:rsidRPr="009A1DA4">
        <w:t xml:space="preserve"> </w:t>
      </w:r>
      <w:bookmarkStart w:id="10" w:name="lt_pId015"/>
      <w:r>
        <w:t>Организованный</w:t>
      </w:r>
      <w:r w:rsidRPr="00016C3C">
        <w:t xml:space="preserve"> </w:t>
      </w:r>
      <w:r>
        <w:t>МСЭ</w:t>
      </w:r>
      <w:r w:rsidRPr="00016C3C">
        <w:t xml:space="preserve"> </w:t>
      </w:r>
      <w:r>
        <w:t>в</w:t>
      </w:r>
      <w:r w:rsidRPr="00016C3C">
        <w:t xml:space="preserve"> </w:t>
      </w:r>
      <w:r>
        <w:t>июне</w:t>
      </w:r>
      <w:r w:rsidRPr="00016C3C">
        <w:t xml:space="preserve"> 2020 </w:t>
      </w:r>
      <w:r>
        <w:t>года</w:t>
      </w:r>
      <w:r w:rsidRPr="00016C3C">
        <w:t xml:space="preserve"> </w:t>
      </w:r>
      <w:r>
        <w:t>круглый</w:t>
      </w:r>
      <w:r w:rsidRPr="00016C3C">
        <w:t xml:space="preserve"> </w:t>
      </w:r>
      <w:r>
        <w:t>стол</w:t>
      </w:r>
      <w:r w:rsidRPr="00016C3C">
        <w:t xml:space="preserve"> </w:t>
      </w:r>
      <w:r>
        <w:t>с участием экспертов</w:t>
      </w:r>
      <w:r w:rsidRPr="00016C3C">
        <w:t xml:space="preserve"> </w:t>
      </w:r>
      <w:r>
        <w:t>по</w:t>
      </w:r>
      <w:r w:rsidRPr="00016C3C">
        <w:t xml:space="preserve"> </w:t>
      </w:r>
      <w:r>
        <w:t>экономическим</w:t>
      </w:r>
      <w:r w:rsidRPr="00016C3C">
        <w:t xml:space="preserve"> </w:t>
      </w:r>
      <w:r>
        <w:t>вопросам</w:t>
      </w:r>
      <w:r>
        <w:rPr>
          <w:rStyle w:val="FootnoteReference"/>
        </w:rPr>
        <w:footnoteReference w:id="1"/>
      </w:r>
      <w:r w:rsidRPr="00016C3C">
        <w:t xml:space="preserve"> </w:t>
      </w:r>
      <w:r>
        <w:t>пришел</w:t>
      </w:r>
      <w:r w:rsidRPr="00016C3C">
        <w:t xml:space="preserve"> </w:t>
      </w:r>
      <w:r>
        <w:t>к</w:t>
      </w:r>
      <w:r w:rsidRPr="00016C3C">
        <w:t xml:space="preserve"> </w:t>
      </w:r>
      <w:r>
        <w:t>выводу</w:t>
      </w:r>
      <w:r w:rsidRPr="00016C3C">
        <w:t xml:space="preserve">, </w:t>
      </w:r>
      <w:r>
        <w:t>что страны, имеющие более развитую инфраструктуру подключения, могут добиться до 50-процентного смягчения отрицательных экономических последствий, связанных с пандемией</w:t>
      </w:r>
      <w:r w:rsidRPr="00016C3C">
        <w:t>.</w:t>
      </w:r>
      <w:bookmarkEnd w:id="10"/>
      <w:r w:rsidRPr="00016C3C">
        <w:t xml:space="preserve"> </w:t>
      </w:r>
      <w:bookmarkStart w:id="12" w:name="lt_pId016"/>
      <w:r>
        <w:t>В</w:t>
      </w:r>
      <w:r w:rsidRPr="00471E45">
        <w:t> </w:t>
      </w:r>
      <w:r>
        <w:t>целом</w:t>
      </w:r>
      <w:r w:rsidRPr="00471E45">
        <w:t xml:space="preserve"> </w:t>
      </w:r>
      <w:r>
        <w:t>пандемия</w:t>
      </w:r>
      <w:r w:rsidRPr="00471E45">
        <w:t xml:space="preserve"> </w:t>
      </w:r>
      <w:r>
        <w:t>вызвала</w:t>
      </w:r>
      <w:r w:rsidRPr="00471E45">
        <w:t xml:space="preserve"> </w:t>
      </w:r>
      <w:r>
        <w:t>ускорение</w:t>
      </w:r>
      <w:r w:rsidRPr="00471E45">
        <w:t xml:space="preserve"> </w:t>
      </w:r>
      <w:r>
        <w:t>цифровой</w:t>
      </w:r>
      <w:r w:rsidRPr="00471E45">
        <w:t xml:space="preserve"> </w:t>
      </w:r>
      <w:r>
        <w:t>трансформации</w:t>
      </w:r>
      <w:r w:rsidRPr="00471E45">
        <w:t xml:space="preserve">, </w:t>
      </w:r>
      <w:r>
        <w:t>так</w:t>
      </w:r>
      <w:r w:rsidRPr="00471E45">
        <w:t xml:space="preserve"> </w:t>
      </w:r>
      <w:r>
        <w:t>как</w:t>
      </w:r>
      <w:r w:rsidRPr="00471E45">
        <w:t xml:space="preserve"> </w:t>
      </w:r>
      <w:r>
        <w:t>предприятия переход</w:t>
      </w:r>
      <w:r w:rsidR="001B1A44">
        <w:t>я</w:t>
      </w:r>
      <w:r>
        <w:t>т на</w:t>
      </w:r>
      <w:r w:rsidRPr="00471E45">
        <w:t xml:space="preserve"> </w:t>
      </w:r>
      <w:r>
        <w:t>распределенные модели занятости, а также на цифровые услуги и доставку продуктов</w:t>
      </w:r>
      <w:r w:rsidRPr="00471E45">
        <w:t>.</w:t>
      </w:r>
      <w:bookmarkEnd w:id="12"/>
      <w:r w:rsidRPr="00471E45">
        <w:t xml:space="preserve"> </w:t>
      </w:r>
      <w:bookmarkStart w:id="13" w:name="lt_pId017"/>
      <w:r>
        <w:t>Люди</w:t>
      </w:r>
      <w:r w:rsidRPr="00471E45">
        <w:t xml:space="preserve"> </w:t>
      </w:r>
      <w:r>
        <w:t>воздерживаются</w:t>
      </w:r>
      <w:r w:rsidRPr="00471E45">
        <w:t xml:space="preserve"> </w:t>
      </w:r>
      <w:r>
        <w:t>от</w:t>
      </w:r>
      <w:r w:rsidRPr="00471E45">
        <w:t xml:space="preserve"> </w:t>
      </w:r>
      <w:r>
        <w:t>поездок</w:t>
      </w:r>
      <w:r w:rsidRPr="00471E45">
        <w:t xml:space="preserve"> </w:t>
      </w:r>
      <w:r>
        <w:t>и</w:t>
      </w:r>
      <w:r w:rsidRPr="00471E45">
        <w:t xml:space="preserve"> </w:t>
      </w:r>
      <w:r>
        <w:t>социальной</w:t>
      </w:r>
      <w:r w:rsidRPr="00471E45">
        <w:t xml:space="preserve"> </w:t>
      </w:r>
      <w:r>
        <w:t>жизни</w:t>
      </w:r>
      <w:r w:rsidRPr="00471E45">
        <w:t xml:space="preserve"> </w:t>
      </w:r>
      <w:r>
        <w:t>и</w:t>
      </w:r>
      <w:r w:rsidRPr="00471E45">
        <w:t xml:space="preserve"> </w:t>
      </w:r>
      <w:r>
        <w:t>обращаются</w:t>
      </w:r>
      <w:r w:rsidRPr="00471E45">
        <w:t xml:space="preserve"> </w:t>
      </w:r>
      <w:r>
        <w:t>к</w:t>
      </w:r>
      <w:r w:rsidRPr="00471E45">
        <w:t xml:space="preserve"> </w:t>
      </w:r>
      <w:r>
        <w:t>цифровым</w:t>
      </w:r>
      <w:r w:rsidRPr="00471E45">
        <w:t xml:space="preserve"> </w:t>
      </w:r>
      <w:r>
        <w:t>развлекательным и коммуникационным платформам, а также, все в большей степени к электронной коммерции</w:t>
      </w:r>
      <w:r w:rsidRPr="00471E45">
        <w:t>.</w:t>
      </w:r>
      <w:bookmarkEnd w:id="13"/>
      <w:r w:rsidRPr="00471E45">
        <w:t xml:space="preserve"> </w:t>
      </w:r>
      <w:bookmarkStart w:id="14" w:name="lt_pId018"/>
      <w:r>
        <w:t>Школы</w:t>
      </w:r>
      <w:r w:rsidRPr="002B4C0F">
        <w:t xml:space="preserve"> </w:t>
      </w:r>
      <w:r>
        <w:t>переходят</w:t>
      </w:r>
      <w:r w:rsidRPr="002B4C0F">
        <w:t xml:space="preserve"> </w:t>
      </w:r>
      <w:r>
        <w:t>на</w:t>
      </w:r>
      <w:r w:rsidRPr="002B4C0F">
        <w:t xml:space="preserve"> </w:t>
      </w:r>
      <w:r>
        <w:t>дистанционное</w:t>
      </w:r>
      <w:r w:rsidRPr="002B4C0F">
        <w:t xml:space="preserve"> </w:t>
      </w:r>
      <w:r>
        <w:t>обучение</w:t>
      </w:r>
      <w:r w:rsidRPr="002B4C0F">
        <w:t xml:space="preserve"> </w:t>
      </w:r>
      <w:r>
        <w:t>и</w:t>
      </w:r>
      <w:r w:rsidRPr="002B4C0F">
        <w:t xml:space="preserve"> </w:t>
      </w:r>
      <w:r>
        <w:t>цифровые</w:t>
      </w:r>
      <w:r w:rsidRPr="002B4C0F">
        <w:t xml:space="preserve"> </w:t>
      </w:r>
      <w:r>
        <w:t>учебные</w:t>
      </w:r>
      <w:r w:rsidRPr="002B4C0F">
        <w:t xml:space="preserve"> </w:t>
      </w:r>
      <w:r>
        <w:t>классы</w:t>
      </w:r>
      <w:r w:rsidRPr="002B4C0F">
        <w:t xml:space="preserve">, </w:t>
      </w:r>
      <w:r>
        <w:t>и</w:t>
      </w:r>
      <w:r w:rsidRPr="002B4C0F">
        <w:t xml:space="preserve"> </w:t>
      </w:r>
      <w:r>
        <w:t>правительствам</w:t>
      </w:r>
      <w:r w:rsidRPr="002B4C0F">
        <w:t xml:space="preserve"> </w:t>
      </w:r>
      <w:r>
        <w:t>для выработки политики все в большей степени требуются</w:t>
      </w:r>
      <w:r w:rsidRPr="002B4C0F">
        <w:t xml:space="preserve"> </w:t>
      </w:r>
      <w:r>
        <w:t>сведения о населении, данные по медицинским и экономическим показателям</w:t>
      </w:r>
      <w:r w:rsidRPr="002B4C0F">
        <w:t>.</w:t>
      </w:r>
      <w:bookmarkEnd w:id="14"/>
    </w:p>
    <w:p w14:paraId="1688339B" w14:textId="5D6F0A36" w:rsidR="00785C3A" w:rsidRPr="00585998" w:rsidRDefault="00585998" w:rsidP="00785C3A">
      <w:bookmarkStart w:id="15" w:name="lt_pId019"/>
      <w:r>
        <w:lastRenderedPageBreak/>
        <w:t>Широкомасштабные исследования</w:t>
      </w:r>
      <w:r w:rsidRPr="00DF0EF1">
        <w:t xml:space="preserve"> </w:t>
      </w:r>
      <w:r>
        <w:t>вклада</w:t>
      </w:r>
      <w:r w:rsidRPr="00DF0EF1">
        <w:t xml:space="preserve"> </w:t>
      </w:r>
      <w:r>
        <w:t>цифровизации</w:t>
      </w:r>
      <w:r w:rsidRPr="00DF0EF1">
        <w:t xml:space="preserve"> </w:t>
      </w:r>
      <w:r>
        <w:t>в</w:t>
      </w:r>
      <w:r w:rsidRPr="00DF0EF1">
        <w:t xml:space="preserve"> </w:t>
      </w:r>
      <w:r>
        <w:t>смягчение</w:t>
      </w:r>
      <w:r w:rsidRPr="00DF0EF1">
        <w:t xml:space="preserve"> </w:t>
      </w:r>
      <w:r>
        <w:t>последствий</w:t>
      </w:r>
      <w:r w:rsidRPr="00DF0EF1">
        <w:t xml:space="preserve"> </w:t>
      </w:r>
      <w:r>
        <w:t>пандемий</w:t>
      </w:r>
      <w:r w:rsidRPr="00892418">
        <w:t xml:space="preserve"> </w:t>
      </w:r>
      <w:r>
        <w:t>отсутствуют</w:t>
      </w:r>
      <w:r w:rsidRPr="00DF0EF1">
        <w:t xml:space="preserve">, </w:t>
      </w:r>
      <w:r>
        <w:t>однако убедительными являются поступающие</w:t>
      </w:r>
      <w:r w:rsidRPr="00DF0EF1">
        <w:t xml:space="preserve"> </w:t>
      </w:r>
      <w:r>
        <w:t>данные об</w:t>
      </w:r>
      <w:r w:rsidRPr="00DF0EF1">
        <w:t xml:space="preserve"> </w:t>
      </w:r>
      <w:r>
        <w:t>их</w:t>
      </w:r>
      <w:r w:rsidRPr="00DF0EF1">
        <w:t xml:space="preserve"> </w:t>
      </w:r>
      <w:r>
        <w:t>ускоряющем</w:t>
      </w:r>
      <w:r w:rsidRPr="00DF0EF1">
        <w:t xml:space="preserve"> </w:t>
      </w:r>
      <w:r>
        <w:t>воздействии во всех сферах жизни человека и во всех секторах экономики</w:t>
      </w:r>
      <w:r w:rsidRPr="00DF0EF1">
        <w:t>.</w:t>
      </w:r>
      <w:bookmarkEnd w:id="15"/>
      <w:r w:rsidRPr="00DF0EF1">
        <w:t xml:space="preserve"> </w:t>
      </w:r>
      <w:bookmarkStart w:id="16" w:name="lt_pId020"/>
      <w:r>
        <w:t>Например</w:t>
      </w:r>
      <w:r w:rsidRPr="00ED1F2B">
        <w:t xml:space="preserve">, </w:t>
      </w:r>
      <w:r>
        <w:t>обследования</w:t>
      </w:r>
      <w:r w:rsidRPr="00ED1F2B">
        <w:t xml:space="preserve"> </w:t>
      </w:r>
      <w:r>
        <w:t>потребителей</w:t>
      </w:r>
      <w:r w:rsidRPr="00ED1F2B">
        <w:t xml:space="preserve"> </w:t>
      </w:r>
      <w:r>
        <w:t>и</w:t>
      </w:r>
      <w:r w:rsidRPr="00ED1F2B">
        <w:t xml:space="preserve"> </w:t>
      </w:r>
      <w:r>
        <w:t>предприятий</w:t>
      </w:r>
      <w:r w:rsidRPr="00ED1F2B">
        <w:t xml:space="preserve"> </w:t>
      </w:r>
      <w:r>
        <w:t>показывают</w:t>
      </w:r>
      <w:r w:rsidRPr="00ED1F2B">
        <w:t xml:space="preserve">, </w:t>
      </w:r>
      <w:r>
        <w:t>что</w:t>
      </w:r>
      <w:r w:rsidRPr="00ED1F2B">
        <w:t xml:space="preserve"> </w:t>
      </w:r>
      <w:r>
        <w:t>пандемия</w:t>
      </w:r>
      <w:r w:rsidRPr="00ED1F2B">
        <w:t xml:space="preserve"> </w:t>
      </w:r>
      <w:r w:rsidRPr="00645030">
        <w:t>COVID</w:t>
      </w:r>
      <w:r w:rsidRPr="00ED1F2B">
        <w:t xml:space="preserve">-19 </w:t>
      </w:r>
      <w:r>
        <w:t>подтолкнула</w:t>
      </w:r>
      <w:r w:rsidRPr="00ED1F2B">
        <w:t xml:space="preserve"> </w:t>
      </w:r>
      <w:r>
        <w:t>как потребителей,</w:t>
      </w:r>
      <w:r w:rsidRPr="00ED1F2B">
        <w:t xml:space="preserve"> </w:t>
      </w:r>
      <w:r>
        <w:t>так и</w:t>
      </w:r>
      <w:r w:rsidRPr="00ED1F2B">
        <w:t xml:space="preserve"> </w:t>
      </w:r>
      <w:r>
        <w:t xml:space="preserve">предприятия к внедрению и принятию цифровых услуг и технологий, </w:t>
      </w:r>
      <w:r w:rsidR="00C53A94">
        <w:t>в несколько раз ускорив годовые темпы</w:t>
      </w:r>
      <w:r w:rsidR="001D13E9" w:rsidRPr="001D13E9">
        <w:t xml:space="preserve"> </w:t>
      </w:r>
      <w:r>
        <w:t>цифров</w:t>
      </w:r>
      <w:r w:rsidR="001D13E9">
        <w:t>ой</w:t>
      </w:r>
      <w:r>
        <w:t xml:space="preserve"> трансформаци</w:t>
      </w:r>
      <w:r w:rsidR="001D13E9">
        <w:t>и</w:t>
      </w:r>
      <w:r>
        <w:t xml:space="preserve"> в потребительском поведении и коммерческой деятельности</w:t>
      </w:r>
      <w:r w:rsidRPr="00ED1F2B">
        <w:t xml:space="preserve"> (</w:t>
      </w:r>
      <w:r>
        <w:t>Рисунок </w:t>
      </w:r>
      <w:r w:rsidRPr="00ED1F2B">
        <w:t>2).</w:t>
      </w:r>
      <w:bookmarkEnd w:id="16"/>
    </w:p>
    <w:p w14:paraId="02307F81" w14:textId="62332529" w:rsidR="00785C3A" w:rsidRPr="00585998" w:rsidRDefault="00585998" w:rsidP="00785C3A">
      <w:pPr>
        <w:pStyle w:val="Figuretitle"/>
      </w:pPr>
      <w:r w:rsidRPr="00585998">
        <w:t>Рисунок</w:t>
      </w:r>
      <w:bookmarkStart w:id="17" w:name="lt_pId022"/>
      <w:r w:rsidRPr="00585998">
        <w:t xml:space="preserve"> 2: Ускоряющее воздействие COVID-19 на цифровую трансформацию</w:t>
      </w:r>
      <w:bookmarkEnd w:id="17"/>
    </w:p>
    <w:p w14:paraId="78764BB3" w14:textId="646A32A1" w:rsidR="00585998" w:rsidRPr="00B975C3" w:rsidRDefault="00C53A94" w:rsidP="001D13E9">
      <w:pPr>
        <w:pStyle w:val="Figure"/>
        <w:jc w:val="left"/>
        <w:rPr>
          <w:sz w:val="20"/>
          <w:szCs w:val="20"/>
        </w:rPr>
      </w:pPr>
      <w:bookmarkStart w:id="18" w:name="lt_pId023"/>
      <w:r w:rsidRPr="00C53A94">
        <w:rPr>
          <w:noProof/>
          <w:color w:val="auto"/>
          <w:sz w:val="20"/>
          <w:szCs w:val="20"/>
        </w:rPr>
        <w:drawing>
          <wp:inline distT="0" distB="0" distL="0" distR="0" wp14:anchorId="59252F1E" wp14:editId="283DFF68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998" w:rsidRPr="001D13E9">
        <w:rPr>
          <w:color w:val="auto"/>
          <w:sz w:val="20"/>
          <w:szCs w:val="20"/>
        </w:rPr>
        <w:t xml:space="preserve">Источник: МСЭ, на основе материалов обследований потребителей и предприятий, проведенных компанией McKinsey в 2020 году, которые размещены по адресу: </w:t>
      </w:r>
      <w:hyperlink r:id="rId8" w:history="1">
        <w:r w:rsidR="00585998" w:rsidRPr="001D13E9">
          <w:rPr>
            <w:rStyle w:val="Hyperlink"/>
            <w:sz w:val="20"/>
            <w:szCs w:val="20"/>
          </w:rPr>
          <w:t>https://www.mckinsey.com/business-functions/mckinsey-digital/our-insights</w:t>
        </w:r>
      </w:hyperlink>
      <w:bookmarkEnd w:id="18"/>
      <w:r w:rsidR="00585998">
        <w:rPr>
          <w:rStyle w:val="FootnoteReference"/>
          <w:sz w:val="20"/>
          <w:szCs w:val="20"/>
        </w:rPr>
        <w:footnoteReference w:id="2"/>
      </w:r>
      <w:r w:rsidR="00585998" w:rsidRPr="00B975C3">
        <w:rPr>
          <w:sz w:val="20"/>
          <w:szCs w:val="20"/>
        </w:rPr>
        <w:t xml:space="preserve"> </w:t>
      </w:r>
    </w:p>
    <w:p w14:paraId="741CE2D0" w14:textId="77777777" w:rsidR="00585998" w:rsidRPr="00144265" w:rsidRDefault="00585998" w:rsidP="001D13E9">
      <w:pPr>
        <w:spacing w:after="0"/>
      </w:pPr>
      <w:bookmarkStart w:id="21" w:name="lt_pId024"/>
      <w:r w:rsidRPr="00144265">
        <w:t>В общем, пандемия обусловила повсеместное увеличение спроса на цифровые технологии, и этот итог сохранится, очевидно, как одна из составляющих "новой нормы", так как практическая польза наличия более обширных данных и дальнейшее снижение стоимости их использования влияют на порядок принятия решений предпринимателями, политиками и специалистами.</w:t>
      </w:r>
      <w:bookmarkEnd w:id="21"/>
      <w:r w:rsidRPr="00144265">
        <w:t xml:space="preserve"> </w:t>
      </w:r>
      <w:bookmarkStart w:id="22" w:name="lt_pId025"/>
      <w:r w:rsidRPr="00144265">
        <w:t>Однако пандемия – это лишь одна из движущих сил, определяющих современные тенденции.</w:t>
      </w:r>
      <w:bookmarkEnd w:id="22"/>
      <w:r w:rsidRPr="00144265">
        <w:t xml:space="preserve"> </w:t>
      </w:r>
      <w:bookmarkStart w:id="23" w:name="lt_pId026"/>
      <w:r w:rsidRPr="00144265">
        <w:t>Принцип ответственности за сохранение климата, непрерывное экономическое развитие, демографические сдвиги и социальное благополучие также являются ключевыми факторами для достижения цели "чтобы никто не был забыт".</w:t>
      </w:r>
      <w:bookmarkEnd w:id="23"/>
      <w:r w:rsidRPr="00144265">
        <w:t xml:space="preserve"> </w:t>
      </w:r>
    </w:p>
    <w:p w14:paraId="133644DE" w14:textId="77777777" w:rsidR="00585998" w:rsidRPr="00144265" w:rsidRDefault="00585998" w:rsidP="00585998">
      <w:bookmarkStart w:id="24" w:name="lt_pId027"/>
      <w:r w:rsidRPr="00144265">
        <w:lastRenderedPageBreak/>
        <w:t>В свете этих глобальных тенденций разработка политики, ориентированной на всеобщий охват, доступ, безопасность, навыки и устойчивость применительно к перспективным технологиям и их преимуществам, может стать определяющей характеристикой 2020-х годов.</w:t>
      </w:r>
      <w:bookmarkEnd w:id="24"/>
      <w:r w:rsidRPr="00144265">
        <w:t xml:space="preserve"> </w:t>
      </w:r>
      <w:bookmarkStart w:id="25" w:name="lt_pId028"/>
      <w:r w:rsidRPr="00144265">
        <w:t xml:space="preserve">Это отражено в региональных инициативах МСЭ для региона Содружества Независимых Государств (СНГ) и соответствующих тематических приоритетах, которые сохраняют свою высокую актуальность в </w:t>
      </w:r>
      <w:bookmarkEnd w:id="25"/>
      <w:r w:rsidRPr="00144265">
        <w:t>перспективе</w:t>
      </w:r>
      <w:r w:rsidRPr="00144265">
        <w:rPr>
          <w:rStyle w:val="FootnoteReference"/>
        </w:rPr>
        <w:footnoteReference w:id="3"/>
      </w:r>
      <w:r w:rsidRPr="00144265">
        <w:t xml:space="preserve">. </w:t>
      </w:r>
      <w:bookmarkStart w:id="27" w:name="lt_pId029"/>
      <w:r w:rsidRPr="00144265">
        <w:t>Развитие навыков и потенциала для работы с ИКТ составляет для региона одно из основных приоритетных направлений, целью которого является ускорение цифровой трансформации как средства достижения более эффективных и всеохватных итогов, в особенности для молодежи.</w:t>
      </w:r>
      <w:bookmarkEnd w:id="27"/>
      <w:r w:rsidRPr="00144265">
        <w:t xml:space="preserve"> </w:t>
      </w:r>
      <w:bookmarkStart w:id="28" w:name="lt_pId030"/>
      <w:r w:rsidRPr="00144265">
        <w:t>Наряду с этим разработка востребованного контента, приложений и услуг, а также содействие созданию благоприятной среды, включая специализированные учреждения, целенаправленную политику и сопутствующие механизмы для реализации и надлежащего регулирования, в совокупности, будут стимулировать как потребителей, так и предприятия к принятию и внедрению цифровых услуг и цифровых технологий.</w:t>
      </w:r>
      <w:bookmarkEnd w:id="28"/>
      <w:r w:rsidRPr="00144265">
        <w:t xml:space="preserve"> </w:t>
      </w:r>
    </w:p>
    <w:p w14:paraId="23FCC381" w14:textId="2E937F2B" w:rsidR="00585998" w:rsidRPr="00144265" w:rsidRDefault="00585998" w:rsidP="00585998">
      <w:bookmarkStart w:id="29" w:name="lt_pId031"/>
      <w:r w:rsidRPr="00144265">
        <w:t>Искусственный интеллект (ИИ), интернет вещей (IoT), облачные вычисления, технология распределенного реестра, высокоточная медицина, цифровая торговля, автономная мобильность и многие другие арены развития технологий будут формировать будущее мира и региона СНГ в нем.</w:t>
      </w:r>
      <w:bookmarkEnd w:id="29"/>
      <w:r w:rsidRPr="00144265">
        <w:t xml:space="preserve"> </w:t>
      </w:r>
      <w:bookmarkStart w:id="30" w:name="lt_pId032"/>
      <w:r w:rsidRPr="00144265">
        <w:t xml:space="preserve">В регионе существует множество примеров работы таких технологий, которая может служить образцом устойчивого развития и всеобъемлющего роста, позволяя решить ряд наиболее острых проблем в таких областях, как безработица среди молодежи, </w:t>
      </w:r>
      <w:r w:rsidR="00314958">
        <w:t xml:space="preserve">рациональное использование природных ресурсов, </w:t>
      </w:r>
      <w:r w:rsidRPr="00144265">
        <w:t xml:space="preserve">дистанционное медицинское обслуживание, "умный" город. </w:t>
      </w:r>
      <w:bookmarkEnd w:id="30"/>
    </w:p>
    <w:p w14:paraId="32E4F0F3" w14:textId="77777777" w:rsidR="00585998" w:rsidRPr="00144265" w:rsidRDefault="00585998" w:rsidP="00585998">
      <w:bookmarkStart w:id="31" w:name="lt_pId033"/>
      <w:r w:rsidRPr="00144265">
        <w:t>Краеугольным камнем этой исторической трансформации и доминирующим фактором обеспечения будущей конкурентоспособности и процветания региона СНГ является, наряду с целенаправленной политикой, инфраструктура ИКТ.</w:t>
      </w:r>
      <w:bookmarkEnd w:id="31"/>
      <w:r w:rsidRPr="00144265">
        <w:t xml:space="preserve"> </w:t>
      </w:r>
      <w:bookmarkStart w:id="32" w:name="lt_pId034"/>
      <w:r w:rsidRPr="00144265">
        <w:t>Надежная инфраструктура, на основе которой работают перспективные технологии, может содействовать решению самых неотложных проблем региона.</w:t>
      </w:r>
      <w:bookmarkEnd w:id="32"/>
      <w:r w:rsidRPr="00144265">
        <w:t xml:space="preserve"> </w:t>
      </w:r>
      <w:bookmarkStart w:id="33" w:name="lt_pId035"/>
      <w:r w:rsidRPr="00144265">
        <w:t>Важно не забывать о том, что совершенствование инфраструктуры ИКТ – это не просто цель операторов и потребителей.</w:t>
      </w:r>
      <w:bookmarkEnd w:id="33"/>
      <w:r w:rsidRPr="00144265">
        <w:t xml:space="preserve"> </w:t>
      </w:r>
      <w:bookmarkStart w:id="34" w:name="lt_pId036"/>
      <w:r w:rsidRPr="00144265">
        <w:t>Ее назначение значительно шире задачи обеспечения подвижных и широкополосных соединений, она служит основой для глобальной и региональной интеграции цепочки поставок; делает возможным инновационное использование важной медицинской информации; создает для граждан возможности улучшить свои перспективы как рабочей силы; позволяет учащимся приобрести ранее недоступные комплексы навыков; а также обеспечивает большое количество положительных внешних эффектов, которые изменяют ход истории.</w:t>
      </w:r>
      <w:bookmarkEnd w:id="34"/>
      <w:r w:rsidRPr="00144265">
        <w:t xml:space="preserve"> </w:t>
      </w:r>
      <w:bookmarkStart w:id="35" w:name="lt_pId037"/>
      <w:r w:rsidRPr="00144265">
        <w:t>Несомненно, в будущем историки будут оглядываться назад, на эту раннюю эру технологического развития, для того чтобы понять, каким образом стратегии и подходы к управлению повысили жизнестойкость и способность общества реагировать, при этом оценивая риски, защищая потребителей и обеспечивая положительные результаты для граждан.</w:t>
      </w:r>
      <w:bookmarkEnd w:id="35"/>
      <w:r w:rsidRPr="00144265">
        <w:t xml:space="preserve"> </w:t>
      </w:r>
    </w:p>
    <w:p w14:paraId="7A43EAB8" w14:textId="71E2EC09" w:rsidR="009641C6" w:rsidRPr="00585998" w:rsidRDefault="00585998" w:rsidP="009641C6">
      <w:pPr>
        <w:pStyle w:val="Heading1"/>
        <w:rPr>
          <w:lang w:val="ru-RU"/>
        </w:rPr>
      </w:pPr>
      <w:r>
        <w:rPr>
          <w:lang w:val="ru-RU"/>
        </w:rPr>
        <w:t>Заключение</w:t>
      </w:r>
    </w:p>
    <w:p w14:paraId="762D4070" w14:textId="28883DA3" w:rsidR="00585998" w:rsidRDefault="00585998" w:rsidP="00585998">
      <w:bookmarkStart w:id="36" w:name="lt_pId514"/>
      <w:bookmarkStart w:id="37" w:name="_Toc58935936"/>
      <w:r w:rsidRPr="00144265">
        <w:t>В регионе СНГ наблюдается непрерывный рост в большинстве областей инфраструктуры ИКТ, доступа к ним и их использования.</w:t>
      </w:r>
      <w:bookmarkEnd w:id="36"/>
      <w:r w:rsidRPr="00144265">
        <w:t xml:space="preserve"> </w:t>
      </w:r>
      <w:bookmarkStart w:id="38" w:name="lt_pId515"/>
      <w:r w:rsidRPr="00144265">
        <w:t>Покрытие сетями подвижной широкополосной связи составляет 98,6 процента,</w:t>
      </w:r>
      <w:r w:rsidR="005737FC">
        <w:t xml:space="preserve"> </w:t>
      </w:r>
      <w:r w:rsidR="008F1A64">
        <w:t>однако</w:t>
      </w:r>
      <w:r w:rsidRPr="00144265">
        <w:t xml:space="preserve"> использование интернета отдельными лицами</w:t>
      </w:r>
      <w:r w:rsidR="005737FC">
        <w:t xml:space="preserve"> составляет</w:t>
      </w:r>
      <w:r w:rsidRPr="00144265">
        <w:t xml:space="preserve"> 72,8 процента, домашний доступ в интернет – 76,4 процента.</w:t>
      </w:r>
      <w:bookmarkEnd w:id="38"/>
      <w:r w:rsidRPr="00144265">
        <w:t xml:space="preserve"> </w:t>
      </w:r>
      <w:bookmarkStart w:id="39" w:name="lt_pId516"/>
      <w:r w:rsidRPr="00144265">
        <w:t xml:space="preserve">Эти данные свидетельствуют о сохраняющемся </w:t>
      </w:r>
      <w:r w:rsidRPr="00144265">
        <w:lastRenderedPageBreak/>
        <w:t>разрыве в использовании, когда отдельные лица, которые находятся в зоне покрытия интернетом, не используют его из-за высокой стоимости, отсутствия востребованного контента, соответствующих навыков или эффективного/качественного доступа.</w:t>
      </w:r>
      <w:bookmarkEnd w:id="39"/>
      <w:r w:rsidRPr="00144265">
        <w:t xml:space="preserve"> </w:t>
      </w:r>
      <w:bookmarkStart w:id="40" w:name="lt_pId517"/>
      <w:r w:rsidRPr="00144265">
        <w:t>Доступ в интернет с использованием подвижной широкополосной связи составляет 87,7 процентов.</w:t>
      </w:r>
      <w:bookmarkEnd w:id="40"/>
      <w:r w:rsidRPr="00144265">
        <w:t xml:space="preserve"> </w:t>
      </w:r>
      <w:bookmarkStart w:id="41" w:name="lt_pId518"/>
      <w:r w:rsidRPr="00144265">
        <w:t>Уровень использования фиксированной широкополосной связи – 19 процентов – низкий, но остается выше среднемирового уровня.</w:t>
      </w:r>
      <w:bookmarkEnd w:id="41"/>
      <w:r w:rsidRPr="00144265">
        <w:t xml:space="preserve"> </w:t>
      </w:r>
      <w:bookmarkStart w:id="42" w:name="lt_pId519"/>
      <w:r w:rsidRPr="00144265">
        <w:t>Наиболее высоким процентом использования интернета характеризуется возрастная группа от 15 до 24 лет, где он составляет 84,5 процента.</w:t>
      </w:r>
      <w:bookmarkEnd w:id="42"/>
      <w:r w:rsidRPr="00144265">
        <w:t xml:space="preserve"> </w:t>
      </w:r>
      <w:bookmarkStart w:id="43" w:name="lt_pId520"/>
      <w:r w:rsidRPr="00144265">
        <w:t>В контексте возрастающего спроса на приложения, требующие больших объемов данных, облачные услуги, а также увеличивающегося числа пользователей интернета ключевым условием является наличие полосы пропускания международного трафика.</w:t>
      </w:r>
      <w:bookmarkEnd w:id="43"/>
      <w:r w:rsidRPr="00144265">
        <w:t xml:space="preserve"> </w:t>
      </w:r>
      <w:bookmarkStart w:id="44" w:name="lt_pId521"/>
      <w:r w:rsidRPr="00144265">
        <w:t>Показатель "количество кбит/с в расчете на одного пользователя интернета" в регионе СНГ относительно низкий, что можно объяснить наличием в регионе большого числа стран, не имеющих выхода к морю, а также отсутствием соответствующего контента и услуг, на что следует обратить внимание.</w:t>
      </w:r>
      <w:bookmarkEnd w:id="44"/>
      <w:r w:rsidRPr="00144265">
        <w:t xml:space="preserve"> </w:t>
      </w:r>
    </w:p>
    <w:p w14:paraId="410E0106" w14:textId="77777777" w:rsidR="00585998" w:rsidRDefault="00585998" w:rsidP="00585998">
      <w:bookmarkStart w:id="45" w:name="lt_pId522"/>
      <w:r w:rsidRPr="00144265">
        <w:t>В то время как цифровой разрыв сохраняется, доступ в интернет в сельских районах вырос до 49,6 процента и незначительно уменьшился гендерный разрыв, при этом показатель гендерного паритета составляет 0,97, благодаря чему регион СНГ является одним из двух регионов с наименее выраженным гендерным разрывом.</w:t>
      </w:r>
      <w:bookmarkEnd w:id="45"/>
      <w:r w:rsidRPr="00144265">
        <w:t xml:space="preserve"> </w:t>
      </w:r>
    </w:p>
    <w:p w14:paraId="514A123A" w14:textId="5445923C" w:rsidR="00585998" w:rsidRDefault="00585998" w:rsidP="00585998">
      <w:bookmarkStart w:id="46" w:name="lt_pId523"/>
      <w:r w:rsidRPr="00144265">
        <w:t xml:space="preserve">Данные о достигнутых уровнях базовых, стандартных и передовых навыков использования ИКТ очень ограничены, но те, которые имеются, показывают наличие в регионе значительного разрыва в навыках, во всех </w:t>
      </w:r>
      <w:r w:rsidR="008F1A64">
        <w:t xml:space="preserve">их </w:t>
      </w:r>
      <w:r w:rsidRPr="00144265">
        <w:t>категориях, и данные существенно колеблются между выбранными странами.</w:t>
      </w:r>
      <w:bookmarkEnd w:id="46"/>
      <w:r w:rsidRPr="00144265">
        <w:t xml:space="preserve"> </w:t>
      </w:r>
      <w:bookmarkStart w:id="47" w:name="lt_pId524"/>
      <w:r w:rsidRPr="00144265">
        <w:t>Во</w:t>
      </w:r>
      <w:r w:rsidR="008F1A64">
        <w:t> </w:t>
      </w:r>
      <w:r w:rsidRPr="00144265">
        <w:t xml:space="preserve">многих странах не выполняется сбор данных о навыках использования ИКТ, и активизация усилий по сбору </w:t>
      </w:r>
      <w:r w:rsidR="001B1A44">
        <w:t xml:space="preserve">этих </w:t>
      </w:r>
      <w:r w:rsidRPr="00144265">
        <w:t>данных является ключом к решению проблемы разрыва в навыках в будущем.</w:t>
      </w:r>
      <w:bookmarkEnd w:id="47"/>
      <w:r w:rsidRPr="00144265">
        <w:t xml:space="preserve"> </w:t>
      </w:r>
    </w:p>
    <w:p w14:paraId="21AA2D1D" w14:textId="77777777" w:rsidR="00585998" w:rsidRDefault="00585998" w:rsidP="00585998">
      <w:bookmarkStart w:id="48" w:name="lt_pId525"/>
      <w:r w:rsidRPr="00144265">
        <w:t>Общая сумма инвестиций в электросвязь в 2019 году составила 7,5 млрд долл. США, при этом наибольший объем инвестиций был произведен в Российской Федерации.</w:t>
      </w:r>
      <w:bookmarkEnd w:id="48"/>
      <w:r w:rsidRPr="00144265">
        <w:t xml:space="preserve"> </w:t>
      </w:r>
    </w:p>
    <w:p w14:paraId="1891768C" w14:textId="77777777" w:rsidR="00585998" w:rsidRDefault="00585998" w:rsidP="00585998">
      <w:bookmarkStart w:id="49" w:name="lt_pId526"/>
      <w:r w:rsidRPr="00144265">
        <w:t>В сфере кибербезопасности регион СНГ продвигается к обеспечению безопасного и защищенного использования, и многие страны либо начали, либо уже разработали комплексные обязательства по кибербезопасности.</w:t>
      </w:r>
      <w:bookmarkEnd w:id="49"/>
      <w:r w:rsidRPr="00144265">
        <w:t xml:space="preserve"> </w:t>
      </w:r>
      <w:bookmarkStart w:id="50" w:name="lt_pId527"/>
      <w:r w:rsidRPr="00144265">
        <w:t>Были отмечены успехи в правовой сфере – во всех странах СНГ действуют законодательство о киберпреступлениях и регуляторные нормы обеспечения кибербезопасности.</w:t>
      </w:r>
      <w:bookmarkEnd w:id="50"/>
      <w:r w:rsidRPr="00144265">
        <w:t xml:space="preserve"> </w:t>
      </w:r>
    </w:p>
    <w:p w14:paraId="1F7D9780" w14:textId="5EAE2767" w:rsidR="00585998" w:rsidRDefault="00585998" w:rsidP="00585998">
      <w:bookmarkStart w:id="51" w:name="lt_pId528"/>
      <w:r w:rsidRPr="00144265">
        <w:t xml:space="preserve">Что касается </w:t>
      </w:r>
      <w:r w:rsidR="00E90DEE">
        <w:t>изменений в</w:t>
      </w:r>
      <w:r w:rsidRPr="00144265">
        <w:t xml:space="preserve"> инфраструктур</w:t>
      </w:r>
      <w:r w:rsidR="00E90DEE">
        <w:t>е</w:t>
      </w:r>
      <w:r w:rsidRPr="00144265">
        <w:t xml:space="preserve"> ИКТ и интегрированных технологий, в сфере ИИ все еще существу</w:t>
      </w:r>
      <w:r w:rsidR="008F1A64">
        <w:t>е</w:t>
      </w:r>
      <w:r w:rsidRPr="00144265">
        <w:t>т широк</w:t>
      </w:r>
      <w:r w:rsidR="008F1A64">
        <w:t>ое поле для</w:t>
      </w:r>
      <w:r w:rsidRPr="00144265">
        <w:t xml:space="preserve"> использования возможностей ИИ и развития потенциала. В</w:t>
      </w:r>
      <w:r w:rsidR="008F1A64">
        <w:t> </w:t>
      </w:r>
      <w:r w:rsidRPr="00144265">
        <w:t>регионе лидирует Российская Федерация, имеющая наибольшее количество компаний в сфере ИИ и наивысшие оценки в индексе готовности правительства к принятию и внедрению ИИ.</w:t>
      </w:r>
      <w:bookmarkEnd w:id="51"/>
      <w:r w:rsidRPr="00144265">
        <w:t xml:space="preserve"> </w:t>
      </w:r>
      <w:bookmarkStart w:id="52" w:name="lt_pId529"/>
      <w:r w:rsidRPr="00144265">
        <w:t>Рынок IoT в регионе находится еще на этапе становления и обладает значительным потенциалом в городских областях.</w:t>
      </w:r>
      <w:bookmarkEnd w:id="52"/>
      <w:r w:rsidRPr="00144265">
        <w:t xml:space="preserve"> </w:t>
      </w:r>
      <w:bookmarkStart w:id="53" w:name="lt_pId530"/>
      <w:r w:rsidRPr="00144265">
        <w:t>Российская Федерация является лидером по приложениям IoT.</w:t>
      </w:r>
      <w:bookmarkEnd w:id="53"/>
      <w:r w:rsidRPr="00144265">
        <w:t xml:space="preserve"> </w:t>
      </w:r>
      <w:bookmarkStart w:id="54" w:name="lt_pId531"/>
      <w:r w:rsidRPr="00144265">
        <w:t>В сфере облачных услуг в регионе по-прежнему доминируют зарубежные компании вследствие отсутствия собственных облачных платформ, и возрастает количество международных партнерств.</w:t>
      </w:r>
      <w:bookmarkEnd w:id="54"/>
      <w:r w:rsidRPr="00144265">
        <w:t xml:space="preserve"> </w:t>
      </w:r>
      <w:bookmarkStart w:id="55" w:name="lt_pId532"/>
      <w:r w:rsidRPr="00144265">
        <w:t xml:space="preserve">Ключевые проблемы, которые необходимо преодолеть для ускорения развития ИИ, </w:t>
      </w:r>
      <w:r w:rsidR="008F1A64">
        <w:rPr>
          <w:lang w:val="en-GB"/>
        </w:rPr>
        <w:t>IoT</w:t>
      </w:r>
      <w:r w:rsidRPr="00144265">
        <w:t xml:space="preserve"> и облачных технологий, связаны с совместным использованием данных и гигиеной данных.</w:t>
      </w:r>
      <w:bookmarkEnd w:id="55"/>
      <w:r w:rsidRPr="00144265">
        <w:t xml:space="preserve"> </w:t>
      </w:r>
    </w:p>
    <w:p w14:paraId="3029DDA5" w14:textId="77777777" w:rsidR="00585998" w:rsidRDefault="00585998" w:rsidP="00585998">
      <w:bookmarkStart w:id="56" w:name="lt_pId533"/>
      <w:r w:rsidRPr="00144265">
        <w:t>Пандемия COVID-19 оказала глубокое влияние на регион СНГ и подтолкнула как потребителей, так и предприятия к внедрению и принятию цифровых услуг и технологий, ускорив на несколько лет цифровую трансформацию в ряде областей коммерческой деятельности.</w:t>
      </w:r>
      <w:bookmarkEnd w:id="56"/>
      <w:r w:rsidRPr="00144265">
        <w:t xml:space="preserve"> </w:t>
      </w:r>
      <w:bookmarkStart w:id="57" w:name="lt_pId534"/>
      <w:r w:rsidRPr="00144265">
        <w:t xml:space="preserve">Большинство сетевых </w:t>
      </w:r>
      <w:r w:rsidRPr="00144265">
        <w:lastRenderedPageBreak/>
        <w:t>операторов в регионе смогли справиться с возросшим спросом на их сети, и это стало эффективным испытанием на стрессоустойчивость на будущее и выявило области, требующие повышенного внимания.</w:t>
      </w:r>
      <w:bookmarkEnd w:id="57"/>
      <w:r w:rsidRPr="00144265">
        <w:t xml:space="preserve"> </w:t>
      </w:r>
    </w:p>
    <w:p w14:paraId="5128DC1B" w14:textId="5960A443" w:rsidR="00585998" w:rsidRDefault="00585998" w:rsidP="00585998">
      <w:bookmarkStart w:id="58" w:name="lt_pId535"/>
      <w:r w:rsidRPr="00144265">
        <w:t xml:space="preserve">Нормативно-правовые базы не поднялись по составленной МСЭ "лестнице поколений" совместного регулирования так быстро, как </w:t>
      </w:r>
      <w:r w:rsidR="001B1A44">
        <w:t xml:space="preserve">в </w:t>
      </w:r>
      <w:r w:rsidRPr="00144265">
        <w:t>большинств</w:t>
      </w:r>
      <w:r w:rsidR="001B1A44">
        <w:t>е</w:t>
      </w:r>
      <w:r w:rsidRPr="00144265">
        <w:t xml:space="preserve"> других регионов: только одна страна достигла статуса G4, и ни одна страна не достигла категории G5, что оставляет значительный простор для реформирования и совершенствования.</w:t>
      </w:r>
      <w:bookmarkEnd w:id="58"/>
      <w:r w:rsidRPr="00144265">
        <w:t xml:space="preserve"> </w:t>
      </w:r>
    </w:p>
    <w:p w14:paraId="2790D77E" w14:textId="0D3355C1" w:rsidR="00585998" w:rsidRDefault="00585998" w:rsidP="00585998">
      <w:bookmarkStart w:id="59" w:name="lt_pId536"/>
      <w:r w:rsidRPr="00144265">
        <w:t xml:space="preserve">МСЭ-D совместно с Государствами-Членами осуществили большое количество проектов, программ и видов деятельности в рамках всех пяти региональных инициатив МСЭ для региона СНГ, </w:t>
      </w:r>
      <w:r w:rsidR="008F1A64">
        <w:t>которые включают</w:t>
      </w:r>
      <w:r w:rsidRPr="00144265">
        <w:t xml:space="preserve"> развитие электронного здравоохранения для обеспечения здорового образа жизни и содействия благополучию для всех в любом возрасте; использование электросвязи/ИКТ для обеспечения всеохватного, справедливого, качественного и безопасного образования, включая повышение уровня знаний женщин в сфере ИКТ и электронного правительства; развитие и регулирование инфокоммуникационной инфраструктуры для обеспечения открытости, безопасности и жизнестойкости городов и населенных пунктов; мониторинг экологического состояния, наличия и рационального использования природных ресурсов; а также содействие инновациям и партнерству в сфере внедрения технологий "интернета вещей" и их взаимодействие в сетях электросвязи, включая сети 4G, IMT-2020 и сети последующих поколений, в интересах устойчивого развития.</w:t>
      </w:r>
      <w:bookmarkEnd w:id="59"/>
      <w:r w:rsidRPr="00144265">
        <w:t xml:space="preserve"> </w:t>
      </w:r>
    </w:p>
    <w:p w14:paraId="7AA7D4E3" w14:textId="0F3EBB54" w:rsidR="00585998" w:rsidRPr="00144265" w:rsidRDefault="00585998" w:rsidP="00585998">
      <w:bookmarkStart w:id="60" w:name="lt_pId537"/>
      <w:r w:rsidRPr="00144265">
        <w:t>Перспективы развития рынка ИКТ в СНГ положительные, и регион СНГ вместе с Региональным отделение</w:t>
      </w:r>
      <w:r w:rsidR="00A22410">
        <w:t>м</w:t>
      </w:r>
      <w:r w:rsidRPr="00144265">
        <w:t xml:space="preserve"> МСЭ для СНГ готовы развивать достигнутый прогресс и решать те проблемы, которые </w:t>
      </w:r>
      <w:r w:rsidR="00A22410">
        <w:t xml:space="preserve">все еще </w:t>
      </w:r>
      <w:r w:rsidRPr="00144265">
        <w:t>сохраня</w:t>
      </w:r>
      <w:r w:rsidR="00A22410">
        <w:t>ю</w:t>
      </w:r>
      <w:r w:rsidRPr="00144265">
        <w:t>тся.</w:t>
      </w:r>
      <w:bookmarkEnd w:id="37"/>
      <w:bookmarkEnd w:id="60"/>
    </w:p>
    <w:p w14:paraId="4171598D" w14:textId="77777777" w:rsidR="00785C3A" w:rsidRPr="00585998" w:rsidRDefault="00785C3A" w:rsidP="00785C3A">
      <w:r w:rsidRPr="00585998">
        <w:br w:type="page"/>
      </w:r>
    </w:p>
    <w:p w14:paraId="34855229" w14:textId="77777777" w:rsidR="00785C3A" w:rsidRPr="00585998" w:rsidRDefault="00785C3A" w:rsidP="00785C3A"/>
    <w:p w14:paraId="79ADC3DC" w14:textId="77777777" w:rsidR="007E7B1E" w:rsidRPr="00585998" w:rsidRDefault="007E7B1E" w:rsidP="007E7B1E"/>
    <w:p w14:paraId="1A3FCE61" w14:textId="77777777" w:rsidR="007E7B1E" w:rsidRPr="00585998" w:rsidRDefault="007E7B1E" w:rsidP="00C731B1"/>
    <w:p w14:paraId="1CDD11AB" w14:textId="77777777" w:rsidR="007E7B1E" w:rsidRPr="00585998" w:rsidRDefault="007E7B1E" w:rsidP="001305C7"/>
    <w:sdt>
      <w:sdtP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val="ru-RU"/>
        </w:rPr>
        <w:id w:val="-1076425388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14:paraId="67FB89F6" w14:textId="55F1887B" w:rsidR="007E7B1E" w:rsidRPr="003F2C96" w:rsidRDefault="00143EF2" w:rsidP="007E7B1E">
          <w:pPr>
            <w:pStyle w:val="TOCHeading"/>
            <w:rPr>
              <w:rFonts w:asciiTheme="minorHAnsi" w:hAnsiTheme="minorHAnsi"/>
              <w:sz w:val="30"/>
              <w:szCs w:val="30"/>
              <w:lang w:val="ru-RU"/>
            </w:rPr>
          </w:pPr>
          <w:r w:rsidRPr="00E90DEE">
            <w:rPr>
              <w:rFonts w:asciiTheme="minorHAnsi" w:eastAsiaTheme="minorHAnsi" w:hAnsiTheme="minorHAnsi" w:cstheme="minorBidi"/>
              <w:b/>
              <w:bCs/>
              <w:color w:val="auto"/>
              <w:sz w:val="30"/>
              <w:szCs w:val="30"/>
              <w:lang w:val="ru-RU"/>
            </w:rPr>
            <w:t>Приложение</w:t>
          </w:r>
          <w:r w:rsidR="00472B47" w:rsidRPr="003F2C96">
            <w:rPr>
              <w:rFonts w:asciiTheme="minorHAnsi" w:eastAsiaTheme="minorHAnsi" w:hAnsiTheme="minorHAnsi" w:cstheme="minorBidi"/>
              <w:b/>
              <w:bCs/>
              <w:color w:val="auto"/>
              <w:sz w:val="30"/>
              <w:szCs w:val="30"/>
              <w:lang w:val="ru-RU"/>
            </w:rPr>
            <w:t xml:space="preserve"> </w:t>
          </w:r>
          <w:r w:rsidRPr="003F2C96">
            <w:rPr>
              <w:rFonts w:asciiTheme="minorHAnsi" w:eastAsiaTheme="minorHAnsi" w:hAnsiTheme="minorHAnsi" w:cs="Myanmar Text"/>
              <w:b/>
              <w:bCs/>
              <w:color w:val="auto"/>
              <w:sz w:val="30"/>
              <w:szCs w:val="30"/>
              <w:lang w:val="ru-RU"/>
            </w:rPr>
            <w:t>–</w:t>
          </w:r>
          <w:r w:rsidR="00CE5620" w:rsidRPr="003F2C96">
            <w:rPr>
              <w:rFonts w:asciiTheme="minorHAnsi" w:eastAsiaTheme="minorHAnsi" w:hAnsiTheme="minorHAnsi" w:cstheme="minorBidi"/>
              <w:b/>
              <w:bCs/>
              <w:color w:val="auto"/>
              <w:sz w:val="30"/>
              <w:szCs w:val="30"/>
              <w:lang w:val="ru-RU"/>
            </w:rPr>
            <w:t xml:space="preserve"> </w:t>
          </w:r>
          <w:r w:rsidRPr="00E90DEE">
            <w:rPr>
              <w:rFonts w:asciiTheme="minorHAnsi" w:eastAsiaTheme="minorHAnsi" w:hAnsiTheme="minorHAnsi" w:cstheme="minorBidi"/>
              <w:sz w:val="30"/>
              <w:szCs w:val="30"/>
              <w:lang w:val="ru-RU"/>
            </w:rPr>
            <w:t>Содержание</w:t>
          </w:r>
        </w:p>
        <w:p w14:paraId="37E88F17" w14:textId="52817F33" w:rsidR="00472B47" w:rsidRPr="00143EF2" w:rsidRDefault="00143EF2" w:rsidP="00472B47">
          <w:r w:rsidRPr="00143EF2">
            <w:t>Полный отчет "Тенденции в цифровой сфере в Содружеств</w:t>
          </w:r>
          <w:r w:rsidR="00062248">
            <w:t>е</w:t>
          </w:r>
          <w:r w:rsidRPr="00143EF2">
            <w:t xml:space="preserve"> Независимых Государств, 2021</w:t>
          </w:r>
          <w:r w:rsidRPr="00143EF2">
            <w:rPr>
              <w:lang w:val="en-GB"/>
            </w:rPr>
            <w:t> </w:t>
          </w:r>
          <w:r w:rsidRPr="00143EF2">
            <w:t xml:space="preserve">год" охватывает </w:t>
          </w:r>
          <w:r>
            <w:t>следующие</w:t>
          </w:r>
          <w:r w:rsidRPr="00143EF2">
            <w:t xml:space="preserve"> </w:t>
          </w:r>
          <w:r>
            <w:t>области.</w:t>
          </w:r>
        </w:p>
        <w:p w14:paraId="6FC62E55" w14:textId="54EB986C" w:rsidR="007E7B1E" w:rsidRPr="004803CD" w:rsidRDefault="00143EF2" w:rsidP="007E7B1E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О</w:t>
          </w:r>
          <w:r w:rsidRPr="004803CD">
            <w:rPr>
              <w:caps w:val="0"/>
              <w:sz w:val="22"/>
              <w:szCs w:val="22"/>
              <w:lang w:val="ru-RU"/>
            </w:rPr>
            <w:t>бщий обзор</w:t>
          </w:r>
          <w:r w:rsidR="007E7B1E" w:rsidRPr="004803CD">
            <w:rPr>
              <w:sz w:val="22"/>
              <w:szCs w:val="22"/>
            </w:rPr>
            <w:fldChar w:fldCharType="begin"/>
          </w:r>
          <w:r w:rsidR="007E7B1E" w:rsidRPr="004803CD">
            <w:rPr>
              <w:sz w:val="22"/>
              <w:szCs w:val="22"/>
              <w:lang w:val="ru-RU"/>
            </w:rPr>
            <w:instrText xml:space="preserve"> </w:instrText>
          </w:r>
          <w:r w:rsidR="007E7B1E" w:rsidRPr="004803CD">
            <w:rPr>
              <w:sz w:val="22"/>
              <w:szCs w:val="22"/>
            </w:rPr>
            <w:instrText>TOC</w:instrText>
          </w:r>
          <w:r w:rsidR="007E7B1E" w:rsidRPr="004803CD">
            <w:rPr>
              <w:sz w:val="22"/>
              <w:szCs w:val="22"/>
              <w:lang w:val="ru-RU"/>
            </w:rPr>
            <w:instrText xml:space="preserve"> \</w:instrText>
          </w:r>
          <w:r w:rsidR="007E7B1E" w:rsidRPr="004803CD">
            <w:rPr>
              <w:sz w:val="22"/>
              <w:szCs w:val="22"/>
            </w:rPr>
            <w:instrText>o</w:instrText>
          </w:r>
          <w:r w:rsidR="007E7B1E" w:rsidRPr="004803CD">
            <w:rPr>
              <w:sz w:val="22"/>
              <w:szCs w:val="22"/>
              <w:lang w:val="ru-RU"/>
            </w:rPr>
            <w:instrText xml:space="preserve"> "1-3" \</w:instrText>
          </w:r>
          <w:r w:rsidR="007E7B1E" w:rsidRPr="004803CD">
            <w:rPr>
              <w:sz w:val="22"/>
              <w:szCs w:val="22"/>
            </w:rPr>
            <w:instrText>h</w:instrText>
          </w:r>
          <w:r w:rsidR="007E7B1E" w:rsidRPr="004803CD">
            <w:rPr>
              <w:sz w:val="22"/>
              <w:szCs w:val="22"/>
              <w:lang w:val="ru-RU"/>
            </w:rPr>
            <w:instrText xml:space="preserve"> \</w:instrText>
          </w:r>
          <w:r w:rsidR="007E7B1E" w:rsidRPr="004803CD">
            <w:rPr>
              <w:sz w:val="22"/>
              <w:szCs w:val="22"/>
            </w:rPr>
            <w:instrText>z</w:instrText>
          </w:r>
          <w:r w:rsidR="007E7B1E" w:rsidRPr="004803CD">
            <w:rPr>
              <w:sz w:val="22"/>
              <w:szCs w:val="22"/>
              <w:lang w:val="ru-RU"/>
            </w:rPr>
            <w:instrText xml:space="preserve"> \</w:instrText>
          </w:r>
          <w:r w:rsidR="007E7B1E" w:rsidRPr="004803CD">
            <w:rPr>
              <w:sz w:val="22"/>
              <w:szCs w:val="22"/>
            </w:rPr>
            <w:instrText>u</w:instrText>
          </w:r>
          <w:r w:rsidR="007E7B1E" w:rsidRPr="004803CD">
            <w:rPr>
              <w:sz w:val="22"/>
              <w:szCs w:val="22"/>
              <w:lang w:val="ru-RU"/>
            </w:rPr>
            <w:instrText xml:space="preserve"> </w:instrText>
          </w:r>
          <w:r w:rsidR="007E7B1E" w:rsidRPr="004803CD">
            <w:rPr>
              <w:sz w:val="22"/>
              <w:szCs w:val="22"/>
            </w:rPr>
            <w:fldChar w:fldCharType="separate"/>
          </w:r>
          <w:hyperlink w:anchor="_Toc68169642" w:history="1"/>
        </w:p>
        <w:p w14:paraId="20EC6FF0" w14:textId="357201AA" w:rsidR="007E7B1E" w:rsidRPr="004803CD" w:rsidRDefault="00143EF2" w:rsidP="007E7B1E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Т</w:t>
          </w:r>
          <w:r w:rsidRPr="004803CD">
            <w:rPr>
              <w:caps w:val="0"/>
              <w:sz w:val="22"/>
              <w:szCs w:val="22"/>
              <w:lang w:val="ru-RU"/>
            </w:rPr>
            <w:t>енденции в цифровой сфере в регионе СНГ</w:t>
          </w:r>
          <w:hyperlink w:anchor="_Toc68169643" w:history="1"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298F03CF" w14:textId="3D73EA4A" w:rsidR="007E7B1E" w:rsidRPr="003F2C96" w:rsidRDefault="00143EF2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Развитие рынка подвижной связи</w:t>
          </w:r>
          <w:hyperlink w:anchor="_Toc68169644" w:history="1">
            <w:r w:rsidR="007E7B1E" w:rsidRPr="003F2C96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6E91E9D3" w14:textId="48EC6B9F" w:rsidR="007E7B1E" w:rsidRPr="003F2C96" w:rsidRDefault="00143EF2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Развитие спутниковой широкополосной связи</w:t>
          </w:r>
          <w:hyperlink w:anchor="_Toc68169645" w:history="1">
            <w:r w:rsidR="007E7B1E" w:rsidRPr="003F2C96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6EC42462" w14:textId="63160335" w:rsidR="007E7B1E" w:rsidRPr="003F2C96" w:rsidRDefault="00143EF2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Рынок фиксированной широкополосной связи</w:t>
          </w:r>
          <w:hyperlink w:anchor="_Toc68169646" w:history="1">
            <w:r w:rsidR="007E7B1E" w:rsidRPr="003F2C96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75B4B09F" w14:textId="36C8EAF7" w:rsidR="007E7B1E" w:rsidRPr="004803CD" w:rsidRDefault="005918AA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 xml:space="preserve">Доступ в интернет, использование </w:t>
          </w:r>
          <w:r w:rsidR="00E90DEE" w:rsidRPr="004803CD">
            <w:rPr>
              <w:sz w:val="22"/>
              <w:szCs w:val="22"/>
              <w:lang w:val="ru-RU"/>
            </w:rPr>
            <w:t xml:space="preserve">и навыки использования </w:t>
          </w:r>
          <w:r w:rsidRPr="004803CD">
            <w:rPr>
              <w:sz w:val="22"/>
              <w:szCs w:val="22"/>
              <w:lang w:val="ru-RU"/>
            </w:rPr>
            <w:t>интернета и гендерный разрыв</w:t>
          </w:r>
          <w:hyperlink w:anchor="_Toc68169647" w:history="1"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2FE8A8B1" w14:textId="123F5489" w:rsidR="007E7B1E" w:rsidRPr="004803CD" w:rsidRDefault="003F2C96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n-CA" w:eastAsia="en-CA"/>
            </w:rPr>
          </w:pPr>
          <w:hyperlink w:anchor="_Toc68169648" w:history="1">
            <w:r w:rsidR="005918AA" w:rsidRPr="004803CD">
              <w:rPr>
                <w:rStyle w:val="Hyperlink"/>
                <w:noProof/>
                <w:sz w:val="22"/>
                <w:szCs w:val="22"/>
                <w:lang w:val="ru-RU"/>
              </w:rPr>
              <w:t>Цены на услуги ИКТ</w:t>
            </w:r>
            <w:r w:rsidR="007E7B1E" w:rsidRPr="004803CD">
              <w:rPr>
                <w:noProof/>
                <w:webHidden/>
                <w:sz w:val="22"/>
                <w:szCs w:val="22"/>
              </w:rPr>
              <w:tab/>
            </w:r>
          </w:hyperlink>
        </w:p>
        <w:p w14:paraId="0B9C5B8E" w14:textId="4634D8CE" w:rsidR="007E7B1E" w:rsidRPr="004803CD" w:rsidRDefault="005918AA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Доходы и инвестиции в отрасли электросвязи</w:t>
          </w:r>
          <w:hyperlink w:anchor="_Toc68169649" w:history="1"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0871147B" w14:textId="36BA0345" w:rsidR="007E7B1E" w:rsidRPr="003F2C96" w:rsidRDefault="00E90DEE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Изменения в сфере кибербезопасности</w:t>
          </w:r>
          <w:hyperlink w:anchor="_Toc68169650" w:history="1">
            <w:r w:rsidR="007E7B1E" w:rsidRPr="003F2C96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752B6781" w14:textId="2C2F1F43" w:rsidR="007E7B1E" w:rsidRPr="004803CD" w:rsidRDefault="00E90DEE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 xml:space="preserve">Изменения в инфраструктуре ИКТ и интегрированные технологии </w:t>
          </w:r>
          <w:hyperlink w:anchor="_Toc68169651" w:history="1"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tab/>
            </w:r>
            <w:r w:rsidR="007E7B1E" w:rsidRPr="004803CD">
              <w:rPr>
                <w:noProof/>
                <w:webHidden/>
                <w:sz w:val="22"/>
                <w:szCs w:val="22"/>
              </w:rPr>
              <w:fldChar w:fldCharType="begin"/>
            </w:r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instrText xml:space="preserve"> </w:instrText>
            </w:r>
            <w:r w:rsidR="007E7B1E" w:rsidRPr="004803CD">
              <w:rPr>
                <w:noProof/>
                <w:webHidden/>
                <w:sz w:val="22"/>
                <w:szCs w:val="22"/>
              </w:rPr>
              <w:instrText>PAGEREF</w:instrText>
            </w:r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instrText xml:space="preserve"> _</w:instrText>
            </w:r>
            <w:r w:rsidR="007E7B1E" w:rsidRPr="004803CD">
              <w:rPr>
                <w:noProof/>
                <w:webHidden/>
                <w:sz w:val="22"/>
                <w:szCs w:val="22"/>
              </w:rPr>
              <w:instrText>Toc</w:instrText>
            </w:r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instrText>68169651 \</w:instrText>
            </w:r>
            <w:r w:rsidR="007E7B1E" w:rsidRPr="004803CD">
              <w:rPr>
                <w:noProof/>
                <w:webHidden/>
                <w:sz w:val="22"/>
                <w:szCs w:val="22"/>
              </w:rPr>
              <w:instrText>h</w:instrText>
            </w:r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instrText xml:space="preserve"> </w:instrText>
            </w:r>
            <w:r w:rsidR="007E7B1E" w:rsidRPr="004803CD">
              <w:rPr>
                <w:noProof/>
                <w:webHidden/>
                <w:sz w:val="22"/>
                <w:szCs w:val="22"/>
              </w:rPr>
            </w:r>
            <w:r w:rsidR="007E7B1E" w:rsidRPr="004803C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2EC23E" w14:textId="2C161A00" w:rsidR="007E7B1E" w:rsidRPr="004803CD" w:rsidRDefault="00E90DEE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Тенденции в области цифровых услуг</w:t>
          </w:r>
          <w:hyperlink w:anchor="_Toc68169652" w:history="1"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25DE7A19" w14:textId="677DCA46" w:rsidR="007E7B1E" w:rsidRPr="004803CD" w:rsidRDefault="00A55C8C" w:rsidP="007E7B1E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Т</w:t>
          </w:r>
          <w:r w:rsidRPr="004803CD">
            <w:rPr>
              <w:caps w:val="0"/>
              <w:sz w:val="22"/>
              <w:szCs w:val="22"/>
              <w:lang w:val="ru-RU"/>
            </w:rPr>
            <w:t>енденции в области регулирования в регионе</w:t>
          </w:r>
          <w:r w:rsidRPr="004803CD">
            <w:rPr>
              <w:sz w:val="22"/>
              <w:szCs w:val="22"/>
              <w:lang w:val="ru-RU"/>
            </w:rPr>
            <w:t xml:space="preserve"> СНГ</w:t>
          </w:r>
          <w:hyperlink w:anchor="_Toc68169653" w:history="1">
            <w:r w:rsidR="007E7B1E" w:rsidRPr="004803CD">
              <w:rPr>
                <w:caps w:val="0"/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62FEE60D" w14:textId="5C2CC04C" w:rsidR="007E7B1E" w:rsidRPr="004803CD" w:rsidRDefault="00A55C8C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n-CA" w:eastAsia="en-CA"/>
            </w:rPr>
          </w:pPr>
          <w:r w:rsidRPr="004803CD">
            <w:rPr>
              <w:sz w:val="22"/>
              <w:szCs w:val="22"/>
              <w:lang w:val="ru-RU"/>
            </w:rPr>
            <w:t>Новая парадигма совместного регулирования</w:t>
          </w:r>
          <w:hyperlink w:anchor="_Toc68169654" w:history="1">
            <w:r w:rsidR="007E7B1E" w:rsidRPr="004803CD">
              <w:rPr>
                <w:noProof/>
                <w:webHidden/>
                <w:sz w:val="22"/>
                <w:szCs w:val="22"/>
              </w:rPr>
              <w:tab/>
            </w:r>
          </w:hyperlink>
        </w:p>
        <w:p w14:paraId="67CC59CF" w14:textId="1386CD45" w:rsidR="007E7B1E" w:rsidRPr="004803CD" w:rsidRDefault="003F2C96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n-CA" w:eastAsia="en-CA"/>
            </w:rPr>
          </w:pPr>
          <w:hyperlink w:anchor="_Toc68169655" w:history="1">
            <w:r w:rsidR="00A55C8C" w:rsidRPr="004803CD">
              <w:rPr>
                <w:rStyle w:val="Hyperlink"/>
                <w:noProof/>
                <w:sz w:val="22"/>
                <w:szCs w:val="22"/>
                <w:lang w:val="ru-RU"/>
              </w:rPr>
              <w:t xml:space="preserve">Опорный показатель </w:t>
            </w:r>
            <w:r w:rsidR="007E7B1E" w:rsidRPr="004803CD">
              <w:rPr>
                <w:rStyle w:val="Hyperlink"/>
                <w:noProof/>
                <w:sz w:val="22"/>
                <w:szCs w:val="22"/>
              </w:rPr>
              <w:t xml:space="preserve">G5 </w:t>
            </w:r>
            <w:r w:rsidR="00A55C8C" w:rsidRPr="004803CD">
              <w:rPr>
                <w:rStyle w:val="Hyperlink"/>
                <w:noProof/>
                <w:sz w:val="22"/>
                <w:szCs w:val="22"/>
                <w:lang w:val="ru-RU"/>
              </w:rPr>
              <w:t>качества регулирования</w:t>
            </w:r>
            <w:r w:rsidR="007E7B1E" w:rsidRPr="004803CD">
              <w:rPr>
                <w:noProof/>
                <w:webHidden/>
                <w:sz w:val="22"/>
                <w:szCs w:val="22"/>
              </w:rPr>
              <w:tab/>
            </w:r>
          </w:hyperlink>
        </w:p>
        <w:p w14:paraId="259E5948" w14:textId="693ACE74" w:rsidR="007E7B1E" w:rsidRPr="004803CD" w:rsidRDefault="00A55C8C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 xml:space="preserve">Зрелость </w:t>
          </w:r>
          <w:r w:rsidR="001D0DD7" w:rsidRPr="004803CD">
            <w:rPr>
              <w:sz w:val="22"/>
              <w:szCs w:val="22"/>
              <w:lang w:val="ru-RU"/>
            </w:rPr>
            <w:t>нормативно-правовых баз сектора ИКТ в регионе СНГ</w:t>
          </w:r>
          <w:hyperlink w:anchor="_Toc68169656" w:history="1"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46D3D508" w14:textId="734FD9B4" w:rsidR="007E7B1E" w:rsidRPr="004803CD" w:rsidRDefault="001D0DD7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Экономический вклад широкополосной связи, цифровизации и регулирования в области ИКТ в регионе СНГ</w:t>
          </w:r>
          <w:hyperlink w:anchor="_Toc68169657" w:history="1"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47A05E63" w14:textId="2A21B072" w:rsidR="007E7B1E" w:rsidRPr="004803CD" w:rsidRDefault="00BC0A09" w:rsidP="007E7B1E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В</w:t>
          </w:r>
          <w:r w:rsidRPr="004803CD">
            <w:rPr>
              <w:caps w:val="0"/>
              <w:sz w:val="22"/>
              <w:szCs w:val="22"/>
              <w:lang w:val="ru-RU"/>
            </w:rPr>
            <w:t>озможности и задачи цифровой трансформации</w:t>
          </w:r>
          <w:hyperlink w:anchor="_Toc68169658" w:history="1"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6E51C491" w14:textId="797215B4" w:rsidR="007E7B1E" w:rsidRPr="004803CD" w:rsidRDefault="00BC0A09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ru-RU" w:eastAsia="en-CA"/>
            </w:rPr>
          </w:pPr>
          <w:r w:rsidRPr="004803CD">
            <w:rPr>
              <w:sz w:val="22"/>
              <w:szCs w:val="22"/>
              <w:lang w:val="ru-RU"/>
            </w:rPr>
            <w:t>Ход выполнения региональных инициатив для региона СНГ</w:t>
          </w:r>
          <w:hyperlink w:anchor="_Toc68169659" w:history="1">
            <w:r w:rsidR="007E7B1E" w:rsidRPr="004803CD">
              <w:rPr>
                <w:noProof/>
                <w:webHidden/>
                <w:sz w:val="22"/>
                <w:szCs w:val="22"/>
                <w:lang w:val="ru-RU"/>
              </w:rPr>
              <w:tab/>
            </w:r>
          </w:hyperlink>
        </w:p>
        <w:p w14:paraId="51EEEF41" w14:textId="7E9B3919" w:rsidR="007E7B1E" w:rsidRPr="004803CD" w:rsidRDefault="003C7912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n-CA" w:eastAsia="en-CA"/>
            </w:rPr>
          </w:pPr>
          <w:r w:rsidRPr="004803CD">
            <w:rPr>
              <w:sz w:val="22"/>
              <w:szCs w:val="22"/>
              <w:lang w:val="ru-RU"/>
            </w:rPr>
            <w:t>Региональные инициативы: области прогресса</w:t>
          </w:r>
          <w:hyperlink w:anchor="_Toc68169660" w:history="1">
            <w:r w:rsidR="007E7B1E" w:rsidRPr="004803CD">
              <w:rPr>
                <w:noProof/>
                <w:webHidden/>
                <w:sz w:val="22"/>
                <w:szCs w:val="22"/>
              </w:rPr>
              <w:tab/>
            </w:r>
          </w:hyperlink>
        </w:p>
        <w:p w14:paraId="565D5EC3" w14:textId="419EA7CF" w:rsidR="007E7B1E" w:rsidRPr="004803CD" w:rsidRDefault="003F2C96" w:rsidP="007E7B1E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n-CA" w:eastAsia="en-CA"/>
            </w:rPr>
          </w:pPr>
          <w:hyperlink w:anchor="_Toc68169661" w:history="1">
            <w:r w:rsidR="003C7912" w:rsidRPr="004803CD">
              <w:rPr>
                <w:rStyle w:val="Hyperlink"/>
                <w:noProof/>
                <w:sz w:val="22"/>
                <w:szCs w:val="22"/>
                <w:lang w:val="ru-RU"/>
              </w:rPr>
              <w:t>Региональные инициативы</w:t>
            </w:r>
            <w:r w:rsidR="007E7B1E" w:rsidRPr="004803CD">
              <w:rPr>
                <w:rStyle w:val="Hyperlink"/>
                <w:noProof/>
                <w:sz w:val="22"/>
                <w:szCs w:val="22"/>
              </w:rPr>
              <w:t xml:space="preserve">: </w:t>
            </w:r>
            <w:r w:rsidR="003C7912" w:rsidRPr="004803CD">
              <w:rPr>
                <w:rStyle w:val="Hyperlink"/>
                <w:noProof/>
                <w:sz w:val="22"/>
                <w:szCs w:val="22"/>
                <w:lang w:val="ru-RU"/>
              </w:rPr>
              <w:t>проблемные области</w:t>
            </w:r>
            <w:r w:rsidR="007E7B1E" w:rsidRPr="004803CD">
              <w:rPr>
                <w:noProof/>
                <w:webHidden/>
                <w:sz w:val="22"/>
                <w:szCs w:val="22"/>
              </w:rPr>
              <w:tab/>
            </w:r>
          </w:hyperlink>
        </w:p>
        <w:p w14:paraId="570949FC" w14:textId="6D6EF1C8" w:rsidR="007E7B1E" w:rsidRPr="004803CD" w:rsidRDefault="003F2C96" w:rsidP="007E7B1E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n-CA" w:eastAsia="en-CA"/>
            </w:rPr>
          </w:pPr>
          <w:hyperlink w:anchor="_Toc68169662" w:history="1">
            <w:r w:rsidR="003C7912" w:rsidRPr="004803CD">
              <w:rPr>
                <w:rStyle w:val="Hyperlink"/>
                <w:caps w:val="0"/>
                <w:noProof/>
                <w:sz w:val="22"/>
                <w:szCs w:val="22"/>
                <w:lang w:val="ru-RU"/>
              </w:rPr>
              <w:t>Заключение</w:t>
            </w:r>
            <w:r w:rsidR="003C7912" w:rsidRPr="004803CD">
              <w:rPr>
                <w:caps w:val="0"/>
                <w:noProof/>
                <w:webHidden/>
                <w:sz w:val="22"/>
                <w:szCs w:val="22"/>
              </w:rPr>
              <w:tab/>
            </w:r>
          </w:hyperlink>
        </w:p>
        <w:p w14:paraId="1A683F03" w14:textId="180E4257" w:rsidR="007E7B1E" w:rsidRPr="004803CD" w:rsidRDefault="003C7912" w:rsidP="007E7B1E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n-CA" w:eastAsia="en-CA"/>
            </w:rPr>
          </w:pPr>
          <w:r w:rsidRPr="004803CD">
            <w:rPr>
              <w:sz w:val="22"/>
              <w:szCs w:val="22"/>
              <w:lang w:val="ru-RU"/>
            </w:rPr>
            <w:t>С</w:t>
          </w:r>
          <w:r w:rsidRPr="004803CD">
            <w:rPr>
              <w:caps w:val="0"/>
              <w:sz w:val="22"/>
              <w:szCs w:val="22"/>
              <w:lang w:val="ru-RU"/>
            </w:rPr>
            <w:t>правочные материалы</w:t>
          </w:r>
          <w:hyperlink w:anchor="_Toc68169663" w:history="1">
            <w:r w:rsidRPr="004803CD">
              <w:rPr>
                <w:caps w:val="0"/>
                <w:noProof/>
                <w:webHidden/>
                <w:sz w:val="22"/>
                <w:szCs w:val="22"/>
              </w:rPr>
              <w:tab/>
            </w:r>
          </w:hyperlink>
        </w:p>
        <w:p w14:paraId="2C46103C" w14:textId="77777777" w:rsidR="007E7B1E" w:rsidRDefault="007E7B1E" w:rsidP="007E7B1E">
          <w:pPr>
            <w:spacing w:after="0" w:line="240" w:lineRule="auto"/>
            <w:jc w:val="left"/>
          </w:pPr>
          <w:r w:rsidRPr="004803CD">
            <w:rPr>
              <w:b/>
              <w:bCs/>
            </w:rPr>
            <w:fldChar w:fldCharType="end"/>
          </w:r>
        </w:p>
      </w:sdtContent>
    </w:sdt>
    <w:p w14:paraId="16E9A5D7" w14:textId="77777777" w:rsidR="007E7B1E" w:rsidRPr="00C5130F" w:rsidRDefault="007E7B1E" w:rsidP="001305C7">
      <w:pPr>
        <w:rPr>
          <w:lang w:val="en-US"/>
        </w:rPr>
      </w:pPr>
    </w:p>
    <w:sectPr w:rsidR="007E7B1E" w:rsidRPr="00C513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B9527" w14:textId="77777777" w:rsidR="00C731B1" w:rsidRDefault="00C731B1" w:rsidP="00C731B1">
      <w:pPr>
        <w:spacing w:after="0" w:line="240" w:lineRule="auto"/>
      </w:pPr>
      <w:r>
        <w:separator/>
      </w:r>
    </w:p>
  </w:endnote>
  <w:endnote w:type="continuationSeparator" w:id="0">
    <w:p w14:paraId="38DE04A0" w14:textId="77777777" w:rsidR="00C731B1" w:rsidRDefault="00C731B1" w:rsidP="00C7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A935" w14:textId="77777777" w:rsidR="003F2C96" w:rsidRDefault="003F2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3FD7" w14:textId="77777777" w:rsidR="003F2C96" w:rsidRDefault="003F2C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212AC" w14:textId="77777777" w:rsidR="003F2C96" w:rsidRDefault="003F2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BECFE" w14:textId="77777777" w:rsidR="00C731B1" w:rsidRDefault="00C731B1" w:rsidP="00C731B1">
      <w:pPr>
        <w:spacing w:after="0" w:line="240" w:lineRule="auto"/>
      </w:pPr>
      <w:r>
        <w:separator/>
      </w:r>
    </w:p>
  </w:footnote>
  <w:footnote w:type="continuationSeparator" w:id="0">
    <w:p w14:paraId="53E654EB" w14:textId="77777777" w:rsidR="00C731B1" w:rsidRDefault="00C731B1" w:rsidP="00C731B1">
      <w:pPr>
        <w:spacing w:after="0" w:line="240" w:lineRule="auto"/>
      </w:pPr>
      <w:r>
        <w:continuationSeparator/>
      </w:r>
    </w:p>
  </w:footnote>
  <w:footnote w:id="1">
    <w:p w14:paraId="7D130578" w14:textId="77777777" w:rsidR="00585998" w:rsidRPr="00B975C3" w:rsidRDefault="00585998" w:rsidP="00585998">
      <w:pPr>
        <w:pStyle w:val="FootnoteText"/>
        <w:rPr>
          <w:lang w:val="ru-RU"/>
        </w:rPr>
      </w:pPr>
      <w:r w:rsidRPr="008D0648">
        <w:rPr>
          <w:rStyle w:val="FootnoteReference"/>
          <w:lang w:val="en-GB"/>
        </w:rPr>
        <w:footnoteRef/>
      </w:r>
      <w:bookmarkStart w:id="11" w:name="lt_pId578"/>
      <w:r>
        <w:rPr>
          <w:lang w:val="ru-RU"/>
        </w:rPr>
        <w:t xml:space="preserve"> Круглый</w:t>
      </w:r>
      <w:r w:rsidRPr="00016C3C">
        <w:rPr>
          <w:lang w:val="ru-RU"/>
        </w:rPr>
        <w:t xml:space="preserve"> </w:t>
      </w:r>
      <w:r>
        <w:rPr>
          <w:lang w:val="ru-RU"/>
        </w:rPr>
        <w:t>стол</w:t>
      </w:r>
      <w:r w:rsidRPr="00016C3C">
        <w:rPr>
          <w:lang w:val="ru-RU"/>
        </w:rPr>
        <w:t xml:space="preserve"> </w:t>
      </w:r>
      <w:r>
        <w:rPr>
          <w:lang w:val="ru-RU"/>
        </w:rPr>
        <w:t>с участием экспертов</w:t>
      </w:r>
      <w:r w:rsidRPr="00016C3C">
        <w:rPr>
          <w:lang w:val="ru-RU"/>
        </w:rPr>
        <w:t xml:space="preserve"> </w:t>
      </w:r>
      <w:r>
        <w:rPr>
          <w:lang w:val="ru-RU"/>
        </w:rPr>
        <w:t>по</w:t>
      </w:r>
      <w:r w:rsidRPr="00016C3C">
        <w:rPr>
          <w:lang w:val="ru-RU"/>
        </w:rPr>
        <w:t xml:space="preserve"> </w:t>
      </w:r>
      <w:r>
        <w:rPr>
          <w:lang w:val="ru-RU"/>
        </w:rPr>
        <w:t>экономическим</w:t>
      </w:r>
      <w:r w:rsidRPr="00016C3C">
        <w:rPr>
          <w:lang w:val="ru-RU"/>
        </w:rPr>
        <w:t xml:space="preserve"> </w:t>
      </w:r>
      <w:r>
        <w:rPr>
          <w:lang w:val="ru-RU"/>
        </w:rPr>
        <w:t>вопросам</w:t>
      </w:r>
      <w:r w:rsidRPr="00B975C3">
        <w:rPr>
          <w:lang w:val="ru-RU"/>
        </w:rPr>
        <w:t xml:space="preserve"> </w:t>
      </w:r>
      <w:r>
        <w:rPr>
          <w:lang w:val="ru-RU"/>
        </w:rPr>
        <w:t xml:space="preserve">был проведен </w:t>
      </w:r>
      <w:r w:rsidRPr="00B975C3">
        <w:rPr>
          <w:lang w:val="ru-RU"/>
        </w:rPr>
        <w:t>26</w:t>
      </w:r>
      <w:r>
        <w:rPr>
          <w:lang w:val="ru-RU"/>
        </w:rPr>
        <w:t> июня</w:t>
      </w:r>
      <w:r w:rsidRPr="00B975C3">
        <w:rPr>
          <w:lang w:val="ru-RU"/>
        </w:rPr>
        <w:t xml:space="preserve"> 2020</w:t>
      </w:r>
      <w:r>
        <w:rPr>
          <w:lang w:val="ru-RU"/>
        </w:rPr>
        <w:t> года, и результатом его работы стал следующий документ для обсуждения</w:t>
      </w:r>
      <w:r w:rsidRPr="00B975C3">
        <w:rPr>
          <w:lang w:val="ru-RU"/>
        </w:rPr>
        <w:t xml:space="preserve"> </w:t>
      </w:r>
      <w:r>
        <w:rPr>
          <w:lang w:val="ru-RU"/>
        </w:rPr>
        <w:t>ГСР</w:t>
      </w:r>
      <w:r w:rsidRPr="00B975C3">
        <w:rPr>
          <w:lang w:val="ru-RU"/>
        </w:rPr>
        <w:t xml:space="preserve">: </w:t>
      </w:r>
      <w:hyperlink r:id="rId1" w:history="1">
        <w:r w:rsidRPr="008D0648">
          <w:rPr>
            <w:rStyle w:val="Hyperlink"/>
            <w:lang w:val="en-GB"/>
          </w:rPr>
          <w:t>https</w:t>
        </w:r>
        <w:r w:rsidRPr="00B975C3">
          <w:rPr>
            <w:rStyle w:val="Hyperlink"/>
            <w:lang w:val="ru-RU"/>
          </w:rPr>
          <w:t>://</w:t>
        </w:r>
        <w:r w:rsidRPr="008D0648">
          <w:rPr>
            <w:rStyle w:val="Hyperlink"/>
            <w:lang w:val="en-GB"/>
          </w:rPr>
          <w:t>www</w:t>
        </w:r>
        <w:r w:rsidRPr="00B975C3">
          <w:rPr>
            <w:rStyle w:val="Hyperlink"/>
            <w:lang w:val="ru-RU"/>
          </w:rPr>
          <w:t>.</w:t>
        </w:r>
        <w:r w:rsidRPr="008D0648">
          <w:rPr>
            <w:rStyle w:val="Hyperlink"/>
            <w:lang w:val="en-GB"/>
          </w:rPr>
          <w:t>itu</w:t>
        </w:r>
        <w:r w:rsidRPr="00B975C3">
          <w:rPr>
            <w:rStyle w:val="Hyperlink"/>
            <w:lang w:val="ru-RU"/>
          </w:rPr>
          <w:t>.</w:t>
        </w:r>
        <w:r w:rsidRPr="008D0648">
          <w:rPr>
            <w:rStyle w:val="Hyperlink"/>
            <w:lang w:val="en-GB"/>
          </w:rPr>
          <w:t>int</w:t>
        </w:r>
        <w:r w:rsidRPr="00B975C3">
          <w:rPr>
            <w:rStyle w:val="Hyperlink"/>
            <w:lang w:val="ru-RU"/>
          </w:rPr>
          <w:t>/</w:t>
        </w:r>
        <w:r w:rsidRPr="008D0648">
          <w:rPr>
            <w:rStyle w:val="Hyperlink"/>
            <w:lang w:val="en-GB"/>
          </w:rPr>
          <w:t>en</w:t>
        </w:r>
        <w:r w:rsidRPr="00B975C3">
          <w:rPr>
            <w:rStyle w:val="Hyperlink"/>
            <w:lang w:val="ru-RU"/>
          </w:rPr>
          <w:t>/</w:t>
        </w:r>
        <w:r w:rsidRPr="008D0648">
          <w:rPr>
            <w:rStyle w:val="Hyperlink"/>
            <w:lang w:val="en-GB"/>
          </w:rPr>
          <w:t>ITU</w:t>
        </w:r>
        <w:r w:rsidRPr="00B975C3">
          <w:rPr>
            <w:rStyle w:val="Hyperlink"/>
            <w:lang w:val="ru-RU"/>
          </w:rPr>
          <w:t>-</w:t>
        </w:r>
        <w:r w:rsidRPr="008D0648">
          <w:rPr>
            <w:rStyle w:val="Hyperlink"/>
            <w:lang w:val="en-GB"/>
          </w:rPr>
          <w:t>D</w:t>
        </w:r>
        <w:r w:rsidRPr="00B975C3">
          <w:rPr>
            <w:rStyle w:val="Hyperlink"/>
            <w:lang w:val="ru-RU"/>
          </w:rPr>
          <w:t>/</w:t>
        </w:r>
        <w:r w:rsidRPr="008D0648">
          <w:rPr>
            <w:rStyle w:val="Hyperlink"/>
            <w:lang w:val="en-GB"/>
          </w:rPr>
          <w:t>Conferences</w:t>
        </w:r>
        <w:r w:rsidRPr="00B975C3">
          <w:rPr>
            <w:rStyle w:val="Hyperlink"/>
            <w:lang w:val="ru-RU"/>
          </w:rPr>
          <w:t>/</w:t>
        </w:r>
        <w:r w:rsidRPr="008D0648">
          <w:rPr>
            <w:rStyle w:val="Hyperlink"/>
            <w:lang w:val="en-GB"/>
          </w:rPr>
          <w:t>GSR</w:t>
        </w:r>
        <w:r w:rsidRPr="00B975C3">
          <w:rPr>
            <w:rStyle w:val="Hyperlink"/>
            <w:lang w:val="ru-RU"/>
          </w:rPr>
          <w:t>/2020/</w:t>
        </w:r>
        <w:r w:rsidRPr="008D0648">
          <w:rPr>
            <w:rStyle w:val="Hyperlink"/>
            <w:lang w:val="en-GB"/>
          </w:rPr>
          <w:t>Documents</w:t>
        </w:r>
        <w:r w:rsidRPr="00B975C3">
          <w:rPr>
            <w:rStyle w:val="Hyperlink"/>
            <w:lang w:val="ru-RU"/>
          </w:rPr>
          <w:t>/</w:t>
        </w:r>
        <w:r w:rsidRPr="008D0648">
          <w:rPr>
            <w:rStyle w:val="Hyperlink"/>
            <w:lang w:val="en-GB"/>
          </w:rPr>
          <w:t>GSR</w:t>
        </w:r>
        <w:r w:rsidRPr="00B975C3">
          <w:rPr>
            <w:rStyle w:val="Hyperlink"/>
            <w:lang w:val="ru-RU"/>
          </w:rPr>
          <w:t>-20_</w:t>
        </w:r>
        <w:r w:rsidRPr="008D0648">
          <w:rPr>
            <w:rStyle w:val="Hyperlink"/>
            <w:lang w:val="en-GB"/>
          </w:rPr>
          <w:t>Impact</w:t>
        </w:r>
        <w:r w:rsidRPr="00B975C3">
          <w:rPr>
            <w:rStyle w:val="Hyperlink"/>
            <w:lang w:val="ru-RU"/>
          </w:rPr>
          <w:t>-</w:t>
        </w:r>
        <w:r w:rsidRPr="008D0648">
          <w:rPr>
            <w:rStyle w:val="Hyperlink"/>
            <w:lang w:val="en-GB"/>
          </w:rPr>
          <w:t>COVID</w:t>
        </w:r>
        <w:r w:rsidRPr="00B975C3">
          <w:rPr>
            <w:rStyle w:val="Hyperlink"/>
            <w:lang w:val="ru-RU"/>
          </w:rPr>
          <w:t>-19-</w:t>
        </w:r>
        <w:r w:rsidRPr="008D0648">
          <w:rPr>
            <w:rStyle w:val="Hyperlink"/>
            <w:lang w:val="en-GB"/>
          </w:rPr>
          <w:t>on</w:t>
        </w:r>
        <w:r w:rsidRPr="00B975C3">
          <w:rPr>
            <w:rStyle w:val="Hyperlink"/>
            <w:lang w:val="ru-RU"/>
          </w:rPr>
          <w:t>-</w:t>
        </w:r>
        <w:r w:rsidRPr="008D0648">
          <w:rPr>
            <w:rStyle w:val="Hyperlink"/>
            <w:lang w:val="en-GB"/>
          </w:rPr>
          <w:t>digital</w:t>
        </w:r>
        <w:r w:rsidRPr="00B975C3">
          <w:rPr>
            <w:rStyle w:val="Hyperlink"/>
            <w:lang w:val="ru-RU"/>
          </w:rPr>
          <w:t>-</w:t>
        </w:r>
        <w:r w:rsidRPr="008D0648">
          <w:rPr>
            <w:rStyle w:val="Hyperlink"/>
            <w:lang w:val="en-GB"/>
          </w:rPr>
          <w:t>economy</w:t>
        </w:r>
        <w:r w:rsidRPr="00B975C3">
          <w:rPr>
            <w:rStyle w:val="Hyperlink"/>
            <w:lang w:val="ru-RU"/>
          </w:rPr>
          <w:t>_</w:t>
        </w:r>
        <w:r w:rsidRPr="008D0648">
          <w:rPr>
            <w:rStyle w:val="Hyperlink"/>
            <w:lang w:val="en-GB"/>
          </w:rPr>
          <w:t>Discussion</w:t>
        </w:r>
        <w:r w:rsidRPr="00B975C3">
          <w:rPr>
            <w:rStyle w:val="Hyperlink"/>
            <w:lang w:val="ru-RU"/>
          </w:rPr>
          <w:t>-</w:t>
        </w:r>
        <w:r w:rsidRPr="008D0648">
          <w:rPr>
            <w:rStyle w:val="Hyperlink"/>
            <w:lang w:val="en-GB"/>
          </w:rPr>
          <w:t>Paper</w:t>
        </w:r>
        <w:r w:rsidRPr="00B975C3">
          <w:rPr>
            <w:rStyle w:val="Hyperlink"/>
            <w:lang w:val="ru-RU"/>
          </w:rPr>
          <w:t>_</w:t>
        </w:r>
        <w:r w:rsidRPr="008D0648">
          <w:rPr>
            <w:rStyle w:val="Hyperlink"/>
            <w:lang w:val="en-GB"/>
          </w:rPr>
          <w:t>Final</w:t>
        </w:r>
        <w:r w:rsidRPr="00B975C3">
          <w:rPr>
            <w:rStyle w:val="Hyperlink"/>
            <w:lang w:val="ru-RU"/>
          </w:rPr>
          <w:t>.</w:t>
        </w:r>
        <w:r w:rsidRPr="008D0648">
          <w:rPr>
            <w:rStyle w:val="Hyperlink"/>
            <w:lang w:val="en-GB"/>
          </w:rPr>
          <w:t>pdf</w:t>
        </w:r>
      </w:hyperlink>
      <w:r w:rsidRPr="00B975C3">
        <w:rPr>
          <w:lang w:val="ru-RU"/>
        </w:rPr>
        <w:t>.</w:t>
      </w:r>
      <w:bookmarkEnd w:id="11"/>
    </w:p>
  </w:footnote>
  <w:footnote w:id="2">
    <w:p w14:paraId="760502C0" w14:textId="77777777" w:rsidR="00585998" w:rsidRPr="008D0648" w:rsidRDefault="00585998" w:rsidP="00585998">
      <w:pPr>
        <w:pStyle w:val="FootnoteText"/>
        <w:rPr>
          <w:lang w:val="en-GB"/>
        </w:rPr>
      </w:pPr>
      <w:r w:rsidRPr="008D0648">
        <w:rPr>
          <w:rStyle w:val="FootnoteReference"/>
          <w:lang w:val="en-GB"/>
        </w:rPr>
        <w:footnoteRef/>
      </w:r>
      <w:r w:rsidRPr="008D0648">
        <w:rPr>
          <w:lang w:val="en-GB"/>
        </w:rPr>
        <w:t xml:space="preserve"> </w:t>
      </w:r>
      <w:bookmarkStart w:id="19" w:name="lt_pId579"/>
      <w:bookmarkStart w:id="20" w:name="_Hlk66949982"/>
      <w:r w:rsidRPr="008D0648">
        <w:rPr>
          <w:lang w:val="en-GB"/>
        </w:rPr>
        <w:t xml:space="preserve">McKinsey Digital, </w:t>
      </w:r>
      <w:r w:rsidRPr="008D0648">
        <w:rPr>
          <w:i/>
          <w:iCs/>
          <w:lang w:val="en-GB"/>
        </w:rPr>
        <w:t>Europe’s digital migration during COVID-19: Getting past the broad trends and averages</w:t>
      </w:r>
      <w:r w:rsidRPr="008D0648">
        <w:rPr>
          <w:lang w:val="en-GB"/>
        </w:rPr>
        <w:t xml:space="preserve"> (2020), </w:t>
      </w:r>
      <w:hyperlink r:id="rId2" w:history="1">
        <w:r w:rsidRPr="008D0648">
          <w:rPr>
            <w:rStyle w:val="Hyperlink"/>
            <w:lang w:val="en-GB"/>
          </w:rPr>
          <w:t>https://www.mckinsey.com/business-functions/mckinsey-digital/our-insights/europes-digital-migration-during-covid-19-getting-past-the-broad-trends-and-averages</w:t>
        </w:r>
      </w:hyperlink>
      <w:r w:rsidRPr="008D0648">
        <w:rPr>
          <w:lang w:val="en-GB"/>
        </w:rPr>
        <w:t xml:space="preserve">; </w:t>
      </w:r>
      <w:r>
        <w:rPr>
          <w:lang w:val="ru-RU"/>
        </w:rPr>
        <w:t>и</w:t>
      </w:r>
      <w:r w:rsidRPr="008D0648">
        <w:rPr>
          <w:lang w:val="en-GB"/>
        </w:rPr>
        <w:t xml:space="preserve"> McKinsey &amp; Company, </w:t>
      </w:r>
      <w:r w:rsidRPr="008D0648">
        <w:rPr>
          <w:i/>
          <w:iCs/>
          <w:lang w:val="en-GB"/>
        </w:rPr>
        <w:t>How COVID-19 has pushed companies over the technology tipping point—and transformed business forever</w:t>
      </w:r>
      <w:r w:rsidRPr="008D0648">
        <w:rPr>
          <w:lang w:val="en-GB"/>
        </w:rPr>
        <w:t xml:space="preserve"> (2020), </w:t>
      </w:r>
      <w:hyperlink w:history="1"/>
      <w:hyperlink r:id="rId3" w:history="1">
        <w:r w:rsidRPr="008D0648">
          <w:rPr>
            <w:rStyle w:val="Hyperlink"/>
            <w:lang w:val="en-GB"/>
          </w:rPr>
          <w:t>https://www.mckinsey.com/business-functions/strategy-and-corporate-finance/our-insights/how-covid-19-has-pushed-companies-over-the-technology-tipping-point-and-transformed-business-forever</w:t>
        </w:r>
      </w:hyperlink>
      <w:r w:rsidRPr="008D0648">
        <w:rPr>
          <w:lang w:val="en-GB"/>
        </w:rPr>
        <w:t>.</w:t>
      </w:r>
      <w:bookmarkEnd w:id="19"/>
      <w:bookmarkEnd w:id="20"/>
    </w:p>
  </w:footnote>
  <w:footnote w:id="3">
    <w:p w14:paraId="13FC5FE4" w14:textId="77777777" w:rsidR="00585998" w:rsidRPr="008D0648" w:rsidRDefault="00585998" w:rsidP="00585998">
      <w:pPr>
        <w:pStyle w:val="FootnoteText"/>
        <w:rPr>
          <w:lang w:val="en-GB"/>
        </w:rPr>
      </w:pPr>
      <w:r w:rsidRPr="008D0648">
        <w:rPr>
          <w:rStyle w:val="FootnoteReference"/>
          <w:lang w:val="en-GB"/>
        </w:rPr>
        <w:footnoteRef/>
      </w:r>
      <w:r w:rsidRPr="008D0648">
        <w:rPr>
          <w:lang w:val="en-GB"/>
        </w:rPr>
        <w:t xml:space="preserve"> </w:t>
      </w:r>
      <w:hyperlink r:id="rId4" w:history="1">
        <w:bookmarkStart w:id="26" w:name="lt_pId580"/>
        <w:r w:rsidRPr="008D0648">
          <w:rPr>
            <w:rStyle w:val="Hyperlink"/>
            <w:lang w:val="en-GB"/>
          </w:rPr>
          <w:t>https://www.itu.int/en/ITU-D/Regional-Presence/CIS/Pages/default.aspx</w:t>
        </w:r>
        <w:bookmarkEnd w:id="26"/>
      </w:hyperlink>
      <w:r w:rsidRPr="008D0648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3C20" w14:textId="77777777" w:rsidR="003F2C96" w:rsidRDefault="003F2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A9BE" w14:textId="6E5EAD07" w:rsidR="003F2C96" w:rsidRPr="003F2C96" w:rsidRDefault="003F2C96" w:rsidP="003F2C96">
    <w:pPr>
      <w:tabs>
        <w:tab w:val="center" w:pos="4820"/>
        <w:tab w:val="right" w:pos="10206"/>
      </w:tabs>
      <w:ind w:right="1"/>
      <w:rPr>
        <w:smallCaps/>
        <w:spacing w:val="24"/>
        <w:lang w:val="es-ES_tradnl"/>
      </w:rPr>
    </w:pPr>
    <w:r w:rsidRPr="004D495C">
      <w:tab/>
    </w:r>
    <w:r w:rsidRPr="00FF089C">
      <w:rPr>
        <w:lang w:val="es-ES_tradnl"/>
      </w:rPr>
      <w:t>ITU-D/</w:t>
    </w:r>
    <w:bookmarkStart w:id="61" w:name="DocRef2"/>
    <w:bookmarkEnd w:id="61"/>
    <w:r w:rsidRPr="00FF089C">
      <w:rPr>
        <w:lang w:val="es-ES_tradnl"/>
      </w:rPr>
      <w:t>RPM-</w:t>
    </w:r>
    <w:r>
      <w:rPr>
        <w:lang w:val="es-ES_tradnl"/>
      </w:rPr>
      <w:t>CIS21</w:t>
    </w:r>
    <w:r w:rsidRPr="00FF089C">
      <w:rPr>
        <w:lang w:val="es-ES_tradnl"/>
      </w:rPr>
      <w:t>/</w:t>
    </w:r>
    <w:bookmarkStart w:id="62" w:name="DocNo2"/>
    <w:bookmarkEnd w:id="62"/>
    <w:r>
      <w:rPr>
        <w:lang w:val="es-ES_tradnl"/>
      </w:rPr>
      <w:t>2(Ann.1)</w:t>
    </w:r>
    <w:r w:rsidRPr="00FF089C">
      <w:rPr>
        <w:lang w:val="es-ES_tradnl"/>
      </w:rPr>
      <w:t>-</w:t>
    </w:r>
    <w:r>
      <w:rPr>
        <w:lang w:val="es-ES_tradnl"/>
      </w:rPr>
      <w:t>R</w:t>
    </w:r>
    <w:bookmarkStart w:id="63" w:name="_GoBack"/>
    <w:bookmarkEnd w:id="63"/>
    <w:r w:rsidRPr="00FF089C">
      <w:rPr>
        <w:lang w:val="es-ES_tradnl"/>
      </w:rPr>
      <w:tab/>
      <w:t xml:space="preserve">Page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t>1</w:t>
    </w:r>
    <w:r w:rsidRPr="004D495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8F0E" w14:textId="77777777" w:rsidR="003F2C96" w:rsidRDefault="003F2C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s-ES_tradnl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B1"/>
    <w:rsid w:val="00000496"/>
    <w:rsid w:val="00062248"/>
    <w:rsid w:val="001225CA"/>
    <w:rsid w:val="001305C7"/>
    <w:rsid w:val="00143EF2"/>
    <w:rsid w:val="00174FB7"/>
    <w:rsid w:val="001B1A44"/>
    <w:rsid w:val="001D0DD7"/>
    <w:rsid w:val="001D13E9"/>
    <w:rsid w:val="001E7247"/>
    <w:rsid w:val="002672A4"/>
    <w:rsid w:val="002A17EA"/>
    <w:rsid w:val="00314958"/>
    <w:rsid w:val="003C7912"/>
    <w:rsid w:val="003F2C96"/>
    <w:rsid w:val="0043493E"/>
    <w:rsid w:val="00472B47"/>
    <w:rsid w:val="004803CD"/>
    <w:rsid w:val="004848DF"/>
    <w:rsid w:val="00485860"/>
    <w:rsid w:val="005737FC"/>
    <w:rsid w:val="00585998"/>
    <w:rsid w:val="005918AA"/>
    <w:rsid w:val="00623393"/>
    <w:rsid w:val="00640AC3"/>
    <w:rsid w:val="00781F4B"/>
    <w:rsid w:val="00785C3A"/>
    <w:rsid w:val="00797C41"/>
    <w:rsid w:val="007E7B1E"/>
    <w:rsid w:val="008F1A64"/>
    <w:rsid w:val="00947BE3"/>
    <w:rsid w:val="009641C6"/>
    <w:rsid w:val="009D51E1"/>
    <w:rsid w:val="00A22410"/>
    <w:rsid w:val="00A55C8C"/>
    <w:rsid w:val="00BC0A09"/>
    <w:rsid w:val="00C07B55"/>
    <w:rsid w:val="00C27753"/>
    <w:rsid w:val="00C53A94"/>
    <w:rsid w:val="00C731B1"/>
    <w:rsid w:val="00CE5620"/>
    <w:rsid w:val="00D35187"/>
    <w:rsid w:val="00E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7F13"/>
  <w15:chartTrackingRefBased/>
  <w15:docId w15:val="{35A8B1DD-C277-4449-91CD-4E3362ED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B1"/>
    <w:pPr>
      <w:jc w:val="both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C731B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8724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TitleLeftAligned">
    <w:name w:val="Front_Matter_Title_Left_Aligned"/>
    <w:basedOn w:val="Normal"/>
    <w:rsid w:val="00C731B1"/>
  </w:style>
  <w:style w:type="character" w:customStyle="1" w:styleId="Heading1Char">
    <w:name w:val="Heading 1 Char"/>
    <w:basedOn w:val="DefaultParagraphFont"/>
    <w:link w:val="Heading1"/>
    <w:rsid w:val="00C731B1"/>
    <w:rPr>
      <w:rFonts w:asciiTheme="majorHAnsi" w:eastAsiaTheme="majorEastAsia" w:hAnsiTheme="majorHAnsi" w:cstheme="majorBidi"/>
      <w:color w:val="28724F"/>
      <w:sz w:val="32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731B1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1B1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nhideWhenUsed/>
    <w:rsid w:val="00C731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31B1"/>
    <w:rPr>
      <w:color w:val="0563C1" w:themeColor="hyperlink"/>
      <w:u w:val="single"/>
    </w:rPr>
  </w:style>
  <w:style w:type="paragraph" w:customStyle="1" w:styleId="Alternativetext">
    <w:name w:val="Alternative text"/>
    <w:basedOn w:val="Normal"/>
    <w:rsid w:val="00C731B1"/>
    <w:rPr>
      <w:i/>
      <w:color w:val="ED7D31" w:themeColor="accent2"/>
      <w:sz w:val="16"/>
    </w:rPr>
  </w:style>
  <w:style w:type="paragraph" w:customStyle="1" w:styleId="Figure">
    <w:name w:val="Figure"/>
    <w:basedOn w:val="Normal"/>
    <w:link w:val="FigureChar"/>
    <w:rsid w:val="00C731B1"/>
    <w:pPr>
      <w:jc w:val="center"/>
    </w:pPr>
    <w:rPr>
      <w:color w:val="339966"/>
    </w:rPr>
  </w:style>
  <w:style w:type="paragraph" w:customStyle="1" w:styleId="Figuretitle">
    <w:name w:val="Figure title"/>
    <w:basedOn w:val="Normal"/>
    <w:next w:val="Normal"/>
    <w:link w:val="FiguretitleChar"/>
    <w:rsid w:val="00C731B1"/>
    <w:rPr>
      <w:color w:val="339966"/>
    </w:rPr>
  </w:style>
  <w:style w:type="paragraph" w:customStyle="1" w:styleId="Sourcetext">
    <w:name w:val="Source text"/>
    <w:basedOn w:val="Normal"/>
    <w:rsid w:val="00C731B1"/>
    <w:rPr>
      <w:sz w:val="18"/>
    </w:rPr>
  </w:style>
  <w:style w:type="character" w:customStyle="1" w:styleId="FiguretitleChar">
    <w:name w:val="Figure title Char"/>
    <w:basedOn w:val="DefaultParagraphFont"/>
    <w:link w:val="Figuretitle"/>
    <w:locked/>
    <w:rsid w:val="00C731B1"/>
    <w:rPr>
      <w:color w:val="339966"/>
      <w:lang w:val="ru-RU"/>
    </w:rPr>
  </w:style>
  <w:style w:type="character" w:customStyle="1" w:styleId="FigureChar">
    <w:name w:val="Figure Char"/>
    <w:basedOn w:val="FiguretitleChar"/>
    <w:link w:val="Figure"/>
    <w:rsid w:val="00C731B1"/>
    <w:rPr>
      <w:color w:val="339966"/>
      <w:lang w:val="ru-RU"/>
    </w:rPr>
  </w:style>
  <w:style w:type="character" w:customStyle="1" w:styleId="TPSImage">
    <w:name w:val="TPS Image"/>
    <w:uiPriority w:val="1"/>
    <w:rsid w:val="00C731B1"/>
    <w:rPr>
      <w:rFonts w:ascii="Arial" w:eastAsia="Times New Roman" w:hAnsi="Arial" w:cs="Times New Roman"/>
      <w:b/>
      <w:noProof w:val="0"/>
      <w:color w:val="FF6600"/>
      <w:sz w:val="18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customStyle="1" w:styleId="Boxtitle">
    <w:name w:val="Box title"/>
    <w:basedOn w:val="Normal"/>
    <w:next w:val="Normal"/>
    <w:rsid w:val="00781F4B"/>
    <w:rPr>
      <w:color w:val="006666"/>
    </w:rPr>
  </w:style>
  <w:style w:type="paragraph" w:customStyle="1" w:styleId="Heading2nextpage">
    <w:name w:val="Heading 2 next page"/>
    <w:basedOn w:val="Heading2"/>
    <w:next w:val="Normal"/>
    <w:rsid w:val="00781F4B"/>
    <w:pPr>
      <w:pageBreakBefore/>
      <w:spacing w:line="240" w:lineRule="auto"/>
    </w:pPr>
    <w:rPr>
      <w:color w:val="045D3C"/>
      <w:lang w:val="en-GB"/>
    </w:rPr>
  </w:style>
  <w:style w:type="paragraph" w:customStyle="1" w:styleId="Normalnextpage">
    <w:name w:val="Normal next page"/>
    <w:basedOn w:val="Normal"/>
    <w:rsid w:val="00781F4B"/>
  </w:style>
  <w:style w:type="character" w:customStyle="1" w:styleId="Coloredbold">
    <w:name w:val="Colored bold"/>
    <w:rsid w:val="00781F4B"/>
    <w:rPr>
      <w:b/>
      <w:color w:val="045D3C"/>
    </w:rPr>
  </w:style>
  <w:style w:type="paragraph" w:customStyle="1" w:styleId="TPSElement">
    <w:name w:val="TPS Element"/>
    <w:basedOn w:val="Normal"/>
    <w:next w:val="Normal"/>
    <w:uiPriority w:val="1"/>
    <w:rsid w:val="00781F4B"/>
    <w:pPr>
      <w:pBdr>
        <w:top w:val="single" w:sz="2" w:space="3" w:color="auto"/>
      </w:pBdr>
      <w:shd w:val="clear" w:color="auto" w:fill="C9D5B3"/>
      <w:spacing w:after="0" w:line="300" w:lineRule="auto"/>
      <w:jc w:val="left"/>
    </w:pPr>
    <w:rPr>
      <w:rFonts w:ascii="Arial" w:eastAsia="Times New Roman" w:hAnsi="Arial" w:cs="Times New Roman"/>
      <w:b/>
      <w:color w:val="2F275B"/>
      <w:sz w:val="18"/>
      <w:szCs w:val="24"/>
      <w:lang w:val="en-US"/>
    </w:rPr>
  </w:style>
  <w:style w:type="paragraph" w:customStyle="1" w:styleId="TPSElementEnd">
    <w:name w:val="TPS Element End"/>
    <w:basedOn w:val="Normal"/>
    <w:next w:val="Normal"/>
    <w:uiPriority w:val="1"/>
    <w:rsid w:val="00781F4B"/>
    <w:pPr>
      <w:pBdr>
        <w:bottom w:val="single" w:sz="2" w:space="1" w:color="auto"/>
      </w:pBdr>
      <w:shd w:val="clear" w:color="auto" w:fill="C9D5B3"/>
      <w:spacing w:after="0" w:line="300" w:lineRule="auto"/>
      <w:jc w:val="left"/>
    </w:pPr>
    <w:rPr>
      <w:rFonts w:ascii="Arial" w:eastAsia="Times New Roman" w:hAnsi="Arial" w:cs="Times New Roman"/>
      <w:b/>
      <w:color w:val="2F275B"/>
      <w:sz w:val="18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B1E"/>
    <w:pPr>
      <w:jc w:val="left"/>
      <w:outlineLvl w:val="9"/>
    </w:pPr>
    <w:rPr>
      <w:color w:val="DDA46F"/>
    </w:rPr>
  </w:style>
  <w:style w:type="paragraph" w:styleId="TOC1">
    <w:name w:val="toc 1"/>
    <w:basedOn w:val="Normal"/>
    <w:next w:val="Normal"/>
    <w:autoRedefine/>
    <w:uiPriority w:val="39"/>
    <w:unhideWhenUsed/>
    <w:rsid w:val="007E7B1E"/>
    <w:pPr>
      <w:tabs>
        <w:tab w:val="right" w:leader="dot" w:pos="9016"/>
      </w:tabs>
      <w:spacing w:before="120" w:after="120" w:line="240" w:lineRule="auto"/>
      <w:jc w:val="left"/>
    </w:pPr>
    <w:rPr>
      <w:rFonts w:cstheme="minorHAnsi"/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7E7B1E"/>
    <w:pPr>
      <w:tabs>
        <w:tab w:val="right" w:leader="dot" w:pos="9016"/>
      </w:tabs>
      <w:spacing w:after="0" w:line="240" w:lineRule="auto"/>
      <w:ind w:left="240"/>
      <w:jc w:val="left"/>
    </w:pPr>
    <w:rPr>
      <w:rFonts w:cstheme="minorHAnsi"/>
      <w:smallCaps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7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B1E"/>
    <w:pPr>
      <w:spacing w:after="0" w:line="240" w:lineRule="auto"/>
      <w:jc w:val="left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B1E"/>
    <w:rPr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B1E"/>
    <w:pPr>
      <w:spacing w:after="200" w:line="240" w:lineRule="auto"/>
      <w:jc w:val="left"/>
    </w:pPr>
    <w:rPr>
      <w:i/>
      <w:iCs/>
      <w:color w:val="44546A" w:themeColor="text2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58599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C96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F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C9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business-functions/mckinsey-digital/our-insight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ckinsey.com/business-functions/strategy-and-corporate-finance/our-insights/how-covid-19-has-pushed-companies-over-the-technology-tipping-point-and-transformed-business-forever" TargetMode="External"/><Relationship Id="rId2" Type="http://schemas.openxmlformats.org/officeDocument/2006/relationships/hyperlink" Target="https://www.mckinsey.com/business-functions/mckinsey-digital/our-insights/europes-digital-migration-during-covid-19-getting-past-the-broad-trends-and-averages" TargetMode="External"/><Relationship Id="rId1" Type="http://schemas.openxmlformats.org/officeDocument/2006/relationships/hyperlink" Target="https://www.itu.int/en/ITU-D/Conferences/GSR/2020/Documents/GSR-20_Impact-COVID-19-on-digital-economy_Discussion-Paper_Final.pdf" TargetMode="External"/><Relationship Id="rId4" Type="http://schemas.openxmlformats.org/officeDocument/2006/relationships/hyperlink" Target="https://www.itu.int/en/ITU-D/Regional-Presence/CI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Lusweti, Patricia</dc:creator>
  <cp:keywords/>
  <dc:description/>
  <cp:lastModifiedBy>BDT-nd</cp:lastModifiedBy>
  <cp:revision>4</cp:revision>
  <dcterms:created xsi:type="dcterms:W3CDTF">2021-04-19T13:43:00Z</dcterms:created>
  <dcterms:modified xsi:type="dcterms:W3CDTF">2021-04-21T06:16:00Z</dcterms:modified>
</cp:coreProperties>
</file>