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985"/>
        <w:gridCol w:w="1277"/>
      </w:tblGrid>
      <w:tr w:rsidR="00F100B9" w:rsidRPr="002C2948" w14:paraId="17753B25" w14:textId="77777777" w:rsidTr="00DD66E9">
        <w:trPr>
          <w:cantSplit/>
          <w:trHeight w:val="1704"/>
        </w:trPr>
        <w:tc>
          <w:tcPr>
            <w:tcW w:w="2127" w:type="dxa"/>
          </w:tcPr>
          <w:p w14:paraId="282F1FA3" w14:textId="34E24CF6" w:rsidR="00F100B9" w:rsidRPr="002C2948" w:rsidRDefault="00F100B9" w:rsidP="00814561">
            <w:pPr>
              <w:rPr>
                <w:b/>
                <w:bCs/>
                <w:sz w:val="32"/>
                <w:szCs w:val="32"/>
                <w:lang w:val="fr-FR"/>
              </w:rPr>
            </w:pPr>
            <w:r w:rsidRPr="002C2948">
              <w:rPr>
                <w:b/>
                <w:bCs/>
                <w:noProof/>
                <w:sz w:val="32"/>
                <w:szCs w:val="32"/>
                <w:lang w:val="en-US"/>
              </w:rPr>
              <w:drawing>
                <wp:inline distT="0" distB="0" distL="0" distR="0" wp14:anchorId="68AF3FA6" wp14:editId="26BB4767">
                  <wp:extent cx="1159200" cy="964800"/>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13244"/>
                          <a:stretch/>
                        </pic:blipFill>
                        <pic:spPr bwMode="auto">
                          <a:xfrm>
                            <a:off x="0" y="0"/>
                            <a:ext cx="1159200" cy="964800"/>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062BAC38" w14:textId="4BAC6AC5" w:rsidR="00B319E7" w:rsidRPr="002C2948" w:rsidRDefault="00B319E7" w:rsidP="00814561">
            <w:pPr>
              <w:spacing w:before="240"/>
              <w:rPr>
                <w:b/>
                <w:iCs/>
                <w:sz w:val="32"/>
                <w:szCs w:val="32"/>
                <w:lang w:val="fr-FR"/>
              </w:rPr>
            </w:pPr>
            <w:r w:rsidRPr="002C2948">
              <w:rPr>
                <w:b/>
                <w:iCs/>
                <w:sz w:val="32"/>
                <w:szCs w:val="32"/>
                <w:lang w:val="fr-FR"/>
              </w:rPr>
              <w:t xml:space="preserve">Première </w:t>
            </w:r>
            <w:r w:rsidRPr="002C2948">
              <w:rPr>
                <w:b/>
                <w:iCs/>
                <w:color w:val="000000"/>
                <w:sz w:val="32"/>
                <w:szCs w:val="32"/>
                <w:lang w:val="fr-FR"/>
              </w:rPr>
              <w:t>Réunion interrégionale</w:t>
            </w:r>
            <w:r w:rsidRPr="002C2948">
              <w:rPr>
                <w:b/>
                <w:iCs/>
                <w:sz w:val="32"/>
                <w:szCs w:val="32"/>
                <w:lang w:val="fr-FR"/>
              </w:rPr>
              <w:t xml:space="preserve"> (IRM-1) </w:t>
            </w:r>
            <w:r w:rsidR="001364EB" w:rsidRPr="002C2948">
              <w:rPr>
                <w:b/>
                <w:bCs/>
                <w:iCs/>
                <w:sz w:val="32"/>
                <w:szCs w:val="32"/>
                <w:lang w:val="fr-FR"/>
              </w:rPr>
              <w:t>chargée de la préparation de la CMDT-21</w:t>
            </w:r>
          </w:p>
          <w:p w14:paraId="733A8873" w14:textId="22C01D93" w:rsidR="00F100B9" w:rsidRPr="002C2948" w:rsidRDefault="00F100B9" w:rsidP="00814561">
            <w:pPr>
              <w:spacing w:before="0" w:after="60"/>
              <w:rPr>
                <w:b/>
                <w:bCs/>
                <w:sz w:val="32"/>
                <w:szCs w:val="32"/>
                <w:lang w:val="fr-FR"/>
              </w:rPr>
            </w:pPr>
            <w:r w:rsidRPr="002C2948">
              <w:rPr>
                <w:b/>
                <w:bCs/>
                <w:szCs w:val="24"/>
                <w:lang w:val="fr-FR"/>
              </w:rPr>
              <w:t xml:space="preserve">Virtuelle, </w:t>
            </w:r>
            <w:r w:rsidR="00B57522" w:rsidRPr="002C2948">
              <w:rPr>
                <w:b/>
                <w:bCs/>
                <w:szCs w:val="24"/>
                <w:lang w:val="fr-FR"/>
              </w:rPr>
              <w:t>11 mars</w:t>
            </w:r>
            <w:r w:rsidRPr="002C2948">
              <w:rPr>
                <w:b/>
                <w:bCs/>
                <w:szCs w:val="24"/>
                <w:lang w:val="fr-FR"/>
              </w:rPr>
              <w:t xml:space="preserve"> 2021</w:t>
            </w:r>
          </w:p>
        </w:tc>
        <w:tc>
          <w:tcPr>
            <w:tcW w:w="1277" w:type="dxa"/>
          </w:tcPr>
          <w:p w14:paraId="279197B1" w14:textId="09B5E2EB" w:rsidR="00F100B9" w:rsidRPr="002C2948" w:rsidRDefault="00F100B9" w:rsidP="00814561">
            <w:pPr>
              <w:spacing w:before="240"/>
              <w:ind w:right="142"/>
              <w:jc w:val="right"/>
              <w:rPr>
                <w:lang w:val="fr-FR"/>
              </w:rPr>
            </w:pPr>
            <w:r w:rsidRPr="002C2948">
              <w:rPr>
                <w:noProof/>
                <w:lang w:val="en-US"/>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2C2948" w14:paraId="02CA2556" w14:textId="77777777" w:rsidTr="00504609">
        <w:trPr>
          <w:cantSplit/>
          <w:trHeight w:val="238"/>
        </w:trPr>
        <w:tc>
          <w:tcPr>
            <w:tcW w:w="6379" w:type="dxa"/>
            <w:gridSpan w:val="2"/>
            <w:tcBorders>
              <w:top w:val="single" w:sz="12" w:space="0" w:color="auto"/>
            </w:tcBorders>
          </w:tcPr>
          <w:p w14:paraId="5057834D" w14:textId="77777777" w:rsidR="0070796E" w:rsidRPr="002C2948" w:rsidRDefault="0070796E" w:rsidP="00814561">
            <w:pPr>
              <w:spacing w:before="0"/>
              <w:rPr>
                <w:lang w:val="fr-FR"/>
              </w:rPr>
            </w:pPr>
          </w:p>
        </w:tc>
        <w:tc>
          <w:tcPr>
            <w:tcW w:w="3262" w:type="dxa"/>
            <w:gridSpan w:val="2"/>
            <w:tcBorders>
              <w:top w:val="single" w:sz="12" w:space="0" w:color="auto"/>
            </w:tcBorders>
          </w:tcPr>
          <w:p w14:paraId="48551317" w14:textId="77777777" w:rsidR="0070796E" w:rsidRPr="002C2948" w:rsidRDefault="0070796E" w:rsidP="00814561">
            <w:pPr>
              <w:spacing w:before="0"/>
              <w:rPr>
                <w:lang w:val="fr-FR"/>
              </w:rPr>
            </w:pPr>
          </w:p>
        </w:tc>
      </w:tr>
      <w:tr w:rsidR="0070796E" w:rsidRPr="002C2948" w14:paraId="042F6D12" w14:textId="77777777" w:rsidTr="00504609">
        <w:trPr>
          <w:cantSplit/>
          <w:trHeight w:val="20"/>
        </w:trPr>
        <w:tc>
          <w:tcPr>
            <w:tcW w:w="6379" w:type="dxa"/>
            <w:gridSpan w:val="2"/>
            <w:vMerge w:val="restart"/>
          </w:tcPr>
          <w:p w14:paraId="20070EC3" w14:textId="77777777" w:rsidR="0070796E" w:rsidRPr="002C2948" w:rsidRDefault="0070796E" w:rsidP="00814561">
            <w:pPr>
              <w:rPr>
                <w:lang w:val="fr-FR"/>
              </w:rPr>
            </w:pPr>
          </w:p>
        </w:tc>
        <w:tc>
          <w:tcPr>
            <w:tcW w:w="3262" w:type="dxa"/>
            <w:gridSpan w:val="2"/>
          </w:tcPr>
          <w:p w14:paraId="49CE235C" w14:textId="4433C68F" w:rsidR="0070796E" w:rsidRPr="002C2948" w:rsidRDefault="0070796E" w:rsidP="00814561">
            <w:pPr>
              <w:spacing w:before="0"/>
              <w:rPr>
                <w:b/>
                <w:bCs/>
                <w:szCs w:val="24"/>
                <w:lang w:val="fr-FR"/>
              </w:rPr>
            </w:pPr>
            <w:r w:rsidRPr="002C2948">
              <w:rPr>
                <w:b/>
                <w:bCs/>
                <w:szCs w:val="24"/>
                <w:lang w:val="fr-FR"/>
              </w:rPr>
              <w:t>Document</w:t>
            </w:r>
            <w:bookmarkStart w:id="0" w:name="DocRef1"/>
            <w:bookmarkEnd w:id="0"/>
            <w:r w:rsidR="00B57522" w:rsidRPr="002C2948">
              <w:rPr>
                <w:rFonts w:asciiTheme="minorHAnsi" w:hAnsiTheme="minorHAnsi" w:cstheme="minorHAnsi"/>
                <w:b/>
                <w:bCs/>
                <w:szCs w:val="24"/>
                <w:lang w:val="fr-FR"/>
              </w:rPr>
              <w:t xml:space="preserve"> </w:t>
            </w:r>
            <w:r w:rsidR="00B57522" w:rsidRPr="002C2948">
              <w:rPr>
                <w:b/>
                <w:bCs/>
                <w:szCs w:val="24"/>
                <w:lang w:val="fr-FR"/>
              </w:rPr>
              <w:t>IRM21-1/</w:t>
            </w:r>
            <w:r w:rsidR="0016393B" w:rsidRPr="002C2948">
              <w:rPr>
                <w:b/>
                <w:bCs/>
                <w:szCs w:val="24"/>
                <w:lang w:val="fr-FR"/>
              </w:rPr>
              <w:t>33</w:t>
            </w:r>
            <w:r w:rsidR="00B57522" w:rsidRPr="002C2948">
              <w:rPr>
                <w:b/>
                <w:bCs/>
                <w:szCs w:val="24"/>
                <w:lang w:val="fr-FR"/>
              </w:rPr>
              <w:t>-F</w:t>
            </w:r>
          </w:p>
        </w:tc>
      </w:tr>
      <w:tr w:rsidR="0070796E" w:rsidRPr="002C2948" w14:paraId="2EA9F9CE" w14:textId="77777777" w:rsidTr="00504609">
        <w:trPr>
          <w:cantSplit/>
          <w:trHeight w:val="23"/>
        </w:trPr>
        <w:tc>
          <w:tcPr>
            <w:tcW w:w="6379" w:type="dxa"/>
            <w:gridSpan w:val="2"/>
            <w:vMerge/>
          </w:tcPr>
          <w:p w14:paraId="2A780D8D" w14:textId="77777777" w:rsidR="0070796E" w:rsidRPr="002C2948" w:rsidRDefault="0070796E" w:rsidP="00814561">
            <w:pPr>
              <w:tabs>
                <w:tab w:val="left" w:pos="851"/>
              </w:tabs>
              <w:rPr>
                <w:b/>
                <w:lang w:val="fr-FR"/>
              </w:rPr>
            </w:pPr>
          </w:p>
        </w:tc>
        <w:tc>
          <w:tcPr>
            <w:tcW w:w="3262" w:type="dxa"/>
            <w:gridSpan w:val="2"/>
          </w:tcPr>
          <w:p w14:paraId="5AACB509" w14:textId="6C159731" w:rsidR="0070796E" w:rsidRPr="002C2948" w:rsidRDefault="0016393B" w:rsidP="00814561">
            <w:pPr>
              <w:spacing w:before="0"/>
              <w:rPr>
                <w:b/>
                <w:bCs/>
                <w:szCs w:val="24"/>
                <w:lang w:val="fr-FR"/>
              </w:rPr>
            </w:pPr>
            <w:r w:rsidRPr="002C2948">
              <w:rPr>
                <w:b/>
                <w:bCs/>
                <w:szCs w:val="24"/>
                <w:lang w:val="fr-FR"/>
              </w:rPr>
              <w:t>14 avril</w:t>
            </w:r>
            <w:r w:rsidR="00B57522" w:rsidRPr="002C2948">
              <w:rPr>
                <w:b/>
                <w:bCs/>
                <w:szCs w:val="24"/>
                <w:lang w:val="fr-FR"/>
              </w:rPr>
              <w:t xml:space="preserve"> 2021</w:t>
            </w:r>
          </w:p>
        </w:tc>
      </w:tr>
      <w:tr w:rsidR="0070796E" w:rsidRPr="002C2948" w14:paraId="03F0AF90" w14:textId="77777777" w:rsidTr="00504609">
        <w:trPr>
          <w:cantSplit/>
          <w:trHeight w:val="333"/>
        </w:trPr>
        <w:tc>
          <w:tcPr>
            <w:tcW w:w="6379" w:type="dxa"/>
            <w:gridSpan w:val="2"/>
            <w:vMerge/>
          </w:tcPr>
          <w:p w14:paraId="49E11E04" w14:textId="77777777" w:rsidR="0070796E" w:rsidRPr="002C2948" w:rsidRDefault="0070796E" w:rsidP="00814561">
            <w:pPr>
              <w:tabs>
                <w:tab w:val="left" w:pos="851"/>
              </w:tabs>
              <w:rPr>
                <w:b/>
                <w:lang w:val="fr-FR"/>
              </w:rPr>
            </w:pPr>
          </w:p>
        </w:tc>
        <w:tc>
          <w:tcPr>
            <w:tcW w:w="3262" w:type="dxa"/>
            <w:gridSpan w:val="2"/>
          </w:tcPr>
          <w:p w14:paraId="5C49528C" w14:textId="61958829" w:rsidR="0070796E" w:rsidRPr="002C2948" w:rsidRDefault="0070796E" w:rsidP="00814561">
            <w:pPr>
              <w:spacing w:before="0" w:after="120"/>
              <w:rPr>
                <w:b/>
                <w:bCs/>
                <w:szCs w:val="24"/>
                <w:lang w:val="fr-FR"/>
              </w:rPr>
            </w:pPr>
            <w:r w:rsidRPr="002C2948">
              <w:rPr>
                <w:b/>
                <w:bCs/>
                <w:szCs w:val="24"/>
                <w:lang w:val="fr-FR"/>
              </w:rPr>
              <w:t>Original:</w:t>
            </w:r>
            <w:r w:rsidR="005543B5" w:rsidRPr="002C2948">
              <w:rPr>
                <w:b/>
                <w:bCs/>
                <w:szCs w:val="24"/>
                <w:lang w:val="fr-FR"/>
              </w:rPr>
              <w:t xml:space="preserve"> </w:t>
            </w:r>
            <w:bookmarkStart w:id="1" w:name="Original"/>
            <w:bookmarkEnd w:id="1"/>
            <w:r w:rsidR="00B57522" w:rsidRPr="002C2948">
              <w:rPr>
                <w:b/>
                <w:bCs/>
                <w:szCs w:val="24"/>
                <w:lang w:val="fr-FR"/>
              </w:rPr>
              <w:t>anglais</w:t>
            </w:r>
          </w:p>
        </w:tc>
      </w:tr>
      <w:tr w:rsidR="0070796E" w:rsidRPr="002C2948" w14:paraId="655B5FD0" w14:textId="77777777" w:rsidTr="00504609">
        <w:trPr>
          <w:cantSplit/>
          <w:trHeight w:val="23"/>
        </w:trPr>
        <w:tc>
          <w:tcPr>
            <w:tcW w:w="9641" w:type="dxa"/>
            <w:gridSpan w:val="4"/>
          </w:tcPr>
          <w:p w14:paraId="438BCD9A" w14:textId="5AC97F63" w:rsidR="0070796E" w:rsidRPr="002C2948" w:rsidRDefault="00C7784D" w:rsidP="00DA0F7A">
            <w:pPr>
              <w:tabs>
                <w:tab w:val="clear" w:pos="1985"/>
              </w:tabs>
              <w:spacing w:before="240" w:after="240"/>
              <w:jc w:val="center"/>
              <w:rPr>
                <w:b/>
                <w:bCs/>
                <w:sz w:val="28"/>
                <w:szCs w:val="28"/>
                <w:lang w:val="fr-FR"/>
              </w:rPr>
            </w:pPr>
            <w:r w:rsidRPr="002C2948">
              <w:rPr>
                <w:b/>
                <w:bCs/>
                <w:sz w:val="28"/>
                <w:szCs w:val="28"/>
                <w:lang w:val="fr-FR"/>
              </w:rPr>
              <w:t>Présid</w:t>
            </w:r>
            <w:bookmarkStart w:id="2" w:name="_GoBack"/>
            <w:bookmarkEnd w:id="2"/>
            <w:r w:rsidRPr="002C2948">
              <w:rPr>
                <w:b/>
                <w:bCs/>
                <w:sz w:val="28"/>
                <w:szCs w:val="28"/>
                <w:lang w:val="fr-FR"/>
              </w:rPr>
              <w:t>ent</w:t>
            </w:r>
            <w:r w:rsidR="0016393B" w:rsidRPr="002C2948">
              <w:rPr>
                <w:b/>
                <w:bCs/>
                <w:sz w:val="28"/>
                <w:szCs w:val="28"/>
                <w:lang w:val="fr-FR"/>
              </w:rPr>
              <w:t xml:space="preserve">, </w:t>
            </w:r>
            <w:r w:rsidR="00DA0F7A">
              <w:rPr>
                <w:b/>
                <w:bCs/>
                <w:sz w:val="28"/>
                <w:szCs w:val="28"/>
                <w:lang w:val="fr-FR"/>
              </w:rPr>
              <w:t>R</w:t>
            </w:r>
            <w:r w:rsidR="007C2746" w:rsidRPr="002C2948">
              <w:rPr>
                <w:b/>
                <w:bCs/>
                <w:sz w:val="28"/>
                <w:szCs w:val="28"/>
                <w:lang w:val="fr-FR"/>
              </w:rPr>
              <w:t>éunion IRM-1</w:t>
            </w:r>
          </w:p>
        </w:tc>
      </w:tr>
      <w:tr w:rsidR="00421F93" w:rsidRPr="00121EC7" w14:paraId="72DD2DDB" w14:textId="77777777" w:rsidTr="00504609">
        <w:trPr>
          <w:cantSplit/>
          <w:trHeight w:val="23"/>
        </w:trPr>
        <w:tc>
          <w:tcPr>
            <w:tcW w:w="9641" w:type="dxa"/>
            <w:gridSpan w:val="4"/>
          </w:tcPr>
          <w:p w14:paraId="7D77AAB7" w14:textId="60D7C4B5" w:rsidR="00421F93" w:rsidRPr="002C2948" w:rsidRDefault="00C7784D" w:rsidP="00DA0F7A">
            <w:pPr>
              <w:tabs>
                <w:tab w:val="clear" w:pos="1985"/>
              </w:tabs>
              <w:spacing w:after="120"/>
              <w:jc w:val="center"/>
              <w:rPr>
                <w:sz w:val="28"/>
                <w:szCs w:val="28"/>
                <w:lang w:val="fr-FR"/>
              </w:rPr>
            </w:pPr>
            <w:r w:rsidRPr="002C2948">
              <w:rPr>
                <w:sz w:val="28"/>
                <w:szCs w:val="28"/>
                <w:lang w:val="fr-FR"/>
              </w:rPr>
              <w:t>Rapport du Président de</w:t>
            </w:r>
            <w:r w:rsidR="0016393B" w:rsidRPr="002C2948">
              <w:rPr>
                <w:sz w:val="28"/>
                <w:szCs w:val="28"/>
                <w:lang w:val="fr-FR"/>
              </w:rPr>
              <w:t xml:space="preserve"> </w:t>
            </w:r>
            <w:r w:rsidR="00E344F3" w:rsidRPr="002C2948">
              <w:rPr>
                <w:sz w:val="28"/>
                <w:szCs w:val="28"/>
                <w:lang w:val="fr-FR"/>
              </w:rPr>
              <w:t xml:space="preserve">la </w:t>
            </w:r>
            <w:r w:rsidR="00DA0F7A">
              <w:rPr>
                <w:sz w:val="28"/>
                <w:szCs w:val="28"/>
                <w:lang w:val="fr-FR"/>
              </w:rPr>
              <w:t>R</w:t>
            </w:r>
            <w:r w:rsidR="00E344F3" w:rsidRPr="002C2948">
              <w:rPr>
                <w:sz w:val="28"/>
                <w:szCs w:val="28"/>
                <w:lang w:val="fr-FR"/>
              </w:rPr>
              <w:t xml:space="preserve">éunion </w:t>
            </w:r>
            <w:r w:rsidR="007C2746" w:rsidRPr="002C2948">
              <w:rPr>
                <w:sz w:val="28"/>
                <w:szCs w:val="28"/>
                <w:lang w:val="fr-FR"/>
              </w:rPr>
              <w:t>IRM-1</w:t>
            </w:r>
          </w:p>
        </w:tc>
      </w:tr>
      <w:tr w:rsidR="00504609" w:rsidRPr="00121EC7" w14:paraId="3FF473AE" w14:textId="77777777" w:rsidTr="00504609">
        <w:trPr>
          <w:cantSplit/>
          <w:trHeight w:val="23"/>
        </w:trPr>
        <w:tc>
          <w:tcPr>
            <w:tcW w:w="9641" w:type="dxa"/>
            <w:gridSpan w:val="4"/>
            <w:tcBorders>
              <w:bottom w:val="single" w:sz="4" w:space="0" w:color="auto"/>
            </w:tcBorders>
          </w:tcPr>
          <w:p w14:paraId="414CF233" w14:textId="77777777" w:rsidR="00504609" w:rsidRPr="002C2948" w:rsidRDefault="00504609" w:rsidP="00814561">
            <w:pPr>
              <w:tabs>
                <w:tab w:val="left" w:pos="1928"/>
              </w:tabs>
              <w:spacing w:after="120"/>
              <w:ind w:left="1928" w:hanging="1928"/>
              <w:jc w:val="center"/>
              <w:rPr>
                <w:sz w:val="28"/>
                <w:szCs w:val="28"/>
                <w:lang w:val="fr-FR"/>
              </w:rPr>
            </w:pPr>
          </w:p>
        </w:tc>
      </w:tr>
    </w:tbl>
    <w:p w14:paraId="0CF177C1" w14:textId="10552247" w:rsidR="0016393B" w:rsidRPr="002C2948" w:rsidRDefault="0016393B" w:rsidP="00814561">
      <w:pPr>
        <w:pStyle w:val="Heading1"/>
        <w:rPr>
          <w:lang w:val="fr-FR"/>
        </w:rPr>
      </w:pPr>
      <w:r w:rsidRPr="002C2948">
        <w:rPr>
          <w:lang w:val="fr-FR"/>
        </w:rPr>
        <w:t>1</w:t>
      </w:r>
      <w:r w:rsidRPr="002C2948">
        <w:rPr>
          <w:lang w:val="fr-FR"/>
        </w:rPr>
        <w:tab/>
      </w:r>
      <w:r w:rsidR="00C7784D" w:rsidRPr="002C2948">
        <w:rPr>
          <w:lang w:val="fr-FR"/>
        </w:rPr>
        <w:t>Résumé</w:t>
      </w:r>
    </w:p>
    <w:p w14:paraId="268BE12F" w14:textId="7D1ABD3E" w:rsidR="0016393B" w:rsidRPr="002C2948" w:rsidRDefault="0016393B" w:rsidP="00814561">
      <w:pPr>
        <w:rPr>
          <w:lang w:val="fr-FR"/>
        </w:rPr>
      </w:pPr>
      <w:r w:rsidRPr="002C2948">
        <w:rPr>
          <w:lang w:val="fr-FR"/>
        </w:rPr>
        <w:t>1.1</w:t>
      </w:r>
      <w:r w:rsidRPr="002C2948">
        <w:rPr>
          <w:lang w:val="fr-FR"/>
        </w:rPr>
        <w:tab/>
      </w:r>
      <w:r w:rsidR="00A20A6D" w:rsidRPr="002C2948">
        <w:rPr>
          <w:lang w:val="fr-FR"/>
        </w:rPr>
        <w:t>La toute première Réunion préparatoire interrégionale (IRM) en vue de la Conférence mondiale de développement des télécommunications s'est tenue en ligne le 11 mars 2021</w:t>
      </w:r>
      <w:r w:rsidR="007C2746" w:rsidRPr="002C2948">
        <w:rPr>
          <w:lang w:val="fr-FR"/>
        </w:rPr>
        <w:t>et a été suivie par</w:t>
      </w:r>
      <w:r w:rsidR="00A20A6D" w:rsidRPr="002C2948">
        <w:rPr>
          <w:lang w:val="fr-FR"/>
        </w:rPr>
        <w:t xml:space="preserve"> 256 participants (120 femmes et 136 hommes), dont 205 délégués représentant 67 États Membres, 43 participants représentant 30 entités Membres de Secteur, 7 participants représentant l'ONU et ses institutions spécialisées et 1 invité. L</w:t>
      </w:r>
      <w:r w:rsidR="007C2746" w:rsidRPr="002C2948">
        <w:rPr>
          <w:lang w:val="fr-FR"/>
        </w:rPr>
        <w:t>a</w:t>
      </w:r>
      <w:r w:rsidR="00A20A6D" w:rsidRPr="002C2948">
        <w:rPr>
          <w:lang w:val="fr-FR"/>
        </w:rPr>
        <w:t xml:space="preserve"> liste des participants peut être consultée </w:t>
      </w:r>
      <w:hyperlink r:id="rId10" w:history="1">
        <w:r w:rsidR="00A20A6D" w:rsidRPr="002C2948">
          <w:rPr>
            <w:rStyle w:val="Hyperlink"/>
            <w:lang w:val="fr-FR"/>
          </w:rPr>
          <w:t>ici</w:t>
        </w:r>
      </w:hyperlink>
      <w:r w:rsidR="00A20A6D" w:rsidRPr="002C2948">
        <w:rPr>
          <w:lang w:val="fr-FR"/>
        </w:rPr>
        <w:t>.</w:t>
      </w:r>
    </w:p>
    <w:p w14:paraId="3C3C6EEB" w14:textId="4CE04B0E" w:rsidR="00EA22D6" w:rsidRPr="002C2948" w:rsidRDefault="0016393B" w:rsidP="00814561">
      <w:pPr>
        <w:rPr>
          <w:lang w:val="fr-FR"/>
        </w:rPr>
      </w:pPr>
      <w:r w:rsidRPr="002C2948">
        <w:rPr>
          <w:lang w:val="fr-FR"/>
        </w:rPr>
        <w:t>1.2</w:t>
      </w:r>
      <w:r w:rsidRPr="002C2948">
        <w:rPr>
          <w:lang w:val="fr-FR"/>
        </w:rPr>
        <w:tab/>
      </w:r>
      <w:r w:rsidR="00A26C59" w:rsidRPr="002C2948">
        <w:rPr>
          <w:lang w:val="fr-FR"/>
        </w:rPr>
        <w:t xml:space="preserve">S'adressant aux participants, la Directrice du Bureau de développement des télécommunications (BDT) de l'UIT, Mme Doreen Bogdan-Martin, a déclaré: </w:t>
      </w:r>
      <w:r w:rsidR="00814561" w:rsidRPr="002C2948">
        <w:rPr>
          <w:lang w:val="fr-FR"/>
        </w:rPr>
        <w:t>"</w:t>
      </w:r>
      <w:r w:rsidR="00A26C59" w:rsidRPr="002C2948">
        <w:rPr>
          <w:lang w:val="fr-FR"/>
        </w:rPr>
        <w:t>Alors que nous devons faire face à des défis historiques, alors que la connectivité n'a jamais été plus importante, le succès de notre conférence reposera sur</w:t>
      </w:r>
      <w:r w:rsidR="007C6B26" w:rsidRPr="002C2948">
        <w:rPr>
          <w:lang w:val="fr-FR"/>
        </w:rPr>
        <w:t xml:space="preserve"> la solidité de notre travail préparatoire. </w:t>
      </w:r>
      <w:r w:rsidR="007C2746" w:rsidRPr="002C2948">
        <w:rPr>
          <w:lang w:val="fr-FR"/>
        </w:rPr>
        <w:t>Grâce à u</w:t>
      </w:r>
      <w:r w:rsidR="007C6B26" w:rsidRPr="002C2948">
        <w:rPr>
          <w:lang w:val="fr-FR"/>
        </w:rPr>
        <w:t>ne préparation rigoureuse</w:t>
      </w:r>
      <w:r w:rsidR="007C2746" w:rsidRPr="002C2948">
        <w:rPr>
          <w:lang w:val="fr-FR"/>
        </w:rPr>
        <w:t>, nous ferons en sorte que</w:t>
      </w:r>
      <w:r w:rsidR="007C6B26" w:rsidRPr="002C2948">
        <w:rPr>
          <w:lang w:val="fr-FR"/>
        </w:rPr>
        <w:t xml:space="preserve"> la prochaine Conférence mondiale de développement des télécommunications</w:t>
      </w:r>
      <w:r w:rsidR="007C2746" w:rsidRPr="002C2948">
        <w:rPr>
          <w:lang w:val="fr-FR"/>
        </w:rPr>
        <w:t xml:space="preserve"> produise</w:t>
      </w:r>
      <w:r w:rsidR="007C6B26" w:rsidRPr="002C2948">
        <w:rPr>
          <w:lang w:val="fr-FR"/>
        </w:rPr>
        <w:t xml:space="preserve"> les plus grandes retombées possibles, avec des résultats concrets, applicables et mesurables qui transformeront non seulement l'environnement numérique, mais la vie de millions de personnes partout dans le monde</w:t>
      </w:r>
      <w:r w:rsidR="00814561" w:rsidRPr="002C2948">
        <w:rPr>
          <w:lang w:val="fr-FR"/>
        </w:rPr>
        <w:t>".</w:t>
      </w:r>
    </w:p>
    <w:p w14:paraId="5BE6629B" w14:textId="47E0FB02" w:rsidR="00E81FAC" w:rsidRPr="002C2948" w:rsidRDefault="0016393B" w:rsidP="00814561">
      <w:pPr>
        <w:rPr>
          <w:lang w:val="fr-FR"/>
        </w:rPr>
      </w:pPr>
      <w:r w:rsidRPr="002C2948">
        <w:rPr>
          <w:lang w:val="fr-FR"/>
        </w:rPr>
        <w:t>1.3</w:t>
      </w:r>
      <w:r w:rsidRPr="002C2948">
        <w:rPr>
          <w:lang w:val="fr-FR"/>
        </w:rPr>
        <w:tab/>
      </w:r>
      <w:r w:rsidR="00E81FAC" w:rsidRPr="002C2948">
        <w:rPr>
          <w:lang w:val="fr-FR"/>
        </w:rPr>
        <w:t xml:space="preserve">Compte tenu de l'évolution incertaine de la pandémie de COVID-19 en cours, le BDT travaille actuellement en étroite collaboration avec le Gouvernement de l'Éthiopie pour élaborer des plans d'atténuation des risques et </w:t>
      </w:r>
      <w:r w:rsidR="007C2746" w:rsidRPr="002C2948">
        <w:rPr>
          <w:lang w:val="fr-FR"/>
        </w:rPr>
        <w:t>d'</w:t>
      </w:r>
      <w:r w:rsidR="00E81FAC" w:rsidRPr="002C2948">
        <w:rPr>
          <w:lang w:val="fr-FR"/>
        </w:rPr>
        <w:t>urgence pour la tenue de la Conférence mondiale de développement des télécommunications (CMDT</w:t>
      </w:r>
      <w:r w:rsidR="00814561" w:rsidRPr="002C2948">
        <w:rPr>
          <w:lang w:val="fr-FR"/>
        </w:rPr>
        <w:t>-</w:t>
      </w:r>
      <w:r w:rsidR="00E81FAC" w:rsidRPr="002C2948">
        <w:rPr>
          <w:lang w:val="fr-FR"/>
        </w:rPr>
        <w:t>21),</w:t>
      </w:r>
      <w:r w:rsidR="00DA0F7A">
        <w:rPr>
          <w:lang w:val="fr-FR"/>
        </w:rPr>
        <w:t xml:space="preserve"> qui devrait avoir lieu du 8 au </w:t>
      </w:r>
      <w:r w:rsidR="00E81FAC" w:rsidRPr="002C2948">
        <w:rPr>
          <w:lang w:val="fr-FR"/>
        </w:rPr>
        <w:t>19</w:t>
      </w:r>
      <w:r w:rsidR="00814561" w:rsidRPr="002C2948">
        <w:rPr>
          <w:lang w:val="fr-FR"/>
        </w:rPr>
        <w:t> </w:t>
      </w:r>
      <w:r w:rsidR="00E81FAC" w:rsidRPr="002C2948">
        <w:rPr>
          <w:lang w:val="fr-FR"/>
        </w:rPr>
        <w:t>novembre</w:t>
      </w:r>
      <w:r w:rsidR="00814561" w:rsidRPr="002C2948">
        <w:rPr>
          <w:lang w:val="fr-FR"/>
        </w:rPr>
        <w:t> </w:t>
      </w:r>
      <w:r w:rsidR="00E81FAC" w:rsidRPr="002C2948">
        <w:rPr>
          <w:lang w:val="fr-FR"/>
        </w:rPr>
        <w:t>2021 à Addis-Abeba. Deux autres réunions préparatoires interrégionales sont prévues, l'une en mai et l'autre en septembre 2021.</w:t>
      </w:r>
    </w:p>
    <w:p w14:paraId="4277C6CB" w14:textId="77777777" w:rsidR="00814561" w:rsidRPr="002C2948" w:rsidRDefault="0016393B" w:rsidP="00814561">
      <w:pPr>
        <w:rPr>
          <w:lang w:val="fr-FR"/>
        </w:rPr>
      </w:pPr>
      <w:r w:rsidRPr="002C2948">
        <w:rPr>
          <w:lang w:val="fr-FR"/>
        </w:rPr>
        <w:t>1.4</w:t>
      </w:r>
      <w:r w:rsidRPr="002C2948">
        <w:rPr>
          <w:lang w:val="fr-FR"/>
        </w:rPr>
        <w:tab/>
      </w:r>
      <w:r w:rsidR="00814561" w:rsidRPr="002C2948">
        <w:rPr>
          <w:lang w:val="fr-FR"/>
        </w:rPr>
        <w:t>"</w:t>
      </w:r>
      <w:r w:rsidR="00F72ECA" w:rsidRPr="002C2948">
        <w:rPr>
          <w:lang w:val="fr-FR"/>
        </w:rPr>
        <w:t>Cette nouvelle série de réunions de coordination interrégionale</w:t>
      </w:r>
      <w:r w:rsidR="0074475C" w:rsidRPr="002C2948">
        <w:rPr>
          <w:lang w:val="fr-FR"/>
        </w:rPr>
        <w:t>s</w:t>
      </w:r>
      <w:r w:rsidR="00F72ECA" w:rsidRPr="002C2948">
        <w:rPr>
          <w:lang w:val="fr-FR"/>
        </w:rPr>
        <w:t xml:space="preserve"> nous offre l'occasion d'instaurer des liens interrégionaux essentiels, d'écouter ce que chacun à dire, de mieux comprendre nos différentes spécificités et de travailler ensemble pour parvenir à l'indispensable consensus autour de positions communes qui sera </w:t>
      </w:r>
      <w:r w:rsidR="00DE59FA" w:rsidRPr="002C2948">
        <w:rPr>
          <w:lang w:val="fr-FR"/>
        </w:rPr>
        <w:t>déterminant dans le succès</w:t>
      </w:r>
      <w:r w:rsidR="00F72ECA" w:rsidRPr="002C2948">
        <w:rPr>
          <w:lang w:val="fr-FR"/>
        </w:rPr>
        <w:t xml:space="preserve"> de la CMDT</w:t>
      </w:r>
      <w:r w:rsidR="00814561" w:rsidRPr="002C2948">
        <w:rPr>
          <w:lang w:val="fr-FR"/>
        </w:rPr>
        <w:t>",</w:t>
      </w:r>
      <w:r w:rsidR="00F72ECA" w:rsidRPr="002C2948">
        <w:rPr>
          <w:lang w:val="fr-FR"/>
        </w:rPr>
        <w:t xml:space="preserve"> a </w:t>
      </w:r>
      <w:r w:rsidR="00814561" w:rsidRPr="002C2948">
        <w:rPr>
          <w:lang w:val="fr-FR"/>
        </w:rPr>
        <w:br w:type="page"/>
      </w:r>
    </w:p>
    <w:p w14:paraId="1FF62F38" w14:textId="77777777" w:rsidR="007B7C63" w:rsidRPr="002C2948" w:rsidRDefault="00F72ECA" w:rsidP="00814561">
      <w:pPr>
        <w:rPr>
          <w:lang w:val="fr-FR"/>
        </w:rPr>
      </w:pPr>
      <w:r w:rsidRPr="002C2948">
        <w:rPr>
          <w:lang w:val="fr-FR"/>
        </w:rPr>
        <w:lastRenderedPageBreak/>
        <w:t xml:space="preserve">expliqué la Directrice et d'ajouter </w:t>
      </w:r>
      <w:r w:rsidR="00814561" w:rsidRPr="002C2948">
        <w:rPr>
          <w:lang w:val="fr-FR"/>
        </w:rPr>
        <w:t>"</w:t>
      </w:r>
      <w:r w:rsidRPr="002C2948">
        <w:rPr>
          <w:lang w:val="fr-FR"/>
        </w:rPr>
        <w:t>…</w:t>
      </w:r>
      <w:r w:rsidR="007B7C63" w:rsidRPr="002C2948">
        <w:rPr>
          <w:lang w:val="fr-FR"/>
        </w:rPr>
        <w:t xml:space="preserve"> tous les regards sont braqués sur nous et il nous </w:t>
      </w:r>
      <w:r w:rsidR="00DE59FA" w:rsidRPr="002C2948">
        <w:rPr>
          <w:lang w:val="fr-FR"/>
        </w:rPr>
        <w:t>incombe de faire de</w:t>
      </w:r>
      <w:r w:rsidR="007B7C63" w:rsidRPr="002C2948">
        <w:rPr>
          <w:lang w:val="fr-FR"/>
        </w:rPr>
        <w:t xml:space="preserve"> la prochaine CMDT une conférence véritablement historique qui concrétise sa vision de la connectivité pour tous, de</w:t>
      </w:r>
      <w:r w:rsidR="00DE59FA" w:rsidRPr="002C2948">
        <w:rPr>
          <w:lang w:val="fr-FR"/>
        </w:rPr>
        <w:t>s</w:t>
      </w:r>
      <w:r w:rsidR="007B7C63" w:rsidRPr="002C2948">
        <w:rPr>
          <w:lang w:val="fr-FR"/>
        </w:rPr>
        <w:t xml:space="preserve"> chance</w:t>
      </w:r>
      <w:r w:rsidR="00DE59FA" w:rsidRPr="002C2948">
        <w:rPr>
          <w:lang w:val="fr-FR"/>
        </w:rPr>
        <w:t>s</w:t>
      </w:r>
      <w:r w:rsidR="007B7C63" w:rsidRPr="002C2948">
        <w:rPr>
          <w:lang w:val="fr-FR"/>
        </w:rPr>
        <w:t xml:space="preserve"> pour tous et de la prospérité pour tous. Nous nous devons d'être à la hauteur</w:t>
      </w:r>
      <w:r w:rsidR="00814561" w:rsidRPr="002C2948">
        <w:rPr>
          <w:lang w:val="fr-FR"/>
        </w:rPr>
        <w:t>".</w:t>
      </w:r>
    </w:p>
    <w:p w14:paraId="079DE27D" w14:textId="0D6C227D" w:rsidR="007B7C63" w:rsidRPr="002C2948" w:rsidRDefault="0016393B" w:rsidP="00814561">
      <w:pPr>
        <w:rPr>
          <w:lang w:val="fr-FR"/>
        </w:rPr>
      </w:pPr>
      <w:r w:rsidRPr="002C2948">
        <w:rPr>
          <w:lang w:val="fr-FR"/>
        </w:rPr>
        <w:t>1.5</w:t>
      </w:r>
      <w:r w:rsidRPr="002C2948">
        <w:rPr>
          <w:lang w:val="fr-FR"/>
        </w:rPr>
        <w:tab/>
      </w:r>
      <w:r w:rsidR="007B7C63" w:rsidRPr="002C2948">
        <w:rPr>
          <w:lang w:val="fr-FR"/>
        </w:rPr>
        <w:t xml:space="preserve">On trouvera ci-après un compte rendu de la première </w:t>
      </w:r>
      <w:r w:rsidR="0074475C" w:rsidRPr="002C2948">
        <w:rPr>
          <w:lang w:val="fr-FR"/>
        </w:rPr>
        <w:t>r</w:t>
      </w:r>
      <w:r w:rsidR="007B7C63" w:rsidRPr="002C2948">
        <w:rPr>
          <w:lang w:val="fr-FR"/>
        </w:rPr>
        <w:t xml:space="preserve">éunion </w:t>
      </w:r>
      <w:r w:rsidR="0074475C" w:rsidRPr="002C2948">
        <w:rPr>
          <w:lang w:val="fr-FR"/>
        </w:rPr>
        <w:t>IRM</w:t>
      </w:r>
      <w:r w:rsidR="007B7C63" w:rsidRPr="002C2948">
        <w:rPr>
          <w:lang w:val="fr-FR"/>
        </w:rPr>
        <w:t>.</w:t>
      </w:r>
    </w:p>
    <w:p w14:paraId="334A9543" w14:textId="0399C92F" w:rsidR="0016393B" w:rsidRPr="002C2948" w:rsidRDefault="0016393B" w:rsidP="00814561">
      <w:pPr>
        <w:rPr>
          <w:lang w:val="fr-FR"/>
        </w:rPr>
      </w:pPr>
      <w:r w:rsidRPr="002C2948">
        <w:rPr>
          <w:lang w:val="fr-FR"/>
        </w:rPr>
        <w:t>1.6</w:t>
      </w:r>
      <w:r w:rsidRPr="002C2948">
        <w:rPr>
          <w:lang w:val="fr-FR"/>
        </w:rPr>
        <w:tab/>
      </w:r>
      <w:r w:rsidR="007B7C63" w:rsidRPr="002C2948">
        <w:rPr>
          <w:lang w:val="fr-FR"/>
        </w:rPr>
        <w:t xml:space="preserve">Les participants ont adopté l'ordre du jour figurant dans le </w:t>
      </w:r>
      <w:hyperlink r:id="rId11" w:history="1">
        <w:r w:rsidRPr="002C2948">
          <w:rPr>
            <w:rStyle w:val="Hyperlink"/>
            <w:rFonts w:asciiTheme="minorHAnsi" w:hAnsiTheme="minorHAnsi" w:cstheme="minorHAnsi"/>
            <w:bCs/>
            <w:lang w:val="fr-FR"/>
          </w:rPr>
          <w:t>Document 1</w:t>
        </w:r>
      </w:hyperlink>
      <w:r w:rsidRPr="002C2948">
        <w:rPr>
          <w:bCs/>
          <w:lang w:val="fr-FR"/>
        </w:rPr>
        <w:t>.</w:t>
      </w:r>
    </w:p>
    <w:p w14:paraId="4F4CED34" w14:textId="22DCF749" w:rsidR="0016393B" w:rsidRPr="002C2948" w:rsidRDefault="0016393B" w:rsidP="00814561">
      <w:pPr>
        <w:pStyle w:val="Heading1"/>
        <w:rPr>
          <w:lang w:val="fr-FR"/>
        </w:rPr>
      </w:pPr>
      <w:r w:rsidRPr="002C2948">
        <w:rPr>
          <w:lang w:val="fr-FR"/>
        </w:rPr>
        <w:t>2</w:t>
      </w:r>
      <w:r w:rsidRPr="002C2948">
        <w:rPr>
          <w:lang w:val="fr-FR"/>
        </w:rPr>
        <w:tab/>
      </w:r>
      <w:r w:rsidR="00BA0893" w:rsidRPr="002C2948">
        <w:rPr>
          <w:lang w:val="fr-FR"/>
        </w:rPr>
        <w:t>Désignation du Président et des Vice</w:t>
      </w:r>
      <w:r w:rsidR="00814561" w:rsidRPr="002C2948">
        <w:rPr>
          <w:lang w:val="fr-FR"/>
        </w:rPr>
        <w:t>-</w:t>
      </w:r>
      <w:r w:rsidR="00BA0893" w:rsidRPr="002C2948">
        <w:rPr>
          <w:lang w:val="fr-FR"/>
        </w:rPr>
        <w:t>Présidents</w:t>
      </w:r>
    </w:p>
    <w:p w14:paraId="5534B0C4" w14:textId="10B734B6" w:rsidR="0016393B" w:rsidRPr="002C2948" w:rsidRDefault="0016393B" w:rsidP="00814561">
      <w:pPr>
        <w:spacing w:after="240"/>
        <w:rPr>
          <w:rFonts w:cs="Arial"/>
          <w:lang w:val="fr-FR" w:eastAsia="zh-CN"/>
        </w:rPr>
      </w:pPr>
      <w:r w:rsidRPr="002C2948">
        <w:rPr>
          <w:lang w:val="fr-FR"/>
        </w:rPr>
        <w:t>2.1</w:t>
      </w:r>
      <w:r w:rsidRPr="002C2948">
        <w:rPr>
          <w:lang w:val="fr-FR"/>
        </w:rPr>
        <w:tab/>
      </w:r>
      <w:r w:rsidR="00BA0893" w:rsidRPr="002C2948">
        <w:rPr>
          <w:lang w:val="fr-FR"/>
        </w:rPr>
        <w:t>Son</w:t>
      </w:r>
      <w:r w:rsidRPr="002C2948">
        <w:rPr>
          <w:lang w:val="fr-FR"/>
        </w:rPr>
        <w:t xml:space="preserve"> Excellenc</w:t>
      </w:r>
      <w:r w:rsidR="00BA0893" w:rsidRPr="002C2948">
        <w:rPr>
          <w:lang w:val="fr-FR"/>
        </w:rPr>
        <w:t>e</w:t>
      </w:r>
      <w:r w:rsidRPr="002C2948">
        <w:rPr>
          <w:lang w:val="fr-FR"/>
        </w:rPr>
        <w:t xml:space="preserve"> </w:t>
      </w:r>
      <w:r w:rsidR="00BA0893" w:rsidRPr="002C2948">
        <w:rPr>
          <w:lang w:val="fr-FR"/>
        </w:rPr>
        <w:t>M.</w:t>
      </w:r>
      <w:r w:rsidRPr="002C2948">
        <w:rPr>
          <w:lang w:val="fr-FR"/>
        </w:rPr>
        <w:t xml:space="preserve"> Ahmedin Mohammed, </w:t>
      </w:r>
      <w:r w:rsidR="00BA0893" w:rsidRPr="002C2948">
        <w:rPr>
          <w:rFonts w:cs="Arial"/>
          <w:lang w:val="fr-FR" w:eastAsia="zh-CN"/>
        </w:rPr>
        <w:t>Ministre d'État</w:t>
      </w:r>
      <w:r w:rsidRPr="002C2948">
        <w:rPr>
          <w:rFonts w:cs="Arial"/>
          <w:lang w:val="fr-FR" w:eastAsia="zh-CN"/>
        </w:rPr>
        <w:t xml:space="preserve">, </w:t>
      </w:r>
      <w:r w:rsidR="00BA0893" w:rsidRPr="002C2948">
        <w:rPr>
          <w:rFonts w:cs="Arial"/>
          <w:lang w:val="fr-FR" w:eastAsia="zh-CN"/>
        </w:rPr>
        <w:t xml:space="preserve">Ministère de l'innovation et de la technologie, Éthiopie, </w:t>
      </w:r>
      <w:r w:rsidR="00BA0893" w:rsidRPr="002C2948">
        <w:rPr>
          <w:rFonts w:cs="Arial"/>
          <w:u w:val="single"/>
          <w:lang w:val="fr-FR" w:eastAsia="zh-CN"/>
        </w:rPr>
        <w:t>et</w:t>
      </w:r>
      <w:r w:rsidR="00BA0893" w:rsidRPr="002C2948">
        <w:rPr>
          <w:lang w:val="fr-FR"/>
        </w:rPr>
        <w:t xml:space="preserve"> </w:t>
      </w:r>
      <w:r w:rsidR="00BA0893" w:rsidRPr="002C2948">
        <w:rPr>
          <w:rFonts w:cs="Arial"/>
          <w:lang w:val="fr-FR" w:eastAsia="zh-CN"/>
        </w:rPr>
        <w:t xml:space="preserve">Président désigné de la </w:t>
      </w:r>
      <w:r w:rsidR="00814561" w:rsidRPr="002C2948">
        <w:rPr>
          <w:rFonts w:cs="Arial"/>
          <w:lang w:val="fr-FR" w:eastAsia="zh-CN"/>
        </w:rPr>
        <w:t>CMDT-21</w:t>
      </w:r>
      <w:r w:rsidR="00BA0893" w:rsidRPr="002C2948">
        <w:rPr>
          <w:rFonts w:cs="Arial"/>
          <w:lang w:val="fr-FR" w:eastAsia="zh-CN"/>
        </w:rPr>
        <w:t xml:space="preserve">, a été élu à l'unanimité Président des Réunions préparatoires interrégionales. Les participants ont en outre approuvé la désignation des représentants des six organisations régionales de télécommunication aux postes de </w:t>
      </w:r>
      <w:r w:rsidR="00814561" w:rsidRPr="002C2948">
        <w:rPr>
          <w:rFonts w:cs="Arial"/>
          <w:lang w:val="fr-FR" w:eastAsia="zh-CN"/>
        </w:rPr>
        <w:t>Vice</w:t>
      </w:r>
      <w:r w:rsidR="00814561" w:rsidRPr="002C2948">
        <w:rPr>
          <w:rFonts w:cs="Arial"/>
          <w:lang w:val="fr-FR" w:eastAsia="zh-CN"/>
        </w:rPr>
        <w:noBreakHyphen/>
        <w:t>Présidents</w:t>
      </w:r>
      <w:r w:rsidR="00BA0893" w:rsidRPr="002C2948">
        <w:rPr>
          <w:rFonts w:cs="Arial"/>
          <w:lang w:val="fr-FR" w:eastAsia="zh-CN"/>
        </w:rPr>
        <w:t xml:space="preserve"> de</w:t>
      </w:r>
      <w:r w:rsidR="0074475C" w:rsidRPr="002C2948">
        <w:rPr>
          <w:rFonts w:cs="Arial"/>
          <w:lang w:val="fr-FR" w:eastAsia="zh-CN"/>
        </w:rPr>
        <w:t>s</w:t>
      </w:r>
      <w:r w:rsidR="00BA0893" w:rsidRPr="002C2948">
        <w:rPr>
          <w:rFonts w:cs="Arial"/>
          <w:lang w:val="fr-FR" w:eastAsia="zh-CN"/>
        </w:rPr>
        <w:t xml:space="preserve"> </w:t>
      </w:r>
      <w:r w:rsidR="0074475C" w:rsidRPr="002C2948">
        <w:rPr>
          <w:rFonts w:cs="Arial"/>
          <w:lang w:val="fr-FR" w:eastAsia="zh-CN"/>
        </w:rPr>
        <w:t>r</w:t>
      </w:r>
      <w:r w:rsidR="00BA0893" w:rsidRPr="002C2948">
        <w:rPr>
          <w:rFonts w:cs="Arial"/>
          <w:lang w:val="fr-FR" w:eastAsia="zh-CN"/>
        </w:rPr>
        <w:t>éunion</w:t>
      </w:r>
      <w:r w:rsidR="0074475C" w:rsidRPr="002C2948">
        <w:rPr>
          <w:rFonts w:cs="Arial"/>
          <w:lang w:val="fr-FR" w:eastAsia="zh-CN"/>
        </w:rPr>
        <w:t>s</w:t>
      </w:r>
      <w:r w:rsidR="00BA0893" w:rsidRPr="002C2948">
        <w:rPr>
          <w:rFonts w:cs="Arial"/>
          <w:lang w:val="fr-FR" w:eastAsia="zh-CN"/>
        </w:rPr>
        <w:t xml:space="preserve"> </w:t>
      </w:r>
      <w:r w:rsidR="0074475C" w:rsidRPr="002C2948">
        <w:rPr>
          <w:rFonts w:cs="Arial"/>
          <w:lang w:val="fr-FR" w:eastAsia="zh-CN"/>
        </w:rPr>
        <w:t>IRM</w:t>
      </w:r>
      <w:r w:rsidR="00BA0893" w:rsidRPr="002C2948">
        <w:rPr>
          <w:rFonts w:cs="Arial"/>
          <w:lang w:val="fr-FR" w:eastAsia="zh-CN"/>
        </w:rPr>
        <w:t xml:space="preserve"> (voir encadré).</w:t>
      </w:r>
    </w:p>
    <w:tbl>
      <w:tblPr>
        <w:tblW w:w="5000" w:type="pct"/>
        <w:tblCellMar>
          <w:left w:w="0" w:type="dxa"/>
          <w:right w:w="0" w:type="dxa"/>
        </w:tblCellMar>
        <w:tblLook w:val="04A0" w:firstRow="1" w:lastRow="0" w:firstColumn="1" w:lastColumn="0" w:noHBand="0" w:noVBand="1"/>
      </w:tblPr>
      <w:tblGrid>
        <w:gridCol w:w="4014"/>
        <w:gridCol w:w="2428"/>
        <w:gridCol w:w="3179"/>
      </w:tblGrid>
      <w:tr w:rsidR="0016393B" w:rsidRPr="002C2948" w14:paraId="1EFDD52D" w14:textId="77777777" w:rsidTr="0016393B">
        <w:tc>
          <w:tcPr>
            <w:tcW w:w="4169" w:type="dxa"/>
            <w:tcBorders>
              <w:top w:val="single" w:sz="8" w:space="0" w:color="FFFFFF"/>
              <w:left w:val="single" w:sz="8" w:space="0" w:color="FFFFFF"/>
              <w:bottom w:val="single" w:sz="8" w:space="0" w:color="FFFFFF"/>
              <w:right w:val="nil"/>
            </w:tcBorders>
            <w:shd w:val="clear" w:color="auto" w:fill="5B9BD5"/>
            <w:tcMar>
              <w:top w:w="0" w:type="dxa"/>
              <w:left w:w="108" w:type="dxa"/>
              <w:bottom w:w="0" w:type="dxa"/>
              <w:right w:w="108" w:type="dxa"/>
            </w:tcMar>
            <w:vAlign w:val="center"/>
            <w:hideMark/>
          </w:tcPr>
          <w:p w14:paraId="616E36FA" w14:textId="2300ABA4" w:rsidR="0016393B" w:rsidRPr="002C2948" w:rsidRDefault="00BA0893" w:rsidP="00814561">
            <w:pPr>
              <w:pStyle w:val="Tablehead"/>
              <w:jc w:val="left"/>
              <w:rPr>
                <w:color w:val="FFFFFF" w:themeColor="background1"/>
                <w:lang w:val="fr-FR"/>
              </w:rPr>
            </w:pPr>
            <w:r w:rsidRPr="002C2948">
              <w:rPr>
                <w:color w:val="FFFFFF" w:themeColor="background1"/>
                <w:lang w:val="fr-FR"/>
              </w:rPr>
              <w:t>Président</w:t>
            </w:r>
          </w:p>
        </w:tc>
        <w:tc>
          <w:tcPr>
            <w:tcW w:w="5783" w:type="dxa"/>
            <w:gridSpan w:val="2"/>
            <w:tcBorders>
              <w:top w:val="single" w:sz="8" w:space="0" w:color="FFFFFF"/>
              <w:left w:val="nil"/>
              <w:bottom w:val="single" w:sz="8" w:space="0" w:color="FFFFFF"/>
              <w:right w:val="single" w:sz="8" w:space="0" w:color="FFFFFF"/>
            </w:tcBorders>
            <w:shd w:val="clear" w:color="auto" w:fill="5B9BD5"/>
            <w:tcMar>
              <w:top w:w="0" w:type="dxa"/>
              <w:left w:w="108" w:type="dxa"/>
              <w:bottom w:w="0" w:type="dxa"/>
              <w:right w:w="108" w:type="dxa"/>
            </w:tcMar>
            <w:vAlign w:val="center"/>
          </w:tcPr>
          <w:p w14:paraId="5C40049D" w14:textId="58FEADC7" w:rsidR="0016393B" w:rsidRPr="00DA0F7A" w:rsidRDefault="00BA0893" w:rsidP="00814561">
            <w:pPr>
              <w:pStyle w:val="Tablehead"/>
              <w:jc w:val="left"/>
              <w:rPr>
                <w:color w:val="FFFFFF" w:themeColor="background1"/>
                <w:lang w:val="en-US"/>
              </w:rPr>
            </w:pPr>
            <w:r w:rsidRPr="00DA0F7A">
              <w:rPr>
                <w:color w:val="FFFFFF" w:themeColor="background1"/>
                <w:lang w:val="en-US"/>
              </w:rPr>
              <w:t>S</w:t>
            </w:r>
            <w:r w:rsidR="0016393B" w:rsidRPr="00DA0F7A">
              <w:rPr>
                <w:color w:val="FFFFFF" w:themeColor="background1"/>
                <w:lang w:val="en-US"/>
              </w:rPr>
              <w:t>.</w:t>
            </w:r>
            <w:r w:rsidR="00814561" w:rsidRPr="00DA0F7A">
              <w:rPr>
                <w:color w:val="FFFFFF" w:themeColor="background1"/>
                <w:lang w:val="en-US"/>
              </w:rPr>
              <w:t xml:space="preserve"> </w:t>
            </w:r>
            <w:r w:rsidR="0016393B" w:rsidRPr="00DA0F7A">
              <w:rPr>
                <w:color w:val="FFFFFF" w:themeColor="background1"/>
                <w:lang w:val="en-US"/>
              </w:rPr>
              <w:t xml:space="preserve">E. </w:t>
            </w:r>
            <w:r w:rsidRPr="00DA0F7A">
              <w:rPr>
                <w:color w:val="FFFFFF" w:themeColor="background1"/>
                <w:lang w:val="en-US"/>
              </w:rPr>
              <w:t>M.</w:t>
            </w:r>
            <w:r w:rsidR="0016393B" w:rsidRPr="00DA0F7A">
              <w:rPr>
                <w:color w:val="FFFFFF" w:themeColor="background1"/>
                <w:lang w:val="en-US"/>
              </w:rPr>
              <w:t xml:space="preserve"> Ahmedin Mohammed</w:t>
            </w:r>
          </w:p>
        </w:tc>
      </w:tr>
      <w:tr w:rsidR="0016393B" w:rsidRPr="002C2948" w14:paraId="34B8970D" w14:textId="77777777" w:rsidTr="00AB0D4D">
        <w:tc>
          <w:tcPr>
            <w:tcW w:w="416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0AE7E688" w14:textId="06FD7075" w:rsidR="0016393B" w:rsidRPr="002C2948" w:rsidRDefault="0016393B" w:rsidP="00814561">
            <w:pPr>
              <w:pStyle w:val="Tabletext"/>
              <w:rPr>
                <w:b/>
                <w:bCs/>
                <w:color w:val="FFFFFF" w:themeColor="background1"/>
                <w:lang w:val="fr-FR"/>
              </w:rPr>
            </w:pPr>
            <w:r w:rsidRPr="002C2948">
              <w:rPr>
                <w:b/>
                <w:bCs/>
                <w:color w:val="FFFFFF" w:themeColor="background1"/>
                <w:lang w:val="fr-FR"/>
              </w:rPr>
              <w:t>Vice-</w:t>
            </w:r>
            <w:r w:rsidR="00BA0893" w:rsidRPr="002C2948">
              <w:rPr>
                <w:b/>
                <w:bCs/>
                <w:color w:val="FFFFFF" w:themeColor="background1"/>
                <w:lang w:val="fr-FR"/>
              </w:rPr>
              <w:t>Présidents</w:t>
            </w:r>
          </w:p>
        </w:tc>
        <w:tc>
          <w:tcPr>
            <w:tcW w:w="2492"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7D83B84F" w14:textId="0BED8C71" w:rsidR="0016393B" w:rsidRPr="002C2948" w:rsidRDefault="00BA0893" w:rsidP="00814561">
            <w:pPr>
              <w:pStyle w:val="Tabletext"/>
              <w:rPr>
                <w:color w:val="0070C0"/>
                <w:lang w:val="fr-FR"/>
              </w:rPr>
            </w:pPr>
            <w:r w:rsidRPr="002C2948">
              <w:rPr>
                <w:color w:val="0070C0"/>
                <w:lang w:val="fr-FR"/>
              </w:rPr>
              <w:t xml:space="preserve">Organisation </w:t>
            </w:r>
          </w:p>
        </w:tc>
        <w:tc>
          <w:tcPr>
            <w:tcW w:w="329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4142A4C9" w14:textId="5425A869" w:rsidR="0016393B" w:rsidRPr="002C2948" w:rsidRDefault="00BA0893" w:rsidP="00814561">
            <w:pPr>
              <w:pStyle w:val="Tabletext"/>
              <w:rPr>
                <w:color w:val="0070C0"/>
                <w:lang w:val="fr-FR"/>
              </w:rPr>
            </w:pPr>
            <w:r w:rsidRPr="002C2948">
              <w:rPr>
                <w:color w:val="0070C0"/>
                <w:lang w:val="fr-FR"/>
              </w:rPr>
              <w:t>Pays</w:t>
            </w:r>
          </w:p>
        </w:tc>
      </w:tr>
      <w:tr w:rsidR="0016393B" w:rsidRPr="002C2948" w14:paraId="1A9E3C7E" w14:textId="77777777" w:rsidTr="00AB0D4D">
        <w:tc>
          <w:tcPr>
            <w:tcW w:w="416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28879402" w14:textId="1AC272E2" w:rsidR="0016393B" w:rsidRPr="002C2948" w:rsidRDefault="00BA0893" w:rsidP="00814561">
            <w:pPr>
              <w:pStyle w:val="Tabletext"/>
              <w:rPr>
                <w:b/>
                <w:bCs/>
                <w:color w:val="FFFFFF" w:themeColor="background1"/>
                <w:lang w:val="fr-FR"/>
              </w:rPr>
            </w:pPr>
            <w:r w:rsidRPr="002C2948">
              <w:rPr>
                <w:b/>
                <w:bCs/>
                <w:color w:val="FFFFFF" w:themeColor="background1"/>
                <w:lang w:val="fr-FR"/>
              </w:rPr>
              <w:t>M.</w:t>
            </w:r>
            <w:r w:rsidR="0016393B" w:rsidRPr="002C2948">
              <w:rPr>
                <w:b/>
                <w:bCs/>
                <w:color w:val="FFFFFF" w:themeColor="background1"/>
                <w:lang w:val="fr-FR"/>
              </w:rPr>
              <w:t xml:space="preserve"> Ahmad Sharafat</w:t>
            </w:r>
          </w:p>
        </w:tc>
        <w:tc>
          <w:tcPr>
            <w:tcW w:w="2492"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7445D2BC" w14:textId="374F9AA9" w:rsidR="0016393B" w:rsidRPr="002C2948" w:rsidRDefault="0016393B" w:rsidP="00814561">
            <w:pPr>
              <w:pStyle w:val="Tabletext"/>
              <w:rPr>
                <w:color w:val="0070C0"/>
                <w:lang w:val="fr-FR"/>
              </w:rPr>
            </w:pPr>
            <w:r w:rsidRPr="002C2948">
              <w:rPr>
                <w:color w:val="0070C0"/>
                <w:lang w:val="fr-FR"/>
              </w:rPr>
              <w:t>APT</w:t>
            </w:r>
          </w:p>
        </w:tc>
        <w:tc>
          <w:tcPr>
            <w:tcW w:w="329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35B27779" w14:textId="372A23F1" w:rsidR="0016393B" w:rsidRPr="002C2948" w:rsidRDefault="0016393B" w:rsidP="00814561">
            <w:pPr>
              <w:pStyle w:val="Tabletext"/>
              <w:rPr>
                <w:color w:val="0070C0"/>
                <w:lang w:val="fr-FR"/>
              </w:rPr>
            </w:pPr>
            <w:r w:rsidRPr="002C2948">
              <w:rPr>
                <w:color w:val="0070C0"/>
                <w:lang w:val="fr-FR"/>
              </w:rPr>
              <w:t>Iran (République islamique d')</w:t>
            </w:r>
          </w:p>
        </w:tc>
      </w:tr>
      <w:tr w:rsidR="0016393B" w:rsidRPr="002C2948" w14:paraId="5ACB0F49" w14:textId="77777777" w:rsidTr="00AB0D4D">
        <w:tc>
          <w:tcPr>
            <w:tcW w:w="416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438377F4" w14:textId="01518D52" w:rsidR="0016393B" w:rsidRPr="002C2948" w:rsidRDefault="0016393B" w:rsidP="00814561">
            <w:pPr>
              <w:pStyle w:val="Tabletext"/>
              <w:rPr>
                <w:b/>
                <w:bCs/>
                <w:color w:val="FFFFFF" w:themeColor="background1"/>
                <w:lang w:val="fr-FR"/>
              </w:rPr>
            </w:pPr>
            <w:r w:rsidRPr="002C2948">
              <w:rPr>
                <w:b/>
                <w:bCs/>
                <w:color w:val="FFFFFF" w:themeColor="background1"/>
                <w:lang w:val="fr-FR"/>
              </w:rPr>
              <w:t>M</w:t>
            </w:r>
            <w:r w:rsidR="006D0186" w:rsidRPr="002C2948">
              <w:rPr>
                <w:b/>
                <w:bCs/>
                <w:color w:val="FFFFFF" w:themeColor="background1"/>
                <w:lang w:val="fr-FR"/>
              </w:rPr>
              <w:t>me</w:t>
            </w:r>
            <w:r w:rsidRPr="002C2948">
              <w:rPr>
                <w:b/>
                <w:bCs/>
                <w:color w:val="FFFFFF" w:themeColor="background1"/>
                <w:lang w:val="fr-FR"/>
              </w:rPr>
              <w:t xml:space="preserve"> Caecilia Nyamutswa</w:t>
            </w:r>
          </w:p>
        </w:tc>
        <w:tc>
          <w:tcPr>
            <w:tcW w:w="2492"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259D9EBD" w14:textId="03ED0CA8" w:rsidR="0016393B" w:rsidRPr="002C2948" w:rsidRDefault="0074475C" w:rsidP="00814561">
            <w:pPr>
              <w:pStyle w:val="Tabletext"/>
              <w:rPr>
                <w:color w:val="0070C0"/>
                <w:lang w:val="fr-FR"/>
              </w:rPr>
            </w:pPr>
            <w:r w:rsidRPr="002C2948">
              <w:rPr>
                <w:color w:val="0070C0"/>
                <w:lang w:val="fr-FR"/>
              </w:rPr>
              <w:t>UAT</w:t>
            </w:r>
          </w:p>
        </w:tc>
        <w:tc>
          <w:tcPr>
            <w:tcW w:w="3291"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2ADF7CFF" w14:textId="77777777" w:rsidR="0016393B" w:rsidRPr="002C2948" w:rsidRDefault="0016393B" w:rsidP="00814561">
            <w:pPr>
              <w:pStyle w:val="Tabletext"/>
              <w:rPr>
                <w:color w:val="0070C0"/>
                <w:lang w:val="fr-FR"/>
              </w:rPr>
            </w:pPr>
            <w:r w:rsidRPr="002C2948">
              <w:rPr>
                <w:color w:val="0070C0"/>
                <w:lang w:val="fr-FR"/>
              </w:rPr>
              <w:t>Zimbabwe</w:t>
            </w:r>
          </w:p>
        </w:tc>
      </w:tr>
      <w:tr w:rsidR="0016393B" w:rsidRPr="002C2948" w14:paraId="2647935C" w14:textId="77777777" w:rsidTr="00AB0D4D">
        <w:tc>
          <w:tcPr>
            <w:tcW w:w="416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3B165CC1" w14:textId="5134A452" w:rsidR="0016393B" w:rsidRPr="002C2948" w:rsidRDefault="0016393B" w:rsidP="00814561">
            <w:pPr>
              <w:pStyle w:val="Tabletext"/>
              <w:rPr>
                <w:b/>
                <w:bCs/>
                <w:color w:val="FFFFFF" w:themeColor="background1"/>
                <w:lang w:val="fr-FR"/>
              </w:rPr>
            </w:pPr>
            <w:r w:rsidRPr="002C2948">
              <w:rPr>
                <w:b/>
                <w:bCs/>
                <w:color w:val="FFFFFF" w:themeColor="background1"/>
                <w:lang w:val="fr-FR"/>
              </w:rPr>
              <w:t>M</w:t>
            </w:r>
            <w:r w:rsidR="006D0186" w:rsidRPr="002C2948">
              <w:rPr>
                <w:b/>
                <w:bCs/>
                <w:color w:val="FFFFFF" w:themeColor="background1"/>
                <w:lang w:val="fr-FR"/>
              </w:rPr>
              <w:t>me</w:t>
            </w:r>
            <w:r w:rsidRPr="002C2948">
              <w:rPr>
                <w:b/>
                <w:bCs/>
                <w:color w:val="FFFFFF" w:themeColor="background1"/>
                <w:lang w:val="fr-FR"/>
              </w:rPr>
              <w:t xml:space="preserve"> Inga Rimkeviciene</w:t>
            </w:r>
          </w:p>
        </w:tc>
        <w:tc>
          <w:tcPr>
            <w:tcW w:w="2492"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14:paraId="63F12DE8" w14:textId="380B328B" w:rsidR="0016393B" w:rsidRPr="002C2948" w:rsidRDefault="0016393B" w:rsidP="00814561">
            <w:pPr>
              <w:pStyle w:val="Tabletext"/>
              <w:rPr>
                <w:color w:val="0070C0"/>
                <w:lang w:val="fr-FR"/>
              </w:rPr>
            </w:pPr>
            <w:r w:rsidRPr="002C2948">
              <w:rPr>
                <w:color w:val="0070C0"/>
                <w:lang w:val="fr-FR"/>
              </w:rPr>
              <w:t>CEPT</w:t>
            </w:r>
          </w:p>
        </w:tc>
        <w:tc>
          <w:tcPr>
            <w:tcW w:w="329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14:paraId="367AF64C" w14:textId="17383E26" w:rsidR="0016393B" w:rsidRPr="002C2948" w:rsidRDefault="0016393B" w:rsidP="00814561">
            <w:pPr>
              <w:pStyle w:val="Tabletext"/>
              <w:rPr>
                <w:color w:val="0070C0"/>
                <w:lang w:val="fr-FR"/>
              </w:rPr>
            </w:pPr>
            <w:r w:rsidRPr="002C2948">
              <w:rPr>
                <w:color w:val="0070C0"/>
                <w:lang w:val="fr-FR"/>
              </w:rPr>
              <w:t>Lituanie</w:t>
            </w:r>
          </w:p>
        </w:tc>
      </w:tr>
      <w:tr w:rsidR="0016393B" w:rsidRPr="002C2948" w14:paraId="545AA0BB" w14:textId="77777777" w:rsidTr="00AB0D4D">
        <w:tc>
          <w:tcPr>
            <w:tcW w:w="416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22ECEA6B" w14:textId="7F8E9579" w:rsidR="0016393B" w:rsidRPr="002C2948" w:rsidRDefault="0016393B" w:rsidP="00814561">
            <w:pPr>
              <w:pStyle w:val="Tabletext"/>
              <w:rPr>
                <w:b/>
                <w:bCs/>
                <w:color w:val="FFFFFF" w:themeColor="background1"/>
                <w:lang w:val="fr-FR"/>
              </w:rPr>
            </w:pPr>
            <w:r w:rsidRPr="002C2948">
              <w:rPr>
                <w:b/>
                <w:bCs/>
                <w:color w:val="FFFFFF" w:themeColor="background1"/>
                <w:lang w:val="fr-FR"/>
              </w:rPr>
              <w:t>M</w:t>
            </w:r>
            <w:r w:rsidR="006D0186" w:rsidRPr="002C2948">
              <w:rPr>
                <w:b/>
                <w:bCs/>
                <w:color w:val="FFFFFF" w:themeColor="background1"/>
                <w:lang w:val="fr-FR"/>
              </w:rPr>
              <w:t>.</w:t>
            </w:r>
            <w:r w:rsidRPr="002C2948">
              <w:rPr>
                <w:b/>
                <w:bCs/>
                <w:color w:val="FFFFFF" w:themeColor="background1"/>
                <w:lang w:val="fr-FR"/>
              </w:rPr>
              <w:t xml:space="preserve"> Santiago Reyes-Borda</w:t>
            </w:r>
          </w:p>
        </w:tc>
        <w:tc>
          <w:tcPr>
            <w:tcW w:w="2492"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75E9D4F9" w14:textId="209ECA1A" w:rsidR="0016393B" w:rsidRPr="002C2948" w:rsidRDefault="0016393B" w:rsidP="00814561">
            <w:pPr>
              <w:pStyle w:val="Tabletext"/>
              <w:rPr>
                <w:color w:val="0070C0"/>
                <w:lang w:val="fr-FR"/>
              </w:rPr>
            </w:pPr>
            <w:r w:rsidRPr="002C2948">
              <w:rPr>
                <w:color w:val="0070C0"/>
                <w:lang w:val="fr-FR"/>
              </w:rPr>
              <w:t>CITEL</w:t>
            </w:r>
          </w:p>
        </w:tc>
        <w:tc>
          <w:tcPr>
            <w:tcW w:w="3291"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269C46F3" w14:textId="77777777" w:rsidR="0016393B" w:rsidRPr="002C2948" w:rsidRDefault="0016393B" w:rsidP="00814561">
            <w:pPr>
              <w:pStyle w:val="Tabletext"/>
              <w:rPr>
                <w:color w:val="0070C0"/>
                <w:lang w:val="fr-FR"/>
              </w:rPr>
            </w:pPr>
            <w:r w:rsidRPr="002C2948">
              <w:rPr>
                <w:color w:val="0070C0"/>
                <w:lang w:val="fr-FR"/>
              </w:rPr>
              <w:t>Canada</w:t>
            </w:r>
          </w:p>
        </w:tc>
      </w:tr>
      <w:tr w:rsidR="0016393B" w:rsidRPr="002C2948" w14:paraId="1D069D96" w14:textId="77777777" w:rsidTr="00AB0D4D">
        <w:tc>
          <w:tcPr>
            <w:tcW w:w="416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33D51893" w14:textId="2C3118BF" w:rsidR="0016393B" w:rsidRPr="002C2948" w:rsidRDefault="0016393B" w:rsidP="00814561">
            <w:pPr>
              <w:pStyle w:val="Tabletext"/>
              <w:rPr>
                <w:b/>
                <w:bCs/>
                <w:color w:val="FFFFFF" w:themeColor="background1"/>
                <w:lang w:val="fr-FR"/>
              </w:rPr>
            </w:pPr>
            <w:r w:rsidRPr="002C2948">
              <w:rPr>
                <w:b/>
                <w:bCs/>
                <w:color w:val="FFFFFF" w:themeColor="background1"/>
                <w:lang w:val="fr-FR"/>
              </w:rPr>
              <w:t>M</w:t>
            </w:r>
            <w:r w:rsidR="006D0186" w:rsidRPr="002C2948">
              <w:rPr>
                <w:b/>
                <w:bCs/>
                <w:color w:val="FFFFFF" w:themeColor="background1"/>
                <w:lang w:val="fr-FR"/>
              </w:rPr>
              <w:t>.</w:t>
            </w:r>
            <w:r w:rsidRPr="002C2948">
              <w:rPr>
                <w:b/>
                <w:bCs/>
                <w:color w:val="FFFFFF" w:themeColor="background1"/>
                <w:lang w:val="fr-FR"/>
              </w:rPr>
              <w:t xml:space="preserve"> Mansour AlQurashi</w:t>
            </w:r>
          </w:p>
        </w:tc>
        <w:tc>
          <w:tcPr>
            <w:tcW w:w="2492"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14:paraId="111C95CC" w14:textId="06BC057D" w:rsidR="0016393B" w:rsidRPr="002C2948" w:rsidRDefault="0016393B" w:rsidP="00814561">
            <w:pPr>
              <w:pStyle w:val="Tabletext"/>
              <w:rPr>
                <w:color w:val="0070C0"/>
                <w:lang w:val="fr-FR"/>
              </w:rPr>
            </w:pPr>
            <w:r w:rsidRPr="002C2948">
              <w:rPr>
                <w:color w:val="0070C0"/>
                <w:lang w:val="fr-FR"/>
              </w:rPr>
              <w:t>LAS</w:t>
            </w:r>
          </w:p>
        </w:tc>
        <w:tc>
          <w:tcPr>
            <w:tcW w:w="329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14:paraId="10AB7726" w14:textId="32FA2EA0" w:rsidR="0016393B" w:rsidRPr="002C2948" w:rsidRDefault="0016393B" w:rsidP="00814561">
            <w:pPr>
              <w:pStyle w:val="Tabletext"/>
              <w:rPr>
                <w:color w:val="0070C0"/>
                <w:lang w:val="fr-FR"/>
              </w:rPr>
            </w:pPr>
            <w:r w:rsidRPr="002C2948">
              <w:rPr>
                <w:color w:val="0070C0"/>
                <w:lang w:val="fr-FR"/>
              </w:rPr>
              <w:t>Arabie saoudite</w:t>
            </w:r>
          </w:p>
        </w:tc>
      </w:tr>
      <w:tr w:rsidR="0016393B" w:rsidRPr="002C2948" w14:paraId="7B9BD832" w14:textId="77777777" w:rsidTr="00AB0D4D">
        <w:tc>
          <w:tcPr>
            <w:tcW w:w="416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21D8407C" w14:textId="789D040B" w:rsidR="0016393B" w:rsidRPr="002C2948" w:rsidRDefault="0016393B" w:rsidP="00814561">
            <w:pPr>
              <w:pStyle w:val="Tabletext"/>
              <w:rPr>
                <w:b/>
                <w:bCs/>
                <w:color w:val="FFFFFF" w:themeColor="background1"/>
                <w:lang w:val="fr-FR"/>
              </w:rPr>
            </w:pPr>
            <w:r w:rsidRPr="002C2948">
              <w:rPr>
                <w:b/>
                <w:bCs/>
                <w:color w:val="FFFFFF" w:themeColor="background1"/>
                <w:lang w:val="fr-FR"/>
              </w:rPr>
              <w:t>M</w:t>
            </w:r>
            <w:r w:rsidR="006D0186" w:rsidRPr="002C2948">
              <w:rPr>
                <w:b/>
                <w:bCs/>
                <w:color w:val="FFFFFF" w:themeColor="background1"/>
                <w:lang w:val="fr-FR"/>
              </w:rPr>
              <w:t>.</w:t>
            </w:r>
            <w:r w:rsidRPr="002C2948">
              <w:rPr>
                <w:b/>
                <w:bCs/>
                <w:color w:val="FFFFFF" w:themeColor="background1"/>
                <w:lang w:val="fr-FR"/>
              </w:rPr>
              <w:t xml:space="preserve"> Arseny Plossky</w:t>
            </w:r>
          </w:p>
        </w:tc>
        <w:tc>
          <w:tcPr>
            <w:tcW w:w="2492"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002EA958" w14:textId="77777777" w:rsidR="0016393B" w:rsidRPr="002C2948" w:rsidRDefault="0016393B" w:rsidP="00814561">
            <w:pPr>
              <w:pStyle w:val="Tabletext"/>
              <w:rPr>
                <w:color w:val="0070C0"/>
                <w:lang w:val="fr-FR"/>
              </w:rPr>
            </w:pPr>
            <w:r w:rsidRPr="002C2948">
              <w:rPr>
                <w:color w:val="0070C0"/>
                <w:lang w:val="fr-FR"/>
              </w:rPr>
              <w:t>RCC</w:t>
            </w:r>
          </w:p>
        </w:tc>
        <w:tc>
          <w:tcPr>
            <w:tcW w:w="3291"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192355B6" w14:textId="5A1EDFB1" w:rsidR="0016393B" w:rsidRPr="002C2948" w:rsidRDefault="0016393B" w:rsidP="00814561">
            <w:pPr>
              <w:pStyle w:val="Tabletext"/>
              <w:rPr>
                <w:color w:val="0070C0"/>
                <w:lang w:val="fr-FR"/>
              </w:rPr>
            </w:pPr>
            <w:r w:rsidRPr="002C2948">
              <w:rPr>
                <w:color w:val="0070C0"/>
                <w:lang w:val="fr-FR"/>
              </w:rPr>
              <w:t>Fédération de Russie</w:t>
            </w:r>
          </w:p>
        </w:tc>
      </w:tr>
    </w:tbl>
    <w:p w14:paraId="7B2D25D4" w14:textId="49CCE9C8" w:rsidR="00397379" w:rsidRPr="002C2948" w:rsidRDefault="0016393B" w:rsidP="00DA0F7A">
      <w:pPr>
        <w:spacing w:before="240"/>
        <w:rPr>
          <w:lang w:val="fr-FR"/>
        </w:rPr>
      </w:pPr>
      <w:r w:rsidRPr="002C2948">
        <w:rPr>
          <w:lang w:val="fr-FR"/>
        </w:rPr>
        <w:t>2.2</w:t>
      </w:r>
      <w:r w:rsidRPr="002C2948">
        <w:rPr>
          <w:lang w:val="fr-FR"/>
        </w:rPr>
        <w:tab/>
      </w:r>
      <w:r w:rsidR="00397379" w:rsidRPr="002C2948">
        <w:rPr>
          <w:lang w:val="fr-FR"/>
        </w:rPr>
        <w:t>Son</w:t>
      </w:r>
      <w:r w:rsidRPr="002C2948">
        <w:rPr>
          <w:lang w:val="fr-FR"/>
        </w:rPr>
        <w:t xml:space="preserve"> Excellenc</w:t>
      </w:r>
      <w:r w:rsidR="00397379" w:rsidRPr="002C2948">
        <w:rPr>
          <w:lang w:val="fr-FR"/>
        </w:rPr>
        <w:t>e</w:t>
      </w:r>
      <w:r w:rsidRPr="002C2948">
        <w:rPr>
          <w:lang w:val="fr-FR"/>
        </w:rPr>
        <w:t xml:space="preserve"> </w:t>
      </w:r>
      <w:r w:rsidR="00397379" w:rsidRPr="002C2948">
        <w:rPr>
          <w:lang w:val="fr-FR"/>
        </w:rPr>
        <w:t>M.</w:t>
      </w:r>
      <w:r w:rsidRPr="002C2948">
        <w:rPr>
          <w:lang w:val="fr-FR"/>
        </w:rPr>
        <w:t> Ahmedin Mohammed</w:t>
      </w:r>
      <w:r w:rsidR="00397379" w:rsidRPr="002C2948">
        <w:rPr>
          <w:lang w:val="fr-FR"/>
        </w:rPr>
        <w:t xml:space="preserve"> a déclaré qu'il était très honoré de diriger le processus préparatoire interrégional. </w:t>
      </w:r>
      <w:r w:rsidR="00814561" w:rsidRPr="002C2948">
        <w:rPr>
          <w:lang w:val="fr-FR"/>
        </w:rPr>
        <w:t>"</w:t>
      </w:r>
      <w:r w:rsidR="00397379" w:rsidRPr="002C2948">
        <w:rPr>
          <w:lang w:val="fr-FR"/>
        </w:rPr>
        <w:t>L'objectif de ce processus e</w:t>
      </w:r>
      <w:r w:rsidR="0074475C" w:rsidRPr="002C2948">
        <w:rPr>
          <w:lang w:val="fr-FR"/>
        </w:rPr>
        <w:t>s</w:t>
      </w:r>
      <w:r w:rsidR="00397379" w:rsidRPr="002C2948">
        <w:rPr>
          <w:lang w:val="fr-FR"/>
        </w:rPr>
        <w:t>t de faciliter les échanges entre les régions en vue de parvenir à un consensus avant la conférence. Je me réjouis de travailler avec vous et de faire en sorte que notre travail soit aussi constructif et efficace que possible.</w:t>
      </w:r>
      <w:r w:rsidR="00814561" w:rsidRPr="002C2948">
        <w:rPr>
          <w:lang w:val="fr-FR"/>
        </w:rPr>
        <w:t>"</w:t>
      </w:r>
    </w:p>
    <w:p w14:paraId="3C575903" w14:textId="762B4F2B" w:rsidR="0016393B" w:rsidRPr="002C2948" w:rsidRDefault="0016393B" w:rsidP="00814561">
      <w:pPr>
        <w:pStyle w:val="Heading1"/>
        <w:rPr>
          <w:lang w:val="fr-FR"/>
        </w:rPr>
      </w:pPr>
      <w:bookmarkStart w:id="3" w:name="_Toc66256786"/>
      <w:r w:rsidRPr="002C2948">
        <w:rPr>
          <w:lang w:val="fr-FR"/>
        </w:rPr>
        <w:t>3</w:t>
      </w:r>
      <w:r w:rsidRPr="002C2948">
        <w:rPr>
          <w:lang w:val="fr-FR"/>
        </w:rPr>
        <w:tab/>
      </w:r>
      <w:r w:rsidR="00500F00" w:rsidRPr="002C2948">
        <w:rPr>
          <w:lang w:val="fr-FR"/>
        </w:rPr>
        <w:t>Informations mises à jour sur la CMDT-21</w:t>
      </w:r>
      <w:r w:rsidRPr="002C2948">
        <w:rPr>
          <w:lang w:val="fr-FR"/>
        </w:rPr>
        <w:t xml:space="preserve">: </w:t>
      </w:r>
      <w:bookmarkEnd w:id="3"/>
      <w:r w:rsidR="00021A06" w:rsidRPr="002C2948">
        <w:rPr>
          <w:lang w:val="fr-FR"/>
        </w:rPr>
        <w:t>Mesures essentielles</w:t>
      </w:r>
    </w:p>
    <w:p w14:paraId="3A367AB7" w14:textId="249E6477" w:rsidR="004270C0" w:rsidRPr="002C2948" w:rsidRDefault="0016393B" w:rsidP="00814561">
      <w:pPr>
        <w:rPr>
          <w:rFonts w:cstheme="minorHAnsi"/>
          <w:lang w:val="fr-FR"/>
        </w:rPr>
      </w:pPr>
      <w:r w:rsidRPr="002C2948">
        <w:rPr>
          <w:rFonts w:cstheme="minorHAnsi"/>
          <w:lang w:val="fr-FR"/>
        </w:rPr>
        <w:t>3.1</w:t>
      </w:r>
      <w:r w:rsidRPr="002C2948">
        <w:rPr>
          <w:rFonts w:cstheme="minorHAnsi"/>
          <w:lang w:val="fr-FR"/>
        </w:rPr>
        <w:tab/>
      </w:r>
      <w:r w:rsidR="00021A06" w:rsidRPr="002C2948">
        <w:rPr>
          <w:rFonts w:cstheme="minorHAnsi"/>
          <w:lang w:val="fr-FR"/>
        </w:rPr>
        <w:t>Au nom du Gouvernement de la République d'Éthiopie</w:t>
      </w:r>
      <w:r w:rsidRPr="002C2948">
        <w:rPr>
          <w:rFonts w:cstheme="minorHAnsi"/>
          <w:lang w:val="fr-FR"/>
        </w:rPr>
        <w:t xml:space="preserve">, </w:t>
      </w:r>
      <w:r w:rsidRPr="002C2948">
        <w:rPr>
          <w:rFonts w:eastAsiaTheme="minorHAnsi"/>
          <w:lang w:val="fr-FR"/>
        </w:rPr>
        <w:t>M</w:t>
      </w:r>
      <w:r w:rsidR="00021A06" w:rsidRPr="002C2948">
        <w:rPr>
          <w:rFonts w:eastAsiaTheme="minorHAnsi"/>
          <w:lang w:val="fr-FR"/>
        </w:rPr>
        <w:t>.</w:t>
      </w:r>
      <w:r w:rsidRPr="002C2948">
        <w:rPr>
          <w:rFonts w:eastAsiaTheme="minorHAnsi"/>
          <w:lang w:val="fr-FR"/>
        </w:rPr>
        <w:t xml:space="preserve"> Mesfin Belachew Tefera, </w:t>
      </w:r>
      <w:r w:rsidR="00021A06" w:rsidRPr="002C2948">
        <w:rPr>
          <w:rFonts w:eastAsiaTheme="minorHAnsi"/>
          <w:lang w:val="fr-FR"/>
        </w:rPr>
        <w:t>Conseiller stratégique principal au Ministère de l'innovation et de la technologie</w:t>
      </w:r>
      <w:r w:rsidRPr="002C2948">
        <w:rPr>
          <w:rFonts w:eastAsiaTheme="minorHAnsi"/>
          <w:lang w:val="fr-FR"/>
        </w:rPr>
        <w:t>,</w:t>
      </w:r>
      <w:r w:rsidRPr="002C2948">
        <w:rPr>
          <w:rFonts w:cstheme="minorHAnsi"/>
          <w:lang w:val="fr-FR"/>
        </w:rPr>
        <w:t xml:space="preserve"> </w:t>
      </w:r>
      <w:r w:rsidR="00986CEC" w:rsidRPr="002C2948">
        <w:rPr>
          <w:rFonts w:cstheme="minorHAnsi"/>
          <w:lang w:val="fr-FR"/>
        </w:rPr>
        <w:t>a présenté le</w:t>
      </w:r>
      <w:r w:rsidRPr="002C2948">
        <w:rPr>
          <w:rFonts w:cstheme="minorHAnsi"/>
          <w:lang w:val="fr-FR"/>
        </w:rPr>
        <w:t xml:space="preserve"> </w:t>
      </w:r>
      <w:hyperlink r:id="rId12" w:history="1">
        <w:r w:rsidRPr="002C2948">
          <w:rPr>
            <w:rStyle w:val="Hyperlink"/>
            <w:rFonts w:asciiTheme="minorHAnsi" w:hAnsiTheme="minorHAnsi" w:cstheme="minorHAnsi"/>
            <w:lang w:val="fr-FR"/>
          </w:rPr>
          <w:t>Document 21</w:t>
        </w:r>
      </w:hyperlink>
      <w:r w:rsidRPr="002C2948">
        <w:rPr>
          <w:rFonts w:cstheme="minorHAnsi"/>
          <w:lang w:val="fr-FR"/>
        </w:rPr>
        <w:t xml:space="preserve"> </w:t>
      </w:r>
      <w:r w:rsidR="00986CEC" w:rsidRPr="002C2948">
        <w:rPr>
          <w:rFonts w:cstheme="minorHAnsi"/>
          <w:lang w:val="fr-FR"/>
        </w:rPr>
        <w:t>qui met en avant les mesures essentielles prises po</w:t>
      </w:r>
      <w:r w:rsidR="00DA0F7A">
        <w:rPr>
          <w:rFonts w:cstheme="minorHAnsi"/>
          <w:lang w:val="fr-FR"/>
        </w:rPr>
        <w:t>ur lutter contre la pandémie de </w:t>
      </w:r>
      <w:r w:rsidR="00986CEC" w:rsidRPr="002C2948">
        <w:rPr>
          <w:rFonts w:cstheme="minorHAnsi"/>
          <w:lang w:val="fr-FR"/>
        </w:rPr>
        <w:t>COVID-19 dans le pays hôte de la CMDT-21.</w:t>
      </w:r>
      <w:r w:rsidR="004270C0" w:rsidRPr="002C2948">
        <w:rPr>
          <w:rFonts w:cstheme="minorHAnsi"/>
          <w:lang w:val="fr-FR"/>
        </w:rPr>
        <w:t xml:space="preserve"> Le Gouvernement a créé un groupe d'action interministériel national dirigé par le Premier ministre, Son Excellence M. </w:t>
      </w:r>
      <w:r w:rsidRPr="002C2948">
        <w:rPr>
          <w:rFonts w:cstheme="minorHAnsi"/>
          <w:lang w:val="fr-FR"/>
        </w:rPr>
        <w:t xml:space="preserve">Abiy Ahmed, </w:t>
      </w:r>
      <w:r w:rsidR="004270C0" w:rsidRPr="002C2948">
        <w:rPr>
          <w:rFonts w:cstheme="minorHAnsi"/>
          <w:lang w:val="fr-FR"/>
        </w:rPr>
        <w:t xml:space="preserve">en vue de </w:t>
      </w:r>
      <w:r w:rsidR="0074475C" w:rsidRPr="002C2948">
        <w:rPr>
          <w:rFonts w:cstheme="minorHAnsi"/>
          <w:lang w:val="fr-FR"/>
        </w:rPr>
        <w:t>lutter contre les</w:t>
      </w:r>
      <w:r w:rsidR="004270C0" w:rsidRPr="002C2948">
        <w:rPr>
          <w:rFonts w:cstheme="minorHAnsi"/>
          <w:lang w:val="fr-FR"/>
        </w:rPr>
        <w:t xml:space="preserve"> </w:t>
      </w:r>
      <w:r w:rsidR="0074475C" w:rsidRPr="002C2948">
        <w:rPr>
          <w:rFonts w:cstheme="minorHAnsi"/>
          <w:lang w:val="fr-FR"/>
        </w:rPr>
        <w:t>conséquences</w:t>
      </w:r>
      <w:r w:rsidR="004270C0" w:rsidRPr="002C2948">
        <w:rPr>
          <w:rFonts w:cstheme="minorHAnsi"/>
          <w:lang w:val="fr-FR"/>
        </w:rPr>
        <w:t xml:space="preserve"> sanitaires, sociales et économiques du COVID-19. Ce groupe d'action national a pris toute une série de mesures destinées à contenir la maladie à coronavirus.</w:t>
      </w:r>
    </w:p>
    <w:p w14:paraId="5867C765" w14:textId="4633787B" w:rsidR="004270C0" w:rsidRPr="002C2948" w:rsidRDefault="0016393B" w:rsidP="00814561">
      <w:pPr>
        <w:rPr>
          <w:rFonts w:cstheme="minorHAnsi"/>
          <w:szCs w:val="24"/>
          <w:lang w:val="fr-FR"/>
        </w:rPr>
      </w:pPr>
      <w:r w:rsidRPr="002C2948">
        <w:rPr>
          <w:rFonts w:cstheme="minorHAnsi"/>
          <w:szCs w:val="24"/>
          <w:lang w:val="fr-FR"/>
        </w:rPr>
        <w:t>3.2</w:t>
      </w:r>
      <w:r w:rsidRPr="002C2948">
        <w:rPr>
          <w:rFonts w:cstheme="minorHAnsi"/>
          <w:szCs w:val="24"/>
          <w:lang w:val="fr-FR"/>
        </w:rPr>
        <w:tab/>
      </w:r>
      <w:r w:rsidR="004270C0" w:rsidRPr="002C2948">
        <w:rPr>
          <w:rFonts w:cstheme="minorHAnsi"/>
          <w:szCs w:val="24"/>
          <w:lang w:val="fr-FR"/>
        </w:rPr>
        <w:t>L'Éthiopie a approuvé les lignes directrices élaborées pa</w:t>
      </w:r>
      <w:r w:rsidR="00DA0F7A">
        <w:rPr>
          <w:rFonts w:cstheme="minorHAnsi"/>
          <w:szCs w:val="24"/>
          <w:lang w:val="fr-FR"/>
        </w:rPr>
        <w:t>r l'Organisation mondiale de la </w:t>
      </w:r>
      <w:r w:rsidR="004270C0" w:rsidRPr="002C2948">
        <w:rPr>
          <w:rFonts w:cstheme="minorHAnsi"/>
          <w:szCs w:val="24"/>
          <w:lang w:val="fr-FR"/>
        </w:rPr>
        <w:t xml:space="preserve">santé (OMS) et le Centre de contrôle des maladies </w:t>
      </w:r>
      <w:r w:rsidR="0074475C" w:rsidRPr="002C2948">
        <w:rPr>
          <w:rFonts w:cstheme="minorHAnsi"/>
          <w:szCs w:val="24"/>
          <w:lang w:val="fr-FR"/>
        </w:rPr>
        <w:t xml:space="preserve">(CDC) </w:t>
      </w:r>
      <w:r w:rsidR="004270C0" w:rsidRPr="002C2948">
        <w:rPr>
          <w:rFonts w:cstheme="minorHAnsi"/>
          <w:szCs w:val="24"/>
          <w:lang w:val="fr-FR"/>
        </w:rPr>
        <w:t>e</w:t>
      </w:r>
      <w:r w:rsidR="00DA0F7A">
        <w:rPr>
          <w:rFonts w:cstheme="minorHAnsi"/>
          <w:szCs w:val="24"/>
          <w:lang w:val="fr-FR"/>
        </w:rPr>
        <w:t>t a formulé et publié sa propre </w:t>
      </w:r>
      <w:r w:rsidR="0074475C" w:rsidRPr="002C2948">
        <w:rPr>
          <w:rFonts w:cstheme="minorHAnsi"/>
          <w:i/>
          <w:iCs/>
          <w:szCs w:val="24"/>
          <w:lang w:val="fr-FR"/>
        </w:rPr>
        <w:t>D</w:t>
      </w:r>
      <w:r w:rsidR="004270C0" w:rsidRPr="002C2948">
        <w:rPr>
          <w:rFonts w:cstheme="minorHAnsi"/>
          <w:i/>
          <w:iCs/>
          <w:szCs w:val="24"/>
          <w:lang w:val="fr-FR"/>
        </w:rPr>
        <w:t xml:space="preserve">irective </w:t>
      </w:r>
      <w:r w:rsidR="0074475C" w:rsidRPr="002C2948">
        <w:rPr>
          <w:rFonts w:cstheme="minorHAnsi"/>
          <w:i/>
          <w:iCs/>
          <w:szCs w:val="24"/>
          <w:lang w:val="fr-FR"/>
        </w:rPr>
        <w:t>relative à</w:t>
      </w:r>
      <w:r w:rsidR="004270C0" w:rsidRPr="002C2948">
        <w:rPr>
          <w:rFonts w:cstheme="minorHAnsi"/>
          <w:i/>
          <w:iCs/>
          <w:szCs w:val="24"/>
          <w:lang w:val="fr-FR"/>
        </w:rPr>
        <w:t xml:space="preserve"> la prévention et </w:t>
      </w:r>
      <w:r w:rsidR="0074475C" w:rsidRPr="002C2948">
        <w:rPr>
          <w:rFonts w:cstheme="minorHAnsi"/>
          <w:i/>
          <w:iCs/>
          <w:szCs w:val="24"/>
          <w:lang w:val="fr-FR"/>
        </w:rPr>
        <w:t>au</w:t>
      </w:r>
      <w:r w:rsidR="004270C0" w:rsidRPr="002C2948">
        <w:rPr>
          <w:rFonts w:cstheme="minorHAnsi"/>
          <w:i/>
          <w:iCs/>
          <w:szCs w:val="24"/>
          <w:lang w:val="fr-FR"/>
        </w:rPr>
        <w:t xml:space="preserve"> contrôle de la pandémie de COVID-19</w:t>
      </w:r>
      <w:r w:rsidR="004270C0" w:rsidRPr="002C2948">
        <w:rPr>
          <w:rFonts w:cstheme="minorHAnsi"/>
          <w:szCs w:val="24"/>
          <w:lang w:val="fr-FR"/>
        </w:rPr>
        <w:t xml:space="preserve">. Appelée </w:t>
      </w:r>
      <w:r w:rsidR="00814561" w:rsidRPr="002C2948">
        <w:rPr>
          <w:rFonts w:cstheme="minorHAnsi"/>
          <w:szCs w:val="24"/>
          <w:lang w:val="fr-FR"/>
        </w:rPr>
        <w:t>"</w:t>
      </w:r>
      <w:r w:rsidRPr="002C2948">
        <w:rPr>
          <w:rFonts w:cstheme="minorHAnsi"/>
          <w:bCs/>
          <w:i/>
          <w:iCs/>
          <w:szCs w:val="24"/>
          <w:lang w:val="fr-FR"/>
        </w:rPr>
        <w:t xml:space="preserve">Directive </w:t>
      </w:r>
      <w:r w:rsidR="00DA0F7A">
        <w:rPr>
          <w:rFonts w:cstheme="minorHAnsi"/>
          <w:bCs/>
          <w:i/>
          <w:iCs/>
          <w:szCs w:val="24"/>
          <w:lang w:val="fr-FR"/>
        </w:rPr>
        <w:t>N°</w:t>
      </w:r>
      <w:r w:rsidRPr="002C2948">
        <w:rPr>
          <w:rFonts w:cstheme="minorHAnsi"/>
          <w:bCs/>
          <w:i/>
          <w:iCs/>
          <w:szCs w:val="24"/>
          <w:lang w:val="fr-FR"/>
        </w:rPr>
        <w:t xml:space="preserve"> 30</w:t>
      </w:r>
      <w:r w:rsidRPr="00DA0F7A">
        <w:rPr>
          <w:rFonts w:cstheme="minorHAnsi"/>
          <w:bCs/>
          <w:iCs/>
          <w:szCs w:val="24"/>
          <w:lang w:val="fr-FR"/>
        </w:rPr>
        <w:t>/</w:t>
      </w:r>
      <w:r w:rsidRPr="002C2948">
        <w:rPr>
          <w:rFonts w:cstheme="minorHAnsi"/>
          <w:bCs/>
          <w:i/>
          <w:iCs/>
          <w:szCs w:val="24"/>
          <w:lang w:val="fr-FR"/>
        </w:rPr>
        <w:t>2020</w:t>
      </w:r>
      <w:r w:rsidR="001D2323" w:rsidRPr="00DA0F7A">
        <w:rPr>
          <w:rFonts w:cstheme="minorHAnsi"/>
          <w:bCs/>
          <w:iCs/>
          <w:szCs w:val="24"/>
          <w:lang w:val="fr-FR"/>
        </w:rPr>
        <w:t>"</w:t>
      </w:r>
      <w:r w:rsidRPr="00DA0F7A">
        <w:rPr>
          <w:rFonts w:cstheme="minorHAnsi"/>
          <w:bCs/>
          <w:iCs/>
          <w:szCs w:val="24"/>
          <w:lang w:val="fr-FR"/>
        </w:rPr>
        <w:t>,</w:t>
      </w:r>
      <w:r w:rsidRPr="002C2948">
        <w:rPr>
          <w:rFonts w:cstheme="minorHAnsi"/>
          <w:szCs w:val="24"/>
          <w:lang w:val="fr-FR"/>
        </w:rPr>
        <w:t xml:space="preserve"> </w:t>
      </w:r>
      <w:r w:rsidR="004270C0" w:rsidRPr="002C2948">
        <w:rPr>
          <w:rFonts w:cstheme="minorHAnsi"/>
          <w:szCs w:val="24"/>
          <w:lang w:val="fr-FR"/>
        </w:rPr>
        <w:t xml:space="preserve">elle comprend 10 parties principales, </w:t>
      </w:r>
      <w:r w:rsidR="0074475C" w:rsidRPr="002C2948">
        <w:rPr>
          <w:rFonts w:cstheme="minorHAnsi"/>
          <w:szCs w:val="24"/>
          <w:lang w:val="fr-FR"/>
        </w:rPr>
        <w:t>et</w:t>
      </w:r>
      <w:r w:rsidR="004270C0" w:rsidRPr="002C2948">
        <w:rPr>
          <w:rFonts w:cstheme="minorHAnsi"/>
          <w:szCs w:val="24"/>
          <w:lang w:val="fr-FR"/>
        </w:rPr>
        <w:t xml:space="preserve"> celle </w:t>
      </w:r>
      <w:r w:rsidR="0074475C" w:rsidRPr="002C2948">
        <w:rPr>
          <w:rFonts w:cstheme="minorHAnsi"/>
          <w:szCs w:val="24"/>
          <w:lang w:val="fr-FR"/>
        </w:rPr>
        <w:t>qui concerne</w:t>
      </w:r>
      <w:r w:rsidR="004270C0" w:rsidRPr="002C2948">
        <w:rPr>
          <w:rFonts w:cstheme="minorHAnsi"/>
          <w:szCs w:val="24"/>
          <w:lang w:val="fr-FR"/>
        </w:rPr>
        <w:t xml:space="preserve"> la </w:t>
      </w:r>
      <w:r w:rsidR="00814561" w:rsidRPr="002C2948">
        <w:rPr>
          <w:rFonts w:cstheme="minorHAnsi"/>
          <w:szCs w:val="24"/>
          <w:lang w:val="fr-FR"/>
        </w:rPr>
        <w:t>CMDT-21</w:t>
      </w:r>
      <w:r w:rsidR="004270C0" w:rsidRPr="002C2948">
        <w:rPr>
          <w:rFonts w:cstheme="minorHAnsi"/>
          <w:szCs w:val="24"/>
          <w:lang w:val="fr-FR"/>
        </w:rPr>
        <w:t xml:space="preserve"> </w:t>
      </w:r>
      <w:r w:rsidR="0074475C" w:rsidRPr="002C2948">
        <w:rPr>
          <w:rFonts w:cstheme="minorHAnsi"/>
          <w:szCs w:val="24"/>
          <w:lang w:val="fr-FR"/>
        </w:rPr>
        <w:t>porte sur</w:t>
      </w:r>
      <w:r w:rsidR="004270C0" w:rsidRPr="002C2948">
        <w:rPr>
          <w:rFonts w:cstheme="minorHAnsi"/>
          <w:szCs w:val="24"/>
          <w:lang w:val="fr-FR"/>
        </w:rPr>
        <w:t xml:space="preserve"> les </w:t>
      </w:r>
      <w:r w:rsidR="00814561" w:rsidRPr="002C2948">
        <w:rPr>
          <w:rFonts w:cstheme="minorHAnsi"/>
          <w:szCs w:val="24"/>
          <w:lang w:val="fr-FR"/>
        </w:rPr>
        <w:t>"</w:t>
      </w:r>
      <w:r w:rsidR="004270C0" w:rsidRPr="002C2948">
        <w:rPr>
          <w:rFonts w:cstheme="minorHAnsi"/>
          <w:szCs w:val="24"/>
          <w:lang w:val="fr-FR"/>
        </w:rPr>
        <w:t>Mesures de précaution à prendre pendant les réunions</w:t>
      </w:r>
      <w:r w:rsidR="00814561" w:rsidRPr="002C2948">
        <w:rPr>
          <w:rFonts w:cstheme="minorHAnsi"/>
          <w:szCs w:val="24"/>
          <w:lang w:val="fr-FR"/>
        </w:rPr>
        <w:t>"</w:t>
      </w:r>
      <w:r w:rsidR="0074475C" w:rsidRPr="002C2948">
        <w:rPr>
          <w:rFonts w:cstheme="minorHAnsi"/>
          <w:szCs w:val="24"/>
          <w:lang w:val="fr-FR"/>
        </w:rPr>
        <w:t xml:space="preserve"> et comprend</w:t>
      </w:r>
      <w:r w:rsidR="004270C0" w:rsidRPr="002C2948">
        <w:rPr>
          <w:rFonts w:cstheme="minorHAnsi"/>
          <w:szCs w:val="24"/>
          <w:lang w:val="fr-FR"/>
        </w:rPr>
        <w:t xml:space="preserve"> des lignes directrices relatives aux déplacements.</w:t>
      </w:r>
    </w:p>
    <w:p w14:paraId="3ACD4C0D" w14:textId="34DABD73" w:rsidR="0016393B" w:rsidRPr="002C2948" w:rsidRDefault="004270C0" w:rsidP="00814561">
      <w:pPr>
        <w:pStyle w:val="Headingb"/>
        <w:rPr>
          <w:lang w:val="fr-FR"/>
        </w:rPr>
      </w:pPr>
      <w:r w:rsidRPr="002C2948">
        <w:rPr>
          <w:lang w:val="fr-FR"/>
        </w:rPr>
        <w:lastRenderedPageBreak/>
        <w:t>Quatre scénarios possibles différents</w:t>
      </w:r>
    </w:p>
    <w:p w14:paraId="69B18503" w14:textId="5DFFE738" w:rsidR="004270C0" w:rsidRPr="002C2948" w:rsidRDefault="0016393B" w:rsidP="00814561">
      <w:pPr>
        <w:rPr>
          <w:lang w:val="fr-FR"/>
        </w:rPr>
      </w:pPr>
      <w:r w:rsidRPr="002C2948">
        <w:rPr>
          <w:lang w:val="fr-FR"/>
        </w:rPr>
        <w:t>3.3</w:t>
      </w:r>
      <w:r w:rsidRPr="002C2948">
        <w:rPr>
          <w:lang w:val="fr-FR"/>
        </w:rPr>
        <w:tab/>
      </w:r>
      <w:r w:rsidR="004270C0" w:rsidRPr="002C2948">
        <w:rPr>
          <w:lang w:val="fr-FR"/>
        </w:rPr>
        <w:t>Le Gouvernement de l'Éthiopie a évalué quatre scén</w:t>
      </w:r>
      <w:r w:rsidR="00DA0F7A">
        <w:rPr>
          <w:lang w:val="fr-FR"/>
        </w:rPr>
        <w:t>arios concernant la tenue de la </w:t>
      </w:r>
      <w:r w:rsidR="00814561" w:rsidRPr="002C2948">
        <w:rPr>
          <w:lang w:val="fr-FR"/>
        </w:rPr>
        <w:t>CMDT</w:t>
      </w:r>
      <w:r w:rsidR="001D2323" w:rsidRPr="002C2948">
        <w:rPr>
          <w:lang w:val="fr-FR"/>
        </w:rPr>
        <w:noBreakHyphen/>
      </w:r>
      <w:r w:rsidR="00814561" w:rsidRPr="002C2948">
        <w:rPr>
          <w:lang w:val="fr-FR"/>
        </w:rPr>
        <w:t>21</w:t>
      </w:r>
      <w:r w:rsidR="004270C0" w:rsidRPr="002C2948">
        <w:rPr>
          <w:lang w:val="fr-FR"/>
        </w:rPr>
        <w:t xml:space="preserve">, avec leurs avantages et inconvénients, ainsi que les risques associés et les stratégies d'atténuation. Les paragraphes ci-après </w:t>
      </w:r>
      <w:r w:rsidR="0074475C" w:rsidRPr="002C2948">
        <w:rPr>
          <w:lang w:val="fr-FR"/>
        </w:rPr>
        <w:t>indiquent</w:t>
      </w:r>
      <w:r w:rsidR="004270C0" w:rsidRPr="002C2948">
        <w:rPr>
          <w:lang w:val="fr-FR"/>
        </w:rPr>
        <w:t xml:space="preserve"> les avantages et </w:t>
      </w:r>
      <w:r w:rsidR="0074475C" w:rsidRPr="002C2948">
        <w:rPr>
          <w:lang w:val="fr-FR"/>
        </w:rPr>
        <w:t xml:space="preserve">les </w:t>
      </w:r>
      <w:r w:rsidR="004270C0" w:rsidRPr="002C2948">
        <w:rPr>
          <w:lang w:val="fr-FR"/>
        </w:rPr>
        <w:t>inconvénients.</w:t>
      </w:r>
    </w:p>
    <w:p w14:paraId="11C9917B" w14:textId="6FD6F285" w:rsidR="0016393B" w:rsidRPr="002C2948" w:rsidRDefault="0016393B" w:rsidP="00814561">
      <w:pPr>
        <w:pStyle w:val="Headingb"/>
        <w:rPr>
          <w:u w:val="single"/>
          <w:lang w:val="fr-FR"/>
        </w:rPr>
      </w:pPr>
      <w:bookmarkStart w:id="4" w:name="_Toc66256795"/>
      <w:r w:rsidRPr="002C2948">
        <w:rPr>
          <w:u w:val="single"/>
          <w:lang w:val="fr-FR"/>
        </w:rPr>
        <w:t>Sc</w:t>
      </w:r>
      <w:r w:rsidR="00B038D0" w:rsidRPr="002C2948">
        <w:rPr>
          <w:u w:val="single"/>
          <w:lang w:val="fr-FR"/>
        </w:rPr>
        <w:t>é</w:t>
      </w:r>
      <w:r w:rsidRPr="002C2948">
        <w:rPr>
          <w:u w:val="single"/>
          <w:lang w:val="fr-FR"/>
        </w:rPr>
        <w:t>nario 1 –</w:t>
      </w:r>
      <w:bookmarkEnd w:id="4"/>
      <w:r w:rsidR="00B038D0" w:rsidRPr="002C2948">
        <w:rPr>
          <w:u w:val="single"/>
          <w:lang w:val="fr-FR"/>
        </w:rPr>
        <w:t xml:space="preserve"> Tenir la Conférence comme prévu initialement</w:t>
      </w:r>
    </w:p>
    <w:p w14:paraId="5CA36E10" w14:textId="38E415EE" w:rsidR="00D21923" w:rsidRPr="002C2948" w:rsidRDefault="0016393B" w:rsidP="00814561">
      <w:pPr>
        <w:rPr>
          <w:bCs/>
          <w:lang w:val="fr-FR"/>
        </w:rPr>
      </w:pPr>
      <w:r w:rsidRPr="002C2948">
        <w:rPr>
          <w:bCs/>
          <w:lang w:val="fr-FR"/>
        </w:rPr>
        <w:t>3.4</w:t>
      </w:r>
      <w:r w:rsidRPr="002C2948">
        <w:rPr>
          <w:b/>
          <w:lang w:val="fr-FR"/>
        </w:rPr>
        <w:tab/>
      </w:r>
      <w:r w:rsidR="00D21923" w:rsidRPr="002C2948">
        <w:rPr>
          <w:b/>
          <w:lang w:val="fr-FR"/>
        </w:rPr>
        <w:t>Avantages</w:t>
      </w:r>
      <w:r w:rsidRPr="00DA0F7A">
        <w:rPr>
          <w:lang w:val="fr-FR"/>
        </w:rPr>
        <w:t>:</w:t>
      </w:r>
      <w:r w:rsidRPr="002C2948">
        <w:rPr>
          <w:b/>
          <w:lang w:val="fr-FR"/>
        </w:rPr>
        <w:t xml:space="preserve"> </w:t>
      </w:r>
      <w:r w:rsidR="00D21923" w:rsidRPr="002C2948">
        <w:rPr>
          <w:lang w:val="fr-FR"/>
        </w:rPr>
        <w:t xml:space="preserve">La tenue de la </w:t>
      </w:r>
      <w:r w:rsidR="00814561" w:rsidRPr="002C2948">
        <w:rPr>
          <w:lang w:val="fr-FR"/>
        </w:rPr>
        <w:t>CMDT-21</w:t>
      </w:r>
      <w:r w:rsidR="00D21923" w:rsidRPr="002C2948">
        <w:rPr>
          <w:lang w:val="fr-FR"/>
        </w:rPr>
        <w:t xml:space="preserve"> sur place en appliquant des solutions pour remédier aux problèmes posés par le COVID-19 fera de cette manifestation un exemple de bonnes pratiques à adopter pour d'autres conférences analogues. L'organisation</w:t>
      </w:r>
      <w:r w:rsidR="0074475C" w:rsidRPr="002C2948">
        <w:rPr>
          <w:lang w:val="fr-FR"/>
        </w:rPr>
        <w:t xml:space="preserve"> d'une</w:t>
      </w:r>
      <w:r w:rsidR="00D21923" w:rsidRPr="002C2948">
        <w:rPr>
          <w:lang w:val="fr-FR"/>
        </w:rPr>
        <w:t xml:space="preserve"> conférence sur place permet d'avoir un ordre du jour plus étoffé et de produire de meilleurs résultats, grâce aux fréquentes interactions formelles et informelles entre les participants. Les participants du continent hôte auraient ainsi un sentiment d'appartenance puisqu'il</w:t>
      </w:r>
      <w:r w:rsidR="0074475C" w:rsidRPr="002C2948">
        <w:rPr>
          <w:lang w:val="fr-FR"/>
        </w:rPr>
        <w:t>s</w:t>
      </w:r>
      <w:r w:rsidR="00D21923" w:rsidRPr="002C2948">
        <w:rPr>
          <w:lang w:val="fr-FR"/>
        </w:rPr>
        <w:t xml:space="preserve"> se </w:t>
      </w:r>
      <w:r w:rsidR="00FE11D3" w:rsidRPr="002C2948">
        <w:rPr>
          <w:lang w:val="fr-FR"/>
        </w:rPr>
        <w:t>retrouveraient dans le cadre d'</w:t>
      </w:r>
      <w:r w:rsidR="00D21923" w:rsidRPr="002C2948">
        <w:rPr>
          <w:lang w:val="fr-FR"/>
        </w:rPr>
        <w:t>une manifestation organisée dans leur capitale diplomatique. Une conférence sur place permettra aux autres pays d'Afrique de présenter à la communauté internationale leur programme de travail en matière de développement des télécommunications et des TIC. Cela contribuera en outre à instaurer une confiance dans la capacité d'organiser d</w:t>
      </w:r>
      <w:r w:rsidR="00FE11D3" w:rsidRPr="002C2948">
        <w:rPr>
          <w:lang w:val="fr-FR"/>
        </w:rPr>
        <w:t>'autr</w:t>
      </w:r>
      <w:r w:rsidR="00D21923" w:rsidRPr="002C2948">
        <w:rPr>
          <w:lang w:val="fr-FR"/>
        </w:rPr>
        <w:t>es manifestations internationales de haut niveau</w:t>
      </w:r>
      <w:r w:rsidR="00FE11D3" w:rsidRPr="002C2948">
        <w:rPr>
          <w:lang w:val="fr-FR"/>
        </w:rPr>
        <w:t xml:space="preserve"> similaires</w:t>
      </w:r>
      <w:r w:rsidR="00D21923" w:rsidRPr="002C2948">
        <w:rPr>
          <w:lang w:val="fr-FR"/>
        </w:rPr>
        <w:t>.</w:t>
      </w:r>
    </w:p>
    <w:p w14:paraId="56A2ED2E" w14:textId="661A763B" w:rsidR="002F7917" w:rsidRPr="002C2948" w:rsidRDefault="0016393B" w:rsidP="00814561">
      <w:pPr>
        <w:rPr>
          <w:bCs/>
          <w:lang w:val="fr-FR"/>
        </w:rPr>
      </w:pPr>
      <w:r w:rsidRPr="002C2948">
        <w:rPr>
          <w:bCs/>
          <w:lang w:val="fr-FR"/>
        </w:rPr>
        <w:t>3.5</w:t>
      </w:r>
      <w:r w:rsidRPr="002C2948">
        <w:rPr>
          <w:b/>
          <w:lang w:val="fr-FR"/>
        </w:rPr>
        <w:tab/>
      </w:r>
      <w:r w:rsidR="002F7917" w:rsidRPr="002C2948">
        <w:rPr>
          <w:b/>
          <w:lang w:val="fr-FR"/>
        </w:rPr>
        <w:t>Inconvénients</w:t>
      </w:r>
      <w:r w:rsidRPr="00DA0F7A">
        <w:rPr>
          <w:lang w:val="fr-FR"/>
        </w:rPr>
        <w:t>:</w:t>
      </w:r>
      <w:r w:rsidRPr="002C2948">
        <w:rPr>
          <w:b/>
          <w:lang w:val="fr-FR"/>
        </w:rPr>
        <w:t xml:space="preserve"> </w:t>
      </w:r>
      <w:r w:rsidR="002F7917" w:rsidRPr="002C2948">
        <w:rPr>
          <w:bCs/>
          <w:lang w:val="fr-FR"/>
        </w:rPr>
        <w:t>Le COVID-19 risque d'être encore un prob</w:t>
      </w:r>
      <w:r w:rsidR="00DA0F7A">
        <w:rPr>
          <w:bCs/>
          <w:lang w:val="fr-FR"/>
        </w:rPr>
        <w:t>lème majeur pendant et après la </w:t>
      </w:r>
      <w:r w:rsidR="00814561" w:rsidRPr="002C2948">
        <w:rPr>
          <w:bCs/>
          <w:lang w:val="fr-FR"/>
        </w:rPr>
        <w:t>CMDT-21</w:t>
      </w:r>
      <w:r w:rsidR="002F7917" w:rsidRPr="002C2948">
        <w:rPr>
          <w:bCs/>
          <w:lang w:val="fr-FR"/>
        </w:rPr>
        <w:t>. En raison de la pandémie, la participation risque d'être bien inférieure à celle attendue.</w:t>
      </w:r>
    </w:p>
    <w:p w14:paraId="2DF8B388" w14:textId="6CFE4590" w:rsidR="0016393B" w:rsidRPr="002C2948" w:rsidRDefault="0016393B" w:rsidP="00814561">
      <w:pPr>
        <w:pStyle w:val="Headingb"/>
        <w:rPr>
          <w:u w:val="single"/>
          <w:lang w:val="fr-FR"/>
        </w:rPr>
      </w:pPr>
      <w:bookmarkStart w:id="5" w:name="_Toc66256796"/>
      <w:r w:rsidRPr="002C2948">
        <w:rPr>
          <w:u w:val="single"/>
          <w:lang w:val="fr-FR"/>
        </w:rPr>
        <w:t>Sc</w:t>
      </w:r>
      <w:r w:rsidR="002F7917" w:rsidRPr="002C2948">
        <w:rPr>
          <w:u w:val="single"/>
          <w:lang w:val="fr-FR"/>
        </w:rPr>
        <w:t>é</w:t>
      </w:r>
      <w:r w:rsidRPr="002C2948">
        <w:rPr>
          <w:u w:val="single"/>
          <w:lang w:val="fr-FR"/>
        </w:rPr>
        <w:t>nario 2 –</w:t>
      </w:r>
      <w:bookmarkEnd w:id="5"/>
      <w:r w:rsidR="002F7917" w:rsidRPr="002C2948">
        <w:rPr>
          <w:u w:val="single"/>
          <w:lang w:val="fr-FR"/>
        </w:rPr>
        <w:t xml:space="preserve"> </w:t>
      </w:r>
      <w:r w:rsidR="00F45B3E" w:rsidRPr="002C2948">
        <w:rPr>
          <w:u w:val="single"/>
          <w:lang w:val="fr-FR"/>
        </w:rPr>
        <w:t>Tenir une m</w:t>
      </w:r>
      <w:r w:rsidR="002F7917" w:rsidRPr="002C2948">
        <w:rPr>
          <w:u w:val="single"/>
          <w:lang w:val="fr-FR"/>
        </w:rPr>
        <w:t>anifestation hybride</w:t>
      </w:r>
    </w:p>
    <w:p w14:paraId="7D4B3440" w14:textId="2B9F003A" w:rsidR="002F7917" w:rsidRPr="002C2948" w:rsidRDefault="0016393B" w:rsidP="00814561">
      <w:pPr>
        <w:rPr>
          <w:color w:val="000000"/>
          <w:lang w:val="fr-FR"/>
        </w:rPr>
      </w:pPr>
      <w:r w:rsidRPr="002C2948">
        <w:rPr>
          <w:color w:val="000000"/>
          <w:lang w:val="fr-FR"/>
        </w:rPr>
        <w:t>3.6</w:t>
      </w:r>
      <w:r w:rsidRPr="002C2948">
        <w:rPr>
          <w:b/>
          <w:bCs/>
          <w:color w:val="000000"/>
          <w:lang w:val="fr-FR"/>
        </w:rPr>
        <w:tab/>
      </w:r>
      <w:r w:rsidR="002F7917" w:rsidRPr="002C2948">
        <w:rPr>
          <w:b/>
          <w:bCs/>
          <w:color w:val="000000"/>
          <w:lang w:val="fr-FR"/>
        </w:rPr>
        <w:t>Avantages</w:t>
      </w:r>
      <w:r w:rsidRPr="00DA0F7A">
        <w:rPr>
          <w:bCs/>
          <w:color w:val="000000"/>
          <w:lang w:val="fr-FR"/>
        </w:rPr>
        <w:t>:</w:t>
      </w:r>
      <w:r w:rsidRPr="002C2948">
        <w:rPr>
          <w:b/>
          <w:bCs/>
          <w:color w:val="000000"/>
          <w:lang w:val="fr-FR"/>
        </w:rPr>
        <w:t xml:space="preserve"> </w:t>
      </w:r>
      <w:r w:rsidR="002F7917" w:rsidRPr="002C2948">
        <w:rPr>
          <w:bCs/>
          <w:color w:val="000000"/>
          <w:lang w:val="fr-FR"/>
        </w:rPr>
        <w:t xml:space="preserve">La tenue de la </w:t>
      </w:r>
      <w:r w:rsidR="00814561" w:rsidRPr="002C2948">
        <w:rPr>
          <w:bCs/>
          <w:color w:val="000000"/>
          <w:lang w:val="fr-FR"/>
        </w:rPr>
        <w:t>CMDT-21</w:t>
      </w:r>
      <w:r w:rsidR="002F7917" w:rsidRPr="002C2948">
        <w:rPr>
          <w:bCs/>
          <w:color w:val="000000"/>
          <w:lang w:val="fr-FR"/>
        </w:rPr>
        <w:t xml:space="preserve"> sur place et en ligne</w:t>
      </w:r>
      <w:r w:rsidR="002F7917" w:rsidRPr="002C2948">
        <w:rPr>
          <w:lang w:val="fr-FR"/>
        </w:rPr>
        <w:t xml:space="preserve"> en appliquant des solutions pour remédier aux problèmes posés par le COVID-19</w:t>
      </w:r>
      <w:r w:rsidR="007A2FAE" w:rsidRPr="002C2948">
        <w:rPr>
          <w:lang w:val="fr-FR"/>
        </w:rPr>
        <w:t>, en s'adaptant ainsi à la nouvelle normalité,</w:t>
      </w:r>
      <w:r w:rsidR="002F7917" w:rsidRPr="002C2948">
        <w:rPr>
          <w:lang w:val="fr-FR"/>
        </w:rPr>
        <w:t xml:space="preserve"> fera de cette manifestation un exemple de bonnes pratiques à adopter pour d'autres conférences analogues. L'Éthiopie peut conseiller </w:t>
      </w:r>
      <w:r w:rsidR="0004519A" w:rsidRPr="002C2948">
        <w:rPr>
          <w:lang w:val="fr-FR"/>
        </w:rPr>
        <w:t>aux</w:t>
      </w:r>
      <w:r w:rsidR="002F7917" w:rsidRPr="002C2948">
        <w:rPr>
          <w:lang w:val="fr-FR"/>
        </w:rPr>
        <w:t xml:space="preserve"> États Membres de l'UIT, en fonction de leurs besoins et dans l'intérêt de la </w:t>
      </w:r>
      <w:r w:rsidR="00814561" w:rsidRPr="002C2948">
        <w:rPr>
          <w:lang w:val="fr-FR"/>
        </w:rPr>
        <w:t>CMDT-21</w:t>
      </w:r>
      <w:r w:rsidR="002F7917" w:rsidRPr="002C2948">
        <w:rPr>
          <w:lang w:val="fr-FR"/>
        </w:rPr>
        <w:t xml:space="preserve">, d'envoyer des représentants qui sont </w:t>
      </w:r>
      <w:r w:rsidR="007A2FAE" w:rsidRPr="002C2948">
        <w:rPr>
          <w:lang w:val="fr-FR"/>
        </w:rPr>
        <w:t xml:space="preserve">déjà </w:t>
      </w:r>
      <w:r w:rsidR="00DA0F7A">
        <w:rPr>
          <w:lang w:val="fr-FR"/>
        </w:rPr>
        <w:t>vaccinés contre le </w:t>
      </w:r>
      <w:r w:rsidR="002F7917" w:rsidRPr="002C2948">
        <w:rPr>
          <w:lang w:val="fr-FR"/>
        </w:rPr>
        <w:t>COVID</w:t>
      </w:r>
      <w:r w:rsidR="001D2323" w:rsidRPr="002C2948">
        <w:rPr>
          <w:lang w:val="fr-FR"/>
        </w:rPr>
        <w:noBreakHyphen/>
      </w:r>
      <w:r w:rsidR="002F7917" w:rsidRPr="002C2948">
        <w:rPr>
          <w:lang w:val="fr-FR"/>
        </w:rPr>
        <w:t xml:space="preserve">19. La tenue d'une manifestation hybride offre une partie des avantages indiqués pour le scénario 1. Elle </w:t>
      </w:r>
      <w:r w:rsidR="007A2FAE" w:rsidRPr="002C2948">
        <w:rPr>
          <w:lang w:val="fr-FR"/>
        </w:rPr>
        <w:t>atténue</w:t>
      </w:r>
      <w:r w:rsidR="002F7917" w:rsidRPr="002C2948">
        <w:rPr>
          <w:lang w:val="fr-FR"/>
        </w:rPr>
        <w:t xml:space="preserve"> la monotonie des manifestations virtuelles et permet aux personnes de </w:t>
      </w:r>
      <w:r w:rsidR="007A2FAE" w:rsidRPr="002C2948">
        <w:rPr>
          <w:lang w:val="fr-FR"/>
        </w:rPr>
        <w:t>nouer des relations</w:t>
      </w:r>
      <w:r w:rsidR="002F7917" w:rsidRPr="002C2948">
        <w:rPr>
          <w:lang w:val="fr-FR"/>
        </w:rPr>
        <w:t>. Elle crée de la visibilité pour le continent hôte.</w:t>
      </w:r>
    </w:p>
    <w:p w14:paraId="001BE0B9" w14:textId="69B1339D" w:rsidR="00F45B3E" w:rsidRPr="002C2948" w:rsidRDefault="0016393B" w:rsidP="00814561">
      <w:pPr>
        <w:rPr>
          <w:lang w:val="fr-FR"/>
        </w:rPr>
      </w:pPr>
      <w:r w:rsidRPr="002C2948">
        <w:rPr>
          <w:lang w:val="fr-FR"/>
        </w:rPr>
        <w:t>3.7</w:t>
      </w:r>
      <w:r w:rsidRPr="002C2948">
        <w:rPr>
          <w:b/>
          <w:bCs/>
          <w:lang w:val="fr-FR"/>
        </w:rPr>
        <w:tab/>
      </w:r>
      <w:r w:rsidR="00F45B3E" w:rsidRPr="002C2948">
        <w:rPr>
          <w:b/>
          <w:bCs/>
          <w:lang w:val="fr-FR"/>
        </w:rPr>
        <w:t>Inconvénients</w:t>
      </w:r>
      <w:r w:rsidRPr="00DA0F7A">
        <w:rPr>
          <w:bCs/>
          <w:lang w:val="fr-FR"/>
        </w:rPr>
        <w:t xml:space="preserve">: </w:t>
      </w:r>
      <w:r w:rsidR="00F45B3E" w:rsidRPr="002C2948">
        <w:rPr>
          <w:bCs/>
          <w:lang w:val="fr-FR"/>
        </w:rPr>
        <w:t>Les difficultés inhérentes à la tenue d'une conférence sur place et en ligne concerne</w:t>
      </w:r>
      <w:r w:rsidR="000C2FD3" w:rsidRPr="002C2948">
        <w:rPr>
          <w:bCs/>
          <w:lang w:val="fr-FR"/>
        </w:rPr>
        <w:t>nt</w:t>
      </w:r>
      <w:r w:rsidR="00F45B3E" w:rsidRPr="002C2948">
        <w:rPr>
          <w:bCs/>
          <w:lang w:val="fr-FR"/>
        </w:rPr>
        <w:t xml:space="preserve"> la manière de conserver la mobilisation active des participants en ligne et les défis technologiques en vue de trouver une plate-forme </w:t>
      </w:r>
      <w:r w:rsidR="000C2FD3" w:rsidRPr="002C2948">
        <w:rPr>
          <w:bCs/>
          <w:lang w:val="fr-FR"/>
        </w:rPr>
        <w:t>conviviale pour la</w:t>
      </w:r>
      <w:r w:rsidR="00F45B3E" w:rsidRPr="002C2948">
        <w:rPr>
          <w:bCs/>
          <w:lang w:val="fr-FR"/>
        </w:rPr>
        <w:t xml:space="preserve"> gestion de la conférence. Les membres de l'UIT ne sont pas favorables aux manifestations hybride</w:t>
      </w:r>
      <w:r w:rsidR="00E979BC">
        <w:rPr>
          <w:bCs/>
          <w:lang w:val="fr-FR"/>
        </w:rPr>
        <w:t>s</w:t>
      </w:r>
      <w:r w:rsidR="00F45B3E" w:rsidRPr="002C2948">
        <w:rPr>
          <w:bCs/>
          <w:lang w:val="fr-FR"/>
        </w:rPr>
        <w:t xml:space="preserve"> car </w:t>
      </w:r>
      <w:r w:rsidR="000C2FD3" w:rsidRPr="002C2948">
        <w:rPr>
          <w:bCs/>
          <w:lang w:val="fr-FR"/>
        </w:rPr>
        <w:t>tous</w:t>
      </w:r>
      <w:r w:rsidR="00F45B3E" w:rsidRPr="002C2948">
        <w:rPr>
          <w:bCs/>
          <w:lang w:val="fr-FR"/>
        </w:rPr>
        <w:t xml:space="preserve"> ne peuvent pas participer sur un pied d'égalité.</w:t>
      </w:r>
    </w:p>
    <w:p w14:paraId="10FA3081" w14:textId="6EF8D2F6" w:rsidR="0016393B" w:rsidRPr="002C2948" w:rsidRDefault="0016393B" w:rsidP="00814561">
      <w:pPr>
        <w:pStyle w:val="Headingb"/>
        <w:rPr>
          <w:u w:val="single"/>
          <w:lang w:val="fr-FR"/>
        </w:rPr>
      </w:pPr>
      <w:bookmarkStart w:id="6" w:name="_Toc66256797"/>
      <w:r w:rsidRPr="002C2948">
        <w:rPr>
          <w:u w:val="single"/>
          <w:lang w:val="fr-FR"/>
        </w:rPr>
        <w:t>Sc</w:t>
      </w:r>
      <w:r w:rsidR="00F45B3E" w:rsidRPr="002C2948">
        <w:rPr>
          <w:u w:val="single"/>
          <w:lang w:val="fr-FR"/>
        </w:rPr>
        <w:t>é</w:t>
      </w:r>
      <w:r w:rsidRPr="002C2948">
        <w:rPr>
          <w:u w:val="single"/>
          <w:lang w:val="fr-FR"/>
        </w:rPr>
        <w:t>nario 3 –</w:t>
      </w:r>
      <w:bookmarkEnd w:id="6"/>
      <w:r w:rsidR="00F45B3E" w:rsidRPr="002C2948">
        <w:rPr>
          <w:u w:val="single"/>
          <w:lang w:val="fr-FR"/>
        </w:rPr>
        <w:t xml:space="preserve"> Tenir une manifestation virtuelle</w:t>
      </w:r>
    </w:p>
    <w:p w14:paraId="36A47BA6" w14:textId="54CFE178" w:rsidR="00F45B3E" w:rsidRPr="002C2948" w:rsidRDefault="0016393B" w:rsidP="00814561">
      <w:pPr>
        <w:rPr>
          <w:lang w:val="fr-FR"/>
        </w:rPr>
      </w:pPr>
      <w:r w:rsidRPr="002C2948">
        <w:rPr>
          <w:lang w:val="fr-FR"/>
        </w:rPr>
        <w:t>3.8</w:t>
      </w:r>
      <w:r w:rsidRPr="002C2948">
        <w:rPr>
          <w:b/>
          <w:bCs/>
          <w:lang w:val="fr-FR"/>
        </w:rPr>
        <w:tab/>
      </w:r>
      <w:r w:rsidR="00F45B3E" w:rsidRPr="002C2948">
        <w:rPr>
          <w:b/>
          <w:bCs/>
          <w:color w:val="000000"/>
          <w:lang w:val="fr-FR"/>
        </w:rPr>
        <w:t>Avantages</w:t>
      </w:r>
      <w:r w:rsidRPr="00E979BC">
        <w:rPr>
          <w:bCs/>
          <w:lang w:val="fr-FR"/>
        </w:rPr>
        <w:t>:</w:t>
      </w:r>
      <w:r w:rsidRPr="002C2948">
        <w:rPr>
          <w:b/>
          <w:bCs/>
          <w:lang w:val="fr-FR"/>
        </w:rPr>
        <w:t xml:space="preserve"> </w:t>
      </w:r>
      <w:r w:rsidR="00F45B3E" w:rsidRPr="002C2948">
        <w:rPr>
          <w:bCs/>
          <w:lang w:val="fr-FR"/>
        </w:rPr>
        <w:t>Exposition réduite au COVID-19, moins de difficultés liées à la logistique et à la gestion de la conférence.</w:t>
      </w:r>
    </w:p>
    <w:p w14:paraId="7CA4CBE3" w14:textId="572D96DB" w:rsidR="00F45B3E" w:rsidRPr="002C2948" w:rsidRDefault="0016393B" w:rsidP="00814561">
      <w:pPr>
        <w:rPr>
          <w:lang w:val="fr-FR"/>
        </w:rPr>
      </w:pPr>
      <w:r w:rsidRPr="002C2948">
        <w:rPr>
          <w:lang w:val="fr-FR"/>
        </w:rPr>
        <w:t>3.9</w:t>
      </w:r>
      <w:r w:rsidRPr="002C2948">
        <w:rPr>
          <w:b/>
          <w:bCs/>
          <w:lang w:val="fr-FR"/>
        </w:rPr>
        <w:tab/>
      </w:r>
      <w:r w:rsidR="00F45B3E" w:rsidRPr="002C2948">
        <w:rPr>
          <w:b/>
          <w:bCs/>
          <w:lang w:val="fr-FR"/>
        </w:rPr>
        <w:t>Inconvénients</w:t>
      </w:r>
      <w:r w:rsidRPr="00E979BC">
        <w:rPr>
          <w:bCs/>
          <w:lang w:val="fr-FR"/>
        </w:rPr>
        <w:t>:</w:t>
      </w:r>
      <w:r w:rsidRPr="002C2948">
        <w:rPr>
          <w:b/>
          <w:bCs/>
          <w:lang w:val="fr-FR"/>
        </w:rPr>
        <w:t xml:space="preserve"> </w:t>
      </w:r>
      <w:r w:rsidR="00F45B3E" w:rsidRPr="002C2948">
        <w:rPr>
          <w:bCs/>
          <w:lang w:val="fr-FR"/>
        </w:rPr>
        <w:t xml:space="preserve">La </w:t>
      </w:r>
      <w:r w:rsidR="00814561" w:rsidRPr="002C2948">
        <w:rPr>
          <w:bCs/>
          <w:lang w:val="fr-FR"/>
        </w:rPr>
        <w:t>CMDT-21</w:t>
      </w:r>
      <w:r w:rsidR="00F45B3E" w:rsidRPr="002C2948">
        <w:rPr>
          <w:bCs/>
          <w:lang w:val="fr-FR"/>
        </w:rPr>
        <w:t xml:space="preserve"> ne profiterait pas des avantages indiqués dans les scénarios 1 et 2. Des difficultés technologiques pourraient se poser pour tenir une conférence entièrement virtuelle. Les séances virtuelles ont tendance à devenir longues et monotones et, en fonction des fuseaux horaires, il peut être difficile de les suivre.</w:t>
      </w:r>
    </w:p>
    <w:p w14:paraId="710394BB" w14:textId="77777777" w:rsidR="001D2323" w:rsidRPr="002C2948" w:rsidRDefault="001D2323" w:rsidP="00814561">
      <w:pPr>
        <w:pStyle w:val="Headingb"/>
        <w:rPr>
          <w:u w:val="single"/>
          <w:lang w:val="fr-FR"/>
        </w:rPr>
      </w:pPr>
      <w:bookmarkStart w:id="7" w:name="_Toc66256798"/>
      <w:r w:rsidRPr="002C2948">
        <w:rPr>
          <w:u w:val="single"/>
          <w:lang w:val="fr-FR"/>
        </w:rPr>
        <w:br w:type="page"/>
      </w:r>
    </w:p>
    <w:p w14:paraId="1A5510FF" w14:textId="316DB48F" w:rsidR="0016393B" w:rsidRPr="002C2948" w:rsidRDefault="0016393B" w:rsidP="00814561">
      <w:pPr>
        <w:pStyle w:val="Headingb"/>
        <w:rPr>
          <w:u w:val="single"/>
          <w:lang w:val="fr-FR"/>
        </w:rPr>
      </w:pPr>
      <w:r w:rsidRPr="002C2948">
        <w:rPr>
          <w:u w:val="single"/>
          <w:lang w:val="fr-FR"/>
        </w:rPr>
        <w:t>Sc</w:t>
      </w:r>
      <w:r w:rsidR="00F45B3E" w:rsidRPr="002C2948">
        <w:rPr>
          <w:u w:val="single"/>
          <w:lang w:val="fr-FR"/>
        </w:rPr>
        <w:t>é</w:t>
      </w:r>
      <w:r w:rsidRPr="002C2948">
        <w:rPr>
          <w:u w:val="single"/>
          <w:lang w:val="fr-FR"/>
        </w:rPr>
        <w:t xml:space="preserve">nario 4 – </w:t>
      </w:r>
      <w:r w:rsidR="00F45B3E" w:rsidRPr="002C2948">
        <w:rPr>
          <w:u w:val="single"/>
          <w:lang w:val="fr-FR"/>
        </w:rPr>
        <w:t>Reporter la Conférence</w:t>
      </w:r>
      <w:bookmarkEnd w:id="7"/>
    </w:p>
    <w:p w14:paraId="07D320F8" w14:textId="57C63D81" w:rsidR="00F45B3E" w:rsidRPr="002C2948" w:rsidRDefault="0016393B" w:rsidP="00814561">
      <w:pPr>
        <w:rPr>
          <w:bCs/>
          <w:lang w:val="fr-FR"/>
        </w:rPr>
      </w:pPr>
      <w:r w:rsidRPr="002C2948">
        <w:rPr>
          <w:bCs/>
          <w:lang w:val="fr-FR"/>
        </w:rPr>
        <w:t>3.10</w:t>
      </w:r>
      <w:r w:rsidRPr="002C2948">
        <w:rPr>
          <w:b/>
          <w:lang w:val="fr-FR"/>
        </w:rPr>
        <w:tab/>
      </w:r>
      <w:r w:rsidR="00F45B3E" w:rsidRPr="002C2948">
        <w:rPr>
          <w:b/>
          <w:lang w:val="fr-FR"/>
        </w:rPr>
        <w:t>Avantages</w:t>
      </w:r>
      <w:r w:rsidRPr="00E979BC">
        <w:rPr>
          <w:lang w:val="fr-FR"/>
        </w:rPr>
        <w:t>:</w:t>
      </w:r>
      <w:r w:rsidRPr="002C2948">
        <w:rPr>
          <w:b/>
          <w:lang w:val="fr-FR"/>
        </w:rPr>
        <w:t xml:space="preserve"> </w:t>
      </w:r>
      <w:r w:rsidR="00F45B3E" w:rsidRPr="002C2948">
        <w:rPr>
          <w:lang w:val="fr-FR"/>
        </w:rPr>
        <w:t>La plupart des problèmes que pose le COVID-19 pourrai</w:t>
      </w:r>
      <w:r w:rsidR="000C2FD3" w:rsidRPr="002C2948">
        <w:rPr>
          <w:lang w:val="fr-FR"/>
        </w:rPr>
        <w:t>en</w:t>
      </w:r>
      <w:r w:rsidR="00F45B3E" w:rsidRPr="002C2948">
        <w:rPr>
          <w:lang w:val="fr-FR"/>
        </w:rPr>
        <w:t xml:space="preserve">t s'atténuer à l'échelle de la planète et les conditions permettraient alors de tenir la Conférence. Les avantages seraient donc </w:t>
      </w:r>
      <w:r w:rsidR="000C2FD3" w:rsidRPr="002C2948">
        <w:rPr>
          <w:lang w:val="fr-FR"/>
        </w:rPr>
        <w:t>ceux</w:t>
      </w:r>
      <w:r w:rsidR="00F45B3E" w:rsidRPr="002C2948">
        <w:rPr>
          <w:lang w:val="fr-FR"/>
        </w:rPr>
        <w:t xml:space="preserve"> qu'offre le scénario 1. Comme pour le scénario 2, l'Éthiopie peut conseiller </w:t>
      </w:r>
      <w:r w:rsidR="0004519A" w:rsidRPr="002C2948">
        <w:rPr>
          <w:lang w:val="fr-FR"/>
        </w:rPr>
        <w:t>aux</w:t>
      </w:r>
      <w:r w:rsidR="00F45B3E" w:rsidRPr="002C2948">
        <w:rPr>
          <w:lang w:val="fr-FR"/>
        </w:rPr>
        <w:t xml:space="preserve"> États Membres de l'UIT, en fonction de leurs besoins et dans l'intérêt de la </w:t>
      </w:r>
      <w:r w:rsidR="00814561" w:rsidRPr="002C2948">
        <w:rPr>
          <w:lang w:val="fr-FR"/>
        </w:rPr>
        <w:t>CMDT-21</w:t>
      </w:r>
      <w:r w:rsidR="00F45B3E" w:rsidRPr="002C2948">
        <w:rPr>
          <w:lang w:val="fr-FR"/>
        </w:rPr>
        <w:t xml:space="preserve">, d'envoyer des représentants qui sont </w:t>
      </w:r>
      <w:r w:rsidR="000C2FD3" w:rsidRPr="002C2948">
        <w:rPr>
          <w:lang w:val="fr-FR"/>
        </w:rPr>
        <w:t xml:space="preserve">déjà </w:t>
      </w:r>
      <w:r w:rsidR="00F45B3E" w:rsidRPr="002C2948">
        <w:rPr>
          <w:lang w:val="fr-FR"/>
        </w:rPr>
        <w:t>vaccinés contre le COVID-19.</w:t>
      </w:r>
      <w:r w:rsidR="0004519A" w:rsidRPr="002C2948">
        <w:rPr>
          <w:lang w:val="fr-FR"/>
        </w:rPr>
        <w:t xml:space="preserve"> Les projections concernant ce que sera la situation sur le plan du COVID-19 seront peut-être plus claires d'ici à la fin de 2021. La plupart des participants auront alors déjà été vacciné</w:t>
      </w:r>
      <w:r w:rsidR="000C2FD3" w:rsidRPr="002C2948">
        <w:rPr>
          <w:lang w:val="fr-FR"/>
        </w:rPr>
        <w:t>s</w:t>
      </w:r>
      <w:r w:rsidR="0004519A" w:rsidRPr="002C2948">
        <w:rPr>
          <w:lang w:val="fr-FR"/>
        </w:rPr>
        <w:t xml:space="preserve"> contre le COVID-19, de sorte que la circulation </w:t>
      </w:r>
      <w:r w:rsidR="000C2FD3" w:rsidRPr="002C2948">
        <w:rPr>
          <w:lang w:val="fr-FR"/>
        </w:rPr>
        <w:t xml:space="preserve">du virus </w:t>
      </w:r>
      <w:r w:rsidR="0004519A" w:rsidRPr="002C2948">
        <w:rPr>
          <w:lang w:val="fr-FR"/>
        </w:rPr>
        <w:t>aura peut-être considérablement diminuée.</w:t>
      </w:r>
    </w:p>
    <w:p w14:paraId="4ED58DCF" w14:textId="5DACD332" w:rsidR="0004519A" w:rsidRPr="002C2948" w:rsidRDefault="0016393B" w:rsidP="00814561">
      <w:pPr>
        <w:rPr>
          <w:lang w:val="fr-FR"/>
        </w:rPr>
      </w:pPr>
      <w:r w:rsidRPr="002C2948">
        <w:rPr>
          <w:lang w:val="fr-FR"/>
        </w:rPr>
        <w:t>3.11</w:t>
      </w:r>
      <w:r w:rsidRPr="002C2948">
        <w:rPr>
          <w:lang w:val="fr-FR"/>
        </w:rPr>
        <w:tab/>
      </w:r>
      <w:r w:rsidR="0004519A" w:rsidRPr="002C2948">
        <w:rPr>
          <w:lang w:val="fr-FR"/>
        </w:rPr>
        <w:t xml:space="preserve">Nous avons espoir que d'ici à l'été 2022, les mesures de prévention aient permis de maîtriser la pandémie. </w:t>
      </w:r>
      <w:r w:rsidR="000C298A" w:rsidRPr="002C2948">
        <w:rPr>
          <w:lang w:val="fr-FR"/>
        </w:rPr>
        <w:t>Grâce à l</w:t>
      </w:r>
      <w:r w:rsidR="0004519A" w:rsidRPr="002C2948">
        <w:rPr>
          <w:lang w:val="fr-FR"/>
        </w:rPr>
        <w:t>a campagne de vaccination en Éthiopie</w:t>
      </w:r>
      <w:r w:rsidR="000C298A" w:rsidRPr="002C2948">
        <w:rPr>
          <w:lang w:val="fr-FR"/>
        </w:rPr>
        <w:t xml:space="preserve">, </w:t>
      </w:r>
      <w:r w:rsidR="0004519A" w:rsidRPr="002C2948">
        <w:rPr>
          <w:lang w:val="fr-FR"/>
        </w:rPr>
        <w:t xml:space="preserve">une grande partie de la population </w:t>
      </w:r>
      <w:r w:rsidR="000C298A" w:rsidRPr="002C2948">
        <w:rPr>
          <w:lang w:val="fr-FR"/>
        </w:rPr>
        <w:t xml:space="preserve">sera protégée </w:t>
      </w:r>
      <w:r w:rsidR="0004519A" w:rsidRPr="002C2948">
        <w:rPr>
          <w:lang w:val="fr-FR"/>
        </w:rPr>
        <w:t>et la situation sera plus sûre, avec plus de temps. Il ne fait aucun doute que si la CMDT est reportée à l'été 2022, il est bien plus probable que des traitements et autres équipements de protection individuelle (EPI) soient disponibles, financièrement abordables et accessibles.</w:t>
      </w:r>
    </w:p>
    <w:p w14:paraId="11FEC1AA" w14:textId="49ADD57B" w:rsidR="0004519A" w:rsidRPr="002C2948" w:rsidRDefault="0016393B" w:rsidP="00814561">
      <w:pPr>
        <w:rPr>
          <w:color w:val="000000"/>
          <w:szCs w:val="24"/>
          <w:lang w:val="fr-FR"/>
        </w:rPr>
      </w:pPr>
      <w:r w:rsidRPr="002C2948">
        <w:rPr>
          <w:color w:val="000000"/>
          <w:szCs w:val="24"/>
          <w:lang w:val="fr-FR"/>
        </w:rPr>
        <w:t>3.12</w:t>
      </w:r>
      <w:r w:rsidRPr="002C2948">
        <w:rPr>
          <w:b/>
          <w:bCs/>
          <w:color w:val="000000"/>
          <w:szCs w:val="24"/>
          <w:lang w:val="fr-FR"/>
        </w:rPr>
        <w:tab/>
      </w:r>
      <w:r w:rsidR="0004519A" w:rsidRPr="002C2948">
        <w:rPr>
          <w:b/>
          <w:bCs/>
          <w:color w:val="000000"/>
          <w:szCs w:val="24"/>
          <w:lang w:val="fr-FR"/>
        </w:rPr>
        <w:t>Inconvénients</w:t>
      </w:r>
      <w:r w:rsidRPr="00E979BC">
        <w:rPr>
          <w:bCs/>
          <w:color w:val="000000"/>
          <w:szCs w:val="24"/>
          <w:lang w:val="fr-FR"/>
        </w:rPr>
        <w:t>:</w:t>
      </w:r>
      <w:r w:rsidRPr="002C2948">
        <w:rPr>
          <w:b/>
          <w:bCs/>
          <w:color w:val="000000"/>
          <w:szCs w:val="24"/>
          <w:lang w:val="fr-FR"/>
        </w:rPr>
        <w:t xml:space="preserve"> </w:t>
      </w:r>
      <w:r w:rsidR="000C298A" w:rsidRPr="002C2948">
        <w:rPr>
          <w:bCs/>
          <w:color w:val="000000"/>
          <w:szCs w:val="24"/>
          <w:lang w:val="fr-FR"/>
        </w:rPr>
        <w:t>Il se peut que l</w:t>
      </w:r>
      <w:r w:rsidR="0004519A" w:rsidRPr="002C2948">
        <w:rPr>
          <w:bCs/>
          <w:color w:val="000000"/>
          <w:szCs w:val="24"/>
          <w:lang w:val="fr-FR"/>
        </w:rPr>
        <w:t>a pandémie de COVID-19 continue de s</w:t>
      </w:r>
      <w:r w:rsidR="000C298A" w:rsidRPr="002C2948">
        <w:rPr>
          <w:bCs/>
          <w:color w:val="000000"/>
          <w:szCs w:val="24"/>
          <w:lang w:val="fr-FR"/>
        </w:rPr>
        <w:t>é</w:t>
      </w:r>
      <w:r w:rsidR="0004519A" w:rsidRPr="002C2948">
        <w:rPr>
          <w:bCs/>
          <w:color w:val="000000"/>
          <w:szCs w:val="24"/>
          <w:lang w:val="fr-FR"/>
        </w:rPr>
        <w:t>vir. Plusieurs manifestations mondiales pourraient se chevaucher pour le pays hôte et les organisateurs.</w:t>
      </w:r>
      <w:r w:rsidR="00FB51D6" w:rsidRPr="002C2948">
        <w:rPr>
          <w:bCs/>
          <w:color w:val="000000"/>
          <w:szCs w:val="24"/>
          <w:lang w:val="fr-FR"/>
        </w:rPr>
        <w:t xml:space="preserve"> Les inconvénients indiqués dans le </w:t>
      </w:r>
      <w:r w:rsidR="000C298A" w:rsidRPr="002C2948">
        <w:rPr>
          <w:bCs/>
          <w:color w:val="000000"/>
          <w:szCs w:val="24"/>
          <w:lang w:val="fr-FR"/>
        </w:rPr>
        <w:t>s</w:t>
      </w:r>
      <w:r w:rsidR="00FB51D6" w:rsidRPr="002C2948">
        <w:rPr>
          <w:bCs/>
          <w:color w:val="000000"/>
          <w:szCs w:val="24"/>
          <w:lang w:val="fr-FR"/>
        </w:rPr>
        <w:t>cénario 1 s'appliqueraient également.</w:t>
      </w:r>
    </w:p>
    <w:p w14:paraId="379DFC16" w14:textId="27A1BA5C" w:rsidR="0016393B" w:rsidRPr="002C2948" w:rsidRDefault="00FB51D6" w:rsidP="00814561">
      <w:pPr>
        <w:pStyle w:val="Headingb"/>
        <w:rPr>
          <w:lang w:val="fr-FR"/>
        </w:rPr>
      </w:pPr>
      <w:r w:rsidRPr="002C2948">
        <w:rPr>
          <w:lang w:val="fr-FR"/>
        </w:rPr>
        <w:t>Commentaires et positions des participants</w:t>
      </w:r>
    </w:p>
    <w:p w14:paraId="378C92E9" w14:textId="06BA164A" w:rsidR="00FB51D6" w:rsidRPr="002C2948" w:rsidRDefault="0016393B" w:rsidP="00814561">
      <w:pPr>
        <w:rPr>
          <w:lang w:val="fr-FR"/>
        </w:rPr>
      </w:pPr>
      <w:r w:rsidRPr="002C2948">
        <w:rPr>
          <w:lang w:val="fr-FR"/>
        </w:rPr>
        <w:t>3.13</w:t>
      </w:r>
      <w:r w:rsidRPr="002C2948">
        <w:rPr>
          <w:lang w:val="fr-FR"/>
        </w:rPr>
        <w:tab/>
      </w:r>
      <w:r w:rsidR="00FB51D6" w:rsidRPr="002C2948">
        <w:rPr>
          <w:lang w:val="fr-FR"/>
        </w:rPr>
        <w:t>Plusieurs délégations ont indiqué soutenir le scénario 1, si la situation s'améliore partout dans le monde en ce qui concerne le COVID-19, mais si elle reste problématique, alors la conférence devrait être reportée (scénario 4).</w:t>
      </w:r>
      <w:r w:rsidR="00230996" w:rsidRPr="002C2948">
        <w:rPr>
          <w:lang w:val="fr-FR"/>
        </w:rPr>
        <w:t xml:space="preserve"> Cette position a été exprimée principalement par les délégués du </w:t>
      </w:r>
      <w:r w:rsidR="00230996" w:rsidRPr="002C2948">
        <w:rPr>
          <w:b/>
          <w:bCs/>
          <w:lang w:val="fr-FR"/>
        </w:rPr>
        <w:t>Canada</w:t>
      </w:r>
      <w:r w:rsidR="00230996" w:rsidRPr="002C2948">
        <w:rPr>
          <w:lang w:val="fr-FR"/>
        </w:rPr>
        <w:t xml:space="preserve">, du </w:t>
      </w:r>
      <w:r w:rsidR="00230996" w:rsidRPr="002C2948">
        <w:rPr>
          <w:b/>
          <w:bCs/>
          <w:lang w:val="fr-FR"/>
        </w:rPr>
        <w:t>Burkina Faso</w:t>
      </w:r>
      <w:r w:rsidR="00230996" w:rsidRPr="002C2948">
        <w:rPr>
          <w:lang w:val="fr-FR"/>
        </w:rPr>
        <w:t xml:space="preserve">, du </w:t>
      </w:r>
      <w:r w:rsidR="00230996" w:rsidRPr="002C2948">
        <w:rPr>
          <w:b/>
          <w:bCs/>
          <w:lang w:val="fr-FR"/>
        </w:rPr>
        <w:t>Ghana</w:t>
      </w:r>
      <w:r w:rsidR="00230996" w:rsidRPr="002C2948">
        <w:rPr>
          <w:lang w:val="fr-FR"/>
        </w:rPr>
        <w:t xml:space="preserve">, du </w:t>
      </w:r>
      <w:r w:rsidR="00230996" w:rsidRPr="002C2948">
        <w:rPr>
          <w:b/>
          <w:bCs/>
          <w:lang w:val="fr-FR"/>
        </w:rPr>
        <w:t>Kenya</w:t>
      </w:r>
      <w:r w:rsidR="00230996" w:rsidRPr="002C2948">
        <w:rPr>
          <w:lang w:val="fr-FR"/>
        </w:rPr>
        <w:t xml:space="preserve">, du </w:t>
      </w:r>
      <w:r w:rsidR="00230996" w:rsidRPr="002C2948">
        <w:rPr>
          <w:b/>
          <w:bCs/>
          <w:lang w:val="fr-FR"/>
        </w:rPr>
        <w:t>Nigéria</w:t>
      </w:r>
      <w:r w:rsidR="00230996" w:rsidRPr="002C2948">
        <w:rPr>
          <w:lang w:val="fr-FR"/>
        </w:rPr>
        <w:t xml:space="preserve">, du </w:t>
      </w:r>
      <w:r w:rsidR="00230996" w:rsidRPr="002C2948">
        <w:rPr>
          <w:b/>
          <w:bCs/>
          <w:lang w:val="fr-FR"/>
        </w:rPr>
        <w:t>Zimbabwe</w:t>
      </w:r>
      <w:r w:rsidR="00230996" w:rsidRPr="002C2948">
        <w:rPr>
          <w:lang w:val="fr-FR"/>
        </w:rPr>
        <w:t xml:space="preserve"> (qui s'exprimait également au nom de l'UAT), tandis que le délégué de l'</w:t>
      </w:r>
      <w:r w:rsidR="00230996" w:rsidRPr="002C2948">
        <w:rPr>
          <w:b/>
          <w:bCs/>
          <w:lang w:val="fr-FR"/>
        </w:rPr>
        <w:t>Égypte</w:t>
      </w:r>
      <w:r w:rsidR="00230996" w:rsidRPr="002C2948">
        <w:rPr>
          <w:lang w:val="fr-FR"/>
        </w:rPr>
        <w:t xml:space="preserve"> a demandé si, dans le cas du </w:t>
      </w:r>
      <w:r w:rsidR="006D43AC" w:rsidRPr="002C2948">
        <w:rPr>
          <w:lang w:val="fr-FR"/>
        </w:rPr>
        <w:t>s</w:t>
      </w:r>
      <w:r w:rsidR="00230996" w:rsidRPr="002C2948">
        <w:rPr>
          <w:lang w:val="fr-FR"/>
        </w:rPr>
        <w:t>cénario 1, le nombre de participants par délégation serait limité</w:t>
      </w:r>
      <w:r w:rsidR="006D43AC" w:rsidRPr="002C2948">
        <w:rPr>
          <w:lang w:val="fr-FR"/>
        </w:rPr>
        <w:t>,</w:t>
      </w:r>
      <w:r w:rsidR="00230996" w:rsidRPr="002C2948">
        <w:rPr>
          <w:lang w:val="fr-FR"/>
        </w:rPr>
        <w:t xml:space="preserve"> et que le délégué de la </w:t>
      </w:r>
      <w:r w:rsidR="00230996" w:rsidRPr="002C2948">
        <w:rPr>
          <w:b/>
          <w:bCs/>
          <w:lang w:val="fr-FR"/>
        </w:rPr>
        <w:t>Côte d'Ivoire</w:t>
      </w:r>
      <w:r w:rsidR="00230996" w:rsidRPr="002C2948">
        <w:rPr>
          <w:lang w:val="fr-FR"/>
        </w:rPr>
        <w:t xml:space="preserve"> a suggéré qu'il serait peut-être nécessaire d'envisager de </w:t>
      </w:r>
      <w:r w:rsidR="006D43AC" w:rsidRPr="002C2948">
        <w:rPr>
          <w:lang w:val="fr-FR"/>
        </w:rPr>
        <w:t>reporter</w:t>
      </w:r>
      <w:r w:rsidR="00230996" w:rsidRPr="002C2948">
        <w:rPr>
          <w:lang w:val="fr-FR"/>
        </w:rPr>
        <w:t xml:space="preserve"> la Conférence de plénipotentiaires de 2022</w:t>
      </w:r>
      <w:r w:rsidR="006D43AC" w:rsidRPr="002C2948">
        <w:rPr>
          <w:lang w:val="fr-FR"/>
        </w:rPr>
        <w:t xml:space="preserve"> à </w:t>
      </w:r>
      <w:r w:rsidR="00230996" w:rsidRPr="002C2948">
        <w:rPr>
          <w:lang w:val="fr-FR"/>
        </w:rPr>
        <w:t>2023 pour l'aligner sur la Conférence mondiale des radiocommunications (CMR</w:t>
      </w:r>
      <w:r w:rsidR="001D2323" w:rsidRPr="002C2948">
        <w:rPr>
          <w:lang w:val="fr-FR"/>
        </w:rPr>
        <w:t>-</w:t>
      </w:r>
      <w:r w:rsidR="00230996" w:rsidRPr="002C2948">
        <w:rPr>
          <w:lang w:val="fr-FR"/>
        </w:rPr>
        <w:t>23), étant donné que l'</w:t>
      </w:r>
      <w:r w:rsidR="006D43AC" w:rsidRPr="002C2948">
        <w:rPr>
          <w:lang w:val="fr-FR"/>
        </w:rPr>
        <w:t>A</w:t>
      </w:r>
      <w:r w:rsidR="00230996" w:rsidRPr="002C2948">
        <w:rPr>
          <w:lang w:val="fr-FR"/>
        </w:rPr>
        <w:t xml:space="preserve">ssemblée mondiale de normalisation des télécommunications (AMNT) avait déjà été </w:t>
      </w:r>
      <w:r w:rsidR="006D43AC" w:rsidRPr="002C2948">
        <w:rPr>
          <w:lang w:val="fr-FR"/>
        </w:rPr>
        <w:t>reportée</w:t>
      </w:r>
      <w:r w:rsidR="00230996" w:rsidRPr="002C2948">
        <w:rPr>
          <w:lang w:val="fr-FR"/>
        </w:rPr>
        <w:t xml:space="preserve"> une fois, de 2020 à 2022.</w:t>
      </w:r>
    </w:p>
    <w:p w14:paraId="594834EF" w14:textId="4A2D70A9" w:rsidR="00230996" w:rsidRPr="002C2948" w:rsidRDefault="0016393B" w:rsidP="00814561">
      <w:pPr>
        <w:rPr>
          <w:lang w:val="fr-FR"/>
        </w:rPr>
      </w:pPr>
      <w:r w:rsidRPr="002C2948">
        <w:rPr>
          <w:lang w:val="fr-FR"/>
        </w:rPr>
        <w:t>3.14</w:t>
      </w:r>
      <w:r w:rsidRPr="002C2948">
        <w:rPr>
          <w:lang w:val="fr-FR"/>
        </w:rPr>
        <w:tab/>
      </w:r>
      <w:r w:rsidR="00230996" w:rsidRPr="002C2948">
        <w:rPr>
          <w:lang w:val="fr-FR"/>
        </w:rPr>
        <w:t xml:space="preserve">De </w:t>
      </w:r>
      <w:r w:rsidR="006D43AC" w:rsidRPr="002C2948">
        <w:rPr>
          <w:lang w:val="fr-FR"/>
        </w:rPr>
        <w:t>l'avis</w:t>
      </w:r>
      <w:r w:rsidR="00230996" w:rsidRPr="002C2948">
        <w:rPr>
          <w:lang w:val="fr-FR"/>
        </w:rPr>
        <w:t xml:space="preserve"> d'autres délégations, bien que l'arrivée des vaccins offrent quelques raisons de se montrer optimiste, la circulation du virus oblige toujours les gouvernements du monde entier à confiner leur population et il est donc préférable de décider sans attendre de reporter la CMDT.</w:t>
      </w:r>
    </w:p>
    <w:p w14:paraId="44EFA9C9" w14:textId="3A6128C0" w:rsidR="00230996" w:rsidRPr="002C2948" w:rsidRDefault="0016393B" w:rsidP="00814561">
      <w:pPr>
        <w:rPr>
          <w:bCs/>
          <w:lang w:val="fr-FR"/>
        </w:rPr>
      </w:pPr>
      <w:r w:rsidRPr="002C2948">
        <w:rPr>
          <w:bCs/>
          <w:lang w:val="fr-FR"/>
        </w:rPr>
        <w:t>3.15</w:t>
      </w:r>
      <w:r w:rsidR="00F31F0D" w:rsidRPr="002C2948">
        <w:rPr>
          <w:b/>
          <w:lang w:val="fr-FR"/>
        </w:rPr>
        <w:tab/>
      </w:r>
      <w:r w:rsidR="00230996" w:rsidRPr="002C2948">
        <w:rPr>
          <w:lang w:val="fr-FR"/>
        </w:rPr>
        <w:t xml:space="preserve">Le délégué de la </w:t>
      </w:r>
      <w:r w:rsidR="00230996" w:rsidRPr="002C2948">
        <w:rPr>
          <w:b/>
          <w:bCs/>
          <w:lang w:val="fr-FR"/>
        </w:rPr>
        <w:t>Roumanie, s'exprimant au nom de la CEPT</w:t>
      </w:r>
      <w:r w:rsidR="00230996" w:rsidRPr="002C2948">
        <w:rPr>
          <w:lang w:val="fr-FR"/>
        </w:rPr>
        <w:t xml:space="preserve"> et en tant que représentant du pays hôte de la Conférence de plénipotentiaires prévue pour 2022,</w:t>
      </w:r>
      <w:r w:rsidR="00DA5C9B" w:rsidRPr="002C2948">
        <w:rPr>
          <w:lang w:val="fr-FR"/>
        </w:rPr>
        <w:t xml:space="preserve"> a souligné la nécessité de </w:t>
      </w:r>
      <w:r w:rsidR="00DA5C9B" w:rsidRPr="002C2948">
        <w:rPr>
          <w:b/>
          <w:bCs/>
          <w:lang w:val="fr-FR"/>
        </w:rPr>
        <w:t xml:space="preserve">prendre une décision rapidement, au moins six mois avant les dates actuellement prévues pour la </w:t>
      </w:r>
      <w:r w:rsidR="00814561" w:rsidRPr="002C2948">
        <w:rPr>
          <w:b/>
          <w:bCs/>
          <w:lang w:val="fr-FR"/>
        </w:rPr>
        <w:t>CMDT-21</w:t>
      </w:r>
      <w:r w:rsidR="00DA5C9B" w:rsidRPr="00E979BC">
        <w:rPr>
          <w:bCs/>
          <w:lang w:val="fr-FR"/>
        </w:rPr>
        <w:t>.</w:t>
      </w:r>
    </w:p>
    <w:p w14:paraId="2D30BA73" w14:textId="0E0330AC" w:rsidR="00DA5C9B" w:rsidRPr="002C2948" w:rsidRDefault="0016393B" w:rsidP="00814561">
      <w:pPr>
        <w:rPr>
          <w:bCs/>
          <w:lang w:val="fr-FR"/>
        </w:rPr>
      </w:pPr>
      <w:r w:rsidRPr="002C2948">
        <w:rPr>
          <w:bCs/>
          <w:lang w:val="fr-FR"/>
        </w:rPr>
        <w:t>3.16</w:t>
      </w:r>
      <w:r w:rsidR="00F31F0D" w:rsidRPr="002C2948">
        <w:rPr>
          <w:b/>
          <w:lang w:val="fr-FR"/>
        </w:rPr>
        <w:tab/>
      </w:r>
      <w:r w:rsidR="00DA5C9B" w:rsidRPr="002C2948">
        <w:rPr>
          <w:bCs/>
          <w:lang w:val="fr-FR"/>
        </w:rPr>
        <w:t>Le délégué de l'</w:t>
      </w:r>
      <w:r w:rsidR="00DA5C9B" w:rsidRPr="002C2948">
        <w:rPr>
          <w:b/>
          <w:lang w:val="fr-FR"/>
        </w:rPr>
        <w:t xml:space="preserve">Arabie saoudite, </w:t>
      </w:r>
      <w:r w:rsidR="006D43AC" w:rsidRPr="002C2948">
        <w:rPr>
          <w:b/>
          <w:lang w:val="fr-FR"/>
        </w:rPr>
        <w:t xml:space="preserve">s'exprimant </w:t>
      </w:r>
      <w:r w:rsidR="00DA5C9B" w:rsidRPr="002C2948">
        <w:rPr>
          <w:b/>
          <w:lang w:val="fr-FR"/>
        </w:rPr>
        <w:t>au nom du groupe des États arabes</w:t>
      </w:r>
      <w:r w:rsidR="00DA5C9B" w:rsidRPr="002C2948">
        <w:rPr>
          <w:bCs/>
          <w:lang w:val="fr-FR"/>
        </w:rPr>
        <w:t>, a demandé un report, déclarant que le scénario 4 est une option très sage car il permet de clarifier les choses immédiatement et permet au pays hôte de se préparer de manière adéquate. Tout comme l'AMNT avait dû être reporté</w:t>
      </w:r>
      <w:r w:rsidR="006D43AC" w:rsidRPr="002C2948">
        <w:rPr>
          <w:bCs/>
          <w:lang w:val="fr-FR"/>
        </w:rPr>
        <w:t>e</w:t>
      </w:r>
      <w:r w:rsidR="00DA5C9B" w:rsidRPr="002C2948">
        <w:rPr>
          <w:bCs/>
          <w:lang w:val="fr-FR"/>
        </w:rPr>
        <w:t xml:space="preserve">, la </w:t>
      </w:r>
      <w:r w:rsidR="00814561" w:rsidRPr="002C2948">
        <w:rPr>
          <w:bCs/>
          <w:lang w:val="fr-FR"/>
        </w:rPr>
        <w:t>CMDT-21</w:t>
      </w:r>
      <w:r w:rsidR="00DA5C9B" w:rsidRPr="002C2948">
        <w:rPr>
          <w:bCs/>
          <w:lang w:val="fr-FR"/>
        </w:rPr>
        <w:t xml:space="preserve"> devrait être reporté</w:t>
      </w:r>
      <w:r w:rsidR="006D43AC" w:rsidRPr="002C2948">
        <w:rPr>
          <w:bCs/>
          <w:lang w:val="fr-FR"/>
        </w:rPr>
        <w:t>e</w:t>
      </w:r>
      <w:r w:rsidR="00DA5C9B" w:rsidRPr="002C2948">
        <w:rPr>
          <w:bCs/>
          <w:lang w:val="fr-FR"/>
        </w:rPr>
        <w:t xml:space="preserve"> jusqu'à ce que la situation soit suffisamment sûre pour </w:t>
      </w:r>
      <w:r w:rsidR="006D43AC" w:rsidRPr="002C2948">
        <w:rPr>
          <w:bCs/>
          <w:lang w:val="fr-FR"/>
        </w:rPr>
        <w:t xml:space="preserve">pouvoir </w:t>
      </w:r>
      <w:r w:rsidR="00DA5C9B" w:rsidRPr="002C2948">
        <w:rPr>
          <w:bCs/>
          <w:lang w:val="fr-FR"/>
        </w:rPr>
        <w:t>la tenir.</w:t>
      </w:r>
    </w:p>
    <w:p w14:paraId="4F317E21" w14:textId="77777777" w:rsidR="00E2047A" w:rsidRPr="002C2948" w:rsidRDefault="00E2047A" w:rsidP="00814561">
      <w:pPr>
        <w:rPr>
          <w:b/>
          <w:lang w:val="fr-FR"/>
        </w:rPr>
      </w:pPr>
      <w:r w:rsidRPr="002C2948">
        <w:rPr>
          <w:b/>
          <w:lang w:val="fr-FR"/>
        </w:rPr>
        <w:br w:type="page"/>
      </w:r>
    </w:p>
    <w:p w14:paraId="4E182145" w14:textId="10740D5E" w:rsidR="00DA5C9B" w:rsidRPr="002C2948" w:rsidRDefault="0016393B" w:rsidP="00814561">
      <w:pPr>
        <w:rPr>
          <w:bCs/>
          <w:lang w:val="fr-FR"/>
        </w:rPr>
      </w:pPr>
      <w:r w:rsidRPr="002C2948">
        <w:rPr>
          <w:bCs/>
          <w:lang w:val="fr-FR"/>
        </w:rPr>
        <w:t>3.17</w:t>
      </w:r>
      <w:r w:rsidR="00F31F0D" w:rsidRPr="002C2948">
        <w:rPr>
          <w:b/>
          <w:lang w:val="fr-FR"/>
        </w:rPr>
        <w:tab/>
      </w:r>
      <w:r w:rsidR="00DA5C9B" w:rsidRPr="002C2948">
        <w:rPr>
          <w:lang w:val="fr-FR"/>
        </w:rPr>
        <w:t xml:space="preserve">Le délégué de la </w:t>
      </w:r>
      <w:r w:rsidR="00DA5C9B" w:rsidRPr="002C2948">
        <w:rPr>
          <w:b/>
          <w:bCs/>
          <w:lang w:val="fr-FR"/>
        </w:rPr>
        <w:t>Thaïlande</w:t>
      </w:r>
      <w:r w:rsidR="00DA5C9B" w:rsidRPr="002C2948">
        <w:rPr>
          <w:lang w:val="fr-FR"/>
        </w:rPr>
        <w:t xml:space="preserve">, appuyant le calendrier proposé par la </w:t>
      </w:r>
      <w:r w:rsidR="00DA5C9B" w:rsidRPr="002C2948">
        <w:rPr>
          <w:b/>
          <w:bCs/>
          <w:lang w:val="fr-FR"/>
        </w:rPr>
        <w:t>Roumanie</w:t>
      </w:r>
      <w:r w:rsidR="00DA5C9B" w:rsidRPr="002C2948">
        <w:rPr>
          <w:lang w:val="fr-FR"/>
        </w:rPr>
        <w:t xml:space="preserve"> pour une décision, a fait observer que, </w:t>
      </w:r>
      <w:r w:rsidR="00DF1281" w:rsidRPr="002C2948">
        <w:rPr>
          <w:lang w:val="fr-FR"/>
        </w:rPr>
        <w:t>vu</w:t>
      </w:r>
      <w:r w:rsidR="00DA5C9B" w:rsidRPr="002C2948">
        <w:rPr>
          <w:lang w:val="fr-FR"/>
        </w:rPr>
        <w:t xml:space="preserve"> la situation concernant le COVID-19, le scénario 4 semblait être la meilleure option, soulignant qu'il était très peu probable que chaque pays dispose des autorisations nécessaires pour </w:t>
      </w:r>
      <w:r w:rsidR="00DF1281" w:rsidRPr="002C2948">
        <w:rPr>
          <w:lang w:val="fr-FR"/>
        </w:rPr>
        <w:t>permettre les voyages</w:t>
      </w:r>
      <w:r w:rsidR="00DA5C9B" w:rsidRPr="002C2948">
        <w:rPr>
          <w:lang w:val="fr-FR"/>
        </w:rPr>
        <w:t xml:space="preserve"> en novembre 2021.</w:t>
      </w:r>
    </w:p>
    <w:p w14:paraId="1383CE8A" w14:textId="6C8F4EA0" w:rsidR="00DA5C9B" w:rsidRPr="002C2948" w:rsidRDefault="00F31F0D" w:rsidP="00814561">
      <w:pPr>
        <w:rPr>
          <w:lang w:val="fr-FR"/>
        </w:rPr>
      </w:pPr>
      <w:r w:rsidRPr="002C2948">
        <w:rPr>
          <w:lang w:val="fr-FR"/>
        </w:rPr>
        <w:t>3</w:t>
      </w:r>
      <w:r w:rsidR="0016393B" w:rsidRPr="002C2948">
        <w:rPr>
          <w:lang w:val="fr-FR"/>
        </w:rPr>
        <w:t>.18</w:t>
      </w:r>
      <w:r w:rsidRPr="002C2948">
        <w:rPr>
          <w:lang w:val="fr-FR"/>
        </w:rPr>
        <w:tab/>
      </w:r>
      <w:r w:rsidR="00DA5C9B" w:rsidRPr="002C2948">
        <w:rPr>
          <w:lang w:val="fr-FR"/>
        </w:rPr>
        <w:t xml:space="preserve">Plusieurs points de vue ont été exprimés concernant l'absolue nécessité de tenir une conférence </w:t>
      </w:r>
      <w:r w:rsidR="00DF1281" w:rsidRPr="002C2948">
        <w:rPr>
          <w:lang w:val="fr-FR"/>
        </w:rPr>
        <w:t>en présentiel</w:t>
      </w:r>
      <w:r w:rsidR="00DA5C9B" w:rsidRPr="002C2948">
        <w:rPr>
          <w:lang w:val="fr-FR"/>
        </w:rPr>
        <w:t xml:space="preserve">. Les délégations réussissent toujours mieux à s'entendre lorsque qu'elles n'ont pas de micro devant elle. Dans le cas d'une conférence </w:t>
      </w:r>
      <w:r w:rsidR="004D0DA8" w:rsidRPr="002C2948">
        <w:rPr>
          <w:lang w:val="fr-FR"/>
        </w:rPr>
        <w:t>dont on souhaite qu'elle porte sur</w:t>
      </w:r>
      <w:r w:rsidR="00DA5C9B" w:rsidRPr="002C2948">
        <w:rPr>
          <w:lang w:val="fr-FR"/>
        </w:rPr>
        <w:t xml:space="preserve"> l'inclusion, la manifestation doit se tenir sur place car,</w:t>
      </w:r>
      <w:r w:rsidR="00727E51" w:rsidRPr="002C2948">
        <w:rPr>
          <w:lang w:val="fr-FR"/>
        </w:rPr>
        <w:t xml:space="preserve"> </w:t>
      </w:r>
      <w:r w:rsidR="00E979BC">
        <w:rPr>
          <w:lang w:val="fr-FR"/>
        </w:rPr>
        <w:t>comme l'a montré la pandémie de </w:t>
      </w:r>
      <w:r w:rsidR="00727E51" w:rsidRPr="002C2948">
        <w:rPr>
          <w:lang w:val="fr-FR"/>
        </w:rPr>
        <w:t>COVID</w:t>
      </w:r>
      <w:r w:rsidR="00E2047A" w:rsidRPr="002C2948">
        <w:rPr>
          <w:lang w:val="fr-FR"/>
        </w:rPr>
        <w:noBreakHyphen/>
      </w:r>
      <w:r w:rsidR="00727E51" w:rsidRPr="002C2948">
        <w:rPr>
          <w:lang w:val="fr-FR"/>
        </w:rPr>
        <w:t>19, de nombreux pays ne dispose</w:t>
      </w:r>
      <w:r w:rsidR="004D0DA8" w:rsidRPr="002C2948">
        <w:rPr>
          <w:lang w:val="fr-FR"/>
        </w:rPr>
        <w:t>nt</w:t>
      </w:r>
      <w:r w:rsidR="00727E51" w:rsidRPr="002C2948">
        <w:rPr>
          <w:lang w:val="fr-FR"/>
        </w:rPr>
        <w:t xml:space="preserve"> toujours pas d'une véritable connectivité Internet efficace. Se pose </w:t>
      </w:r>
      <w:r w:rsidR="004D0DA8" w:rsidRPr="002C2948">
        <w:rPr>
          <w:lang w:val="fr-FR"/>
        </w:rPr>
        <w:t>également</w:t>
      </w:r>
      <w:r w:rsidR="00727E51" w:rsidRPr="002C2948">
        <w:rPr>
          <w:lang w:val="fr-FR"/>
        </w:rPr>
        <w:t xml:space="preserve"> le problème de la qualité des connexions, qui est un défi pour la gestion d'une conférence virtuelle et pourrait avoir des répercussions sur la prise de décision</w:t>
      </w:r>
      <w:r w:rsidR="004D0DA8" w:rsidRPr="002C2948">
        <w:rPr>
          <w:lang w:val="fr-FR"/>
        </w:rPr>
        <w:t>s</w:t>
      </w:r>
      <w:r w:rsidR="00727E51" w:rsidRPr="002C2948">
        <w:rPr>
          <w:lang w:val="fr-FR"/>
        </w:rPr>
        <w:t xml:space="preserve">. </w:t>
      </w:r>
      <w:r w:rsidR="004D0DA8" w:rsidRPr="002C2948">
        <w:rPr>
          <w:lang w:val="fr-FR"/>
        </w:rPr>
        <w:t>En ce qui concerne les</w:t>
      </w:r>
      <w:r w:rsidR="00727E51" w:rsidRPr="002C2948">
        <w:rPr>
          <w:lang w:val="fr-FR"/>
        </w:rPr>
        <w:t xml:space="preserve"> fuseaux horaires, si l'on prend pour modèle les réunions préparatoires, les séances sont limitées à trois heures par jour, alors que les conférences traditionnelles travaillent souvent plus de 12 heures par jour. Il est ainsi impossible sur le plan pratique de remplacer une conférence physique par une conférence virtuelle, avis exprimé par le délégué du </w:t>
      </w:r>
      <w:r w:rsidR="00727E51" w:rsidRPr="002C2948">
        <w:rPr>
          <w:b/>
          <w:bCs/>
          <w:lang w:val="fr-FR"/>
        </w:rPr>
        <w:t>Ghana</w:t>
      </w:r>
      <w:r w:rsidR="00727E51" w:rsidRPr="002C2948">
        <w:rPr>
          <w:lang w:val="fr-FR"/>
        </w:rPr>
        <w:t xml:space="preserve">, ainsi que le délégué du </w:t>
      </w:r>
      <w:r w:rsidR="00727E51" w:rsidRPr="002C2948">
        <w:rPr>
          <w:b/>
          <w:bCs/>
          <w:lang w:val="fr-FR"/>
        </w:rPr>
        <w:t>Koweït</w:t>
      </w:r>
      <w:r w:rsidR="00727E51" w:rsidRPr="002C2948">
        <w:rPr>
          <w:lang w:val="fr-FR"/>
        </w:rPr>
        <w:t xml:space="preserve"> qui a ajouté que lors de la conférence tenue à Buenos Aires, les délégués avaient travaillé toute la nuit pour examiner les </w:t>
      </w:r>
      <w:r w:rsidR="004D0DA8" w:rsidRPr="002C2948">
        <w:rPr>
          <w:lang w:val="fr-FR"/>
        </w:rPr>
        <w:t>R</w:t>
      </w:r>
      <w:r w:rsidR="00727E51" w:rsidRPr="002C2948">
        <w:rPr>
          <w:lang w:val="fr-FR"/>
        </w:rPr>
        <w:t>ésolutions et prendre des décisions.</w:t>
      </w:r>
    </w:p>
    <w:p w14:paraId="011F947E" w14:textId="586B9B8A" w:rsidR="00314225" w:rsidRPr="002C2948" w:rsidRDefault="0016393B" w:rsidP="00814561">
      <w:pPr>
        <w:rPr>
          <w:bCs/>
          <w:lang w:val="fr-FR"/>
        </w:rPr>
      </w:pPr>
      <w:r w:rsidRPr="002C2948">
        <w:rPr>
          <w:bCs/>
          <w:lang w:val="fr-FR"/>
        </w:rPr>
        <w:t>3.19</w:t>
      </w:r>
      <w:r w:rsidR="00F31F0D" w:rsidRPr="002C2948">
        <w:rPr>
          <w:b/>
          <w:lang w:val="fr-FR"/>
        </w:rPr>
        <w:tab/>
      </w:r>
      <w:r w:rsidR="00314225" w:rsidRPr="002C2948">
        <w:rPr>
          <w:bCs/>
          <w:lang w:val="fr-FR"/>
        </w:rPr>
        <w:t>Le d</w:t>
      </w:r>
      <w:r w:rsidR="00314225" w:rsidRPr="002C2948">
        <w:rPr>
          <w:lang w:val="fr-FR"/>
        </w:rPr>
        <w:t xml:space="preserve">élégué des </w:t>
      </w:r>
      <w:r w:rsidR="00314225" w:rsidRPr="002C2948">
        <w:rPr>
          <w:b/>
          <w:bCs/>
          <w:lang w:val="fr-FR"/>
        </w:rPr>
        <w:t>États-Unis d'Amérique</w:t>
      </w:r>
      <w:r w:rsidR="00314225" w:rsidRPr="002C2948">
        <w:rPr>
          <w:lang w:val="fr-FR"/>
        </w:rPr>
        <w:t xml:space="preserve"> a souligné qu'avec plusieurs mois de travaux préparatoires en vue de la </w:t>
      </w:r>
      <w:r w:rsidR="00814561" w:rsidRPr="002C2948">
        <w:rPr>
          <w:lang w:val="fr-FR"/>
        </w:rPr>
        <w:t>CMDT-21</w:t>
      </w:r>
      <w:r w:rsidR="00314225" w:rsidRPr="002C2948">
        <w:rPr>
          <w:lang w:val="fr-FR"/>
        </w:rPr>
        <w:t xml:space="preserve">, lors desquels l'accent avait été mis sur les partenariats et la collaboration et sur la volonté de tenir une conférence axée sur le développement, une manifestation </w:t>
      </w:r>
      <w:r w:rsidR="00D45444" w:rsidRPr="002C2948">
        <w:rPr>
          <w:lang w:val="fr-FR"/>
        </w:rPr>
        <w:t>en présentiel</w:t>
      </w:r>
      <w:r w:rsidR="00314225" w:rsidRPr="002C2948">
        <w:rPr>
          <w:lang w:val="fr-FR"/>
        </w:rPr>
        <w:t xml:space="preserve"> est le meilleur format pour rassembler des personnes du monde entier pour réfléchir aux problèmes auxquels </w:t>
      </w:r>
      <w:r w:rsidR="00D45444" w:rsidRPr="002C2948">
        <w:rPr>
          <w:lang w:val="fr-FR"/>
        </w:rPr>
        <w:t>leurs pays</w:t>
      </w:r>
      <w:r w:rsidR="00314225" w:rsidRPr="002C2948">
        <w:rPr>
          <w:lang w:val="fr-FR"/>
        </w:rPr>
        <w:t xml:space="preserve"> se heurte</w:t>
      </w:r>
      <w:r w:rsidR="00D45444" w:rsidRPr="002C2948">
        <w:rPr>
          <w:lang w:val="fr-FR"/>
        </w:rPr>
        <w:t>nt</w:t>
      </w:r>
      <w:r w:rsidR="00314225" w:rsidRPr="002C2948">
        <w:rPr>
          <w:lang w:val="fr-FR"/>
        </w:rPr>
        <w:t xml:space="preserve"> dans le domaine du développement des TIC.</w:t>
      </w:r>
    </w:p>
    <w:p w14:paraId="58EFE2B9" w14:textId="499BD92F" w:rsidR="00A934B5" w:rsidRPr="002C2948" w:rsidRDefault="001364EB" w:rsidP="00814561">
      <w:pPr>
        <w:tabs>
          <w:tab w:val="left" w:pos="7920"/>
        </w:tabs>
        <w:spacing w:before="60" w:after="60"/>
        <w:ind w:right="-40"/>
        <w:rPr>
          <w:bCs/>
          <w:lang w:val="fr-FR"/>
        </w:rPr>
      </w:pPr>
      <w:r w:rsidRPr="002C2948">
        <w:rPr>
          <w:rFonts w:asciiTheme="minorHAnsi" w:hAnsiTheme="minorHAnsi" w:cstheme="minorHAnsi"/>
          <w:lang w:val="fr-FR"/>
        </w:rPr>
        <w:t>3.20</w:t>
      </w:r>
      <w:r w:rsidR="00E2047A" w:rsidRPr="002C2948">
        <w:rPr>
          <w:rFonts w:asciiTheme="minorHAnsi" w:hAnsiTheme="minorHAnsi" w:cstheme="minorHAnsi"/>
          <w:lang w:val="fr-FR"/>
        </w:rPr>
        <w:tab/>
      </w:r>
      <w:r w:rsidR="00A934B5" w:rsidRPr="002C2948">
        <w:rPr>
          <w:bCs/>
          <w:lang w:val="fr-FR"/>
        </w:rPr>
        <w:t>Le d</w:t>
      </w:r>
      <w:r w:rsidR="00A934B5" w:rsidRPr="002C2948">
        <w:rPr>
          <w:lang w:val="fr-FR"/>
        </w:rPr>
        <w:t xml:space="preserve">élégué la </w:t>
      </w:r>
      <w:r w:rsidR="00A934B5" w:rsidRPr="002C2948">
        <w:rPr>
          <w:b/>
          <w:lang w:val="fr-FR"/>
        </w:rPr>
        <w:t>Fédération de Russie</w:t>
      </w:r>
      <w:r w:rsidR="00A934B5" w:rsidRPr="002C2948">
        <w:rPr>
          <w:lang w:val="fr-FR"/>
        </w:rPr>
        <w:t xml:space="preserve"> a insisté sur le fait que la CMDT ne peut avoir lieu qu'en présen</w:t>
      </w:r>
      <w:r w:rsidR="00D45444" w:rsidRPr="002C2948">
        <w:rPr>
          <w:lang w:val="fr-FR"/>
        </w:rPr>
        <w:t>tiel</w:t>
      </w:r>
      <w:r w:rsidR="00A934B5" w:rsidRPr="002C2948">
        <w:rPr>
          <w:lang w:val="fr-FR"/>
        </w:rPr>
        <w:t xml:space="preserve"> et a demandé au Gouvernement de l'Éthiopie et au secrétariat du BDT d'étudier toutes les possibilités pour tenir la conférence en toute sécurité, afin que tous les membres puissent y participer activement.</w:t>
      </w:r>
      <w:r w:rsidR="00D3218F" w:rsidRPr="002C2948">
        <w:rPr>
          <w:lang w:val="fr-FR"/>
        </w:rPr>
        <w:t xml:space="preserve"> Le délégué a demandé qu'une </w:t>
      </w:r>
      <w:r w:rsidR="00D3218F" w:rsidRPr="002C2948">
        <w:rPr>
          <w:b/>
          <w:bCs/>
          <w:lang w:val="fr-FR"/>
        </w:rPr>
        <w:t>décision soit prise d'ici à mai 2021 ou, au plus tard, juin 2021, à la consultation virtuelle des Conseillers</w:t>
      </w:r>
      <w:r w:rsidR="00D3218F" w:rsidRPr="002C2948">
        <w:rPr>
          <w:lang w:val="fr-FR"/>
        </w:rPr>
        <w:t>.</w:t>
      </w:r>
    </w:p>
    <w:p w14:paraId="24B1B7F1" w14:textId="7497D1A4" w:rsidR="00F07E07" w:rsidRPr="002C2948" w:rsidRDefault="001364EB" w:rsidP="00814561">
      <w:pPr>
        <w:rPr>
          <w:lang w:val="fr-FR"/>
        </w:rPr>
      </w:pPr>
      <w:r w:rsidRPr="002C2948">
        <w:rPr>
          <w:bCs/>
          <w:lang w:val="fr-FR"/>
        </w:rPr>
        <w:t>3.21</w:t>
      </w:r>
      <w:r w:rsidRPr="002C2948">
        <w:rPr>
          <w:b/>
          <w:lang w:val="fr-FR"/>
        </w:rPr>
        <w:tab/>
      </w:r>
      <w:r w:rsidR="00F07E07" w:rsidRPr="002C2948">
        <w:rPr>
          <w:bCs/>
          <w:lang w:val="fr-FR"/>
        </w:rPr>
        <w:t>Le d</w:t>
      </w:r>
      <w:r w:rsidR="00F07E07" w:rsidRPr="002C2948">
        <w:rPr>
          <w:lang w:val="fr-FR"/>
        </w:rPr>
        <w:t>élégué du</w:t>
      </w:r>
      <w:r w:rsidRPr="002C2948">
        <w:rPr>
          <w:b/>
          <w:lang w:val="fr-FR"/>
        </w:rPr>
        <w:t xml:space="preserve"> Samoa</w:t>
      </w:r>
      <w:r w:rsidRPr="002C2948">
        <w:rPr>
          <w:lang w:val="fr-FR"/>
        </w:rPr>
        <w:t xml:space="preserve"> </w:t>
      </w:r>
      <w:r w:rsidR="00F07E07" w:rsidRPr="002C2948">
        <w:rPr>
          <w:lang w:val="fr-FR"/>
        </w:rPr>
        <w:t xml:space="preserve">a insisté sur le fait que les travaux de la conférence doivent se dérouler dans un environnement physique sûr et sécurisé et a demandé qu'une décision définitive soit prise en </w:t>
      </w:r>
      <w:r w:rsidR="000B596D" w:rsidRPr="002C2948">
        <w:rPr>
          <w:lang w:val="fr-FR"/>
        </w:rPr>
        <w:t>juin</w:t>
      </w:r>
      <w:r w:rsidR="00F07E07" w:rsidRPr="002C2948">
        <w:rPr>
          <w:lang w:val="fr-FR"/>
        </w:rPr>
        <w:t xml:space="preserve"> 2021, afin de savoir si la </w:t>
      </w:r>
      <w:r w:rsidR="00814561" w:rsidRPr="002C2948">
        <w:rPr>
          <w:lang w:val="fr-FR"/>
        </w:rPr>
        <w:t>CMDT-21</w:t>
      </w:r>
      <w:r w:rsidR="00F07E07" w:rsidRPr="002C2948">
        <w:rPr>
          <w:lang w:val="fr-FR"/>
        </w:rPr>
        <w:t xml:space="preserve"> aurait lieu comme prévu</w:t>
      </w:r>
      <w:r w:rsidR="000B596D" w:rsidRPr="002C2948">
        <w:rPr>
          <w:lang w:val="fr-FR"/>
        </w:rPr>
        <w:t xml:space="preserve"> ou</w:t>
      </w:r>
      <w:r w:rsidR="00F07E07" w:rsidRPr="002C2948">
        <w:rPr>
          <w:lang w:val="fr-FR"/>
        </w:rPr>
        <w:t xml:space="preserve"> si elle serait reportée à 2022.</w:t>
      </w:r>
    </w:p>
    <w:p w14:paraId="45EF669B" w14:textId="19593056" w:rsidR="00F07E07" w:rsidRPr="002C2948" w:rsidRDefault="001364EB" w:rsidP="00814561">
      <w:pPr>
        <w:rPr>
          <w:lang w:val="fr-FR"/>
        </w:rPr>
      </w:pPr>
      <w:r w:rsidRPr="002C2948">
        <w:rPr>
          <w:bCs/>
          <w:lang w:val="fr-FR"/>
        </w:rPr>
        <w:t>3.22</w:t>
      </w:r>
      <w:r w:rsidRPr="002C2948">
        <w:rPr>
          <w:b/>
          <w:lang w:val="fr-FR"/>
        </w:rPr>
        <w:tab/>
      </w:r>
      <w:r w:rsidR="00F07E07" w:rsidRPr="002C2948">
        <w:rPr>
          <w:bCs/>
          <w:lang w:val="fr-FR"/>
        </w:rPr>
        <w:t>Le d</w:t>
      </w:r>
      <w:r w:rsidR="00F07E07" w:rsidRPr="002C2948">
        <w:rPr>
          <w:lang w:val="fr-FR"/>
        </w:rPr>
        <w:t>élégué de l'</w:t>
      </w:r>
      <w:r w:rsidRPr="002C2948">
        <w:rPr>
          <w:b/>
          <w:lang w:val="fr-FR"/>
        </w:rPr>
        <w:t>Indon</w:t>
      </w:r>
      <w:r w:rsidR="00F07E07" w:rsidRPr="002C2948">
        <w:rPr>
          <w:b/>
          <w:lang w:val="fr-FR"/>
        </w:rPr>
        <w:t>ésie</w:t>
      </w:r>
      <w:r w:rsidRPr="002C2948">
        <w:rPr>
          <w:lang w:val="fr-FR"/>
        </w:rPr>
        <w:t>,</w:t>
      </w:r>
      <w:r w:rsidR="00F07E07" w:rsidRPr="002C2948">
        <w:rPr>
          <w:lang w:val="fr-FR"/>
        </w:rPr>
        <w:t xml:space="preserve"> demandant qu'une décision soit prise concernant les scénarios d'ici à la réunion du GCDT (24</w:t>
      </w:r>
      <w:r w:rsidR="00E2047A" w:rsidRPr="002C2948">
        <w:rPr>
          <w:lang w:val="fr-FR"/>
        </w:rPr>
        <w:t>-</w:t>
      </w:r>
      <w:r w:rsidR="00F07E07" w:rsidRPr="002C2948">
        <w:rPr>
          <w:lang w:val="fr-FR"/>
        </w:rPr>
        <w:t xml:space="preserve">28 </w:t>
      </w:r>
      <w:r w:rsidR="00E2047A" w:rsidRPr="002C2948">
        <w:rPr>
          <w:lang w:val="fr-FR"/>
        </w:rPr>
        <w:t>m</w:t>
      </w:r>
      <w:r w:rsidR="00F07E07" w:rsidRPr="002C2948">
        <w:rPr>
          <w:lang w:val="fr-FR"/>
        </w:rPr>
        <w:t>a</w:t>
      </w:r>
      <w:r w:rsidR="00E2047A" w:rsidRPr="002C2948">
        <w:rPr>
          <w:lang w:val="fr-FR"/>
        </w:rPr>
        <w:t>i</w:t>
      </w:r>
      <w:r w:rsidR="00F07E07" w:rsidRPr="002C2948">
        <w:rPr>
          <w:lang w:val="fr-FR"/>
        </w:rPr>
        <w:t xml:space="preserve"> 2021), a souligné la nécessité que le Département de la sûreté et de la sécurité des Nations Unies (UNDSS) </w:t>
      </w:r>
      <w:r w:rsidR="000B596D" w:rsidRPr="002C2948">
        <w:rPr>
          <w:lang w:val="fr-FR"/>
        </w:rPr>
        <w:t>procède à</w:t>
      </w:r>
      <w:r w:rsidR="00F07E07" w:rsidRPr="002C2948">
        <w:rPr>
          <w:lang w:val="fr-FR"/>
        </w:rPr>
        <w:t xml:space="preserve"> une évaluation approfondie de la situation sur le plan de la sûreté</w:t>
      </w:r>
      <w:r w:rsidR="000B596D" w:rsidRPr="002C2948">
        <w:rPr>
          <w:lang w:val="fr-FR"/>
        </w:rPr>
        <w:t xml:space="preserve"> et</w:t>
      </w:r>
      <w:r w:rsidR="00F07E07" w:rsidRPr="002C2948">
        <w:rPr>
          <w:lang w:val="fr-FR"/>
        </w:rPr>
        <w:t xml:space="preserve"> de la sécurité, sachant que la crise sanitaire mondiale ne faiblit pas. Bien qu'il souhaite qu'il soit possible de se réunir physiquement, il est tout aussi important de garantir la sûreté et </w:t>
      </w:r>
      <w:r w:rsidR="000B596D" w:rsidRPr="002C2948">
        <w:rPr>
          <w:lang w:val="fr-FR"/>
        </w:rPr>
        <w:t>protéger la</w:t>
      </w:r>
      <w:r w:rsidR="00F07E07" w:rsidRPr="002C2948">
        <w:rPr>
          <w:lang w:val="fr-FR"/>
        </w:rPr>
        <w:t xml:space="preserve"> santé des participants et </w:t>
      </w:r>
      <w:r w:rsidR="000B596D" w:rsidRPr="002C2948">
        <w:rPr>
          <w:lang w:val="fr-FR"/>
        </w:rPr>
        <w:t xml:space="preserve">veiller à ce </w:t>
      </w:r>
      <w:r w:rsidR="00F07E07" w:rsidRPr="002C2948">
        <w:rPr>
          <w:lang w:val="fr-FR"/>
        </w:rPr>
        <w:t xml:space="preserve">que l'entrée en Éthiopie de délégués étrangers </w:t>
      </w:r>
      <w:r w:rsidR="000B596D" w:rsidRPr="002C2948">
        <w:rPr>
          <w:lang w:val="fr-FR"/>
        </w:rPr>
        <w:t>n'aggrave pas</w:t>
      </w:r>
      <w:r w:rsidR="00F07E07" w:rsidRPr="002C2948">
        <w:rPr>
          <w:lang w:val="fr-FR"/>
        </w:rPr>
        <w:t xml:space="preserve"> la </w:t>
      </w:r>
      <w:r w:rsidR="000B596D" w:rsidRPr="002C2948">
        <w:rPr>
          <w:lang w:val="fr-FR"/>
        </w:rPr>
        <w:t>situation sanitaire dans le pays</w:t>
      </w:r>
      <w:r w:rsidR="00F07E07" w:rsidRPr="002C2948">
        <w:rPr>
          <w:lang w:val="fr-FR"/>
        </w:rPr>
        <w:t>.</w:t>
      </w:r>
    </w:p>
    <w:p w14:paraId="554ECE38" w14:textId="0DA01F86" w:rsidR="00F07E07" w:rsidRPr="002C2948" w:rsidRDefault="001364EB" w:rsidP="00814561">
      <w:pPr>
        <w:rPr>
          <w:b/>
          <w:bCs/>
          <w:lang w:val="fr-FR"/>
        </w:rPr>
      </w:pPr>
      <w:r w:rsidRPr="002C2948">
        <w:rPr>
          <w:bCs/>
          <w:lang w:val="fr-FR"/>
        </w:rPr>
        <w:t>3.23</w:t>
      </w:r>
      <w:r w:rsidRPr="002C2948">
        <w:rPr>
          <w:b/>
          <w:lang w:val="fr-FR"/>
        </w:rPr>
        <w:tab/>
      </w:r>
      <w:r w:rsidR="00F07E07" w:rsidRPr="002C2948">
        <w:rPr>
          <w:b/>
          <w:lang w:val="fr-FR"/>
        </w:rPr>
        <w:t>Suite à donner</w:t>
      </w:r>
      <w:r w:rsidRPr="00E979BC">
        <w:rPr>
          <w:lang w:val="fr-FR"/>
        </w:rPr>
        <w:t>:</w:t>
      </w:r>
      <w:r w:rsidRPr="002C2948">
        <w:rPr>
          <w:b/>
          <w:lang w:val="fr-FR"/>
        </w:rPr>
        <w:t xml:space="preserve"> </w:t>
      </w:r>
      <w:r w:rsidR="00F07E07" w:rsidRPr="002C2948">
        <w:rPr>
          <w:lang w:val="fr-FR"/>
        </w:rPr>
        <w:t xml:space="preserve">Le secrétariat devrait </w:t>
      </w:r>
      <w:r w:rsidR="00F07E07" w:rsidRPr="002C2948">
        <w:rPr>
          <w:b/>
          <w:bCs/>
          <w:lang w:val="fr-FR"/>
        </w:rPr>
        <w:t>se pencher sur la tenue de la conférence en toute sécurité et proposer une décision d'ici au mois de mai afin que le Conseil prenne une décision en juin 2021</w:t>
      </w:r>
      <w:r w:rsidR="00F07E07" w:rsidRPr="00E979BC">
        <w:rPr>
          <w:bCs/>
          <w:lang w:val="fr-FR"/>
        </w:rPr>
        <w:t>.</w:t>
      </w:r>
    </w:p>
    <w:p w14:paraId="18292F39" w14:textId="52E607B5" w:rsidR="001364EB" w:rsidRPr="002C2948" w:rsidRDefault="001364EB" w:rsidP="00814561">
      <w:pPr>
        <w:pStyle w:val="Heading1"/>
        <w:rPr>
          <w:lang w:val="fr-FR"/>
        </w:rPr>
      </w:pPr>
      <w:r w:rsidRPr="002C2948">
        <w:rPr>
          <w:lang w:val="fr-FR"/>
        </w:rPr>
        <w:t>4</w:t>
      </w:r>
      <w:r w:rsidRPr="002C2948">
        <w:rPr>
          <w:lang w:val="fr-FR"/>
        </w:rPr>
        <w:tab/>
      </w:r>
      <w:r w:rsidR="00267EE3" w:rsidRPr="002C2948">
        <w:rPr>
          <w:lang w:val="fr-FR"/>
        </w:rPr>
        <w:t>Point sur les activités préparatoires des organisations régionales de télécommunication</w:t>
      </w:r>
    </w:p>
    <w:p w14:paraId="30C9E999" w14:textId="1AE40D40" w:rsidR="00267EE3" w:rsidRPr="002C2948" w:rsidRDefault="001364EB" w:rsidP="00814561">
      <w:pPr>
        <w:rPr>
          <w:lang w:val="fr-FR"/>
        </w:rPr>
      </w:pPr>
      <w:r w:rsidRPr="002C2948">
        <w:rPr>
          <w:lang w:val="fr-FR"/>
        </w:rPr>
        <w:t>4.1</w:t>
      </w:r>
      <w:r w:rsidRPr="002C2948">
        <w:rPr>
          <w:lang w:val="fr-FR"/>
        </w:rPr>
        <w:tab/>
      </w:r>
      <w:r w:rsidR="00267EE3" w:rsidRPr="002C2948">
        <w:rPr>
          <w:lang w:val="fr-FR"/>
        </w:rPr>
        <w:t>Un représentant de l'</w:t>
      </w:r>
      <w:r w:rsidR="00267EE3" w:rsidRPr="002C2948">
        <w:rPr>
          <w:b/>
          <w:bCs/>
          <w:lang w:val="fr-FR"/>
        </w:rPr>
        <w:t>Union africaine des télécommunications (UAT)</w:t>
      </w:r>
      <w:r w:rsidR="00267EE3" w:rsidRPr="002C2948">
        <w:rPr>
          <w:lang w:val="fr-FR"/>
        </w:rPr>
        <w:t xml:space="preserve"> du Zimbabwe a présenté le</w:t>
      </w:r>
      <w:r w:rsidRPr="002C2948">
        <w:rPr>
          <w:lang w:val="fr-FR"/>
        </w:rPr>
        <w:t xml:space="preserve"> </w:t>
      </w:r>
      <w:hyperlink r:id="rId13" w:history="1">
        <w:r w:rsidRPr="002C2948">
          <w:rPr>
            <w:rStyle w:val="Hyperlink"/>
            <w:rFonts w:asciiTheme="minorHAnsi" w:hAnsiTheme="minorHAnsi" w:cstheme="minorHAnsi"/>
            <w:lang w:val="fr-FR"/>
          </w:rPr>
          <w:t>Document 29</w:t>
        </w:r>
      </w:hyperlink>
      <w:r w:rsidRPr="002C2948">
        <w:rPr>
          <w:lang w:val="fr-FR"/>
        </w:rPr>
        <w:t xml:space="preserve"> </w:t>
      </w:r>
      <w:r w:rsidR="00267EE3" w:rsidRPr="002C2948">
        <w:rPr>
          <w:lang w:val="fr-FR"/>
        </w:rPr>
        <w:t xml:space="preserve">qui contient un résumé des activités préparatoires menées par l'UAT. Lors d'une réunion de consultation tenue le 11 février 2021, l'UAT a décidé de son processus préparatoire en vue de la </w:t>
      </w:r>
      <w:r w:rsidR="00814561" w:rsidRPr="002C2948">
        <w:rPr>
          <w:lang w:val="fr-FR"/>
        </w:rPr>
        <w:t>CMDT-21</w:t>
      </w:r>
      <w:r w:rsidR="00267EE3" w:rsidRPr="002C2948">
        <w:rPr>
          <w:lang w:val="fr-FR"/>
        </w:rPr>
        <w:t xml:space="preserve"> et créé plusieurs groupes de travail pour mener les activités correspondantes.</w:t>
      </w:r>
    </w:p>
    <w:p w14:paraId="71C76B09" w14:textId="71F864CE" w:rsidR="00267EE3" w:rsidRPr="002C2948" w:rsidRDefault="001364EB" w:rsidP="00814561">
      <w:pPr>
        <w:spacing w:after="240"/>
        <w:rPr>
          <w:lang w:val="fr-FR"/>
        </w:rPr>
      </w:pPr>
      <w:r w:rsidRPr="002C2948">
        <w:rPr>
          <w:lang w:val="fr-FR"/>
        </w:rPr>
        <w:t>4.2</w:t>
      </w:r>
      <w:r w:rsidRPr="002C2948">
        <w:rPr>
          <w:lang w:val="fr-FR"/>
        </w:rPr>
        <w:tab/>
      </w:r>
      <w:r w:rsidR="00267EE3" w:rsidRPr="002C2948">
        <w:rPr>
          <w:lang w:val="fr-FR"/>
        </w:rPr>
        <w:t xml:space="preserve">L'UAT est convenue des modalités d'adoption </w:t>
      </w:r>
      <w:r w:rsidR="00BD24C8" w:rsidRPr="002C2948">
        <w:rPr>
          <w:lang w:val="fr-FR"/>
        </w:rPr>
        <w:t xml:space="preserve">des </w:t>
      </w:r>
      <w:r w:rsidR="00267EE3" w:rsidRPr="002C2948">
        <w:rPr>
          <w:lang w:val="fr-FR"/>
        </w:rPr>
        <w:t xml:space="preserve">contributions et </w:t>
      </w:r>
      <w:r w:rsidR="00BD24C8" w:rsidRPr="002C2948">
        <w:rPr>
          <w:lang w:val="fr-FR"/>
        </w:rPr>
        <w:t xml:space="preserve">des </w:t>
      </w:r>
      <w:r w:rsidR="00267EE3" w:rsidRPr="002C2948">
        <w:rPr>
          <w:lang w:val="fr-FR"/>
        </w:rPr>
        <w:t xml:space="preserve">propositions pour la CMDT. Une contribution est définie comme étant </w:t>
      </w:r>
      <w:r w:rsidR="00814561" w:rsidRPr="002C2948">
        <w:rPr>
          <w:lang w:val="fr-FR"/>
        </w:rPr>
        <w:t>"</w:t>
      </w:r>
      <w:r w:rsidR="00267EE3" w:rsidRPr="002C2948">
        <w:rPr>
          <w:lang w:val="fr-FR"/>
        </w:rPr>
        <w:t xml:space="preserve">une proposition qu'un État Membre de l'UAT ou une organisation du continent présente aux réunions préparatoires africaines pour qu'elle soit examinée plus avant et approuvée. Pour devenir une proposition africaine commune (AFCP), une proposition doit être approuvée par au moins 15 États Membres de l'UAT. Deux groupes de travail ont été créés pour élaborer et regrouper </w:t>
      </w:r>
      <w:r w:rsidR="00BD24C8" w:rsidRPr="002C2948">
        <w:rPr>
          <w:lang w:val="fr-FR"/>
        </w:rPr>
        <w:t>l</w:t>
      </w:r>
      <w:r w:rsidR="00267EE3" w:rsidRPr="002C2948">
        <w:rPr>
          <w:lang w:val="fr-FR"/>
        </w:rPr>
        <w:t xml:space="preserve">es propositions africaines communes et </w:t>
      </w:r>
      <w:r w:rsidR="00BD24C8" w:rsidRPr="002C2948">
        <w:rPr>
          <w:lang w:val="fr-FR"/>
        </w:rPr>
        <w:t>l</w:t>
      </w:r>
      <w:r w:rsidR="00267EE3" w:rsidRPr="002C2948">
        <w:rPr>
          <w:lang w:val="fr-FR"/>
        </w:rPr>
        <w:t xml:space="preserve">es contributions portant sur les points de l'ordre du jour de la </w:t>
      </w:r>
      <w:r w:rsidR="00814561" w:rsidRPr="002C2948">
        <w:rPr>
          <w:lang w:val="fr-FR"/>
        </w:rPr>
        <w:t>CMDT-21</w:t>
      </w:r>
      <w:r w:rsidR="00267EE3" w:rsidRPr="002C2948">
        <w:rPr>
          <w:lang w:val="fr-FR"/>
        </w:rPr>
        <w:t xml:space="preserve"> (voir encadré).</w:t>
      </w:r>
    </w:p>
    <w:tbl>
      <w:tblPr>
        <w:tblW w:w="5000" w:type="pct"/>
        <w:tblCellMar>
          <w:left w:w="0" w:type="dxa"/>
          <w:right w:w="0" w:type="dxa"/>
        </w:tblCellMar>
        <w:tblLook w:val="04A0" w:firstRow="1" w:lastRow="0" w:firstColumn="1" w:lastColumn="0" w:noHBand="0" w:noVBand="1"/>
      </w:tblPr>
      <w:tblGrid>
        <w:gridCol w:w="1807"/>
        <w:gridCol w:w="3483"/>
        <w:gridCol w:w="4331"/>
      </w:tblGrid>
      <w:tr w:rsidR="001364EB" w:rsidRPr="002C2948" w14:paraId="357A9166" w14:textId="77777777" w:rsidTr="00E668C9">
        <w:tc>
          <w:tcPr>
            <w:tcW w:w="1807" w:type="dxa"/>
            <w:tcBorders>
              <w:top w:val="single" w:sz="8" w:space="0" w:color="FFFFFF"/>
              <w:left w:val="single" w:sz="8" w:space="0" w:color="FFFFFF"/>
              <w:bottom w:val="single" w:sz="8" w:space="0" w:color="FFFFFF"/>
              <w:right w:val="nil"/>
            </w:tcBorders>
            <w:shd w:val="clear" w:color="auto" w:fill="5B9BD5"/>
            <w:tcMar>
              <w:top w:w="0" w:type="dxa"/>
              <w:left w:w="108" w:type="dxa"/>
              <w:bottom w:w="0" w:type="dxa"/>
              <w:right w:w="108" w:type="dxa"/>
            </w:tcMar>
            <w:hideMark/>
          </w:tcPr>
          <w:p w14:paraId="1A4A0AA0" w14:textId="77777777" w:rsidR="001364EB" w:rsidRPr="002C2948" w:rsidRDefault="001364EB" w:rsidP="00814561">
            <w:pPr>
              <w:pStyle w:val="Tablehead"/>
              <w:jc w:val="left"/>
              <w:rPr>
                <w:color w:val="FFFFFF" w:themeColor="background1"/>
                <w:lang w:val="fr-FR"/>
              </w:rPr>
            </w:pPr>
          </w:p>
        </w:tc>
        <w:tc>
          <w:tcPr>
            <w:tcW w:w="3483" w:type="dxa"/>
            <w:tcBorders>
              <w:top w:val="single" w:sz="8" w:space="0" w:color="FFFFFF"/>
              <w:left w:val="nil"/>
              <w:bottom w:val="single" w:sz="8" w:space="0" w:color="FFFFFF"/>
              <w:right w:val="nil"/>
            </w:tcBorders>
            <w:shd w:val="clear" w:color="auto" w:fill="5B9BD5"/>
            <w:tcMar>
              <w:top w:w="0" w:type="dxa"/>
              <w:left w:w="108" w:type="dxa"/>
              <w:bottom w:w="0" w:type="dxa"/>
              <w:right w:w="108" w:type="dxa"/>
            </w:tcMar>
          </w:tcPr>
          <w:p w14:paraId="258651ED" w14:textId="00AE5D07" w:rsidR="001364EB" w:rsidRPr="002C2948" w:rsidRDefault="00267EE3" w:rsidP="00E979BC">
            <w:pPr>
              <w:pStyle w:val="Tablehead"/>
              <w:jc w:val="left"/>
              <w:rPr>
                <w:color w:val="FFFFFF" w:themeColor="background1"/>
                <w:lang w:val="fr-FR"/>
              </w:rPr>
            </w:pPr>
            <w:r w:rsidRPr="002C2948">
              <w:rPr>
                <w:color w:val="FFFFFF" w:themeColor="background1"/>
                <w:lang w:val="fr-FR"/>
              </w:rPr>
              <w:t>Groupe de travail</w:t>
            </w:r>
            <w:r w:rsidR="001364EB" w:rsidRPr="002C2948">
              <w:rPr>
                <w:color w:val="FFFFFF" w:themeColor="background1"/>
                <w:lang w:val="fr-FR"/>
              </w:rPr>
              <w:t xml:space="preserve"> 1</w:t>
            </w:r>
          </w:p>
        </w:tc>
        <w:tc>
          <w:tcPr>
            <w:tcW w:w="4331" w:type="dxa"/>
            <w:tcBorders>
              <w:top w:val="single" w:sz="8" w:space="0" w:color="FFFFFF"/>
              <w:left w:val="nil"/>
              <w:bottom w:val="single" w:sz="8" w:space="0" w:color="FFFFFF"/>
              <w:right w:val="single" w:sz="8" w:space="0" w:color="FFFFFF"/>
            </w:tcBorders>
            <w:shd w:val="clear" w:color="auto" w:fill="5B9BD5"/>
            <w:tcMar>
              <w:top w:w="0" w:type="dxa"/>
              <w:left w:w="108" w:type="dxa"/>
              <w:bottom w:w="0" w:type="dxa"/>
              <w:right w:w="108" w:type="dxa"/>
            </w:tcMar>
          </w:tcPr>
          <w:p w14:paraId="2D01B49C" w14:textId="4A7FD30A" w:rsidR="001364EB" w:rsidRPr="002C2948" w:rsidRDefault="00267EE3" w:rsidP="00E2047A">
            <w:pPr>
              <w:pStyle w:val="Tablehead"/>
              <w:jc w:val="left"/>
              <w:rPr>
                <w:color w:val="FFFFFF" w:themeColor="background1"/>
                <w:lang w:val="fr-FR"/>
              </w:rPr>
            </w:pPr>
            <w:r w:rsidRPr="002C2948">
              <w:rPr>
                <w:color w:val="FFFFFF" w:themeColor="background1"/>
                <w:lang w:val="fr-FR"/>
              </w:rPr>
              <w:t xml:space="preserve">Groupe de travail </w:t>
            </w:r>
            <w:r w:rsidR="001364EB" w:rsidRPr="002C2948">
              <w:rPr>
                <w:color w:val="FFFFFF" w:themeColor="background1"/>
                <w:lang w:val="fr-FR"/>
              </w:rPr>
              <w:t>2</w:t>
            </w:r>
          </w:p>
        </w:tc>
      </w:tr>
      <w:tr w:rsidR="001364EB" w:rsidRPr="00121EC7" w14:paraId="71233312" w14:textId="77777777" w:rsidTr="00E668C9">
        <w:tc>
          <w:tcPr>
            <w:tcW w:w="1807"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3A28CFE5" w14:textId="22C2842A" w:rsidR="001364EB" w:rsidRPr="002C2948" w:rsidRDefault="00267EE3" w:rsidP="00814561">
            <w:pPr>
              <w:pStyle w:val="Tabletext"/>
              <w:rPr>
                <w:b/>
                <w:bCs/>
                <w:color w:val="FFFFFF" w:themeColor="background1"/>
                <w:lang w:val="fr-FR"/>
              </w:rPr>
            </w:pPr>
            <w:r w:rsidRPr="002C2948">
              <w:rPr>
                <w:b/>
                <w:bCs/>
                <w:color w:val="FFFFFF" w:themeColor="background1"/>
                <w:lang w:val="fr-FR"/>
              </w:rPr>
              <w:t>Sujet</w:t>
            </w:r>
          </w:p>
        </w:tc>
        <w:tc>
          <w:tcPr>
            <w:tcW w:w="3483"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4ABC55DD" w14:textId="15BB6388" w:rsidR="001364EB" w:rsidRPr="002C2948" w:rsidRDefault="00267EE3" w:rsidP="00814561">
            <w:pPr>
              <w:pStyle w:val="Tabletext"/>
              <w:rPr>
                <w:color w:val="0070C0"/>
                <w:lang w:val="fr-FR"/>
              </w:rPr>
            </w:pPr>
            <w:r w:rsidRPr="002C2948">
              <w:rPr>
                <w:color w:val="0070C0"/>
                <w:lang w:val="fr-FR"/>
              </w:rPr>
              <w:t xml:space="preserve">Méthodes de travail, </w:t>
            </w:r>
            <w:r w:rsidR="00BD24C8" w:rsidRPr="002C2948">
              <w:rPr>
                <w:color w:val="0070C0"/>
                <w:lang w:val="fr-FR"/>
              </w:rPr>
              <w:t>D</w:t>
            </w:r>
            <w:r w:rsidRPr="002C2948">
              <w:rPr>
                <w:color w:val="0070C0"/>
                <w:lang w:val="fr-FR"/>
              </w:rPr>
              <w:t xml:space="preserve">éclaration, </w:t>
            </w:r>
            <w:r w:rsidR="00BD24C8" w:rsidRPr="002C2948">
              <w:rPr>
                <w:color w:val="0070C0"/>
                <w:lang w:val="fr-FR"/>
              </w:rPr>
              <w:t>P</w:t>
            </w:r>
            <w:r w:rsidRPr="002C2948">
              <w:rPr>
                <w:color w:val="0070C0"/>
                <w:lang w:val="fr-FR"/>
              </w:rPr>
              <w:t>lan d'action et initiatives régionales</w:t>
            </w:r>
          </w:p>
        </w:tc>
        <w:tc>
          <w:tcPr>
            <w:tcW w:w="433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3636D8AD" w14:textId="549E2183" w:rsidR="001364EB" w:rsidRPr="002C2948" w:rsidRDefault="00267EE3" w:rsidP="00814561">
            <w:pPr>
              <w:pStyle w:val="Tabletext"/>
              <w:rPr>
                <w:color w:val="0070C0"/>
                <w:lang w:val="fr-FR"/>
              </w:rPr>
            </w:pPr>
            <w:r w:rsidRPr="002C2948">
              <w:rPr>
                <w:color w:val="0070C0"/>
                <w:lang w:val="fr-FR"/>
              </w:rPr>
              <w:t>Questions et programmes généraux de développement des TIC</w:t>
            </w:r>
            <w:r w:rsidR="001364EB" w:rsidRPr="002C2948">
              <w:rPr>
                <w:color w:val="0070C0"/>
                <w:lang w:val="fr-FR"/>
              </w:rPr>
              <w:t xml:space="preserve">, </w:t>
            </w:r>
            <w:r w:rsidR="008D5B59" w:rsidRPr="002C2948">
              <w:rPr>
                <w:color w:val="0070C0"/>
                <w:lang w:val="fr-FR"/>
              </w:rPr>
              <w:t>y compris Questions confiées aux commissions d'études</w:t>
            </w:r>
          </w:p>
        </w:tc>
      </w:tr>
      <w:tr w:rsidR="001364EB" w:rsidRPr="00121EC7" w14:paraId="644E7589" w14:textId="77777777" w:rsidTr="00E668C9">
        <w:tc>
          <w:tcPr>
            <w:tcW w:w="1807"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6E6B2BA7" w14:textId="3A386CBE" w:rsidR="001364EB" w:rsidRPr="002C2948" w:rsidRDefault="00267EE3" w:rsidP="00814561">
            <w:pPr>
              <w:pStyle w:val="Tabletext"/>
              <w:rPr>
                <w:b/>
                <w:bCs/>
                <w:color w:val="FFFFFF" w:themeColor="background1"/>
                <w:lang w:val="fr-FR"/>
              </w:rPr>
            </w:pPr>
            <w:r w:rsidRPr="002C2948">
              <w:rPr>
                <w:b/>
                <w:bCs/>
                <w:color w:val="FFFFFF" w:themeColor="background1"/>
                <w:lang w:val="fr-FR"/>
              </w:rPr>
              <w:t>Président</w:t>
            </w:r>
          </w:p>
        </w:tc>
        <w:tc>
          <w:tcPr>
            <w:tcW w:w="3483"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00B5458F" w14:textId="63A3FE84" w:rsidR="001364EB" w:rsidRPr="00DA0F7A" w:rsidRDefault="001364EB" w:rsidP="00814561">
            <w:pPr>
              <w:pStyle w:val="Tabletext"/>
              <w:rPr>
                <w:color w:val="0070C0"/>
                <w:lang w:val="en-US"/>
              </w:rPr>
            </w:pPr>
            <w:r w:rsidRPr="00DA0F7A">
              <w:rPr>
                <w:color w:val="0070C0"/>
                <w:lang w:val="en-US"/>
              </w:rPr>
              <w:t>M</w:t>
            </w:r>
            <w:r w:rsidR="006D0186" w:rsidRPr="00DA0F7A">
              <w:rPr>
                <w:color w:val="0070C0"/>
                <w:lang w:val="en-US"/>
              </w:rPr>
              <w:t>.</w:t>
            </w:r>
            <w:r w:rsidRPr="00DA0F7A">
              <w:rPr>
                <w:color w:val="0070C0"/>
                <w:lang w:val="en-US"/>
              </w:rPr>
              <w:t xml:space="preserve"> Richard Anago (Burkina</w:t>
            </w:r>
            <w:r w:rsidR="00E2047A" w:rsidRPr="00DA0F7A">
              <w:rPr>
                <w:color w:val="0070C0"/>
                <w:lang w:val="en-US"/>
              </w:rPr>
              <w:t> </w:t>
            </w:r>
            <w:r w:rsidRPr="00DA0F7A">
              <w:rPr>
                <w:color w:val="0070C0"/>
                <w:lang w:val="en-US"/>
              </w:rPr>
              <w:t>Faso)</w:t>
            </w:r>
          </w:p>
        </w:tc>
        <w:tc>
          <w:tcPr>
            <w:tcW w:w="433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453A2FF4" w14:textId="36417D64" w:rsidR="001364EB" w:rsidRPr="002C2948" w:rsidRDefault="001364EB" w:rsidP="005A7446">
            <w:pPr>
              <w:pStyle w:val="Tabletext"/>
              <w:rPr>
                <w:color w:val="0070C0"/>
                <w:lang w:val="fr-FR"/>
              </w:rPr>
            </w:pPr>
            <w:r w:rsidRPr="002C2948">
              <w:rPr>
                <w:color w:val="0070C0"/>
                <w:lang w:val="fr-FR"/>
              </w:rPr>
              <w:t>M</w:t>
            </w:r>
            <w:r w:rsidR="006D0186" w:rsidRPr="002C2948">
              <w:rPr>
                <w:color w:val="0070C0"/>
                <w:lang w:val="fr-FR"/>
              </w:rPr>
              <w:t>.</w:t>
            </w:r>
            <w:r w:rsidR="005A7446">
              <w:rPr>
                <w:color w:val="0070C0"/>
                <w:lang w:val="fr-FR"/>
              </w:rPr>
              <w:t xml:space="preserve"> Jim Patterson (République s</w:t>
            </w:r>
            <w:r w:rsidRPr="002C2948">
              <w:rPr>
                <w:color w:val="0070C0"/>
                <w:lang w:val="fr-FR"/>
              </w:rPr>
              <w:t>udafricaine)</w:t>
            </w:r>
          </w:p>
        </w:tc>
      </w:tr>
      <w:tr w:rsidR="001364EB" w:rsidRPr="00121EC7" w14:paraId="3882AB48" w14:textId="77777777" w:rsidTr="00E668C9">
        <w:tc>
          <w:tcPr>
            <w:tcW w:w="1807"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31000287" w14:textId="19CB68B7" w:rsidR="001364EB" w:rsidRPr="002C2948" w:rsidRDefault="00E979BC" w:rsidP="00814561">
            <w:pPr>
              <w:pStyle w:val="Tabletext"/>
              <w:rPr>
                <w:b/>
                <w:bCs/>
                <w:color w:val="FFFFFF" w:themeColor="background1"/>
                <w:lang w:val="fr-FR"/>
              </w:rPr>
            </w:pPr>
            <w:r>
              <w:rPr>
                <w:b/>
                <w:bCs/>
                <w:color w:val="FFFFFF" w:themeColor="background1"/>
                <w:lang w:val="fr-FR"/>
              </w:rPr>
              <w:t>Vice-</w:t>
            </w:r>
            <w:r w:rsidR="00267EE3" w:rsidRPr="002C2948">
              <w:rPr>
                <w:b/>
                <w:bCs/>
                <w:color w:val="FFFFFF" w:themeColor="background1"/>
                <w:lang w:val="fr-FR"/>
              </w:rPr>
              <w:t>Président</w:t>
            </w:r>
            <w:r w:rsidR="00BD24C8" w:rsidRPr="002C2948">
              <w:rPr>
                <w:b/>
                <w:bCs/>
                <w:color w:val="FFFFFF" w:themeColor="background1"/>
                <w:lang w:val="fr-FR"/>
              </w:rPr>
              <w:t>s</w:t>
            </w:r>
          </w:p>
        </w:tc>
        <w:tc>
          <w:tcPr>
            <w:tcW w:w="3483"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tcPr>
          <w:p w14:paraId="686DD540" w14:textId="1D4A2A84" w:rsidR="001364EB" w:rsidRPr="002C2948" w:rsidRDefault="001364EB" w:rsidP="00814561">
            <w:pPr>
              <w:pStyle w:val="Tabletext"/>
              <w:rPr>
                <w:color w:val="0070C0"/>
                <w:lang w:val="fr-FR"/>
              </w:rPr>
            </w:pPr>
            <w:r w:rsidRPr="002C2948">
              <w:rPr>
                <w:color w:val="0070C0"/>
                <w:lang w:val="fr-FR"/>
              </w:rPr>
              <w:t>M</w:t>
            </w:r>
            <w:r w:rsidR="006D0186" w:rsidRPr="002C2948">
              <w:rPr>
                <w:color w:val="0070C0"/>
                <w:lang w:val="fr-FR"/>
              </w:rPr>
              <w:t>.</w:t>
            </w:r>
            <w:r w:rsidRPr="002C2948">
              <w:rPr>
                <w:color w:val="0070C0"/>
                <w:lang w:val="fr-FR"/>
              </w:rPr>
              <w:t xml:space="preserve"> Amr Safwat (Égypte)</w:t>
            </w:r>
          </w:p>
          <w:p w14:paraId="47C7FF06" w14:textId="228F763E" w:rsidR="001364EB" w:rsidRPr="002C2948" w:rsidRDefault="001364EB" w:rsidP="00814561">
            <w:pPr>
              <w:pStyle w:val="Tabletext"/>
              <w:rPr>
                <w:color w:val="0070C0"/>
                <w:lang w:val="fr-FR"/>
              </w:rPr>
            </w:pPr>
            <w:r w:rsidRPr="002C2948">
              <w:rPr>
                <w:color w:val="0070C0"/>
                <w:lang w:val="fr-FR"/>
              </w:rPr>
              <w:t>M</w:t>
            </w:r>
            <w:r w:rsidR="006D0186" w:rsidRPr="002C2948">
              <w:rPr>
                <w:color w:val="0070C0"/>
                <w:lang w:val="fr-FR"/>
              </w:rPr>
              <w:t>me</w:t>
            </w:r>
            <w:r w:rsidRPr="002C2948">
              <w:rPr>
                <w:color w:val="0070C0"/>
                <w:lang w:val="fr-FR"/>
              </w:rPr>
              <w:t xml:space="preserve"> Hilda Mutseyekwa</w:t>
            </w:r>
            <w:r w:rsidR="00E2047A" w:rsidRPr="002C2948">
              <w:rPr>
                <w:color w:val="0070C0"/>
                <w:lang w:val="fr-FR"/>
              </w:rPr>
              <w:t xml:space="preserve"> </w:t>
            </w:r>
            <w:r w:rsidRPr="002C2948">
              <w:rPr>
                <w:color w:val="0070C0"/>
                <w:lang w:val="fr-FR"/>
              </w:rPr>
              <w:t>(Zimbabwe)</w:t>
            </w:r>
          </w:p>
        </w:tc>
        <w:tc>
          <w:tcPr>
            <w:tcW w:w="4331"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tcPr>
          <w:p w14:paraId="5E8F773F" w14:textId="74B7E7D6" w:rsidR="001364EB" w:rsidRPr="002C2948" w:rsidRDefault="001364EB" w:rsidP="00814561">
            <w:pPr>
              <w:pStyle w:val="Tabletext"/>
              <w:rPr>
                <w:color w:val="0070C0"/>
                <w:lang w:val="fr-FR"/>
              </w:rPr>
            </w:pPr>
            <w:r w:rsidRPr="002C2948">
              <w:rPr>
                <w:color w:val="0070C0"/>
                <w:lang w:val="fr-FR"/>
              </w:rPr>
              <w:t>M</w:t>
            </w:r>
            <w:r w:rsidR="006D0186" w:rsidRPr="002C2948">
              <w:rPr>
                <w:color w:val="0070C0"/>
                <w:lang w:val="fr-FR"/>
              </w:rPr>
              <w:t>.</w:t>
            </w:r>
            <w:r w:rsidRPr="002C2948">
              <w:rPr>
                <w:color w:val="0070C0"/>
                <w:lang w:val="fr-FR"/>
              </w:rPr>
              <w:t xml:space="preserve"> Mohamed Elhaj (Soudan)</w:t>
            </w:r>
          </w:p>
          <w:p w14:paraId="40DEA592" w14:textId="28D7FA90" w:rsidR="001364EB" w:rsidRPr="002C2948" w:rsidRDefault="001364EB" w:rsidP="00814561">
            <w:pPr>
              <w:pStyle w:val="Tabletext"/>
              <w:rPr>
                <w:color w:val="0070C0"/>
                <w:lang w:val="fr-FR"/>
              </w:rPr>
            </w:pPr>
            <w:r w:rsidRPr="002C2948">
              <w:rPr>
                <w:color w:val="0070C0"/>
                <w:lang w:val="fr-FR"/>
              </w:rPr>
              <w:t>M</w:t>
            </w:r>
            <w:r w:rsidR="006D0186" w:rsidRPr="002C2948">
              <w:rPr>
                <w:color w:val="0070C0"/>
                <w:lang w:val="fr-FR"/>
              </w:rPr>
              <w:t>me</w:t>
            </w:r>
            <w:r w:rsidRPr="002C2948">
              <w:rPr>
                <w:color w:val="0070C0"/>
                <w:lang w:val="fr-FR"/>
              </w:rPr>
              <w:t xml:space="preserve"> Satanislas Kanvoli (Côte d</w:t>
            </w:r>
            <w:r w:rsidR="00E2047A" w:rsidRPr="002C2948">
              <w:rPr>
                <w:color w:val="0070C0"/>
                <w:lang w:val="fr-FR"/>
              </w:rPr>
              <w:t>'</w:t>
            </w:r>
            <w:r w:rsidRPr="002C2948">
              <w:rPr>
                <w:color w:val="0070C0"/>
                <w:lang w:val="fr-FR"/>
              </w:rPr>
              <w:t>Ivoire)</w:t>
            </w:r>
          </w:p>
        </w:tc>
      </w:tr>
    </w:tbl>
    <w:p w14:paraId="3EC69BE7" w14:textId="49F1D1F1" w:rsidR="00E668C9" w:rsidRPr="002C2948" w:rsidRDefault="001364EB" w:rsidP="00814561">
      <w:pPr>
        <w:rPr>
          <w:lang w:val="fr-FR"/>
        </w:rPr>
      </w:pPr>
      <w:r w:rsidRPr="002C2948">
        <w:rPr>
          <w:lang w:val="fr-FR"/>
        </w:rPr>
        <w:t>4.3</w:t>
      </w:r>
      <w:r w:rsidRPr="002C2948">
        <w:rPr>
          <w:lang w:val="fr-FR"/>
        </w:rPr>
        <w:tab/>
      </w:r>
      <w:r w:rsidR="00E668C9" w:rsidRPr="002C2948">
        <w:rPr>
          <w:lang w:val="fr-FR"/>
        </w:rPr>
        <w:t xml:space="preserve">L'UAT a en outre désigné des </w:t>
      </w:r>
      <w:bookmarkStart w:id="8" w:name="_Hlk70408651"/>
      <w:r w:rsidR="00E668C9" w:rsidRPr="002C2948">
        <w:rPr>
          <w:lang w:val="fr-FR"/>
        </w:rPr>
        <w:t xml:space="preserve">coordonnateurs pour les groupes de travail du GCDT </w:t>
      </w:r>
      <w:bookmarkEnd w:id="8"/>
      <w:r w:rsidR="00E668C9" w:rsidRPr="002C2948">
        <w:rPr>
          <w:lang w:val="fr-FR"/>
        </w:rPr>
        <w:t>et pour les réunions interrégional</w:t>
      </w:r>
      <w:r w:rsidR="00BD24C8" w:rsidRPr="002C2948">
        <w:rPr>
          <w:lang w:val="fr-FR"/>
        </w:rPr>
        <w:t>es</w:t>
      </w:r>
      <w:r w:rsidR="00E668C9" w:rsidRPr="002C2948">
        <w:rPr>
          <w:lang w:val="fr-FR"/>
        </w:rPr>
        <w:t xml:space="preserve"> (voir encadré):</w:t>
      </w:r>
    </w:p>
    <w:p w14:paraId="35C653CF" w14:textId="28255523" w:rsidR="001364EB" w:rsidRPr="002C2948" w:rsidRDefault="00E668C9" w:rsidP="00814561">
      <w:pPr>
        <w:pStyle w:val="Headingb"/>
        <w:spacing w:after="120"/>
        <w:rPr>
          <w:lang w:val="fr-FR"/>
        </w:rPr>
      </w:pPr>
      <w:r w:rsidRPr="002C2948">
        <w:rPr>
          <w:lang w:val="fr-FR"/>
        </w:rPr>
        <w:t>Coordonnateurs de l'UAT pour les groupes de travail du GCDT</w:t>
      </w:r>
    </w:p>
    <w:tbl>
      <w:tblPr>
        <w:tblW w:w="5000" w:type="pct"/>
        <w:tblCellMar>
          <w:left w:w="0" w:type="dxa"/>
          <w:right w:w="0" w:type="dxa"/>
        </w:tblCellMar>
        <w:tblLook w:val="04A0" w:firstRow="1" w:lastRow="0" w:firstColumn="1" w:lastColumn="0" w:noHBand="0" w:noVBand="1"/>
      </w:tblPr>
      <w:tblGrid>
        <w:gridCol w:w="1807"/>
        <w:gridCol w:w="3483"/>
        <w:gridCol w:w="4331"/>
      </w:tblGrid>
      <w:tr w:rsidR="001364EB" w:rsidRPr="002C2948" w14:paraId="76CF21A5" w14:textId="77777777" w:rsidTr="00AB0D4D">
        <w:tc>
          <w:tcPr>
            <w:tcW w:w="1790" w:type="dxa"/>
            <w:tcBorders>
              <w:top w:val="single" w:sz="8" w:space="0" w:color="FFFFFF"/>
              <w:left w:val="single" w:sz="8" w:space="0" w:color="FFFFFF"/>
              <w:bottom w:val="single" w:sz="8" w:space="0" w:color="FFFFFF"/>
              <w:right w:val="nil"/>
            </w:tcBorders>
            <w:shd w:val="clear" w:color="auto" w:fill="5B9BD5"/>
            <w:tcMar>
              <w:top w:w="0" w:type="dxa"/>
              <w:left w:w="108" w:type="dxa"/>
              <w:bottom w:w="0" w:type="dxa"/>
              <w:right w:w="108" w:type="dxa"/>
            </w:tcMar>
            <w:hideMark/>
          </w:tcPr>
          <w:p w14:paraId="1489F735" w14:textId="77777777" w:rsidR="001364EB" w:rsidRPr="002C2948" w:rsidRDefault="001364EB" w:rsidP="00814561">
            <w:pPr>
              <w:pStyle w:val="Tablehead"/>
              <w:jc w:val="left"/>
              <w:rPr>
                <w:color w:val="FFFFFF" w:themeColor="background1"/>
                <w:lang w:val="fr-FR"/>
              </w:rPr>
            </w:pPr>
          </w:p>
        </w:tc>
        <w:tc>
          <w:tcPr>
            <w:tcW w:w="3451" w:type="dxa"/>
            <w:tcBorders>
              <w:top w:val="single" w:sz="8" w:space="0" w:color="FFFFFF"/>
              <w:left w:val="nil"/>
              <w:bottom w:val="single" w:sz="8" w:space="0" w:color="FFFFFF"/>
              <w:right w:val="nil"/>
            </w:tcBorders>
            <w:shd w:val="clear" w:color="auto" w:fill="5B9BD5"/>
            <w:tcMar>
              <w:top w:w="0" w:type="dxa"/>
              <w:left w:w="108" w:type="dxa"/>
              <w:bottom w:w="0" w:type="dxa"/>
              <w:right w:w="108" w:type="dxa"/>
            </w:tcMar>
          </w:tcPr>
          <w:p w14:paraId="0BDD58EA" w14:textId="44824FA0" w:rsidR="001364EB" w:rsidRPr="002C2948" w:rsidRDefault="00E668C9" w:rsidP="00814561">
            <w:pPr>
              <w:pStyle w:val="Tablehead"/>
              <w:jc w:val="left"/>
              <w:rPr>
                <w:color w:val="FFFFFF" w:themeColor="background1"/>
                <w:lang w:val="fr-FR"/>
              </w:rPr>
            </w:pPr>
            <w:r w:rsidRPr="002C2948">
              <w:rPr>
                <w:color w:val="FFFFFF" w:themeColor="background1"/>
                <w:lang w:val="fr-FR"/>
              </w:rPr>
              <w:t>Coordonnateur</w:t>
            </w:r>
          </w:p>
        </w:tc>
        <w:tc>
          <w:tcPr>
            <w:tcW w:w="4291" w:type="dxa"/>
            <w:tcBorders>
              <w:top w:val="single" w:sz="8" w:space="0" w:color="FFFFFF"/>
              <w:left w:val="nil"/>
              <w:bottom w:val="single" w:sz="8" w:space="0" w:color="FFFFFF"/>
              <w:right w:val="single" w:sz="8" w:space="0" w:color="FFFFFF"/>
            </w:tcBorders>
            <w:shd w:val="clear" w:color="auto" w:fill="5B9BD5"/>
            <w:tcMar>
              <w:top w:w="0" w:type="dxa"/>
              <w:left w:w="108" w:type="dxa"/>
              <w:bottom w:w="0" w:type="dxa"/>
              <w:right w:w="108" w:type="dxa"/>
            </w:tcMar>
          </w:tcPr>
          <w:p w14:paraId="45A8C660" w14:textId="103FB45F" w:rsidR="001364EB" w:rsidRPr="002C2948" w:rsidRDefault="00E668C9" w:rsidP="00814561">
            <w:pPr>
              <w:pStyle w:val="Tablehead"/>
              <w:jc w:val="left"/>
              <w:rPr>
                <w:color w:val="FFFFFF" w:themeColor="background1"/>
                <w:lang w:val="fr-FR"/>
              </w:rPr>
            </w:pPr>
            <w:r w:rsidRPr="002C2948">
              <w:rPr>
                <w:color w:val="FFFFFF" w:themeColor="background1"/>
                <w:lang w:val="fr-FR"/>
              </w:rPr>
              <w:t>Pays</w:t>
            </w:r>
          </w:p>
        </w:tc>
      </w:tr>
      <w:tr w:rsidR="001364EB" w:rsidRPr="00CD2D96" w14:paraId="20468459" w14:textId="77777777" w:rsidTr="00AB0D4D">
        <w:tc>
          <w:tcPr>
            <w:tcW w:w="1790"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034AAFCE" w14:textId="1D62370B" w:rsidR="001364EB" w:rsidRPr="002C2948" w:rsidRDefault="00E668C9" w:rsidP="00814561">
            <w:pPr>
              <w:pStyle w:val="Tabletext"/>
              <w:rPr>
                <w:b/>
                <w:bCs/>
                <w:color w:val="FFFFFF" w:themeColor="background1"/>
                <w:lang w:val="fr-FR"/>
              </w:rPr>
            </w:pPr>
            <w:r w:rsidRPr="002C2948">
              <w:rPr>
                <w:b/>
                <w:bCs/>
                <w:color w:val="FFFFFF" w:themeColor="background1"/>
                <w:lang w:val="fr-FR"/>
              </w:rPr>
              <w:t>GCDT-GT-RDTP</w:t>
            </w:r>
          </w:p>
        </w:tc>
        <w:tc>
          <w:tcPr>
            <w:tcW w:w="345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634724DC" w14:textId="50C38D77" w:rsidR="001364EB" w:rsidRPr="002C2948" w:rsidRDefault="001364EB" w:rsidP="00814561">
            <w:pPr>
              <w:pStyle w:val="Tabletext"/>
              <w:rPr>
                <w:color w:val="0070C0"/>
                <w:lang w:val="fr-FR"/>
              </w:rPr>
            </w:pPr>
            <w:r w:rsidRPr="002C2948">
              <w:rPr>
                <w:color w:val="0070C0"/>
                <w:lang w:val="fr-FR"/>
              </w:rPr>
              <w:t>M</w:t>
            </w:r>
            <w:r w:rsidR="00CD2D96">
              <w:rPr>
                <w:color w:val="0070C0"/>
                <w:lang w:val="fr-FR"/>
              </w:rPr>
              <w:t>.</w:t>
            </w:r>
            <w:r w:rsidRPr="002C2948">
              <w:rPr>
                <w:color w:val="0070C0"/>
                <w:lang w:val="fr-FR"/>
              </w:rPr>
              <w:t xml:space="preserve"> Antony Adopo</w:t>
            </w:r>
          </w:p>
        </w:tc>
        <w:tc>
          <w:tcPr>
            <w:tcW w:w="429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3B5E0083" w14:textId="1E4D26FF" w:rsidR="001364EB" w:rsidRPr="002C2948" w:rsidRDefault="001364EB" w:rsidP="00814561">
            <w:pPr>
              <w:pStyle w:val="Tabletext"/>
              <w:rPr>
                <w:color w:val="0070C0"/>
                <w:lang w:val="fr-FR"/>
              </w:rPr>
            </w:pPr>
            <w:r w:rsidRPr="002C2948">
              <w:rPr>
                <w:color w:val="0070C0"/>
                <w:lang w:val="fr-FR"/>
              </w:rPr>
              <w:t>Côte d</w:t>
            </w:r>
            <w:r w:rsidR="00E2047A" w:rsidRPr="002C2948">
              <w:rPr>
                <w:color w:val="0070C0"/>
                <w:lang w:val="fr-FR"/>
              </w:rPr>
              <w:t>'</w:t>
            </w:r>
            <w:r w:rsidRPr="002C2948">
              <w:rPr>
                <w:color w:val="0070C0"/>
                <w:lang w:val="fr-FR"/>
              </w:rPr>
              <w:t xml:space="preserve">Ivoire </w:t>
            </w:r>
          </w:p>
        </w:tc>
      </w:tr>
      <w:tr w:rsidR="001364EB" w:rsidRPr="00CD2D96" w14:paraId="5F0C7269" w14:textId="77777777" w:rsidTr="00AB0D4D">
        <w:tc>
          <w:tcPr>
            <w:tcW w:w="1790"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4C500D3E" w14:textId="6B25E26C" w:rsidR="001364EB" w:rsidRPr="002C2948" w:rsidRDefault="00E668C9" w:rsidP="00814561">
            <w:pPr>
              <w:pStyle w:val="Tabletext"/>
              <w:rPr>
                <w:b/>
                <w:bCs/>
                <w:color w:val="FFFFFF" w:themeColor="background1"/>
                <w:lang w:val="fr-FR"/>
              </w:rPr>
            </w:pPr>
            <w:r w:rsidRPr="002C2948">
              <w:rPr>
                <w:b/>
                <w:bCs/>
                <w:color w:val="FFFFFF" w:themeColor="background1"/>
                <w:lang w:val="fr-FR"/>
              </w:rPr>
              <w:t>GCDT-GT-</w:t>
            </w:r>
            <w:r w:rsidR="001364EB" w:rsidRPr="002C2948">
              <w:rPr>
                <w:b/>
                <w:bCs/>
                <w:color w:val="FFFFFF" w:themeColor="background1"/>
                <w:lang w:val="fr-FR"/>
              </w:rPr>
              <w:t>SOP</w:t>
            </w:r>
          </w:p>
        </w:tc>
        <w:tc>
          <w:tcPr>
            <w:tcW w:w="345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3618E53B" w14:textId="7AB137A8" w:rsidR="001364EB" w:rsidRPr="002C2948" w:rsidRDefault="001364EB" w:rsidP="00814561">
            <w:pPr>
              <w:pStyle w:val="Tabletext"/>
              <w:rPr>
                <w:color w:val="0070C0"/>
                <w:lang w:val="fr-FR"/>
              </w:rPr>
            </w:pPr>
            <w:r w:rsidRPr="002C2948">
              <w:rPr>
                <w:color w:val="0070C0"/>
                <w:lang w:val="fr-FR"/>
              </w:rPr>
              <w:t>M</w:t>
            </w:r>
            <w:r w:rsidR="006D0186" w:rsidRPr="002C2948">
              <w:rPr>
                <w:color w:val="0070C0"/>
                <w:lang w:val="fr-FR"/>
              </w:rPr>
              <w:t>me</w:t>
            </w:r>
            <w:r w:rsidRPr="002C2948">
              <w:rPr>
                <w:color w:val="0070C0"/>
                <w:lang w:val="fr-FR"/>
              </w:rPr>
              <w:t xml:space="preserve"> Caecilia Nyamutswa</w:t>
            </w:r>
          </w:p>
        </w:tc>
        <w:tc>
          <w:tcPr>
            <w:tcW w:w="429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741EDCE0" w14:textId="77777777" w:rsidR="001364EB" w:rsidRPr="002C2948" w:rsidRDefault="001364EB" w:rsidP="00814561">
            <w:pPr>
              <w:pStyle w:val="Tabletext"/>
              <w:rPr>
                <w:color w:val="0070C0"/>
                <w:lang w:val="fr-FR"/>
              </w:rPr>
            </w:pPr>
            <w:r w:rsidRPr="002C2948">
              <w:rPr>
                <w:color w:val="0070C0"/>
                <w:lang w:val="fr-FR"/>
              </w:rPr>
              <w:t>Zimbabwe</w:t>
            </w:r>
          </w:p>
        </w:tc>
      </w:tr>
      <w:tr w:rsidR="001364EB" w:rsidRPr="00CD2D96" w14:paraId="478E66B1" w14:textId="77777777" w:rsidTr="00AB0D4D">
        <w:tc>
          <w:tcPr>
            <w:tcW w:w="1790" w:type="dxa"/>
            <w:tcBorders>
              <w:top w:val="single" w:sz="8" w:space="0" w:color="FFFFFF"/>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7B8E1BDB" w14:textId="7B8A3610" w:rsidR="001364EB" w:rsidRPr="002C2948" w:rsidRDefault="00E668C9" w:rsidP="00814561">
            <w:pPr>
              <w:pStyle w:val="Tabletext"/>
              <w:rPr>
                <w:b/>
                <w:bCs/>
                <w:color w:val="FFFFFF" w:themeColor="background1"/>
                <w:lang w:val="fr-FR"/>
              </w:rPr>
            </w:pPr>
            <w:r w:rsidRPr="002C2948">
              <w:rPr>
                <w:b/>
                <w:bCs/>
                <w:color w:val="FFFFFF" w:themeColor="background1"/>
                <w:lang w:val="fr-FR"/>
              </w:rPr>
              <w:t>GCDT-GT-</w:t>
            </w:r>
            <w:r w:rsidR="001364EB" w:rsidRPr="002C2948">
              <w:rPr>
                <w:b/>
                <w:bCs/>
                <w:color w:val="FFFFFF" w:themeColor="background1"/>
                <w:lang w:val="fr-FR"/>
              </w:rPr>
              <w:t>Prep</w:t>
            </w:r>
          </w:p>
        </w:tc>
        <w:tc>
          <w:tcPr>
            <w:tcW w:w="345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15CF881D" w14:textId="21BD5114" w:rsidR="001364EB" w:rsidRPr="002C2948" w:rsidRDefault="001364EB" w:rsidP="00814561">
            <w:pPr>
              <w:pStyle w:val="Tabletext"/>
              <w:rPr>
                <w:color w:val="0070C0"/>
                <w:lang w:val="fr-FR"/>
              </w:rPr>
            </w:pPr>
            <w:r w:rsidRPr="002C2948">
              <w:rPr>
                <w:color w:val="0070C0"/>
                <w:lang w:val="fr-FR"/>
              </w:rPr>
              <w:t>M</w:t>
            </w:r>
            <w:r w:rsidR="00CD2D96">
              <w:rPr>
                <w:color w:val="0070C0"/>
                <w:lang w:val="fr-FR"/>
              </w:rPr>
              <w:t>.</w:t>
            </w:r>
            <w:r w:rsidRPr="002C2948">
              <w:rPr>
                <w:color w:val="0070C0"/>
                <w:lang w:val="fr-FR"/>
              </w:rPr>
              <w:t xml:space="preserve"> Abdulkarim Oloyede</w:t>
            </w:r>
          </w:p>
        </w:tc>
        <w:tc>
          <w:tcPr>
            <w:tcW w:w="429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55A57535" w14:textId="1171F008" w:rsidR="001364EB" w:rsidRPr="002C2948" w:rsidRDefault="001364EB" w:rsidP="00814561">
            <w:pPr>
              <w:pStyle w:val="Tabletext"/>
              <w:rPr>
                <w:color w:val="0070C0"/>
                <w:lang w:val="fr-FR"/>
              </w:rPr>
            </w:pPr>
            <w:r w:rsidRPr="002C2948">
              <w:rPr>
                <w:color w:val="0070C0"/>
                <w:lang w:val="fr-FR"/>
              </w:rPr>
              <w:t>Nigéria</w:t>
            </w:r>
          </w:p>
        </w:tc>
      </w:tr>
      <w:tr w:rsidR="001364EB" w:rsidRPr="002C2948" w14:paraId="4C28BE49" w14:textId="77777777" w:rsidTr="00AB0D4D">
        <w:tc>
          <w:tcPr>
            <w:tcW w:w="1790" w:type="dxa"/>
            <w:tcBorders>
              <w:top w:val="single" w:sz="8" w:space="0" w:color="FFFFFF"/>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3D06787B" w14:textId="23D41A43" w:rsidR="001364EB" w:rsidRPr="002C2948" w:rsidRDefault="00E668C9" w:rsidP="00814561">
            <w:pPr>
              <w:pStyle w:val="Tabletext"/>
              <w:rPr>
                <w:b/>
                <w:bCs/>
                <w:color w:val="FFFFFF" w:themeColor="background1"/>
                <w:lang w:val="fr-FR"/>
              </w:rPr>
            </w:pPr>
            <w:r w:rsidRPr="002C2948">
              <w:rPr>
                <w:b/>
                <w:bCs/>
                <w:color w:val="FFFFFF" w:themeColor="background1"/>
                <w:lang w:val="fr-FR"/>
              </w:rPr>
              <w:t>Vice</w:t>
            </w:r>
            <w:r w:rsidR="00DC4EA1" w:rsidRPr="002C2948">
              <w:rPr>
                <w:b/>
                <w:bCs/>
                <w:color w:val="FFFFFF" w:themeColor="background1"/>
                <w:lang w:val="fr-FR"/>
              </w:rPr>
              <w:t>-</w:t>
            </w:r>
            <w:r w:rsidRPr="002C2948">
              <w:rPr>
                <w:b/>
                <w:bCs/>
                <w:color w:val="FFFFFF" w:themeColor="background1"/>
                <w:lang w:val="fr-FR"/>
              </w:rPr>
              <w:t>Président de</w:t>
            </w:r>
            <w:r w:rsidR="00361FDE" w:rsidRPr="002C2948">
              <w:rPr>
                <w:b/>
                <w:bCs/>
                <w:color w:val="FFFFFF" w:themeColor="background1"/>
                <w:lang w:val="fr-FR"/>
              </w:rPr>
              <w:t>s</w:t>
            </w:r>
            <w:r w:rsidRPr="002C2948">
              <w:rPr>
                <w:b/>
                <w:bCs/>
                <w:color w:val="FFFFFF" w:themeColor="background1"/>
                <w:lang w:val="fr-FR"/>
              </w:rPr>
              <w:t xml:space="preserve"> </w:t>
            </w:r>
            <w:r w:rsidR="00361FDE" w:rsidRPr="002C2948">
              <w:rPr>
                <w:b/>
                <w:bCs/>
                <w:color w:val="FFFFFF" w:themeColor="background1"/>
                <w:lang w:val="fr-FR"/>
              </w:rPr>
              <w:t>r</w:t>
            </w:r>
            <w:r w:rsidRPr="002C2948">
              <w:rPr>
                <w:b/>
                <w:bCs/>
                <w:color w:val="FFFFFF" w:themeColor="background1"/>
                <w:lang w:val="fr-FR"/>
              </w:rPr>
              <w:t>éunion</w:t>
            </w:r>
            <w:r w:rsidR="00361FDE" w:rsidRPr="002C2948">
              <w:rPr>
                <w:b/>
                <w:bCs/>
                <w:color w:val="FFFFFF" w:themeColor="background1"/>
                <w:lang w:val="fr-FR"/>
              </w:rPr>
              <w:t>s</w:t>
            </w:r>
            <w:r w:rsidRPr="002C2948">
              <w:rPr>
                <w:b/>
                <w:bCs/>
                <w:color w:val="FFFFFF" w:themeColor="background1"/>
                <w:lang w:val="fr-FR"/>
              </w:rPr>
              <w:t xml:space="preserve"> </w:t>
            </w:r>
            <w:r w:rsidR="00361FDE" w:rsidRPr="002C2948">
              <w:rPr>
                <w:b/>
                <w:bCs/>
                <w:color w:val="FFFFFF" w:themeColor="background1"/>
                <w:lang w:val="fr-FR"/>
              </w:rPr>
              <w:t>IRM</w:t>
            </w:r>
            <w:r w:rsidRPr="002C2948">
              <w:rPr>
                <w:b/>
                <w:bCs/>
                <w:color w:val="FFFFFF" w:themeColor="background1"/>
                <w:lang w:val="fr-FR"/>
              </w:rPr>
              <w:t xml:space="preserve"> pour l'Afrique</w:t>
            </w:r>
          </w:p>
        </w:tc>
        <w:tc>
          <w:tcPr>
            <w:tcW w:w="3451" w:type="dxa"/>
            <w:tcBorders>
              <w:top w:val="single" w:sz="8" w:space="0" w:color="FFFFFF"/>
              <w:left w:val="nil"/>
              <w:bottom w:val="single" w:sz="8" w:space="0" w:color="FFFFFF"/>
              <w:right w:val="single" w:sz="8" w:space="0" w:color="FFFFFF"/>
            </w:tcBorders>
            <w:shd w:val="clear" w:color="auto" w:fill="BDD6EE"/>
            <w:tcMar>
              <w:top w:w="0" w:type="dxa"/>
              <w:left w:w="108" w:type="dxa"/>
              <w:bottom w:w="0" w:type="dxa"/>
              <w:right w:w="108" w:type="dxa"/>
            </w:tcMar>
          </w:tcPr>
          <w:p w14:paraId="3C48DAE7" w14:textId="7567FD33" w:rsidR="001364EB" w:rsidRPr="002C2948" w:rsidRDefault="001364EB" w:rsidP="00814561">
            <w:pPr>
              <w:pStyle w:val="Tabletext"/>
              <w:rPr>
                <w:color w:val="0070C0"/>
                <w:lang w:val="fr-FR"/>
              </w:rPr>
            </w:pPr>
            <w:r w:rsidRPr="002C2948">
              <w:rPr>
                <w:color w:val="0070C0"/>
                <w:lang w:val="fr-FR"/>
              </w:rPr>
              <w:t>M</w:t>
            </w:r>
            <w:r w:rsidR="006D0186" w:rsidRPr="002C2948">
              <w:rPr>
                <w:color w:val="0070C0"/>
                <w:lang w:val="fr-FR"/>
              </w:rPr>
              <w:t>me</w:t>
            </w:r>
            <w:r w:rsidRPr="002C2948">
              <w:rPr>
                <w:color w:val="0070C0"/>
                <w:lang w:val="fr-FR"/>
              </w:rPr>
              <w:t xml:space="preserve"> Caecilia Nyamutswa</w:t>
            </w:r>
          </w:p>
        </w:tc>
        <w:tc>
          <w:tcPr>
            <w:tcW w:w="4291" w:type="dxa"/>
            <w:tcBorders>
              <w:top w:val="single" w:sz="8" w:space="0" w:color="FFFFFF"/>
              <w:left w:val="nil"/>
              <w:bottom w:val="single" w:sz="8" w:space="0" w:color="FFFFFF"/>
              <w:right w:val="single" w:sz="8" w:space="0" w:color="FFFFFF"/>
            </w:tcBorders>
            <w:shd w:val="clear" w:color="auto" w:fill="BDD6EE"/>
            <w:tcMar>
              <w:top w:w="0" w:type="dxa"/>
              <w:left w:w="108" w:type="dxa"/>
              <w:bottom w:w="0" w:type="dxa"/>
              <w:right w:w="108" w:type="dxa"/>
            </w:tcMar>
          </w:tcPr>
          <w:p w14:paraId="5202B00D" w14:textId="5B121183" w:rsidR="001364EB" w:rsidRPr="002C2948" w:rsidRDefault="001364EB" w:rsidP="00814561">
            <w:pPr>
              <w:pStyle w:val="Tabletext"/>
              <w:rPr>
                <w:color w:val="0070C0"/>
                <w:lang w:val="fr-FR"/>
              </w:rPr>
            </w:pPr>
            <w:r w:rsidRPr="002C2948">
              <w:rPr>
                <w:color w:val="0070C0"/>
                <w:lang w:val="fr-FR"/>
              </w:rPr>
              <w:t>Zimbabwe</w:t>
            </w:r>
          </w:p>
        </w:tc>
      </w:tr>
    </w:tbl>
    <w:p w14:paraId="5218CF02" w14:textId="3DF99A3F" w:rsidR="001364EB" w:rsidRPr="002C2948" w:rsidRDefault="001364EB" w:rsidP="00354F8E">
      <w:pPr>
        <w:spacing w:before="240"/>
        <w:rPr>
          <w:lang w:val="fr-FR"/>
        </w:rPr>
      </w:pPr>
      <w:r w:rsidRPr="002C2948">
        <w:rPr>
          <w:lang w:val="fr-FR"/>
        </w:rPr>
        <w:t>4.4</w:t>
      </w:r>
      <w:r w:rsidRPr="002C2948">
        <w:rPr>
          <w:lang w:val="fr-FR"/>
        </w:rPr>
        <w:tab/>
      </w:r>
      <w:r w:rsidR="003D2424" w:rsidRPr="002C2948">
        <w:rPr>
          <w:lang w:val="fr-FR"/>
        </w:rPr>
        <w:t>Un représentant de</w:t>
      </w:r>
      <w:r w:rsidRPr="002C2948">
        <w:rPr>
          <w:bCs/>
          <w:lang w:val="fr-FR"/>
        </w:rPr>
        <w:t xml:space="preserve"> </w:t>
      </w:r>
      <w:r w:rsidR="003D2424" w:rsidRPr="002C2948">
        <w:rPr>
          <w:b/>
          <w:bCs/>
          <w:lang w:val="fr-FR"/>
        </w:rPr>
        <w:t>la Commission interaméricaine des télécommunications (CITEL</w:t>
      </w:r>
      <w:r w:rsidRPr="002C2948">
        <w:rPr>
          <w:b/>
          <w:bCs/>
          <w:lang w:val="fr-FR"/>
        </w:rPr>
        <w:t>)</w:t>
      </w:r>
      <w:r w:rsidRPr="002C2948">
        <w:rPr>
          <w:lang w:val="fr-FR"/>
        </w:rPr>
        <w:t xml:space="preserve"> </w:t>
      </w:r>
      <w:r w:rsidR="003D2424" w:rsidRPr="002C2948">
        <w:rPr>
          <w:lang w:val="fr-FR"/>
        </w:rPr>
        <w:t>du</w:t>
      </w:r>
      <w:r w:rsidRPr="002C2948">
        <w:rPr>
          <w:lang w:val="fr-FR"/>
        </w:rPr>
        <w:t xml:space="preserve"> Canada </w:t>
      </w:r>
      <w:r w:rsidR="003D2424" w:rsidRPr="002C2948">
        <w:rPr>
          <w:lang w:val="fr-FR"/>
        </w:rPr>
        <w:t>a présenté le</w:t>
      </w:r>
      <w:r w:rsidRPr="002C2948">
        <w:rPr>
          <w:lang w:val="fr-FR"/>
        </w:rPr>
        <w:t xml:space="preserve"> </w:t>
      </w:r>
      <w:hyperlink r:id="rId14" w:history="1">
        <w:r w:rsidRPr="002C2948">
          <w:rPr>
            <w:rStyle w:val="Hyperlink"/>
            <w:rFonts w:asciiTheme="minorHAnsi" w:hAnsiTheme="minorHAnsi" w:cstheme="minorHAnsi"/>
            <w:lang w:val="fr-FR"/>
          </w:rPr>
          <w:t>Document 22</w:t>
        </w:r>
      </w:hyperlink>
      <w:r w:rsidRPr="002C2948">
        <w:rPr>
          <w:lang w:val="fr-FR"/>
        </w:rPr>
        <w:t xml:space="preserve"> </w:t>
      </w:r>
      <w:r w:rsidR="003D2424" w:rsidRPr="002C2948">
        <w:rPr>
          <w:lang w:val="fr-FR"/>
        </w:rPr>
        <w:t>qui contient un résumé des activités préparatoires menées par la</w:t>
      </w:r>
      <w:r w:rsidRPr="002C2948">
        <w:rPr>
          <w:lang w:val="fr-FR"/>
        </w:rPr>
        <w:t xml:space="preserve"> CITEL. </w:t>
      </w:r>
      <w:r w:rsidR="003D2424" w:rsidRPr="002C2948">
        <w:rPr>
          <w:lang w:val="fr-FR"/>
        </w:rPr>
        <w:t xml:space="preserve">La </w:t>
      </w:r>
      <w:r w:rsidRPr="002C2948">
        <w:rPr>
          <w:lang w:val="fr-FR"/>
        </w:rPr>
        <w:t xml:space="preserve">CITEL </w:t>
      </w:r>
      <w:r w:rsidR="003D2424" w:rsidRPr="002C2948">
        <w:rPr>
          <w:lang w:val="fr-FR"/>
        </w:rPr>
        <w:t>a pour première priorité le thème de la Conférence</w:t>
      </w:r>
      <w:r w:rsidRPr="002C2948">
        <w:rPr>
          <w:lang w:val="fr-FR"/>
        </w:rPr>
        <w:t xml:space="preserve">: </w:t>
      </w:r>
      <w:r w:rsidR="00567A17" w:rsidRPr="002C2948">
        <w:rPr>
          <w:b/>
          <w:i/>
          <w:lang w:val="fr-FR"/>
        </w:rPr>
        <w:t>Connecter ceux qui ne le sont pas encore afin de parvenir au développement durable</w:t>
      </w:r>
      <w:r w:rsidRPr="002C2948">
        <w:rPr>
          <w:i/>
          <w:lang w:val="fr-FR"/>
        </w:rPr>
        <w:t>.</w:t>
      </w:r>
      <w:r w:rsidR="003D2424" w:rsidRPr="002C2948">
        <w:rPr>
          <w:iCs/>
          <w:lang w:val="fr-FR"/>
        </w:rPr>
        <w:t xml:space="preserve"> </w:t>
      </w:r>
      <w:r w:rsidR="003C6F1E" w:rsidRPr="002C2948">
        <w:rPr>
          <w:iCs/>
          <w:lang w:val="fr-FR"/>
        </w:rPr>
        <w:t>D'autres</w:t>
      </w:r>
      <w:r w:rsidR="003D2424" w:rsidRPr="002C2948">
        <w:rPr>
          <w:iCs/>
          <w:lang w:val="fr-FR"/>
        </w:rPr>
        <w:t xml:space="preserve"> priorités sont tout aussi importantes</w:t>
      </w:r>
      <w:r w:rsidR="003C6F1E" w:rsidRPr="002C2948">
        <w:rPr>
          <w:iCs/>
          <w:lang w:val="fr-FR"/>
        </w:rPr>
        <w:t>, à savoir</w:t>
      </w:r>
      <w:r w:rsidRPr="002C2948">
        <w:rPr>
          <w:lang w:val="fr-FR"/>
        </w:rPr>
        <w:t xml:space="preserve">: </w:t>
      </w:r>
    </w:p>
    <w:p w14:paraId="51ED0E08" w14:textId="77777777" w:rsidR="004A4301" w:rsidRPr="002C2948" w:rsidRDefault="004A4301" w:rsidP="00814561">
      <w:pPr>
        <w:pStyle w:val="enumlev1"/>
        <w:rPr>
          <w:lang w:val="fr-FR"/>
        </w:rPr>
      </w:pPr>
      <w:r w:rsidRPr="002C2948">
        <w:rPr>
          <w:lang w:val="fr-FR"/>
        </w:rPr>
        <w:br w:type="page"/>
      </w:r>
    </w:p>
    <w:p w14:paraId="3DA61141" w14:textId="267E2F65" w:rsidR="003D2424" w:rsidRPr="002C2948" w:rsidRDefault="001364EB" w:rsidP="00814561">
      <w:pPr>
        <w:pStyle w:val="enumlev1"/>
        <w:rPr>
          <w:lang w:val="fr-FR"/>
        </w:rPr>
      </w:pPr>
      <w:r w:rsidRPr="002C2948">
        <w:rPr>
          <w:lang w:val="fr-FR"/>
        </w:rPr>
        <w:t>–</w:t>
      </w:r>
      <w:r w:rsidRPr="002C2948">
        <w:rPr>
          <w:lang w:val="fr-FR"/>
        </w:rPr>
        <w:tab/>
      </w:r>
      <w:r w:rsidR="003D2424" w:rsidRPr="002C2948">
        <w:rPr>
          <w:lang w:val="fr-FR"/>
        </w:rPr>
        <w:t>Une</w:t>
      </w:r>
      <w:r w:rsidRPr="002C2948">
        <w:rPr>
          <w:lang w:val="fr-FR"/>
        </w:rPr>
        <w:t xml:space="preserve"> </w:t>
      </w:r>
      <w:r w:rsidR="00DC4EA1" w:rsidRPr="002C2948">
        <w:rPr>
          <w:lang w:val="fr-FR"/>
        </w:rPr>
        <w:t>"</w:t>
      </w:r>
      <w:r w:rsidR="003D2424" w:rsidRPr="002C2948">
        <w:rPr>
          <w:lang w:val="fr-FR"/>
        </w:rPr>
        <w:t>UIT en adéquation avec sa mission</w:t>
      </w:r>
      <w:r w:rsidR="001D2323" w:rsidRPr="002C2948">
        <w:rPr>
          <w:lang w:val="fr-FR"/>
        </w:rPr>
        <w:t>"</w:t>
      </w:r>
      <w:r w:rsidRPr="002C2948">
        <w:rPr>
          <w:lang w:val="fr-FR"/>
        </w:rPr>
        <w:t xml:space="preserve">, </w:t>
      </w:r>
      <w:r w:rsidR="003D2424" w:rsidRPr="002C2948">
        <w:rPr>
          <w:lang w:val="fr-FR"/>
        </w:rPr>
        <w:t xml:space="preserve">avec la </w:t>
      </w:r>
      <w:r w:rsidR="00814561" w:rsidRPr="002C2948">
        <w:rPr>
          <w:lang w:val="fr-FR"/>
        </w:rPr>
        <w:t>CMDT-21</w:t>
      </w:r>
      <w:r w:rsidR="003D2424" w:rsidRPr="002C2948">
        <w:rPr>
          <w:lang w:val="fr-FR"/>
        </w:rPr>
        <w:t xml:space="preserve"> en passe de devenir un cadre moteur pour encourager la conception et la mise en œuvre de solutions concrètes et efficaces pour le développement et l'utilisation de la connectivité et des TIC dans les pays en développement, les pays les moins avancés (PMA), les pays en développement sans littoral (PDSL) et les petits États insulaires en développement (PEID).</w:t>
      </w:r>
    </w:p>
    <w:p w14:paraId="0C2C4375" w14:textId="4E64E0D7" w:rsidR="003D2424" w:rsidRPr="002C2948" w:rsidRDefault="001364EB" w:rsidP="00814561">
      <w:pPr>
        <w:pStyle w:val="enumlev1"/>
        <w:rPr>
          <w:lang w:val="fr-FR"/>
        </w:rPr>
      </w:pPr>
      <w:r w:rsidRPr="002C2948">
        <w:rPr>
          <w:lang w:val="fr-FR"/>
        </w:rPr>
        <w:t>–</w:t>
      </w:r>
      <w:r w:rsidRPr="002C2948">
        <w:rPr>
          <w:lang w:val="fr-FR"/>
        </w:rPr>
        <w:tab/>
      </w:r>
      <w:r w:rsidR="003D2424" w:rsidRPr="002C2948">
        <w:rPr>
          <w:lang w:val="fr-FR"/>
        </w:rPr>
        <w:t>Le renforcement de la participation des PMA, des PDSL et des PEID aux travaux de l'UIT</w:t>
      </w:r>
      <w:r w:rsidR="004A4301" w:rsidRPr="002C2948">
        <w:rPr>
          <w:lang w:val="fr-FR"/>
        </w:rPr>
        <w:t>-</w:t>
      </w:r>
      <w:r w:rsidR="003D2424" w:rsidRPr="002C2948">
        <w:rPr>
          <w:lang w:val="fr-FR"/>
        </w:rPr>
        <w:t>D, en particulier des parties prenantes de la région Amériques, y compris les petites et moyennes entreprises (PME) et les établissements universitaires.</w:t>
      </w:r>
    </w:p>
    <w:p w14:paraId="10E70E39" w14:textId="1CA10971" w:rsidR="00153B50" w:rsidRPr="002C2948" w:rsidRDefault="001364EB" w:rsidP="00814561">
      <w:pPr>
        <w:pStyle w:val="enumlev1"/>
        <w:rPr>
          <w:lang w:val="fr-FR"/>
        </w:rPr>
      </w:pPr>
      <w:r w:rsidRPr="002C2948">
        <w:rPr>
          <w:lang w:val="fr-FR"/>
        </w:rPr>
        <w:t>–</w:t>
      </w:r>
      <w:r w:rsidRPr="002C2948">
        <w:rPr>
          <w:lang w:val="fr-FR"/>
        </w:rPr>
        <w:tab/>
      </w:r>
      <w:r w:rsidR="00153B50" w:rsidRPr="002C2948">
        <w:rPr>
          <w:lang w:val="fr-FR"/>
        </w:rPr>
        <w:t xml:space="preserve">Une conférence visant à examiner, </w:t>
      </w:r>
      <w:r w:rsidR="003D4D11" w:rsidRPr="002C2948">
        <w:rPr>
          <w:lang w:val="fr-FR"/>
        </w:rPr>
        <w:t>de manière efficace</w:t>
      </w:r>
      <w:r w:rsidR="00153B50" w:rsidRPr="002C2948">
        <w:rPr>
          <w:lang w:val="fr-FR"/>
        </w:rPr>
        <w:t xml:space="preserve">, les grandes priorités en matière de TIC au service du développement (ICT4D) identifiées par les régions et </w:t>
      </w:r>
      <w:r w:rsidR="003D4D11" w:rsidRPr="002C2948">
        <w:rPr>
          <w:lang w:val="fr-FR"/>
        </w:rPr>
        <w:t>axées sur la réduction de</w:t>
      </w:r>
      <w:r w:rsidR="00153B50" w:rsidRPr="002C2948">
        <w:rPr>
          <w:lang w:val="fr-FR"/>
        </w:rPr>
        <w:t xml:space="preserve"> la fracture numérique sous toutes ses formes, </w:t>
      </w:r>
      <w:r w:rsidR="003D4D11" w:rsidRPr="002C2948">
        <w:rPr>
          <w:lang w:val="fr-FR"/>
        </w:rPr>
        <w:t>à nouer</w:t>
      </w:r>
      <w:r w:rsidR="00153B50" w:rsidRPr="002C2948">
        <w:rPr>
          <w:lang w:val="fr-FR"/>
        </w:rPr>
        <w:t xml:space="preserve"> le dialogue avec les régions et </w:t>
      </w:r>
      <w:r w:rsidR="003D4D11" w:rsidRPr="002C2948">
        <w:rPr>
          <w:lang w:val="fr-FR"/>
        </w:rPr>
        <w:t xml:space="preserve">les </w:t>
      </w:r>
      <w:r w:rsidR="00153B50" w:rsidRPr="002C2948">
        <w:rPr>
          <w:lang w:val="fr-FR"/>
        </w:rPr>
        <w:t xml:space="preserve">communautés marginalisées, </w:t>
      </w:r>
      <w:r w:rsidR="003D4D11" w:rsidRPr="002C2948">
        <w:rPr>
          <w:lang w:val="fr-FR"/>
        </w:rPr>
        <w:t>à promouvoir</w:t>
      </w:r>
      <w:r w:rsidR="00153B50" w:rsidRPr="002C2948">
        <w:rPr>
          <w:lang w:val="fr-FR"/>
        </w:rPr>
        <w:t xml:space="preserve"> les réseaux communautaires et </w:t>
      </w:r>
      <w:r w:rsidR="003D4D11" w:rsidRPr="002C2948">
        <w:rPr>
          <w:lang w:val="fr-FR"/>
        </w:rPr>
        <w:t>à garantir</w:t>
      </w:r>
      <w:r w:rsidR="00153B50" w:rsidRPr="002C2948">
        <w:rPr>
          <w:lang w:val="fr-FR"/>
        </w:rPr>
        <w:t xml:space="preserve"> l'équité hommes</w:t>
      </w:r>
      <w:r w:rsidR="004A4301" w:rsidRPr="002C2948">
        <w:rPr>
          <w:lang w:val="fr-FR"/>
        </w:rPr>
        <w:t>-</w:t>
      </w:r>
      <w:r w:rsidR="00153B50" w:rsidRPr="002C2948">
        <w:rPr>
          <w:lang w:val="fr-FR"/>
        </w:rPr>
        <w:t>femmes, l'égalité ainsi qu'une participation et une mobilisation accrues des jeunes dans les activités de l'UIT</w:t>
      </w:r>
      <w:r w:rsidR="004A4301" w:rsidRPr="002C2948">
        <w:rPr>
          <w:lang w:val="fr-FR"/>
        </w:rPr>
        <w:t>-</w:t>
      </w:r>
      <w:r w:rsidR="00153B50" w:rsidRPr="002C2948">
        <w:rPr>
          <w:lang w:val="fr-FR"/>
        </w:rPr>
        <w:t>D.</w:t>
      </w:r>
    </w:p>
    <w:p w14:paraId="049C492B" w14:textId="3E09AF7E" w:rsidR="001364EB" w:rsidRPr="002C2948" w:rsidRDefault="00153B50" w:rsidP="00814561">
      <w:pPr>
        <w:pStyle w:val="Headingb"/>
        <w:spacing w:after="120"/>
        <w:rPr>
          <w:lang w:val="fr-FR"/>
        </w:rPr>
      </w:pPr>
      <w:r w:rsidRPr="002C2948">
        <w:rPr>
          <w:lang w:val="fr-FR"/>
        </w:rPr>
        <w:t>Coordonnateurs de la CITEL pour les groupes de travail du GCDT</w:t>
      </w:r>
    </w:p>
    <w:tbl>
      <w:tblPr>
        <w:tblW w:w="5000" w:type="pct"/>
        <w:tblCellMar>
          <w:left w:w="0" w:type="dxa"/>
          <w:right w:w="0" w:type="dxa"/>
        </w:tblCellMar>
        <w:tblLook w:val="04A0" w:firstRow="1" w:lastRow="0" w:firstColumn="1" w:lastColumn="0" w:noHBand="0" w:noVBand="1"/>
      </w:tblPr>
      <w:tblGrid>
        <w:gridCol w:w="1806"/>
        <w:gridCol w:w="3484"/>
        <w:gridCol w:w="4331"/>
      </w:tblGrid>
      <w:tr w:rsidR="001364EB" w:rsidRPr="002C2948" w14:paraId="5CEA25CB" w14:textId="77777777" w:rsidTr="00AB0D4D">
        <w:tc>
          <w:tcPr>
            <w:tcW w:w="1691" w:type="dxa"/>
            <w:tcBorders>
              <w:top w:val="single" w:sz="8" w:space="0" w:color="FFFFFF"/>
              <w:left w:val="single" w:sz="8" w:space="0" w:color="FFFFFF"/>
              <w:bottom w:val="single" w:sz="8" w:space="0" w:color="FFFFFF"/>
              <w:right w:val="nil"/>
            </w:tcBorders>
            <w:shd w:val="clear" w:color="auto" w:fill="5B9BD5"/>
            <w:tcMar>
              <w:top w:w="0" w:type="dxa"/>
              <w:left w:w="108" w:type="dxa"/>
              <w:bottom w:w="0" w:type="dxa"/>
              <w:right w:w="108" w:type="dxa"/>
            </w:tcMar>
            <w:hideMark/>
          </w:tcPr>
          <w:p w14:paraId="7AAFB5DB" w14:textId="77777777" w:rsidR="001364EB" w:rsidRPr="002C2948" w:rsidRDefault="001364EB" w:rsidP="00814561">
            <w:pPr>
              <w:pStyle w:val="Tablehead"/>
              <w:jc w:val="left"/>
              <w:rPr>
                <w:color w:val="FFFFFF" w:themeColor="background1"/>
                <w:lang w:val="fr-FR"/>
              </w:rPr>
            </w:pPr>
          </w:p>
        </w:tc>
        <w:tc>
          <w:tcPr>
            <w:tcW w:w="3261" w:type="dxa"/>
            <w:tcBorders>
              <w:top w:val="single" w:sz="8" w:space="0" w:color="FFFFFF"/>
              <w:left w:val="nil"/>
              <w:bottom w:val="single" w:sz="8" w:space="0" w:color="FFFFFF"/>
              <w:right w:val="nil"/>
            </w:tcBorders>
            <w:shd w:val="clear" w:color="auto" w:fill="5B9BD5"/>
            <w:tcMar>
              <w:top w:w="0" w:type="dxa"/>
              <w:left w:w="108" w:type="dxa"/>
              <w:bottom w:w="0" w:type="dxa"/>
              <w:right w:w="108" w:type="dxa"/>
            </w:tcMar>
          </w:tcPr>
          <w:p w14:paraId="41E09E73" w14:textId="6EC18F15" w:rsidR="001364EB" w:rsidRPr="002C2948" w:rsidRDefault="00153B50" w:rsidP="00814561">
            <w:pPr>
              <w:pStyle w:val="Tablehead"/>
              <w:jc w:val="left"/>
              <w:rPr>
                <w:color w:val="FFFFFF" w:themeColor="background1"/>
                <w:lang w:val="fr-FR"/>
              </w:rPr>
            </w:pPr>
            <w:r w:rsidRPr="002C2948">
              <w:rPr>
                <w:color w:val="FFFFFF" w:themeColor="background1"/>
                <w:lang w:val="fr-FR"/>
              </w:rPr>
              <w:t>Coordonnateurs</w:t>
            </w:r>
          </w:p>
        </w:tc>
        <w:tc>
          <w:tcPr>
            <w:tcW w:w="4054" w:type="dxa"/>
            <w:tcBorders>
              <w:top w:val="single" w:sz="8" w:space="0" w:color="FFFFFF"/>
              <w:left w:val="nil"/>
              <w:bottom w:val="single" w:sz="8" w:space="0" w:color="FFFFFF"/>
              <w:right w:val="single" w:sz="8" w:space="0" w:color="FFFFFF"/>
            </w:tcBorders>
            <w:shd w:val="clear" w:color="auto" w:fill="5B9BD5"/>
            <w:tcMar>
              <w:top w:w="0" w:type="dxa"/>
              <w:left w:w="108" w:type="dxa"/>
              <w:bottom w:w="0" w:type="dxa"/>
              <w:right w:w="108" w:type="dxa"/>
            </w:tcMar>
          </w:tcPr>
          <w:p w14:paraId="612B8069" w14:textId="13B3AB5B" w:rsidR="001364EB" w:rsidRPr="002C2948" w:rsidRDefault="00153B50" w:rsidP="00814561">
            <w:pPr>
              <w:pStyle w:val="Tablehead"/>
              <w:jc w:val="left"/>
              <w:rPr>
                <w:color w:val="FFFFFF" w:themeColor="background1"/>
                <w:lang w:val="fr-FR"/>
              </w:rPr>
            </w:pPr>
            <w:r w:rsidRPr="002C2948">
              <w:rPr>
                <w:color w:val="FFFFFF" w:themeColor="background1"/>
                <w:lang w:val="fr-FR"/>
              </w:rPr>
              <w:t>Pays</w:t>
            </w:r>
          </w:p>
        </w:tc>
      </w:tr>
      <w:tr w:rsidR="001364EB" w:rsidRPr="002C2948" w14:paraId="1E924E86" w14:textId="77777777" w:rsidTr="00AB0D4D">
        <w:tc>
          <w:tcPr>
            <w:tcW w:w="1691"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1DB8BAEF" w14:textId="137AE785" w:rsidR="001364EB" w:rsidRPr="002C2948" w:rsidRDefault="00153B50" w:rsidP="00814561">
            <w:pPr>
              <w:pStyle w:val="Tabletext"/>
              <w:rPr>
                <w:b/>
                <w:bCs/>
                <w:color w:val="FFFFFF" w:themeColor="background1"/>
                <w:lang w:val="fr-FR"/>
              </w:rPr>
            </w:pPr>
            <w:r w:rsidRPr="002C2948">
              <w:rPr>
                <w:b/>
                <w:bCs/>
                <w:color w:val="FFFFFF" w:themeColor="background1"/>
                <w:lang w:val="fr-FR"/>
              </w:rPr>
              <w:t>GCDT-GT-</w:t>
            </w:r>
            <w:r w:rsidR="001364EB" w:rsidRPr="002C2948">
              <w:rPr>
                <w:b/>
                <w:bCs/>
                <w:color w:val="FFFFFF" w:themeColor="background1"/>
                <w:lang w:val="fr-FR"/>
              </w:rPr>
              <w:t>Prep</w:t>
            </w:r>
          </w:p>
        </w:tc>
        <w:tc>
          <w:tcPr>
            <w:tcW w:w="326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52E822AA" w14:textId="634A5B24" w:rsidR="001364EB" w:rsidRPr="002C2948" w:rsidRDefault="001364EB" w:rsidP="00814561">
            <w:pPr>
              <w:pStyle w:val="Tabletext"/>
              <w:rPr>
                <w:color w:val="0070C0"/>
                <w:lang w:val="fr-FR"/>
              </w:rPr>
            </w:pPr>
            <w:r w:rsidRPr="002C2948">
              <w:rPr>
                <w:color w:val="0070C0"/>
                <w:lang w:val="fr-FR"/>
              </w:rPr>
              <w:t>M</w:t>
            </w:r>
            <w:r w:rsidR="00567A17" w:rsidRPr="002C2948">
              <w:rPr>
                <w:color w:val="0070C0"/>
                <w:lang w:val="fr-FR"/>
              </w:rPr>
              <w:t>me</w:t>
            </w:r>
            <w:r w:rsidRPr="002C2948">
              <w:rPr>
                <w:color w:val="0070C0"/>
                <w:lang w:val="fr-FR"/>
              </w:rPr>
              <w:t xml:space="preserve"> Andrea Grippa</w:t>
            </w:r>
          </w:p>
          <w:p w14:paraId="2E86A44F" w14:textId="65AC0102" w:rsidR="001364EB" w:rsidRPr="002C2948" w:rsidRDefault="001364EB" w:rsidP="00814561">
            <w:pPr>
              <w:pStyle w:val="Tabletext"/>
              <w:rPr>
                <w:color w:val="0070C0"/>
                <w:lang w:val="fr-FR"/>
              </w:rPr>
            </w:pPr>
            <w:r w:rsidRPr="002C2948">
              <w:rPr>
                <w:color w:val="0070C0"/>
                <w:lang w:val="fr-FR"/>
              </w:rPr>
              <w:t>M</w:t>
            </w:r>
            <w:r w:rsidR="00567A17" w:rsidRPr="002C2948">
              <w:rPr>
                <w:color w:val="0070C0"/>
                <w:lang w:val="fr-FR"/>
              </w:rPr>
              <w:t>.</w:t>
            </w:r>
            <w:r w:rsidRPr="002C2948">
              <w:rPr>
                <w:color w:val="0070C0"/>
                <w:lang w:val="fr-FR"/>
              </w:rPr>
              <w:t xml:space="preserve"> Daniel Carletti</w:t>
            </w:r>
          </w:p>
        </w:tc>
        <w:tc>
          <w:tcPr>
            <w:tcW w:w="4054"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7E5A2849" w14:textId="6CAFFE36" w:rsidR="001364EB" w:rsidRPr="002C2948" w:rsidRDefault="001364EB" w:rsidP="00814561">
            <w:pPr>
              <w:pStyle w:val="Tabletext"/>
              <w:rPr>
                <w:color w:val="0070C0"/>
                <w:lang w:val="fr-FR"/>
              </w:rPr>
            </w:pPr>
            <w:r w:rsidRPr="002C2948">
              <w:rPr>
                <w:color w:val="0070C0"/>
                <w:lang w:val="fr-FR"/>
              </w:rPr>
              <w:t>Br</w:t>
            </w:r>
            <w:r w:rsidR="00EC78E1" w:rsidRPr="002C2948">
              <w:rPr>
                <w:color w:val="0070C0"/>
                <w:lang w:val="fr-FR"/>
              </w:rPr>
              <w:t>és</w:t>
            </w:r>
            <w:r w:rsidRPr="002C2948">
              <w:rPr>
                <w:color w:val="0070C0"/>
                <w:lang w:val="fr-FR"/>
              </w:rPr>
              <w:t>il</w:t>
            </w:r>
          </w:p>
          <w:p w14:paraId="63C8848F" w14:textId="5983F801" w:rsidR="001364EB" w:rsidRPr="002C2948" w:rsidRDefault="001364EB" w:rsidP="00814561">
            <w:pPr>
              <w:pStyle w:val="Tabletext"/>
              <w:rPr>
                <w:color w:val="0070C0"/>
                <w:lang w:val="fr-FR"/>
              </w:rPr>
            </w:pPr>
            <w:r w:rsidRPr="002C2948">
              <w:rPr>
                <w:color w:val="0070C0"/>
                <w:lang w:val="fr-FR"/>
              </w:rPr>
              <w:t>Argentin</w:t>
            </w:r>
            <w:r w:rsidR="00EC78E1" w:rsidRPr="002C2948">
              <w:rPr>
                <w:color w:val="0070C0"/>
                <w:lang w:val="fr-FR"/>
              </w:rPr>
              <w:t>e</w:t>
            </w:r>
          </w:p>
        </w:tc>
      </w:tr>
      <w:tr w:rsidR="001364EB" w:rsidRPr="002C2948" w14:paraId="3630F5CA" w14:textId="77777777" w:rsidTr="00AB0D4D">
        <w:tc>
          <w:tcPr>
            <w:tcW w:w="1691"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6DDB25B9" w14:textId="3120E076" w:rsidR="001364EB" w:rsidRPr="002C2948" w:rsidRDefault="00153B50" w:rsidP="00814561">
            <w:pPr>
              <w:pStyle w:val="Tabletext"/>
              <w:rPr>
                <w:b/>
                <w:bCs/>
                <w:color w:val="FFFFFF" w:themeColor="background1"/>
                <w:lang w:val="fr-FR"/>
              </w:rPr>
            </w:pPr>
            <w:r w:rsidRPr="002C2948">
              <w:rPr>
                <w:b/>
                <w:bCs/>
                <w:color w:val="FFFFFF" w:themeColor="background1"/>
                <w:lang w:val="fr-FR"/>
              </w:rPr>
              <w:t>GCDT-GT-</w:t>
            </w:r>
            <w:r w:rsidR="001364EB" w:rsidRPr="002C2948">
              <w:rPr>
                <w:b/>
                <w:bCs/>
                <w:color w:val="FFFFFF" w:themeColor="background1"/>
                <w:lang w:val="fr-FR"/>
              </w:rPr>
              <w:t>SOP</w:t>
            </w:r>
          </w:p>
        </w:tc>
        <w:tc>
          <w:tcPr>
            <w:tcW w:w="326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0B430925" w14:textId="2884E453" w:rsidR="001364EB" w:rsidRPr="002C2948" w:rsidRDefault="001364EB" w:rsidP="00814561">
            <w:pPr>
              <w:pStyle w:val="Tabletext"/>
              <w:rPr>
                <w:color w:val="0070C0"/>
                <w:lang w:val="fr-FR"/>
              </w:rPr>
            </w:pPr>
            <w:r w:rsidRPr="002C2948">
              <w:rPr>
                <w:color w:val="0070C0"/>
                <w:lang w:val="fr-FR"/>
              </w:rPr>
              <w:t>M</w:t>
            </w:r>
            <w:r w:rsidR="00567A17" w:rsidRPr="002C2948">
              <w:rPr>
                <w:color w:val="0070C0"/>
                <w:lang w:val="fr-FR"/>
              </w:rPr>
              <w:t>me</w:t>
            </w:r>
            <w:r w:rsidRPr="002C2948">
              <w:rPr>
                <w:color w:val="0070C0"/>
                <w:lang w:val="fr-FR"/>
              </w:rPr>
              <w:t xml:space="preserve"> Kelly O</w:t>
            </w:r>
            <w:r w:rsidR="00E2047A" w:rsidRPr="002C2948">
              <w:rPr>
                <w:color w:val="0070C0"/>
                <w:lang w:val="fr-FR"/>
              </w:rPr>
              <w:t>'</w:t>
            </w:r>
            <w:r w:rsidRPr="002C2948">
              <w:rPr>
                <w:color w:val="0070C0"/>
                <w:lang w:val="fr-FR"/>
              </w:rPr>
              <w:t xml:space="preserve">Keefe </w:t>
            </w:r>
          </w:p>
          <w:p w14:paraId="25C28950" w14:textId="64A8FEF6" w:rsidR="001364EB" w:rsidRPr="002C2948" w:rsidRDefault="001364EB" w:rsidP="00814561">
            <w:pPr>
              <w:pStyle w:val="Tabletext"/>
              <w:rPr>
                <w:color w:val="0070C0"/>
                <w:lang w:val="fr-FR"/>
              </w:rPr>
            </w:pPr>
            <w:r w:rsidRPr="002C2948">
              <w:rPr>
                <w:color w:val="0070C0"/>
                <w:lang w:val="fr-FR"/>
              </w:rPr>
              <w:t>M</w:t>
            </w:r>
            <w:r w:rsidR="00567A17" w:rsidRPr="002C2948">
              <w:rPr>
                <w:color w:val="0070C0"/>
                <w:lang w:val="fr-FR"/>
              </w:rPr>
              <w:t>me</w:t>
            </w:r>
            <w:r w:rsidRPr="002C2948">
              <w:rPr>
                <w:color w:val="0070C0"/>
                <w:lang w:val="fr-FR"/>
              </w:rPr>
              <w:t xml:space="preserve"> Xian Persaud</w:t>
            </w:r>
          </w:p>
        </w:tc>
        <w:tc>
          <w:tcPr>
            <w:tcW w:w="4054"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331A96BC" w14:textId="70A1BC63" w:rsidR="001364EB" w:rsidRPr="002C2948" w:rsidRDefault="00567A17" w:rsidP="00814561">
            <w:pPr>
              <w:pStyle w:val="Tabletext"/>
              <w:rPr>
                <w:color w:val="0070C0"/>
                <w:lang w:val="fr-FR"/>
              </w:rPr>
            </w:pPr>
            <w:r w:rsidRPr="002C2948">
              <w:rPr>
                <w:color w:val="0070C0"/>
                <w:lang w:val="fr-FR"/>
              </w:rPr>
              <w:t>États-Unis d'Amérique</w:t>
            </w:r>
          </w:p>
          <w:p w14:paraId="1E156784" w14:textId="68F3E919" w:rsidR="001364EB" w:rsidRPr="002C2948" w:rsidRDefault="001364EB" w:rsidP="00814561">
            <w:pPr>
              <w:pStyle w:val="Tabletext"/>
              <w:rPr>
                <w:color w:val="0070C0"/>
                <w:lang w:val="fr-FR"/>
              </w:rPr>
            </w:pPr>
            <w:r w:rsidRPr="002C2948">
              <w:rPr>
                <w:color w:val="0070C0"/>
                <w:lang w:val="fr-FR"/>
              </w:rPr>
              <w:t>Bahamas</w:t>
            </w:r>
          </w:p>
        </w:tc>
      </w:tr>
      <w:tr w:rsidR="001364EB" w:rsidRPr="002C2948" w14:paraId="7881A4A8" w14:textId="77777777" w:rsidTr="00AB0D4D">
        <w:tc>
          <w:tcPr>
            <w:tcW w:w="1691" w:type="dxa"/>
            <w:tcBorders>
              <w:top w:val="nil"/>
              <w:left w:val="single" w:sz="8" w:space="0" w:color="FFFFFF"/>
              <w:bottom w:val="nil"/>
              <w:right w:val="single" w:sz="8" w:space="0" w:color="FFFFFF"/>
            </w:tcBorders>
            <w:shd w:val="clear" w:color="auto" w:fill="5B9BD5"/>
            <w:tcMar>
              <w:top w:w="0" w:type="dxa"/>
              <w:left w:w="108" w:type="dxa"/>
              <w:bottom w:w="0" w:type="dxa"/>
              <w:right w:w="108" w:type="dxa"/>
            </w:tcMar>
            <w:hideMark/>
          </w:tcPr>
          <w:p w14:paraId="0F522120" w14:textId="715AEA91" w:rsidR="001364EB" w:rsidRPr="002C2948" w:rsidRDefault="00153B50" w:rsidP="00814561">
            <w:pPr>
              <w:pStyle w:val="Tabletext"/>
              <w:rPr>
                <w:b/>
                <w:bCs/>
                <w:color w:val="FFFFFF" w:themeColor="background1"/>
                <w:lang w:val="fr-FR"/>
              </w:rPr>
            </w:pPr>
            <w:r w:rsidRPr="002C2948">
              <w:rPr>
                <w:b/>
                <w:bCs/>
                <w:color w:val="FFFFFF" w:themeColor="background1"/>
                <w:lang w:val="fr-FR"/>
              </w:rPr>
              <w:t>GCDT-GT-</w:t>
            </w:r>
            <w:r w:rsidR="001364EB" w:rsidRPr="002C2948">
              <w:rPr>
                <w:b/>
                <w:bCs/>
                <w:color w:val="FFFFFF" w:themeColor="background1"/>
                <w:lang w:val="fr-FR"/>
              </w:rPr>
              <w:t>RDTP</w:t>
            </w:r>
          </w:p>
        </w:tc>
        <w:tc>
          <w:tcPr>
            <w:tcW w:w="3261" w:type="dxa"/>
            <w:tcBorders>
              <w:top w:val="nil"/>
              <w:left w:val="nil"/>
              <w:right w:val="single" w:sz="8" w:space="0" w:color="FFFFFF"/>
            </w:tcBorders>
            <w:shd w:val="clear" w:color="auto" w:fill="DEEAF6"/>
            <w:tcMar>
              <w:top w:w="0" w:type="dxa"/>
              <w:left w:w="108" w:type="dxa"/>
              <w:bottom w:w="0" w:type="dxa"/>
              <w:right w:w="108" w:type="dxa"/>
            </w:tcMar>
          </w:tcPr>
          <w:p w14:paraId="5CCD7AD3" w14:textId="2C8C2007" w:rsidR="001364EB" w:rsidRPr="002C2948" w:rsidRDefault="001364EB" w:rsidP="00814561">
            <w:pPr>
              <w:pStyle w:val="Tabletext"/>
              <w:rPr>
                <w:color w:val="0070C0"/>
                <w:lang w:val="fr-FR"/>
              </w:rPr>
            </w:pPr>
            <w:r w:rsidRPr="002C2948">
              <w:rPr>
                <w:color w:val="0070C0"/>
                <w:lang w:val="fr-FR"/>
              </w:rPr>
              <w:t>M</w:t>
            </w:r>
            <w:r w:rsidR="00567A17" w:rsidRPr="002C2948">
              <w:rPr>
                <w:color w:val="0070C0"/>
                <w:lang w:val="fr-FR"/>
              </w:rPr>
              <w:t>.</w:t>
            </w:r>
            <w:r w:rsidRPr="002C2948">
              <w:rPr>
                <w:color w:val="0070C0"/>
                <w:lang w:val="fr-FR"/>
              </w:rPr>
              <w:t xml:space="preserve"> Víctor Martínez </w:t>
            </w:r>
          </w:p>
          <w:p w14:paraId="51EDE551" w14:textId="1E89BFEB" w:rsidR="001364EB" w:rsidRPr="002C2948" w:rsidRDefault="001364EB" w:rsidP="00814561">
            <w:pPr>
              <w:pStyle w:val="Tabletext"/>
              <w:rPr>
                <w:color w:val="0070C0"/>
                <w:lang w:val="fr-FR"/>
              </w:rPr>
            </w:pPr>
            <w:r w:rsidRPr="002C2948">
              <w:rPr>
                <w:color w:val="0070C0"/>
                <w:lang w:val="fr-FR"/>
              </w:rPr>
              <w:t>M</w:t>
            </w:r>
            <w:r w:rsidR="00567A17" w:rsidRPr="002C2948">
              <w:rPr>
                <w:color w:val="0070C0"/>
                <w:lang w:val="fr-FR"/>
              </w:rPr>
              <w:t>me</w:t>
            </w:r>
            <w:r w:rsidRPr="002C2948">
              <w:rPr>
                <w:color w:val="0070C0"/>
                <w:lang w:val="fr-FR"/>
              </w:rPr>
              <w:t xml:space="preserve"> Michele Wu-Bailey</w:t>
            </w:r>
          </w:p>
        </w:tc>
        <w:tc>
          <w:tcPr>
            <w:tcW w:w="4054" w:type="dxa"/>
            <w:tcBorders>
              <w:top w:val="nil"/>
              <w:left w:val="nil"/>
              <w:right w:val="single" w:sz="8" w:space="0" w:color="FFFFFF"/>
            </w:tcBorders>
            <w:shd w:val="clear" w:color="auto" w:fill="DEEAF6"/>
            <w:tcMar>
              <w:top w:w="0" w:type="dxa"/>
              <w:left w:w="108" w:type="dxa"/>
              <w:bottom w:w="0" w:type="dxa"/>
              <w:right w:w="108" w:type="dxa"/>
            </w:tcMar>
          </w:tcPr>
          <w:p w14:paraId="3BC3B093" w14:textId="77777777" w:rsidR="004A4301" w:rsidRPr="002C2948" w:rsidRDefault="001364EB" w:rsidP="00814561">
            <w:pPr>
              <w:pStyle w:val="Tabletext"/>
              <w:rPr>
                <w:color w:val="0070C0"/>
                <w:lang w:val="fr-FR"/>
              </w:rPr>
            </w:pPr>
            <w:r w:rsidRPr="002C2948">
              <w:rPr>
                <w:color w:val="0070C0"/>
                <w:lang w:val="fr-FR"/>
              </w:rPr>
              <w:t>Mexi</w:t>
            </w:r>
            <w:r w:rsidR="00567A17" w:rsidRPr="002C2948">
              <w:rPr>
                <w:color w:val="0070C0"/>
                <w:lang w:val="fr-FR"/>
              </w:rPr>
              <w:t>que</w:t>
            </w:r>
          </w:p>
          <w:p w14:paraId="2E832726" w14:textId="5D59CDA5" w:rsidR="001364EB" w:rsidRPr="002C2948" w:rsidRDefault="00567A17" w:rsidP="00814561">
            <w:pPr>
              <w:pStyle w:val="Tabletext"/>
              <w:rPr>
                <w:color w:val="0070C0"/>
                <w:lang w:val="fr-FR"/>
              </w:rPr>
            </w:pPr>
            <w:r w:rsidRPr="002C2948">
              <w:rPr>
                <w:color w:val="0070C0"/>
                <w:lang w:val="fr-FR"/>
              </w:rPr>
              <w:t>États-Unis d'Amérique</w:t>
            </w:r>
          </w:p>
        </w:tc>
      </w:tr>
    </w:tbl>
    <w:p w14:paraId="30ADA1D0" w14:textId="59330F67" w:rsidR="00153B50" w:rsidRPr="002C2948" w:rsidRDefault="001364EB" w:rsidP="00354F8E">
      <w:pPr>
        <w:spacing w:before="240"/>
        <w:rPr>
          <w:lang w:val="fr-FR"/>
        </w:rPr>
      </w:pPr>
      <w:r w:rsidRPr="002C2948">
        <w:rPr>
          <w:lang w:val="fr-FR"/>
        </w:rPr>
        <w:t>4.5</w:t>
      </w:r>
      <w:r w:rsidR="00567A17" w:rsidRPr="002C2948">
        <w:rPr>
          <w:lang w:val="fr-FR"/>
        </w:rPr>
        <w:tab/>
      </w:r>
      <w:r w:rsidR="00153B50" w:rsidRPr="002C2948">
        <w:rPr>
          <w:lang w:val="fr-FR"/>
        </w:rPr>
        <w:t xml:space="preserve">Les résultats de la </w:t>
      </w:r>
      <w:r w:rsidR="00814561" w:rsidRPr="002C2948">
        <w:rPr>
          <w:lang w:val="fr-FR"/>
        </w:rPr>
        <w:t>CMDT-21</w:t>
      </w:r>
      <w:r w:rsidR="00153B50" w:rsidRPr="002C2948">
        <w:rPr>
          <w:lang w:val="fr-FR"/>
        </w:rPr>
        <w:t xml:space="preserve"> doivent </w:t>
      </w:r>
      <w:r w:rsidR="003D4D11" w:rsidRPr="002C2948">
        <w:rPr>
          <w:lang w:val="fr-FR"/>
        </w:rPr>
        <w:t>rendre compte</w:t>
      </w:r>
      <w:r w:rsidR="00153B50" w:rsidRPr="002C2948">
        <w:rPr>
          <w:lang w:val="fr-FR"/>
        </w:rPr>
        <w:t xml:space="preserve"> de mesure</w:t>
      </w:r>
      <w:r w:rsidR="003D4D11" w:rsidRPr="002C2948">
        <w:rPr>
          <w:lang w:val="fr-FR"/>
        </w:rPr>
        <w:t>s et</w:t>
      </w:r>
      <w:r w:rsidR="00153B50" w:rsidRPr="002C2948">
        <w:rPr>
          <w:lang w:val="fr-FR"/>
        </w:rPr>
        <w:t xml:space="preserve"> de politiques concrètes et coordonnées commune</w:t>
      </w:r>
      <w:r w:rsidR="003D4D11" w:rsidRPr="002C2948">
        <w:rPr>
          <w:lang w:val="fr-FR"/>
        </w:rPr>
        <w:t>s</w:t>
      </w:r>
      <w:r w:rsidR="00153B50" w:rsidRPr="002C2948">
        <w:rPr>
          <w:lang w:val="fr-FR"/>
        </w:rPr>
        <w:t xml:space="preserve"> à toutes les parties prenantes (États Membres, Membres de Secteur, Associés, société civile, ONG, institutions financières internationales, secteur privé et banques de développement).</w:t>
      </w:r>
    </w:p>
    <w:p w14:paraId="3E70001E" w14:textId="2C28C3D5" w:rsidR="00153B50" w:rsidRPr="002C2948" w:rsidRDefault="001364EB" w:rsidP="00814561">
      <w:pPr>
        <w:rPr>
          <w:lang w:val="fr-FR"/>
        </w:rPr>
      </w:pPr>
      <w:r w:rsidRPr="002C2948">
        <w:rPr>
          <w:lang w:val="fr-FR"/>
        </w:rPr>
        <w:t>4.6</w:t>
      </w:r>
      <w:r w:rsidR="00567A17" w:rsidRPr="002C2948">
        <w:rPr>
          <w:lang w:val="fr-FR"/>
        </w:rPr>
        <w:tab/>
      </w:r>
      <w:r w:rsidR="00813CE7" w:rsidRPr="002C2948">
        <w:rPr>
          <w:lang w:val="fr-FR"/>
        </w:rPr>
        <w:t>Les priorités régionales devraient avoir un lien et cadrer avec les priorités thématiques qui seront identifiées. Un aspect fondamental pour la région Amériques e</w:t>
      </w:r>
      <w:r w:rsidR="003D4D11" w:rsidRPr="002C2948">
        <w:rPr>
          <w:lang w:val="fr-FR"/>
        </w:rPr>
        <w:t>s</w:t>
      </w:r>
      <w:r w:rsidR="00813CE7" w:rsidRPr="002C2948">
        <w:rPr>
          <w:lang w:val="fr-FR"/>
        </w:rPr>
        <w:t>t que toutes les priorités soient définies et mises en œuvre selon les principes d'universalité, d'équité et d'accessibilité financière.</w:t>
      </w:r>
    </w:p>
    <w:p w14:paraId="42689F58" w14:textId="2223A7E5" w:rsidR="00813CE7" w:rsidRPr="002C2948" w:rsidRDefault="001364EB" w:rsidP="00814561">
      <w:pPr>
        <w:rPr>
          <w:lang w:val="fr-FR"/>
        </w:rPr>
      </w:pPr>
      <w:r w:rsidRPr="002C2948">
        <w:rPr>
          <w:lang w:val="fr-FR"/>
        </w:rPr>
        <w:t>4.7</w:t>
      </w:r>
      <w:r w:rsidR="00567A17" w:rsidRPr="002C2948">
        <w:rPr>
          <w:lang w:val="fr-FR"/>
        </w:rPr>
        <w:tab/>
      </w:r>
      <w:r w:rsidR="00813CE7" w:rsidRPr="002C2948">
        <w:rPr>
          <w:lang w:val="fr-FR"/>
        </w:rPr>
        <w:t xml:space="preserve">La </w:t>
      </w:r>
      <w:r w:rsidR="003D4D11" w:rsidRPr="002C2948">
        <w:rPr>
          <w:lang w:val="fr-FR"/>
        </w:rPr>
        <w:t>CITEL espère examiner</w:t>
      </w:r>
      <w:r w:rsidR="00813CE7" w:rsidRPr="002C2948">
        <w:rPr>
          <w:lang w:val="fr-FR"/>
        </w:rPr>
        <w:t xml:space="preserve"> les Questions confiées aux commissions d'études et la restructuration de ces commissions; ramener, si possible, à quatre le nombre de priorités thématiques pour l'UIT</w:t>
      </w:r>
      <w:r w:rsidR="004A4301" w:rsidRPr="002C2948">
        <w:rPr>
          <w:lang w:val="fr-FR"/>
        </w:rPr>
        <w:t>-</w:t>
      </w:r>
      <w:r w:rsidR="00813CE7" w:rsidRPr="002C2948">
        <w:rPr>
          <w:lang w:val="fr-FR"/>
        </w:rPr>
        <w:t>D/BDT, aujourd'hui au nombre de 10; élaborer une déclaration d'Addis</w:t>
      </w:r>
      <w:r w:rsidR="004A4301" w:rsidRPr="002C2948">
        <w:rPr>
          <w:lang w:val="fr-FR"/>
        </w:rPr>
        <w:noBreakHyphen/>
      </w:r>
      <w:r w:rsidR="00813CE7" w:rsidRPr="002C2948">
        <w:rPr>
          <w:lang w:val="fr-FR"/>
        </w:rPr>
        <w:t>Abeba fidèle au thème de la Conférence et examiner la présence régionale de l'UIT.</w:t>
      </w:r>
    </w:p>
    <w:p w14:paraId="568C7A46" w14:textId="46C3D05C" w:rsidR="00813CE7" w:rsidRPr="002C2948" w:rsidRDefault="001364EB" w:rsidP="00814561">
      <w:pPr>
        <w:rPr>
          <w:lang w:val="fr-FR"/>
        </w:rPr>
      </w:pPr>
      <w:r w:rsidRPr="002C2948">
        <w:rPr>
          <w:lang w:val="fr-FR"/>
        </w:rPr>
        <w:t>4.8</w:t>
      </w:r>
      <w:r w:rsidR="00567A17" w:rsidRPr="002C2948">
        <w:rPr>
          <w:lang w:val="fr-FR"/>
        </w:rPr>
        <w:tab/>
      </w:r>
      <w:r w:rsidR="00813CE7" w:rsidRPr="002C2948">
        <w:rPr>
          <w:lang w:val="fr-FR"/>
        </w:rPr>
        <w:t>Un représentant de la</w:t>
      </w:r>
      <w:r w:rsidRPr="002C2948">
        <w:rPr>
          <w:bCs/>
          <w:lang w:val="fr-FR"/>
        </w:rPr>
        <w:t xml:space="preserve"> </w:t>
      </w:r>
      <w:r w:rsidR="00813CE7" w:rsidRPr="002C2948">
        <w:rPr>
          <w:b/>
          <w:lang w:val="fr-FR"/>
        </w:rPr>
        <w:t>Télécommunauté Asie-Pacifique</w:t>
      </w:r>
      <w:r w:rsidRPr="002C2948">
        <w:rPr>
          <w:b/>
          <w:lang w:val="fr-FR"/>
        </w:rPr>
        <w:t xml:space="preserve"> (APT)</w:t>
      </w:r>
      <w:r w:rsidRPr="002C2948">
        <w:rPr>
          <w:lang w:val="fr-FR"/>
        </w:rPr>
        <w:t xml:space="preserve"> </w:t>
      </w:r>
      <w:r w:rsidR="00813CE7" w:rsidRPr="002C2948">
        <w:rPr>
          <w:lang w:val="fr-FR"/>
        </w:rPr>
        <w:t>du Japon a présenté le</w:t>
      </w:r>
      <w:r w:rsidRPr="002C2948">
        <w:rPr>
          <w:lang w:val="fr-FR"/>
        </w:rPr>
        <w:t xml:space="preserve"> </w:t>
      </w:r>
      <w:hyperlink r:id="rId15" w:history="1">
        <w:r w:rsidRPr="002C2948">
          <w:rPr>
            <w:rStyle w:val="Hyperlink"/>
            <w:rFonts w:asciiTheme="minorHAnsi" w:hAnsiTheme="minorHAnsi" w:cstheme="minorHAnsi"/>
            <w:lang w:val="fr-FR"/>
          </w:rPr>
          <w:t>Document 24</w:t>
        </w:r>
      </w:hyperlink>
      <w:r w:rsidRPr="002C2948">
        <w:rPr>
          <w:lang w:val="fr-FR"/>
        </w:rPr>
        <w:t xml:space="preserve"> </w:t>
      </w:r>
      <w:r w:rsidR="00813CE7" w:rsidRPr="002C2948">
        <w:rPr>
          <w:lang w:val="fr-FR"/>
        </w:rPr>
        <w:t>qui contient un résumé des activités préparatoires menées par l'APT.</w:t>
      </w:r>
      <w:r w:rsidRPr="002C2948">
        <w:rPr>
          <w:lang w:val="fr-FR"/>
        </w:rPr>
        <w:t xml:space="preserve"> </w:t>
      </w:r>
      <w:r w:rsidR="00813CE7" w:rsidRPr="002C2948">
        <w:rPr>
          <w:lang w:val="fr-FR"/>
        </w:rPr>
        <w:t xml:space="preserve">Le Groupe de préparation de l'APT en vue de la CMDT (voir la structure présentée dans l'encadré) coordonne les activités régionales menées en vue des conférences mondiales de développement des télécommunications afin de </w:t>
      </w:r>
      <w:r w:rsidR="00F81D74" w:rsidRPr="002C2948">
        <w:rPr>
          <w:lang w:val="fr-FR"/>
        </w:rPr>
        <w:t>faire en sorte</w:t>
      </w:r>
      <w:r w:rsidR="00813CE7" w:rsidRPr="002C2948">
        <w:rPr>
          <w:lang w:val="fr-FR"/>
        </w:rPr>
        <w:t xml:space="preserve"> que les intérêts des </w:t>
      </w:r>
      <w:r w:rsidR="00354F8E">
        <w:rPr>
          <w:lang w:val="fr-FR"/>
        </w:rPr>
        <w:t>M</w:t>
      </w:r>
      <w:r w:rsidR="00813CE7" w:rsidRPr="002C2948">
        <w:rPr>
          <w:lang w:val="fr-FR"/>
        </w:rPr>
        <w:t>embres de l'APT, en ce qui concerne le développement des TIC, soient correctement représentés.</w:t>
      </w:r>
    </w:p>
    <w:p w14:paraId="43EAD59B" w14:textId="0BFF8B74" w:rsidR="00567A17" w:rsidRPr="002C2948" w:rsidRDefault="008268FC" w:rsidP="00814561">
      <w:pPr>
        <w:pStyle w:val="Headingb"/>
        <w:spacing w:after="120"/>
        <w:rPr>
          <w:lang w:val="fr-FR"/>
        </w:rPr>
      </w:pPr>
      <w:r w:rsidRPr="002C2948">
        <w:rPr>
          <w:lang w:val="fr-FR"/>
        </w:rPr>
        <w:t>Groupe de préparation de l'APT en vue de la CMDT</w:t>
      </w:r>
    </w:p>
    <w:tbl>
      <w:tblPr>
        <w:tblW w:w="5000" w:type="pct"/>
        <w:tblCellMar>
          <w:left w:w="0" w:type="dxa"/>
          <w:right w:w="0" w:type="dxa"/>
        </w:tblCellMar>
        <w:tblLook w:val="04A0" w:firstRow="1" w:lastRow="0" w:firstColumn="1" w:lastColumn="0" w:noHBand="0" w:noVBand="1"/>
      </w:tblPr>
      <w:tblGrid>
        <w:gridCol w:w="9621"/>
      </w:tblGrid>
      <w:tr w:rsidR="00567A17" w:rsidRPr="00121EC7" w14:paraId="6D7D9EDB" w14:textId="77777777" w:rsidTr="00AB0D4D">
        <w:tc>
          <w:tcPr>
            <w:tcW w:w="9006" w:type="dxa"/>
            <w:tcBorders>
              <w:top w:val="single" w:sz="8" w:space="0" w:color="FFFFFF"/>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231165DD" w14:textId="539E935E" w:rsidR="00567A17" w:rsidRPr="002C2948" w:rsidRDefault="008268FC" w:rsidP="00814561">
            <w:pPr>
              <w:pStyle w:val="Tabletext"/>
              <w:rPr>
                <w:b/>
                <w:bCs/>
                <w:lang w:val="fr-FR"/>
              </w:rPr>
            </w:pPr>
            <w:r w:rsidRPr="002C2948">
              <w:rPr>
                <w:b/>
                <w:bCs/>
                <w:color w:val="FFFFFF" w:themeColor="background1"/>
                <w:lang w:val="fr-FR"/>
              </w:rPr>
              <w:t>Plénière</w:t>
            </w:r>
            <w:r w:rsidR="00567A17" w:rsidRPr="002C2948">
              <w:rPr>
                <w:b/>
                <w:bCs/>
                <w:color w:val="FFFFFF" w:themeColor="background1"/>
                <w:lang w:val="fr-FR"/>
              </w:rPr>
              <w:t xml:space="preserve">: </w:t>
            </w:r>
            <w:r w:rsidRPr="002C2948">
              <w:rPr>
                <w:b/>
                <w:bCs/>
                <w:color w:val="FFFFFF" w:themeColor="background1"/>
                <w:lang w:val="fr-FR"/>
              </w:rPr>
              <w:t>Président</w:t>
            </w:r>
            <w:r w:rsidR="00567A17" w:rsidRPr="002C2948">
              <w:rPr>
                <w:b/>
                <w:bCs/>
                <w:color w:val="FFFFFF" w:themeColor="background1"/>
                <w:lang w:val="fr-FR"/>
              </w:rPr>
              <w:t xml:space="preserve">: </w:t>
            </w:r>
            <w:r w:rsidRPr="002C2948">
              <w:rPr>
                <w:b/>
                <w:bCs/>
                <w:color w:val="FFFFFF" w:themeColor="background1"/>
                <w:lang w:val="fr-FR"/>
              </w:rPr>
              <w:t>M.</w:t>
            </w:r>
            <w:r w:rsidR="00567A17" w:rsidRPr="002C2948">
              <w:rPr>
                <w:b/>
                <w:bCs/>
                <w:color w:val="FFFFFF" w:themeColor="background1"/>
                <w:lang w:val="fr-FR"/>
              </w:rPr>
              <w:t xml:space="preserve"> Ahmad Sharafat (</w:t>
            </w:r>
            <w:r w:rsidR="001B2ABF" w:rsidRPr="002C2948">
              <w:rPr>
                <w:b/>
                <w:bCs/>
                <w:color w:val="FFFFFF" w:themeColor="background1"/>
                <w:lang w:val="fr-FR"/>
              </w:rPr>
              <w:t>Iran (République islamique d')</w:t>
            </w:r>
            <w:r w:rsidR="00567A17" w:rsidRPr="002C2948">
              <w:rPr>
                <w:b/>
                <w:bCs/>
                <w:color w:val="FFFFFF" w:themeColor="background1"/>
                <w:lang w:val="fr-FR"/>
              </w:rPr>
              <w:t>)</w:t>
            </w:r>
          </w:p>
        </w:tc>
      </w:tr>
      <w:tr w:rsidR="00567A17" w:rsidRPr="00121EC7" w14:paraId="5E8C4C0D" w14:textId="77777777" w:rsidTr="00AB0D4D">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07443405" w14:textId="4D929C33" w:rsidR="00567A17" w:rsidRPr="002C2948" w:rsidRDefault="00567A17" w:rsidP="00814561">
            <w:pPr>
              <w:pStyle w:val="Tabletext"/>
              <w:rPr>
                <w:color w:val="5B9BD5" w:themeColor="accent1"/>
                <w:lang w:val="fr-FR"/>
              </w:rPr>
            </w:pPr>
            <w:r w:rsidRPr="002C2948">
              <w:rPr>
                <w:color w:val="5B9BD5" w:themeColor="accent1"/>
                <w:lang w:val="fr-FR"/>
              </w:rPr>
              <w:t>Vice-</w:t>
            </w:r>
            <w:r w:rsidR="008268FC" w:rsidRPr="002C2948">
              <w:rPr>
                <w:color w:val="5B9BD5" w:themeColor="accent1"/>
                <w:lang w:val="fr-FR"/>
              </w:rPr>
              <w:t>Présidents</w:t>
            </w:r>
            <w:r w:rsidRPr="002C2948">
              <w:rPr>
                <w:color w:val="5B9BD5" w:themeColor="accent1"/>
                <w:lang w:val="fr-FR"/>
              </w:rPr>
              <w:t>: M</w:t>
            </w:r>
            <w:r w:rsidR="001B2ABF" w:rsidRPr="002C2948">
              <w:rPr>
                <w:color w:val="5B9BD5" w:themeColor="accent1"/>
                <w:lang w:val="fr-FR"/>
              </w:rPr>
              <w:t>.</w:t>
            </w:r>
            <w:r w:rsidRPr="002C2948">
              <w:rPr>
                <w:color w:val="5B9BD5" w:themeColor="accent1"/>
                <w:lang w:val="fr-FR"/>
              </w:rPr>
              <w:t xml:space="preserve"> Norifumi Yamaguchi (Jap</w:t>
            </w:r>
            <w:r w:rsidR="001B2ABF" w:rsidRPr="002C2948">
              <w:rPr>
                <w:color w:val="5B9BD5" w:themeColor="accent1"/>
                <w:lang w:val="fr-FR"/>
              </w:rPr>
              <w:t>o</w:t>
            </w:r>
            <w:r w:rsidRPr="002C2948">
              <w:rPr>
                <w:color w:val="5B9BD5" w:themeColor="accent1"/>
                <w:lang w:val="fr-FR"/>
              </w:rPr>
              <w:t xml:space="preserve">n), </w:t>
            </w:r>
            <w:r w:rsidRPr="002C2948">
              <w:rPr>
                <w:bCs/>
                <w:color w:val="5B9BD5" w:themeColor="accent1"/>
                <w:lang w:val="fr-FR"/>
              </w:rPr>
              <w:t>M</w:t>
            </w:r>
            <w:r w:rsidR="001B2ABF" w:rsidRPr="002C2948">
              <w:rPr>
                <w:bCs/>
                <w:color w:val="5B9BD5" w:themeColor="accent1"/>
                <w:lang w:val="fr-FR"/>
              </w:rPr>
              <w:t>.</w:t>
            </w:r>
            <w:r w:rsidRPr="002C2948">
              <w:rPr>
                <w:bCs/>
                <w:color w:val="5B9BD5" w:themeColor="accent1"/>
                <w:lang w:val="fr-FR"/>
              </w:rPr>
              <w:t xml:space="preserve"> Sung Joon Choi </w:t>
            </w:r>
            <w:r w:rsidRPr="002C2948">
              <w:rPr>
                <w:color w:val="5B9BD5" w:themeColor="accent1"/>
                <w:lang w:val="fr-FR"/>
              </w:rPr>
              <w:t>(</w:t>
            </w:r>
            <w:r w:rsidR="001B2ABF" w:rsidRPr="002C2948">
              <w:rPr>
                <w:color w:val="5B9BD5" w:themeColor="accent1"/>
                <w:lang w:val="fr-FR"/>
              </w:rPr>
              <w:t>République de Corée</w:t>
            </w:r>
            <w:r w:rsidRPr="002C2948">
              <w:rPr>
                <w:color w:val="5B9BD5" w:themeColor="accent1"/>
                <w:lang w:val="fr-FR"/>
              </w:rPr>
              <w:t>)</w:t>
            </w:r>
          </w:p>
        </w:tc>
      </w:tr>
      <w:tr w:rsidR="00567A17" w:rsidRPr="00121EC7" w14:paraId="292A6A2A" w14:textId="77777777" w:rsidTr="00AB0D4D">
        <w:tc>
          <w:tcPr>
            <w:tcW w:w="90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474E7D51" w14:textId="553DDA17" w:rsidR="00567A17" w:rsidRPr="002C2948" w:rsidRDefault="008268FC" w:rsidP="00354F8E">
            <w:pPr>
              <w:pStyle w:val="Tabletext"/>
              <w:rPr>
                <w:b/>
                <w:bCs/>
                <w:lang w:val="fr-FR"/>
              </w:rPr>
            </w:pPr>
            <w:r w:rsidRPr="002C2948">
              <w:rPr>
                <w:b/>
                <w:bCs/>
                <w:color w:val="FFFFFF" w:themeColor="background1"/>
                <w:lang w:val="fr-FR"/>
              </w:rPr>
              <w:t>Groupe de travail</w:t>
            </w:r>
            <w:r w:rsidR="00567A17" w:rsidRPr="002C2948">
              <w:rPr>
                <w:b/>
                <w:bCs/>
                <w:color w:val="FFFFFF" w:themeColor="background1"/>
                <w:lang w:val="fr-FR"/>
              </w:rPr>
              <w:t xml:space="preserve"> 1 (</w:t>
            </w:r>
            <w:r w:rsidRPr="002C2948">
              <w:rPr>
                <w:b/>
                <w:bCs/>
                <w:color w:val="FFFFFF" w:themeColor="background1"/>
                <w:lang w:val="fr-FR"/>
              </w:rPr>
              <w:t>GT</w:t>
            </w:r>
            <w:r w:rsidR="004A4301" w:rsidRPr="002C2948">
              <w:rPr>
                <w:b/>
                <w:bCs/>
                <w:color w:val="FFFFFF" w:themeColor="background1"/>
                <w:lang w:val="fr-FR"/>
              </w:rPr>
              <w:t xml:space="preserve"> </w:t>
            </w:r>
            <w:r w:rsidRPr="002C2948">
              <w:rPr>
                <w:b/>
                <w:bCs/>
                <w:color w:val="FFFFFF" w:themeColor="background1"/>
                <w:lang w:val="fr-FR"/>
              </w:rPr>
              <w:t>1</w:t>
            </w:r>
            <w:r w:rsidR="00567A17" w:rsidRPr="002C2948">
              <w:rPr>
                <w:b/>
                <w:bCs/>
                <w:color w:val="FFFFFF" w:themeColor="background1"/>
                <w:lang w:val="fr-FR"/>
              </w:rPr>
              <w:t xml:space="preserve">): Programme, </w:t>
            </w:r>
            <w:r w:rsidR="00354F8E">
              <w:rPr>
                <w:b/>
                <w:bCs/>
                <w:color w:val="FFFFFF" w:themeColor="background1"/>
                <w:lang w:val="fr-FR"/>
              </w:rPr>
              <w:t>C</w:t>
            </w:r>
            <w:r w:rsidRPr="002C2948">
              <w:rPr>
                <w:b/>
                <w:bCs/>
                <w:color w:val="FFFFFF" w:themeColor="background1"/>
                <w:lang w:val="fr-FR"/>
              </w:rPr>
              <w:t>ommission d'études et Questions associées</w:t>
            </w:r>
          </w:p>
        </w:tc>
      </w:tr>
      <w:tr w:rsidR="00567A17" w:rsidRPr="00121EC7" w14:paraId="6972A578" w14:textId="77777777" w:rsidTr="00AB0D4D">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5B3789A6" w14:textId="0C7F1E3B" w:rsidR="00567A17" w:rsidRPr="002C2948" w:rsidRDefault="008268FC" w:rsidP="00814561">
            <w:pPr>
              <w:pStyle w:val="Tabletext"/>
              <w:rPr>
                <w:color w:val="5B9BD5" w:themeColor="accent1"/>
                <w:lang w:val="fr-FR"/>
              </w:rPr>
            </w:pPr>
            <w:r w:rsidRPr="002C2948">
              <w:rPr>
                <w:color w:val="0070C0"/>
                <w:lang w:val="fr-FR"/>
              </w:rPr>
              <w:t>Présidente</w:t>
            </w:r>
            <w:r w:rsidR="00567A17" w:rsidRPr="002C2948">
              <w:rPr>
                <w:color w:val="0070C0"/>
                <w:lang w:val="fr-FR"/>
              </w:rPr>
              <w:t xml:space="preserve">: </w:t>
            </w:r>
            <w:r w:rsidR="00567A17" w:rsidRPr="002C2948">
              <w:rPr>
                <w:bCs/>
                <w:color w:val="5B9BD5" w:themeColor="accent1"/>
                <w:lang w:val="fr-FR"/>
              </w:rPr>
              <w:t>M</w:t>
            </w:r>
            <w:r w:rsidR="001B2ABF" w:rsidRPr="002C2948">
              <w:rPr>
                <w:bCs/>
                <w:color w:val="5B9BD5" w:themeColor="accent1"/>
                <w:lang w:val="fr-FR"/>
              </w:rPr>
              <w:t>me</w:t>
            </w:r>
            <w:r w:rsidR="00567A17" w:rsidRPr="002C2948">
              <w:rPr>
                <w:bCs/>
                <w:color w:val="5B9BD5" w:themeColor="accent1"/>
                <w:lang w:val="fr-FR"/>
              </w:rPr>
              <w:t xml:space="preserve"> Mina SeonminJun</w:t>
            </w:r>
            <w:r w:rsidR="00567A17" w:rsidRPr="002C2948">
              <w:rPr>
                <w:color w:val="5B9BD5" w:themeColor="accent1"/>
                <w:lang w:val="fr-FR"/>
              </w:rPr>
              <w:t xml:space="preserve"> (</w:t>
            </w:r>
            <w:r w:rsidR="001B2ABF" w:rsidRPr="002C2948">
              <w:rPr>
                <w:color w:val="5B9BD5" w:themeColor="accent1"/>
                <w:lang w:val="fr-FR"/>
              </w:rPr>
              <w:t>République de Corée</w:t>
            </w:r>
            <w:r w:rsidR="00567A17" w:rsidRPr="002C2948">
              <w:rPr>
                <w:color w:val="5B9BD5" w:themeColor="accent1"/>
                <w:lang w:val="fr-FR"/>
              </w:rPr>
              <w:t>)</w:t>
            </w:r>
          </w:p>
          <w:p w14:paraId="7CA88E93" w14:textId="3F7833D7" w:rsidR="00567A17" w:rsidRPr="002C2948" w:rsidRDefault="00567A17" w:rsidP="00814561">
            <w:pPr>
              <w:pStyle w:val="Tabletext"/>
              <w:rPr>
                <w:color w:val="000000"/>
                <w:lang w:val="fr-FR"/>
              </w:rPr>
            </w:pPr>
            <w:r w:rsidRPr="002C2948">
              <w:rPr>
                <w:color w:val="5B9BD5" w:themeColor="accent1"/>
                <w:lang w:val="fr-FR"/>
              </w:rPr>
              <w:t>Vice-</w:t>
            </w:r>
            <w:r w:rsidR="008268FC" w:rsidRPr="002C2948">
              <w:rPr>
                <w:color w:val="5B9BD5" w:themeColor="accent1"/>
                <w:lang w:val="fr-FR"/>
              </w:rPr>
              <w:t>Président</w:t>
            </w:r>
            <w:r w:rsidR="00E21D90" w:rsidRPr="002C2948">
              <w:rPr>
                <w:color w:val="5B9BD5" w:themeColor="accent1"/>
                <w:lang w:val="fr-FR"/>
              </w:rPr>
              <w:t>e</w:t>
            </w:r>
            <w:r w:rsidR="008268FC" w:rsidRPr="002C2948">
              <w:rPr>
                <w:color w:val="5B9BD5" w:themeColor="accent1"/>
                <w:lang w:val="fr-FR"/>
              </w:rPr>
              <w:t>s</w:t>
            </w:r>
            <w:r w:rsidRPr="002C2948">
              <w:rPr>
                <w:color w:val="5B9BD5" w:themeColor="accent1"/>
                <w:lang w:val="fr-FR"/>
              </w:rPr>
              <w:t xml:space="preserve">: </w:t>
            </w:r>
            <w:r w:rsidRPr="002C2948">
              <w:rPr>
                <w:bCs/>
                <w:color w:val="5B9BD5" w:themeColor="accent1"/>
                <w:lang w:val="fr-FR"/>
              </w:rPr>
              <w:t>M</w:t>
            </w:r>
            <w:r w:rsidR="001B2ABF" w:rsidRPr="002C2948">
              <w:rPr>
                <w:bCs/>
                <w:color w:val="5B9BD5" w:themeColor="accent1"/>
                <w:lang w:val="fr-FR"/>
              </w:rPr>
              <w:t>me</w:t>
            </w:r>
            <w:r w:rsidRPr="002C2948">
              <w:rPr>
                <w:bCs/>
                <w:color w:val="5B9BD5" w:themeColor="accent1"/>
                <w:lang w:val="fr-FR"/>
              </w:rPr>
              <w:t xml:space="preserve"> Yapeng Wang</w:t>
            </w:r>
            <w:r w:rsidRPr="002C2948">
              <w:rPr>
                <w:color w:val="5B9BD5" w:themeColor="accent1"/>
                <w:lang w:val="fr-FR"/>
              </w:rPr>
              <w:t xml:space="preserve"> (Chin</w:t>
            </w:r>
            <w:r w:rsidR="001B2ABF" w:rsidRPr="002C2948">
              <w:rPr>
                <w:color w:val="5B9BD5" w:themeColor="accent1"/>
                <w:lang w:val="fr-FR"/>
              </w:rPr>
              <w:t>e</w:t>
            </w:r>
            <w:r w:rsidRPr="002C2948">
              <w:rPr>
                <w:color w:val="5B9BD5" w:themeColor="accent1"/>
                <w:lang w:val="fr-FR"/>
              </w:rPr>
              <w:t xml:space="preserve">), </w:t>
            </w:r>
            <w:r w:rsidRPr="002C2948">
              <w:rPr>
                <w:bCs/>
                <w:color w:val="5B9BD5" w:themeColor="accent1"/>
                <w:lang w:val="fr-FR"/>
              </w:rPr>
              <w:t>M</w:t>
            </w:r>
            <w:r w:rsidR="001B2ABF" w:rsidRPr="002C2948">
              <w:rPr>
                <w:bCs/>
                <w:color w:val="5B9BD5" w:themeColor="accent1"/>
                <w:lang w:val="fr-FR"/>
              </w:rPr>
              <w:t>me</w:t>
            </w:r>
            <w:r w:rsidRPr="002C2948">
              <w:rPr>
                <w:bCs/>
                <w:color w:val="5B9BD5" w:themeColor="accent1"/>
                <w:lang w:val="fr-FR"/>
              </w:rPr>
              <w:t xml:space="preserve"> Maryam Espandar</w:t>
            </w:r>
            <w:r w:rsidRPr="002C2948">
              <w:rPr>
                <w:color w:val="5B9BD5" w:themeColor="accent1"/>
                <w:lang w:val="fr-FR"/>
              </w:rPr>
              <w:t xml:space="preserve"> (</w:t>
            </w:r>
            <w:r w:rsidR="001B2ABF" w:rsidRPr="002C2948">
              <w:rPr>
                <w:color w:val="5B9BD5" w:themeColor="accent1"/>
                <w:lang w:val="fr-FR"/>
              </w:rPr>
              <w:t>République islamique d'</w:t>
            </w:r>
            <w:r w:rsidR="00354F8E">
              <w:rPr>
                <w:color w:val="5B9BD5" w:themeColor="accent1"/>
                <w:lang w:val="fr-FR"/>
              </w:rPr>
              <w:t>Iran</w:t>
            </w:r>
            <w:r w:rsidRPr="002C2948">
              <w:rPr>
                <w:color w:val="5B9BD5" w:themeColor="accent1"/>
                <w:lang w:val="fr-FR"/>
              </w:rPr>
              <w:t>)</w:t>
            </w:r>
          </w:p>
        </w:tc>
      </w:tr>
      <w:tr w:rsidR="00567A17" w:rsidRPr="00121EC7" w14:paraId="17B42918" w14:textId="77777777" w:rsidTr="00AB0D4D">
        <w:tc>
          <w:tcPr>
            <w:tcW w:w="90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6E42E766" w14:textId="22140ADF" w:rsidR="00567A17" w:rsidRPr="002C2948" w:rsidRDefault="008268FC" w:rsidP="00814561">
            <w:pPr>
              <w:pStyle w:val="Tabletext"/>
              <w:rPr>
                <w:b/>
                <w:bCs/>
                <w:color w:val="FFFFFF"/>
                <w:lang w:val="fr-FR"/>
              </w:rPr>
            </w:pPr>
            <w:r w:rsidRPr="002C2948">
              <w:rPr>
                <w:b/>
                <w:bCs/>
                <w:color w:val="FFFFFF" w:themeColor="background1"/>
                <w:lang w:val="fr-FR"/>
              </w:rPr>
              <w:t xml:space="preserve">Groupe de travail </w:t>
            </w:r>
            <w:r w:rsidR="00567A17" w:rsidRPr="002C2948">
              <w:rPr>
                <w:b/>
                <w:bCs/>
                <w:color w:val="FFFFFF" w:themeColor="background1"/>
                <w:lang w:val="fr-FR"/>
              </w:rPr>
              <w:t>2 (</w:t>
            </w:r>
            <w:r w:rsidRPr="002C2948">
              <w:rPr>
                <w:b/>
                <w:bCs/>
                <w:color w:val="FFFFFF" w:themeColor="background1"/>
                <w:lang w:val="fr-FR"/>
              </w:rPr>
              <w:t>GT</w:t>
            </w:r>
            <w:r w:rsidR="004A4301" w:rsidRPr="002C2948">
              <w:rPr>
                <w:b/>
                <w:bCs/>
                <w:color w:val="FFFFFF" w:themeColor="background1"/>
                <w:lang w:val="fr-FR"/>
              </w:rPr>
              <w:t xml:space="preserve"> </w:t>
            </w:r>
            <w:r w:rsidRPr="002C2948">
              <w:rPr>
                <w:b/>
                <w:bCs/>
                <w:color w:val="FFFFFF" w:themeColor="background1"/>
                <w:lang w:val="fr-FR"/>
              </w:rPr>
              <w:t>2</w:t>
            </w:r>
            <w:r w:rsidR="00567A17" w:rsidRPr="002C2948">
              <w:rPr>
                <w:b/>
                <w:bCs/>
                <w:color w:val="FFFFFF" w:themeColor="background1"/>
                <w:lang w:val="fr-FR"/>
              </w:rPr>
              <w:t xml:space="preserve">): </w:t>
            </w:r>
            <w:r w:rsidR="00B43709" w:rsidRPr="002C2948">
              <w:rPr>
                <w:b/>
                <w:bCs/>
                <w:color w:val="FFFFFF" w:themeColor="background1"/>
                <w:lang w:val="fr-FR"/>
              </w:rPr>
              <w:t>Méthodes de travail, Déclaration et Plan d'action</w:t>
            </w:r>
          </w:p>
        </w:tc>
      </w:tr>
      <w:tr w:rsidR="00567A17" w:rsidRPr="00121EC7" w14:paraId="310DF69C" w14:textId="77777777" w:rsidTr="00AB0D4D">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75994D11" w14:textId="293C4D18" w:rsidR="00567A17" w:rsidRPr="002C2948" w:rsidRDefault="008268FC" w:rsidP="00814561">
            <w:pPr>
              <w:pStyle w:val="Tabletext"/>
              <w:rPr>
                <w:iCs/>
                <w:color w:val="5B9BD5" w:themeColor="accent1"/>
                <w:lang w:val="fr-FR"/>
              </w:rPr>
            </w:pPr>
            <w:r w:rsidRPr="002C2948">
              <w:rPr>
                <w:color w:val="0070C0"/>
                <w:lang w:val="fr-FR"/>
              </w:rPr>
              <w:t>Présidente</w:t>
            </w:r>
            <w:r w:rsidR="00567A17" w:rsidRPr="002C2948">
              <w:rPr>
                <w:color w:val="0070C0"/>
                <w:lang w:val="fr-FR"/>
              </w:rPr>
              <w:t xml:space="preserve">: </w:t>
            </w:r>
            <w:r w:rsidR="00567A17" w:rsidRPr="002C2948">
              <w:rPr>
                <w:bCs/>
                <w:iCs/>
                <w:color w:val="5B9BD5" w:themeColor="accent1"/>
                <w:lang w:val="fr-FR"/>
              </w:rPr>
              <w:t>M</w:t>
            </w:r>
            <w:r w:rsidR="001B2ABF" w:rsidRPr="002C2948">
              <w:rPr>
                <w:bCs/>
                <w:iCs/>
                <w:color w:val="5B9BD5" w:themeColor="accent1"/>
                <w:lang w:val="fr-FR"/>
              </w:rPr>
              <w:t>me</w:t>
            </w:r>
            <w:r w:rsidR="00567A17" w:rsidRPr="002C2948">
              <w:rPr>
                <w:bCs/>
                <w:iCs/>
                <w:color w:val="5B9BD5" w:themeColor="accent1"/>
                <w:lang w:val="fr-FR"/>
              </w:rPr>
              <w:t xml:space="preserve"> Alexandra Borthwick </w:t>
            </w:r>
            <w:r w:rsidR="00567A17" w:rsidRPr="002C2948">
              <w:rPr>
                <w:iCs/>
                <w:color w:val="5B9BD5" w:themeColor="accent1"/>
                <w:lang w:val="fr-FR"/>
              </w:rPr>
              <w:t>(Australi</w:t>
            </w:r>
            <w:r w:rsidR="001B2ABF" w:rsidRPr="002C2948">
              <w:rPr>
                <w:iCs/>
                <w:color w:val="5B9BD5" w:themeColor="accent1"/>
                <w:lang w:val="fr-FR"/>
              </w:rPr>
              <w:t>e</w:t>
            </w:r>
            <w:r w:rsidR="00567A17" w:rsidRPr="002C2948">
              <w:rPr>
                <w:iCs/>
                <w:color w:val="5B9BD5" w:themeColor="accent1"/>
                <w:lang w:val="fr-FR"/>
              </w:rPr>
              <w:t>)</w:t>
            </w:r>
          </w:p>
          <w:p w14:paraId="152E6CBB" w14:textId="7A73BD61" w:rsidR="00567A17" w:rsidRPr="002C2948" w:rsidRDefault="00567A17" w:rsidP="00814561">
            <w:pPr>
              <w:pStyle w:val="Tabletext"/>
              <w:rPr>
                <w:color w:val="5B9BD5" w:themeColor="accent1"/>
                <w:lang w:val="fr-FR"/>
              </w:rPr>
            </w:pPr>
            <w:r w:rsidRPr="002C2948">
              <w:rPr>
                <w:color w:val="5B9BD5" w:themeColor="accent1"/>
                <w:lang w:val="fr-FR"/>
              </w:rPr>
              <w:t>Vice-</w:t>
            </w:r>
            <w:r w:rsidR="008268FC" w:rsidRPr="002C2948">
              <w:rPr>
                <w:color w:val="5B9BD5" w:themeColor="accent1"/>
                <w:lang w:val="fr-FR"/>
              </w:rPr>
              <w:t>Présidente</w:t>
            </w:r>
            <w:r w:rsidRPr="002C2948">
              <w:rPr>
                <w:color w:val="5B9BD5" w:themeColor="accent1"/>
                <w:lang w:val="fr-FR"/>
              </w:rPr>
              <w:t>:</w:t>
            </w:r>
            <w:r w:rsidRPr="002C2948">
              <w:rPr>
                <w:bCs/>
                <w:color w:val="5B9BD5" w:themeColor="accent1"/>
                <w:lang w:val="fr-FR"/>
              </w:rPr>
              <w:t xml:space="preserve"> M</w:t>
            </w:r>
            <w:r w:rsidR="001B2ABF" w:rsidRPr="002C2948">
              <w:rPr>
                <w:bCs/>
                <w:color w:val="5B9BD5" w:themeColor="accent1"/>
                <w:lang w:val="fr-FR"/>
              </w:rPr>
              <w:t>me</w:t>
            </w:r>
            <w:r w:rsidRPr="002C2948">
              <w:rPr>
                <w:bCs/>
                <w:color w:val="5B9BD5" w:themeColor="accent1"/>
                <w:lang w:val="fr-FR"/>
              </w:rPr>
              <w:t xml:space="preserve"> Thasawan Samorwong</w:t>
            </w:r>
            <w:r w:rsidRPr="002C2948">
              <w:rPr>
                <w:color w:val="5B9BD5" w:themeColor="accent1"/>
                <w:lang w:val="fr-FR"/>
              </w:rPr>
              <w:t xml:space="preserve"> (Tha</w:t>
            </w:r>
            <w:r w:rsidR="001B2ABF" w:rsidRPr="002C2948">
              <w:rPr>
                <w:color w:val="5B9BD5" w:themeColor="accent1"/>
                <w:lang w:val="fr-FR"/>
              </w:rPr>
              <w:t>ï</w:t>
            </w:r>
            <w:r w:rsidRPr="002C2948">
              <w:rPr>
                <w:color w:val="5B9BD5" w:themeColor="accent1"/>
                <w:lang w:val="fr-FR"/>
              </w:rPr>
              <w:t>land</w:t>
            </w:r>
            <w:r w:rsidR="001B2ABF" w:rsidRPr="002C2948">
              <w:rPr>
                <w:color w:val="5B9BD5" w:themeColor="accent1"/>
                <w:lang w:val="fr-FR"/>
              </w:rPr>
              <w:t>e</w:t>
            </w:r>
            <w:r w:rsidRPr="002C2948">
              <w:rPr>
                <w:color w:val="5B9BD5" w:themeColor="accent1"/>
                <w:lang w:val="fr-FR"/>
              </w:rPr>
              <w:t>)</w:t>
            </w:r>
          </w:p>
        </w:tc>
      </w:tr>
      <w:tr w:rsidR="00567A17" w:rsidRPr="00121EC7" w14:paraId="32B65F91" w14:textId="77777777" w:rsidTr="00AB0D4D">
        <w:tc>
          <w:tcPr>
            <w:tcW w:w="90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7FBA8CBE" w14:textId="75F1DF94" w:rsidR="00567A17" w:rsidRPr="002C2948" w:rsidRDefault="008268FC" w:rsidP="00814561">
            <w:pPr>
              <w:pStyle w:val="Tabletext"/>
              <w:rPr>
                <w:b/>
                <w:bCs/>
                <w:color w:val="FFFFFF"/>
                <w:lang w:val="fr-FR"/>
              </w:rPr>
            </w:pPr>
            <w:r w:rsidRPr="002C2948">
              <w:rPr>
                <w:b/>
                <w:bCs/>
                <w:color w:val="FFFFFF" w:themeColor="background1"/>
                <w:lang w:val="fr-FR"/>
              </w:rPr>
              <w:t xml:space="preserve">Groupe de travail </w:t>
            </w:r>
            <w:r w:rsidR="00567A17" w:rsidRPr="002C2948">
              <w:rPr>
                <w:b/>
                <w:bCs/>
                <w:color w:val="FFFFFF" w:themeColor="background1"/>
                <w:lang w:val="fr-FR"/>
              </w:rPr>
              <w:t>3 (</w:t>
            </w:r>
            <w:r w:rsidRPr="002C2948">
              <w:rPr>
                <w:b/>
                <w:bCs/>
                <w:color w:val="FFFFFF" w:themeColor="background1"/>
                <w:lang w:val="fr-FR"/>
              </w:rPr>
              <w:t>GT</w:t>
            </w:r>
            <w:r w:rsidR="004A4301" w:rsidRPr="002C2948">
              <w:rPr>
                <w:b/>
                <w:bCs/>
                <w:color w:val="FFFFFF" w:themeColor="background1"/>
                <w:lang w:val="fr-FR"/>
              </w:rPr>
              <w:t xml:space="preserve"> </w:t>
            </w:r>
            <w:r w:rsidRPr="002C2948">
              <w:rPr>
                <w:b/>
                <w:bCs/>
                <w:color w:val="FFFFFF" w:themeColor="background1"/>
                <w:lang w:val="fr-FR"/>
              </w:rPr>
              <w:t>3</w:t>
            </w:r>
            <w:r w:rsidR="00567A17" w:rsidRPr="002C2948">
              <w:rPr>
                <w:b/>
                <w:bCs/>
                <w:color w:val="FFFFFF" w:themeColor="background1"/>
                <w:lang w:val="fr-FR"/>
              </w:rPr>
              <w:t xml:space="preserve">): </w:t>
            </w:r>
            <w:r w:rsidR="00B43709" w:rsidRPr="002C2948">
              <w:rPr>
                <w:b/>
                <w:bCs/>
                <w:color w:val="FFFFFF" w:themeColor="background1"/>
                <w:lang w:val="fr-FR"/>
              </w:rPr>
              <w:t>Question</w:t>
            </w:r>
            <w:r w:rsidR="0092219F" w:rsidRPr="002C2948">
              <w:rPr>
                <w:b/>
                <w:bCs/>
                <w:color w:val="FFFFFF" w:themeColor="background1"/>
                <w:lang w:val="fr-FR"/>
              </w:rPr>
              <w:t>s</w:t>
            </w:r>
            <w:r w:rsidR="00B43709" w:rsidRPr="002C2948">
              <w:rPr>
                <w:b/>
                <w:bCs/>
                <w:color w:val="FFFFFF" w:themeColor="background1"/>
                <w:lang w:val="fr-FR"/>
              </w:rPr>
              <w:t xml:space="preserve"> générale</w:t>
            </w:r>
            <w:r w:rsidR="0092219F" w:rsidRPr="002C2948">
              <w:rPr>
                <w:b/>
                <w:bCs/>
                <w:color w:val="FFFFFF" w:themeColor="background1"/>
                <w:lang w:val="fr-FR"/>
              </w:rPr>
              <w:t>s</w:t>
            </w:r>
            <w:r w:rsidR="00B43709" w:rsidRPr="002C2948">
              <w:rPr>
                <w:b/>
                <w:bCs/>
                <w:color w:val="FFFFFF" w:themeColor="background1"/>
                <w:lang w:val="fr-FR"/>
              </w:rPr>
              <w:t xml:space="preserve"> relative</w:t>
            </w:r>
            <w:r w:rsidR="0092219F" w:rsidRPr="002C2948">
              <w:rPr>
                <w:b/>
                <w:bCs/>
                <w:color w:val="FFFFFF" w:themeColor="background1"/>
                <w:lang w:val="fr-FR"/>
              </w:rPr>
              <w:t>s</w:t>
            </w:r>
            <w:r w:rsidR="00B43709" w:rsidRPr="002C2948">
              <w:rPr>
                <w:b/>
                <w:bCs/>
                <w:color w:val="FFFFFF" w:themeColor="background1"/>
                <w:lang w:val="fr-FR"/>
              </w:rPr>
              <w:t xml:space="preserve"> au développement des TIC y</w:t>
            </w:r>
            <w:r w:rsidR="0092219F" w:rsidRPr="002C2948">
              <w:rPr>
                <w:b/>
                <w:bCs/>
                <w:color w:val="FFFFFF" w:themeColor="background1"/>
                <w:lang w:val="fr-FR"/>
              </w:rPr>
              <w:t xml:space="preserve"> compris</w:t>
            </w:r>
            <w:r w:rsidR="00B43709" w:rsidRPr="002C2948">
              <w:rPr>
                <w:b/>
                <w:bCs/>
                <w:color w:val="FFFFFF" w:themeColor="background1"/>
                <w:lang w:val="fr-FR"/>
              </w:rPr>
              <w:t xml:space="preserve"> initiatives régionales</w:t>
            </w:r>
          </w:p>
        </w:tc>
      </w:tr>
      <w:tr w:rsidR="00567A17" w:rsidRPr="00121EC7" w14:paraId="7289DB9A" w14:textId="77777777" w:rsidTr="00AB0D4D">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197D11F9" w14:textId="5673D1BC" w:rsidR="00567A17" w:rsidRPr="002C2948" w:rsidRDefault="008268FC" w:rsidP="00814561">
            <w:pPr>
              <w:pStyle w:val="Tabletext"/>
              <w:rPr>
                <w:color w:val="5B9BD5" w:themeColor="accent1"/>
                <w:lang w:val="fr-FR"/>
              </w:rPr>
            </w:pPr>
            <w:r w:rsidRPr="002C2948">
              <w:rPr>
                <w:color w:val="0070C0"/>
                <w:lang w:val="fr-FR"/>
              </w:rPr>
              <w:t>Présidente</w:t>
            </w:r>
            <w:r w:rsidR="00567A17" w:rsidRPr="002C2948">
              <w:rPr>
                <w:color w:val="0070C0"/>
                <w:lang w:val="fr-FR"/>
              </w:rPr>
              <w:t xml:space="preserve">: </w:t>
            </w:r>
            <w:r w:rsidR="00567A17" w:rsidRPr="002C2948">
              <w:rPr>
                <w:bCs/>
                <w:color w:val="5B9BD5" w:themeColor="accent1"/>
                <w:lang w:val="fr-FR"/>
              </w:rPr>
              <w:t>M</w:t>
            </w:r>
            <w:r w:rsidR="001B2ABF" w:rsidRPr="002C2948">
              <w:rPr>
                <w:bCs/>
                <w:color w:val="5B9BD5" w:themeColor="accent1"/>
                <w:lang w:val="fr-FR"/>
              </w:rPr>
              <w:t>me</w:t>
            </w:r>
            <w:r w:rsidR="00567A17" w:rsidRPr="002C2948">
              <w:rPr>
                <w:bCs/>
                <w:color w:val="5B9BD5" w:themeColor="accent1"/>
                <w:lang w:val="fr-FR"/>
              </w:rPr>
              <w:t xml:space="preserve"> Memiko Otsuki</w:t>
            </w:r>
            <w:r w:rsidR="00567A17" w:rsidRPr="002C2948">
              <w:rPr>
                <w:color w:val="5B9BD5" w:themeColor="accent1"/>
                <w:lang w:val="fr-FR"/>
              </w:rPr>
              <w:t xml:space="preserve"> (Jap</w:t>
            </w:r>
            <w:r w:rsidR="001B2ABF" w:rsidRPr="002C2948">
              <w:rPr>
                <w:color w:val="5B9BD5" w:themeColor="accent1"/>
                <w:lang w:val="fr-FR"/>
              </w:rPr>
              <w:t>o</w:t>
            </w:r>
            <w:r w:rsidR="00567A17" w:rsidRPr="002C2948">
              <w:rPr>
                <w:color w:val="5B9BD5" w:themeColor="accent1"/>
                <w:lang w:val="fr-FR"/>
              </w:rPr>
              <w:t>n)</w:t>
            </w:r>
          </w:p>
          <w:p w14:paraId="6E273E31" w14:textId="0A8FBB1B" w:rsidR="00567A17" w:rsidRPr="002C2948" w:rsidRDefault="00567A17" w:rsidP="00814561">
            <w:pPr>
              <w:pStyle w:val="Tabletext"/>
              <w:rPr>
                <w:color w:val="5B9BD5" w:themeColor="accent1"/>
                <w:lang w:val="fr-FR"/>
              </w:rPr>
            </w:pPr>
            <w:r w:rsidRPr="002C2948">
              <w:rPr>
                <w:color w:val="5B9BD5" w:themeColor="accent1"/>
                <w:lang w:val="fr-FR"/>
              </w:rPr>
              <w:t>Vice-</w:t>
            </w:r>
            <w:r w:rsidR="00E21D90" w:rsidRPr="002C2948">
              <w:rPr>
                <w:color w:val="5B9BD5" w:themeColor="accent1"/>
                <w:lang w:val="fr-FR"/>
              </w:rPr>
              <w:t>Présidente</w:t>
            </w:r>
            <w:r w:rsidRPr="002C2948">
              <w:rPr>
                <w:color w:val="5B9BD5" w:themeColor="accent1"/>
                <w:lang w:val="fr-FR"/>
              </w:rPr>
              <w:t xml:space="preserve">: </w:t>
            </w:r>
            <w:r w:rsidRPr="002C2948">
              <w:rPr>
                <w:bCs/>
                <w:color w:val="5B9BD5" w:themeColor="accent1"/>
                <w:lang w:val="fr-FR"/>
              </w:rPr>
              <w:t>M</w:t>
            </w:r>
            <w:r w:rsidR="001B2ABF" w:rsidRPr="002C2948">
              <w:rPr>
                <w:bCs/>
                <w:color w:val="5B9BD5" w:themeColor="accent1"/>
                <w:lang w:val="fr-FR"/>
              </w:rPr>
              <w:t>me</w:t>
            </w:r>
            <w:r w:rsidRPr="002C2948">
              <w:rPr>
                <w:bCs/>
                <w:color w:val="5B9BD5" w:themeColor="accent1"/>
                <w:lang w:val="fr-FR"/>
              </w:rPr>
              <w:t xml:space="preserve"> Anna AmalinaImam Baweh</w:t>
            </w:r>
            <w:r w:rsidRPr="002C2948">
              <w:rPr>
                <w:color w:val="5B9BD5" w:themeColor="accent1"/>
                <w:lang w:val="fr-FR"/>
              </w:rPr>
              <w:t xml:space="preserve"> (</w:t>
            </w:r>
            <w:r w:rsidR="001B2ABF" w:rsidRPr="002C2948">
              <w:rPr>
                <w:color w:val="5B9BD5" w:themeColor="accent1"/>
                <w:lang w:val="fr-FR"/>
              </w:rPr>
              <w:t>Malaisie</w:t>
            </w:r>
            <w:r w:rsidRPr="002C2948">
              <w:rPr>
                <w:color w:val="5B9BD5" w:themeColor="accent1"/>
                <w:lang w:val="fr-FR"/>
              </w:rPr>
              <w:t>)</w:t>
            </w:r>
          </w:p>
        </w:tc>
      </w:tr>
    </w:tbl>
    <w:p w14:paraId="7C6C2E27" w14:textId="0EF154BE" w:rsidR="005717D3" w:rsidRPr="002C2948" w:rsidRDefault="00567A17" w:rsidP="00354F8E">
      <w:pPr>
        <w:spacing w:before="240"/>
        <w:rPr>
          <w:lang w:val="fr-FR"/>
        </w:rPr>
      </w:pPr>
      <w:r w:rsidRPr="002C2948">
        <w:rPr>
          <w:lang w:val="fr-FR"/>
        </w:rPr>
        <w:t>4.9</w:t>
      </w:r>
      <w:r w:rsidRPr="002C2948">
        <w:rPr>
          <w:lang w:val="fr-FR"/>
        </w:rPr>
        <w:tab/>
      </w:r>
      <w:r w:rsidR="005717D3" w:rsidRPr="002C2948">
        <w:rPr>
          <w:lang w:val="fr-FR"/>
        </w:rPr>
        <w:t>L</w:t>
      </w:r>
      <w:r w:rsidR="00F81D74" w:rsidRPr="002C2948">
        <w:rPr>
          <w:lang w:val="fr-FR"/>
        </w:rPr>
        <w:t>es participants à l</w:t>
      </w:r>
      <w:r w:rsidR="005717D3" w:rsidRPr="002C2948">
        <w:rPr>
          <w:lang w:val="fr-FR"/>
        </w:rPr>
        <w:t xml:space="preserve">a deuxième réunion préparatoire de l'APT </w:t>
      </w:r>
      <w:r w:rsidR="00F81D74" w:rsidRPr="002C2948">
        <w:rPr>
          <w:lang w:val="fr-FR"/>
        </w:rPr>
        <w:t>ont</w:t>
      </w:r>
      <w:r w:rsidR="005717D3" w:rsidRPr="002C2948">
        <w:rPr>
          <w:lang w:val="fr-FR"/>
        </w:rPr>
        <w:t xml:space="preserve"> approuvé les quatre</w:t>
      </w:r>
      <w:r w:rsidR="004A4301" w:rsidRPr="002C2948">
        <w:rPr>
          <w:lang w:val="fr-FR"/>
        </w:rPr>
        <w:t> </w:t>
      </w:r>
      <w:r w:rsidR="005717D3" w:rsidRPr="002C2948">
        <w:rPr>
          <w:b/>
          <w:bCs/>
          <w:lang w:val="fr-FR"/>
        </w:rPr>
        <w:t>priorités thématiques</w:t>
      </w:r>
      <w:r w:rsidR="005717D3" w:rsidRPr="002C2948">
        <w:rPr>
          <w:lang w:val="fr-FR"/>
        </w:rPr>
        <w:t xml:space="preserve"> proposées par le Groupe de travail du GCDT sur les Résolutions, la Déclaration et les priorités thématiques de la CMDT, à savoir:</w:t>
      </w:r>
      <w:r w:rsidR="00CE04FD" w:rsidRPr="002C2948">
        <w:rPr>
          <w:lang w:val="fr-FR"/>
        </w:rPr>
        <w:t xml:space="preserve"> </w:t>
      </w:r>
      <w:r w:rsidR="00CE04FD" w:rsidRPr="002C2948">
        <w:rPr>
          <w:b/>
          <w:bCs/>
          <w:lang w:val="fr-FR"/>
        </w:rPr>
        <w:t xml:space="preserve">connectivité; transformation numérique; environnement </w:t>
      </w:r>
      <w:r w:rsidR="001E23DC">
        <w:rPr>
          <w:b/>
          <w:bCs/>
          <w:lang w:val="fr-FR"/>
        </w:rPr>
        <w:t>propice</w:t>
      </w:r>
      <w:r w:rsidR="00CE04FD" w:rsidRPr="002C2948">
        <w:rPr>
          <w:b/>
          <w:bCs/>
          <w:lang w:val="fr-FR"/>
        </w:rPr>
        <w:t>; et mobilisation des ressources et coopération internationale</w:t>
      </w:r>
      <w:r w:rsidR="00CE04FD" w:rsidRPr="002C2948">
        <w:rPr>
          <w:lang w:val="fr-FR"/>
        </w:rPr>
        <w:t>.</w:t>
      </w:r>
    </w:p>
    <w:p w14:paraId="2FC91518" w14:textId="7C4AD4C9" w:rsidR="00394DD5" w:rsidRPr="002C2948" w:rsidRDefault="00567A17" w:rsidP="00814561">
      <w:pPr>
        <w:rPr>
          <w:lang w:val="fr-FR"/>
        </w:rPr>
      </w:pPr>
      <w:r w:rsidRPr="002C2948">
        <w:rPr>
          <w:lang w:val="fr-FR"/>
        </w:rPr>
        <w:t>4.10</w:t>
      </w:r>
      <w:r w:rsidRPr="002C2948">
        <w:rPr>
          <w:lang w:val="fr-FR"/>
        </w:rPr>
        <w:tab/>
      </w:r>
      <w:r w:rsidR="00F81D74" w:rsidRPr="002C2948">
        <w:rPr>
          <w:lang w:val="fr-FR"/>
        </w:rPr>
        <w:t>Les</w:t>
      </w:r>
      <w:r w:rsidR="00394DD5" w:rsidRPr="002C2948">
        <w:rPr>
          <w:lang w:val="fr-FR"/>
        </w:rPr>
        <w:t xml:space="preserve"> discussions se poursuivent concernant la Déclaration, les Questions confiées aux commissions d'études et les Résolutions de la CMDT. Parallèlement, une proposition de ré</w:t>
      </w:r>
      <w:r w:rsidR="00354F8E">
        <w:rPr>
          <w:lang w:val="fr-FR"/>
        </w:rPr>
        <w:t>vision de la Résolution 8 (Rév.</w:t>
      </w:r>
      <w:r w:rsidR="00394DD5" w:rsidRPr="002C2948">
        <w:rPr>
          <w:lang w:val="fr-FR"/>
        </w:rPr>
        <w:t xml:space="preserve">Buenos Aires, 2017) </w:t>
      </w:r>
      <w:r w:rsidR="00814561" w:rsidRPr="002C2948">
        <w:rPr>
          <w:lang w:val="fr-FR"/>
        </w:rPr>
        <w:t>"</w:t>
      </w:r>
      <w:r w:rsidR="00394DD5" w:rsidRPr="002C2948">
        <w:rPr>
          <w:b/>
          <w:bCs/>
          <w:lang w:val="fr-FR"/>
        </w:rPr>
        <w:t>Collecte et diffusion d'informations et de statistiques</w:t>
      </w:r>
      <w:r w:rsidR="00814561" w:rsidRPr="002C2948">
        <w:rPr>
          <w:lang w:val="fr-FR"/>
        </w:rPr>
        <w:t>"</w:t>
      </w:r>
      <w:r w:rsidR="00394DD5" w:rsidRPr="002C2948">
        <w:rPr>
          <w:lang w:val="fr-FR"/>
        </w:rPr>
        <w:t xml:space="preserve"> vise à améliorer le mécanisme permettant d'établir, de réexaminer et de réviser </w:t>
      </w:r>
      <w:r w:rsidR="00F81D74" w:rsidRPr="002C2948">
        <w:rPr>
          <w:lang w:val="fr-FR"/>
        </w:rPr>
        <w:t>l</w:t>
      </w:r>
      <w:r w:rsidR="00394DD5" w:rsidRPr="002C2948">
        <w:rPr>
          <w:lang w:val="fr-FR"/>
        </w:rPr>
        <w:t>es indicateurs pour le nouvel indice UIT.</w:t>
      </w:r>
    </w:p>
    <w:p w14:paraId="53E19CE4" w14:textId="33F2AFEE" w:rsidR="00567A17" w:rsidRPr="002C2948" w:rsidRDefault="00567A17" w:rsidP="00814561">
      <w:pPr>
        <w:rPr>
          <w:lang w:val="fr-FR"/>
        </w:rPr>
      </w:pPr>
      <w:r w:rsidRPr="002C2948">
        <w:rPr>
          <w:lang w:val="fr-FR"/>
        </w:rPr>
        <w:t>4.11</w:t>
      </w:r>
      <w:r w:rsidRPr="002C2948">
        <w:rPr>
          <w:b/>
          <w:bCs/>
          <w:lang w:val="fr-FR"/>
        </w:rPr>
        <w:tab/>
      </w:r>
      <w:r w:rsidR="00394DD5" w:rsidRPr="002C2948">
        <w:rPr>
          <w:lang w:val="fr-FR"/>
        </w:rPr>
        <w:t xml:space="preserve">La </w:t>
      </w:r>
      <w:r w:rsidRPr="002C2948">
        <w:rPr>
          <w:bCs/>
          <w:lang w:val="fr-FR"/>
        </w:rPr>
        <w:t>R</w:t>
      </w:r>
      <w:r w:rsidR="00394DD5" w:rsidRPr="002C2948">
        <w:rPr>
          <w:bCs/>
          <w:lang w:val="fr-FR"/>
        </w:rPr>
        <w:t>é</w:t>
      </w:r>
      <w:r w:rsidRPr="002C2948">
        <w:rPr>
          <w:bCs/>
          <w:lang w:val="fr-FR"/>
        </w:rPr>
        <w:t>solution 34</w:t>
      </w:r>
      <w:r w:rsidRPr="002C2948">
        <w:rPr>
          <w:b/>
          <w:bCs/>
          <w:lang w:val="fr-FR"/>
        </w:rPr>
        <w:t xml:space="preserve"> </w:t>
      </w:r>
      <w:r w:rsidRPr="002C2948">
        <w:rPr>
          <w:lang w:val="fr-FR"/>
        </w:rPr>
        <w:t>(R</w:t>
      </w:r>
      <w:r w:rsidR="00394DD5" w:rsidRPr="002C2948">
        <w:rPr>
          <w:lang w:val="fr-FR"/>
        </w:rPr>
        <w:t>é</w:t>
      </w:r>
      <w:r w:rsidRPr="002C2948">
        <w:rPr>
          <w:lang w:val="fr-FR"/>
        </w:rPr>
        <w:t xml:space="preserve">v.Buenos Aires, 2017) </w:t>
      </w:r>
      <w:r w:rsidR="00394DD5" w:rsidRPr="002C2948">
        <w:rPr>
          <w:lang w:val="fr-FR"/>
        </w:rPr>
        <w:t>relative au</w:t>
      </w:r>
      <w:r w:rsidRPr="002C2948">
        <w:rPr>
          <w:lang w:val="fr-FR"/>
        </w:rPr>
        <w:t xml:space="preserve"> </w:t>
      </w:r>
      <w:r w:rsidR="00394DD5" w:rsidRPr="002C2948">
        <w:rPr>
          <w:b/>
          <w:bCs/>
          <w:lang w:val="fr-FR"/>
        </w:rPr>
        <w:t xml:space="preserve">Rôle des télécommunications et des technologies de l'information et de la communication dans la préparation en prévision des catastrophes, l'alerte avancée, l'atténuation des effets des catastrophes, les interventions et les opérations de secours </w:t>
      </w:r>
      <w:r w:rsidR="00394DD5" w:rsidRPr="002C2948">
        <w:rPr>
          <w:bCs/>
          <w:lang w:val="fr-FR"/>
        </w:rPr>
        <w:t xml:space="preserve">fait elle aussi actuellement l'objet d'un travail de révision afin de mettre à jour et de simplifier le texte </w:t>
      </w:r>
      <w:r w:rsidR="00F81D74" w:rsidRPr="002C2948">
        <w:rPr>
          <w:bCs/>
          <w:lang w:val="fr-FR"/>
        </w:rPr>
        <w:t>existant</w:t>
      </w:r>
      <w:r w:rsidR="00394DD5" w:rsidRPr="002C2948">
        <w:rPr>
          <w:bCs/>
          <w:lang w:val="fr-FR"/>
        </w:rPr>
        <w:t>.</w:t>
      </w:r>
    </w:p>
    <w:p w14:paraId="5DC37924" w14:textId="5BD558C6" w:rsidR="00844C78" w:rsidRPr="002C2948" w:rsidRDefault="00567A17" w:rsidP="00814561">
      <w:pPr>
        <w:rPr>
          <w:lang w:val="fr-FR"/>
        </w:rPr>
      </w:pPr>
      <w:r w:rsidRPr="002C2948">
        <w:rPr>
          <w:lang w:val="fr-FR"/>
        </w:rPr>
        <w:t>4.12</w:t>
      </w:r>
      <w:r w:rsidRPr="002C2948">
        <w:rPr>
          <w:lang w:val="fr-FR"/>
        </w:rPr>
        <w:tab/>
      </w:r>
      <w:r w:rsidR="00844C78" w:rsidRPr="002C2948">
        <w:rPr>
          <w:lang w:val="fr-FR"/>
        </w:rPr>
        <w:t>Deux nouvelle</w:t>
      </w:r>
      <w:r w:rsidR="00F81D74" w:rsidRPr="002C2948">
        <w:rPr>
          <w:lang w:val="fr-FR"/>
        </w:rPr>
        <w:t>s</w:t>
      </w:r>
      <w:r w:rsidR="00844C78" w:rsidRPr="002C2948">
        <w:rPr>
          <w:lang w:val="fr-FR"/>
        </w:rPr>
        <w:t xml:space="preserve"> Résolution</w:t>
      </w:r>
      <w:r w:rsidR="00F81D74" w:rsidRPr="002C2948">
        <w:rPr>
          <w:lang w:val="fr-FR"/>
        </w:rPr>
        <w:t>s</w:t>
      </w:r>
      <w:r w:rsidR="00844C78" w:rsidRPr="002C2948">
        <w:rPr>
          <w:lang w:val="fr-FR"/>
        </w:rPr>
        <w:t xml:space="preserve"> sont actuellement examiné</w:t>
      </w:r>
      <w:r w:rsidR="00F81D74" w:rsidRPr="002C2948">
        <w:rPr>
          <w:lang w:val="fr-FR"/>
        </w:rPr>
        <w:t>e</w:t>
      </w:r>
      <w:r w:rsidR="00844C78" w:rsidRPr="002C2948">
        <w:rPr>
          <w:lang w:val="fr-FR"/>
        </w:rPr>
        <w:t>s au sein de l'APT: l'une porte sur l'</w:t>
      </w:r>
      <w:r w:rsidR="00844C78" w:rsidRPr="002C2948">
        <w:rPr>
          <w:b/>
          <w:bCs/>
          <w:lang w:val="fr-FR"/>
        </w:rPr>
        <w:t>utilisation des technologies de l'information de la communication pour lutter contre les pandémies telles que la pandémie de COVID-19</w:t>
      </w:r>
      <w:r w:rsidR="00844C78" w:rsidRPr="002C2948">
        <w:rPr>
          <w:lang w:val="fr-FR"/>
        </w:rPr>
        <w:t xml:space="preserve">. L'autre porte sur </w:t>
      </w:r>
      <w:r w:rsidR="00844C78" w:rsidRPr="00354F8E">
        <w:rPr>
          <w:iCs/>
          <w:lang w:val="fr-FR"/>
        </w:rPr>
        <w:t>l'</w:t>
      </w:r>
      <w:r w:rsidR="00844C78" w:rsidRPr="002C2948">
        <w:rPr>
          <w:b/>
          <w:bCs/>
          <w:i/>
          <w:iCs/>
          <w:lang w:val="fr-FR"/>
        </w:rPr>
        <w:t>économie numérique</w:t>
      </w:r>
      <w:r w:rsidR="00844C78" w:rsidRPr="002C2948">
        <w:rPr>
          <w:lang w:val="fr-FR"/>
        </w:rPr>
        <w:t>, et concerne la mise en place d'un cadre directeur pour développer une économie numérique et aider les États Membres de la région à cet égard.</w:t>
      </w:r>
    </w:p>
    <w:p w14:paraId="65289CC8" w14:textId="4700DB38" w:rsidR="00844C78" w:rsidRPr="002C2948" w:rsidRDefault="00567A17" w:rsidP="00814561">
      <w:pPr>
        <w:rPr>
          <w:lang w:val="fr-FR"/>
        </w:rPr>
      </w:pPr>
      <w:r w:rsidRPr="002C2948">
        <w:rPr>
          <w:lang w:val="fr-FR"/>
        </w:rPr>
        <w:t>4.13</w:t>
      </w:r>
      <w:r w:rsidRPr="002C2948">
        <w:rPr>
          <w:lang w:val="fr-FR"/>
        </w:rPr>
        <w:tab/>
      </w:r>
      <w:r w:rsidR="00844C78" w:rsidRPr="002C2948">
        <w:rPr>
          <w:lang w:val="fr-FR"/>
        </w:rPr>
        <w:t>Un représentant de la</w:t>
      </w:r>
      <w:r w:rsidRPr="002C2948">
        <w:rPr>
          <w:lang w:val="fr-FR"/>
        </w:rPr>
        <w:t xml:space="preserve"> </w:t>
      </w:r>
      <w:r w:rsidRPr="002C2948">
        <w:rPr>
          <w:b/>
          <w:lang w:val="fr-FR"/>
        </w:rPr>
        <w:t>Comm</w:t>
      </w:r>
      <w:r w:rsidR="00844C78" w:rsidRPr="002C2948">
        <w:rPr>
          <w:b/>
          <w:lang w:val="fr-FR"/>
        </w:rPr>
        <w:t>unauté régionale des</w:t>
      </w:r>
      <w:r w:rsidRPr="002C2948">
        <w:rPr>
          <w:b/>
          <w:lang w:val="fr-FR"/>
        </w:rPr>
        <w:t xml:space="preserve"> </w:t>
      </w:r>
      <w:r w:rsidR="00844C78" w:rsidRPr="002C2948">
        <w:rPr>
          <w:b/>
          <w:lang w:val="fr-FR"/>
        </w:rPr>
        <w:t>c</w:t>
      </w:r>
      <w:r w:rsidRPr="002C2948">
        <w:rPr>
          <w:b/>
          <w:lang w:val="fr-FR"/>
        </w:rPr>
        <w:t>ommunications (RCC)</w:t>
      </w:r>
      <w:r w:rsidRPr="002C2948">
        <w:rPr>
          <w:lang w:val="fr-FR"/>
        </w:rPr>
        <w:t xml:space="preserve"> </w:t>
      </w:r>
      <w:r w:rsidR="00844C78" w:rsidRPr="002C2948">
        <w:rPr>
          <w:lang w:val="fr-FR"/>
        </w:rPr>
        <w:t>de la Fédération de Russie a présenté le</w:t>
      </w:r>
      <w:r w:rsidRPr="002C2948">
        <w:rPr>
          <w:lang w:val="fr-FR"/>
        </w:rPr>
        <w:t xml:space="preserve"> </w:t>
      </w:r>
      <w:hyperlink r:id="rId16" w:history="1">
        <w:r w:rsidRPr="002C2948">
          <w:rPr>
            <w:rStyle w:val="Hyperlink"/>
            <w:rFonts w:asciiTheme="minorHAnsi" w:hAnsiTheme="minorHAnsi" w:cstheme="minorHAnsi"/>
            <w:lang w:val="fr-FR"/>
          </w:rPr>
          <w:t>Document 25</w:t>
        </w:r>
      </w:hyperlink>
      <w:r w:rsidRPr="002C2948">
        <w:rPr>
          <w:lang w:val="fr-FR"/>
        </w:rPr>
        <w:t xml:space="preserve"> </w:t>
      </w:r>
      <w:r w:rsidR="00844C78" w:rsidRPr="002C2948">
        <w:rPr>
          <w:lang w:val="fr-FR"/>
        </w:rPr>
        <w:t>qui contient un résumé des activités préparatoires menées par la RCC. Jusqu'à présent, la RCC a élaboré 20 projets de proposition commune portant principalement sur des Résolutions de la CMDT</w:t>
      </w:r>
      <w:r w:rsidR="00F81D74" w:rsidRPr="002C2948">
        <w:rPr>
          <w:lang w:val="fr-FR"/>
        </w:rPr>
        <w:t>,</w:t>
      </w:r>
      <w:r w:rsidR="00844C78" w:rsidRPr="002C2948">
        <w:rPr>
          <w:lang w:val="fr-FR"/>
        </w:rPr>
        <w:t xml:space="preserve"> et est convenue que les trois </w:t>
      </w:r>
      <w:r w:rsidR="00F81D74" w:rsidRPr="002C2948">
        <w:rPr>
          <w:lang w:val="fr-FR"/>
        </w:rPr>
        <w:t>R</w:t>
      </w:r>
      <w:r w:rsidR="00844C78" w:rsidRPr="002C2948">
        <w:rPr>
          <w:lang w:val="fr-FR"/>
        </w:rPr>
        <w:t>ésolutions ci-après devraient être supprimées:</w:t>
      </w:r>
    </w:p>
    <w:p w14:paraId="4B2B6F75" w14:textId="16C6C3B3" w:rsidR="00567A17" w:rsidRPr="002C2948" w:rsidRDefault="00567A17" w:rsidP="00814561">
      <w:pPr>
        <w:pStyle w:val="enumlev1"/>
        <w:rPr>
          <w:b/>
          <w:bCs/>
          <w:lang w:val="fr-FR"/>
        </w:rPr>
      </w:pPr>
      <w:r w:rsidRPr="002C2948">
        <w:rPr>
          <w:lang w:val="fr-FR"/>
        </w:rPr>
        <w:t>–</w:t>
      </w:r>
      <w:r w:rsidRPr="002C2948">
        <w:rPr>
          <w:lang w:val="fr-FR"/>
        </w:rPr>
        <w:tab/>
      </w:r>
      <w:r w:rsidR="001B2ABF" w:rsidRPr="002C2948">
        <w:rPr>
          <w:lang w:val="fr-FR"/>
        </w:rPr>
        <w:t>Résolution</w:t>
      </w:r>
      <w:r w:rsidRPr="002C2948">
        <w:rPr>
          <w:lang w:val="fr-FR"/>
        </w:rPr>
        <w:t xml:space="preserve"> 27 (R</w:t>
      </w:r>
      <w:r w:rsidR="001B2ABF" w:rsidRPr="002C2948">
        <w:rPr>
          <w:lang w:val="fr-FR"/>
        </w:rPr>
        <w:t>é</w:t>
      </w:r>
      <w:r w:rsidR="00354F8E">
        <w:rPr>
          <w:lang w:val="fr-FR"/>
        </w:rPr>
        <w:t>v.</w:t>
      </w:r>
      <w:r w:rsidRPr="002C2948">
        <w:rPr>
          <w:lang w:val="fr-FR"/>
        </w:rPr>
        <w:t xml:space="preserve">Hyderabad, 2010) </w:t>
      </w:r>
      <w:r w:rsidR="00844C78" w:rsidRPr="002C2948">
        <w:rPr>
          <w:lang w:val="fr-FR"/>
        </w:rPr>
        <w:t>intitulée</w:t>
      </w:r>
      <w:r w:rsidRPr="002C2948">
        <w:rPr>
          <w:lang w:val="fr-FR"/>
        </w:rPr>
        <w:t xml:space="preserve"> </w:t>
      </w:r>
      <w:r w:rsidR="001B2ABF" w:rsidRPr="002C2948">
        <w:rPr>
          <w:b/>
          <w:bCs/>
          <w:lang w:val="fr-FR"/>
        </w:rPr>
        <w:t>Admission d'entités ou d'organisations à participer comme Associés aux travaux du Secteur du développement des télécommunications de l'UIT</w:t>
      </w:r>
      <w:r w:rsidRPr="002C2948">
        <w:rPr>
          <w:lang w:val="fr-FR"/>
        </w:rPr>
        <w:t>.</w:t>
      </w:r>
    </w:p>
    <w:p w14:paraId="5C5FB86A" w14:textId="057D774B" w:rsidR="00567A17" w:rsidRPr="002C2948" w:rsidRDefault="00567A17" w:rsidP="00814561">
      <w:pPr>
        <w:pStyle w:val="enumlev1"/>
        <w:rPr>
          <w:b/>
          <w:bCs/>
          <w:lang w:val="fr-FR"/>
        </w:rPr>
      </w:pPr>
      <w:r w:rsidRPr="002C2948">
        <w:rPr>
          <w:lang w:val="fr-FR"/>
        </w:rPr>
        <w:t>–</w:t>
      </w:r>
      <w:r w:rsidRPr="002C2948">
        <w:rPr>
          <w:lang w:val="fr-FR"/>
        </w:rPr>
        <w:tab/>
      </w:r>
      <w:r w:rsidR="001B2ABF" w:rsidRPr="002C2948">
        <w:rPr>
          <w:lang w:val="fr-FR"/>
        </w:rPr>
        <w:t>Résolution</w:t>
      </w:r>
      <w:r w:rsidRPr="002C2948">
        <w:rPr>
          <w:lang w:val="fr-FR"/>
        </w:rPr>
        <w:t xml:space="preserve"> 61 (R</w:t>
      </w:r>
      <w:r w:rsidR="001B2ABF" w:rsidRPr="002C2948">
        <w:rPr>
          <w:lang w:val="fr-FR"/>
        </w:rPr>
        <w:t>é</w:t>
      </w:r>
      <w:r w:rsidR="00354F8E">
        <w:rPr>
          <w:lang w:val="fr-FR"/>
        </w:rPr>
        <w:t>v.</w:t>
      </w:r>
      <w:r w:rsidR="001B2ABF" w:rsidRPr="002C2948">
        <w:rPr>
          <w:lang w:val="fr-FR"/>
        </w:rPr>
        <w:t>Dubaï</w:t>
      </w:r>
      <w:r w:rsidRPr="002C2948">
        <w:rPr>
          <w:lang w:val="fr-FR"/>
        </w:rPr>
        <w:t xml:space="preserve">, 2014) </w:t>
      </w:r>
      <w:r w:rsidR="00844C78" w:rsidRPr="002C2948">
        <w:rPr>
          <w:lang w:val="fr-FR"/>
        </w:rPr>
        <w:t xml:space="preserve">intitulée </w:t>
      </w:r>
      <w:r w:rsidR="001B2ABF" w:rsidRPr="002C2948">
        <w:rPr>
          <w:b/>
          <w:bCs/>
          <w:lang w:val="fr-FR"/>
        </w:rPr>
        <w:t>Nomination et durée maximale du mandat des présidents et vice-présidents des commissions d'études du Secteur du développement des télécommunications de l'UIT et du Groupe consultatif pour le développement des télécommunications</w:t>
      </w:r>
      <w:r w:rsidRPr="002C2948">
        <w:rPr>
          <w:lang w:val="fr-FR"/>
        </w:rPr>
        <w:t xml:space="preserve">. </w:t>
      </w:r>
    </w:p>
    <w:p w14:paraId="5F329D56" w14:textId="6FDB73D9" w:rsidR="00567A17" w:rsidRPr="002C2948" w:rsidRDefault="00567A17" w:rsidP="00814561">
      <w:pPr>
        <w:pStyle w:val="enumlev1"/>
        <w:rPr>
          <w:b/>
          <w:bCs/>
          <w:lang w:val="fr-FR"/>
        </w:rPr>
      </w:pPr>
      <w:r w:rsidRPr="002C2948">
        <w:rPr>
          <w:lang w:val="fr-FR"/>
        </w:rPr>
        <w:t>–</w:t>
      </w:r>
      <w:r w:rsidRPr="002C2948">
        <w:rPr>
          <w:lang w:val="fr-FR"/>
        </w:rPr>
        <w:tab/>
      </w:r>
      <w:r w:rsidR="001B2ABF" w:rsidRPr="002C2948">
        <w:rPr>
          <w:lang w:val="fr-FR"/>
        </w:rPr>
        <w:t>Résolution</w:t>
      </w:r>
      <w:r w:rsidRPr="002C2948">
        <w:rPr>
          <w:lang w:val="fr-FR"/>
        </w:rPr>
        <w:t xml:space="preserve"> 81 (</w:t>
      </w:r>
      <w:r w:rsidRPr="00F33EDE">
        <w:rPr>
          <w:lang w:val="fr-FR"/>
        </w:rPr>
        <w:t>R</w:t>
      </w:r>
      <w:r w:rsidR="001B2ABF" w:rsidRPr="00F33EDE">
        <w:rPr>
          <w:lang w:val="fr-FR"/>
        </w:rPr>
        <w:t>é</w:t>
      </w:r>
      <w:r w:rsidR="00354F8E" w:rsidRPr="00F33EDE">
        <w:rPr>
          <w:lang w:val="fr-FR"/>
        </w:rPr>
        <w:t>v.</w:t>
      </w:r>
      <w:r w:rsidR="00F33EDE" w:rsidRPr="00F33EDE">
        <w:rPr>
          <w:lang w:val="fr-FR"/>
        </w:rPr>
        <w:t>Buenos Aires</w:t>
      </w:r>
      <w:r w:rsidRPr="00F33EDE">
        <w:rPr>
          <w:lang w:val="fr-FR"/>
        </w:rPr>
        <w:t>, 2017</w:t>
      </w:r>
      <w:r w:rsidRPr="002C2948">
        <w:rPr>
          <w:lang w:val="fr-FR"/>
        </w:rPr>
        <w:t xml:space="preserve">) </w:t>
      </w:r>
      <w:r w:rsidR="00844C78" w:rsidRPr="002C2948">
        <w:rPr>
          <w:lang w:val="fr-FR"/>
        </w:rPr>
        <w:t xml:space="preserve">intitulée </w:t>
      </w:r>
      <w:r w:rsidR="001B2ABF" w:rsidRPr="002C2948">
        <w:rPr>
          <w:b/>
          <w:bCs/>
          <w:lang w:val="fr-FR"/>
        </w:rPr>
        <w:t>Perfectionnement des méthodes de travail électroniques pour les travaux du Secteur du développement des télécommunications de l'UIT</w:t>
      </w:r>
      <w:r w:rsidRPr="002C2948">
        <w:rPr>
          <w:lang w:val="fr-FR"/>
        </w:rPr>
        <w:t xml:space="preserve">. </w:t>
      </w:r>
    </w:p>
    <w:p w14:paraId="33CADC7C" w14:textId="6F0F77BE" w:rsidR="00567A17" w:rsidRPr="002C2948" w:rsidRDefault="00567A17" w:rsidP="00814561">
      <w:pPr>
        <w:rPr>
          <w:lang w:val="fr-FR"/>
        </w:rPr>
      </w:pPr>
      <w:r w:rsidRPr="002C2948">
        <w:rPr>
          <w:lang w:val="fr-FR"/>
        </w:rPr>
        <w:t>4.14</w:t>
      </w:r>
      <w:r w:rsidRPr="002C2948">
        <w:rPr>
          <w:lang w:val="fr-FR"/>
        </w:rPr>
        <w:tab/>
      </w:r>
      <w:r w:rsidR="00844C78" w:rsidRPr="002C2948">
        <w:rPr>
          <w:lang w:val="fr-FR"/>
        </w:rPr>
        <w:t xml:space="preserve">La </w:t>
      </w:r>
      <w:r w:rsidRPr="002C2948">
        <w:rPr>
          <w:lang w:val="fr-FR"/>
        </w:rPr>
        <w:t>RCC</w:t>
      </w:r>
      <w:r w:rsidR="00844C78" w:rsidRPr="002C2948">
        <w:rPr>
          <w:lang w:val="fr-FR"/>
        </w:rPr>
        <w:t xml:space="preserve"> a </w:t>
      </w:r>
      <w:r w:rsidR="00F81D74" w:rsidRPr="002C2948">
        <w:rPr>
          <w:lang w:val="fr-FR"/>
        </w:rPr>
        <w:t>présenté</w:t>
      </w:r>
      <w:r w:rsidR="00844C78" w:rsidRPr="002C2948">
        <w:rPr>
          <w:lang w:val="fr-FR"/>
        </w:rPr>
        <w:t xml:space="preserve"> un projet de nouvelle Résolution intitulé </w:t>
      </w:r>
      <w:r w:rsidR="00E0678A" w:rsidRPr="002C2948">
        <w:rPr>
          <w:b/>
          <w:bCs/>
          <w:lang w:val="fr-FR"/>
        </w:rPr>
        <w:t>Utiliser les télécommunications/technologies de l'information et de la communication pour lutter contre la pandémie de COVID-19 et pour atténuer ses conséquences et y remédier</w:t>
      </w:r>
      <w:r w:rsidRPr="002C2948">
        <w:rPr>
          <w:lang w:val="fr-FR"/>
        </w:rPr>
        <w:t>.</w:t>
      </w:r>
    </w:p>
    <w:p w14:paraId="36B4055B" w14:textId="0129D67B" w:rsidR="003B46CF" w:rsidRPr="002C2948" w:rsidRDefault="00567A17" w:rsidP="00814561">
      <w:pPr>
        <w:rPr>
          <w:lang w:val="fr-FR"/>
        </w:rPr>
      </w:pPr>
      <w:r w:rsidRPr="002C2948">
        <w:rPr>
          <w:lang w:val="fr-FR"/>
        </w:rPr>
        <w:t>4.15</w:t>
      </w:r>
      <w:r w:rsidRPr="002C2948">
        <w:rPr>
          <w:lang w:val="fr-FR"/>
        </w:rPr>
        <w:tab/>
      </w:r>
      <w:r w:rsidR="00005FD9" w:rsidRPr="002E06FE">
        <w:rPr>
          <w:lang w:val="fr-FR"/>
        </w:rPr>
        <w:t xml:space="preserve">La RCC </w:t>
      </w:r>
      <w:r w:rsidR="002E06FE" w:rsidRPr="002E06FE">
        <w:rPr>
          <w:lang w:val="fr-FR"/>
        </w:rPr>
        <w:t>a</w:t>
      </w:r>
      <w:r w:rsidR="00005FD9" w:rsidRPr="002E06FE">
        <w:rPr>
          <w:lang w:val="fr-FR"/>
        </w:rPr>
        <w:t xml:space="preserve"> en outre </w:t>
      </w:r>
      <w:r w:rsidR="002E06FE" w:rsidRPr="002E06FE">
        <w:rPr>
          <w:lang w:val="fr-FR"/>
        </w:rPr>
        <w:t>accepté</w:t>
      </w:r>
      <w:r w:rsidR="00F81D74" w:rsidRPr="002E06FE">
        <w:rPr>
          <w:lang w:val="fr-FR"/>
        </w:rPr>
        <w:t xml:space="preserve"> une</w:t>
      </w:r>
      <w:r w:rsidR="00005FD9" w:rsidRPr="002E06FE">
        <w:rPr>
          <w:lang w:val="fr-FR"/>
        </w:rPr>
        <w:t xml:space="preserve"> </w:t>
      </w:r>
      <w:r w:rsidR="002E06FE" w:rsidRPr="002E06FE">
        <w:rPr>
          <w:lang w:val="fr-FR"/>
        </w:rPr>
        <w:t xml:space="preserve">initiative </w:t>
      </w:r>
      <w:r w:rsidR="00005FD9" w:rsidRPr="002E06FE">
        <w:rPr>
          <w:lang w:val="fr-FR"/>
        </w:rPr>
        <w:t>régionale</w:t>
      </w:r>
      <w:r w:rsidR="00F81D74" w:rsidRPr="002C2948">
        <w:rPr>
          <w:lang w:val="fr-FR"/>
        </w:rPr>
        <w:t>,</w:t>
      </w:r>
      <w:r w:rsidR="00005FD9" w:rsidRPr="002C2948">
        <w:rPr>
          <w:lang w:val="fr-FR"/>
        </w:rPr>
        <w:t xml:space="preserve"> appelant un </w:t>
      </w:r>
      <w:r w:rsidR="00814561" w:rsidRPr="002C2948">
        <w:rPr>
          <w:lang w:val="fr-FR"/>
        </w:rPr>
        <w:t>"</w:t>
      </w:r>
      <w:r w:rsidR="00005FD9" w:rsidRPr="002C2948">
        <w:rPr>
          <w:lang w:val="fr-FR"/>
        </w:rPr>
        <w:t>système unifié pour évaluer le niveau d'adoption du numérique dans les industries et les secteurs fonctionnels de l'économie</w:t>
      </w:r>
      <w:r w:rsidR="00814561" w:rsidRPr="002C2948">
        <w:rPr>
          <w:lang w:val="fr-FR"/>
        </w:rPr>
        <w:t>"</w:t>
      </w:r>
      <w:r w:rsidR="00005FD9" w:rsidRPr="002C2948">
        <w:rPr>
          <w:lang w:val="fr-FR"/>
        </w:rPr>
        <w:t xml:space="preserve"> dans la région.</w:t>
      </w:r>
    </w:p>
    <w:p w14:paraId="17758737" w14:textId="65B2FBA4" w:rsidR="003D4D0B" w:rsidRDefault="00567A17" w:rsidP="00814561">
      <w:pPr>
        <w:rPr>
          <w:lang w:val="fr-FR"/>
        </w:rPr>
      </w:pPr>
      <w:r w:rsidRPr="002C2948">
        <w:rPr>
          <w:lang w:val="fr-FR"/>
        </w:rPr>
        <w:t>4.16</w:t>
      </w:r>
      <w:r w:rsidRPr="002C2948">
        <w:rPr>
          <w:lang w:val="fr-FR"/>
        </w:rPr>
        <w:tab/>
      </w:r>
      <w:r w:rsidR="00005FD9" w:rsidRPr="002C2948">
        <w:rPr>
          <w:lang w:val="fr-FR"/>
        </w:rPr>
        <w:t>Un représentant de la</w:t>
      </w:r>
      <w:r w:rsidRPr="002C2948">
        <w:rPr>
          <w:lang w:val="fr-FR"/>
        </w:rPr>
        <w:t xml:space="preserve"> </w:t>
      </w:r>
      <w:r w:rsidR="00005FD9" w:rsidRPr="002C2948">
        <w:rPr>
          <w:rFonts w:cs="Calibri"/>
          <w:b/>
          <w:szCs w:val="24"/>
          <w:lang w:val="fr-FR"/>
        </w:rPr>
        <w:t>Conférence européenne des administrations des postes et télécommunications (</w:t>
      </w:r>
      <w:r w:rsidRPr="002C2948">
        <w:rPr>
          <w:b/>
          <w:bCs/>
          <w:lang w:val="fr-FR"/>
        </w:rPr>
        <w:t>CEPT)</w:t>
      </w:r>
      <w:r w:rsidRPr="002C2948">
        <w:rPr>
          <w:lang w:val="fr-FR"/>
        </w:rPr>
        <w:t xml:space="preserve"> </w:t>
      </w:r>
      <w:r w:rsidR="00005FD9" w:rsidRPr="002C2948">
        <w:rPr>
          <w:lang w:val="fr-FR"/>
        </w:rPr>
        <w:t>de la Roumanie a présenté</w:t>
      </w:r>
      <w:r w:rsidRPr="002C2948">
        <w:rPr>
          <w:lang w:val="fr-FR"/>
        </w:rPr>
        <w:t xml:space="preserve"> </w:t>
      </w:r>
      <w:hyperlink r:id="rId17" w:history="1">
        <w:r w:rsidRPr="002C2948">
          <w:rPr>
            <w:rStyle w:val="Hyperlink"/>
            <w:rFonts w:asciiTheme="minorHAnsi" w:hAnsiTheme="minorHAnsi" w:cstheme="minorHAnsi"/>
            <w:lang w:val="fr-FR"/>
          </w:rPr>
          <w:t>Document 26</w:t>
        </w:r>
      </w:hyperlink>
      <w:r w:rsidRPr="002C2948">
        <w:rPr>
          <w:lang w:val="fr-FR"/>
        </w:rPr>
        <w:t xml:space="preserve"> </w:t>
      </w:r>
      <w:r w:rsidR="00005FD9" w:rsidRPr="002C2948">
        <w:rPr>
          <w:lang w:val="fr-FR"/>
        </w:rPr>
        <w:t>qui contient un résumé des activités préparatoires menées par la</w:t>
      </w:r>
      <w:r w:rsidRPr="002C2948">
        <w:rPr>
          <w:lang w:val="fr-FR"/>
        </w:rPr>
        <w:t xml:space="preserve"> CEPT. </w:t>
      </w:r>
      <w:r w:rsidR="003D4D0B" w:rsidRPr="002C2948">
        <w:rPr>
          <w:lang w:val="fr-FR"/>
        </w:rPr>
        <w:t xml:space="preserve">L'équipe de projet du Comité Com-UIT de la CEPT pour la CMDT-21 a été créée en mai 2020 et chargée d'identifier les questions qui, selon l'Europe, revêtent une importance </w:t>
      </w:r>
      <w:r w:rsidR="00F81D74" w:rsidRPr="002C2948">
        <w:rPr>
          <w:lang w:val="fr-FR"/>
        </w:rPr>
        <w:t>capitale</w:t>
      </w:r>
      <w:r w:rsidR="003D4D0B" w:rsidRPr="002C2948">
        <w:rPr>
          <w:lang w:val="fr-FR"/>
        </w:rPr>
        <w:t xml:space="preserve"> pour l'UIT</w:t>
      </w:r>
      <w:r w:rsidR="00752ABF" w:rsidRPr="002C2948">
        <w:rPr>
          <w:lang w:val="fr-FR"/>
        </w:rPr>
        <w:t>-</w:t>
      </w:r>
      <w:r w:rsidR="003D4D0B" w:rsidRPr="002C2948">
        <w:rPr>
          <w:lang w:val="fr-FR"/>
        </w:rPr>
        <w:t>D, d'élaborer et de coordonner les positions et contribution</w:t>
      </w:r>
      <w:r w:rsidR="00F81D74" w:rsidRPr="002C2948">
        <w:rPr>
          <w:lang w:val="fr-FR"/>
        </w:rPr>
        <w:t>s</w:t>
      </w:r>
      <w:r w:rsidR="003D4D0B" w:rsidRPr="002C2948">
        <w:rPr>
          <w:lang w:val="fr-FR"/>
        </w:rPr>
        <w:t xml:space="preserve"> de la CEPT et de rédiger des projets de proposition européenne commune (ECP). L'équipe de projets de la CEPT est présidée par Mme</w:t>
      </w:r>
      <w:r w:rsidRPr="002C2948">
        <w:rPr>
          <w:lang w:val="fr-FR"/>
        </w:rPr>
        <w:t> Inga Rimkeviciene</w:t>
      </w:r>
      <w:r w:rsidR="003D4D0B" w:rsidRPr="002C2948">
        <w:rPr>
          <w:lang w:val="fr-FR"/>
        </w:rPr>
        <w:t xml:space="preserve"> (Lituanie) et travaille actuellement à l'élaboration de </w:t>
      </w:r>
      <w:r w:rsidR="00F81D74" w:rsidRPr="002C2948">
        <w:rPr>
          <w:lang w:val="fr-FR"/>
        </w:rPr>
        <w:t>20</w:t>
      </w:r>
      <w:r w:rsidR="003D4D0B" w:rsidRPr="002C2948">
        <w:rPr>
          <w:lang w:val="fr-FR"/>
        </w:rPr>
        <w:t xml:space="preserve"> proposition</w:t>
      </w:r>
      <w:r w:rsidR="00F81D74" w:rsidRPr="002C2948">
        <w:rPr>
          <w:lang w:val="fr-FR"/>
        </w:rPr>
        <w:t>s</w:t>
      </w:r>
      <w:r w:rsidR="003D4D0B" w:rsidRPr="002C2948">
        <w:rPr>
          <w:lang w:val="fr-FR"/>
        </w:rPr>
        <w:t xml:space="preserve"> européenne</w:t>
      </w:r>
      <w:r w:rsidR="00F81D74" w:rsidRPr="002C2948">
        <w:rPr>
          <w:lang w:val="fr-FR"/>
        </w:rPr>
        <w:t>s</w:t>
      </w:r>
      <w:r w:rsidR="003D4D0B" w:rsidRPr="002C2948">
        <w:rPr>
          <w:lang w:val="fr-FR"/>
        </w:rPr>
        <w:t xml:space="preserve"> commune</w:t>
      </w:r>
      <w:r w:rsidR="00F81D74" w:rsidRPr="002C2948">
        <w:rPr>
          <w:lang w:val="fr-FR"/>
        </w:rPr>
        <w:t>s</w:t>
      </w:r>
      <w:r w:rsidR="003D4D0B" w:rsidRPr="002C2948">
        <w:rPr>
          <w:lang w:val="fr-FR"/>
        </w:rPr>
        <w:t>. L'équipe de projet du Comité Com-UIT de la CEPT a tenu cinq réunions.</w:t>
      </w:r>
    </w:p>
    <w:p w14:paraId="23EA67ED" w14:textId="77777777" w:rsidR="005403DD" w:rsidRPr="00AD02C7" w:rsidRDefault="005403DD" w:rsidP="005403DD">
      <w:pPr>
        <w:rPr>
          <w:lang w:val="fr-FR"/>
        </w:rPr>
      </w:pPr>
      <w:r w:rsidRPr="00AD02C7">
        <w:rPr>
          <w:lang w:val="fr-FR"/>
        </w:rPr>
        <w:t>4.17</w:t>
      </w:r>
      <w:r w:rsidRPr="00AD02C7">
        <w:rPr>
          <w:lang w:val="fr-FR"/>
        </w:rPr>
        <w:tab/>
        <w:t>Des coordonnateurs ont également été désignés pour coordonner la participation et les contributions de la CEPT aux travaux des trois groupes de travail du GCDT.</w:t>
      </w:r>
    </w:p>
    <w:p w14:paraId="72A1C245" w14:textId="77777777" w:rsidR="005403DD" w:rsidRPr="00AD02C7" w:rsidRDefault="005403DD" w:rsidP="005403DD">
      <w:pPr>
        <w:pStyle w:val="Headingb"/>
        <w:spacing w:after="120"/>
        <w:rPr>
          <w:lang w:val="fr-FR"/>
        </w:rPr>
      </w:pPr>
      <w:r w:rsidRPr="00AD02C7">
        <w:rPr>
          <w:lang w:val="fr-FR"/>
        </w:rPr>
        <w:t>Coordonnateurs de la CEPT pour les groupes de travail du GCDT</w:t>
      </w:r>
    </w:p>
    <w:tbl>
      <w:tblPr>
        <w:tblW w:w="5000" w:type="pct"/>
        <w:tblCellMar>
          <w:left w:w="0" w:type="dxa"/>
          <w:right w:w="0" w:type="dxa"/>
        </w:tblCellMar>
        <w:tblLook w:val="04A0" w:firstRow="1" w:lastRow="0" w:firstColumn="1" w:lastColumn="0" w:noHBand="0" w:noVBand="1"/>
      </w:tblPr>
      <w:tblGrid>
        <w:gridCol w:w="1806"/>
        <w:gridCol w:w="3484"/>
        <w:gridCol w:w="4331"/>
      </w:tblGrid>
      <w:tr w:rsidR="005403DD" w:rsidRPr="00AD02C7" w14:paraId="0ADB390C" w14:textId="77777777" w:rsidTr="00E9775E">
        <w:tc>
          <w:tcPr>
            <w:tcW w:w="1691" w:type="dxa"/>
            <w:tcBorders>
              <w:top w:val="single" w:sz="8" w:space="0" w:color="FFFFFF"/>
              <w:left w:val="single" w:sz="8" w:space="0" w:color="FFFFFF"/>
              <w:bottom w:val="single" w:sz="8" w:space="0" w:color="FFFFFF"/>
              <w:right w:val="nil"/>
            </w:tcBorders>
            <w:shd w:val="clear" w:color="auto" w:fill="5B9BD5"/>
            <w:tcMar>
              <w:top w:w="0" w:type="dxa"/>
              <w:left w:w="108" w:type="dxa"/>
              <w:bottom w:w="0" w:type="dxa"/>
              <w:right w:w="108" w:type="dxa"/>
            </w:tcMar>
            <w:hideMark/>
          </w:tcPr>
          <w:p w14:paraId="42A6B35F" w14:textId="77777777" w:rsidR="005403DD" w:rsidRPr="00AD02C7" w:rsidRDefault="005403DD" w:rsidP="00E9775E">
            <w:pPr>
              <w:pStyle w:val="Tablehead"/>
              <w:spacing w:before="60" w:after="60"/>
              <w:jc w:val="left"/>
              <w:rPr>
                <w:color w:val="FFFFFF" w:themeColor="background1"/>
                <w:lang w:val="fr-FR"/>
              </w:rPr>
            </w:pPr>
          </w:p>
        </w:tc>
        <w:tc>
          <w:tcPr>
            <w:tcW w:w="3261" w:type="dxa"/>
            <w:tcBorders>
              <w:top w:val="single" w:sz="8" w:space="0" w:color="FFFFFF"/>
              <w:left w:val="nil"/>
              <w:bottom w:val="single" w:sz="8" w:space="0" w:color="FFFFFF"/>
              <w:right w:val="nil"/>
            </w:tcBorders>
            <w:shd w:val="clear" w:color="auto" w:fill="5B9BD5"/>
            <w:tcMar>
              <w:top w:w="0" w:type="dxa"/>
              <w:left w:w="108" w:type="dxa"/>
              <w:bottom w:w="0" w:type="dxa"/>
              <w:right w:w="108" w:type="dxa"/>
            </w:tcMar>
          </w:tcPr>
          <w:p w14:paraId="103C2958" w14:textId="77777777" w:rsidR="005403DD" w:rsidRPr="00AD02C7" w:rsidRDefault="005403DD" w:rsidP="00E9775E">
            <w:pPr>
              <w:pStyle w:val="Tablehead"/>
              <w:spacing w:before="60" w:after="60"/>
              <w:jc w:val="left"/>
              <w:rPr>
                <w:color w:val="FFFFFF" w:themeColor="background1"/>
                <w:lang w:val="fr-FR"/>
              </w:rPr>
            </w:pPr>
            <w:r w:rsidRPr="00AD02C7">
              <w:rPr>
                <w:color w:val="FFFFFF" w:themeColor="background1"/>
                <w:lang w:val="fr-FR"/>
              </w:rPr>
              <w:t>Coordonnateurs</w:t>
            </w:r>
          </w:p>
        </w:tc>
        <w:tc>
          <w:tcPr>
            <w:tcW w:w="4054" w:type="dxa"/>
            <w:tcBorders>
              <w:top w:val="single" w:sz="8" w:space="0" w:color="FFFFFF"/>
              <w:left w:val="nil"/>
              <w:bottom w:val="single" w:sz="8" w:space="0" w:color="FFFFFF"/>
              <w:right w:val="single" w:sz="8" w:space="0" w:color="FFFFFF"/>
            </w:tcBorders>
            <w:shd w:val="clear" w:color="auto" w:fill="5B9BD5"/>
            <w:tcMar>
              <w:top w:w="0" w:type="dxa"/>
              <w:left w:w="108" w:type="dxa"/>
              <w:bottom w:w="0" w:type="dxa"/>
              <w:right w:w="108" w:type="dxa"/>
            </w:tcMar>
          </w:tcPr>
          <w:p w14:paraId="6F0AC2AC" w14:textId="77777777" w:rsidR="005403DD" w:rsidRPr="00AD02C7" w:rsidRDefault="005403DD" w:rsidP="00E9775E">
            <w:pPr>
              <w:pStyle w:val="Tablehead"/>
              <w:spacing w:before="60" w:after="60"/>
              <w:jc w:val="left"/>
              <w:rPr>
                <w:color w:val="FFFFFF" w:themeColor="background1"/>
                <w:lang w:val="fr-FR"/>
              </w:rPr>
            </w:pPr>
            <w:r w:rsidRPr="00AD02C7">
              <w:rPr>
                <w:color w:val="FFFFFF" w:themeColor="background1"/>
                <w:lang w:val="fr-FR"/>
              </w:rPr>
              <w:t>Pays</w:t>
            </w:r>
          </w:p>
        </w:tc>
      </w:tr>
      <w:tr w:rsidR="005403DD" w:rsidRPr="00AD02C7" w14:paraId="67A3767A" w14:textId="77777777" w:rsidTr="00E9775E">
        <w:tc>
          <w:tcPr>
            <w:tcW w:w="1691"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17283EE1" w14:textId="77777777" w:rsidR="005403DD" w:rsidRPr="00AD02C7" w:rsidRDefault="005403DD" w:rsidP="00E9775E">
            <w:pPr>
              <w:pStyle w:val="Tabletext"/>
              <w:spacing w:before="60" w:after="60"/>
              <w:rPr>
                <w:b/>
                <w:bCs/>
                <w:color w:val="FFFFFF" w:themeColor="background1"/>
                <w:lang w:val="fr-FR"/>
              </w:rPr>
            </w:pPr>
            <w:r w:rsidRPr="00AD02C7">
              <w:rPr>
                <w:b/>
                <w:bCs/>
                <w:color w:val="FFFFFF" w:themeColor="background1"/>
                <w:lang w:val="fr-FR"/>
              </w:rPr>
              <w:t>GT-GCDT-Prep</w:t>
            </w:r>
          </w:p>
        </w:tc>
        <w:tc>
          <w:tcPr>
            <w:tcW w:w="326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7E00F615" w14:textId="77777777" w:rsidR="005403DD" w:rsidRPr="00AD02C7" w:rsidRDefault="005403DD" w:rsidP="00E9775E">
            <w:pPr>
              <w:pStyle w:val="Tabletext"/>
              <w:spacing w:before="60" w:after="60"/>
              <w:rPr>
                <w:color w:val="0070C0"/>
                <w:lang w:val="fr-FR"/>
              </w:rPr>
            </w:pPr>
            <w:r w:rsidRPr="00AD02C7">
              <w:rPr>
                <w:color w:val="0070C0"/>
                <w:lang w:val="fr-FR"/>
              </w:rPr>
              <w:t>Mme Inga Rimkeviciene</w:t>
            </w:r>
          </w:p>
          <w:p w14:paraId="05ED7440" w14:textId="77777777" w:rsidR="005403DD" w:rsidRPr="00AD02C7" w:rsidRDefault="005403DD" w:rsidP="00E9775E">
            <w:pPr>
              <w:pStyle w:val="Tabletext"/>
              <w:spacing w:before="60" w:after="60"/>
              <w:rPr>
                <w:color w:val="0070C0"/>
                <w:lang w:val="fr-FR"/>
              </w:rPr>
            </w:pPr>
            <w:r w:rsidRPr="00AD02C7">
              <w:rPr>
                <w:color w:val="0070C0"/>
                <w:lang w:val="fr-FR"/>
              </w:rPr>
              <w:t>M. Nick Aston-Hart</w:t>
            </w:r>
          </w:p>
        </w:tc>
        <w:tc>
          <w:tcPr>
            <w:tcW w:w="4054"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01916F08" w14:textId="77777777" w:rsidR="005403DD" w:rsidRPr="00AD02C7" w:rsidRDefault="005403DD" w:rsidP="00E9775E">
            <w:pPr>
              <w:pStyle w:val="Tabletext"/>
              <w:spacing w:before="60" w:after="60"/>
              <w:rPr>
                <w:color w:val="0070C0"/>
                <w:lang w:val="fr-FR"/>
              </w:rPr>
            </w:pPr>
            <w:r w:rsidRPr="00AD02C7">
              <w:rPr>
                <w:color w:val="0070C0"/>
                <w:lang w:val="fr-FR"/>
              </w:rPr>
              <w:t>Lituanie</w:t>
            </w:r>
          </w:p>
          <w:p w14:paraId="435D26BA" w14:textId="77777777" w:rsidR="005403DD" w:rsidRPr="00AD02C7" w:rsidRDefault="005403DD" w:rsidP="00E9775E">
            <w:pPr>
              <w:pStyle w:val="Tabletext"/>
              <w:spacing w:before="60" w:after="60"/>
              <w:rPr>
                <w:color w:val="0070C0"/>
                <w:lang w:val="fr-FR"/>
              </w:rPr>
            </w:pPr>
            <w:r w:rsidRPr="00AD02C7">
              <w:rPr>
                <w:color w:val="0070C0"/>
                <w:lang w:val="fr-FR"/>
              </w:rPr>
              <w:t>Royaume-Uni</w:t>
            </w:r>
          </w:p>
        </w:tc>
      </w:tr>
      <w:tr w:rsidR="005403DD" w:rsidRPr="00AD02C7" w14:paraId="4B29EB47" w14:textId="77777777" w:rsidTr="00E9775E">
        <w:tc>
          <w:tcPr>
            <w:tcW w:w="1691"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05050183" w14:textId="77777777" w:rsidR="005403DD" w:rsidRPr="00AD02C7" w:rsidRDefault="005403DD" w:rsidP="00E9775E">
            <w:pPr>
              <w:pStyle w:val="Tabletext"/>
              <w:spacing w:before="60" w:after="60"/>
              <w:rPr>
                <w:b/>
                <w:bCs/>
                <w:color w:val="FFFFFF" w:themeColor="background1"/>
                <w:lang w:val="fr-FR"/>
              </w:rPr>
            </w:pPr>
            <w:r w:rsidRPr="00AD02C7">
              <w:rPr>
                <w:b/>
                <w:bCs/>
                <w:color w:val="FFFFFF" w:themeColor="background1"/>
                <w:lang w:val="fr-FR"/>
              </w:rPr>
              <w:t>GT-GCDT-SOP</w:t>
            </w:r>
          </w:p>
        </w:tc>
        <w:tc>
          <w:tcPr>
            <w:tcW w:w="326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2C17B43D" w14:textId="77777777" w:rsidR="005403DD" w:rsidRPr="00AD02C7" w:rsidRDefault="005403DD" w:rsidP="00E9775E">
            <w:pPr>
              <w:pStyle w:val="Tabletext"/>
              <w:spacing w:before="60" w:after="60"/>
              <w:rPr>
                <w:color w:val="0070C0"/>
                <w:lang w:val="fr-FR"/>
              </w:rPr>
            </w:pPr>
            <w:r w:rsidRPr="00AD02C7">
              <w:rPr>
                <w:color w:val="0070C0"/>
                <w:lang w:val="fr-FR"/>
              </w:rPr>
              <w:t>Mme Inga Rimkeviciene</w:t>
            </w:r>
          </w:p>
          <w:p w14:paraId="246A6419" w14:textId="77777777" w:rsidR="005403DD" w:rsidRPr="00AD02C7" w:rsidRDefault="005403DD" w:rsidP="00E9775E">
            <w:pPr>
              <w:pStyle w:val="Tabletext"/>
              <w:spacing w:before="60" w:after="60"/>
              <w:rPr>
                <w:color w:val="0070C0"/>
                <w:lang w:val="fr-FR"/>
              </w:rPr>
            </w:pPr>
            <w:r w:rsidRPr="00AD02C7">
              <w:rPr>
                <w:color w:val="0070C0"/>
                <w:lang w:val="fr-FR"/>
              </w:rPr>
              <w:t>Mme Maciej Piotrowski</w:t>
            </w:r>
          </w:p>
        </w:tc>
        <w:tc>
          <w:tcPr>
            <w:tcW w:w="4054"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208EE80E" w14:textId="77777777" w:rsidR="005403DD" w:rsidRPr="00AD02C7" w:rsidRDefault="005403DD" w:rsidP="00E9775E">
            <w:pPr>
              <w:pStyle w:val="Tabletext"/>
              <w:spacing w:before="60" w:after="60"/>
              <w:rPr>
                <w:color w:val="0070C0"/>
                <w:lang w:val="fr-FR"/>
              </w:rPr>
            </w:pPr>
            <w:r w:rsidRPr="00AD02C7">
              <w:rPr>
                <w:color w:val="0070C0"/>
                <w:lang w:val="fr-FR"/>
              </w:rPr>
              <w:t>Lituanie</w:t>
            </w:r>
          </w:p>
          <w:p w14:paraId="256913D0" w14:textId="77777777" w:rsidR="005403DD" w:rsidRPr="00AD02C7" w:rsidRDefault="005403DD" w:rsidP="00E9775E">
            <w:pPr>
              <w:pStyle w:val="Tabletext"/>
              <w:spacing w:before="60" w:after="60"/>
              <w:rPr>
                <w:color w:val="0070C0"/>
                <w:lang w:val="fr-FR"/>
              </w:rPr>
            </w:pPr>
            <w:r w:rsidRPr="00AD02C7">
              <w:rPr>
                <w:color w:val="0070C0"/>
                <w:lang w:val="fr-FR"/>
              </w:rPr>
              <w:t>Pologne</w:t>
            </w:r>
          </w:p>
        </w:tc>
      </w:tr>
      <w:tr w:rsidR="005403DD" w:rsidRPr="00AD02C7" w14:paraId="424A8BFD" w14:textId="77777777" w:rsidTr="00E9775E">
        <w:tc>
          <w:tcPr>
            <w:tcW w:w="1691" w:type="dxa"/>
            <w:tcBorders>
              <w:top w:val="nil"/>
              <w:left w:val="single" w:sz="8" w:space="0" w:color="FFFFFF"/>
              <w:bottom w:val="nil"/>
              <w:right w:val="single" w:sz="8" w:space="0" w:color="FFFFFF"/>
            </w:tcBorders>
            <w:shd w:val="clear" w:color="auto" w:fill="5B9BD5"/>
            <w:tcMar>
              <w:top w:w="0" w:type="dxa"/>
              <w:left w:w="108" w:type="dxa"/>
              <w:bottom w:w="0" w:type="dxa"/>
              <w:right w:w="108" w:type="dxa"/>
            </w:tcMar>
            <w:hideMark/>
          </w:tcPr>
          <w:p w14:paraId="2233DF08" w14:textId="77777777" w:rsidR="005403DD" w:rsidRPr="00AD02C7" w:rsidRDefault="005403DD" w:rsidP="00E9775E">
            <w:pPr>
              <w:pStyle w:val="Tabletext"/>
              <w:spacing w:before="60" w:after="60"/>
              <w:rPr>
                <w:b/>
                <w:bCs/>
                <w:color w:val="FFFFFF" w:themeColor="background1"/>
                <w:lang w:val="fr-FR"/>
              </w:rPr>
            </w:pPr>
            <w:r w:rsidRPr="00AD02C7">
              <w:rPr>
                <w:b/>
                <w:bCs/>
                <w:color w:val="FFFFFF" w:themeColor="background1"/>
                <w:lang w:val="fr-FR"/>
              </w:rPr>
              <w:t>GT-GCDT-RDTP</w:t>
            </w:r>
          </w:p>
        </w:tc>
        <w:tc>
          <w:tcPr>
            <w:tcW w:w="3261" w:type="dxa"/>
            <w:tcBorders>
              <w:top w:val="nil"/>
              <w:left w:val="nil"/>
              <w:right w:val="single" w:sz="8" w:space="0" w:color="FFFFFF"/>
            </w:tcBorders>
            <w:shd w:val="clear" w:color="auto" w:fill="DEEAF6"/>
            <w:tcMar>
              <w:top w:w="0" w:type="dxa"/>
              <w:left w:w="108" w:type="dxa"/>
              <w:bottom w:w="0" w:type="dxa"/>
              <w:right w:w="108" w:type="dxa"/>
            </w:tcMar>
          </w:tcPr>
          <w:p w14:paraId="3B000063" w14:textId="77777777" w:rsidR="005403DD" w:rsidRPr="00AD02C7" w:rsidRDefault="005403DD" w:rsidP="00E9775E">
            <w:pPr>
              <w:pStyle w:val="Tabletext"/>
              <w:spacing w:before="60" w:after="60"/>
              <w:rPr>
                <w:color w:val="0070C0"/>
                <w:lang w:val="fr-FR"/>
              </w:rPr>
            </w:pPr>
            <w:r w:rsidRPr="00AD02C7">
              <w:rPr>
                <w:color w:val="0070C0"/>
                <w:lang w:val="fr-FR"/>
              </w:rPr>
              <w:t>Mme Inga Rimkeviciene</w:t>
            </w:r>
          </w:p>
          <w:p w14:paraId="0A1B9E93" w14:textId="77777777" w:rsidR="005403DD" w:rsidRPr="00AD02C7" w:rsidRDefault="005403DD" w:rsidP="00E9775E">
            <w:pPr>
              <w:pStyle w:val="Tabletext"/>
              <w:spacing w:before="60" w:after="60"/>
              <w:rPr>
                <w:color w:val="0070C0"/>
                <w:lang w:val="fr-FR"/>
              </w:rPr>
            </w:pPr>
            <w:r w:rsidRPr="00AD02C7">
              <w:rPr>
                <w:color w:val="0070C0"/>
                <w:lang w:val="fr-FR"/>
              </w:rPr>
              <w:t>Mme Alina Modan</w:t>
            </w:r>
          </w:p>
        </w:tc>
        <w:tc>
          <w:tcPr>
            <w:tcW w:w="4054" w:type="dxa"/>
            <w:tcBorders>
              <w:top w:val="nil"/>
              <w:left w:val="nil"/>
              <w:right w:val="single" w:sz="8" w:space="0" w:color="FFFFFF"/>
            </w:tcBorders>
            <w:shd w:val="clear" w:color="auto" w:fill="DEEAF6"/>
            <w:tcMar>
              <w:top w:w="0" w:type="dxa"/>
              <w:left w:w="108" w:type="dxa"/>
              <w:bottom w:w="0" w:type="dxa"/>
              <w:right w:w="108" w:type="dxa"/>
            </w:tcMar>
          </w:tcPr>
          <w:p w14:paraId="609F2140" w14:textId="77777777" w:rsidR="005403DD" w:rsidRPr="00AD02C7" w:rsidRDefault="005403DD" w:rsidP="00E9775E">
            <w:pPr>
              <w:pStyle w:val="Tabletext"/>
              <w:spacing w:before="60" w:after="60"/>
              <w:rPr>
                <w:color w:val="0070C0"/>
                <w:lang w:val="fr-FR"/>
              </w:rPr>
            </w:pPr>
            <w:r w:rsidRPr="00AD02C7">
              <w:rPr>
                <w:color w:val="0070C0"/>
                <w:lang w:val="fr-FR"/>
              </w:rPr>
              <w:t>Lituanie</w:t>
            </w:r>
          </w:p>
          <w:p w14:paraId="53CB88C3" w14:textId="77777777" w:rsidR="005403DD" w:rsidRPr="00AD02C7" w:rsidRDefault="005403DD" w:rsidP="00E9775E">
            <w:pPr>
              <w:pStyle w:val="Tabletext"/>
              <w:spacing w:before="60" w:after="60"/>
              <w:rPr>
                <w:color w:val="0070C0"/>
                <w:lang w:val="fr-FR"/>
              </w:rPr>
            </w:pPr>
            <w:r w:rsidRPr="00AD02C7">
              <w:rPr>
                <w:color w:val="0070C0"/>
                <w:lang w:val="fr-FR"/>
              </w:rPr>
              <w:t>Roumanie</w:t>
            </w:r>
          </w:p>
        </w:tc>
      </w:tr>
    </w:tbl>
    <w:p w14:paraId="40E93902" w14:textId="77777777" w:rsidR="005403DD" w:rsidRPr="00AD02C7" w:rsidRDefault="005403DD" w:rsidP="00121EC7">
      <w:pPr>
        <w:spacing w:before="240"/>
        <w:rPr>
          <w:lang w:val="fr-FR"/>
        </w:rPr>
      </w:pPr>
      <w:r w:rsidRPr="00AD02C7">
        <w:rPr>
          <w:lang w:val="fr-FR"/>
        </w:rPr>
        <w:t>4.18</w:t>
      </w:r>
      <w:r w:rsidRPr="00AD02C7">
        <w:rPr>
          <w:lang w:val="fr-FR"/>
        </w:rPr>
        <w:tab/>
        <w:t>La CEPT a défini une vision commune des pays d'Europe relative au rôle de l'UIT-D à l'échelle mondiale en vue de connecter ceux qui ne le sont pas encore. Cette vision fait l'objet d'une proposition européenne commune soumise par 22 pays signataires. Du point de vue de l'Europe, l'UIT-D devrait:</w:t>
      </w:r>
    </w:p>
    <w:p w14:paraId="4E3CE23C" w14:textId="77777777" w:rsidR="005403DD" w:rsidRPr="00AD02C7" w:rsidRDefault="005403DD" w:rsidP="005403DD">
      <w:pPr>
        <w:pStyle w:val="enumlev1"/>
        <w:rPr>
          <w:lang w:val="fr-FR"/>
        </w:rPr>
      </w:pPr>
      <w:r w:rsidRPr="00AD02C7">
        <w:rPr>
          <w:lang w:val="fr-FR"/>
        </w:rPr>
        <w:t>–</w:t>
      </w:r>
      <w:r w:rsidRPr="00AD02C7">
        <w:rPr>
          <w:lang w:val="fr-FR"/>
        </w:rPr>
        <w:tab/>
        <w:t>favoriser l'utilisation et le déploiement des infrastructures et technologies numériques dans le domaine des télécommunications/TIC;</w:t>
      </w:r>
    </w:p>
    <w:p w14:paraId="10BFEFD7" w14:textId="77777777" w:rsidR="005403DD" w:rsidRPr="00AD02C7" w:rsidRDefault="005403DD" w:rsidP="005403DD">
      <w:pPr>
        <w:pStyle w:val="enumlev1"/>
        <w:rPr>
          <w:lang w:val="fr-FR"/>
        </w:rPr>
      </w:pPr>
      <w:r w:rsidRPr="00AD02C7">
        <w:rPr>
          <w:lang w:val="fr-FR"/>
        </w:rPr>
        <w:t>–</w:t>
      </w:r>
      <w:r w:rsidRPr="00AD02C7">
        <w:rPr>
          <w:lang w:val="fr-FR"/>
        </w:rPr>
        <w:tab/>
        <w:t>s'efforcer de promouvoir l'inclusion et le développement durable, en vue d'atteindre les Objectifs de développement durable (ODD);</w:t>
      </w:r>
    </w:p>
    <w:p w14:paraId="2E60CEFE" w14:textId="77777777" w:rsidR="005403DD" w:rsidRPr="00AD02C7" w:rsidRDefault="005403DD" w:rsidP="005403DD">
      <w:pPr>
        <w:pStyle w:val="enumlev1"/>
        <w:rPr>
          <w:lang w:val="fr-FR"/>
        </w:rPr>
      </w:pPr>
      <w:r w:rsidRPr="00AD02C7">
        <w:rPr>
          <w:lang w:val="fr-FR"/>
        </w:rPr>
        <w:t>–</w:t>
      </w:r>
      <w:r w:rsidRPr="00AD02C7">
        <w:rPr>
          <w:lang w:val="fr-FR"/>
        </w:rPr>
        <w:tab/>
        <w:t>faire porter ses efforts sur les pays en développement (PEID et PDSL), et plus généralement sur les groupes les plus vulnérables et les régions dans lesquelles le Secteur peut avoir le plus d'impact;</w:t>
      </w:r>
    </w:p>
    <w:p w14:paraId="52F1AF7A" w14:textId="77777777" w:rsidR="005403DD" w:rsidRPr="00AD02C7" w:rsidRDefault="005403DD" w:rsidP="005403DD">
      <w:pPr>
        <w:pStyle w:val="enumlev1"/>
        <w:rPr>
          <w:lang w:val="fr-FR"/>
        </w:rPr>
      </w:pPr>
      <w:r w:rsidRPr="00AD02C7">
        <w:rPr>
          <w:lang w:val="fr-FR"/>
        </w:rPr>
        <w:t>–</w:t>
      </w:r>
      <w:r w:rsidRPr="00AD02C7">
        <w:rPr>
          <w:lang w:val="fr-FR"/>
        </w:rPr>
        <w:tab/>
        <w:t>se concentrer sur la réalisation des ODD, en particulier sur les mesures permettant de garantir une connectivité pour tous.</w:t>
      </w:r>
    </w:p>
    <w:p w14:paraId="1CE5C6EB" w14:textId="77777777" w:rsidR="005403DD" w:rsidRPr="00AD02C7" w:rsidRDefault="005403DD" w:rsidP="005403DD">
      <w:pPr>
        <w:rPr>
          <w:lang w:val="fr-FR"/>
        </w:rPr>
      </w:pPr>
      <w:r w:rsidRPr="00AD02C7">
        <w:rPr>
          <w:lang w:val="fr-FR"/>
        </w:rPr>
        <w:t>4.19</w:t>
      </w:r>
      <w:r w:rsidRPr="00AD02C7">
        <w:rPr>
          <w:lang w:val="fr-FR"/>
        </w:rPr>
        <w:tab/>
        <w:t>En outre, l'Europe considère que le BDT est une "organisation apprenante", qui cherche à obtenir des résultats mesurables et à mener des projets ayant d'importantes retombées avec de fortes probabilités de produire des effets durables, en renforçant les partenariats, en coopérant avec les organisations régionales et en attirant de nouveaux membres.</w:t>
      </w:r>
    </w:p>
    <w:p w14:paraId="360CF8EB" w14:textId="77777777" w:rsidR="005403DD" w:rsidRPr="00AD02C7" w:rsidRDefault="005403DD" w:rsidP="005403DD">
      <w:pPr>
        <w:rPr>
          <w:lang w:val="fr-FR"/>
        </w:rPr>
      </w:pPr>
      <w:r w:rsidRPr="00AD02C7">
        <w:rPr>
          <w:lang w:val="fr-FR"/>
        </w:rPr>
        <w:t>4.20</w:t>
      </w:r>
      <w:r w:rsidRPr="00AD02C7">
        <w:rPr>
          <w:lang w:val="fr-FR"/>
        </w:rPr>
        <w:tab/>
        <w:t xml:space="preserve">Un représentant de la </w:t>
      </w:r>
      <w:r w:rsidRPr="00AD02C7">
        <w:rPr>
          <w:b/>
          <w:lang w:val="fr-FR"/>
        </w:rPr>
        <w:t>Ligue des États arabes (LAS)</w:t>
      </w:r>
      <w:r w:rsidRPr="00AD02C7">
        <w:rPr>
          <w:lang w:val="fr-FR"/>
        </w:rPr>
        <w:t xml:space="preserve"> de l'Arabie saoudite a présenté le </w:t>
      </w:r>
      <w:hyperlink r:id="rId18" w:history="1">
        <w:r w:rsidRPr="00AD02C7">
          <w:rPr>
            <w:rStyle w:val="Hyperlink"/>
            <w:rFonts w:asciiTheme="minorHAnsi" w:hAnsiTheme="minorHAnsi" w:cstheme="minorHAnsi"/>
            <w:lang w:val="fr-FR"/>
          </w:rPr>
          <w:t>Document 23</w:t>
        </w:r>
      </w:hyperlink>
      <w:r w:rsidRPr="00AD02C7">
        <w:rPr>
          <w:lang w:val="fr-FR"/>
        </w:rPr>
        <w:t xml:space="preserve"> qui contient un résumé des activités préparatoires menées par la LAS.</w:t>
      </w:r>
    </w:p>
    <w:p w14:paraId="2AB61727" w14:textId="77777777" w:rsidR="005403DD" w:rsidRPr="00AD02C7" w:rsidRDefault="005403DD" w:rsidP="005403DD">
      <w:pPr>
        <w:rPr>
          <w:lang w:val="fr-FR"/>
        </w:rPr>
      </w:pPr>
      <w:r w:rsidRPr="00AD02C7">
        <w:rPr>
          <w:lang w:val="fr-FR"/>
        </w:rPr>
        <w:t>4.21</w:t>
      </w:r>
      <w:r w:rsidRPr="00AD02C7">
        <w:rPr>
          <w:lang w:val="fr-FR"/>
        </w:rPr>
        <w:tab/>
        <w:t>Le Groupe de préparation des États arabes en vue de la CMDT-21 a été établi par le Conseil des ministres des communications et de l'information des pays arabes en décembre 2019 et a tenu à ce jour deux réunions: l'une en août 2020 et l'autre en février 2021.</w:t>
      </w:r>
    </w:p>
    <w:p w14:paraId="26A30D75" w14:textId="77777777" w:rsidR="005403DD" w:rsidRPr="00AD02C7" w:rsidRDefault="005403DD" w:rsidP="00121EC7">
      <w:pPr>
        <w:spacing w:after="240"/>
        <w:rPr>
          <w:lang w:val="fr-FR"/>
        </w:rPr>
      </w:pPr>
      <w:r w:rsidRPr="00AD02C7">
        <w:rPr>
          <w:lang w:val="fr-FR"/>
        </w:rPr>
        <w:t>4.22</w:t>
      </w:r>
      <w:r w:rsidRPr="00AD02C7">
        <w:rPr>
          <w:lang w:val="fr-FR"/>
        </w:rPr>
        <w:tab/>
        <w:t xml:space="preserve">Le Groupe de préparation des États arabes en vue de la CMDT-21 et les trois groupes de travail qui le composent disposent tous d'un président </w:t>
      </w:r>
      <w:r w:rsidRPr="00AD02C7">
        <w:rPr>
          <w:b/>
          <w:lang w:val="fr-FR"/>
        </w:rPr>
        <w:t>(voir la structure dans l'encadré)</w:t>
      </w:r>
      <w:r w:rsidRPr="00AD02C7">
        <w:rPr>
          <w:lang w:val="fr-FR"/>
        </w:rPr>
        <w:t>.</w:t>
      </w:r>
    </w:p>
    <w:tbl>
      <w:tblPr>
        <w:tblW w:w="5000" w:type="pct"/>
        <w:tblCellMar>
          <w:left w:w="0" w:type="dxa"/>
          <w:right w:w="0" w:type="dxa"/>
        </w:tblCellMar>
        <w:tblLook w:val="04A0" w:firstRow="1" w:lastRow="0" w:firstColumn="1" w:lastColumn="0" w:noHBand="0" w:noVBand="1"/>
      </w:tblPr>
      <w:tblGrid>
        <w:gridCol w:w="9621"/>
      </w:tblGrid>
      <w:tr w:rsidR="005403DD" w:rsidRPr="00121EC7" w14:paraId="5DF5EDDB" w14:textId="77777777" w:rsidTr="00E9775E">
        <w:tc>
          <w:tcPr>
            <w:tcW w:w="9621" w:type="dxa"/>
            <w:tcBorders>
              <w:top w:val="single" w:sz="8" w:space="0" w:color="FFFFFF"/>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6098B8C9" w14:textId="77777777" w:rsidR="005403DD" w:rsidRPr="00AD02C7" w:rsidRDefault="005403DD" w:rsidP="00E9775E">
            <w:pPr>
              <w:pStyle w:val="Tabletext"/>
              <w:rPr>
                <w:b/>
                <w:bCs/>
                <w:lang w:val="fr-FR"/>
              </w:rPr>
            </w:pPr>
            <w:r w:rsidRPr="00AD02C7">
              <w:rPr>
                <w:b/>
                <w:bCs/>
                <w:color w:val="FFFFFF" w:themeColor="background1"/>
                <w:lang w:val="fr-FR"/>
              </w:rPr>
              <w:t>Groupe de préparation des États arabes en vue de la CMDT-21</w:t>
            </w:r>
          </w:p>
        </w:tc>
      </w:tr>
      <w:tr w:rsidR="005403DD" w:rsidRPr="00121EC7" w14:paraId="6B9E094B" w14:textId="77777777" w:rsidTr="00E9775E">
        <w:tc>
          <w:tcPr>
            <w:tcW w:w="9621"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3EB2C78C" w14:textId="77777777" w:rsidR="005403DD" w:rsidRPr="00AD02C7" w:rsidRDefault="005403DD" w:rsidP="00E9775E">
            <w:pPr>
              <w:pStyle w:val="Tabletext"/>
              <w:rPr>
                <w:color w:val="0070C0"/>
                <w:lang w:val="fr-FR"/>
              </w:rPr>
            </w:pPr>
            <w:r w:rsidRPr="00AD02C7">
              <w:rPr>
                <w:color w:val="0070C0"/>
                <w:lang w:val="fr-FR"/>
              </w:rPr>
              <w:t>Président: M. Mansour Alqurashi (Arabie saoudite)</w:t>
            </w:r>
          </w:p>
        </w:tc>
      </w:tr>
      <w:tr w:rsidR="005403DD" w:rsidRPr="00121EC7" w14:paraId="6BB1EA2E" w14:textId="77777777" w:rsidTr="00E9775E">
        <w:tc>
          <w:tcPr>
            <w:tcW w:w="9621"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28D76E5F" w14:textId="77777777" w:rsidR="005403DD" w:rsidRPr="00AD02C7" w:rsidRDefault="005403DD" w:rsidP="00E9775E">
            <w:pPr>
              <w:pStyle w:val="Tabletext"/>
              <w:rPr>
                <w:b/>
                <w:bCs/>
                <w:lang w:val="fr-FR"/>
              </w:rPr>
            </w:pPr>
            <w:r w:rsidRPr="00AD02C7">
              <w:rPr>
                <w:b/>
                <w:bCs/>
                <w:color w:val="FFFFFF" w:themeColor="background1"/>
                <w:lang w:val="fr-FR"/>
              </w:rPr>
              <w:t>Groupe de travail sur le Plan d'action, les Plans stratégique et opérationnel et les initiatives régionales</w:t>
            </w:r>
          </w:p>
        </w:tc>
      </w:tr>
      <w:tr w:rsidR="005403DD" w:rsidRPr="00AD02C7" w14:paraId="6378138B" w14:textId="77777777" w:rsidTr="00E9775E">
        <w:tc>
          <w:tcPr>
            <w:tcW w:w="9621"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2371E558" w14:textId="77777777" w:rsidR="005403DD" w:rsidRPr="00AD02C7" w:rsidRDefault="005403DD" w:rsidP="00E9775E">
            <w:pPr>
              <w:pStyle w:val="Tabletext"/>
              <w:rPr>
                <w:color w:val="0070C0"/>
                <w:lang w:val="fr-FR"/>
              </w:rPr>
            </w:pPr>
            <w:r w:rsidRPr="00AD02C7">
              <w:rPr>
                <w:color w:val="0070C0"/>
                <w:lang w:val="fr-FR"/>
              </w:rPr>
              <w:t>Président: Salem Almawali (Oman)</w:t>
            </w:r>
          </w:p>
        </w:tc>
      </w:tr>
      <w:tr w:rsidR="005403DD" w:rsidRPr="00121EC7" w14:paraId="65F5CDB1" w14:textId="77777777" w:rsidTr="00E9775E">
        <w:tc>
          <w:tcPr>
            <w:tcW w:w="9621"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1092ACA4" w14:textId="77777777" w:rsidR="005403DD" w:rsidRPr="00AD02C7" w:rsidRDefault="005403DD" w:rsidP="00E9775E">
            <w:pPr>
              <w:pStyle w:val="Tabletext"/>
              <w:rPr>
                <w:b/>
                <w:bCs/>
                <w:lang w:val="fr-FR"/>
              </w:rPr>
            </w:pPr>
            <w:r w:rsidRPr="00AD02C7">
              <w:rPr>
                <w:b/>
                <w:bCs/>
                <w:color w:val="FFFFFF" w:themeColor="background1"/>
                <w:lang w:val="fr-FR"/>
              </w:rPr>
              <w:t>Groupe de travail sur la Déclaration, la rationalisation des Résolutions et les priorités thématiques</w:t>
            </w:r>
          </w:p>
        </w:tc>
      </w:tr>
      <w:tr w:rsidR="005403DD" w:rsidRPr="00121EC7" w14:paraId="4D4CC557" w14:textId="77777777" w:rsidTr="00E9775E">
        <w:tc>
          <w:tcPr>
            <w:tcW w:w="9621"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21E0EF65" w14:textId="77777777" w:rsidR="005403DD" w:rsidRPr="00AD02C7" w:rsidRDefault="005403DD" w:rsidP="00E9775E">
            <w:pPr>
              <w:pStyle w:val="Tabletext"/>
              <w:rPr>
                <w:color w:val="0070C0"/>
                <w:lang w:val="fr-FR"/>
              </w:rPr>
            </w:pPr>
            <w:r w:rsidRPr="00AD02C7">
              <w:rPr>
                <w:color w:val="0070C0"/>
                <w:lang w:val="fr-FR"/>
              </w:rPr>
              <w:t>Présidente: Mme Sameera Belal (Koweït)</w:t>
            </w:r>
          </w:p>
        </w:tc>
      </w:tr>
      <w:tr w:rsidR="005403DD" w:rsidRPr="00121EC7" w14:paraId="256AA587" w14:textId="77777777" w:rsidTr="00E9775E">
        <w:tc>
          <w:tcPr>
            <w:tcW w:w="9621"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153B77AB" w14:textId="77777777" w:rsidR="005403DD" w:rsidRPr="00AD02C7" w:rsidRDefault="005403DD" w:rsidP="00E9775E">
            <w:pPr>
              <w:pStyle w:val="Tabletext"/>
              <w:rPr>
                <w:b/>
                <w:bCs/>
                <w:lang w:val="fr-FR"/>
              </w:rPr>
            </w:pPr>
            <w:r w:rsidRPr="00AD02C7">
              <w:rPr>
                <w:b/>
                <w:bCs/>
                <w:color w:val="FFFFFF" w:themeColor="background1"/>
                <w:lang w:val="fr-FR"/>
              </w:rPr>
              <w:t>Groupe de travail sur les travaux préparatoires en vue de la CMDT-21</w:t>
            </w:r>
          </w:p>
        </w:tc>
      </w:tr>
      <w:tr w:rsidR="005403DD" w:rsidRPr="00121EC7" w14:paraId="13170A8C" w14:textId="77777777" w:rsidTr="00E9775E">
        <w:tc>
          <w:tcPr>
            <w:tcW w:w="9621"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075CEDAF" w14:textId="77777777" w:rsidR="005403DD" w:rsidRPr="00AD02C7" w:rsidRDefault="005403DD" w:rsidP="00E9775E">
            <w:pPr>
              <w:pStyle w:val="Tabletext"/>
              <w:rPr>
                <w:color w:val="0070C0"/>
                <w:lang w:val="fr-FR"/>
              </w:rPr>
            </w:pPr>
            <w:r w:rsidRPr="00AD02C7">
              <w:rPr>
                <w:color w:val="0070C0"/>
                <w:lang w:val="fr-FR"/>
              </w:rPr>
              <w:t>Président: M. Alansari Almashagbah (Jordanie)</w:t>
            </w:r>
          </w:p>
        </w:tc>
      </w:tr>
    </w:tbl>
    <w:p w14:paraId="75FC6AA2" w14:textId="406AA5E1" w:rsidR="005403DD" w:rsidRPr="00AD02C7" w:rsidRDefault="005403DD" w:rsidP="00121EC7">
      <w:pPr>
        <w:spacing w:before="240"/>
        <w:rPr>
          <w:lang w:val="fr-FR"/>
        </w:rPr>
      </w:pPr>
      <w:r w:rsidRPr="00AD02C7">
        <w:rPr>
          <w:lang w:val="fr-FR"/>
        </w:rPr>
        <w:t>4.23</w:t>
      </w:r>
      <w:r w:rsidRPr="00AD02C7">
        <w:rPr>
          <w:lang w:val="fr-FR"/>
        </w:rPr>
        <w:tab/>
        <w:t xml:space="preserve">Pour l'heure, le Groupe des États arabes propose de modifier 28 Résolutions énumérées dans le </w:t>
      </w:r>
      <w:hyperlink r:id="rId19" w:history="1">
        <w:r w:rsidRPr="00AD02C7">
          <w:rPr>
            <w:rStyle w:val="Hyperlink"/>
            <w:rFonts w:asciiTheme="minorHAnsi" w:hAnsiTheme="minorHAnsi" w:cstheme="minorHAnsi"/>
            <w:lang w:val="fr-FR"/>
          </w:rPr>
          <w:t>Document 23</w:t>
        </w:r>
      </w:hyperlink>
      <w:r w:rsidRPr="00AD02C7">
        <w:rPr>
          <w:lang w:val="fr-FR"/>
        </w:rPr>
        <w:t xml:space="preserve">. À l'instar de la RCC, la LAS propose de supprimer les Résolutions 27 et 61. De plus, le Groupe des États arabes présentera deux nouvelles propositions en lien avec </w:t>
      </w:r>
      <w:r w:rsidRPr="00AD02C7">
        <w:rPr>
          <w:b/>
          <w:bCs/>
          <w:lang w:val="fr-FR"/>
        </w:rPr>
        <w:t xml:space="preserve">le </w:t>
      </w:r>
      <w:r w:rsidRPr="00AD02C7">
        <w:rPr>
          <w:b/>
          <w:lang w:val="fr-FR"/>
        </w:rPr>
        <w:t>rôle des télécommunications/TIC en période de pandémie</w:t>
      </w:r>
      <w:r w:rsidRPr="00AD02C7">
        <w:rPr>
          <w:lang w:val="fr-FR"/>
        </w:rPr>
        <w:t xml:space="preserve">, en particulier dans les pays en développement, et </w:t>
      </w:r>
      <w:r w:rsidRPr="00AD02C7">
        <w:rPr>
          <w:b/>
          <w:lang w:val="fr-FR"/>
        </w:rPr>
        <w:t>la transformation numérique au service du développement durable</w:t>
      </w:r>
      <w:r w:rsidRPr="00AD02C7">
        <w:rPr>
          <w:lang w:val="fr-FR"/>
        </w:rPr>
        <w:t xml:space="preserve">, </w:t>
      </w:r>
      <w:r w:rsidR="00121EC7">
        <w:rPr>
          <w:b/>
          <w:lang w:val="fr-FR"/>
        </w:rPr>
        <w:t>y </w:t>
      </w:r>
      <w:r w:rsidRPr="00AD02C7">
        <w:rPr>
          <w:b/>
          <w:lang w:val="fr-FR"/>
        </w:rPr>
        <w:t>compris l'établissement de centres de données et d'informatique en nuage dans les pays en développement</w:t>
      </w:r>
      <w:r w:rsidRPr="00AD02C7">
        <w:rPr>
          <w:bCs/>
          <w:lang w:val="fr-FR"/>
        </w:rPr>
        <w:t>.</w:t>
      </w:r>
    </w:p>
    <w:p w14:paraId="6F93B785" w14:textId="77777777" w:rsidR="005403DD" w:rsidRPr="00AD02C7" w:rsidRDefault="005403DD" w:rsidP="005403DD">
      <w:pPr>
        <w:rPr>
          <w:color w:val="000000"/>
          <w:lang w:val="fr-FR"/>
        </w:rPr>
      </w:pPr>
      <w:r w:rsidRPr="00AD02C7">
        <w:rPr>
          <w:color w:val="000000"/>
          <w:lang w:val="fr-FR"/>
        </w:rPr>
        <w:t>4.24</w:t>
      </w:r>
      <w:r w:rsidRPr="00AD02C7">
        <w:rPr>
          <w:color w:val="000000"/>
          <w:lang w:val="fr-FR"/>
        </w:rPr>
        <w:tab/>
        <w:t>Le Groupe des États arabes a salué les grands progrès réalisés par le GT-GCDT-RDTP sur la rationalisation des priorités thématiques et suggère d'ajouter la cybersécurité à la liste de ces priorités, afin de regrouper des sous-thèmes connexes actuellement répartis entre des thèmes divers.</w:t>
      </w:r>
    </w:p>
    <w:p w14:paraId="10F44E19" w14:textId="77777777" w:rsidR="005403DD" w:rsidRPr="00AD02C7" w:rsidRDefault="005403DD" w:rsidP="005403DD">
      <w:pPr>
        <w:rPr>
          <w:lang w:val="fr-FR"/>
        </w:rPr>
      </w:pPr>
      <w:r w:rsidRPr="00AD02C7">
        <w:rPr>
          <w:color w:val="000000"/>
          <w:lang w:val="fr-FR"/>
        </w:rPr>
        <w:t>4.25</w:t>
      </w:r>
      <w:r w:rsidRPr="00AD02C7">
        <w:rPr>
          <w:color w:val="000000"/>
          <w:lang w:val="fr-FR"/>
        </w:rPr>
        <w:tab/>
        <w:t xml:space="preserve">S'agissant du projet de Déclaration élaboré par le GT-GCDT-RDTP, le Groupe des États arabes estime qu'il devrait être considéré comme une première étape, soulignant que la Déclaration finale devrait être </w:t>
      </w:r>
      <w:r w:rsidRPr="00AD02C7">
        <w:rPr>
          <w:lang w:val="fr-FR"/>
        </w:rPr>
        <w:t xml:space="preserve">équilibrée </w:t>
      </w:r>
      <w:r w:rsidRPr="00AD02C7">
        <w:rPr>
          <w:color w:val="000000"/>
          <w:lang w:val="fr-FR"/>
        </w:rPr>
        <w:t>et inclusive pour refléter toutes les priorités thématiques.</w:t>
      </w:r>
    </w:p>
    <w:p w14:paraId="0764D466" w14:textId="77777777" w:rsidR="005403DD" w:rsidRPr="00AD02C7" w:rsidRDefault="005403DD" w:rsidP="005403DD">
      <w:pPr>
        <w:rPr>
          <w:lang w:val="fr-FR"/>
        </w:rPr>
      </w:pPr>
      <w:r w:rsidRPr="00AD02C7">
        <w:rPr>
          <w:lang w:val="fr-FR"/>
        </w:rPr>
        <w:t>4.26</w:t>
      </w:r>
      <w:r w:rsidRPr="00AD02C7">
        <w:rPr>
          <w:lang w:val="fr-FR"/>
        </w:rPr>
        <w:tab/>
        <w:t>Actuellement, le Groupe des États arabes examine et met au point les initiatives régionales pour la région en étroite collaboration avec le Bureau régional de l'UIT pour les États arabes.</w:t>
      </w:r>
    </w:p>
    <w:p w14:paraId="42351330" w14:textId="77777777" w:rsidR="005403DD" w:rsidRPr="00AD02C7" w:rsidRDefault="005403DD" w:rsidP="005403DD">
      <w:pPr>
        <w:pStyle w:val="Heading1"/>
        <w:rPr>
          <w:lang w:val="fr-FR"/>
        </w:rPr>
      </w:pPr>
      <w:r w:rsidRPr="00AD02C7">
        <w:rPr>
          <w:lang w:val="fr-FR"/>
        </w:rPr>
        <w:t>5</w:t>
      </w:r>
      <w:r w:rsidRPr="00AD02C7">
        <w:rPr>
          <w:lang w:val="fr-FR"/>
        </w:rPr>
        <w:tab/>
        <w:t>Point 5 de l'ordre du jour: résultats des réunions préparatoires régionales</w:t>
      </w:r>
    </w:p>
    <w:p w14:paraId="092DF2E1" w14:textId="727AE0BF" w:rsidR="005403DD" w:rsidRPr="00AD02C7" w:rsidRDefault="005403DD" w:rsidP="005403DD">
      <w:pPr>
        <w:rPr>
          <w:lang w:val="fr-FR"/>
        </w:rPr>
      </w:pPr>
      <w:r w:rsidRPr="00AD02C7">
        <w:rPr>
          <w:lang w:val="fr-FR"/>
        </w:rPr>
        <w:t>5.1</w:t>
      </w:r>
      <w:r w:rsidRPr="00AD02C7">
        <w:rPr>
          <w:lang w:val="fr-FR"/>
        </w:rPr>
        <w:tab/>
        <w:t xml:space="preserve">La </w:t>
      </w:r>
      <w:r w:rsidRPr="00AD02C7">
        <w:rPr>
          <w:b/>
          <w:lang w:val="fr-FR"/>
        </w:rPr>
        <w:t>Réunion préparatoire régionale pour l'Europe (RPM-EUR)</w:t>
      </w:r>
      <w:r w:rsidRPr="00AD02C7">
        <w:rPr>
          <w:lang w:val="fr-FR"/>
        </w:rPr>
        <w:t xml:space="preserve"> a été organisée par le BDT et le Ministère de l'industrie et du commerce de la République tchè</w:t>
      </w:r>
      <w:r w:rsidR="005229C1">
        <w:rPr>
          <w:lang w:val="fr-FR"/>
        </w:rPr>
        <w:t>que et s'est tenue en ligne les </w:t>
      </w:r>
      <w:r w:rsidRPr="00AD02C7">
        <w:rPr>
          <w:lang w:val="fr-FR"/>
        </w:rPr>
        <w:t>18 et 19 janvier 2021 en présence de 114 participants. So</w:t>
      </w:r>
      <w:r w:rsidR="005229C1">
        <w:rPr>
          <w:lang w:val="fr-FR"/>
        </w:rPr>
        <w:t>n Excellence M. Petr Ocko, Vice</w:t>
      </w:r>
      <w:r w:rsidR="005229C1">
        <w:rPr>
          <w:lang w:val="fr-FR"/>
        </w:rPr>
        <w:noBreakHyphen/>
      </w:r>
      <w:r w:rsidRPr="00AD02C7">
        <w:rPr>
          <w:lang w:val="fr-FR"/>
        </w:rPr>
        <w:t>Ministre de l'industrie et du commerce de la République tchèque, a été élu à l'unanimité Président de la RPM-EUR en vue de la CMDT-21. Mme Inga Rimkevičienė (</w:t>
      </w:r>
      <w:r w:rsidRPr="00AD02C7">
        <w:rPr>
          <w:rFonts w:eastAsia="Calibri"/>
          <w:lang w:val="fr-FR"/>
        </w:rPr>
        <w:t>Lituanie)</w:t>
      </w:r>
      <w:r w:rsidR="005229C1">
        <w:rPr>
          <w:lang w:val="fr-FR"/>
        </w:rPr>
        <w:t xml:space="preserve"> a été élue Vice</w:t>
      </w:r>
      <w:r w:rsidR="005229C1">
        <w:rPr>
          <w:lang w:val="fr-FR"/>
        </w:rPr>
        <w:noBreakHyphen/>
      </w:r>
      <w:r w:rsidRPr="00AD02C7">
        <w:rPr>
          <w:lang w:val="fr-FR"/>
        </w:rPr>
        <w:t>Présidente</w:t>
      </w:r>
      <w:r w:rsidRPr="00AD02C7">
        <w:rPr>
          <w:rFonts w:eastAsia="Calibri"/>
          <w:lang w:val="fr-FR"/>
        </w:rPr>
        <w:t>. Elle</w:t>
      </w:r>
      <w:r w:rsidRPr="00AD02C7">
        <w:rPr>
          <w:lang w:val="fr-FR"/>
        </w:rPr>
        <w:t xml:space="preserve"> est également Présidente de l'équipe de</w:t>
      </w:r>
      <w:r w:rsidR="005229C1">
        <w:rPr>
          <w:lang w:val="fr-FR"/>
        </w:rPr>
        <w:t xml:space="preserve"> projet du Comité Com-UIT de la </w:t>
      </w:r>
      <w:r w:rsidRPr="00AD02C7">
        <w:rPr>
          <w:lang w:val="fr-FR"/>
        </w:rPr>
        <w:t>CEPT pour la CMDT-21.</w:t>
      </w:r>
    </w:p>
    <w:p w14:paraId="42CB5E6E" w14:textId="77777777" w:rsidR="005403DD" w:rsidRPr="00AD02C7" w:rsidRDefault="005403DD" w:rsidP="005403DD">
      <w:pPr>
        <w:rPr>
          <w:lang w:val="fr-FR"/>
        </w:rPr>
      </w:pPr>
      <w:r w:rsidRPr="00AD02C7">
        <w:rPr>
          <w:lang w:val="fr-FR"/>
        </w:rPr>
        <w:t>5.2</w:t>
      </w:r>
      <w:r w:rsidRPr="00AD02C7">
        <w:rPr>
          <w:lang w:val="fr-FR"/>
        </w:rPr>
        <w:tab/>
        <w:t>La RPM-EUR a approuvé les cinq propositions de priorité régionale pour l'Europe pour la période 2022-2025 ci-après:</w:t>
      </w:r>
    </w:p>
    <w:p w14:paraId="0EF280C0" w14:textId="77777777" w:rsidR="005403DD" w:rsidRPr="00AD02C7" w:rsidRDefault="005403DD" w:rsidP="005403DD">
      <w:pPr>
        <w:pStyle w:val="enumlev1"/>
        <w:rPr>
          <w:lang w:val="fr-FR"/>
        </w:rPr>
      </w:pPr>
      <w:r w:rsidRPr="00AD02C7">
        <w:rPr>
          <w:lang w:val="fr-FR"/>
        </w:rPr>
        <w:t>–</w:t>
      </w:r>
      <w:r w:rsidRPr="00AD02C7">
        <w:rPr>
          <w:lang w:val="fr-FR"/>
        </w:rPr>
        <w:tab/>
        <w:t>RP-EUR-1: Développement de l'infrastructure numérique</w:t>
      </w:r>
    </w:p>
    <w:p w14:paraId="0841F09D" w14:textId="77777777" w:rsidR="005403DD" w:rsidRPr="00AD02C7" w:rsidRDefault="005403DD" w:rsidP="005403DD">
      <w:pPr>
        <w:pStyle w:val="enumlev1"/>
        <w:rPr>
          <w:lang w:val="fr-FR"/>
        </w:rPr>
      </w:pPr>
      <w:r w:rsidRPr="00AD02C7">
        <w:rPr>
          <w:lang w:val="fr-FR"/>
        </w:rPr>
        <w:t>–</w:t>
      </w:r>
      <w:r w:rsidRPr="00AD02C7">
        <w:rPr>
          <w:lang w:val="fr-FR"/>
        </w:rPr>
        <w:tab/>
        <w:t>RP-EUR-2: La transformation numérique au service de la résilience</w:t>
      </w:r>
    </w:p>
    <w:p w14:paraId="64B8669D" w14:textId="77777777" w:rsidR="005403DD" w:rsidRPr="00AD02C7" w:rsidRDefault="005403DD" w:rsidP="005403DD">
      <w:pPr>
        <w:pStyle w:val="enumlev1"/>
        <w:rPr>
          <w:lang w:val="fr-FR"/>
        </w:rPr>
      </w:pPr>
      <w:r w:rsidRPr="00AD02C7">
        <w:rPr>
          <w:lang w:val="fr-FR"/>
        </w:rPr>
        <w:t>–</w:t>
      </w:r>
      <w:r w:rsidRPr="00AD02C7">
        <w:rPr>
          <w:lang w:val="fr-FR"/>
        </w:rPr>
        <w:tab/>
        <w:t>RP-EUR-3: Inclusion numérique et renforcement des compétences</w:t>
      </w:r>
    </w:p>
    <w:p w14:paraId="11457BFD" w14:textId="77777777" w:rsidR="005403DD" w:rsidRPr="00AD02C7" w:rsidRDefault="005403DD" w:rsidP="005403DD">
      <w:pPr>
        <w:pStyle w:val="enumlev1"/>
        <w:rPr>
          <w:lang w:val="fr-FR"/>
        </w:rPr>
      </w:pPr>
      <w:r w:rsidRPr="00AD02C7">
        <w:rPr>
          <w:lang w:val="fr-FR"/>
        </w:rPr>
        <w:t>–</w:t>
      </w:r>
      <w:r w:rsidRPr="00AD02C7">
        <w:rPr>
          <w:lang w:val="fr-FR"/>
        </w:rPr>
        <w:tab/>
        <w:t>RP-EUR-4: Confiance dans l'utilisation des technologies numériques</w:t>
      </w:r>
    </w:p>
    <w:p w14:paraId="31B2626A" w14:textId="77777777" w:rsidR="005403DD" w:rsidRPr="00AD02C7" w:rsidRDefault="005403DD" w:rsidP="005403DD">
      <w:pPr>
        <w:pStyle w:val="enumlev1"/>
        <w:rPr>
          <w:lang w:val="fr-FR"/>
        </w:rPr>
      </w:pPr>
      <w:r w:rsidRPr="00AD02C7">
        <w:rPr>
          <w:lang w:val="fr-FR"/>
        </w:rPr>
        <w:t>–</w:t>
      </w:r>
      <w:r w:rsidRPr="00AD02C7">
        <w:rPr>
          <w:lang w:val="fr-FR"/>
        </w:rPr>
        <w:tab/>
        <w:t>RP-EUR-5: Écosystèmes de l'innovation numérique</w:t>
      </w:r>
    </w:p>
    <w:p w14:paraId="23765D9E" w14:textId="7A054771" w:rsidR="005403DD" w:rsidRPr="00AD02C7" w:rsidRDefault="005403DD" w:rsidP="005403DD">
      <w:pPr>
        <w:rPr>
          <w:lang w:val="fr-FR"/>
        </w:rPr>
      </w:pPr>
      <w:r w:rsidRPr="00AD02C7">
        <w:rPr>
          <w:lang w:val="fr-FR"/>
        </w:rPr>
        <w:t>5.3</w:t>
      </w:r>
      <w:r w:rsidRPr="00AD02C7">
        <w:rPr>
          <w:lang w:val="fr-FR"/>
        </w:rPr>
        <w:tab/>
        <w:t>Cette réunion a été marquée par le lancement du rapport</w:t>
      </w:r>
      <w:hyperlink r:id="rId20" w:tgtFrame="_blank" w:history="1">
        <w:r w:rsidRPr="00AD02C7">
          <w:rPr>
            <w:lang w:val="fr-FR"/>
          </w:rPr>
          <w:t xml:space="preserve"> </w:t>
        </w:r>
        <w:r w:rsidRPr="00AD02C7">
          <w:rPr>
            <w:rStyle w:val="Emphasis"/>
            <w:rFonts w:asciiTheme="minorHAnsi" w:hAnsiTheme="minorHAnsi" w:cstheme="minorHAnsi"/>
            <w:b/>
            <w:bCs/>
            <w:bdr w:val="none" w:sz="0" w:space="0" w:color="auto" w:frame="1"/>
            <w:lang w:val="fr-FR"/>
          </w:rPr>
          <w:t>Tendances dans le domaine du numérique en Europe 2021</w:t>
        </w:r>
      </w:hyperlink>
      <w:r w:rsidRPr="00AD02C7">
        <w:rPr>
          <w:lang w:val="fr-FR"/>
        </w:rPr>
        <w:t xml:space="preserve">, qui met en exergue les tendances et les évolutions dans le domaine des infrastructures TIC, de l'accès aux TIC et de leur utilisation en Europe; de l'initiative </w:t>
      </w:r>
      <w:r w:rsidRPr="00AD02C7">
        <w:rPr>
          <w:b/>
          <w:lang w:val="fr-FR"/>
        </w:rPr>
        <w:t>Generation Connect –</w:t>
      </w:r>
      <w:r w:rsidRPr="00AD02C7">
        <w:rPr>
          <w:lang w:val="fr-FR"/>
        </w:rPr>
        <w:t xml:space="preserve"> </w:t>
      </w:r>
      <w:r w:rsidRPr="00AD02C7">
        <w:rPr>
          <w:b/>
          <w:bCs/>
          <w:lang w:val="fr-FR"/>
        </w:rPr>
        <w:t>Groupe pour la jeunesse en Europe</w:t>
      </w:r>
      <w:r w:rsidRPr="00AD02C7">
        <w:rPr>
          <w:lang w:val="fr-FR"/>
        </w:rPr>
        <w:t>, qui r</w:t>
      </w:r>
      <w:r w:rsidR="005229C1">
        <w:rPr>
          <w:lang w:val="fr-FR"/>
        </w:rPr>
        <w:t>assemble 24 jeunes âgés de 18 à </w:t>
      </w:r>
      <w:r w:rsidRPr="00AD02C7">
        <w:rPr>
          <w:lang w:val="fr-FR"/>
        </w:rPr>
        <w:t xml:space="preserve">24 ans; et </w:t>
      </w:r>
      <w:r w:rsidRPr="00AD02C7">
        <w:rPr>
          <w:bCs/>
          <w:lang w:val="fr-FR"/>
        </w:rPr>
        <w:t>du</w:t>
      </w:r>
      <w:r w:rsidRPr="00AD02C7">
        <w:rPr>
          <w:b/>
          <w:bCs/>
          <w:lang w:val="fr-FR"/>
        </w:rPr>
        <w:t xml:space="preserve"> Réseau de femmes (NoW) Europe pour le Secteur du développement des télécommunications de l'UIT</w:t>
      </w:r>
      <w:r w:rsidRPr="00AD02C7">
        <w:rPr>
          <w:lang w:val="fr-FR"/>
        </w:rPr>
        <w:t>, initiative qui vise à créer une communauté pour soutenir les femmes déléguées et leur permettre d'étendre leur réseau et d'échanger des données d'expérience et des connaissances avec d'autres femmes déléguées du monde entier.</w:t>
      </w:r>
    </w:p>
    <w:p w14:paraId="0EF23976" w14:textId="49E18328" w:rsidR="005403DD" w:rsidRPr="00AD02C7" w:rsidRDefault="005403DD" w:rsidP="005403DD">
      <w:pPr>
        <w:rPr>
          <w:rFonts w:eastAsia="MS Mincho"/>
          <w:lang w:val="fr-FR" w:eastAsia="ja-JP"/>
        </w:rPr>
      </w:pPr>
      <w:r w:rsidRPr="00AD02C7">
        <w:rPr>
          <w:lang w:val="fr-FR"/>
        </w:rPr>
        <w:t>5.4</w:t>
      </w:r>
      <w:r w:rsidRPr="00AD02C7">
        <w:rPr>
          <w:lang w:val="fr-FR"/>
        </w:rPr>
        <w:tab/>
        <w:t xml:space="preserve">La </w:t>
      </w:r>
      <w:hyperlink r:id="rId21" w:tgtFrame="_blank" w:history="1">
        <w:r w:rsidRPr="00AD02C7">
          <w:rPr>
            <w:b/>
            <w:bCs/>
            <w:bdr w:val="none" w:sz="0" w:space="0" w:color="auto" w:frame="1"/>
            <w:lang w:val="fr-FR"/>
          </w:rPr>
          <w:t>Réunion</w:t>
        </w:r>
      </w:hyperlink>
      <w:r w:rsidRPr="00AD02C7">
        <w:rPr>
          <w:b/>
          <w:bCs/>
          <w:bdr w:val="none" w:sz="0" w:space="0" w:color="auto" w:frame="1"/>
          <w:lang w:val="fr-FR"/>
        </w:rPr>
        <w:t xml:space="preserve"> préparatoire régionale pour l'Asie-Pacifique </w:t>
      </w:r>
      <w:r w:rsidRPr="00AD02C7">
        <w:rPr>
          <w:b/>
          <w:lang w:val="fr-FR"/>
        </w:rPr>
        <w:t>(RPM-ASP)</w:t>
      </w:r>
      <w:r w:rsidRPr="00AD02C7">
        <w:rPr>
          <w:lang w:val="fr-FR"/>
        </w:rPr>
        <w:t xml:space="preserve"> s'est tenue en ligne les 9 et 10 mars 2021 en présence de 168 délégués. </w:t>
      </w:r>
      <w:r w:rsidRPr="00AD02C7">
        <w:rPr>
          <w:rFonts w:eastAsia="MS Mincho"/>
          <w:lang w:val="fr-FR" w:eastAsia="ja-JP"/>
        </w:rPr>
        <w:t>M. Ahmad Sharafat</w:t>
      </w:r>
      <w:r w:rsidRPr="00AD02C7">
        <w:rPr>
          <w:lang w:val="fr-FR"/>
        </w:rPr>
        <w:t xml:space="preserve">, </w:t>
      </w:r>
      <w:r w:rsidRPr="00AD02C7">
        <w:rPr>
          <w:rFonts w:eastAsia="Calibri"/>
          <w:lang w:val="fr-FR"/>
        </w:rPr>
        <w:t>Conseiller auprès du Ministre, Ministère des technologies de l'information et de la communication de la République islamique d'Iran, a été élu à l'unanimité Prési</w:t>
      </w:r>
      <w:r w:rsidR="005229C1">
        <w:rPr>
          <w:rFonts w:eastAsia="Calibri"/>
          <w:lang w:val="fr-FR"/>
        </w:rPr>
        <w:t>dent de la RPM-ASP en vue de la </w:t>
      </w:r>
      <w:r w:rsidRPr="00AD02C7">
        <w:rPr>
          <w:rFonts w:eastAsia="Calibri"/>
          <w:lang w:val="fr-FR"/>
        </w:rPr>
        <w:t>CMDT</w:t>
      </w:r>
      <w:r w:rsidRPr="00AD02C7">
        <w:rPr>
          <w:rFonts w:eastAsia="Calibri"/>
          <w:lang w:val="fr-FR"/>
        </w:rPr>
        <w:noBreakHyphen/>
        <w:t>21</w:t>
      </w:r>
      <w:r w:rsidRPr="00AD02C7">
        <w:rPr>
          <w:lang w:val="fr-FR"/>
        </w:rPr>
        <w:t>.</w:t>
      </w:r>
    </w:p>
    <w:p w14:paraId="7D932D25" w14:textId="77777777" w:rsidR="005403DD" w:rsidRPr="00AD02C7" w:rsidRDefault="005403DD" w:rsidP="005403DD">
      <w:pPr>
        <w:rPr>
          <w:lang w:val="fr-FR"/>
        </w:rPr>
      </w:pPr>
      <w:r w:rsidRPr="00AD02C7">
        <w:rPr>
          <w:lang w:val="fr-FR"/>
        </w:rPr>
        <w:t>5.5</w:t>
      </w:r>
      <w:r w:rsidRPr="00AD02C7">
        <w:rPr>
          <w:lang w:val="fr-FR"/>
        </w:rPr>
        <w:tab/>
        <w:t>Les participants ont souscrit à la recommandation de la réunion des chefs de délégation concernant les Vice-Présidents de la RPM-ASP et ont élu Mme Mina Seonmin Jun, Conseillère politique, Institut coréen pour le développement de la société de l'information</w:t>
      </w:r>
      <w:r w:rsidRPr="00AD02C7">
        <w:rPr>
          <w:rFonts w:eastAsia="Calibri"/>
          <w:lang w:val="fr-FR"/>
        </w:rPr>
        <w:t xml:space="preserve"> (République de Corée); </w:t>
      </w:r>
      <w:r w:rsidRPr="00AD02C7">
        <w:rPr>
          <w:lang w:val="fr-FR" w:bidi="th-TH"/>
        </w:rPr>
        <w:t xml:space="preserve">Mme Gisa Fuatai Purcell, </w:t>
      </w:r>
      <w:r w:rsidRPr="00AD02C7">
        <w:rPr>
          <w:rFonts w:eastAsia="Calibri"/>
          <w:lang w:val="fr-FR"/>
        </w:rPr>
        <w:t xml:space="preserve">Régulatrice, Bureau du régulateur (Samoa); </w:t>
      </w:r>
      <w:r w:rsidRPr="00AD02C7">
        <w:rPr>
          <w:lang w:val="fr-FR"/>
        </w:rPr>
        <w:t xml:space="preserve">et Mme Philomena Gnanapragasam, </w:t>
      </w:r>
      <w:r w:rsidRPr="00AD02C7">
        <w:rPr>
          <w:rFonts w:eastAsia="Calibri"/>
          <w:lang w:val="fr-FR"/>
        </w:rPr>
        <w:t>Directrice, Asia-Pacific Institute for Broadcasting Development, Vice-Présidentes</w:t>
      </w:r>
      <w:r w:rsidRPr="00AD02C7">
        <w:rPr>
          <w:lang w:val="fr-FR"/>
        </w:rPr>
        <w:t>.</w:t>
      </w:r>
    </w:p>
    <w:p w14:paraId="1237D703" w14:textId="77777777" w:rsidR="005403DD" w:rsidRPr="00AD02C7" w:rsidRDefault="005403DD" w:rsidP="005403DD">
      <w:pPr>
        <w:rPr>
          <w:szCs w:val="24"/>
          <w:lang w:val="fr-FR"/>
        </w:rPr>
      </w:pPr>
      <w:r w:rsidRPr="00AD02C7">
        <w:rPr>
          <w:szCs w:val="24"/>
          <w:lang w:val="fr-FR"/>
        </w:rPr>
        <w:t>5.6</w:t>
      </w:r>
      <w:r w:rsidRPr="00AD02C7">
        <w:rPr>
          <w:szCs w:val="24"/>
          <w:lang w:val="fr-FR"/>
        </w:rPr>
        <w:tab/>
        <w:t xml:space="preserve">Les participants à la RPM-ASP ont accueilli avec satisfaction le rapport intitulé </w:t>
      </w:r>
      <w:r w:rsidRPr="00AD02C7">
        <w:rPr>
          <w:b/>
          <w:i/>
          <w:szCs w:val="24"/>
          <w:lang w:val="fr-FR"/>
        </w:rPr>
        <w:t>Tendances dans le domaine du numérique en Asie et dans le Pacifique en 2021</w:t>
      </w:r>
      <w:r w:rsidRPr="00AD02C7">
        <w:rPr>
          <w:szCs w:val="24"/>
          <w:lang w:val="fr-FR"/>
        </w:rPr>
        <w:t>, qu'ils considèrent comme une contribution importante pour l'élaboration des initiatives régionales compte tenu des évolutions et des défis au niveau régional dans le domaine des TIC.</w:t>
      </w:r>
    </w:p>
    <w:p w14:paraId="0340373B" w14:textId="0D357443" w:rsidR="005403DD" w:rsidRPr="00AD02C7" w:rsidRDefault="005403DD" w:rsidP="005403DD">
      <w:pPr>
        <w:rPr>
          <w:szCs w:val="24"/>
          <w:lang w:val="fr-FR"/>
        </w:rPr>
      </w:pPr>
      <w:r w:rsidRPr="00AD02C7">
        <w:rPr>
          <w:szCs w:val="24"/>
          <w:lang w:val="fr-FR"/>
        </w:rPr>
        <w:t>5.7</w:t>
      </w:r>
      <w:r w:rsidRPr="00AD02C7">
        <w:rPr>
          <w:szCs w:val="24"/>
          <w:lang w:val="fr-FR"/>
        </w:rPr>
        <w:tab/>
        <w:t>Les participants à la RPM-ASP ont approuvé les cinq propositions de priorité régionale pour la région Asie-Pacifique pour la période 2022-2025 ci-</w:t>
      </w:r>
      <w:r w:rsidR="00F82D65">
        <w:rPr>
          <w:szCs w:val="24"/>
          <w:lang w:val="fr-FR"/>
        </w:rPr>
        <w:t>après, qui seront soumises à la </w:t>
      </w:r>
      <w:r w:rsidRPr="00AD02C7">
        <w:rPr>
          <w:szCs w:val="24"/>
          <w:lang w:val="fr-FR"/>
        </w:rPr>
        <w:t>CMDT</w:t>
      </w:r>
      <w:r w:rsidRPr="00AD02C7">
        <w:rPr>
          <w:szCs w:val="24"/>
          <w:lang w:val="fr-FR"/>
        </w:rPr>
        <w:noBreakHyphen/>
        <w:t>21:</w:t>
      </w:r>
    </w:p>
    <w:p w14:paraId="51937B32" w14:textId="77777777" w:rsidR="005403DD" w:rsidRPr="00AD02C7" w:rsidRDefault="005403DD" w:rsidP="005403DD">
      <w:pPr>
        <w:pStyle w:val="enumlev1"/>
        <w:rPr>
          <w:lang w:val="fr-FR"/>
        </w:rPr>
      </w:pPr>
      <w:r w:rsidRPr="00AD02C7">
        <w:rPr>
          <w:bCs/>
          <w:lang w:val="fr-FR"/>
        </w:rPr>
        <w:t>–</w:t>
      </w:r>
      <w:r w:rsidRPr="00AD02C7">
        <w:rPr>
          <w:b/>
          <w:lang w:val="fr-FR"/>
        </w:rPr>
        <w:tab/>
        <w:t>ASP 1</w:t>
      </w:r>
      <w:r w:rsidRPr="00AD02C7">
        <w:rPr>
          <w:lang w:val="fr-FR"/>
        </w:rPr>
        <w:t xml:space="preserve">: </w:t>
      </w:r>
      <w:r w:rsidRPr="00AD02C7">
        <w:rPr>
          <w:lang w:val="fr-FR" w:eastAsia="ja-JP"/>
        </w:rPr>
        <w:t>Répondre aux besoins particuliers des pays les moins avancés, des petits États insulaires en développement, y compris les pays et territoires insulaires du Pacifique, et des pays en développement sans littoral.</w:t>
      </w:r>
    </w:p>
    <w:p w14:paraId="21E9FFD1" w14:textId="77777777" w:rsidR="005403DD" w:rsidRPr="00AD02C7" w:rsidRDefault="005403DD" w:rsidP="005403DD">
      <w:pPr>
        <w:pStyle w:val="enumlev1"/>
        <w:rPr>
          <w:lang w:val="fr-FR"/>
        </w:rPr>
      </w:pPr>
      <w:r w:rsidRPr="00AD02C7">
        <w:rPr>
          <w:bCs/>
          <w:lang w:val="fr-FR"/>
        </w:rPr>
        <w:t>–</w:t>
      </w:r>
      <w:r w:rsidRPr="00AD02C7">
        <w:rPr>
          <w:b/>
          <w:lang w:val="fr-FR"/>
        </w:rPr>
        <w:tab/>
        <w:t>ASP 2</w:t>
      </w:r>
      <w:r w:rsidRPr="00AD02C7">
        <w:rPr>
          <w:lang w:val="fr-FR"/>
        </w:rPr>
        <w:t xml:space="preserve">: </w:t>
      </w:r>
      <w:r w:rsidRPr="00AD02C7">
        <w:rPr>
          <w:lang w:val="fr-FR" w:eastAsia="ja-JP"/>
        </w:rPr>
        <w:t>Tirer parti des technologies de l'information et de la communication pour favoriser l'économie numérique et des sociétés numériques inclusives.</w:t>
      </w:r>
    </w:p>
    <w:p w14:paraId="2907A675" w14:textId="69EB85A9" w:rsidR="005403DD" w:rsidRPr="00AD02C7" w:rsidRDefault="005403DD" w:rsidP="005403DD">
      <w:pPr>
        <w:pStyle w:val="enumlev1"/>
        <w:rPr>
          <w:lang w:val="fr-FR"/>
        </w:rPr>
      </w:pPr>
      <w:r w:rsidRPr="00AD02C7">
        <w:rPr>
          <w:bCs/>
          <w:lang w:val="fr-FR"/>
        </w:rPr>
        <w:t>–</w:t>
      </w:r>
      <w:r w:rsidR="00F82D65">
        <w:rPr>
          <w:b/>
          <w:lang w:val="fr-FR"/>
        </w:rPr>
        <w:tab/>
        <w:t xml:space="preserve">ASP </w:t>
      </w:r>
      <w:r w:rsidRPr="00AD02C7">
        <w:rPr>
          <w:b/>
          <w:lang w:val="fr-FR"/>
        </w:rPr>
        <w:t>3</w:t>
      </w:r>
      <w:r w:rsidRPr="00AD02C7">
        <w:rPr>
          <w:lang w:val="fr-FR"/>
        </w:rPr>
        <w:t xml:space="preserve">: </w:t>
      </w:r>
      <w:r w:rsidRPr="00AD02C7">
        <w:rPr>
          <w:lang w:val="fr-FR" w:eastAsia="ja-JP"/>
        </w:rPr>
        <w:t>Promouvoir le développement des infrastructures pour améliorer la connectivité numérique et connecter ceux qui ne le sont pas.</w:t>
      </w:r>
    </w:p>
    <w:p w14:paraId="25898C74" w14:textId="13298BC3" w:rsidR="005403DD" w:rsidRPr="00AD02C7" w:rsidRDefault="005403DD" w:rsidP="005403DD">
      <w:pPr>
        <w:pStyle w:val="enumlev1"/>
        <w:rPr>
          <w:lang w:val="fr-FR"/>
        </w:rPr>
      </w:pPr>
      <w:r w:rsidRPr="00AD02C7">
        <w:rPr>
          <w:bCs/>
          <w:lang w:val="fr-FR"/>
        </w:rPr>
        <w:t>–</w:t>
      </w:r>
      <w:r w:rsidR="00F82D65">
        <w:rPr>
          <w:b/>
          <w:lang w:val="fr-FR"/>
        </w:rPr>
        <w:tab/>
        <w:t xml:space="preserve">ASP </w:t>
      </w:r>
      <w:r w:rsidRPr="00AD02C7">
        <w:rPr>
          <w:b/>
          <w:lang w:val="fr-FR"/>
        </w:rPr>
        <w:t>4</w:t>
      </w:r>
      <w:r w:rsidRPr="00AD02C7">
        <w:rPr>
          <w:lang w:val="fr-FR"/>
        </w:rPr>
        <w:t xml:space="preserve">: </w:t>
      </w:r>
      <w:r w:rsidRPr="00AD02C7">
        <w:rPr>
          <w:lang w:val="fr-FR" w:eastAsia="ja-JP"/>
        </w:rPr>
        <w:t>Créer un environnement politique et réglementaire favorable pour accélérer la transformation numérique.</w:t>
      </w:r>
    </w:p>
    <w:p w14:paraId="28DE0F97" w14:textId="6DD7FC3C" w:rsidR="005403DD" w:rsidRPr="00AD02C7" w:rsidRDefault="005403DD" w:rsidP="005403DD">
      <w:pPr>
        <w:pStyle w:val="enumlev1"/>
        <w:rPr>
          <w:lang w:val="fr-FR"/>
        </w:rPr>
      </w:pPr>
      <w:r w:rsidRPr="00AD02C7">
        <w:rPr>
          <w:bCs/>
          <w:lang w:val="fr-FR"/>
        </w:rPr>
        <w:t>–</w:t>
      </w:r>
      <w:r w:rsidR="00F82D65">
        <w:rPr>
          <w:b/>
          <w:lang w:val="fr-FR"/>
        </w:rPr>
        <w:tab/>
        <w:t xml:space="preserve">ASP </w:t>
      </w:r>
      <w:r w:rsidRPr="00AD02C7">
        <w:rPr>
          <w:b/>
          <w:lang w:val="fr-FR"/>
        </w:rPr>
        <w:t>5</w:t>
      </w:r>
      <w:r w:rsidRPr="00AD02C7">
        <w:rPr>
          <w:lang w:val="fr-FR"/>
        </w:rPr>
        <w:t xml:space="preserve">: </w:t>
      </w:r>
      <w:r w:rsidRPr="00AD02C7">
        <w:rPr>
          <w:lang w:val="fr-FR" w:eastAsia="ja-JP"/>
        </w:rPr>
        <w:t>Contribuer à rendre l'environnement des TIC sûr et résilient.</w:t>
      </w:r>
    </w:p>
    <w:p w14:paraId="6A08D856" w14:textId="77777777" w:rsidR="005403DD" w:rsidRPr="00AD02C7" w:rsidRDefault="005403DD" w:rsidP="005403DD">
      <w:pPr>
        <w:rPr>
          <w:lang w:val="fr-FR"/>
        </w:rPr>
      </w:pPr>
      <w:r w:rsidRPr="00AD02C7">
        <w:rPr>
          <w:lang w:val="fr-FR"/>
        </w:rPr>
        <w:t>5.8</w:t>
      </w:r>
      <w:r w:rsidRPr="00AD02C7">
        <w:rPr>
          <w:lang w:val="fr-FR"/>
        </w:rPr>
        <w:tab/>
        <w:t xml:space="preserve">Parallèlement à la réunion préparatoire régionale, le </w:t>
      </w:r>
      <w:r w:rsidRPr="00AD02C7">
        <w:rPr>
          <w:b/>
          <w:bCs/>
          <w:lang w:val="fr-FR"/>
        </w:rPr>
        <w:t>Groupe pour la jeunesse en Asie</w:t>
      </w:r>
      <w:r w:rsidRPr="00AD02C7">
        <w:rPr>
          <w:b/>
          <w:bCs/>
          <w:lang w:val="fr-FR"/>
        </w:rPr>
        <w:noBreakHyphen/>
        <w:t>Pacifique relevant de l'initiative Generation Connect</w:t>
      </w:r>
      <w:r w:rsidRPr="00AD02C7">
        <w:rPr>
          <w:lang w:val="fr-FR"/>
        </w:rPr>
        <w:t xml:space="preserve"> a présenté son projet de plan d'action pour la période 2022-2025. La réunion a permis de présenter le </w:t>
      </w:r>
      <w:r w:rsidRPr="00AD02C7">
        <w:rPr>
          <w:b/>
          <w:bCs/>
          <w:lang w:val="fr-FR"/>
        </w:rPr>
        <w:t>Réseau de femmes (NoW) de l'Asie-Pacifique pour le Secteur du développement des télécommunications de l'UIT</w:t>
      </w:r>
      <w:r w:rsidRPr="00AD02C7">
        <w:rPr>
          <w:lang w:val="fr-FR"/>
        </w:rPr>
        <w:t>, initiative qui vise à créer une communauté pour soutenir les femmes déléguées et leur permettre d'étendre leur réseau et de mettre en avant et d'échanger des données d'expérience et des connaissances avec d'autres femmes déléguées du monde entier.</w:t>
      </w:r>
    </w:p>
    <w:p w14:paraId="70605C31" w14:textId="77777777" w:rsidR="005403DD" w:rsidRPr="00AD02C7" w:rsidRDefault="005403DD" w:rsidP="005403DD">
      <w:pPr>
        <w:pStyle w:val="Heading1"/>
        <w:rPr>
          <w:lang w:val="fr-FR"/>
        </w:rPr>
      </w:pPr>
      <w:r w:rsidRPr="00AD02C7">
        <w:rPr>
          <w:lang w:val="fr-FR"/>
        </w:rPr>
        <w:t>6</w:t>
      </w:r>
      <w:r w:rsidRPr="00AD02C7">
        <w:rPr>
          <w:lang w:val="fr-FR"/>
        </w:rPr>
        <w:tab/>
        <w:t>Point 6 de l'ordre du jour: Rapport sur les travaux du Groupe de travail du GCDT sur les Résolutions, la Déclaration et les priorités thématiques de la CMDT</w:t>
      </w:r>
    </w:p>
    <w:p w14:paraId="3BBDB4CB" w14:textId="1E5345D6" w:rsidR="005403DD" w:rsidRPr="00AD02C7" w:rsidRDefault="005403DD" w:rsidP="005403DD">
      <w:pPr>
        <w:rPr>
          <w:lang w:val="fr-FR"/>
        </w:rPr>
      </w:pPr>
      <w:r w:rsidRPr="00AD02C7">
        <w:rPr>
          <w:bdr w:val="none" w:sz="0" w:space="0" w:color="auto" w:frame="1"/>
          <w:shd w:val="clear" w:color="auto" w:fill="FFFFFF"/>
          <w:lang w:val="fr-FR"/>
        </w:rPr>
        <w:t>6.1</w:t>
      </w:r>
      <w:r w:rsidRPr="00AD02C7">
        <w:rPr>
          <w:bdr w:val="none" w:sz="0" w:space="0" w:color="auto" w:frame="1"/>
          <w:shd w:val="clear" w:color="auto" w:fill="FFFFFF"/>
          <w:lang w:val="fr-FR"/>
        </w:rPr>
        <w:tab/>
        <w:t xml:space="preserve">Le Groupe de travail du GCDT sur les Résolutions, la Déclaration et les priorités thématiques de la CMDT (GT-GCDT-RDTP) s'est réuni à quatre reprises le </w:t>
      </w:r>
      <w:r w:rsidR="00F82D65">
        <w:rPr>
          <w:lang w:val="fr-FR"/>
        </w:rPr>
        <w:t>15 juillet 2020, le </w:t>
      </w:r>
      <w:r w:rsidRPr="00AD02C7">
        <w:rPr>
          <w:lang w:val="fr-FR"/>
        </w:rPr>
        <w:t>21 octobre 2020, le 21 janvier 2021 et le 3 mars 2021, et tiendra sa cinquième</w:t>
      </w:r>
      <w:r w:rsidR="00F82D65">
        <w:rPr>
          <w:lang w:val="fr-FR"/>
        </w:rPr>
        <w:t xml:space="preserve"> réunion le </w:t>
      </w:r>
      <w:r w:rsidRPr="00AD02C7">
        <w:rPr>
          <w:lang w:val="fr-FR"/>
        </w:rPr>
        <w:t>9 avril 2021. Le GT-GCDT-RDTP est ouvert à tous les États Membres de l'UIT et aux Membres du Secteur UIT-D.</w:t>
      </w:r>
    </w:p>
    <w:p w14:paraId="77CDA649" w14:textId="77777777" w:rsidR="005403DD" w:rsidRPr="00AD02C7" w:rsidRDefault="005403DD" w:rsidP="005403DD">
      <w:pPr>
        <w:rPr>
          <w:bCs/>
          <w:bdr w:val="none" w:sz="0" w:space="0" w:color="auto" w:frame="1"/>
          <w:lang w:val="fr-FR"/>
        </w:rPr>
      </w:pPr>
      <w:r w:rsidRPr="00AD02C7">
        <w:rPr>
          <w:bdr w:val="none" w:sz="0" w:space="0" w:color="auto" w:frame="1"/>
          <w:shd w:val="clear" w:color="auto" w:fill="FFFFFF"/>
          <w:lang w:val="fr-FR"/>
        </w:rPr>
        <w:t>6.2</w:t>
      </w:r>
      <w:r w:rsidRPr="00AD02C7">
        <w:rPr>
          <w:bdr w:val="none" w:sz="0" w:space="0" w:color="auto" w:frame="1"/>
          <w:shd w:val="clear" w:color="auto" w:fill="FFFFFF"/>
          <w:lang w:val="fr-FR"/>
        </w:rPr>
        <w:tab/>
        <w:t xml:space="preserve">Le Président du GT-GCDT-RDTP, </w:t>
      </w:r>
      <w:r w:rsidRPr="00AD02C7">
        <w:rPr>
          <w:lang w:val="fr-FR"/>
        </w:rPr>
        <w:t xml:space="preserve">M. Ahmad Sharafat, </w:t>
      </w:r>
      <w:r w:rsidRPr="00AD02C7">
        <w:rPr>
          <w:bCs/>
          <w:bdr w:val="none" w:sz="0" w:space="0" w:color="auto" w:frame="1"/>
          <w:lang w:val="fr-FR"/>
        </w:rPr>
        <w:t>a rappelé le mandat du groupe et a confirmé que les conseils du GCDT relatifs à l'élaboration d'une Déclaration courte et concise et à la réduction du nombre de priorités thématiques avaient été suivis à la lettre.</w:t>
      </w:r>
    </w:p>
    <w:p w14:paraId="277136DB" w14:textId="77777777" w:rsidR="005403DD" w:rsidRPr="00AD02C7" w:rsidRDefault="005403DD" w:rsidP="005403DD">
      <w:pPr>
        <w:pStyle w:val="Headingb"/>
        <w:rPr>
          <w:lang w:val="fr-FR"/>
        </w:rPr>
      </w:pPr>
      <w:r w:rsidRPr="00AD02C7">
        <w:rPr>
          <w:lang w:val="fr-FR"/>
        </w:rPr>
        <w:t>Priorités thématiques</w:t>
      </w:r>
    </w:p>
    <w:p w14:paraId="3D523E9C" w14:textId="77777777" w:rsidR="005403DD" w:rsidRPr="00AD02C7" w:rsidRDefault="005403DD" w:rsidP="005403DD">
      <w:pPr>
        <w:rPr>
          <w:lang w:val="fr-FR"/>
        </w:rPr>
      </w:pPr>
      <w:r w:rsidRPr="00AD02C7">
        <w:rPr>
          <w:lang w:val="fr-FR"/>
        </w:rPr>
        <w:t>6.3</w:t>
      </w:r>
      <w:r w:rsidRPr="00AD02C7">
        <w:rPr>
          <w:lang w:val="fr-FR"/>
        </w:rPr>
        <w:tab/>
        <w:t xml:space="preserve">S'agissant des </w:t>
      </w:r>
      <w:r w:rsidRPr="00AD02C7">
        <w:rPr>
          <w:b/>
          <w:bCs/>
          <w:lang w:val="fr-FR"/>
        </w:rPr>
        <w:t>priorités thématiques</w:t>
      </w:r>
      <w:r w:rsidRPr="00AD02C7">
        <w:rPr>
          <w:lang w:val="fr-FR"/>
        </w:rPr>
        <w:t xml:space="preserve">, le GT-GCDT-RDTP a tenu des discussions approfondies et quatre priorités thématiques recueillent un large soutien: </w:t>
      </w:r>
      <w:r w:rsidRPr="00AD02C7">
        <w:rPr>
          <w:b/>
          <w:bCs/>
          <w:lang w:val="fr-FR"/>
        </w:rPr>
        <w:t>la connectivité; la transformation numérique; un environnement propice; et la mobilisation des ressources et la coopération internationale</w:t>
      </w:r>
      <w:r w:rsidRPr="00AD02C7">
        <w:rPr>
          <w:lang w:val="fr-FR"/>
        </w:rPr>
        <w:t xml:space="preserve">. </w:t>
      </w:r>
      <w:r w:rsidRPr="00AD02C7">
        <w:rPr>
          <w:shd w:val="clear" w:color="auto" w:fill="FFFFFF"/>
          <w:lang w:val="fr-FR"/>
        </w:rPr>
        <w:t>Le GT-GCDT-RDTP</w:t>
      </w:r>
      <w:r w:rsidRPr="00AD02C7">
        <w:rPr>
          <w:lang w:val="fr-FR"/>
        </w:rPr>
        <w:t xml:space="preserve"> devrait parvenir à une conclusion sur ces priorités thématiques lors de sa prochaine réunion le 9 avril 2021. </w:t>
      </w:r>
    </w:p>
    <w:p w14:paraId="64EE73D3" w14:textId="77777777" w:rsidR="00F82D65" w:rsidRDefault="005403DD" w:rsidP="005403DD">
      <w:pPr>
        <w:rPr>
          <w:rStyle w:val="normaltextrun"/>
          <w:rFonts w:asciiTheme="minorHAnsi" w:hAnsiTheme="minorHAnsi" w:cstheme="minorHAnsi"/>
          <w:b/>
          <w:szCs w:val="24"/>
          <w:lang w:val="fr-FR"/>
        </w:rPr>
      </w:pPr>
      <w:r w:rsidRPr="00AD02C7">
        <w:rPr>
          <w:lang w:val="fr-FR"/>
        </w:rPr>
        <w:t>6.4</w:t>
      </w:r>
      <w:r w:rsidRPr="00AD02C7">
        <w:rPr>
          <w:lang w:val="fr-FR"/>
        </w:rPr>
        <w:tab/>
        <w:t xml:space="preserve">Un projet de </w:t>
      </w:r>
      <w:r w:rsidRPr="00AD02C7">
        <w:rPr>
          <w:b/>
          <w:bCs/>
          <w:lang w:val="fr-FR"/>
        </w:rPr>
        <w:t>Déclaration de la CMDT</w:t>
      </w:r>
      <w:r w:rsidRPr="00AD02C7">
        <w:rPr>
          <w:lang w:val="fr-FR"/>
        </w:rPr>
        <w:t xml:space="preserve"> a été présenté à la quatrième réunion du GT</w:t>
      </w:r>
      <w:r w:rsidRPr="00AD02C7">
        <w:rPr>
          <w:lang w:val="fr-FR"/>
        </w:rPr>
        <w:noBreakHyphen/>
        <w:t>GCDT</w:t>
      </w:r>
      <w:r w:rsidRPr="00AD02C7">
        <w:rPr>
          <w:lang w:val="fr-FR"/>
        </w:rPr>
        <w:noBreakHyphen/>
        <w:t xml:space="preserve">RDTP le 3 mars 2021 et s'inscrit dans la lignée du thème de la CMDT-21, à savoir </w:t>
      </w:r>
      <w:r w:rsidRPr="00AD02C7">
        <w:rPr>
          <w:spacing w:val="-1"/>
          <w:lang w:val="fr-FR"/>
        </w:rPr>
        <w:t>"</w:t>
      </w:r>
      <w:r w:rsidRPr="00AD02C7">
        <w:rPr>
          <w:b/>
          <w:iCs/>
          <w:shd w:val="clear" w:color="auto" w:fill="FFFFFF" w:themeFill="background1"/>
          <w:lang w:val="fr-FR"/>
        </w:rPr>
        <w:t>Connecter ceux qui ne le sont pas encore afin de parvenir au développement durable</w:t>
      </w:r>
      <w:r w:rsidRPr="00AD02C7">
        <w:rPr>
          <w:lang w:val="fr-FR"/>
        </w:rPr>
        <w:t>", adopté par le GCDT en novembre 2020 après avoir noté que</w:t>
      </w:r>
      <w:r w:rsidRPr="00AD02C7">
        <w:rPr>
          <w:rStyle w:val="normaltextrun"/>
          <w:rFonts w:asciiTheme="minorHAnsi" w:hAnsiTheme="minorHAnsi" w:cstheme="minorHAnsi"/>
          <w:szCs w:val="24"/>
          <w:lang w:val="fr-FR"/>
        </w:rPr>
        <w:t xml:space="preserve"> </w:t>
      </w:r>
      <w:r w:rsidRPr="00AD02C7">
        <w:rPr>
          <w:rStyle w:val="normaltextrun"/>
          <w:rFonts w:asciiTheme="minorHAnsi" w:hAnsiTheme="minorHAnsi" w:cstheme="minorHAnsi"/>
          <w:b/>
          <w:szCs w:val="24"/>
          <w:lang w:val="fr-FR"/>
        </w:rPr>
        <w:t xml:space="preserve">3,7 milliards de personnes n'étaient toujours </w:t>
      </w:r>
      <w:r w:rsidR="00F82D65">
        <w:rPr>
          <w:rStyle w:val="normaltextrun"/>
          <w:rFonts w:asciiTheme="minorHAnsi" w:hAnsiTheme="minorHAnsi" w:cstheme="minorHAnsi"/>
          <w:b/>
          <w:szCs w:val="24"/>
          <w:lang w:val="fr-FR"/>
        </w:rPr>
        <w:br w:type="page"/>
      </w:r>
    </w:p>
    <w:p w14:paraId="1738B25A" w14:textId="4FF77FCB" w:rsidR="005403DD" w:rsidRPr="00AD02C7" w:rsidRDefault="005403DD" w:rsidP="005403DD">
      <w:pPr>
        <w:rPr>
          <w:lang w:val="fr-FR"/>
        </w:rPr>
      </w:pPr>
      <w:r w:rsidRPr="00AD02C7">
        <w:rPr>
          <w:rStyle w:val="normaltextrun"/>
          <w:rFonts w:asciiTheme="minorHAnsi" w:hAnsiTheme="minorHAnsi" w:cstheme="minorHAnsi"/>
          <w:b/>
          <w:szCs w:val="24"/>
          <w:lang w:val="fr-FR"/>
        </w:rPr>
        <w:t>pas connectées</w:t>
      </w:r>
      <w:r w:rsidRPr="00AD02C7">
        <w:rPr>
          <w:lang w:val="fr-FR"/>
        </w:rPr>
        <w:t xml:space="preserve">. </w:t>
      </w:r>
      <w:r w:rsidRPr="00AD02C7">
        <w:rPr>
          <w:shd w:val="clear" w:color="auto" w:fill="FFFFFF"/>
          <w:lang w:val="fr-FR"/>
        </w:rPr>
        <w:t>Le GT-GCDT-RDTP</w:t>
      </w:r>
      <w:r w:rsidRPr="00AD02C7">
        <w:rPr>
          <w:lang w:val="fr-FR"/>
        </w:rPr>
        <w:t xml:space="preserve"> souhaite conclure les discussions sur le projet de Déclaration à sa prochaine réunion le 9 avril 2021. La décision concernant la Déclaration finale et son adoption incomberont à la CMDT.</w:t>
      </w:r>
    </w:p>
    <w:p w14:paraId="751EEBB4" w14:textId="77777777" w:rsidR="005403DD" w:rsidRPr="00AD02C7" w:rsidRDefault="005403DD" w:rsidP="005403DD">
      <w:pPr>
        <w:pStyle w:val="Headingb"/>
        <w:rPr>
          <w:lang w:val="fr-FR"/>
        </w:rPr>
      </w:pPr>
      <w:r w:rsidRPr="00AD02C7">
        <w:rPr>
          <w:lang w:val="fr-FR"/>
        </w:rPr>
        <w:t>Rationalisation des Résolutions</w:t>
      </w:r>
    </w:p>
    <w:p w14:paraId="3E453D65" w14:textId="79762F13" w:rsidR="005403DD" w:rsidRPr="00AD02C7" w:rsidRDefault="005403DD" w:rsidP="005403DD">
      <w:pPr>
        <w:rPr>
          <w:lang w:val="fr-FR"/>
        </w:rPr>
      </w:pPr>
      <w:r w:rsidRPr="00AD02C7">
        <w:rPr>
          <w:lang w:val="fr-FR"/>
        </w:rPr>
        <w:t>6.5</w:t>
      </w:r>
      <w:r w:rsidRPr="00AD02C7">
        <w:rPr>
          <w:lang w:val="fr-FR"/>
        </w:rPr>
        <w:tab/>
        <w:t>La Fédération de Russie mène cet exercice de ra</w:t>
      </w:r>
      <w:r w:rsidR="00F82D65">
        <w:rPr>
          <w:lang w:val="fr-FR"/>
        </w:rPr>
        <w:t>tionalisation pour le compte du </w:t>
      </w:r>
      <w:r w:rsidRPr="00AD02C7">
        <w:rPr>
          <w:lang w:val="fr-FR"/>
        </w:rPr>
        <w:t>GT</w:t>
      </w:r>
      <w:r w:rsidRPr="00AD02C7">
        <w:rPr>
          <w:lang w:val="fr-FR"/>
        </w:rPr>
        <w:noBreakHyphen/>
        <w:t>GCDT</w:t>
      </w:r>
      <w:r w:rsidRPr="00AD02C7">
        <w:rPr>
          <w:shd w:val="clear" w:color="auto" w:fill="FFFFFF"/>
          <w:lang w:val="fr-FR"/>
        </w:rPr>
        <w:noBreakHyphen/>
        <w:t>RDTP. Elle a proposé de réviser 14 Résolutions</w:t>
      </w:r>
      <w:r w:rsidRPr="00AD02C7">
        <w:rPr>
          <w:lang w:val="fr-FR"/>
        </w:rPr>
        <w:t xml:space="preserve"> et d'en supprimer trois, et a soumis un projet de nouvelle Résolution pour examen préliminaire.</w:t>
      </w:r>
    </w:p>
    <w:p w14:paraId="01511FD7" w14:textId="77777777" w:rsidR="005403DD" w:rsidRPr="00AD02C7" w:rsidRDefault="005403DD" w:rsidP="005403DD">
      <w:pPr>
        <w:pStyle w:val="enumlev1"/>
        <w:rPr>
          <w:shd w:val="clear" w:color="auto" w:fill="FFFFFF"/>
          <w:lang w:val="fr-FR"/>
        </w:rPr>
      </w:pPr>
      <w:r w:rsidRPr="00AD02C7">
        <w:rPr>
          <w:lang w:val="fr-FR"/>
        </w:rPr>
        <w:t>–</w:t>
      </w:r>
      <w:r w:rsidRPr="00AD02C7">
        <w:rPr>
          <w:lang w:val="fr-FR"/>
        </w:rPr>
        <w:tab/>
        <w:t xml:space="preserve">La révision de la Résolution 8 (Rév.Buenos Aires, 2017) sur </w:t>
      </w:r>
      <w:r w:rsidRPr="00AD02C7">
        <w:rPr>
          <w:b/>
          <w:i/>
          <w:lang w:val="fr-FR"/>
        </w:rPr>
        <w:t>la collecte et la diffusion d'informations et de statistiques</w:t>
      </w:r>
      <w:r w:rsidRPr="00AD02C7">
        <w:rPr>
          <w:lang w:val="fr-FR"/>
        </w:rPr>
        <w:t xml:space="preserve"> tient compte de la Résolution 131 (Rév. Dubaï, 2018) de la Conférence de plénipotentiaires, et vise aussi à renforcer la transparence des travaux de l'UIT sur les statistiques des télécommunications/TIC, en alignant ces travaux sur le Règlement intérieur de l'UIT-D et en multipliant les interactions entre les Commissions d'études de l'UIT-D et les groupes d'experts sur les indicateurs. </w:t>
      </w:r>
    </w:p>
    <w:p w14:paraId="203F2DE9" w14:textId="77777777" w:rsidR="005403DD" w:rsidRPr="00AD02C7" w:rsidRDefault="005403DD" w:rsidP="005403DD">
      <w:pPr>
        <w:pStyle w:val="enumlev1"/>
        <w:rPr>
          <w:shd w:val="clear" w:color="auto" w:fill="FFFFFF"/>
          <w:lang w:val="fr-FR"/>
        </w:rPr>
      </w:pPr>
      <w:r w:rsidRPr="00AD02C7">
        <w:rPr>
          <w:lang w:val="fr-FR"/>
        </w:rPr>
        <w:t>–</w:t>
      </w:r>
      <w:r w:rsidRPr="00AD02C7">
        <w:rPr>
          <w:lang w:val="fr-FR"/>
        </w:rPr>
        <w:tab/>
        <w:t xml:space="preserve">La révision de la Résolution 15 (Rév.Buenos Aires, 2017) sur </w:t>
      </w:r>
      <w:r w:rsidRPr="00AD02C7">
        <w:rPr>
          <w:b/>
          <w:i/>
          <w:lang w:val="fr-FR"/>
        </w:rPr>
        <w:t>la recherche appliquée et le transfert de technologie</w:t>
      </w:r>
      <w:r w:rsidRPr="00AD02C7">
        <w:rPr>
          <w:lang w:val="fr-FR"/>
        </w:rPr>
        <w:t xml:space="preserve"> inclut l'idée d'une coopération Sud-Sud présentée dans le système des Nations Unies, qui devrait être mise en avant au sein de l'UIT, et aligne aussi le texte sur celui de la Résolution 64 (Rév. Dubaï, 2018) de la Conférence de plénipotentiaires.</w:t>
      </w:r>
    </w:p>
    <w:p w14:paraId="32D0FCF8" w14:textId="77777777" w:rsidR="005403DD" w:rsidRPr="00AD02C7" w:rsidRDefault="005403DD" w:rsidP="005403DD">
      <w:pPr>
        <w:pStyle w:val="enumlev1"/>
        <w:rPr>
          <w:b/>
          <w:i/>
          <w:lang w:val="fr-FR"/>
        </w:rPr>
      </w:pPr>
      <w:r w:rsidRPr="00AD02C7">
        <w:rPr>
          <w:lang w:val="fr-FR"/>
        </w:rPr>
        <w:t>–</w:t>
      </w:r>
      <w:r w:rsidRPr="00AD02C7">
        <w:rPr>
          <w:lang w:val="fr-FR"/>
        </w:rPr>
        <w:tab/>
        <w:t xml:space="preserve">La révision de la Résolution 21 (Rév.Buenos Aires, 2017) sur </w:t>
      </w:r>
      <w:r w:rsidRPr="00AD02C7">
        <w:rPr>
          <w:b/>
          <w:bCs/>
          <w:i/>
          <w:iCs/>
          <w:lang w:val="fr-FR"/>
        </w:rPr>
        <w:t xml:space="preserve">la </w:t>
      </w:r>
      <w:r w:rsidRPr="00AD02C7">
        <w:rPr>
          <w:b/>
          <w:i/>
          <w:lang w:val="fr-FR"/>
        </w:rPr>
        <w:t xml:space="preserve">coordination et la collaboration avec les organisations régionales et sous-régionales </w:t>
      </w:r>
      <w:r w:rsidRPr="00AD02C7">
        <w:rPr>
          <w:lang w:val="fr-FR"/>
        </w:rPr>
        <w:t>vise à inclure des références à la Résolution 25 (Rév. Dubaï, 2018) de la Conférence de plénipotentiaires.</w:t>
      </w:r>
    </w:p>
    <w:p w14:paraId="18A6F6D6" w14:textId="77777777" w:rsidR="005403DD" w:rsidRPr="00AD02C7" w:rsidRDefault="005403DD" w:rsidP="005403DD">
      <w:pPr>
        <w:pStyle w:val="enumlev1"/>
        <w:rPr>
          <w:b/>
          <w:i/>
          <w:lang w:val="fr-FR"/>
        </w:rPr>
      </w:pPr>
      <w:r w:rsidRPr="00AD02C7">
        <w:rPr>
          <w:lang w:val="fr-FR"/>
        </w:rPr>
        <w:t>–</w:t>
      </w:r>
      <w:r w:rsidRPr="00AD02C7">
        <w:rPr>
          <w:lang w:val="fr-FR"/>
        </w:rPr>
        <w:tab/>
        <w:t xml:space="preserve">La révision de la Résolution 30 (Rév.Buenos Aires, 2017) sur </w:t>
      </w:r>
      <w:r w:rsidRPr="00AD02C7">
        <w:rPr>
          <w:b/>
          <w:i/>
          <w:lang w:val="fr-FR"/>
        </w:rPr>
        <w:t>le rôle du Secteur du développement des télécommunications de l'UIT dans la mise en œuvre des résultats du Sommet mondial sur la société de l'information, compte tenu du Programme de développement durable à l'horizon 2030</w:t>
      </w:r>
      <w:r w:rsidRPr="00AD02C7">
        <w:rPr>
          <w:lang w:val="fr-FR"/>
        </w:rPr>
        <w:t xml:space="preserve"> vise à harmoniser le texte avec celui de la Résolution 140 (Rév. Dubaï, 2018) de la Conférence de plénipotentiaires pour supprimer les nombreuses dispositions répétées.</w:t>
      </w:r>
    </w:p>
    <w:p w14:paraId="5858353D" w14:textId="77777777" w:rsidR="005403DD" w:rsidRPr="00AD02C7" w:rsidRDefault="005403DD" w:rsidP="005403DD">
      <w:pPr>
        <w:pStyle w:val="enumlev1"/>
        <w:rPr>
          <w:b/>
          <w:i/>
          <w:lang w:val="fr-FR"/>
        </w:rPr>
      </w:pPr>
      <w:r w:rsidRPr="00AD02C7">
        <w:rPr>
          <w:lang w:val="fr-FR"/>
        </w:rPr>
        <w:t>–</w:t>
      </w:r>
      <w:r w:rsidRPr="00AD02C7">
        <w:rPr>
          <w:lang w:val="fr-FR"/>
        </w:rPr>
        <w:tab/>
        <w:t xml:space="preserve">La révision de la Résolution 31 (Rév.Buenos Aires, 2017) sur </w:t>
      </w:r>
      <w:r w:rsidRPr="00AD02C7">
        <w:rPr>
          <w:b/>
          <w:i/>
          <w:lang w:val="fr-FR"/>
        </w:rPr>
        <w:t>les travaux préparatoires régionaux pour les conférences mondiales de développement des télécommunications</w:t>
      </w:r>
      <w:r w:rsidRPr="00AD02C7">
        <w:rPr>
          <w:lang w:val="fr-FR"/>
        </w:rPr>
        <w:t xml:space="preserve"> vise à harmoniser cette Résolution avec la Résolution 58 (Rév. Busan, 2014) de la Conférence de plénipotentiaires, et à clarifier le rôle des organisations régionales de télécommunication dans le cadre des travaux préparatoires en vue des CMDT</w:t>
      </w:r>
      <w:r w:rsidRPr="00AD02C7">
        <w:rPr>
          <w:shd w:val="clear" w:color="auto" w:fill="FFFFFF"/>
          <w:lang w:val="fr-FR"/>
        </w:rPr>
        <w:t xml:space="preserve">. </w:t>
      </w:r>
    </w:p>
    <w:p w14:paraId="4AFF3DEA" w14:textId="77777777" w:rsidR="005403DD" w:rsidRPr="00AD02C7" w:rsidRDefault="005403DD" w:rsidP="005403DD">
      <w:pPr>
        <w:pStyle w:val="enumlev1"/>
        <w:rPr>
          <w:b/>
          <w:i/>
          <w:lang w:val="fr-FR"/>
        </w:rPr>
      </w:pPr>
      <w:r w:rsidRPr="00AD02C7">
        <w:rPr>
          <w:lang w:val="fr-FR"/>
        </w:rPr>
        <w:t>–</w:t>
      </w:r>
      <w:r w:rsidRPr="00AD02C7">
        <w:rPr>
          <w:lang w:val="fr-FR"/>
        </w:rPr>
        <w:tab/>
        <w:t xml:space="preserve">La révision de la Résolution 58 (Rév.Buenos Aires, 2017) sur </w:t>
      </w:r>
      <w:r w:rsidRPr="00AD02C7">
        <w:rPr>
          <w:b/>
          <w:i/>
          <w:lang w:val="fr-FR"/>
        </w:rPr>
        <w:t>l'accessibilité des télécommunications/technologies de l'information et de la communication pour les personnes handicapées et les personnes ayant des besoins particuliers</w:t>
      </w:r>
      <w:r w:rsidRPr="00AD02C7">
        <w:rPr>
          <w:lang w:val="fr-FR"/>
        </w:rPr>
        <w:t xml:space="preserve"> vise à aligner le texte sur celui de la Résolution 175 (Rév. Dubaï, 2018) de la Conférence de plénipotentiaires et à intégrer les éléments fournis par la Commission d'études 1 de l'UIT</w:t>
      </w:r>
      <w:r w:rsidRPr="00AD02C7">
        <w:rPr>
          <w:lang w:val="fr-FR"/>
        </w:rPr>
        <w:noBreakHyphen/>
        <w:t>D basés sur ses activités pour la période 2018-2021.</w:t>
      </w:r>
    </w:p>
    <w:p w14:paraId="3CF70696" w14:textId="77777777" w:rsidR="005403DD" w:rsidRPr="00AD02C7" w:rsidRDefault="005403DD" w:rsidP="005403DD">
      <w:pPr>
        <w:pStyle w:val="enumlev1"/>
        <w:rPr>
          <w:b/>
          <w:i/>
          <w:lang w:val="fr-FR"/>
        </w:rPr>
      </w:pPr>
      <w:r w:rsidRPr="00AD02C7">
        <w:rPr>
          <w:lang w:val="fr-FR"/>
        </w:rPr>
        <w:t>–</w:t>
      </w:r>
      <w:r w:rsidRPr="00AD02C7">
        <w:rPr>
          <w:lang w:val="fr-FR"/>
        </w:rPr>
        <w:tab/>
        <w:t xml:space="preserve">Suppression de la Résolution 61 (Rév.Dubaï, 2014) sur </w:t>
      </w:r>
      <w:r w:rsidRPr="00AD02C7">
        <w:rPr>
          <w:b/>
          <w:i/>
          <w:lang w:val="fr-FR"/>
        </w:rPr>
        <w:t>la nomination et la durée maximale du mandat des présidents et vice-présidents des commissions d'études du Secteur du développement des télécommunications de l'UIT et du Groupe consultatif pour le développement des télécommunications.</w:t>
      </w:r>
      <w:r w:rsidRPr="00AD02C7">
        <w:rPr>
          <w:lang w:val="fr-FR"/>
        </w:rPr>
        <w:t xml:space="preserve"> La Résolution 208 (Dubaï, 2018) de la Conférence de plénipotentiaires a été adoptée et établit la durée maximale du mandat des Présidents et des Vice-Présidents des groupes consultatifs, des commissions d'études et des autres groupes des Secteurs. Dans cette optique, il est proposé de transférer le texte correspondant de la Résolution 61 vers la </w:t>
      </w:r>
      <w:r w:rsidRPr="00AD02C7">
        <w:rPr>
          <w:shd w:val="clear" w:color="auto" w:fill="FFFFFF"/>
          <w:lang w:val="fr-FR"/>
        </w:rPr>
        <w:t xml:space="preserve">Résolution 1 (Rév.Buenos Aires, 2017) relative </w:t>
      </w:r>
      <w:r w:rsidRPr="00AD02C7">
        <w:rPr>
          <w:lang w:val="fr-FR"/>
        </w:rPr>
        <w:t xml:space="preserve">au </w:t>
      </w:r>
      <w:r w:rsidRPr="00AD02C7">
        <w:rPr>
          <w:b/>
          <w:lang w:val="fr-FR"/>
        </w:rPr>
        <w:t>Règlement</w:t>
      </w:r>
      <w:r w:rsidRPr="00AD02C7">
        <w:rPr>
          <w:b/>
          <w:shd w:val="clear" w:color="auto" w:fill="FFFFFF"/>
          <w:lang w:val="fr-FR"/>
        </w:rPr>
        <w:t xml:space="preserve"> intérieur du Secteur du développement des télécommunications de l'UIT</w:t>
      </w:r>
      <w:r w:rsidRPr="00AD02C7">
        <w:rPr>
          <w:lang w:val="fr-FR"/>
        </w:rPr>
        <w:t>. Il est ainsi proposé de supprimer la Résolution 61.</w:t>
      </w:r>
    </w:p>
    <w:p w14:paraId="6BC47464" w14:textId="764E741C" w:rsidR="005403DD" w:rsidRPr="00AD02C7" w:rsidRDefault="005403DD" w:rsidP="005403DD">
      <w:pPr>
        <w:pStyle w:val="enumlev1"/>
        <w:rPr>
          <w:b/>
          <w:i/>
          <w:lang w:val="fr-FR"/>
        </w:rPr>
      </w:pPr>
      <w:r w:rsidRPr="00AD02C7">
        <w:rPr>
          <w:lang w:val="fr-FR"/>
        </w:rPr>
        <w:t>–</w:t>
      </w:r>
      <w:r w:rsidRPr="00AD02C7">
        <w:rPr>
          <w:lang w:val="fr-FR"/>
        </w:rPr>
        <w:tab/>
        <w:t xml:space="preserve">La révision de la Résolution 67 (Rév.Buenos Aires, 2017) sur </w:t>
      </w:r>
      <w:r w:rsidRPr="00AD02C7">
        <w:rPr>
          <w:b/>
          <w:i/>
          <w:lang w:val="fr-FR"/>
        </w:rPr>
        <w:t>le</w:t>
      </w:r>
      <w:r w:rsidRPr="00AD02C7">
        <w:rPr>
          <w:lang w:val="fr-FR"/>
        </w:rPr>
        <w:t xml:space="preserve"> </w:t>
      </w:r>
      <w:r w:rsidRPr="00AD02C7">
        <w:rPr>
          <w:b/>
          <w:i/>
          <w:lang w:val="fr-FR"/>
        </w:rPr>
        <w:t xml:space="preserve">rôle du Secteur du développement des télécommunications de l'UIT dans la protection en ligne des enfants </w:t>
      </w:r>
      <w:r w:rsidRPr="00AD02C7">
        <w:rPr>
          <w:lang w:val="fr-FR"/>
        </w:rPr>
        <w:t>vise à aligner le texte sur celui de la Résolution 179 (Rév. Dubaï, 2018) de la Conférence de plénipotentiaires pour inclure des références à des Résolutions récentes de l'Assemblée générale des Nations Unies et du Conseil des droits de l'homme, et à intégrer les éléments fournis par la Commission d'études 2 de l'UIT-D basés su</w:t>
      </w:r>
      <w:r w:rsidR="00F82D65">
        <w:rPr>
          <w:lang w:val="fr-FR"/>
        </w:rPr>
        <w:t>r ses activités pour la période </w:t>
      </w:r>
      <w:r w:rsidRPr="00AD02C7">
        <w:rPr>
          <w:lang w:val="fr-FR"/>
        </w:rPr>
        <w:t>2018-2021.</w:t>
      </w:r>
    </w:p>
    <w:p w14:paraId="6AB2209A" w14:textId="77777777" w:rsidR="005403DD" w:rsidRPr="00AD02C7" w:rsidRDefault="005403DD" w:rsidP="005403DD">
      <w:pPr>
        <w:pStyle w:val="enumlev1"/>
        <w:rPr>
          <w:b/>
          <w:i/>
          <w:lang w:val="fr-FR"/>
        </w:rPr>
      </w:pPr>
      <w:r w:rsidRPr="00AD02C7">
        <w:rPr>
          <w:lang w:val="fr-FR"/>
        </w:rPr>
        <w:t>–</w:t>
      </w:r>
      <w:r w:rsidRPr="00AD02C7">
        <w:rPr>
          <w:lang w:val="fr-FR"/>
        </w:rPr>
        <w:tab/>
        <w:t xml:space="preserve">La révision de la Résolution 34 (Rév.Buenos Aires, 2017) sur </w:t>
      </w:r>
      <w:r w:rsidRPr="00AD02C7">
        <w:rPr>
          <w:b/>
          <w:i/>
          <w:lang w:val="fr-FR"/>
        </w:rPr>
        <w:t>le rôle des télécommunications et des technologies de l'information et de la communication dans la préparation en prévision des catastrophes, l'alerte avancée, l'atténuation des effets des catastrophes, les interventions et les opérations de secours</w:t>
      </w:r>
      <w:r w:rsidRPr="00AD02C7">
        <w:rPr>
          <w:b/>
          <w:bCs/>
          <w:i/>
          <w:lang w:val="fr-FR"/>
        </w:rPr>
        <w:t xml:space="preserve"> </w:t>
      </w:r>
      <w:r w:rsidRPr="00AD02C7">
        <w:rPr>
          <w:bCs/>
          <w:lang w:val="fr-FR"/>
        </w:rPr>
        <w:t>vise à rationaliser cette Résolution pour inclure des dispositions jugées nécessaires de la Résolution 136</w:t>
      </w:r>
      <w:r w:rsidRPr="00AD02C7">
        <w:rPr>
          <w:lang w:val="fr-FR"/>
        </w:rPr>
        <w:t xml:space="preserve"> (Rév. Dubaï, 2018) de la Conférence de plénipotentiaires.</w:t>
      </w:r>
    </w:p>
    <w:p w14:paraId="7972E98B" w14:textId="109B62C2" w:rsidR="005403DD" w:rsidRPr="005403DD" w:rsidRDefault="005403DD" w:rsidP="005403DD">
      <w:pPr>
        <w:pStyle w:val="enumlev1"/>
        <w:rPr>
          <w:rFonts w:eastAsia="Batang"/>
          <w:lang w:val="fr-FR"/>
        </w:rPr>
      </w:pPr>
      <w:r w:rsidRPr="00AD02C7">
        <w:rPr>
          <w:lang w:val="fr-FR"/>
        </w:rPr>
        <w:t>–</w:t>
      </w:r>
      <w:r w:rsidRPr="00AD02C7">
        <w:rPr>
          <w:lang w:val="fr-FR"/>
        </w:rPr>
        <w:tab/>
        <w:t xml:space="preserve">La révision de la Résolution 37 (Rév.Buenos Aires, 2017) sur </w:t>
      </w:r>
      <w:r w:rsidRPr="00AD02C7">
        <w:rPr>
          <w:b/>
          <w:i/>
          <w:lang w:val="fr-FR"/>
        </w:rPr>
        <w:t xml:space="preserve">la </w:t>
      </w:r>
      <w:r w:rsidRPr="00AD02C7">
        <w:rPr>
          <w:b/>
          <w:bCs/>
          <w:i/>
          <w:lang w:val="fr-FR"/>
        </w:rPr>
        <w:t xml:space="preserve">réduction de la fracture numérique </w:t>
      </w:r>
      <w:r w:rsidRPr="00AD02C7">
        <w:rPr>
          <w:lang w:val="fr-FR"/>
        </w:rPr>
        <w:t>vise à harmoniser cette Résolution avec la Résolution 139 (Rév. Dubaï, 2018) de la Conférence de plénipotentiaires, et à l'actualiser en y mentionnant les dernières activités, y compris les nouvelles instructions données au BDT pour continuer à prendre des mesures</w:t>
      </w:r>
      <w:r w:rsidRPr="00AD02C7">
        <w:rPr>
          <w:rFonts w:eastAsia="Batang"/>
          <w:lang w:val="fr-FR"/>
        </w:rPr>
        <w:t xml:space="preserve"> destinées à renforcer la coopération avec les institutions financières internationales, les organismes donateurs et les associations du secteur privé concernant les projets visant à réduire la fracture numérique, et pour informer régulièrement les États Membres des progrès réalisés.</w:t>
      </w:r>
    </w:p>
    <w:p w14:paraId="48766E75" w14:textId="77777777" w:rsidR="005403DD" w:rsidRPr="00AD02C7" w:rsidRDefault="005403DD" w:rsidP="005403DD">
      <w:pPr>
        <w:pStyle w:val="enumlev1"/>
        <w:rPr>
          <w:b/>
          <w:bCs/>
          <w:i/>
          <w:lang w:val="fr-FR"/>
        </w:rPr>
      </w:pPr>
      <w:r w:rsidRPr="00AD02C7">
        <w:rPr>
          <w:lang w:val="fr-FR"/>
        </w:rPr>
        <w:t>–</w:t>
      </w:r>
      <w:r w:rsidRPr="00AD02C7">
        <w:rPr>
          <w:lang w:val="fr-FR"/>
        </w:rPr>
        <w:tab/>
        <w:t xml:space="preserve">La révision de la Résolution 64 (Rév.Buenos Aires, 2017) sur </w:t>
      </w:r>
      <w:r w:rsidRPr="00AD02C7">
        <w:rPr>
          <w:b/>
          <w:i/>
          <w:lang w:val="fr-FR"/>
        </w:rPr>
        <w:t xml:space="preserve">la </w:t>
      </w:r>
      <w:r w:rsidRPr="00AD02C7">
        <w:rPr>
          <w:b/>
          <w:bCs/>
          <w:i/>
          <w:lang w:val="fr-FR"/>
        </w:rPr>
        <w:t>protection et l'appui pour les utilisateurs/consommateurs de services issus des télécommunications/technologies de l'information et de la communication</w:t>
      </w:r>
      <w:r w:rsidRPr="00AD02C7">
        <w:rPr>
          <w:bCs/>
          <w:lang w:val="fr-FR"/>
        </w:rPr>
        <w:t xml:space="preserve"> vise à rationaliser le texte pour inclure des dispositions supplémentaires de la</w:t>
      </w:r>
      <w:r w:rsidRPr="00AD02C7">
        <w:rPr>
          <w:lang w:val="fr-FR"/>
        </w:rPr>
        <w:t xml:space="preserve"> Résolution 196 (Rév. Dubaï, 2018) de la Conférence de plénipotentiaires, et à refléter les activités et les conclusions présentées dans le rapport sur la Question 6/1 de la Commission d'études 1 de l'UIT-D pour la période 2018-2021.</w:t>
      </w:r>
    </w:p>
    <w:p w14:paraId="02786D2D" w14:textId="77777777" w:rsidR="005403DD" w:rsidRPr="00AD02C7" w:rsidRDefault="005403DD" w:rsidP="005403DD">
      <w:pPr>
        <w:pStyle w:val="enumlev1"/>
        <w:rPr>
          <w:b/>
          <w:i/>
          <w:shd w:val="clear" w:color="auto" w:fill="FFFFFF"/>
          <w:lang w:val="fr-FR"/>
        </w:rPr>
      </w:pPr>
      <w:r w:rsidRPr="00AD02C7">
        <w:rPr>
          <w:lang w:val="fr-FR"/>
        </w:rPr>
        <w:t>–</w:t>
      </w:r>
      <w:r w:rsidRPr="00AD02C7">
        <w:rPr>
          <w:lang w:val="fr-FR"/>
        </w:rPr>
        <w:tab/>
        <w:t>La révision de la Résolution</w:t>
      </w:r>
      <w:r w:rsidRPr="00AD02C7">
        <w:rPr>
          <w:shd w:val="clear" w:color="auto" w:fill="FFFFFF"/>
          <w:lang w:val="fr-FR"/>
        </w:rPr>
        <w:t xml:space="preserve"> 85 (Rév.Buenos Aires, 2017) "</w:t>
      </w:r>
      <w:r w:rsidRPr="00AD02C7">
        <w:rPr>
          <w:b/>
          <w:i/>
          <w:shd w:val="clear" w:color="auto" w:fill="FFFFFF"/>
          <w:lang w:val="fr-FR"/>
        </w:rPr>
        <w:t>Faciliter l'avènement de l'Internet des objets ainsi que des villes et communautés intelligentes pour le développement à l'échelle mondiale</w:t>
      </w:r>
      <w:r w:rsidRPr="00AD02C7">
        <w:rPr>
          <w:shd w:val="clear" w:color="auto" w:fill="FFFFFF"/>
          <w:lang w:val="fr-FR"/>
        </w:rPr>
        <w:t xml:space="preserve">" </w:t>
      </w:r>
      <w:r w:rsidRPr="00AD02C7">
        <w:rPr>
          <w:lang w:val="fr-FR"/>
        </w:rPr>
        <w:t>vise à simplifier le texte actuel et à mettre à jour sa partie "rappelant" pour tenir compte de la modification des titres de la Résolution 197 (Rév. Dubaï, 2018) et de la Résolution 200 (Rév. Dubaï, 2018) de la Conférence de plénipotentiaires.</w:t>
      </w:r>
    </w:p>
    <w:p w14:paraId="610115B0" w14:textId="77777777" w:rsidR="005403DD" w:rsidRPr="00AD02C7" w:rsidRDefault="005403DD" w:rsidP="005403DD">
      <w:pPr>
        <w:pStyle w:val="enumlev1"/>
        <w:rPr>
          <w:b/>
          <w:lang w:val="fr-FR"/>
        </w:rPr>
      </w:pPr>
      <w:r w:rsidRPr="00AD02C7">
        <w:rPr>
          <w:lang w:val="fr-FR"/>
        </w:rPr>
        <w:t>–</w:t>
      </w:r>
      <w:r w:rsidRPr="00AD02C7">
        <w:rPr>
          <w:lang w:val="fr-FR"/>
        </w:rPr>
        <w:tab/>
        <w:t xml:space="preserve">La révision de la Résolution 86 (Rév.Buenos Aires, 2017) sur </w:t>
      </w:r>
      <w:r w:rsidRPr="00AD02C7">
        <w:rPr>
          <w:b/>
          <w:i/>
          <w:iCs/>
          <w:lang w:val="fr-FR"/>
        </w:rPr>
        <w:t xml:space="preserve">l'utilisation au sein du Secteur du développement des télécommunications de l'UIT des langues de l'Union sur un pied d'égalité </w:t>
      </w:r>
      <w:r w:rsidRPr="00AD02C7">
        <w:rPr>
          <w:lang w:val="fr-FR"/>
        </w:rPr>
        <w:t>vise à harmoniser cette résolution avec la Résolution 154 (Rév. Dubaï, 2018) de la Conférence de plénipotentiaires</w:t>
      </w:r>
      <w:r w:rsidRPr="00AD02C7">
        <w:rPr>
          <w:shd w:val="clear" w:color="auto" w:fill="FFFFFF"/>
          <w:lang w:val="fr-FR"/>
        </w:rPr>
        <w:t xml:space="preserve"> </w:t>
      </w:r>
      <w:r w:rsidRPr="00AD02C7">
        <w:rPr>
          <w:lang w:val="fr-FR"/>
        </w:rPr>
        <w:t>et à tenir compte de la Résolution 1386 du Conseil pour ce qui est de la coordination des travaux terminologiques mobilisant tous les Secteurs et le Secrétariat général.</w:t>
      </w:r>
    </w:p>
    <w:p w14:paraId="03046CA6" w14:textId="77777777" w:rsidR="00F82D65" w:rsidRDefault="00F82D65" w:rsidP="005403DD">
      <w:pPr>
        <w:pStyle w:val="enumlev1"/>
        <w:rPr>
          <w:lang w:val="fr-FR"/>
        </w:rPr>
      </w:pPr>
      <w:r>
        <w:rPr>
          <w:lang w:val="fr-FR"/>
        </w:rPr>
        <w:br w:type="page"/>
      </w:r>
    </w:p>
    <w:p w14:paraId="01A9DF94" w14:textId="1E2816EE" w:rsidR="005403DD" w:rsidRPr="00AD02C7" w:rsidRDefault="005403DD" w:rsidP="005403DD">
      <w:pPr>
        <w:pStyle w:val="enumlev1"/>
        <w:rPr>
          <w:shd w:val="clear" w:color="auto" w:fill="FFFFFF"/>
          <w:lang w:val="fr-FR"/>
        </w:rPr>
      </w:pPr>
      <w:r w:rsidRPr="00AD02C7">
        <w:rPr>
          <w:lang w:val="fr-FR"/>
        </w:rPr>
        <w:t>–</w:t>
      </w:r>
      <w:r w:rsidRPr="00AD02C7">
        <w:rPr>
          <w:lang w:val="fr-FR"/>
        </w:rPr>
        <w:tab/>
        <w:t xml:space="preserve">La révision de la Résolution 1 (Rév.Buenos Aires, 2017) sur </w:t>
      </w:r>
      <w:r w:rsidRPr="00AD02C7">
        <w:rPr>
          <w:b/>
          <w:bCs/>
          <w:i/>
          <w:iCs/>
          <w:lang w:val="fr-FR"/>
        </w:rPr>
        <w:t>le Règlement intérieur du Secteur du développement des télécommunications de l'UIT</w:t>
      </w:r>
      <w:r w:rsidRPr="00AD02C7">
        <w:rPr>
          <w:lang w:val="fr-FR"/>
        </w:rPr>
        <w:t xml:space="preserve"> vise à tenir compte de l'expérience pratique acquise par les Commissions d'études de l'UIT-D durant la période d'études 2018-2021, ainsi que des données d'expérience du Secteur des radiocommunications de l'UIT (UIT-R) et du Secteur de la normalisation des télécommunications de l'UIT (UIT-T).</w:t>
      </w:r>
    </w:p>
    <w:p w14:paraId="6CF2E4B0" w14:textId="77777777" w:rsidR="005403DD" w:rsidRPr="00AD02C7" w:rsidRDefault="005403DD" w:rsidP="005403DD">
      <w:pPr>
        <w:pStyle w:val="enumlev1"/>
        <w:rPr>
          <w:b/>
          <w:i/>
          <w:lang w:val="fr-FR"/>
        </w:rPr>
      </w:pPr>
      <w:r w:rsidRPr="00AD02C7">
        <w:rPr>
          <w:shd w:val="clear" w:color="auto" w:fill="FFFFFF"/>
          <w:lang w:val="fr-FR"/>
        </w:rPr>
        <w:t>–</w:t>
      </w:r>
      <w:r w:rsidRPr="00AD02C7">
        <w:rPr>
          <w:shd w:val="clear" w:color="auto" w:fill="FFFFFF"/>
          <w:lang w:val="fr-FR"/>
        </w:rPr>
        <w:tab/>
        <w:t xml:space="preserve">La révision de la Résolution 71 (Rév.Buenos Aires, 2017) sur </w:t>
      </w:r>
      <w:r w:rsidRPr="00AD02C7">
        <w:rPr>
          <w:b/>
          <w:i/>
          <w:shd w:val="clear" w:color="auto" w:fill="FFFFFF"/>
          <w:lang w:val="fr-FR"/>
        </w:rPr>
        <w:t xml:space="preserve">le renforcement de la coopération entre les États Membres, les Membres de Secteur, les Associés et les établissements universitaires participant aux travaux du Secteur du développement des télécommunications de l'UIT et l'évolution du rôle du secteur privé au sein du Secteur du développement des télécommunications de l'UIT </w:t>
      </w:r>
      <w:r w:rsidRPr="00AD02C7">
        <w:rPr>
          <w:shd w:val="clear" w:color="auto" w:fill="FFFFFF"/>
          <w:lang w:val="fr-FR"/>
        </w:rPr>
        <w:t xml:space="preserve">vise à tenir compte de la Résolution 169 </w:t>
      </w:r>
      <w:r w:rsidRPr="00AD02C7">
        <w:rPr>
          <w:lang w:val="fr-FR"/>
        </w:rPr>
        <w:t>(Rév. Dubaï, 2018) de la Conférence de plénipotentiaires et à intégrer les dispositions</w:t>
      </w:r>
      <w:r w:rsidRPr="00AD02C7">
        <w:rPr>
          <w:shd w:val="clear" w:color="auto" w:fill="FFFFFF"/>
          <w:lang w:val="fr-FR"/>
        </w:rPr>
        <w:t xml:space="preserve"> pertinentes de la Résolution</w:t>
      </w:r>
      <w:r w:rsidRPr="00AD02C7">
        <w:rPr>
          <w:lang w:val="fr-FR"/>
        </w:rPr>
        <w:t xml:space="preserve"> 27 (Rév.Hyderabad, 2010) sur </w:t>
      </w:r>
      <w:r w:rsidRPr="00AD02C7">
        <w:rPr>
          <w:b/>
          <w:i/>
          <w:lang w:val="fr-FR"/>
        </w:rPr>
        <w:t>l'admission d'entités ou d'organisations à participer comme Associés aux travaux du Secteur du développement des télécommunications de l'UIT</w:t>
      </w:r>
      <w:r w:rsidRPr="00AD02C7">
        <w:rPr>
          <w:lang w:val="fr-FR"/>
        </w:rPr>
        <w:t>,</w:t>
      </w:r>
      <w:r w:rsidRPr="00AD02C7">
        <w:rPr>
          <w:b/>
          <w:i/>
          <w:lang w:val="fr-FR"/>
        </w:rPr>
        <w:t xml:space="preserve"> </w:t>
      </w:r>
      <w:r w:rsidRPr="00AD02C7">
        <w:rPr>
          <w:lang w:val="fr-FR"/>
        </w:rPr>
        <w:t>afin d'assurer une compréhension globale du rôle des Membres de Secteur, des Associés et des établissements universitaires dans les activités de l'UIT-D.</w:t>
      </w:r>
    </w:p>
    <w:p w14:paraId="3D3C2F6C" w14:textId="77777777" w:rsidR="005403DD" w:rsidRPr="00AD02C7" w:rsidRDefault="005403DD" w:rsidP="005403DD">
      <w:pPr>
        <w:pStyle w:val="enumlev1"/>
        <w:rPr>
          <w:shd w:val="clear" w:color="auto" w:fill="FFFFFF"/>
          <w:lang w:val="fr-FR"/>
        </w:rPr>
      </w:pPr>
      <w:r w:rsidRPr="00AD02C7">
        <w:rPr>
          <w:shd w:val="clear" w:color="auto" w:fill="FFFFFF"/>
          <w:lang w:val="fr-FR"/>
        </w:rPr>
        <w:t>–</w:t>
      </w:r>
      <w:r w:rsidRPr="00AD02C7">
        <w:rPr>
          <w:shd w:val="clear" w:color="auto" w:fill="FFFFFF"/>
          <w:lang w:val="fr-FR"/>
        </w:rPr>
        <w:tab/>
        <w:t xml:space="preserve">Il serait nécessaire de supprimer la </w:t>
      </w:r>
      <w:r w:rsidRPr="00AD02C7">
        <w:rPr>
          <w:lang w:val="fr-FR"/>
        </w:rPr>
        <w:t>Résolution 27 (Rév.Hyderabad, 2010) pour les raisons évoquées ci-dessus et compte tenu du fait qu'elle n'a pas été révisée depuis 2010</w:t>
      </w:r>
      <w:r w:rsidRPr="00AD02C7">
        <w:rPr>
          <w:shd w:val="clear" w:color="auto" w:fill="FFFFFF"/>
          <w:lang w:val="fr-FR"/>
        </w:rPr>
        <w:t>.</w:t>
      </w:r>
    </w:p>
    <w:p w14:paraId="55DAAE1C" w14:textId="6EB87314" w:rsidR="005403DD" w:rsidRPr="005403DD" w:rsidRDefault="005403DD" w:rsidP="005403DD">
      <w:pPr>
        <w:pStyle w:val="enumlev1"/>
        <w:rPr>
          <w:shd w:val="clear" w:color="auto" w:fill="FFFFFF"/>
          <w:lang w:val="fr-FR"/>
        </w:rPr>
      </w:pPr>
      <w:r w:rsidRPr="00AD02C7">
        <w:rPr>
          <w:shd w:val="clear" w:color="auto" w:fill="FFFFFF"/>
          <w:lang w:val="fr-FR"/>
        </w:rPr>
        <w:t>–</w:t>
      </w:r>
      <w:r w:rsidRPr="00AD02C7">
        <w:rPr>
          <w:shd w:val="clear" w:color="auto" w:fill="FFFFFF"/>
          <w:lang w:val="fr-FR"/>
        </w:rPr>
        <w:tab/>
        <w:t xml:space="preserve">Il serait nécessaire de supprimer la Résolution 81 (Rév.Buenos Aires, 2017) sur </w:t>
      </w:r>
      <w:r w:rsidRPr="00AD02C7">
        <w:rPr>
          <w:b/>
          <w:i/>
          <w:shd w:val="clear" w:color="auto" w:fill="FFFFFF"/>
          <w:lang w:val="fr-FR"/>
        </w:rPr>
        <w:t>le</w:t>
      </w:r>
      <w:r w:rsidRPr="00AD02C7">
        <w:rPr>
          <w:shd w:val="clear" w:color="auto" w:fill="FFFFFF"/>
          <w:lang w:val="fr-FR"/>
        </w:rPr>
        <w:t xml:space="preserve"> </w:t>
      </w:r>
      <w:r w:rsidRPr="00AD02C7">
        <w:rPr>
          <w:b/>
          <w:i/>
          <w:shd w:val="clear" w:color="auto" w:fill="FFFFFF"/>
          <w:lang w:val="fr-FR"/>
        </w:rPr>
        <w:t>perfectionnement des méthodes de travail électroniques pour les travaux du Secteur du développement des télécommunications de l'UIT</w:t>
      </w:r>
      <w:r w:rsidRPr="00AD02C7">
        <w:rPr>
          <w:shd w:val="clear" w:color="auto" w:fill="FFFFFF"/>
          <w:lang w:val="fr-FR"/>
        </w:rPr>
        <w:t>, car elle fait double emploi avec la</w:t>
      </w:r>
      <w:r>
        <w:rPr>
          <w:shd w:val="clear" w:color="auto" w:fill="FFFFFF"/>
          <w:lang w:val="fr-FR"/>
        </w:rPr>
        <w:t xml:space="preserve"> </w:t>
      </w:r>
      <w:r w:rsidRPr="00AD02C7">
        <w:rPr>
          <w:lang w:val="fr-FR"/>
        </w:rPr>
        <w:t>Résolution 167</w:t>
      </w:r>
      <w:r w:rsidRPr="00AD02C7">
        <w:rPr>
          <w:rFonts w:eastAsia="Calibri"/>
          <w:lang w:val="fr-FR"/>
        </w:rPr>
        <w:t xml:space="preserve"> (Rév. Dubaï, 2018) </w:t>
      </w:r>
      <w:r w:rsidRPr="00AD02C7">
        <w:rPr>
          <w:lang w:val="fr-FR"/>
        </w:rPr>
        <w:t>de la Conférence de plénipotentiaires</w:t>
      </w:r>
      <w:r w:rsidRPr="00AD02C7">
        <w:rPr>
          <w:rFonts w:eastAsia="Calibri"/>
          <w:lang w:val="fr-FR"/>
        </w:rPr>
        <w:t xml:space="preserve">. </w:t>
      </w:r>
      <w:r w:rsidRPr="00AD02C7">
        <w:rPr>
          <w:lang w:val="fr-FR"/>
        </w:rPr>
        <w:t xml:space="preserve">Il est proposé en outre de transférer les dispositions pertinentes vers la Résolution </w:t>
      </w:r>
      <w:r w:rsidRPr="00AD02C7">
        <w:rPr>
          <w:rStyle w:val="href"/>
          <w:rFonts w:asciiTheme="minorHAnsi" w:hAnsiTheme="minorHAnsi" w:cstheme="minorHAnsi"/>
          <w:lang w:val="fr-FR"/>
        </w:rPr>
        <w:t>1</w:t>
      </w:r>
      <w:r w:rsidRPr="00AD02C7">
        <w:rPr>
          <w:lang w:val="fr-FR"/>
        </w:rPr>
        <w:t xml:space="preserve"> (Rév.Buenos Aires, 2017), qui contient une partie sur l'accès électronique.</w:t>
      </w:r>
    </w:p>
    <w:p w14:paraId="415656B1" w14:textId="77777777" w:rsidR="005403DD" w:rsidRPr="00AD02C7" w:rsidRDefault="005403DD" w:rsidP="005403DD">
      <w:pPr>
        <w:pStyle w:val="enumlev1"/>
        <w:rPr>
          <w:lang w:val="fr-FR"/>
        </w:rPr>
      </w:pPr>
      <w:r w:rsidRPr="00AD02C7">
        <w:rPr>
          <w:lang w:val="fr-FR"/>
        </w:rPr>
        <w:t>–</w:t>
      </w:r>
      <w:r w:rsidRPr="00AD02C7">
        <w:rPr>
          <w:lang w:val="fr-FR"/>
        </w:rPr>
        <w:tab/>
        <w:t>Un projet de nouvelle Résolution intitulé "</w:t>
      </w:r>
      <w:r w:rsidRPr="00AD02C7">
        <w:rPr>
          <w:b/>
          <w:bCs/>
          <w:i/>
          <w:iCs/>
          <w:lang w:val="fr-FR"/>
        </w:rPr>
        <w:t>Utiliser les télécommunications/technologies de l'information et de la communication pour lutter contre la pandémie de COVID-19 et pour atténuer ses conséquences et y remédier</w:t>
      </w:r>
      <w:r w:rsidRPr="00AD02C7">
        <w:rPr>
          <w:lang w:val="fr-FR"/>
        </w:rPr>
        <w:t>" a été soumis par la Fédération de Russie pour examen préliminaire, afin de recueillir des observations et des suggestions.</w:t>
      </w:r>
    </w:p>
    <w:p w14:paraId="28489B12" w14:textId="77777777" w:rsidR="005403DD" w:rsidRPr="00AD02C7" w:rsidRDefault="005403DD" w:rsidP="005403DD">
      <w:pPr>
        <w:rPr>
          <w:lang w:val="fr-FR"/>
        </w:rPr>
      </w:pPr>
      <w:r w:rsidRPr="00AD02C7">
        <w:rPr>
          <w:lang w:val="fr-FR"/>
        </w:rPr>
        <w:t>6.6</w:t>
      </w:r>
      <w:r w:rsidRPr="00AD02C7">
        <w:rPr>
          <w:lang w:val="fr-FR"/>
        </w:rPr>
        <w:tab/>
        <w:t xml:space="preserve">S'agissant des </w:t>
      </w:r>
      <w:r w:rsidRPr="00AD02C7">
        <w:rPr>
          <w:b/>
          <w:bCs/>
          <w:lang w:val="fr-FR"/>
        </w:rPr>
        <w:t>Questions à confier aux commissions d'études en lien avec la Résolution 2 (Rév.Buenos Aires, 2017) de la CMDT "Création de commissions d'études"</w:t>
      </w:r>
      <w:r w:rsidRPr="00AD02C7">
        <w:rPr>
          <w:lang w:val="fr-FR"/>
        </w:rPr>
        <w:t>, des travaux sont en cours en vue de modifier cette Résolution.</w:t>
      </w:r>
    </w:p>
    <w:p w14:paraId="0471C20E" w14:textId="77777777" w:rsidR="005403DD" w:rsidRPr="00AD02C7" w:rsidRDefault="005403DD" w:rsidP="005403DD">
      <w:pPr>
        <w:rPr>
          <w:shd w:val="clear" w:color="auto" w:fill="FFFFFF"/>
          <w:lang w:val="fr-FR"/>
        </w:rPr>
      </w:pPr>
      <w:r w:rsidRPr="00AD02C7">
        <w:rPr>
          <w:bCs/>
          <w:lang w:val="fr-FR"/>
        </w:rPr>
        <w:t>6.7</w:t>
      </w:r>
      <w:r w:rsidRPr="00AD02C7">
        <w:rPr>
          <w:bCs/>
          <w:lang w:val="fr-FR"/>
        </w:rPr>
        <w:tab/>
      </w:r>
      <w:r w:rsidRPr="00AD02C7">
        <w:rPr>
          <w:b/>
          <w:lang w:val="fr-FR"/>
        </w:rPr>
        <w:t>Suite à donner</w:t>
      </w:r>
      <w:r w:rsidRPr="00AD02C7">
        <w:rPr>
          <w:bCs/>
          <w:lang w:val="fr-FR"/>
        </w:rPr>
        <w:t xml:space="preserve">: Le </w:t>
      </w:r>
      <w:r w:rsidRPr="00AD02C7">
        <w:rPr>
          <w:lang w:val="fr-FR"/>
        </w:rPr>
        <w:t>GT-GCDT</w:t>
      </w:r>
      <w:r w:rsidRPr="00AD02C7">
        <w:rPr>
          <w:shd w:val="clear" w:color="auto" w:fill="FFFFFF"/>
          <w:lang w:val="fr-FR"/>
        </w:rPr>
        <w:t xml:space="preserve">-RDTP </w:t>
      </w:r>
      <w:r w:rsidRPr="00AD02C7">
        <w:rPr>
          <w:lang w:val="fr-FR"/>
        </w:rPr>
        <w:t>examinera attentivement ces propositions. Les membres de l'UIT peuvent formuler des commentaires et proposer d'autres amendements à apporter à ces Résolutions et à d'autres.</w:t>
      </w:r>
    </w:p>
    <w:p w14:paraId="1B2E55A0" w14:textId="77777777" w:rsidR="005403DD" w:rsidRPr="00AD02C7" w:rsidRDefault="005403DD" w:rsidP="005403DD">
      <w:pPr>
        <w:pStyle w:val="Headingb"/>
        <w:rPr>
          <w:lang w:val="fr-FR"/>
        </w:rPr>
      </w:pPr>
      <w:r w:rsidRPr="00AD02C7">
        <w:rPr>
          <w:lang w:val="fr-FR"/>
        </w:rPr>
        <w:t>Groupe de travail du GCDT chargé de la planification stratégique et opérationnelle (GT</w:t>
      </w:r>
      <w:r w:rsidRPr="00AD02C7">
        <w:rPr>
          <w:lang w:val="fr-FR"/>
        </w:rPr>
        <w:noBreakHyphen/>
        <w:t>GCDT</w:t>
      </w:r>
      <w:r w:rsidRPr="00AD02C7">
        <w:rPr>
          <w:lang w:val="fr-FR"/>
        </w:rPr>
        <w:noBreakHyphen/>
        <w:t>SOP)</w:t>
      </w:r>
    </w:p>
    <w:p w14:paraId="5B9799FD" w14:textId="31921D99" w:rsidR="005403DD" w:rsidRPr="00AD02C7" w:rsidRDefault="005403DD" w:rsidP="005403DD">
      <w:pPr>
        <w:rPr>
          <w:lang w:val="fr-FR"/>
        </w:rPr>
      </w:pPr>
      <w:r w:rsidRPr="00AD02C7">
        <w:rPr>
          <w:lang w:val="fr-FR"/>
        </w:rPr>
        <w:t>6.8</w:t>
      </w:r>
      <w:r w:rsidRPr="00AD02C7">
        <w:rPr>
          <w:lang w:val="fr-FR"/>
        </w:rPr>
        <w:tab/>
        <w:t xml:space="preserve">La Présidente du GT-GCDT-SOP, Mme Blanca González (Espagne), a déclaré que son groupe avait approuvé une proposition visant à confier au GCDT l'établissement de la partie du Plan stratégique global de l'UIT se rapportant à l'UIT-D. En novembre 2020, le GCDT a approuvé cette proposition, reconnaissant que cette manière de procéder permettrait d'ouvrir la voie à une approche de "l'UIT unie dans l'action" pour l'élaboration du Plan stratégique de l'Union tout entière. Elle a encouragé les participants à examiner et suivre la proposition relative au </w:t>
      </w:r>
      <w:hyperlink r:id="rId22" w:history="1">
        <w:r w:rsidRPr="00AD02C7">
          <w:rPr>
            <w:rStyle w:val="Hyperlink"/>
            <w:rFonts w:asciiTheme="minorHAnsi" w:hAnsiTheme="minorHAnsi" w:cstheme="minorHAnsi"/>
            <w:lang w:val="fr-FR"/>
          </w:rPr>
          <w:t>déroulement des travaux concernant le Plan stratégique de l'UIT</w:t>
        </w:r>
      </w:hyperlink>
      <w:r w:rsidRPr="00AD02C7">
        <w:rPr>
          <w:lang w:val="fr-FR"/>
        </w:rPr>
        <w:t>, qui précise le calendrier pour la soumission des propositions des membres sur la partie du Plan stratégique global de l'UIT se rapportant à l'UIT-D, ainsi que les étapes et les principaux délais pour la présentation des contributions.</w:t>
      </w:r>
    </w:p>
    <w:p w14:paraId="61FB67F5" w14:textId="77777777" w:rsidR="005403DD" w:rsidRPr="00AD02C7" w:rsidRDefault="005403DD" w:rsidP="005403DD">
      <w:pPr>
        <w:pStyle w:val="Heading1"/>
        <w:rPr>
          <w:lang w:val="fr-FR"/>
        </w:rPr>
      </w:pPr>
      <w:r w:rsidRPr="00AD02C7">
        <w:rPr>
          <w:lang w:val="fr-FR"/>
        </w:rPr>
        <w:t>7</w:t>
      </w:r>
      <w:r w:rsidRPr="00AD02C7">
        <w:rPr>
          <w:lang w:val="fr-FR"/>
        </w:rPr>
        <w:tab/>
        <w:t>Divers</w:t>
      </w:r>
    </w:p>
    <w:p w14:paraId="04D0152C" w14:textId="77777777" w:rsidR="005403DD" w:rsidRPr="00AD02C7" w:rsidRDefault="005403DD" w:rsidP="005403DD">
      <w:pPr>
        <w:rPr>
          <w:lang w:val="fr-FR"/>
        </w:rPr>
      </w:pPr>
      <w:r w:rsidRPr="00AD02C7">
        <w:rPr>
          <w:lang w:val="fr-FR"/>
        </w:rPr>
        <w:t>7.1</w:t>
      </w:r>
      <w:r w:rsidRPr="00AD02C7">
        <w:rPr>
          <w:lang w:val="fr-FR"/>
        </w:rPr>
        <w:tab/>
        <w:t>Les participants à la réunion ont pris note du fait que la décision relative aux dates d'une conférence relève de la compétence du Conseil et que la consultation virtuelle des Conseillers, qui aura lieu en juin 2021, n'est pas une réunion à caractère décisionnel. Les participants à cette consultation peuvent seulement débattre et prendre une décision concernant l'envoi d'une lettre de consultation à tous les États Membres. À la suite de cette consultation, une décision sera alors prise par correspondance. Certaines délégations ont insisté sur le fait que le BDT devrait apporter des éclaircissements sur les dates et les modalités d'organisation de la CMDT avant la prochaine Réunion interrégionale en mai 2021.</w:t>
      </w:r>
    </w:p>
    <w:p w14:paraId="3DC8F36E" w14:textId="77777777" w:rsidR="005403DD" w:rsidRPr="00AD02C7" w:rsidRDefault="005403DD" w:rsidP="005403DD">
      <w:pPr>
        <w:rPr>
          <w:lang w:val="fr-FR"/>
        </w:rPr>
      </w:pPr>
      <w:r w:rsidRPr="00AD02C7">
        <w:rPr>
          <w:lang w:val="fr-FR"/>
        </w:rPr>
        <w:t>7.2</w:t>
      </w:r>
      <w:r w:rsidRPr="00AD02C7">
        <w:rPr>
          <w:lang w:val="fr-FR"/>
        </w:rPr>
        <w:tab/>
        <w:t>D'autres ont souligné qu'un report de la CMDT en 2022 nécessiterait de prendre une décision concernant les Questions à l'étude et les réunions des Commissions d'études de l'UIT-D et de leurs Groupes du Rapporteur jusqu'en 2022. Il a été précisé qu'entre deux CMDT, le GCDT était l'instance compétente pour décider de l'ordre du jour des commissions d'études. Il a été pris note du fait que cette question devrait être examinée lors de la prochaine réunion du GCDT.</w:t>
      </w:r>
    </w:p>
    <w:p w14:paraId="612F9083" w14:textId="77777777" w:rsidR="005403DD" w:rsidRPr="00AD02C7" w:rsidRDefault="005403DD" w:rsidP="005403DD">
      <w:pPr>
        <w:rPr>
          <w:lang w:val="fr-FR"/>
        </w:rPr>
      </w:pPr>
      <w:r w:rsidRPr="00AD02C7">
        <w:rPr>
          <w:lang w:val="fr-FR"/>
        </w:rPr>
        <w:t>7.3</w:t>
      </w:r>
      <w:r w:rsidRPr="00AD02C7">
        <w:rPr>
          <w:lang w:val="fr-FR"/>
        </w:rPr>
        <w:tab/>
        <w:t>En parallèle, il a été convenu que le BDT continuerait de travailler avec l'Administration de l'Éthiopie. Un groupe d'action a déjà été constitué et s'entretient non seulement avec l'Éthiopie, mais aussi avec les bureaux des Nations Unies en Afrique. Le secrétariat du BDT demandera un avis juridique à l'Unité des affaires juridiques de l'UIT et présentera une marche à suivre pour qu'une décision soit prise rapidement par les États Membres.</w:t>
      </w:r>
    </w:p>
    <w:p w14:paraId="78C7CB5A" w14:textId="77777777" w:rsidR="005403DD" w:rsidRPr="00AD02C7" w:rsidRDefault="005403DD" w:rsidP="005403DD">
      <w:pPr>
        <w:pStyle w:val="Heading1"/>
        <w:rPr>
          <w:lang w:val="fr-FR"/>
        </w:rPr>
      </w:pPr>
      <w:r w:rsidRPr="00AD02C7">
        <w:rPr>
          <w:lang w:val="fr-FR"/>
        </w:rPr>
        <w:t>8</w:t>
      </w:r>
      <w:r w:rsidRPr="00AD02C7">
        <w:rPr>
          <w:lang w:val="fr-FR"/>
        </w:rPr>
        <w:tab/>
        <w:t>Clôture</w:t>
      </w:r>
    </w:p>
    <w:p w14:paraId="23D12CC4" w14:textId="328EE598" w:rsidR="005403DD" w:rsidRPr="00AD02C7" w:rsidRDefault="005403DD" w:rsidP="005403DD">
      <w:pPr>
        <w:rPr>
          <w:lang w:val="fr-FR"/>
        </w:rPr>
      </w:pPr>
      <w:r w:rsidRPr="00AD02C7">
        <w:rPr>
          <w:lang w:val="fr-FR"/>
        </w:rPr>
        <w:t>8.1</w:t>
      </w:r>
      <w:r w:rsidRPr="00AD02C7">
        <w:rPr>
          <w:lang w:val="fr-FR"/>
        </w:rPr>
        <w:tab/>
        <w:t>La prochaine réunion aura lieu le 12 mai 2021, et le Président accueillerait favorablement des propositions concernant l'ordre du jour. Le Président a déclaré ce qui suit: "Ce fut un plaisir et un honneur pour moi de présider cette réunion. Je crois que nous venons d'avoir des discussions très constructives pour toutes les régions, qui nous amèneront à la prochaine étape de nos travaux préparatoires en vue de la CMDT". Il a remercié tous les participants pour leurs contributions et leurs réflexions intéressantes sur les propositions soumises par l'Éthiopie à cette réunion, les régions d'avoir présenté aux participants l'état d'avancement des travaux préparatoires de leur organisation de télécommunication respective, les deux régions qui ont déjà tenu leur réunion préparatoire régionale pour leurs résultats, et les Préside</w:t>
      </w:r>
      <w:r w:rsidR="00696CCC">
        <w:rPr>
          <w:lang w:val="fr-FR"/>
        </w:rPr>
        <w:t>nts des Groupes GT-GCDT</w:t>
      </w:r>
      <w:r w:rsidR="00696CCC">
        <w:rPr>
          <w:lang w:val="fr-FR"/>
        </w:rPr>
        <w:noBreakHyphen/>
        <w:t>RDTP et </w:t>
      </w:r>
      <w:r w:rsidRPr="00AD02C7">
        <w:rPr>
          <w:lang w:val="fr-FR"/>
        </w:rPr>
        <w:t>GT</w:t>
      </w:r>
      <w:r w:rsidRPr="00AD02C7">
        <w:rPr>
          <w:lang w:val="fr-FR"/>
        </w:rPr>
        <w:noBreakHyphen/>
        <w:t>GCDT</w:t>
      </w:r>
      <w:r w:rsidRPr="00AD02C7">
        <w:rPr>
          <w:lang w:val="fr-FR"/>
        </w:rPr>
        <w:noBreakHyphen/>
        <w:t>SOP d'avoir fait le point sur les travaux de leur groupe respectif.</w:t>
      </w:r>
    </w:p>
    <w:p w14:paraId="2AAF126D" w14:textId="4F87D4B5" w:rsidR="005403DD" w:rsidRDefault="005403DD" w:rsidP="005403DD">
      <w:pPr>
        <w:rPr>
          <w:lang w:val="fr-FR"/>
        </w:rPr>
      </w:pPr>
      <w:r w:rsidRPr="00AD02C7">
        <w:rPr>
          <w:lang w:val="fr-FR"/>
        </w:rPr>
        <w:t>8.2</w:t>
      </w:r>
      <w:r w:rsidRPr="00AD02C7">
        <w:rPr>
          <w:lang w:val="fr-FR"/>
        </w:rPr>
        <w:tab/>
        <w:t>"J'espère que vous serez présents et aussi actifs lors des réunions à venir, et que vous ferez preuve du même engagement que vous avez montré aujourd'hui. Je voudrais une nouvelle fois profiter de cette opportunité pour vous assurer pleinement de l'engagement de l'Éthiopie et affirmer que nous ne ménageons aucun effort pour que la CM</w:t>
      </w:r>
      <w:r w:rsidR="00696CCC">
        <w:rPr>
          <w:lang w:val="fr-FR"/>
        </w:rPr>
        <w:t>DT-21 soit un succès à l'ère du </w:t>
      </w:r>
      <w:r w:rsidRPr="00AD02C7">
        <w:rPr>
          <w:lang w:val="fr-FR"/>
        </w:rPr>
        <w:t>COVID</w:t>
      </w:r>
      <w:r w:rsidRPr="00AD02C7">
        <w:rPr>
          <w:lang w:val="fr-FR"/>
        </w:rPr>
        <w:noBreakHyphen/>
        <w:t>19. J'espère tous vous accueillir et vous retrouver à Addis-Abeba", a conclu le Président.</w:t>
      </w:r>
    </w:p>
    <w:p w14:paraId="28F80011" w14:textId="77777777" w:rsidR="00696CCC" w:rsidRPr="00AD02C7" w:rsidRDefault="00696CCC" w:rsidP="005403DD">
      <w:pPr>
        <w:rPr>
          <w:lang w:val="fr-FR"/>
        </w:rPr>
      </w:pPr>
    </w:p>
    <w:p w14:paraId="1962B46B" w14:textId="77777777" w:rsidR="005403DD" w:rsidRPr="00AD02C7" w:rsidRDefault="005403DD" w:rsidP="005403DD">
      <w:pPr>
        <w:spacing w:before="360"/>
        <w:jc w:val="center"/>
        <w:rPr>
          <w:lang w:val="fr-FR"/>
        </w:rPr>
      </w:pPr>
      <w:r w:rsidRPr="00AD02C7">
        <w:rPr>
          <w:lang w:val="fr-FR"/>
        </w:rPr>
        <w:t>______________</w:t>
      </w:r>
    </w:p>
    <w:sectPr w:rsidR="005403DD" w:rsidRPr="00AD02C7" w:rsidSect="00504609">
      <w:headerReference w:type="default" r:id="rId23"/>
      <w:footerReference w:type="default" r:id="rId24"/>
      <w:footerReference w:type="first" r:id="rId25"/>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0D384" w14:textId="77777777" w:rsidR="00E91856" w:rsidRDefault="00E91856">
      <w:r>
        <w:separator/>
      </w:r>
    </w:p>
  </w:endnote>
  <w:endnote w:type="continuationSeparator" w:id="0">
    <w:p w14:paraId="4B9DDA71" w14:textId="77777777" w:rsidR="00E91856" w:rsidRDefault="00E9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CDA28" w14:textId="6DB0A6E6" w:rsidR="00BD24C8" w:rsidRPr="00DA0F7A" w:rsidRDefault="00DA0F7A" w:rsidP="00DA0F7A">
    <w:pPr>
      <w:pStyle w:val="Footer"/>
      <w:rPr>
        <w:lang w:val="en-US"/>
      </w:rPr>
    </w:pPr>
    <w:r>
      <w:fldChar w:fldCharType="begin"/>
    </w:r>
    <w:r w:rsidRPr="00DA0F7A">
      <w:rPr>
        <w:lang w:val="en-US"/>
      </w:rPr>
      <w:instrText xml:space="preserve"> FILENAME \p  \* MERGEFORMAT </w:instrText>
    </w:r>
    <w:r>
      <w:fldChar w:fldCharType="separate"/>
    </w:r>
    <w:r w:rsidR="00241DFE">
      <w:rPr>
        <w:lang w:val="en-US"/>
      </w:rPr>
      <w:t>P:\FRA\ITU-D\CONF-D\IRM21\000\033F.docx</w:t>
    </w:r>
    <w:r>
      <w:fldChar w:fldCharType="end"/>
    </w:r>
    <w:r>
      <w:rPr>
        <w:lang w:val="en-US"/>
      </w:rPr>
      <w:t xml:space="preserve"> </w:t>
    </w:r>
    <w:r w:rsidR="00BD24C8" w:rsidRPr="00DA0F7A">
      <w:rPr>
        <w:lang w:val="en-US"/>
      </w:rPr>
      <w:t>(485832)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Look w:val="04A0" w:firstRow="1" w:lastRow="0" w:firstColumn="1" w:lastColumn="0" w:noHBand="0" w:noVBand="1"/>
    </w:tblPr>
    <w:tblGrid>
      <w:gridCol w:w="1431"/>
      <w:gridCol w:w="2251"/>
      <w:gridCol w:w="5959"/>
    </w:tblGrid>
    <w:tr w:rsidR="00BD24C8" w:rsidRPr="00121EC7" w14:paraId="38041CC2" w14:textId="77777777" w:rsidTr="0084284D">
      <w:tc>
        <w:tcPr>
          <w:tcW w:w="1431" w:type="dxa"/>
          <w:tcBorders>
            <w:top w:val="single" w:sz="4" w:space="0" w:color="000000"/>
          </w:tcBorders>
          <w:shd w:val="clear" w:color="auto" w:fill="auto"/>
        </w:tcPr>
        <w:p w14:paraId="2D3EB904" w14:textId="77777777" w:rsidR="00BD24C8" w:rsidRPr="00E4770A" w:rsidRDefault="00BD24C8" w:rsidP="00A54CA6">
          <w:pPr>
            <w:pStyle w:val="FirstFooter"/>
            <w:tabs>
              <w:tab w:val="left" w:pos="1559"/>
              <w:tab w:val="left" w:pos="3828"/>
            </w:tabs>
            <w:rPr>
              <w:sz w:val="18"/>
              <w:szCs w:val="18"/>
            </w:rPr>
          </w:pPr>
          <w:r w:rsidRPr="00E4770A">
            <w:rPr>
              <w:sz w:val="18"/>
              <w:szCs w:val="18"/>
            </w:rPr>
            <w:t xml:space="preserve">Contact </w:t>
          </w:r>
        </w:p>
      </w:tc>
      <w:tc>
        <w:tcPr>
          <w:tcW w:w="2251" w:type="dxa"/>
          <w:tcBorders>
            <w:top w:val="single" w:sz="4" w:space="0" w:color="000000"/>
          </w:tcBorders>
        </w:tcPr>
        <w:p w14:paraId="5A4C9EB3" w14:textId="77777777" w:rsidR="00BD24C8" w:rsidRPr="00E4770A" w:rsidRDefault="00BD24C8" w:rsidP="002066B3">
          <w:pPr>
            <w:pStyle w:val="FirstFooter"/>
            <w:tabs>
              <w:tab w:val="left" w:pos="2302"/>
            </w:tabs>
            <w:ind w:left="2302" w:hanging="2302"/>
            <w:rPr>
              <w:sz w:val="18"/>
              <w:szCs w:val="18"/>
            </w:rPr>
          </w:pPr>
          <w:r w:rsidRPr="00E4770A">
            <w:rPr>
              <w:sz w:val="18"/>
              <w:szCs w:val="18"/>
            </w:rPr>
            <w:t>Nom/Organisation/Entité:</w:t>
          </w:r>
        </w:p>
      </w:tc>
      <w:tc>
        <w:tcPr>
          <w:tcW w:w="5959" w:type="dxa"/>
          <w:tcBorders>
            <w:top w:val="single" w:sz="4" w:space="0" w:color="000000"/>
          </w:tcBorders>
          <w:shd w:val="clear" w:color="auto" w:fill="auto"/>
        </w:tcPr>
        <w:p w14:paraId="48712779" w14:textId="67B656CE" w:rsidR="00BD24C8" w:rsidRPr="00E4770A" w:rsidRDefault="00BD24C8" w:rsidP="005911E3">
          <w:pPr>
            <w:pStyle w:val="FirstFooter"/>
            <w:rPr>
              <w:sz w:val="18"/>
              <w:szCs w:val="18"/>
              <w:highlight w:val="yellow"/>
            </w:rPr>
          </w:pPr>
          <w:r w:rsidRPr="00E4770A">
            <w:rPr>
              <w:sz w:val="18"/>
              <w:szCs w:val="18"/>
            </w:rPr>
            <w:t>S.</w:t>
          </w:r>
          <w:r w:rsidR="00DA0F7A">
            <w:rPr>
              <w:sz w:val="18"/>
              <w:szCs w:val="18"/>
            </w:rPr>
            <w:t xml:space="preserve"> </w:t>
          </w:r>
          <w:r w:rsidRPr="00E4770A">
            <w:rPr>
              <w:sz w:val="18"/>
              <w:szCs w:val="18"/>
            </w:rPr>
            <w:t>E. M. Ahmedin Mohammed, Ministre</w:t>
          </w:r>
          <w:r>
            <w:rPr>
              <w:sz w:val="18"/>
              <w:szCs w:val="18"/>
            </w:rPr>
            <w:t xml:space="preserve"> d'État de l'innovation et de la technologie</w:t>
          </w:r>
          <w:r w:rsidRPr="00E4770A">
            <w:rPr>
              <w:sz w:val="18"/>
              <w:szCs w:val="18"/>
            </w:rPr>
            <w:t xml:space="preserve">, </w:t>
          </w:r>
          <w:r>
            <w:rPr>
              <w:sz w:val="18"/>
              <w:szCs w:val="18"/>
            </w:rPr>
            <w:t>Éthiopie</w:t>
          </w:r>
        </w:p>
      </w:tc>
    </w:tr>
    <w:tr w:rsidR="00BD24C8" w:rsidRPr="00E4770A" w14:paraId="6EA353CC" w14:textId="77777777" w:rsidTr="0084284D">
      <w:tc>
        <w:tcPr>
          <w:tcW w:w="1431" w:type="dxa"/>
          <w:shd w:val="clear" w:color="auto" w:fill="auto"/>
        </w:tcPr>
        <w:p w14:paraId="10D0031D" w14:textId="77777777" w:rsidR="00BD24C8" w:rsidRPr="00E4770A" w:rsidRDefault="00BD24C8" w:rsidP="002066B3">
          <w:pPr>
            <w:pStyle w:val="FirstFooter"/>
            <w:tabs>
              <w:tab w:val="left" w:pos="1559"/>
              <w:tab w:val="left" w:pos="3828"/>
            </w:tabs>
            <w:rPr>
              <w:sz w:val="20"/>
            </w:rPr>
          </w:pPr>
        </w:p>
      </w:tc>
      <w:tc>
        <w:tcPr>
          <w:tcW w:w="2251" w:type="dxa"/>
        </w:tcPr>
        <w:p w14:paraId="171431B3" w14:textId="77777777" w:rsidR="00BD24C8" w:rsidRPr="00E4770A" w:rsidRDefault="00BD24C8" w:rsidP="002066B3">
          <w:pPr>
            <w:pStyle w:val="FirstFooter"/>
            <w:tabs>
              <w:tab w:val="left" w:pos="2302"/>
            </w:tabs>
            <w:rPr>
              <w:sz w:val="18"/>
              <w:szCs w:val="18"/>
            </w:rPr>
          </w:pPr>
          <w:r w:rsidRPr="00E4770A">
            <w:rPr>
              <w:sz w:val="18"/>
              <w:szCs w:val="18"/>
            </w:rPr>
            <w:t>Numéro de téléphone:</w:t>
          </w:r>
        </w:p>
      </w:tc>
      <w:tc>
        <w:tcPr>
          <w:tcW w:w="5959" w:type="dxa"/>
          <w:shd w:val="clear" w:color="auto" w:fill="auto"/>
        </w:tcPr>
        <w:p w14:paraId="7CC36269" w14:textId="3DD9B84B" w:rsidR="00BD24C8" w:rsidRPr="00E4770A" w:rsidRDefault="00BD24C8" w:rsidP="002066B3">
          <w:pPr>
            <w:pStyle w:val="FirstFooter"/>
            <w:tabs>
              <w:tab w:val="left" w:pos="2302"/>
            </w:tabs>
            <w:rPr>
              <w:sz w:val="18"/>
              <w:szCs w:val="18"/>
              <w:highlight w:val="yellow"/>
            </w:rPr>
          </w:pPr>
          <w:r w:rsidRPr="00E4770A">
            <w:rPr>
              <w:sz w:val="18"/>
              <w:szCs w:val="18"/>
            </w:rPr>
            <w:t>n/a</w:t>
          </w:r>
        </w:p>
      </w:tc>
    </w:tr>
    <w:tr w:rsidR="00BD24C8" w:rsidRPr="00121EC7" w14:paraId="0B41BBE9" w14:textId="77777777" w:rsidTr="0084284D">
      <w:tc>
        <w:tcPr>
          <w:tcW w:w="1431" w:type="dxa"/>
          <w:shd w:val="clear" w:color="auto" w:fill="auto"/>
        </w:tcPr>
        <w:p w14:paraId="0AD2AA7B" w14:textId="77777777" w:rsidR="00BD24C8" w:rsidRPr="00E4770A" w:rsidRDefault="00BD24C8" w:rsidP="002066B3">
          <w:pPr>
            <w:pStyle w:val="FirstFooter"/>
            <w:tabs>
              <w:tab w:val="left" w:pos="1559"/>
              <w:tab w:val="left" w:pos="3828"/>
            </w:tabs>
            <w:rPr>
              <w:sz w:val="20"/>
            </w:rPr>
          </w:pPr>
        </w:p>
      </w:tc>
      <w:tc>
        <w:tcPr>
          <w:tcW w:w="2251" w:type="dxa"/>
        </w:tcPr>
        <w:p w14:paraId="4EE2DD6A" w14:textId="77777777" w:rsidR="00BD24C8" w:rsidRPr="00E4770A" w:rsidRDefault="00BD24C8" w:rsidP="002066B3">
          <w:pPr>
            <w:pStyle w:val="FirstFooter"/>
            <w:tabs>
              <w:tab w:val="left" w:pos="2302"/>
            </w:tabs>
            <w:rPr>
              <w:sz w:val="18"/>
              <w:szCs w:val="18"/>
            </w:rPr>
          </w:pPr>
          <w:r w:rsidRPr="00E4770A">
            <w:rPr>
              <w:sz w:val="18"/>
              <w:szCs w:val="18"/>
            </w:rPr>
            <w:t>Courriel:</w:t>
          </w:r>
        </w:p>
      </w:tc>
      <w:tc>
        <w:tcPr>
          <w:tcW w:w="5959" w:type="dxa"/>
          <w:shd w:val="clear" w:color="auto" w:fill="auto"/>
        </w:tcPr>
        <w:p w14:paraId="70551634" w14:textId="1CD6F611" w:rsidR="00BD24C8" w:rsidRPr="00814561" w:rsidRDefault="00241DFE" w:rsidP="002066B3">
          <w:pPr>
            <w:pStyle w:val="FirstFooter"/>
            <w:tabs>
              <w:tab w:val="left" w:pos="2302"/>
            </w:tabs>
            <w:rPr>
              <w:sz w:val="18"/>
              <w:szCs w:val="18"/>
              <w:highlight w:val="yellow"/>
            </w:rPr>
          </w:pPr>
          <w:hyperlink r:id="rId1" w:history="1">
            <w:r w:rsidR="00BD24C8" w:rsidRPr="00814561">
              <w:rPr>
                <w:rStyle w:val="Hyperlink"/>
                <w:sz w:val="18"/>
                <w:szCs w:val="18"/>
              </w:rPr>
              <w:t>ahmedin.mohammed@mint.gov.et</w:t>
            </w:r>
          </w:hyperlink>
        </w:p>
      </w:tc>
    </w:tr>
  </w:tbl>
  <w:p w14:paraId="73D28639" w14:textId="1C9B9156" w:rsidR="00BD24C8" w:rsidRPr="00E4770A" w:rsidRDefault="00BD24C8" w:rsidP="006066E8">
    <w:pPr>
      <w:rPr>
        <w:sz w:val="20"/>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C97D3" w14:textId="77777777" w:rsidR="00E91856" w:rsidRDefault="00E91856">
      <w:r>
        <w:separator/>
      </w:r>
    </w:p>
  </w:footnote>
  <w:footnote w:type="continuationSeparator" w:id="0">
    <w:p w14:paraId="206AAABE" w14:textId="77777777" w:rsidR="00E91856" w:rsidRDefault="00E91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3869D" w14:textId="479269E9" w:rsidR="00BD24C8" w:rsidRPr="00FF089C" w:rsidRDefault="00BD24C8" w:rsidP="00CB4DC1">
    <w:pPr>
      <w:tabs>
        <w:tab w:val="clear" w:pos="794"/>
        <w:tab w:val="clear" w:pos="1191"/>
        <w:tab w:val="clear" w:pos="1588"/>
        <w:tab w:val="clear" w:pos="1985"/>
        <w:tab w:val="center" w:pos="4820"/>
        <w:tab w:val="right" w:pos="9639"/>
      </w:tabs>
      <w:ind w:right="1"/>
      <w:rPr>
        <w:smallCaps/>
        <w:spacing w:val="24"/>
        <w:sz w:val="22"/>
        <w:szCs w:val="22"/>
        <w:lang w:val="es-ES_tradnl"/>
      </w:rPr>
    </w:pPr>
    <w:r w:rsidRPr="004D495C">
      <w:rPr>
        <w:sz w:val="22"/>
        <w:szCs w:val="22"/>
      </w:rPr>
      <w:tab/>
    </w:r>
    <w:r w:rsidRPr="00FF089C">
      <w:rPr>
        <w:sz w:val="22"/>
        <w:szCs w:val="22"/>
        <w:lang w:val="es-ES_tradnl"/>
      </w:rPr>
      <w:t>ITU-D/</w:t>
    </w:r>
    <w:bookmarkStart w:id="9" w:name="DocRef2"/>
    <w:bookmarkStart w:id="10" w:name="DocNo2"/>
    <w:bookmarkEnd w:id="9"/>
    <w:bookmarkEnd w:id="10"/>
    <w:r>
      <w:rPr>
        <w:sz w:val="22"/>
        <w:szCs w:val="22"/>
        <w:lang w:val="es-ES_tradnl"/>
      </w:rPr>
      <w:t>IRM21-1/33</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241DFE">
      <w:rPr>
        <w:noProof/>
        <w:sz w:val="22"/>
        <w:szCs w:val="22"/>
        <w:lang w:val="es-ES_tradnl"/>
      </w:rPr>
      <w:t>16</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9B669B"/>
    <w:multiLevelType w:val="hybridMultilevel"/>
    <w:tmpl w:val="BE0076B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5576E4D"/>
    <w:multiLevelType w:val="hybridMultilevel"/>
    <w:tmpl w:val="C270E9D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2CA85937"/>
    <w:multiLevelType w:val="hybridMultilevel"/>
    <w:tmpl w:val="9D1CABF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899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7"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8"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8C53BB"/>
    <w:multiLevelType w:val="hybridMultilevel"/>
    <w:tmpl w:val="CE308522"/>
    <w:lvl w:ilvl="0" w:tplc="D8AA70EE">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31"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9C1393A"/>
    <w:multiLevelType w:val="hybridMultilevel"/>
    <w:tmpl w:val="5B7AF4C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4"/>
  </w:num>
  <w:num w:numId="13">
    <w:abstractNumId w:val="32"/>
  </w:num>
  <w:num w:numId="14">
    <w:abstractNumId w:val="12"/>
  </w:num>
  <w:num w:numId="15">
    <w:abstractNumId w:val="18"/>
  </w:num>
  <w:num w:numId="16">
    <w:abstractNumId w:val="36"/>
  </w:num>
  <w:num w:numId="17">
    <w:abstractNumId w:val="29"/>
  </w:num>
  <w:num w:numId="18">
    <w:abstractNumId w:val="14"/>
  </w:num>
  <w:num w:numId="19">
    <w:abstractNumId w:val="19"/>
  </w:num>
  <w:num w:numId="20">
    <w:abstractNumId w:val="26"/>
  </w:num>
  <w:num w:numId="21">
    <w:abstractNumId w:val="31"/>
  </w:num>
  <w:num w:numId="22">
    <w:abstractNumId w:val="17"/>
  </w:num>
  <w:num w:numId="23">
    <w:abstractNumId w:val="21"/>
  </w:num>
  <w:num w:numId="24">
    <w:abstractNumId w:val="28"/>
  </w:num>
  <w:num w:numId="25">
    <w:abstractNumId w:val="28"/>
  </w:num>
  <w:num w:numId="26">
    <w:abstractNumId w:val="23"/>
  </w:num>
  <w:num w:numId="27">
    <w:abstractNumId w:val="16"/>
  </w:num>
  <w:num w:numId="28">
    <w:abstractNumId w:val="33"/>
  </w:num>
  <w:num w:numId="29">
    <w:abstractNumId w:val="11"/>
  </w:num>
  <w:num w:numId="30">
    <w:abstractNumId w:val="25"/>
  </w:num>
  <w:num w:numId="31">
    <w:abstractNumId w:val="34"/>
  </w:num>
  <w:num w:numId="32">
    <w:abstractNumId w:val="27"/>
  </w:num>
  <w:num w:numId="33">
    <w:abstractNumId w:val="3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5"/>
  </w:num>
  <w:num w:numId="37">
    <w:abstractNumId w:val="3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FR" w:vendorID="64" w:dllVersion="131078" w:nlCheck="1" w:checkStyle="0"/>
  <w:activeWritingStyle w:appName="MSWord" w:lang="en-US" w:vendorID="64" w:dllVersion="131078" w:nlCheck="1" w:checkStyle="1"/>
  <w:activeWritingStyle w:appName="MSWord" w:lang="es-ES_tradnl"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5FD9"/>
    <w:rsid w:val="00006684"/>
    <w:rsid w:val="00017BEC"/>
    <w:rsid w:val="00017E7D"/>
    <w:rsid w:val="00017E82"/>
    <w:rsid w:val="00021A06"/>
    <w:rsid w:val="00021A72"/>
    <w:rsid w:val="000221F5"/>
    <w:rsid w:val="00022BFD"/>
    <w:rsid w:val="00032DD2"/>
    <w:rsid w:val="0003593E"/>
    <w:rsid w:val="000370A8"/>
    <w:rsid w:val="0004519A"/>
    <w:rsid w:val="0006050B"/>
    <w:rsid w:val="00080665"/>
    <w:rsid w:val="00085784"/>
    <w:rsid w:val="0009676A"/>
    <w:rsid w:val="000A0187"/>
    <w:rsid w:val="000A3328"/>
    <w:rsid w:val="000B596D"/>
    <w:rsid w:val="000B702E"/>
    <w:rsid w:val="000C298A"/>
    <w:rsid w:val="000C2FD3"/>
    <w:rsid w:val="000D0403"/>
    <w:rsid w:val="000D61A2"/>
    <w:rsid w:val="000D7961"/>
    <w:rsid w:val="000E397B"/>
    <w:rsid w:val="000F1580"/>
    <w:rsid w:val="00121EC7"/>
    <w:rsid w:val="001229F6"/>
    <w:rsid w:val="001364EB"/>
    <w:rsid w:val="0015200D"/>
    <w:rsid w:val="00153B50"/>
    <w:rsid w:val="0015553B"/>
    <w:rsid w:val="00161A5A"/>
    <w:rsid w:val="0016393B"/>
    <w:rsid w:val="00170AB9"/>
    <w:rsid w:val="00181928"/>
    <w:rsid w:val="001856D7"/>
    <w:rsid w:val="00187E51"/>
    <w:rsid w:val="00192DBD"/>
    <w:rsid w:val="0019399A"/>
    <w:rsid w:val="001A52E9"/>
    <w:rsid w:val="001B2ABF"/>
    <w:rsid w:val="001B4B9B"/>
    <w:rsid w:val="001D2323"/>
    <w:rsid w:val="001D3694"/>
    <w:rsid w:val="001E11D1"/>
    <w:rsid w:val="001E207E"/>
    <w:rsid w:val="001E23DC"/>
    <w:rsid w:val="001E33AB"/>
    <w:rsid w:val="001E3BCF"/>
    <w:rsid w:val="002066B3"/>
    <w:rsid w:val="0021427F"/>
    <w:rsid w:val="00230996"/>
    <w:rsid w:val="00235915"/>
    <w:rsid w:val="00241DFE"/>
    <w:rsid w:val="00252877"/>
    <w:rsid w:val="00262B06"/>
    <w:rsid w:val="00267EE3"/>
    <w:rsid w:val="00270C45"/>
    <w:rsid w:val="002748B0"/>
    <w:rsid w:val="00275198"/>
    <w:rsid w:val="0028054C"/>
    <w:rsid w:val="002869AF"/>
    <w:rsid w:val="00286A28"/>
    <w:rsid w:val="002900F9"/>
    <w:rsid w:val="00295878"/>
    <w:rsid w:val="002A3A4E"/>
    <w:rsid w:val="002B02FE"/>
    <w:rsid w:val="002B1A8F"/>
    <w:rsid w:val="002B2265"/>
    <w:rsid w:val="002B6579"/>
    <w:rsid w:val="002C2948"/>
    <w:rsid w:val="002C67D8"/>
    <w:rsid w:val="002D0049"/>
    <w:rsid w:val="002E06FE"/>
    <w:rsid w:val="002F7917"/>
    <w:rsid w:val="003058DA"/>
    <w:rsid w:val="0030762F"/>
    <w:rsid w:val="00311BD3"/>
    <w:rsid w:val="00312685"/>
    <w:rsid w:val="00314225"/>
    <w:rsid w:val="00334C18"/>
    <w:rsid w:val="003513DB"/>
    <w:rsid w:val="00354F8E"/>
    <w:rsid w:val="00361FDE"/>
    <w:rsid w:val="0036243F"/>
    <w:rsid w:val="00385ABF"/>
    <w:rsid w:val="00392AF3"/>
    <w:rsid w:val="00394DD5"/>
    <w:rsid w:val="00394E7C"/>
    <w:rsid w:val="00397379"/>
    <w:rsid w:val="003A6A11"/>
    <w:rsid w:val="003B46CF"/>
    <w:rsid w:val="003B75F4"/>
    <w:rsid w:val="003C6F1E"/>
    <w:rsid w:val="003C78E4"/>
    <w:rsid w:val="003D2424"/>
    <w:rsid w:val="003D3CD5"/>
    <w:rsid w:val="003D4D0B"/>
    <w:rsid w:val="003D4D11"/>
    <w:rsid w:val="003D764A"/>
    <w:rsid w:val="003E20FF"/>
    <w:rsid w:val="00406F1F"/>
    <w:rsid w:val="004077C9"/>
    <w:rsid w:val="00410911"/>
    <w:rsid w:val="00414E6F"/>
    <w:rsid w:val="00415F06"/>
    <w:rsid w:val="00416D38"/>
    <w:rsid w:val="00421F93"/>
    <w:rsid w:val="004270C0"/>
    <w:rsid w:val="004331DF"/>
    <w:rsid w:val="0043566B"/>
    <w:rsid w:val="004430CE"/>
    <w:rsid w:val="00457453"/>
    <w:rsid w:val="0046327F"/>
    <w:rsid w:val="00472A03"/>
    <w:rsid w:val="00475A24"/>
    <w:rsid w:val="00483313"/>
    <w:rsid w:val="00487A55"/>
    <w:rsid w:val="00496015"/>
    <w:rsid w:val="0049717B"/>
    <w:rsid w:val="004A0340"/>
    <w:rsid w:val="004A28F0"/>
    <w:rsid w:val="004A34DD"/>
    <w:rsid w:val="004A4301"/>
    <w:rsid w:val="004A564F"/>
    <w:rsid w:val="004C4C2E"/>
    <w:rsid w:val="004C4E14"/>
    <w:rsid w:val="004D0AC9"/>
    <w:rsid w:val="004D0DA8"/>
    <w:rsid w:val="004D2D58"/>
    <w:rsid w:val="004D3DC4"/>
    <w:rsid w:val="004D495C"/>
    <w:rsid w:val="004D4C17"/>
    <w:rsid w:val="004E3824"/>
    <w:rsid w:val="004F09F8"/>
    <w:rsid w:val="00500F00"/>
    <w:rsid w:val="00502BFC"/>
    <w:rsid w:val="00504609"/>
    <w:rsid w:val="00511EDF"/>
    <w:rsid w:val="005229C1"/>
    <w:rsid w:val="00523237"/>
    <w:rsid w:val="00523E05"/>
    <w:rsid w:val="005302F6"/>
    <w:rsid w:val="005403DD"/>
    <w:rsid w:val="00542D84"/>
    <w:rsid w:val="00546F06"/>
    <w:rsid w:val="005543B5"/>
    <w:rsid w:val="00567A17"/>
    <w:rsid w:val="005717D3"/>
    <w:rsid w:val="0058604B"/>
    <w:rsid w:val="005911E3"/>
    <w:rsid w:val="00592681"/>
    <w:rsid w:val="005A7446"/>
    <w:rsid w:val="005B37AF"/>
    <w:rsid w:val="005B45E9"/>
    <w:rsid w:val="005B5914"/>
    <w:rsid w:val="005C0E75"/>
    <w:rsid w:val="005C33BC"/>
    <w:rsid w:val="005D12FD"/>
    <w:rsid w:val="005E07F1"/>
    <w:rsid w:val="006066E8"/>
    <w:rsid w:val="00613AF1"/>
    <w:rsid w:val="00622A8F"/>
    <w:rsid w:val="006354E9"/>
    <w:rsid w:val="0064011F"/>
    <w:rsid w:val="00641CA0"/>
    <w:rsid w:val="006444D5"/>
    <w:rsid w:val="0065094C"/>
    <w:rsid w:val="006527BD"/>
    <w:rsid w:val="00663234"/>
    <w:rsid w:val="00665C0C"/>
    <w:rsid w:val="006673F4"/>
    <w:rsid w:val="00667E12"/>
    <w:rsid w:val="00676C62"/>
    <w:rsid w:val="00677A58"/>
    <w:rsid w:val="00685848"/>
    <w:rsid w:val="006902D5"/>
    <w:rsid w:val="00696CCC"/>
    <w:rsid w:val="006A6F8F"/>
    <w:rsid w:val="006B1611"/>
    <w:rsid w:val="006C0E12"/>
    <w:rsid w:val="006C7A7B"/>
    <w:rsid w:val="006D0186"/>
    <w:rsid w:val="006D0B95"/>
    <w:rsid w:val="006D1217"/>
    <w:rsid w:val="006D43AC"/>
    <w:rsid w:val="006F1CE9"/>
    <w:rsid w:val="0070090A"/>
    <w:rsid w:val="00706081"/>
    <w:rsid w:val="0070796E"/>
    <w:rsid w:val="007274B6"/>
    <w:rsid w:val="00727E51"/>
    <w:rsid w:val="00735AC3"/>
    <w:rsid w:val="00735B54"/>
    <w:rsid w:val="0074475C"/>
    <w:rsid w:val="00752ABF"/>
    <w:rsid w:val="007551B4"/>
    <w:rsid w:val="00755605"/>
    <w:rsid w:val="00762A1E"/>
    <w:rsid w:val="007679D2"/>
    <w:rsid w:val="00770299"/>
    <w:rsid w:val="00781933"/>
    <w:rsid w:val="00785979"/>
    <w:rsid w:val="00791D56"/>
    <w:rsid w:val="00794FF3"/>
    <w:rsid w:val="00795647"/>
    <w:rsid w:val="00797056"/>
    <w:rsid w:val="007A2FAE"/>
    <w:rsid w:val="007B145B"/>
    <w:rsid w:val="007B5E61"/>
    <w:rsid w:val="007B7C19"/>
    <w:rsid w:val="007B7C63"/>
    <w:rsid w:val="007C2746"/>
    <w:rsid w:val="007C6B26"/>
    <w:rsid w:val="007F640B"/>
    <w:rsid w:val="00800D40"/>
    <w:rsid w:val="00810A21"/>
    <w:rsid w:val="00811068"/>
    <w:rsid w:val="00813980"/>
    <w:rsid w:val="00813CE7"/>
    <w:rsid w:val="00814561"/>
    <w:rsid w:val="00817846"/>
    <w:rsid w:val="008268FC"/>
    <w:rsid w:val="00831C97"/>
    <w:rsid w:val="00833A72"/>
    <w:rsid w:val="00833CAF"/>
    <w:rsid w:val="00833F2B"/>
    <w:rsid w:val="008340D6"/>
    <w:rsid w:val="0083540C"/>
    <w:rsid w:val="00835BBF"/>
    <w:rsid w:val="0084284D"/>
    <w:rsid w:val="00844C78"/>
    <w:rsid w:val="0084734D"/>
    <w:rsid w:val="00847BF2"/>
    <w:rsid w:val="00852CC6"/>
    <w:rsid w:val="00870D98"/>
    <w:rsid w:val="008740CF"/>
    <w:rsid w:val="00882AA1"/>
    <w:rsid w:val="00883EFF"/>
    <w:rsid w:val="00885734"/>
    <w:rsid w:val="00891809"/>
    <w:rsid w:val="008A357D"/>
    <w:rsid w:val="008D5B59"/>
    <w:rsid w:val="008F2196"/>
    <w:rsid w:val="009043C2"/>
    <w:rsid w:val="009074FD"/>
    <w:rsid w:val="00912887"/>
    <w:rsid w:val="00915921"/>
    <w:rsid w:val="0092219F"/>
    <w:rsid w:val="0092342C"/>
    <w:rsid w:val="0093043A"/>
    <w:rsid w:val="00930F7E"/>
    <w:rsid w:val="00941145"/>
    <w:rsid w:val="0094145C"/>
    <w:rsid w:val="00942ED4"/>
    <w:rsid w:val="00947092"/>
    <w:rsid w:val="00950C81"/>
    <w:rsid w:val="00951378"/>
    <w:rsid w:val="00953C7D"/>
    <w:rsid w:val="0096235E"/>
    <w:rsid w:val="0097038C"/>
    <w:rsid w:val="00986CEC"/>
    <w:rsid w:val="009A7184"/>
    <w:rsid w:val="009B17EA"/>
    <w:rsid w:val="009B61B2"/>
    <w:rsid w:val="009B6F98"/>
    <w:rsid w:val="009D7B40"/>
    <w:rsid w:val="009E3FEB"/>
    <w:rsid w:val="009E50D3"/>
    <w:rsid w:val="009F680F"/>
    <w:rsid w:val="00A13179"/>
    <w:rsid w:val="00A140EB"/>
    <w:rsid w:val="00A16064"/>
    <w:rsid w:val="00A20A6D"/>
    <w:rsid w:val="00A26C59"/>
    <w:rsid w:val="00A54CA6"/>
    <w:rsid w:val="00A6336E"/>
    <w:rsid w:val="00A65745"/>
    <w:rsid w:val="00A72371"/>
    <w:rsid w:val="00A824E0"/>
    <w:rsid w:val="00A840C6"/>
    <w:rsid w:val="00A934B5"/>
    <w:rsid w:val="00AB0D4D"/>
    <w:rsid w:val="00AB1A49"/>
    <w:rsid w:val="00AB4706"/>
    <w:rsid w:val="00AC3A1D"/>
    <w:rsid w:val="00AC3E83"/>
    <w:rsid w:val="00AC7AC6"/>
    <w:rsid w:val="00AD2FB3"/>
    <w:rsid w:val="00AD799C"/>
    <w:rsid w:val="00AE1C97"/>
    <w:rsid w:val="00AE2BCA"/>
    <w:rsid w:val="00AF0A2E"/>
    <w:rsid w:val="00AF0E8A"/>
    <w:rsid w:val="00AF4619"/>
    <w:rsid w:val="00AF5DEF"/>
    <w:rsid w:val="00B038D0"/>
    <w:rsid w:val="00B055E8"/>
    <w:rsid w:val="00B13550"/>
    <w:rsid w:val="00B154AD"/>
    <w:rsid w:val="00B2033A"/>
    <w:rsid w:val="00B20B08"/>
    <w:rsid w:val="00B24401"/>
    <w:rsid w:val="00B26B1C"/>
    <w:rsid w:val="00B319E7"/>
    <w:rsid w:val="00B34B6C"/>
    <w:rsid w:val="00B402E3"/>
    <w:rsid w:val="00B4143C"/>
    <w:rsid w:val="00B41935"/>
    <w:rsid w:val="00B43709"/>
    <w:rsid w:val="00B46EC5"/>
    <w:rsid w:val="00B50E11"/>
    <w:rsid w:val="00B528E2"/>
    <w:rsid w:val="00B532C0"/>
    <w:rsid w:val="00B53C8D"/>
    <w:rsid w:val="00B57522"/>
    <w:rsid w:val="00B60B80"/>
    <w:rsid w:val="00B77618"/>
    <w:rsid w:val="00B830A9"/>
    <w:rsid w:val="00B8577A"/>
    <w:rsid w:val="00B8609C"/>
    <w:rsid w:val="00B95E03"/>
    <w:rsid w:val="00BA0893"/>
    <w:rsid w:val="00BA2A7B"/>
    <w:rsid w:val="00BB67AF"/>
    <w:rsid w:val="00BC1350"/>
    <w:rsid w:val="00BC6A2F"/>
    <w:rsid w:val="00BD24C8"/>
    <w:rsid w:val="00BD3C3B"/>
    <w:rsid w:val="00BD583F"/>
    <w:rsid w:val="00BE77DE"/>
    <w:rsid w:val="00BF1682"/>
    <w:rsid w:val="00C03044"/>
    <w:rsid w:val="00C26729"/>
    <w:rsid w:val="00C37B27"/>
    <w:rsid w:val="00C442CB"/>
    <w:rsid w:val="00C53CE6"/>
    <w:rsid w:val="00C551FC"/>
    <w:rsid w:val="00C62651"/>
    <w:rsid w:val="00C648E4"/>
    <w:rsid w:val="00C75DBB"/>
    <w:rsid w:val="00C7784D"/>
    <w:rsid w:val="00C837F9"/>
    <w:rsid w:val="00C84158"/>
    <w:rsid w:val="00C84E60"/>
    <w:rsid w:val="00CB4DC1"/>
    <w:rsid w:val="00CD2D96"/>
    <w:rsid w:val="00CE04FD"/>
    <w:rsid w:val="00CF63E1"/>
    <w:rsid w:val="00D00614"/>
    <w:rsid w:val="00D12FA5"/>
    <w:rsid w:val="00D17DC5"/>
    <w:rsid w:val="00D21923"/>
    <w:rsid w:val="00D27001"/>
    <w:rsid w:val="00D3218F"/>
    <w:rsid w:val="00D35307"/>
    <w:rsid w:val="00D45444"/>
    <w:rsid w:val="00D4563B"/>
    <w:rsid w:val="00D80072"/>
    <w:rsid w:val="00D839D8"/>
    <w:rsid w:val="00D92439"/>
    <w:rsid w:val="00D96E65"/>
    <w:rsid w:val="00DA0F7A"/>
    <w:rsid w:val="00DA1664"/>
    <w:rsid w:val="00DA2F6F"/>
    <w:rsid w:val="00DA3130"/>
    <w:rsid w:val="00DA5C9B"/>
    <w:rsid w:val="00DB5B1B"/>
    <w:rsid w:val="00DB6C98"/>
    <w:rsid w:val="00DC4EA1"/>
    <w:rsid w:val="00DD05EF"/>
    <w:rsid w:val="00DD5A07"/>
    <w:rsid w:val="00DD66E9"/>
    <w:rsid w:val="00DE3F2D"/>
    <w:rsid w:val="00DE460C"/>
    <w:rsid w:val="00DE59FA"/>
    <w:rsid w:val="00DF1281"/>
    <w:rsid w:val="00E03607"/>
    <w:rsid w:val="00E0678A"/>
    <w:rsid w:val="00E2047A"/>
    <w:rsid w:val="00E207C7"/>
    <w:rsid w:val="00E20C70"/>
    <w:rsid w:val="00E21D90"/>
    <w:rsid w:val="00E2379D"/>
    <w:rsid w:val="00E244D1"/>
    <w:rsid w:val="00E344F3"/>
    <w:rsid w:val="00E45EB4"/>
    <w:rsid w:val="00E4770A"/>
    <w:rsid w:val="00E631D3"/>
    <w:rsid w:val="00E668C9"/>
    <w:rsid w:val="00E7476B"/>
    <w:rsid w:val="00E74841"/>
    <w:rsid w:val="00E81FAC"/>
    <w:rsid w:val="00E84413"/>
    <w:rsid w:val="00E91856"/>
    <w:rsid w:val="00E92599"/>
    <w:rsid w:val="00E97390"/>
    <w:rsid w:val="00E97800"/>
    <w:rsid w:val="00E979BC"/>
    <w:rsid w:val="00EA22D6"/>
    <w:rsid w:val="00EA3797"/>
    <w:rsid w:val="00EA467D"/>
    <w:rsid w:val="00EA6520"/>
    <w:rsid w:val="00EA72D0"/>
    <w:rsid w:val="00EC78E1"/>
    <w:rsid w:val="00EE0088"/>
    <w:rsid w:val="00EF62C8"/>
    <w:rsid w:val="00F05BCD"/>
    <w:rsid w:val="00F07E07"/>
    <w:rsid w:val="00F100B9"/>
    <w:rsid w:val="00F2422E"/>
    <w:rsid w:val="00F30AE5"/>
    <w:rsid w:val="00F31F0D"/>
    <w:rsid w:val="00F33EDE"/>
    <w:rsid w:val="00F35A0C"/>
    <w:rsid w:val="00F40E2E"/>
    <w:rsid w:val="00F45B3E"/>
    <w:rsid w:val="00F620CA"/>
    <w:rsid w:val="00F72ECA"/>
    <w:rsid w:val="00F74154"/>
    <w:rsid w:val="00F81D74"/>
    <w:rsid w:val="00F82D65"/>
    <w:rsid w:val="00F842D3"/>
    <w:rsid w:val="00F87092"/>
    <w:rsid w:val="00FA4871"/>
    <w:rsid w:val="00FB51D6"/>
    <w:rsid w:val="00FC045D"/>
    <w:rsid w:val="00FD281F"/>
    <w:rsid w:val="00FE11D3"/>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AEF25DA-9F40-4B95-B7D2-D56CF7D8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List Paragraph1,Recommendation,List Paragraph11"/>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customStyle="1" w:styleId="UnresolvedMention1">
    <w:name w:val="Unresolved Mention1"/>
    <w:basedOn w:val="DefaultParagraphFont"/>
    <w:uiPriority w:val="99"/>
    <w:semiHidden/>
    <w:unhideWhenUsed/>
    <w:rsid w:val="00504609"/>
    <w:rPr>
      <w:color w:val="605E5C"/>
      <w:shd w:val="clear" w:color="auto" w:fill="E1DFDD"/>
    </w:rPr>
  </w:style>
  <w:style w:type="character" w:customStyle="1" w:styleId="UnresolvedMention2">
    <w:name w:val="Unresolved Mention2"/>
    <w:basedOn w:val="DefaultParagraphFont"/>
    <w:uiPriority w:val="99"/>
    <w:semiHidden/>
    <w:unhideWhenUsed/>
    <w:rsid w:val="0016393B"/>
    <w:rPr>
      <w:color w:val="605E5C"/>
      <w:shd w:val="clear" w:color="auto" w:fill="E1DFDD"/>
    </w:rPr>
  </w:style>
  <w:style w:type="paragraph" w:styleId="NormalWeb">
    <w:name w:val="Normal (Web)"/>
    <w:basedOn w:val="Normal"/>
    <w:uiPriority w:val="99"/>
    <w:unhideWhenUsed/>
    <w:rsid w:val="0016393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uiPriority w:val="22"/>
    <w:qFormat/>
    <w:rsid w:val="0016393B"/>
    <w:rPr>
      <w:b/>
      <w:bCs/>
    </w:rPr>
  </w:style>
  <w:style w:type="character" w:customStyle="1" w:styleId="ListParagraphChar">
    <w:name w:val="List Paragraph Char"/>
    <w:aliases w:val="List Paragraph1 Char,Recommendation Char,List Paragraph11 Char"/>
    <w:link w:val="ListParagraph"/>
    <w:uiPriority w:val="34"/>
    <w:locked/>
    <w:rsid w:val="0016393B"/>
    <w:rPr>
      <w:rFonts w:ascii="Calibri" w:eastAsia="Times New Roman" w:hAnsi="Calibri"/>
      <w:sz w:val="24"/>
      <w:lang w:eastAsia="en-US"/>
    </w:rPr>
  </w:style>
  <w:style w:type="paragraph" w:customStyle="1" w:styleId="Fixed">
    <w:name w:val="Fixed"/>
    <w:rsid w:val="0016393B"/>
    <w:pPr>
      <w:widowControl w:val="0"/>
      <w:autoSpaceDE w:val="0"/>
      <w:autoSpaceDN w:val="0"/>
      <w:adjustRightInd w:val="0"/>
      <w:spacing w:line="285" w:lineRule="atLeast"/>
      <w:ind w:right="676"/>
    </w:pPr>
    <w:rPr>
      <w:rFonts w:ascii="Courier New" w:eastAsia="Times New Roman" w:hAnsi="Courier New" w:cs="Courier New"/>
      <w:sz w:val="24"/>
      <w:szCs w:val="24"/>
      <w:lang w:val="en-US" w:eastAsia="en-US"/>
    </w:rPr>
  </w:style>
  <w:style w:type="paragraph" w:customStyle="1" w:styleId="Default">
    <w:name w:val="Default"/>
    <w:rsid w:val="001364EB"/>
    <w:pPr>
      <w:autoSpaceDE w:val="0"/>
      <w:autoSpaceDN w:val="0"/>
      <w:adjustRightInd w:val="0"/>
    </w:pPr>
    <w:rPr>
      <w:rFonts w:eastAsia="Calibri"/>
      <w:color w:val="000000"/>
      <w:sz w:val="24"/>
      <w:szCs w:val="24"/>
      <w:lang w:val="en-US" w:eastAsia="en-US"/>
    </w:rPr>
  </w:style>
  <w:style w:type="character" w:styleId="Emphasis">
    <w:name w:val="Emphasis"/>
    <w:basedOn w:val="DefaultParagraphFont"/>
    <w:uiPriority w:val="20"/>
    <w:qFormat/>
    <w:rsid w:val="00AB0D4D"/>
    <w:rPr>
      <w:i/>
      <w:iCs/>
    </w:rPr>
  </w:style>
  <w:style w:type="character" w:customStyle="1" w:styleId="normaltextrun">
    <w:name w:val="normaltextrun"/>
    <w:rsid w:val="006B1611"/>
  </w:style>
  <w:style w:type="character" w:customStyle="1" w:styleId="href">
    <w:name w:val="href"/>
    <w:uiPriority w:val="99"/>
    <w:rsid w:val="006B1611"/>
    <w:rPr>
      <w:color w:val="auto"/>
    </w:rPr>
  </w:style>
  <w:style w:type="paragraph" w:customStyle="1" w:styleId="Reasons">
    <w:name w:val="Reasons"/>
    <w:basedOn w:val="Normal"/>
    <w:qFormat/>
    <w:rsid w:val="006D018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UnresolvedMention">
    <w:name w:val="Unresolved Mention"/>
    <w:basedOn w:val="DefaultParagraphFont"/>
    <w:uiPriority w:val="99"/>
    <w:semiHidden/>
    <w:unhideWhenUsed/>
    <w:rsid w:val="00540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80476">
      <w:bodyDiv w:val="1"/>
      <w:marLeft w:val="0"/>
      <w:marRight w:val="0"/>
      <w:marTop w:val="0"/>
      <w:marBottom w:val="0"/>
      <w:divBdr>
        <w:top w:val="none" w:sz="0" w:space="0" w:color="auto"/>
        <w:left w:val="none" w:sz="0" w:space="0" w:color="auto"/>
        <w:bottom w:val="none" w:sz="0" w:space="0" w:color="auto"/>
        <w:right w:val="none" w:sz="0" w:space="0" w:color="auto"/>
      </w:divBdr>
    </w:div>
    <w:div w:id="535000565">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 w:id="16267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md/D18-RPMIRM-C-0029/" TargetMode="External"/><Relationship Id="rId18" Type="http://schemas.openxmlformats.org/officeDocument/2006/relationships/hyperlink" Target="https://www.itu.int/md/D18-RPMIRM-C-0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en/ITU-D/Conferences/WTDC/WTDC21/Pages/RPM-ASP.aspx" TargetMode="External"/><Relationship Id="rId7" Type="http://schemas.openxmlformats.org/officeDocument/2006/relationships/endnotes" Target="endnotes.xml"/><Relationship Id="rId12" Type="http://schemas.openxmlformats.org/officeDocument/2006/relationships/hyperlink" Target="https://www.itu.int/md/D18-RPMIRM-C-0021/" TargetMode="External"/><Relationship Id="rId17" Type="http://schemas.openxmlformats.org/officeDocument/2006/relationships/hyperlink" Target="https://www.itu.int/md/D18-RPMIRM-C-002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D18-RPMIRM-C-0025/" TargetMode="External"/><Relationship Id="rId20" Type="http://schemas.openxmlformats.org/officeDocument/2006/relationships/hyperlink" Target="https://www.itu.int/en/ITU-D/Conferences/WTDC/WTDC21/Documents/RPM/EUR/Digital-Trends_Europe-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RPMIRM-C-000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D18-RPMIRM-C-0024/" TargetMode="External"/><Relationship Id="rId23" Type="http://schemas.openxmlformats.org/officeDocument/2006/relationships/header" Target="header1.xml"/><Relationship Id="rId10" Type="http://schemas.openxmlformats.org/officeDocument/2006/relationships/hyperlink" Target="https://www.itu.int/md/D18-RPMIRM-C-0032/" TargetMode="External"/><Relationship Id="rId19" Type="http://schemas.openxmlformats.org/officeDocument/2006/relationships/hyperlink" Target="https://www.itu.int/md/D18-RPMIRM-C-0023/"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md/D18-RPMIRM-C-0022/" TargetMode="External"/><Relationship Id="rId22" Type="http://schemas.openxmlformats.org/officeDocument/2006/relationships/hyperlink" Target="https://www.itu.int/md/D18-TDAG27-INF-0005/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hmedin.mohammed@mint.gov.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C5C5F-098F-48DA-AAD1-70946669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16</Pages>
  <Words>7489</Words>
  <Characters>42926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50315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dc:description/>
  <cp:lastModifiedBy>Royer, Veronique</cp:lastModifiedBy>
  <cp:revision>8</cp:revision>
  <cp:lastPrinted>2016-05-13T07:33:00Z</cp:lastPrinted>
  <dcterms:created xsi:type="dcterms:W3CDTF">2021-04-27T10:25:00Z</dcterms:created>
  <dcterms:modified xsi:type="dcterms:W3CDTF">2021-04-28T11:31:00Z</dcterms:modified>
</cp:coreProperties>
</file>