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1061"/>
        <w:tblW w:w="5000" w:type="pct"/>
        <w:tblLayout w:type="fixed"/>
        <w:tblLook w:val="0000" w:firstRow="0" w:lastRow="0" w:firstColumn="0" w:lastColumn="0" w:noHBand="0" w:noVBand="0"/>
      </w:tblPr>
      <w:tblGrid>
        <w:gridCol w:w="2127"/>
        <w:gridCol w:w="4252"/>
        <w:gridCol w:w="1843"/>
        <w:gridCol w:w="1419"/>
      </w:tblGrid>
      <w:tr w:rsidR="008460D2" w:rsidRPr="00AE2BCA" w14:paraId="17753B25" w14:textId="77777777" w:rsidTr="008460D2">
        <w:trPr>
          <w:cantSplit/>
        </w:trPr>
        <w:tc>
          <w:tcPr>
            <w:tcW w:w="2127" w:type="dxa"/>
          </w:tcPr>
          <w:p w14:paraId="38F22779" w14:textId="621259D6" w:rsidR="008460D2" w:rsidRPr="00641CA0" w:rsidRDefault="008460D2" w:rsidP="00583521">
            <w:pPr>
              <w:spacing w:after="120"/>
              <w:rPr>
                <w:b/>
                <w:bCs/>
                <w:sz w:val="32"/>
                <w:szCs w:val="32"/>
                <w:lang w:val="fr-CH"/>
              </w:rPr>
            </w:pPr>
            <w:r>
              <w:rPr>
                <w:b/>
                <w:bCs/>
                <w:noProof/>
                <w:sz w:val="32"/>
                <w:szCs w:val="32"/>
                <w:lang w:val="fr-CH"/>
              </w:rPr>
              <w:drawing>
                <wp:inline distT="0" distB="0" distL="0" distR="0" wp14:anchorId="750D6033" wp14:editId="02DD2195">
                  <wp:extent cx="1066119" cy="913342"/>
                  <wp:effectExtent l="0" t="0" r="1270" b="127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DC21 Logo Final_aligned_center_S.png"/>
                          <pic:cNvPicPr/>
                        </pic:nvPicPr>
                        <pic:blipFill rotWithShape="1">
                          <a:blip r:embed="rId8" cstate="print">
                            <a:extLst>
                              <a:ext uri="{28A0092B-C50C-407E-A947-70E740481C1C}">
                                <a14:useLocalDpi xmlns:a14="http://schemas.microsoft.com/office/drawing/2010/main" val="0"/>
                              </a:ext>
                            </a:extLst>
                          </a:blip>
                          <a:srcRect t="10684"/>
                          <a:stretch/>
                        </pic:blipFill>
                        <pic:spPr bwMode="auto">
                          <a:xfrm>
                            <a:off x="0" y="0"/>
                            <a:ext cx="1069903" cy="916584"/>
                          </a:xfrm>
                          <a:prstGeom prst="rect">
                            <a:avLst/>
                          </a:prstGeom>
                          <a:ln>
                            <a:noFill/>
                          </a:ln>
                          <a:extLst>
                            <a:ext uri="{53640926-AAD7-44D8-BBD7-CCE9431645EC}">
                              <a14:shadowObscured xmlns:a14="http://schemas.microsoft.com/office/drawing/2010/main"/>
                            </a:ext>
                          </a:extLst>
                        </pic:spPr>
                      </pic:pic>
                    </a:graphicData>
                  </a:graphic>
                </wp:inline>
              </w:drawing>
            </w:r>
          </w:p>
        </w:tc>
        <w:tc>
          <w:tcPr>
            <w:tcW w:w="6095" w:type="dxa"/>
            <w:gridSpan w:val="2"/>
          </w:tcPr>
          <w:p w14:paraId="733A8873" w14:textId="0FC1F2C0" w:rsidR="008460D2" w:rsidRPr="00257CFB" w:rsidRDefault="00A93852" w:rsidP="008460D2">
            <w:pPr>
              <w:spacing w:before="360" w:after="120"/>
              <w:rPr>
                <w:b/>
                <w:bCs/>
                <w:sz w:val="32"/>
                <w:szCs w:val="32"/>
                <w:lang w:val="es-ES"/>
              </w:rPr>
            </w:pPr>
            <w:r w:rsidRPr="00257CFB">
              <w:rPr>
                <w:b/>
                <w:bCs/>
                <w:sz w:val="32"/>
                <w:szCs w:val="32"/>
                <w:lang w:val="es-ES"/>
              </w:rPr>
              <w:t xml:space="preserve">Primera Reunión Interregional </w:t>
            </w:r>
            <w:r w:rsidR="000519A0" w:rsidRPr="00257CFB">
              <w:rPr>
                <w:b/>
                <w:bCs/>
                <w:sz w:val="32"/>
                <w:szCs w:val="32"/>
                <w:lang w:val="es-ES"/>
              </w:rPr>
              <w:t>(RIR</w:t>
            </w:r>
            <w:r w:rsidRPr="00257CFB">
              <w:rPr>
                <w:b/>
                <w:bCs/>
                <w:sz w:val="32"/>
                <w:szCs w:val="32"/>
                <w:lang w:val="es-ES"/>
              </w:rPr>
              <w:t>-1</w:t>
            </w:r>
            <w:r w:rsidR="000519A0" w:rsidRPr="00257CFB">
              <w:rPr>
                <w:b/>
                <w:bCs/>
                <w:sz w:val="32"/>
                <w:szCs w:val="32"/>
                <w:lang w:val="es-ES"/>
              </w:rPr>
              <w:t xml:space="preserve">) </w:t>
            </w:r>
            <w:r w:rsidRPr="00257CFB">
              <w:rPr>
                <w:b/>
                <w:bCs/>
                <w:sz w:val="32"/>
                <w:szCs w:val="32"/>
                <w:lang w:val="es-ES"/>
              </w:rPr>
              <w:br/>
            </w:r>
            <w:r w:rsidR="000519A0" w:rsidRPr="00257CFB">
              <w:rPr>
                <w:b/>
                <w:bCs/>
                <w:sz w:val="32"/>
                <w:szCs w:val="32"/>
                <w:lang w:val="es-ES"/>
              </w:rPr>
              <w:t>para preparar la CMDT-21</w:t>
            </w:r>
            <w:r w:rsidRPr="00257CFB">
              <w:rPr>
                <w:b/>
                <w:bCs/>
                <w:sz w:val="36"/>
                <w:szCs w:val="36"/>
                <w:lang w:val="es-ES"/>
              </w:rPr>
              <w:br/>
            </w:r>
            <w:r w:rsidRPr="00257CFB">
              <w:rPr>
                <w:b/>
                <w:bCs/>
                <w:szCs w:val="24"/>
                <w:lang w:val="es-ES"/>
              </w:rPr>
              <w:t>Virtual, 11 de marzo de 2021</w:t>
            </w:r>
          </w:p>
        </w:tc>
        <w:tc>
          <w:tcPr>
            <w:tcW w:w="1419" w:type="dxa"/>
          </w:tcPr>
          <w:p w14:paraId="279197B1" w14:textId="09B5E2EB" w:rsidR="008460D2" w:rsidRPr="00AE2BCA" w:rsidRDefault="008460D2" w:rsidP="00C9415E">
            <w:pPr>
              <w:spacing w:before="240" w:line="240" w:lineRule="atLeast"/>
              <w:ind w:right="142"/>
            </w:pPr>
            <w:r>
              <w:rPr>
                <w:noProof/>
              </w:rPr>
              <w:drawing>
                <wp:inline distT="0" distB="0" distL="0" distR="0" wp14:anchorId="21CF14CF" wp14:editId="205E0EF6">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70796E" w:rsidRPr="002D0049" w14:paraId="02CA2556" w14:textId="77777777" w:rsidTr="00504609">
        <w:trPr>
          <w:cantSplit/>
          <w:trHeight w:val="238"/>
        </w:trPr>
        <w:tc>
          <w:tcPr>
            <w:tcW w:w="6379" w:type="dxa"/>
            <w:gridSpan w:val="2"/>
            <w:tcBorders>
              <w:top w:val="single" w:sz="12" w:space="0" w:color="auto"/>
            </w:tcBorders>
          </w:tcPr>
          <w:p w14:paraId="5057834D" w14:textId="77777777" w:rsidR="0070796E" w:rsidRPr="00257CFB" w:rsidRDefault="0070796E" w:rsidP="00504609">
            <w:pPr>
              <w:spacing w:before="0"/>
              <w:rPr>
                <w:lang w:val="es-ES"/>
              </w:rPr>
            </w:pPr>
            <w:bookmarkStart w:id="0" w:name="Meeting"/>
            <w:bookmarkStart w:id="1" w:name="PlaceDate"/>
            <w:bookmarkEnd w:id="0"/>
            <w:bookmarkEnd w:id="1"/>
          </w:p>
        </w:tc>
        <w:tc>
          <w:tcPr>
            <w:tcW w:w="3262" w:type="dxa"/>
            <w:gridSpan w:val="2"/>
            <w:tcBorders>
              <w:top w:val="single" w:sz="12" w:space="0" w:color="auto"/>
            </w:tcBorders>
          </w:tcPr>
          <w:p w14:paraId="48551317" w14:textId="77777777" w:rsidR="0070796E" w:rsidRPr="00257CFB" w:rsidRDefault="0070796E" w:rsidP="00504609">
            <w:pPr>
              <w:spacing w:before="0"/>
              <w:rPr>
                <w:lang w:val="es-ES"/>
              </w:rPr>
            </w:pPr>
          </w:p>
        </w:tc>
      </w:tr>
      <w:tr w:rsidR="0070796E" w:rsidRPr="00BA2A7B" w14:paraId="042F6D12" w14:textId="77777777" w:rsidTr="00504609">
        <w:trPr>
          <w:cantSplit/>
          <w:trHeight w:val="20"/>
        </w:trPr>
        <w:tc>
          <w:tcPr>
            <w:tcW w:w="6379" w:type="dxa"/>
            <w:gridSpan w:val="2"/>
            <w:vMerge w:val="restart"/>
          </w:tcPr>
          <w:p w14:paraId="20070EC3" w14:textId="77777777" w:rsidR="0070796E" w:rsidRPr="00257CFB" w:rsidRDefault="0070796E" w:rsidP="00504609">
            <w:pPr>
              <w:rPr>
                <w:lang w:val="es-ES"/>
              </w:rPr>
            </w:pPr>
          </w:p>
        </w:tc>
        <w:tc>
          <w:tcPr>
            <w:tcW w:w="3262" w:type="dxa"/>
            <w:gridSpan w:val="2"/>
          </w:tcPr>
          <w:p w14:paraId="49CE235C" w14:textId="19582A32" w:rsidR="0070796E" w:rsidRPr="00257CFB" w:rsidRDefault="00A93852" w:rsidP="00504609">
            <w:pPr>
              <w:spacing w:before="0"/>
              <w:rPr>
                <w:b/>
                <w:bCs/>
                <w:szCs w:val="24"/>
                <w:lang w:val="es-ES"/>
              </w:rPr>
            </w:pPr>
            <w:r w:rsidRPr="00257CFB">
              <w:rPr>
                <w:b/>
                <w:bCs/>
                <w:szCs w:val="24"/>
                <w:lang w:val="es-ES"/>
              </w:rPr>
              <w:t>Documento IRM21-1/33-S</w:t>
            </w:r>
          </w:p>
        </w:tc>
      </w:tr>
      <w:tr w:rsidR="0070796E" w:rsidRPr="00AE2BCA" w14:paraId="2EA9F9CE" w14:textId="77777777" w:rsidTr="00504609">
        <w:trPr>
          <w:cantSplit/>
          <w:trHeight w:val="23"/>
        </w:trPr>
        <w:tc>
          <w:tcPr>
            <w:tcW w:w="6379" w:type="dxa"/>
            <w:gridSpan w:val="2"/>
            <w:vMerge/>
          </w:tcPr>
          <w:p w14:paraId="2A780D8D" w14:textId="77777777" w:rsidR="0070796E" w:rsidRPr="00257CFB" w:rsidRDefault="0070796E" w:rsidP="00504609">
            <w:pPr>
              <w:tabs>
                <w:tab w:val="left" w:pos="851"/>
              </w:tabs>
              <w:spacing w:line="240" w:lineRule="atLeast"/>
              <w:rPr>
                <w:b/>
                <w:lang w:val="es-ES"/>
              </w:rPr>
            </w:pPr>
          </w:p>
        </w:tc>
        <w:tc>
          <w:tcPr>
            <w:tcW w:w="3262" w:type="dxa"/>
            <w:gridSpan w:val="2"/>
          </w:tcPr>
          <w:p w14:paraId="5AACB509" w14:textId="6216F367" w:rsidR="0070796E" w:rsidRPr="00257CFB" w:rsidRDefault="00A93852" w:rsidP="00504609">
            <w:pPr>
              <w:spacing w:before="0"/>
              <w:rPr>
                <w:b/>
                <w:bCs/>
                <w:szCs w:val="24"/>
                <w:lang w:val="es-ES"/>
              </w:rPr>
            </w:pPr>
            <w:bookmarkStart w:id="2" w:name="CreationDate"/>
            <w:bookmarkEnd w:id="2"/>
            <w:r w:rsidRPr="00257CFB">
              <w:rPr>
                <w:b/>
                <w:bCs/>
                <w:szCs w:val="24"/>
                <w:lang w:val="es-ES"/>
              </w:rPr>
              <w:t>14 de abril de 2021</w:t>
            </w:r>
          </w:p>
        </w:tc>
      </w:tr>
      <w:tr w:rsidR="0070796E" w:rsidRPr="00AE2BCA" w14:paraId="03F0AF90" w14:textId="77777777" w:rsidTr="00504609">
        <w:trPr>
          <w:cantSplit/>
          <w:trHeight w:val="333"/>
        </w:trPr>
        <w:tc>
          <w:tcPr>
            <w:tcW w:w="6379" w:type="dxa"/>
            <w:gridSpan w:val="2"/>
            <w:vMerge/>
          </w:tcPr>
          <w:p w14:paraId="49E11E04" w14:textId="77777777" w:rsidR="0070796E" w:rsidRPr="00257CFB" w:rsidRDefault="0070796E" w:rsidP="00504609">
            <w:pPr>
              <w:tabs>
                <w:tab w:val="left" w:pos="851"/>
              </w:tabs>
              <w:spacing w:line="240" w:lineRule="atLeast"/>
              <w:rPr>
                <w:b/>
                <w:lang w:val="es-ES"/>
              </w:rPr>
            </w:pPr>
          </w:p>
        </w:tc>
        <w:tc>
          <w:tcPr>
            <w:tcW w:w="3262" w:type="dxa"/>
            <w:gridSpan w:val="2"/>
          </w:tcPr>
          <w:p w14:paraId="5C49528C" w14:textId="7F9241AA" w:rsidR="0070796E" w:rsidRPr="00257CFB" w:rsidRDefault="00EC43F5" w:rsidP="00504609">
            <w:pPr>
              <w:spacing w:before="0" w:after="120"/>
              <w:rPr>
                <w:b/>
                <w:bCs/>
                <w:szCs w:val="24"/>
                <w:lang w:val="es-ES"/>
              </w:rPr>
            </w:pPr>
            <w:r w:rsidRPr="00257CFB">
              <w:rPr>
                <w:b/>
                <w:bCs/>
                <w:szCs w:val="24"/>
                <w:lang w:val="es-ES"/>
              </w:rPr>
              <w:t>Original: inglés</w:t>
            </w:r>
          </w:p>
        </w:tc>
      </w:tr>
      <w:tr w:rsidR="0070796E" w:rsidRPr="00AE2BCA" w14:paraId="655B5FD0" w14:textId="77777777" w:rsidTr="00504609">
        <w:trPr>
          <w:cantSplit/>
          <w:trHeight w:val="23"/>
        </w:trPr>
        <w:tc>
          <w:tcPr>
            <w:tcW w:w="9641" w:type="dxa"/>
            <w:gridSpan w:val="4"/>
          </w:tcPr>
          <w:p w14:paraId="438BCD9A" w14:textId="07C8D2CC" w:rsidR="0070796E" w:rsidRPr="00257CFB" w:rsidRDefault="00A93852" w:rsidP="00504609">
            <w:pPr>
              <w:tabs>
                <w:tab w:val="left" w:pos="1928"/>
              </w:tabs>
              <w:spacing w:before="240" w:after="240"/>
              <w:ind w:left="1928" w:hanging="1928"/>
              <w:jc w:val="center"/>
              <w:rPr>
                <w:b/>
                <w:bCs/>
                <w:sz w:val="28"/>
                <w:szCs w:val="28"/>
                <w:lang w:val="es-ES"/>
              </w:rPr>
            </w:pPr>
            <w:r w:rsidRPr="00257CFB">
              <w:rPr>
                <w:b/>
                <w:bCs/>
                <w:sz w:val="28"/>
                <w:szCs w:val="28"/>
                <w:lang w:val="es-ES"/>
              </w:rPr>
              <w:t>Presidente de la RIR-1</w:t>
            </w:r>
          </w:p>
        </w:tc>
      </w:tr>
      <w:tr w:rsidR="00421F93" w:rsidRPr="00AE2BCA" w14:paraId="72DD2DDB" w14:textId="77777777" w:rsidTr="00504609">
        <w:trPr>
          <w:cantSplit/>
          <w:trHeight w:val="23"/>
        </w:trPr>
        <w:tc>
          <w:tcPr>
            <w:tcW w:w="9641" w:type="dxa"/>
            <w:gridSpan w:val="4"/>
          </w:tcPr>
          <w:p w14:paraId="7D77AAB7" w14:textId="7710A843" w:rsidR="00421F93" w:rsidRPr="00257CFB" w:rsidRDefault="00A93852" w:rsidP="00504609">
            <w:pPr>
              <w:tabs>
                <w:tab w:val="left" w:pos="1928"/>
              </w:tabs>
              <w:spacing w:after="120"/>
              <w:ind w:left="1928" w:hanging="1928"/>
              <w:jc w:val="center"/>
              <w:rPr>
                <w:sz w:val="28"/>
                <w:szCs w:val="28"/>
                <w:lang w:val="es-ES"/>
              </w:rPr>
            </w:pPr>
            <w:r w:rsidRPr="00257CFB">
              <w:rPr>
                <w:sz w:val="28"/>
                <w:szCs w:val="28"/>
                <w:lang w:val="es-ES"/>
              </w:rPr>
              <w:t>Informe del Presidente de la RIR-1</w:t>
            </w:r>
          </w:p>
        </w:tc>
      </w:tr>
    </w:tbl>
    <w:p w14:paraId="43F4B2E6" w14:textId="2FAF689B" w:rsidR="00A93852" w:rsidRPr="00A93852" w:rsidRDefault="000C7899" w:rsidP="000C7899">
      <w:pPr>
        <w:pStyle w:val="Heading1"/>
        <w:rPr>
          <w:bCs/>
          <w:lang w:val="es-ES"/>
        </w:rPr>
      </w:pPr>
      <w:bookmarkStart w:id="3" w:name="Results"/>
      <w:bookmarkEnd w:id="3"/>
      <w:r>
        <w:rPr>
          <w:lang w:val="es-ES"/>
        </w:rPr>
        <w:t>1</w:t>
      </w:r>
      <w:r>
        <w:rPr>
          <w:lang w:val="es-ES"/>
        </w:rPr>
        <w:tab/>
      </w:r>
      <w:r w:rsidR="00A93852" w:rsidRPr="00A93852">
        <w:rPr>
          <w:lang w:val="es-ES"/>
        </w:rPr>
        <w:t>Resumen</w:t>
      </w:r>
    </w:p>
    <w:p w14:paraId="1D7FF3D4" w14:textId="4B06B8CD" w:rsidR="00A93852" w:rsidRPr="00A93852" w:rsidRDefault="00A93852" w:rsidP="000C7899">
      <w:pPr>
        <w:rPr>
          <w:lang w:val="es-ES"/>
        </w:rPr>
      </w:pPr>
      <w:r w:rsidRPr="00A93852">
        <w:rPr>
          <w:lang w:val="es-ES"/>
        </w:rPr>
        <w:t>1.1</w:t>
      </w:r>
      <w:r w:rsidR="000C7899">
        <w:rPr>
          <w:lang w:val="es-ES"/>
        </w:rPr>
        <w:tab/>
      </w:r>
      <w:r w:rsidRPr="00A93852">
        <w:rPr>
          <w:lang w:val="es-ES"/>
        </w:rPr>
        <w:t>El 11 de marzo de 2021 se celebró en línea la primera Reunión Preparatoria Interregional (RIR) de la Conferencia Mundial de Desarrollo de las Telecomunicaciones, a la que asistieron 256</w:t>
      </w:r>
      <w:r w:rsidR="00CD6F8C">
        <w:rPr>
          <w:lang w:val="es-ES"/>
        </w:rPr>
        <w:t> </w:t>
      </w:r>
      <w:r w:rsidRPr="00A93852">
        <w:rPr>
          <w:lang w:val="es-ES"/>
        </w:rPr>
        <w:t>participantes, entre ellos 205 delegados que representaban a 67 Estados Miembros, 43</w:t>
      </w:r>
      <w:r w:rsidR="00CD6F8C">
        <w:rPr>
          <w:lang w:val="es-ES"/>
        </w:rPr>
        <w:t> </w:t>
      </w:r>
      <w:r w:rsidRPr="00A93852">
        <w:rPr>
          <w:lang w:val="es-ES"/>
        </w:rPr>
        <w:t xml:space="preserve">participantes que representaban a 30 entidades Miembros de Sector, 7 participantes de las Naciones Unidas y sus organismos especializados, y un invitado. Del número total de participantes, 120 eran mujeres y 136 eran hombres. La lista de participantes puede consultarse </w:t>
      </w:r>
      <w:hyperlink r:id="rId10" w:history="1">
        <w:r w:rsidRPr="00A93852">
          <w:rPr>
            <w:rStyle w:val="Hyperlink"/>
            <w:lang w:val="es-ES"/>
          </w:rPr>
          <w:t>aquí</w:t>
        </w:r>
      </w:hyperlink>
      <w:r w:rsidRPr="00A93852">
        <w:rPr>
          <w:lang w:val="es-ES"/>
        </w:rPr>
        <w:t>.</w:t>
      </w:r>
    </w:p>
    <w:p w14:paraId="50B9D06D" w14:textId="0D230AE0" w:rsidR="00A93852" w:rsidRPr="00A93852" w:rsidRDefault="00A93852" w:rsidP="000C7899">
      <w:pPr>
        <w:rPr>
          <w:lang w:val="es-ES"/>
        </w:rPr>
      </w:pPr>
      <w:r w:rsidRPr="003F4948">
        <w:rPr>
          <w:lang w:val="es-ES"/>
        </w:rPr>
        <w:t>1.2</w:t>
      </w:r>
      <w:r w:rsidR="000C7899" w:rsidRPr="00257CFB">
        <w:rPr>
          <w:lang w:val="es-ES"/>
        </w:rPr>
        <w:tab/>
      </w:r>
      <w:r w:rsidRPr="00257CFB">
        <w:rPr>
          <w:lang w:val="es-ES"/>
        </w:rPr>
        <w:t>En su intervención, la Directora de la Oficina de Desarrollo de las Telecomunicaciones (BDT) de la UIT, Sra. Doreen Bogdan-Martin, declaró lo siguiente: "En un momento de singular</w:t>
      </w:r>
      <w:r w:rsidRPr="00A93852">
        <w:rPr>
          <w:lang w:val="es-ES"/>
        </w:rPr>
        <w:t xml:space="preserve"> dificultad, en el que la conectividad resulta más importante que nunca, el éxito de nuestra </w:t>
      </w:r>
      <w:r w:rsidR="00306884">
        <w:rPr>
          <w:lang w:val="es-ES"/>
        </w:rPr>
        <w:t>c</w:t>
      </w:r>
      <w:r w:rsidRPr="00A93852">
        <w:rPr>
          <w:lang w:val="es-ES"/>
        </w:rPr>
        <w:t>onferencia dependerá de la solidez de la preparación previa al evento. Una preparación sólida garantizará que la próxima Conferencia Mundial de Desarrollo de las Telecomunicaciones alcance la máxima repercusión, con resultados concretos, aplicables y cuantificables que transformarán no solo el panorama digital, sino la vida de muchas personas en todo el mundo".</w:t>
      </w:r>
    </w:p>
    <w:p w14:paraId="037DB939" w14:textId="6121D0E6" w:rsidR="00A93852" w:rsidRPr="00A93852" w:rsidRDefault="00A93852" w:rsidP="000C7899">
      <w:pPr>
        <w:rPr>
          <w:lang w:val="es-ES"/>
        </w:rPr>
      </w:pPr>
      <w:r w:rsidRPr="00616AC2">
        <w:rPr>
          <w:lang w:val="es-ES"/>
        </w:rPr>
        <w:t>1.3</w:t>
      </w:r>
      <w:r w:rsidR="000C7899">
        <w:rPr>
          <w:lang w:val="es-ES"/>
        </w:rPr>
        <w:tab/>
      </w:r>
      <w:r w:rsidRPr="00A93852">
        <w:rPr>
          <w:lang w:val="es-ES"/>
        </w:rPr>
        <w:t>En el presente contexto de incertidumbre causada por la pandemia de COVID-19, la BDT trabaja en estrecha colaboración con el Gobierno de Etiopía para elaborar planes de mitigación y contingencia con miras a la celebración de la Conferencia Mundial de Desarrollo de las Telecomunicaciones (CMDT-21), que tendrá lugar en Addis Abeba del 8 al 19 de noviembre de</w:t>
      </w:r>
      <w:r w:rsidR="00CD6F8C">
        <w:rPr>
          <w:lang w:val="es-ES"/>
        </w:rPr>
        <w:t> </w:t>
      </w:r>
      <w:r w:rsidRPr="00A93852">
        <w:rPr>
          <w:lang w:val="es-ES"/>
        </w:rPr>
        <w:t>2021. Está previsto celebrar otras dos reuniones preparatorias interregionales, una en mayo y otra en septiembre de 2021.</w:t>
      </w:r>
    </w:p>
    <w:p w14:paraId="09376819" w14:textId="69B805C5" w:rsidR="00A93852" w:rsidRPr="00A93852" w:rsidRDefault="00A93852" w:rsidP="000C7899">
      <w:pPr>
        <w:rPr>
          <w:lang w:val="es-ES"/>
        </w:rPr>
      </w:pPr>
      <w:r w:rsidRPr="00A93852">
        <w:rPr>
          <w:lang w:val="es-ES"/>
        </w:rPr>
        <w:t>1.4</w:t>
      </w:r>
      <w:r w:rsidR="000C7899">
        <w:rPr>
          <w:lang w:val="es-ES"/>
        </w:rPr>
        <w:tab/>
      </w:r>
      <w:r w:rsidRPr="00A93852">
        <w:rPr>
          <w:lang w:val="es-ES"/>
        </w:rPr>
        <w:t>"La nueva serie de reuniones de coordinación interregional es nuestra oportunidad de establecer vínculos interregionales decisivos, de escucharnos unos a otros, de comprender mejor nuestras divergencias y de trabajar juntos para alcanzar un consenso vital en torno a posiciones comunes que serán tan importantes para el éxito de la CMDT", observó la Directora, a lo cual añadió</w:t>
      </w:r>
      <w:r w:rsidR="00616AC2">
        <w:rPr>
          <w:lang w:val="es-ES"/>
        </w:rPr>
        <w:t>:</w:t>
      </w:r>
      <w:r w:rsidRPr="00A93852">
        <w:rPr>
          <w:lang w:val="es-ES"/>
        </w:rPr>
        <w:t xml:space="preserve"> "</w:t>
      </w:r>
      <w:r w:rsidR="00616AC2" w:rsidRPr="00616AC2">
        <w:rPr>
          <w:lang w:val="es-ES"/>
        </w:rPr>
        <w:t>...</w:t>
      </w:r>
      <w:r w:rsidRPr="00A93852">
        <w:rPr>
          <w:lang w:val="es-ES"/>
        </w:rPr>
        <w:t>todas las miradas están puestas en que hagamos de esta próxima CMDT una conferencia verdaderamente histórica, que responda a su visión de conectividad universal, oportunidad universal y prosperidad universal. No debemos defraudar".</w:t>
      </w:r>
    </w:p>
    <w:p w14:paraId="2DA136E3" w14:textId="017F5142" w:rsidR="00A93852" w:rsidRPr="00A93852" w:rsidRDefault="00A93852" w:rsidP="000C7899">
      <w:pPr>
        <w:rPr>
          <w:lang w:val="es-ES"/>
        </w:rPr>
      </w:pPr>
      <w:r w:rsidRPr="00A93852">
        <w:rPr>
          <w:lang w:val="es-ES"/>
        </w:rPr>
        <w:t>1.5</w:t>
      </w:r>
      <w:r w:rsidR="000C7899">
        <w:rPr>
          <w:lang w:val="es-ES"/>
        </w:rPr>
        <w:tab/>
      </w:r>
      <w:r w:rsidRPr="00A93852">
        <w:rPr>
          <w:lang w:val="es-ES"/>
        </w:rPr>
        <w:t>A continuación se ofrece un resumen de la primera RIR.</w:t>
      </w:r>
    </w:p>
    <w:p w14:paraId="1CC377F6" w14:textId="43074095" w:rsidR="00A93852" w:rsidRPr="00A93852" w:rsidRDefault="00A93852" w:rsidP="000C7899">
      <w:pPr>
        <w:rPr>
          <w:lang w:val="es-ES"/>
        </w:rPr>
      </w:pPr>
      <w:r w:rsidRPr="00A93852">
        <w:rPr>
          <w:lang w:val="es-ES"/>
        </w:rPr>
        <w:lastRenderedPageBreak/>
        <w:t>1.6</w:t>
      </w:r>
      <w:r w:rsidR="000C7899">
        <w:rPr>
          <w:lang w:val="es-ES"/>
        </w:rPr>
        <w:tab/>
      </w:r>
      <w:r w:rsidRPr="00A93852">
        <w:rPr>
          <w:lang w:val="es-ES"/>
        </w:rPr>
        <w:t xml:space="preserve">Se aprobó el orden del día que figura en el </w:t>
      </w:r>
      <w:hyperlink r:id="rId11" w:history="1">
        <w:r w:rsidRPr="00A93852">
          <w:rPr>
            <w:rStyle w:val="Hyperlink"/>
            <w:lang w:val="es-ES"/>
          </w:rPr>
          <w:t>Documento 1</w:t>
        </w:r>
      </w:hyperlink>
      <w:r w:rsidRPr="00A93852">
        <w:rPr>
          <w:lang w:val="es-ES"/>
        </w:rPr>
        <w:t>.</w:t>
      </w:r>
    </w:p>
    <w:p w14:paraId="11DDD583" w14:textId="6957EE34" w:rsidR="00A93852" w:rsidRPr="00A93852" w:rsidRDefault="000C7899" w:rsidP="000C7899">
      <w:pPr>
        <w:pStyle w:val="Heading1"/>
        <w:rPr>
          <w:bCs/>
          <w:lang w:val="es-ES"/>
        </w:rPr>
      </w:pPr>
      <w:r w:rsidRPr="00616AC2">
        <w:rPr>
          <w:lang w:val="es-ES"/>
        </w:rPr>
        <w:t>2</w:t>
      </w:r>
      <w:r>
        <w:rPr>
          <w:lang w:val="es-ES"/>
        </w:rPr>
        <w:tab/>
      </w:r>
      <w:r w:rsidR="00A93852" w:rsidRPr="00A93852">
        <w:rPr>
          <w:lang w:val="es-ES"/>
        </w:rPr>
        <w:t>Nombramiento del Presidente y los Vicepresidentes</w:t>
      </w:r>
    </w:p>
    <w:p w14:paraId="0654BE76" w14:textId="78E5E5FF" w:rsidR="00A93852" w:rsidRPr="00A93852" w:rsidRDefault="00A93852" w:rsidP="004F4AD1">
      <w:pPr>
        <w:spacing w:after="120"/>
        <w:rPr>
          <w:lang w:val="es-ES"/>
        </w:rPr>
      </w:pPr>
      <w:r w:rsidRPr="00A93852">
        <w:rPr>
          <w:lang w:val="es-ES"/>
        </w:rPr>
        <w:t>2.1</w:t>
      </w:r>
      <w:r w:rsidR="000C7899">
        <w:rPr>
          <w:lang w:val="es-ES"/>
        </w:rPr>
        <w:tab/>
      </w:r>
      <w:r w:rsidRPr="00A93852">
        <w:rPr>
          <w:lang w:val="es-ES"/>
        </w:rPr>
        <w:t xml:space="preserve">El Excmo. Dr. Ahmedin Mohammed, Ministro de Innovación y Tecnología de </w:t>
      </w:r>
      <w:r w:rsidRPr="00257CFB">
        <w:rPr>
          <w:lang w:val="es-ES"/>
        </w:rPr>
        <w:t>Etiopía</w:t>
      </w:r>
      <w:r w:rsidRPr="00CD6F8C">
        <w:t xml:space="preserve"> y</w:t>
      </w:r>
      <w:r w:rsidRPr="00A93852">
        <w:rPr>
          <w:u w:val="single"/>
          <w:lang w:val="es-ES"/>
        </w:rPr>
        <w:t xml:space="preserve"> </w:t>
      </w:r>
      <w:r w:rsidRPr="00A93852">
        <w:rPr>
          <w:lang w:val="es-ES"/>
        </w:rPr>
        <w:t>Presidente designado de la CMDT-21, fue elegido Presidente de las reuniones preparatorias interregionales por unanimidad. También se aprobaron las candidaturas de las seis principales organizaciones regionales de telecomunicaciones para los puestos de Vicepresidentes de la RIR (véase el recuadro).</w:t>
      </w:r>
    </w:p>
    <w:tbl>
      <w:tblPr>
        <w:tblW w:w="5000" w:type="pct"/>
        <w:tblCellMar>
          <w:left w:w="0" w:type="dxa"/>
          <w:right w:w="0" w:type="dxa"/>
        </w:tblCellMar>
        <w:tblLook w:val="04A0" w:firstRow="1" w:lastRow="0" w:firstColumn="1" w:lastColumn="0" w:noHBand="0" w:noVBand="1"/>
      </w:tblPr>
      <w:tblGrid>
        <w:gridCol w:w="4006"/>
        <w:gridCol w:w="2460"/>
        <w:gridCol w:w="3155"/>
      </w:tblGrid>
      <w:tr w:rsidR="00A93852" w:rsidRPr="00A93852" w14:paraId="717828B7" w14:textId="77777777" w:rsidTr="00E03095">
        <w:tc>
          <w:tcPr>
            <w:tcW w:w="4169" w:type="dxa"/>
            <w:tcBorders>
              <w:top w:val="single" w:sz="8" w:space="0" w:color="FFFFFF"/>
              <w:left w:val="single" w:sz="8" w:space="0" w:color="FFFFFF"/>
              <w:bottom w:val="single" w:sz="8" w:space="0" w:color="FFFFFF"/>
              <w:right w:val="nil"/>
            </w:tcBorders>
            <w:shd w:val="clear" w:color="auto" w:fill="5B9BD5"/>
            <w:tcMar>
              <w:top w:w="0" w:type="dxa"/>
              <w:left w:w="108" w:type="dxa"/>
              <w:bottom w:w="0" w:type="dxa"/>
              <w:right w:w="108" w:type="dxa"/>
            </w:tcMar>
            <w:hideMark/>
          </w:tcPr>
          <w:p w14:paraId="7C1B6D5C" w14:textId="77777777" w:rsidR="00A93852" w:rsidRPr="00A349EC" w:rsidRDefault="00A93852" w:rsidP="004F4AD1">
            <w:pPr>
              <w:pStyle w:val="Tabletext"/>
              <w:rPr>
                <w:b/>
                <w:bCs/>
                <w:color w:val="FFFFFF" w:themeColor="background1"/>
                <w:lang w:val="es-ES"/>
              </w:rPr>
            </w:pPr>
            <w:r w:rsidRPr="00A349EC">
              <w:rPr>
                <w:b/>
                <w:bCs/>
                <w:color w:val="FFFFFF" w:themeColor="background1"/>
                <w:lang w:val="es-ES"/>
              </w:rPr>
              <w:t>Presidente</w:t>
            </w:r>
          </w:p>
        </w:tc>
        <w:tc>
          <w:tcPr>
            <w:tcW w:w="5783" w:type="dxa"/>
            <w:gridSpan w:val="2"/>
            <w:tcBorders>
              <w:top w:val="single" w:sz="8" w:space="0" w:color="FFFFFF"/>
              <w:left w:val="nil"/>
              <w:bottom w:val="single" w:sz="8" w:space="0" w:color="FFFFFF"/>
              <w:right w:val="single" w:sz="8" w:space="0" w:color="FFFFFF"/>
            </w:tcBorders>
            <w:shd w:val="clear" w:color="auto" w:fill="5B9BD5"/>
            <w:tcMar>
              <w:top w:w="0" w:type="dxa"/>
              <w:left w:w="108" w:type="dxa"/>
              <w:bottom w:w="0" w:type="dxa"/>
              <w:right w:w="108" w:type="dxa"/>
            </w:tcMar>
          </w:tcPr>
          <w:p w14:paraId="433F60FA" w14:textId="51958AEC" w:rsidR="00A93852" w:rsidRPr="004F4AD1" w:rsidRDefault="00A93852" w:rsidP="004F4AD1">
            <w:pPr>
              <w:pStyle w:val="Tabletext"/>
              <w:rPr>
                <w:b/>
                <w:bCs/>
                <w:lang w:val="es-ES"/>
              </w:rPr>
            </w:pPr>
            <w:r w:rsidRPr="00A349EC">
              <w:rPr>
                <w:b/>
                <w:bCs/>
                <w:color w:val="FFFFFF" w:themeColor="background1"/>
                <w:lang w:val="es-ES"/>
              </w:rPr>
              <w:t>Excmo. Dr. Ahmedin Mohammed</w:t>
            </w:r>
          </w:p>
        </w:tc>
      </w:tr>
      <w:tr w:rsidR="00A93852" w:rsidRPr="00A93852" w14:paraId="220EDA8F" w14:textId="77777777" w:rsidTr="00E03095">
        <w:tc>
          <w:tcPr>
            <w:tcW w:w="4169"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tcPr>
          <w:p w14:paraId="29BEE2C7" w14:textId="77777777" w:rsidR="00A93852" w:rsidRPr="00A349EC" w:rsidRDefault="00A93852" w:rsidP="004F4AD1">
            <w:pPr>
              <w:pStyle w:val="Tabletext"/>
              <w:rPr>
                <w:b/>
                <w:bCs/>
                <w:color w:val="FFFFFF" w:themeColor="background1"/>
                <w:lang w:val="es-ES"/>
              </w:rPr>
            </w:pPr>
            <w:r w:rsidRPr="00A349EC">
              <w:rPr>
                <w:b/>
                <w:bCs/>
                <w:color w:val="FFFFFF" w:themeColor="background1"/>
                <w:lang w:val="es-ES"/>
              </w:rPr>
              <w:t>Vicepresidentes</w:t>
            </w:r>
          </w:p>
        </w:tc>
        <w:tc>
          <w:tcPr>
            <w:tcW w:w="2492" w:type="dxa"/>
            <w:tcBorders>
              <w:top w:val="single" w:sz="8" w:space="0" w:color="FFFFFF"/>
              <w:left w:val="nil"/>
              <w:bottom w:val="single" w:sz="8" w:space="0" w:color="FFFFFF"/>
              <w:right w:val="single" w:sz="8" w:space="0" w:color="FFFFFF"/>
            </w:tcBorders>
            <w:shd w:val="clear" w:color="auto" w:fill="DEEAF6"/>
            <w:tcMar>
              <w:top w:w="0" w:type="dxa"/>
              <w:left w:w="108" w:type="dxa"/>
              <w:bottom w:w="0" w:type="dxa"/>
              <w:right w:w="108" w:type="dxa"/>
            </w:tcMar>
          </w:tcPr>
          <w:p w14:paraId="1B0EAE28" w14:textId="77777777" w:rsidR="00A93852" w:rsidRPr="00A349EC" w:rsidRDefault="00A93852" w:rsidP="004F4AD1">
            <w:pPr>
              <w:pStyle w:val="Tabletext"/>
              <w:rPr>
                <w:color w:val="0070C0"/>
                <w:lang w:val="es-ES"/>
              </w:rPr>
            </w:pPr>
            <w:r w:rsidRPr="00A349EC">
              <w:rPr>
                <w:color w:val="0070C0"/>
                <w:lang w:val="es-ES"/>
              </w:rPr>
              <w:t>Organización regional de telecomunicaciones</w:t>
            </w:r>
          </w:p>
        </w:tc>
        <w:tc>
          <w:tcPr>
            <w:tcW w:w="3291" w:type="dxa"/>
            <w:tcBorders>
              <w:top w:val="single" w:sz="8" w:space="0" w:color="FFFFFF"/>
              <w:left w:val="nil"/>
              <w:bottom w:val="single" w:sz="8" w:space="0" w:color="FFFFFF"/>
              <w:right w:val="single" w:sz="8" w:space="0" w:color="FFFFFF"/>
            </w:tcBorders>
            <w:shd w:val="clear" w:color="auto" w:fill="DEEAF6"/>
            <w:tcMar>
              <w:top w:w="0" w:type="dxa"/>
              <w:left w:w="108" w:type="dxa"/>
              <w:bottom w:w="0" w:type="dxa"/>
              <w:right w:w="108" w:type="dxa"/>
            </w:tcMar>
          </w:tcPr>
          <w:p w14:paraId="1D3C0169" w14:textId="77777777" w:rsidR="00A93852" w:rsidRPr="00A349EC" w:rsidRDefault="00A93852" w:rsidP="004F4AD1">
            <w:pPr>
              <w:pStyle w:val="Tabletext"/>
              <w:rPr>
                <w:color w:val="0070C0"/>
                <w:lang w:val="es-ES"/>
              </w:rPr>
            </w:pPr>
            <w:r w:rsidRPr="00A349EC">
              <w:rPr>
                <w:color w:val="0070C0"/>
                <w:lang w:val="es-ES"/>
              </w:rPr>
              <w:t>País</w:t>
            </w:r>
          </w:p>
        </w:tc>
      </w:tr>
      <w:tr w:rsidR="00A93852" w:rsidRPr="00A93852" w14:paraId="7EF9D023" w14:textId="77777777" w:rsidTr="00E03095">
        <w:tc>
          <w:tcPr>
            <w:tcW w:w="4169"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tcPr>
          <w:p w14:paraId="2EE36961" w14:textId="77777777" w:rsidR="00A93852" w:rsidRPr="00A349EC" w:rsidRDefault="00A93852" w:rsidP="004F4AD1">
            <w:pPr>
              <w:pStyle w:val="Tabletext"/>
              <w:rPr>
                <w:b/>
                <w:bCs/>
                <w:color w:val="FFFFFF" w:themeColor="background1"/>
                <w:lang w:val="es-ES"/>
              </w:rPr>
            </w:pPr>
            <w:r w:rsidRPr="00A349EC">
              <w:rPr>
                <w:b/>
                <w:bCs/>
                <w:color w:val="FFFFFF" w:themeColor="background1"/>
                <w:lang w:val="es-ES"/>
              </w:rPr>
              <w:t>Dr. Ahmad Sharafat</w:t>
            </w:r>
          </w:p>
        </w:tc>
        <w:tc>
          <w:tcPr>
            <w:tcW w:w="2492" w:type="dxa"/>
            <w:tcBorders>
              <w:top w:val="nil"/>
              <w:left w:val="nil"/>
              <w:bottom w:val="single" w:sz="8" w:space="0" w:color="FFFFFF"/>
              <w:right w:val="single" w:sz="8" w:space="0" w:color="FFFFFF"/>
            </w:tcBorders>
            <w:shd w:val="clear" w:color="auto" w:fill="BDD6EE"/>
            <w:tcMar>
              <w:top w:w="0" w:type="dxa"/>
              <w:left w:w="108" w:type="dxa"/>
              <w:bottom w:w="0" w:type="dxa"/>
              <w:right w:w="108" w:type="dxa"/>
            </w:tcMar>
          </w:tcPr>
          <w:p w14:paraId="654E8860" w14:textId="53C23AD2" w:rsidR="00A93852" w:rsidRPr="00A349EC" w:rsidRDefault="00A93852" w:rsidP="004F4AD1">
            <w:pPr>
              <w:pStyle w:val="Tabletext"/>
              <w:rPr>
                <w:color w:val="0070C0"/>
                <w:lang w:val="es-ES"/>
              </w:rPr>
            </w:pPr>
            <w:r w:rsidRPr="00A349EC">
              <w:rPr>
                <w:color w:val="0070C0"/>
                <w:lang w:val="es-ES"/>
              </w:rPr>
              <w:t>APT</w:t>
            </w:r>
          </w:p>
        </w:tc>
        <w:tc>
          <w:tcPr>
            <w:tcW w:w="3291" w:type="dxa"/>
            <w:tcBorders>
              <w:top w:val="nil"/>
              <w:left w:val="nil"/>
              <w:bottom w:val="single" w:sz="8" w:space="0" w:color="FFFFFF"/>
              <w:right w:val="single" w:sz="8" w:space="0" w:color="FFFFFF"/>
            </w:tcBorders>
            <w:shd w:val="clear" w:color="auto" w:fill="BDD6EE"/>
            <w:tcMar>
              <w:top w:w="0" w:type="dxa"/>
              <w:left w:w="108" w:type="dxa"/>
              <w:bottom w:w="0" w:type="dxa"/>
              <w:right w:w="108" w:type="dxa"/>
            </w:tcMar>
          </w:tcPr>
          <w:p w14:paraId="10D2B86C" w14:textId="77777777" w:rsidR="00A93852" w:rsidRPr="00A349EC" w:rsidRDefault="00A93852" w:rsidP="004F4AD1">
            <w:pPr>
              <w:pStyle w:val="Tabletext"/>
              <w:rPr>
                <w:color w:val="0070C0"/>
                <w:lang w:val="es-ES"/>
              </w:rPr>
            </w:pPr>
            <w:r w:rsidRPr="00A349EC">
              <w:rPr>
                <w:color w:val="0070C0"/>
                <w:lang w:val="es-ES"/>
              </w:rPr>
              <w:t xml:space="preserve">Irán (República Islámica del) </w:t>
            </w:r>
          </w:p>
        </w:tc>
      </w:tr>
      <w:tr w:rsidR="00A93852" w:rsidRPr="00A93852" w14:paraId="6DC592F7" w14:textId="77777777" w:rsidTr="00E03095">
        <w:tc>
          <w:tcPr>
            <w:tcW w:w="4169"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hideMark/>
          </w:tcPr>
          <w:p w14:paraId="50B2C4CD" w14:textId="77777777" w:rsidR="00A93852" w:rsidRPr="00A349EC" w:rsidRDefault="00A93852" w:rsidP="004F4AD1">
            <w:pPr>
              <w:pStyle w:val="Tabletext"/>
              <w:rPr>
                <w:b/>
                <w:bCs/>
                <w:color w:val="FFFFFF" w:themeColor="background1"/>
                <w:lang w:val="es-ES"/>
              </w:rPr>
            </w:pPr>
            <w:r w:rsidRPr="00A349EC">
              <w:rPr>
                <w:b/>
                <w:bCs/>
                <w:color w:val="FFFFFF" w:themeColor="background1"/>
                <w:lang w:val="es-ES"/>
              </w:rPr>
              <w:t>Sra. Caecilia Nyamutswa</w:t>
            </w:r>
          </w:p>
        </w:tc>
        <w:tc>
          <w:tcPr>
            <w:tcW w:w="2492" w:type="dxa"/>
            <w:tcBorders>
              <w:top w:val="nil"/>
              <w:left w:val="nil"/>
              <w:bottom w:val="single" w:sz="8" w:space="0" w:color="FFFFFF"/>
              <w:right w:val="single" w:sz="8" w:space="0" w:color="FFFFFF"/>
            </w:tcBorders>
            <w:shd w:val="clear" w:color="auto" w:fill="DEEAF6"/>
            <w:tcMar>
              <w:top w:w="0" w:type="dxa"/>
              <w:left w:w="108" w:type="dxa"/>
              <w:bottom w:w="0" w:type="dxa"/>
              <w:right w:w="108" w:type="dxa"/>
            </w:tcMar>
            <w:hideMark/>
          </w:tcPr>
          <w:p w14:paraId="7534D080" w14:textId="77777777" w:rsidR="00A93852" w:rsidRPr="00A349EC" w:rsidRDefault="00A93852" w:rsidP="004F4AD1">
            <w:pPr>
              <w:pStyle w:val="Tabletext"/>
              <w:rPr>
                <w:color w:val="0070C0"/>
                <w:lang w:val="es-ES"/>
              </w:rPr>
            </w:pPr>
            <w:r w:rsidRPr="00A349EC">
              <w:rPr>
                <w:color w:val="0070C0"/>
                <w:lang w:val="es-ES"/>
              </w:rPr>
              <w:t>UAT</w:t>
            </w:r>
          </w:p>
        </w:tc>
        <w:tc>
          <w:tcPr>
            <w:tcW w:w="3291" w:type="dxa"/>
            <w:tcBorders>
              <w:top w:val="nil"/>
              <w:left w:val="nil"/>
              <w:bottom w:val="single" w:sz="8" w:space="0" w:color="FFFFFF"/>
              <w:right w:val="single" w:sz="8" w:space="0" w:color="FFFFFF"/>
            </w:tcBorders>
            <w:shd w:val="clear" w:color="auto" w:fill="DEEAF6"/>
            <w:tcMar>
              <w:top w:w="0" w:type="dxa"/>
              <w:left w:w="108" w:type="dxa"/>
              <w:bottom w:w="0" w:type="dxa"/>
              <w:right w:w="108" w:type="dxa"/>
            </w:tcMar>
            <w:hideMark/>
          </w:tcPr>
          <w:p w14:paraId="062FAB26" w14:textId="77777777" w:rsidR="00A93852" w:rsidRPr="00A349EC" w:rsidRDefault="00A93852" w:rsidP="004F4AD1">
            <w:pPr>
              <w:pStyle w:val="Tabletext"/>
              <w:rPr>
                <w:color w:val="0070C0"/>
                <w:lang w:val="es-ES"/>
              </w:rPr>
            </w:pPr>
            <w:r w:rsidRPr="00A349EC">
              <w:rPr>
                <w:color w:val="0070C0"/>
                <w:lang w:val="es-ES"/>
              </w:rPr>
              <w:t>Zimbabwe</w:t>
            </w:r>
          </w:p>
        </w:tc>
      </w:tr>
      <w:tr w:rsidR="00A93852" w:rsidRPr="00A93852" w14:paraId="137FFD96" w14:textId="77777777" w:rsidTr="00E03095">
        <w:tc>
          <w:tcPr>
            <w:tcW w:w="4169"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hideMark/>
          </w:tcPr>
          <w:p w14:paraId="4FA3F67B" w14:textId="77777777" w:rsidR="00A93852" w:rsidRPr="00A349EC" w:rsidRDefault="00A93852" w:rsidP="004F4AD1">
            <w:pPr>
              <w:pStyle w:val="Tabletext"/>
              <w:rPr>
                <w:b/>
                <w:bCs/>
                <w:color w:val="FFFFFF" w:themeColor="background1"/>
                <w:lang w:val="es-ES"/>
              </w:rPr>
            </w:pPr>
            <w:r w:rsidRPr="00A349EC">
              <w:rPr>
                <w:b/>
                <w:bCs/>
                <w:color w:val="FFFFFF" w:themeColor="background1"/>
                <w:lang w:val="es-ES"/>
              </w:rPr>
              <w:t>Sra. Inga Rimkeviciene</w:t>
            </w:r>
          </w:p>
        </w:tc>
        <w:tc>
          <w:tcPr>
            <w:tcW w:w="2492" w:type="dxa"/>
            <w:tcBorders>
              <w:top w:val="nil"/>
              <w:left w:val="nil"/>
              <w:bottom w:val="single" w:sz="8" w:space="0" w:color="FFFFFF"/>
              <w:right w:val="single" w:sz="8" w:space="0" w:color="FFFFFF"/>
            </w:tcBorders>
            <w:shd w:val="clear" w:color="auto" w:fill="BDD6EE"/>
            <w:tcMar>
              <w:top w:w="0" w:type="dxa"/>
              <w:left w:w="108" w:type="dxa"/>
              <w:bottom w:w="0" w:type="dxa"/>
              <w:right w:w="108" w:type="dxa"/>
            </w:tcMar>
            <w:hideMark/>
          </w:tcPr>
          <w:p w14:paraId="6033A420" w14:textId="397812AE" w:rsidR="00A93852" w:rsidRPr="00A349EC" w:rsidRDefault="00A93852" w:rsidP="004F4AD1">
            <w:pPr>
              <w:pStyle w:val="Tabletext"/>
              <w:rPr>
                <w:color w:val="0070C0"/>
                <w:lang w:val="es-ES"/>
              </w:rPr>
            </w:pPr>
            <w:r w:rsidRPr="00A349EC">
              <w:rPr>
                <w:color w:val="0070C0"/>
                <w:lang w:val="es-ES"/>
              </w:rPr>
              <w:t>CEPT</w:t>
            </w:r>
          </w:p>
        </w:tc>
        <w:tc>
          <w:tcPr>
            <w:tcW w:w="3291" w:type="dxa"/>
            <w:tcBorders>
              <w:top w:val="nil"/>
              <w:left w:val="nil"/>
              <w:bottom w:val="single" w:sz="8" w:space="0" w:color="FFFFFF"/>
              <w:right w:val="single" w:sz="8" w:space="0" w:color="FFFFFF"/>
            </w:tcBorders>
            <w:shd w:val="clear" w:color="auto" w:fill="BDD6EE"/>
            <w:tcMar>
              <w:top w:w="0" w:type="dxa"/>
              <w:left w:w="108" w:type="dxa"/>
              <w:bottom w:w="0" w:type="dxa"/>
              <w:right w:w="108" w:type="dxa"/>
            </w:tcMar>
            <w:hideMark/>
          </w:tcPr>
          <w:p w14:paraId="382C387E" w14:textId="77777777" w:rsidR="00A93852" w:rsidRPr="00A349EC" w:rsidRDefault="00A93852" w:rsidP="004F4AD1">
            <w:pPr>
              <w:pStyle w:val="Tabletext"/>
              <w:rPr>
                <w:color w:val="0070C0"/>
                <w:lang w:val="es-ES"/>
              </w:rPr>
            </w:pPr>
            <w:r w:rsidRPr="00A349EC">
              <w:rPr>
                <w:color w:val="0070C0"/>
                <w:lang w:val="es-ES"/>
              </w:rPr>
              <w:t>Lituania</w:t>
            </w:r>
          </w:p>
        </w:tc>
      </w:tr>
      <w:tr w:rsidR="00A93852" w:rsidRPr="00A93852" w14:paraId="71312663" w14:textId="77777777" w:rsidTr="00E03095">
        <w:tc>
          <w:tcPr>
            <w:tcW w:w="4169"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hideMark/>
          </w:tcPr>
          <w:p w14:paraId="303025BB" w14:textId="77777777" w:rsidR="00A93852" w:rsidRPr="00A349EC" w:rsidRDefault="00A93852" w:rsidP="004F4AD1">
            <w:pPr>
              <w:pStyle w:val="Tabletext"/>
              <w:rPr>
                <w:b/>
                <w:bCs/>
                <w:color w:val="FFFFFF" w:themeColor="background1"/>
                <w:lang w:val="es-ES"/>
              </w:rPr>
            </w:pPr>
            <w:r w:rsidRPr="00A349EC">
              <w:rPr>
                <w:b/>
                <w:bCs/>
                <w:color w:val="FFFFFF" w:themeColor="background1"/>
                <w:lang w:val="es-ES"/>
              </w:rPr>
              <w:t>Sr. Santiago Reyes-Borda</w:t>
            </w:r>
          </w:p>
        </w:tc>
        <w:tc>
          <w:tcPr>
            <w:tcW w:w="2492" w:type="dxa"/>
            <w:tcBorders>
              <w:top w:val="nil"/>
              <w:left w:val="nil"/>
              <w:bottom w:val="single" w:sz="8" w:space="0" w:color="FFFFFF"/>
              <w:right w:val="single" w:sz="8" w:space="0" w:color="FFFFFF"/>
            </w:tcBorders>
            <w:shd w:val="clear" w:color="auto" w:fill="DEEAF6"/>
            <w:tcMar>
              <w:top w:w="0" w:type="dxa"/>
              <w:left w:w="108" w:type="dxa"/>
              <w:bottom w:w="0" w:type="dxa"/>
              <w:right w:w="108" w:type="dxa"/>
            </w:tcMar>
            <w:hideMark/>
          </w:tcPr>
          <w:p w14:paraId="4224404A" w14:textId="5D57657A" w:rsidR="00A93852" w:rsidRPr="00A349EC" w:rsidRDefault="00A93852" w:rsidP="004F4AD1">
            <w:pPr>
              <w:pStyle w:val="Tabletext"/>
              <w:rPr>
                <w:color w:val="0070C0"/>
                <w:lang w:val="es-ES"/>
              </w:rPr>
            </w:pPr>
            <w:r w:rsidRPr="00A349EC">
              <w:rPr>
                <w:color w:val="0070C0"/>
                <w:lang w:val="es-ES"/>
              </w:rPr>
              <w:t>CITEL</w:t>
            </w:r>
          </w:p>
        </w:tc>
        <w:tc>
          <w:tcPr>
            <w:tcW w:w="3291" w:type="dxa"/>
            <w:tcBorders>
              <w:top w:val="nil"/>
              <w:left w:val="nil"/>
              <w:bottom w:val="single" w:sz="8" w:space="0" w:color="FFFFFF"/>
              <w:right w:val="single" w:sz="8" w:space="0" w:color="FFFFFF"/>
            </w:tcBorders>
            <w:shd w:val="clear" w:color="auto" w:fill="DEEAF6"/>
            <w:tcMar>
              <w:top w:w="0" w:type="dxa"/>
              <w:left w:w="108" w:type="dxa"/>
              <w:bottom w:w="0" w:type="dxa"/>
              <w:right w:w="108" w:type="dxa"/>
            </w:tcMar>
            <w:hideMark/>
          </w:tcPr>
          <w:p w14:paraId="03C32A0F" w14:textId="77777777" w:rsidR="00A93852" w:rsidRPr="00A349EC" w:rsidRDefault="00A93852" w:rsidP="004F4AD1">
            <w:pPr>
              <w:pStyle w:val="Tabletext"/>
              <w:rPr>
                <w:color w:val="0070C0"/>
                <w:lang w:val="es-ES"/>
              </w:rPr>
            </w:pPr>
            <w:r w:rsidRPr="00A349EC">
              <w:rPr>
                <w:color w:val="0070C0"/>
                <w:lang w:val="es-ES"/>
              </w:rPr>
              <w:t>Canadá</w:t>
            </w:r>
          </w:p>
        </w:tc>
      </w:tr>
      <w:tr w:rsidR="00A93852" w:rsidRPr="00A93852" w14:paraId="1C08A99A" w14:textId="77777777" w:rsidTr="00E03095">
        <w:tc>
          <w:tcPr>
            <w:tcW w:w="4169"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hideMark/>
          </w:tcPr>
          <w:p w14:paraId="059A92DD" w14:textId="77777777" w:rsidR="00A93852" w:rsidRPr="00A349EC" w:rsidRDefault="00A93852" w:rsidP="004F4AD1">
            <w:pPr>
              <w:pStyle w:val="Tabletext"/>
              <w:rPr>
                <w:b/>
                <w:bCs/>
                <w:color w:val="FFFFFF" w:themeColor="background1"/>
                <w:lang w:val="es-ES"/>
              </w:rPr>
            </w:pPr>
            <w:r w:rsidRPr="00A349EC">
              <w:rPr>
                <w:b/>
                <w:bCs/>
                <w:color w:val="FFFFFF" w:themeColor="background1"/>
                <w:lang w:val="es-ES"/>
              </w:rPr>
              <w:t>Sr. Mansour AlQurashi</w:t>
            </w:r>
          </w:p>
        </w:tc>
        <w:tc>
          <w:tcPr>
            <w:tcW w:w="2492" w:type="dxa"/>
            <w:tcBorders>
              <w:top w:val="nil"/>
              <w:left w:val="nil"/>
              <w:bottom w:val="single" w:sz="8" w:space="0" w:color="FFFFFF"/>
              <w:right w:val="single" w:sz="8" w:space="0" w:color="FFFFFF"/>
            </w:tcBorders>
            <w:shd w:val="clear" w:color="auto" w:fill="BDD6EE"/>
            <w:tcMar>
              <w:top w:w="0" w:type="dxa"/>
              <w:left w:w="108" w:type="dxa"/>
              <w:bottom w:w="0" w:type="dxa"/>
              <w:right w:w="108" w:type="dxa"/>
            </w:tcMar>
            <w:hideMark/>
          </w:tcPr>
          <w:p w14:paraId="1600D52C" w14:textId="77777777" w:rsidR="00A93852" w:rsidRPr="00A349EC" w:rsidRDefault="00A93852" w:rsidP="004F4AD1">
            <w:pPr>
              <w:pStyle w:val="Tabletext"/>
              <w:rPr>
                <w:color w:val="0070C0"/>
                <w:lang w:val="es-ES"/>
              </w:rPr>
            </w:pPr>
            <w:r w:rsidRPr="00A349EC">
              <w:rPr>
                <w:color w:val="0070C0"/>
                <w:lang w:val="es-ES"/>
              </w:rPr>
              <w:t>LEA</w:t>
            </w:r>
          </w:p>
        </w:tc>
        <w:tc>
          <w:tcPr>
            <w:tcW w:w="3291" w:type="dxa"/>
            <w:tcBorders>
              <w:top w:val="nil"/>
              <w:left w:val="nil"/>
              <w:bottom w:val="single" w:sz="8" w:space="0" w:color="FFFFFF"/>
              <w:right w:val="single" w:sz="8" w:space="0" w:color="FFFFFF"/>
            </w:tcBorders>
            <w:shd w:val="clear" w:color="auto" w:fill="BDD6EE"/>
            <w:tcMar>
              <w:top w:w="0" w:type="dxa"/>
              <w:left w:w="108" w:type="dxa"/>
              <w:bottom w:w="0" w:type="dxa"/>
              <w:right w:w="108" w:type="dxa"/>
            </w:tcMar>
            <w:hideMark/>
          </w:tcPr>
          <w:p w14:paraId="38FEA4E5" w14:textId="77777777" w:rsidR="00A93852" w:rsidRPr="00A349EC" w:rsidRDefault="00A93852" w:rsidP="004F4AD1">
            <w:pPr>
              <w:pStyle w:val="Tabletext"/>
              <w:rPr>
                <w:color w:val="0070C0"/>
                <w:lang w:val="es-ES"/>
              </w:rPr>
            </w:pPr>
            <w:r w:rsidRPr="00A349EC">
              <w:rPr>
                <w:color w:val="0070C0"/>
                <w:lang w:val="es-ES"/>
              </w:rPr>
              <w:t>Arabia Saudita</w:t>
            </w:r>
          </w:p>
        </w:tc>
      </w:tr>
      <w:tr w:rsidR="00A93852" w:rsidRPr="00A93852" w14:paraId="45A3E0B2" w14:textId="77777777" w:rsidTr="00E03095">
        <w:tc>
          <w:tcPr>
            <w:tcW w:w="4169"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hideMark/>
          </w:tcPr>
          <w:p w14:paraId="135F4C91" w14:textId="77777777" w:rsidR="00A93852" w:rsidRPr="00A349EC" w:rsidRDefault="00A93852" w:rsidP="004F4AD1">
            <w:pPr>
              <w:pStyle w:val="Tabletext"/>
              <w:rPr>
                <w:b/>
                <w:bCs/>
                <w:color w:val="FFFFFF" w:themeColor="background1"/>
                <w:lang w:val="es-ES"/>
              </w:rPr>
            </w:pPr>
            <w:r w:rsidRPr="00A349EC">
              <w:rPr>
                <w:b/>
                <w:bCs/>
                <w:color w:val="FFFFFF" w:themeColor="background1"/>
                <w:lang w:val="es-ES"/>
              </w:rPr>
              <w:t>Sr. Arseny Plossky</w:t>
            </w:r>
          </w:p>
        </w:tc>
        <w:tc>
          <w:tcPr>
            <w:tcW w:w="2492" w:type="dxa"/>
            <w:tcBorders>
              <w:top w:val="nil"/>
              <w:left w:val="nil"/>
              <w:bottom w:val="single" w:sz="8" w:space="0" w:color="FFFFFF"/>
              <w:right w:val="single" w:sz="8" w:space="0" w:color="FFFFFF"/>
            </w:tcBorders>
            <w:shd w:val="clear" w:color="auto" w:fill="DEEAF6"/>
            <w:tcMar>
              <w:top w:w="0" w:type="dxa"/>
              <w:left w:w="108" w:type="dxa"/>
              <w:bottom w:w="0" w:type="dxa"/>
              <w:right w:w="108" w:type="dxa"/>
            </w:tcMar>
            <w:hideMark/>
          </w:tcPr>
          <w:p w14:paraId="4A09256D" w14:textId="77777777" w:rsidR="00A93852" w:rsidRPr="00A349EC" w:rsidRDefault="00A93852" w:rsidP="004F4AD1">
            <w:pPr>
              <w:pStyle w:val="Tabletext"/>
              <w:rPr>
                <w:color w:val="0070C0"/>
                <w:lang w:val="es-ES"/>
              </w:rPr>
            </w:pPr>
            <w:r w:rsidRPr="00A349EC">
              <w:rPr>
                <w:color w:val="0070C0"/>
                <w:lang w:val="es-ES"/>
              </w:rPr>
              <w:t>CRC</w:t>
            </w:r>
          </w:p>
        </w:tc>
        <w:tc>
          <w:tcPr>
            <w:tcW w:w="3291" w:type="dxa"/>
            <w:tcBorders>
              <w:top w:val="nil"/>
              <w:left w:val="nil"/>
              <w:bottom w:val="single" w:sz="8" w:space="0" w:color="FFFFFF"/>
              <w:right w:val="single" w:sz="8" w:space="0" w:color="FFFFFF"/>
            </w:tcBorders>
            <w:shd w:val="clear" w:color="auto" w:fill="DEEAF6"/>
            <w:tcMar>
              <w:top w:w="0" w:type="dxa"/>
              <w:left w:w="108" w:type="dxa"/>
              <w:bottom w:w="0" w:type="dxa"/>
              <w:right w:w="108" w:type="dxa"/>
            </w:tcMar>
            <w:hideMark/>
          </w:tcPr>
          <w:p w14:paraId="5BED9CC4" w14:textId="77777777" w:rsidR="00A93852" w:rsidRPr="00A349EC" w:rsidRDefault="00A93852" w:rsidP="004F4AD1">
            <w:pPr>
              <w:pStyle w:val="Tabletext"/>
              <w:rPr>
                <w:color w:val="0070C0"/>
                <w:lang w:val="es-ES"/>
              </w:rPr>
            </w:pPr>
            <w:r w:rsidRPr="00A349EC">
              <w:rPr>
                <w:color w:val="0070C0"/>
                <w:lang w:val="es-ES"/>
              </w:rPr>
              <w:t>Federación de Rusia</w:t>
            </w:r>
          </w:p>
        </w:tc>
      </w:tr>
    </w:tbl>
    <w:p w14:paraId="3AEFF02B" w14:textId="11A073CB" w:rsidR="00A93852" w:rsidRPr="00A93852" w:rsidRDefault="00A93852" w:rsidP="004F4AD1">
      <w:pPr>
        <w:pStyle w:val="Normalaftertitle"/>
        <w:rPr>
          <w:lang w:val="es-ES"/>
        </w:rPr>
      </w:pPr>
      <w:r w:rsidRPr="00A93852">
        <w:rPr>
          <w:lang w:val="es-ES"/>
        </w:rPr>
        <w:t>2.2</w:t>
      </w:r>
      <w:r w:rsidR="000C7899">
        <w:rPr>
          <w:lang w:val="es-ES"/>
        </w:rPr>
        <w:tab/>
      </w:r>
      <w:r w:rsidRPr="00A93852">
        <w:rPr>
          <w:lang w:val="es-ES"/>
        </w:rPr>
        <w:t xml:space="preserve">El Excmo. Dr. Ahmedin Mohammed dijo que se sentía muy honrado de dirigir el proceso preparatorio interregional. "El objetivo de este proceso es facilitar el intercambio entre regiones con el fin de alcanzar un consenso antes de la </w:t>
      </w:r>
      <w:r w:rsidR="00666FB2">
        <w:rPr>
          <w:lang w:val="es-ES"/>
        </w:rPr>
        <w:t>c</w:t>
      </w:r>
      <w:r w:rsidRPr="00A93852">
        <w:rPr>
          <w:lang w:val="es-ES"/>
        </w:rPr>
        <w:t>onferencia. Quedo a la espera de trabajar con ustedes y de hacer que este proceso sea lo más fructífero y eficiente posible"</w:t>
      </w:r>
      <w:r w:rsidR="00CD6F8C">
        <w:rPr>
          <w:lang w:val="es-ES"/>
        </w:rPr>
        <w:t>.</w:t>
      </w:r>
    </w:p>
    <w:p w14:paraId="21DD83DB" w14:textId="0A80D24B" w:rsidR="00A93852" w:rsidRPr="00A93852" w:rsidRDefault="000C7899" w:rsidP="000C7899">
      <w:pPr>
        <w:pStyle w:val="Heading1"/>
        <w:rPr>
          <w:bCs/>
          <w:lang w:val="es-ES"/>
        </w:rPr>
      </w:pPr>
      <w:bookmarkStart w:id="4" w:name="_Toc66256786"/>
      <w:r>
        <w:rPr>
          <w:lang w:val="es-ES"/>
        </w:rPr>
        <w:t>3</w:t>
      </w:r>
      <w:r>
        <w:rPr>
          <w:lang w:val="es-ES"/>
        </w:rPr>
        <w:tab/>
      </w:r>
      <w:r w:rsidR="00A93852" w:rsidRPr="00A93852">
        <w:rPr>
          <w:lang w:val="es-ES"/>
        </w:rPr>
        <w:t xml:space="preserve">Información actualizada de la CMDT-21: </w:t>
      </w:r>
      <w:r w:rsidR="00616AC2">
        <w:rPr>
          <w:lang w:val="es-ES"/>
        </w:rPr>
        <w:t>m</w:t>
      </w:r>
      <w:r w:rsidR="00A93852" w:rsidRPr="00A93852">
        <w:rPr>
          <w:lang w:val="es-ES"/>
        </w:rPr>
        <w:t>edidas esenciales</w:t>
      </w:r>
      <w:bookmarkEnd w:id="4"/>
    </w:p>
    <w:p w14:paraId="4A18210E" w14:textId="0F2A2478" w:rsidR="00A93852" w:rsidRPr="00A93852" w:rsidRDefault="00A93852" w:rsidP="000C7899">
      <w:pPr>
        <w:rPr>
          <w:lang w:val="es-ES"/>
        </w:rPr>
      </w:pPr>
      <w:r w:rsidRPr="00A93852">
        <w:rPr>
          <w:lang w:val="es-ES"/>
        </w:rPr>
        <w:t>3.1</w:t>
      </w:r>
      <w:r w:rsidR="000C7899">
        <w:rPr>
          <w:lang w:val="es-ES"/>
        </w:rPr>
        <w:tab/>
      </w:r>
      <w:r w:rsidRPr="00A93852">
        <w:rPr>
          <w:lang w:val="es-ES"/>
        </w:rPr>
        <w:t xml:space="preserve">En nombre del Gobierno de Etiopía, el Sr. Mesfin Belachew Tefera, Asesor Estratégico Principal del Ministerio de Innovación y Tecnología, presentó el </w:t>
      </w:r>
      <w:hyperlink r:id="rId12" w:history="1">
        <w:r w:rsidRPr="00A93852">
          <w:rPr>
            <w:rStyle w:val="Hyperlink"/>
            <w:lang w:val="es-ES"/>
          </w:rPr>
          <w:t>Documento 21</w:t>
        </w:r>
      </w:hyperlink>
      <w:r w:rsidRPr="00A93852">
        <w:rPr>
          <w:lang w:val="es-ES"/>
        </w:rPr>
        <w:t>, en el que se destacan las medidas esenciales adoptadas para luchar contra la pandemia de COVID</w:t>
      </w:r>
      <w:r w:rsidRPr="00A93852">
        <w:rPr>
          <w:lang w:val="es-ES"/>
        </w:rPr>
        <w:noBreakHyphen/>
        <w:t>19 en el país anfitrión de la CMDT-21. El Gobierno ha constituido un grupo de trabajo nacional interministerial dirigido por el Primer Ministro, el Excmo. Dr. Abiy Ahmed, para hacer frente a las consecuencias sanitarias, sociales y económicas de la COVID</w:t>
      </w:r>
      <w:r w:rsidRPr="00A93852">
        <w:rPr>
          <w:lang w:val="es-ES"/>
        </w:rPr>
        <w:noBreakHyphen/>
        <w:t>19. El grupo de trabajo nacional ha promulgado una serie de medidas para contener la infección por coronavirus.</w:t>
      </w:r>
    </w:p>
    <w:p w14:paraId="1AB8EE47" w14:textId="678830CA" w:rsidR="00A93852" w:rsidRPr="00A93852" w:rsidRDefault="00A93852" w:rsidP="000C7899">
      <w:pPr>
        <w:rPr>
          <w:lang w:val="es-ES"/>
        </w:rPr>
      </w:pPr>
      <w:r w:rsidRPr="00A93852">
        <w:rPr>
          <w:lang w:val="es-ES"/>
        </w:rPr>
        <w:t>3.2</w:t>
      </w:r>
      <w:r w:rsidR="000C7899">
        <w:rPr>
          <w:lang w:val="es-ES"/>
        </w:rPr>
        <w:tab/>
      </w:r>
      <w:r w:rsidRPr="00A93852">
        <w:rPr>
          <w:lang w:val="es-ES"/>
        </w:rPr>
        <w:t>Etiopía ha adoptado las directrices de la Organización Mundial de la Salud (OMS) y del Centro de Control de Enfermedades (CDC) y ha formulado y emitido su propia Directiva para la prevención y el control de la pandemia de COVID-19. Este instrumento, denominado "Directiva Nº</w:t>
      </w:r>
      <w:r w:rsidR="00704705">
        <w:rPr>
          <w:lang w:val="es-ES"/>
        </w:rPr>
        <w:t> </w:t>
      </w:r>
      <w:r w:rsidRPr="00A93852">
        <w:rPr>
          <w:lang w:val="es-ES"/>
        </w:rPr>
        <w:t>30/2020", consta de 10 partes principales, pero la que se refiere a la CMDT-21 abarca las "Medidas de precaución que deben adoptarse durante las reuniones", incluidas las directrices sobre viajes.</w:t>
      </w:r>
    </w:p>
    <w:p w14:paraId="4399EB9D" w14:textId="701AA221" w:rsidR="00A93852" w:rsidRPr="00A93852" w:rsidRDefault="00A93852" w:rsidP="000C7899">
      <w:pPr>
        <w:pStyle w:val="Headingb"/>
        <w:rPr>
          <w:bCs/>
          <w:lang w:val="es-ES"/>
        </w:rPr>
      </w:pPr>
      <w:r w:rsidRPr="002E3E62">
        <w:rPr>
          <w:lang w:val="es-ES"/>
        </w:rPr>
        <w:t>Cuatro posibles opciones</w:t>
      </w:r>
    </w:p>
    <w:p w14:paraId="02F0CD5E" w14:textId="39908ABD" w:rsidR="00A93852" w:rsidRPr="00A93852" w:rsidRDefault="00A93852" w:rsidP="000C7899">
      <w:pPr>
        <w:rPr>
          <w:lang w:val="es-ES"/>
        </w:rPr>
      </w:pPr>
      <w:r w:rsidRPr="00A93852">
        <w:rPr>
          <w:lang w:val="es-ES"/>
        </w:rPr>
        <w:t>3.3</w:t>
      </w:r>
      <w:r w:rsidR="000C7899">
        <w:rPr>
          <w:lang w:val="es-ES"/>
        </w:rPr>
        <w:tab/>
      </w:r>
      <w:r w:rsidRPr="00A93852">
        <w:rPr>
          <w:lang w:val="es-ES"/>
        </w:rPr>
        <w:t>El Gobierno de Etiopía ha evaluado cuatro posibles fórmulas para acoger la CMDT-21, teniendo en cuenta sus pros y sus contras, así como los riesgos y estrategias de mitigación. En la presente sección se ponen de relieve los pros y los contras de cada opción.</w:t>
      </w:r>
    </w:p>
    <w:p w14:paraId="6B032EC4" w14:textId="77777777" w:rsidR="00A93852" w:rsidRPr="000C7899" w:rsidRDefault="00A93852" w:rsidP="000C7899">
      <w:pPr>
        <w:pStyle w:val="Headingb"/>
        <w:rPr>
          <w:bCs/>
          <w:u w:val="single"/>
          <w:lang w:val="es-ES"/>
        </w:rPr>
      </w:pPr>
      <w:bookmarkStart w:id="5" w:name="_Toc66256795"/>
      <w:r w:rsidRPr="002E3E62">
        <w:rPr>
          <w:u w:val="single"/>
          <w:lang w:val="es-ES"/>
        </w:rPr>
        <w:lastRenderedPageBreak/>
        <w:t>Opción 1: Celebración de la conferencia tal como estaba prevista inicialmente</w:t>
      </w:r>
      <w:bookmarkEnd w:id="5"/>
    </w:p>
    <w:p w14:paraId="74260811" w14:textId="7E91E7A9" w:rsidR="00A93852" w:rsidRPr="00257CFB" w:rsidRDefault="00A93852" w:rsidP="000C7899">
      <w:pPr>
        <w:rPr>
          <w:bCs/>
          <w:lang w:val="es-ES"/>
        </w:rPr>
      </w:pPr>
      <w:r w:rsidRPr="002E3E62">
        <w:rPr>
          <w:bCs/>
          <w:lang w:val="es-ES"/>
        </w:rPr>
        <w:t>3.4</w:t>
      </w:r>
      <w:r w:rsidR="000C7899" w:rsidRPr="002E3E62">
        <w:rPr>
          <w:bCs/>
          <w:lang w:val="es-ES"/>
        </w:rPr>
        <w:tab/>
      </w:r>
      <w:r w:rsidRPr="00A93852">
        <w:rPr>
          <w:b/>
          <w:lang w:val="es-ES"/>
        </w:rPr>
        <w:t>Los pros</w:t>
      </w:r>
      <w:r w:rsidRPr="00704705">
        <w:rPr>
          <w:bCs/>
          <w:lang w:val="es-ES"/>
        </w:rPr>
        <w:t xml:space="preserve">: </w:t>
      </w:r>
      <w:r w:rsidR="00704705">
        <w:rPr>
          <w:lang w:val="es-ES"/>
        </w:rPr>
        <w:t>l</w:t>
      </w:r>
      <w:r w:rsidRPr="00A93852">
        <w:rPr>
          <w:lang w:val="es-ES"/>
        </w:rPr>
        <w:t xml:space="preserve">a celebración de la CMDT-21 </w:t>
      </w:r>
      <w:r w:rsidRPr="00A93852">
        <w:rPr>
          <w:i/>
          <w:iCs/>
          <w:lang w:val="es-ES"/>
        </w:rPr>
        <w:t>in situ</w:t>
      </w:r>
      <w:r w:rsidRPr="00A93852">
        <w:rPr>
          <w:lang w:val="es-ES"/>
        </w:rPr>
        <w:t>, afrontando los retos de la COVID-19, hará de este evento un ejemplo de buenas prácticas para otras conferencias similares.</w:t>
      </w:r>
      <w:r w:rsidRPr="00A93852">
        <w:rPr>
          <w:b/>
          <w:lang w:val="es-ES"/>
        </w:rPr>
        <w:t xml:space="preserve"> </w:t>
      </w:r>
      <w:r w:rsidRPr="00A93852">
        <w:rPr>
          <w:lang w:val="es-ES"/>
        </w:rPr>
        <w:t xml:space="preserve">Acoger una conferencia </w:t>
      </w:r>
      <w:r w:rsidRPr="00A93852">
        <w:rPr>
          <w:i/>
          <w:iCs/>
          <w:lang w:val="es-ES"/>
        </w:rPr>
        <w:t>in situ</w:t>
      </w:r>
      <w:r w:rsidRPr="00A93852">
        <w:rPr>
          <w:lang w:val="es-ES"/>
        </w:rPr>
        <w:t xml:space="preserve"> enriquece su programa y sus resultados, gracias a las frecuentes interacciones formales e informales entre los participantes. Creará un vínculo identitario con los participantes del continente anfitrión, dado que se reunirán en un evento celebrado en su capital diplomática.</w:t>
      </w:r>
      <w:r w:rsidRPr="00A93852">
        <w:rPr>
          <w:b/>
          <w:lang w:val="es-ES"/>
        </w:rPr>
        <w:t xml:space="preserve"> </w:t>
      </w:r>
      <w:r w:rsidRPr="00A93852">
        <w:rPr>
          <w:lang w:val="es-ES"/>
        </w:rPr>
        <w:t xml:space="preserve">Una conferencia </w:t>
      </w:r>
      <w:r w:rsidRPr="00A93852">
        <w:rPr>
          <w:i/>
          <w:iCs/>
          <w:lang w:val="es-ES"/>
        </w:rPr>
        <w:t>in situ</w:t>
      </w:r>
      <w:r w:rsidRPr="00A93852">
        <w:rPr>
          <w:lang w:val="es-ES"/>
        </w:rPr>
        <w:t xml:space="preserve"> permitirá a otros países africanos mostrar sus programas de desarrollo de las telecomunicaciones y las TIC a la comunidad internacional.</w:t>
      </w:r>
      <w:r w:rsidR="00704705">
        <w:rPr>
          <w:lang w:val="es-ES"/>
        </w:rPr>
        <w:t xml:space="preserve"> </w:t>
      </w:r>
      <w:r w:rsidRPr="00A93852">
        <w:rPr>
          <w:lang w:val="es-ES"/>
        </w:rPr>
        <w:t>También contribuirá a generar confianza en la organización de eventos internacionales similares de alto nivel.</w:t>
      </w:r>
    </w:p>
    <w:p w14:paraId="72107679" w14:textId="1B4A106F" w:rsidR="00A93852" w:rsidRPr="00257CFB" w:rsidRDefault="00A93852" w:rsidP="000C7899">
      <w:pPr>
        <w:rPr>
          <w:bCs/>
          <w:lang w:val="es-ES"/>
        </w:rPr>
      </w:pPr>
      <w:r w:rsidRPr="002E3E62">
        <w:rPr>
          <w:bCs/>
          <w:lang w:val="es-ES"/>
        </w:rPr>
        <w:t>3.5</w:t>
      </w:r>
      <w:r w:rsidR="000C7899" w:rsidRPr="002E3E62">
        <w:rPr>
          <w:bCs/>
          <w:lang w:val="es-ES"/>
        </w:rPr>
        <w:tab/>
      </w:r>
      <w:r w:rsidRPr="00A93852">
        <w:rPr>
          <w:b/>
          <w:lang w:val="es-ES"/>
        </w:rPr>
        <w:t>Los contras</w:t>
      </w:r>
      <w:r w:rsidRPr="00704705">
        <w:rPr>
          <w:bCs/>
          <w:lang w:val="es-ES"/>
        </w:rPr>
        <w:t xml:space="preserve">: </w:t>
      </w:r>
      <w:r w:rsidR="00704705">
        <w:rPr>
          <w:lang w:val="es-ES"/>
        </w:rPr>
        <w:t>p</w:t>
      </w:r>
      <w:r w:rsidRPr="00A93852">
        <w:rPr>
          <w:lang w:val="es-ES"/>
        </w:rPr>
        <w:t>uede que la COVID-19 siga planteando dificultades durante la CMDT-21 y después de ella. Debido a la COVID-19, la asistencia puede ser mucho menor de lo esperado.</w:t>
      </w:r>
    </w:p>
    <w:p w14:paraId="7C9DFB5C" w14:textId="77777777" w:rsidR="00A93852" w:rsidRPr="00A93852" w:rsidRDefault="00A93852" w:rsidP="000C7899">
      <w:pPr>
        <w:pStyle w:val="Headingb"/>
        <w:rPr>
          <w:u w:val="single"/>
          <w:lang w:val="es-ES"/>
        </w:rPr>
      </w:pPr>
      <w:bookmarkStart w:id="6" w:name="_Toc66256796"/>
      <w:r w:rsidRPr="002E3E62">
        <w:rPr>
          <w:u w:val="single"/>
          <w:lang w:val="es-ES"/>
        </w:rPr>
        <w:t>Opción 2: Evento híbrido</w:t>
      </w:r>
      <w:bookmarkEnd w:id="6"/>
    </w:p>
    <w:p w14:paraId="53C0FEEB" w14:textId="43795896" w:rsidR="00A93852" w:rsidRPr="00704705" w:rsidRDefault="00A93852" w:rsidP="000C7899">
      <w:pPr>
        <w:rPr>
          <w:lang w:val="es-ES"/>
        </w:rPr>
      </w:pPr>
      <w:r w:rsidRPr="002E3E62">
        <w:rPr>
          <w:bCs/>
          <w:lang w:val="es-ES"/>
        </w:rPr>
        <w:t>3.6</w:t>
      </w:r>
      <w:r w:rsidR="000C7899" w:rsidRPr="002E3E62">
        <w:rPr>
          <w:bCs/>
          <w:lang w:val="es-ES"/>
        </w:rPr>
        <w:tab/>
      </w:r>
      <w:r w:rsidRPr="00A93852">
        <w:rPr>
          <w:b/>
          <w:lang w:val="es-ES"/>
        </w:rPr>
        <w:t>Los pros</w:t>
      </w:r>
      <w:r w:rsidRPr="00704705">
        <w:rPr>
          <w:bCs/>
          <w:lang w:val="es-ES"/>
        </w:rPr>
        <w:t xml:space="preserve">: </w:t>
      </w:r>
      <w:r w:rsidR="00704705">
        <w:rPr>
          <w:lang w:val="es-ES"/>
        </w:rPr>
        <w:t>l</w:t>
      </w:r>
      <w:r w:rsidRPr="00A93852">
        <w:rPr>
          <w:lang w:val="es-ES"/>
        </w:rPr>
        <w:t xml:space="preserve">a celebración de la CMDT-21 </w:t>
      </w:r>
      <w:r w:rsidRPr="00A93852">
        <w:rPr>
          <w:i/>
          <w:iCs/>
          <w:lang w:val="es-ES"/>
        </w:rPr>
        <w:t>in situ</w:t>
      </w:r>
      <w:r w:rsidRPr="00A93852">
        <w:rPr>
          <w:lang w:val="es-ES"/>
        </w:rPr>
        <w:t xml:space="preserve"> y en línea, afrontando los retos de la COVID</w:t>
      </w:r>
      <w:r w:rsidR="000C7899">
        <w:rPr>
          <w:lang w:val="es-ES"/>
        </w:rPr>
        <w:noBreakHyphen/>
      </w:r>
      <w:r w:rsidRPr="00A93852">
        <w:rPr>
          <w:lang w:val="es-ES"/>
        </w:rPr>
        <w:t>19 de una manera adaptada a la nueva normalidad, hará de este evento un ejemplo de buenas prácticas para otras conferencias similares. Etiopía puede aconsejar a los Estados Miembros de la UIT, en función de sus necesidades y en aras del interés de la CMDT-21, que envíen a representantes que ya estén vacunados contra la COVID-19. Un evento híbrido permite lograr parcialmente los pros indicados en la primera opción.</w:t>
      </w:r>
      <w:r w:rsidR="00704705">
        <w:rPr>
          <w:lang w:val="es-ES"/>
        </w:rPr>
        <w:t xml:space="preserve"> </w:t>
      </w:r>
      <w:r w:rsidRPr="00A93852">
        <w:rPr>
          <w:lang w:val="es-ES"/>
        </w:rPr>
        <w:t>Rompe parcialmente la monotonía de los eventos virtuales y permite que las personas se relacionen entre sí. Da visibilidad al continente anfitrión.</w:t>
      </w:r>
    </w:p>
    <w:p w14:paraId="2E005903" w14:textId="6DE74793" w:rsidR="00A93852" w:rsidRPr="00704705" w:rsidRDefault="00A93852" w:rsidP="00A36AD0">
      <w:pPr>
        <w:rPr>
          <w:lang w:val="es-ES"/>
        </w:rPr>
      </w:pPr>
      <w:r w:rsidRPr="002E3E62">
        <w:rPr>
          <w:bCs/>
          <w:lang w:val="es-ES"/>
        </w:rPr>
        <w:t>3.7</w:t>
      </w:r>
      <w:r w:rsidR="00A36AD0" w:rsidRPr="002E3E62">
        <w:rPr>
          <w:bCs/>
          <w:lang w:val="es-ES"/>
        </w:rPr>
        <w:tab/>
      </w:r>
      <w:r w:rsidRPr="00A93852">
        <w:rPr>
          <w:b/>
          <w:lang w:val="es-ES"/>
        </w:rPr>
        <w:t>Los contras</w:t>
      </w:r>
      <w:r w:rsidRPr="00704705">
        <w:rPr>
          <w:bCs/>
          <w:lang w:val="es-ES"/>
        </w:rPr>
        <w:t xml:space="preserve">: </w:t>
      </w:r>
      <w:r w:rsidR="00704705">
        <w:rPr>
          <w:lang w:val="es-ES"/>
        </w:rPr>
        <w:t>l</w:t>
      </w:r>
      <w:r w:rsidRPr="00A93852">
        <w:rPr>
          <w:lang w:val="es-ES"/>
        </w:rPr>
        <w:t>a dificultad de mantener activa la presencia de los participantes en línea y la complejidad tecnológica de encontrar una plataforma de gestión de conferencias que sea fácil de usar son algunos de los retos inherentes a la celebración de una conferencia presencial y en línea.</w:t>
      </w:r>
      <w:r w:rsidRPr="00A93852">
        <w:rPr>
          <w:b/>
          <w:lang w:val="es-ES"/>
        </w:rPr>
        <w:t xml:space="preserve"> </w:t>
      </w:r>
      <w:r w:rsidRPr="00A93852">
        <w:rPr>
          <w:lang w:val="es-ES"/>
        </w:rPr>
        <w:t>Los Miembros de la UIT no han sido partidarios de los eventos híbridos porque no todos los Miembros pueden participar en igualdad de condiciones.</w:t>
      </w:r>
    </w:p>
    <w:p w14:paraId="5E63812F" w14:textId="77777777" w:rsidR="00A93852" w:rsidRPr="00A93852" w:rsidRDefault="00A93852" w:rsidP="00A36AD0">
      <w:pPr>
        <w:pStyle w:val="Headingb"/>
        <w:rPr>
          <w:u w:val="single"/>
          <w:lang w:val="es-ES"/>
        </w:rPr>
      </w:pPr>
      <w:bookmarkStart w:id="7" w:name="_Toc66256797"/>
      <w:r w:rsidRPr="00353A40">
        <w:rPr>
          <w:u w:val="single"/>
          <w:lang w:val="es-ES"/>
        </w:rPr>
        <w:t>Opción 3: Evento virtual</w:t>
      </w:r>
      <w:bookmarkEnd w:id="7"/>
    </w:p>
    <w:p w14:paraId="2A5FD1A6" w14:textId="7785FE09" w:rsidR="00A93852" w:rsidRPr="00704705" w:rsidRDefault="00A93852" w:rsidP="00A36AD0">
      <w:pPr>
        <w:rPr>
          <w:lang w:val="es-ES"/>
        </w:rPr>
      </w:pPr>
      <w:r w:rsidRPr="002E3E62">
        <w:rPr>
          <w:bCs/>
          <w:lang w:val="es-ES"/>
        </w:rPr>
        <w:t>3.8</w:t>
      </w:r>
      <w:r w:rsidR="00A36AD0" w:rsidRPr="002E3E62">
        <w:rPr>
          <w:bCs/>
          <w:lang w:val="es-ES"/>
        </w:rPr>
        <w:tab/>
      </w:r>
      <w:r w:rsidRPr="00A93852">
        <w:rPr>
          <w:b/>
          <w:lang w:val="es-ES"/>
        </w:rPr>
        <w:t>Los pros</w:t>
      </w:r>
      <w:r w:rsidRPr="00A349EC">
        <w:rPr>
          <w:bCs/>
          <w:lang w:val="es-ES"/>
        </w:rPr>
        <w:t xml:space="preserve">: </w:t>
      </w:r>
      <w:r w:rsidR="00704705" w:rsidRPr="00A93852">
        <w:rPr>
          <w:lang w:val="es-ES"/>
        </w:rPr>
        <w:t>m</w:t>
      </w:r>
      <w:r w:rsidRPr="00A93852">
        <w:rPr>
          <w:lang w:val="es-ES"/>
        </w:rPr>
        <w:t xml:space="preserve">enor exposición a la COVID-19, menores complicaciones logísticas y de gestión de la </w:t>
      </w:r>
      <w:r w:rsidR="00666FB2">
        <w:rPr>
          <w:lang w:val="es-ES"/>
        </w:rPr>
        <w:t>c</w:t>
      </w:r>
      <w:r w:rsidRPr="00A93852">
        <w:rPr>
          <w:lang w:val="es-ES"/>
        </w:rPr>
        <w:t>onferencia.</w:t>
      </w:r>
    </w:p>
    <w:p w14:paraId="38FAA486" w14:textId="7DAB6E5B" w:rsidR="00A93852" w:rsidRPr="00704705" w:rsidRDefault="00A93852" w:rsidP="00A36AD0">
      <w:pPr>
        <w:rPr>
          <w:lang w:val="es-ES"/>
        </w:rPr>
      </w:pPr>
      <w:r w:rsidRPr="002E3E62">
        <w:rPr>
          <w:bCs/>
          <w:lang w:val="es-ES"/>
        </w:rPr>
        <w:t>3.9</w:t>
      </w:r>
      <w:r w:rsidR="00A36AD0" w:rsidRPr="002E3E62">
        <w:rPr>
          <w:bCs/>
          <w:lang w:val="es-ES"/>
        </w:rPr>
        <w:tab/>
      </w:r>
      <w:r w:rsidRPr="00A93852">
        <w:rPr>
          <w:b/>
          <w:lang w:val="es-ES"/>
        </w:rPr>
        <w:t>Los contras</w:t>
      </w:r>
      <w:r w:rsidRPr="00704705">
        <w:rPr>
          <w:bCs/>
          <w:lang w:val="es-ES"/>
        </w:rPr>
        <w:t xml:space="preserve">: </w:t>
      </w:r>
      <w:r w:rsidR="00704705" w:rsidRPr="00A93852">
        <w:rPr>
          <w:lang w:val="es-ES"/>
        </w:rPr>
        <w:t>l</w:t>
      </w:r>
      <w:r w:rsidRPr="00A93852">
        <w:rPr>
          <w:lang w:val="es-ES"/>
        </w:rPr>
        <w:t xml:space="preserve">a CMDT-21 no disfrutaría de las ventajas indicadas en las opciones 1 y 2. La organización de una </w:t>
      </w:r>
      <w:r w:rsidR="00306884">
        <w:rPr>
          <w:lang w:val="es-ES"/>
        </w:rPr>
        <w:t>c</w:t>
      </w:r>
      <w:r w:rsidRPr="00A93852">
        <w:rPr>
          <w:lang w:val="es-ES"/>
        </w:rPr>
        <w:t>onferencia totalmente virtual puede plantear problemas tecnológicos. Las sesiones virtuales suelen resultar largas y monótonas y, dependiendo de los husos horarios, la asistencia puede ser complicada.</w:t>
      </w:r>
    </w:p>
    <w:p w14:paraId="02866CA5" w14:textId="46CAF786" w:rsidR="00A93852" w:rsidRPr="00A93852" w:rsidRDefault="00A93852" w:rsidP="00A36AD0">
      <w:pPr>
        <w:pStyle w:val="Headingb"/>
        <w:rPr>
          <w:u w:val="single"/>
          <w:lang w:val="es-ES"/>
        </w:rPr>
      </w:pPr>
      <w:bookmarkStart w:id="8" w:name="_Toc66256798"/>
      <w:r w:rsidRPr="00353A40">
        <w:rPr>
          <w:u w:val="single"/>
          <w:lang w:val="es-ES"/>
        </w:rPr>
        <w:t xml:space="preserve">Opción 4: Aplazamiento de la </w:t>
      </w:r>
      <w:r w:rsidR="00666FB2">
        <w:rPr>
          <w:u w:val="single"/>
          <w:lang w:val="es-ES"/>
        </w:rPr>
        <w:t>c</w:t>
      </w:r>
      <w:r w:rsidRPr="00353A40">
        <w:rPr>
          <w:u w:val="single"/>
          <w:lang w:val="es-ES"/>
        </w:rPr>
        <w:t>onferencia</w:t>
      </w:r>
      <w:bookmarkEnd w:id="8"/>
    </w:p>
    <w:p w14:paraId="7A029FC0" w14:textId="5357A3F8" w:rsidR="00A93852" w:rsidRPr="002E3E62" w:rsidRDefault="00A93852" w:rsidP="00A36AD0">
      <w:pPr>
        <w:rPr>
          <w:bCs/>
          <w:lang w:val="es-ES"/>
        </w:rPr>
      </w:pPr>
      <w:r w:rsidRPr="002E3E62">
        <w:rPr>
          <w:bCs/>
          <w:lang w:val="es-ES"/>
        </w:rPr>
        <w:t>3.10</w:t>
      </w:r>
      <w:r w:rsidR="00A36AD0" w:rsidRPr="002E3E62">
        <w:rPr>
          <w:bCs/>
          <w:lang w:val="es-ES"/>
        </w:rPr>
        <w:tab/>
      </w:r>
      <w:r w:rsidRPr="00A93852">
        <w:rPr>
          <w:b/>
          <w:lang w:val="es-ES"/>
        </w:rPr>
        <w:t>Los pros</w:t>
      </w:r>
      <w:r w:rsidRPr="00A349EC">
        <w:rPr>
          <w:bCs/>
          <w:lang w:val="es-ES"/>
        </w:rPr>
        <w:t xml:space="preserve">: </w:t>
      </w:r>
      <w:r w:rsidR="00704705">
        <w:rPr>
          <w:lang w:val="es-ES"/>
        </w:rPr>
        <w:t>l</w:t>
      </w:r>
      <w:r w:rsidRPr="00A93852">
        <w:rPr>
          <w:lang w:val="es-ES"/>
        </w:rPr>
        <w:t xml:space="preserve">a mayoría de las dificultades derivadas de la COVID-19 pueden solventarse a nivel mundial, creando un entorno adecuado para acoger la </w:t>
      </w:r>
      <w:r w:rsidR="00666FB2">
        <w:rPr>
          <w:lang w:val="es-ES"/>
        </w:rPr>
        <w:t>c</w:t>
      </w:r>
      <w:r w:rsidRPr="00A93852">
        <w:rPr>
          <w:lang w:val="es-ES"/>
        </w:rPr>
        <w:t>onferencia. Por lo tanto, los pros de la opción 1 también se aplicarían en este caso. Al igual que en la opción 2, Etiopía puede aconsejar a los Estados Miembros de la UIT, en función de sus necesidades y en aras del interés de la CMDT</w:t>
      </w:r>
      <w:r w:rsidR="00A36AD0">
        <w:rPr>
          <w:lang w:val="es-ES"/>
        </w:rPr>
        <w:noBreakHyphen/>
      </w:r>
      <w:r w:rsidRPr="00A93852">
        <w:rPr>
          <w:lang w:val="es-ES"/>
        </w:rPr>
        <w:t>21, que envíen a representantes que ya estén vacunados contra la COVID-19. La proyección de la situación de la COVID-19 puede clarificarse a finales de 2021.</w:t>
      </w:r>
      <w:r w:rsidRPr="00A93852">
        <w:rPr>
          <w:b/>
          <w:lang w:val="es-ES"/>
        </w:rPr>
        <w:t xml:space="preserve"> </w:t>
      </w:r>
      <w:r w:rsidRPr="00A93852">
        <w:rPr>
          <w:lang w:val="es-ES"/>
        </w:rPr>
        <w:t>Para entonces, la mayoría de los participantes habrán recibido sus vacunas contra la COVID-19, por lo que la transmisión podría reducirse sustancialmente.</w:t>
      </w:r>
    </w:p>
    <w:p w14:paraId="51B7703A" w14:textId="5C4CB3BA" w:rsidR="00A93852" w:rsidRPr="00A93852" w:rsidRDefault="00A93852" w:rsidP="00A36AD0">
      <w:pPr>
        <w:rPr>
          <w:lang w:val="es-ES"/>
        </w:rPr>
      </w:pPr>
      <w:r w:rsidRPr="00A93852">
        <w:rPr>
          <w:lang w:val="es-ES"/>
        </w:rPr>
        <w:lastRenderedPageBreak/>
        <w:t>3.11</w:t>
      </w:r>
      <w:r w:rsidR="00A36AD0">
        <w:rPr>
          <w:lang w:val="es-ES"/>
        </w:rPr>
        <w:tab/>
      </w:r>
      <w:r w:rsidRPr="00A93852">
        <w:rPr>
          <w:lang w:val="es-ES"/>
        </w:rPr>
        <w:t>Para el verano de 2022, cabe esperar que la mayoría de las medidas preventivas puedan haber revertido la situación hasta el punto de contener la pandemia. El despliegue de la vacunación en Etiopía habrá llegado a buena parte de la comunidad, por lo que la situación será más segura cuanto mayor sea el tiempo de se disponga. Sin duda, si la CMDT se pospone hasta el verano de 2022, la disponibilidad, la asequibilidad y la accesibilidad de los medicamentos y equipos de protección personal serán mucho más seguras.</w:t>
      </w:r>
    </w:p>
    <w:p w14:paraId="05594BFF" w14:textId="5B073163" w:rsidR="00A93852" w:rsidRPr="00A93852" w:rsidRDefault="00A93852" w:rsidP="00A36AD0">
      <w:pPr>
        <w:rPr>
          <w:b/>
          <w:bCs/>
          <w:lang w:val="es-ES"/>
        </w:rPr>
      </w:pPr>
      <w:r w:rsidRPr="00353A40">
        <w:rPr>
          <w:bCs/>
          <w:lang w:val="es-ES"/>
        </w:rPr>
        <w:t>3.12</w:t>
      </w:r>
      <w:r w:rsidR="00A36AD0" w:rsidRPr="00353A40">
        <w:rPr>
          <w:bCs/>
          <w:lang w:val="es-ES"/>
        </w:rPr>
        <w:tab/>
      </w:r>
      <w:r w:rsidRPr="00A93852">
        <w:rPr>
          <w:b/>
          <w:lang w:val="es-ES"/>
        </w:rPr>
        <w:t>Los contras</w:t>
      </w:r>
      <w:r w:rsidRPr="004F4AD1">
        <w:rPr>
          <w:bCs/>
          <w:lang w:val="es-ES"/>
        </w:rPr>
        <w:t>:</w:t>
      </w:r>
      <w:r w:rsidRPr="00704705">
        <w:rPr>
          <w:bCs/>
          <w:lang w:val="es-ES"/>
        </w:rPr>
        <w:t xml:space="preserve"> </w:t>
      </w:r>
      <w:r w:rsidR="004F4AD1">
        <w:rPr>
          <w:lang w:val="es-ES"/>
        </w:rPr>
        <w:t>l</w:t>
      </w:r>
      <w:r w:rsidRPr="00A93852">
        <w:rPr>
          <w:lang w:val="es-ES"/>
        </w:rPr>
        <w:t>a COVID-19 podría seguir planteando dificultades.</w:t>
      </w:r>
      <w:r w:rsidR="00353A40">
        <w:rPr>
          <w:lang w:val="es-ES"/>
        </w:rPr>
        <w:t xml:space="preserve"> </w:t>
      </w:r>
      <w:r w:rsidRPr="00A93852">
        <w:rPr>
          <w:lang w:val="es-ES"/>
        </w:rPr>
        <w:t>Podrían coincidir en el tiempo diversos eventos mundiales en el mismo país anfitrión y a cargo de los mismos organizadores.</w:t>
      </w:r>
      <w:r w:rsidR="00353A40">
        <w:rPr>
          <w:lang w:val="es-ES"/>
        </w:rPr>
        <w:t xml:space="preserve"> </w:t>
      </w:r>
      <w:r w:rsidRPr="00A93852">
        <w:rPr>
          <w:lang w:val="es-ES"/>
        </w:rPr>
        <w:t>Los contras indicados en la opción 1 también se aplicarían en este caso.</w:t>
      </w:r>
    </w:p>
    <w:p w14:paraId="4DC530D4" w14:textId="18B3C804" w:rsidR="00A93852" w:rsidRPr="00A93852" w:rsidRDefault="00A93852" w:rsidP="00A36AD0">
      <w:pPr>
        <w:pStyle w:val="Headingb"/>
        <w:rPr>
          <w:lang w:val="es-ES"/>
        </w:rPr>
      </w:pPr>
      <w:r w:rsidRPr="00893BB1">
        <w:rPr>
          <w:lang w:val="es-ES"/>
        </w:rPr>
        <w:t>Comentarios y opiniones de los participantes</w:t>
      </w:r>
    </w:p>
    <w:p w14:paraId="20EF21E3" w14:textId="5DA49579" w:rsidR="00A93852" w:rsidRPr="00A93852" w:rsidRDefault="00A93852" w:rsidP="00A36AD0">
      <w:pPr>
        <w:rPr>
          <w:lang w:val="es-ES"/>
        </w:rPr>
      </w:pPr>
      <w:r w:rsidRPr="00A93852">
        <w:rPr>
          <w:lang w:val="es-ES"/>
        </w:rPr>
        <w:t>3.13</w:t>
      </w:r>
      <w:r w:rsidR="00A36AD0">
        <w:rPr>
          <w:lang w:val="es-ES"/>
        </w:rPr>
        <w:tab/>
      </w:r>
      <w:r w:rsidRPr="00A93852">
        <w:rPr>
          <w:lang w:val="es-ES"/>
        </w:rPr>
        <w:t xml:space="preserve">Varias delegaciones se mostraron partidarias de la opción 1, si la situación de la COVID-19 mejora a nivel mundial, pero si persisten los problemas la </w:t>
      </w:r>
      <w:r w:rsidR="00666FB2">
        <w:rPr>
          <w:lang w:val="es-ES"/>
        </w:rPr>
        <w:t>c</w:t>
      </w:r>
      <w:r w:rsidRPr="00A93852">
        <w:rPr>
          <w:lang w:val="es-ES"/>
        </w:rPr>
        <w:t>onferencia debería posponerse (opción</w:t>
      </w:r>
      <w:r w:rsidR="00A36AD0">
        <w:rPr>
          <w:lang w:val="es-ES"/>
        </w:rPr>
        <w:t> </w:t>
      </w:r>
      <w:r w:rsidRPr="00A93852">
        <w:rPr>
          <w:lang w:val="es-ES"/>
        </w:rPr>
        <w:t xml:space="preserve">4). Esta opinión fue expresada principalmente por los delegados de </w:t>
      </w:r>
      <w:r w:rsidRPr="00A93852">
        <w:rPr>
          <w:b/>
          <w:bCs/>
          <w:lang w:val="es-ES"/>
        </w:rPr>
        <w:t>Canadá</w:t>
      </w:r>
      <w:r w:rsidRPr="00A93852">
        <w:rPr>
          <w:lang w:val="es-ES"/>
        </w:rPr>
        <w:t xml:space="preserve">, </w:t>
      </w:r>
      <w:r w:rsidRPr="00A93852">
        <w:rPr>
          <w:b/>
          <w:bCs/>
          <w:lang w:val="es-ES"/>
        </w:rPr>
        <w:t>Burkina Faso</w:t>
      </w:r>
      <w:r w:rsidRPr="00A93852">
        <w:rPr>
          <w:lang w:val="es-ES"/>
        </w:rPr>
        <w:t xml:space="preserve">, </w:t>
      </w:r>
      <w:r w:rsidRPr="00A93852">
        <w:rPr>
          <w:b/>
          <w:bCs/>
          <w:lang w:val="es-ES"/>
        </w:rPr>
        <w:t>Ghana</w:t>
      </w:r>
      <w:r w:rsidRPr="00A93852">
        <w:rPr>
          <w:lang w:val="es-ES"/>
        </w:rPr>
        <w:t xml:space="preserve">, </w:t>
      </w:r>
      <w:r w:rsidRPr="00A93852">
        <w:rPr>
          <w:b/>
          <w:lang w:val="es-ES"/>
        </w:rPr>
        <w:t>Kenya</w:t>
      </w:r>
      <w:r w:rsidRPr="00893BB1">
        <w:rPr>
          <w:bCs/>
          <w:lang w:val="es-ES"/>
        </w:rPr>
        <w:t xml:space="preserve">, </w:t>
      </w:r>
      <w:r w:rsidRPr="00A93852">
        <w:rPr>
          <w:b/>
          <w:lang w:val="es-ES"/>
        </w:rPr>
        <w:t>Nigeria</w:t>
      </w:r>
      <w:r w:rsidRPr="00893BB1">
        <w:rPr>
          <w:bCs/>
          <w:lang w:val="es-ES"/>
        </w:rPr>
        <w:t xml:space="preserve">, </w:t>
      </w:r>
      <w:r w:rsidRPr="00A93852">
        <w:rPr>
          <w:b/>
          <w:lang w:val="es-ES"/>
        </w:rPr>
        <w:t>Zimbabwe</w:t>
      </w:r>
      <w:r w:rsidRPr="00A93852">
        <w:rPr>
          <w:lang w:val="es-ES"/>
        </w:rPr>
        <w:t xml:space="preserve"> (también en nombre de la UAT), y </w:t>
      </w:r>
      <w:r w:rsidRPr="00A93852">
        <w:rPr>
          <w:b/>
          <w:bCs/>
          <w:lang w:val="es-ES"/>
        </w:rPr>
        <w:t>Egipto</w:t>
      </w:r>
      <w:r w:rsidRPr="00A93852">
        <w:rPr>
          <w:lang w:val="es-ES"/>
        </w:rPr>
        <w:t xml:space="preserve"> preguntó si en el caso de la opción 1 habría limitación en el número de participantes de una delegación; y </w:t>
      </w:r>
      <w:r w:rsidRPr="00A93852">
        <w:rPr>
          <w:b/>
          <w:bCs/>
          <w:lang w:val="es-ES"/>
        </w:rPr>
        <w:t>Côte d'Ivoire</w:t>
      </w:r>
      <w:r w:rsidRPr="00A93852">
        <w:rPr>
          <w:lang w:val="es-ES"/>
        </w:rPr>
        <w:t xml:space="preserve"> sugirió que podría ser necesario estudiar el aplazamiento de la Conferencia de Plenipotenciarios de 2022 a 2023 para armonizarla con la Conferencia Mundial de Radiocomunicaciones (CMR-23), dado que la Asamblea Mundial de Normalización de las Telecomunicaciones (AMNT) ya se había aplazado una vez, de 2020 a 2022.</w:t>
      </w:r>
    </w:p>
    <w:p w14:paraId="10F3D863" w14:textId="6FCD947D" w:rsidR="00A93852" w:rsidRPr="00A93852" w:rsidRDefault="00A93852" w:rsidP="00A36AD0">
      <w:pPr>
        <w:rPr>
          <w:lang w:val="es-ES"/>
        </w:rPr>
      </w:pPr>
      <w:r w:rsidRPr="00A93852">
        <w:rPr>
          <w:lang w:val="es-ES"/>
        </w:rPr>
        <w:t>3.14</w:t>
      </w:r>
      <w:r w:rsidR="00A36AD0">
        <w:rPr>
          <w:lang w:val="es-ES"/>
        </w:rPr>
        <w:tab/>
      </w:r>
      <w:r w:rsidRPr="00A93852">
        <w:rPr>
          <w:lang w:val="es-ES"/>
        </w:rPr>
        <w:t>Otras delegaciones opinaron que, si bien el despliegue de las vacunas es al menos un motivo de optimismo, las infecciones siguen obligando a los Gobiernos de todo el mundo a confinar a la población, por lo que es preferible posponer la CMDT sin demora.</w:t>
      </w:r>
    </w:p>
    <w:p w14:paraId="75C0F60C" w14:textId="682B3964" w:rsidR="00A93852" w:rsidRPr="00A93852" w:rsidRDefault="00A93852" w:rsidP="00A36AD0">
      <w:pPr>
        <w:rPr>
          <w:lang w:val="es-ES"/>
        </w:rPr>
      </w:pPr>
      <w:r w:rsidRPr="00A93852">
        <w:rPr>
          <w:lang w:val="es-ES"/>
        </w:rPr>
        <w:t>3.15</w:t>
      </w:r>
      <w:r w:rsidR="00A36AD0">
        <w:rPr>
          <w:lang w:val="es-ES"/>
        </w:rPr>
        <w:tab/>
      </w:r>
      <w:r w:rsidRPr="00A93852">
        <w:rPr>
          <w:lang w:val="es-ES"/>
        </w:rPr>
        <w:t xml:space="preserve">El delegado de </w:t>
      </w:r>
      <w:r w:rsidRPr="00A36AD0">
        <w:rPr>
          <w:b/>
          <w:bCs/>
          <w:lang w:val="es-ES"/>
        </w:rPr>
        <w:t>Rumania, en nombre de la CEPT</w:t>
      </w:r>
      <w:r w:rsidRPr="00A93852">
        <w:rPr>
          <w:lang w:val="es-ES"/>
        </w:rPr>
        <w:t xml:space="preserve"> y como país anfitrión de la Conferencia de Plenipotenciarios prevista para 2022, subrayó la necesidad de </w:t>
      </w:r>
      <w:r w:rsidRPr="00A36AD0">
        <w:rPr>
          <w:b/>
          <w:bCs/>
          <w:lang w:val="es-ES"/>
        </w:rPr>
        <w:t>tomar una decisión rápidamente, al menos seis meses antes de las fechas previstas para la CMDT-21</w:t>
      </w:r>
      <w:r w:rsidRPr="00A93852">
        <w:rPr>
          <w:lang w:val="es-ES"/>
        </w:rPr>
        <w:t>.</w:t>
      </w:r>
    </w:p>
    <w:p w14:paraId="06AC3162" w14:textId="2BF67436" w:rsidR="00A93852" w:rsidRPr="00A93852" w:rsidRDefault="00A93852" w:rsidP="00A36AD0">
      <w:pPr>
        <w:rPr>
          <w:lang w:val="es-ES"/>
        </w:rPr>
      </w:pPr>
      <w:r w:rsidRPr="00666FB2">
        <w:rPr>
          <w:bCs/>
          <w:lang w:val="es-ES"/>
        </w:rPr>
        <w:t>3.16</w:t>
      </w:r>
      <w:r w:rsidR="00A36AD0">
        <w:rPr>
          <w:b/>
          <w:lang w:val="es-ES"/>
        </w:rPr>
        <w:tab/>
      </w:r>
      <w:r w:rsidRPr="00A93852">
        <w:rPr>
          <w:lang w:val="es-ES"/>
        </w:rPr>
        <w:t xml:space="preserve">El delegado de </w:t>
      </w:r>
      <w:r w:rsidRPr="00A93852">
        <w:rPr>
          <w:b/>
          <w:lang w:val="es-ES"/>
        </w:rPr>
        <w:t>Arabia Saudita, en nombre del Grupo Árabe</w:t>
      </w:r>
      <w:r w:rsidRPr="00A93852">
        <w:rPr>
          <w:lang w:val="es-ES"/>
        </w:rPr>
        <w:t>, abogó por el aplazamiento, afirmando que la opción 4 es una posibilidad muy acertada porque aclara las cosas de inmediato, por cuanto permite que el país anfitrión se prepare adecuadamente. De la misma manera que hubo que posponer la AMNT, la CMDT-21 debería aplazarse hasta que pueda celebrarse en condiciones suficientemente seguras.</w:t>
      </w:r>
    </w:p>
    <w:p w14:paraId="16EF3C5E" w14:textId="71CD601D" w:rsidR="00A93852" w:rsidRPr="00A93852" w:rsidRDefault="00A93852" w:rsidP="00A36AD0">
      <w:pPr>
        <w:rPr>
          <w:lang w:val="es-ES"/>
        </w:rPr>
      </w:pPr>
      <w:r w:rsidRPr="00666FB2">
        <w:rPr>
          <w:bCs/>
          <w:lang w:val="es-ES"/>
        </w:rPr>
        <w:t>3.17</w:t>
      </w:r>
      <w:r w:rsidR="00A36AD0">
        <w:rPr>
          <w:b/>
          <w:lang w:val="es-ES"/>
        </w:rPr>
        <w:tab/>
      </w:r>
      <w:r w:rsidRPr="00A93852">
        <w:rPr>
          <w:lang w:val="es-ES"/>
        </w:rPr>
        <w:t>El delegado de</w:t>
      </w:r>
      <w:r w:rsidRPr="00A93852">
        <w:rPr>
          <w:b/>
          <w:lang w:val="es-ES"/>
        </w:rPr>
        <w:t xml:space="preserve"> Tailandia</w:t>
      </w:r>
      <w:r w:rsidRPr="00A93852">
        <w:rPr>
          <w:lang w:val="es-ES"/>
        </w:rPr>
        <w:t>, tras mostrar su apoyo al cronograma propuesto por</w:t>
      </w:r>
      <w:r w:rsidRPr="00A93852">
        <w:rPr>
          <w:b/>
          <w:lang w:val="es-ES"/>
        </w:rPr>
        <w:t xml:space="preserve"> R</w:t>
      </w:r>
      <w:r w:rsidR="004F4AD1">
        <w:rPr>
          <w:b/>
          <w:lang w:val="es-ES"/>
        </w:rPr>
        <w:t>u</w:t>
      </w:r>
      <w:r w:rsidRPr="00A93852">
        <w:rPr>
          <w:b/>
          <w:lang w:val="es-ES"/>
        </w:rPr>
        <w:t>mania</w:t>
      </w:r>
      <w:r w:rsidRPr="00A93852">
        <w:rPr>
          <w:lang w:val="es-ES"/>
        </w:rPr>
        <w:t xml:space="preserve"> para adoptar una decisión, observó que, habida cuenta de la situación de la COVID-19, la opción</w:t>
      </w:r>
      <w:r w:rsidR="00666FB2">
        <w:rPr>
          <w:lang w:val="es-ES"/>
        </w:rPr>
        <w:t> </w:t>
      </w:r>
      <w:r w:rsidRPr="00A93852">
        <w:rPr>
          <w:lang w:val="es-ES"/>
        </w:rPr>
        <w:t>4 parecía la mejor opción, y subrayó que era muy poco probable que todos los países obtuvieran la autorización necesaria para viajar en noviembre de 2021.</w:t>
      </w:r>
    </w:p>
    <w:p w14:paraId="72EBABBA" w14:textId="10070DCD" w:rsidR="00A93852" w:rsidRPr="00A93852" w:rsidRDefault="00A93852" w:rsidP="00A36AD0">
      <w:pPr>
        <w:rPr>
          <w:lang w:val="es-ES"/>
        </w:rPr>
      </w:pPr>
      <w:r w:rsidRPr="00666FB2">
        <w:rPr>
          <w:lang w:val="es-ES"/>
        </w:rPr>
        <w:t>3.18</w:t>
      </w:r>
      <w:r w:rsidR="00A36AD0">
        <w:rPr>
          <w:lang w:val="es-ES"/>
        </w:rPr>
        <w:tab/>
      </w:r>
      <w:r w:rsidRPr="00A93852">
        <w:rPr>
          <w:lang w:val="es-ES"/>
        </w:rPr>
        <w:t xml:space="preserve">Se expresaron varias opiniones sobre la necesidad absoluta de celebrar una conferencia presencial. Las delegaciones son más capaces de resolver sus diferencias cuando no tienen un micrófono delante. Una conferencia en la que se pretende abordar la inclusión tiene que ser un evento presencial porque, como la pandemia de COVID-19 ha puesto de manifiesto, muchos países todavía tienen limitaciones para asegurar una conectividad efectiva a Internet. Además, está la cuestión de la calidad de las conexiones, que representa una dificultad para gestionar una conferencia virtual y podría afectar a la toma de decisiones. Por lo que respecta a los husos horarios, si se toman como referencia las reuniones preparatorias, conviene señalar que estas se limitan a tres horas diarias, mientras que las conferencias presenciales suelen superar las 12 horas diarias. Esto hace que sea prácticamente imposible sustituir una conferencia presencial por una </w:t>
      </w:r>
      <w:r w:rsidRPr="00A93852">
        <w:rPr>
          <w:lang w:val="es-ES"/>
        </w:rPr>
        <w:lastRenderedPageBreak/>
        <w:t xml:space="preserve">virtual, opinión expresada principalmente por el delegado de </w:t>
      </w:r>
      <w:r w:rsidRPr="00A93852">
        <w:rPr>
          <w:b/>
          <w:bCs/>
          <w:lang w:val="es-ES"/>
        </w:rPr>
        <w:t>Ghana</w:t>
      </w:r>
      <w:r w:rsidRPr="00A93852">
        <w:rPr>
          <w:lang w:val="es-ES"/>
        </w:rPr>
        <w:t xml:space="preserve">, a lo cual añadió el delegado de </w:t>
      </w:r>
      <w:r w:rsidRPr="00A93852">
        <w:rPr>
          <w:b/>
          <w:bCs/>
          <w:lang w:val="es-ES"/>
        </w:rPr>
        <w:t>Kuwait</w:t>
      </w:r>
      <w:r w:rsidRPr="00A93852">
        <w:rPr>
          <w:lang w:val="es-ES"/>
        </w:rPr>
        <w:t xml:space="preserve"> que, durante la Conferencia de Buenos Aires, los delegados habían trabajado hasta el amanecer examinando resoluciones y adoptando decisiones.</w:t>
      </w:r>
    </w:p>
    <w:p w14:paraId="5627E6A5" w14:textId="0C1FAF98" w:rsidR="00A93852" w:rsidRPr="00A93852" w:rsidRDefault="00A93852" w:rsidP="00A36AD0">
      <w:pPr>
        <w:rPr>
          <w:lang w:val="es-ES"/>
        </w:rPr>
      </w:pPr>
      <w:r w:rsidRPr="00704705">
        <w:rPr>
          <w:bCs/>
          <w:lang w:val="es-ES"/>
        </w:rPr>
        <w:t>3.19</w:t>
      </w:r>
      <w:r w:rsidR="00A36AD0">
        <w:rPr>
          <w:b/>
          <w:lang w:val="es-ES"/>
        </w:rPr>
        <w:tab/>
      </w:r>
      <w:r w:rsidRPr="00A93852">
        <w:rPr>
          <w:lang w:val="es-ES"/>
        </w:rPr>
        <w:t xml:space="preserve">El delegado de los </w:t>
      </w:r>
      <w:r w:rsidRPr="00A93852">
        <w:rPr>
          <w:b/>
          <w:lang w:val="es-ES"/>
        </w:rPr>
        <w:t>Estados Unidos de América</w:t>
      </w:r>
      <w:r w:rsidRPr="00A93852">
        <w:rPr>
          <w:lang w:val="es-ES"/>
        </w:rPr>
        <w:t xml:space="preserve"> subrayó que, tras muchos meses de preparativos de la CMDT-21, con la vista puesta en la asociación y la colaboración y en que sea una </w:t>
      </w:r>
      <w:r w:rsidR="00666FB2">
        <w:rPr>
          <w:lang w:val="es-ES"/>
        </w:rPr>
        <w:t>c</w:t>
      </w:r>
      <w:r w:rsidRPr="00A93852">
        <w:rPr>
          <w:lang w:val="es-ES"/>
        </w:rPr>
        <w:t>onferencia centrada en el desarrollo, un evento presencial es el mejor formato para reunir a personas de todo el mundo con el objetivo de reflexionar sobre los retos a los que se enfrentan en el desarrollo de las TIC.</w:t>
      </w:r>
    </w:p>
    <w:p w14:paraId="53C82D52" w14:textId="3839B4CF" w:rsidR="00A93852" w:rsidRPr="00A93852" w:rsidRDefault="00A93852" w:rsidP="00A36AD0">
      <w:pPr>
        <w:rPr>
          <w:lang w:val="es-ES"/>
        </w:rPr>
      </w:pPr>
      <w:r w:rsidRPr="00A93852">
        <w:rPr>
          <w:lang w:val="es-ES"/>
        </w:rPr>
        <w:t>3.20</w:t>
      </w:r>
      <w:r w:rsidR="00A36AD0">
        <w:rPr>
          <w:lang w:val="es-ES"/>
        </w:rPr>
        <w:tab/>
      </w:r>
      <w:r w:rsidRPr="00A93852">
        <w:rPr>
          <w:lang w:val="es-ES"/>
        </w:rPr>
        <w:t xml:space="preserve">El delegado de la </w:t>
      </w:r>
      <w:r w:rsidRPr="00A93852">
        <w:rPr>
          <w:b/>
          <w:lang w:val="es-ES"/>
        </w:rPr>
        <w:t>Federación de Rusia</w:t>
      </w:r>
      <w:r w:rsidRPr="00A93852">
        <w:rPr>
          <w:lang w:val="es-ES"/>
        </w:rPr>
        <w:t xml:space="preserve"> hizo hincapié en que la CMDT solo puede celebrarse de manera presencial y pidió al Gobierno de Etiopía y a la Secretaría de la BDT que estudien todas las posibilidades de celebrar la </w:t>
      </w:r>
      <w:r w:rsidR="00666FB2">
        <w:rPr>
          <w:lang w:val="es-ES"/>
        </w:rPr>
        <w:t>c</w:t>
      </w:r>
      <w:r w:rsidRPr="00A93852">
        <w:rPr>
          <w:lang w:val="es-ES"/>
        </w:rPr>
        <w:t xml:space="preserve">onferencia en condiciones de seguridad, para que todos los Miembros puedan participar en ella activamente. El delegado pidió que se adopte </w:t>
      </w:r>
      <w:r w:rsidRPr="00A93852">
        <w:rPr>
          <w:b/>
          <w:bCs/>
          <w:lang w:val="es-ES"/>
        </w:rPr>
        <w:t>una decisión antes de mayo de 2021 o a más tardar en junio de 2021 en la reunión virtual de los consejeros</w:t>
      </w:r>
      <w:r w:rsidRPr="00A93852">
        <w:rPr>
          <w:lang w:val="es-ES"/>
        </w:rPr>
        <w:t>.</w:t>
      </w:r>
    </w:p>
    <w:p w14:paraId="417F736A" w14:textId="044E3638" w:rsidR="00A93852" w:rsidRPr="00A93852" w:rsidRDefault="00A93852" w:rsidP="00A36AD0">
      <w:pPr>
        <w:rPr>
          <w:lang w:val="es-ES"/>
        </w:rPr>
      </w:pPr>
      <w:r w:rsidRPr="00666FB2">
        <w:rPr>
          <w:bCs/>
          <w:lang w:val="es-ES"/>
        </w:rPr>
        <w:t>3.21</w:t>
      </w:r>
      <w:r w:rsidR="00A36AD0">
        <w:rPr>
          <w:b/>
          <w:lang w:val="es-ES"/>
        </w:rPr>
        <w:tab/>
      </w:r>
      <w:r w:rsidRPr="00A93852">
        <w:rPr>
          <w:lang w:val="es-ES"/>
        </w:rPr>
        <w:t>El delegado de</w:t>
      </w:r>
      <w:r w:rsidRPr="00A93852">
        <w:rPr>
          <w:b/>
          <w:lang w:val="es-ES"/>
        </w:rPr>
        <w:t xml:space="preserve"> Samoa</w:t>
      </w:r>
      <w:r w:rsidRPr="00A93852">
        <w:rPr>
          <w:lang w:val="es-ES"/>
        </w:rPr>
        <w:t xml:space="preserve"> insistió en que los trabajos de la </w:t>
      </w:r>
      <w:r w:rsidR="00666FB2">
        <w:rPr>
          <w:lang w:val="es-ES"/>
        </w:rPr>
        <w:t>c</w:t>
      </w:r>
      <w:r w:rsidRPr="00A93852">
        <w:rPr>
          <w:lang w:val="es-ES"/>
        </w:rPr>
        <w:t>onferencia deben realizarse en un entorno físico seguro y protegido, y pidió que se tomara una decisión firme en junio de 2021, para saber si la CMDT-21 seguirá adelante como estaba previsto o si se pospondrá a 2022.</w:t>
      </w:r>
    </w:p>
    <w:p w14:paraId="517B6E11" w14:textId="6B9BF1AF" w:rsidR="00A93852" w:rsidRPr="00A93852" w:rsidRDefault="00A93852" w:rsidP="00A36AD0">
      <w:pPr>
        <w:rPr>
          <w:lang w:val="es-ES"/>
        </w:rPr>
      </w:pPr>
      <w:r w:rsidRPr="00666FB2">
        <w:rPr>
          <w:bCs/>
          <w:lang w:val="es-ES"/>
        </w:rPr>
        <w:t>3.22</w:t>
      </w:r>
      <w:r w:rsidR="00A36AD0">
        <w:rPr>
          <w:b/>
          <w:lang w:val="es-ES"/>
        </w:rPr>
        <w:tab/>
      </w:r>
      <w:r w:rsidRPr="00A93852">
        <w:rPr>
          <w:lang w:val="es-ES"/>
        </w:rPr>
        <w:t xml:space="preserve">El delegado de </w:t>
      </w:r>
      <w:r w:rsidRPr="00A93852">
        <w:rPr>
          <w:b/>
          <w:lang w:val="es-ES"/>
        </w:rPr>
        <w:t>Indonesia</w:t>
      </w:r>
      <w:r w:rsidRPr="00A93852">
        <w:rPr>
          <w:lang w:val="es-ES"/>
        </w:rPr>
        <w:t>, después de pedir que se tome una decisión sobre las opciones planteadas antes de que se celebre la reunión del GADT (del 24 al 28 de mayo de 2021), subrayó la necesidad de que el Departamento de Seguridad de las Naciones Unidas (UNDSS) lleve a cabo una evaluación exhaustiva de la situación de seguridad, toda vez que la crisis sanitaria mundial no ha remitido. Aunque tiene mucho interés en poder reunirse físicamente, considera asimismo importante garantizar la seguridad y la salud de los participantes y que cualquier delegado extranjero que entre en Etiopía no agrave la situación de pandemia preexistente en ese país.</w:t>
      </w:r>
    </w:p>
    <w:p w14:paraId="073A63BC" w14:textId="7D3B22CF" w:rsidR="00A93852" w:rsidRPr="00A93852" w:rsidRDefault="00A93852" w:rsidP="00A36AD0">
      <w:pPr>
        <w:rPr>
          <w:lang w:val="es-ES"/>
        </w:rPr>
      </w:pPr>
      <w:r w:rsidRPr="00666FB2">
        <w:rPr>
          <w:lang w:val="es-ES"/>
        </w:rPr>
        <w:t>3.23</w:t>
      </w:r>
      <w:r w:rsidR="00A36AD0">
        <w:rPr>
          <w:lang w:val="es-ES"/>
        </w:rPr>
        <w:tab/>
      </w:r>
      <w:r w:rsidRPr="00A36AD0">
        <w:rPr>
          <w:b/>
          <w:bCs/>
          <w:lang w:val="es-ES"/>
        </w:rPr>
        <w:t>Próximos pasos</w:t>
      </w:r>
      <w:r w:rsidRPr="00A93852">
        <w:rPr>
          <w:lang w:val="es-ES"/>
        </w:rPr>
        <w:t xml:space="preserve">: </w:t>
      </w:r>
      <w:r w:rsidR="00704705">
        <w:rPr>
          <w:lang w:val="es-ES"/>
        </w:rPr>
        <w:t>l</w:t>
      </w:r>
      <w:r w:rsidRPr="00A93852">
        <w:rPr>
          <w:lang w:val="es-ES"/>
        </w:rPr>
        <w:t xml:space="preserve">a Secretaría </w:t>
      </w:r>
      <w:r w:rsidRPr="00666FB2">
        <w:rPr>
          <w:lang w:val="es-ES"/>
        </w:rPr>
        <w:t>debería</w:t>
      </w:r>
      <w:r w:rsidRPr="00A36AD0">
        <w:rPr>
          <w:b/>
          <w:bCs/>
          <w:lang w:val="es-ES"/>
        </w:rPr>
        <w:t xml:space="preserve"> estudiar la posibilidad de celebrar la </w:t>
      </w:r>
      <w:r w:rsidR="00666FB2">
        <w:rPr>
          <w:b/>
          <w:bCs/>
          <w:lang w:val="es-ES"/>
        </w:rPr>
        <w:t>c</w:t>
      </w:r>
      <w:r w:rsidRPr="00A36AD0">
        <w:rPr>
          <w:b/>
          <w:bCs/>
          <w:lang w:val="es-ES"/>
        </w:rPr>
        <w:t>onferencia en condiciones de seguridad y comunicar una decisión antes de mayo para que el Consejo decida en junio de 2021</w:t>
      </w:r>
      <w:r w:rsidRPr="00A93852">
        <w:rPr>
          <w:lang w:val="es-ES"/>
        </w:rPr>
        <w:t>.</w:t>
      </w:r>
    </w:p>
    <w:p w14:paraId="6610E9CD" w14:textId="5893C115" w:rsidR="00A93852" w:rsidRPr="00A93852" w:rsidRDefault="00A36AD0" w:rsidP="00A36AD0">
      <w:pPr>
        <w:pStyle w:val="Heading1"/>
        <w:rPr>
          <w:bCs/>
          <w:lang w:val="es-ES"/>
        </w:rPr>
      </w:pPr>
      <w:r w:rsidRPr="00666FB2">
        <w:rPr>
          <w:lang w:val="es-ES"/>
        </w:rPr>
        <w:t>4</w:t>
      </w:r>
      <w:r w:rsidRPr="00666FB2">
        <w:rPr>
          <w:lang w:val="es-ES"/>
        </w:rPr>
        <w:tab/>
      </w:r>
      <w:r w:rsidR="00A93852" w:rsidRPr="00666FB2">
        <w:rPr>
          <w:lang w:val="es-ES"/>
        </w:rPr>
        <w:t>Información actualizada sobre los preparativos de las organizaciones regionales de telecomunicaciones</w:t>
      </w:r>
    </w:p>
    <w:p w14:paraId="31E65AC1" w14:textId="498BF9AD" w:rsidR="00A93852" w:rsidRPr="00A93852" w:rsidRDefault="00A93852" w:rsidP="00A36AD0">
      <w:pPr>
        <w:rPr>
          <w:lang w:val="es-ES"/>
        </w:rPr>
      </w:pPr>
      <w:r w:rsidRPr="00A93852">
        <w:rPr>
          <w:lang w:val="es-ES"/>
        </w:rPr>
        <w:t>4.1</w:t>
      </w:r>
      <w:r w:rsidR="00A36AD0">
        <w:rPr>
          <w:lang w:val="es-ES"/>
        </w:rPr>
        <w:tab/>
      </w:r>
      <w:r w:rsidRPr="00A93852">
        <w:rPr>
          <w:lang w:val="es-ES"/>
        </w:rPr>
        <w:t xml:space="preserve">Un representante de la </w:t>
      </w:r>
      <w:r w:rsidRPr="00A93852">
        <w:rPr>
          <w:b/>
          <w:lang w:val="es-ES"/>
        </w:rPr>
        <w:t>Unión Africana de Telecomunicaciones (UAT)</w:t>
      </w:r>
      <w:r w:rsidRPr="00A93852">
        <w:rPr>
          <w:lang w:val="es-ES"/>
        </w:rPr>
        <w:t xml:space="preserve"> de Zimbabwe presentó el </w:t>
      </w:r>
      <w:hyperlink r:id="rId13" w:history="1">
        <w:r w:rsidRPr="00A93852">
          <w:rPr>
            <w:rStyle w:val="Hyperlink"/>
            <w:lang w:val="es-ES"/>
          </w:rPr>
          <w:t>Documento 29</w:t>
        </w:r>
      </w:hyperlink>
      <w:r w:rsidRPr="00A93852">
        <w:rPr>
          <w:lang w:val="es-ES"/>
        </w:rPr>
        <w:t>, en el que se resumen los preparativos de la UAT. En una reunión consultiva celebrada el 11 de febrero de 2021, la UAT acordó su proceso preparatorio de la CMDT</w:t>
      </w:r>
      <w:r w:rsidR="00A36AD0">
        <w:rPr>
          <w:lang w:val="es-ES"/>
        </w:rPr>
        <w:noBreakHyphen/>
      </w:r>
      <w:r w:rsidRPr="00A93852">
        <w:rPr>
          <w:lang w:val="es-ES"/>
        </w:rPr>
        <w:t>21 y constituyó varios grupos de trabajo para llevar a cabo los preparativos.</w:t>
      </w:r>
    </w:p>
    <w:p w14:paraId="6D346C90" w14:textId="4B77D5B7" w:rsidR="00A93852" w:rsidRPr="00A93852" w:rsidRDefault="00A93852" w:rsidP="004F4AD1">
      <w:pPr>
        <w:spacing w:after="120"/>
        <w:rPr>
          <w:lang w:val="es-ES"/>
        </w:rPr>
      </w:pPr>
      <w:r w:rsidRPr="00A407DE">
        <w:rPr>
          <w:lang w:val="es-ES"/>
        </w:rPr>
        <w:t>4.2</w:t>
      </w:r>
      <w:r w:rsidR="00A36AD0">
        <w:rPr>
          <w:lang w:val="es-ES"/>
        </w:rPr>
        <w:tab/>
      </w:r>
      <w:r w:rsidRPr="00A93852">
        <w:rPr>
          <w:lang w:val="es-ES"/>
        </w:rPr>
        <w:t>La UAT ha acordado de qué forma se adoptarán las contribuciones y propuestas para la</w:t>
      </w:r>
      <w:r w:rsidR="00257CFB">
        <w:rPr>
          <w:lang w:val="es-ES"/>
        </w:rPr>
        <w:t> </w:t>
      </w:r>
      <w:r w:rsidRPr="00A93852">
        <w:rPr>
          <w:lang w:val="es-ES"/>
        </w:rPr>
        <w:t xml:space="preserve">CMDT. Una contribución se define como una </w:t>
      </w:r>
      <w:r w:rsidR="00A407DE" w:rsidRPr="00A93852">
        <w:rPr>
          <w:lang w:val="es-ES"/>
        </w:rPr>
        <w:t>"</w:t>
      </w:r>
      <w:r w:rsidRPr="00A93852">
        <w:rPr>
          <w:lang w:val="es-ES"/>
        </w:rPr>
        <w:t>propuesta que un Estado miembro de la UAT o una organización continental presenta a las reuniones preparatorias africanas para su posterior debate y aprobación</w:t>
      </w:r>
      <w:r w:rsidR="00A407DE">
        <w:rPr>
          <w:lang w:val="es-ES"/>
        </w:rPr>
        <w:t>"</w:t>
      </w:r>
      <w:r w:rsidRPr="00A93852">
        <w:rPr>
          <w:lang w:val="es-ES"/>
        </w:rPr>
        <w:t>. Para que una propuesta llegue a ser una propuesta común africana (AFCP) tiene que ser aprobada por al menos 15 Estados miembros de la UAT. Se han constituido dos grupos de trabajo para preparar y consolidar las AFCP y las contribuciones relativas a los puntos del orden del día de la CMDT-21 (véase el recuadro).</w:t>
      </w:r>
    </w:p>
    <w:tbl>
      <w:tblPr>
        <w:tblW w:w="5000" w:type="pct"/>
        <w:tblCellMar>
          <w:left w:w="0" w:type="dxa"/>
          <w:right w:w="0" w:type="dxa"/>
        </w:tblCellMar>
        <w:tblLook w:val="04A0" w:firstRow="1" w:lastRow="0" w:firstColumn="1" w:lastColumn="0" w:noHBand="0" w:noVBand="1"/>
      </w:tblPr>
      <w:tblGrid>
        <w:gridCol w:w="1807"/>
        <w:gridCol w:w="3483"/>
        <w:gridCol w:w="4331"/>
      </w:tblGrid>
      <w:tr w:rsidR="00A349EC" w:rsidRPr="00A349EC" w14:paraId="29FA5C99" w14:textId="77777777" w:rsidTr="00E03095">
        <w:tc>
          <w:tcPr>
            <w:tcW w:w="1790" w:type="dxa"/>
            <w:tcBorders>
              <w:top w:val="single" w:sz="8" w:space="0" w:color="FFFFFF"/>
              <w:left w:val="single" w:sz="8" w:space="0" w:color="FFFFFF"/>
              <w:bottom w:val="single" w:sz="8" w:space="0" w:color="FFFFFF"/>
              <w:right w:val="nil"/>
            </w:tcBorders>
            <w:shd w:val="clear" w:color="auto" w:fill="5B9BD5"/>
            <w:tcMar>
              <w:top w:w="0" w:type="dxa"/>
              <w:left w:w="108" w:type="dxa"/>
              <w:bottom w:w="0" w:type="dxa"/>
              <w:right w:w="108" w:type="dxa"/>
            </w:tcMar>
            <w:hideMark/>
          </w:tcPr>
          <w:p w14:paraId="0F35B0F9" w14:textId="77777777" w:rsidR="00A93852" w:rsidRPr="00A349EC" w:rsidRDefault="00A93852" w:rsidP="004F4AD1">
            <w:pPr>
              <w:pStyle w:val="Tablehead"/>
              <w:rPr>
                <w:color w:val="FFFFFF" w:themeColor="background1"/>
                <w:lang w:val="es-ES"/>
              </w:rPr>
            </w:pPr>
          </w:p>
        </w:tc>
        <w:tc>
          <w:tcPr>
            <w:tcW w:w="3451" w:type="dxa"/>
            <w:tcBorders>
              <w:top w:val="single" w:sz="8" w:space="0" w:color="FFFFFF"/>
              <w:left w:val="nil"/>
              <w:bottom w:val="single" w:sz="8" w:space="0" w:color="FFFFFF"/>
              <w:right w:val="nil"/>
            </w:tcBorders>
            <w:shd w:val="clear" w:color="auto" w:fill="5B9BD5"/>
            <w:tcMar>
              <w:top w:w="0" w:type="dxa"/>
              <w:left w:w="108" w:type="dxa"/>
              <w:bottom w:w="0" w:type="dxa"/>
              <w:right w:w="108" w:type="dxa"/>
            </w:tcMar>
          </w:tcPr>
          <w:p w14:paraId="19D30039" w14:textId="191693B6" w:rsidR="00A93852" w:rsidRPr="00A349EC" w:rsidRDefault="00A93852" w:rsidP="00A407DE">
            <w:pPr>
              <w:pStyle w:val="Tablehead"/>
              <w:jc w:val="left"/>
              <w:rPr>
                <w:color w:val="FFFFFF" w:themeColor="background1"/>
                <w:lang w:val="es-ES"/>
              </w:rPr>
            </w:pPr>
            <w:r w:rsidRPr="00A349EC">
              <w:rPr>
                <w:color w:val="FFFFFF" w:themeColor="background1"/>
                <w:lang w:val="es-ES"/>
              </w:rPr>
              <w:t xml:space="preserve">Grupo de </w:t>
            </w:r>
            <w:r w:rsidR="00A407DE" w:rsidRPr="00A349EC">
              <w:rPr>
                <w:color w:val="FFFFFF" w:themeColor="background1"/>
                <w:lang w:val="es-ES"/>
              </w:rPr>
              <w:t xml:space="preserve">Trabajo </w:t>
            </w:r>
            <w:r w:rsidRPr="00A349EC">
              <w:rPr>
                <w:color w:val="FFFFFF" w:themeColor="background1"/>
                <w:lang w:val="es-ES"/>
              </w:rPr>
              <w:t>1</w:t>
            </w:r>
          </w:p>
        </w:tc>
        <w:tc>
          <w:tcPr>
            <w:tcW w:w="4291" w:type="dxa"/>
            <w:tcBorders>
              <w:top w:val="single" w:sz="8" w:space="0" w:color="FFFFFF"/>
              <w:left w:val="nil"/>
              <w:bottom w:val="single" w:sz="8" w:space="0" w:color="FFFFFF"/>
              <w:right w:val="single" w:sz="8" w:space="0" w:color="FFFFFF"/>
            </w:tcBorders>
            <w:shd w:val="clear" w:color="auto" w:fill="5B9BD5"/>
            <w:tcMar>
              <w:top w:w="0" w:type="dxa"/>
              <w:left w:w="108" w:type="dxa"/>
              <w:bottom w:w="0" w:type="dxa"/>
              <w:right w:w="108" w:type="dxa"/>
            </w:tcMar>
          </w:tcPr>
          <w:p w14:paraId="4EBC5449" w14:textId="743DFD9A" w:rsidR="00A93852" w:rsidRPr="00A349EC" w:rsidRDefault="00A93852" w:rsidP="00A407DE">
            <w:pPr>
              <w:pStyle w:val="Tablehead"/>
              <w:jc w:val="left"/>
              <w:rPr>
                <w:color w:val="FFFFFF" w:themeColor="background1"/>
                <w:lang w:val="es-ES"/>
              </w:rPr>
            </w:pPr>
            <w:r w:rsidRPr="00A349EC">
              <w:rPr>
                <w:color w:val="FFFFFF" w:themeColor="background1"/>
                <w:lang w:val="es-ES"/>
              </w:rPr>
              <w:t xml:space="preserve">Grupo de </w:t>
            </w:r>
            <w:r w:rsidR="00A407DE" w:rsidRPr="00A349EC">
              <w:rPr>
                <w:color w:val="FFFFFF" w:themeColor="background1"/>
                <w:lang w:val="es-ES"/>
              </w:rPr>
              <w:t xml:space="preserve">Trabajo </w:t>
            </w:r>
            <w:r w:rsidRPr="00A349EC">
              <w:rPr>
                <w:color w:val="FFFFFF" w:themeColor="background1"/>
                <w:lang w:val="es-ES"/>
              </w:rPr>
              <w:t>2</w:t>
            </w:r>
          </w:p>
        </w:tc>
      </w:tr>
      <w:tr w:rsidR="00A93852" w:rsidRPr="00A93852" w14:paraId="201523EB" w14:textId="77777777" w:rsidTr="00E03095">
        <w:tc>
          <w:tcPr>
            <w:tcW w:w="1790"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tcPr>
          <w:p w14:paraId="04BF1887" w14:textId="77777777" w:rsidR="00A93852" w:rsidRPr="00A349EC" w:rsidRDefault="00A93852" w:rsidP="004F4AD1">
            <w:pPr>
              <w:pStyle w:val="Tabletext"/>
              <w:rPr>
                <w:b/>
                <w:bCs/>
                <w:color w:val="FFFFFF" w:themeColor="background1"/>
                <w:lang w:val="es-ES"/>
              </w:rPr>
            </w:pPr>
            <w:r w:rsidRPr="00A349EC">
              <w:rPr>
                <w:b/>
                <w:bCs/>
                <w:color w:val="FFFFFF" w:themeColor="background1"/>
                <w:lang w:val="es-ES"/>
              </w:rPr>
              <w:t>Cometido</w:t>
            </w:r>
          </w:p>
        </w:tc>
        <w:tc>
          <w:tcPr>
            <w:tcW w:w="3451" w:type="dxa"/>
            <w:tcBorders>
              <w:top w:val="single" w:sz="8" w:space="0" w:color="FFFFFF"/>
              <w:left w:val="nil"/>
              <w:bottom w:val="single" w:sz="8" w:space="0" w:color="FFFFFF"/>
              <w:right w:val="single" w:sz="8" w:space="0" w:color="FFFFFF"/>
            </w:tcBorders>
            <w:shd w:val="clear" w:color="auto" w:fill="DEEAF6"/>
            <w:tcMar>
              <w:top w:w="0" w:type="dxa"/>
              <w:left w:w="108" w:type="dxa"/>
              <w:bottom w:w="0" w:type="dxa"/>
              <w:right w:w="108" w:type="dxa"/>
            </w:tcMar>
          </w:tcPr>
          <w:p w14:paraId="321C9656" w14:textId="77777777" w:rsidR="00A93852" w:rsidRPr="00A349EC" w:rsidRDefault="00A93852" w:rsidP="004F4AD1">
            <w:pPr>
              <w:pStyle w:val="Tabletext"/>
              <w:rPr>
                <w:color w:val="0070C0"/>
                <w:lang w:val="es-ES"/>
              </w:rPr>
            </w:pPr>
            <w:r w:rsidRPr="00A349EC">
              <w:rPr>
                <w:color w:val="0070C0"/>
                <w:lang w:val="es-ES"/>
              </w:rPr>
              <w:t>Métodos de trabajo, declaración, plan de acción e iniciativas regionales</w:t>
            </w:r>
          </w:p>
        </w:tc>
        <w:tc>
          <w:tcPr>
            <w:tcW w:w="4291" w:type="dxa"/>
            <w:tcBorders>
              <w:top w:val="single" w:sz="8" w:space="0" w:color="FFFFFF"/>
              <w:left w:val="nil"/>
              <w:bottom w:val="single" w:sz="8" w:space="0" w:color="FFFFFF"/>
              <w:right w:val="single" w:sz="8" w:space="0" w:color="FFFFFF"/>
            </w:tcBorders>
            <w:shd w:val="clear" w:color="auto" w:fill="DEEAF6"/>
            <w:tcMar>
              <w:top w:w="0" w:type="dxa"/>
              <w:left w:w="108" w:type="dxa"/>
              <w:bottom w:w="0" w:type="dxa"/>
              <w:right w:w="108" w:type="dxa"/>
            </w:tcMar>
          </w:tcPr>
          <w:p w14:paraId="0DC029ED" w14:textId="77777777" w:rsidR="00A93852" w:rsidRPr="00A349EC" w:rsidRDefault="00A93852" w:rsidP="004F4AD1">
            <w:pPr>
              <w:pStyle w:val="Tabletext"/>
              <w:rPr>
                <w:color w:val="0070C0"/>
                <w:lang w:val="es-ES"/>
              </w:rPr>
            </w:pPr>
            <w:r w:rsidRPr="00A349EC">
              <w:rPr>
                <w:color w:val="0070C0"/>
                <w:lang w:val="es-ES"/>
              </w:rPr>
              <w:t>Cuestiones y programas generales de desarrollo de las TIC, incluidas las Cuestiones de las Comisiones de Estudio</w:t>
            </w:r>
          </w:p>
        </w:tc>
      </w:tr>
      <w:tr w:rsidR="00A93852" w:rsidRPr="00A93852" w14:paraId="07F2F9EE" w14:textId="77777777" w:rsidTr="00E03095">
        <w:tc>
          <w:tcPr>
            <w:tcW w:w="1790"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tcPr>
          <w:p w14:paraId="660FB866" w14:textId="77777777" w:rsidR="00A93852" w:rsidRPr="00A349EC" w:rsidRDefault="00A93852" w:rsidP="004F4AD1">
            <w:pPr>
              <w:pStyle w:val="Tabletext"/>
              <w:rPr>
                <w:b/>
                <w:bCs/>
                <w:color w:val="FFFFFF" w:themeColor="background1"/>
                <w:lang w:val="es-ES"/>
              </w:rPr>
            </w:pPr>
            <w:r w:rsidRPr="00A349EC">
              <w:rPr>
                <w:b/>
                <w:bCs/>
                <w:color w:val="FFFFFF" w:themeColor="background1"/>
                <w:lang w:val="es-ES"/>
              </w:rPr>
              <w:t>Presidentes</w:t>
            </w:r>
          </w:p>
        </w:tc>
        <w:tc>
          <w:tcPr>
            <w:tcW w:w="3451" w:type="dxa"/>
            <w:tcBorders>
              <w:top w:val="nil"/>
              <w:left w:val="nil"/>
              <w:bottom w:val="single" w:sz="8" w:space="0" w:color="FFFFFF"/>
              <w:right w:val="single" w:sz="8" w:space="0" w:color="FFFFFF"/>
            </w:tcBorders>
            <w:shd w:val="clear" w:color="auto" w:fill="BDD6EE"/>
            <w:tcMar>
              <w:top w:w="0" w:type="dxa"/>
              <w:left w:w="108" w:type="dxa"/>
              <w:bottom w:w="0" w:type="dxa"/>
              <w:right w:w="108" w:type="dxa"/>
            </w:tcMar>
          </w:tcPr>
          <w:p w14:paraId="29495658" w14:textId="1CEC3556" w:rsidR="00A93852" w:rsidRPr="00A349EC" w:rsidRDefault="00A93852" w:rsidP="004F4AD1">
            <w:pPr>
              <w:pStyle w:val="Tabletext"/>
              <w:rPr>
                <w:color w:val="0070C0"/>
                <w:lang w:val="es-ES"/>
              </w:rPr>
            </w:pPr>
            <w:r w:rsidRPr="00A349EC">
              <w:rPr>
                <w:color w:val="0070C0"/>
                <w:lang w:val="es-ES"/>
              </w:rPr>
              <w:t>Sr. Richard Anago (Burkina</w:t>
            </w:r>
            <w:r w:rsidR="00CD6F8C">
              <w:rPr>
                <w:color w:val="0070C0"/>
                <w:lang w:val="es-ES"/>
              </w:rPr>
              <w:t xml:space="preserve"> </w:t>
            </w:r>
            <w:r w:rsidRPr="00A349EC">
              <w:rPr>
                <w:color w:val="0070C0"/>
                <w:lang w:val="es-ES"/>
              </w:rPr>
              <w:t>Faso)</w:t>
            </w:r>
          </w:p>
        </w:tc>
        <w:tc>
          <w:tcPr>
            <w:tcW w:w="4291" w:type="dxa"/>
            <w:tcBorders>
              <w:top w:val="nil"/>
              <w:left w:val="nil"/>
              <w:bottom w:val="single" w:sz="8" w:space="0" w:color="FFFFFF"/>
              <w:right w:val="single" w:sz="8" w:space="0" w:color="FFFFFF"/>
            </w:tcBorders>
            <w:shd w:val="clear" w:color="auto" w:fill="BDD6EE"/>
            <w:tcMar>
              <w:top w:w="0" w:type="dxa"/>
              <w:left w:w="108" w:type="dxa"/>
              <w:bottom w:w="0" w:type="dxa"/>
              <w:right w:w="108" w:type="dxa"/>
            </w:tcMar>
          </w:tcPr>
          <w:p w14:paraId="7D8239DE" w14:textId="77777777" w:rsidR="00A93852" w:rsidRPr="00A349EC" w:rsidRDefault="00A93852" w:rsidP="004F4AD1">
            <w:pPr>
              <w:pStyle w:val="Tabletext"/>
              <w:rPr>
                <w:color w:val="0070C0"/>
                <w:lang w:val="es-ES"/>
              </w:rPr>
            </w:pPr>
            <w:r w:rsidRPr="00A349EC">
              <w:rPr>
                <w:color w:val="0070C0"/>
                <w:lang w:val="es-ES"/>
              </w:rPr>
              <w:t>Sr. Jim Patterson (Sudáfrica)</w:t>
            </w:r>
          </w:p>
        </w:tc>
      </w:tr>
      <w:tr w:rsidR="00A93852" w:rsidRPr="00A93852" w14:paraId="1E0B7F16" w14:textId="77777777" w:rsidTr="00E03095">
        <w:tc>
          <w:tcPr>
            <w:tcW w:w="1790"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hideMark/>
          </w:tcPr>
          <w:p w14:paraId="0F6AD1BE" w14:textId="77777777" w:rsidR="00A93852" w:rsidRPr="00A349EC" w:rsidRDefault="00A93852" w:rsidP="004F4AD1">
            <w:pPr>
              <w:pStyle w:val="Tabletext"/>
              <w:rPr>
                <w:b/>
                <w:bCs/>
                <w:color w:val="FFFFFF" w:themeColor="background1"/>
                <w:lang w:val="es-ES"/>
              </w:rPr>
            </w:pPr>
            <w:r w:rsidRPr="00A349EC">
              <w:rPr>
                <w:b/>
                <w:bCs/>
                <w:color w:val="FFFFFF" w:themeColor="background1"/>
                <w:lang w:val="es-ES"/>
              </w:rPr>
              <w:t>Vicepresidentes</w:t>
            </w:r>
          </w:p>
        </w:tc>
        <w:tc>
          <w:tcPr>
            <w:tcW w:w="3451" w:type="dxa"/>
            <w:tcBorders>
              <w:top w:val="nil"/>
              <w:left w:val="nil"/>
              <w:bottom w:val="single" w:sz="8" w:space="0" w:color="FFFFFF"/>
              <w:right w:val="single" w:sz="8" w:space="0" w:color="FFFFFF"/>
            </w:tcBorders>
            <w:shd w:val="clear" w:color="auto" w:fill="DEEAF6"/>
            <w:tcMar>
              <w:top w:w="0" w:type="dxa"/>
              <w:left w:w="108" w:type="dxa"/>
              <w:bottom w:w="0" w:type="dxa"/>
              <w:right w:w="108" w:type="dxa"/>
            </w:tcMar>
          </w:tcPr>
          <w:p w14:paraId="0FFD14EF" w14:textId="77777777" w:rsidR="00A93852" w:rsidRPr="00A349EC" w:rsidRDefault="00A93852" w:rsidP="004F4AD1">
            <w:pPr>
              <w:pStyle w:val="Tabletext"/>
              <w:rPr>
                <w:color w:val="0070C0"/>
                <w:lang w:val="es-ES"/>
              </w:rPr>
            </w:pPr>
            <w:r w:rsidRPr="00A349EC">
              <w:rPr>
                <w:color w:val="0070C0"/>
                <w:lang w:val="es-ES"/>
              </w:rPr>
              <w:t>Sr. Amr Safwat (Egipto)</w:t>
            </w:r>
          </w:p>
          <w:p w14:paraId="7F19D70A" w14:textId="5ACFAC69" w:rsidR="00A93852" w:rsidRPr="00A349EC" w:rsidRDefault="00A93852" w:rsidP="004F4AD1">
            <w:pPr>
              <w:pStyle w:val="Tabletext"/>
              <w:rPr>
                <w:color w:val="0070C0"/>
                <w:lang w:val="es-ES"/>
              </w:rPr>
            </w:pPr>
            <w:r w:rsidRPr="00A349EC">
              <w:rPr>
                <w:color w:val="0070C0"/>
                <w:lang w:val="es-ES"/>
              </w:rPr>
              <w:t>Sra. Hilda Mutseyekwa</w:t>
            </w:r>
            <w:r w:rsidR="00704705">
              <w:rPr>
                <w:color w:val="0070C0"/>
                <w:lang w:val="es-ES"/>
              </w:rPr>
              <w:t xml:space="preserve"> </w:t>
            </w:r>
            <w:r w:rsidRPr="00A349EC">
              <w:rPr>
                <w:color w:val="0070C0"/>
                <w:lang w:val="es-ES"/>
              </w:rPr>
              <w:t>(Zimbabwe)</w:t>
            </w:r>
          </w:p>
        </w:tc>
        <w:tc>
          <w:tcPr>
            <w:tcW w:w="4291" w:type="dxa"/>
            <w:tcBorders>
              <w:top w:val="nil"/>
              <w:left w:val="nil"/>
              <w:bottom w:val="single" w:sz="8" w:space="0" w:color="FFFFFF"/>
              <w:right w:val="single" w:sz="8" w:space="0" w:color="FFFFFF"/>
            </w:tcBorders>
            <w:shd w:val="clear" w:color="auto" w:fill="DEEAF6"/>
            <w:tcMar>
              <w:top w:w="0" w:type="dxa"/>
              <w:left w:w="108" w:type="dxa"/>
              <w:bottom w:w="0" w:type="dxa"/>
              <w:right w:w="108" w:type="dxa"/>
            </w:tcMar>
          </w:tcPr>
          <w:p w14:paraId="1D5B9EBC" w14:textId="5B02576B" w:rsidR="00A93852" w:rsidRPr="00A349EC" w:rsidRDefault="00A93852" w:rsidP="004F4AD1">
            <w:pPr>
              <w:pStyle w:val="Tabletext"/>
              <w:rPr>
                <w:color w:val="0070C0"/>
                <w:lang w:val="es-ES"/>
              </w:rPr>
            </w:pPr>
            <w:r w:rsidRPr="00A349EC">
              <w:rPr>
                <w:color w:val="0070C0"/>
                <w:lang w:val="es-ES"/>
              </w:rPr>
              <w:t>Sr. Mohamed Elhaj (Sudán)</w:t>
            </w:r>
          </w:p>
          <w:p w14:paraId="5EE54EC3" w14:textId="63FA481E" w:rsidR="00A93852" w:rsidRPr="00A349EC" w:rsidRDefault="00A93852" w:rsidP="004F4AD1">
            <w:pPr>
              <w:pStyle w:val="Tabletext"/>
              <w:rPr>
                <w:color w:val="0070C0"/>
                <w:lang w:val="es-ES"/>
              </w:rPr>
            </w:pPr>
            <w:r w:rsidRPr="00A349EC">
              <w:rPr>
                <w:color w:val="0070C0"/>
                <w:lang w:val="es-ES"/>
              </w:rPr>
              <w:t>Sr. Satanislas Kanvoli (Côte d</w:t>
            </w:r>
            <w:r w:rsidR="004F4AD1" w:rsidRPr="00A349EC">
              <w:rPr>
                <w:color w:val="0070C0"/>
                <w:lang w:val="es-ES"/>
              </w:rPr>
              <w:t>'</w:t>
            </w:r>
            <w:r w:rsidRPr="00A349EC">
              <w:rPr>
                <w:color w:val="0070C0"/>
                <w:lang w:val="es-ES"/>
              </w:rPr>
              <w:t>Ivoire)</w:t>
            </w:r>
          </w:p>
        </w:tc>
      </w:tr>
    </w:tbl>
    <w:p w14:paraId="3A172637" w14:textId="30D2E556" w:rsidR="00A93852" w:rsidRPr="00A93852" w:rsidRDefault="00A93852" w:rsidP="004F4AD1">
      <w:pPr>
        <w:pStyle w:val="Normalaftertitle"/>
        <w:rPr>
          <w:lang w:val="es-ES"/>
        </w:rPr>
      </w:pPr>
      <w:r w:rsidRPr="00A93852">
        <w:rPr>
          <w:lang w:val="es-ES"/>
        </w:rPr>
        <w:t>4.3</w:t>
      </w:r>
      <w:r w:rsidR="00A36AD0">
        <w:rPr>
          <w:lang w:val="es-ES"/>
        </w:rPr>
        <w:tab/>
      </w:r>
      <w:r w:rsidRPr="00A93852">
        <w:rPr>
          <w:lang w:val="es-ES"/>
        </w:rPr>
        <w:t>La UAT también ha designado coordinadores para los grupos de trabajo del GADT y para las reuniones interregionales (véase el recuadro):</w:t>
      </w:r>
    </w:p>
    <w:p w14:paraId="2521E0CD" w14:textId="77777777" w:rsidR="00A93852" w:rsidRPr="00A93852" w:rsidRDefault="00A93852" w:rsidP="004F4AD1">
      <w:pPr>
        <w:pStyle w:val="Headingb"/>
        <w:spacing w:after="120"/>
        <w:rPr>
          <w:lang w:val="es-ES"/>
        </w:rPr>
      </w:pPr>
      <w:r w:rsidRPr="00A93852">
        <w:rPr>
          <w:lang w:val="es-ES"/>
        </w:rPr>
        <w:t>Coordinadores de la UAT para los grupos de trabajo del GADT</w:t>
      </w:r>
    </w:p>
    <w:tbl>
      <w:tblPr>
        <w:tblW w:w="5000" w:type="pct"/>
        <w:tblCellMar>
          <w:left w:w="0" w:type="dxa"/>
          <w:right w:w="0" w:type="dxa"/>
        </w:tblCellMar>
        <w:tblLook w:val="04A0" w:firstRow="1" w:lastRow="0" w:firstColumn="1" w:lastColumn="0" w:noHBand="0" w:noVBand="1"/>
      </w:tblPr>
      <w:tblGrid>
        <w:gridCol w:w="1807"/>
        <w:gridCol w:w="3483"/>
        <w:gridCol w:w="4331"/>
      </w:tblGrid>
      <w:tr w:rsidR="00A93852" w:rsidRPr="004F4AD1" w14:paraId="2BA00F6C" w14:textId="77777777" w:rsidTr="00E03095">
        <w:tc>
          <w:tcPr>
            <w:tcW w:w="1790" w:type="dxa"/>
            <w:tcBorders>
              <w:top w:val="single" w:sz="8" w:space="0" w:color="FFFFFF"/>
              <w:left w:val="single" w:sz="8" w:space="0" w:color="FFFFFF"/>
              <w:bottom w:val="single" w:sz="8" w:space="0" w:color="FFFFFF"/>
              <w:right w:val="nil"/>
            </w:tcBorders>
            <w:shd w:val="clear" w:color="auto" w:fill="5B9BD5"/>
            <w:tcMar>
              <w:top w:w="0" w:type="dxa"/>
              <w:left w:w="108" w:type="dxa"/>
              <w:bottom w:w="0" w:type="dxa"/>
              <w:right w:w="108" w:type="dxa"/>
            </w:tcMar>
            <w:hideMark/>
          </w:tcPr>
          <w:p w14:paraId="1FB9E3A1" w14:textId="77777777" w:rsidR="00A93852" w:rsidRPr="00A349EC" w:rsidRDefault="00A93852" w:rsidP="004F4AD1">
            <w:pPr>
              <w:pStyle w:val="Tablehead"/>
              <w:rPr>
                <w:color w:val="FFFFFF" w:themeColor="background1"/>
                <w:lang w:val="es-ES"/>
              </w:rPr>
            </w:pPr>
          </w:p>
        </w:tc>
        <w:tc>
          <w:tcPr>
            <w:tcW w:w="3451" w:type="dxa"/>
            <w:tcBorders>
              <w:top w:val="single" w:sz="8" w:space="0" w:color="FFFFFF"/>
              <w:left w:val="nil"/>
              <w:bottom w:val="single" w:sz="8" w:space="0" w:color="FFFFFF"/>
              <w:right w:val="nil"/>
            </w:tcBorders>
            <w:shd w:val="clear" w:color="auto" w:fill="5B9BD5"/>
            <w:tcMar>
              <w:top w:w="0" w:type="dxa"/>
              <w:left w:w="108" w:type="dxa"/>
              <w:bottom w:w="0" w:type="dxa"/>
              <w:right w:w="108" w:type="dxa"/>
            </w:tcMar>
          </w:tcPr>
          <w:p w14:paraId="395E5215" w14:textId="77777777" w:rsidR="00A93852" w:rsidRPr="00A349EC" w:rsidRDefault="00A93852" w:rsidP="00A407DE">
            <w:pPr>
              <w:pStyle w:val="Tablehead"/>
              <w:jc w:val="left"/>
              <w:rPr>
                <w:color w:val="FFFFFF" w:themeColor="background1"/>
                <w:lang w:val="es-ES"/>
              </w:rPr>
            </w:pPr>
            <w:r w:rsidRPr="00A349EC">
              <w:rPr>
                <w:color w:val="FFFFFF" w:themeColor="background1"/>
                <w:lang w:val="es-ES"/>
              </w:rPr>
              <w:t>Coordinador</w:t>
            </w:r>
          </w:p>
        </w:tc>
        <w:tc>
          <w:tcPr>
            <w:tcW w:w="4291" w:type="dxa"/>
            <w:tcBorders>
              <w:top w:val="single" w:sz="8" w:space="0" w:color="FFFFFF"/>
              <w:left w:val="nil"/>
              <w:bottom w:val="single" w:sz="8" w:space="0" w:color="FFFFFF"/>
              <w:right w:val="single" w:sz="8" w:space="0" w:color="FFFFFF"/>
            </w:tcBorders>
            <w:shd w:val="clear" w:color="auto" w:fill="5B9BD5"/>
            <w:tcMar>
              <w:top w:w="0" w:type="dxa"/>
              <w:left w:w="108" w:type="dxa"/>
              <w:bottom w:w="0" w:type="dxa"/>
              <w:right w:w="108" w:type="dxa"/>
            </w:tcMar>
          </w:tcPr>
          <w:p w14:paraId="727FCB1D" w14:textId="77777777" w:rsidR="00A93852" w:rsidRPr="00A349EC" w:rsidRDefault="00A93852" w:rsidP="00A407DE">
            <w:pPr>
              <w:pStyle w:val="Tablehead"/>
              <w:jc w:val="left"/>
              <w:rPr>
                <w:color w:val="FFFFFF" w:themeColor="background1"/>
                <w:lang w:val="es-ES"/>
              </w:rPr>
            </w:pPr>
            <w:r w:rsidRPr="00A349EC">
              <w:rPr>
                <w:color w:val="FFFFFF" w:themeColor="background1"/>
                <w:lang w:val="es-ES"/>
              </w:rPr>
              <w:t>País</w:t>
            </w:r>
          </w:p>
        </w:tc>
      </w:tr>
      <w:tr w:rsidR="00A93852" w:rsidRPr="00A93852" w14:paraId="55F7590A" w14:textId="77777777" w:rsidTr="00E03095">
        <w:tc>
          <w:tcPr>
            <w:tcW w:w="1790"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tcPr>
          <w:p w14:paraId="367C6DB0" w14:textId="77777777" w:rsidR="00A93852" w:rsidRPr="00A349EC" w:rsidRDefault="00A93852" w:rsidP="004F4AD1">
            <w:pPr>
              <w:pStyle w:val="Tabletext"/>
              <w:rPr>
                <w:b/>
                <w:bCs/>
                <w:color w:val="FFFFFF" w:themeColor="background1"/>
                <w:lang w:val="es-ES"/>
              </w:rPr>
            </w:pPr>
            <w:r w:rsidRPr="00A349EC">
              <w:rPr>
                <w:b/>
                <w:bCs/>
                <w:color w:val="FFFFFF" w:themeColor="background1"/>
                <w:lang w:val="es-ES"/>
              </w:rPr>
              <w:t>GT-GADT-RDPT</w:t>
            </w:r>
          </w:p>
        </w:tc>
        <w:tc>
          <w:tcPr>
            <w:tcW w:w="3451" w:type="dxa"/>
            <w:tcBorders>
              <w:top w:val="single" w:sz="8" w:space="0" w:color="FFFFFF"/>
              <w:left w:val="nil"/>
              <w:bottom w:val="single" w:sz="8" w:space="0" w:color="FFFFFF"/>
              <w:right w:val="single" w:sz="8" w:space="0" w:color="FFFFFF"/>
            </w:tcBorders>
            <w:shd w:val="clear" w:color="auto" w:fill="DEEAF6"/>
            <w:tcMar>
              <w:top w:w="0" w:type="dxa"/>
              <w:left w:w="108" w:type="dxa"/>
              <w:bottom w:w="0" w:type="dxa"/>
              <w:right w:w="108" w:type="dxa"/>
            </w:tcMar>
          </w:tcPr>
          <w:p w14:paraId="5E88CF67" w14:textId="77777777" w:rsidR="00A93852" w:rsidRPr="00A349EC" w:rsidRDefault="00A93852" w:rsidP="004F4AD1">
            <w:pPr>
              <w:pStyle w:val="Tabletext"/>
              <w:rPr>
                <w:color w:val="0070C0"/>
                <w:lang w:val="es-ES"/>
              </w:rPr>
            </w:pPr>
            <w:r w:rsidRPr="00A349EC">
              <w:rPr>
                <w:color w:val="0070C0"/>
                <w:lang w:val="es-ES"/>
              </w:rPr>
              <w:t>Sr. Antony Adopo</w:t>
            </w:r>
          </w:p>
        </w:tc>
        <w:tc>
          <w:tcPr>
            <w:tcW w:w="4291" w:type="dxa"/>
            <w:tcBorders>
              <w:top w:val="single" w:sz="8" w:space="0" w:color="FFFFFF"/>
              <w:left w:val="nil"/>
              <w:bottom w:val="single" w:sz="8" w:space="0" w:color="FFFFFF"/>
              <w:right w:val="single" w:sz="8" w:space="0" w:color="FFFFFF"/>
            </w:tcBorders>
            <w:shd w:val="clear" w:color="auto" w:fill="DEEAF6"/>
            <w:tcMar>
              <w:top w:w="0" w:type="dxa"/>
              <w:left w:w="108" w:type="dxa"/>
              <w:bottom w:w="0" w:type="dxa"/>
              <w:right w:w="108" w:type="dxa"/>
            </w:tcMar>
          </w:tcPr>
          <w:p w14:paraId="418993C9" w14:textId="4ECED5A6" w:rsidR="00A93852" w:rsidRPr="00A349EC" w:rsidRDefault="00A93852" w:rsidP="004F4AD1">
            <w:pPr>
              <w:pStyle w:val="Tabletext"/>
              <w:rPr>
                <w:color w:val="0070C0"/>
                <w:lang w:val="es-ES"/>
              </w:rPr>
            </w:pPr>
            <w:r w:rsidRPr="00A349EC">
              <w:rPr>
                <w:color w:val="0070C0"/>
                <w:lang w:val="es-ES"/>
              </w:rPr>
              <w:t>Côte d</w:t>
            </w:r>
            <w:r w:rsidR="00A349EC">
              <w:rPr>
                <w:color w:val="0070C0"/>
                <w:lang w:val="es-ES"/>
              </w:rPr>
              <w:t>'</w:t>
            </w:r>
            <w:r w:rsidRPr="00A349EC">
              <w:rPr>
                <w:color w:val="0070C0"/>
                <w:lang w:val="es-ES"/>
              </w:rPr>
              <w:t>Ivoire</w:t>
            </w:r>
          </w:p>
        </w:tc>
      </w:tr>
      <w:tr w:rsidR="00A93852" w:rsidRPr="00A93852" w14:paraId="052E86BC" w14:textId="77777777" w:rsidTr="00E03095">
        <w:tc>
          <w:tcPr>
            <w:tcW w:w="1790"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tcPr>
          <w:p w14:paraId="0D1FB85E" w14:textId="77777777" w:rsidR="00A93852" w:rsidRPr="00A349EC" w:rsidRDefault="00A93852" w:rsidP="004F4AD1">
            <w:pPr>
              <w:pStyle w:val="Tabletext"/>
              <w:rPr>
                <w:b/>
                <w:bCs/>
                <w:color w:val="FFFFFF" w:themeColor="background1"/>
                <w:lang w:val="es-ES"/>
              </w:rPr>
            </w:pPr>
            <w:r w:rsidRPr="00A349EC">
              <w:rPr>
                <w:b/>
                <w:bCs/>
                <w:color w:val="FFFFFF" w:themeColor="background1"/>
                <w:lang w:val="es-ES"/>
              </w:rPr>
              <w:t>GT-GADT-PEO</w:t>
            </w:r>
          </w:p>
        </w:tc>
        <w:tc>
          <w:tcPr>
            <w:tcW w:w="3451" w:type="dxa"/>
            <w:tcBorders>
              <w:top w:val="nil"/>
              <w:left w:val="nil"/>
              <w:bottom w:val="single" w:sz="8" w:space="0" w:color="FFFFFF"/>
              <w:right w:val="single" w:sz="8" w:space="0" w:color="FFFFFF"/>
            </w:tcBorders>
            <w:shd w:val="clear" w:color="auto" w:fill="BDD6EE"/>
            <w:tcMar>
              <w:top w:w="0" w:type="dxa"/>
              <w:left w:w="108" w:type="dxa"/>
              <w:bottom w:w="0" w:type="dxa"/>
              <w:right w:w="108" w:type="dxa"/>
            </w:tcMar>
          </w:tcPr>
          <w:p w14:paraId="14F09890" w14:textId="77777777" w:rsidR="00A93852" w:rsidRPr="00A349EC" w:rsidRDefault="00A93852" w:rsidP="004F4AD1">
            <w:pPr>
              <w:pStyle w:val="Tabletext"/>
              <w:rPr>
                <w:color w:val="0070C0"/>
                <w:lang w:val="es-ES"/>
              </w:rPr>
            </w:pPr>
            <w:r w:rsidRPr="00A349EC">
              <w:rPr>
                <w:color w:val="0070C0"/>
                <w:lang w:val="es-ES"/>
              </w:rPr>
              <w:t>Sra. Caecilia Nyamutswa</w:t>
            </w:r>
          </w:p>
        </w:tc>
        <w:tc>
          <w:tcPr>
            <w:tcW w:w="4291" w:type="dxa"/>
            <w:tcBorders>
              <w:top w:val="nil"/>
              <w:left w:val="nil"/>
              <w:bottom w:val="single" w:sz="8" w:space="0" w:color="FFFFFF"/>
              <w:right w:val="single" w:sz="8" w:space="0" w:color="FFFFFF"/>
            </w:tcBorders>
            <w:shd w:val="clear" w:color="auto" w:fill="BDD6EE"/>
            <w:tcMar>
              <w:top w:w="0" w:type="dxa"/>
              <w:left w:w="108" w:type="dxa"/>
              <w:bottom w:w="0" w:type="dxa"/>
              <w:right w:w="108" w:type="dxa"/>
            </w:tcMar>
          </w:tcPr>
          <w:p w14:paraId="6D197871" w14:textId="77777777" w:rsidR="00A93852" w:rsidRPr="00A349EC" w:rsidRDefault="00A93852" w:rsidP="004F4AD1">
            <w:pPr>
              <w:pStyle w:val="Tabletext"/>
              <w:rPr>
                <w:color w:val="0070C0"/>
                <w:lang w:val="es-ES"/>
              </w:rPr>
            </w:pPr>
            <w:r w:rsidRPr="00A349EC">
              <w:rPr>
                <w:color w:val="0070C0"/>
                <w:lang w:val="es-ES"/>
              </w:rPr>
              <w:t>Zimbabwe</w:t>
            </w:r>
          </w:p>
        </w:tc>
      </w:tr>
      <w:tr w:rsidR="00A93852" w:rsidRPr="00A93852" w14:paraId="05F5FE43" w14:textId="77777777" w:rsidTr="00E03095">
        <w:tc>
          <w:tcPr>
            <w:tcW w:w="1790" w:type="dxa"/>
            <w:tcBorders>
              <w:top w:val="single" w:sz="8" w:space="0" w:color="FFFFFF"/>
              <w:left w:val="single" w:sz="8" w:space="0" w:color="FFFFFF"/>
              <w:bottom w:val="single" w:sz="8" w:space="0" w:color="FFFFFF"/>
              <w:right w:val="single" w:sz="8" w:space="0" w:color="FFFFFF"/>
            </w:tcBorders>
            <w:shd w:val="clear" w:color="auto" w:fill="5B9BD5"/>
            <w:tcMar>
              <w:top w:w="0" w:type="dxa"/>
              <w:left w:w="108" w:type="dxa"/>
              <w:bottom w:w="0" w:type="dxa"/>
              <w:right w:w="108" w:type="dxa"/>
            </w:tcMar>
            <w:hideMark/>
          </w:tcPr>
          <w:p w14:paraId="64F37B30" w14:textId="77777777" w:rsidR="00A93852" w:rsidRPr="00A349EC" w:rsidRDefault="00A93852" w:rsidP="004F4AD1">
            <w:pPr>
              <w:pStyle w:val="Tabletext"/>
              <w:rPr>
                <w:b/>
                <w:bCs/>
                <w:color w:val="FFFFFF" w:themeColor="background1"/>
                <w:lang w:val="es-ES"/>
              </w:rPr>
            </w:pPr>
            <w:r w:rsidRPr="00A349EC">
              <w:rPr>
                <w:b/>
                <w:bCs/>
                <w:color w:val="FFFFFF" w:themeColor="background1"/>
                <w:lang w:val="es-ES"/>
              </w:rPr>
              <w:t>GT-GADT-Prep</w:t>
            </w:r>
          </w:p>
        </w:tc>
        <w:tc>
          <w:tcPr>
            <w:tcW w:w="3451" w:type="dxa"/>
            <w:tcBorders>
              <w:top w:val="single" w:sz="8" w:space="0" w:color="FFFFFF"/>
              <w:left w:val="nil"/>
              <w:bottom w:val="single" w:sz="8" w:space="0" w:color="FFFFFF"/>
              <w:right w:val="single" w:sz="8" w:space="0" w:color="FFFFFF"/>
            </w:tcBorders>
            <w:shd w:val="clear" w:color="auto" w:fill="DEEAF6"/>
            <w:tcMar>
              <w:top w:w="0" w:type="dxa"/>
              <w:left w:w="108" w:type="dxa"/>
              <w:bottom w:w="0" w:type="dxa"/>
              <w:right w:w="108" w:type="dxa"/>
            </w:tcMar>
          </w:tcPr>
          <w:p w14:paraId="6BC9D6AC" w14:textId="77777777" w:rsidR="00A93852" w:rsidRPr="00A349EC" w:rsidRDefault="00A93852" w:rsidP="004F4AD1">
            <w:pPr>
              <w:pStyle w:val="Tabletext"/>
              <w:rPr>
                <w:color w:val="0070C0"/>
                <w:lang w:val="es-ES"/>
              </w:rPr>
            </w:pPr>
            <w:r w:rsidRPr="00A349EC">
              <w:rPr>
                <w:color w:val="0070C0"/>
                <w:lang w:val="es-ES"/>
              </w:rPr>
              <w:t>Sr. Abdulkarim Oloyede</w:t>
            </w:r>
          </w:p>
        </w:tc>
        <w:tc>
          <w:tcPr>
            <w:tcW w:w="4291" w:type="dxa"/>
            <w:tcBorders>
              <w:top w:val="single" w:sz="8" w:space="0" w:color="FFFFFF"/>
              <w:left w:val="nil"/>
              <w:bottom w:val="single" w:sz="8" w:space="0" w:color="FFFFFF"/>
              <w:right w:val="single" w:sz="8" w:space="0" w:color="FFFFFF"/>
            </w:tcBorders>
            <w:shd w:val="clear" w:color="auto" w:fill="DEEAF6"/>
            <w:tcMar>
              <w:top w:w="0" w:type="dxa"/>
              <w:left w:w="108" w:type="dxa"/>
              <w:bottom w:w="0" w:type="dxa"/>
              <w:right w:w="108" w:type="dxa"/>
            </w:tcMar>
          </w:tcPr>
          <w:p w14:paraId="393D7673" w14:textId="77777777" w:rsidR="00A93852" w:rsidRPr="00A349EC" w:rsidRDefault="00A93852" w:rsidP="004F4AD1">
            <w:pPr>
              <w:pStyle w:val="Tabletext"/>
              <w:rPr>
                <w:color w:val="0070C0"/>
                <w:lang w:val="es-ES"/>
              </w:rPr>
            </w:pPr>
            <w:r w:rsidRPr="00A349EC">
              <w:rPr>
                <w:color w:val="0070C0"/>
                <w:lang w:val="es-ES"/>
              </w:rPr>
              <w:t>Nigeria</w:t>
            </w:r>
          </w:p>
        </w:tc>
      </w:tr>
      <w:tr w:rsidR="00A93852" w:rsidRPr="00A93852" w14:paraId="331C3B17" w14:textId="77777777" w:rsidTr="00E03095">
        <w:tc>
          <w:tcPr>
            <w:tcW w:w="1790" w:type="dxa"/>
            <w:tcBorders>
              <w:top w:val="single" w:sz="8" w:space="0" w:color="FFFFFF"/>
              <w:left w:val="single" w:sz="8" w:space="0" w:color="FFFFFF"/>
              <w:bottom w:val="single" w:sz="8" w:space="0" w:color="FFFFFF"/>
              <w:right w:val="single" w:sz="8" w:space="0" w:color="FFFFFF"/>
            </w:tcBorders>
            <w:shd w:val="clear" w:color="auto" w:fill="5B9BD5"/>
            <w:tcMar>
              <w:top w:w="0" w:type="dxa"/>
              <w:left w:w="108" w:type="dxa"/>
              <w:bottom w:w="0" w:type="dxa"/>
              <w:right w:w="108" w:type="dxa"/>
            </w:tcMar>
          </w:tcPr>
          <w:p w14:paraId="4927F3B5" w14:textId="19B4F95B" w:rsidR="00A93852" w:rsidRPr="00A349EC" w:rsidRDefault="00A93852" w:rsidP="004F4AD1">
            <w:pPr>
              <w:pStyle w:val="Tabletext"/>
              <w:rPr>
                <w:b/>
                <w:bCs/>
                <w:color w:val="FFFFFF" w:themeColor="background1"/>
                <w:lang w:val="es-ES"/>
              </w:rPr>
            </w:pPr>
            <w:r w:rsidRPr="00A349EC">
              <w:rPr>
                <w:b/>
                <w:bCs/>
                <w:color w:val="FFFFFF" w:themeColor="background1"/>
                <w:lang w:val="es-ES"/>
              </w:rPr>
              <w:t>Vicepresident</w:t>
            </w:r>
            <w:r w:rsidR="00A407DE">
              <w:rPr>
                <w:b/>
                <w:bCs/>
                <w:color w:val="FFFFFF" w:themeColor="background1"/>
                <w:lang w:val="es-ES"/>
              </w:rPr>
              <w:t>a</w:t>
            </w:r>
            <w:r w:rsidRPr="00A349EC">
              <w:rPr>
                <w:b/>
                <w:bCs/>
                <w:color w:val="FFFFFF" w:themeColor="background1"/>
                <w:lang w:val="es-ES"/>
              </w:rPr>
              <w:t xml:space="preserve"> de la RIR para África</w:t>
            </w:r>
          </w:p>
        </w:tc>
        <w:tc>
          <w:tcPr>
            <w:tcW w:w="3451" w:type="dxa"/>
            <w:tcBorders>
              <w:top w:val="single" w:sz="8" w:space="0" w:color="FFFFFF"/>
              <w:left w:val="nil"/>
              <w:bottom w:val="single" w:sz="8" w:space="0" w:color="FFFFFF"/>
              <w:right w:val="single" w:sz="8" w:space="0" w:color="FFFFFF"/>
            </w:tcBorders>
            <w:shd w:val="clear" w:color="auto" w:fill="BDD6EE"/>
            <w:tcMar>
              <w:top w:w="0" w:type="dxa"/>
              <w:left w:w="108" w:type="dxa"/>
              <w:bottom w:w="0" w:type="dxa"/>
              <w:right w:w="108" w:type="dxa"/>
            </w:tcMar>
          </w:tcPr>
          <w:p w14:paraId="1CBD3668" w14:textId="77777777" w:rsidR="00A93852" w:rsidRPr="00A349EC" w:rsidRDefault="00A93852" w:rsidP="004F4AD1">
            <w:pPr>
              <w:pStyle w:val="Tabletext"/>
              <w:rPr>
                <w:color w:val="0070C0"/>
                <w:lang w:val="es-ES"/>
              </w:rPr>
            </w:pPr>
            <w:r w:rsidRPr="00A349EC">
              <w:rPr>
                <w:color w:val="0070C0"/>
                <w:lang w:val="es-ES"/>
              </w:rPr>
              <w:t>Sra. Caecilia Nyamutswa</w:t>
            </w:r>
          </w:p>
        </w:tc>
        <w:tc>
          <w:tcPr>
            <w:tcW w:w="4291" w:type="dxa"/>
            <w:tcBorders>
              <w:top w:val="single" w:sz="8" w:space="0" w:color="FFFFFF"/>
              <w:left w:val="nil"/>
              <w:bottom w:val="single" w:sz="8" w:space="0" w:color="FFFFFF"/>
              <w:right w:val="single" w:sz="8" w:space="0" w:color="FFFFFF"/>
            </w:tcBorders>
            <w:shd w:val="clear" w:color="auto" w:fill="BDD6EE"/>
            <w:tcMar>
              <w:top w:w="0" w:type="dxa"/>
              <w:left w:w="108" w:type="dxa"/>
              <w:bottom w:w="0" w:type="dxa"/>
              <w:right w:w="108" w:type="dxa"/>
            </w:tcMar>
          </w:tcPr>
          <w:p w14:paraId="21DCEA7B" w14:textId="6C16247D" w:rsidR="00A93852" w:rsidRPr="00A349EC" w:rsidRDefault="00A93852" w:rsidP="004F4AD1">
            <w:pPr>
              <w:pStyle w:val="Tabletext"/>
              <w:rPr>
                <w:color w:val="0070C0"/>
                <w:lang w:val="es-ES"/>
              </w:rPr>
            </w:pPr>
            <w:r w:rsidRPr="00A349EC">
              <w:rPr>
                <w:color w:val="0070C0"/>
                <w:lang w:val="es-ES"/>
              </w:rPr>
              <w:t>Zimbabwe</w:t>
            </w:r>
          </w:p>
        </w:tc>
      </w:tr>
    </w:tbl>
    <w:p w14:paraId="5D13A2FE" w14:textId="35219889" w:rsidR="00A93852" w:rsidRPr="00A93852" w:rsidRDefault="00A93852" w:rsidP="004F4AD1">
      <w:pPr>
        <w:pStyle w:val="Normalaftertitle"/>
        <w:rPr>
          <w:lang w:val="es-ES"/>
        </w:rPr>
      </w:pPr>
      <w:r w:rsidRPr="00A407DE">
        <w:rPr>
          <w:lang w:val="es-ES"/>
        </w:rPr>
        <w:t>4.4</w:t>
      </w:r>
      <w:r w:rsidR="00A36AD0">
        <w:rPr>
          <w:lang w:val="es-ES"/>
        </w:rPr>
        <w:tab/>
      </w:r>
      <w:r w:rsidRPr="00A93852">
        <w:rPr>
          <w:lang w:val="es-ES"/>
        </w:rPr>
        <w:t>Un representante</w:t>
      </w:r>
      <w:r w:rsidRPr="00A93852">
        <w:rPr>
          <w:b/>
          <w:lang w:val="es-ES"/>
        </w:rPr>
        <w:t xml:space="preserve"> </w:t>
      </w:r>
      <w:r w:rsidRPr="00A93852">
        <w:rPr>
          <w:lang w:val="es-ES"/>
        </w:rPr>
        <w:t xml:space="preserve">de </w:t>
      </w:r>
      <w:r w:rsidRPr="00A407DE">
        <w:rPr>
          <w:bCs/>
          <w:lang w:val="es-ES"/>
        </w:rPr>
        <w:t>la</w:t>
      </w:r>
      <w:r w:rsidRPr="00A93852">
        <w:rPr>
          <w:b/>
          <w:lang w:val="es-ES"/>
        </w:rPr>
        <w:t xml:space="preserve"> Comisión Interamericana de Telecomunicaciones (CITEL)</w:t>
      </w:r>
      <w:r w:rsidRPr="00A93852">
        <w:rPr>
          <w:lang w:val="es-ES"/>
        </w:rPr>
        <w:t xml:space="preserve"> de Canadá presentó el </w:t>
      </w:r>
      <w:hyperlink r:id="rId14" w:history="1">
        <w:r w:rsidRPr="00A93852">
          <w:rPr>
            <w:rStyle w:val="Hyperlink"/>
            <w:lang w:val="es-ES"/>
          </w:rPr>
          <w:t>Documento 22</w:t>
        </w:r>
      </w:hyperlink>
      <w:r w:rsidRPr="00A93852">
        <w:rPr>
          <w:lang w:val="es-ES"/>
        </w:rPr>
        <w:t xml:space="preserve">, en el que se resumen los preparativos de la CITEL. La máxima prioridad de la CITEL es el tema de la </w:t>
      </w:r>
      <w:r w:rsidR="00306884">
        <w:rPr>
          <w:lang w:val="es-ES"/>
        </w:rPr>
        <w:t>c</w:t>
      </w:r>
      <w:r w:rsidRPr="00A93852">
        <w:rPr>
          <w:lang w:val="es-ES"/>
        </w:rPr>
        <w:t xml:space="preserve">onferencia: </w:t>
      </w:r>
      <w:r w:rsidRPr="00A93852">
        <w:rPr>
          <w:b/>
          <w:i/>
          <w:lang w:val="es-ES"/>
        </w:rPr>
        <w:t>Conectar a quienes carecen de conexión para lograr el desarrollo sostenible</w:t>
      </w:r>
      <w:r w:rsidRPr="00A93852">
        <w:rPr>
          <w:i/>
          <w:lang w:val="es-ES"/>
        </w:rPr>
        <w:t>.</w:t>
      </w:r>
      <w:r w:rsidRPr="00A93852">
        <w:rPr>
          <w:lang w:val="es-ES"/>
        </w:rPr>
        <w:t xml:space="preserve"> Otras prioridades asimismo importantes son las siguientes:</w:t>
      </w:r>
    </w:p>
    <w:p w14:paraId="5560C89B" w14:textId="4BB2081F" w:rsidR="00A93852" w:rsidRPr="00A93852" w:rsidRDefault="00A36AD0" w:rsidP="00A36AD0">
      <w:pPr>
        <w:pStyle w:val="enumlev1"/>
        <w:rPr>
          <w:lang w:val="es-ES"/>
        </w:rPr>
      </w:pPr>
      <w:r>
        <w:rPr>
          <w:lang w:val="es-ES"/>
        </w:rPr>
        <w:t>–</w:t>
      </w:r>
      <w:r>
        <w:rPr>
          <w:lang w:val="es-ES"/>
        </w:rPr>
        <w:tab/>
      </w:r>
      <w:r w:rsidR="00A93852" w:rsidRPr="00A93852">
        <w:rPr>
          <w:lang w:val="es-ES"/>
        </w:rPr>
        <w:t>Una UIT adecuada a sus fines ("Fit4PurposeITU"), de manera que la CMDT-21 sea un entorno propulsor de la formulación y aplicación de soluciones concretas y eficaces para la ampliación y el uso de la conectividad y las TIC en los países en desarrollo y los países menos adelantados (PMA), los países en desarrollo sin litoral (PDSL) y los pequeños Estados insulares en desarrollo (PEID).</w:t>
      </w:r>
    </w:p>
    <w:p w14:paraId="7CFCD672" w14:textId="70237063" w:rsidR="00A93852" w:rsidRPr="00A93852" w:rsidRDefault="00A36AD0" w:rsidP="00A36AD0">
      <w:pPr>
        <w:pStyle w:val="enumlev1"/>
        <w:rPr>
          <w:lang w:val="es-ES"/>
        </w:rPr>
      </w:pPr>
      <w:r>
        <w:rPr>
          <w:lang w:val="es-ES"/>
        </w:rPr>
        <w:t>–</w:t>
      </w:r>
      <w:r>
        <w:rPr>
          <w:lang w:val="es-ES"/>
        </w:rPr>
        <w:tab/>
      </w:r>
      <w:r w:rsidR="00A93852" w:rsidRPr="00A93852">
        <w:rPr>
          <w:lang w:val="es-ES"/>
        </w:rPr>
        <w:t xml:space="preserve">Una mayor participación de los PMA, los PDSL y los PEID en los trabajos del UIT-D, en particular de las partes interesadas de la </w:t>
      </w:r>
      <w:r w:rsidR="00CD6F8C" w:rsidRPr="00A93852">
        <w:rPr>
          <w:lang w:val="es-ES"/>
        </w:rPr>
        <w:t xml:space="preserve">Región </w:t>
      </w:r>
      <w:r w:rsidR="00A93852" w:rsidRPr="00A93852">
        <w:rPr>
          <w:lang w:val="es-ES"/>
        </w:rPr>
        <w:t>de las Américas, incluidas las pequeñas y medianas empresas (</w:t>
      </w:r>
      <w:r w:rsidRPr="00A93852">
        <w:rPr>
          <w:lang w:val="es-ES"/>
        </w:rPr>
        <w:t>pyme</w:t>
      </w:r>
      <w:r>
        <w:rPr>
          <w:lang w:val="es-ES"/>
        </w:rPr>
        <w:t>s</w:t>
      </w:r>
      <w:r w:rsidR="00A93852" w:rsidRPr="00A93852">
        <w:rPr>
          <w:lang w:val="es-ES"/>
        </w:rPr>
        <w:t>) y el mundo académico.</w:t>
      </w:r>
    </w:p>
    <w:p w14:paraId="0ABBC216" w14:textId="7E6AB595" w:rsidR="00A93852" w:rsidRPr="00A93852" w:rsidRDefault="00A36AD0" w:rsidP="00A36AD0">
      <w:pPr>
        <w:pStyle w:val="enumlev1"/>
        <w:rPr>
          <w:lang w:val="es-ES"/>
        </w:rPr>
      </w:pPr>
      <w:r>
        <w:rPr>
          <w:lang w:val="es-ES"/>
        </w:rPr>
        <w:t>–</w:t>
      </w:r>
      <w:r>
        <w:rPr>
          <w:lang w:val="es-ES"/>
        </w:rPr>
        <w:tab/>
      </w:r>
      <w:r w:rsidR="00A93852" w:rsidRPr="00A93852">
        <w:rPr>
          <w:lang w:val="es-ES"/>
        </w:rPr>
        <w:t xml:space="preserve">Una </w:t>
      </w:r>
      <w:r w:rsidR="00A407DE">
        <w:rPr>
          <w:lang w:val="es-ES"/>
        </w:rPr>
        <w:t>c</w:t>
      </w:r>
      <w:r w:rsidR="00A93852" w:rsidRPr="00A93852">
        <w:rPr>
          <w:lang w:val="es-ES"/>
        </w:rPr>
        <w:t>onferencia orientada a abordar, de manera efectiva, las prioridades críticas de las</w:t>
      </w:r>
      <w:r w:rsidR="00A407DE">
        <w:rPr>
          <w:lang w:val="es-ES"/>
        </w:rPr>
        <w:t> </w:t>
      </w:r>
      <w:r w:rsidR="00A93852" w:rsidRPr="00A93852">
        <w:rPr>
          <w:lang w:val="es-ES"/>
        </w:rPr>
        <w:t>TIC para el desarrollo (ICT4D) identificadas por las regiones y centradas en la reducción de las brechas digitales; llegar a las regiones y comunidades marginadas; promover las redes comunitarias y garantizar la equidad de género, la igualdad y una mayor participación y compromiso de los jóvenes en las actividades del UIT-D.</w:t>
      </w:r>
    </w:p>
    <w:p w14:paraId="60118468" w14:textId="77777777" w:rsidR="00A93852" w:rsidRPr="00A93852" w:rsidRDefault="00A93852" w:rsidP="004F4AD1">
      <w:pPr>
        <w:pStyle w:val="Headingb"/>
        <w:spacing w:after="120"/>
        <w:rPr>
          <w:lang w:val="es-ES"/>
        </w:rPr>
      </w:pPr>
      <w:r w:rsidRPr="004A0850">
        <w:rPr>
          <w:lang w:val="es-ES"/>
        </w:rPr>
        <w:lastRenderedPageBreak/>
        <w:t>Coordinadores de la CITEL para los grupos de trabajo del GADT</w:t>
      </w:r>
    </w:p>
    <w:tbl>
      <w:tblPr>
        <w:tblW w:w="5000" w:type="pct"/>
        <w:tblCellMar>
          <w:left w:w="0" w:type="dxa"/>
          <w:right w:w="0" w:type="dxa"/>
        </w:tblCellMar>
        <w:tblLook w:val="04A0" w:firstRow="1" w:lastRow="0" w:firstColumn="1" w:lastColumn="0" w:noHBand="0" w:noVBand="1"/>
      </w:tblPr>
      <w:tblGrid>
        <w:gridCol w:w="1806"/>
        <w:gridCol w:w="3484"/>
        <w:gridCol w:w="4331"/>
      </w:tblGrid>
      <w:tr w:rsidR="00A93852" w:rsidRPr="00A93852" w14:paraId="0932958B" w14:textId="77777777" w:rsidTr="00E03095">
        <w:tc>
          <w:tcPr>
            <w:tcW w:w="1691" w:type="dxa"/>
            <w:tcBorders>
              <w:top w:val="single" w:sz="8" w:space="0" w:color="FFFFFF"/>
              <w:left w:val="single" w:sz="8" w:space="0" w:color="FFFFFF"/>
              <w:bottom w:val="single" w:sz="8" w:space="0" w:color="FFFFFF"/>
              <w:right w:val="nil"/>
            </w:tcBorders>
            <w:shd w:val="clear" w:color="auto" w:fill="5B9BD5"/>
            <w:tcMar>
              <w:top w:w="0" w:type="dxa"/>
              <w:left w:w="108" w:type="dxa"/>
              <w:bottom w:w="0" w:type="dxa"/>
              <w:right w:w="108" w:type="dxa"/>
            </w:tcMar>
            <w:hideMark/>
          </w:tcPr>
          <w:p w14:paraId="1B116F63" w14:textId="77777777" w:rsidR="00A93852" w:rsidRPr="00A349EC" w:rsidRDefault="00A93852" w:rsidP="004F4AD1">
            <w:pPr>
              <w:pStyle w:val="Tablehead"/>
              <w:rPr>
                <w:color w:val="FFFFFF" w:themeColor="background1"/>
                <w:lang w:val="es-ES"/>
              </w:rPr>
            </w:pPr>
          </w:p>
        </w:tc>
        <w:tc>
          <w:tcPr>
            <w:tcW w:w="3261" w:type="dxa"/>
            <w:tcBorders>
              <w:top w:val="single" w:sz="8" w:space="0" w:color="FFFFFF"/>
              <w:left w:val="nil"/>
              <w:bottom w:val="single" w:sz="8" w:space="0" w:color="FFFFFF"/>
              <w:right w:val="nil"/>
            </w:tcBorders>
            <w:shd w:val="clear" w:color="auto" w:fill="5B9BD5"/>
            <w:tcMar>
              <w:top w:w="0" w:type="dxa"/>
              <w:left w:w="108" w:type="dxa"/>
              <w:bottom w:w="0" w:type="dxa"/>
              <w:right w:w="108" w:type="dxa"/>
            </w:tcMar>
          </w:tcPr>
          <w:p w14:paraId="06EAE822" w14:textId="77777777" w:rsidR="00A93852" w:rsidRPr="00A349EC" w:rsidRDefault="00A93852" w:rsidP="004A0850">
            <w:pPr>
              <w:pStyle w:val="Tablehead"/>
              <w:jc w:val="left"/>
              <w:rPr>
                <w:color w:val="FFFFFF" w:themeColor="background1"/>
                <w:lang w:val="es-ES"/>
              </w:rPr>
            </w:pPr>
            <w:r w:rsidRPr="00A349EC">
              <w:rPr>
                <w:color w:val="FFFFFF" w:themeColor="background1"/>
                <w:lang w:val="es-ES"/>
              </w:rPr>
              <w:t>Coordinador</w:t>
            </w:r>
          </w:p>
        </w:tc>
        <w:tc>
          <w:tcPr>
            <w:tcW w:w="4054" w:type="dxa"/>
            <w:tcBorders>
              <w:top w:val="single" w:sz="8" w:space="0" w:color="FFFFFF"/>
              <w:left w:val="nil"/>
              <w:bottom w:val="single" w:sz="8" w:space="0" w:color="FFFFFF"/>
              <w:right w:val="single" w:sz="8" w:space="0" w:color="FFFFFF"/>
            </w:tcBorders>
            <w:shd w:val="clear" w:color="auto" w:fill="5B9BD5"/>
            <w:tcMar>
              <w:top w:w="0" w:type="dxa"/>
              <w:left w:w="108" w:type="dxa"/>
              <w:bottom w:w="0" w:type="dxa"/>
              <w:right w:w="108" w:type="dxa"/>
            </w:tcMar>
          </w:tcPr>
          <w:p w14:paraId="7CD8188B" w14:textId="77777777" w:rsidR="00A93852" w:rsidRPr="00A349EC" w:rsidRDefault="00A93852" w:rsidP="004A0850">
            <w:pPr>
              <w:pStyle w:val="Tablehead"/>
              <w:jc w:val="left"/>
              <w:rPr>
                <w:color w:val="FFFFFF" w:themeColor="background1"/>
                <w:lang w:val="es-ES"/>
              </w:rPr>
            </w:pPr>
            <w:r w:rsidRPr="00A349EC">
              <w:rPr>
                <w:color w:val="FFFFFF" w:themeColor="background1"/>
                <w:lang w:val="es-ES"/>
              </w:rPr>
              <w:t>País</w:t>
            </w:r>
          </w:p>
        </w:tc>
      </w:tr>
      <w:tr w:rsidR="00A93852" w:rsidRPr="00A93852" w14:paraId="650A0ADB" w14:textId="77777777" w:rsidTr="00E03095">
        <w:tc>
          <w:tcPr>
            <w:tcW w:w="1691"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tcPr>
          <w:p w14:paraId="749FB183" w14:textId="77777777" w:rsidR="00A93852" w:rsidRPr="00A349EC" w:rsidRDefault="00A93852" w:rsidP="004F4AD1">
            <w:pPr>
              <w:pStyle w:val="Tabletext"/>
              <w:keepNext/>
              <w:keepLines/>
              <w:rPr>
                <w:b/>
                <w:bCs/>
                <w:color w:val="FFFFFF" w:themeColor="background1"/>
                <w:lang w:val="es-ES"/>
              </w:rPr>
            </w:pPr>
            <w:r w:rsidRPr="00A349EC">
              <w:rPr>
                <w:b/>
                <w:bCs/>
                <w:color w:val="FFFFFF" w:themeColor="background1"/>
                <w:lang w:val="es-ES"/>
              </w:rPr>
              <w:t>GT-GADT-Prep</w:t>
            </w:r>
          </w:p>
        </w:tc>
        <w:tc>
          <w:tcPr>
            <w:tcW w:w="3261" w:type="dxa"/>
            <w:tcBorders>
              <w:top w:val="single" w:sz="8" w:space="0" w:color="FFFFFF"/>
              <w:left w:val="nil"/>
              <w:bottom w:val="single" w:sz="8" w:space="0" w:color="FFFFFF"/>
              <w:right w:val="single" w:sz="8" w:space="0" w:color="FFFFFF"/>
            </w:tcBorders>
            <w:shd w:val="clear" w:color="auto" w:fill="DEEAF6"/>
            <w:tcMar>
              <w:top w:w="0" w:type="dxa"/>
              <w:left w:w="108" w:type="dxa"/>
              <w:bottom w:w="0" w:type="dxa"/>
              <w:right w:w="108" w:type="dxa"/>
            </w:tcMar>
          </w:tcPr>
          <w:p w14:paraId="2D69DB63" w14:textId="77777777" w:rsidR="00A93852" w:rsidRPr="00A349EC" w:rsidRDefault="00A93852" w:rsidP="004F4AD1">
            <w:pPr>
              <w:pStyle w:val="Tabletext"/>
              <w:rPr>
                <w:color w:val="0070C0"/>
                <w:lang w:val="es-ES"/>
              </w:rPr>
            </w:pPr>
            <w:r w:rsidRPr="00A349EC">
              <w:rPr>
                <w:color w:val="0070C0"/>
                <w:lang w:val="es-ES"/>
              </w:rPr>
              <w:t>Sra. Andrea Grippa</w:t>
            </w:r>
          </w:p>
          <w:p w14:paraId="511234EA" w14:textId="77777777" w:rsidR="00A93852" w:rsidRPr="00A349EC" w:rsidRDefault="00A93852" w:rsidP="004F4AD1">
            <w:pPr>
              <w:pStyle w:val="Tabletext"/>
              <w:rPr>
                <w:color w:val="0070C0"/>
                <w:lang w:val="es-ES"/>
              </w:rPr>
            </w:pPr>
            <w:r w:rsidRPr="00A349EC">
              <w:rPr>
                <w:color w:val="0070C0"/>
                <w:lang w:val="es-ES"/>
              </w:rPr>
              <w:t>Sr. Daniel Carletti</w:t>
            </w:r>
          </w:p>
        </w:tc>
        <w:tc>
          <w:tcPr>
            <w:tcW w:w="4054" w:type="dxa"/>
            <w:tcBorders>
              <w:top w:val="single" w:sz="8" w:space="0" w:color="FFFFFF"/>
              <w:left w:val="nil"/>
              <w:bottom w:val="single" w:sz="8" w:space="0" w:color="FFFFFF"/>
              <w:right w:val="single" w:sz="8" w:space="0" w:color="FFFFFF"/>
            </w:tcBorders>
            <w:shd w:val="clear" w:color="auto" w:fill="DEEAF6"/>
            <w:tcMar>
              <w:top w:w="0" w:type="dxa"/>
              <w:left w:w="108" w:type="dxa"/>
              <w:bottom w:w="0" w:type="dxa"/>
              <w:right w:w="108" w:type="dxa"/>
            </w:tcMar>
          </w:tcPr>
          <w:p w14:paraId="4284C794" w14:textId="77777777" w:rsidR="00A93852" w:rsidRPr="00A349EC" w:rsidRDefault="00A93852" w:rsidP="004F4AD1">
            <w:pPr>
              <w:pStyle w:val="Tabletext"/>
              <w:rPr>
                <w:color w:val="0070C0"/>
                <w:lang w:val="es-ES"/>
              </w:rPr>
            </w:pPr>
            <w:r w:rsidRPr="00A349EC">
              <w:rPr>
                <w:color w:val="0070C0"/>
                <w:lang w:val="es-ES"/>
              </w:rPr>
              <w:t>Brasil</w:t>
            </w:r>
          </w:p>
          <w:p w14:paraId="7AE9590C" w14:textId="77777777" w:rsidR="00A93852" w:rsidRPr="00A349EC" w:rsidRDefault="00A93852" w:rsidP="004F4AD1">
            <w:pPr>
              <w:pStyle w:val="Tabletext"/>
              <w:rPr>
                <w:color w:val="0070C0"/>
                <w:lang w:val="es-ES"/>
              </w:rPr>
            </w:pPr>
            <w:r w:rsidRPr="00A349EC">
              <w:rPr>
                <w:color w:val="0070C0"/>
                <w:lang w:val="es-ES"/>
              </w:rPr>
              <w:t>Argentina</w:t>
            </w:r>
          </w:p>
        </w:tc>
      </w:tr>
      <w:tr w:rsidR="00A93852" w:rsidRPr="00A93852" w14:paraId="359C4A66" w14:textId="77777777" w:rsidTr="00DD7B2F">
        <w:tc>
          <w:tcPr>
            <w:tcW w:w="1691"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tcPr>
          <w:p w14:paraId="4D4F6A2B" w14:textId="77777777" w:rsidR="00A93852" w:rsidRPr="00A349EC" w:rsidRDefault="00A93852" w:rsidP="00704705">
            <w:pPr>
              <w:pStyle w:val="Tabletext"/>
              <w:keepNext/>
              <w:keepLines/>
              <w:rPr>
                <w:b/>
                <w:bCs/>
                <w:color w:val="FFFFFF" w:themeColor="background1"/>
                <w:lang w:val="es-ES"/>
              </w:rPr>
            </w:pPr>
            <w:r w:rsidRPr="00A349EC">
              <w:rPr>
                <w:b/>
                <w:bCs/>
                <w:color w:val="FFFFFF" w:themeColor="background1"/>
                <w:lang w:val="es-ES"/>
              </w:rPr>
              <w:t>GT-GADT-PEO</w:t>
            </w:r>
          </w:p>
        </w:tc>
        <w:tc>
          <w:tcPr>
            <w:tcW w:w="3261" w:type="dxa"/>
            <w:tcBorders>
              <w:top w:val="nil"/>
              <w:left w:val="nil"/>
              <w:bottom w:val="single" w:sz="8" w:space="0" w:color="FFFFFF"/>
              <w:right w:val="single" w:sz="8" w:space="0" w:color="FFFFFF"/>
            </w:tcBorders>
            <w:shd w:val="clear" w:color="auto" w:fill="BDD6EE"/>
            <w:tcMar>
              <w:top w:w="0" w:type="dxa"/>
              <w:left w:w="108" w:type="dxa"/>
              <w:bottom w:w="0" w:type="dxa"/>
              <w:right w:w="108" w:type="dxa"/>
            </w:tcMar>
          </w:tcPr>
          <w:p w14:paraId="7AA8E210" w14:textId="24235320" w:rsidR="00A93852" w:rsidRPr="00A349EC" w:rsidRDefault="00A93852" w:rsidP="004F4AD1">
            <w:pPr>
              <w:pStyle w:val="Tabletext"/>
              <w:rPr>
                <w:color w:val="0070C0"/>
                <w:lang w:val="es-ES"/>
              </w:rPr>
            </w:pPr>
            <w:r w:rsidRPr="00A349EC">
              <w:rPr>
                <w:color w:val="0070C0"/>
                <w:lang w:val="es-ES"/>
              </w:rPr>
              <w:t>Sra. Kelly O’Keefe</w:t>
            </w:r>
          </w:p>
          <w:p w14:paraId="3BF575FA" w14:textId="77777777" w:rsidR="00A93852" w:rsidRPr="00A349EC" w:rsidRDefault="00A93852" w:rsidP="004F4AD1">
            <w:pPr>
              <w:pStyle w:val="Tabletext"/>
              <w:rPr>
                <w:color w:val="0070C0"/>
                <w:lang w:val="es-ES"/>
              </w:rPr>
            </w:pPr>
            <w:r w:rsidRPr="00A349EC">
              <w:rPr>
                <w:color w:val="0070C0"/>
                <w:lang w:val="es-ES"/>
              </w:rPr>
              <w:t>Sra. Xian Persaud</w:t>
            </w:r>
          </w:p>
        </w:tc>
        <w:tc>
          <w:tcPr>
            <w:tcW w:w="4054" w:type="dxa"/>
            <w:tcBorders>
              <w:top w:val="nil"/>
              <w:left w:val="nil"/>
              <w:bottom w:val="single" w:sz="8" w:space="0" w:color="FFFFFF"/>
              <w:right w:val="single" w:sz="8" w:space="0" w:color="FFFFFF"/>
            </w:tcBorders>
            <w:shd w:val="clear" w:color="auto" w:fill="BDD6EE"/>
            <w:tcMar>
              <w:top w:w="0" w:type="dxa"/>
              <w:left w:w="108" w:type="dxa"/>
              <w:bottom w:w="0" w:type="dxa"/>
              <w:right w:w="108" w:type="dxa"/>
            </w:tcMar>
          </w:tcPr>
          <w:p w14:paraId="52BBBC87" w14:textId="77777777" w:rsidR="00A93852" w:rsidRPr="00A349EC" w:rsidRDefault="00A93852" w:rsidP="004F4AD1">
            <w:pPr>
              <w:pStyle w:val="Tabletext"/>
              <w:rPr>
                <w:color w:val="0070C0"/>
                <w:lang w:val="es-ES"/>
              </w:rPr>
            </w:pPr>
            <w:r w:rsidRPr="00A349EC">
              <w:rPr>
                <w:color w:val="0070C0"/>
                <w:lang w:val="es-ES"/>
              </w:rPr>
              <w:t>Estados Unidos de América</w:t>
            </w:r>
          </w:p>
          <w:p w14:paraId="073C768A" w14:textId="7399352A" w:rsidR="00A93852" w:rsidRPr="00A349EC" w:rsidRDefault="00A93852" w:rsidP="004F4AD1">
            <w:pPr>
              <w:pStyle w:val="Tabletext"/>
              <w:rPr>
                <w:color w:val="0070C0"/>
                <w:lang w:val="es-ES"/>
              </w:rPr>
            </w:pPr>
            <w:r w:rsidRPr="00A349EC">
              <w:rPr>
                <w:color w:val="0070C0"/>
                <w:lang w:val="es-ES"/>
              </w:rPr>
              <w:t>Bahamas</w:t>
            </w:r>
          </w:p>
        </w:tc>
      </w:tr>
      <w:tr w:rsidR="00A93852" w:rsidRPr="00A93852" w14:paraId="4F470AF4" w14:textId="77777777" w:rsidTr="00DD7B2F">
        <w:tc>
          <w:tcPr>
            <w:tcW w:w="1691" w:type="dxa"/>
            <w:tcBorders>
              <w:top w:val="single" w:sz="8" w:space="0" w:color="FFFFFF"/>
              <w:left w:val="single" w:sz="8" w:space="0" w:color="FFFFFF"/>
              <w:bottom w:val="single" w:sz="8" w:space="0" w:color="FFFFFF"/>
              <w:right w:val="single" w:sz="8" w:space="0" w:color="FFFFFF"/>
            </w:tcBorders>
            <w:shd w:val="clear" w:color="auto" w:fill="5B9BD5"/>
            <w:tcMar>
              <w:top w:w="0" w:type="dxa"/>
              <w:left w:w="108" w:type="dxa"/>
              <w:bottom w:w="0" w:type="dxa"/>
              <w:right w:w="108" w:type="dxa"/>
            </w:tcMar>
            <w:hideMark/>
          </w:tcPr>
          <w:p w14:paraId="47DF02B8" w14:textId="77777777" w:rsidR="00A93852" w:rsidRPr="00A349EC" w:rsidRDefault="00A93852" w:rsidP="004F4AD1">
            <w:pPr>
              <w:pStyle w:val="Tabletext"/>
              <w:rPr>
                <w:b/>
                <w:bCs/>
                <w:color w:val="FFFFFF" w:themeColor="background1"/>
                <w:lang w:val="es-ES"/>
              </w:rPr>
            </w:pPr>
            <w:r w:rsidRPr="00A349EC">
              <w:rPr>
                <w:b/>
                <w:bCs/>
                <w:color w:val="FFFFFF" w:themeColor="background1"/>
                <w:lang w:val="es-ES"/>
              </w:rPr>
              <w:t>GT-GADT-RDPT</w:t>
            </w:r>
          </w:p>
        </w:tc>
        <w:tc>
          <w:tcPr>
            <w:tcW w:w="3261" w:type="dxa"/>
            <w:tcBorders>
              <w:top w:val="single" w:sz="8" w:space="0" w:color="FFFFFF"/>
              <w:left w:val="nil"/>
              <w:bottom w:val="single" w:sz="8" w:space="0" w:color="FFFFFF"/>
              <w:right w:val="single" w:sz="8" w:space="0" w:color="FFFFFF"/>
            </w:tcBorders>
            <w:shd w:val="clear" w:color="auto" w:fill="DEEAF6"/>
            <w:tcMar>
              <w:top w:w="0" w:type="dxa"/>
              <w:left w:w="108" w:type="dxa"/>
              <w:bottom w:w="0" w:type="dxa"/>
              <w:right w:w="108" w:type="dxa"/>
            </w:tcMar>
          </w:tcPr>
          <w:p w14:paraId="51783A9D" w14:textId="7030FA4C" w:rsidR="00A93852" w:rsidRPr="00A349EC" w:rsidRDefault="00A93852" w:rsidP="004F4AD1">
            <w:pPr>
              <w:pStyle w:val="Tabletext"/>
              <w:rPr>
                <w:color w:val="0070C0"/>
                <w:lang w:val="es-ES"/>
              </w:rPr>
            </w:pPr>
            <w:r w:rsidRPr="00A349EC">
              <w:rPr>
                <w:color w:val="0070C0"/>
                <w:lang w:val="es-ES"/>
              </w:rPr>
              <w:t>Sr. Víctor Martínez</w:t>
            </w:r>
          </w:p>
          <w:p w14:paraId="0C6D76D9" w14:textId="77777777" w:rsidR="00A93852" w:rsidRPr="00A349EC" w:rsidRDefault="00A93852" w:rsidP="004F4AD1">
            <w:pPr>
              <w:pStyle w:val="Tabletext"/>
              <w:rPr>
                <w:color w:val="0070C0"/>
                <w:lang w:val="es-ES"/>
              </w:rPr>
            </w:pPr>
            <w:r w:rsidRPr="00A349EC">
              <w:rPr>
                <w:color w:val="0070C0"/>
                <w:lang w:val="es-ES"/>
              </w:rPr>
              <w:t>Sra. Michele Wu-Bailey</w:t>
            </w:r>
          </w:p>
        </w:tc>
        <w:tc>
          <w:tcPr>
            <w:tcW w:w="4054" w:type="dxa"/>
            <w:tcBorders>
              <w:top w:val="single" w:sz="8" w:space="0" w:color="FFFFFF"/>
              <w:left w:val="nil"/>
              <w:bottom w:val="single" w:sz="8" w:space="0" w:color="FFFFFF"/>
              <w:right w:val="single" w:sz="8" w:space="0" w:color="FFFFFF"/>
            </w:tcBorders>
            <w:shd w:val="clear" w:color="auto" w:fill="DEEAF6"/>
            <w:tcMar>
              <w:top w:w="0" w:type="dxa"/>
              <w:left w:w="108" w:type="dxa"/>
              <w:bottom w:w="0" w:type="dxa"/>
              <w:right w:w="108" w:type="dxa"/>
            </w:tcMar>
          </w:tcPr>
          <w:p w14:paraId="48E149CD" w14:textId="77777777" w:rsidR="004F4AD1" w:rsidRPr="00A349EC" w:rsidRDefault="00A93852" w:rsidP="004F4AD1">
            <w:pPr>
              <w:pStyle w:val="Tabletext"/>
              <w:rPr>
                <w:color w:val="0070C0"/>
                <w:lang w:val="es-ES"/>
              </w:rPr>
            </w:pPr>
            <w:r w:rsidRPr="00A349EC">
              <w:rPr>
                <w:color w:val="0070C0"/>
                <w:lang w:val="es-ES"/>
              </w:rPr>
              <w:t>México</w:t>
            </w:r>
          </w:p>
          <w:p w14:paraId="5E752631" w14:textId="688B73AB" w:rsidR="00A93852" w:rsidRPr="00A349EC" w:rsidRDefault="00A93852" w:rsidP="004F4AD1">
            <w:pPr>
              <w:pStyle w:val="Tabletext"/>
              <w:rPr>
                <w:color w:val="0070C0"/>
                <w:lang w:val="es-ES"/>
              </w:rPr>
            </w:pPr>
            <w:r w:rsidRPr="00A349EC">
              <w:rPr>
                <w:color w:val="0070C0"/>
                <w:lang w:val="es-ES"/>
              </w:rPr>
              <w:t>Estados Unidos de América</w:t>
            </w:r>
          </w:p>
        </w:tc>
      </w:tr>
    </w:tbl>
    <w:p w14:paraId="737C14B8" w14:textId="21FF2FF8" w:rsidR="00A93852" w:rsidRPr="00A93852" w:rsidRDefault="00A93852" w:rsidP="004F4AD1">
      <w:pPr>
        <w:pStyle w:val="Normalaftertitle"/>
        <w:rPr>
          <w:lang w:val="es-ES"/>
        </w:rPr>
      </w:pPr>
      <w:r w:rsidRPr="00DD7B2F">
        <w:rPr>
          <w:lang w:val="es-ES"/>
        </w:rPr>
        <w:t>4.5</w:t>
      </w:r>
      <w:r w:rsidR="00A36AD0">
        <w:rPr>
          <w:lang w:val="es-ES"/>
        </w:rPr>
        <w:tab/>
      </w:r>
      <w:r w:rsidRPr="00A93852">
        <w:rPr>
          <w:lang w:val="es-ES"/>
        </w:rPr>
        <w:t>Los resultados de la CMDT-21 deben reflejar esfuerzos y políticas concretos y coordinados entre todas las partes interesadas (Estados Miembros, Miembros del Sector, Asociados, sociedad civil, ONG, instituciones financieras internacionales, sector privado y bancos de desarrollo).</w:t>
      </w:r>
    </w:p>
    <w:p w14:paraId="7A33CE20" w14:textId="59E1A3AD" w:rsidR="00A93852" w:rsidRPr="00A93852" w:rsidRDefault="00A93852" w:rsidP="00A36AD0">
      <w:pPr>
        <w:rPr>
          <w:lang w:val="es-ES"/>
        </w:rPr>
      </w:pPr>
      <w:r w:rsidRPr="00A93852">
        <w:rPr>
          <w:lang w:val="es-ES"/>
        </w:rPr>
        <w:t>4.6</w:t>
      </w:r>
      <w:r w:rsidR="00A36AD0">
        <w:rPr>
          <w:lang w:val="es-ES"/>
        </w:rPr>
        <w:tab/>
      </w:r>
      <w:r w:rsidRPr="00A93852">
        <w:rPr>
          <w:lang w:val="es-ES"/>
        </w:rPr>
        <w:t xml:space="preserve">Las prioridades regionales deben estar vinculadas a las prioridades temáticas que se identifiquen y ser coherentes con ellas. Una cuestión fundamental para la </w:t>
      </w:r>
      <w:r w:rsidR="00CD6F8C" w:rsidRPr="00A93852">
        <w:rPr>
          <w:lang w:val="es-ES"/>
        </w:rPr>
        <w:t xml:space="preserve">Región </w:t>
      </w:r>
      <w:r w:rsidRPr="00A93852">
        <w:rPr>
          <w:lang w:val="es-ES"/>
        </w:rPr>
        <w:t>de las Américas es que todas las prioridades se establezcan y se apliquen con arreglo a los principios de universalidad, equidad y asequibilidad.</w:t>
      </w:r>
    </w:p>
    <w:p w14:paraId="3077A86C" w14:textId="543D8A22" w:rsidR="00A93852" w:rsidRPr="00A93852" w:rsidRDefault="00A93852" w:rsidP="00A36AD0">
      <w:pPr>
        <w:rPr>
          <w:lang w:val="es-ES"/>
        </w:rPr>
      </w:pPr>
      <w:r w:rsidRPr="00A93852">
        <w:rPr>
          <w:lang w:val="es-ES"/>
        </w:rPr>
        <w:t>4.7</w:t>
      </w:r>
      <w:r w:rsidR="00A36AD0">
        <w:rPr>
          <w:lang w:val="es-ES"/>
        </w:rPr>
        <w:tab/>
      </w:r>
      <w:r w:rsidRPr="00A93852">
        <w:rPr>
          <w:lang w:val="es-ES"/>
        </w:rPr>
        <w:t xml:space="preserve">La CITEL espera debatir las Cuestiones de las Comisiones de Estudio y la reestructuración de estas últimas; reducir las prioridades temáticas de la BDT del UIT-D de las </w:t>
      </w:r>
      <w:r w:rsidR="004A0850">
        <w:rPr>
          <w:lang w:val="es-ES"/>
        </w:rPr>
        <w:t>diez</w:t>
      </w:r>
      <w:r w:rsidRPr="00A93852">
        <w:rPr>
          <w:lang w:val="es-ES"/>
        </w:rPr>
        <w:t xml:space="preserve"> actuales a cuatro, a ser posible; lograr una Declaración de Addis Abeba que sea coherente con el tema de la </w:t>
      </w:r>
      <w:r w:rsidR="00306884">
        <w:rPr>
          <w:lang w:val="es-ES"/>
        </w:rPr>
        <w:t>c</w:t>
      </w:r>
      <w:r w:rsidRPr="00A93852">
        <w:rPr>
          <w:lang w:val="es-ES"/>
        </w:rPr>
        <w:t>onferencia; y examinar la presencia regional de la UIT.</w:t>
      </w:r>
    </w:p>
    <w:p w14:paraId="79850861" w14:textId="230ED51B" w:rsidR="00A93852" w:rsidRPr="00A93852" w:rsidRDefault="00A93852" w:rsidP="00A36AD0">
      <w:pPr>
        <w:rPr>
          <w:lang w:val="es-ES"/>
        </w:rPr>
      </w:pPr>
      <w:r w:rsidRPr="00A93852">
        <w:rPr>
          <w:lang w:val="es-ES"/>
        </w:rPr>
        <w:t>4.8</w:t>
      </w:r>
      <w:r w:rsidR="00A36AD0">
        <w:rPr>
          <w:lang w:val="es-ES"/>
        </w:rPr>
        <w:tab/>
      </w:r>
      <w:r w:rsidRPr="00A93852">
        <w:rPr>
          <w:lang w:val="es-ES"/>
        </w:rPr>
        <w:t>Un representante</w:t>
      </w:r>
      <w:r w:rsidRPr="00A93852">
        <w:rPr>
          <w:b/>
          <w:lang w:val="es-ES"/>
        </w:rPr>
        <w:t xml:space="preserve"> </w:t>
      </w:r>
      <w:r w:rsidRPr="00A93852">
        <w:rPr>
          <w:lang w:val="es-ES"/>
        </w:rPr>
        <w:t xml:space="preserve">de la </w:t>
      </w:r>
      <w:r w:rsidRPr="00A93852">
        <w:rPr>
          <w:b/>
          <w:lang w:val="es-ES"/>
        </w:rPr>
        <w:t>Telecomunidad Asia-Pacífico (APT)</w:t>
      </w:r>
      <w:r w:rsidRPr="00A93852">
        <w:rPr>
          <w:lang w:val="es-ES"/>
        </w:rPr>
        <w:t xml:space="preserve"> de Japón presentó el </w:t>
      </w:r>
      <w:hyperlink r:id="rId15" w:history="1">
        <w:r w:rsidRPr="00A93852">
          <w:rPr>
            <w:rStyle w:val="Hyperlink"/>
            <w:lang w:val="es-ES"/>
          </w:rPr>
          <w:t>Documento 24</w:t>
        </w:r>
      </w:hyperlink>
      <w:r w:rsidRPr="00A93852">
        <w:rPr>
          <w:lang w:val="es-ES"/>
        </w:rPr>
        <w:t>, en el que se resumen los preparativos de la APT. El Grupo Preparatorio para la CMDT</w:t>
      </w:r>
      <w:r w:rsidR="00704705">
        <w:rPr>
          <w:lang w:val="es-ES"/>
        </w:rPr>
        <w:noBreakHyphen/>
      </w:r>
      <w:r w:rsidRPr="00A93852">
        <w:rPr>
          <w:lang w:val="es-ES"/>
        </w:rPr>
        <w:t xml:space="preserve">21 de la APT (véase la estructura en el recuadro) coordina las actividades regionales para las </w:t>
      </w:r>
      <w:r w:rsidR="00306884">
        <w:rPr>
          <w:lang w:val="es-ES"/>
        </w:rPr>
        <w:t>c</w:t>
      </w:r>
      <w:r w:rsidRPr="00A93852">
        <w:rPr>
          <w:lang w:val="es-ES"/>
        </w:rPr>
        <w:t>onferencias Mundiales de Desarrollo de las Telecomunicaciones a fin de garantizar que los intereses de los miembros de la APT, en lo que respecta al desarrollo de las TIC, estén debidamente representados.</w:t>
      </w:r>
    </w:p>
    <w:p w14:paraId="7F9F6693" w14:textId="77777777" w:rsidR="00A93852" w:rsidRPr="00A93852" w:rsidRDefault="00A93852" w:rsidP="004F4AD1">
      <w:pPr>
        <w:pStyle w:val="Headingb"/>
        <w:spacing w:after="120"/>
        <w:rPr>
          <w:lang w:val="es-ES"/>
        </w:rPr>
      </w:pPr>
      <w:r w:rsidRPr="00A93852">
        <w:rPr>
          <w:lang w:val="es-ES"/>
        </w:rPr>
        <w:t>Grupo Preparatorio para la CMDT-21 de la APT</w:t>
      </w:r>
    </w:p>
    <w:tbl>
      <w:tblPr>
        <w:tblW w:w="5000" w:type="pct"/>
        <w:tblCellMar>
          <w:left w:w="0" w:type="dxa"/>
          <w:right w:w="0" w:type="dxa"/>
        </w:tblCellMar>
        <w:tblLook w:val="04A0" w:firstRow="1" w:lastRow="0" w:firstColumn="1" w:lastColumn="0" w:noHBand="0" w:noVBand="1"/>
      </w:tblPr>
      <w:tblGrid>
        <w:gridCol w:w="9621"/>
      </w:tblGrid>
      <w:tr w:rsidR="00A349EC" w:rsidRPr="00A349EC" w14:paraId="2337D145" w14:textId="77777777" w:rsidTr="00E03095">
        <w:tc>
          <w:tcPr>
            <w:tcW w:w="9006" w:type="dxa"/>
            <w:tcBorders>
              <w:top w:val="single" w:sz="8" w:space="0" w:color="FFFFFF"/>
              <w:left w:val="single" w:sz="8" w:space="0" w:color="FFFFFF"/>
              <w:bottom w:val="single" w:sz="8" w:space="0" w:color="FFFFFF"/>
              <w:right w:val="single" w:sz="8" w:space="0" w:color="FFFFFF"/>
            </w:tcBorders>
            <w:shd w:val="clear" w:color="auto" w:fill="5B9BD5"/>
            <w:tcMar>
              <w:top w:w="0" w:type="dxa"/>
              <w:left w:w="108" w:type="dxa"/>
              <w:bottom w:w="0" w:type="dxa"/>
              <w:right w:w="108" w:type="dxa"/>
            </w:tcMar>
            <w:hideMark/>
          </w:tcPr>
          <w:p w14:paraId="212F00A0" w14:textId="77777777" w:rsidR="00A93852" w:rsidRPr="00A349EC" w:rsidRDefault="00A93852" w:rsidP="004F4AD1">
            <w:pPr>
              <w:pStyle w:val="Tabletext"/>
              <w:rPr>
                <w:b/>
                <w:bCs/>
                <w:color w:val="FFFFFF" w:themeColor="background1"/>
                <w:lang w:val="es-ES"/>
              </w:rPr>
            </w:pPr>
            <w:r w:rsidRPr="00A349EC">
              <w:rPr>
                <w:b/>
                <w:bCs/>
                <w:color w:val="FFFFFF" w:themeColor="background1"/>
                <w:lang w:val="es-ES"/>
              </w:rPr>
              <w:t>Plenaria: Presidente: Dr. Ahmad Sharafat (República Islámica del Irán)</w:t>
            </w:r>
          </w:p>
        </w:tc>
      </w:tr>
      <w:tr w:rsidR="00A349EC" w:rsidRPr="00A349EC" w14:paraId="2A8970BF" w14:textId="77777777" w:rsidTr="00E03095">
        <w:tc>
          <w:tcPr>
            <w:tcW w:w="9006" w:type="dxa"/>
            <w:tcBorders>
              <w:top w:val="single" w:sz="8" w:space="0" w:color="FFFFFF"/>
              <w:left w:val="single" w:sz="8" w:space="0" w:color="FFFFFF"/>
              <w:bottom w:val="single" w:sz="8" w:space="0" w:color="FFFFFF"/>
              <w:right w:val="single" w:sz="8" w:space="0" w:color="FFFFFF"/>
            </w:tcBorders>
            <w:shd w:val="clear" w:color="auto" w:fill="DEEAF6"/>
            <w:tcMar>
              <w:top w:w="0" w:type="dxa"/>
              <w:left w:w="108" w:type="dxa"/>
              <w:bottom w:w="0" w:type="dxa"/>
              <w:right w:w="108" w:type="dxa"/>
            </w:tcMar>
          </w:tcPr>
          <w:p w14:paraId="2F64010F" w14:textId="77777777" w:rsidR="00A93852" w:rsidRPr="00A349EC" w:rsidRDefault="00A93852" w:rsidP="004F4AD1">
            <w:pPr>
              <w:pStyle w:val="Tabletext"/>
              <w:rPr>
                <w:color w:val="0070C0"/>
                <w:lang w:val="es-ES"/>
              </w:rPr>
            </w:pPr>
            <w:r w:rsidRPr="00A349EC">
              <w:rPr>
                <w:color w:val="0070C0"/>
                <w:lang w:val="es-ES"/>
              </w:rPr>
              <w:t>Vicepresidentes: Sr. Norifumi Yamaguchi (Japón), Sr. Sung Joon Choi (República de Corea)</w:t>
            </w:r>
          </w:p>
        </w:tc>
      </w:tr>
      <w:tr w:rsidR="00A349EC" w:rsidRPr="00A349EC" w14:paraId="0AF27312" w14:textId="77777777" w:rsidTr="00E03095">
        <w:tc>
          <w:tcPr>
            <w:tcW w:w="9006"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tcPr>
          <w:p w14:paraId="75B7101F" w14:textId="27CA9E90" w:rsidR="00A93852" w:rsidRPr="00A349EC" w:rsidRDefault="00A93852" w:rsidP="004F4AD1">
            <w:pPr>
              <w:pStyle w:val="Tabletext"/>
              <w:rPr>
                <w:b/>
                <w:bCs/>
                <w:color w:val="FFFFFF" w:themeColor="background1"/>
                <w:lang w:val="es-ES"/>
              </w:rPr>
            </w:pPr>
            <w:r w:rsidRPr="00A349EC">
              <w:rPr>
                <w:b/>
                <w:bCs/>
                <w:color w:val="FFFFFF" w:themeColor="background1"/>
                <w:lang w:val="es-ES"/>
              </w:rPr>
              <w:t>Grupo de Trabajo 1 (GT</w:t>
            </w:r>
            <w:r w:rsidR="004A0850">
              <w:rPr>
                <w:b/>
                <w:bCs/>
                <w:color w:val="FFFFFF" w:themeColor="background1"/>
                <w:lang w:val="es-ES"/>
              </w:rPr>
              <w:t> </w:t>
            </w:r>
            <w:r w:rsidRPr="00A349EC">
              <w:rPr>
                <w:b/>
                <w:bCs/>
                <w:color w:val="FFFFFF" w:themeColor="background1"/>
                <w:lang w:val="es-ES"/>
              </w:rPr>
              <w:t>1): Programa, Comisiones de Estudio y sus correspondientes Cuestiones</w:t>
            </w:r>
          </w:p>
        </w:tc>
      </w:tr>
      <w:tr w:rsidR="00A349EC" w:rsidRPr="00A349EC" w14:paraId="627FE253" w14:textId="77777777" w:rsidTr="00E03095">
        <w:tc>
          <w:tcPr>
            <w:tcW w:w="9006" w:type="dxa"/>
            <w:tcBorders>
              <w:top w:val="single" w:sz="8" w:space="0" w:color="FFFFFF"/>
              <w:left w:val="single" w:sz="8" w:space="0" w:color="FFFFFF"/>
              <w:bottom w:val="single" w:sz="8" w:space="0" w:color="FFFFFF"/>
              <w:right w:val="single" w:sz="8" w:space="0" w:color="FFFFFF"/>
            </w:tcBorders>
            <w:shd w:val="clear" w:color="auto" w:fill="DEEAF6"/>
            <w:tcMar>
              <w:top w:w="0" w:type="dxa"/>
              <w:left w:w="108" w:type="dxa"/>
              <w:bottom w:w="0" w:type="dxa"/>
              <w:right w:w="108" w:type="dxa"/>
            </w:tcMar>
          </w:tcPr>
          <w:p w14:paraId="12352C1E" w14:textId="77777777" w:rsidR="00A93852" w:rsidRPr="00A349EC" w:rsidRDefault="00A93852" w:rsidP="004F4AD1">
            <w:pPr>
              <w:pStyle w:val="Tabletext"/>
              <w:rPr>
                <w:color w:val="0070C0"/>
                <w:lang w:val="es-ES"/>
              </w:rPr>
            </w:pPr>
            <w:r w:rsidRPr="00A349EC">
              <w:rPr>
                <w:color w:val="0070C0"/>
                <w:lang w:val="es-ES"/>
              </w:rPr>
              <w:t>Presidenta: Sra. Mina SeonminJun (República de Corea)</w:t>
            </w:r>
          </w:p>
          <w:p w14:paraId="1CEA45AE" w14:textId="6213944E" w:rsidR="00A93852" w:rsidRPr="00A349EC" w:rsidRDefault="00A93852" w:rsidP="004F4AD1">
            <w:pPr>
              <w:pStyle w:val="Tabletext"/>
              <w:rPr>
                <w:color w:val="0070C0"/>
                <w:lang w:val="es-ES"/>
              </w:rPr>
            </w:pPr>
            <w:r w:rsidRPr="00A349EC">
              <w:rPr>
                <w:color w:val="0070C0"/>
                <w:lang w:val="es-ES"/>
              </w:rPr>
              <w:t>Vicepresident</w:t>
            </w:r>
            <w:r w:rsidR="004A0850">
              <w:rPr>
                <w:color w:val="0070C0"/>
                <w:lang w:val="es-ES"/>
              </w:rPr>
              <w:t>a</w:t>
            </w:r>
            <w:r w:rsidRPr="00A349EC">
              <w:rPr>
                <w:color w:val="0070C0"/>
                <w:lang w:val="es-ES"/>
              </w:rPr>
              <w:t>s: Sra. Yapeng Wang (China), Sra. Maryam Espandar (República Islámica del Irán)</w:t>
            </w:r>
          </w:p>
        </w:tc>
      </w:tr>
      <w:tr w:rsidR="00A349EC" w:rsidRPr="00A349EC" w14:paraId="15D0928A" w14:textId="77777777" w:rsidTr="00E03095">
        <w:tc>
          <w:tcPr>
            <w:tcW w:w="9006"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tcPr>
          <w:p w14:paraId="5F1A7A3E" w14:textId="12AD3AE2" w:rsidR="00A93852" w:rsidRPr="00A349EC" w:rsidRDefault="00A93852" w:rsidP="004F4AD1">
            <w:pPr>
              <w:pStyle w:val="Tabletext"/>
              <w:rPr>
                <w:b/>
                <w:bCs/>
                <w:color w:val="FFFFFF" w:themeColor="background1"/>
                <w:lang w:val="es-ES"/>
              </w:rPr>
            </w:pPr>
            <w:r w:rsidRPr="00A349EC">
              <w:rPr>
                <w:b/>
                <w:bCs/>
                <w:color w:val="FFFFFF" w:themeColor="background1"/>
                <w:lang w:val="es-ES"/>
              </w:rPr>
              <w:t>Grupo de Trabajo 2 (GT</w:t>
            </w:r>
            <w:r w:rsidR="004A0850">
              <w:rPr>
                <w:b/>
                <w:bCs/>
                <w:color w:val="FFFFFF" w:themeColor="background1"/>
                <w:lang w:val="es-ES"/>
              </w:rPr>
              <w:t> </w:t>
            </w:r>
            <w:r w:rsidRPr="00A349EC">
              <w:rPr>
                <w:b/>
                <w:bCs/>
                <w:color w:val="FFFFFF" w:themeColor="background1"/>
                <w:lang w:val="es-ES"/>
              </w:rPr>
              <w:t xml:space="preserve">2): Métodos de trabajo, </w:t>
            </w:r>
            <w:r w:rsidR="00DD7B2F" w:rsidRPr="00A349EC">
              <w:rPr>
                <w:b/>
                <w:bCs/>
                <w:color w:val="FFFFFF" w:themeColor="background1"/>
                <w:lang w:val="es-ES"/>
              </w:rPr>
              <w:t>Declaración</w:t>
            </w:r>
            <w:r w:rsidRPr="00A349EC">
              <w:rPr>
                <w:b/>
                <w:bCs/>
                <w:color w:val="FFFFFF" w:themeColor="background1"/>
                <w:lang w:val="es-ES"/>
              </w:rPr>
              <w:t xml:space="preserve">, </w:t>
            </w:r>
            <w:r w:rsidR="00DD7B2F" w:rsidRPr="00A349EC">
              <w:rPr>
                <w:b/>
                <w:bCs/>
                <w:color w:val="FFFFFF" w:themeColor="background1"/>
                <w:lang w:val="es-ES"/>
              </w:rPr>
              <w:t xml:space="preserve">Plan </w:t>
            </w:r>
            <w:r w:rsidRPr="00A349EC">
              <w:rPr>
                <w:b/>
                <w:bCs/>
                <w:color w:val="FFFFFF" w:themeColor="background1"/>
                <w:lang w:val="es-ES"/>
              </w:rPr>
              <w:t xml:space="preserve">de </w:t>
            </w:r>
            <w:r w:rsidR="00DD7B2F" w:rsidRPr="00A349EC">
              <w:rPr>
                <w:b/>
                <w:bCs/>
                <w:color w:val="FFFFFF" w:themeColor="background1"/>
                <w:lang w:val="es-ES"/>
              </w:rPr>
              <w:t>Acción</w:t>
            </w:r>
          </w:p>
        </w:tc>
      </w:tr>
      <w:tr w:rsidR="00A349EC" w:rsidRPr="00A349EC" w14:paraId="6274FFBB" w14:textId="77777777" w:rsidTr="00E03095">
        <w:tc>
          <w:tcPr>
            <w:tcW w:w="9006" w:type="dxa"/>
            <w:tcBorders>
              <w:top w:val="single" w:sz="8" w:space="0" w:color="FFFFFF"/>
              <w:left w:val="single" w:sz="8" w:space="0" w:color="FFFFFF"/>
              <w:bottom w:val="single" w:sz="8" w:space="0" w:color="FFFFFF"/>
              <w:right w:val="single" w:sz="8" w:space="0" w:color="FFFFFF"/>
            </w:tcBorders>
            <w:shd w:val="clear" w:color="auto" w:fill="DEEAF6"/>
            <w:tcMar>
              <w:top w:w="0" w:type="dxa"/>
              <w:left w:w="108" w:type="dxa"/>
              <w:bottom w:w="0" w:type="dxa"/>
              <w:right w:w="108" w:type="dxa"/>
            </w:tcMar>
          </w:tcPr>
          <w:p w14:paraId="7D926ED4" w14:textId="77777777" w:rsidR="00A93852" w:rsidRPr="00A349EC" w:rsidRDefault="00A93852" w:rsidP="004F4AD1">
            <w:pPr>
              <w:pStyle w:val="Tabletext"/>
              <w:rPr>
                <w:color w:val="0070C0"/>
                <w:lang w:val="es-ES"/>
              </w:rPr>
            </w:pPr>
            <w:r w:rsidRPr="00A349EC">
              <w:rPr>
                <w:color w:val="0070C0"/>
                <w:lang w:val="es-ES"/>
              </w:rPr>
              <w:t>Presidenta: Sra. Alexandra Borthwick (Australia)</w:t>
            </w:r>
          </w:p>
          <w:p w14:paraId="75B2ABC8" w14:textId="77777777" w:rsidR="00A93852" w:rsidRPr="00A349EC" w:rsidRDefault="00A93852" w:rsidP="004F4AD1">
            <w:pPr>
              <w:pStyle w:val="Tabletext"/>
              <w:rPr>
                <w:color w:val="0070C0"/>
                <w:lang w:val="es-ES"/>
              </w:rPr>
            </w:pPr>
            <w:r w:rsidRPr="00A349EC">
              <w:rPr>
                <w:color w:val="0070C0"/>
                <w:lang w:val="es-ES"/>
              </w:rPr>
              <w:t>Vicepresidenta: Sra. Thasawan Samorwong (Tailandia)</w:t>
            </w:r>
          </w:p>
        </w:tc>
      </w:tr>
      <w:tr w:rsidR="00A349EC" w:rsidRPr="00A349EC" w14:paraId="7AF763AF" w14:textId="77777777" w:rsidTr="00E03095">
        <w:tc>
          <w:tcPr>
            <w:tcW w:w="9006"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tcPr>
          <w:p w14:paraId="3D838E50" w14:textId="496B306D" w:rsidR="00A93852" w:rsidRPr="00A349EC" w:rsidRDefault="00A93852" w:rsidP="004F4AD1">
            <w:pPr>
              <w:pStyle w:val="Tabletext"/>
              <w:rPr>
                <w:b/>
                <w:bCs/>
                <w:color w:val="FFFFFF" w:themeColor="background1"/>
                <w:lang w:val="es-ES"/>
              </w:rPr>
            </w:pPr>
            <w:r w:rsidRPr="00A349EC">
              <w:rPr>
                <w:b/>
                <w:bCs/>
                <w:color w:val="FFFFFF" w:themeColor="background1"/>
                <w:lang w:val="es-ES"/>
              </w:rPr>
              <w:t>Grupo de Trabajo 3 (GT</w:t>
            </w:r>
            <w:r w:rsidR="004A0850">
              <w:rPr>
                <w:b/>
                <w:bCs/>
                <w:color w:val="FFFFFF" w:themeColor="background1"/>
                <w:lang w:val="es-ES"/>
              </w:rPr>
              <w:t> </w:t>
            </w:r>
            <w:r w:rsidRPr="00A349EC">
              <w:rPr>
                <w:b/>
                <w:bCs/>
                <w:color w:val="FFFFFF" w:themeColor="background1"/>
                <w:lang w:val="es-ES"/>
              </w:rPr>
              <w:t>3): Cuestiones generales de desarrollo de las TIC, incluidas las iniciativas regionales</w:t>
            </w:r>
          </w:p>
        </w:tc>
      </w:tr>
      <w:tr w:rsidR="00A349EC" w:rsidRPr="00A349EC" w14:paraId="0AD42B1F" w14:textId="77777777" w:rsidTr="00E03095">
        <w:tc>
          <w:tcPr>
            <w:tcW w:w="9006" w:type="dxa"/>
            <w:tcBorders>
              <w:top w:val="single" w:sz="8" w:space="0" w:color="FFFFFF"/>
              <w:left w:val="single" w:sz="8" w:space="0" w:color="FFFFFF"/>
              <w:bottom w:val="single" w:sz="8" w:space="0" w:color="FFFFFF"/>
              <w:right w:val="single" w:sz="8" w:space="0" w:color="FFFFFF"/>
            </w:tcBorders>
            <w:shd w:val="clear" w:color="auto" w:fill="DEEAF6"/>
            <w:tcMar>
              <w:top w:w="0" w:type="dxa"/>
              <w:left w:w="108" w:type="dxa"/>
              <w:bottom w:w="0" w:type="dxa"/>
              <w:right w:w="108" w:type="dxa"/>
            </w:tcMar>
          </w:tcPr>
          <w:p w14:paraId="7FB81B7E" w14:textId="77777777" w:rsidR="00A93852" w:rsidRPr="00A349EC" w:rsidRDefault="00A93852" w:rsidP="004F4AD1">
            <w:pPr>
              <w:pStyle w:val="Tabletext"/>
              <w:rPr>
                <w:color w:val="0070C0"/>
                <w:lang w:val="es-ES"/>
              </w:rPr>
            </w:pPr>
            <w:r w:rsidRPr="00A349EC">
              <w:rPr>
                <w:color w:val="0070C0"/>
                <w:lang w:val="es-ES"/>
              </w:rPr>
              <w:t>Presidenta: Sra. Memiko Otsuki (Japón)</w:t>
            </w:r>
          </w:p>
          <w:p w14:paraId="5503B8C4" w14:textId="77777777" w:rsidR="00A93852" w:rsidRPr="00A349EC" w:rsidRDefault="00A93852" w:rsidP="004F4AD1">
            <w:pPr>
              <w:pStyle w:val="Tabletext"/>
              <w:rPr>
                <w:color w:val="0070C0"/>
                <w:lang w:val="es-ES"/>
              </w:rPr>
            </w:pPr>
            <w:r w:rsidRPr="00A349EC">
              <w:rPr>
                <w:color w:val="0070C0"/>
                <w:lang w:val="es-ES"/>
              </w:rPr>
              <w:t>Vicepresidenta: Sra. Anna AmalinaImam Baweh (Malasia)</w:t>
            </w:r>
          </w:p>
        </w:tc>
      </w:tr>
    </w:tbl>
    <w:p w14:paraId="0886F7AB" w14:textId="41A2D679" w:rsidR="00A93852" w:rsidRPr="00704705" w:rsidRDefault="00A93852" w:rsidP="004F4AD1">
      <w:pPr>
        <w:pStyle w:val="Normalaftertitle"/>
        <w:rPr>
          <w:bCs/>
          <w:lang w:val="es-ES"/>
        </w:rPr>
      </w:pPr>
      <w:r w:rsidRPr="00883707">
        <w:rPr>
          <w:lang w:val="es-ES"/>
        </w:rPr>
        <w:lastRenderedPageBreak/>
        <w:t>4.9</w:t>
      </w:r>
      <w:r w:rsidR="00A36AD0">
        <w:rPr>
          <w:lang w:val="es-ES"/>
        </w:rPr>
        <w:tab/>
      </w:r>
      <w:r w:rsidRPr="00A93852">
        <w:rPr>
          <w:lang w:val="es-ES"/>
        </w:rPr>
        <w:t xml:space="preserve">La segunda reunión preparatoria de la APT aprobó las cuatro </w:t>
      </w:r>
      <w:r w:rsidRPr="00A93852">
        <w:rPr>
          <w:b/>
          <w:bCs/>
          <w:lang w:val="es-ES"/>
        </w:rPr>
        <w:t>prioridades temáticas</w:t>
      </w:r>
      <w:r w:rsidRPr="00A93852">
        <w:rPr>
          <w:lang w:val="es-ES"/>
        </w:rPr>
        <w:t xml:space="preserve"> propuestas por el Grupo de Trabajo del GADT sobre las Resoluciones, la Declaración y las prioridades temáticas de la CMDT, a saber: </w:t>
      </w:r>
      <w:r w:rsidRPr="00A93852">
        <w:rPr>
          <w:b/>
          <w:lang w:val="es-ES"/>
        </w:rPr>
        <w:t>conectividad; transformación digital; entorno propicio; y movilización de recursos y cooperación internacional</w:t>
      </w:r>
      <w:r w:rsidRPr="00704705">
        <w:rPr>
          <w:bCs/>
          <w:lang w:val="es-ES"/>
        </w:rPr>
        <w:t>.</w:t>
      </w:r>
    </w:p>
    <w:p w14:paraId="3CD7FF76" w14:textId="622540E0" w:rsidR="00A93852" w:rsidRPr="00A93852" w:rsidRDefault="00A93852" w:rsidP="00A36AD0">
      <w:pPr>
        <w:rPr>
          <w:lang w:val="es-ES"/>
        </w:rPr>
      </w:pPr>
      <w:r w:rsidRPr="00A93852">
        <w:rPr>
          <w:lang w:val="es-ES"/>
        </w:rPr>
        <w:t>4.10</w:t>
      </w:r>
      <w:r w:rsidR="00A36AD0">
        <w:rPr>
          <w:lang w:val="es-ES"/>
        </w:rPr>
        <w:tab/>
      </w:r>
      <w:r w:rsidRPr="00A93852">
        <w:rPr>
          <w:lang w:val="es-ES"/>
        </w:rPr>
        <w:t xml:space="preserve">Prosigue el debate sobre la </w:t>
      </w:r>
      <w:r w:rsidR="00883707" w:rsidRPr="00A93852">
        <w:rPr>
          <w:lang w:val="es-ES"/>
        </w:rPr>
        <w:t>Declaración</w:t>
      </w:r>
      <w:r w:rsidRPr="00A93852">
        <w:rPr>
          <w:lang w:val="es-ES"/>
        </w:rPr>
        <w:t xml:space="preserve">, las Cuestiones de las Comisiones de Estudio y las </w:t>
      </w:r>
      <w:r w:rsidR="00883707" w:rsidRPr="00A93852">
        <w:rPr>
          <w:lang w:val="es-ES"/>
        </w:rPr>
        <w:t xml:space="preserve">Resoluciones </w:t>
      </w:r>
      <w:r w:rsidRPr="00A93852">
        <w:rPr>
          <w:lang w:val="es-ES"/>
        </w:rPr>
        <w:t xml:space="preserve">de la CMDT. Entretanto, una propuesta de revisión de la Resolución 8 (Rev. Buenos Aires, 2017), </w:t>
      </w:r>
      <w:r w:rsidRPr="00A93852">
        <w:rPr>
          <w:b/>
          <w:bCs/>
          <w:lang w:val="es-ES"/>
        </w:rPr>
        <w:t>Recopilación y difusión de información y estadísticas</w:t>
      </w:r>
      <w:r w:rsidRPr="00A93852">
        <w:rPr>
          <w:lang w:val="es-ES"/>
        </w:rPr>
        <w:t>, tiene por objeto mejorar el mecanismo de introducción, examen y revisión de los indicadores para el nuevo índice de la UIT.</w:t>
      </w:r>
    </w:p>
    <w:p w14:paraId="45702F61" w14:textId="55E00865" w:rsidR="00A93852" w:rsidRPr="00A93852" w:rsidRDefault="00A93852" w:rsidP="002D4C2C">
      <w:pPr>
        <w:rPr>
          <w:lang w:val="es-ES"/>
        </w:rPr>
      </w:pPr>
      <w:r w:rsidRPr="00883707">
        <w:rPr>
          <w:lang w:val="es-ES"/>
        </w:rPr>
        <w:t>4.11</w:t>
      </w:r>
      <w:r w:rsidR="002D4C2C">
        <w:rPr>
          <w:lang w:val="es-ES"/>
        </w:rPr>
        <w:tab/>
      </w:r>
      <w:r w:rsidRPr="00A93852">
        <w:rPr>
          <w:lang w:val="es-ES"/>
        </w:rPr>
        <w:t xml:space="preserve">También se está revisando la Resolución 34 (Rev. Buenos Aires, 2017), </w:t>
      </w:r>
      <w:r w:rsidRPr="00704705">
        <w:rPr>
          <w:b/>
          <w:bCs/>
          <w:lang w:val="es-ES"/>
        </w:rPr>
        <w:t>Función de las telecomunicaciones y las tecnologías de la información y la comunicación (TIC) en la preparación, alerta temprana, rescate, mitigación, socorro y respuesta en situaciones de catástrofe</w:t>
      </w:r>
      <w:r w:rsidRPr="00A93852">
        <w:rPr>
          <w:lang w:val="es-ES"/>
        </w:rPr>
        <w:t>, para actualizar y simplificar el texto actual.</w:t>
      </w:r>
    </w:p>
    <w:p w14:paraId="7BD66A16" w14:textId="5D60DC66" w:rsidR="00A93852" w:rsidRPr="00A93852" w:rsidRDefault="00A93852" w:rsidP="002D4C2C">
      <w:pPr>
        <w:rPr>
          <w:lang w:val="es-ES"/>
        </w:rPr>
      </w:pPr>
      <w:r w:rsidRPr="00A93852">
        <w:rPr>
          <w:lang w:val="es-ES"/>
        </w:rPr>
        <w:t>4.12</w:t>
      </w:r>
      <w:r w:rsidR="002D4C2C">
        <w:rPr>
          <w:lang w:val="es-ES"/>
        </w:rPr>
        <w:tab/>
      </w:r>
      <w:r w:rsidRPr="00A93852">
        <w:rPr>
          <w:lang w:val="es-ES"/>
        </w:rPr>
        <w:t xml:space="preserve">Se están debatiendo dos nuevas Resoluciones en el seno de la APT: una trata sobre la </w:t>
      </w:r>
      <w:r w:rsidRPr="00A93852">
        <w:rPr>
          <w:b/>
          <w:lang w:val="es-ES"/>
        </w:rPr>
        <w:t>utilización de las tecnologías de la información y las comunicaciones para combatir pandemias como la COVID-19</w:t>
      </w:r>
      <w:r w:rsidRPr="00A93852">
        <w:rPr>
          <w:lang w:val="es-ES"/>
        </w:rPr>
        <w:t xml:space="preserve">. La otra se refiere a la </w:t>
      </w:r>
      <w:r w:rsidRPr="00A93852">
        <w:rPr>
          <w:b/>
          <w:bCs/>
          <w:i/>
          <w:iCs/>
          <w:lang w:val="es-ES"/>
        </w:rPr>
        <w:t>economía digital</w:t>
      </w:r>
      <w:r w:rsidRPr="00A93852">
        <w:rPr>
          <w:lang w:val="es-ES"/>
        </w:rPr>
        <w:t xml:space="preserve"> y se centra en la creación de un marco orientativo para el desarrollo de una economía digital y la ayuda a los Estados Miembros de la región en este sentido.</w:t>
      </w:r>
    </w:p>
    <w:p w14:paraId="6BB0C3A1" w14:textId="445AEE30" w:rsidR="00A93852" w:rsidRPr="00A93852" w:rsidRDefault="00A93852" w:rsidP="002D4C2C">
      <w:pPr>
        <w:rPr>
          <w:lang w:val="es-ES"/>
        </w:rPr>
      </w:pPr>
      <w:r w:rsidRPr="00883707">
        <w:rPr>
          <w:lang w:val="es-ES"/>
        </w:rPr>
        <w:t>4.13</w:t>
      </w:r>
      <w:r w:rsidR="002D4C2C">
        <w:rPr>
          <w:lang w:val="es-ES"/>
        </w:rPr>
        <w:tab/>
      </w:r>
      <w:r w:rsidRPr="00A93852">
        <w:rPr>
          <w:lang w:val="es-ES"/>
        </w:rPr>
        <w:t xml:space="preserve">Un representante de la </w:t>
      </w:r>
      <w:r w:rsidRPr="00A93852">
        <w:rPr>
          <w:b/>
          <w:bCs/>
          <w:lang w:val="es-ES"/>
        </w:rPr>
        <w:t>Comunidad Regional de Comunicaciones (CRC)</w:t>
      </w:r>
      <w:r w:rsidRPr="00A93852">
        <w:rPr>
          <w:lang w:val="es-ES"/>
        </w:rPr>
        <w:t xml:space="preserve"> de la Federación de Rusia presentó el </w:t>
      </w:r>
      <w:hyperlink r:id="rId16" w:history="1">
        <w:r w:rsidRPr="00A93852">
          <w:rPr>
            <w:rStyle w:val="Hyperlink"/>
            <w:lang w:val="es-ES"/>
          </w:rPr>
          <w:t>Documento 25</w:t>
        </w:r>
      </w:hyperlink>
      <w:r w:rsidRPr="00A93852">
        <w:rPr>
          <w:lang w:val="es-ES"/>
        </w:rPr>
        <w:t>, en el que se resumen los preparativos de la CRC. Hasta la fecha, la CRC ha preparado 20 proyectos de propuestas comunes, principalmente sobre resoluciones de la CMDT, y ha acordado que deberían suprimirse las tres siguientes:</w:t>
      </w:r>
    </w:p>
    <w:p w14:paraId="774DD838" w14:textId="53DB3DBF" w:rsidR="00A93852" w:rsidRPr="00A93852" w:rsidRDefault="002D4C2C" w:rsidP="002D4C2C">
      <w:pPr>
        <w:pStyle w:val="enumlev1"/>
        <w:rPr>
          <w:lang w:val="es-ES"/>
        </w:rPr>
      </w:pPr>
      <w:r>
        <w:rPr>
          <w:lang w:val="es-ES"/>
        </w:rPr>
        <w:t>–</w:t>
      </w:r>
      <w:r>
        <w:rPr>
          <w:lang w:val="es-ES"/>
        </w:rPr>
        <w:tab/>
      </w:r>
      <w:r w:rsidR="00A93852" w:rsidRPr="00A93852">
        <w:rPr>
          <w:lang w:val="es-ES"/>
        </w:rPr>
        <w:t xml:space="preserve">Resolución 27 (Rev. Hyderabad, 2010), </w:t>
      </w:r>
      <w:r w:rsidR="00A93852" w:rsidRPr="00704705">
        <w:rPr>
          <w:b/>
          <w:bCs/>
          <w:lang w:val="es-ES"/>
        </w:rPr>
        <w:t>Admisión de entidades u organizaciones para participar como Asociados en los trabajos del Sector de Desarrollo de las Telecomunicaciones de la UIT</w:t>
      </w:r>
      <w:r w:rsidR="00A93852" w:rsidRPr="00A93852">
        <w:rPr>
          <w:lang w:val="es-ES"/>
        </w:rPr>
        <w:t>.</w:t>
      </w:r>
    </w:p>
    <w:p w14:paraId="006CC95E" w14:textId="69A9C2BC" w:rsidR="00A93852" w:rsidRPr="00A93852" w:rsidRDefault="002D4C2C" w:rsidP="002D4C2C">
      <w:pPr>
        <w:pStyle w:val="enumlev1"/>
        <w:rPr>
          <w:lang w:val="es-ES"/>
        </w:rPr>
      </w:pPr>
      <w:r>
        <w:rPr>
          <w:lang w:val="es-ES"/>
        </w:rPr>
        <w:t>–</w:t>
      </w:r>
      <w:r>
        <w:rPr>
          <w:lang w:val="es-ES"/>
        </w:rPr>
        <w:tab/>
      </w:r>
      <w:r w:rsidR="00A93852" w:rsidRPr="00A93852">
        <w:rPr>
          <w:lang w:val="es-ES"/>
        </w:rPr>
        <w:t xml:space="preserve">Resolución 61 (Rev. Dubái, 2014), </w:t>
      </w:r>
      <w:r w:rsidR="00A93852" w:rsidRPr="00704705">
        <w:rPr>
          <w:b/>
          <w:bCs/>
          <w:lang w:val="es-ES"/>
        </w:rPr>
        <w:t>Nombramiento y duración máxima del mandato de los Presidentes y Vicepresidentes de las Comisiones de Estudio del Sector de Desarrollo de las Telecomunicaciones y del Grupo Asesor de Desarrollo de las Telecomunicaciones</w:t>
      </w:r>
      <w:r w:rsidR="00A93852" w:rsidRPr="00A93852">
        <w:rPr>
          <w:lang w:val="es-ES"/>
        </w:rPr>
        <w:t>.</w:t>
      </w:r>
    </w:p>
    <w:p w14:paraId="6875D9B6" w14:textId="30A09EEF" w:rsidR="00A93852" w:rsidRPr="00A93852" w:rsidRDefault="002D4C2C" w:rsidP="002D4C2C">
      <w:pPr>
        <w:pStyle w:val="enumlev1"/>
        <w:rPr>
          <w:lang w:val="es-ES"/>
        </w:rPr>
      </w:pPr>
      <w:r>
        <w:rPr>
          <w:lang w:val="es-ES"/>
        </w:rPr>
        <w:t>–</w:t>
      </w:r>
      <w:r>
        <w:rPr>
          <w:lang w:val="es-ES"/>
        </w:rPr>
        <w:tab/>
      </w:r>
      <w:r w:rsidR="00A93852" w:rsidRPr="00A93852">
        <w:rPr>
          <w:lang w:val="es-ES"/>
        </w:rPr>
        <w:t xml:space="preserve">Resolución 81 (Rev. Dubái, 2017), </w:t>
      </w:r>
      <w:r w:rsidR="00A93852" w:rsidRPr="00704705">
        <w:rPr>
          <w:b/>
          <w:bCs/>
          <w:lang w:val="es-ES"/>
        </w:rPr>
        <w:t>Perfeccionamiento de los métodos de trabajo electrónicos para la labor del Sector de Desarrollo de las Telecomunicaciones de la UIT</w:t>
      </w:r>
      <w:r w:rsidR="00A93852" w:rsidRPr="00A93852">
        <w:rPr>
          <w:lang w:val="es-ES"/>
        </w:rPr>
        <w:t>.</w:t>
      </w:r>
    </w:p>
    <w:p w14:paraId="0C2E0EA9" w14:textId="45723D20" w:rsidR="00A93852" w:rsidRPr="00A93852" w:rsidRDefault="00A93852" w:rsidP="002D4C2C">
      <w:pPr>
        <w:rPr>
          <w:lang w:val="es-ES"/>
        </w:rPr>
      </w:pPr>
      <w:r w:rsidRPr="00A93852">
        <w:rPr>
          <w:lang w:val="es-ES"/>
        </w:rPr>
        <w:t>4.14</w:t>
      </w:r>
      <w:r w:rsidR="002D4C2C">
        <w:rPr>
          <w:lang w:val="es-ES"/>
        </w:rPr>
        <w:tab/>
      </w:r>
      <w:r w:rsidRPr="00A93852">
        <w:rPr>
          <w:lang w:val="es-ES"/>
        </w:rPr>
        <w:t xml:space="preserve">La CRC ha presentado un proyecto de nueva resolución sobre el </w:t>
      </w:r>
      <w:r w:rsidRPr="00704705">
        <w:rPr>
          <w:b/>
          <w:bCs/>
          <w:lang w:val="es-ES"/>
        </w:rPr>
        <w:t>uso de las telecomunicaciones/tecnologías de la información y la comunicación en la lucha contra la pandemia de COVID-19 y la atenuación y supresión de sus efectos</w:t>
      </w:r>
      <w:r w:rsidRPr="00A93852">
        <w:rPr>
          <w:lang w:val="es-ES"/>
        </w:rPr>
        <w:t>.</w:t>
      </w:r>
    </w:p>
    <w:p w14:paraId="5DF52BC8" w14:textId="352D84F7" w:rsidR="00A93852" w:rsidRPr="00A93852" w:rsidRDefault="00A93852" w:rsidP="002D4C2C">
      <w:pPr>
        <w:rPr>
          <w:lang w:val="es-ES"/>
        </w:rPr>
      </w:pPr>
      <w:r w:rsidRPr="00883707">
        <w:rPr>
          <w:lang w:val="es-ES"/>
        </w:rPr>
        <w:t>4.15</w:t>
      </w:r>
      <w:r w:rsidR="002D4C2C">
        <w:rPr>
          <w:lang w:val="es-ES"/>
        </w:rPr>
        <w:tab/>
      </w:r>
      <w:r w:rsidRPr="00A93852">
        <w:rPr>
          <w:lang w:val="es-ES"/>
        </w:rPr>
        <w:t>También se ha acordado una iniciativa regional en el seno de la CRC, en la que se aboga por un "sistema unificado para evaluar el nivel de digitalización de las ramas de producción y áreas funcionales de la economía" en la región.</w:t>
      </w:r>
    </w:p>
    <w:p w14:paraId="219D6EF3" w14:textId="338F8EA1" w:rsidR="00A93852" w:rsidRPr="00A93852" w:rsidRDefault="00A93852" w:rsidP="002D4C2C">
      <w:pPr>
        <w:rPr>
          <w:lang w:val="es-ES"/>
        </w:rPr>
      </w:pPr>
      <w:r w:rsidRPr="00883707">
        <w:rPr>
          <w:lang w:val="es-ES"/>
        </w:rPr>
        <w:t>4.16</w:t>
      </w:r>
      <w:r w:rsidR="002D4C2C">
        <w:rPr>
          <w:lang w:val="es-ES"/>
        </w:rPr>
        <w:tab/>
      </w:r>
      <w:r w:rsidRPr="00A93852">
        <w:rPr>
          <w:lang w:val="es-ES"/>
        </w:rPr>
        <w:t xml:space="preserve">Un representante de la </w:t>
      </w:r>
      <w:r w:rsidRPr="00A93852">
        <w:rPr>
          <w:b/>
          <w:lang w:val="es-ES"/>
        </w:rPr>
        <w:t xml:space="preserve">Conferencia Europea de Administraciones de Correos y Telecomunicaciones (CEPT) </w:t>
      </w:r>
      <w:r w:rsidRPr="00A93852">
        <w:rPr>
          <w:lang w:val="es-ES"/>
        </w:rPr>
        <w:t xml:space="preserve">de Rumania presentó el </w:t>
      </w:r>
      <w:hyperlink r:id="rId17" w:history="1">
        <w:r w:rsidRPr="00A93852">
          <w:rPr>
            <w:rStyle w:val="Hyperlink"/>
            <w:lang w:val="es-ES"/>
          </w:rPr>
          <w:t>Documento 26</w:t>
        </w:r>
      </w:hyperlink>
      <w:r w:rsidRPr="00A93852">
        <w:rPr>
          <w:lang w:val="es-ES"/>
        </w:rPr>
        <w:t>, en el que se resumen los preparativos de la CEPT. En mayo de 2020, se constituyó el Equipo de Proyecto de la CEPT de la Com-ITU sobre la CMDT-21 para identificar las cuestiones que, en opinión de Europa, son de importancia fundamental para el UIT-D; preparar y coordinar las posiciones y contribuciones de la CEPT, y elaborar proyectos de propuestas comunes europeas (PCE). El Equipo de Proyecto de la CEPT está presidido por la Sra. Inga Rimkeviciene, de Lituania, y actualmente está elaborando 20</w:t>
      </w:r>
      <w:r w:rsidR="00A349EC">
        <w:rPr>
          <w:lang w:val="es-ES"/>
        </w:rPr>
        <w:t> </w:t>
      </w:r>
      <w:r w:rsidRPr="00A93852">
        <w:rPr>
          <w:lang w:val="es-ES"/>
        </w:rPr>
        <w:t>PCE. El Equipo de Proyecto de la CEPT de la Com-ITU ha celebrado cinco reuniones.</w:t>
      </w:r>
    </w:p>
    <w:p w14:paraId="2FB62B35" w14:textId="51ABFD1C" w:rsidR="00A93852" w:rsidRPr="00A93852" w:rsidRDefault="00A93852" w:rsidP="002D4C2C">
      <w:pPr>
        <w:rPr>
          <w:lang w:val="es-ES"/>
        </w:rPr>
      </w:pPr>
      <w:r w:rsidRPr="00A93852">
        <w:rPr>
          <w:lang w:val="es-ES"/>
        </w:rPr>
        <w:lastRenderedPageBreak/>
        <w:t>4.17</w:t>
      </w:r>
      <w:r w:rsidR="002D4C2C">
        <w:rPr>
          <w:lang w:val="es-ES"/>
        </w:rPr>
        <w:tab/>
      </w:r>
      <w:r w:rsidRPr="00A93852">
        <w:rPr>
          <w:lang w:val="es-ES"/>
        </w:rPr>
        <w:t>También se han designado coordinadores para coordinar la participación y las contribuciones de la CEPT a los tres grupos de trabajo del GADT.</w:t>
      </w:r>
    </w:p>
    <w:p w14:paraId="7AA45C4E" w14:textId="77777777" w:rsidR="00A93852" w:rsidRPr="00A93852" w:rsidRDefault="00A93852" w:rsidP="0039625F">
      <w:pPr>
        <w:pStyle w:val="Headingb"/>
        <w:spacing w:after="40"/>
        <w:rPr>
          <w:lang w:val="es-ES"/>
        </w:rPr>
      </w:pPr>
      <w:r w:rsidRPr="00AA59D3">
        <w:rPr>
          <w:lang w:val="es-ES"/>
        </w:rPr>
        <w:t>Coordinadores de la CEPT para los grupos de trabajo del GADT</w:t>
      </w:r>
    </w:p>
    <w:tbl>
      <w:tblPr>
        <w:tblW w:w="5000" w:type="pct"/>
        <w:tblCellMar>
          <w:left w:w="0" w:type="dxa"/>
          <w:right w:w="0" w:type="dxa"/>
        </w:tblCellMar>
        <w:tblLook w:val="04A0" w:firstRow="1" w:lastRow="0" w:firstColumn="1" w:lastColumn="0" w:noHBand="0" w:noVBand="1"/>
      </w:tblPr>
      <w:tblGrid>
        <w:gridCol w:w="1806"/>
        <w:gridCol w:w="3484"/>
        <w:gridCol w:w="4331"/>
      </w:tblGrid>
      <w:tr w:rsidR="00A349EC" w:rsidRPr="00A349EC" w14:paraId="0F309C2E" w14:textId="77777777" w:rsidTr="00E03095">
        <w:tc>
          <w:tcPr>
            <w:tcW w:w="1691" w:type="dxa"/>
            <w:tcBorders>
              <w:top w:val="single" w:sz="8" w:space="0" w:color="FFFFFF"/>
              <w:left w:val="single" w:sz="8" w:space="0" w:color="FFFFFF"/>
              <w:bottom w:val="single" w:sz="8" w:space="0" w:color="FFFFFF"/>
              <w:right w:val="nil"/>
            </w:tcBorders>
            <w:shd w:val="clear" w:color="auto" w:fill="5B9BD5"/>
            <w:tcMar>
              <w:top w:w="0" w:type="dxa"/>
              <w:left w:w="108" w:type="dxa"/>
              <w:bottom w:w="0" w:type="dxa"/>
              <w:right w:w="108" w:type="dxa"/>
            </w:tcMar>
            <w:hideMark/>
          </w:tcPr>
          <w:p w14:paraId="0E760431" w14:textId="77777777" w:rsidR="00A93852" w:rsidRPr="00A349EC" w:rsidRDefault="00A93852" w:rsidP="004F4AD1">
            <w:pPr>
              <w:pStyle w:val="Tablehead"/>
              <w:rPr>
                <w:color w:val="FFFFFF" w:themeColor="background1"/>
                <w:lang w:val="es-ES"/>
              </w:rPr>
            </w:pPr>
          </w:p>
        </w:tc>
        <w:tc>
          <w:tcPr>
            <w:tcW w:w="3261" w:type="dxa"/>
            <w:tcBorders>
              <w:top w:val="single" w:sz="8" w:space="0" w:color="FFFFFF"/>
              <w:left w:val="nil"/>
              <w:bottom w:val="single" w:sz="8" w:space="0" w:color="FFFFFF"/>
              <w:right w:val="nil"/>
            </w:tcBorders>
            <w:shd w:val="clear" w:color="auto" w:fill="5B9BD5"/>
            <w:tcMar>
              <w:top w:w="0" w:type="dxa"/>
              <w:left w:w="108" w:type="dxa"/>
              <w:bottom w:w="0" w:type="dxa"/>
              <w:right w:w="108" w:type="dxa"/>
            </w:tcMar>
          </w:tcPr>
          <w:p w14:paraId="608B75FC" w14:textId="77777777" w:rsidR="00A93852" w:rsidRPr="00A349EC" w:rsidRDefault="00A93852" w:rsidP="00AA59D3">
            <w:pPr>
              <w:pStyle w:val="Tablehead"/>
              <w:jc w:val="left"/>
              <w:rPr>
                <w:color w:val="FFFFFF" w:themeColor="background1"/>
                <w:lang w:val="es-ES"/>
              </w:rPr>
            </w:pPr>
            <w:r w:rsidRPr="00A349EC">
              <w:rPr>
                <w:color w:val="FFFFFF" w:themeColor="background1"/>
                <w:lang w:val="es-ES"/>
              </w:rPr>
              <w:t>Coordinador</w:t>
            </w:r>
          </w:p>
        </w:tc>
        <w:tc>
          <w:tcPr>
            <w:tcW w:w="4054" w:type="dxa"/>
            <w:tcBorders>
              <w:top w:val="single" w:sz="8" w:space="0" w:color="FFFFFF"/>
              <w:left w:val="nil"/>
              <w:bottom w:val="single" w:sz="8" w:space="0" w:color="FFFFFF"/>
              <w:right w:val="single" w:sz="8" w:space="0" w:color="FFFFFF"/>
            </w:tcBorders>
            <w:shd w:val="clear" w:color="auto" w:fill="5B9BD5"/>
            <w:tcMar>
              <w:top w:w="0" w:type="dxa"/>
              <w:left w:w="108" w:type="dxa"/>
              <w:bottom w:w="0" w:type="dxa"/>
              <w:right w:w="108" w:type="dxa"/>
            </w:tcMar>
          </w:tcPr>
          <w:p w14:paraId="613A2880" w14:textId="77777777" w:rsidR="00A93852" w:rsidRPr="00A349EC" w:rsidRDefault="00A93852" w:rsidP="00AA59D3">
            <w:pPr>
              <w:pStyle w:val="Tablehead"/>
              <w:jc w:val="left"/>
              <w:rPr>
                <w:color w:val="FFFFFF" w:themeColor="background1"/>
                <w:lang w:val="es-ES"/>
              </w:rPr>
            </w:pPr>
            <w:r w:rsidRPr="00A349EC">
              <w:rPr>
                <w:color w:val="FFFFFF" w:themeColor="background1"/>
                <w:lang w:val="es-ES"/>
              </w:rPr>
              <w:t>País</w:t>
            </w:r>
          </w:p>
        </w:tc>
      </w:tr>
      <w:tr w:rsidR="00A93852" w:rsidRPr="00A93852" w14:paraId="64D96925" w14:textId="77777777" w:rsidTr="00E03095">
        <w:tc>
          <w:tcPr>
            <w:tcW w:w="1691"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tcPr>
          <w:p w14:paraId="56E456D8" w14:textId="77777777" w:rsidR="00A93852" w:rsidRPr="00A349EC" w:rsidRDefault="00A93852" w:rsidP="004F4AD1">
            <w:pPr>
              <w:pStyle w:val="Tabletext"/>
              <w:rPr>
                <w:b/>
                <w:bCs/>
                <w:color w:val="FFFFFF" w:themeColor="background1"/>
                <w:lang w:val="es-ES"/>
              </w:rPr>
            </w:pPr>
            <w:r w:rsidRPr="00A349EC">
              <w:rPr>
                <w:b/>
                <w:bCs/>
                <w:color w:val="FFFFFF" w:themeColor="background1"/>
                <w:lang w:val="es-ES"/>
              </w:rPr>
              <w:t>GT-GADT-Prep</w:t>
            </w:r>
          </w:p>
        </w:tc>
        <w:tc>
          <w:tcPr>
            <w:tcW w:w="3261" w:type="dxa"/>
            <w:tcBorders>
              <w:top w:val="single" w:sz="8" w:space="0" w:color="FFFFFF"/>
              <w:left w:val="nil"/>
              <w:bottom w:val="single" w:sz="8" w:space="0" w:color="FFFFFF"/>
              <w:right w:val="single" w:sz="8" w:space="0" w:color="FFFFFF"/>
            </w:tcBorders>
            <w:shd w:val="clear" w:color="auto" w:fill="DEEAF6"/>
            <w:tcMar>
              <w:top w:w="0" w:type="dxa"/>
              <w:left w:w="108" w:type="dxa"/>
              <w:bottom w:w="0" w:type="dxa"/>
              <w:right w:w="108" w:type="dxa"/>
            </w:tcMar>
          </w:tcPr>
          <w:p w14:paraId="10E476E9" w14:textId="77777777" w:rsidR="00A93852" w:rsidRPr="00A349EC" w:rsidRDefault="00A93852" w:rsidP="004F4AD1">
            <w:pPr>
              <w:pStyle w:val="Tabletext"/>
              <w:rPr>
                <w:color w:val="0070C0"/>
                <w:lang w:val="es-ES"/>
              </w:rPr>
            </w:pPr>
            <w:r w:rsidRPr="00A349EC">
              <w:rPr>
                <w:color w:val="0070C0"/>
                <w:lang w:val="es-ES"/>
              </w:rPr>
              <w:t>Sra. Inga Rimkeviciene</w:t>
            </w:r>
          </w:p>
          <w:p w14:paraId="27B28557" w14:textId="77777777" w:rsidR="00A93852" w:rsidRPr="00A349EC" w:rsidRDefault="00A93852" w:rsidP="004F4AD1">
            <w:pPr>
              <w:pStyle w:val="Tabletext"/>
              <w:rPr>
                <w:color w:val="0070C0"/>
                <w:lang w:val="es-ES"/>
              </w:rPr>
            </w:pPr>
            <w:r w:rsidRPr="00A349EC">
              <w:rPr>
                <w:color w:val="0070C0"/>
                <w:lang w:val="es-ES"/>
              </w:rPr>
              <w:t>Sr. Nick Aston-Hart</w:t>
            </w:r>
          </w:p>
        </w:tc>
        <w:tc>
          <w:tcPr>
            <w:tcW w:w="4054" w:type="dxa"/>
            <w:tcBorders>
              <w:top w:val="single" w:sz="8" w:space="0" w:color="FFFFFF"/>
              <w:left w:val="nil"/>
              <w:bottom w:val="single" w:sz="8" w:space="0" w:color="FFFFFF"/>
              <w:right w:val="single" w:sz="8" w:space="0" w:color="FFFFFF"/>
            </w:tcBorders>
            <w:shd w:val="clear" w:color="auto" w:fill="DEEAF6"/>
            <w:tcMar>
              <w:top w:w="0" w:type="dxa"/>
              <w:left w:w="108" w:type="dxa"/>
              <w:bottom w:w="0" w:type="dxa"/>
              <w:right w:w="108" w:type="dxa"/>
            </w:tcMar>
          </w:tcPr>
          <w:p w14:paraId="06B21308" w14:textId="77777777" w:rsidR="00A93852" w:rsidRPr="00A349EC" w:rsidRDefault="00A93852" w:rsidP="004F4AD1">
            <w:pPr>
              <w:pStyle w:val="Tabletext"/>
              <w:rPr>
                <w:color w:val="0070C0"/>
                <w:lang w:val="es-ES"/>
              </w:rPr>
            </w:pPr>
            <w:r w:rsidRPr="00A349EC">
              <w:rPr>
                <w:color w:val="0070C0"/>
                <w:lang w:val="es-ES"/>
              </w:rPr>
              <w:t>Lituania</w:t>
            </w:r>
          </w:p>
          <w:p w14:paraId="7890C4C3" w14:textId="77777777" w:rsidR="00A93852" w:rsidRPr="00A349EC" w:rsidRDefault="00A93852" w:rsidP="004F4AD1">
            <w:pPr>
              <w:pStyle w:val="Tabletext"/>
              <w:rPr>
                <w:color w:val="0070C0"/>
                <w:lang w:val="es-ES"/>
              </w:rPr>
            </w:pPr>
            <w:r w:rsidRPr="00A349EC">
              <w:rPr>
                <w:color w:val="0070C0"/>
                <w:lang w:val="es-ES"/>
              </w:rPr>
              <w:t>Reino Unido</w:t>
            </w:r>
          </w:p>
        </w:tc>
      </w:tr>
      <w:tr w:rsidR="00A93852" w:rsidRPr="00A93852" w14:paraId="608DD931" w14:textId="77777777" w:rsidTr="00AC7721">
        <w:tc>
          <w:tcPr>
            <w:tcW w:w="1691"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tcPr>
          <w:p w14:paraId="03A39779" w14:textId="77777777" w:rsidR="00A93852" w:rsidRPr="00A349EC" w:rsidRDefault="00A93852" w:rsidP="004F4AD1">
            <w:pPr>
              <w:pStyle w:val="Tabletext"/>
              <w:rPr>
                <w:b/>
                <w:bCs/>
                <w:color w:val="FFFFFF" w:themeColor="background1"/>
                <w:lang w:val="es-ES"/>
              </w:rPr>
            </w:pPr>
            <w:r w:rsidRPr="00A349EC">
              <w:rPr>
                <w:b/>
                <w:bCs/>
                <w:color w:val="FFFFFF" w:themeColor="background1"/>
                <w:lang w:val="es-ES"/>
              </w:rPr>
              <w:t>GT-GADT-PEO</w:t>
            </w:r>
          </w:p>
        </w:tc>
        <w:tc>
          <w:tcPr>
            <w:tcW w:w="3261" w:type="dxa"/>
            <w:tcBorders>
              <w:top w:val="nil"/>
              <w:left w:val="nil"/>
              <w:bottom w:val="single" w:sz="8" w:space="0" w:color="FFFFFF"/>
              <w:right w:val="single" w:sz="8" w:space="0" w:color="FFFFFF"/>
            </w:tcBorders>
            <w:shd w:val="clear" w:color="auto" w:fill="BDD6EE"/>
            <w:tcMar>
              <w:top w:w="0" w:type="dxa"/>
              <w:left w:w="108" w:type="dxa"/>
              <w:bottom w:w="0" w:type="dxa"/>
              <w:right w:w="108" w:type="dxa"/>
            </w:tcMar>
          </w:tcPr>
          <w:p w14:paraId="35F6A711" w14:textId="77777777" w:rsidR="00A93852" w:rsidRPr="00A349EC" w:rsidRDefault="00A93852" w:rsidP="004F4AD1">
            <w:pPr>
              <w:pStyle w:val="Tabletext"/>
              <w:rPr>
                <w:color w:val="0070C0"/>
                <w:lang w:val="es-ES"/>
              </w:rPr>
            </w:pPr>
            <w:r w:rsidRPr="00A349EC">
              <w:rPr>
                <w:color w:val="0070C0"/>
                <w:lang w:val="es-ES"/>
              </w:rPr>
              <w:t>Sra. Inga Rimkeviciene</w:t>
            </w:r>
          </w:p>
          <w:p w14:paraId="52741429" w14:textId="77777777" w:rsidR="00A93852" w:rsidRPr="00A349EC" w:rsidRDefault="00A93852" w:rsidP="004F4AD1">
            <w:pPr>
              <w:pStyle w:val="Tabletext"/>
              <w:rPr>
                <w:color w:val="0070C0"/>
                <w:lang w:val="es-ES"/>
              </w:rPr>
            </w:pPr>
            <w:r w:rsidRPr="00A349EC">
              <w:rPr>
                <w:color w:val="0070C0"/>
                <w:lang w:val="es-ES"/>
              </w:rPr>
              <w:t>Sr. Maciej Piotrowski</w:t>
            </w:r>
          </w:p>
        </w:tc>
        <w:tc>
          <w:tcPr>
            <w:tcW w:w="4054" w:type="dxa"/>
            <w:tcBorders>
              <w:top w:val="nil"/>
              <w:left w:val="nil"/>
              <w:bottom w:val="single" w:sz="8" w:space="0" w:color="FFFFFF"/>
              <w:right w:val="single" w:sz="8" w:space="0" w:color="FFFFFF"/>
            </w:tcBorders>
            <w:shd w:val="clear" w:color="auto" w:fill="BDD6EE"/>
            <w:tcMar>
              <w:top w:w="0" w:type="dxa"/>
              <w:left w:w="108" w:type="dxa"/>
              <w:bottom w:w="0" w:type="dxa"/>
              <w:right w:w="108" w:type="dxa"/>
            </w:tcMar>
          </w:tcPr>
          <w:p w14:paraId="4A3652B1" w14:textId="77777777" w:rsidR="00A93852" w:rsidRPr="00A349EC" w:rsidRDefault="00A93852" w:rsidP="004F4AD1">
            <w:pPr>
              <w:pStyle w:val="Tabletext"/>
              <w:rPr>
                <w:color w:val="0070C0"/>
                <w:lang w:val="es-ES"/>
              </w:rPr>
            </w:pPr>
            <w:r w:rsidRPr="00A349EC">
              <w:rPr>
                <w:color w:val="0070C0"/>
                <w:lang w:val="es-ES"/>
              </w:rPr>
              <w:t>Lituania</w:t>
            </w:r>
          </w:p>
          <w:p w14:paraId="210F3C6D" w14:textId="408B59FB" w:rsidR="00A93852" w:rsidRPr="00A349EC" w:rsidRDefault="00A93852" w:rsidP="004F4AD1">
            <w:pPr>
              <w:pStyle w:val="Tabletext"/>
              <w:rPr>
                <w:color w:val="0070C0"/>
                <w:lang w:val="es-ES"/>
              </w:rPr>
            </w:pPr>
            <w:r w:rsidRPr="00A349EC">
              <w:rPr>
                <w:color w:val="0070C0"/>
                <w:lang w:val="es-ES"/>
              </w:rPr>
              <w:t>Polonia</w:t>
            </w:r>
          </w:p>
        </w:tc>
      </w:tr>
      <w:tr w:rsidR="00A93852" w:rsidRPr="00A93852" w14:paraId="1D068B74" w14:textId="77777777" w:rsidTr="00AC7721">
        <w:tc>
          <w:tcPr>
            <w:tcW w:w="1691" w:type="dxa"/>
            <w:tcBorders>
              <w:top w:val="single" w:sz="8" w:space="0" w:color="FFFFFF"/>
              <w:left w:val="single" w:sz="8" w:space="0" w:color="FFFFFF"/>
              <w:bottom w:val="single" w:sz="8" w:space="0" w:color="FFFFFF"/>
              <w:right w:val="single" w:sz="8" w:space="0" w:color="FFFFFF"/>
            </w:tcBorders>
            <w:shd w:val="clear" w:color="auto" w:fill="5B9BD5"/>
            <w:tcMar>
              <w:top w:w="0" w:type="dxa"/>
              <w:left w:w="108" w:type="dxa"/>
              <w:bottom w:w="0" w:type="dxa"/>
              <w:right w:w="108" w:type="dxa"/>
            </w:tcMar>
            <w:hideMark/>
          </w:tcPr>
          <w:p w14:paraId="3CD22476" w14:textId="77777777" w:rsidR="00A93852" w:rsidRPr="00A349EC" w:rsidRDefault="00A93852" w:rsidP="004F4AD1">
            <w:pPr>
              <w:pStyle w:val="Tabletext"/>
              <w:rPr>
                <w:b/>
                <w:bCs/>
                <w:color w:val="FFFFFF" w:themeColor="background1"/>
                <w:lang w:val="es-ES"/>
              </w:rPr>
            </w:pPr>
            <w:r w:rsidRPr="00A349EC">
              <w:rPr>
                <w:b/>
                <w:bCs/>
                <w:color w:val="FFFFFF" w:themeColor="background1"/>
                <w:lang w:val="es-ES"/>
              </w:rPr>
              <w:t>GT-GADT-RDPT</w:t>
            </w:r>
          </w:p>
        </w:tc>
        <w:tc>
          <w:tcPr>
            <w:tcW w:w="3261" w:type="dxa"/>
            <w:tcBorders>
              <w:top w:val="single" w:sz="8" w:space="0" w:color="FFFFFF"/>
              <w:left w:val="nil"/>
              <w:bottom w:val="single" w:sz="8" w:space="0" w:color="FFFFFF"/>
              <w:right w:val="single" w:sz="8" w:space="0" w:color="FFFFFF"/>
            </w:tcBorders>
            <w:shd w:val="clear" w:color="auto" w:fill="DEEAF6"/>
            <w:tcMar>
              <w:top w:w="0" w:type="dxa"/>
              <w:left w:w="108" w:type="dxa"/>
              <w:bottom w:w="0" w:type="dxa"/>
              <w:right w:w="108" w:type="dxa"/>
            </w:tcMar>
          </w:tcPr>
          <w:p w14:paraId="64CD9FC7" w14:textId="77777777" w:rsidR="00A93852" w:rsidRPr="00A349EC" w:rsidRDefault="00A93852" w:rsidP="004F4AD1">
            <w:pPr>
              <w:pStyle w:val="Tabletext"/>
              <w:rPr>
                <w:color w:val="0070C0"/>
                <w:lang w:val="es-ES"/>
              </w:rPr>
            </w:pPr>
            <w:r w:rsidRPr="00A349EC">
              <w:rPr>
                <w:color w:val="0070C0"/>
                <w:lang w:val="es-ES"/>
              </w:rPr>
              <w:t>Sra. Inga Rimkeviciene</w:t>
            </w:r>
          </w:p>
          <w:p w14:paraId="3F777820" w14:textId="77777777" w:rsidR="00A93852" w:rsidRPr="00A349EC" w:rsidRDefault="00A93852" w:rsidP="004F4AD1">
            <w:pPr>
              <w:pStyle w:val="Tabletext"/>
              <w:rPr>
                <w:color w:val="0070C0"/>
                <w:lang w:val="es-ES"/>
              </w:rPr>
            </w:pPr>
            <w:r w:rsidRPr="00A349EC">
              <w:rPr>
                <w:color w:val="0070C0"/>
                <w:lang w:val="es-ES"/>
              </w:rPr>
              <w:t>Sra. Alina Modan</w:t>
            </w:r>
          </w:p>
        </w:tc>
        <w:tc>
          <w:tcPr>
            <w:tcW w:w="4054" w:type="dxa"/>
            <w:tcBorders>
              <w:top w:val="single" w:sz="8" w:space="0" w:color="FFFFFF"/>
              <w:left w:val="nil"/>
              <w:bottom w:val="single" w:sz="8" w:space="0" w:color="FFFFFF"/>
              <w:right w:val="single" w:sz="8" w:space="0" w:color="FFFFFF"/>
            </w:tcBorders>
            <w:shd w:val="clear" w:color="auto" w:fill="DEEAF6"/>
            <w:tcMar>
              <w:top w:w="0" w:type="dxa"/>
              <w:left w:w="108" w:type="dxa"/>
              <w:bottom w:w="0" w:type="dxa"/>
              <w:right w:w="108" w:type="dxa"/>
            </w:tcMar>
          </w:tcPr>
          <w:p w14:paraId="7371B00B" w14:textId="77777777" w:rsidR="004F4AD1" w:rsidRPr="00A349EC" w:rsidRDefault="00A93852" w:rsidP="004F4AD1">
            <w:pPr>
              <w:pStyle w:val="Tabletext"/>
              <w:rPr>
                <w:color w:val="0070C0"/>
                <w:lang w:val="es-ES"/>
              </w:rPr>
            </w:pPr>
            <w:r w:rsidRPr="00A349EC">
              <w:rPr>
                <w:color w:val="0070C0"/>
                <w:lang w:val="es-ES"/>
              </w:rPr>
              <w:t>Lituania</w:t>
            </w:r>
          </w:p>
          <w:p w14:paraId="65482D81" w14:textId="1E6DC029" w:rsidR="00A93852" w:rsidRPr="00A349EC" w:rsidRDefault="00A93852" w:rsidP="004F4AD1">
            <w:pPr>
              <w:pStyle w:val="Tabletext"/>
              <w:rPr>
                <w:color w:val="0070C0"/>
                <w:lang w:val="es-ES"/>
              </w:rPr>
            </w:pPr>
            <w:r w:rsidRPr="00A349EC">
              <w:rPr>
                <w:color w:val="0070C0"/>
                <w:lang w:val="es-ES"/>
              </w:rPr>
              <w:t>Rumania</w:t>
            </w:r>
          </w:p>
        </w:tc>
      </w:tr>
    </w:tbl>
    <w:p w14:paraId="1F208F99" w14:textId="7703B3F3" w:rsidR="00A93852" w:rsidRPr="00A93852" w:rsidRDefault="00A93852" w:rsidP="00AC7721">
      <w:pPr>
        <w:pStyle w:val="Normalaftertitle"/>
        <w:spacing w:before="180"/>
        <w:rPr>
          <w:lang w:val="es-ES"/>
        </w:rPr>
      </w:pPr>
      <w:r w:rsidRPr="00AA59D3">
        <w:rPr>
          <w:lang w:val="es-ES"/>
        </w:rPr>
        <w:t>4.18</w:t>
      </w:r>
      <w:r w:rsidR="002D4C2C">
        <w:rPr>
          <w:lang w:val="es-ES"/>
        </w:rPr>
        <w:tab/>
      </w:r>
      <w:r w:rsidRPr="00A93852">
        <w:rPr>
          <w:lang w:val="es-ES"/>
        </w:rPr>
        <w:t>La CEPT ha desarrollado una visión común de los países europeos sobre el cometido mundial del UIT-D de conectar a quienes carecen de conexión. Esta visión ha sido firmada por 22</w:t>
      </w:r>
      <w:r w:rsidR="00A349EC">
        <w:rPr>
          <w:lang w:val="es-ES"/>
        </w:rPr>
        <w:t> </w:t>
      </w:r>
      <w:r w:rsidRPr="00A93852">
        <w:rPr>
          <w:lang w:val="es-ES"/>
        </w:rPr>
        <w:t>países como Propuesta Común Europea. En opinión de Europa, el UIT-D debería:</w:t>
      </w:r>
    </w:p>
    <w:p w14:paraId="3F31ABBC" w14:textId="663772AD" w:rsidR="00A93852" w:rsidRPr="00A93852" w:rsidRDefault="002D4C2C" w:rsidP="002D4C2C">
      <w:pPr>
        <w:pStyle w:val="enumlev1"/>
        <w:rPr>
          <w:lang w:val="es-ES"/>
        </w:rPr>
      </w:pPr>
      <w:r>
        <w:rPr>
          <w:lang w:val="es-ES"/>
        </w:rPr>
        <w:t>–</w:t>
      </w:r>
      <w:r>
        <w:rPr>
          <w:lang w:val="es-ES"/>
        </w:rPr>
        <w:tab/>
      </w:r>
      <w:r w:rsidR="0000203E">
        <w:rPr>
          <w:lang w:val="es-ES"/>
        </w:rPr>
        <w:t>a</w:t>
      </w:r>
      <w:r w:rsidR="00A93852" w:rsidRPr="00A93852">
        <w:rPr>
          <w:lang w:val="es-ES"/>
        </w:rPr>
        <w:t>poyar la utilización y el despliegue de infraestructuras y tecnologías digitales en el ámbito de las telecomunicaciones/TIC</w:t>
      </w:r>
      <w:r w:rsidR="0000203E">
        <w:rPr>
          <w:lang w:val="es-ES"/>
        </w:rPr>
        <w:t>;</w:t>
      </w:r>
    </w:p>
    <w:p w14:paraId="6F962C40" w14:textId="42C7A81C" w:rsidR="00A93852" w:rsidRPr="00A93852" w:rsidRDefault="002D4C2C" w:rsidP="002D4C2C">
      <w:pPr>
        <w:pStyle w:val="enumlev1"/>
        <w:rPr>
          <w:lang w:val="es-ES"/>
        </w:rPr>
      </w:pPr>
      <w:r>
        <w:rPr>
          <w:lang w:val="es-ES"/>
        </w:rPr>
        <w:t>–</w:t>
      </w:r>
      <w:r>
        <w:rPr>
          <w:lang w:val="es-ES"/>
        </w:rPr>
        <w:tab/>
      </w:r>
      <w:r w:rsidR="0000203E">
        <w:rPr>
          <w:lang w:val="es-ES"/>
        </w:rPr>
        <w:t>e</w:t>
      </w:r>
      <w:r w:rsidR="00A93852" w:rsidRPr="00A93852">
        <w:rPr>
          <w:lang w:val="es-ES"/>
        </w:rPr>
        <w:t>sforzarse por promover la inclusión y el desarrollo sostenible, con miras a alcanzar los Objetivos de Desarrollo Sostenible (ODS)</w:t>
      </w:r>
      <w:r w:rsidR="0000203E">
        <w:rPr>
          <w:lang w:val="es-ES"/>
        </w:rPr>
        <w:t>;</w:t>
      </w:r>
    </w:p>
    <w:p w14:paraId="6F2C9519" w14:textId="248DC71C" w:rsidR="00A93852" w:rsidRPr="00A93852" w:rsidRDefault="002D4C2C" w:rsidP="002D4C2C">
      <w:pPr>
        <w:pStyle w:val="enumlev1"/>
        <w:rPr>
          <w:lang w:val="es-ES"/>
        </w:rPr>
      </w:pPr>
      <w:r>
        <w:rPr>
          <w:lang w:val="es-ES"/>
        </w:rPr>
        <w:t>–</w:t>
      </w:r>
      <w:r>
        <w:rPr>
          <w:lang w:val="es-ES"/>
        </w:rPr>
        <w:tab/>
      </w:r>
      <w:r w:rsidR="0000203E">
        <w:rPr>
          <w:lang w:val="es-ES"/>
        </w:rPr>
        <w:t>c</w:t>
      </w:r>
      <w:r w:rsidR="00A93852" w:rsidRPr="00A93852">
        <w:rPr>
          <w:lang w:val="es-ES"/>
        </w:rPr>
        <w:t>entrar sus esfuerzos en los países en desarrollo (PEID y PDSL) y, en general, en los grupos más vulnerables y en las zonas en que puede alcanzar mayores logros</w:t>
      </w:r>
      <w:r w:rsidR="0000203E">
        <w:rPr>
          <w:lang w:val="es-ES"/>
        </w:rPr>
        <w:t>;</w:t>
      </w:r>
    </w:p>
    <w:p w14:paraId="1C60D80B" w14:textId="47460729" w:rsidR="00A93852" w:rsidRPr="00A93852" w:rsidRDefault="002D4C2C" w:rsidP="002D4C2C">
      <w:pPr>
        <w:pStyle w:val="enumlev1"/>
        <w:rPr>
          <w:lang w:val="es-ES"/>
        </w:rPr>
      </w:pPr>
      <w:r>
        <w:rPr>
          <w:lang w:val="es-ES"/>
        </w:rPr>
        <w:t>–</w:t>
      </w:r>
      <w:r>
        <w:rPr>
          <w:lang w:val="es-ES"/>
        </w:rPr>
        <w:tab/>
      </w:r>
      <w:r w:rsidR="0000203E">
        <w:rPr>
          <w:lang w:val="es-ES"/>
        </w:rPr>
        <w:t>c</w:t>
      </w:r>
      <w:r w:rsidR="00A93852" w:rsidRPr="00A93852">
        <w:rPr>
          <w:lang w:val="es-ES"/>
        </w:rPr>
        <w:t>entrarse en el cumplimiento de los ODS, especialmente en las acciones destinadas a garantizar la conectividad para todos.</w:t>
      </w:r>
    </w:p>
    <w:p w14:paraId="4A4CF07E" w14:textId="07D716E2" w:rsidR="00A93852" w:rsidRPr="00A93852" w:rsidRDefault="00A93852" w:rsidP="002D4C2C">
      <w:pPr>
        <w:rPr>
          <w:lang w:val="es-ES"/>
        </w:rPr>
      </w:pPr>
      <w:r w:rsidRPr="00A93852">
        <w:rPr>
          <w:lang w:val="es-ES"/>
        </w:rPr>
        <w:t>4.19</w:t>
      </w:r>
      <w:r w:rsidR="002D4C2C">
        <w:rPr>
          <w:lang w:val="es-ES"/>
        </w:rPr>
        <w:tab/>
      </w:r>
      <w:r w:rsidRPr="00A93852">
        <w:rPr>
          <w:lang w:val="es-ES"/>
        </w:rPr>
        <w:t>Europa considera además que la BDT es una "organización de aprendizaje", centrada en la obtención de resultados cuantificables y en proyectos con una gran repercusión y un alto potencial de sostenibilidad, que fortalece las asociaciones, coopera con las organizaciones regionales y atrae a nuevos Miembros.</w:t>
      </w:r>
    </w:p>
    <w:p w14:paraId="04B2EB18" w14:textId="32A82D5A" w:rsidR="00A93852" w:rsidRPr="00A93852" w:rsidRDefault="00A93852" w:rsidP="002D4C2C">
      <w:pPr>
        <w:rPr>
          <w:lang w:val="es-ES"/>
        </w:rPr>
      </w:pPr>
      <w:r w:rsidRPr="00AA59D3">
        <w:rPr>
          <w:lang w:val="es-ES"/>
        </w:rPr>
        <w:t>4.20</w:t>
      </w:r>
      <w:r w:rsidR="002D4C2C">
        <w:rPr>
          <w:lang w:val="es-ES"/>
        </w:rPr>
        <w:tab/>
      </w:r>
      <w:r w:rsidRPr="00A93852">
        <w:rPr>
          <w:lang w:val="es-ES"/>
        </w:rPr>
        <w:t>Un representante de</w:t>
      </w:r>
      <w:r w:rsidRPr="00A93852">
        <w:rPr>
          <w:b/>
          <w:lang w:val="es-ES"/>
        </w:rPr>
        <w:t xml:space="preserve"> </w:t>
      </w:r>
      <w:r w:rsidRPr="00A93852">
        <w:rPr>
          <w:lang w:val="es-ES"/>
        </w:rPr>
        <w:t xml:space="preserve">la </w:t>
      </w:r>
      <w:r w:rsidRPr="00A93852">
        <w:rPr>
          <w:b/>
          <w:lang w:val="es-ES"/>
        </w:rPr>
        <w:t>Liga de los Estados Árabes (LEA)</w:t>
      </w:r>
      <w:r w:rsidRPr="00A93852">
        <w:rPr>
          <w:lang w:val="es-ES"/>
        </w:rPr>
        <w:t xml:space="preserve"> de Arabia Saudita presentó el </w:t>
      </w:r>
      <w:hyperlink r:id="rId18" w:history="1">
        <w:r w:rsidRPr="00A93852">
          <w:rPr>
            <w:rStyle w:val="Hyperlink"/>
            <w:lang w:val="es-ES"/>
          </w:rPr>
          <w:t>Documento 23</w:t>
        </w:r>
      </w:hyperlink>
      <w:r w:rsidRPr="00A93852">
        <w:rPr>
          <w:lang w:val="es-ES"/>
        </w:rPr>
        <w:t>, en el que se resumen los preparativos de la LEA.</w:t>
      </w:r>
    </w:p>
    <w:p w14:paraId="5EF1989C" w14:textId="641B7B25" w:rsidR="00A93852" w:rsidRPr="00A93852" w:rsidRDefault="00A93852" w:rsidP="002D4C2C">
      <w:pPr>
        <w:rPr>
          <w:lang w:val="es-ES"/>
        </w:rPr>
      </w:pPr>
      <w:r w:rsidRPr="00A93852">
        <w:rPr>
          <w:lang w:val="es-ES"/>
        </w:rPr>
        <w:t>4.21</w:t>
      </w:r>
      <w:r w:rsidR="002D4C2C">
        <w:rPr>
          <w:lang w:val="es-ES"/>
        </w:rPr>
        <w:tab/>
      </w:r>
      <w:r w:rsidRPr="00A93852">
        <w:rPr>
          <w:lang w:val="es-ES"/>
        </w:rPr>
        <w:t>El Grupo Preparatorio Árabe para la CMDT-21 se constituyó por iniciativa del Consejo de Ministros Árabes de Comunicaciones e Información en diciembre de 2019, y hasta la fecha ha celebrado dos reuniones: una en agosto de 2020 y otra en febrero de 2021.</w:t>
      </w:r>
    </w:p>
    <w:p w14:paraId="75788EE8" w14:textId="0C21744F" w:rsidR="00A93852" w:rsidRPr="00A93852" w:rsidRDefault="00A93852" w:rsidP="0039625F">
      <w:pPr>
        <w:spacing w:after="20"/>
        <w:rPr>
          <w:b/>
          <w:lang w:val="es-ES"/>
        </w:rPr>
      </w:pPr>
      <w:r w:rsidRPr="00A93852">
        <w:rPr>
          <w:lang w:val="es-ES"/>
        </w:rPr>
        <w:t>4.22</w:t>
      </w:r>
      <w:r w:rsidR="002D4C2C">
        <w:rPr>
          <w:lang w:val="es-ES"/>
        </w:rPr>
        <w:tab/>
      </w:r>
      <w:r w:rsidRPr="00A93852">
        <w:rPr>
          <w:lang w:val="es-ES"/>
        </w:rPr>
        <w:t xml:space="preserve">El Grupo Preparatorio Árabe para la CMDT-21 tiene un presidente y se subdivide en tres grupos de trabajo, cada uno con un presidente </w:t>
      </w:r>
      <w:r w:rsidRPr="00A93852">
        <w:rPr>
          <w:b/>
          <w:bCs/>
          <w:lang w:val="es-ES"/>
        </w:rPr>
        <w:t>(véase la estructura en el recuadro)</w:t>
      </w:r>
      <w:r w:rsidRPr="00A93852">
        <w:rPr>
          <w:lang w:val="es-ES"/>
        </w:rPr>
        <w:t>.</w:t>
      </w:r>
    </w:p>
    <w:tbl>
      <w:tblPr>
        <w:tblW w:w="5000" w:type="pct"/>
        <w:tblCellMar>
          <w:left w:w="0" w:type="dxa"/>
          <w:right w:w="0" w:type="dxa"/>
        </w:tblCellMar>
        <w:tblLook w:val="04A0" w:firstRow="1" w:lastRow="0" w:firstColumn="1" w:lastColumn="0" w:noHBand="0" w:noVBand="1"/>
      </w:tblPr>
      <w:tblGrid>
        <w:gridCol w:w="9621"/>
      </w:tblGrid>
      <w:tr w:rsidR="00A349EC" w:rsidRPr="00A349EC" w14:paraId="3EECF15E" w14:textId="77777777" w:rsidTr="00E03095">
        <w:tc>
          <w:tcPr>
            <w:tcW w:w="9006" w:type="dxa"/>
            <w:tcBorders>
              <w:top w:val="single" w:sz="8" w:space="0" w:color="FFFFFF"/>
              <w:left w:val="single" w:sz="8" w:space="0" w:color="FFFFFF"/>
              <w:bottom w:val="single" w:sz="8" w:space="0" w:color="FFFFFF"/>
              <w:right w:val="single" w:sz="8" w:space="0" w:color="FFFFFF"/>
            </w:tcBorders>
            <w:shd w:val="clear" w:color="auto" w:fill="5B9BD5"/>
            <w:tcMar>
              <w:top w:w="0" w:type="dxa"/>
              <w:left w:w="108" w:type="dxa"/>
              <w:bottom w:w="0" w:type="dxa"/>
              <w:right w:w="108" w:type="dxa"/>
            </w:tcMar>
            <w:hideMark/>
          </w:tcPr>
          <w:p w14:paraId="2D0F4C40" w14:textId="77777777" w:rsidR="00A93852" w:rsidRPr="00A349EC" w:rsidRDefault="00A93852" w:rsidP="004F4AD1">
            <w:pPr>
              <w:pStyle w:val="Tabletext"/>
              <w:rPr>
                <w:b/>
                <w:bCs/>
                <w:color w:val="FFFFFF" w:themeColor="background1"/>
                <w:lang w:val="es-ES"/>
              </w:rPr>
            </w:pPr>
            <w:r w:rsidRPr="00A349EC">
              <w:rPr>
                <w:b/>
                <w:bCs/>
                <w:color w:val="FFFFFF" w:themeColor="background1"/>
                <w:lang w:val="es-ES"/>
              </w:rPr>
              <w:t>Grupo Preparatorio Árabe para la CMDT-21</w:t>
            </w:r>
          </w:p>
        </w:tc>
      </w:tr>
      <w:tr w:rsidR="00A349EC" w:rsidRPr="00A349EC" w14:paraId="1601C364" w14:textId="77777777" w:rsidTr="00E03095">
        <w:tc>
          <w:tcPr>
            <w:tcW w:w="9006" w:type="dxa"/>
            <w:tcBorders>
              <w:top w:val="single" w:sz="8" w:space="0" w:color="FFFFFF"/>
              <w:left w:val="single" w:sz="8" w:space="0" w:color="FFFFFF"/>
              <w:bottom w:val="single" w:sz="8" w:space="0" w:color="FFFFFF"/>
              <w:right w:val="single" w:sz="8" w:space="0" w:color="FFFFFF"/>
            </w:tcBorders>
            <w:shd w:val="clear" w:color="auto" w:fill="DEEAF6"/>
            <w:tcMar>
              <w:top w:w="0" w:type="dxa"/>
              <w:left w:w="108" w:type="dxa"/>
              <w:bottom w:w="0" w:type="dxa"/>
              <w:right w:w="108" w:type="dxa"/>
            </w:tcMar>
          </w:tcPr>
          <w:p w14:paraId="22F46CE1" w14:textId="77777777" w:rsidR="00A93852" w:rsidRPr="00A349EC" w:rsidRDefault="00A93852" w:rsidP="004F4AD1">
            <w:pPr>
              <w:pStyle w:val="Tabletext"/>
              <w:rPr>
                <w:color w:val="0070C0"/>
                <w:lang w:val="es-ES"/>
              </w:rPr>
            </w:pPr>
            <w:r w:rsidRPr="00A349EC">
              <w:rPr>
                <w:color w:val="0070C0"/>
                <w:lang w:val="es-ES"/>
              </w:rPr>
              <w:t>Presidente: Sr. Mansour Alqurashi (Arabia Saudita)</w:t>
            </w:r>
          </w:p>
        </w:tc>
      </w:tr>
      <w:tr w:rsidR="00A349EC" w:rsidRPr="00A349EC" w14:paraId="2208F8F3" w14:textId="77777777" w:rsidTr="00E03095">
        <w:tc>
          <w:tcPr>
            <w:tcW w:w="9006"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tcPr>
          <w:p w14:paraId="5CB18A06" w14:textId="77777777" w:rsidR="00A93852" w:rsidRPr="00A349EC" w:rsidRDefault="00A93852" w:rsidP="004F4AD1">
            <w:pPr>
              <w:pStyle w:val="Tabletext"/>
              <w:rPr>
                <w:b/>
                <w:bCs/>
                <w:color w:val="FFFFFF" w:themeColor="background1"/>
                <w:lang w:val="es-ES"/>
              </w:rPr>
            </w:pPr>
            <w:r w:rsidRPr="00A349EC">
              <w:rPr>
                <w:b/>
                <w:bCs/>
                <w:color w:val="FFFFFF" w:themeColor="background1"/>
                <w:lang w:val="es-ES"/>
              </w:rPr>
              <w:t>Grupo de Trabajo sobre el Plan de Acción, el Plan Estratégico y Operacional y las Iniciativas Regionales</w:t>
            </w:r>
          </w:p>
        </w:tc>
      </w:tr>
      <w:tr w:rsidR="00A349EC" w:rsidRPr="00A349EC" w14:paraId="28914658" w14:textId="77777777" w:rsidTr="00E03095">
        <w:tc>
          <w:tcPr>
            <w:tcW w:w="9006" w:type="dxa"/>
            <w:tcBorders>
              <w:top w:val="single" w:sz="8" w:space="0" w:color="FFFFFF"/>
              <w:left w:val="single" w:sz="8" w:space="0" w:color="FFFFFF"/>
              <w:bottom w:val="single" w:sz="8" w:space="0" w:color="FFFFFF"/>
              <w:right w:val="single" w:sz="8" w:space="0" w:color="FFFFFF"/>
            </w:tcBorders>
            <w:shd w:val="clear" w:color="auto" w:fill="DEEAF6"/>
            <w:tcMar>
              <w:top w:w="0" w:type="dxa"/>
              <w:left w:w="108" w:type="dxa"/>
              <w:bottom w:w="0" w:type="dxa"/>
              <w:right w:w="108" w:type="dxa"/>
            </w:tcMar>
          </w:tcPr>
          <w:p w14:paraId="4D4343EA" w14:textId="77777777" w:rsidR="00A93852" w:rsidRPr="00A349EC" w:rsidRDefault="00A93852" w:rsidP="004F4AD1">
            <w:pPr>
              <w:pStyle w:val="Tabletext"/>
              <w:rPr>
                <w:color w:val="0070C0"/>
                <w:lang w:val="es-ES"/>
              </w:rPr>
            </w:pPr>
            <w:r w:rsidRPr="00A349EC">
              <w:rPr>
                <w:color w:val="0070C0"/>
                <w:lang w:val="es-ES"/>
              </w:rPr>
              <w:t>Presidente: Salem Almawali (Omán)</w:t>
            </w:r>
          </w:p>
        </w:tc>
      </w:tr>
      <w:tr w:rsidR="00A349EC" w:rsidRPr="00A349EC" w14:paraId="23E646B2" w14:textId="77777777" w:rsidTr="00E03095">
        <w:tc>
          <w:tcPr>
            <w:tcW w:w="9006"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tcPr>
          <w:p w14:paraId="68446BBE" w14:textId="77777777" w:rsidR="00A93852" w:rsidRPr="00A349EC" w:rsidRDefault="00A93852" w:rsidP="004F4AD1">
            <w:pPr>
              <w:pStyle w:val="Tabletext"/>
              <w:rPr>
                <w:b/>
                <w:bCs/>
                <w:color w:val="FFFFFF" w:themeColor="background1"/>
                <w:lang w:val="es-ES"/>
              </w:rPr>
            </w:pPr>
            <w:r w:rsidRPr="00A349EC">
              <w:rPr>
                <w:b/>
                <w:bCs/>
                <w:color w:val="FFFFFF" w:themeColor="background1"/>
                <w:lang w:val="es-ES"/>
              </w:rPr>
              <w:t>Grupo de Trabajo sobre la Declaración y Racionalización de Resoluciones y Prioridades Temáticas</w:t>
            </w:r>
          </w:p>
        </w:tc>
      </w:tr>
      <w:tr w:rsidR="00A349EC" w:rsidRPr="00A349EC" w14:paraId="3DBBDA00" w14:textId="77777777" w:rsidTr="00E03095">
        <w:tc>
          <w:tcPr>
            <w:tcW w:w="9006" w:type="dxa"/>
            <w:tcBorders>
              <w:top w:val="single" w:sz="8" w:space="0" w:color="FFFFFF"/>
              <w:left w:val="single" w:sz="8" w:space="0" w:color="FFFFFF"/>
              <w:bottom w:val="single" w:sz="8" w:space="0" w:color="FFFFFF"/>
              <w:right w:val="single" w:sz="8" w:space="0" w:color="FFFFFF"/>
            </w:tcBorders>
            <w:shd w:val="clear" w:color="auto" w:fill="DEEAF6"/>
            <w:tcMar>
              <w:top w:w="0" w:type="dxa"/>
              <w:left w:w="108" w:type="dxa"/>
              <w:bottom w:w="0" w:type="dxa"/>
              <w:right w:w="108" w:type="dxa"/>
            </w:tcMar>
          </w:tcPr>
          <w:p w14:paraId="5432D901" w14:textId="77777777" w:rsidR="00A93852" w:rsidRPr="00A349EC" w:rsidRDefault="00A93852" w:rsidP="004F4AD1">
            <w:pPr>
              <w:pStyle w:val="Tabletext"/>
              <w:rPr>
                <w:color w:val="0070C0"/>
                <w:lang w:val="es-ES"/>
              </w:rPr>
            </w:pPr>
            <w:r w:rsidRPr="00A349EC">
              <w:rPr>
                <w:color w:val="0070C0"/>
                <w:lang w:val="es-ES"/>
              </w:rPr>
              <w:t>Presidenta: Sra. Sameera Belal (Kuwait)</w:t>
            </w:r>
          </w:p>
        </w:tc>
      </w:tr>
      <w:tr w:rsidR="00A349EC" w:rsidRPr="00A349EC" w14:paraId="221CCFB5" w14:textId="77777777" w:rsidTr="00E03095">
        <w:tc>
          <w:tcPr>
            <w:tcW w:w="9006"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tcPr>
          <w:p w14:paraId="6AA6F549" w14:textId="77777777" w:rsidR="00A93852" w:rsidRPr="00A349EC" w:rsidRDefault="00A93852" w:rsidP="004F4AD1">
            <w:pPr>
              <w:pStyle w:val="Tabletext"/>
              <w:rPr>
                <w:b/>
                <w:bCs/>
                <w:color w:val="FFFFFF" w:themeColor="background1"/>
                <w:lang w:val="es-ES"/>
              </w:rPr>
            </w:pPr>
            <w:r w:rsidRPr="00A349EC">
              <w:rPr>
                <w:b/>
                <w:bCs/>
                <w:color w:val="FFFFFF" w:themeColor="background1"/>
                <w:lang w:val="es-ES"/>
              </w:rPr>
              <w:t>Grupo de Trabajo sobre los preparativos de la CMDT-21</w:t>
            </w:r>
          </w:p>
        </w:tc>
      </w:tr>
      <w:tr w:rsidR="00A349EC" w:rsidRPr="00A349EC" w14:paraId="622B21C4" w14:textId="77777777" w:rsidTr="00E03095">
        <w:tc>
          <w:tcPr>
            <w:tcW w:w="9006" w:type="dxa"/>
            <w:tcBorders>
              <w:top w:val="single" w:sz="8" w:space="0" w:color="FFFFFF"/>
              <w:left w:val="single" w:sz="8" w:space="0" w:color="FFFFFF"/>
              <w:bottom w:val="single" w:sz="8" w:space="0" w:color="FFFFFF"/>
              <w:right w:val="single" w:sz="8" w:space="0" w:color="FFFFFF"/>
            </w:tcBorders>
            <w:shd w:val="clear" w:color="auto" w:fill="DEEAF6"/>
            <w:tcMar>
              <w:top w:w="0" w:type="dxa"/>
              <w:left w:w="108" w:type="dxa"/>
              <w:bottom w:w="0" w:type="dxa"/>
              <w:right w:w="108" w:type="dxa"/>
            </w:tcMar>
          </w:tcPr>
          <w:p w14:paraId="46591298" w14:textId="77777777" w:rsidR="00A93852" w:rsidRPr="00A349EC" w:rsidRDefault="00A93852" w:rsidP="004F4AD1">
            <w:pPr>
              <w:pStyle w:val="Tabletext"/>
              <w:rPr>
                <w:color w:val="0070C0"/>
                <w:lang w:val="es-ES"/>
              </w:rPr>
            </w:pPr>
            <w:r w:rsidRPr="00A349EC">
              <w:rPr>
                <w:color w:val="0070C0"/>
                <w:lang w:val="es-ES"/>
              </w:rPr>
              <w:t>Presidente: Sr. Alansari Almashagbah (Jordania)</w:t>
            </w:r>
          </w:p>
        </w:tc>
      </w:tr>
    </w:tbl>
    <w:p w14:paraId="2BBB4029" w14:textId="772B4988" w:rsidR="00A93852" w:rsidRPr="00A93852" w:rsidRDefault="00A93852" w:rsidP="004F4AD1">
      <w:pPr>
        <w:pStyle w:val="Normalaftertitle"/>
        <w:rPr>
          <w:lang w:val="es-ES"/>
        </w:rPr>
      </w:pPr>
      <w:r w:rsidRPr="00AE22AA">
        <w:rPr>
          <w:lang w:val="es-ES"/>
        </w:rPr>
        <w:lastRenderedPageBreak/>
        <w:t>4.23</w:t>
      </w:r>
      <w:r w:rsidR="002D4C2C">
        <w:rPr>
          <w:lang w:val="es-ES"/>
        </w:rPr>
        <w:tab/>
      </w:r>
      <w:r w:rsidRPr="00A93852">
        <w:rPr>
          <w:lang w:val="es-ES"/>
        </w:rPr>
        <w:t xml:space="preserve">El Grupo Árabe propone actualmente modificar 28 Resoluciones que figuran en el </w:t>
      </w:r>
      <w:hyperlink r:id="rId19" w:history="1">
        <w:r w:rsidRPr="00A93852">
          <w:rPr>
            <w:rStyle w:val="Hyperlink"/>
            <w:lang w:val="es-ES"/>
          </w:rPr>
          <w:t>Documento 23</w:t>
        </w:r>
      </w:hyperlink>
      <w:r w:rsidRPr="00A93852">
        <w:rPr>
          <w:lang w:val="es-ES"/>
        </w:rPr>
        <w:t xml:space="preserve">. Al igual que la CRC, la LEA propone suprimir las Resoluciones 27 y 61. Además, el Grupo Árabe presentará dos nuevas propuestas relacionadas con </w:t>
      </w:r>
      <w:r w:rsidRPr="00AA59D3">
        <w:rPr>
          <w:lang w:val="es-ES"/>
        </w:rPr>
        <w:t>el</w:t>
      </w:r>
      <w:r w:rsidRPr="00A93852">
        <w:rPr>
          <w:b/>
          <w:bCs/>
          <w:lang w:val="es-ES"/>
        </w:rPr>
        <w:t xml:space="preserve"> cometido de las telecomunicaciones/TIC en situaciones de pandemia</w:t>
      </w:r>
      <w:r w:rsidRPr="00A93852">
        <w:rPr>
          <w:lang w:val="es-ES"/>
        </w:rPr>
        <w:t xml:space="preserve">, especialmente en los países en desarrollo; y con la </w:t>
      </w:r>
      <w:r w:rsidRPr="00A93852">
        <w:rPr>
          <w:b/>
          <w:bCs/>
          <w:lang w:val="es-ES"/>
        </w:rPr>
        <w:t>transformación digital para el desarrollo sostenible, incluido el establecimiento de centros de datos y de computación en la nube en los países en desarrollo</w:t>
      </w:r>
      <w:r w:rsidRPr="00A93852">
        <w:rPr>
          <w:lang w:val="es-ES"/>
        </w:rPr>
        <w:t>.</w:t>
      </w:r>
    </w:p>
    <w:p w14:paraId="49992435" w14:textId="0BDBA42E" w:rsidR="00A93852" w:rsidRPr="00A93852" w:rsidRDefault="00A93852" w:rsidP="002D4C2C">
      <w:pPr>
        <w:rPr>
          <w:lang w:val="es-ES"/>
        </w:rPr>
      </w:pPr>
      <w:r w:rsidRPr="00A93852">
        <w:rPr>
          <w:lang w:val="es-ES"/>
        </w:rPr>
        <w:t>4.24</w:t>
      </w:r>
      <w:r w:rsidR="002D4C2C">
        <w:rPr>
          <w:lang w:val="es-ES"/>
        </w:rPr>
        <w:tab/>
      </w:r>
      <w:r w:rsidRPr="00A93852">
        <w:rPr>
          <w:lang w:val="es-ES"/>
        </w:rPr>
        <w:t>El Grupo Árabe reconoció los avances logrados por el GT-GADT-RDPT con respecto a la racionalización de las prioridades temáticas, y sugirió añadir la ciberseguridad como una nueva prioridad temática que agruparía los subtemas conexos, actualmente dispersos en otros temas.</w:t>
      </w:r>
    </w:p>
    <w:p w14:paraId="130EF1C1" w14:textId="48D3BE96" w:rsidR="00A93852" w:rsidRPr="00A93852" w:rsidRDefault="00A93852" w:rsidP="002D4C2C">
      <w:pPr>
        <w:rPr>
          <w:lang w:val="es-ES"/>
        </w:rPr>
      </w:pPr>
      <w:r w:rsidRPr="00A93852">
        <w:rPr>
          <w:lang w:val="es-ES"/>
        </w:rPr>
        <w:t>4.25</w:t>
      </w:r>
      <w:r w:rsidR="002D4C2C">
        <w:rPr>
          <w:lang w:val="es-ES"/>
        </w:rPr>
        <w:tab/>
      </w:r>
      <w:r w:rsidRPr="00A93852">
        <w:rPr>
          <w:lang w:val="es-ES"/>
        </w:rPr>
        <w:t>En cuanto al proyecto de declaración del GT-GADT-RDPT, el Grupo Árabe considera que debería considerarse como un primer paso, y subraya que la declaración final debería ser equilibrada e inclusiva para reflejar todas las prioridades temáticas.</w:t>
      </w:r>
    </w:p>
    <w:p w14:paraId="3F5D2D30" w14:textId="7E435A54" w:rsidR="00A93852" w:rsidRPr="00A93852" w:rsidRDefault="00A93852" w:rsidP="002D4C2C">
      <w:pPr>
        <w:rPr>
          <w:lang w:val="es-ES"/>
        </w:rPr>
      </w:pPr>
      <w:r w:rsidRPr="00A93852">
        <w:rPr>
          <w:lang w:val="es-ES"/>
        </w:rPr>
        <w:t>4.26</w:t>
      </w:r>
      <w:r w:rsidR="002D4C2C">
        <w:rPr>
          <w:lang w:val="es-ES"/>
        </w:rPr>
        <w:tab/>
      </w:r>
      <w:r w:rsidRPr="00A93852">
        <w:rPr>
          <w:lang w:val="es-ES"/>
        </w:rPr>
        <w:t>El Grupo Árabe está revisando y elaborando sus iniciativas regionales en estrecha colaboración con la Oficina Regional de la UIT para los Estados Árabes.</w:t>
      </w:r>
    </w:p>
    <w:p w14:paraId="749B6D7D" w14:textId="0808D498" w:rsidR="00A93852" w:rsidRPr="00A93852" w:rsidRDefault="002D4C2C" w:rsidP="002D4C2C">
      <w:pPr>
        <w:pStyle w:val="Heading1"/>
        <w:rPr>
          <w:bCs/>
          <w:lang w:val="es-ES"/>
        </w:rPr>
      </w:pPr>
      <w:r w:rsidRPr="001F0BCD">
        <w:rPr>
          <w:lang w:val="es-ES"/>
        </w:rPr>
        <w:t>5</w:t>
      </w:r>
      <w:r w:rsidRPr="001F0BCD">
        <w:rPr>
          <w:lang w:val="es-ES"/>
        </w:rPr>
        <w:tab/>
      </w:r>
      <w:r w:rsidR="00A93852" w:rsidRPr="001F0BCD">
        <w:rPr>
          <w:lang w:val="es-ES"/>
        </w:rPr>
        <w:t>Punto 5 del orden del día: Resultados de las reuniones preparatorias regionales</w:t>
      </w:r>
    </w:p>
    <w:p w14:paraId="09C45990" w14:textId="5483D9AE" w:rsidR="00A93852" w:rsidRPr="00A93852" w:rsidRDefault="00A93852" w:rsidP="002D4C2C">
      <w:pPr>
        <w:rPr>
          <w:lang w:val="es-ES"/>
        </w:rPr>
      </w:pPr>
      <w:r w:rsidRPr="00A93852">
        <w:rPr>
          <w:lang w:val="es-ES"/>
        </w:rPr>
        <w:t>5.1</w:t>
      </w:r>
      <w:r w:rsidR="002D4C2C">
        <w:rPr>
          <w:lang w:val="es-ES"/>
        </w:rPr>
        <w:tab/>
      </w:r>
      <w:r w:rsidRPr="00A93852">
        <w:rPr>
          <w:lang w:val="es-ES"/>
        </w:rPr>
        <w:t xml:space="preserve">La BDT y el Ministerio de Industria y Comercio de la República Checa organizaron la </w:t>
      </w:r>
      <w:r w:rsidRPr="00A93852">
        <w:rPr>
          <w:b/>
          <w:lang w:val="es-ES"/>
        </w:rPr>
        <w:t>Reunión Preparatoria Regional para Europa (RPR-EUR)</w:t>
      </w:r>
      <w:r w:rsidRPr="00A93852">
        <w:rPr>
          <w:lang w:val="es-ES"/>
        </w:rPr>
        <w:t>, que se celebró en línea los días 18 y 19 de enero de 2021, con la asistencia de 114 participantes. El Excmo. Sr. Petr Ocko, Viceministro de Industria y Comercio de la República Checa, fue elegido Presidente de la RPR-EUR para la CMDT-21 por unanimidad. La Sra. Inga Rimkevičienė (Lituania) fue elegida Vicepresidenta. La Sra.</w:t>
      </w:r>
      <w:r w:rsidR="00B302EE">
        <w:rPr>
          <w:lang w:val="es-ES"/>
        </w:rPr>
        <w:t> </w:t>
      </w:r>
      <w:r w:rsidRPr="00A93852">
        <w:rPr>
          <w:lang w:val="es-ES"/>
        </w:rPr>
        <w:t>Rimkevičienė es también la Presidenta del Equipo de Proyecto de la CEPT de la Com-ITU sobre la CMDT-21.</w:t>
      </w:r>
    </w:p>
    <w:p w14:paraId="4CAC943F" w14:textId="28D3A53F" w:rsidR="00A93852" w:rsidRPr="00B302EE" w:rsidRDefault="00A93852" w:rsidP="002D4C2C">
      <w:pPr>
        <w:rPr>
          <w:lang w:val="es-ES"/>
        </w:rPr>
      </w:pPr>
      <w:r w:rsidRPr="00B302EE">
        <w:rPr>
          <w:lang w:val="es-ES"/>
        </w:rPr>
        <w:t>5.2</w:t>
      </w:r>
      <w:r w:rsidR="002D4C2C" w:rsidRPr="00B302EE">
        <w:rPr>
          <w:lang w:val="es-ES"/>
        </w:rPr>
        <w:tab/>
      </w:r>
      <w:r w:rsidRPr="00B302EE">
        <w:rPr>
          <w:lang w:val="es-ES"/>
        </w:rPr>
        <w:t>La RPR-EUR aprobó cinco propuestas de prioridades regionales para Europa durante el periodo 2022-2025, a saber:</w:t>
      </w:r>
    </w:p>
    <w:p w14:paraId="13C011CD" w14:textId="6142C7BE" w:rsidR="00A93852" w:rsidRPr="00A93852" w:rsidRDefault="002D4C2C" w:rsidP="002D4C2C">
      <w:pPr>
        <w:pStyle w:val="enumlev1"/>
        <w:rPr>
          <w:lang w:val="es-ES"/>
        </w:rPr>
      </w:pPr>
      <w:r>
        <w:rPr>
          <w:lang w:val="es-ES"/>
        </w:rPr>
        <w:t>–</w:t>
      </w:r>
      <w:r>
        <w:rPr>
          <w:lang w:val="es-ES"/>
        </w:rPr>
        <w:tab/>
      </w:r>
      <w:r w:rsidR="00A93852" w:rsidRPr="00A93852">
        <w:rPr>
          <w:lang w:val="es-ES"/>
        </w:rPr>
        <w:t>RP-EUR-1: Desarrollo de la infraestructura digital</w:t>
      </w:r>
    </w:p>
    <w:p w14:paraId="4A77A1F1" w14:textId="5BC7E65A" w:rsidR="00A93852" w:rsidRPr="00A93852" w:rsidRDefault="002D4C2C" w:rsidP="002D4C2C">
      <w:pPr>
        <w:pStyle w:val="enumlev1"/>
        <w:rPr>
          <w:lang w:val="es-ES"/>
        </w:rPr>
      </w:pPr>
      <w:r>
        <w:rPr>
          <w:lang w:val="es-ES"/>
        </w:rPr>
        <w:t>–</w:t>
      </w:r>
      <w:r>
        <w:rPr>
          <w:lang w:val="es-ES"/>
        </w:rPr>
        <w:tab/>
      </w:r>
      <w:r w:rsidR="00A93852" w:rsidRPr="00A93852">
        <w:rPr>
          <w:lang w:val="es-ES"/>
        </w:rPr>
        <w:t>RP-EUR-2: La transformación digital para la resiliencia</w:t>
      </w:r>
    </w:p>
    <w:p w14:paraId="6A8C646E" w14:textId="6B73FD43" w:rsidR="00A93852" w:rsidRPr="00A93852" w:rsidRDefault="002D4C2C" w:rsidP="002D4C2C">
      <w:pPr>
        <w:pStyle w:val="enumlev1"/>
        <w:rPr>
          <w:lang w:val="es-ES"/>
        </w:rPr>
      </w:pPr>
      <w:r>
        <w:rPr>
          <w:lang w:val="es-ES"/>
        </w:rPr>
        <w:t>–</w:t>
      </w:r>
      <w:r>
        <w:rPr>
          <w:lang w:val="es-ES"/>
        </w:rPr>
        <w:tab/>
      </w:r>
      <w:r w:rsidR="00A93852" w:rsidRPr="00A93852">
        <w:rPr>
          <w:lang w:val="es-ES"/>
        </w:rPr>
        <w:t>RP-EUR-3: Inclusión digital y desarrollo de competencias</w:t>
      </w:r>
    </w:p>
    <w:p w14:paraId="26F5AD8C" w14:textId="421CF1C5" w:rsidR="00A93852" w:rsidRPr="00A93852" w:rsidRDefault="002D4C2C" w:rsidP="002D4C2C">
      <w:pPr>
        <w:pStyle w:val="enumlev1"/>
        <w:rPr>
          <w:lang w:val="es-ES"/>
        </w:rPr>
      </w:pPr>
      <w:r>
        <w:rPr>
          <w:lang w:val="es-ES"/>
        </w:rPr>
        <w:t>–</w:t>
      </w:r>
      <w:r>
        <w:rPr>
          <w:lang w:val="es-ES"/>
        </w:rPr>
        <w:tab/>
      </w:r>
      <w:r w:rsidR="00A93852" w:rsidRPr="00A93852">
        <w:rPr>
          <w:lang w:val="es-ES"/>
        </w:rPr>
        <w:t>RP-EUR-4: Confianza y seguridad en el uso de las tecnologías digitales</w:t>
      </w:r>
    </w:p>
    <w:p w14:paraId="3A0FA8AE" w14:textId="59F5B491" w:rsidR="00A93852" w:rsidRPr="00A93852" w:rsidRDefault="002D4C2C" w:rsidP="002D4C2C">
      <w:pPr>
        <w:pStyle w:val="enumlev1"/>
        <w:rPr>
          <w:lang w:val="es-ES"/>
        </w:rPr>
      </w:pPr>
      <w:r>
        <w:rPr>
          <w:lang w:val="es-ES"/>
        </w:rPr>
        <w:t>–</w:t>
      </w:r>
      <w:r>
        <w:rPr>
          <w:lang w:val="es-ES"/>
        </w:rPr>
        <w:tab/>
      </w:r>
      <w:r w:rsidR="00A93852" w:rsidRPr="00A93852">
        <w:rPr>
          <w:lang w:val="es-ES"/>
        </w:rPr>
        <w:t>RP-EUR-5: Ecosistemas de innovación digital</w:t>
      </w:r>
    </w:p>
    <w:p w14:paraId="05C6E65E" w14:textId="1D6F431A" w:rsidR="00A93852" w:rsidRPr="00A93852" w:rsidRDefault="00A93852" w:rsidP="002D4C2C">
      <w:pPr>
        <w:rPr>
          <w:lang w:val="es-ES"/>
        </w:rPr>
      </w:pPr>
      <w:r w:rsidRPr="00A93852">
        <w:rPr>
          <w:lang w:val="es-ES"/>
        </w:rPr>
        <w:t>5.3</w:t>
      </w:r>
      <w:r w:rsidR="002D4C2C">
        <w:rPr>
          <w:lang w:val="es-ES"/>
        </w:rPr>
        <w:tab/>
      </w:r>
      <w:r w:rsidRPr="00A93852">
        <w:rPr>
          <w:lang w:val="es-ES"/>
        </w:rPr>
        <w:t xml:space="preserve">En la reunión se presentó el informe </w:t>
      </w:r>
      <w:hyperlink r:id="rId20" w:tgtFrame="_blank" w:history="1">
        <w:r w:rsidRPr="001F0BCD">
          <w:rPr>
            <w:rStyle w:val="Hyperlink"/>
            <w:b/>
            <w:i/>
            <w:iCs/>
            <w:color w:val="auto"/>
            <w:u w:val="none"/>
            <w:lang w:val="es-ES"/>
          </w:rPr>
          <w:t>Tendencias digitales en Europa</w:t>
        </w:r>
      </w:hyperlink>
      <w:r w:rsidRPr="001F0BCD">
        <w:rPr>
          <w:lang w:val="es-ES"/>
        </w:rPr>
        <w:t>, en el que</w:t>
      </w:r>
      <w:r w:rsidRPr="00A93852">
        <w:rPr>
          <w:i/>
          <w:iCs/>
          <w:lang w:val="es-ES"/>
        </w:rPr>
        <w:t xml:space="preserve"> </w:t>
      </w:r>
      <w:r w:rsidRPr="00A93852">
        <w:rPr>
          <w:lang w:val="es-ES"/>
        </w:rPr>
        <w:t xml:space="preserve">se ponen de relieve las tendencias y la evolución de la infraestructura de las TIC y de su acceso y utilización en Europa; </w:t>
      </w:r>
      <w:r w:rsidRPr="00A93852">
        <w:rPr>
          <w:b/>
          <w:lang w:val="es-ES"/>
        </w:rPr>
        <w:t>Europe Youth Group – Generation Connect</w:t>
      </w:r>
      <w:r w:rsidRPr="00A93852">
        <w:rPr>
          <w:lang w:val="es-ES"/>
        </w:rPr>
        <w:t>, una iniciativa en la que participan 24</w:t>
      </w:r>
      <w:r w:rsidR="001F0BCD">
        <w:rPr>
          <w:lang w:val="es-ES"/>
        </w:rPr>
        <w:t> </w:t>
      </w:r>
      <w:r w:rsidRPr="00A93852">
        <w:rPr>
          <w:lang w:val="es-ES"/>
        </w:rPr>
        <w:t xml:space="preserve">jóvenes de entre 18 y 24 años; y la </w:t>
      </w:r>
      <w:hyperlink r:id="rId21" w:tgtFrame="_blank" w:history="1">
        <w:r w:rsidRPr="001F0BCD">
          <w:rPr>
            <w:rStyle w:val="Hyperlink"/>
            <w:b/>
            <w:bCs/>
            <w:color w:val="auto"/>
            <w:u w:val="none"/>
            <w:lang w:val="es-ES"/>
          </w:rPr>
          <w:t>Red de Muj</w:t>
        </w:r>
        <w:r w:rsidRPr="001F0BCD">
          <w:rPr>
            <w:rStyle w:val="Hyperlink"/>
            <w:b/>
            <w:bCs/>
            <w:color w:val="auto"/>
            <w:u w:val="none"/>
            <w:lang w:val="es-ES"/>
          </w:rPr>
          <w:t>e</w:t>
        </w:r>
        <w:r w:rsidRPr="001F0BCD">
          <w:rPr>
            <w:rStyle w:val="Hyperlink"/>
            <w:b/>
            <w:bCs/>
            <w:color w:val="auto"/>
            <w:u w:val="none"/>
            <w:lang w:val="es-ES"/>
          </w:rPr>
          <w:t>res (NoW)</w:t>
        </w:r>
      </w:hyperlink>
      <w:r w:rsidR="00704705">
        <w:rPr>
          <w:b/>
          <w:bCs/>
          <w:lang w:val="es-ES"/>
        </w:rPr>
        <w:t xml:space="preserve"> </w:t>
      </w:r>
      <w:r w:rsidRPr="00A93852">
        <w:rPr>
          <w:b/>
          <w:bCs/>
          <w:lang w:val="es-ES"/>
        </w:rPr>
        <w:t xml:space="preserve">de RPR Europa </w:t>
      </w:r>
      <w:r w:rsidRPr="00A93852">
        <w:rPr>
          <w:b/>
          <w:lang w:val="es-ES"/>
        </w:rPr>
        <w:t>para el Sector de Desarrollo de las Telecomunicaciones de la UIT</w:t>
      </w:r>
      <w:r w:rsidRPr="00A93852">
        <w:rPr>
          <w:lang w:val="es-ES"/>
        </w:rPr>
        <w:t>, una iniciativa que tiene por objeto crear una comunidad para apoyar a las delegadas, ampliar su red y compartir experiencias y conocimientos con otras delegadas de todo el mundo.</w:t>
      </w:r>
    </w:p>
    <w:p w14:paraId="3A805EBE" w14:textId="74F16282" w:rsidR="00A93852" w:rsidRPr="00A93852" w:rsidRDefault="00A93852" w:rsidP="002D4C2C">
      <w:pPr>
        <w:rPr>
          <w:lang w:val="es-ES"/>
        </w:rPr>
      </w:pPr>
      <w:r w:rsidRPr="00A93852">
        <w:rPr>
          <w:lang w:val="es-ES"/>
        </w:rPr>
        <w:t>5.4</w:t>
      </w:r>
      <w:r w:rsidR="002D4C2C">
        <w:rPr>
          <w:lang w:val="es-ES"/>
        </w:rPr>
        <w:tab/>
      </w:r>
      <w:r w:rsidRPr="00A93852">
        <w:rPr>
          <w:lang w:val="es-ES"/>
        </w:rPr>
        <w:t xml:space="preserve">La </w:t>
      </w:r>
      <w:hyperlink r:id="rId22" w:tgtFrame="_blank" w:history="1">
        <w:r w:rsidRPr="001F0BCD">
          <w:rPr>
            <w:rStyle w:val="Hyperlink"/>
            <w:b/>
            <w:color w:val="auto"/>
            <w:u w:val="none"/>
            <w:lang w:val="es-ES"/>
          </w:rPr>
          <w:t>Reunión Preparatoria Regional para Asia-Pacífico</w:t>
        </w:r>
      </w:hyperlink>
      <w:r w:rsidRPr="00A93852">
        <w:rPr>
          <w:b/>
          <w:lang w:val="es-ES"/>
        </w:rPr>
        <w:t xml:space="preserve"> (RPR-ASP)</w:t>
      </w:r>
      <w:r w:rsidRPr="00A93852">
        <w:rPr>
          <w:lang w:val="es-ES"/>
        </w:rPr>
        <w:t xml:space="preserve"> se celebró en línea los días 9 y 10 de marzo de 2021, con la asistencia de 168 delegados. El Dr. Ahmad Sharafat, Asesor del Ministro de Tecnologías de la Información y la Comunicación de la República Islámica del Irán, fue elegido por unanimidad presidente de la RPR-ASP para la CMDT-21.</w:t>
      </w:r>
    </w:p>
    <w:p w14:paraId="69BF7A82" w14:textId="22C4770A" w:rsidR="00A93852" w:rsidRPr="00A93852" w:rsidRDefault="00A93852" w:rsidP="0039625F">
      <w:pPr>
        <w:keepNext/>
        <w:keepLines/>
        <w:rPr>
          <w:lang w:val="es-ES"/>
        </w:rPr>
      </w:pPr>
      <w:r w:rsidRPr="00971DD9">
        <w:rPr>
          <w:lang w:val="es-ES"/>
        </w:rPr>
        <w:lastRenderedPageBreak/>
        <w:t>5.5</w:t>
      </w:r>
      <w:r w:rsidR="002D4C2C">
        <w:rPr>
          <w:lang w:val="es-ES"/>
        </w:rPr>
        <w:tab/>
      </w:r>
      <w:r w:rsidRPr="00A93852">
        <w:rPr>
          <w:lang w:val="es-ES"/>
        </w:rPr>
        <w:t>Se aprobó la recomendación de la reunión de Jefes de Delegación sobre la Vicepresidencia de la RPR-ASP, y se eligió como Vicepresidentas a la Sra. Mina Seonmin Jun, Asesora de Políticas del Instituto de Desarrollo de la Sociedad de la Información de Corea (República de Corea); la Sra.</w:t>
      </w:r>
      <w:r w:rsidR="0039625F">
        <w:rPr>
          <w:lang w:val="es-ES"/>
        </w:rPr>
        <w:t> </w:t>
      </w:r>
      <w:r w:rsidRPr="00A93852">
        <w:rPr>
          <w:lang w:val="es-ES"/>
        </w:rPr>
        <w:t>Gisa Fuatai Purcell, Reguladora de la Oficina del Regulador (Samoa); y la Sra. Philomena Gnanapragasam, Directora del Instituto de Asia-Pacífico para el Desarrollo de la Radiodifusión.</w:t>
      </w:r>
    </w:p>
    <w:p w14:paraId="71CBC51C" w14:textId="1216892F" w:rsidR="00A93852" w:rsidRPr="00A93852" w:rsidRDefault="00A93852" w:rsidP="002D4C2C">
      <w:pPr>
        <w:rPr>
          <w:lang w:val="es-ES"/>
        </w:rPr>
      </w:pPr>
      <w:r w:rsidRPr="00971DD9">
        <w:rPr>
          <w:lang w:val="es-ES"/>
        </w:rPr>
        <w:t>5.6</w:t>
      </w:r>
      <w:r w:rsidR="002D4C2C">
        <w:rPr>
          <w:lang w:val="es-ES"/>
        </w:rPr>
        <w:tab/>
      </w:r>
      <w:r w:rsidRPr="00A93852">
        <w:rPr>
          <w:lang w:val="es-ES"/>
        </w:rPr>
        <w:t xml:space="preserve">La RPR-ASP acogió con beneplácito el informe titulado </w:t>
      </w:r>
      <w:r w:rsidRPr="00A93852">
        <w:rPr>
          <w:b/>
          <w:i/>
          <w:lang w:val="es-ES"/>
        </w:rPr>
        <w:t>Digital trends in Asia and the Pacific in 2021</w:t>
      </w:r>
      <w:r w:rsidRPr="00A93852">
        <w:rPr>
          <w:lang w:val="es-ES"/>
        </w:rPr>
        <w:t xml:space="preserve"> como una contribución importante al desarrollo de las iniciativas regionales, a tenor de los avances y desafíos a nivel regional en el ámbito de las TIC.</w:t>
      </w:r>
    </w:p>
    <w:p w14:paraId="3155B4FD" w14:textId="43B26076" w:rsidR="00A93852" w:rsidRPr="00A93852" w:rsidRDefault="00A93852" w:rsidP="002D4C2C">
      <w:pPr>
        <w:rPr>
          <w:lang w:val="es-ES"/>
        </w:rPr>
      </w:pPr>
      <w:r w:rsidRPr="00A93852">
        <w:rPr>
          <w:lang w:val="es-ES"/>
        </w:rPr>
        <w:t>5.7</w:t>
      </w:r>
      <w:r w:rsidR="002D4C2C">
        <w:rPr>
          <w:lang w:val="es-ES"/>
        </w:rPr>
        <w:tab/>
      </w:r>
      <w:r w:rsidRPr="00A93852">
        <w:rPr>
          <w:lang w:val="es-ES"/>
        </w:rPr>
        <w:t xml:space="preserve">La RPR-ASP aprobó cinco propuestas de prioridades regionales para la </w:t>
      </w:r>
      <w:r w:rsidR="00CD6F8C" w:rsidRPr="00A93852">
        <w:rPr>
          <w:lang w:val="es-ES"/>
        </w:rPr>
        <w:t xml:space="preserve">Región </w:t>
      </w:r>
      <w:r w:rsidRPr="00A93852">
        <w:rPr>
          <w:lang w:val="es-ES"/>
        </w:rPr>
        <w:t>de Asia</w:t>
      </w:r>
      <w:r w:rsidR="00306884">
        <w:rPr>
          <w:lang w:val="es-ES"/>
        </w:rPr>
        <w:noBreakHyphen/>
      </w:r>
      <w:r w:rsidRPr="00A93852">
        <w:rPr>
          <w:lang w:val="es-ES"/>
        </w:rPr>
        <w:t>Pacífico durante el periodo 2022-2025, que se presentarán a la CMDT-21, a saber:</w:t>
      </w:r>
    </w:p>
    <w:p w14:paraId="400D2474" w14:textId="354FBB4B" w:rsidR="00A93852" w:rsidRPr="00A93852" w:rsidRDefault="002D4C2C" w:rsidP="002D4C2C">
      <w:pPr>
        <w:pStyle w:val="enumlev1"/>
        <w:rPr>
          <w:lang w:val="es-ES"/>
        </w:rPr>
      </w:pPr>
      <w:r>
        <w:rPr>
          <w:lang w:val="es-ES"/>
        </w:rPr>
        <w:t>–</w:t>
      </w:r>
      <w:r>
        <w:rPr>
          <w:lang w:val="es-ES"/>
        </w:rPr>
        <w:tab/>
      </w:r>
      <w:r w:rsidR="00A93852" w:rsidRPr="00A93852">
        <w:rPr>
          <w:b/>
          <w:lang w:val="es-ES"/>
        </w:rPr>
        <w:t>ASP 1</w:t>
      </w:r>
      <w:r w:rsidR="00A93852" w:rsidRPr="00A93852">
        <w:rPr>
          <w:lang w:val="es-ES"/>
        </w:rPr>
        <w:t xml:space="preserve">: Abordar las necesidades especiales de los países menos adelantados, los pequeños </w:t>
      </w:r>
      <w:r w:rsidR="00971DD9" w:rsidRPr="00A93852">
        <w:rPr>
          <w:lang w:val="es-ES"/>
        </w:rPr>
        <w:t xml:space="preserve">Estados </w:t>
      </w:r>
      <w:r w:rsidR="00A93852" w:rsidRPr="00A93852">
        <w:rPr>
          <w:lang w:val="es-ES"/>
        </w:rPr>
        <w:t>insulares en desarrollo (como los estados y territorios insulares del Pacífico) y los países en desarrollo sin litoral</w:t>
      </w:r>
    </w:p>
    <w:p w14:paraId="533C481D" w14:textId="642C8AB2" w:rsidR="00A93852" w:rsidRPr="00A93852" w:rsidRDefault="002D4C2C" w:rsidP="002D4C2C">
      <w:pPr>
        <w:pStyle w:val="enumlev1"/>
        <w:rPr>
          <w:lang w:val="es-ES"/>
        </w:rPr>
      </w:pPr>
      <w:r>
        <w:rPr>
          <w:lang w:val="es-ES"/>
        </w:rPr>
        <w:t>–</w:t>
      </w:r>
      <w:r>
        <w:rPr>
          <w:lang w:val="es-ES"/>
        </w:rPr>
        <w:tab/>
      </w:r>
      <w:r w:rsidR="00A93852" w:rsidRPr="00A93852">
        <w:rPr>
          <w:b/>
          <w:lang w:val="es-ES"/>
        </w:rPr>
        <w:t>ASP 2</w:t>
      </w:r>
      <w:r w:rsidR="00A93852" w:rsidRPr="00A93852">
        <w:rPr>
          <w:lang w:val="es-ES"/>
        </w:rPr>
        <w:t>: Aprovechar las tecnologías de la información y la comunicación para impulsar la economía digital y crear sociedades digitales inclusivas</w:t>
      </w:r>
    </w:p>
    <w:p w14:paraId="4AA74F6F" w14:textId="1BD1B17F" w:rsidR="00A93852" w:rsidRPr="00A93852" w:rsidRDefault="002D4C2C" w:rsidP="002D4C2C">
      <w:pPr>
        <w:pStyle w:val="enumlev1"/>
        <w:rPr>
          <w:lang w:val="es-ES"/>
        </w:rPr>
      </w:pPr>
      <w:r>
        <w:rPr>
          <w:lang w:val="es-ES"/>
        </w:rPr>
        <w:t>–</w:t>
      </w:r>
      <w:r>
        <w:rPr>
          <w:lang w:val="es-ES"/>
        </w:rPr>
        <w:tab/>
      </w:r>
      <w:r w:rsidR="00A93852" w:rsidRPr="00A93852">
        <w:rPr>
          <w:b/>
          <w:lang w:val="es-ES"/>
        </w:rPr>
        <w:t>ASP-3</w:t>
      </w:r>
      <w:r w:rsidR="00A93852" w:rsidRPr="00A93852">
        <w:rPr>
          <w:lang w:val="es-ES"/>
        </w:rPr>
        <w:t>: Fomentar el desarrollo de las infraestructuras para aumentar la conectividad digital y conectar a quienes carecen de conexión</w:t>
      </w:r>
    </w:p>
    <w:p w14:paraId="0F9F396F" w14:textId="56931F04" w:rsidR="00A93852" w:rsidRPr="00A93852" w:rsidRDefault="002D4C2C" w:rsidP="002D4C2C">
      <w:pPr>
        <w:pStyle w:val="enumlev1"/>
        <w:rPr>
          <w:lang w:val="es-ES"/>
        </w:rPr>
      </w:pPr>
      <w:r>
        <w:rPr>
          <w:lang w:val="es-ES"/>
        </w:rPr>
        <w:t>–</w:t>
      </w:r>
      <w:r>
        <w:rPr>
          <w:lang w:val="es-ES"/>
        </w:rPr>
        <w:tab/>
      </w:r>
      <w:r w:rsidR="00A93852" w:rsidRPr="00A93852">
        <w:rPr>
          <w:b/>
          <w:lang w:val="es-ES"/>
        </w:rPr>
        <w:t>ASP-4</w:t>
      </w:r>
      <w:r w:rsidR="00A93852" w:rsidRPr="00A93852">
        <w:rPr>
          <w:lang w:val="es-ES"/>
        </w:rPr>
        <w:t>: Crear entornos políticos y reglamentarios propicios para acelerar la transformación digital</w:t>
      </w:r>
    </w:p>
    <w:p w14:paraId="6A6AFE36" w14:textId="6519BA09" w:rsidR="00A93852" w:rsidRPr="00A93852" w:rsidRDefault="002D4C2C" w:rsidP="002D4C2C">
      <w:pPr>
        <w:pStyle w:val="enumlev1"/>
        <w:rPr>
          <w:lang w:val="es-ES"/>
        </w:rPr>
      </w:pPr>
      <w:r>
        <w:rPr>
          <w:lang w:val="es-ES"/>
        </w:rPr>
        <w:t>–</w:t>
      </w:r>
      <w:r>
        <w:rPr>
          <w:lang w:val="es-ES"/>
        </w:rPr>
        <w:tab/>
      </w:r>
      <w:r w:rsidR="00A93852" w:rsidRPr="00A93852">
        <w:rPr>
          <w:b/>
          <w:lang w:val="es-ES"/>
        </w:rPr>
        <w:t>ASP-5</w:t>
      </w:r>
      <w:r w:rsidR="00A93852" w:rsidRPr="00A93852">
        <w:rPr>
          <w:lang w:val="es-ES"/>
        </w:rPr>
        <w:t>: Ayudar a establecer un entorno de TIC seguro y resiliente</w:t>
      </w:r>
    </w:p>
    <w:p w14:paraId="25A741E0" w14:textId="77B29E86" w:rsidR="00A93852" w:rsidRPr="00A93852" w:rsidRDefault="00A93852" w:rsidP="002D4C2C">
      <w:pPr>
        <w:rPr>
          <w:lang w:val="es-ES"/>
        </w:rPr>
      </w:pPr>
      <w:r w:rsidRPr="007526A1">
        <w:rPr>
          <w:lang w:val="es-ES"/>
        </w:rPr>
        <w:t>5.8</w:t>
      </w:r>
      <w:r w:rsidR="002D4C2C">
        <w:rPr>
          <w:lang w:val="es-ES"/>
        </w:rPr>
        <w:tab/>
      </w:r>
      <w:r w:rsidRPr="00A93852">
        <w:rPr>
          <w:lang w:val="es-ES"/>
        </w:rPr>
        <w:t>Paralelamente a la reunión preparatoria regional, el</w:t>
      </w:r>
      <w:r w:rsidR="00335D55">
        <w:rPr>
          <w:lang w:val="es-ES"/>
        </w:rPr>
        <w:t xml:space="preserve"> </w:t>
      </w:r>
      <w:hyperlink r:id="rId23" w:tgtFrame="_blank" w:history="1">
        <w:r w:rsidRPr="007526A1">
          <w:rPr>
            <w:rStyle w:val="Hyperlink"/>
            <w:b/>
            <w:color w:val="auto"/>
            <w:u w:val="none"/>
            <w:lang w:val="es-ES"/>
          </w:rPr>
          <w:t>Grupo de la Juventud de Generation Connect Asia-Pacífico</w:t>
        </w:r>
      </w:hyperlink>
      <w:r w:rsidR="007526A1">
        <w:rPr>
          <w:lang w:val="es-ES"/>
        </w:rPr>
        <w:t xml:space="preserve"> </w:t>
      </w:r>
      <w:r w:rsidRPr="00A93852">
        <w:rPr>
          <w:lang w:val="es-ES"/>
        </w:rPr>
        <w:t xml:space="preserve">presentó el proyecto de Plan de </w:t>
      </w:r>
      <w:r w:rsidR="007526A1" w:rsidRPr="00A93852">
        <w:rPr>
          <w:lang w:val="es-ES"/>
        </w:rPr>
        <w:t xml:space="preserve">Acción </w:t>
      </w:r>
      <w:r w:rsidRPr="00A93852">
        <w:rPr>
          <w:lang w:val="es-ES"/>
        </w:rPr>
        <w:t>de Generation Connect Asia-Pacífico para 2022-2025. La reunión dio a conocer también la</w:t>
      </w:r>
      <w:r w:rsidR="00335D55">
        <w:rPr>
          <w:lang w:val="es-ES"/>
        </w:rPr>
        <w:t xml:space="preserve"> </w:t>
      </w:r>
      <w:hyperlink r:id="rId24" w:tgtFrame="_blank" w:history="1">
        <w:r w:rsidRPr="007526A1">
          <w:rPr>
            <w:rStyle w:val="Hyperlink"/>
            <w:b/>
            <w:color w:val="auto"/>
            <w:u w:val="none"/>
            <w:lang w:val="es-ES"/>
          </w:rPr>
          <w:t xml:space="preserve">Red de Mujeres (NoW) de </w:t>
        </w:r>
        <w:r w:rsidRPr="00306884">
          <w:rPr>
            <w:rStyle w:val="Hyperlink"/>
            <w:b/>
            <w:color w:val="auto"/>
            <w:u w:val="none"/>
            <w:lang w:val="es-ES"/>
          </w:rPr>
          <w:t>Asia</w:t>
        </w:r>
        <w:r w:rsidR="00306884" w:rsidRPr="00306884">
          <w:rPr>
            <w:rStyle w:val="Hyperlink"/>
            <w:b/>
            <w:color w:val="auto"/>
            <w:u w:val="none"/>
            <w:lang w:val="es-ES"/>
          </w:rPr>
          <w:t>-</w:t>
        </w:r>
        <w:r w:rsidRPr="00306884">
          <w:rPr>
            <w:rStyle w:val="Hyperlink"/>
            <w:b/>
            <w:color w:val="auto"/>
            <w:u w:val="none"/>
            <w:lang w:val="es-ES"/>
          </w:rPr>
          <w:t>Pacífico</w:t>
        </w:r>
        <w:r w:rsidRPr="007526A1">
          <w:rPr>
            <w:rStyle w:val="Hyperlink"/>
            <w:b/>
            <w:color w:val="auto"/>
            <w:u w:val="none"/>
            <w:lang w:val="es-ES"/>
          </w:rPr>
          <w:t xml:space="preserve"> para el Sector de Desarrollo de las Telecomunicaciones de la UIT</w:t>
        </w:r>
      </w:hyperlink>
      <w:r w:rsidRPr="00A93852">
        <w:rPr>
          <w:lang w:val="es-ES"/>
        </w:rPr>
        <w:t>, una iniciativa cuyo propósito es crear una comunidad para apoyar a las delegadas, ampliar su red y promover y compartir experiencias y conocimientos con otras delegadas de todo el mundo.</w:t>
      </w:r>
    </w:p>
    <w:p w14:paraId="1C96E334" w14:textId="1EC1CB54" w:rsidR="00A93852" w:rsidRPr="00A93852" w:rsidRDefault="002D4C2C" w:rsidP="002D4C2C">
      <w:pPr>
        <w:pStyle w:val="Heading1"/>
        <w:rPr>
          <w:bCs/>
          <w:lang w:val="es-ES"/>
        </w:rPr>
      </w:pPr>
      <w:r w:rsidRPr="007526A1">
        <w:rPr>
          <w:lang w:val="es-ES"/>
        </w:rPr>
        <w:t>6</w:t>
      </w:r>
      <w:r w:rsidRPr="007526A1">
        <w:rPr>
          <w:lang w:val="es-ES"/>
        </w:rPr>
        <w:tab/>
      </w:r>
      <w:r w:rsidR="00A93852" w:rsidRPr="007526A1">
        <w:rPr>
          <w:lang w:val="es-ES"/>
        </w:rPr>
        <w:t>Punto 6 del orden del día: Informe del Grupo de Trabajo del GADT sobre las Resoluciones, la Declaración y las prioridades temáticas de la CMDT</w:t>
      </w:r>
    </w:p>
    <w:p w14:paraId="6396F78A" w14:textId="3F81DA7B" w:rsidR="00A93852" w:rsidRPr="00A93852" w:rsidRDefault="00A93852" w:rsidP="002D4C2C">
      <w:pPr>
        <w:rPr>
          <w:lang w:val="es-ES"/>
        </w:rPr>
      </w:pPr>
      <w:r w:rsidRPr="00A93852">
        <w:rPr>
          <w:lang w:val="es-ES"/>
        </w:rPr>
        <w:t>6.1</w:t>
      </w:r>
      <w:r w:rsidR="002D4C2C">
        <w:rPr>
          <w:lang w:val="es-ES"/>
        </w:rPr>
        <w:tab/>
      </w:r>
      <w:r w:rsidRPr="00A93852">
        <w:rPr>
          <w:lang w:val="es-ES"/>
        </w:rPr>
        <w:t>El Grupo de Trabajo del GADT sobre las Resoluciones, la Declaración y las prioridades temáticas de la CMDT (GT-GADT-RDPT) ha celebrado cuatro reuniones los días 15 de julio de 2020, 21 de octubre de 2020, 21 de enero de 2021 y 3 de marzo de 2021, y celebrará su quinta reunión el 9 de abril de 2021. El GT-GADT-RDPT está abierto a todos los Estados Miembros de la UIT y a los Miembros de Sector del UIT</w:t>
      </w:r>
      <w:r w:rsidRPr="00A93852">
        <w:rPr>
          <w:lang w:val="es-ES"/>
        </w:rPr>
        <w:noBreakHyphen/>
        <w:t>D.</w:t>
      </w:r>
    </w:p>
    <w:p w14:paraId="31A34512" w14:textId="7C4D7E45" w:rsidR="00A93852" w:rsidRPr="00A93852" w:rsidRDefault="00A93852" w:rsidP="002D4C2C">
      <w:pPr>
        <w:rPr>
          <w:bCs/>
          <w:lang w:val="es-ES"/>
        </w:rPr>
      </w:pPr>
      <w:r w:rsidRPr="00A93852">
        <w:rPr>
          <w:lang w:val="es-ES"/>
        </w:rPr>
        <w:t>6.2</w:t>
      </w:r>
      <w:r w:rsidR="002D4C2C">
        <w:rPr>
          <w:lang w:val="es-ES"/>
        </w:rPr>
        <w:tab/>
      </w:r>
      <w:r w:rsidRPr="00A93852">
        <w:rPr>
          <w:lang w:val="es-ES"/>
        </w:rPr>
        <w:t>El Presidente del GT-GADT-RDPT, el Dr. Ahmad Sharafat, recordó el mandato del Grupo y confirmó que se habían seguido al pie de la letra las orientaciones del GADT con respecto a la elaboración de una declaración breve y concisa y a la reducción del número de prioridades temáticas.</w:t>
      </w:r>
    </w:p>
    <w:p w14:paraId="5F9D9882" w14:textId="77777777" w:rsidR="00A93852" w:rsidRPr="00A93852" w:rsidRDefault="00A93852" w:rsidP="002D4C2C">
      <w:pPr>
        <w:pStyle w:val="Headingb"/>
        <w:rPr>
          <w:lang w:val="es-ES"/>
        </w:rPr>
      </w:pPr>
      <w:r w:rsidRPr="007526A1">
        <w:rPr>
          <w:lang w:val="es-ES"/>
        </w:rPr>
        <w:lastRenderedPageBreak/>
        <w:t>Prioridades temáticas</w:t>
      </w:r>
    </w:p>
    <w:p w14:paraId="3BF08C51" w14:textId="73A76BD5" w:rsidR="00A93852" w:rsidRPr="0039625F" w:rsidRDefault="00A93852" w:rsidP="007526A1">
      <w:pPr>
        <w:keepNext/>
        <w:keepLines/>
      </w:pPr>
      <w:r w:rsidRPr="00A93852">
        <w:rPr>
          <w:lang w:val="es-ES"/>
        </w:rPr>
        <w:t>6.3</w:t>
      </w:r>
      <w:r w:rsidR="002D4C2C">
        <w:rPr>
          <w:lang w:val="es-ES"/>
        </w:rPr>
        <w:tab/>
      </w:r>
      <w:r w:rsidRPr="00A93852">
        <w:rPr>
          <w:lang w:val="es-ES"/>
        </w:rPr>
        <w:t xml:space="preserve">Por lo que se refiere a las </w:t>
      </w:r>
      <w:r w:rsidRPr="00A93852">
        <w:rPr>
          <w:b/>
          <w:lang w:val="es-ES"/>
        </w:rPr>
        <w:t>prioridades temáticas</w:t>
      </w:r>
      <w:r w:rsidRPr="00A93852">
        <w:rPr>
          <w:lang w:val="es-ES"/>
        </w:rPr>
        <w:t xml:space="preserve">, el GT-GADT-RDPT ha mantenido extensos debates y existe un amplio apoyo a las cuatro prioridades temáticas siguientes: </w:t>
      </w:r>
      <w:r w:rsidRPr="00A93852">
        <w:rPr>
          <w:b/>
          <w:lang w:val="es-ES"/>
        </w:rPr>
        <w:t>conectividad; transformación digital; entorno propicio; y movilización de recursos y cooperación internacional</w:t>
      </w:r>
      <w:r w:rsidRPr="00A93852">
        <w:rPr>
          <w:lang w:val="es-ES"/>
        </w:rPr>
        <w:t>. Se espera que el GT-GADT-RDPT llegue a una conclusión sobre estas prioridades temáticas en su próxima reunión del 9 de abril de 2021.</w:t>
      </w:r>
    </w:p>
    <w:p w14:paraId="1643D825" w14:textId="740E1C64" w:rsidR="00A93852" w:rsidRPr="0039625F" w:rsidRDefault="00A93852" w:rsidP="002D4C2C">
      <w:r w:rsidRPr="00A93852">
        <w:rPr>
          <w:lang w:val="es-ES"/>
        </w:rPr>
        <w:t>6.4</w:t>
      </w:r>
      <w:r w:rsidR="002D4C2C">
        <w:rPr>
          <w:lang w:val="es-ES"/>
        </w:rPr>
        <w:tab/>
      </w:r>
      <w:r w:rsidRPr="00A93852">
        <w:rPr>
          <w:lang w:val="es-ES"/>
        </w:rPr>
        <w:t xml:space="preserve">Se presentó un proyecto de </w:t>
      </w:r>
      <w:r w:rsidRPr="00A93852">
        <w:rPr>
          <w:b/>
          <w:lang w:val="es-ES"/>
        </w:rPr>
        <w:t>Declaración de la CMDT</w:t>
      </w:r>
      <w:r w:rsidRPr="00A93852">
        <w:rPr>
          <w:lang w:val="es-ES"/>
        </w:rPr>
        <w:t xml:space="preserve"> en la cuarta reunión del GT</w:t>
      </w:r>
      <w:r w:rsidR="007526A1">
        <w:rPr>
          <w:lang w:val="es-ES"/>
        </w:rPr>
        <w:noBreakHyphen/>
      </w:r>
      <w:r w:rsidRPr="00A93852">
        <w:rPr>
          <w:lang w:val="es-ES"/>
        </w:rPr>
        <w:t>GADT</w:t>
      </w:r>
      <w:r w:rsidR="007526A1">
        <w:rPr>
          <w:lang w:val="es-ES"/>
        </w:rPr>
        <w:noBreakHyphen/>
      </w:r>
      <w:r w:rsidRPr="00A93852">
        <w:rPr>
          <w:lang w:val="es-ES"/>
        </w:rPr>
        <w:t xml:space="preserve">RDPT del 3 de marzo de 2021, y está en consonancia con el tema de la CMDT-21 de </w:t>
      </w:r>
      <w:r w:rsidRPr="007526A1">
        <w:rPr>
          <w:bCs/>
          <w:lang w:val="es-ES"/>
        </w:rPr>
        <w:t>"</w:t>
      </w:r>
      <w:r w:rsidRPr="00A93852">
        <w:rPr>
          <w:b/>
          <w:lang w:val="es-ES"/>
        </w:rPr>
        <w:t>Conectar a quienes carecen de conexión para lograr el desarrollo sostenible</w:t>
      </w:r>
      <w:r w:rsidRPr="007526A1">
        <w:rPr>
          <w:bCs/>
          <w:lang w:val="es-ES"/>
        </w:rPr>
        <w:t>"</w:t>
      </w:r>
      <w:r w:rsidRPr="00A93852">
        <w:rPr>
          <w:lang w:val="es-ES"/>
        </w:rPr>
        <w:t>, adoptado por el GADT en noviembre de 2020 tras observar</w:t>
      </w:r>
      <w:r w:rsidR="00ED2AF2">
        <w:rPr>
          <w:lang w:val="es-ES"/>
        </w:rPr>
        <w:t xml:space="preserve"> </w:t>
      </w:r>
      <w:r w:rsidRPr="00A93852">
        <w:rPr>
          <w:lang w:val="es-ES"/>
        </w:rPr>
        <w:t xml:space="preserve">que </w:t>
      </w:r>
      <w:r w:rsidRPr="00A93852">
        <w:rPr>
          <w:b/>
          <w:lang w:val="es-ES"/>
        </w:rPr>
        <w:t>3</w:t>
      </w:r>
      <w:r w:rsidR="00120334">
        <w:rPr>
          <w:b/>
          <w:lang w:val="es-ES"/>
        </w:rPr>
        <w:t> </w:t>
      </w:r>
      <w:r w:rsidRPr="00A93852">
        <w:rPr>
          <w:b/>
          <w:lang w:val="es-ES"/>
        </w:rPr>
        <w:t>700 millones de personas siguen sin estar conectadas</w:t>
      </w:r>
      <w:r w:rsidRPr="00A93852">
        <w:rPr>
          <w:lang w:val="es-ES"/>
        </w:rPr>
        <w:t>. El GT-GADT-RDPT pretende concluir los debates sobre el proyecto de Declaración en su próxima reunión del 9 de abril de 2021.</w:t>
      </w:r>
      <w:r w:rsidRPr="00A93852">
        <w:rPr>
          <w:b/>
          <w:lang w:val="es-ES"/>
        </w:rPr>
        <w:t xml:space="preserve"> </w:t>
      </w:r>
      <w:r w:rsidRPr="00A93852">
        <w:rPr>
          <w:lang w:val="es-ES"/>
        </w:rPr>
        <w:t>La Declaración final será decidida y adoptada por la propia CMDT.</w:t>
      </w:r>
    </w:p>
    <w:p w14:paraId="43C7B951" w14:textId="77777777" w:rsidR="00A93852" w:rsidRPr="00A93852" w:rsidRDefault="00A93852" w:rsidP="002D4C2C">
      <w:pPr>
        <w:pStyle w:val="Headingb"/>
        <w:rPr>
          <w:lang w:val="es-ES"/>
        </w:rPr>
      </w:pPr>
      <w:r w:rsidRPr="005C3563">
        <w:rPr>
          <w:lang w:val="es-ES"/>
        </w:rPr>
        <w:t>Racionalización de Resoluciones</w:t>
      </w:r>
    </w:p>
    <w:p w14:paraId="601D22E7" w14:textId="410A9BB2" w:rsidR="00A93852" w:rsidRPr="00A93852" w:rsidRDefault="00A93852" w:rsidP="002D4C2C">
      <w:pPr>
        <w:rPr>
          <w:lang w:val="es-ES"/>
        </w:rPr>
      </w:pPr>
      <w:r w:rsidRPr="00A93852">
        <w:rPr>
          <w:lang w:val="es-ES"/>
        </w:rPr>
        <w:t>6.5</w:t>
      </w:r>
      <w:r w:rsidR="002D4C2C">
        <w:rPr>
          <w:lang w:val="es-ES"/>
        </w:rPr>
        <w:tab/>
      </w:r>
      <w:r w:rsidRPr="00A93852">
        <w:rPr>
          <w:lang w:val="es-ES"/>
        </w:rPr>
        <w:t>La Federación de Rusia dirige este ejercicio de racionalización en nombre del GT</w:t>
      </w:r>
      <w:r w:rsidR="0039625F">
        <w:rPr>
          <w:lang w:val="es-ES"/>
        </w:rPr>
        <w:noBreakHyphen/>
      </w:r>
      <w:r w:rsidRPr="00A93852">
        <w:rPr>
          <w:lang w:val="es-ES"/>
        </w:rPr>
        <w:t>GADT</w:t>
      </w:r>
      <w:r w:rsidR="0039625F">
        <w:rPr>
          <w:lang w:val="es-ES"/>
        </w:rPr>
        <w:noBreakHyphen/>
      </w:r>
      <w:r w:rsidRPr="00A93852">
        <w:rPr>
          <w:lang w:val="es-ES"/>
        </w:rPr>
        <w:t>RDPT, y ha propuesto la revisión de 14 Resoluciones, la supresión de tres Resoluciones y ha presentado un proyecto de nueva Resolución para su consideración preliminar.</w:t>
      </w:r>
    </w:p>
    <w:p w14:paraId="58D0E6E3" w14:textId="1F34FFC3" w:rsidR="00A93852" w:rsidRPr="00A93852" w:rsidRDefault="004F4AD1" w:rsidP="004F4AD1">
      <w:pPr>
        <w:pStyle w:val="enumlev1"/>
        <w:rPr>
          <w:lang w:val="es-ES"/>
        </w:rPr>
      </w:pPr>
      <w:r w:rsidRPr="004F4AD1">
        <w:rPr>
          <w:lang w:val="es-ES"/>
        </w:rPr>
        <w:t>–</w:t>
      </w:r>
      <w:r>
        <w:rPr>
          <w:lang w:val="es-ES"/>
        </w:rPr>
        <w:tab/>
      </w:r>
      <w:r w:rsidR="00A93852" w:rsidRPr="00A93852">
        <w:rPr>
          <w:lang w:val="es-ES"/>
        </w:rPr>
        <w:t xml:space="preserve">En la revisión de la Resolución 8 (Rev. Buenos Aires, 2017), </w:t>
      </w:r>
      <w:r w:rsidR="00A93852" w:rsidRPr="00A93852">
        <w:rPr>
          <w:b/>
          <w:i/>
          <w:lang w:val="es-ES"/>
        </w:rPr>
        <w:t>Recopilación y difusión de información y estadísticas</w:t>
      </w:r>
      <w:r w:rsidR="00A93852" w:rsidRPr="00A93852">
        <w:rPr>
          <w:lang w:val="es-ES"/>
        </w:rPr>
        <w:t xml:space="preserve">, se tiene en cuenta la Resolución 131 (Rev. Dubái, 2018) de la Conferencia de Plenipotenciarios, y también se trata de aumentar la transparencia en el trabajo de la UIT sobre estadísticas de telecomunicaciones/TIC, armonizando esta labor con el Reglamento </w:t>
      </w:r>
      <w:r w:rsidR="005C3563" w:rsidRPr="00A93852">
        <w:rPr>
          <w:lang w:val="es-ES"/>
        </w:rPr>
        <w:t xml:space="preserve">Interno </w:t>
      </w:r>
      <w:r w:rsidR="00A93852" w:rsidRPr="00A93852">
        <w:rPr>
          <w:lang w:val="es-ES"/>
        </w:rPr>
        <w:t>del UIT-D y aumentando la interacción entre las Comisiones de Estudio del UIT-D y los Grupos de Expertos sobre indicadores.</w:t>
      </w:r>
    </w:p>
    <w:p w14:paraId="61366CAD" w14:textId="51824C5B" w:rsidR="00A93852" w:rsidRPr="00A93852" w:rsidRDefault="004F4AD1" w:rsidP="004F4AD1">
      <w:pPr>
        <w:pStyle w:val="enumlev1"/>
        <w:rPr>
          <w:lang w:val="es-ES"/>
        </w:rPr>
      </w:pPr>
      <w:r w:rsidRPr="004F4AD1">
        <w:rPr>
          <w:lang w:val="es-ES"/>
        </w:rPr>
        <w:t>–</w:t>
      </w:r>
      <w:r>
        <w:rPr>
          <w:lang w:val="es-ES"/>
        </w:rPr>
        <w:tab/>
      </w:r>
      <w:r w:rsidR="00A93852" w:rsidRPr="00A93852">
        <w:rPr>
          <w:lang w:val="es-ES"/>
        </w:rPr>
        <w:t xml:space="preserve">En la revisión de la Resolución 15 (Rev. Buenos Aires, 2017), </w:t>
      </w:r>
      <w:r w:rsidR="00A93852" w:rsidRPr="00A93852">
        <w:rPr>
          <w:b/>
          <w:i/>
          <w:lang w:val="es-ES"/>
        </w:rPr>
        <w:t>Investigación aplicada y transferencia de tecnología</w:t>
      </w:r>
      <w:r w:rsidR="00A93852" w:rsidRPr="00A93852">
        <w:rPr>
          <w:lang w:val="es-ES"/>
        </w:rPr>
        <w:t>, se incluye la idea de la cooperación Sur-Sur presentada en el sistema de las Naciones Unidas, y que debe promoverse en la UIT, y también se armoniza el texto con la Resolución 64 (Rev. Dubái, 2018) de la Conferencia de Plenipotenciarios.</w:t>
      </w:r>
    </w:p>
    <w:p w14:paraId="7FF41D5C" w14:textId="04B93DBE" w:rsidR="00A93852" w:rsidRPr="00A93852" w:rsidRDefault="004F4AD1" w:rsidP="004F4AD1">
      <w:pPr>
        <w:pStyle w:val="enumlev1"/>
        <w:rPr>
          <w:lang w:val="es-ES"/>
        </w:rPr>
      </w:pPr>
      <w:r w:rsidRPr="004F4AD1">
        <w:rPr>
          <w:lang w:val="es-ES"/>
        </w:rPr>
        <w:t>–</w:t>
      </w:r>
      <w:r>
        <w:rPr>
          <w:lang w:val="es-ES"/>
        </w:rPr>
        <w:tab/>
      </w:r>
      <w:r w:rsidR="00A93852" w:rsidRPr="00A93852">
        <w:rPr>
          <w:lang w:val="es-ES"/>
        </w:rPr>
        <w:t xml:space="preserve">La revisión de la Resolución 21 (Rev. Buenos Aires, 2017), </w:t>
      </w:r>
      <w:r w:rsidR="00A93852" w:rsidRPr="00A93852">
        <w:rPr>
          <w:b/>
          <w:i/>
          <w:lang w:val="es-ES"/>
        </w:rPr>
        <w:t>Coordinación y colaboración con organizaciones regionales y subregionales</w:t>
      </w:r>
      <w:r w:rsidR="00A93852" w:rsidRPr="00A93852">
        <w:rPr>
          <w:lang w:val="es-ES"/>
        </w:rPr>
        <w:t>, tiene por objeto incluir</w:t>
      </w:r>
      <w:r w:rsidR="00A93852" w:rsidRPr="00A93852">
        <w:rPr>
          <w:b/>
          <w:i/>
          <w:lang w:val="es-ES"/>
        </w:rPr>
        <w:t xml:space="preserve"> </w:t>
      </w:r>
      <w:r w:rsidR="00A93852" w:rsidRPr="00A93852">
        <w:rPr>
          <w:lang w:val="es-ES"/>
        </w:rPr>
        <w:t>referencias a la Resolución 25 (Rev. Dubái, 2018) de la Conferencia de Plenipotenciarios.</w:t>
      </w:r>
    </w:p>
    <w:p w14:paraId="53173D92" w14:textId="4F0FFF4E" w:rsidR="00A93852" w:rsidRPr="00A93852" w:rsidRDefault="004F4AD1" w:rsidP="004F4AD1">
      <w:pPr>
        <w:pStyle w:val="enumlev1"/>
        <w:rPr>
          <w:lang w:val="es-ES"/>
        </w:rPr>
      </w:pPr>
      <w:r w:rsidRPr="004F4AD1">
        <w:rPr>
          <w:lang w:val="es-ES"/>
        </w:rPr>
        <w:t>–</w:t>
      </w:r>
      <w:r>
        <w:rPr>
          <w:lang w:val="es-ES"/>
        </w:rPr>
        <w:tab/>
      </w:r>
      <w:r w:rsidR="00A93852" w:rsidRPr="00A93852">
        <w:rPr>
          <w:lang w:val="es-ES"/>
        </w:rPr>
        <w:t xml:space="preserve">En la revisión de la Resolución 30 (Rev. Buenos Aires, 2017), </w:t>
      </w:r>
      <w:r w:rsidR="00A93852" w:rsidRPr="00335D55">
        <w:rPr>
          <w:b/>
          <w:bCs/>
          <w:i/>
          <w:iCs/>
          <w:lang w:val="es-ES"/>
        </w:rPr>
        <w:t>Función del Sector de Desarrollo de las Telecomunicaciones de la UIT en la aplicación de los resultados de la Cumbre Mundial sobre la Sociedad de la Información, habida cuenta de la Agenda 2030 para el Desarrollo Sostenible</w:t>
      </w:r>
      <w:r w:rsidR="00A93852" w:rsidRPr="00A93852">
        <w:rPr>
          <w:lang w:val="es-ES"/>
        </w:rPr>
        <w:t>, se armoniza el texto con la Resolución 140 (Rev.</w:t>
      </w:r>
      <w:r w:rsidR="00335D55">
        <w:rPr>
          <w:lang w:val="es-ES"/>
        </w:rPr>
        <w:t> </w:t>
      </w:r>
      <w:r w:rsidR="00A93852" w:rsidRPr="00A93852">
        <w:rPr>
          <w:lang w:val="es-ES"/>
        </w:rPr>
        <w:t>Dubái,</w:t>
      </w:r>
      <w:r w:rsidR="00335D55">
        <w:rPr>
          <w:lang w:val="es-ES"/>
        </w:rPr>
        <w:t> </w:t>
      </w:r>
      <w:r w:rsidR="00A93852" w:rsidRPr="00A93852">
        <w:rPr>
          <w:lang w:val="es-ES"/>
        </w:rPr>
        <w:t>2018) de la Conferencia de Plenipotenciarios para eliminar las numerosas disposiciones repetidas.</w:t>
      </w:r>
    </w:p>
    <w:p w14:paraId="3DA1DA4A" w14:textId="5DE98CA6" w:rsidR="00A93852" w:rsidRPr="00A93852" w:rsidRDefault="004F4AD1" w:rsidP="004F4AD1">
      <w:pPr>
        <w:pStyle w:val="enumlev1"/>
        <w:rPr>
          <w:lang w:val="es-ES"/>
        </w:rPr>
      </w:pPr>
      <w:r w:rsidRPr="004F4AD1">
        <w:rPr>
          <w:lang w:val="es-ES"/>
        </w:rPr>
        <w:t>–</w:t>
      </w:r>
      <w:r>
        <w:rPr>
          <w:lang w:val="es-ES"/>
        </w:rPr>
        <w:tab/>
      </w:r>
      <w:r w:rsidR="00A93852" w:rsidRPr="00A93852">
        <w:rPr>
          <w:lang w:val="es-ES"/>
        </w:rPr>
        <w:t xml:space="preserve">La revisión de la Resolución 31 (Rev. Buenos Aires, 2017), </w:t>
      </w:r>
      <w:r w:rsidR="00A93852" w:rsidRPr="00A93852">
        <w:rPr>
          <w:b/>
          <w:i/>
          <w:lang w:val="es-ES"/>
        </w:rPr>
        <w:t>Preparación regional de las Conferencias Mundiales de Desarrollo de las Telecomunicaciones</w:t>
      </w:r>
      <w:r w:rsidR="00A93852" w:rsidRPr="00A93852">
        <w:rPr>
          <w:lang w:val="es-ES"/>
        </w:rPr>
        <w:t>, tiene por objeto racionalizarla conforme a la Resolución 58 (Rev. Busán, 2014) de la Conferencia de Plenipotenciarios, además de aclarar la situación de las organizaciones regionales de telecomunicaciones en los preparativos de las CMDT.</w:t>
      </w:r>
    </w:p>
    <w:p w14:paraId="054010F8" w14:textId="63C5B589" w:rsidR="00A93852" w:rsidRPr="00A93852" w:rsidRDefault="004F4AD1" w:rsidP="007526A1">
      <w:pPr>
        <w:pStyle w:val="enumlev1"/>
        <w:keepNext/>
        <w:keepLines/>
        <w:rPr>
          <w:lang w:val="es-ES"/>
        </w:rPr>
      </w:pPr>
      <w:r w:rsidRPr="004F4AD1">
        <w:rPr>
          <w:lang w:val="es-ES"/>
        </w:rPr>
        <w:lastRenderedPageBreak/>
        <w:t>–</w:t>
      </w:r>
      <w:r>
        <w:rPr>
          <w:lang w:val="es-ES"/>
        </w:rPr>
        <w:tab/>
      </w:r>
      <w:r w:rsidR="00A93852" w:rsidRPr="00A93852">
        <w:rPr>
          <w:lang w:val="es-ES"/>
        </w:rPr>
        <w:t xml:space="preserve">En la revisión de la Resolución 58 (Rev. Buenos Aires, 2017), </w:t>
      </w:r>
      <w:r w:rsidR="00A93852" w:rsidRPr="00335D55">
        <w:rPr>
          <w:b/>
          <w:bCs/>
          <w:i/>
          <w:iCs/>
          <w:lang w:val="es-ES"/>
        </w:rPr>
        <w:t>Accesibilidad de las telecomunicaciones/tecnologías de la información y la comunicación para las personas con discapacidad y las personas con necesidades especiales</w:t>
      </w:r>
      <w:r w:rsidR="00A93852" w:rsidRPr="00A93852">
        <w:rPr>
          <w:lang w:val="es-ES"/>
        </w:rPr>
        <w:t>, se armoniza el texto con la Resolución 175 (Rev. Dubái, 2018) de la Conferencia de Plenipotenciarios y se incorporan las disposiciones recibidas de la Comisión de Estudio 1 del UIT-D, sobre la base de sus actividades del periodo 2018-2021.</w:t>
      </w:r>
    </w:p>
    <w:p w14:paraId="05D7A388" w14:textId="76245501" w:rsidR="00A93852" w:rsidRPr="00A93852" w:rsidRDefault="004F4AD1" w:rsidP="007526A1">
      <w:pPr>
        <w:pStyle w:val="enumlev1"/>
        <w:rPr>
          <w:lang w:val="es-ES"/>
        </w:rPr>
      </w:pPr>
      <w:r w:rsidRPr="004F4AD1">
        <w:rPr>
          <w:lang w:val="es-ES"/>
        </w:rPr>
        <w:t>–</w:t>
      </w:r>
      <w:r>
        <w:rPr>
          <w:lang w:val="es-ES"/>
        </w:rPr>
        <w:tab/>
      </w:r>
      <w:r w:rsidR="00A93852" w:rsidRPr="00A93852">
        <w:rPr>
          <w:lang w:val="es-ES"/>
        </w:rPr>
        <w:t xml:space="preserve">Supresión de la Resolución 61 (Rev. Dubái, 2014), </w:t>
      </w:r>
      <w:r w:rsidR="00A93852" w:rsidRPr="00335D55">
        <w:rPr>
          <w:b/>
          <w:bCs/>
          <w:i/>
          <w:iCs/>
          <w:lang w:val="es-ES"/>
        </w:rPr>
        <w:t>Nombramiento y duración máxima del mandato de los Presidentes y Vicepresidentes de las Comisiones de Estudio del Sector de Desarrollo de las Telecomunicaciones y del Grupo Asesor de Desarrollo de las Telecomunicaciones</w:t>
      </w:r>
      <w:r w:rsidR="00A93852" w:rsidRPr="00A93852">
        <w:rPr>
          <w:lang w:val="es-ES"/>
        </w:rPr>
        <w:t xml:space="preserve">. Se adoptó la Resolución 208 (Dubái, 2018) de la Conferencia de Plenipotenciarios, en la que se establece la duración máxima del mandato de los presidentes y vicepresidentes de los Grupos Asesores, Comisiones de Estudio y otros grupos de los Sectores. Teniendo esto presente, se propone trasladar el texto correspondiente de la Resolución 61 a la Resolución 1 (Rev. Buenos Aires, 2017), </w:t>
      </w:r>
      <w:r w:rsidR="00A93852" w:rsidRPr="005C3563">
        <w:rPr>
          <w:b/>
          <w:bCs/>
          <w:lang w:val="es-ES"/>
        </w:rPr>
        <w:t>Reglamento Interno del Sector de Desarrollo de las Telecomunicaciones de la UIT</w:t>
      </w:r>
      <w:r w:rsidR="00A93852" w:rsidRPr="00A93852">
        <w:rPr>
          <w:lang w:val="es-ES"/>
        </w:rPr>
        <w:t>. Se propone además suprimir la Resolución 61.</w:t>
      </w:r>
    </w:p>
    <w:p w14:paraId="3CA95D0B" w14:textId="3C3E74F4" w:rsidR="00A93852" w:rsidRPr="00A93852" w:rsidRDefault="004F4AD1" w:rsidP="004F4AD1">
      <w:pPr>
        <w:pStyle w:val="enumlev1"/>
        <w:rPr>
          <w:lang w:val="es-ES"/>
        </w:rPr>
      </w:pPr>
      <w:r w:rsidRPr="00356CAA">
        <w:rPr>
          <w:lang w:val="es-ES"/>
        </w:rPr>
        <w:t>–</w:t>
      </w:r>
      <w:r>
        <w:rPr>
          <w:lang w:val="es-ES"/>
        </w:rPr>
        <w:tab/>
      </w:r>
      <w:r w:rsidR="00A93852" w:rsidRPr="00A93852">
        <w:rPr>
          <w:lang w:val="es-ES"/>
        </w:rPr>
        <w:t xml:space="preserve">En la revisión de la Resolución 67 (Rev. Buenos Aires, 2017), </w:t>
      </w:r>
      <w:r w:rsidR="00A93852" w:rsidRPr="00A93852">
        <w:rPr>
          <w:b/>
          <w:i/>
          <w:lang w:val="es-ES"/>
        </w:rPr>
        <w:t>Función del Sector de Desarrollo de las Telecomunicaciones de la UIT en la Protección de la Infancia en Línea</w:t>
      </w:r>
      <w:r w:rsidR="00A93852" w:rsidRPr="00A93852">
        <w:rPr>
          <w:lang w:val="es-ES"/>
        </w:rPr>
        <w:t>, se armoniza el texto con la Resolución 179 (Rev. Dubái, 2018) de la Conferencia de Plenipotenciarios para incluir las referencias de las recientes resoluciones de la Asamblea General de las Naciones Unidas y del Consejo de Derechos Humanos, además de incorporar las disposiciones recibidas de la Comisión de Estudio 2 del UIT-D, sobre la base de sus actividades del periodo 2018-2021.</w:t>
      </w:r>
    </w:p>
    <w:p w14:paraId="48633128" w14:textId="33D547F1" w:rsidR="00A93852" w:rsidRPr="00A93852" w:rsidRDefault="004F4AD1" w:rsidP="004F4AD1">
      <w:pPr>
        <w:pStyle w:val="enumlev1"/>
        <w:rPr>
          <w:lang w:val="es-ES"/>
        </w:rPr>
      </w:pPr>
      <w:r w:rsidRPr="00356CAA">
        <w:rPr>
          <w:lang w:val="es-ES"/>
        </w:rPr>
        <w:t>–</w:t>
      </w:r>
      <w:r>
        <w:rPr>
          <w:lang w:val="es-ES"/>
        </w:rPr>
        <w:tab/>
      </w:r>
      <w:r w:rsidR="00A93852" w:rsidRPr="00A93852">
        <w:rPr>
          <w:lang w:val="es-ES"/>
        </w:rPr>
        <w:t xml:space="preserve">La revisión de la Resolución 34 (Rev. Buenos Aires, 2017), </w:t>
      </w:r>
      <w:r w:rsidR="00A93852" w:rsidRPr="00335D55">
        <w:rPr>
          <w:b/>
          <w:bCs/>
          <w:i/>
          <w:iCs/>
          <w:lang w:val="es-ES"/>
        </w:rPr>
        <w:t>Función de las telecomunicaciones y las tecnologías de la información y la comunicación (TIC) en la preparación, alerta temprana, rescate, mitigación, socorro y respuesta en situaciones de catástrofe</w:t>
      </w:r>
      <w:r w:rsidR="00A93852" w:rsidRPr="00A93852">
        <w:rPr>
          <w:lang w:val="es-ES"/>
        </w:rPr>
        <w:t>, tiene por objeto racionalizarla para incluir las disposiciones que se estimen necesarias de la Resolución 136 (Rev. Dubái, 2018) de la Conferencia de Plenipotenciarios.</w:t>
      </w:r>
    </w:p>
    <w:p w14:paraId="2061B449" w14:textId="1835ACAA" w:rsidR="00A93852" w:rsidRPr="00A93852" w:rsidRDefault="004F4AD1" w:rsidP="004F4AD1">
      <w:pPr>
        <w:pStyle w:val="enumlev1"/>
        <w:rPr>
          <w:lang w:val="es-ES"/>
        </w:rPr>
      </w:pPr>
      <w:r w:rsidRPr="004F4AD1">
        <w:rPr>
          <w:lang w:val="es-ES"/>
        </w:rPr>
        <w:t>–</w:t>
      </w:r>
      <w:r>
        <w:rPr>
          <w:lang w:val="es-ES"/>
        </w:rPr>
        <w:tab/>
      </w:r>
      <w:r w:rsidR="00A93852" w:rsidRPr="00A93852">
        <w:rPr>
          <w:lang w:val="es-ES"/>
        </w:rPr>
        <w:t xml:space="preserve">La revisión de la Resolución 37 (Rev. Buenos Aires, 2017), </w:t>
      </w:r>
      <w:r w:rsidR="00A93852" w:rsidRPr="00A93852">
        <w:rPr>
          <w:b/>
          <w:i/>
          <w:lang w:val="es-ES"/>
        </w:rPr>
        <w:t>Reducción de la brecha digital</w:t>
      </w:r>
      <w:r w:rsidR="00A93852" w:rsidRPr="00A93852">
        <w:rPr>
          <w:lang w:val="es-ES"/>
        </w:rPr>
        <w:t>, tiene por objeto racionalizarla conforme a la Resolución 139 (Rev. Dubái, 2018) de la Conferencia de Plenipotenciarios y actualizarla también conforme a las actividades más recientes, incluyendo nuevas instrucciones a la BDT para que siga tomando medidas dirigidas a promover la cooperación con las instituciones financieras internacionales, los organismos donantes y las asociaciones del sector privado en relación con los proyectos destinados a reducir la brecha digital, e informar periódicamente a los Estados Miembros sobre la situación de estos esfuerzos.</w:t>
      </w:r>
    </w:p>
    <w:p w14:paraId="5F4E0572" w14:textId="5E2DAD81" w:rsidR="00A93852" w:rsidRPr="00A93852" w:rsidRDefault="004F4AD1" w:rsidP="004F4AD1">
      <w:pPr>
        <w:pStyle w:val="enumlev1"/>
        <w:rPr>
          <w:lang w:val="es-ES"/>
        </w:rPr>
      </w:pPr>
      <w:r w:rsidRPr="004F4AD1">
        <w:rPr>
          <w:lang w:val="es-ES"/>
        </w:rPr>
        <w:t>–</w:t>
      </w:r>
      <w:r>
        <w:rPr>
          <w:lang w:val="es-ES"/>
        </w:rPr>
        <w:tab/>
      </w:r>
      <w:r w:rsidR="00A93852" w:rsidRPr="00A93852">
        <w:rPr>
          <w:lang w:val="es-ES"/>
        </w:rPr>
        <w:t>La revisión de la Resolución 64 (Rev. Buenos Aires, 2017),</w:t>
      </w:r>
      <w:r w:rsidR="00A93852" w:rsidRPr="00A93852">
        <w:rPr>
          <w:b/>
          <w:lang w:val="es-ES"/>
        </w:rPr>
        <w:t xml:space="preserve"> </w:t>
      </w:r>
      <w:r w:rsidR="00A93852" w:rsidRPr="00A93852">
        <w:rPr>
          <w:b/>
          <w:i/>
          <w:lang w:val="es-ES"/>
        </w:rPr>
        <w:t>Protección y apoyo al usuario/consumidor de servicios de telecomunicaciones/tecnologías de la información y la comunicación</w:t>
      </w:r>
      <w:r w:rsidR="00A93852" w:rsidRPr="00A93852">
        <w:rPr>
          <w:lang w:val="es-ES"/>
        </w:rPr>
        <w:t>, tiene por objeto racionalizar el texto para incluir disposiciones adicionales de la Resolución 196 (Rev. Dubái, 2018) de la Conferencia de Plenipotenciarios, además de reflejar las actividades y conclusiones expuestas en el Informe sobre la Cuestión 6/1 de la Comisión de Estudio 1 del UIT</w:t>
      </w:r>
      <w:r w:rsidR="00A93852" w:rsidRPr="00A93852">
        <w:rPr>
          <w:lang w:val="es-ES"/>
        </w:rPr>
        <w:noBreakHyphen/>
        <w:t>D correspondiente al periodo 2018-2021.</w:t>
      </w:r>
    </w:p>
    <w:p w14:paraId="4F33D7B4" w14:textId="75BDF6E2" w:rsidR="00A93852" w:rsidRPr="00A93852" w:rsidRDefault="004F4AD1" w:rsidP="007526A1">
      <w:pPr>
        <w:pStyle w:val="enumlev1"/>
        <w:keepNext/>
        <w:keepLines/>
        <w:rPr>
          <w:lang w:val="es-ES"/>
        </w:rPr>
      </w:pPr>
      <w:r w:rsidRPr="004F4AD1">
        <w:rPr>
          <w:lang w:val="es-ES"/>
        </w:rPr>
        <w:lastRenderedPageBreak/>
        <w:t>–</w:t>
      </w:r>
      <w:r>
        <w:rPr>
          <w:lang w:val="es-ES"/>
        </w:rPr>
        <w:tab/>
      </w:r>
      <w:r w:rsidR="00A93852" w:rsidRPr="00A93852">
        <w:rPr>
          <w:lang w:val="es-ES"/>
        </w:rPr>
        <w:t xml:space="preserve">Con la revisión de la Resolución 85 (Rev. Buenos Aires, 2017), </w:t>
      </w:r>
      <w:r w:rsidR="00A93852" w:rsidRPr="00A93852">
        <w:rPr>
          <w:b/>
          <w:i/>
          <w:lang w:val="es-ES"/>
        </w:rPr>
        <w:t>Facilitación de la Internet de las cosas y las ciudades y comunidades inteligentes para el desarrollo mundial</w:t>
      </w:r>
      <w:r w:rsidR="00A93852" w:rsidRPr="00A93852">
        <w:rPr>
          <w:lang w:val="es-ES"/>
        </w:rPr>
        <w:t>, se pretende simplificar el texto actual y actualizar su "recordando" para reflejar las modificaciones introducidas en títulos de la Resolución 197 (Rev. Dubái, 2018) y de la Resolución 200 (Rev. Dubái, 2018) de la Conferencia de Plenipotenciarios.</w:t>
      </w:r>
    </w:p>
    <w:p w14:paraId="12E706CF" w14:textId="759F2792" w:rsidR="00A93852" w:rsidRPr="00A93852" w:rsidRDefault="004F4AD1" w:rsidP="007526A1">
      <w:pPr>
        <w:pStyle w:val="enumlev1"/>
        <w:rPr>
          <w:lang w:val="es-ES"/>
        </w:rPr>
      </w:pPr>
      <w:r w:rsidRPr="004F4AD1">
        <w:rPr>
          <w:lang w:val="es-ES"/>
        </w:rPr>
        <w:t>–</w:t>
      </w:r>
      <w:r>
        <w:rPr>
          <w:lang w:val="es-ES"/>
        </w:rPr>
        <w:tab/>
      </w:r>
      <w:r w:rsidR="00A93852" w:rsidRPr="00A93852">
        <w:rPr>
          <w:lang w:val="es-ES"/>
        </w:rPr>
        <w:t xml:space="preserve">La revisión de la Resolución 86 (Rev. Buenos Aires, 2017), </w:t>
      </w:r>
      <w:r w:rsidR="00A93852" w:rsidRPr="00335D55">
        <w:rPr>
          <w:b/>
          <w:bCs/>
          <w:i/>
          <w:iCs/>
          <w:lang w:val="es-ES"/>
        </w:rPr>
        <w:t>Utilización de los idiomas de la Unión en igualdad de condiciones en el Sector de Desarrollo de las Telecomunicaciones de la UIT</w:t>
      </w:r>
      <w:r w:rsidR="00A93852" w:rsidRPr="00A93852">
        <w:rPr>
          <w:lang w:val="es-ES"/>
        </w:rPr>
        <w:t>, tiene por objeto armonizarla con la Resolución 154 (Rev. Dubái, 2018) de la Conferencia de Plenipotenciarios, teniendo en cuenta además la Resolución 1386 del Consejo en cuanto a la coordinación de los trabajos relativos a la terminología con la participación de todos los Sectores y la Secretaría General.</w:t>
      </w:r>
    </w:p>
    <w:p w14:paraId="43FCF4B0" w14:textId="19660D1A" w:rsidR="00A93852" w:rsidRPr="00A93852" w:rsidRDefault="004F4AD1" w:rsidP="004F4AD1">
      <w:pPr>
        <w:pStyle w:val="enumlev1"/>
        <w:rPr>
          <w:lang w:val="es-ES"/>
        </w:rPr>
      </w:pPr>
      <w:r w:rsidRPr="004F4AD1">
        <w:rPr>
          <w:lang w:val="es-ES"/>
        </w:rPr>
        <w:t>–</w:t>
      </w:r>
      <w:r>
        <w:rPr>
          <w:lang w:val="es-ES"/>
        </w:rPr>
        <w:tab/>
      </w:r>
      <w:r w:rsidR="00A93852" w:rsidRPr="00A93852">
        <w:rPr>
          <w:lang w:val="es-ES"/>
        </w:rPr>
        <w:t xml:space="preserve">En la revisión de la Resolución 1 (Rev. Buenos Aires, 2017), </w:t>
      </w:r>
      <w:r w:rsidR="00A93852" w:rsidRPr="00335D55">
        <w:rPr>
          <w:b/>
          <w:i/>
          <w:iCs/>
          <w:lang w:val="es-ES"/>
        </w:rPr>
        <w:t>Reglamento Interno del Sector de Desarrollo de las Telecomunicaciones de la UIT</w:t>
      </w:r>
      <w:r w:rsidR="00A93852" w:rsidRPr="00A93852">
        <w:rPr>
          <w:lang w:val="es-ES"/>
        </w:rPr>
        <w:t>, se tiene en cuenta la experiencia práctica de las Comisiones de Estudio del UIT-D en el periodo de estudios 2018-2021, así como la experiencia del Sector de Radiocomunicaciones de la UIT (UIT-R) y del Sector de Normalización de las Telecomunicaciones de la UIT (UIT-T).</w:t>
      </w:r>
    </w:p>
    <w:p w14:paraId="5A43D456" w14:textId="39F018AB" w:rsidR="00A93852" w:rsidRPr="00A93852" w:rsidRDefault="004F4AD1" w:rsidP="004F4AD1">
      <w:pPr>
        <w:pStyle w:val="enumlev1"/>
        <w:rPr>
          <w:lang w:val="es-ES"/>
        </w:rPr>
      </w:pPr>
      <w:r w:rsidRPr="004F4AD1">
        <w:rPr>
          <w:lang w:val="es-ES"/>
        </w:rPr>
        <w:t>–</w:t>
      </w:r>
      <w:r>
        <w:rPr>
          <w:lang w:val="es-ES"/>
        </w:rPr>
        <w:tab/>
      </w:r>
      <w:r w:rsidR="00A93852" w:rsidRPr="00A93852">
        <w:rPr>
          <w:lang w:val="es-ES"/>
        </w:rPr>
        <w:t xml:space="preserve">En la revisión de la Resolución 71 (Rev. Buenos Aires, 2017), </w:t>
      </w:r>
      <w:r w:rsidR="00335D55" w:rsidRPr="00335D55">
        <w:rPr>
          <w:b/>
          <w:bCs/>
          <w:i/>
          <w:iCs/>
          <w:lang w:val="es-ES"/>
        </w:rPr>
        <w:t xml:space="preserve">Fortalecimiento </w:t>
      </w:r>
      <w:r w:rsidR="00A93852" w:rsidRPr="00335D55">
        <w:rPr>
          <w:b/>
          <w:bCs/>
          <w:i/>
          <w:iCs/>
          <w:lang w:val="es-ES"/>
        </w:rPr>
        <w:t>de la cooperación entre los Estados Miembros, los Miembros de Sector, los Asociados y las Instituciones Académicas del Sector de Desarrollo de las Telecomunicaciones de la UIT y el carácter evolutivo de la función del sector privado en el Sector de Desarrollo de las Telecomunicaciones de la UI</w:t>
      </w:r>
      <w:r w:rsidR="00A93852" w:rsidRPr="00B873E5">
        <w:rPr>
          <w:b/>
          <w:bCs/>
          <w:i/>
          <w:iCs/>
          <w:lang w:val="es-ES"/>
        </w:rPr>
        <w:t>T</w:t>
      </w:r>
      <w:r w:rsidR="00A93852" w:rsidRPr="00A93852">
        <w:rPr>
          <w:lang w:val="es-ES"/>
        </w:rPr>
        <w:t xml:space="preserve">, se tiene en cuenta la Resolución 169 (Rev. Dubái, 2018) de la Conferencia de Plenipotenciarios y se incorporan las disposiciones más destacadas de la Resolución 27 (Rev. Hyderabad, 2010), </w:t>
      </w:r>
      <w:r w:rsidR="00A93852" w:rsidRPr="00356CAA">
        <w:rPr>
          <w:b/>
          <w:bCs/>
          <w:i/>
          <w:iCs/>
          <w:lang w:val="es-ES"/>
        </w:rPr>
        <w:t>Admisión de entidades u organizaciones para participar como Asociados en los trabajos del Sector de Desarrollo de las Telecomunicaciones de la UIT</w:t>
      </w:r>
      <w:r w:rsidR="00A93852" w:rsidRPr="00A93852">
        <w:rPr>
          <w:lang w:val="es-ES"/>
        </w:rPr>
        <w:t>, a fin de garantizar una comprensión holística del cometido de los Miembros de Sector, los Asociados e Instituciones Académicas en las actividades del</w:t>
      </w:r>
      <w:r w:rsidR="0039625F">
        <w:rPr>
          <w:lang w:val="es-ES"/>
        </w:rPr>
        <w:t> </w:t>
      </w:r>
      <w:r w:rsidR="00A93852" w:rsidRPr="00A93852">
        <w:rPr>
          <w:lang w:val="es-ES"/>
        </w:rPr>
        <w:t>UIT-D.</w:t>
      </w:r>
    </w:p>
    <w:p w14:paraId="7735BD42" w14:textId="651C09AF" w:rsidR="00A93852" w:rsidRPr="00A93852" w:rsidRDefault="004F4AD1" w:rsidP="004F4AD1">
      <w:pPr>
        <w:pStyle w:val="enumlev1"/>
        <w:rPr>
          <w:lang w:val="es-ES"/>
        </w:rPr>
      </w:pPr>
      <w:r w:rsidRPr="004F4AD1">
        <w:rPr>
          <w:lang w:val="es-ES"/>
        </w:rPr>
        <w:t>–</w:t>
      </w:r>
      <w:r>
        <w:rPr>
          <w:lang w:val="es-ES"/>
        </w:rPr>
        <w:tab/>
      </w:r>
      <w:r w:rsidR="00A93852" w:rsidRPr="00A93852">
        <w:rPr>
          <w:lang w:val="es-ES"/>
        </w:rPr>
        <w:t>La supresión de la Resolución 27 (Rev. Hyderabad, 2010) sería necesaria por las razones expuestas anteriormente y habida cuenta de que esta Resolución no ha sido revisada desde 2010.</w:t>
      </w:r>
    </w:p>
    <w:p w14:paraId="63AA7AE5" w14:textId="07B5BEBC" w:rsidR="00A93852" w:rsidRPr="00A93852" w:rsidRDefault="004F4AD1" w:rsidP="004F4AD1">
      <w:pPr>
        <w:pStyle w:val="enumlev1"/>
        <w:rPr>
          <w:lang w:val="es-ES"/>
        </w:rPr>
      </w:pPr>
      <w:r w:rsidRPr="004F4AD1">
        <w:rPr>
          <w:lang w:val="es-ES"/>
        </w:rPr>
        <w:t>–</w:t>
      </w:r>
      <w:r>
        <w:rPr>
          <w:lang w:val="es-ES"/>
        </w:rPr>
        <w:tab/>
      </w:r>
      <w:r w:rsidR="00A93852" w:rsidRPr="00A93852">
        <w:rPr>
          <w:lang w:val="es-ES"/>
        </w:rPr>
        <w:t xml:space="preserve">La supresión de la Resolución 81 (Rev. Buenos Aires, 2017), </w:t>
      </w:r>
      <w:r w:rsidR="00A93852" w:rsidRPr="00335D55">
        <w:rPr>
          <w:b/>
          <w:bCs/>
          <w:i/>
          <w:iCs/>
          <w:lang w:val="es-ES"/>
        </w:rPr>
        <w:t>Perfeccionamiento de los métodos de trabajo electrónicos para la labor del Sector de Desarrollo de las Telecomunicaciones de la UIT</w:t>
      </w:r>
      <w:r w:rsidR="00A93852" w:rsidRPr="00A93852">
        <w:rPr>
          <w:lang w:val="es-ES"/>
        </w:rPr>
        <w:t>, sería necesaria porque duplica la Resolución 167 (Rev.</w:t>
      </w:r>
      <w:r w:rsidR="00B873E5">
        <w:rPr>
          <w:lang w:val="es-ES"/>
        </w:rPr>
        <w:t> </w:t>
      </w:r>
      <w:r w:rsidR="00A93852" w:rsidRPr="00A93852">
        <w:rPr>
          <w:lang w:val="es-ES"/>
        </w:rPr>
        <w:t>Dubái, 2018) de la Conferencia de Plenipotenciarios. Además, se propone transferir las disposiciones más destacadas a la Resolución 1 (Rev. Buenos Aires, 2017), que contiene una sección sobre el acceso electrónico.</w:t>
      </w:r>
    </w:p>
    <w:p w14:paraId="1E398F04" w14:textId="420290CA" w:rsidR="00A93852" w:rsidRPr="00A93852" w:rsidRDefault="004F4AD1" w:rsidP="004F4AD1">
      <w:pPr>
        <w:pStyle w:val="enumlev1"/>
        <w:rPr>
          <w:lang w:val="es-ES"/>
        </w:rPr>
      </w:pPr>
      <w:r w:rsidRPr="004F4AD1">
        <w:rPr>
          <w:lang w:val="es-ES"/>
        </w:rPr>
        <w:t>–</w:t>
      </w:r>
      <w:r>
        <w:rPr>
          <w:lang w:val="es-ES"/>
        </w:rPr>
        <w:tab/>
      </w:r>
      <w:r w:rsidR="00A93852" w:rsidRPr="00A93852">
        <w:rPr>
          <w:lang w:val="es-ES"/>
        </w:rPr>
        <w:t xml:space="preserve">La Federación de Rusia ha presentado un proyecto de nueva Resolución sobre el </w:t>
      </w:r>
      <w:r w:rsidR="00A93852" w:rsidRPr="00335D55">
        <w:rPr>
          <w:b/>
          <w:bCs/>
          <w:i/>
          <w:iCs/>
          <w:lang w:val="es-ES"/>
        </w:rPr>
        <w:t>uso de las telecomunicaciones/tecnologías de la información y la comunicación en la lucha contra la pandemia de COVID-19 y la atenuación y supresión de sus efectos</w:t>
      </w:r>
      <w:r w:rsidR="00A93852" w:rsidRPr="00A93852">
        <w:rPr>
          <w:lang w:val="es-ES"/>
        </w:rPr>
        <w:t>, con miras a la celebración de un debate preliminar y a la formulación de comentarios y sugerencias al respecto.</w:t>
      </w:r>
    </w:p>
    <w:p w14:paraId="21304E8B" w14:textId="77797716" w:rsidR="00A93852" w:rsidRPr="00A93852" w:rsidRDefault="00A93852" w:rsidP="004F4AD1">
      <w:pPr>
        <w:rPr>
          <w:lang w:val="es-ES"/>
        </w:rPr>
      </w:pPr>
      <w:r w:rsidRPr="00A93852">
        <w:rPr>
          <w:lang w:val="es-ES"/>
        </w:rPr>
        <w:t>6.6</w:t>
      </w:r>
      <w:r w:rsidR="004F4AD1">
        <w:rPr>
          <w:lang w:val="es-ES"/>
        </w:rPr>
        <w:tab/>
      </w:r>
      <w:r w:rsidRPr="00A93852">
        <w:rPr>
          <w:lang w:val="es-ES"/>
        </w:rPr>
        <w:t xml:space="preserve">Por lo que respecta a las </w:t>
      </w:r>
      <w:r w:rsidRPr="00335D55">
        <w:rPr>
          <w:b/>
          <w:bCs/>
          <w:lang w:val="es-ES"/>
        </w:rPr>
        <w:t>futuras Cuestiones de las Comisiones de Estudio en relación con la Resolución 2 (Rev. Buenos Aires, 2017) de la CMDT, "Establecimiento de Comisiones de Estudio"</w:t>
      </w:r>
      <w:r w:rsidRPr="00A93852">
        <w:rPr>
          <w:lang w:val="es-ES"/>
        </w:rPr>
        <w:t>, se está trabajando para modificar esta Resolución.</w:t>
      </w:r>
    </w:p>
    <w:p w14:paraId="5541E5EA" w14:textId="098D51A8" w:rsidR="00A93852" w:rsidRPr="00A93852" w:rsidRDefault="00A93852" w:rsidP="004F4AD1">
      <w:pPr>
        <w:rPr>
          <w:lang w:val="es-ES"/>
        </w:rPr>
      </w:pPr>
      <w:r w:rsidRPr="00356CAA">
        <w:rPr>
          <w:bCs/>
          <w:lang w:val="es-ES"/>
        </w:rPr>
        <w:lastRenderedPageBreak/>
        <w:t>6.7</w:t>
      </w:r>
      <w:r w:rsidR="004F4AD1" w:rsidRPr="00356CAA">
        <w:rPr>
          <w:bCs/>
          <w:lang w:val="es-ES"/>
        </w:rPr>
        <w:tab/>
      </w:r>
      <w:r w:rsidRPr="00A93852">
        <w:rPr>
          <w:b/>
          <w:lang w:val="es-ES"/>
        </w:rPr>
        <w:t>Próximos pasos</w:t>
      </w:r>
      <w:r w:rsidRPr="00335D55">
        <w:rPr>
          <w:bCs/>
          <w:lang w:val="es-ES"/>
        </w:rPr>
        <w:t xml:space="preserve">: </w:t>
      </w:r>
      <w:r w:rsidR="00335D55">
        <w:rPr>
          <w:lang w:val="es-ES"/>
        </w:rPr>
        <w:t>e</w:t>
      </w:r>
      <w:r w:rsidRPr="00A93852">
        <w:rPr>
          <w:lang w:val="es-ES"/>
        </w:rPr>
        <w:t xml:space="preserve">l GT-GADT-RDPT examinará detenidamente estas propuestas. Los </w:t>
      </w:r>
      <w:r w:rsidR="00356CAA">
        <w:rPr>
          <w:lang w:val="es-ES"/>
        </w:rPr>
        <w:t>m</w:t>
      </w:r>
      <w:r w:rsidRPr="00A93852">
        <w:rPr>
          <w:lang w:val="es-ES"/>
        </w:rPr>
        <w:t>iembros de la UIT pueden comentar y proponer otras modificaciones a estas y otras Resoluciones.</w:t>
      </w:r>
    </w:p>
    <w:p w14:paraId="5C1E1D6B" w14:textId="4AA1CEE7" w:rsidR="00A93852" w:rsidRPr="00A93852" w:rsidRDefault="00A93852" w:rsidP="004F4AD1">
      <w:pPr>
        <w:pStyle w:val="Headingb"/>
        <w:rPr>
          <w:lang w:val="es-ES"/>
        </w:rPr>
      </w:pPr>
      <w:r w:rsidRPr="00356CAA">
        <w:rPr>
          <w:lang w:val="es-ES"/>
        </w:rPr>
        <w:t>Grupo de Trabajo del GADT sobre los Planes Estratégico y Operacional (GT-GADT-PEO)</w:t>
      </w:r>
    </w:p>
    <w:p w14:paraId="0A5B82CB" w14:textId="2CBD7E81" w:rsidR="00A93852" w:rsidRPr="00A93852" w:rsidRDefault="00A93852" w:rsidP="004F4AD1">
      <w:pPr>
        <w:rPr>
          <w:lang w:val="es-ES"/>
        </w:rPr>
      </w:pPr>
      <w:r w:rsidRPr="00A93852">
        <w:rPr>
          <w:lang w:val="es-ES"/>
        </w:rPr>
        <w:t>6.8</w:t>
      </w:r>
      <w:r w:rsidR="004F4AD1">
        <w:rPr>
          <w:lang w:val="es-ES"/>
        </w:rPr>
        <w:tab/>
      </w:r>
      <w:r w:rsidRPr="00A93852">
        <w:rPr>
          <w:lang w:val="es-ES"/>
        </w:rPr>
        <w:t xml:space="preserve">La Presidenta del GT-GADT-PEO, la Sra. Blanca González (España), informó de que su Grupo había aprobado una propuesta para asignar al GADT la tarea de preparar la parte correspondiente al UIT-D del Plan Estratégico general de la UIT. En noviembre de 2020, el GADT aprobó esta propuesta, reconociendo que esta forma de proceder allanaría el camino hacia la adopción de un único planteamiento en la elaboración del </w:t>
      </w:r>
      <w:r w:rsidR="00356CAA" w:rsidRPr="00A93852">
        <w:rPr>
          <w:lang w:val="es-ES"/>
        </w:rPr>
        <w:t xml:space="preserve">Plan Estratégico </w:t>
      </w:r>
      <w:r w:rsidRPr="00A93852">
        <w:rPr>
          <w:lang w:val="es-ES"/>
        </w:rPr>
        <w:t xml:space="preserve">de toda la Unión. Instó a los participantes a examinar y seguir el flujo de trabajo del </w:t>
      </w:r>
      <w:hyperlink r:id="rId25" w:history="1">
        <w:r w:rsidRPr="00A93852">
          <w:rPr>
            <w:rStyle w:val="Hyperlink"/>
            <w:lang w:val="es-ES"/>
          </w:rPr>
          <w:t>Plan Estratégico de la UIT</w:t>
        </w:r>
      </w:hyperlink>
      <w:r w:rsidRPr="00A93852">
        <w:rPr>
          <w:lang w:val="es-ES"/>
        </w:rPr>
        <w:t xml:space="preserve"> propuesto, en el que se aclaran los plazos para la presentación de propuestas por los Miembros relativas a la parte correspondiente al UIT-D del Plan Estratégico del UIT</w:t>
      </w:r>
      <w:r w:rsidR="00356CAA">
        <w:rPr>
          <w:lang w:val="es-ES"/>
        </w:rPr>
        <w:t>-</w:t>
      </w:r>
      <w:r w:rsidRPr="00A93852">
        <w:rPr>
          <w:lang w:val="es-ES"/>
        </w:rPr>
        <w:t>D, así como las etapas y los principales plazos para la presentación de contribuciones.</w:t>
      </w:r>
    </w:p>
    <w:p w14:paraId="73B54EF4" w14:textId="17C87197" w:rsidR="00A93852" w:rsidRPr="00A93852" w:rsidRDefault="004F4AD1" w:rsidP="004F4AD1">
      <w:pPr>
        <w:pStyle w:val="Heading1"/>
        <w:rPr>
          <w:bCs/>
          <w:lang w:val="es-ES"/>
        </w:rPr>
      </w:pPr>
      <w:r w:rsidRPr="00BB69E9">
        <w:rPr>
          <w:lang w:val="es-ES"/>
        </w:rPr>
        <w:t>7</w:t>
      </w:r>
      <w:r w:rsidRPr="00BB69E9">
        <w:rPr>
          <w:lang w:val="es-ES"/>
        </w:rPr>
        <w:tab/>
      </w:r>
      <w:r w:rsidR="00A93852" w:rsidRPr="00BB69E9">
        <w:rPr>
          <w:lang w:val="es-ES"/>
        </w:rPr>
        <w:t>Otros asuntos</w:t>
      </w:r>
    </w:p>
    <w:p w14:paraId="0DA2E31A" w14:textId="749DD46C" w:rsidR="00A93852" w:rsidRPr="00A93852" w:rsidRDefault="00A93852" w:rsidP="004F4AD1">
      <w:pPr>
        <w:rPr>
          <w:lang w:val="es-ES"/>
        </w:rPr>
      </w:pPr>
      <w:r w:rsidRPr="00A93852">
        <w:rPr>
          <w:lang w:val="es-ES"/>
        </w:rPr>
        <w:t>7.1</w:t>
      </w:r>
      <w:r w:rsidR="004F4AD1">
        <w:rPr>
          <w:lang w:val="es-ES"/>
        </w:rPr>
        <w:tab/>
      </w:r>
      <w:r w:rsidRPr="00A93852">
        <w:rPr>
          <w:lang w:val="es-ES"/>
        </w:rPr>
        <w:t xml:space="preserve">En la reunión se señaló que la decisión sobre las fechas de la </w:t>
      </w:r>
      <w:r w:rsidR="00BB69E9">
        <w:rPr>
          <w:lang w:val="es-ES"/>
        </w:rPr>
        <w:t>c</w:t>
      </w:r>
      <w:r w:rsidRPr="00A93852">
        <w:rPr>
          <w:lang w:val="es-ES"/>
        </w:rPr>
        <w:t>onferencia es competencia del Consejo y que la consulta virtual de los consejeros, que tendrá lugar en junio de 2021, no es una reunión de toma de decisiones. Lo que sí se puede hacer es debatir y decidir la cuestión del envío de una carta de consulta a todos los Estados Miembros. Tras esa consulta, se adopta una decisión por correspondencia. Algunas delegaciones subrayaron que, antes de la próxima RIR de mayo de 2021, la BDT debería aclarar cómo y cuándo se celebrará la CMDT.</w:t>
      </w:r>
    </w:p>
    <w:p w14:paraId="3CEF04AF" w14:textId="1EB2643A" w:rsidR="00A93852" w:rsidRPr="00A93852" w:rsidRDefault="00A93852" w:rsidP="004F4AD1">
      <w:pPr>
        <w:rPr>
          <w:lang w:val="es-ES"/>
        </w:rPr>
      </w:pPr>
      <w:r w:rsidRPr="00A93852">
        <w:rPr>
          <w:lang w:val="es-ES"/>
        </w:rPr>
        <w:t>7.2</w:t>
      </w:r>
      <w:r w:rsidR="004F4AD1">
        <w:rPr>
          <w:lang w:val="es-ES"/>
        </w:rPr>
        <w:tab/>
      </w:r>
      <w:r w:rsidRPr="00A93852">
        <w:rPr>
          <w:lang w:val="es-ES"/>
        </w:rPr>
        <w:t>Otras subrayaron que, si la CMDT se pospone a 2022, debe adoptarse una decisión sobre qué hacer con las Cuestiones y las reuniones de las Comisiones de Estudio del UIT-D y sus Grupos de Relator hasta 2022. Se aclaró que, entre las dos CMDT, el GADT es el foro adecuado para decidir cuál será el orden del día de las Comisiones de Estudio. Se señaló que esta cuestión debería debatirse en la próxima reunión del GADT.</w:t>
      </w:r>
    </w:p>
    <w:p w14:paraId="389375CE" w14:textId="0BEA5863" w:rsidR="00A93852" w:rsidRPr="00A93852" w:rsidRDefault="00A93852" w:rsidP="004F4AD1">
      <w:pPr>
        <w:rPr>
          <w:lang w:val="es-ES"/>
        </w:rPr>
      </w:pPr>
      <w:r w:rsidRPr="00A93852">
        <w:rPr>
          <w:lang w:val="es-ES"/>
        </w:rPr>
        <w:t>7.3</w:t>
      </w:r>
      <w:r w:rsidR="004F4AD1">
        <w:rPr>
          <w:lang w:val="es-ES"/>
        </w:rPr>
        <w:tab/>
      </w:r>
      <w:r w:rsidRPr="00A93852">
        <w:rPr>
          <w:lang w:val="es-ES"/>
        </w:rPr>
        <w:t xml:space="preserve">Entretanto, se acordó que la BDT seguiría trabajando con la </w:t>
      </w:r>
      <w:r w:rsidR="00BB69E9" w:rsidRPr="00A93852">
        <w:rPr>
          <w:lang w:val="es-ES"/>
        </w:rPr>
        <w:t xml:space="preserve">Administración </w:t>
      </w:r>
      <w:r w:rsidRPr="00A93852">
        <w:rPr>
          <w:lang w:val="es-ES"/>
        </w:rPr>
        <w:t>de Etiopía. Ya se ha constituido un grupo de trabajo que mantiene consultas no solo con Etiopía, sino también con las oficinas de las Naciones Unidas en África. La Secretaría de la BDT solicitará el asesoramiento jurídico de la Unidad de Asuntos Jurídicos de la UIT y proporcionará una vía para que los Estados Miembros tomen rápidamente una decisión.</w:t>
      </w:r>
    </w:p>
    <w:p w14:paraId="0C1B3D93" w14:textId="59675496" w:rsidR="00A93852" w:rsidRPr="00A93852" w:rsidRDefault="00ED2AF2" w:rsidP="00ED2AF2">
      <w:pPr>
        <w:pStyle w:val="Heading1"/>
        <w:rPr>
          <w:bCs/>
          <w:lang w:val="es-ES"/>
        </w:rPr>
      </w:pPr>
      <w:r w:rsidRPr="00306884">
        <w:rPr>
          <w:lang w:val="es-ES"/>
        </w:rPr>
        <w:t>8</w:t>
      </w:r>
      <w:r w:rsidRPr="00306884">
        <w:rPr>
          <w:lang w:val="es-ES"/>
        </w:rPr>
        <w:tab/>
      </w:r>
      <w:r w:rsidR="00A93852" w:rsidRPr="00306884">
        <w:rPr>
          <w:lang w:val="es-ES"/>
        </w:rPr>
        <w:t>Clausura</w:t>
      </w:r>
    </w:p>
    <w:p w14:paraId="0C15ECCC" w14:textId="5E07500C" w:rsidR="00A93852" w:rsidRPr="00A93852" w:rsidRDefault="00A93852" w:rsidP="00ED2AF2">
      <w:pPr>
        <w:rPr>
          <w:lang w:val="es-ES"/>
        </w:rPr>
      </w:pPr>
      <w:r w:rsidRPr="00A93852">
        <w:rPr>
          <w:lang w:val="es-ES"/>
        </w:rPr>
        <w:t>8.1</w:t>
      </w:r>
      <w:r w:rsidR="00ED2AF2">
        <w:rPr>
          <w:lang w:val="es-ES"/>
        </w:rPr>
        <w:tab/>
      </w:r>
      <w:r w:rsidRPr="00A93852">
        <w:rPr>
          <w:lang w:val="es-ES"/>
        </w:rPr>
        <w:t>La próxima reunión se celebrará el 12 de mayo de 2021 y el Presidente agradecería que se presentaran propuestas para el orden del día. El Presidente declaró lo siguiente: "Ha sido un absoluto placer y un honor para mí presidir esta reunión. Creo que acabamos de mantener un debate muy fructífero para todas las regiones, lo que nos permitirá avanzar en la preparación de la</w:t>
      </w:r>
      <w:r w:rsidR="00B873E5">
        <w:rPr>
          <w:lang w:val="es-ES"/>
        </w:rPr>
        <w:t> </w:t>
      </w:r>
      <w:r w:rsidRPr="00A93852">
        <w:rPr>
          <w:lang w:val="es-ES"/>
        </w:rPr>
        <w:t>CMDT". Dio las gracias a todos los participantes por sus valiosas contribuciones y perspectivas sobre las propuestas que Etiopía ha presentado a la reunión; expresó su agradecimiento a las regiones por haber facilitado a la reunión información actualizada sobre los preparativos de las</w:t>
      </w:r>
      <w:r w:rsidR="00B873E5">
        <w:rPr>
          <w:lang w:val="es-ES"/>
        </w:rPr>
        <w:t> </w:t>
      </w:r>
      <w:r w:rsidRPr="00306884">
        <w:rPr>
          <w:lang w:val="es-ES"/>
        </w:rPr>
        <w:t>ORT</w:t>
      </w:r>
      <w:r w:rsidRPr="00A93852">
        <w:rPr>
          <w:lang w:val="es-ES"/>
        </w:rPr>
        <w:t>; a las dos regiones que ya han celebrado sus reuniones preparatorias regionales por sus resultados; y a los Presidentes del GT</w:t>
      </w:r>
      <w:r w:rsidRPr="00A93852">
        <w:rPr>
          <w:lang w:val="es-ES"/>
        </w:rPr>
        <w:noBreakHyphen/>
        <w:t>GADT</w:t>
      </w:r>
      <w:r w:rsidRPr="00A93852">
        <w:rPr>
          <w:lang w:val="es-ES"/>
        </w:rPr>
        <w:noBreakHyphen/>
        <w:t>RDPT y del GT</w:t>
      </w:r>
      <w:r w:rsidRPr="00A93852">
        <w:rPr>
          <w:lang w:val="es-ES"/>
        </w:rPr>
        <w:noBreakHyphen/>
        <w:t>GADT</w:t>
      </w:r>
      <w:r w:rsidRPr="00A93852">
        <w:rPr>
          <w:lang w:val="es-ES"/>
        </w:rPr>
        <w:noBreakHyphen/>
        <w:t>PEO por haber facilitado información actualizada sobre el trabajo de sus respectivos grupos.</w:t>
      </w:r>
    </w:p>
    <w:p w14:paraId="402A1105" w14:textId="22E9BC5B" w:rsidR="00A93852" w:rsidRPr="00A93852" w:rsidRDefault="00A93852" w:rsidP="00ED2AF2">
      <w:pPr>
        <w:rPr>
          <w:lang w:val="es-ES"/>
        </w:rPr>
      </w:pPr>
      <w:r w:rsidRPr="00A93852">
        <w:rPr>
          <w:lang w:val="es-ES"/>
        </w:rPr>
        <w:lastRenderedPageBreak/>
        <w:t>8.2</w:t>
      </w:r>
      <w:r w:rsidR="00ED2AF2">
        <w:rPr>
          <w:lang w:val="es-ES"/>
        </w:rPr>
        <w:tab/>
      </w:r>
      <w:r w:rsidRPr="00A93852">
        <w:rPr>
          <w:lang w:val="es-ES"/>
        </w:rPr>
        <w:t>"Espero contar con su participación activa en las próximas reuniones con el mismo espíritu constructivo que nos han demostrado hoy. Una vez más, quisiera aprovechar la oportunidad para manifestar el pleno compromiso de Etiopía y reiterar nuestro incesante afán por que la CMDT</w:t>
      </w:r>
      <w:r w:rsidRPr="00A93852">
        <w:rPr>
          <w:lang w:val="es-ES"/>
        </w:rPr>
        <w:noBreakHyphen/>
        <w:t>21 sea un éxito en la era de la COVID</w:t>
      </w:r>
      <w:r w:rsidRPr="00A93852">
        <w:rPr>
          <w:lang w:val="es-ES"/>
        </w:rPr>
        <w:noBreakHyphen/>
        <w:t>19. Espero tener la oportunidad de darles la bienvenida y verlos a todos en Addis Abeba", concluyó el Presidente.</w:t>
      </w:r>
    </w:p>
    <w:p w14:paraId="2447B0C1" w14:textId="0AEC56E7" w:rsidR="0070796E" w:rsidRDefault="0070796E" w:rsidP="00BA2A7B">
      <w:pPr>
        <w:tabs>
          <w:tab w:val="clear" w:pos="794"/>
          <w:tab w:val="clear" w:pos="1191"/>
          <w:tab w:val="clear" w:pos="1588"/>
          <w:tab w:val="clear" w:pos="1985"/>
          <w:tab w:val="left" w:pos="5820"/>
        </w:tabs>
        <w:rPr>
          <w:szCs w:val="24"/>
        </w:rPr>
      </w:pPr>
    </w:p>
    <w:p w14:paraId="38ADF1E3" w14:textId="77777777" w:rsidR="00A93852" w:rsidRPr="00A93852" w:rsidRDefault="00A93852" w:rsidP="00A93852">
      <w:pPr>
        <w:tabs>
          <w:tab w:val="clear" w:pos="794"/>
          <w:tab w:val="clear" w:pos="1191"/>
          <w:tab w:val="clear" w:pos="1588"/>
          <w:tab w:val="clear" w:pos="1985"/>
          <w:tab w:val="left" w:pos="5820"/>
        </w:tabs>
        <w:jc w:val="center"/>
        <w:rPr>
          <w:szCs w:val="24"/>
          <w:lang w:val="es-ES"/>
        </w:rPr>
      </w:pPr>
      <w:r w:rsidRPr="00A93852">
        <w:rPr>
          <w:szCs w:val="24"/>
          <w:lang w:val="es-ES"/>
        </w:rPr>
        <w:t>________________</w:t>
      </w:r>
    </w:p>
    <w:sectPr w:rsidR="00A93852" w:rsidRPr="00A93852" w:rsidSect="00504609">
      <w:headerReference w:type="default" r:id="rId26"/>
      <w:footerReference w:type="default" r:id="rId27"/>
      <w:footerReference w:type="first" r:id="rId28"/>
      <w:pgSz w:w="11909" w:h="16834" w:code="9"/>
      <w:pgMar w:top="1418" w:right="1134" w:bottom="1418" w:left="1134" w:header="720" w:footer="61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7811D" w14:textId="77777777" w:rsidR="0092342C" w:rsidRDefault="0092342C">
      <w:r>
        <w:separator/>
      </w:r>
    </w:p>
  </w:endnote>
  <w:endnote w:type="continuationSeparator" w:id="0">
    <w:p w14:paraId="43F257F5" w14:textId="77777777" w:rsidR="0092342C" w:rsidRDefault="00923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default"/>
  </w:font>
  <w:font w:name="Times New Roman Bold">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5B978" w14:textId="62E43D10" w:rsidR="000C7899" w:rsidRPr="000C7899" w:rsidRDefault="000C7899" w:rsidP="000C7899">
    <w:pPr>
      <w:pStyle w:val="Footer"/>
      <w:rPr>
        <w:lang w:val="en-GB"/>
      </w:rPr>
    </w:pPr>
    <w:r w:rsidRPr="000C7899">
      <w:rPr>
        <w:lang w:val="en-GB"/>
      </w:rPr>
      <w:fldChar w:fldCharType="begin"/>
    </w:r>
    <w:r w:rsidRPr="000C7899">
      <w:rPr>
        <w:lang w:val="en-GB"/>
      </w:rPr>
      <w:instrText xml:space="preserve"> FILENAME \p  \* MERGEFORMAT </w:instrText>
    </w:r>
    <w:r w:rsidRPr="000C7899">
      <w:rPr>
        <w:lang w:val="en-GB"/>
      </w:rPr>
      <w:fldChar w:fldCharType="separate"/>
    </w:r>
    <w:r>
      <w:rPr>
        <w:lang w:val="en-GB"/>
      </w:rPr>
      <w:t>P:\ESP\ITU-D\CONF-D\IRM21\000\033S.docx</w:t>
    </w:r>
    <w:r w:rsidRPr="000C7899">
      <w:fldChar w:fldCharType="end"/>
    </w:r>
    <w:r w:rsidRPr="000C7899">
      <w:rPr>
        <w:lang w:val="en-GB"/>
      </w:rPr>
      <w:t xml:space="preserve"> (485832)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Look w:val="04A0" w:firstRow="1" w:lastRow="0" w:firstColumn="1" w:lastColumn="0" w:noHBand="0" w:noVBand="1"/>
    </w:tblPr>
    <w:tblGrid>
      <w:gridCol w:w="1432"/>
      <w:gridCol w:w="2544"/>
      <w:gridCol w:w="5665"/>
    </w:tblGrid>
    <w:tr w:rsidR="00EC43F5" w:rsidRPr="004D495C" w14:paraId="0ED65971" w14:textId="77777777" w:rsidTr="006F7908">
      <w:trPr>
        <w:trHeight w:val="283"/>
      </w:trPr>
      <w:tc>
        <w:tcPr>
          <w:tcW w:w="1432" w:type="dxa"/>
          <w:tcBorders>
            <w:top w:val="single" w:sz="4" w:space="0" w:color="000000"/>
          </w:tcBorders>
          <w:shd w:val="clear" w:color="auto" w:fill="auto"/>
        </w:tcPr>
        <w:p w14:paraId="357C4279" w14:textId="77777777" w:rsidR="00EC43F5" w:rsidRPr="004D495C" w:rsidRDefault="00EC43F5" w:rsidP="00EC43F5">
          <w:pPr>
            <w:pStyle w:val="FirstFooter"/>
            <w:tabs>
              <w:tab w:val="left" w:pos="1559"/>
              <w:tab w:val="left" w:pos="3828"/>
            </w:tabs>
            <w:rPr>
              <w:sz w:val="18"/>
              <w:szCs w:val="18"/>
            </w:rPr>
          </w:pPr>
          <w:r w:rsidRPr="004D495C">
            <w:rPr>
              <w:sz w:val="18"/>
              <w:szCs w:val="18"/>
              <w:lang w:val="en-US"/>
            </w:rPr>
            <w:t>Contact</w:t>
          </w:r>
          <w:r>
            <w:rPr>
              <w:sz w:val="18"/>
              <w:szCs w:val="18"/>
              <w:lang w:val="en-US"/>
            </w:rPr>
            <w:t>o</w:t>
          </w:r>
          <w:r w:rsidRPr="004D495C">
            <w:rPr>
              <w:sz w:val="18"/>
              <w:szCs w:val="18"/>
              <w:lang w:val="en-US"/>
            </w:rPr>
            <w:t>:</w:t>
          </w:r>
        </w:p>
      </w:tc>
      <w:tc>
        <w:tcPr>
          <w:tcW w:w="2544" w:type="dxa"/>
          <w:tcBorders>
            <w:top w:val="single" w:sz="4" w:space="0" w:color="000000"/>
          </w:tcBorders>
        </w:tcPr>
        <w:p w14:paraId="7B0EE89B" w14:textId="77777777" w:rsidR="00EC43F5" w:rsidRPr="000C7520" w:rsidRDefault="00EC43F5" w:rsidP="00EC43F5">
          <w:pPr>
            <w:pStyle w:val="FirstFooter"/>
            <w:tabs>
              <w:tab w:val="left" w:pos="1593"/>
              <w:tab w:val="left" w:pos="2443"/>
            </w:tabs>
            <w:ind w:left="2443" w:hanging="2443"/>
            <w:rPr>
              <w:sz w:val="18"/>
              <w:szCs w:val="18"/>
              <w:lang w:val="es-ES_tradnl"/>
            </w:rPr>
          </w:pPr>
          <w:r w:rsidRPr="00023043">
            <w:rPr>
              <w:sz w:val="18"/>
              <w:szCs w:val="18"/>
              <w:lang w:val="es-ES"/>
            </w:rPr>
            <w:t>Nombre/organización/entidad:</w:t>
          </w:r>
        </w:p>
      </w:tc>
      <w:tc>
        <w:tcPr>
          <w:tcW w:w="5665" w:type="dxa"/>
          <w:tcBorders>
            <w:top w:val="single" w:sz="4" w:space="0" w:color="000000"/>
          </w:tcBorders>
          <w:shd w:val="clear" w:color="auto" w:fill="auto"/>
        </w:tcPr>
        <w:p w14:paraId="05FE7B8C" w14:textId="6F1605C8" w:rsidR="00EC43F5" w:rsidRPr="004D495C" w:rsidRDefault="00A93852" w:rsidP="00A93852">
          <w:pPr>
            <w:pStyle w:val="FirstFooter"/>
            <w:tabs>
              <w:tab w:val="left" w:pos="2302"/>
            </w:tabs>
            <w:rPr>
              <w:sz w:val="18"/>
              <w:szCs w:val="18"/>
              <w:highlight w:val="yellow"/>
              <w:lang w:val="en-US"/>
            </w:rPr>
          </w:pPr>
          <w:bookmarkStart w:id="11" w:name="OrgName"/>
          <w:bookmarkEnd w:id="11"/>
          <w:r w:rsidRPr="00A93852">
            <w:rPr>
              <w:sz w:val="18"/>
              <w:szCs w:val="18"/>
              <w:lang w:val="en-US"/>
            </w:rPr>
            <w:t>Excmo. Dr. Ahmedin Mohammed, Ministro de Innovación y Tecnología de Etiopía</w:t>
          </w:r>
        </w:p>
      </w:tc>
    </w:tr>
    <w:tr w:rsidR="00EC43F5" w:rsidRPr="004D495C" w14:paraId="09F85CB9" w14:textId="77777777" w:rsidTr="006F7908">
      <w:tc>
        <w:tcPr>
          <w:tcW w:w="1432" w:type="dxa"/>
          <w:shd w:val="clear" w:color="auto" w:fill="auto"/>
        </w:tcPr>
        <w:p w14:paraId="503204A3" w14:textId="77777777" w:rsidR="00EC43F5" w:rsidRPr="004D495C" w:rsidRDefault="00EC43F5" w:rsidP="00EC43F5">
          <w:pPr>
            <w:pStyle w:val="FirstFooter"/>
            <w:tabs>
              <w:tab w:val="left" w:pos="1559"/>
              <w:tab w:val="left" w:pos="3828"/>
            </w:tabs>
            <w:rPr>
              <w:sz w:val="20"/>
              <w:lang w:val="en-US"/>
            </w:rPr>
          </w:pPr>
        </w:p>
      </w:tc>
      <w:tc>
        <w:tcPr>
          <w:tcW w:w="2544" w:type="dxa"/>
        </w:tcPr>
        <w:p w14:paraId="29E8D116" w14:textId="77777777" w:rsidR="00EC43F5" w:rsidRPr="000C7520" w:rsidRDefault="00EC43F5" w:rsidP="00EC43F5">
          <w:pPr>
            <w:pStyle w:val="FirstFooter"/>
            <w:tabs>
              <w:tab w:val="left" w:pos="2443"/>
            </w:tabs>
            <w:rPr>
              <w:sz w:val="18"/>
              <w:szCs w:val="18"/>
              <w:lang w:val="es-ES_tradnl"/>
            </w:rPr>
          </w:pPr>
          <w:r w:rsidRPr="00023043">
            <w:rPr>
              <w:sz w:val="18"/>
              <w:szCs w:val="18"/>
              <w:lang w:val="es-ES"/>
            </w:rPr>
            <w:t>Teléfono</w:t>
          </w:r>
          <w:r w:rsidRPr="00706DB9">
            <w:rPr>
              <w:sz w:val="18"/>
              <w:szCs w:val="18"/>
              <w:lang w:val="es-ES_tradnl"/>
            </w:rPr>
            <w:t>:</w:t>
          </w:r>
        </w:p>
      </w:tc>
      <w:tc>
        <w:tcPr>
          <w:tcW w:w="5665" w:type="dxa"/>
          <w:shd w:val="clear" w:color="auto" w:fill="auto"/>
        </w:tcPr>
        <w:p w14:paraId="63A9F3BC" w14:textId="2455853C" w:rsidR="00EC43F5" w:rsidRPr="004D495C" w:rsidRDefault="00A93852" w:rsidP="00EC43F5">
          <w:pPr>
            <w:pStyle w:val="FirstFooter"/>
            <w:tabs>
              <w:tab w:val="left" w:pos="2302"/>
            </w:tabs>
            <w:rPr>
              <w:sz w:val="18"/>
              <w:szCs w:val="18"/>
              <w:highlight w:val="yellow"/>
              <w:lang w:val="en-US"/>
            </w:rPr>
          </w:pPr>
          <w:bookmarkStart w:id="12" w:name="PhoneNo"/>
          <w:bookmarkEnd w:id="12"/>
          <w:r w:rsidRPr="00A93852">
            <w:rPr>
              <w:sz w:val="18"/>
              <w:szCs w:val="18"/>
              <w:lang w:val="en-US"/>
            </w:rPr>
            <w:t>n/a</w:t>
          </w:r>
        </w:p>
      </w:tc>
    </w:tr>
    <w:tr w:rsidR="00EC43F5" w:rsidRPr="004D495C" w14:paraId="0BA35A07" w14:textId="77777777" w:rsidTr="006F7908">
      <w:tc>
        <w:tcPr>
          <w:tcW w:w="1432" w:type="dxa"/>
          <w:shd w:val="clear" w:color="auto" w:fill="auto"/>
        </w:tcPr>
        <w:p w14:paraId="1809EE7D" w14:textId="77777777" w:rsidR="00EC43F5" w:rsidRPr="004D495C" w:rsidRDefault="00EC43F5" w:rsidP="00EC43F5">
          <w:pPr>
            <w:pStyle w:val="FirstFooter"/>
            <w:tabs>
              <w:tab w:val="left" w:pos="1559"/>
              <w:tab w:val="left" w:pos="3828"/>
            </w:tabs>
            <w:rPr>
              <w:sz w:val="20"/>
              <w:lang w:val="en-US"/>
            </w:rPr>
          </w:pPr>
        </w:p>
      </w:tc>
      <w:tc>
        <w:tcPr>
          <w:tcW w:w="2544" w:type="dxa"/>
        </w:tcPr>
        <w:p w14:paraId="500EFD9D" w14:textId="77777777" w:rsidR="00EC43F5" w:rsidRPr="0025794D" w:rsidRDefault="00EC43F5" w:rsidP="00EC43F5">
          <w:pPr>
            <w:pStyle w:val="FirstFooter"/>
            <w:tabs>
              <w:tab w:val="left" w:pos="2443"/>
            </w:tabs>
            <w:rPr>
              <w:sz w:val="18"/>
              <w:szCs w:val="18"/>
              <w:lang w:val="es-ES_tradnl"/>
            </w:rPr>
          </w:pPr>
          <w:r w:rsidRPr="00023043">
            <w:rPr>
              <w:sz w:val="18"/>
              <w:szCs w:val="18"/>
              <w:lang w:val="es-ES"/>
            </w:rPr>
            <w:t>Correo-e</w:t>
          </w:r>
          <w:r>
            <w:rPr>
              <w:sz w:val="18"/>
              <w:szCs w:val="18"/>
              <w:lang w:val="es-ES_tradnl"/>
            </w:rPr>
            <w:t>:</w:t>
          </w:r>
        </w:p>
      </w:tc>
      <w:bookmarkStart w:id="13" w:name="Email"/>
      <w:bookmarkEnd w:id="13"/>
      <w:tc>
        <w:tcPr>
          <w:tcW w:w="5665" w:type="dxa"/>
          <w:shd w:val="clear" w:color="auto" w:fill="auto"/>
        </w:tcPr>
        <w:p w14:paraId="6A243F75" w14:textId="0DC489E0" w:rsidR="00EC43F5" w:rsidRPr="004D495C" w:rsidRDefault="00A93852" w:rsidP="00EC43F5">
          <w:pPr>
            <w:pStyle w:val="FirstFooter"/>
            <w:tabs>
              <w:tab w:val="left" w:pos="2302"/>
            </w:tabs>
            <w:rPr>
              <w:sz w:val="18"/>
              <w:szCs w:val="18"/>
              <w:highlight w:val="yellow"/>
              <w:lang w:val="en-US"/>
            </w:rPr>
          </w:pPr>
          <w:r>
            <w:rPr>
              <w:sz w:val="18"/>
              <w:szCs w:val="18"/>
              <w:lang w:val="en-US"/>
            </w:rPr>
            <w:fldChar w:fldCharType="begin"/>
          </w:r>
          <w:r>
            <w:rPr>
              <w:sz w:val="18"/>
              <w:szCs w:val="18"/>
              <w:lang w:val="en-US"/>
            </w:rPr>
            <w:instrText xml:space="preserve"> HYPERLINK "mailto:</w:instrText>
          </w:r>
          <w:r w:rsidRPr="00A93852">
            <w:rPr>
              <w:sz w:val="18"/>
              <w:szCs w:val="18"/>
              <w:lang w:val="en-US"/>
            </w:rPr>
            <w:instrText>Ahmedin.mohammed@mint.gov.et</w:instrText>
          </w:r>
          <w:r>
            <w:rPr>
              <w:sz w:val="18"/>
              <w:szCs w:val="18"/>
              <w:lang w:val="en-US"/>
            </w:rPr>
            <w:instrText xml:space="preserve">" </w:instrText>
          </w:r>
          <w:r>
            <w:rPr>
              <w:sz w:val="18"/>
              <w:szCs w:val="18"/>
              <w:lang w:val="en-US"/>
            </w:rPr>
            <w:fldChar w:fldCharType="separate"/>
          </w:r>
          <w:r w:rsidRPr="00D07E1C">
            <w:rPr>
              <w:rStyle w:val="Hyperlink"/>
              <w:sz w:val="18"/>
              <w:szCs w:val="18"/>
              <w:lang w:val="en-US"/>
            </w:rPr>
            <w:t>Ahmedin.mohammed@mint.gov.et</w:t>
          </w:r>
          <w:r>
            <w:rPr>
              <w:sz w:val="18"/>
              <w:szCs w:val="18"/>
              <w:lang w:val="en-US"/>
            </w:rPr>
            <w:fldChar w:fldCharType="end"/>
          </w:r>
        </w:p>
      </w:tc>
    </w:tr>
  </w:tbl>
  <w:p w14:paraId="73D28639" w14:textId="2EBD9FBF" w:rsidR="00E2379D" w:rsidRPr="003F2BC3" w:rsidRDefault="00E2379D" w:rsidP="00306884">
    <w:pPr>
      <w:rPr>
        <w:sz w:val="2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35F27" w14:textId="77777777" w:rsidR="0092342C" w:rsidRDefault="0092342C">
      <w:r>
        <w:separator/>
      </w:r>
    </w:p>
  </w:footnote>
  <w:footnote w:type="continuationSeparator" w:id="0">
    <w:p w14:paraId="15FF2A78" w14:textId="77777777" w:rsidR="0092342C" w:rsidRDefault="00923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3869D" w14:textId="369AA1DC" w:rsidR="00E2379D" w:rsidRPr="00FF089C" w:rsidRDefault="00E2379D" w:rsidP="006E4CA9">
    <w:pPr>
      <w:tabs>
        <w:tab w:val="clear" w:pos="794"/>
        <w:tab w:val="clear" w:pos="1191"/>
        <w:tab w:val="clear" w:pos="1588"/>
        <w:tab w:val="clear" w:pos="1985"/>
        <w:tab w:val="center" w:pos="4820"/>
        <w:tab w:val="right" w:pos="10206"/>
      </w:tabs>
      <w:ind w:right="1"/>
      <w:rPr>
        <w:smallCaps/>
        <w:spacing w:val="24"/>
        <w:sz w:val="22"/>
        <w:szCs w:val="22"/>
        <w:lang w:val="es-ES_tradnl"/>
      </w:rPr>
    </w:pPr>
    <w:r w:rsidRPr="004D495C">
      <w:rPr>
        <w:sz w:val="22"/>
        <w:szCs w:val="22"/>
      </w:rPr>
      <w:tab/>
    </w:r>
    <w:r w:rsidRPr="00FF089C">
      <w:rPr>
        <w:sz w:val="22"/>
        <w:szCs w:val="22"/>
        <w:lang w:val="es-ES_tradnl"/>
      </w:rPr>
      <w:t>ITU-D/</w:t>
    </w:r>
    <w:bookmarkStart w:id="9" w:name="DocRef2"/>
    <w:bookmarkEnd w:id="9"/>
    <w:r w:rsidR="00B4405B">
      <w:rPr>
        <w:sz w:val="22"/>
        <w:szCs w:val="22"/>
        <w:lang w:val="es-ES_tradnl"/>
      </w:rPr>
      <w:t>IRM21</w:t>
    </w:r>
    <w:r w:rsidR="00A93852">
      <w:rPr>
        <w:sz w:val="22"/>
        <w:szCs w:val="22"/>
        <w:lang w:val="es-ES_tradnl"/>
      </w:rPr>
      <w:t>-1</w:t>
    </w:r>
    <w:r w:rsidRPr="00FF089C">
      <w:rPr>
        <w:sz w:val="22"/>
        <w:szCs w:val="22"/>
        <w:lang w:val="es-ES_tradnl"/>
      </w:rPr>
      <w:t>/</w:t>
    </w:r>
    <w:bookmarkStart w:id="10" w:name="DocNo2"/>
    <w:bookmarkEnd w:id="10"/>
    <w:r w:rsidR="00A93852">
      <w:rPr>
        <w:sz w:val="22"/>
        <w:szCs w:val="22"/>
        <w:lang w:val="es-ES_tradnl"/>
      </w:rPr>
      <w:t>33</w:t>
    </w:r>
    <w:r w:rsidR="00FF089C" w:rsidRPr="00FF089C">
      <w:rPr>
        <w:sz w:val="22"/>
        <w:szCs w:val="22"/>
        <w:lang w:val="es-ES_tradnl"/>
      </w:rPr>
      <w:t>-</w:t>
    </w:r>
    <w:r w:rsidR="00EC43F5">
      <w:rPr>
        <w:sz w:val="22"/>
        <w:szCs w:val="22"/>
        <w:lang w:val="es-ES_tradnl"/>
      </w:rPr>
      <w:t>S</w:t>
    </w:r>
    <w:r w:rsidRPr="00FF089C">
      <w:rPr>
        <w:sz w:val="22"/>
        <w:szCs w:val="22"/>
        <w:lang w:val="es-ES_tradnl"/>
      </w:rPr>
      <w:tab/>
      <w:t>P</w:t>
    </w:r>
    <w:r w:rsidR="00A93852">
      <w:rPr>
        <w:sz w:val="22"/>
        <w:szCs w:val="22"/>
        <w:lang w:val="es-ES_tradnl"/>
      </w:rPr>
      <w:t>ágina</w:t>
    </w:r>
    <w:r w:rsidRPr="00FF089C">
      <w:rPr>
        <w:sz w:val="22"/>
        <w:szCs w:val="22"/>
        <w:lang w:val="es-ES_tradnl"/>
      </w:rPr>
      <w:t xml:space="preserv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BA2A7B">
      <w:rPr>
        <w:noProof/>
        <w:sz w:val="22"/>
        <w:szCs w:val="22"/>
        <w:lang w:val="es-ES_tradnl"/>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15pt;height:9.15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15576E4D"/>
    <w:multiLevelType w:val="hybridMultilevel"/>
    <w:tmpl w:val="C270E9D0"/>
    <w:lvl w:ilvl="0" w:tplc="D9AE6772">
      <w:start w:val="1"/>
      <w:numFmt w:val="bullet"/>
      <w:lvlText w:val=""/>
      <w:lvlJc w:val="left"/>
      <w:pPr>
        <w:ind w:left="360" w:hanging="360"/>
      </w:pPr>
      <w:rPr>
        <w:rFonts w:ascii="Symbol" w:hAnsi="Symbol" w:hint="default"/>
      </w:rPr>
    </w:lvl>
    <w:lvl w:ilvl="1" w:tplc="ECDEB83A" w:tentative="1">
      <w:start w:val="1"/>
      <w:numFmt w:val="bullet"/>
      <w:lvlText w:val="o"/>
      <w:lvlJc w:val="left"/>
      <w:pPr>
        <w:ind w:left="1080" w:hanging="360"/>
      </w:pPr>
      <w:rPr>
        <w:rFonts w:ascii="Courier New" w:hAnsi="Courier New" w:cs="Courier New" w:hint="default"/>
      </w:rPr>
    </w:lvl>
    <w:lvl w:ilvl="2" w:tplc="2E78FFCE" w:tentative="1">
      <w:start w:val="1"/>
      <w:numFmt w:val="bullet"/>
      <w:lvlText w:val=""/>
      <w:lvlJc w:val="left"/>
      <w:pPr>
        <w:ind w:left="1800" w:hanging="360"/>
      </w:pPr>
      <w:rPr>
        <w:rFonts w:ascii="Wingdings" w:hAnsi="Wingdings" w:hint="default"/>
      </w:rPr>
    </w:lvl>
    <w:lvl w:ilvl="3" w:tplc="2E2A9018" w:tentative="1">
      <w:start w:val="1"/>
      <w:numFmt w:val="bullet"/>
      <w:lvlText w:val=""/>
      <w:lvlJc w:val="left"/>
      <w:pPr>
        <w:ind w:left="2520" w:hanging="360"/>
      </w:pPr>
      <w:rPr>
        <w:rFonts w:ascii="Symbol" w:hAnsi="Symbol" w:hint="default"/>
      </w:rPr>
    </w:lvl>
    <w:lvl w:ilvl="4" w:tplc="62523F72" w:tentative="1">
      <w:start w:val="1"/>
      <w:numFmt w:val="bullet"/>
      <w:lvlText w:val="o"/>
      <w:lvlJc w:val="left"/>
      <w:pPr>
        <w:ind w:left="3240" w:hanging="360"/>
      </w:pPr>
      <w:rPr>
        <w:rFonts w:ascii="Courier New" w:hAnsi="Courier New" w:cs="Courier New" w:hint="default"/>
      </w:rPr>
    </w:lvl>
    <w:lvl w:ilvl="5" w:tplc="7E90D97E" w:tentative="1">
      <w:start w:val="1"/>
      <w:numFmt w:val="bullet"/>
      <w:lvlText w:val=""/>
      <w:lvlJc w:val="left"/>
      <w:pPr>
        <w:ind w:left="3960" w:hanging="360"/>
      </w:pPr>
      <w:rPr>
        <w:rFonts w:ascii="Wingdings" w:hAnsi="Wingdings" w:hint="default"/>
      </w:rPr>
    </w:lvl>
    <w:lvl w:ilvl="6" w:tplc="3D1CBF20" w:tentative="1">
      <w:start w:val="1"/>
      <w:numFmt w:val="bullet"/>
      <w:lvlText w:val=""/>
      <w:lvlJc w:val="left"/>
      <w:pPr>
        <w:ind w:left="4680" w:hanging="360"/>
      </w:pPr>
      <w:rPr>
        <w:rFonts w:ascii="Symbol" w:hAnsi="Symbol" w:hint="default"/>
      </w:rPr>
    </w:lvl>
    <w:lvl w:ilvl="7" w:tplc="B03EE756" w:tentative="1">
      <w:start w:val="1"/>
      <w:numFmt w:val="bullet"/>
      <w:lvlText w:val="o"/>
      <w:lvlJc w:val="left"/>
      <w:pPr>
        <w:ind w:left="5400" w:hanging="360"/>
      </w:pPr>
      <w:rPr>
        <w:rFonts w:ascii="Courier New" w:hAnsi="Courier New" w:cs="Courier New" w:hint="default"/>
      </w:rPr>
    </w:lvl>
    <w:lvl w:ilvl="8" w:tplc="7ED4EFCE" w:tentative="1">
      <w:start w:val="1"/>
      <w:numFmt w:val="bullet"/>
      <w:lvlText w:val=""/>
      <w:lvlJc w:val="left"/>
      <w:pPr>
        <w:ind w:left="6120" w:hanging="360"/>
      </w:pPr>
      <w:rPr>
        <w:rFonts w:ascii="Wingdings" w:hAnsi="Wingdings" w:hint="default"/>
      </w:rPr>
    </w:lvl>
  </w:abstractNum>
  <w:abstractNum w:abstractNumId="15"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7"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2CA85937"/>
    <w:multiLevelType w:val="hybridMultilevel"/>
    <w:tmpl w:val="9D1CABF2"/>
    <w:lvl w:ilvl="0" w:tplc="9EFCA534">
      <w:start w:val="1"/>
      <w:numFmt w:val="bullet"/>
      <w:lvlText w:val=""/>
      <w:lvlJc w:val="left"/>
      <w:pPr>
        <w:ind w:left="360" w:hanging="360"/>
      </w:pPr>
      <w:rPr>
        <w:rFonts w:ascii="Symbol" w:hAnsi="Symbol" w:hint="default"/>
      </w:rPr>
    </w:lvl>
    <w:lvl w:ilvl="1" w:tplc="399EE28C" w:tentative="1">
      <w:start w:val="1"/>
      <w:numFmt w:val="bullet"/>
      <w:lvlText w:val="o"/>
      <w:lvlJc w:val="left"/>
      <w:pPr>
        <w:ind w:left="1080" w:hanging="360"/>
      </w:pPr>
      <w:rPr>
        <w:rFonts w:ascii="Courier New" w:hAnsi="Courier New" w:cs="Courier New" w:hint="default"/>
      </w:rPr>
    </w:lvl>
    <w:lvl w:ilvl="2" w:tplc="A2F4E5C4" w:tentative="1">
      <w:start w:val="1"/>
      <w:numFmt w:val="bullet"/>
      <w:lvlText w:val=""/>
      <w:lvlJc w:val="left"/>
      <w:pPr>
        <w:ind w:left="1800" w:hanging="360"/>
      </w:pPr>
      <w:rPr>
        <w:rFonts w:ascii="Wingdings" w:hAnsi="Wingdings" w:hint="default"/>
      </w:rPr>
    </w:lvl>
    <w:lvl w:ilvl="3" w:tplc="16D8C316" w:tentative="1">
      <w:start w:val="1"/>
      <w:numFmt w:val="bullet"/>
      <w:lvlText w:val=""/>
      <w:lvlJc w:val="left"/>
      <w:pPr>
        <w:ind w:left="2520" w:hanging="360"/>
      </w:pPr>
      <w:rPr>
        <w:rFonts w:ascii="Symbol" w:hAnsi="Symbol" w:hint="default"/>
      </w:rPr>
    </w:lvl>
    <w:lvl w:ilvl="4" w:tplc="9B2A2C14" w:tentative="1">
      <w:start w:val="1"/>
      <w:numFmt w:val="bullet"/>
      <w:lvlText w:val="o"/>
      <w:lvlJc w:val="left"/>
      <w:pPr>
        <w:ind w:left="3240" w:hanging="360"/>
      </w:pPr>
      <w:rPr>
        <w:rFonts w:ascii="Courier New" w:hAnsi="Courier New" w:cs="Courier New" w:hint="default"/>
      </w:rPr>
    </w:lvl>
    <w:lvl w:ilvl="5" w:tplc="78E0B17E" w:tentative="1">
      <w:start w:val="1"/>
      <w:numFmt w:val="bullet"/>
      <w:lvlText w:val=""/>
      <w:lvlJc w:val="left"/>
      <w:pPr>
        <w:ind w:left="3960" w:hanging="360"/>
      </w:pPr>
      <w:rPr>
        <w:rFonts w:ascii="Wingdings" w:hAnsi="Wingdings" w:hint="default"/>
      </w:rPr>
    </w:lvl>
    <w:lvl w:ilvl="6" w:tplc="E034C7C2" w:tentative="1">
      <w:start w:val="1"/>
      <w:numFmt w:val="bullet"/>
      <w:lvlText w:val=""/>
      <w:lvlJc w:val="left"/>
      <w:pPr>
        <w:ind w:left="4680" w:hanging="360"/>
      </w:pPr>
      <w:rPr>
        <w:rFonts w:ascii="Symbol" w:hAnsi="Symbol" w:hint="default"/>
      </w:rPr>
    </w:lvl>
    <w:lvl w:ilvl="7" w:tplc="FC363AEA" w:tentative="1">
      <w:start w:val="1"/>
      <w:numFmt w:val="bullet"/>
      <w:lvlText w:val="o"/>
      <w:lvlJc w:val="left"/>
      <w:pPr>
        <w:ind w:left="5400" w:hanging="360"/>
      </w:pPr>
      <w:rPr>
        <w:rFonts w:ascii="Courier New" w:hAnsi="Courier New" w:cs="Courier New" w:hint="default"/>
      </w:rPr>
    </w:lvl>
    <w:lvl w:ilvl="8" w:tplc="796A3FBC" w:tentative="1">
      <w:start w:val="1"/>
      <w:numFmt w:val="bullet"/>
      <w:lvlText w:val=""/>
      <w:lvlJc w:val="left"/>
      <w:pPr>
        <w:ind w:left="6120" w:hanging="360"/>
      </w:pPr>
      <w:rPr>
        <w:rFonts w:ascii="Wingdings" w:hAnsi="Wingdings" w:hint="default"/>
      </w:rPr>
    </w:lvl>
  </w:abstractNum>
  <w:abstractNum w:abstractNumId="20"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1" w15:restartNumberingAfterBreak="0">
    <w:nsid w:val="389905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6"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7"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9C1393A"/>
    <w:multiLevelType w:val="hybridMultilevel"/>
    <w:tmpl w:val="5B7AF4C0"/>
    <w:lvl w:ilvl="0" w:tplc="0DC24E14">
      <w:start w:val="1"/>
      <w:numFmt w:val="bullet"/>
      <w:lvlText w:val=""/>
      <w:lvlJc w:val="left"/>
      <w:pPr>
        <w:ind w:left="720" w:hanging="360"/>
      </w:pPr>
      <w:rPr>
        <w:rFonts w:ascii="Symbol" w:hAnsi="Symbol" w:hint="default"/>
      </w:rPr>
    </w:lvl>
    <w:lvl w:ilvl="1" w:tplc="BEC4DF3A" w:tentative="1">
      <w:start w:val="1"/>
      <w:numFmt w:val="bullet"/>
      <w:lvlText w:val="o"/>
      <w:lvlJc w:val="left"/>
      <w:pPr>
        <w:ind w:left="1440" w:hanging="360"/>
      </w:pPr>
      <w:rPr>
        <w:rFonts w:ascii="Courier New" w:hAnsi="Courier New" w:cs="Courier New" w:hint="default"/>
      </w:rPr>
    </w:lvl>
    <w:lvl w:ilvl="2" w:tplc="4AF62F90" w:tentative="1">
      <w:start w:val="1"/>
      <w:numFmt w:val="bullet"/>
      <w:lvlText w:val=""/>
      <w:lvlJc w:val="left"/>
      <w:pPr>
        <w:ind w:left="2160" w:hanging="360"/>
      </w:pPr>
      <w:rPr>
        <w:rFonts w:ascii="Wingdings" w:hAnsi="Wingdings" w:hint="default"/>
      </w:rPr>
    </w:lvl>
    <w:lvl w:ilvl="3" w:tplc="ECC61256" w:tentative="1">
      <w:start w:val="1"/>
      <w:numFmt w:val="bullet"/>
      <w:lvlText w:val=""/>
      <w:lvlJc w:val="left"/>
      <w:pPr>
        <w:ind w:left="2880" w:hanging="360"/>
      </w:pPr>
      <w:rPr>
        <w:rFonts w:ascii="Symbol" w:hAnsi="Symbol" w:hint="default"/>
      </w:rPr>
    </w:lvl>
    <w:lvl w:ilvl="4" w:tplc="F5043AB2" w:tentative="1">
      <w:start w:val="1"/>
      <w:numFmt w:val="bullet"/>
      <w:lvlText w:val="o"/>
      <w:lvlJc w:val="left"/>
      <w:pPr>
        <w:ind w:left="3600" w:hanging="360"/>
      </w:pPr>
      <w:rPr>
        <w:rFonts w:ascii="Courier New" w:hAnsi="Courier New" w:cs="Courier New" w:hint="default"/>
      </w:rPr>
    </w:lvl>
    <w:lvl w:ilvl="5" w:tplc="282C8C86" w:tentative="1">
      <w:start w:val="1"/>
      <w:numFmt w:val="bullet"/>
      <w:lvlText w:val=""/>
      <w:lvlJc w:val="left"/>
      <w:pPr>
        <w:ind w:left="4320" w:hanging="360"/>
      </w:pPr>
      <w:rPr>
        <w:rFonts w:ascii="Wingdings" w:hAnsi="Wingdings" w:hint="default"/>
      </w:rPr>
    </w:lvl>
    <w:lvl w:ilvl="6" w:tplc="67267D70" w:tentative="1">
      <w:start w:val="1"/>
      <w:numFmt w:val="bullet"/>
      <w:lvlText w:val=""/>
      <w:lvlJc w:val="left"/>
      <w:pPr>
        <w:ind w:left="5040" w:hanging="360"/>
      </w:pPr>
      <w:rPr>
        <w:rFonts w:ascii="Symbol" w:hAnsi="Symbol" w:hint="default"/>
      </w:rPr>
    </w:lvl>
    <w:lvl w:ilvl="7" w:tplc="D5887AF8" w:tentative="1">
      <w:start w:val="1"/>
      <w:numFmt w:val="bullet"/>
      <w:lvlText w:val="o"/>
      <w:lvlJc w:val="left"/>
      <w:pPr>
        <w:ind w:left="5760" w:hanging="360"/>
      </w:pPr>
      <w:rPr>
        <w:rFonts w:ascii="Courier New" w:hAnsi="Courier New" w:cs="Courier New" w:hint="default"/>
      </w:rPr>
    </w:lvl>
    <w:lvl w:ilvl="8" w:tplc="E1E4A5B0" w:tentative="1">
      <w:start w:val="1"/>
      <w:numFmt w:val="bullet"/>
      <w:lvlText w:val=""/>
      <w:lvlJc w:val="left"/>
      <w:pPr>
        <w:ind w:left="6480" w:hanging="360"/>
      </w:pPr>
      <w:rPr>
        <w:rFonts w:ascii="Wingdings" w:hAnsi="Wingdings" w:hint="default"/>
      </w:rPr>
    </w:lvl>
  </w:abstractNum>
  <w:abstractNum w:abstractNumId="34"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3"/>
  </w:num>
  <w:num w:numId="13">
    <w:abstractNumId w:val="30"/>
  </w:num>
  <w:num w:numId="14">
    <w:abstractNumId w:val="12"/>
  </w:num>
  <w:num w:numId="15">
    <w:abstractNumId w:val="17"/>
  </w:num>
  <w:num w:numId="16">
    <w:abstractNumId w:val="34"/>
  </w:num>
  <w:num w:numId="17">
    <w:abstractNumId w:val="28"/>
  </w:num>
  <w:num w:numId="18">
    <w:abstractNumId w:val="13"/>
  </w:num>
  <w:num w:numId="19">
    <w:abstractNumId w:val="18"/>
  </w:num>
  <w:num w:numId="20">
    <w:abstractNumId w:val="25"/>
  </w:num>
  <w:num w:numId="21">
    <w:abstractNumId w:val="29"/>
  </w:num>
  <w:num w:numId="22">
    <w:abstractNumId w:val="16"/>
  </w:num>
  <w:num w:numId="23">
    <w:abstractNumId w:val="20"/>
  </w:num>
  <w:num w:numId="24">
    <w:abstractNumId w:val="27"/>
  </w:num>
  <w:num w:numId="25">
    <w:abstractNumId w:val="27"/>
  </w:num>
  <w:num w:numId="26">
    <w:abstractNumId w:val="22"/>
  </w:num>
  <w:num w:numId="27">
    <w:abstractNumId w:val="15"/>
  </w:num>
  <w:num w:numId="28">
    <w:abstractNumId w:val="31"/>
  </w:num>
  <w:num w:numId="29">
    <w:abstractNumId w:val="11"/>
  </w:num>
  <w:num w:numId="30">
    <w:abstractNumId w:val="24"/>
  </w:num>
  <w:num w:numId="31">
    <w:abstractNumId w:val="32"/>
  </w:num>
  <w:num w:numId="32">
    <w:abstractNumId w:val="26"/>
  </w:num>
  <w:num w:numId="33">
    <w:abstractNumId w:val="21"/>
  </w:num>
  <w:num w:numId="34">
    <w:abstractNumId w:val="14"/>
  </w:num>
  <w:num w:numId="35">
    <w:abstractNumId w:val="33"/>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96E"/>
    <w:rsid w:val="0000203E"/>
    <w:rsid w:val="00003125"/>
    <w:rsid w:val="00005245"/>
    <w:rsid w:val="00006684"/>
    <w:rsid w:val="00017BEC"/>
    <w:rsid w:val="00017E7D"/>
    <w:rsid w:val="00017E82"/>
    <w:rsid w:val="00021A72"/>
    <w:rsid w:val="000221F5"/>
    <w:rsid w:val="00022BFD"/>
    <w:rsid w:val="00032DD2"/>
    <w:rsid w:val="000370A8"/>
    <w:rsid w:val="000519A0"/>
    <w:rsid w:val="0006050B"/>
    <w:rsid w:val="00080665"/>
    <w:rsid w:val="00084E63"/>
    <w:rsid w:val="00085784"/>
    <w:rsid w:val="0009676A"/>
    <w:rsid w:val="000A0187"/>
    <w:rsid w:val="000A3328"/>
    <w:rsid w:val="000A4687"/>
    <w:rsid w:val="000C7899"/>
    <w:rsid w:val="000C7A8C"/>
    <w:rsid w:val="000D0403"/>
    <w:rsid w:val="000D61A2"/>
    <w:rsid w:val="000D7961"/>
    <w:rsid w:val="000E397B"/>
    <w:rsid w:val="000F1580"/>
    <w:rsid w:val="00120334"/>
    <w:rsid w:val="001229F6"/>
    <w:rsid w:val="0015200D"/>
    <w:rsid w:val="0015553B"/>
    <w:rsid w:val="00161A5A"/>
    <w:rsid w:val="00170AB9"/>
    <w:rsid w:val="00181928"/>
    <w:rsid w:val="001856D7"/>
    <w:rsid w:val="00187E51"/>
    <w:rsid w:val="00192DBD"/>
    <w:rsid w:val="0019399A"/>
    <w:rsid w:val="001A52E9"/>
    <w:rsid w:val="001B4B9B"/>
    <w:rsid w:val="001D3694"/>
    <w:rsid w:val="001E33AB"/>
    <w:rsid w:val="001E3BCF"/>
    <w:rsid w:val="001F0BCD"/>
    <w:rsid w:val="002066B3"/>
    <w:rsid w:val="0021427F"/>
    <w:rsid w:val="00235915"/>
    <w:rsid w:val="00252877"/>
    <w:rsid w:val="00257CFB"/>
    <w:rsid w:val="00262B06"/>
    <w:rsid w:val="00270C45"/>
    <w:rsid w:val="002748B0"/>
    <w:rsid w:val="00275198"/>
    <w:rsid w:val="0028054C"/>
    <w:rsid w:val="002869AF"/>
    <w:rsid w:val="00286A28"/>
    <w:rsid w:val="002900F9"/>
    <w:rsid w:val="00295878"/>
    <w:rsid w:val="002A3A4E"/>
    <w:rsid w:val="002B02FE"/>
    <w:rsid w:val="002B1A8F"/>
    <w:rsid w:val="002B2265"/>
    <w:rsid w:val="002C67D8"/>
    <w:rsid w:val="002D0049"/>
    <w:rsid w:val="002D4C2C"/>
    <w:rsid w:val="002E3E62"/>
    <w:rsid w:val="003058DA"/>
    <w:rsid w:val="00306884"/>
    <w:rsid w:val="0030762F"/>
    <w:rsid w:val="00311BD3"/>
    <w:rsid w:val="00312685"/>
    <w:rsid w:val="00334C18"/>
    <w:rsid w:val="00335D55"/>
    <w:rsid w:val="003478B7"/>
    <w:rsid w:val="003513DB"/>
    <w:rsid w:val="00353A40"/>
    <w:rsid w:val="00356CAA"/>
    <w:rsid w:val="0036243F"/>
    <w:rsid w:val="00385ABF"/>
    <w:rsid w:val="00392AF3"/>
    <w:rsid w:val="0039625F"/>
    <w:rsid w:val="003A6A11"/>
    <w:rsid w:val="003B75F4"/>
    <w:rsid w:val="003C78E4"/>
    <w:rsid w:val="003E20FF"/>
    <w:rsid w:val="003F2BC3"/>
    <w:rsid w:val="003F4948"/>
    <w:rsid w:val="00406F1F"/>
    <w:rsid w:val="004077C9"/>
    <w:rsid w:val="00414E6F"/>
    <w:rsid w:val="00415F06"/>
    <w:rsid w:val="00416D38"/>
    <w:rsid w:val="00421F93"/>
    <w:rsid w:val="004331DF"/>
    <w:rsid w:val="0043566B"/>
    <w:rsid w:val="004430CE"/>
    <w:rsid w:val="00457453"/>
    <w:rsid w:val="0046327F"/>
    <w:rsid w:val="00472A03"/>
    <w:rsid w:val="00475A24"/>
    <w:rsid w:val="00483313"/>
    <w:rsid w:val="00487A55"/>
    <w:rsid w:val="00496015"/>
    <w:rsid w:val="004A0340"/>
    <w:rsid w:val="004A0850"/>
    <w:rsid w:val="004A28F0"/>
    <w:rsid w:val="004A34DD"/>
    <w:rsid w:val="004A564F"/>
    <w:rsid w:val="004C4C2E"/>
    <w:rsid w:val="004C4E14"/>
    <w:rsid w:val="004D0AC9"/>
    <w:rsid w:val="004D2D58"/>
    <w:rsid w:val="004D3DC4"/>
    <w:rsid w:val="004D495C"/>
    <w:rsid w:val="004E3824"/>
    <w:rsid w:val="004F09F8"/>
    <w:rsid w:val="004F4AD1"/>
    <w:rsid w:val="00502BFC"/>
    <w:rsid w:val="00504609"/>
    <w:rsid w:val="00511EDF"/>
    <w:rsid w:val="00523237"/>
    <w:rsid w:val="00523E05"/>
    <w:rsid w:val="005302F6"/>
    <w:rsid w:val="00542D84"/>
    <w:rsid w:val="00546F06"/>
    <w:rsid w:val="005543B5"/>
    <w:rsid w:val="00583521"/>
    <w:rsid w:val="0058604B"/>
    <w:rsid w:val="005B37AF"/>
    <w:rsid w:val="005B45E9"/>
    <w:rsid w:val="005B5914"/>
    <w:rsid w:val="005C0E75"/>
    <w:rsid w:val="005C33BC"/>
    <w:rsid w:val="005C3563"/>
    <w:rsid w:val="005D12FD"/>
    <w:rsid w:val="005E07F1"/>
    <w:rsid w:val="00616AC2"/>
    <w:rsid w:val="00622A8F"/>
    <w:rsid w:val="006354E9"/>
    <w:rsid w:val="0064011F"/>
    <w:rsid w:val="00641CA0"/>
    <w:rsid w:val="006444D5"/>
    <w:rsid w:val="0065094C"/>
    <w:rsid w:val="006527BD"/>
    <w:rsid w:val="00663234"/>
    <w:rsid w:val="00666FB2"/>
    <w:rsid w:val="00667E12"/>
    <w:rsid w:val="00676C62"/>
    <w:rsid w:val="00677A58"/>
    <w:rsid w:val="00685848"/>
    <w:rsid w:val="006A6F8F"/>
    <w:rsid w:val="006C0E12"/>
    <w:rsid w:val="006C7A7B"/>
    <w:rsid w:val="006D0B95"/>
    <w:rsid w:val="006D1217"/>
    <w:rsid w:val="006E4CA9"/>
    <w:rsid w:val="006F1CE9"/>
    <w:rsid w:val="006F7908"/>
    <w:rsid w:val="0070090A"/>
    <w:rsid w:val="00704705"/>
    <w:rsid w:val="0070796E"/>
    <w:rsid w:val="007274B6"/>
    <w:rsid w:val="00735AC3"/>
    <w:rsid w:val="00735B54"/>
    <w:rsid w:val="007526A1"/>
    <w:rsid w:val="00755605"/>
    <w:rsid w:val="00762A1E"/>
    <w:rsid w:val="007679D2"/>
    <w:rsid w:val="00770299"/>
    <w:rsid w:val="00781933"/>
    <w:rsid w:val="00785979"/>
    <w:rsid w:val="00791D56"/>
    <w:rsid w:val="00794FF3"/>
    <w:rsid w:val="00795647"/>
    <w:rsid w:val="00797056"/>
    <w:rsid w:val="007B145B"/>
    <w:rsid w:val="007B5E61"/>
    <w:rsid w:val="007B7C19"/>
    <w:rsid w:val="00800D40"/>
    <w:rsid w:val="00810A21"/>
    <w:rsid w:val="00811068"/>
    <w:rsid w:val="00813980"/>
    <w:rsid w:val="00817846"/>
    <w:rsid w:val="00831C97"/>
    <w:rsid w:val="00833A72"/>
    <w:rsid w:val="00833F2B"/>
    <w:rsid w:val="008340D6"/>
    <w:rsid w:val="0083540C"/>
    <w:rsid w:val="00835BBF"/>
    <w:rsid w:val="008460D2"/>
    <w:rsid w:val="0084734D"/>
    <w:rsid w:val="00852CC6"/>
    <w:rsid w:val="00870D98"/>
    <w:rsid w:val="008740CF"/>
    <w:rsid w:val="00882AA1"/>
    <w:rsid w:val="00883707"/>
    <w:rsid w:val="00883EFF"/>
    <w:rsid w:val="00885734"/>
    <w:rsid w:val="00891809"/>
    <w:rsid w:val="00893BB1"/>
    <w:rsid w:val="008A357D"/>
    <w:rsid w:val="008F2196"/>
    <w:rsid w:val="009043C2"/>
    <w:rsid w:val="009074FD"/>
    <w:rsid w:val="00912887"/>
    <w:rsid w:val="00915921"/>
    <w:rsid w:val="0092342C"/>
    <w:rsid w:val="00923456"/>
    <w:rsid w:val="0093043A"/>
    <w:rsid w:val="00930F7E"/>
    <w:rsid w:val="00941145"/>
    <w:rsid w:val="0094145C"/>
    <w:rsid w:val="00942ED4"/>
    <w:rsid w:val="00947092"/>
    <w:rsid w:val="00951378"/>
    <w:rsid w:val="00953C7D"/>
    <w:rsid w:val="0096235E"/>
    <w:rsid w:val="0097038C"/>
    <w:rsid w:val="00971DD9"/>
    <w:rsid w:val="009A7184"/>
    <w:rsid w:val="009B17EA"/>
    <w:rsid w:val="009B6F98"/>
    <w:rsid w:val="009D7B40"/>
    <w:rsid w:val="009E3FEB"/>
    <w:rsid w:val="009E50D3"/>
    <w:rsid w:val="009F680F"/>
    <w:rsid w:val="00A13179"/>
    <w:rsid w:val="00A140EB"/>
    <w:rsid w:val="00A16064"/>
    <w:rsid w:val="00A349EC"/>
    <w:rsid w:val="00A36AD0"/>
    <w:rsid w:val="00A407DE"/>
    <w:rsid w:val="00A54CA6"/>
    <w:rsid w:val="00A65745"/>
    <w:rsid w:val="00A824E0"/>
    <w:rsid w:val="00A840C6"/>
    <w:rsid w:val="00A93852"/>
    <w:rsid w:val="00AA59D3"/>
    <w:rsid w:val="00AB107D"/>
    <w:rsid w:val="00AB4706"/>
    <w:rsid w:val="00AC3A1D"/>
    <w:rsid w:val="00AC7721"/>
    <w:rsid w:val="00AC7AC6"/>
    <w:rsid w:val="00AD2FB3"/>
    <w:rsid w:val="00AD799C"/>
    <w:rsid w:val="00AE1C97"/>
    <w:rsid w:val="00AE22AA"/>
    <w:rsid w:val="00AE2BCA"/>
    <w:rsid w:val="00AF0A2E"/>
    <w:rsid w:val="00AF4619"/>
    <w:rsid w:val="00B055E8"/>
    <w:rsid w:val="00B13550"/>
    <w:rsid w:val="00B154AD"/>
    <w:rsid w:val="00B2033A"/>
    <w:rsid w:val="00B20B08"/>
    <w:rsid w:val="00B24401"/>
    <w:rsid w:val="00B302EE"/>
    <w:rsid w:val="00B34B6C"/>
    <w:rsid w:val="00B402E3"/>
    <w:rsid w:val="00B4143C"/>
    <w:rsid w:val="00B41935"/>
    <w:rsid w:val="00B4405B"/>
    <w:rsid w:val="00B46EC5"/>
    <w:rsid w:val="00B50E11"/>
    <w:rsid w:val="00B528E2"/>
    <w:rsid w:val="00B532C0"/>
    <w:rsid w:val="00B53C8D"/>
    <w:rsid w:val="00B60B80"/>
    <w:rsid w:val="00B830A9"/>
    <w:rsid w:val="00B8577A"/>
    <w:rsid w:val="00B8609C"/>
    <w:rsid w:val="00B873E5"/>
    <w:rsid w:val="00BA2A7B"/>
    <w:rsid w:val="00BB67AF"/>
    <w:rsid w:val="00BB69E9"/>
    <w:rsid w:val="00BC1350"/>
    <w:rsid w:val="00BC6A2F"/>
    <w:rsid w:val="00BE77DE"/>
    <w:rsid w:val="00BF1682"/>
    <w:rsid w:val="00C26729"/>
    <w:rsid w:val="00C37B27"/>
    <w:rsid w:val="00C53CE6"/>
    <w:rsid w:val="00C551FC"/>
    <w:rsid w:val="00C62651"/>
    <w:rsid w:val="00C648E4"/>
    <w:rsid w:val="00C75DBB"/>
    <w:rsid w:val="00C837F9"/>
    <w:rsid w:val="00C84158"/>
    <w:rsid w:val="00C84E60"/>
    <w:rsid w:val="00C9415E"/>
    <w:rsid w:val="00CD6F8C"/>
    <w:rsid w:val="00CF63E1"/>
    <w:rsid w:val="00D00614"/>
    <w:rsid w:val="00D17DC5"/>
    <w:rsid w:val="00D27001"/>
    <w:rsid w:val="00D35307"/>
    <w:rsid w:val="00D4563B"/>
    <w:rsid w:val="00D62571"/>
    <w:rsid w:val="00D80072"/>
    <w:rsid w:val="00D839D8"/>
    <w:rsid w:val="00D92439"/>
    <w:rsid w:val="00DA1664"/>
    <w:rsid w:val="00DA2F6F"/>
    <w:rsid w:val="00DA3130"/>
    <w:rsid w:val="00DB5B1B"/>
    <w:rsid w:val="00DB6C98"/>
    <w:rsid w:val="00DD05EF"/>
    <w:rsid w:val="00DD5A07"/>
    <w:rsid w:val="00DD7B2F"/>
    <w:rsid w:val="00DE3F2D"/>
    <w:rsid w:val="00DE460C"/>
    <w:rsid w:val="00DE49DD"/>
    <w:rsid w:val="00E207C7"/>
    <w:rsid w:val="00E2379D"/>
    <w:rsid w:val="00E244D1"/>
    <w:rsid w:val="00E45EB4"/>
    <w:rsid w:val="00E7476B"/>
    <w:rsid w:val="00E74841"/>
    <w:rsid w:val="00E84413"/>
    <w:rsid w:val="00E96CF9"/>
    <w:rsid w:val="00E97390"/>
    <w:rsid w:val="00E97800"/>
    <w:rsid w:val="00EA3797"/>
    <w:rsid w:val="00EA467D"/>
    <w:rsid w:val="00EA6520"/>
    <w:rsid w:val="00EA72D0"/>
    <w:rsid w:val="00EC43F5"/>
    <w:rsid w:val="00ED2AF2"/>
    <w:rsid w:val="00EF62C8"/>
    <w:rsid w:val="00F2422E"/>
    <w:rsid w:val="00F35A0C"/>
    <w:rsid w:val="00F40E2E"/>
    <w:rsid w:val="00F620CA"/>
    <w:rsid w:val="00F74154"/>
    <w:rsid w:val="00F842D3"/>
    <w:rsid w:val="00F87092"/>
    <w:rsid w:val="00FA180D"/>
    <w:rsid w:val="00FC045D"/>
    <w:rsid w:val="00FD281F"/>
    <w:rsid w:val="00FE64B2"/>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234BC8"/>
  <w15:chartTrackingRefBased/>
  <w15:docId w15:val="{C787C2E9-B3DE-449C-9ABE-F4612F34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uiPriority w:val="99"/>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basedOn w:val="Normal"/>
    <w:uiPriority w:val="34"/>
    <w:qFormat/>
    <w:rsid w:val="0084734D"/>
    <w:pPr>
      <w:ind w:left="720"/>
      <w:contextualSpacing/>
    </w:pPr>
  </w:style>
  <w:style w:type="character" w:styleId="CommentReference">
    <w:name w:val="annotation reference"/>
    <w:basedOn w:val="DefaultParagraphFont"/>
    <w:rsid w:val="00546F06"/>
    <w:rPr>
      <w:sz w:val="16"/>
      <w:szCs w:val="16"/>
    </w:rPr>
  </w:style>
  <w:style w:type="paragraph" w:styleId="CommentText">
    <w:name w:val="annotation text"/>
    <w:basedOn w:val="Normal"/>
    <w:link w:val="CommentTextChar"/>
    <w:rsid w:val="00546F06"/>
    <w:rPr>
      <w:sz w:val="20"/>
    </w:rPr>
  </w:style>
  <w:style w:type="character" w:customStyle="1" w:styleId="CommentTextChar">
    <w:name w:val="Comment Text Char"/>
    <w:basedOn w:val="DefaultParagraphFont"/>
    <w:link w:val="CommentText"/>
    <w:rsid w:val="00546F06"/>
    <w:rPr>
      <w:rFonts w:ascii="Calibri" w:eastAsia="Times New Roman" w:hAnsi="Calibri"/>
      <w:lang w:eastAsia="en-US"/>
    </w:rPr>
  </w:style>
  <w:style w:type="paragraph" w:styleId="CommentSubject">
    <w:name w:val="annotation subject"/>
    <w:basedOn w:val="CommentText"/>
    <w:next w:val="CommentText"/>
    <w:link w:val="CommentSubjectChar"/>
    <w:rsid w:val="00546F06"/>
    <w:rPr>
      <w:b/>
      <w:bCs/>
    </w:rPr>
  </w:style>
  <w:style w:type="character" w:customStyle="1" w:styleId="CommentSubjectChar">
    <w:name w:val="Comment Subject Char"/>
    <w:basedOn w:val="CommentTextChar"/>
    <w:link w:val="CommentSubject"/>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rsid w:val="00546F06"/>
    <w:rPr>
      <w:rFonts w:ascii="Segoe UI" w:eastAsia="Times New Roman" w:hAnsi="Segoe UI" w:cs="Segoe UI"/>
      <w:sz w:val="18"/>
      <w:szCs w:val="18"/>
      <w:lang w:eastAsia="en-US"/>
    </w:rPr>
  </w:style>
  <w:style w:type="character" w:styleId="UnresolvedMention">
    <w:name w:val="Unresolved Mention"/>
    <w:basedOn w:val="DefaultParagraphFont"/>
    <w:uiPriority w:val="99"/>
    <w:semiHidden/>
    <w:unhideWhenUsed/>
    <w:rsid w:val="005046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34230">
      <w:bodyDiv w:val="1"/>
      <w:marLeft w:val="0"/>
      <w:marRight w:val="0"/>
      <w:marTop w:val="0"/>
      <w:marBottom w:val="0"/>
      <w:divBdr>
        <w:top w:val="none" w:sz="0" w:space="0" w:color="auto"/>
        <w:left w:val="none" w:sz="0" w:space="0" w:color="auto"/>
        <w:bottom w:val="none" w:sz="0" w:space="0" w:color="auto"/>
        <w:right w:val="none" w:sz="0" w:space="0" w:color="auto"/>
      </w:divBdr>
    </w:div>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783578884">
      <w:bodyDiv w:val="1"/>
      <w:marLeft w:val="0"/>
      <w:marRight w:val="0"/>
      <w:marTop w:val="0"/>
      <w:marBottom w:val="0"/>
      <w:divBdr>
        <w:top w:val="none" w:sz="0" w:space="0" w:color="auto"/>
        <w:left w:val="none" w:sz="0" w:space="0" w:color="auto"/>
        <w:bottom w:val="none" w:sz="0" w:space="0" w:color="auto"/>
        <w:right w:val="none" w:sz="0" w:space="0" w:color="auto"/>
      </w:divBdr>
      <w:divsChild>
        <w:div w:id="1574967646">
          <w:marLeft w:val="0"/>
          <w:marRight w:val="0"/>
          <w:marTop w:val="0"/>
          <w:marBottom w:val="0"/>
          <w:divBdr>
            <w:top w:val="none" w:sz="0" w:space="0" w:color="auto"/>
            <w:left w:val="none" w:sz="0" w:space="0" w:color="auto"/>
            <w:bottom w:val="none" w:sz="0" w:space="0" w:color="auto"/>
            <w:right w:val="none" w:sz="0" w:space="0" w:color="auto"/>
          </w:divBdr>
          <w:divsChild>
            <w:div w:id="575477307">
              <w:marLeft w:val="0"/>
              <w:marRight w:val="0"/>
              <w:marTop w:val="0"/>
              <w:marBottom w:val="0"/>
              <w:divBdr>
                <w:top w:val="none" w:sz="0" w:space="0" w:color="auto"/>
                <w:left w:val="none" w:sz="0" w:space="0" w:color="auto"/>
                <w:bottom w:val="none" w:sz="0" w:space="0" w:color="auto"/>
                <w:right w:val="none" w:sz="0" w:space="0" w:color="auto"/>
              </w:divBdr>
              <w:divsChild>
                <w:div w:id="239364635">
                  <w:marLeft w:val="0"/>
                  <w:marRight w:val="0"/>
                  <w:marTop w:val="0"/>
                  <w:marBottom w:val="0"/>
                  <w:divBdr>
                    <w:top w:val="none" w:sz="0" w:space="0" w:color="auto"/>
                    <w:left w:val="none" w:sz="0" w:space="0" w:color="auto"/>
                    <w:bottom w:val="none" w:sz="0" w:space="0" w:color="auto"/>
                    <w:right w:val="none" w:sz="0" w:space="0" w:color="auto"/>
                  </w:divBdr>
                  <w:divsChild>
                    <w:div w:id="804783882">
                      <w:marLeft w:val="0"/>
                      <w:marRight w:val="0"/>
                      <w:marTop w:val="0"/>
                      <w:marBottom w:val="0"/>
                      <w:divBdr>
                        <w:top w:val="none" w:sz="0" w:space="0" w:color="auto"/>
                        <w:left w:val="none" w:sz="0" w:space="0" w:color="auto"/>
                        <w:bottom w:val="none" w:sz="0" w:space="0" w:color="auto"/>
                        <w:right w:val="none" w:sz="0" w:space="0" w:color="auto"/>
                      </w:divBdr>
                      <w:divsChild>
                        <w:div w:id="2040206021">
                          <w:marLeft w:val="0"/>
                          <w:marRight w:val="0"/>
                          <w:marTop w:val="0"/>
                          <w:marBottom w:val="0"/>
                          <w:divBdr>
                            <w:top w:val="none" w:sz="0" w:space="0" w:color="auto"/>
                            <w:left w:val="none" w:sz="0" w:space="0" w:color="auto"/>
                            <w:bottom w:val="none" w:sz="0" w:space="0" w:color="auto"/>
                            <w:right w:val="none" w:sz="0" w:space="0" w:color="auto"/>
                          </w:divBdr>
                          <w:divsChild>
                            <w:div w:id="531653902">
                              <w:marLeft w:val="0"/>
                              <w:marRight w:val="0"/>
                              <w:marTop w:val="0"/>
                              <w:marBottom w:val="0"/>
                              <w:divBdr>
                                <w:top w:val="none" w:sz="0" w:space="0" w:color="auto"/>
                                <w:left w:val="none" w:sz="0" w:space="0" w:color="auto"/>
                                <w:bottom w:val="none" w:sz="0" w:space="0" w:color="auto"/>
                                <w:right w:val="none" w:sz="0" w:space="0" w:color="auto"/>
                              </w:divBdr>
                              <w:divsChild>
                                <w:div w:id="251158589">
                                  <w:marLeft w:val="0"/>
                                  <w:marRight w:val="0"/>
                                  <w:marTop w:val="0"/>
                                  <w:marBottom w:val="0"/>
                                  <w:divBdr>
                                    <w:top w:val="none" w:sz="0" w:space="0" w:color="auto"/>
                                    <w:left w:val="none" w:sz="0" w:space="0" w:color="auto"/>
                                    <w:bottom w:val="none" w:sz="0" w:space="0" w:color="auto"/>
                                    <w:right w:val="none" w:sz="0" w:space="0" w:color="auto"/>
                                  </w:divBdr>
                                  <w:divsChild>
                                    <w:div w:id="1148131337">
                                      <w:marLeft w:val="0"/>
                                      <w:marRight w:val="0"/>
                                      <w:marTop w:val="0"/>
                                      <w:marBottom w:val="0"/>
                                      <w:divBdr>
                                        <w:top w:val="none" w:sz="0" w:space="0" w:color="auto"/>
                                        <w:left w:val="none" w:sz="0" w:space="0" w:color="auto"/>
                                        <w:bottom w:val="none" w:sz="0" w:space="0" w:color="auto"/>
                                        <w:right w:val="none" w:sz="0" w:space="0" w:color="auto"/>
                                      </w:divBdr>
                                      <w:divsChild>
                                        <w:div w:id="556938485">
                                          <w:marLeft w:val="0"/>
                                          <w:marRight w:val="0"/>
                                          <w:marTop w:val="0"/>
                                          <w:marBottom w:val="0"/>
                                          <w:divBdr>
                                            <w:top w:val="none" w:sz="0" w:space="0" w:color="auto"/>
                                            <w:left w:val="none" w:sz="0" w:space="0" w:color="auto"/>
                                            <w:bottom w:val="none" w:sz="0" w:space="0" w:color="auto"/>
                                            <w:right w:val="none" w:sz="0" w:space="0" w:color="auto"/>
                                          </w:divBdr>
                                          <w:divsChild>
                                            <w:div w:id="1513686110">
                                              <w:marLeft w:val="0"/>
                                              <w:marRight w:val="0"/>
                                              <w:marTop w:val="0"/>
                                              <w:marBottom w:val="495"/>
                                              <w:divBdr>
                                                <w:top w:val="none" w:sz="0" w:space="0" w:color="auto"/>
                                                <w:left w:val="none" w:sz="0" w:space="0" w:color="auto"/>
                                                <w:bottom w:val="none" w:sz="0" w:space="0" w:color="auto"/>
                                                <w:right w:val="none" w:sz="0" w:space="0" w:color="auto"/>
                                              </w:divBdr>
                                              <w:divsChild>
                                                <w:div w:id="26373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947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itu.int/md/D18-RPMIRM-C-0029/es" TargetMode="External"/><Relationship Id="rId18" Type="http://schemas.openxmlformats.org/officeDocument/2006/relationships/hyperlink" Target="https://www.itu.int/md/D18-RPMIRM-C-0023/e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itu.int/en/ITU-D/Conferences/WTDC/WTDC21/Pages/NoW/default.aspx" TargetMode="External"/><Relationship Id="rId7" Type="http://schemas.openxmlformats.org/officeDocument/2006/relationships/endnotes" Target="endnotes.xml"/><Relationship Id="rId12" Type="http://schemas.openxmlformats.org/officeDocument/2006/relationships/hyperlink" Target="https://www.itu.int/md/D18-RPMIRM-C-0021/es" TargetMode="External"/><Relationship Id="rId17" Type="http://schemas.openxmlformats.org/officeDocument/2006/relationships/hyperlink" Target="https://www.itu.int/md/D18-RPMIRM-C-0026/es" TargetMode="External"/><Relationship Id="rId25" Type="http://schemas.openxmlformats.org/officeDocument/2006/relationships/hyperlink" Target="https://www.itu.int/md/D18-TDAG27-INF-0005/es" TargetMode="External"/><Relationship Id="rId2" Type="http://schemas.openxmlformats.org/officeDocument/2006/relationships/numbering" Target="numbering.xml"/><Relationship Id="rId16" Type="http://schemas.openxmlformats.org/officeDocument/2006/relationships/hyperlink" Target="https://www.itu.int/md/D18-RPMIRM-C-0025/es" TargetMode="External"/><Relationship Id="rId20" Type="http://schemas.openxmlformats.org/officeDocument/2006/relationships/hyperlink" Target="https://www.itu.int/en/ITU-D/Regional-Presence/Europe/Documents/Publications/D-IND-DIG_TRENDS_EUR.01-2021-PDF-S.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8-RPMIRM-C-0001/es" TargetMode="External"/><Relationship Id="rId24" Type="http://schemas.openxmlformats.org/officeDocument/2006/relationships/hyperlink" Target="https://www.itu.int/en/ITU-D/Conferences/WTDC/WTDC21/Pages/NoW/default.aspx" TargetMode="External"/><Relationship Id="rId5" Type="http://schemas.openxmlformats.org/officeDocument/2006/relationships/webSettings" Target="webSettings.xml"/><Relationship Id="rId15" Type="http://schemas.openxmlformats.org/officeDocument/2006/relationships/hyperlink" Target="https://www.itu.int/md/D18-RPMIRM-C-0024/es" TargetMode="External"/><Relationship Id="rId23" Type="http://schemas.openxmlformats.org/officeDocument/2006/relationships/hyperlink" Target="https://www.itu.int/generationconnect/generation-connect-asia-pacific-youth-group-gc-asp/" TargetMode="External"/><Relationship Id="rId28" Type="http://schemas.openxmlformats.org/officeDocument/2006/relationships/footer" Target="footer2.xml"/><Relationship Id="rId10" Type="http://schemas.openxmlformats.org/officeDocument/2006/relationships/hyperlink" Target="https://www.itu.int/md/D18-RPMIRM-C-0032/es" TargetMode="External"/><Relationship Id="rId19" Type="http://schemas.openxmlformats.org/officeDocument/2006/relationships/hyperlink" Target="https://www.itu.int/md/D18-RPMIRM-C-0023/es"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www.itu.int/md/D18-RPMIRM-C-0022/es" TargetMode="External"/><Relationship Id="rId22" Type="http://schemas.openxmlformats.org/officeDocument/2006/relationships/hyperlink" Target="https://www.itu.int/es/ITU-D/Conferences/WTDC/WTDC21/Pages/RPM-ASP.aspx" TargetMode="External"/><Relationship Id="rId27" Type="http://schemas.openxmlformats.org/officeDocument/2006/relationships/footer" Target="footer1.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424DE-0BDF-4F49-ACA1-D69E11B55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16</Pages>
  <Words>7382</Words>
  <Characters>40816</Characters>
  <Application>Microsoft Office Word</Application>
  <DocSecurity>0</DocSecurity>
  <Lines>340</Lines>
  <Paragraphs>96</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48102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F. Lambert</dc:creator>
  <cp:keywords/>
  <cp:lastModifiedBy>Spanish83</cp:lastModifiedBy>
  <cp:revision>24</cp:revision>
  <cp:lastPrinted>2016-05-13T07:33:00Z</cp:lastPrinted>
  <dcterms:created xsi:type="dcterms:W3CDTF">2021-05-03T14:48:00Z</dcterms:created>
  <dcterms:modified xsi:type="dcterms:W3CDTF">2021-05-06T13:04:00Z</dcterms:modified>
</cp:coreProperties>
</file>