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1986"/>
        <w:gridCol w:w="4682"/>
        <w:gridCol w:w="1556"/>
        <w:gridCol w:w="1417"/>
      </w:tblGrid>
      <w:tr w:rsidR="00D43388" w:rsidRPr="00D43388" w14:paraId="0485D7E2" w14:textId="77777777" w:rsidTr="008B1923">
        <w:trPr>
          <w:cantSplit/>
          <w:trHeight w:val="853"/>
          <w:jc w:val="center"/>
        </w:trPr>
        <w:tc>
          <w:tcPr>
            <w:tcW w:w="1030" w:type="pct"/>
            <w:tcBorders>
              <w:bottom w:val="single" w:sz="12" w:space="0" w:color="auto"/>
            </w:tcBorders>
          </w:tcPr>
          <w:p w14:paraId="3573A3D5" w14:textId="45E22039" w:rsidR="00D43388" w:rsidRPr="00D43388" w:rsidRDefault="00E42955" w:rsidP="00E42955">
            <w:pPr>
              <w:spacing w:before="800" w:after="60"/>
              <w:jc w:val="left"/>
              <w:rPr>
                <w:b/>
                <w:bCs/>
                <w:position w:val="2"/>
                <w:sz w:val="32"/>
                <w:szCs w:val="32"/>
                <w:rtl/>
                <w:lang w:bidi="ar-EG"/>
              </w:rPr>
            </w:pPr>
            <w:r>
              <w:rPr>
                <w:noProof/>
              </w:rPr>
              <w:drawing>
                <wp:inline distT="0" distB="0" distL="0" distR="0" wp14:anchorId="0EFAFF4E" wp14:editId="4E210995">
                  <wp:extent cx="1123950" cy="1993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3950" cy="199390"/>
                          </a:xfrm>
                          <a:prstGeom prst="rect">
                            <a:avLst/>
                          </a:prstGeom>
                        </pic:spPr>
                      </pic:pic>
                    </a:graphicData>
                  </a:graphic>
                </wp:inline>
              </w:drawing>
            </w:r>
            <w:bookmarkStart w:id="0" w:name="_GoBack"/>
            <w:bookmarkEnd w:id="0"/>
          </w:p>
        </w:tc>
        <w:tc>
          <w:tcPr>
            <w:tcW w:w="3235" w:type="pct"/>
            <w:gridSpan w:val="2"/>
            <w:tcBorders>
              <w:bottom w:val="single" w:sz="12" w:space="0" w:color="auto"/>
            </w:tcBorders>
          </w:tcPr>
          <w:p w14:paraId="3061025D" w14:textId="29D2CCB4" w:rsidR="00D43388" w:rsidRPr="00D43388" w:rsidRDefault="00D43388" w:rsidP="008B1923">
            <w:pPr>
              <w:spacing w:before="480" w:after="240"/>
              <w:jc w:val="left"/>
              <w:rPr>
                <w:b/>
                <w:bCs/>
                <w:position w:val="2"/>
                <w:sz w:val="32"/>
                <w:szCs w:val="32"/>
                <w:rtl/>
                <w:lang w:bidi="ar-EG"/>
              </w:rPr>
            </w:pPr>
            <w:r w:rsidRPr="00D43388">
              <w:rPr>
                <w:b/>
                <w:bCs/>
                <w:position w:val="2"/>
                <w:sz w:val="32"/>
                <w:szCs w:val="32"/>
                <w:rtl/>
                <w:lang w:bidi="ar-EG"/>
              </w:rPr>
              <w:t xml:space="preserve">الاجتماع </w:t>
            </w:r>
            <w:r w:rsidRPr="00D43388">
              <w:rPr>
                <w:rFonts w:hint="cs"/>
                <w:b/>
                <w:bCs/>
                <w:position w:val="2"/>
                <w:sz w:val="32"/>
                <w:szCs w:val="32"/>
                <w:rtl/>
                <w:lang w:bidi="ar-EG"/>
              </w:rPr>
              <w:t xml:space="preserve">الأقاليمي </w:t>
            </w:r>
            <w:r w:rsidR="00377250">
              <w:rPr>
                <w:rFonts w:hint="cs"/>
                <w:b/>
                <w:bCs/>
                <w:position w:val="2"/>
                <w:sz w:val="32"/>
                <w:szCs w:val="32"/>
                <w:rtl/>
                <w:lang w:bidi="ar-EG"/>
              </w:rPr>
              <w:t>الثالث</w:t>
            </w:r>
            <w:r w:rsidRPr="00D43388">
              <w:rPr>
                <w:b/>
                <w:bCs/>
                <w:position w:val="2"/>
                <w:sz w:val="32"/>
                <w:szCs w:val="32"/>
                <w:rtl/>
                <w:lang w:bidi="ar-EG"/>
              </w:rPr>
              <w:t xml:space="preserve"> </w:t>
            </w:r>
            <w:r w:rsidRPr="00D43388">
              <w:rPr>
                <w:b/>
                <w:bCs/>
                <w:position w:val="2"/>
                <w:sz w:val="32"/>
                <w:szCs w:val="32"/>
                <w:lang w:bidi="ar-EG"/>
              </w:rPr>
              <w:t>(IRM-</w:t>
            </w:r>
            <w:r w:rsidR="0028422D">
              <w:rPr>
                <w:b/>
                <w:bCs/>
                <w:position w:val="2"/>
                <w:sz w:val="32"/>
                <w:szCs w:val="32"/>
                <w:lang w:bidi="ar-EG"/>
              </w:rPr>
              <w:t>3</w:t>
            </w:r>
            <w:r w:rsidRPr="00D43388">
              <w:rPr>
                <w:b/>
                <w:bCs/>
                <w:position w:val="2"/>
                <w:sz w:val="32"/>
                <w:szCs w:val="32"/>
                <w:lang w:bidi="ar-EG"/>
              </w:rPr>
              <w:t>)</w:t>
            </w:r>
            <w:r w:rsidRPr="00D43388">
              <w:rPr>
                <w:rFonts w:hint="cs"/>
                <w:b/>
                <w:bCs/>
                <w:position w:val="2"/>
                <w:sz w:val="32"/>
                <w:szCs w:val="32"/>
                <w:rtl/>
              </w:rPr>
              <w:t xml:space="preserve"> للتحضير</w:t>
            </w:r>
            <w:r w:rsidRPr="00D43388">
              <w:rPr>
                <w:b/>
                <w:bCs/>
                <w:position w:val="2"/>
                <w:sz w:val="32"/>
                <w:szCs w:val="32"/>
                <w:rtl/>
              </w:rPr>
              <w:br/>
              <w:t>للمؤتمر العالمي لتنمية الاتصالات</w:t>
            </w:r>
            <w:r w:rsidRPr="00D43388">
              <w:rPr>
                <w:b/>
                <w:bCs/>
                <w:position w:val="2"/>
                <w:sz w:val="32"/>
                <w:szCs w:val="32"/>
                <w:rtl/>
                <w:lang w:bidi="ar-EG"/>
              </w:rPr>
              <w:br/>
              <w:t xml:space="preserve"> </w:t>
            </w:r>
            <w:r w:rsidR="00377250">
              <w:rPr>
                <w:rFonts w:hint="cs"/>
                <w:b/>
                <w:bCs/>
                <w:position w:val="2"/>
                <w:sz w:val="24"/>
                <w:szCs w:val="24"/>
                <w:rtl/>
                <w:lang w:bidi="ar-EG"/>
              </w:rPr>
              <w:t>جنيف</w:t>
            </w:r>
            <w:r w:rsidRPr="00D43388">
              <w:rPr>
                <w:rFonts w:hint="cs"/>
                <w:b/>
                <w:bCs/>
                <w:position w:val="2"/>
                <w:sz w:val="24"/>
                <w:szCs w:val="24"/>
                <w:rtl/>
                <w:lang w:bidi="ar-EG"/>
              </w:rPr>
              <w:t>،</w:t>
            </w:r>
            <w:r w:rsidR="00377250">
              <w:rPr>
                <w:rFonts w:hint="cs"/>
                <w:b/>
                <w:bCs/>
                <w:position w:val="2"/>
                <w:sz w:val="24"/>
                <w:szCs w:val="24"/>
                <w:rtl/>
                <w:lang w:bidi="ar-EG"/>
              </w:rPr>
              <w:t xml:space="preserve"> سويسرا،</w:t>
            </w:r>
            <w:r w:rsidRPr="00D43388">
              <w:rPr>
                <w:b/>
                <w:bCs/>
                <w:position w:val="2"/>
                <w:sz w:val="24"/>
                <w:szCs w:val="24"/>
                <w:rtl/>
                <w:lang w:bidi="ar-EG"/>
              </w:rPr>
              <w:t xml:space="preserve"> </w:t>
            </w:r>
            <w:r w:rsidR="00377250">
              <w:rPr>
                <w:b/>
                <w:bCs/>
                <w:position w:val="2"/>
                <w:sz w:val="24"/>
                <w:szCs w:val="24"/>
                <w:lang w:bidi="ar-EG"/>
              </w:rPr>
              <w:t>11-10</w:t>
            </w:r>
            <w:r w:rsidRPr="00D43388">
              <w:rPr>
                <w:b/>
                <w:bCs/>
                <w:position w:val="2"/>
                <w:sz w:val="24"/>
                <w:szCs w:val="24"/>
                <w:rtl/>
                <w:lang w:bidi="ar-EG"/>
              </w:rPr>
              <w:t xml:space="preserve"> </w:t>
            </w:r>
            <w:r w:rsidR="00377250">
              <w:rPr>
                <w:rFonts w:hint="cs"/>
                <w:b/>
                <w:bCs/>
                <w:position w:val="2"/>
                <w:sz w:val="24"/>
                <w:szCs w:val="24"/>
                <w:rtl/>
                <w:lang w:bidi="ar-EG"/>
              </w:rPr>
              <w:t>مارس</w:t>
            </w:r>
            <w:r w:rsidRPr="00D43388">
              <w:rPr>
                <w:b/>
                <w:bCs/>
                <w:position w:val="2"/>
                <w:sz w:val="24"/>
                <w:szCs w:val="24"/>
                <w:rtl/>
                <w:lang w:bidi="ar-EG"/>
              </w:rPr>
              <w:t xml:space="preserve"> </w:t>
            </w:r>
            <w:r w:rsidR="00377250">
              <w:rPr>
                <w:rFonts w:hint="cs"/>
                <w:b/>
                <w:bCs/>
                <w:position w:val="2"/>
                <w:sz w:val="24"/>
                <w:szCs w:val="24"/>
                <w:rtl/>
                <w:lang w:bidi="ar-EG"/>
              </w:rPr>
              <w:t>2022</w:t>
            </w:r>
          </w:p>
        </w:tc>
        <w:tc>
          <w:tcPr>
            <w:tcW w:w="735" w:type="pct"/>
            <w:tcBorders>
              <w:bottom w:val="single" w:sz="12" w:space="0" w:color="auto"/>
            </w:tcBorders>
          </w:tcPr>
          <w:p w14:paraId="14A4776A" w14:textId="77777777" w:rsidR="00D43388" w:rsidRPr="00D43388" w:rsidRDefault="00D43388" w:rsidP="008B1923">
            <w:pPr>
              <w:spacing w:before="360"/>
              <w:jc w:val="left"/>
              <w:rPr>
                <w:b/>
                <w:bCs/>
                <w:position w:val="2"/>
                <w:sz w:val="32"/>
                <w:szCs w:val="32"/>
                <w:lang w:bidi="ar-EG"/>
              </w:rPr>
            </w:pPr>
            <w:r w:rsidRPr="00D43388">
              <w:rPr>
                <w:b/>
                <w:bCs/>
                <w:noProof/>
                <w:position w:val="2"/>
                <w:sz w:val="32"/>
                <w:szCs w:val="32"/>
                <w:lang w:val="en-US"/>
              </w:rPr>
              <w:drawing>
                <wp:inline distT="0" distB="0" distL="0" distR="0" wp14:anchorId="228C0428" wp14:editId="708842C7">
                  <wp:extent cx="712470" cy="785495"/>
                  <wp:effectExtent l="0" t="0" r="0" b="0"/>
                  <wp:docPr id="6" name="Picture 6"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8E62E0" w:rsidRPr="00254C2D" w14:paraId="3730032D" w14:textId="77777777" w:rsidTr="008B1923">
        <w:trPr>
          <w:cantSplit/>
          <w:jc w:val="center"/>
        </w:trPr>
        <w:tc>
          <w:tcPr>
            <w:tcW w:w="3458" w:type="pct"/>
            <w:gridSpan w:val="2"/>
            <w:tcBorders>
              <w:top w:val="single" w:sz="8" w:space="0" w:color="auto"/>
            </w:tcBorders>
          </w:tcPr>
          <w:p w14:paraId="1DB79953" w14:textId="77777777" w:rsidR="008E62E0" w:rsidRPr="00254C2D" w:rsidRDefault="008E62E0" w:rsidP="008B1923">
            <w:pPr>
              <w:tabs>
                <w:tab w:val="clear" w:pos="794"/>
              </w:tabs>
              <w:spacing w:before="0"/>
              <w:rPr>
                <w:b/>
                <w:bCs/>
                <w:position w:val="2"/>
                <w:lang w:bidi="ar-SY"/>
              </w:rPr>
            </w:pPr>
          </w:p>
        </w:tc>
        <w:tc>
          <w:tcPr>
            <w:tcW w:w="1542" w:type="pct"/>
            <w:gridSpan w:val="2"/>
            <w:tcBorders>
              <w:top w:val="single" w:sz="8" w:space="0" w:color="auto"/>
            </w:tcBorders>
          </w:tcPr>
          <w:p w14:paraId="2781BCAD" w14:textId="77777777" w:rsidR="008E62E0" w:rsidRPr="00254C2D" w:rsidRDefault="008E62E0" w:rsidP="008B1923">
            <w:pPr>
              <w:tabs>
                <w:tab w:val="clear" w:pos="794"/>
              </w:tabs>
              <w:spacing w:before="0"/>
              <w:rPr>
                <w:b/>
                <w:bCs/>
                <w:position w:val="2"/>
                <w:lang w:bidi="ar-SY"/>
              </w:rPr>
            </w:pPr>
          </w:p>
        </w:tc>
      </w:tr>
      <w:tr w:rsidR="00BB3464" w:rsidRPr="00254C2D" w14:paraId="75123F10" w14:textId="77777777" w:rsidTr="008B1923">
        <w:trPr>
          <w:cantSplit/>
          <w:jc w:val="center"/>
        </w:trPr>
        <w:tc>
          <w:tcPr>
            <w:tcW w:w="3458" w:type="pct"/>
            <w:gridSpan w:val="2"/>
          </w:tcPr>
          <w:p w14:paraId="47F6B661" w14:textId="77777777" w:rsidR="00BB3464" w:rsidRPr="00254C2D" w:rsidRDefault="00BB3464" w:rsidP="00830C9C">
            <w:pPr>
              <w:tabs>
                <w:tab w:val="clear" w:pos="794"/>
              </w:tabs>
              <w:spacing w:before="40" w:after="40" w:line="260" w:lineRule="exact"/>
              <w:rPr>
                <w:b/>
                <w:bCs/>
                <w:position w:val="2"/>
                <w:rtl/>
                <w:lang w:bidi="ar-EG"/>
              </w:rPr>
            </w:pPr>
          </w:p>
        </w:tc>
        <w:tc>
          <w:tcPr>
            <w:tcW w:w="1542" w:type="pct"/>
            <w:gridSpan w:val="2"/>
            <w:vAlign w:val="center"/>
          </w:tcPr>
          <w:p w14:paraId="5EBF89B1" w14:textId="622FCBCE" w:rsidR="00BB3464" w:rsidRPr="00254C2D" w:rsidRDefault="00BB3464" w:rsidP="00830C9C">
            <w:pPr>
              <w:tabs>
                <w:tab w:val="clear" w:pos="794"/>
              </w:tabs>
              <w:spacing w:before="40" w:after="40" w:line="260" w:lineRule="exact"/>
              <w:rPr>
                <w:b/>
                <w:bCs/>
                <w:position w:val="2"/>
                <w:rtl/>
                <w:lang w:bidi="ar-SY"/>
              </w:rPr>
            </w:pPr>
            <w:r w:rsidRPr="00254C2D">
              <w:rPr>
                <w:b/>
                <w:bCs/>
                <w:position w:val="2"/>
                <w:rtl/>
                <w:lang w:bidi="ar-EG"/>
              </w:rPr>
              <w:t xml:space="preserve">الوثيقة </w:t>
            </w:r>
            <w:r>
              <w:rPr>
                <w:b/>
                <w:bCs/>
                <w:position w:val="2"/>
                <w:lang w:bidi="ar-SY"/>
              </w:rPr>
              <w:t>IRM21-3</w:t>
            </w:r>
            <w:r w:rsidRPr="00254C2D">
              <w:rPr>
                <w:b/>
                <w:bCs/>
                <w:position w:val="2"/>
                <w:lang w:bidi="ar-SY"/>
              </w:rPr>
              <w:t>/</w:t>
            </w:r>
            <w:r>
              <w:rPr>
                <w:b/>
                <w:bCs/>
                <w:position w:val="2"/>
                <w:lang w:bidi="ar-SY"/>
              </w:rPr>
              <w:t>69</w:t>
            </w:r>
            <w:r w:rsidRPr="00254C2D">
              <w:rPr>
                <w:b/>
                <w:bCs/>
                <w:position w:val="2"/>
                <w:lang w:bidi="ar-SY"/>
              </w:rPr>
              <w:t xml:space="preserve">-A </w:t>
            </w:r>
          </w:p>
        </w:tc>
      </w:tr>
      <w:tr w:rsidR="00BB3464" w:rsidRPr="00254C2D" w14:paraId="0E5C7B77" w14:textId="77777777" w:rsidTr="008B1923">
        <w:trPr>
          <w:cantSplit/>
          <w:jc w:val="center"/>
        </w:trPr>
        <w:tc>
          <w:tcPr>
            <w:tcW w:w="3458" w:type="pct"/>
            <w:gridSpan w:val="2"/>
          </w:tcPr>
          <w:p w14:paraId="580A3B01" w14:textId="77777777" w:rsidR="00BB3464" w:rsidRPr="00254C2D" w:rsidRDefault="00BB3464" w:rsidP="00830C9C">
            <w:pPr>
              <w:tabs>
                <w:tab w:val="clear" w:pos="794"/>
              </w:tabs>
              <w:spacing w:before="40" w:after="40" w:line="260" w:lineRule="exact"/>
              <w:rPr>
                <w:b/>
                <w:bCs/>
                <w:position w:val="2"/>
                <w:lang w:bidi="ar-SY"/>
              </w:rPr>
            </w:pPr>
          </w:p>
        </w:tc>
        <w:tc>
          <w:tcPr>
            <w:tcW w:w="1542" w:type="pct"/>
            <w:gridSpan w:val="2"/>
            <w:vAlign w:val="center"/>
          </w:tcPr>
          <w:p w14:paraId="1B866850" w14:textId="0C34F5D5" w:rsidR="00BB3464" w:rsidRPr="00254C2D" w:rsidRDefault="00BB3464" w:rsidP="00830C9C">
            <w:pPr>
              <w:tabs>
                <w:tab w:val="clear" w:pos="794"/>
              </w:tabs>
              <w:spacing w:before="40" w:after="40" w:line="260" w:lineRule="exact"/>
              <w:rPr>
                <w:b/>
                <w:bCs/>
                <w:position w:val="2"/>
                <w:lang w:val="en-US" w:bidi="ar-EG"/>
              </w:rPr>
            </w:pPr>
            <w:r>
              <w:rPr>
                <w:b/>
                <w:bCs/>
                <w:position w:val="2"/>
                <w:lang w:val="en-US" w:bidi="ar-SY"/>
              </w:rPr>
              <w:t>3</w:t>
            </w:r>
            <w:r>
              <w:rPr>
                <w:rFonts w:hint="cs"/>
                <w:b/>
                <w:bCs/>
                <w:position w:val="2"/>
                <w:rtl/>
                <w:lang w:val="en-US" w:bidi="ar-EG"/>
              </w:rPr>
              <w:t xml:space="preserve"> مارس </w:t>
            </w:r>
            <w:r>
              <w:rPr>
                <w:b/>
                <w:bCs/>
                <w:position w:val="2"/>
                <w:lang w:val="en-US" w:bidi="ar-EG"/>
              </w:rPr>
              <w:t>2022</w:t>
            </w:r>
          </w:p>
        </w:tc>
      </w:tr>
      <w:tr w:rsidR="00BB3464" w:rsidRPr="00254C2D" w14:paraId="2E859E34" w14:textId="77777777" w:rsidTr="008B1923">
        <w:trPr>
          <w:cantSplit/>
          <w:jc w:val="center"/>
        </w:trPr>
        <w:tc>
          <w:tcPr>
            <w:tcW w:w="3458" w:type="pct"/>
            <w:gridSpan w:val="2"/>
          </w:tcPr>
          <w:p w14:paraId="0CF932C4" w14:textId="77777777" w:rsidR="00BB3464" w:rsidRPr="00254C2D" w:rsidRDefault="00BB3464" w:rsidP="00830C9C">
            <w:pPr>
              <w:tabs>
                <w:tab w:val="clear" w:pos="794"/>
              </w:tabs>
              <w:spacing w:before="40" w:after="40" w:line="260" w:lineRule="exact"/>
              <w:rPr>
                <w:b/>
                <w:bCs/>
                <w:position w:val="2"/>
                <w:lang w:bidi="ar-SY"/>
              </w:rPr>
            </w:pPr>
          </w:p>
        </w:tc>
        <w:tc>
          <w:tcPr>
            <w:tcW w:w="1542" w:type="pct"/>
            <w:gridSpan w:val="2"/>
            <w:vAlign w:val="center"/>
          </w:tcPr>
          <w:p w14:paraId="4F1D34F6" w14:textId="69657B71" w:rsidR="00BB3464" w:rsidRPr="00254C2D" w:rsidRDefault="00BB3464" w:rsidP="00830C9C">
            <w:pPr>
              <w:tabs>
                <w:tab w:val="clear" w:pos="794"/>
              </w:tabs>
              <w:spacing w:before="40" w:after="40" w:line="260" w:lineRule="exact"/>
              <w:rPr>
                <w:b/>
                <w:bCs/>
                <w:position w:val="2"/>
                <w:rtl/>
                <w:lang w:bidi="ar-EG"/>
              </w:rPr>
            </w:pPr>
            <w:r w:rsidRPr="00254C2D">
              <w:rPr>
                <w:b/>
                <w:bCs/>
                <w:position w:val="2"/>
                <w:rtl/>
                <w:lang w:bidi="ar-EG"/>
              </w:rPr>
              <w:t xml:space="preserve">الأصل: </w:t>
            </w:r>
            <w:r w:rsidRPr="009F20EC">
              <w:rPr>
                <w:b/>
                <w:bCs/>
                <w:position w:val="2"/>
                <w:rtl/>
                <w:lang w:bidi="ar-EG"/>
              </w:rPr>
              <w:t>بالإنكليزية</w:t>
            </w:r>
          </w:p>
        </w:tc>
      </w:tr>
      <w:tr w:rsidR="008E62E0" w:rsidRPr="000A5A56" w14:paraId="10DD161E" w14:textId="77777777" w:rsidTr="008B1923">
        <w:trPr>
          <w:cantSplit/>
          <w:jc w:val="center"/>
        </w:trPr>
        <w:tc>
          <w:tcPr>
            <w:tcW w:w="5000" w:type="pct"/>
            <w:gridSpan w:val="4"/>
          </w:tcPr>
          <w:p w14:paraId="57130CC0" w14:textId="62D3F409" w:rsidR="008E62E0" w:rsidRPr="000A5A56" w:rsidRDefault="00377250" w:rsidP="008B1923">
            <w:pPr>
              <w:pStyle w:val="Source"/>
              <w:rPr>
                <w:b w:val="0"/>
                <w:bCs w:val="0"/>
                <w:position w:val="2"/>
                <w:sz w:val="32"/>
                <w:szCs w:val="32"/>
                <w:lang w:bidi="ar-SY"/>
              </w:rPr>
            </w:pPr>
            <w:r w:rsidRPr="000A5A56">
              <w:rPr>
                <w:rFonts w:hint="cs"/>
                <w:b w:val="0"/>
                <w:position w:val="2"/>
                <w:sz w:val="32"/>
                <w:szCs w:val="32"/>
                <w:rtl/>
                <w:lang w:bidi="ar-SY"/>
              </w:rPr>
              <w:t>مديرة مكتب تنمية الاتصالات</w:t>
            </w:r>
          </w:p>
        </w:tc>
      </w:tr>
      <w:tr w:rsidR="008E62E0" w:rsidRPr="000A5A56" w14:paraId="5F1BFEBA" w14:textId="77777777" w:rsidTr="008B1923">
        <w:trPr>
          <w:cantSplit/>
          <w:jc w:val="center"/>
        </w:trPr>
        <w:tc>
          <w:tcPr>
            <w:tcW w:w="5000" w:type="pct"/>
            <w:gridSpan w:val="4"/>
          </w:tcPr>
          <w:p w14:paraId="0CA633C0" w14:textId="18DEC7CC" w:rsidR="008E62E0" w:rsidRPr="000A5A56" w:rsidRDefault="006E2A4B" w:rsidP="008B1923">
            <w:pPr>
              <w:pStyle w:val="Title1"/>
              <w:spacing w:before="120"/>
              <w:rPr>
                <w:position w:val="2"/>
                <w:sz w:val="32"/>
                <w:szCs w:val="32"/>
                <w:lang w:val="en-US" w:bidi="ar-EG"/>
              </w:rPr>
            </w:pPr>
            <w:r w:rsidRPr="000A5A56">
              <w:rPr>
                <w:rFonts w:hint="cs"/>
                <w:position w:val="2"/>
                <w:sz w:val="32"/>
                <w:szCs w:val="32"/>
                <w:rtl/>
                <w:lang w:bidi="ar-EG"/>
              </w:rPr>
              <w:t>أساس توزيع الوثائق وعب</w:t>
            </w:r>
            <w:r w:rsidR="0056507B">
              <w:rPr>
                <w:rFonts w:hint="cs"/>
                <w:position w:val="2"/>
                <w:sz w:val="32"/>
                <w:szCs w:val="32"/>
                <w:rtl/>
                <w:lang w:bidi="ar-EG"/>
              </w:rPr>
              <w:t>ء</w:t>
            </w:r>
            <w:r w:rsidRPr="000A5A56">
              <w:rPr>
                <w:rFonts w:hint="cs"/>
                <w:position w:val="2"/>
                <w:sz w:val="32"/>
                <w:szCs w:val="32"/>
                <w:rtl/>
                <w:lang w:bidi="ar-EG"/>
              </w:rPr>
              <w:t xml:space="preserve"> العمل الواقع على اللجان</w:t>
            </w:r>
            <w:r w:rsidR="00830C9C">
              <w:rPr>
                <w:position w:val="2"/>
                <w:sz w:val="32"/>
                <w:szCs w:val="32"/>
                <w:rtl/>
                <w:lang w:bidi="ar-EG"/>
              </w:rPr>
              <w:br/>
            </w:r>
            <w:r w:rsidRPr="000A5A56">
              <w:rPr>
                <w:rFonts w:hint="cs"/>
                <w:position w:val="2"/>
                <w:sz w:val="32"/>
                <w:szCs w:val="32"/>
                <w:rtl/>
                <w:lang w:bidi="ar-EG"/>
              </w:rPr>
              <w:t xml:space="preserve">في المؤتمر العالمي لتنمية الاتصالات لعام </w:t>
            </w:r>
            <w:r w:rsidR="00832211" w:rsidRPr="000A5A56">
              <w:rPr>
                <w:position w:val="2"/>
                <w:sz w:val="32"/>
                <w:szCs w:val="32"/>
                <w:lang w:val="en-US" w:bidi="ar-EG"/>
              </w:rPr>
              <w:t>2021</w:t>
            </w:r>
          </w:p>
        </w:tc>
      </w:tr>
    </w:tbl>
    <w:p w14:paraId="00D8B015" w14:textId="44088C65" w:rsidR="00CF7114" w:rsidRPr="000A5A56" w:rsidRDefault="00CF7114" w:rsidP="00CF7114">
      <w:pPr>
        <w:rPr>
          <w:rtl/>
          <w:lang w:val="en-US" w:bidi="ar-EG"/>
        </w:rPr>
      </w:pPr>
    </w:p>
    <w:tbl>
      <w:tblPr>
        <w:bidiVisual/>
        <w:tblW w:w="5005"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41"/>
      </w:tblGrid>
      <w:tr w:rsidR="00CF7114" w:rsidRPr="000A5A56" w14:paraId="5AD7FF39" w14:textId="77777777" w:rsidTr="004746C2">
        <w:trPr>
          <w:cantSplit/>
          <w:jc w:val="center"/>
        </w:trPr>
        <w:tc>
          <w:tcPr>
            <w:tcW w:w="5000" w:type="pct"/>
            <w:tcBorders>
              <w:top w:val="single" w:sz="4" w:space="0" w:color="auto"/>
              <w:left w:val="single" w:sz="4" w:space="0" w:color="auto"/>
              <w:bottom w:val="single" w:sz="4" w:space="0" w:color="auto"/>
              <w:right w:val="single" w:sz="4" w:space="0" w:color="auto"/>
            </w:tcBorders>
          </w:tcPr>
          <w:p w14:paraId="1607D3A2" w14:textId="15DBB997" w:rsidR="00CF7114" w:rsidRPr="000A5A56" w:rsidRDefault="00CF7114" w:rsidP="00CF7114">
            <w:pPr>
              <w:tabs>
                <w:tab w:val="clear" w:pos="794"/>
                <w:tab w:val="clear" w:pos="1191"/>
                <w:tab w:val="clear" w:pos="1588"/>
                <w:tab w:val="clear" w:pos="1985"/>
              </w:tabs>
              <w:spacing w:after="120"/>
              <w:rPr>
                <w:position w:val="2"/>
                <w:rtl/>
                <w:lang w:bidi="ar-EG"/>
              </w:rPr>
            </w:pPr>
            <w:r w:rsidRPr="000A5A56">
              <w:rPr>
                <w:rFonts w:hint="cs"/>
                <w:b/>
                <w:bCs/>
                <w:position w:val="2"/>
                <w:rtl/>
                <w:lang w:bidi="ar-EG"/>
              </w:rPr>
              <w:t>مجال الأولوية</w:t>
            </w:r>
            <w:r w:rsidRPr="000A5A56">
              <w:rPr>
                <w:b/>
                <w:bCs/>
                <w:position w:val="2"/>
                <w:rtl/>
                <w:lang w:bidi="ar-EG"/>
              </w:rPr>
              <w:t>:</w:t>
            </w:r>
            <w:r w:rsidRPr="000A5A56">
              <w:rPr>
                <w:b/>
                <w:bCs/>
                <w:position w:val="2"/>
                <w:rtl/>
                <w:lang w:bidi="ar-EG"/>
              </w:rPr>
              <w:tab/>
            </w:r>
            <w:r w:rsidRPr="000A5A56">
              <w:rPr>
                <w:rFonts w:hint="cs"/>
                <w:position w:val="2"/>
                <w:rtl/>
                <w:lang w:bidi="ar-EG"/>
              </w:rPr>
              <w:t>لا يوجد</w:t>
            </w:r>
          </w:p>
          <w:p w14:paraId="77F3FE21" w14:textId="77777777" w:rsidR="00CF7114" w:rsidRPr="000A5A56" w:rsidRDefault="00CF7114" w:rsidP="004746C2">
            <w:pPr>
              <w:spacing w:after="120"/>
              <w:rPr>
                <w:b/>
                <w:bCs/>
                <w:position w:val="2"/>
                <w:lang w:bidi="ar-EG"/>
              </w:rPr>
            </w:pPr>
            <w:r w:rsidRPr="000A5A56">
              <w:rPr>
                <w:b/>
                <w:bCs/>
                <w:position w:val="2"/>
                <w:rtl/>
                <w:lang w:bidi="ar-EG"/>
              </w:rPr>
              <w:t>ملخص</w:t>
            </w:r>
            <w:r w:rsidRPr="000A5A56">
              <w:rPr>
                <w:b/>
                <w:bCs/>
                <w:position w:val="2"/>
                <w:lang w:bidi="ar-EG"/>
              </w:rPr>
              <w:t>:</w:t>
            </w:r>
          </w:p>
          <w:p w14:paraId="666926CE" w14:textId="7A92DD7B" w:rsidR="00CF7114" w:rsidRPr="000A5A56" w:rsidRDefault="00832211" w:rsidP="004746C2">
            <w:pPr>
              <w:spacing w:after="120"/>
              <w:rPr>
                <w:position w:val="2"/>
                <w:rtl/>
                <w:lang w:val="en-US" w:bidi="ar-EG"/>
              </w:rPr>
            </w:pPr>
            <w:r w:rsidRPr="000A5A56">
              <w:rPr>
                <w:rFonts w:hint="cs"/>
                <w:position w:val="2"/>
                <w:rtl/>
                <w:lang w:bidi="ar-EG"/>
              </w:rPr>
              <w:t xml:space="preserve">تتضمن هذه الوثيقة الأساس المقترح لتوزيع الوثائق في المؤتمر العالمي لتنمية الاتصالات لعام </w:t>
            </w:r>
            <w:r w:rsidRPr="000A5A56">
              <w:rPr>
                <w:position w:val="2"/>
                <w:lang w:val="en-US" w:bidi="ar-EG"/>
              </w:rPr>
              <w:t>2021</w:t>
            </w:r>
            <w:r w:rsidRPr="000A5A56">
              <w:rPr>
                <w:rFonts w:hint="cs"/>
                <w:position w:val="2"/>
                <w:rtl/>
                <w:lang w:val="en-US" w:bidi="ar-EG"/>
              </w:rPr>
              <w:t xml:space="preserve">، المقدم للمناقشة استناداً إلى الهيكل المقترح للمؤتمر الذي </w:t>
            </w:r>
            <w:r w:rsidR="0056507B">
              <w:rPr>
                <w:rFonts w:hint="cs"/>
                <w:position w:val="2"/>
                <w:rtl/>
                <w:lang w:val="en-US" w:bidi="ar-EG"/>
              </w:rPr>
              <w:t>أقره</w:t>
            </w:r>
            <w:r w:rsidRPr="000A5A56">
              <w:rPr>
                <w:rFonts w:hint="cs"/>
                <w:position w:val="2"/>
                <w:rtl/>
                <w:lang w:val="en-US" w:bidi="ar-EG"/>
              </w:rPr>
              <w:t xml:space="preserve"> اجتماع الفريق الاستشاري لتنمية الاتصالات لعام </w:t>
            </w:r>
            <w:r w:rsidRPr="000A5A56">
              <w:rPr>
                <w:position w:val="2"/>
                <w:lang w:val="en-US" w:bidi="ar-EG"/>
              </w:rPr>
              <w:t>2021</w:t>
            </w:r>
            <w:r w:rsidRPr="000A5A56">
              <w:rPr>
                <w:rFonts w:hint="cs"/>
                <w:position w:val="2"/>
                <w:rtl/>
                <w:lang w:val="en-US" w:bidi="ar-EG"/>
              </w:rPr>
              <w:t>.</w:t>
            </w:r>
          </w:p>
          <w:p w14:paraId="6B029F8D" w14:textId="77777777" w:rsidR="00CF7114" w:rsidRPr="000A5A56" w:rsidRDefault="00CF7114" w:rsidP="004746C2">
            <w:pPr>
              <w:spacing w:after="120"/>
              <w:rPr>
                <w:b/>
                <w:bCs/>
                <w:position w:val="2"/>
                <w:rtl/>
                <w:lang w:bidi="ar-EG"/>
              </w:rPr>
            </w:pPr>
            <w:r w:rsidRPr="000A5A56">
              <w:rPr>
                <w:b/>
                <w:bCs/>
                <w:position w:val="2"/>
                <w:rtl/>
                <w:lang w:bidi="ar-EG"/>
              </w:rPr>
              <w:t>النتائج المتوقعة</w:t>
            </w:r>
            <w:r w:rsidRPr="000A5A56">
              <w:rPr>
                <w:b/>
                <w:bCs/>
                <w:position w:val="2"/>
                <w:lang w:bidi="ar-EG"/>
              </w:rPr>
              <w:t>:</w:t>
            </w:r>
          </w:p>
          <w:p w14:paraId="5EAFC195" w14:textId="7380EB75" w:rsidR="00CF7114" w:rsidRPr="000A5A56" w:rsidRDefault="00336510" w:rsidP="004746C2">
            <w:pPr>
              <w:spacing w:after="120"/>
              <w:rPr>
                <w:position w:val="2"/>
                <w:rtl/>
                <w:lang w:val="en-US" w:bidi="ar-EG"/>
              </w:rPr>
            </w:pPr>
            <w:r w:rsidRPr="000A5A56">
              <w:rPr>
                <w:rFonts w:hint="cs"/>
                <w:position w:val="2"/>
                <w:rtl/>
                <w:lang w:bidi="ar-EG"/>
              </w:rPr>
              <w:t xml:space="preserve">يُدعى الاجتماع الأقاليمي الثالث </w:t>
            </w:r>
            <w:r w:rsidRPr="000A5A56">
              <w:rPr>
                <w:position w:val="2"/>
                <w:lang w:val="en-US" w:bidi="ar-EG"/>
              </w:rPr>
              <w:t>(IRM-3)</w:t>
            </w:r>
            <w:r w:rsidRPr="000A5A56">
              <w:rPr>
                <w:rFonts w:hint="cs"/>
                <w:position w:val="2"/>
                <w:rtl/>
                <w:lang w:val="en-US" w:bidi="ar-EG"/>
              </w:rPr>
              <w:t xml:space="preserve"> إلى الإحاطة علماً بهذه الوثيقة.</w:t>
            </w:r>
          </w:p>
          <w:p w14:paraId="17A2578F" w14:textId="77777777" w:rsidR="00CF7114" w:rsidRPr="000A5A56" w:rsidRDefault="00CF7114" w:rsidP="004746C2">
            <w:pPr>
              <w:spacing w:after="120"/>
              <w:rPr>
                <w:b/>
                <w:bCs/>
                <w:position w:val="2"/>
                <w:lang w:bidi="ar-EG"/>
              </w:rPr>
            </w:pPr>
            <w:r w:rsidRPr="000A5A56">
              <w:rPr>
                <w:b/>
                <w:bCs/>
                <w:position w:val="2"/>
                <w:rtl/>
                <w:lang w:bidi="ar-EG"/>
              </w:rPr>
              <w:t>المراجع</w:t>
            </w:r>
            <w:r w:rsidRPr="000A5A56">
              <w:rPr>
                <w:b/>
                <w:bCs/>
                <w:position w:val="2"/>
                <w:lang w:bidi="ar-EG"/>
              </w:rPr>
              <w:t>:</w:t>
            </w:r>
          </w:p>
          <w:p w14:paraId="4A05C80A" w14:textId="7D56899F" w:rsidR="00CF7114" w:rsidRPr="000A5A56" w:rsidRDefault="00E42955" w:rsidP="00CF7114">
            <w:pPr>
              <w:spacing w:after="120"/>
              <w:rPr>
                <w:position w:val="2"/>
                <w:rtl/>
                <w:lang w:bidi="ar-EG"/>
              </w:rPr>
            </w:pPr>
            <w:hyperlink r:id="rId10" w:history="1">
              <w:bookmarkStart w:id="1" w:name="lt_pId024"/>
              <w:r w:rsidR="00CF7114" w:rsidRPr="000A5A56">
                <w:rPr>
                  <w:rStyle w:val="Hyperlink"/>
                  <w:position w:val="2"/>
                  <w:lang w:bidi="ar-EG"/>
                </w:rPr>
                <w:t>TDAG-21/17</w:t>
              </w:r>
              <w:bookmarkEnd w:id="1"/>
            </w:hyperlink>
          </w:p>
        </w:tc>
      </w:tr>
    </w:tbl>
    <w:p w14:paraId="16FED157" w14:textId="672E839B" w:rsidR="00CF7114" w:rsidRPr="000A5A56" w:rsidRDefault="00CF7114" w:rsidP="00CF7114">
      <w:pPr>
        <w:rPr>
          <w:rtl/>
          <w:lang w:val="en-US" w:bidi="ar-EG"/>
        </w:rPr>
      </w:pPr>
    </w:p>
    <w:p w14:paraId="7AE8E003" w14:textId="13634240" w:rsidR="0099599B" w:rsidRPr="000A5A56" w:rsidRDefault="0056507B" w:rsidP="00F561C4">
      <w:pPr>
        <w:rPr>
          <w:rtl/>
          <w:lang w:val="en-US" w:bidi="ar-EG"/>
        </w:rPr>
      </w:pPr>
      <w:r>
        <w:rPr>
          <w:rFonts w:hint="cs"/>
          <w:rtl/>
          <w:lang w:val="en-US" w:bidi="ar-EG"/>
        </w:rPr>
        <w:t>بغية</w:t>
      </w:r>
      <w:r w:rsidR="0099599B" w:rsidRPr="000A5A56">
        <w:rPr>
          <w:rtl/>
          <w:lang w:val="en-US" w:bidi="ar-EG"/>
        </w:rPr>
        <w:t xml:space="preserve"> ضمان أفضل توازن ممكن في عبء العمل بين اللجان الموضوعية </w:t>
      </w:r>
      <w:r w:rsidR="00F561C4" w:rsidRPr="000A5A56">
        <w:rPr>
          <w:rFonts w:hint="cs"/>
          <w:rtl/>
          <w:lang w:val="en-US" w:bidi="ar-EG"/>
        </w:rPr>
        <w:t>لل</w:t>
      </w:r>
      <w:r w:rsidR="00F561C4" w:rsidRPr="000A5A56">
        <w:rPr>
          <w:rtl/>
          <w:lang w:val="en-US" w:bidi="ar-EG"/>
        </w:rPr>
        <w:t>مؤتمر العالمي لتنمية الاتصالات لعام 2021</w:t>
      </w:r>
      <w:r w:rsidR="0099599B" w:rsidRPr="000A5A56">
        <w:rPr>
          <w:rtl/>
          <w:lang w:val="en-US" w:bidi="ar-EG"/>
        </w:rPr>
        <w:t>، يُقترح التقسيم التالي من أجل إثارة النقاش بين الأعضاء الحاضرين</w:t>
      </w:r>
      <w:r w:rsidR="00F561C4" w:rsidRPr="000A5A56">
        <w:rPr>
          <w:rFonts w:hint="cs"/>
          <w:rtl/>
          <w:lang w:val="en-US" w:bidi="ar-EG"/>
        </w:rPr>
        <w:t xml:space="preserve"> في</w:t>
      </w:r>
      <w:r w:rsidR="0099599B" w:rsidRPr="000A5A56">
        <w:rPr>
          <w:rtl/>
          <w:lang w:val="en-US" w:bidi="ar-EG"/>
        </w:rPr>
        <w:t xml:space="preserve"> </w:t>
      </w:r>
      <w:r w:rsidR="00F561C4" w:rsidRPr="000A5A56">
        <w:rPr>
          <w:rtl/>
          <w:lang w:val="en-US" w:bidi="ar-EG"/>
        </w:rPr>
        <w:t>الاجتماع الأقاليمي الثالث (</w:t>
      </w:r>
      <w:r w:rsidR="00F561C4" w:rsidRPr="000A5A56">
        <w:rPr>
          <w:lang w:val="en-US" w:bidi="ar-EG"/>
        </w:rPr>
        <w:t>IRM-3</w:t>
      </w:r>
      <w:r w:rsidR="00F561C4" w:rsidRPr="000A5A56">
        <w:rPr>
          <w:rFonts w:hint="cs"/>
          <w:rtl/>
          <w:lang w:val="en-US" w:bidi="ar-EG"/>
        </w:rPr>
        <w:t>) والذ</w:t>
      </w:r>
      <w:r w:rsidR="00F561C4" w:rsidRPr="000A5A56">
        <w:rPr>
          <w:rFonts w:hint="eastAsia"/>
          <w:rtl/>
          <w:lang w:val="en-US" w:bidi="ar-EG"/>
        </w:rPr>
        <w:t>ي</w:t>
      </w:r>
      <w:r w:rsidR="0099599B" w:rsidRPr="000A5A56">
        <w:rPr>
          <w:rtl/>
          <w:lang w:val="en-US" w:bidi="ar-EG"/>
        </w:rPr>
        <w:t xml:space="preserve"> </w:t>
      </w:r>
      <w:r w:rsidR="00F561C4" w:rsidRPr="000A5A56">
        <w:rPr>
          <w:rFonts w:hint="cs"/>
          <w:rtl/>
          <w:lang w:val="en-US" w:bidi="ar-EG"/>
        </w:rPr>
        <w:t xml:space="preserve">من شأنه </w:t>
      </w:r>
      <w:r>
        <w:rPr>
          <w:rFonts w:hint="cs"/>
          <w:rtl/>
          <w:lang w:val="en-US"/>
        </w:rPr>
        <w:t>توجيه</w:t>
      </w:r>
      <w:r w:rsidR="0099599B" w:rsidRPr="000A5A56">
        <w:rPr>
          <w:rtl/>
          <w:lang w:val="en-US" w:bidi="ar-EG"/>
        </w:rPr>
        <w:t xml:space="preserve"> ترتيبات مدير</w:t>
      </w:r>
      <w:r>
        <w:rPr>
          <w:rFonts w:hint="cs"/>
          <w:rtl/>
          <w:lang w:val="en-US" w:bidi="ar-EG"/>
        </w:rPr>
        <w:t>ة</w:t>
      </w:r>
      <w:r w:rsidR="0099599B" w:rsidRPr="000A5A56">
        <w:rPr>
          <w:rtl/>
          <w:lang w:val="en-US" w:bidi="ar-EG"/>
        </w:rPr>
        <w:t xml:space="preserve"> مكتب تنمية الاتصالات ب</w:t>
      </w:r>
      <w:r w:rsidR="00F561C4" w:rsidRPr="000A5A56">
        <w:rPr>
          <w:rFonts w:hint="cs"/>
          <w:rtl/>
          <w:lang w:val="en-US" w:bidi="ar-EG"/>
        </w:rPr>
        <w:t xml:space="preserve">خصوص </w:t>
      </w:r>
      <w:r w:rsidR="0099599B" w:rsidRPr="000A5A56">
        <w:rPr>
          <w:rtl/>
          <w:lang w:val="en-US" w:bidi="ar-EG"/>
        </w:rPr>
        <w:t xml:space="preserve">المؤتمر. </w:t>
      </w:r>
      <w:r w:rsidR="00F561C4" w:rsidRPr="000A5A56">
        <w:rPr>
          <w:rFonts w:hint="cs"/>
          <w:rtl/>
          <w:lang w:val="en-US" w:bidi="ar-EG"/>
        </w:rPr>
        <w:t>و</w:t>
      </w:r>
      <w:r w:rsidR="0099599B" w:rsidRPr="000A5A56">
        <w:rPr>
          <w:rtl/>
          <w:lang w:val="en-US" w:bidi="ar-EG"/>
        </w:rPr>
        <w:t xml:space="preserve">يستند </w:t>
      </w:r>
      <w:r w:rsidR="00F561C4" w:rsidRPr="000A5A56">
        <w:rPr>
          <w:rFonts w:hint="cs"/>
          <w:rtl/>
          <w:lang w:val="en-US" w:bidi="ar-EG"/>
        </w:rPr>
        <w:t>التوزيع</w:t>
      </w:r>
      <w:r w:rsidR="0099599B" w:rsidRPr="000A5A56">
        <w:rPr>
          <w:rtl/>
          <w:lang w:val="en-US" w:bidi="ar-EG"/>
        </w:rPr>
        <w:t xml:space="preserve"> المقترح إلى اختصاصات كل لجنة وتحقيق التوازن في</w:t>
      </w:r>
      <w:r w:rsidR="00E96105">
        <w:rPr>
          <w:rFonts w:hint="cs"/>
          <w:rtl/>
          <w:lang w:val="en-US" w:bidi="ar-EG"/>
        </w:rPr>
        <w:t> </w:t>
      </w:r>
      <w:r w:rsidR="0099599B" w:rsidRPr="000A5A56">
        <w:rPr>
          <w:rtl/>
          <w:lang w:val="en-US" w:bidi="ar-EG"/>
        </w:rPr>
        <w:t xml:space="preserve">عبء العمل لتجنب الاختناقات على مستوى </w:t>
      </w:r>
      <w:r>
        <w:rPr>
          <w:rFonts w:hint="cs"/>
          <w:rtl/>
          <w:lang w:val="en-US" w:bidi="ar-EG"/>
        </w:rPr>
        <w:t>اللجان</w:t>
      </w:r>
      <w:r w:rsidR="00F6124B" w:rsidRPr="000A5A56">
        <w:rPr>
          <w:rtl/>
          <w:lang w:val="en-US" w:bidi="ar-EG"/>
        </w:rPr>
        <w:t>،</w:t>
      </w:r>
      <w:r w:rsidR="0099599B" w:rsidRPr="000A5A56">
        <w:rPr>
          <w:rtl/>
          <w:lang w:val="en-US" w:bidi="ar-EG"/>
        </w:rPr>
        <w:t xml:space="preserve"> وبالتالي ضمان استكمال أعمال المؤتمر بسلاسة.</w:t>
      </w:r>
    </w:p>
    <w:p w14:paraId="2F35303C" w14:textId="5D91105F" w:rsidR="0028422D" w:rsidRPr="000A5A56" w:rsidRDefault="00F561C4" w:rsidP="00F561C4">
      <w:pPr>
        <w:rPr>
          <w:rtl/>
          <w:lang w:val="en-US" w:bidi="ar-EG"/>
        </w:rPr>
      </w:pPr>
      <w:r w:rsidRPr="000A5A56">
        <w:rPr>
          <w:rFonts w:hint="cs"/>
          <w:rtl/>
          <w:lang w:val="en-US" w:bidi="ar-EG"/>
        </w:rPr>
        <w:t>و</w:t>
      </w:r>
      <w:r w:rsidR="0099599B" w:rsidRPr="000A5A56">
        <w:rPr>
          <w:rtl/>
          <w:lang w:val="en-US" w:bidi="ar-EG"/>
        </w:rPr>
        <w:t xml:space="preserve">لتيسير </w:t>
      </w:r>
      <w:r w:rsidR="0056507B">
        <w:rPr>
          <w:rFonts w:hint="cs"/>
          <w:rtl/>
          <w:lang w:val="en-US" w:bidi="ar-EG"/>
        </w:rPr>
        <w:t>الاطلاع</w:t>
      </w:r>
      <w:r w:rsidR="00F6124B" w:rsidRPr="000A5A56">
        <w:rPr>
          <w:rtl/>
          <w:lang w:val="en-US" w:bidi="ar-EG"/>
        </w:rPr>
        <w:t>،</w:t>
      </w:r>
      <w:r w:rsidR="0099599B" w:rsidRPr="000A5A56">
        <w:rPr>
          <w:rtl/>
          <w:lang w:val="en-US" w:bidi="ar-EG"/>
        </w:rPr>
        <w:t xml:space="preserve"> يرد في الوثيقة </w:t>
      </w:r>
      <w:hyperlink r:id="rId11" w:history="1">
        <w:r w:rsidRPr="000A5A56">
          <w:rPr>
            <w:rStyle w:val="Hyperlink"/>
            <w:position w:val="2"/>
            <w:lang w:bidi="ar-EG"/>
          </w:rPr>
          <w:t>TDAG-21/17</w:t>
        </w:r>
      </w:hyperlink>
      <w:r w:rsidR="00DA27B7">
        <w:rPr>
          <w:rFonts w:hint="cs"/>
          <w:rtl/>
          <w:lang w:val="en-US" w:bidi="ar-EG"/>
        </w:rPr>
        <w:t xml:space="preserve"> م</w:t>
      </w:r>
      <w:r w:rsidR="0099599B" w:rsidRPr="000A5A56">
        <w:rPr>
          <w:rtl/>
          <w:lang w:val="en-US" w:bidi="ar-EG"/>
        </w:rPr>
        <w:t xml:space="preserve">شروع هيكل المؤتمر الذي أقره الفريق الاستشاري لتنمية الاتصالات في دورته </w:t>
      </w:r>
      <w:r w:rsidR="0056507B">
        <w:rPr>
          <w:rFonts w:hint="cs"/>
          <w:rtl/>
          <w:lang w:val="en-US" w:bidi="ar-EG"/>
        </w:rPr>
        <w:t>التي عُقدت</w:t>
      </w:r>
      <w:r w:rsidR="0099599B" w:rsidRPr="000A5A56">
        <w:rPr>
          <w:rtl/>
          <w:lang w:val="en-US" w:bidi="ar-EG"/>
        </w:rPr>
        <w:t xml:space="preserve"> في الفترة من 24 إلى 28 مايو 2021</w:t>
      </w:r>
      <w:r w:rsidRPr="000A5A56">
        <w:rPr>
          <w:rFonts w:hint="cs"/>
          <w:rtl/>
          <w:lang w:val="en-US" w:bidi="ar-EG"/>
        </w:rPr>
        <w:t>.</w:t>
      </w:r>
    </w:p>
    <w:p w14:paraId="2D8459B3" w14:textId="3354F566" w:rsidR="0028422D" w:rsidRPr="000A5A56" w:rsidRDefault="0028422D">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r w:rsidRPr="000A5A56">
        <w:rPr>
          <w:rtl/>
          <w:lang w:val="en-US" w:bidi="ar-EG"/>
        </w:rPr>
        <w:br w:type="page"/>
      </w:r>
    </w:p>
    <w:tbl>
      <w:tblPr>
        <w:tblStyle w:val="TableGrid"/>
        <w:tblW w:w="0" w:type="auto"/>
        <w:tblLook w:val="04A0" w:firstRow="1" w:lastRow="0" w:firstColumn="1" w:lastColumn="0" w:noHBand="0" w:noVBand="1"/>
      </w:tblPr>
      <w:tblGrid>
        <w:gridCol w:w="9629"/>
      </w:tblGrid>
      <w:tr w:rsidR="0028422D" w:rsidRPr="000A5A56" w14:paraId="5C859B06" w14:textId="77777777" w:rsidTr="00030CD2">
        <w:tc>
          <w:tcPr>
            <w:tcW w:w="9629" w:type="dxa"/>
            <w:shd w:val="clear" w:color="auto" w:fill="BDD6EE" w:themeFill="accent1" w:themeFillTint="66"/>
          </w:tcPr>
          <w:p w14:paraId="04F8EC15" w14:textId="7F041137" w:rsidR="0028422D" w:rsidRPr="000A5A56" w:rsidRDefault="0028422D" w:rsidP="00565E1A">
            <w:pPr>
              <w:pStyle w:val="Headingb"/>
              <w:spacing w:before="60" w:after="60"/>
              <w:rPr>
                <w:lang w:bidi="ar-EG"/>
              </w:rPr>
            </w:pPr>
            <w:bookmarkStart w:id="2" w:name="_Toc505867676"/>
            <w:bookmarkStart w:id="3" w:name="_Toc505868837"/>
            <w:r w:rsidRPr="000A5A56">
              <w:rPr>
                <w:rtl/>
                <w:lang w:bidi="ar-EG"/>
              </w:rPr>
              <w:lastRenderedPageBreak/>
              <w:t xml:space="preserve">اللجنة </w:t>
            </w:r>
            <w:r w:rsidRPr="000A5A56">
              <w:rPr>
                <w:lang w:bidi="ar-EG"/>
              </w:rPr>
              <w:t>3</w:t>
            </w:r>
            <w:r w:rsidRPr="000A5A56">
              <w:rPr>
                <w:rFonts w:hint="cs"/>
                <w:rtl/>
                <w:lang w:bidi="ar-EG"/>
              </w:rPr>
              <w:t>:</w:t>
            </w:r>
            <w:r w:rsidRPr="000A5A56">
              <w:rPr>
                <w:rtl/>
                <w:lang w:bidi="ar-EG"/>
              </w:rPr>
              <w:t xml:space="preserve"> </w:t>
            </w:r>
            <w:r w:rsidRPr="000A5A56">
              <w:rPr>
                <w:rFonts w:hint="cs"/>
                <w:rtl/>
                <w:lang w:bidi="ar-EG"/>
              </w:rPr>
              <w:t>الأهداف</w:t>
            </w:r>
            <w:bookmarkEnd w:id="2"/>
            <w:bookmarkEnd w:id="3"/>
          </w:p>
        </w:tc>
      </w:tr>
      <w:tr w:rsidR="0028422D" w:rsidRPr="000A5A56" w14:paraId="67AB3B6F" w14:textId="77777777" w:rsidTr="00030CD2">
        <w:tc>
          <w:tcPr>
            <w:tcW w:w="9629" w:type="dxa"/>
            <w:tcBorders>
              <w:bottom w:val="single" w:sz="4" w:space="0" w:color="auto"/>
            </w:tcBorders>
          </w:tcPr>
          <w:p w14:paraId="0C991444" w14:textId="53CFA926" w:rsidR="0028422D" w:rsidRPr="000A5A56" w:rsidRDefault="0028422D" w:rsidP="00565E1A">
            <w:pPr>
              <w:keepNext/>
              <w:keepLines/>
              <w:spacing w:before="60" w:after="60"/>
            </w:pPr>
            <w:r w:rsidRPr="000A5A56">
              <w:rPr>
                <w:rFonts w:hint="cs"/>
                <w:b/>
                <w:bCs/>
                <w:rtl/>
              </w:rPr>
              <w:t>الاختصاصات</w:t>
            </w:r>
            <w:r w:rsidRPr="000A5A56">
              <w:rPr>
                <w:rFonts w:hint="cs"/>
                <w:rtl/>
              </w:rPr>
              <w:t>: استعراض وإقرار جدول الأعمال وإعداد مقترحات بشأن تنظيم العمل؛ واستعراض وإقرار النواتج والنتائج المتعلقة بالأهداف؛ واستعراض المسائل التي تدرسها لجان الدراسات والمبادرات الإقليمية ذات الصلة والموافقة عليها، ووضع مبادئ توجيهية ملائمة لتنفيذها؛ واستعراض القرارات ذات الصلة والموافقة عليها؛ والعمل على أن تكون النواتج متوافقة مع نهج الإدارة القائمة على النتائج بغية تحسين فعالية الإدارة ومساءلتها.</w:t>
            </w:r>
          </w:p>
        </w:tc>
      </w:tr>
      <w:tr w:rsidR="0028422D" w:rsidRPr="000A5A56" w14:paraId="343F1A8C" w14:textId="77777777" w:rsidTr="00030CD2">
        <w:tc>
          <w:tcPr>
            <w:tcW w:w="9629" w:type="dxa"/>
            <w:tcBorders>
              <w:bottom w:val="single" w:sz="4" w:space="0" w:color="auto"/>
            </w:tcBorders>
          </w:tcPr>
          <w:p w14:paraId="2F13FD26" w14:textId="2BC2B2D2" w:rsidR="0028422D" w:rsidRPr="000A5A56" w:rsidRDefault="00EF26FB" w:rsidP="00FF126E">
            <w:pPr>
              <w:pStyle w:val="enumlev1"/>
              <w:tabs>
                <w:tab w:val="clear" w:pos="794"/>
                <w:tab w:val="clear" w:pos="1191"/>
                <w:tab w:val="clear" w:pos="1588"/>
                <w:tab w:val="clear" w:pos="1985"/>
                <w:tab w:val="left" w:pos="425"/>
              </w:tabs>
              <w:ind w:left="425" w:hanging="425"/>
              <w:rPr>
                <w:lang w:val="en-GB" w:bidi="ar-EG"/>
              </w:rPr>
            </w:pPr>
            <w:r>
              <w:rPr>
                <w:rFonts w:hint="cs"/>
                <w:lang w:val="en-GB" w:bidi="ar-EG"/>
              </w:rPr>
              <w:sym w:font="Symbol" w:char="F0B7"/>
            </w:r>
            <w:r>
              <w:rPr>
                <w:rtl/>
                <w:lang w:val="en-GB" w:bidi="ar-EG"/>
              </w:rPr>
              <w:tab/>
            </w:r>
            <w:r w:rsidR="00C34206" w:rsidRPr="00EF26FB">
              <w:rPr>
                <w:rFonts w:hint="cs"/>
                <w:b/>
                <w:bCs/>
                <w:rtl/>
                <w:lang w:val="en-GB" w:bidi="ar-EG"/>
              </w:rPr>
              <w:t>اختصاصات جميع مسائل لجان الدراسات؛</w:t>
            </w:r>
          </w:p>
          <w:p w14:paraId="2CE35CE5" w14:textId="75B64E9F" w:rsidR="0028422D" w:rsidRPr="000A5A56" w:rsidRDefault="00EF26FB" w:rsidP="00FF126E">
            <w:pPr>
              <w:pStyle w:val="enumlev1"/>
              <w:tabs>
                <w:tab w:val="clear" w:pos="794"/>
                <w:tab w:val="clear" w:pos="1191"/>
                <w:tab w:val="clear" w:pos="1588"/>
                <w:tab w:val="clear" w:pos="1985"/>
                <w:tab w:val="left" w:pos="425"/>
              </w:tabs>
              <w:ind w:left="425" w:hanging="425"/>
              <w:rPr>
                <w:lang w:val="en-GB" w:bidi="ar-EG"/>
              </w:rPr>
            </w:pPr>
            <w:r>
              <w:rPr>
                <w:rFonts w:hint="cs"/>
                <w:lang w:val="en-GB" w:bidi="ar-EG"/>
              </w:rPr>
              <w:sym w:font="Symbol" w:char="F0B7"/>
            </w:r>
            <w:r>
              <w:rPr>
                <w:rtl/>
                <w:lang w:val="en-GB" w:bidi="ar-EG"/>
              </w:rPr>
              <w:tab/>
            </w:r>
            <w:r w:rsidR="00DB315C" w:rsidRPr="00EF26FB">
              <w:rPr>
                <w:rFonts w:hint="cs"/>
                <w:b/>
                <w:bCs/>
                <w:rtl/>
                <w:lang w:val="en-GB" w:bidi="ar-EG"/>
              </w:rPr>
              <w:t>خطة عمل المؤتمر العالمي لتنمية الاتصالات</w:t>
            </w:r>
            <w:r w:rsidR="00F363E8" w:rsidRPr="00EF26FB">
              <w:rPr>
                <w:rFonts w:hint="cs"/>
                <w:b/>
                <w:bCs/>
                <w:rtl/>
                <w:lang w:val="en-GB" w:bidi="ar-EG"/>
              </w:rPr>
              <w:t>؛</w:t>
            </w:r>
          </w:p>
          <w:p w14:paraId="296F789C" w14:textId="255B71F2" w:rsidR="0028422D" w:rsidRPr="00FF126E" w:rsidRDefault="00EF26FB" w:rsidP="00FF126E">
            <w:pPr>
              <w:pStyle w:val="enumlev1"/>
              <w:tabs>
                <w:tab w:val="clear" w:pos="794"/>
                <w:tab w:val="clear" w:pos="1191"/>
                <w:tab w:val="clear" w:pos="1588"/>
                <w:tab w:val="clear" w:pos="1985"/>
                <w:tab w:val="left" w:pos="425"/>
              </w:tabs>
              <w:ind w:left="425" w:hanging="425"/>
              <w:rPr>
                <w:i/>
                <w:iCs/>
                <w:spacing w:val="-4"/>
                <w:rtl/>
                <w:lang w:val="en-GB" w:bidi="ar-EG"/>
              </w:rPr>
            </w:pPr>
            <w:r>
              <w:rPr>
                <w:rFonts w:hint="cs"/>
                <w:bCs/>
                <w:lang w:val="en-GB" w:bidi="ar-EG"/>
              </w:rPr>
              <w:sym w:font="Symbol" w:char="F0B7"/>
            </w:r>
            <w:r>
              <w:rPr>
                <w:bCs/>
                <w:rtl/>
                <w:lang w:val="en-GB" w:bidi="ar-EG"/>
              </w:rPr>
              <w:tab/>
            </w:r>
            <w:r w:rsidR="007B17F1" w:rsidRPr="00FF126E">
              <w:rPr>
                <w:rFonts w:hint="cs"/>
                <w:bCs/>
                <w:spacing w:val="-4"/>
                <w:rtl/>
                <w:lang w:val="en-GB" w:bidi="ar-EG"/>
              </w:rPr>
              <w:t xml:space="preserve">القرار 17 </w:t>
            </w:r>
            <w:r w:rsidR="007B17F1" w:rsidRPr="00FF126E">
              <w:rPr>
                <w:rFonts w:hint="cs"/>
                <w:spacing w:val="-4"/>
                <w:rtl/>
                <w:lang w:val="en-GB" w:bidi="ar-EG"/>
              </w:rPr>
              <w:t>-</w:t>
            </w:r>
            <w:r w:rsidR="007B17F1" w:rsidRPr="00FF126E">
              <w:rPr>
                <w:rFonts w:hint="cs"/>
                <w:bCs/>
                <w:spacing w:val="-4"/>
                <w:rtl/>
                <w:lang w:val="en-GB" w:bidi="ar-EG"/>
              </w:rPr>
              <w:t xml:space="preserve"> </w:t>
            </w:r>
            <w:r w:rsidR="007B17F1" w:rsidRPr="00FF126E">
              <w:rPr>
                <w:i/>
                <w:iCs/>
                <w:spacing w:val="-4"/>
                <w:rtl/>
                <w:lang w:val="en-GB" w:bidi="ar-EG"/>
              </w:rPr>
              <w:t>تنفيذ المبادرات الإقليمية المعتمدة إقليمياً على الأصعدة الوطنية والإقليمية</w:t>
            </w:r>
            <w:r w:rsidR="007B17F1" w:rsidRPr="00FF126E">
              <w:rPr>
                <w:rFonts w:hint="cs"/>
                <w:i/>
                <w:iCs/>
                <w:spacing w:val="-4"/>
                <w:rtl/>
                <w:lang w:val="en-GB" w:bidi="ar-EG"/>
              </w:rPr>
              <w:t xml:space="preserve"> </w:t>
            </w:r>
            <w:r w:rsidR="007B17F1" w:rsidRPr="00FF126E">
              <w:rPr>
                <w:i/>
                <w:iCs/>
                <w:spacing w:val="-4"/>
                <w:rtl/>
                <w:lang w:val="en-GB" w:bidi="ar-EG"/>
              </w:rPr>
              <w:t>والأقاليمية والعالمية والتعاون بشأنه</w:t>
            </w:r>
            <w:r w:rsidR="00C34206" w:rsidRPr="00FF126E">
              <w:rPr>
                <w:rFonts w:hint="cs"/>
                <w:i/>
                <w:iCs/>
                <w:spacing w:val="-4"/>
                <w:rtl/>
                <w:lang w:val="en-GB" w:bidi="ar-EG"/>
              </w:rPr>
              <w:t>؛</w:t>
            </w:r>
          </w:p>
          <w:p w14:paraId="3472D416" w14:textId="6740FC91" w:rsidR="0028422D" w:rsidRPr="00EA215C" w:rsidRDefault="00EF26FB" w:rsidP="00FF126E">
            <w:pPr>
              <w:pStyle w:val="enumlev1"/>
              <w:tabs>
                <w:tab w:val="clear" w:pos="794"/>
                <w:tab w:val="clear" w:pos="1191"/>
                <w:tab w:val="clear" w:pos="1588"/>
                <w:tab w:val="clear" w:pos="1985"/>
                <w:tab w:val="left" w:pos="425"/>
              </w:tabs>
              <w:ind w:left="425" w:hanging="425"/>
              <w:rPr>
                <w:bCs/>
                <w:lang w:val="en-GB" w:bidi="ar-EG"/>
              </w:rPr>
            </w:pPr>
            <w:r>
              <w:rPr>
                <w:rFonts w:hint="cs"/>
                <w:bCs/>
                <w:lang w:val="en-GB" w:bidi="ar-EG"/>
              </w:rPr>
              <w:sym w:font="Symbol" w:char="F0B7"/>
            </w:r>
            <w:r>
              <w:rPr>
                <w:bCs/>
                <w:rtl/>
                <w:lang w:val="en-GB" w:bidi="ar-EG"/>
              </w:rPr>
              <w:tab/>
            </w:r>
            <w:r w:rsidR="00DB315C" w:rsidRPr="007B0B08">
              <w:rPr>
                <w:rFonts w:hint="cs"/>
                <w:bCs/>
                <w:spacing w:val="-6"/>
                <w:rtl/>
                <w:lang w:val="en-GB" w:bidi="ar-EG"/>
              </w:rPr>
              <w:t xml:space="preserve">جميع القرارات والتوصيات الأخرى </w:t>
            </w:r>
            <w:r w:rsidR="00DB315C" w:rsidRPr="007B0B08">
              <w:rPr>
                <w:rFonts w:hint="cs"/>
                <w:spacing w:val="-6"/>
                <w:rtl/>
                <w:lang w:val="en-GB" w:bidi="ar-EG"/>
              </w:rPr>
              <w:t xml:space="preserve">غير </w:t>
            </w:r>
            <w:r w:rsidR="00DA27B7" w:rsidRPr="007B0B08">
              <w:rPr>
                <w:rFonts w:hint="cs"/>
                <w:spacing w:val="-6"/>
                <w:rtl/>
                <w:lang w:val="en-GB" w:bidi="ar-EG"/>
              </w:rPr>
              <w:t>ا</w:t>
            </w:r>
            <w:r w:rsidR="00DA27B7" w:rsidRPr="007B0B08">
              <w:rPr>
                <w:rFonts w:hint="cs"/>
                <w:spacing w:val="-6"/>
                <w:rtl/>
              </w:rPr>
              <w:t>ل</w:t>
            </w:r>
            <w:r w:rsidR="00DB315C" w:rsidRPr="007B0B08">
              <w:rPr>
                <w:rFonts w:hint="cs"/>
                <w:spacing w:val="-6"/>
                <w:rtl/>
                <w:lang w:val="en-GB" w:bidi="ar-EG"/>
              </w:rPr>
              <w:t>مدرجة</w:t>
            </w:r>
            <w:r w:rsidR="00DA27B7" w:rsidRPr="007B0B08">
              <w:rPr>
                <w:rFonts w:hint="cs"/>
                <w:spacing w:val="-6"/>
                <w:rtl/>
                <w:lang w:val="en-GB"/>
              </w:rPr>
              <w:t xml:space="preserve"> لتنظر فيها</w:t>
            </w:r>
            <w:r w:rsidR="00DB315C" w:rsidRPr="007B0B08">
              <w:rPr>
                <w:rFonts w:hint="cs"/>
                <w:spacing w:val="-6"/>
                <w:rtl/>
                <w:lang w:val="en-GB" w:bidi="ar-EG"/>
              </w:rPr>
              <w:t xml:space="preserve"> اللجنة </w:t>
            </w:r>
            <w:r w:rsidR="00DB315C" w:rsidRPr="007B0B08">
              <w:rPr>
                <w:spacing w:val="-6"/>
                <w:lang w:bidi="ar-EG"/>
              </w:rPr>
              <w:t>4</w:t>
            </w:r>
            <w:r w:rsidR="00DB315C" w:rsidRPr="007B0B08">
              <w:rPr>
                <w:rFonts w:hint="cs"/>
                <w:spacing w:val="-6"/>
                <w:rtl/>
                <w:lang w:bidi="ar-EG"/>
              </w:rPr>
              <w:t xml:space="preserve"> </w:t>
            </w:r>
            <w:r w:rsidR="00DB315C" w:rsidRPr="007B0B08">
              <w:rPr>
                <w:spacing w:val="-6"/>
                <w:lang w:bidi="ar-EG"/>
              </w:rPr>
              <w:t>(COM 4)</w:t>
            </w:r>
            <w:r w:rsidR="00DB315C" w:rsidRPr="007B0B08">
              <w:rPr>
                <w:rFonts w:hint="cs"/>
                <w:spacing w:val="-6"/>
                <w:rtl/>
                <w:lang w:bidi="ar-EG"/>
              </w:rPr>
              <w:t xml:space="preserve"> وفريق العمل التابع للجلسة العامة </w:t>
            </w:r>
            <w:r w:rsidR="00DB315C" w:rsidRPr="007B0B08">
              <w:rPr>
                <w:spacing w:val="-6"/>
                <w:lang w:bidi="ar-EG"/>
              </w:rPr>
              <w:t>(WG</w:t>
            </w:r>
            <w:r w:rsidR="00DB315C" w:rsidRPr="007B0B08">
              <w:rPr>
                <w:spacing w:val="-6"/>
                <w:lang w:bidi="ar-EG"/>
              </w:rPr>
              <w:noBreakHyphen/>
              <w:t>PL)</w:t>
            </w:r>
            <w:r w:rsidR="00C34206" w:rsidRPr="007B0B08">
              <w:rPr>
                <w:rFonts w:hint="cs"/>
                <w:bCs/>
                <w:spacing w:val="-6"/>
                <w:rtl/>
                <w:lang w:val="en-GB" w:bidi="ar-EG"/>
              </w:rPr>
              <w:t>.</w:t>
            </w:r>
          </w:p>
        </w:tc>
      </w:tr>
      <w:tr w:rsidR="0028422D" w:rsidRPr="000A5A56" w14:paraId="7C1D446A" w14:textId="77777777" w:rsidTr="00030CD2">
        <w:tc>
          <w:tcPr>
            <w:tcW w:w="9629" w:type="dxa"/>
            <w:tcBorders>
              <w:left w:val="nil"/>
              <w:right w:val="nil"/>
            </w:tcBorders>
          </w:tcPr>
          <w:p w14:paraId="73EA3C6E" w14:textId="77777777" w:rsidR="0028422D" w:rsidRPr="000A5A56" w:rsidRDefault="0028422D" w:rsidP="00565E1A">
            <w:pPr>
              <w:spacing w:before="60" w:after="60"/>
              <w:rPr>
                <w:bCs/>
                <w:lang w:val="en-GB" w:bidi="ar-EG"/>
              </w:rPr>
            </w:pPr>
          </w:p>
        </w:tc>
      </w:tr>
      <w:tr w:rsidR="0028422D" w:rsidRPr="000A5A56" w14:paraId="06B16944" w14:textId="77777777" w:rsidTr="00030CD2">
        <w:tc>
          <w:tcPr>
            <w:tcW w:w="9629" w:type="dxa"/>
            <w:shd w:val="clear" w:color="auto" w:fill="BDD6EE" w:themeFill="accent1" w:themeFillTint="66"/>
          </w:tcPr>
          <w:p w14:paraId="09D68B79" w14:textId="78C56DD3" w:rsidR="0028422D" w:rsidRPr="000A5A56" w:rsidRDefault="007B17F1" w:rsidP="00565E1A">
            <w:pPr>
              <w:pStyle w:val="Headingb"/>
              <w:spacing w:before="60" w:after="60"/>
              <w:rPr>
                <w:lang w:bidi="ar-EG"/>
              </w:rPr>
            </w:pPr>
            <w:bookmarkStart w:id="4" w:name="_Toc505867677"/>
            <w:bookmarkStart w:id="5" w:name="_Toc505868838"/>
            <w:r w:rsidRPr="000A5A56">
              <w:rPr>
                <w:rtl/>
                <w:lang w:bidi="ar-EG"/>
              </w:rPr>
              <w:t xml:space="preserve">اللجنة </w:t>
            </w:r>
            <w:r w:rsidRPr="000A5A56">
              <w:rPr>
                <w:lang w:bidi="ar-EG"/>
              </w:rPr>
              <w:t>4</w:t>
            </w:r>
            <w:r w:rsidRPr="000A5A56">
              <w:rPr>
                <w:rFonts w:hint="cs"/>
                <w:rtl/>
                <w:lang w:bidi="ar-EG"/>
              </w:rPr>
              <w:t>:</w:t>
            </w:r>
            <w:r w:rsidRPr="000A5A56">
              <w:rPr>
                <w:rtl/>
                <w:lang w:bidi="ar-EG"/>
              </w:rPr>
              <w:t xml:space="preserve"> </w:t>
            </w:r>
            <w:r w:rsidRPr="000A5A56">
              <w:rPr>
                <w:rFonts w:hint="cs"/>
                <w:rtl/>
                <w:lang w:bidi="ar-EG"/>
              </w:rPr>
              <w:t>أساليب عمل قطاع تنمية الاتصالات</w:t>
            </w:r>
            <w:bookmarkEnd w:id="4"/>
            <w:bookmarkEnd w:id="5"/>
          </w:p>
        </w:tc>
      </w:tr>
      <w:tr w:rsidR="0028422D" w:rsidRPr="000A5A56" w14:paraId="6CADC8A1" w14:textId="77777777" w:rsidTr="00030CD2">
        <w:tc>
          <w:tcPr>
            <w:tcW w:w="9629" w:type="dxa"/>
            <w:tcBorders>
              <w:bottom w:val="single" w:sz="4" w:space="0" w:color="auto"/>
            </w:tcBorders>
          </w:tcPr>
          <w:p w14:paraId="5F20140B" w14:textId="4E908996" w:rsidR="0028422D" w:rsidRPr="000A5A56" w:rsidRDefault="007B17F1" w:rsidP="00565E1A">
            <w:pPr>
              <w:spacing w:before="60" w:after="60"/>
            </w:pPr>
            <w:bookmarkStart w:id="6" w:name="_Hlk97192836"/>
            <w:r w:rsidRPr="000A5A56">
              <w:rPr>
                <w:rFonts w:hint="cs"/>
                <w:b/>
                <w:bCs/>
                <w:rtl/>
              </w:rPr>
              <w:t>الاختصاصات</w:t>
            </w:r>
            <w:r w:rsidRPr="000A5A56">
              <w:rPr>
                <w:rFonts w:hint="cs"/>
                <w:rtl/>
              </w:rPr>
              <w:t>: استعراض وإقرار جدول الأعمال وإعداد مقترحات بشأن تنظيم العمل؛ وفحص المقترحات والمساهمات المتعلقة بالتعاون بين الأعضاء؛ وتقييم أساليب العمل وسير أعمال لجان دراسات قطاع تنمية الاتصالات والفريق الاستشاري لتنمية الاتصالات </w:t>
            </w:r>
            <w:r w:rsidRPr="000A5A56">
              <w:t>(TDAG)</w:t>
            </w:r>
            <w:r w:rsidRPr="000A5A56">
              <w:rPr>
                <w:rFonts w:hint="cs"/>
                <w:rtl/>
              </w:rPr>
              <w:t>؛ وتقييم وتحديد الخيارات المتاحة لتحقيق التنفيذ الأمثل للبرامج وإقرار إجراء التغييرات المناسبة فيها بغية تعزيز التآزر بين المسائل التي تدرسها لجان الدراسات والبرامج والمبادرات الإقليمية؛ وتقديم تقارير إلى الجلسة العامة تتضمن مقترحات بشأن أساليب عمل قطاع تنمية الاتصالات بغية تنفيذ برنامج عمل القطاع، استناداً إلى التقارير التي يرفعها الفريق الاستشاري ولجان الدراسات إلى المؤتمر ومقترحات الدول الأعضاء في الاتحاد وأعضاء قطاع تنمية الاتصالات والهيئات</w:t>
            </w:r>
            <w:r w:rsidRPr="000A5A56">
              <w:rPr>
                <w:rFonts w:hint="eastAsia"/>
                <w:rtl/>
              </w:rPr>
              <w:t> </w:t>
            </w:r>
            <w:r w:rsidRPr="000A5A56">
              <w:rPr>
                <w:rFonts w:hint="cs"/>
                <w:rtl/>
              </w:rPr>
              <w:t>الأكاديمية.</w:t>
            </w:r>
          </w:p>
        </w:tc>
      </w:tr>
      <w:bookmarkEnd w:id="6"/>
      <w:tr w:rsidR="0028422D" w:rsidRPr="000A5A56" w14:paraId="5D2166D6" w14:textId="77777777" w:rsidTr="000445C4">
        <w:tc>
          <w:tcPr>
            <w:tcW w:w="9629" w:type="dxa"/>
            <w:tcBorders>
              <w:bottom w:val="single" w:sz="4" w:space="0" w:color="000000"/>
            </w:tcBorders>
          </w:tcPr>
          <w:p w14:paraId="44B7795E" w14:textId="036F80F8" w:rsidR="0028422D" w:rsidRPr="000A5A56" w:rsidRDefault="009E1D30" w:rsidP="009E1D30">
            <w:pPr>
              <w:pStyle w:val="enumlev1"/>
              <w:tabs>
                <w:tab w:val="clear" w:pos="794"/>
                <w:tab w:val="clear" w:pos="1191"/>
                <w:tab w:val="clear" w:pos="1588"/>
                <w:tab w:val="clear" w:pos="1985"/>
                <w:tab w:val="left" w:pos="425"/>
              </w:tabs>
              <w:ind w:left="425" w:hanging="425"/>
              <w:rPr>
                <w:b/>
                <w:bCs/>
                <w:lang w:val="en-GB" w:bidi="ar-EG"/>
              </w:rPr>
            </w:pPr>
            <w:r>
              <w:rPr>
                <w:rFonts w:hint="cs"/>
                <w:b/>
                <w:bCs/>
                <w:lang w:val="en-GB" w:bidi="ar-EG"/>
              </w:rPr>
              <w:sym w:font="Symbol" w:char="F0B7"/>
            </w:r>
            <w:r>
              <w:rPr>
                <w:b/>
                <w:bCs/>
                <w:rtl/>
                <w:lang w:val="en-GB" w:bidi="ar-EG"/>
              </w:rPr>
              <w:tab/>
            </w:r>
            <w:r w:rsidR="007B17F1" w:rsidRPr="000A5A56">
              <w:rPr>
                <w:rFonts w:hint="cs"/>
                <w:b/>
                <w:bCs/>
                <w:rtl/>
                <w:lang w:val="en-GB" w:bidi="ar-EG"/>
              </w:rPr>
              <w:t xml:space="preserve">القرار 1 </w:t>
            </w:r>
            <w:r w:rsidR="007B17F1" w:rsidRPr="000A5A56">
              <w:rPr>
                <w:rFonts w:hint="cs"/>
                <w:rtl/>
                <w:lang w:val="en-GB" w:bidi="ar-EG"/>
              </w:rPr>
              <w:t xml:space="preserve">- </w:t>
            </w:r>
            <w:r w:rsidR="001C384C" w:rsidRPr="00A207B2">
              <w:rPr>
                <w:i/>
                <w:iCs/>
                <w:rtl/>
                <w:lang w:val="en-GB" w:bidi="ar-EG"/>
              </w:rPr>
              <w:t>النظام الداخلي لقطاع تنمية الاتصالات التابع للاتحاد الدولي للاتصالات</w:t>
            </w:r>
          </w:p>
          <w:p w14:paraId="1B3C1EFF" w14:textId="074690CB" w:rsidR="007B17F1" w:rsidRPr="000A5A56" w:rsidRDefault="00F50969" w:rsidP="009E1D30">
            <w:pPr>
              <w:pStyle w:val="enumlev1"/>
              <w:tabs>
                <w:tab w:val="clear" w:pos="794"/>
                <w:tab w:val="clear" w:pos="1191"/>
                <w:tab w:val="clear" w:pos="1588"/>
                <w:tab w:val="clear" w:pos="1985"/>
                <w:tab w:val="left" w:pos="425"/>
              </w:tabs>
              <w:ind w:left="425" w:hanging="425"/>
              <w:rPr>
                <w:b/>
                <w:bCs/>
                <w:lang w:val="en-GB" w:bidi="ar-EG"/>
              </w:rPr>
            </w:pPr>
            <w:r>
              <w:rPr>
                <w:b/>
                <w:bCs/>
                <w:lang w:val="en-GB" w:bidi="ar-EG"/>
              </w:rPr>
              <w:sym w:font="Symbol" w:char="F0B7"/>
            </w:r>
            <w:r w:rsidR="009E1D30">
              <w:rPr>
                <w:b/>
                <w:bCs/>
                <w:rtl/>
                <w:lang w:val="en-GB" w:bidi="ar-EG"/>
              </w:rPr>
              <w:tab/>
            </w:r>
            <w:r w:rsidR="007B17F1" w:rsidRPr="000A5A56">
              <w:rPr>
                <w:rFonts w:hint="cs"/>
                <w:b/>
                <w:bCs/>
                <w:rtl/>
                <w:lang w:val="en-GB" w:bidi="ar-EG"/>
              </w:rPr>
              <w:t xml:space="preserve">القرار 2 </w:t>
            </w:r>
            <w:r w:rsidR="007B17F1" w:rsidRPr="000A5A56">
              <w:rPr>
                <w:rFonts w:hint="cs"/>
                <w:rtl/>
                <w:lang w:val="en-GB" w:bidi="ar-EG"/>
              </w:rPr>
              <w:t xml:space="preserve">- </w:t>
            </w:r>
            <w:r w:rsidR="001C384C" w:rsidRPr="00A207B2">
              <w:rPr>
                <w:i/>
                <w:iCs/>
                <w:rtl/>
                <w:lang w:val="en-GB" w:bidi="ar-EG"/>
              </w:rPr>
              <w:t>إنشاء لجان الدراسات</w:t>
            </w:r>
          </w:p>
          <w:p w14:paraId="35BAE513" w14:textId="392D5E5D" w:rsidR="007B17F1" w:rsidRPr="000A5A56" w:rsidRDefault="00F50969" w:rsidP="009E1D30">
            <w:pPr>
              <w:pStyle w:val="enumlev1"/>
              <w:tabs>
                <w:tab w:val="clear" w:pos="794"/>
                <w:tab w:val="clear" w:pos="1191"/>
                <w:tab w:val="clear" w:pos="1588"/>
                <w:tab w:val="clear" w:pos="1985"/>
                <w:tab w:val="left" w:pos="425"/>
              </w:tabs>
              <w:ind w:left="425" w:hanging="425"/>
              <w:rPr>
                <w:b/>
                <w:bCs/>
                <w:lang w:val="en-GB" w:bidi="ar-EG"/>
              </w:rPr>
            </w:pPr>
            <w:r>
              <w:rPr>
                <w:b/>
                <w:bCs/>
                <w:lang w:val="en-GB" w:bidi="ar-EG"/>
              </w:rPr>
              <w:sym w:font="Symbol" w:char="F0B7"/>
            </w:r>
            <w:r w:rsidR="009E1D30">
              <w:rPr>
                <w:b/>
                <w:bCs/>
                <w:rtl/>
                <w:lang w:val="en-GB" w:bidi="ar-EG"/>
              </w:rPr>
              <w:tab/>
            </w:r>
            <w:r w:rsidR="007B17F1" w:rsidRPr="000A5A56">
              <w:rPr>
                <w:rFonts w:hint="cs"/>
                <w:b/>
                <w:bCs/>
                <w:rtl/>
                <w:lang w:val="en-GB" w:bidi="ar-EG"/>
              </w:rPr>
              <w:t>القرار 5</w:t>
            </w:r>
            <w:r w:rsidR="007B17F1" w:rsidRPr="000A5A56">
              <w:rPr>
                <w:rFonts w:hint="cs"/>
                <w:rtl/>
                <w:lang w:val="en-GB" w:bidi="ar-EG"/>
              </w:rPr>
              <w:t xml:space="preserve"> -</w:t>
            </w:r>
            <w:r w:rsidR="007B17F1" w:rsidRPr="000A5A56">
              <w:rPr>
                <w:rFonts w:hint="cs"/>
                <w:b/>
                <w:bCs/>
                <w:rtl/>
                <w:lang w:val="en-GB" w:bidi="ar-EG"/>
              </w:rPr>
              <w:t xml:space="preserve"> </w:t>
            </w:r>
            <w:r w:rsidR="001C384C" w:rsidRPr="00A207B2">
              <w:rPr>
                <w:i/>
                <w:iCs/>
                <w:rtl/>
                <w:lang w:val="en-GB" w:bidi="ar-EG"/>
              </w:rPr>
              <w:t>تعزيز مشاركة البلدان النامية في أنشطة الاتحاد</w:t>
            </w:r>
          </w:p>
          <w:p w14:paraId="19300808" w14:textId="1C89EC7B" w:rsidR="007B17F1" w:rsidRPr="000A5A56" w:rsidRDefault="00F50969" w:rsidP="009E1D30">
            <w:pPr>
              <w:pStyle w:val="enumlev1"/>
              <w:tabs>
                <w:tab w:val="clear" w:pos="794"/>
                <w:tab w:val="clear" w:pos="1191"/>
                <w:tab w:val="clear" w:pos="1588"/>
                <w:tab w:val="clear" w:pos="1985"/>
                <w:tab w:val="left" w:pos="425"/>
              </w:tabs>
              <w:ind w:left="425" w:hanging="425"/>
              <w:rPr>
                <w:b/>
                <w:bCs/>
                <w:lang w:val="en-GB" w:bidi="ar-EG"/>
              </w:rPr>
            </w:pPr>
            <w:r>
              <w:rPr>
                <w:b/>
                <w:bCs/>
                <w:lang w:val="en-GB" w:bidi="ar-EG"/>
              </w:rPr>
              <w:sym w:font="Symbol" w:char="F0B7"/>
            </w:r>
            <w:r w:rsidR="009E1D30">
              <w:rPr>
                <w:b/>
                <w:bCs/>
                <w:rtl/>
                <w:lang w:val="en-GB" w:bidi="ar-EG"/>
              </w:rPr>
              <w:tab/>
            </w:r>
            <w:r w:rsidR="007B17F1" w:rsidRPr="000A5A56">
              <w:rPr>
                <w:rFonts w:hint="cs"/>
                <w:b/>
                <w:bCs/>
                <w:rtl/>
                <w:lang w:val="en-GB" w:bidi="ar-EG"/>
              </w:rPr>
              <w:t xml:space="preserve">القرار 21 </w:t>
            </w:r>
            <w:r w:rsidR="007B17F1" w:rsidRPr="000A5A56">
              <w:rPr>
                <w:rFonts w:hint="cs"/>
                <w:rtl/>
                <w:lang w:val="en-GB" w:bidi="ar-EG"/>
              </w:rPr>
              <w:t xml:space="preserve">- </w:t>
            </w:r>
            <w:r w:rsidR="001C384C" w:rsidRPr="00A207B2">
              <w:rPr>
                <w:i/>
                <w:iCs/>
                <w:rtl/>
                <w:lang w:val="en-GB" w:bidi="ar-EG"/>
              </w:rPr>
              <w:t>التنسيق والتعاون مع المنظمات الإقليمية ودون الإقليمية</w:t>
            </w:r>
          </w:p>
          <w:p w14:paraId="36CE1BEB" w14:textId="7241E43A" w:rsidR="001C384C" w:rsidRPr="000A5A56" w:rsidRDefault="00F50969" w:rsidP="009E1D30">
            <w:pPr>
              <w:pStyle w:val="enumlev1"/>
              <w:tabs>
                <w:tab w:val="clear" w:pos="794"/>
                <w:tab w:val="clear" w:pos="1191"/>
                <w:tab w:val="clear" w:pos="1588"/>
                <w:tab w:val="clear" w:pos="1985"/>
                <w:tab w:val="left" w:pos="425"/>
              </w:tabs>
              <w:ind w:left="425" w:hanging="425"/>
              <w:rPr>
                <w:b/>
                <w:bCs/>
                <w:lang w:val="en-GB" w:bidi="ar-EG"/>
              </w:rPr>
            </w:pPr>
            <w:r>
              <w:rPr>
                <w:b/>
                <w:bCs/>
                <w:lang w:val="en-GB" w:bidi="ar-EG"/>
              </w:rPr>
              <w:sym w:font="Symbol" w:char="F0B7"/>
            </w:r>
            <w:r w:rsidR="009E1D30">
              <w:rPr>
                <w:b/>
                <w:bCs/>
                <w:rtl/>
                <w:lang w:val="en-GB" w:bidi="ar-EG"/>
              </w:rPr>
              <w:tab/>
            </w:r>
            <w:r w:rsidR="007B17F1" w:rsidRPr="000A5A56">
              <w:rPr>
                <w:rFonts w:hint="cs"/>
                <w:b/>
                <w:bCs/>
                <w:rtl/>
                <w:lang w:val="en-GB" w:bidi="ar-EG"/>
              </w:rPr>
              <w:t xml:space="preserve">القرار 24 </w:t>
            </w:r>
            <w:r w:rsidR="007B17F1" w:rsidRPr="000A5A56">
              <w:rPr>
                <w:rFonts w:hint="cs"/>
                <w:rtl/>
                <w:lang w:val="en-GB" w:bidi="ar-EG"/>
              </w:rPr>
              <w:t xml:space="preserve">- </w:t>
            </w:r>
            <w:r w:rsidR="001C384C" w:rsidRPr="00A207B2">
              <w:rPr>
                <w:i/>
                <w:iCs/>
                <w:rtl/>
                <w:lang w:val="en-GB" w:bidi="ar-EG"/>
              </w:rPr>
              <w:t>تفويض الفريق الاستشاري لتنمية الاتصالات للتصرف بين المؤتمرات العالمية لتنمية الاتصالات</w:t>
            </w:r>
          </w:p>
          <w:p w14:paraId="3D93BD67" w14:textId="64DD7217" w:rsidR="007B17F1" w:rsidRPr="000A5A56" w:rsidRDefault="00F50969" w:rsidP="009E1D30">
            <w:pPr>
              <w:pStyle w:val="enumlev1"/>
              <w:tabs>
                <w:tab w:val="clear" w:pos="794"/>
                <w:tab w:val="clear" w:pos="1191"/>
                <w:tab w:val="clear" w:pos="1588"/>
                <w:tab w:val="clear" w:pos="1985"/>
                <w:tab w:val="left" w:pos="425"/>
              </w:tabs>
              <w:ind w:left="425" w:hanging="425"/>
              <w:rPr>
                <w:b/>
                <w:bCs/>
                <w:spacing w:val="-6"/>
                <w:lang w:val="en-GB" w:bidi="ar-EG"/>
              </w:rPr>
            </w:pPr>
            <w:r>
              <w:rPr>
                <w:b/>
                <w:bCs/>
                <w:spacing w:val="-6"/>
                <w:lang w:val="en-GB" w:bidi="ar-EG"/>
              </w:rPr>
              <w:sym w:font="Symbol" w:char="F0B7"/>
            </w:r>
            <w:r w:rsidR="009E1D30">
              <w:rPr>
                <w:b/>
                <w:bCs/>
                <w:spacing w:val="-6"/>
                <w:rtl/>
                <w:lang w:val="en-GB" w:bidi="ar-EG"/>
              </w:rPr>
              <w:tab/>
            </w:r>
            <w:r w:rsidR="007B17F1" w:rsidRPr="000A5A56">
              <w:rPr>
                <w:rFonts w:hint="cs"/>
                <w:b/>
                <w:bCs/>
                <w:spacing w:val="-6"/>
                <w:rtl/>
                <w:lang w:val="en-GB" w:bidi="ar-EG"/>
              </w:rPr>
              <w:t xml:space="preserve">القرار 27 </w:t>
            </w:r>
            <w:r w:rsidR="007B17F1" w:rsidRPr="000A5A56">
              <w:rPr>
                <w:rFonts w:hint="cs"/>
                <w:spacing w:val="-6"/>
                <w:rtl/>
                <w:lang w:val="en-GB" w:bidi="ar-EG"/>
              </w:rPr>
              <w:t xml:space="preserve">- </w:t>
            </w:r>
            <w:r w:rsidR="001C384C" w:rsidRPr="00A207B2">
              <w:rPr>
                <w:i/>
                <w:iCs/>
                <w:spacing w:val="-6"/>
                <w:rtl/>
                <w:lang w:val="en-GB" w:bidi="ar-EG"/>
              </w:rPr>
              <w:t>قبول الكيانات أو المنظمات للمشاركة بصفة منتسب في أعمال قطاع تنمية الاتصالات في الاتحاد الدولي للاتصالات</w:t>
            </w:r>
          </w:p>
          <w:p w14:paraId="0ED6BECA" w14:textId="1E6EC149" w:rsidR="007B17F1" w:rsidRPr="000A5A56" w:rsidRDefault="00F50969" w:rsidP="009E1D30">
            <w:pPr>
              <w:pStyle w:val="enumlev1"/>
              <w:tabs>
                <w:tab w:val="clear" w:pos="794"/>
                <w:tab w:val="clear" w:pos="1191"/>
                <w:tab w:val="clear" w:pos="1588"/>
                <w:tab w:val="clear" w:pos="1985"/>
                <w:tab w:val="left" w:pos="425"/>
              </w:tabs>
              <w:ind w:left="425" w:hanging="425"/>
              <w:rPr>
                <w:b/>
                <w:bCs/>
                <w:lang w:val="en-GB" w:bidi="ar-EG"/>
              </w:rPr>
            </w:pPr>
            <w:r>
              <w:rPr>
                <w:b/>
                <w:bCs/>
                <w:lang w:val="en-GB" w:bidi="ar-EG"/>
              </w:rPr>
              <w:sym w:font="Symbol" w:char="F0B7"/>
            </w:r>
            <w:r w:rsidR="009E1D30">
              <w:rPr>
                <w:b/>
                <w:bCs/>
                <w:rtl/>
                <w:lang w:val="en-GB" w:bidi="ar-EG"/>
              </w:rPr>
              <w:tab/>
            </w:r>
            <w:r w:rsidR="007B17F1" w:rsidRPr="000A5A56">
              <w:rPr>
                <w:rFonts w:hint="cs"/>
                <w:b/>
                <w:bCs/>
                <w:rtl/>
                <w:lang w:val="en-GB" w:bidi="ar-EG"/>
              </w:rPr>
              <w:t xml:space="preserve">القرار 31 </w:t>
            </w:r>
            <w:r w:rsidR="007B17F1" w:rsidRPr="000A5A56">
              <w:rPr>
                <w:rFonts w:hint="cs"/>
                <w:rtl/>
                <w:lang w:val="en-GB" w:bidi="ar-EG"/>
              </w:rPr>
              <w:t xml:space="preserve">- </w:t>
            </w:r>
            <w:r w:rsidR="001C384C" w:rsidRPr="00A207B2">
              <w:rPr>
                <w:i/>
                <w:iCs/>
                <w:rtl/>
                <w:lang w:val="en-GB" w:bidi="ar-EG"/>
              </w:rPr>
              <w:t>الأعمال التحضيرية الإقليمية للمؤتمرات العالمية لتنمية الاتصالات</w:t>
            </w:r>
          </w:p>
          <w:p w14:paraId="25A2B0FD" w14:textId="767C63F2" w:rsidR="007B17F1" w:rsidRPr="000A5A56" w:rsidRDefault="00F50969" w:rsidP="009E1D30">
            <w:pPr>
              <w:pStyle w:val="enumlev1"/>
              <w:tabs>
                <w:tab w:val="clear" w:pos="794"/>
                <w:tab w:val="clear" w:pos="1191"/>
                <w:tab w:val="clear" w:pos="1588"/>
                <w:tab w:val="clear" w:pos="1985"/>
                <w:tab w:val="left" w:pos="425"/>
              </w:tabs>
              <w:ind w:left="425" w:hanging="425"/>
              <w:rPr>
                <w:b/>
                <w:bCs/>
                <w:lang w:val="en-GB" w:bidi="ar-EG"/>
              </w:rPr>
            </w:pPr>
            <w:r>
              <w:rPr>
                <w:rFonts w:hint="cs"/>
                <w:b/>
                <w:bCs/>
                <w:lang w:val="en-GB" w:bidi="ar-EG"/>
              </w:rPr>
              <w:sym w:font="Symbol" w:char="F0B7"/>
            </w:r>
            <w:r>
              <w:rPr>
                <w:b/>
                <w:bCs/>
                <w:rtl/>
                <w:lang w:val="en-GB" w:bidi="ar-EG"/>
              </w:rPr>
              <w:tab/>
            </w:r>
            <w:r w:rsidR="007B17F1" w:rsidRPr="000A5A56">
              <w:rPr>
                <w:rFonts w:hint="cs"/>
                <w:b/>
                <w:bCs/>
                <w:rtl/>
                <w:lang w:val="en-GB" w:bidi="ar-EG"/>
              </w:rPr>
              <w:t xml:space="preserve">القرار 53 </w:t>
            </w:r>
            <w:r w:rsidR="007B17F1" w:rsidRPr="000A5A56">
              <w:rPr>
                <w:rFonts w:hint="cs"/>
                <w:rtl/>
                <w:lang w:val="en-GB" w:bidi="ar-EG"/>
              </w:rPr>
              <w:t xml:space="preserve">- </w:t>
            </w:r>
            <w:r w:rsidR="001C384C" w:rsidRPr="00A207B2">
              <w:rPr>
                <w:i/>
                <w:iCs/>
                <w:rtl/>
                <w:lang w:val="en-GB" w:bidi="ar-EG"/>
              </w:rPr>
              <w:t>الإطار الاستراتيجي والمالي لإعداد وتنفيذ خطة عمل دبي</w:t>
            </w:r>
          </w:p>
          <w:p w14:paraId="0F14B232" w14:textId="1D133175" w:rsidR="007B17F1" w:rsidRPr="00BC2C99" w:rsidRDefault="00F50969" w:rsidP="009E1D30">
            <w:pPr>
              <w:pStyle w:val="enumlev1"/>
              <w:tabs>
                <w:tab w:val="clear" w:pos="794"/>
                <w:tab w:val="clear" w:pos="1191"/>
                <w:tab w:val="clear" w:pos="1588"/>
                <w:tab w:val="clear" w:pos="1985"/>
                <w:tab w:val="left" w:pos="425"/>
              </w:tabs>
              <w:ind w:left="425" w:hanging="425"/>
              <w:rPr>
                <w:b/>
                <w:bCs/>
                <w:spacing w:val="-8"/>
                <w:lang w:val="en-GB" w:bidi="ar-EG"/>
              </w:rPr>
            </w:pPr>
            <w:r>
              <w:rPr>
                <w:rFonts w:hint="cs"/>
                <w:b/>
                <w:bCs/>
                <w:spacing w:val="-8"/>
                <w:lang w:val="en-GB" w:bidi="ar-EG"/>
              </w:rPr>
              <w:sym w:font="Symbol" w:char="F0B7"/>
            </w:r>
            <w:r>
              <w:rPr>
                <w:b/>
                <w:bCs/>
                <w:spacing w:val="-8"/>
                <w:rtl/>
                <w:lang w:val="en-GB" w:bidi="ar-EG"/>
              </w:rPr>
              <w:tab/>
            </w:r>
            <w:r w:rsidR="007B17F1" w:rsidRPr="00BC2C99">
              <w:rPr>
                <w:rFonts w:hint="cs"/>
                <w:b/>
                <w:bCs/>
                <w:spacing w:val="-8"/>
                <w:rtl/>
                <w:lang w:val="en-GB" w:bidi="ar-EG"/>
              </w:rPr>
              <w:t xml:space="preserve">القرار 59 </w:t>
            </w:r>
            <w:r w:rsidR="007B17F1" w:rsidRPr="00BC2C99">
              <w:rPr>
                <w:rFonts w:hint="cs"/>
                <w:spacing w:val="-8"/>
                <w:rtl/>
                <w:lang w:val="en-GB" w:bidi="ar-EG"/>
              </w:rPr>
              <w:t xml:space="preserve">- </w:t>
            </w:r>
            <w:r w:rsidR="00232F29" w:rsidRPr="00A207B2">
              <w:rPr>
                <w:i/>
                <w:iCs/>
                <w:spacing w:val="-8"/>
                <w:rtl/>
                <w:lang w:val="en-GB" w:bidi="ar-EG"/>
              </w:rPr>
              <w:t>تعزيز التنسيق والتعاون فيما بين القطاعات الثلاثة للاتحاد الدولي للاتصالات بشأن المسائل ذات الاهتمام المشترك</w:t>
            </w:r>
          </w:p>
          <w:p w14:paraId="3671B700" w14:textId="045D0756" w:rsidR="007B17F1" w:rsidRPr="000A5A56" w:rsidRDefault="00F50969" w:rsidP="009E1D30">
            <w:pPr>
              <w:pStyle w:val="enumlev1"/>
              <w:tabs>
                <w:tab w:val="clear" w:pos="794"/>
                <w:tab w:val="clear" w:pos="1191"/>
                <w:tab w:val="clear" w:pos="1588"/>
                <w:tab w:val="clear" w:pos="1985"/>
                <w:tab w:val="left" w:pos="425"/>
              </w:tabs>
              <w:ind w:left="425" w:hanging="425"/>
              <w:rPr>
                <w:b/>
                <w:bCs/>
                <w:lang w:val="en-GB" w:bidi="ar-EG"/>
              </w:rPr>
            </w:pPr>
            <w:r>
              <w:rPr>
                <w:rFonts w:hint="cs"/>
                <w:b/>
                <w:bCs/>
                <w:lang w:val="en-GB" w:bidi="ar-EG"/>
              </w:rPr>
              <w:sym w:font="Symbol" w:char="F0B7"/>
            </w:r>
            <w:r>
              <w:rPr>
                <w:b/>
                <w:bCs/>
                <w:rtl/>
                <w:lang w:val="en-GB" w:bidi="ar-EG"/>
              </w:rPr>
              <w:tab/>
            </w:r>
            <w:r w:rsidR="007B17F1" w:rsidRPr="000A5A56">
              <w:rPr>
                <w:rFonts w:hint="cs"/>
                <w:b/>
                <w:bCs/>
                <w:rtl/>
                <w:lang w:val="en-GB" w:bidi="ar-EG"/>
              </w:rPr>
              <w:t xml:space="preserve">القرار 61 </w:t>
            </w:r>
            <w:r w:rsidR="007B17F1" w:rsidRPr="000A5A56">
              <w:rPr>
                <w:rFonts w:hint="cs"/>
                <w:rtl/>
                <w:lang w:val="en-GB" w:bidi="ar-EG"/>
              </w:rPr>
              <w:t xml:space="preserve">- </w:t>
            </w:r>
            <w:r w:rsidR="001C384C" w:rsidRPr="00A207B2">
              <w:rPr>
                <w:i/>
                <w:iCs/>
                <w:rtl/>
                <w:lang w:val="en-GB" w:bidi="ar-EG"/>
              </w:rPr>
              <w:t>تعيين رؤساء لجان الدراسات التابعة لقطاع تنمية الاتصالات للاتحاد الدولي للاتصالات ونوابهم ورئيس الفريق الاستشاري لتنمية الاتصالات ونوابه، والحد الأقصى لمدة ولايتهم</w:t>
            </w:r>
          </w:p>
          <w:p w14:paraId="6DC95A6F" w14:textId="7FEF19B2" w:rsidR="007B17F1" w:rsidRPr="000A5A56" w:rsidRDefault="00F50969" w:rsidP="009E1D30">
            <w:pPr>
              <w:pStyle w:val="enumlev1"/>
              <w:tabs>
                <w:tab w:val="clear" w:pos="794"/>
                <w:tab w:val="clear" w:pos="1191"/>
                <w:tab w:val="clear" w:pos="1588"/>
                <w:tab w:val="clear" w:pos="1985"/>
                <w:tab w:val="left" w:pos="425"/>
              </w:tabs>
              <w:ind w:left="425" w:hanging="425"/>
              <w:rPr>
                <w:b/>
                <w:bCs/>
                <w:lang w:val="en-GB" w:bidi="ar-EG"/>
              </w:rPr>
            </w:pPr>
            <w:r>
              <w:rPr>
                <w:rFonts w:hint="cs"/>
                <w:b/>
                <w:bCs/>
                <w:lang w:val="en-GB" w:bidi="ar-EG"/>
              </w:rPr>
              <w:sym w:font="Symbol" w:char="F0B7"/>
            </w:r>
            <w:r>
              <w:rPr>
                <w:b/>
                <w:bCs/>
                <w:rtl/>
                <w:lang w:val="en-GB" w:bidi="ar-EG"/>
              </w:rPr>
              <w:tab/>
            </w:r>
            <w:r w:rsidR="007B17F1" w:rsidRPr="000A5A56">
              <w:rPr>
                <w:rFonts w:hint="cs"/>
                <w:b/>
                <w:bCs/>
                <w:rtl/>
                <w:lang w:val="en-GB" w:bidi="ar-EG"/>
              </w:rPr>
              <w:t xml:space="preserve">القرار 71 </w:t>
            </w:r>
            <w:r w:rsidR="007B17F1" w:rsidRPr="000A5A56">
              <w:rPr>
                <w:rFonts w:hint="cs"/>
                <w:rtl/>
                <w:lang w:val="en-GB" w:bidi="ar-EG"/>
              </w:rPr>
              <w:t xml:space="preserve">- </w:t>
            </w:r>
            <w:r w:rsidR="001C384C" w:rsidRPr="00A207B2">
              <w:rPr>
                <w:i/>
                <w:iCs/>
                <w:rtl/>
                <w:lang w:val="en-GB" w:bidi="ar-EG"/>
              </w:rPr>
              <w:t>تعزيز التعاون بين الدول الأعضاء وأعضاء قطاع تنمية الاتصالات والمنتسبين إليه والهيئات الأكاديمية المنضمة إليه وتطوُّر دور القطاع الخاص في قطاع تنمية الاتصالات بالاتحاد</w:t>
            </w:r>
          </w:p>
          <w:p w14:paraId="6C590E0B" w14:textId="491F3C72" w:rsidR="007B17F1" w:rsidRPr="000A5A56" w:rsidRDefault="00AC6766" w:rsidP="009E1D30">
            <w:pPr>
              <w:pStyle w:val="enumlev1"/>
              <w:tabs>
                <w:tab w:val="clear" w:pos="794"/>
                <w:tab w:val="clear" w:pos="1191"/>
                <w:tab w:val="clear" w:pos="1588"/>
                <w:tab w:val="clear" w:pos="1985"/>
                <w:tab w:val="left" w:pos="425"/>
              </w:tabs>
              <w:ind w:left="425" w:hanging="425"/>
              <w:rPr>
                <w:b/>
                <w:bCs/>
                <w:lang w:val="en-GB" w:bidi="ar-EG"/>
              </w:rPr>
            </w:pPr>
            <w:r>
              <w:rPr>
                <w:rFonts w:hint="cs"/>
                <w:b/>
                <w:bCs/>
                <w:lang w:val="en-GB" w:bidi="ar-EG"/>
              </w:rPr>
              <w:sym w:font="Symbol" w:char="F0B7"/>
            </w:r>
            <w:r w:rsidR="00F50969">
              <w:rPr>
                <w:b/>
                <w:bCs/>
                <w:lang w:bidi="ar-EG"/>
              </w:rPr>
              <w:tab/>
            </w:r>
            <w:r w:rsidR="007B17F1" w:rsidRPr="000A5A56">
              <w:rPr>
                <w:rFonts w:hint="cs"/>
                <w:b/>
                <w:bCs/>
                <w:rtl/>
                <w:lang w:val="en-GB" w:bidi="ar-EG"/>
              </w:rPr>
              <w:t xml:space="preserve">القرار 81 </w:t>
            </w:r>
            <w:r w:rsidR="007B17F1" w:rsidRPr="000A5A56">
              <w:rPr>
                <w:rFonts w:hint="cs"/>
                <w:rtl/>
                <w:lang w:val="en-GB" w:bidi="ar-EG"/>
              </w:rPr>
              <w:t xml:space="preserve">- </w:t>
            </w:r>
            <w:r w:rsidR="001C384C" w:rsidRPr="00A207B2">
              <w:rPr>
                <w:i/>
                <w:iCs/>
                <w:rtl/>
                <w:lang w:val="en-GB" w:bidi="ar-EG"/>
              </w:rPr>
              <w:t>زيادة تطوير أساليب العمل الإلكترونية في أعمال قطاع تنمية الاتصالات للاتحاد الدولي للاتصالات</w:t>
            </w:r>
          </w:p>
          <w:p w14:paraId="2AF708E9" w14:textId="7D549C1D" w:rsidR="007B17F1" w:rsidRPr="000A5A56" w:rsidRDefault="00F50969" w:rsidP="009E1D30">
            <w:pPr>
              <w:pStyle w:val="enumlev1"/>
              <w:tabs>
                <w:tab w:val="clear" w:pos="794"/>
                <w:tab w:val="clear" w:pos="1191"/>
                <w:tab w:val="clear" w:pos="1588"/>
                <w:tab w:val="clear" w:pos="1985"/>
                <w:tab w:val="left" w:pos="425"/>
              </w:tabs>
              <w:ind w:left="425" w:hanging="425"/>
              <w:rPr>
                <w:b/>
                <w:bCs/>
                <w:lang w:val="en-GB" w:bidi="ar-EG"/>
              </w:rPr>
            </w:pPr>
            <w:r>
              <w:rPr>
                <w:rFonts w:hint="cs"/>
                <w:b/>
                <w:bCs/>
                <w:lang w:val="en-GB" w:bidi="ar-EG"/>
              </w:rPr>
              <w:sym w:font="Symbol" w:char="F0B7"/>
            </w:r>
            <w:r>
              <w:rPr>
                <w:b/>
                <w:bCs/>
                <w:rtl/>
                <w:lang w:val="en-GB" w:bidi="ar-EG"/>
              </w:rPr>
              <w:tab/>
            </w:r>
            <w:r w:rsidR="007B17F1" w:rsidRPr="000A5A56">
              <w:rPr>
                <w:rFonts w:hint="cs"/>
                <w:b/>
                <w:bCs/>
                <w:rtl/>
                <w:lang w:val="en-GB" w:bidi="ar-EG"/>
              </w:rPr>
              <w:t xml:space="preserve">القرار 82 </w:t>
            </w:r>
            <w:r w:rsidR="007B17F1" w:rsidRPr="000A5A56">
              <w:rPr>
                <w:rFonts w:hint="cs"/>
                <w:rtl/>
                <w:lang w:val="en-GB" w:bidi="ar-EG"/>
              </w:rPr>
              <w:t xml:space="preserve">- </w:t>
            </w:r>
            <w:r w:rsidR="001C384C" w:rsidRPr="00A207B2">
              <w:rPr>
                <w:i/>
                <w:iCs/>
                <w:rtl/>
                <w:lang w:val="en-GB" w:bidi="ar-EG"/>
              </w:rPr>
              <w:t>الحفاظ على تعدد اللغات وتعزيزه على شبكة الإنترنت من أجل مجتمع معلومات شامل للجميع</w:t>
            </w:r>
          </w:p>
          <w:p w14:paraId="78367B34" w14:textId="31F5FE5F" w:rsidR="007B17F1" w:rsidRPr="000A5A56" w:rsidRDefault="00F50969" w:rsidP="009E1D30">
            <w:pPr>
              <w:pStyle w:val="enumlev1"/>
              <w:tabs>
                <w:tab w:val="clear" w:pos="794"/>
                <w:tab w:val="clear" w:pos="1191"/>
                <w:tab w:val="clear" w:pos="1588"/>
                <w:tab w:val="clear" w:pos="1985"/>
                <w:tab w:val="left" w:pos="425"/>
              </w:tabs>
              <w:ind w:left="425" w:hanging="425"/>
              <w:rPr>
                <w:b/>
                <w:bCs/>
                <w:lang w:val="en-GB" w:bidi="ar-EG"/>
              </w:rPr>
            </w:pPr>
            <w:r>
              <w:rPr>
                <w:rFonts w:hint="cs"/>
                <w:b/>
                <w:bCs/>
                <w:lang w:val="en-GB" w:bidi="ar-EG"/>
              </w:rPr>
              <w:sym w:font="Symbol" w:char="F0B7"/>
            </w:r>
            <w:r>
              <w:rPr>
                <w:b/>
                <w:bCs/>
                <w:rtl/>
                <w:lang w:val="en-GB" w:bidi="ar-EG"/>
              </w:rPr>
              <w:tab/>
            </w:r>
            <w:r w:rsidR="007B17F1" w:rsidRPr="000A5A56">
              <w:rPr>
                <w:rFonts w:hint="cs"/>
                <w:b/>
                <w:bCs/>
                <w:rtl/>
                <w:lang w:val="en-GB" w:bidi="ar-EG"/>
              </w:rPr>
              <w:t xml:space="preserve">القرار 86 </w:t>
            </w:r>
            <w:r w:rsidR="007B17F1" w:rsidRPr="000A5A56">
              <w:rPr>
                <w:rFonts w:hint="cs"/>
                <w:rtl/>
                <w:lang w:val="en-GB" w:bidi="ar-EG"/>
              </w:rPr>
              <w:t xml:space="preserve">- </w:t>
            </w:r>
            <w:r w:rsidR="007B17F1" w:rsidRPr="00A207B2">
              <w:rPr>
                <w:i/>
                <w:iCs/>
                <w:rtl/>
                <w:lang w:val="en-GB" w:bidi="ar-EG"/>
              </w:rPr>
              <w:t>استعمال لغات الاتحاد على قدم المساواة في قطاع تنمية الاتصالات للاتحاد الدولي للاتصالات</w:t>
            </w:r>
          </w:p>
        </w:tc>
      </w:tr>
      <w:tr w:rsidR="0028422D" w:rsidRPr="000A5A56" w14:paraId="077E9390" w14:textId="77777777" w:rsidTr="000445C4">
        <w:tc>
          <w:tcPr>
            <w:tcW w:w="9629" w:type="dxa"/>
            <w:tcBorders>
              <w:left w:val="nil"/>
              <w:bottom w:val="nil"/>
              <w:right w:val="nil"/>
            </w:tcBorders>
          </w:tcPr>
          <w:p w14:paraId="6572FDC6" w14:textId="77777777" w:rsidR="0028422D" w:rsidRPr="00F50969" w:rsidRDefault="0028422D" w:rsidP="00565E1A">
            <w:pPr>
              <w:spacing w:before="60" w:after="60"/>
              <w:rPr>
                <w:bCs/>
                <w:lang w:bidi="ar-EG"/>
              </w:rPr>
            </w:pPr>
          </w:p>
        </w:tc>
      </w:tr>
      <w:tr w:rsidR="0028422D" w:rsidRPr="000A5A56" w14:paraId="0EE90EDE" w14:textId="77777777" w:rsidTr="000445C4">
        <w:tc>
          <w:tcPr>
            <w:tcW w:w="9629" w:type="dxa"/>
            <w:tcBorders>
              <w:top w:val="nil"/>
            </w:tcBorders>
            <w:shd w:val="clear" w:color="auto" w:fill="BDD6EE" w:themeFill="accent1" w:themeFillTint="66"/>
          </w:tcPr>
          <w:p w14:paraId="1DEFADBE" w14:textId="70451DA3" w:rsidR="0028422D" w:rsidRPr="000A5A56" w:rsidRDefault="00232F29" w:rsidP="00565E1A">
            <w:pPr>
              <w:pStyle w:val="Headingb"/>
              <w:spacing w:before="60" w:after="60"/>
              <w:rPr>
                <w:lang w:val="en-GB" w:bidi="ar-EG"/>
              </w:rPr>
            </w:pPr>
            <w:bookmarkStart w:id="7" w:name="_Toc505867679"/>
            <w:bookmarkStart w:id="8" w:name="_Toc505868840"/>
            <w:r w:rsidRPr="000A5A56">
              <w:rPr>
                <w:rFonts w:hint="cs"/>
                <w:rtl/>
                <w:lang w:val="en-GB" w:bidi="ar-EG"/>
              </w:rPr>
              <w:lastRenderedPageBreak/>
              <w:t>فريق العمل التابع للجلسة العامة: مساهمة قطاع تنمية الاتصالات بالاتحاد في الخطة الاستراتيجية للاتحاد للفترة</w:t>
            </w:r>
            <w:r w:rsidRPr="000A5A56">
              <w:rPr>
                <w:rFonts w:hint="eastAsia"/>
                <w:rtl/>
                <w:lang w:val="en-GB" w:bidi="ar-EG"/>
              </w:rPr>
              <w:t> </w:t>
            </w:r>
            <w:r w:rsidRPr="000A5A56">
              <w:rPr>
                <w:rFonts w:hint="cs"/>
                <w:rtl/>
                <w:lang w:val="en-GB" w:bidi="ar-EG"/>
              </w:rPr>
              <w:t>2024-2027 والإعلان الصادر عن المؤتمر العالمي لتنمية الاتصالات</w:t>
            </w:r>
            <w:bookmarkEnd w:id="7"/>
            <w:bookmarkEnd w:id="8"/>
          </w:p>
        </w:tc>
      </w:tr>
      <w:tr w:rsidR="0028422D" w:rsidRPr="000A5A56" w14:paraId="06BB12B6" w14:textId="77777777" w:rsidTr="00030CD2">
        <w:tc>
          <w:tcPr>
            <w:tcW w:w="9629" w:type="dxa"/>
          </w:tcPr>
          <w:p w14:paraId="1DEC2102" w14:textId="38EFA078" w:rsidR="0028422D" w:rsidRPr="000A5A56" w:rsidRDefault="00232F29" w:rsidP="00565E1A">
            <w:pPr>
              <w:spacing w:before="60" w:after="60"/>
            </w:pPr>
            <w:r w:rsidRPr="000A5A56">
              <w:rPr>
                <w:rFonts w:hint="cs"/>
                <w:b/>
                <w:bCs/>
                <w:rtl/>
              </w:rPr>
              <w:t>الاختصاصات</w:t>
            </w:r>
            <w:r w:rsidRPr="000A5A56">
              <w:rPr>
                <w:rFonts w:hint="cs"/>
                <w:rtl/>
              </w:rPr>
              <w:t>: صياغة مشروع إعلان المؤتمر وإعداد مساهمة قطاع تنمية الاتصالات في الخطة الاستراتيجية للاتحاد التي سيعتمدها المؤتمر المقبل للمندوبين المفوضين.</w:t>
            </w:r>
          </w:p>
        </w:tc>
      </w:tr>
      <w:tr w:rsidR="0028422D" w:rsidRPr="000A5A56" w14:paraId="69AE650D" w14:textId="77777777" w:rsidTr="00030CD2">
        <w:tc>
          <w:tcPr>
            <w:tcW w:w="9629" w:type="dxa"/>
          </w:tcPr>
          <w:p w14:paraId="51C98072" w14:textId="562CCD4D" w:rsidR="0028422D" w:rsidRPr="000A5A56" w:rsidRDefault="00550EDF" w:rsidP="00550EDF">
            <w:pPr>
              <w:pStyle w:val="enumlev1"/>
              <w:tabs>
                <w:tab w:val="clear" w:pos="794"/>
                <w:tab w:val="clear" w:pos="1191"/>
                <w:tab w:val="clear" w:pos="1588"/>
                <w:tab w:val="clear" w:pos="1985"/>
                <w:tab w:val="left" w:pos="425"/>
              </w:tabs>
              <w:ind w:left="425" w:hanging="425"/>
              <w:rPr>
                <w:b/>
                <w:lang w:val="en-GB" w:bidi="ar-EG"/>
              </w:rPr>
            </w:pPr>
            <w:r>
              <w:rPr>
                <w:rFonts w:hint="cs"/>
                <w:b/>
                <w:bCs/>
                <w:lang w:val="en-GB" w:bidi="ar-EG"/>
              </w:rPr>
              <w:sym w:font="Symbol" w:char="F0B7"/>
            </w:r>
            <w:r>
              <w:rPr>
                <w:b/>
                <w:bCs/>
                <w:rtl/>
                <w:lang w:val="en-GB" w:bidi="ar-EG"/>
              </w:rPr>
              <w:tab/>
            </w:r>
            <w:r w:rsidR="00C95BC3" w:rsidRPr="00550EDF">
              <w:rPr>
                <w:bCs/>
                <w:rtl/>
                <w:lang w:val="en-GB" w:bidi="ar-EG"/>
              </w:rPr>
              <w:t>إعلان المؤتمر العالمي لتنمية الاتصالات</w:t>
            </w:r>
          </w:p>
          <w:p w14:paraId="3A517553" w14:textId="5E2C00F9" w:rsidR="0028422D" w:rsidRPr="000A5A56" w:rsidRDefault="00550EDF" w:rsidP="00550EDF">
            <w:pPr>
              <w:pStyle w:val="enumlev1"/>
              <w:tabs>
                <w:tab w:val="clear" w:pos="794"/>
                <w:tab w:val="clear" w:pos="1191"/>
                <w:tab w:val="clear" w:pos="1588"/>
                <w:tab w:val="clear" w:pos="1985"/>
                <w:tab w:val="left" w:pos="425"/>
              </w:tabs>
              <w:ind w:left="425" w:hanging="425"/>
              <w:rPr>
                <w:b/>
                <w:lang w:val="en-GB" w:bidi="ar-EG"/>
              </w:rPr>
            </w:pPr>
            <w:r>
              <w:rPr>
                <w:rFonts w:hint="cs"/>
                <w:b/>
                <w:bCs/>
                <w:lang w:val="en-GB" w:bidi="ar-EG"/>
              </w:rPr>
              <w:sym w:font="Symbol" w:char="F0B7"/>
            </w:r>
            <w:r>
              <w:rPr>
                <w:b/>
                <w:bCs/>
                <w:rtl/>
                <w:lang w:val="en-GB" w:bidi="ar-EG"/>
              </w:rPr>
              <w:tab/>
            </w:r>
            <w:r w:rsidR="00C95BC3" w:rsidRPr="00550EDF">
              <w:rPr>
                <w:bCs/>
                <w:rtl/>
                <w:lang w:val="en-GB" w:bidi="ar-EG"/>
              </w:rPr>
              <w:t xml:space="preserve">مساهمة قطا ع تنمية </w:t>
            </w:r>
            <w:proofErr w:type="spellStart"/>
            <w:r w:rsidR="00C95BC3" w:rsidRPr="00550EDF">
              <w:rPr>
                <w:bCs/>
                <w:rtl/>
                <w:lang w:val="en-GB" w:bidi="ar-EG"/>
              </w:rPr>
              <w:t>الاتصالا</w:t>
            </w:r>
            <w:proofErr w:type="spellEnd"/>
            <w:r w:rsidR="00C95BC3" w:rsidRPr="00550EDF">
              <w:rPr>
                <w:bCs/>
                <w:rtl/>
                <w:lang w:val="en-GB" w:bidi="ar-EG"/>
              </w:rPr>
              <w:t xml:space="preserve"> ت في الخطة الاستراتيجية للاتحا</w:t>
            </w:r>
            <w:r w:rsidR="00C95BC3" w:rsidRPr="00550EDF">
              <w:rPr>
                <w:rFonts w:hint="cs"/>
                <w:bCs/>
                <w:rtl/>
                <w:lang w:val="en-GB" w:bidi="ar-EG"/>
              </w:rPr>
              <w:t>د</w:t>
            </w:r>
          </w:p>
          <w:p w14:paraId="620EB7CF" w14:textId="4BEF4D9F" w:rsidR="0028422D" w:rsidRPr="000A5A56" w:rsidRDefault="00550EDF" w:rsidP="00550EDF">
            <w:pPr>
              <w:pStyle w:val="enumlev1"/>
              <w:tabs>
                <w:tab w:val="clear" w:pos="794"/>
                <w:tab w:val="clear" w:pos="1191"/>
                <w:tab w:val="clear" w:pos="1588"/>
                <w:tab w:val="clear" w:pos="1985"/>
                <w:tab w:val="left" w:pos="425"/>
              </w:tabs>
              <w:ind w:left="425" w:hanging="425"/>
              <w:rPr>
                <w:bCs/>
                <w:lang w:val="en-GB" w:bidi="ar-EG"/>
              </w:rPr>
            </w:pPr>
            <w:r>
              <w:rPr>
                <w:rFonts w:hint="cs"/>
                <w:b/>
                <w:bCs/>
                <w:lang w:val="en-GB" w:bidi="ar-EG"/>
              </w:rPr>
              <w:sym w:font="Symbol" w:char="F0B7"/>
            </w:r>
            <w:r>
              <w:rPr>
                <w:b/>
                <w:bCs/>
                <w:rtl/>
                <w:lang w:val="en-GB" w:bidi="ar-EG"/>
              </w:rPr>
              <w:tab/>
            </w:r>
            <w:r w:rsidR="00232F29" w:rsidRPr="000A5A56">
              <w:rPr>
                <w:rFonts w:hint="cs"/>
                <w:bCs/>
                <w:rtl/>
                <w:lang w:val="en-GB" w:bidi="ar-EG"/>
              </w:rPr>
              <w:t xml:space="preserve">القرار 30 </w:t>
            </w:r>
            <w:r w:rsidR="00232F29" w:rsidRPr="000A5A56">
              <w:rPr>
                <w:rFonts w:hint="cs"/>
                <w:b/>
                <w:rtl/>
                <w:lang w:val="en-GB" w:bidi="ar-EG"/>
              </w:rPr>
              <w:t>-</w:t>
            </w:r>
            <w:r w:rsidR="00232F29" w:rsidRPr="000A5A56">
              <w:rPr>
                <w:rFonts w:hint="cs"/>
                <w:b/>
                <w:i/>
                <w:iCs/>
                <w:rtl/>
                <w:lang w:val="en-GB" w:bidi="ar-EG"/>
              </w:rPr>
              <w:t xml:space="preserve"> </w:t>
            </w:r>
            <w:r w:rsidR="00232F29" w:rsidRPr="00894A74">
              <w:rPr>
                <w:b/>
                <w:i/>
                <w:iCs/>
                <w:rtl/>
                <w:lang w:val="en-GB" w:bidi="ar-EG"/>
              </w:rPr>
              <w:t>دور قطاع تنمية الاتصالات للاتحاد الدولي للاتصالات في تنفيذ نواتج القمة العالمية لمجتمع المعلومات، مع مراعاة خطة التنمية المستدامة لعام 2030</w:t>
            </w:r>
          </w:p>
        </w:tc>
      </w:tr>
    </w:tbl>
    <w:p w14:paraId="3511E3E3" w14:textId="77777777" w:rsidR="001257C1" w:rsidRPr="000A5A56" w:rsidRDefault="001257C1" w:rsidP="0028422D">
      <w:pPr>
        <w:rPr>
          <w:rtl/>
          <w:lang w:bidi="ar-EG"/>
        </w:rPr>
      </w:pPr>
    </w:p>
    <w:p w14:paraId="315106C6" w14:textId="0207D08F" w:rsidR="008835F9" w:rsidRPr="008835F9" w:rsidRDefault="000D15A5" w:rsidP="000D15A5">
      <w:pPr>
        <w:spacing w:before="600"/>
        <w:jc w:val="center"/>
        <w:rPr>
          <w:rtl/>
          <w:lang w:val="en-US" w:bidi="ar-EG"/>
        </w:rPr>
      </w:pPr>
      <w:r w:rsidRPr="000A5A56">
        <w:rPr>
          <w:rFonts w:hint="cs"/>
          <w:rtl/>
          <w:lang w:val="en-US" w:bidi="ar-EG"/>
        </w:rPr>
        <w:t>ــــــــــــــــــــــــــــــــــــــــــــــــــــــــــــــــــــــــــــــــــــــــــــــــــــــــــــــ</w:t>
      </w:r>
    </w:p>
    <w:sectPr w:rsidR="008835F9" w:rsidRPr="008835F9" w:rsidSect="00061429">
      <w:headerReference w:type="default" r:id="rId12"/>
      <w:footerReference w:type="default" r:id="rId13"/>
      <w:footerReference w:type="first" r:id="rId14"/>
      <w:pgSz w:w="11909" w:h="16834" w:code="9"/>
      <w:pgMar w:top="1418" w:right="1134" w:bottom="1418" w:left="1134" w:header="720" w:footer="6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99955" w14:textId="77777777" w:rsidR="00A64C77" w:rsidRDefault="00A64C77">
      <w:r>
        <w:separator/>
      </w:r>
    </w:p>
  </w:endnote>
  <w:endnote w:type="continuationSeparator" w:id="0">
    <w:p w14:paraId="1425D1EF" w14:textId="77777777" w:rsidR="00A64C77" w:rsidRDefault="00A64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0C1CB" w14:textId="3633C139" w:rsidR="008835F9" w:rsidRPr="00041756" w:rsidRDefault="008835F9" w:rsidP="008835F9">
    <w:pPr>
      <w:tabs>
        <w:tab w:val="clear" w:pos="1191"/>
        <w:tab w:val="clear" w:pos="1588"/>
        <w:tab w:val="clear" w:pos="1985"/>
        <w:tab w:val="center" w:pos="5103"/>
        <w:tab w:val="right" w:pos="9639"/>
      </w:tabs>
      <w:overflowPunct/>
      <w:autoSpaceDE/>
      <w:autoSpaceDN/>
      <w:bidi w:val="0"/>
      <w:adjustRightInd/>
      <w:spacing w:line="240" w:lineRule="auto"/>
      <w:jc w:val="left"/>
      <w:textAlignment w:val="auto"/>
      <w:rPr>
        <w:sz w:val="16"/>
        <w:szCs w:val="16"/>
      </w:rPr>
    </w:pPr>
    <w:r w:rsidRPr="008835F9">
      <w:rPr>
        <w:sz w:val="16"/>
        <w:szCs w:val="16"/>
        <w:lang w:val="fr-FR"/>
      </w:rPr>
      <w:fldChar w:fldCharType="begin"/>
    </w:r>
    <w:r w:rsidRPr="00041756">
      <w:rPr>
        <w:sz w:val="16"/>
        <w:szCs w:val="16"/>
      </w:rPr>
      <w:instrText xml:space="preserve"> FILENAME \p \* MERGEFORMAT </w:instrText>
    </w:r>
    <w:r w:rsidRPr="008835F9">
      <w:rPr>
        <w:sz w:val="16"/>
        <w:szCs w:val="16"/>
        <w:lang w:val="fr-FR"/>
      </w:rPr>
      <w:fldChar w:fldCharType="separate"/>
    </w:r>
    <w:r w:rsidR="007620E6">
      <w:rPr>
        <w:noProof/>
        <w:sz w:val="16"/>
        <w:szCs w:val="16"/>
      </w:rPr>
      <w:t>P:\ARA\ITU-D\CONF-D\IRM21\000\069A.docx</w:t>
    </w:r>
    <w:r w:rsidRPr="008835F9">
      <w:rPr>
        <w:sz w:val="16"/>
        <w:szCs w:val="16"/>
        <w:lang w:val="en-US"/>
      </w:rPr>
      <w:fldChar w:fldCharType="end"/>
    </w:r>
    <w:proofErr w:type="gramStart"/>
    <w:r w:rsidRPr="008835F9">
      <w:rPr>
        <w:sz w:val="16"/>
        <w:szCs w:val="16"/>
        <w:lang w:val="en-US"/>
      </w:rPr>
      <w:t xml:space="preserve">  </w:t>
    </w:r>
    <w:r w:rsidRPr="00041756">
      <w:rPr>
        <w:sz w:val="16"/>
        <w:szCs w:val="16"/>
      </w:rPr>
      <w:t xml:space="preserve"> (</w:t>
    </w:r>
    <w:proofErr w:type="gramEnd"/>
    <w:r w:rsidR="00041756">
      <w:rPr>
        <w:sz w:val="16"/>
        <w:szCs w:val="16"/>
      </w:rPr>
      <w:t>502288</w:t>
    </w:r>
    <w:r w:rsidRPr="00041756">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299"/>
      <w:gridCol w:w="2104"/>
      <w:gridCol w:w="6238"/>
    </w:tblGrid>
    <w:tr w:rsidR="008E62E0" w:rsidRPr="00D10C01" w14:paraId="67A23036" w14:textId="77777777" w:rsidTr="00FB1951">
      <w:tc>
        <w:tcPr>
          <w:tcW w:w="1299" w:type="dxa"/>
          <w:tcBorders>
            <w:top w:val="single" w:sz="4" w:space="0" w:color="auto"/>
            <w:left w:val="nil"/>
            <w:bottom w:val="nil"/>
            <w:right w:val="nil"/>
          </w:tcBorders>
          <w:shd w:val="clear" w:color="auto" w:fill="FFFFFF" w:themeFill="background1"/>
          <w:hideMark/>
        </w:tcPr>
        <w:p w14:paraId="51E5AE20" w14:textId="77777777" w:rsidR="008E62E0" w:rsidRPr="008E62E0" w:rsidRDefault="008E62E0" w:rsidP="008835F9">
          <w:pPr>
            <w:pStyle w:val="FirstFooter"/>
            <w:spacing w:before="120"/>
          </w:pPr>
          <w:r w:rsidRPr="008E62E0">
            <w:rPr>
              <w:rtl/>
              <w:lang w:bidi="ar-EG"/>
            </w:rPr>
            <w:t>للاتصال:</w:t>
          </w:r>
        </w:p>
      </w:tc>
      <w:tc>
        <w:tcPr>
          <w:tcW w:w="2104" w:type="dxa"/>
          <w:tcBorders>
            <w:top w:val="single" w:sz="4" w:space="0" w:color="auto"/>
            <w:left w:val="nil"/>
            <w:bottom w:val="nil"/>
            <w:right w:val="nil"/>
          </w:tcBorders>
          <w:shd w:val="clear" w:color="auto" w:fill="FFFFFF" w:themeFill="background1"/>
          <w:hideMark/>
        </w:tcPr>
        <w:p w14:paraId="7355E26E" w14:textId="77777777" w:rsidR="008E62E0" w:rsidRPr="008E62E0" w:rsidRDefault="008E62E0" w:rsidP="008835F9">
          <w:pPr>
            <w:pStyle w:val="FirstFooter"/>
            <w:spacing w:before="120"/>
          </w:pPr>
          <w:r w:rsidRPr="008E62E0">
            <w:rPr>
              <w:rtl/>
              <w:lang w:bidi="ar-EG"/>
            </w:rPr>
            <w:t>الاسم/المنظمة/الكيان:</w:t>
          </w:r>
        </w:p>
      </w:tc>
      <w:tc>
        <w:tcPr>
          <w:tcW w:w="6238" w:type="dxa"/>
          <w:tcBorders>
            <w:top w:val="single" w:sz="4" w:space="0" w:color="auto"/>
            <w:left w:val="nil"/>
            <w:bottom w:val="nil"/>
            <w:right w:val="nil"/>
          </w:tcBorders>
          <w:shd w:val="clear" w:color="auto" w:fill="FFFFFF" w:themeFill="background1"/>
        </w:tcPr>
        <w:p w14:paraId="40DC89E0" w14:textId="5F846AEB" w:rsidR="008E62E0" w:rsidRPr="009F20EC" w:rsidRDefault="00782512" w:rsidP="008835F9">
          <w:pPr>
            <w:pStyle w:val="FirstFooter"/>
            <w:spacing w:before="120"/>
            <w:rPr>
              <w:rtl/>
              <w:lang w:val="en-US" w:bidi="ar-EG"/>
            </w:rPr>
          </w:pPr>
          <w:r>
            <w:rPr>
              <w:rFonts w:hint="cs"/>
              <w:rtl/>
            </w:rPr>
            <w:t>السيد</w:t>
          </w:r>
          <w:r w:rsidR="009F20EC">
            <w:rPr>
              <w:rFonts w:hint="cs"/>
              <w:rtl/>
            </w:rPr>
            <w:t xml:space="preserve"> </w:t>
          </w:r>
          <w:r>
            <w:rPr>
              <w:rFonts w:hint="cs"/>
              <w:rtl/>
            </w:rPr>
            <w:t>ستيفن بيرو،</w:t>
          </w:r>
          <w:r w:rsidR="009F20EC">
            <w:rPr>
              <w:rFonts w:hint="cs"/>
              <w:rtl/>
            </w:rPr>
            <w:t xml:space="preserve"> </w:t>
          </w:r>
          <w:r>
            <w:rPr>
              <w:rFonts w:hint="cs"/>
              <w:rtl/>
            </w:rPr>
            <w:t>نائب مديرة مكتب تنمية الاتصالات</w:t>
          </w:r>
        </w:p>
      </w:tc>
    </w:tr>
    <w:tr w:rsidR="008E62E0" w:rsidRPr="00D10C01" w14:paraId="4783CC9A" w14:textId="77777777" w:rsidTr="00FB1951">
      <w:tc>
        <w:tcPr>
          <w:tcW w:w="1299" w:type="dxa"/>
        </w:tcPr>
        <w:p w14:paraId="54207FA7" w14:textId="77777777" w:rsidR="008E62E0" w:rsidRPr="008E62E0" w:rsidRDefault="008E62E0" w:rsidP="008835F9">
          <w:pPr>
            <w:pStyle w:val="FirstFooter"/>
          </w:pPr>
        </w:p>
      </w:tc>
      <w:tc>
        <w:tcPr>
          <w:tcW w:w="2104" w:type="dxa"/>
          <w:hideMark/>
        </w:tcPr>
        <w:p w14:paraId="7DCE030E" w14:textId="77777777" w:rsidR="008E62E0" w:rsidRPr="008E62E0" w:rsidRDefault="008E62E0" w:rsidP="008835F9">
          <w:pPr>
            <w:pStyle w:val="FirstFooter"/>
          </w:pPr>
          <w:r w:rsidRPr="008E62E0">
            <w:rPr>
              <w:rtl/>
              <w:lang w:bidi="ar-EG"/>
            </w:rPr>
            <w:t>رقم الهاتف:</w:t>
          </w:r>
        </w:p>
      </w:tc>
      <w:tc>
        <w:tcPr>
          <w:tcW w:w="6238" w:type="dxa"/>
        </w:tcPr>
        <w:p w14:paraId="635824AC" w14:textId="263115E1" w:rsidR="008E62E0" w:rsidRPr="008E62E0" w:rsidRDefault="009F20EC" w:rsidP="009F20EC">
          <w:pPr>
            <w:pStyle w:val="FirstFooter"/>
            <w:rPr>
              <w:rtl/>
              <w:lang w:bidi="ar-EG"/>
            </w:rPr>
          </w:pPr>
          <w:r w:rsidRPr="009F20EC">
            <w:rPr>
              <w:lang w:val="en-US"/>
            </w:rPr>
            <w:t xml:space="preserve">+1 </w:t>
          </w:r>
          <w:r w:rsidR="00041826">
            <w:rPr>
              <w:lang w:val="en-US"/>
            </w:rPr>
            <w:t>22</w:t>
          </w:r>
          <w:r w:rsidRPr="009F20EC">
            <w:rPr>
              <w:lang w:val="en-US"/>
            </w:rPr>
            <w:t xml:space="preserve"> </w:t>
          </w:r>
          <w:r w:rsidR="00041826">
            <w:rPr>
              <w:lang w:val="en-US"/>
            </w:rPr>
            <w:t>730</w:t>
          </w:r>
          <w:r w:rsidRPr="009F20EC">
            <w:rPr>
              <w:lang w:val="en-US"/>
            </w:rPr>
            <w:t xml:space="preserve"> </w:t>
          </w:r>
          <w:r w:rsidR="00041826">
            <w:rPr>
              <w:lang w:val="en-US"/>
            </w:rPr>
            <w:t>513</w:t>
          </w:r>
          <w:r w:rsidR="00C616F6">
            <w:rPr>
              <w:lang w:val="en-US"/>
            </w:rPr>
            <w:t>1</w:t>
          </w:r>
        </w:p>
      </w:tc>
    </w:tr>
    <w:tr w:rsidR="008E62E0" w:rsidRPr="00D10C01" w14:paraId="5FD87F03" w14:textId="77777777" w:rsidTr="00FB1951">
      <w:tc>
        <w:tcPr>
          <w:tcW w:w="1299" w:type="dxa"/>
        </w:tcPr>
        <w:p w14:paraId="264CFBED" w14:textId="77777777" w:rsidR="008E62E0" w:rsidRPr="008E62E0" w:rsidRDefault="008E62E0" w:rsidP="008835F9">
          <w:pPr>
            <w:pStyle w:val="FirstFooter"/>
          </w:pPr>
        </w:p>
      </w:tc>
      <w:tc>
        <w:tcPr>
          <w:tcW w:w="2104" w:type="dxa"/>
          <w:hideMark/>
        </w:tcPr>
        <w:p w14:paraId="72696D9D" w14:textId="77777777" w:rsidR="008E62E0" w:rsidRPr="008E62E0" w:rsidRDefault="008E62E0" w:rsidP="008835F9">
          <w:pPr>
            <w:pStyle w:val="FirstFooter"/>
          </w:pPr>
          <w:r w:rsidRPr="008E62E0">
            <w:rPr>
              <w:rtl/>
              <w:lang w:bidi="ar-EG"/>
            </w:rPr>
            <w:t>البريد الإلكتروني:</w:t>
          </w:r>
        </w:p>
      </w:tc>
      <w:tc>
        <w:tcPr>
          <w:tcW w:w="6238" w:type="dxa"/>
        </w:tcPr>
        <w:p w14:paraId="519F1AEB" w14:textId="1A7F0F1C" w:rsidR="008E62E0" w:rsidRPr="008E62E0" w:rsidRDefault="00E42955" w:rsidP="00782512">
          <w:pPr>
            <w:pStyle w:val="FirstFooter"/>
            <w:rPr>
              <w:rtl/>
              <w:lang w:bidi="ar-EG"/>
            </w:rPr>
          </w:pPr>
          <w:hyperlink r:id="rId1" w:history="1">
            <w:r w:rsidR="00782512" w:rsidRPr="00782512">
              <w:rPr>
                <w:rStyle w:val="Hyperlink"/>
                <w:lang w:val="en-GB"/>
              </w:rPr>
              <w:t>stephen.bereaux@itu.int</w:t>
            </w:r>
          </w:hyperlink>
        </w:p>
      </w:tc>
    </w:tr>
  </w:tbl>
  <w:p w14:paraId="0F8D8789" w14:textId="77777777" w:rsidR="00E2379D" w:rsidRPr="00D43388" w:rsidRDefault="00E2379D" w:rsidP="00D43388">
    <w:pPr>
      <w:bidi w:val="0"/>
      <w:jc w:val="left"/>
      <w:rPr>
        <w:sz w:val="20"/>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6BABD" w14:textId="77777777" w:rsidR="00A64C77" w:rsidRDefault="00A64C77">
      <w:r>
        <w:separator/>
      </w:r>
    </w:p>
  </w:footnote>
  <w:footnote w:type="continuationSeparator" w:id="0">
    <w:p w14:paraId="44AB973E" w14:textId="77777777" w:rsidR="00A64C77" w:rsidRDefault="00A64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88DF2" w14:textId="72BC963E" w:rsidR="00E2379D" w:rsidRPr="008835F9" w:rsidRDefault="00E2379D" w:rsidP="00151478">
    <w:pPr>
      <w:tabs>
        <w:tab w:val="clear" w:pos="794"/>
        <w:tab w:val="clear" w:pos="1191"/>
        <w:tab w:val="clear" w:pos="1588"/>
        <w:tab w:val="clear" w:pos="1985"/>
        <w:tab w:val="center" w:pos="4820"/>
        <w:tab w:val="right" w:pos="10206"/>
      </w:tabs>
      <w:ind w:right="1"/>
      <w:rPr>
        <w:smallCaps/>
        <w:spacing w:val="24"/>
        <w:sz w:val="20"/>
        <w:szCs w:val="20"/>
        <w:lang w:val="es-ES_tradnl"/>
      </w:rPr>
    </w:pPr>
    <w:r w:rsidRPr="008835F9">
      <w:rPr>
        <w:sz w:val="20"/>
        <w:szCs w:val="20"/>
      </w:rPr>
      <w:tab/>
    </w:r>
    <w:r w:rsidRPr="008835F9">
      <w:rPr>
        <w:sz w:val="20"/>
        <w:szCs w:val="20"/>
        <w:lang w:val="es-ES_tradnl"/>
      </w:rPr>
      <w:t>ITU-D/</w:t>
    </w:r>
    <w:bookmarkStart w:id="9" w:name="DocRef2"/>
    <w:bookmarkEnd w:id="9"/>
    <w:r w:rsidR="00D43388">
      <w:rPr>
        <w:sz w:val="20"/>
        <w:szCs w:val="20"/>
        <w:lang w:val="es-ES_tradnl"/>
      </w:rPr>
      <w:t>IRM21-</w:t>
    </w:r>
    <w:r w:rsidR="001257C1">
      <w:rPr>
        <w:sz w:val="20"/>
        <w:szCs w:val="20"/>
        <w:lang w:val="es-ES_tradnl"/>
      </w:rPr>
      <w:t>3</w:t>
    </w:r>
    <w:r w:rsidRPr="008835F9">
      <w:rPr>
        <w:sz w:val="20"/>
        <w:szCs w:val="20"/>
        <w:lang w:val="es-ES_tradnl"/>
      </w:rPr>
      <w:t>/</w:t>
    </w:r>
    <w:bookmarkStart w:id="10" w:name="DocNo2"/>
    <w:bookmarkEnd w:id="10"/>
    <w:r w:rsidR="00041756">
      <w:rPr>
        <w:sz w:val="20"/>
        <w:szCs w:val="20"/>
        <w:lang w:val="es-ES_tradnl"/>
      </w:rPr>
      <w:t>69</w:t>
    </w:r>
    <w:r w:rsidR="00FF089C" w:rsidRPr="008835F9">
      <w:rPr>
        <w:sz w:val="20"/>
        <w:szCs w:val="20"/>
        <w:lang w:val="es-ES_tradnl"/>
      </w:rPr>
      <w:t>-</w:t>
    </w:r>
    <w:r w:rsidR="008835F9" w:rsidRPr="008835F9">
      <w:rPr>
        <w:sz w:val="20"/>
        <w:szCs w:val="20"/>
        <w:lang w:val="es-ES_tradnl"/>
      </w:rPr>
      <w:t>A</w:t>
    </w:r>
    <w:r w:rsidRPr="008835F9">
      <w:rPr>
        <w:sz w:val="20"/>
        <w:szCs w:val="20"/>
        <w:lang w:val="es-ES_tradnl"/>
      </w:rPr>
      <w:tab/>
    </w:r>
    <w:r w:rsidR="008835F9" w:rsidRPr="008835F9">
      <w:rPr>
        <w:rFonts w:hint="cs"/>
        <w:sz w:val="20"/>
        <w:szCs w:val="20"/>
        <w:rtl/>
        <w:lang w:val="es-ES_tradnl"/>
      </w:rPr>
      <w:t xml:space="preserve">الصفحة </w:t>
    </w:r>
    <w:r w:rsidRPr="008835F9">
      <w:rPr>
        <w:sz w:val="20"/>
        <w:szCs w:val="20"/>
      </w:rPr>
      <w:fldChar w:fldCharType="begin"/>
    </w:r>
    <w:r w:rsidRPr="008835F9">
      <w:rPr>
        <w:sz w:val="20"/>
        <w:szCs w:val="20"/>
        <w:lang w:val="es-ES_tradnl"/>
      </w:rPr>
      <w:instrText xml:space="preserve"> PAGE </w:instrText>
    </w:r>
    <w:r w:rsidRPr="008835F9">
      <w:rPr>
        <w:sz w:val="20"/>
        <w:szCs w:val="20"/>
      </w:rPr>
      <w:fldChar w:fldCharType="separate"/>
    </w:r>
    <w:r w:rsidR="000A5A56">
      <w:rPr>
        <w:noProof/>
        <w:sz w:val="20"/>
        <w:szCs w:val="20"/>
        <w:rtl/>
        <w:lang w:val="es-ES_tradnl"/>
      </w:rPr>
      <w:t>3</w:t>
    </w:r>
    <w:r w:rsidRPr="008835F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4pt;height:9.4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45F16A42"/>
    <w:multiLevelType w:val="hybridMultilevel"/>
    <w:tmpl w:val="7528FEB6"/>
    <w:lvl w:ilvl="0" w:tplc="ADDC4858">
      <w:start w:val="1"/>
      <w:numFmt w:val="bullet"/>
      <w:lvlText w:val=""/>
      <w:lvlJc w:val="left"/>
      <w:pPr>
        <w:ind w:left="360" w:hanging="360"/>
      </w:pPr>
      <w:rPr>
        <w:rFonts w:ascii="Symbol" w:hAnsi="Symbol" w:hint="default"/>
      </w:rPr>
    </w:lvl>
    <w:lvl w:ilvl="1" w:tplc="B62C4EF6" w:tentative="1">
      <w:start w:val="1"/>
      <w:numFmt w:val="bullet"/>
      <w:lvlText w:val="o"/>
      <w:lvlJc w:val="left"/>
      <w:pPr>
        <w:ind w:left="1080" w:hanging="360"/>
      </w:pPr>
      <w:rPr>
        <w:rFonts w:ascii="Courier New" w:hAnsi="Courier New" w:cs="Courier New" w:hint="default"/>
      </w:rPr>
    </w:lvl>
    <w:lvl w:ilvl="2" w:tplc="97DAF5A6" w:tentative="1">
      <w:start w:val="1"/>
      <w:numFmt w:val="bullet"/>
      <w:lvlText w:val=""/>
      <w:lvlJc w:val="left"/>
      <w:pPr>
        <w:ind w:left="1800" w:hanging="360"/>
      </w:pPr>
      <w:rPr>
        <w:rFonts w:ascii="Wingdings" w:hAnsi="Wingdings" w:hint="default"/>
      </w:rPr>
    </w:lvl>
    <w:lvl w:ilvl="3" w:tplc="91423778" w:tentative="1">
      <w:start w:val="1"/>
      <w:numFmt w:val="bullet"/>
      <w:lvlText w:val=""/>
      <w:lvlJc w:val="left"/>
      <w:pPr>
        <w:ind w:left="2520" w:hanging="360"/>
      </w:pPr>
      <w:rPr>
        <w:rFonts w:ascii="Symbol" w:hAnsi="Symbol" w:hint="default"/>
      </w:rPr>
    </w:lvl>
    <w:lvl w:ilvl="4" w:tplc="78548A6C" w:tentative="1">
      <w:start w:val="1"/>
      <w:numFmt w:val="bullet"/>
      <w:lvlText w:val="o"/>
      <w:lvlJc w:val="left"/>
      <w:pPr>
        <w:ind w:left="3240" w:hanging="360"/>
      </w:pPr>
      <w:rPr>
        <w:rFonts w:ascii="Courier New" w:hAnsi="Courier New" w:cs="Courier New" w:hint="default"/>
      </w:rPr>
    </w:lvl>
    <w:lvl w:ilvl="5" w:tplc="C2EA4216" w:tentative="1">
      <w:start w:val="1"/>
      <w:numFmt w:val="bullet"/>
      <w:lvlText w:val=""/>
      <w:lvlJc w:val="left"/>
      <w:pPr>
        <w:ind w:left="3960" w:hanging="360"/>
      </w:pPr>
      <w:rPr>
        <w:rFonts w:ascii="Wingdings" w:hAnsi="Wingdings" w:hint="default"/>
      </w:rPr>
    </w:lvl>
    <w:lvl w:ilvl="6" w:tplc="9A7CF492" w:tentative="1">
      <w:start w:val="1"/>
      <w:numFmt w:val="bullet"/>
      <w:lvlText w:val=""/>
      <w:lvlJc w:val="left"/>
      <w:pPr>
        <w:ind w:left="4680" w:hanging="360"/>
      </w:pPr>
      <w:rPr>
        <w:rFonts w:ascii="Symbol" w:hAnsi="Symbol" w:hint="default"/>
      </w:rPr>
    </w:lvl>
    <w:lvl w:ilvl="7" w:tplc="1102D3EA" w:tentative="1">
      <w:start w:val="1"/>
      <w:numFmt w:val="bullet"/>
      <w:lvlText w:val="o"/>
      <w:lvlJc w:val="left"/>
      <w:pPr>
        <w:ind w:left="5400" w:hanging="360"/>
      </w:pPr>
      <w:rPr>
        <w:rFonts w:ascii="Courier New" w:hAnsi="Courier New" w:cs="Courier New" w:hint="default"/>
      </w:rPr>
    </w:lvl>
    <w:lvl w:ilvl="8" w:tplc="3BC0B718" w:tentative="1">
      <w:start w:val="1"/>
      <w:numFmt w:val="bullet"/>
      <w:lvlText w:val=""/>
      <w:lvlJc w:val="left"/>
      <w:pPr>
        <w:ind w:left="6120" w:hanging="360"/>
      </w:pPr>
      <w:rPr>
        <w:rFonts w:ascii="Wingdings" w:hAnsi="Wingdings" w:hint="default"/>
      </w:rPr>
    </w:lvl>
  </w:abstractNum>
  <w:abstractNum w:abstractNumId="24" w15:restartNumberingAfterBreak="0">
    <w:nsid w:val="4BD611E5"/>
    <w:multiLevelType w:val="hybridMultilevel"/>
    <w:tmpl w:val="53F08462"/>
    <w:lvl w:ilvl="0" w:tplc="20E69126">
      <w:start w:val="1"/>
      <w:numFmt w:val="bullet"/>
      <w:lvlText w:val=""/>
      <w:lvlJc w:val="left"/>
      <w:pPr>
        <w:ind w:left="360" w:hanging="360"/>
      </w:pPr>
      <w:rPr>
        <w:rFonts w:ascii="Symbol" w:hAnsi="Symbol" w:hint="default"/>
      </w:rPr>
    </w:lvl>
    <w:lvl w:ilvl="1" w:tplc="E0C2315C" w:tentative="1">
      <w:start w:val="1"/>
      <w:numFmt w:val="bullet"/>
      <w:lvlText w:val="o"/>
      <w:lvlJc w:val="left"/>
      <w:pPr>
        <w:ind w:left="1080" w:hanging="360"/>
      </w:pPr>
      <w:rPr>
        <w:rFonts w:ascii="Courier New" w:hAnsi="Courier New" w:cs="Courier New" w:hint="default"/>
      </w:rPr>
    </w:lvl>
    <w:lvl w:ilvl="2" w:tplc="DD94F9D8" w:tentative="1">
      <w:start w:val="1"/>
      <w:numFmt w:val="bullet"/>
      <w:lvlText w:val=""/>
      <w:lvlJc w:val="left"/>
      <w:pPr>
        <w:ind w:left="1800" w:hanging="360"/>
      </w:pPr>
      <w:rPr>
        <w:rFonts w:ascii="Wingdings" w:hAnsi="Wingdings" w:hint="default"/>
      </w:rPr>
    </w:lvl>
    <w:lvl w:ilvl="3" w:tplc="58D8EA68" w:tentative="1">
      <w:start w:val="1"/>
      <w:numFmt w:val="bullet"/>
      <w:lvlText w:val=""/>
      <w:lvlJc w:val="left"/>
      <w:pPr>
        <w:ind w:left="2520" w:hanging="360"/>
      </w:pPr>
      <w:rPr>
        <w:rFonts w:ascii="Symbol" w:hAnsi="Symbol" w:hint="default"/>
      </w:rPr>
    </w:lvl>
    <w:lvl w:ilvl="4" w:tplc="33BE542C" w:tentative="1">
      <w:start w:val="1"/>
      <w:numFmt w:val="bullet"/>
      <w:lvlText w:val="o"/>
      <w:lvlJc w:val="left"/>
      <w:pPr>
        <w:ind w:left="3240" w:hanging="360"/>
      </w:pPr>
      <w:rPr>
        <w:rFonts w:ascii="Courier New" w:hAnsi="Courier New" w:cs="Courier New" w:hint="default"/>
      </w:rPr>
    </w:lvl>
    <w:lvl w:ilvl="5" w:tplc="A1861FD6" w:tentative="1">
      <w:start w:val="1"/>
      <w:numFmt w:val="bullet"/>
      <w:lvlText w:val=""/>
      <w:lvlJc w:val="left"/>
      <w:pPr>
        <w:ind w:left="3960" w:hanging="360"/>
      </w:pPr>
      <w:rPr>
        <w:rFonts w:ascii="Wingdings" w:hAnsi="Wingdings" w:hint="default"/>
      </w:rPr>
    </w:lvl>
    <w:lvl w:ilvl="6" w:tplc="CB0412F8" w:tentative="1">
      <w:start w:val="1"/>
      <w:numFmt w:val="bullet"/>
      <w:lvlText w:val=""/>
      <w:lvlJc w:val="left"/>
      <w:pPr>
        <w:ind w:left="4680" w:hanging="360"/>
      </w:pPr>
      <w:rPr>
        <w:rFonts w:ascii="Symbol" w:hAnsi="Symbol" w:hint="default"/>
      </w:rPr>
    </w:lvl>
    <w:lvl w:ilvl="7" w:tplc="F846370C" w:tentative="1">
      <w:start w:val="1"/>
      <w:numFmt w:val="bullet"/>
      <w:lvlText w:val="o"/>
      <w:lvlJc w:val="left"/>
      <w:pPr>
        <w:ind w:left="5400" w:hanging="360"/>
      </w:pPr>
      <w:rPr>
        <w:rFonts w:ascii="Courier New" w:hAnsi="Courier New" w:cs="Courier New" w:hint="default"/>
      </w:rPr>
    </w:lvl>
    <w:lvl w:ilvl="8" w:tplc="29A02644" w:tentative="1">
      <w:start w:val="1"/>
      <w:numFmt w:val="bullet"/>
      <w:lvlText w:val=""/>
      <w:lvlJc w:val="left"/>
      <w:pPr>
        <w:ind w:left="6120" w:hanging="360"/>
      </w:pPr>
      <w:rPr>
        <w:rFonts w:ascii="Wingdings" w:hAnsi="Wingdings" w:hint="default"/>
      </w:rPr>
    </w:lvl>
  </w:abstractNum>
  <w:abstractNum w:abstractNumId="25"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A21BCA"/>
    <w:multiLevelType w:val="hybridMultilevel"/>
    <w:tmpl w:val="71821840"/>
    <w:lvl w:ilvl="0" w:tplc="0BD078BE">
      <w:start w:val="1"/>
      <w:numFmt w:val="bullet"/>
      <w:lvlText w:val=""/>
      <w:lvlJc w:val="left"/>
      <w:pPr>
        <w:ind w:left="360" w:hanging="360"/>
      </w:pPr>
      <w:rPr>
        <w:rFonts w:ascii="Symbol" w:hAnsi="Symbol" w:hint="default"/>
      </w:rPr>
    </w:lvl>
    <w:lvl w:ilvl="1" w:tplc="91DC4780" w:tentative="1">
      <w:start w:val="1"/>
      <w:numFmt w:val="bullet"/>
      <w:lvlText w:val="o"/>
      <w:lvlJc w:val="left"/>
      <w:pPr>
        <w:ind w:left="1080" w:hanging="360"/>
      </w:pPr>
      <w:rPr>
        <w:rFonts w:ascii="Courier New" w:hAnsi="Courier New" w:cs="Courier New" w:hint="default"/>
      </w:rPr>
    </w:lvl>
    <w:lvl w:ilvl="2" w:tplc="76AAF310" w:tentative="1">
      <w:start w:val="1"/>
      <w:numFmt w:val="bullet"/>
      <w:lvlText w:val=""/>
      <w:lvlJc w:val="left"/>
      <w:pPr>
        <w:ind w:left="1800" w:hanging="360"/>
      </w:pPr>
      <w:rPr>
        <w:rFonts w:ascii="Wingdings" w:hAnsi="Wingdings" w:hint="default"/>
      </w:rPr>
    </w:lvl>
    <w:lvl w:ilvl="3" w:tplc="3410B8FC" w:tentative="1">
      <w:start w:val="1"/>
      <w:numFmt w:val="bullet"/>
      <w:lvlText w:val=""/>
      <w:lvlJc w:val="left"/>
      <w:pPr>
        <w:ind w:left="2520" w:hanging="360"/>
      </w:pPr>
      <w:rPr>
        <w:rFonts w:ascii="Symbol" w:hAnsi="Symbol" w:hint="default"/>
      </w:rPr>
    </w:lvl>
    <w:lvl w:ilvl="4" w:tplc="47E209F6" w:tentative="1">
      <w:start w:val="1"/>
      <w:numFmt w:val="bullet"/>
      <w:lvlText w:val="o"/>
      <w:lvlJc w:val="left"/>
      <w:pPr>
        <w:ind w:left="3240" w:hanging="360"/>
      </w:pPr>
      <w:rPr>
        <w:rFonts w:ascii="Courier New" w:hAnsi="Courier New" w:cs="Courier New" w:hint="default"/>
      </w:rPr>
    </w:lvl>
    <w:lvl w:ilvl="5" w:tplc="5D4A59A6" w:tentative="1">
      <w:start w:val="1"/>
      <w:numFmt w:val="bullet"/>
      <w:lvlText w:val=""/>
      <w:lvlJc w:val="left"/>
      <w:pPr>
        <w:ind w:left="3960" w:hanging="360"/>
      </w:pPr>
      <w:rPr>
        <w:rFonts w:ascii="Wingdings" w:hAnsi="Wingdings" w:hint="default"/>
      </w:rPr>
    </w:lvl>
    <w:lvl w:ilvl="6" w:tplc="93CC9772" w:tentative="1">
      <w:start w:val="1"/>
      <w:numFmt w:val="bullet"/>
      <w:lvlText w:val=""/>
      <w:lvlJc w:val="left"/>
      <w:pPr>
        <w:ind w:left="4680" w:hanging="360"/>
      </w:pPr>
      <w:rPr>
        <w:rFonts w:ascii="Symbol" w:hAnsi="Symbol" w:hint="default"/>
      </w:rPr>
    </w:lvl>
    <w:lvl w:ilvl="7" w:tplc="7304DC8C" w:tentative="1">
      <w:start w:val="1"/>
      <w:numFmt w:val="bullet"/>
      <w:lvlText w:val="o"/>
      <w:lvlJc w:val="left"/>
      <w:pPr>
        <w:ind w:left="5400" w:hanging="360"/>
      </w:pPr>
      <w:rPr>
        <w:rFonts w:ascii="Courier New" w:hAnsi="Courier New" w:cs="Courier New" w:hint="default"/>
      </w:rPr>
    </w:lvl>
    <w:lvl w:ilvl="8" w:tplc="6728D94C" w:tentative="1">
      <w:start w:val="1"/>
      <w:numFmt w:val="bullet"/>
      <w:lvlText w:val=""/>
      <w:lvlJc w:val="left"/>
      <w:pPr>
        <w:ind w:left="6120" w:hanging="360"/>
      </w:pPr>
      <w:rPr>
        <w:rFonts w:ascii="Wingdings" w:hAnsi="Wingdings" w:hint="default"/>
      </w:rPr>
    </w:lvl>
  </w:abstractNum>
  <w:abstractNum w:abstractNumId="29"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30"/>
  </w:num>
  <w:num w:numId="14">
    <w:abstractNumId w:val="12"/>
  </w:num>
  <w:num w:numId="15">
    <w:abstractNumId w:val="16"/>
  </w:num>
  <w:num w:numId="16">
    <w:abstractNumId w:val="33"/>
  </w:num>
  <w:num w:numId="17">
    <w:abstractNumId w:val="27"/>
  </w:num>
  <w:num w:numId="18">
    <w:abstractNumId w:val="13"/>
  </w:num>
  <w:num w:numId="19">
    <w:abstractNumId w:val="17"/>
  </w:num>
  <w:num w:numId="20">
    <w:abstractNumId w:val="22"/>
  </w:num>
  <w:num w:numId="21">
    <w:abstractNumId w:val="29"/>
  </w:num>
  <w:num w:numId="22">
    <w:abstractNumId w:val="15"/>
  </w:num>
  <w:num w:numId="23">
    <w:abstractNumId w:val="18"/>
  </w:num>
  <w:num w:numId="24">
    <w:abstractNumId w:val="26"/>
  </w:num>
  <w:num w:numId="25">
    <w:abstractNumId w:val="26"/>
  </w:num>
  <w:num w:numId="26">
    <w:abstractNumId w:val="19"/>
  </w:num>
  <w:num w:numId="27">
    <w:abstractNumId w:val="14"/>
  </w:num>
  <w:num w:numId="28">
    <w:abstractNumId w:val="31"/>
  </w:num>
  <w:num w:numId="29">
    <w:abstractNumId w:val="11"/>
  </w:num>
  <w:num w:numId="30">
    <w:abstractNumId w:val="21"/>
  </w:num>
  <w:num w:numId="31">
    <w:abstractNumId w:val="32"/>
  </w:num>
  <w:num w:numId="32">
    <w:abstractNumId w:val="25"/>
  </w:num>
  <w:num w:numId="33">
    <w:abstractNumId w:val="24"/>
  </w:num>
  <w:num w:numId="34">
    <w:abstractNumId w:val="28"/>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C77"/>
    <w:rsid w:val="00003125"/>
    <w:rsid w:val="00005245"/>
    <w:rsid w:val="00006684"/>
    <w:rsid w:val="00017BEC"/>
    <w:rsid w:val="00017E7D"/>
    <w:rsid w:val="00017E82"/>
    <w:rsid w:val="00021A72"/>
    <w:rsid w:val="000221F5"/>
    <w:rsid w:val="00022BFD"/>
    <w:rsid w:val="00032DD2"/>
    <w:rsid w:val="000370A8"/>
    <w:rsid w:val="00041756"/>
    <w:rsid w:val="00041826"/>
    <w:rsid w:val="000445C4"/>
    <w:rsid w:val="0006050B"/>
    <w:rsid w:val="00061429"/>
    <w:rsid w:val="00080665"/>
    <w:rsid w:val="00085784"/>
    <w:rsid w:val="0009676A"/>
    <w:rsid w:val="000A0187"/>
    <w:rsid w:val="000A3328"/>
    <w:rsid w:val="000A5A56"/>
    <w:rsid w:val="000D0403"/>
    <w:rsid w:val="000D15A5"/>
    <w:rsid w:val="000D61A2"/>
    <w:rsid w:val="000D7961"/>
    <w:rsid w:val="000E1D4D"/>
    <w:rsid w:val="000E397B"/>
    <w:rsid w:val="000F1580"/>
    <w:rsid w:val="00115F0A"/>
    <w:rsid w:val="001229F6"/>
    <w:rsid w:val="001257C1"/>
    <w:rsid w:val="00142E5C"/>
    <w:rsid w:val="00151478"/>
    <w:rsid w:val="0015200D"/>
    <w:rsid w:val="0015553B"/>
    <w:rsid w:val="00161A5A"/>
    <w:rsid w:val="00170AB9"/>
    <w:rsid w:val="00174397"/>
    <w:rsid w:val="00181928"/>
    <w:rsid w:val="001856D7"/>
    <w:rsid w:val="00187E51"/>
    <w:rsid w:val="00192DBD"/>
    <w:rsid w:val="0019399A"/>
    <w:rsid w:val="001A52E9"/>
    <w:rsid w:val="001B4B9B"/>
    <w:rsid w:val="001C384C"/>
    <w:rsid w:val="001D2D1A"/>
    <w:rsid w:val="001D3694"/>
    <w:rsid w:val="001E33AB"/>
    <w:rsid w:val="001E3BCF"/>
    <w:rsid w:val="002066B3"/>
    <w:rsid w:val="0021427F"/>
    <w:rsid w:val="002261A9"/>
    <w:rsid w:val="00232F29"/>
    <w:rsid w:val="00235915"/>
    <w:rsid w:val="00252877"/>
    <w:rsid w:val="00254C2D"/>
    <w:rsid w:val="00261940"/>
    <w:rsid w:val="00262B06"/>
    <w:rsid w:val="00270C45"/>
    <w:rsid w:val="002748B0"/>
    <w:rsid w:val="00275198"/>
    <w:rsid w:val="0028054C"/>
    <w:rsid w:val="0028422D"/>
    <w:rsid w:val="002869AF"/>
    <w:rsid w:val="00286A28"/>
    <w:rsid w:val="002900F9"/>
    <w:rsid w:val="002937C8"/>
    <w:rsid w:val="00295878"/>
    <w:rsid w:val="00297038"/>
    <w:rsid w:val="002A3A4E"/>
    <w:rsid w:val="002A6EA8"/>
    <w:rsid w:val="002B02FE"/>
    <w:rsid w:val="002B1A8F"/>
    <w:rsid w:val="002B2265"/>
    <w:rsid w:val="002C67D8"/>
    <w:rsid w:val="002D0049"/>
    <w:rsid w:val="003058DA"/>
    <w:rsid w:val="0030762F"/>
    <w:rsid w:val="00311BD3"/>
    <w:rsid w:val="00312685"/>
    <w:rsid w:val="0032378D"/>
    <w:rsid w:val="00334C18"/>
    <w:rsid w:val="00336510"/>
    <w:rsid w:val="003513DB"/>
    <w:rsid w:val="0036243F"/>
    <w:rsid w:val="00377250"/>
    <w:rsid w:val="00385ABF"/>
    <w:rsid w:val="00392AF3"/>
    <w:rsid w:val="003A6A11"/>
    <w:rsid w:val="003B75F4"/>
    <w:rsid w:val="003C29E2"/>
    <w:rsid w:val="003C78E4"/>
    <w:rsid w:val="003E20FF"/>
    <w:rsid w:val="003E58BC"/>
    <w:rsid w:val="00406F1F"/>
    <w:rsid w:val="004077C9"/>
    <w:rsid w:val="00414E6F"/>
    <w:rsid w:val="00415F06"/>
    <w:rsid w:val="00416D38"/>
    <w:rsid w:val="00421F93"/>
    <w:rsid w:val="004305E5"/>
    <w:rsid w:val="00430C04"/>
    <w:rsid w:val="004331DF"/>
    <w:rsid w:val="0043566B"/>
    <w:rsid w:val="004430CE"/>
    <w:rsid w:val="00457453"/>
    <w:rsid w:val="0046327F"/>
    <w:rsid w:val="00463361"/>
    <w:rsid w:val="00472A03"/>
    <w:rsid w:val="004738F5"/>
    <w:rsid w:val="00475A24"/>
    <w:rsid w:val="00483313"/>
    <w:rsid w:val="00487A55"/>
    <w:rsid w:val="00496015"/>
    <w:rsid w:val="004A0340"/>
    <w:rsid w:val="004A090A"/>
    <w:rsid w:val="004A28F0"/>
    <w:rsid w:val="004A34DD"/>
    <w:rsid w:val="004A564F"/>
    <w:rsid w:val="004B5DBF"/>
    <w:rsid w:val="004C4C2E"/>
    <w:rsid w:val="004C4E14"/>
    <w:rsid w:val="004D0AC9"/>
    <w:rsid w:val="004D2D58"/>
    <w:rsid w:val="004D3DC4"/>
    <w:rsid w:val="004D495C"/>
    <w:rsid w:val="004E3824"/>
    <w:rsid w:val="004F03FF"/>
    <w:rsid w:val="004F09F8"/>
    <w:rsid w:val="00502BFC"/>
    <w:rsid w:val="005031E1"/>
    <w:rsid w:val="00504609"/>
    <w:rsid w:val="00511EDF"/>
    <w:rsid w:val="00523237"/>
    <w:rsid w:val="00523E05"/>
    <w:rsid w:val="005302F6"/>
    <w:rsid w:val="0053415A"/>
    <w:rsid w:val="00542D84"/>
    <w:rsid w:val="00546F06"/>
    <w:rsid w:val="00550EDF"/>
    <w:rsid w:val="005543B5"/>
    <w:rsid w:val="0056507B"/>
    <w:rsid w:val="00565E1A"/>
    <w:rsid w:val="0058604B"/>
    <w:rsid w:val="00587D96"/>
    <w:rsid w:val="005B37AF"/>
    <w:rsid w:val="005B45E9"/>
    <w:rsid w:val="005B5914"/>
    <w:rsid w:val="005C0E75"/>
    <w:rsid w:val="005C33BC"/>
    <w:rsid w:val="005D12FD"/>
    <w:rsid w:val="005E07F1"/>
    <w:rsid w:val="00622A8F"/>
    <w:rsid w:val="00626002"/>
    <w:rsid w:val="006354E9"/>
    <w:rsid w:val="0064011F"/>
    <w:rsid w:val="00641CA0"/>
    <w:rsid w:val="006444D5"/>
    <w:rsid w:val="0065094C"/>
    <w:rsid w:val="006527BD"/>
    <w:rsid w:val="006626F2"/>
    <w:rsid w:val="00663234"/>
    <w:rsid w:val="00667E12"/>
    <w:rsid w:val="00673261"/>
    <w:rsid w:val="00676C62"/>
    <w:rsid w:val="00677A58"/>
    <w:rsid w:val="0068331F"/>
    <w:rsid w:val="00685848"/>
    <w:rsid w:val="006A61A2"/>
    <w:rsid w:val="006A6F8F"/>
    <w:rsid w:val="006C0E12"/>
    <w:rsid w:val="006C7A7B"/>
    <w:rsid w:val="006D0B95"/>
    <w:rsid w:val="006D1217"/>
    <w:rsid w:val="006E2A4B"/>
    <w:rsid w:val="006F1CE9"/>
    <w:rsid w:val="0070090A"/>
    <w:rsid w:val="0070796E"/>
    <w:rsid w:val="007274B6"/>
    <w:rsid w:val="00735AC3"/>
    <w:rsid w:val="00735B54"/>
    <w:rsid w:val="00741CA2"/>
    <w:rsid w:val="00746629"/>
    <w:rsid w:val="00752E20"/>
    <w:rsid w:val="00755605"/>
    <w:rsid w:val="007620E6"/>
    <w:rsid w:val="00762A1E"/>
    <w:rsid w:val="007679D2"/>
    <w:rsid w:val="00770299"/>
    <w:rsid w:val="00781933"/>
    <w:rsid w:val="00782512"/>
    <w:rsid w:val="00785979"/>
    <w:rsid w:val="00791D56"/>
    <w:rsid w:val="00794FF3"/>
    <w:rsid w:val="00795647"/>
    <w:rsid w:val="00797056"/>
    <w:rsid w:val="007B0B08"/>
    <w:rsid w:val="007B145B"/>
    <w:rsid w:val="007B17F1"/>
    <w:rsid w:val="007B5E61"/>
    <w:rsid w:val="007B7C19"/>
    <w:rsid w:val="00800D40"/>
    <w:rsid w:val="00810A21"/>
    <w:rsid w:val="00811068"/>
    <w:rsid w:val="00813980"/>
    <w:rsid w:val="00813FDC"/>
    <w:rsid w:val="00816F03"/>
    <w:rsid w:val="00817846"/>
    <w:rsid w:val="00830C9C"/>
    <w:rsid w:val="00831C97"/>
    <w:rsid w:val="00832211"/>
    <w:rsid w:val="00833A72"/>
    <w:rsid w:val="00833F2B"/>
    <w:rsid w:val="008340D6"/>
    <w:rsid w:val="0083540C"/>
    <w:rsid w:val="00835BBF"/>
    <w:rsid w:val="0084734D"/>
    <w:rsid w:val="00852CC6"/>
    <w:rsid w:val="00870D98"/>
    <w:rsid w:val="008740CF"/>
    <w:rsid w:val="00882AA1"/>
    <w:rsid w:val="008835F9"/>
    <w:rsid w:val="00883EFF"/>
    <w:rsid w:val="00885734"/>
    <w:rsid w:val="00891809"/>
    <w:rsid w:val="00894A74"/>
    <w:rsid w:val="008A357D"/>
    <w:rsid w:val="008B1923"/>
    <w:rsid w:val="008E62E0"/>
    <w:rsid w:val="008F2196"/>
    <w:rsid w:val="009043C2"/>
    <w:rsid w:val="009074FD"/>
    <w:rsid w:val="00912887"/>
    <w:rsid w:val="00915921"/>
    <w:rsid w:val="0092342C"/>
    <w:rsid w:val="00923456"/>
    <w:rsid w:val="0093043A"/>
    <w:rsid w:val="00930F7E"/>
    <w:rsid w:val="00941145"/>
    <w:rsid w:val="0094145C"/>
    <w:rsid w:val="00942ED4"/>
    <w:rsid w:val="00946835"/>
    <w:rsid w:val="00947092"/>
    <w:rsid w:val="00951378"/>
    <w:rsid w:val="00953C7D"/>
    <w:rsid w:val="0096235E"/>
    <w:rsid w:val="0097038C"/>
    <w:rsid w:val="00970778"/>
    <w:rsid w:val="009710F5"/>
    <w:rsid w:val="0099599B"/>
    <w:rsid w:val="009A110B"/>
    <w:rsid w:val="009A6FD6"/>
    <w:rsid w:val="009A7184"/>
    <w:rsid w:val="009B17EA"/>
    <w:rsid w:val="009B6F98"/>
    <w:rsid w:val="009D7B40"/>
    <w:rsid w:val="009E1D30"/>
    <w:rsid w:val="009E3FEB"/>
    <w:rsid w:val="009E50D3"/>
    <w:rsid w:val="009F20EC"/>
    <w:rsid w:val="009F680F"/>
    <w:rsid w:val="00A07C61"/>
    <w:rsid w:val="00A13179"/>
    <w:rsid w:val="00A140EB"/>
    <w:rsid w:val="00A16064"/>
    <w:rsid w:val="00A207B2"/>
    <w:rsid w:val="00A54CA6"/>
    <w:rsid w:val="00A64C77"/>
    <w:rsid w:val="00A65745"/>
    <w:rsid w:val="00A824E0"/>
    <w:rsid w:val="00A840C6"/>
    <w:rsid w:val="00A855F5"/>
    <w:rsid w:val="00AB396C"/>
    <w:rsid w:val="00AB4706"/>
    <w:rsid w:val="00AC3A1D"/>
    <w:rsid w:val="00AC6766"/>
    <w:rsid w:val="00AC7AC6"/>
    <w:rsid w:val="00AD2FB3"/>
    <w:rsid w:val="00AD799C"/>
    <w:rsid w:val="00AE1C97"/>
    <w:rsid w:val="00AE2BCA"/>
    <w:rsid w:val="00AF0A2E"/>
    <w:rsid w:val="00AF4619"/>
    <w:rsid w:val="00B055E8"/>
    <w:rsid w:val="00B13550"/>
    <w:rsid w:val="00B154AD"/>
    <w:rsid w:val="00B2033A"/>
    <w:rsid w:val="00B20B08"/>
    <w:rsid w:val="00B24401"/>
    <w:rsid w:val="00B34B6C"/>
    <w:rsid w:val="00B402E3"/>
    <w:rsid w:val="00B4143C"/>
    <w:rsid w:val="00B41935"/>
    <w:rsid w:val="00B46EC5"/>
    <w:rsid w:val="00B50E11"/>
    <w:rsid w:val="00B528E2"/>
    <w:rsid w:val="00B532C0"/>
    <w:rsid w:val="00B53C8D"/>
    <w:rsid w:val="00B60B80"/>
    <w:rsid w:val="00B674DC"/>
    <w:rsid w:val="00B830A9"/>
    <w:rsid w:val="00B8577A"/>
    <w:rsid w:val="00B8609C"/>
    <w:rsid w:val="00BA2A7B"/>
    <w:rsid w:val="00BB3464"/>
    <w:rsid w:val="00BB67AF"/>
    <w:rsid w:val="00BC1350"/>
    <w:rsid w:val="00BC2C99"/>
    <w:rsid w:val="00BC6A2F"/>
    <w:rsid w:val="00BE77DE"/>
    <w:rsid w:val="00BF1682"/>
    <w:rsid w:val="00BF2698"/>
    <w:rsid w:val="00C26729"/>
    <w:rsid w:val="00C34206"/>
    <w:rsid w:val="00C37B27"/>
    <w:rsid w:val="00C53CE6"/>
    <w:rsid w:val="00C53EB2"/>
    <w:rsid w:val="00C551FC"/>
    <w:rsid w:val="00C616F6"/>
    <w:rsid w:val="00C62651"/>
    <w:rsid w:val="00C648E4"/>
    <w:rsid w:val="00C75DBB"/>
    <w:rsid w:val="00C837F9"/>
    <w:rsid w:val="00C84158"/>
    <w:rsid w:val="00C84E60"/>
    <w:rsid w:val="00C95BC3"/>
    <w:rsid w:val="00CF40B2"/>
    <w:rsid w:val="00CF63E1"/>
    <w:rsid w:val="00CF7114"/>
    <w:rsid w:val="00D00614"/>
    <w:rsid w:val="00D04FB0"/>
    <w:rsid w:val="00D17DC5"/>
    <w:rsid w:val="00D22552"/>
    <w:rsid w:val="00D27001"/>
    <w:rsid w:val="00D35307"/>
    <w:rsid w:val="00D43388"/>
    <w:rsid w:val="00D4563B"/>
    <w:rsid w:val="00D80072"/>
    <w:rsid w:val="00D839D8"/>
    <w:rsid w:val="00D92439"/>
    <w:rsid w:val="00DA1664"/>
    <w:rsid w:val="00DA27B7"/>
    <w:rsid w:val="00DA2F6F"/>
    <w:rsid w:val="00DA3130"/>
    <w:rsid w:val="00DB315C"/>
    <w:rsid w:val="00DB5B1B"/>
    <w:rsid w:val="00DB6C98"/>
    <w:rsid w:val="00DD05EF"/>
    <w:rsid w:val="00DD36C6"/>
    <w:rsid w:val="00DD5A07"/>
    <w:rsid w:val="00DE3F2D"/>
    <w:rsid w:val="00DE460C"/>
    <w:rsid w:val="00DF34BB"/>
    <w:rsid w:val="00DF418D"/>
    <w:rsid w:val="00E207C7"/>
    <w:rsid w:val="00E2379D"/>
    <w:rsid w:val="00E244D1"/>
    <w:rsid w:val="00E42955"/>
    <w:rsid w:val="00E45EB4"/>
    <w:rsid w:val="00E7476B"/>
    <w:rsid w:val="00E74841"/>
    <w:rsid w:val="00E84413"/>
    <w:rsid w:val="00E96105"/>
    <w:rsid w:val="00E97390"/>
    <w:rsid w:val="00E97800"/>
    <w:rsid w:val="00EA215C"/>
    <w:rsid w:val="00EA3797"/>
    <w:rsid w:val="00EA467D"/>
    <w:rsid w:val="00EA6520"/>
    <w:rsid w:val="00EA72D0"/>
    <w:rsid w:val="00EC30D6"/>
    <w:rsid w:val="00EC6051"/>
    <w:rsid w:val="00EE181A"/>
    <w:rsid w:val="00EF26FB"/>
    <w:rsid w:val="00EF62C8"/>
    <w:rsid w:val="00F2422E"/>
    <w:rsid w:val="00F35A0C"/>
    <w:rsid w:val="00F363E8"/>
    <w:rsid w:val="00F40E2E"/>
    <w:rsid w:val="00F50969"/>
    <w:rsid w:val="00F561C4"/>
    <w:rsid w:val="00F6124B"/>
    <w:rsid w:val="00F620CA"/>
    <w:rsid w:val="00F74154"/>
    <w:rsid w:val="00F842D3"/>
    <w:rsid w:val="00F87092"/>
    <w:rsid w:val="00FB1951"/>
    <w:rsid w:val="00FC045D"/>
    <w:rsid w:val="00FC31A9"/>
    <w:rsid w:val="00FD281F"/>
    <w:rsid w:val="00FE3EEC"/>
    <w:rsid w:val="00FE64B2"/>
    <w:rsid w:val="00FF089C"/>
    <w:rsid w:val="00FF126E"/>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2"/>
    </o:shapelayout>
  </w:shapeDefaults>
  <w:decimalSymbol w:val="."/>
  <w:listSeparator w:val=","/>
  <w14:docId w14:val="277E733D"/>
  <w15:chartTrackingRefBased/>
  <w15:docId w15:val="{9ED26B83-C3C0-4DD2-9D47-7C21E91E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25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Dubai" w:eastAsia="Times New Roman" w:hAnsi="Dubai" w:cs="Dubai"/>
      <w:sz w:val="22"/>
      <w:szCs w:val="22"/>
      <w:lang w:eastAsia="en-US"/>
    </w:rPr>
  </w:style>
  <w:style w:type="paragraph" w:styleId="Heading1">
    <w:name w:val="heading 1"/>
    <w:basedOn w:val="Normal"/>
    <w:next w:val="Normal"/>
    <w:link w:val="Heading1Char"/>
    <w:qFormat/>
    <w:rsid w:val="000E1D4D"/>
    <w:pPr>
      <w:keepNext/>
      <w:keepLines/>
      <w:spacing w:before="300"/>
      <w:ind w:left="792" w:hanging="792"/>
      <w:outlineLvl w:val="0"/>
    </w:pPr>
    <w:rPr>
      <w:b/>
      <w:bCs/>
      <w:sz w:val="26"/>
      <w:szCs w:val="26"/>
    </w:rPr>
  </w:style>
  <w:style w:type="paragraph" w:styleId="Heading2">
    <w:name w:val="heading 2"/>
    <w:basedOn w:val="Heading1"/>
    <w:next w:val="Normal"/>
    <w:qFormat/>
    <w:rsid w:val="000E1D4D"/>
    <w:pPr>
      <w:spacing w:before="240"/>
      <w:outlineLvl w:val="1"/>
    </w:pPr>
    <w:rPr>
      <w:sz w:val="24"/>
      <w:szCs w:val="24"/>
    </w:rPr>
  </w:style>
  <w:style w:type="paragraph" w:styleId="Heading3">
    <w:name w:val="heading 3"/>
    <w:basedOn w:val="Heading1"/>
    <w:next w:val="Normal"/>
    <w:qFormat/>
    <w:rsid w:val="000E1D4D"/>
    <w:pPr>
      <w:spacing w:before="200"/>
      <w:outlineLvl w:val="2"/>
    </w:pPr>
    <w:rPr>
      <w:sz w:val="22"/>
      <w:szCs w:val="22"/>
    </w:rPr>
  </w:style>
  <w:style w:type="paragraph" w:styleId="Heading4">
    <w:name w:val="heading 4"/>
    <w:basedOn w:val="Heading3"/>
    <w:next w:val="Normal"/>
    <w:qFormat/>
    <w:rsid w:val="000E1D4D"/>
    <w:pPr>
      <w:tabs>
        <w:tab w:val="clear" w:pos="794"/>
        <w:tab w:val="left" w:pos="992"/>
      </w:tabs>
      <w:spacing w:before="160"/>
      <w:ind w:left="994" w:hanging="994"/>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Style 58,超????,超?级链,超级链接,超链接1,하이퍼링크2,하이퍼링크21"/>
    <w:qFormat/>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8835F9"/>
    <w:pPr>
      <w:tabs>
        <w:tab w:val="clear" w:pos="5954"/>
        <w:tab w:val="clear" w:pos="9639"/>
      </w:tabs>
      <w:overflowPunct/>
      <w:autoSpaceDE/>
      <w:autoSpaceDN/>
      <w:adjustRightInd/>
      <w:spacing w:before="60" w:after="60" w:line="168" w:lineRule="auto"/>
      <w:textAlignment w:val="auto"/>
    </w:pPr>
    <w:rPr>
      <w:caps w:val="0"/>
      <w:noProof w:val="0"/>
      <w:sz w:val="18"/>
      <w:szCs w:val="18"/>
    </w:rPr>
  </w:style>
  <w:style w:type="paragraph" w:customStyle="1" w:styleId="AnnexNo">
    <w:name w:val="Annex_No"/>
    <w:basedOn w:val="Normal"/>
    <w:next w:val="Normal"/>
    <w:rsid w:val="000E1D4D"/>
    <w:pPr>
      <w:keepNext/>
      <w:keepLines/>
      <w:spacing w:before="480" w:after="80"/>
      <w:jc w:val="center"/>
    </w:pPr>
    <w:rPr>
      <w:sz w:val="26"/>
      <w:szCs w:val="26"/>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0E1D4D"/>
    <w:pPr>
      <w:keepNext/>
      <w:keepLines/>
      <w:spacing w:after="280"/>
      <w:jc w:val="center"/>
    </w:pPr>
    <w:rPr>
      <w:b/>
      <w:bCs/>
      <w:sz w:val="26"/>
      <w:szCs w:val="26"/>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0E1D4D"/>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0E1D4D"/>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0E1D4D"/>
    <w:pPr>
      <w:keepNext/>
      <w:keepLines/>
      <w:spacing w:before="160"/>
      <w:ind w:left="792"/>
    </w:pPr>
    <w:rPr>
      <w:i/>
      <w:iCs/>
    </w:rPr>
  </w:style>
  <w:style w:type="paragraph" w:customStyle="1" w:styleId="ChapNo">
    <w:name w:val="Chap_No"/>
    <w:basedOn w:val="ArtNo"/>
    <w:next w:val="Normal"/>
    <w:rsid w:val="000E1D4D"/>
    <w:rPr>
      <w:szCs w:val="28"/>
    </w:rPr>
  </w:style>
  <w:style w:type="paragraph" w:customStyle="1" w:styleId="Chaptitle">
    <w:name w:val="Chap_title"/>
    <w:basedOn w:val="Arttitle"/>
    <w:next w:val="Normal"/>
    <w:rsid w:val="000E1D4D"/>
    <w:pPr>
      <w:spacing w:before="120" w:after="360"/>
    </w:pPr>
    <w:rPr>
      <w:bCs/>
      <w:szCs w:val="28"/>
    </w:rPr>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qFormat/>
    <w:rsid w:val="000E1D4D"/>
    <w:pPr>
      <w:spacing w:before="80"/>
      <w:ind w:left="792" w:hanging="792"/>
    </w:pPr>
  </w:style>
  <w:style w:type="paragraph" w:customStyle="1" w:styleId="enumlev2">
    <w:name w:val="enumlev2"/>
    <w:basedOn w:val="enumlev1"/>
    <w:rsid w:val="000E1D4D"/>
    <w:pPr>
      <w:ind w:left="1195" w:hanging="403"/>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0E1D4D"/>
    <w:pPr>
      <w:keepNext/>
      <w:keepLines/>
      <w:spacing w:before="240" w:after="120"/>
      <w:jc w:val="center"/>
    </w:pPr>
  </w:style>
  <w:style w:type="paragraph" w:customStyle="1" w:styleId="Tabletitle">
    <w:name w:val="Table_title"/>
    <w:basedOn w:val="Normal"/>
    <w:next w:val="Normal"/>
    <w:rsid w:val="00FC31A9"/>
    <w:pPr>
      <w:keepNext/>
      <w:keepLines/>
      <w:spacing w:before="60" w:after="60" w:line="280" w:lineRule="exact"/>
      <w:jc w:val="center"/>
    </w:pPr>
    <w:rPr>
      <w:b/>
      <w:bCs/>
      <w:sz w:val="20"/>
      <w:szCs w:val="20"/>
    </w:rPr>
  </w:style>
  <w:style w:type="paragraph" w:customStyle="1" w:styleId="Figuretitle">
    <w:name w:val="Figure_title"/>
    <w:basedOn w:val="Tabletitle"/>
    <w:next w:val="Normal"/>
    <w:rsid w:val="000E1D4D"/>
    <w:pPr>
      <w:spacing w:before="120"/>
    </w:pPr>
    <w:rPr>
      <w:bCs w:val="0"/>
    </w:r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FC31A9"/>
    <w:rPr>
      <w:rFonts w:ascii="Dubai" w:hAnsi="Dubai" w:cs="Dubai"/>
      <w:b w:val="0"/>
      <w:bCs w:val="0"/>
      <w:i w:val="0"/>
      <w:iCs w:val="0"/>
      <w:position w:val="6"/>
      <w:sz w:val="18"/>
      <w:szCs w:val="18"/>
    </w:rPr>
  </w:style>
  <w:style w:type="paragraph" w:styleId="FootnoteText">
    <w:name w:val="footnote text"/>
    <w:basedOn w:val="Normal"/>
    <w:link w:val="FootnoteTextChar"/>
    <w:rsid w:val="00FC31A9"/>
    <w:pPr>
      <w:keepLines/>
      <w:tabs>
        <w:tab w:val="left" w:pos="255"/>
      </w:tabs>
      <w:spacing w:line="168" w:lineRule="auto"/>
    </w:pPr>
    <w:rPr>
      <w:sz w:val="18"/>
      <w:szCs w:val="18"/>
    </w:rPr>
  </w:style>
  <w:style w:type="character" w:customStyle="1" w:styleId="FootnoteTextChar">
    <w:name w:val="Footnote Text Char"/>
    <w:link w:val="FootnoteText"/>
    <w:rsid w:val="00FC31A9"/>
    <w:rPr>
      <w:rFonts w:ascii="Dubai" w:eastAsia="Times New Roman" w:hAnsi="Dubai" w:cs="Dubai"/>
      <w:sz w:val="18"/>
      <w:szCs w:val="18"/>
      <w:lang w:eastAsia="en-US"/>
    </w:rPr>
  </w:style>
  <w:style w:type="paragraph" w:customStyle="1" w:styleId="Headingb">
    <w:name w:val="Heading_b"/>
    <w:basedOn w:val="Normal"/>
    <w:next w:val="Normal"/>
    <w:rsid w:val="00FC31A9"/>
    <w:pPr>
      <w:keepNext/>
      <w:keepLines/>
      <w:spacing w:before="160"/>
    </w:pPr>
    <w:rPr>
      <w:b/>
      <w:bCs/>
      <w:sz w:val="24"/>
      <w:szCs w:val="24"/>
    </w:rPr>
  </w:style>
  <w:style w:type="paragraph" w:customStyle="1" w:styleId="Headingi">
    <w:name w:val="Heading_i"/>
    <w:basedOn w:val="Normal"/>
    <w:next w:val="Normal"/>
    <w:rsid w:val="00FC31A9"/>
    <w:pPr>
      <w:keepNext/>
      <w:keepLines/>
      <w:spacing w:before="160"/>
    </w:pPr>
    <w:rPr>
      <w:i/>
      <w:iCs/>
      <w:sz w:val="24"/>
      <w:szCs w:val="24"/>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FC31A9"/>
    <w:pPr>
      <w:spacing w:before="280"/>
    </w:pPr>
  </w:style>
  <w:style w:type="paragraph" w:styleId="NormalIndent">
    <w:name w:val="Normal Indent"/>
    <w:basedOn w:val="Normal"/>
    <w:rsid w:val="00930F7E"/>
    <w:pPr>
      <w:ind w:left="794"/>
    </w:pPr>
  </w:style>
  <w:style w:type="paragraph" w:customStyle="1" w:styleId="Note">
    <w:name w:val="Note"/>
    <w:basedOn w:val="Normal"/>
    <w:rsid w:val="00FC31A9"/>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FC31A9"/>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FC31A9"/>
    <w:pPr>
      <w:keepNext/>
      <w:keepLines/>
      <w:spacing w:before="360" w:after="120"/>
      <w:jc w:val="center"/>
    </w:pPr>
    <w:rPr>
      <w:sz w:val="26"/>
      <w:szCs w:val="26"/>
    </w:rPr>
  </w:style>
  <w:style w:type="paragraph" w:customStyle="1" w:styleId="Rectitle">
    <w:name w:val="Rec_title"/>
    <w:basedOn w:val="RecNo"/>
    <w:next w:val="Normal"/>
    <w:rsid w:val="0032378D"/>
    <w:pPr>
      <w:spacing w:before="120" w:after="360"/>
    </w:pPr>
    <w:rPr>
      <w:b/>
      <w:bCs/>
    </w:rPr>
  </w:style>
  <w:style w:type="paragraph" w:customStyle="1" w:styleId="Recref">
    <w:name w:val="Rec_ref"/>
    <w:basedOn w:val="Rectitle"/>
    <w:next w:val="Normal"/>
    <w:rsid w:val="00930F7E"/>
    <w:pPr>
      <w:tabs>
        <w:tab w:val="clear" w:pos="794"/>
        <w:tab w:val="clear" w:pos="1191"/>
        <w:tab w:val="clear" w:pos="1588"/>
        <w:tab w:val="clear" w:pos="1985"/>
      </w:tabs>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qFormat/>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qFormat/>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FC31A9"/>
  </w:style>
  <w:style w:type="paragraph" w:customStyle="1" w:styleId="Resref">
    <w:name w:val="Res_ref"/>
    <w:basedOn w:val="Recref"/>
    <w:next w:val="Resdate"/>
    <w:rsid w:val="00930F7E"/>
  </w:style>
  <w:style w:type="paragraph" w:customStyle="1" w:styleId="Restitle">
    <w:name w:val="Res_title"/>
    <w:basedOn w:val="Rectitle"/>
    <w:next w:val="Resref"/>
    <w:rsid w:val="00FC31A9"/>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qFormat/>
    <w:rsid w:val="00D43388"/>
    <w:pPr>
      <w:keepNext/>
      <w:keepLines/>
      <w:spacing w:before="480" w:after="120"/>
      <w:jc w:val="center"/>
    </w:pPr>
    <w:rPr>
      <w:b/>
      <w:bCs/>
      <w:sz w:val="28"/>
      <w:szCs w:val="28"/>
    </w:rPr>
  </w:style>
  <w:style w:type="paragraph" w:customStyle="1" w:styleId="SpecialFooter">
    <w:name w:val="Special Footer"/>
    <w:basedOn w:val="Footer"/>
    <w:rsid w:val="00930F7E"/>
    <w:pPr>
      <w:tabs>
        <w:tab w:val="left" w:pos="567"/>
        <w:tab w:val="left" w:pos="1134"/>
        <w:tab w:val="left" w:pos="1701"/>
        <w:tab w:val="left" w:pos="2268"/>
        <w:tab w:val="left" w:pos="2835"/>
      </w:tabs>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FC31A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pPr>
    <w:rPr>
      <w:sz w:val="20"/>
      <w:szCs w:val="20"/>
    </w:rPr>
  </w:style>
  <w:style w:type="paragraph" w:customStyle="1" w:styleId="Tablehead">
    <w:name w:val="Table_head"/>
    <w:basedOn w:val="Tabletext"/>
    <w:next w:val="Tabletext"/>
    <w:rsid w:val="00FC31A9"/>
    <w:pPr>
      <w:keepNext/>
      <w:spacing w:before="80" w:after="80"/>
      <w:jc w:val="center"/>
    </w:pPr>
    <w:rPr>
      <w:b/>
      <w:bCs/>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Annextitle"/>
    <w:next w:val="Normal"/>
    <w:qFormat/>
    <w:rsid w:val="00D43388"/>
    <w:pPr>
      <w:tabs>
        <w:tab w:val="clear" w:pos="794"/>
        <w:tab w:val="clear" w:pos="1191"/>
        <w:tab w:val="clear" w:pos="1588"/>
        <w:tab w:val="clear" w:pos="1985"/>
        <w:tab w:val="left" w:pos="567"/>
        <w:tab w:val="left" w:pos="1134"/>
        <w:tab w:val="left" w:pos="1701"/>
        <w:tab w:val="left" w:pos="2268"/>
        <w:tab w:val="left" w:pos="2835"/>
      </w:tabs>
      <w:spacing w:before="240" w:after="120"/>
    </w:pPr>
    <w:rPr>
      <w:b w:val="0"/>
      <w:bCs w:val="0"/>
    </w:rPr>
  </w:style>
  <w:style w:type="paragraph" w:customStyle="1" w:styleId="Title2">
    <w:name w:val="Title 2"/>
    <w:basedOn w:val="Title1"/>
    <w:next w:val="Normal"/>
    <w:rsid w:val="00FC31A9"/>
    <w:rPr>
      <w:sz w:val="24"/>
      <w:szCs w:val="24"/>
    </w:rPr>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customStyle="1" w:styleId="UnresolvedMention1">
    <w:name w:val="Unresolved Mention1"/>
    <w:basedOn w:val="DefaultParagraphFont"/>
    <w:uiPriority w:val="99"/>
    <w:semiHidden/>
    <w:unhideWhenUsed/>
    <w:rsid w:val="00504609"/>
    <w:rPr>
      <w:color w:val="605E5C"/>
      <w:shd w:val="clear" w:color="auto" w:fill="E1DFDD"/>
    </w:rPr>
  </w:style>
  <w:style w:type="paragraph" w:customStyle="1" w:styleId="Agendaitem">
    <w:name w:val="Agenda_item"/>
    <w:basedOn w:val="Normal"/>
    <w:next w:val="Normal"/>
    <w:qFormat/>
    <w:rsid w:val="0053415A"/>
    <w:pPr>
      <w:tabs>
        <w:tab w:val="clear" w:pos="794"/>
        <w:tab w:val="clear" w:pos="1191"/>
        <w:tab w:val="clear" w:pos="1588"/>
        <w:tab w:val="clear" w:pos="1985"/>
        <w:tab w:val="left" w:pos="1134"/>
        <w:tab w:val="left" w:pos="1871"/>
        <w:tab w:val="left" w:pos="2268"/>
      </w:tabs>
      <w:overflowPunct/>
      <w:autoSpaceDE/>
      <w:autoSpaceDN/>
      <w:bidi w:val="0"/>
      <w:adjustRightInd/>
      <w:spacing w:before="240" w:line="240" w:lineRule="auto"/>
      <w:jc w:val="center"/>
      <w:textAlignment w:val="auto"/>
    </w:pPr>
    <w:rPr>
      <w:rFonts w:asciiTheme="minorHAnsi" w:hAnsiTheme="minorHAnsi" w:cs="Times New Roman"/>
      <w:sz w:val="28"/>
      <w:szCs w:val="20"/>
      <w:lang w:val="es-ES_tradnl"/>
    </w:rPr>
  </w:style>
  <w:style w:type="paragraph" w:customStyle="1" w:styleId="Default">
    <w:name w:val="Default"/>
    <w:rsid w:val="0053415A"/>
    <w:pPr>
      <w:autoSpaceDE w:val="0"/>
      <w:autoSpaceDN w:val="0"/>
      <w:adjustRightInd w:val="0"/>
    </w:pPr>
    <w:rPr>
      <w:rFonts w:eastAsia="Calibri"/>
      <w:color w:val="000000"/>
      <w:sz w:val="24"/>
      <w:szCs w:val="24"/>
      <w:lang w:val="en-US" w:eastAsia="en-US"/>
    </w:rPr>
  </w:style>
  <w:style w:type="table" w:customStyle="1" w:styleId="TableGrid1">
    <w:name w:val="Table Grid1"/>
    <w:basedOn w:val="TableNormal"/>
    <w:next w:val="TableGrid"/>
    <w:rsid w:val="00463361"/>
    <w:rPr>
      <w:rFonts w:ascii="Times" w:eastAsia="Times New Roman" w:hAnsi="Time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locked/>
    <w:rsid w:val="00463361"/>
    <w:rPr>
      <w:rFonts w:ascii="Dubai" w:eastAsia="Times New Roman" w:hAnsi="Dubai" w:cs="Dubai"/>
      <w:sz w:val="22"/>
      <w:szCs w:val="22"/>
      <w:lang w:eastAsia="en-US"/>
    </w:rPr>
  </w:style>
  <w:style w:type="character" w:customStyle="1" w:styleId="Heading1Char">
    <w:name w:val="Heading 1 Char"/>
    <w:basedOn w:val="DefaultParagraphFont"/>
    <w:link w:val="Heading1"/>
    <w:rsid w:val="0028422D"/>
    <w:rPr>
      <w:rFonts w:ascii="Dubai" w:eastAsia="Times New Roman" w:hAnsi="Dubai" w:cs="Dubai"/>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6412">
      <w:bodyDiv w:val="1"/>
      <w:marLeft w:val="0"/>
      <w:marRight w:val="0"/>
      <w:marTop w:val="0"/>
      <w:marBottom w:val="0"/>
      <w:divBdr>
        <w:top w:val="none" w:sz="0" w:space="0" w:color="auto"/>
        <w:left w:val="none" w:sz="0" w:space="0" w:color="auto"/>
        <w:bottom w:val="none" w:sz="0" w:space="0" w:color="auto"/>
        <w:right w:val="none" w:sz="0" w:space="0" w:color="auto"/>
      </w:divBdr>
    </w:div>
    <w:div w:id="31922329">
      <w:bodyDiv w:val="1"/>
      <w:marLeft w:val="0"/>
      <w:marRight w:val="0"/>
      <w:marTop w:val="0"/>
      <w:marBottom w:val="0"/>
      <w:divBdr>
        <w:top w:val="none" w:sz="0" w:space="0" w:color="auto"/>
        <w:left w:val="none" w:sz="0" w:space="0" w:color="auto"/>
        <w:bottom w:val="none" w:sz="0" w:space="0" w:color="auto"/>
        <w:right w:val="none" w:sz="0" w:space="0" w:color="auto"/>
      </w:divBdr>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45896214">
      <w:bodyDiv w:val="1"/>
      <w:marLeft w:val="0"/>
      <w:marRight w:val="0"/>
      <w:marTop w:val="0"/>
      <w:marBottom w:val="0"/>
      <w:divBdr>
        <w:top w:val="none" w:sz="0" w:space="0" w:color="auto"/>
        <w:left w:val="none" w:sz="0" w:space="0" w:color="auto"/>
        <w:bottom w:val="none" w:sz="0" w:space="0" w:color="auto"/>
        <w:right w:val="none" w:sz="0" w:space="0" w:color="auto"/>
      </w:divBdr>
    </w:div>
    <w:div w:id="184904912">
      <w:bodyDiv w:val="1"/>
      <w:marLeft w:val="0"/>
      <w:marRight w:val="0"/>
      <w:marTop w:val="0"/>
      <w:marBottom w:val="0"/>
      <w:divBdr>
        <w:top w:val="none" w:sz="0" w:space="0" w:color="auto"/>
        <w:left w:val="none" w:sz="0" w:space="0" w:color="auto"/>
        <w:bottom w:val="none" w:sz="0" w:space="0" w:color="auto"/>
        <w:right w:val="none" w:sz="0" w:space="0" w:color="auto"/>
      </w:divBdr>
    </w:div>
    <w:div w:id="199365129">
      <w:bodyDiv w:val="1"/>
      <w:marLeft w:val="0"/>
      <w:marRight w:val="0"/>
      <w:marTop w:val="0"/>
      <w:marBottom w:val="0"/>
      <w:divBdr>
        <w:top w:val="none" w:sz="0" w:space="0" w:color="auto"/>
        <w:left w:val="none" w:sz="0" w:space="0" w:color="auto"/>
        <w:bottom w:val="none" w:sz="0" w:space="0" w:color="auto"/>
        <w:right w:val="none" w:sz="0" w:space="0" w:color="auto"/>
      </w:divBdr>
    </w:div>
    <w:div w:id="447311026">
      <w:bodyDiv w:val="1"/>
      <w:marLeft w:val="0"/>
      <w:marRight w:val="0"/>
      <w:marTop w:val="0"/>
      <w:marBottom w:val="0"/>
      <w:divBdr>
        <w:top w:val="none" w:sz="0" w:space="0" w:color="auto"/>
        <w:left w:val="none" w:sz="0" w:space="0" w:color="auto"/>
        <w:bottom w:val="none" w:sz="0" w:space="0" w:color="auto"/>
        <w:right w:val="none" w:sz="0" w:space="0" w:color="auto"/>
      </w:divBdr>
    </w:div>
    <w:div w:id="463740580">
      <w:bodyDiv w:val="1"/>
      <w:marLeft w:val="0"/>
      <w:marRight w:val="0"/>
      <w:marTop w:val="0"/>
      <w:marBottom w:val="0"/>
      <w:divBdr>
        <w:top w:val="none" w:sz="0" w:space="0" w:color="auto"/>
        <w:left w:val="none" w:sz="0" w:space="0" w:color="auto"/>
        <w:bottom w:val="none" w:sz="0" w:space="0" w:color="auto"/>
        <w:right w:val="none" w:sz="0" w:space="0" w:color="auto"/>
      </w:divBdr>
    </w:div>
    <w:div w:id="612251300">
      <w:bodyDiv w:val="1"/>
      <w:marLeft w:val="0"/>
      <w:marRight w:val="0"/>
      <w:marTop w:val="0"/>
      <w:marBottom w:val="0"/>
      <w:divBdr>
        <w:top w:val="none" w:sz="0" w:space="0" w:color="auto"/>
        <w:left w:val="none" w:sz="0" w:space="0" w:color="auto"/>
        <w:bottom w:val="none" w:sz="0" w:space="0" w:color="auto"/>
        <w:right w:val="none" w:sz="0" w:space="0" w:color="auto"/>
      </w:divBdr>
    </w:div>
    <w:div w:id="635455497">
      <w:bodyDiv w:val="1"/>
      <w:marLeft w:val="0"/>
      <w:marRight w:val="0"/>
      <w:marTop w:val="0"/>
      <w:marBottom w:val="0"/>
      <w:divBdr>
        <w:top w:val="none" w:sz="0" w:space="0" w:color="auto"/>
        <w:left w:val="none" w:sz="0" w:space="0" w:color="auto"/>
        <w:bottom w:val="none" w:sz="0" w:space="0" w:color="auto"/>
        <w:right w:val="none" w:sz="0" w:space="0" w:color="auto"/>
      </w:divBdr>
    </w:div>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69685666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 w:id="1066994003">
      <w:bodyDiv w:val="1"/>
      <w:marLeft w:val="0"/>
      <w:marRight w:val="0"/>
      <w:marTop w:val="0"/>
      <w:marBottom w:val="0"/>
      <w:divBdr>
        <w:top w:val="none" w:sz="0" w:space="0" w:color="auto"/>
        <w:left w:val="none" w:sz="0" w:space="0" w:color="auto"/>
        <w:bottom w:val="none" w:sz="0" w:space="0" w:color="auto"/>
        <w:right w:val="none" w:sz="0" w:space="0" w:color="auto"/>
      </w:divBdr>
      <w:divsChild>
        <w:div w:id="1875187161">
          <w:marLeft w:val="0"/>
          <w:marRight w:val="0"/>
          <w:marTop w:val="0"/>
          <w:marBottom w:val="0"/>
          <w:divBdr>
            <w:top w:val="none" w:sz="0" w:space="0" w:color="auto"/>
            <w:left w:val="none" w:sz="0" w:space="0" w:color="auto"/>
            <w:bottom w:val="none" w:sz="0" w:space="0" w:color="auto"/>
            <w:right w:val="none" w:sz="0" w:space="0" w:color="auto"/>
          </w:divBdr>
          <w:divsChild>
            <w:div w:id="341932897">
              <w:marLeft w:val="0"/>
              <w:marRight w:val="0"/>
              <w:marTop w:val="0"/>
              <w:marBottom w:val="0"/>
              <w:divBdr>
                <w:top w:val="none" w:sz="0" w:space="0" w:color="auto"/>
                <w:left w:val="none" w:sz="0" w:space="0" w:color="auto"/>
                <w:bottom w:val="none" w:sz="0" w:space="0" w:color="auto"/>
                <w:right w:val="none" w:sz="0" w:space="0" w:color="auto"/>
              </w:divBdr>
              <w:divsChild>
                <w:div w:id="1607883843">
                  <w:marLeft w:val="0"/>
                  <w:marRight w:val="0"/>
                  <w:marTop w:val="0"/>
                  <w:marBottom w:val="0"/>
                  <w:divBdr>
                    <w:top w:val="none" w:sz="0" w:space="0" w:color="auto"/>
                    <w:left w:val="none" w:sz="0" w:space="0" w:color="auto"/>
                    <w:bottom w:val="none" w:sz="0" w:space="0" w:color="auto"/>
                    <w:right w:val="none" w:sz="0" w:space="0" w:color="auto"/>
                  </w:divBdr>
                  <w:divsChild>
                    <w:div w:id="1712414068">
                      <w:marLeft w:val="0"/>
                      <w:marRight w:val="0"/>
                      <w:marTop w:val="0"/>
                      <w:marBottom w:val="0"/>
                      <w:divBdr>
                        <w:top w:val="none" w:sz="0" w:space="0" w:color="auto"/>
                        <w:left w:val="none" w:sz="0" w:space="0" w:color="auto"/>
                        <w:bottom w:val="none" w:sz="0" w:space="0" w:color="auto"/>
                        <w:right w:val="none" w:sz="0" w:space="0" w:color="auto"/>
                      </w:divBdr>
                      <w:divsChild>
                        <w:div w:id="126439028">
                          <w:marLeft w:val="0"/>
                          <w:marRight w:val="0"/>
                          <w:marTop w:val="0"/>
                          <w:marBottom w:val="0"/>
                          <w:divBdr>
                            <w:top w:val="none" w:sz="0" w:space="0" w:color="auto"/>
                            <w:left w:val="none" w:sz="0" w:space="0" w:color="auto"/>
                            <w:bottom w:val="none" w:sz="0" w:space="0" w:color="auto"/>
                            <w:right w:val="none" w:sz="0" w:space="0" w:color="auto"/>
                          </w:divBdr>
                          <w:divsChild>
                            <w:div w:id="1174221437">
                              <w:marLeft w:val="0"/>
                              <w:marRight w:val="0"/>
                              <w:marTop w:val="0"/>
                              <w:marBottom w:val="0"/>
                              <w:divBdr>
                                <w:top w:val="none" w:sz="0" w:space="0" w:color="auto"/>
                                <w:left w:val="none" w:sz="0" w:space="0" w:color="auto"/>
                                <w:bottom w:val="none" w:sz="0" w:space="0" w:color="auto"/>
                                <w:right w:val="none" w:sz="0" w:space="0" w:color="auto"/>
                              </w:divBdr>
                              <w:divsChild>
                                <w:div w:id="1793094743">
                                  <w:marLeft w:val="0"/>
                                  <w:marRight w:val="0"/>
                                  <w:marTop w:val="0"/>
                                  <w:marBottom w:val="0"/>
                                  <w:divBdr>
                                    <w:top w:val="none" w:sz="0" w:space="0" w:color="auto"/>
                                    <w:left w:val="none" w:sz="0" w:space="0" w:color="auto"/>
                                    <w:bottom w:val="none" w:sz="0" w:space="0" w:color="auto"/>
                                    <w:right w:val="none" w:sz="0" w:space="0" w:color="auto"/>
                                  </w:divBdr>
                                  <w:divsChild>
                                    <w:div w:id="1954095479">
                                      <w:marLeft w:val="0"/>
                                      <w:marRight w:val="0"/>
                                      <w:marTop w:val="0"/>
                                      <w:marBottom w:val="0"/>
                                      <w:divBdr>
                                        <w:top w:val="none" w:sz="0" w:space="0" w:color="auto"/>
                                        <w:left w:val="none" w:sz="0" w:space="0" w:color="auto"/>
                                        <w:bottom w:val="none" w:sz="0" w:space="0" w:color="auto"/>
                                        <w:right w:val="none" w:sz="0" w:space="0" w:color="auto"/>
                                      </w:divBdr>
                                      <w:divsChild>
                                        <w:div w:id="578830664">
                                          <w:marLeft w:val="0"/>
                                          <w:marRight w:val="0"/>
                                          <w:marTop w:val="0"/>
                                          <w:marBottom w:val="0"/>
                                          <w:divBdr>
                                            <w:top w:val="none" w:sz="0" w:space="0" w:color="auto"/>
                                            <w:left w:val="none" w:sz="0" w:space="0" w:color="auto"/>
                                            <w:bottom w:val="none" w:sz="0" w:space="0" w:color="auto"/>
                                            <w:right w:val="none" w:sz="0" w:space="0" w:color="auto"/>
                                          </w:divBdr>
                                          <w:divsChild>
                                            <w:div w:id="1020619854">
                                              <w:marLeft w:val="0"/>
                                              <w:marRight w:val="0"/>
                                              <w:marTop w:val="0"/>
                                              <w:marBottom w:val="0"/>
                                              <w:divBdr>
                                                <w:top w:val="none" w:sz="0" w:space="0" w:color="auto"/>
                                                <w:left w:val="none" w:sz="0" w:space="0" w:color="auto"/>
                                                <w:bottom w:val="none" w:sz="0" w:space="0" w:color="auto"/>
                                                <w:right w:val="none" w:sz="0" w:space="0" w:color="auto"/>
                                              </w:divBdr>
                                              <w:divsChild>
                                                <w:div w:id="1543132414">
                                                  <w:marLeft w:val="0"/>
                                                  <w:marRight w:val="0"/>
                                                  <w:marTop w:val="0"/>
                                                  <w:marBottom w:val="0"/>
                                                  <w:divBdr>
                                                    <w:top w:val="none" w:sz="0" w:space="0" w:color="auto"/>
                                                    <w:left w:val="none" w:sz="0" w:space="0" w:color="auto"/>
                                                    <w:bottom w:val="none" w:sz="0" w:space="0" w:color="auto"/>
                                                    <w:right w:val="none" w:sz="0" w:space="0" w:color="auto"/>
                                                  </w:divBdr>
                                                  <w:divsChild>
                                                    <w:div w:id="1937398706">
                                                      <w:marLeft w:val="0"/>
                                                      <w:marRight w:val="0"/>
                                                      <w:marTop w:val="0"/>
                                                      <w:marBottom w:val="0"/>
                                                      <w:divBdr>
                                                        <w:top w:val="none" w:sz="0" w:space="0" w:color="auto"/>
                                                        <w:left w:val="none" w:sz="0" w:space="0" w:color="auto"/>
                                                        <w:bottom w:val="none" w:sz="0" w:space="0" w:color="auto"/>
                                                        <w:right w:val="none" w:sz="0" w:space="0" w:color="auto"/>
                                                      </w:divBdr>
                                                      <w:divsChild>
                                                        <w:div w:id="1805930378">
                                                          <w:marLeft w:val="0"/>
                                                          <w:marRight w:val="0"/>
                                                          <w:marTop w:val="0"/>
                                                          <w:marBottom w:val="0"/>
                                                          <w:divBdr>
                                                            <w:top w:val="none" w:sz="0" w:space="0" w:color="auto"/>
                                                            <w:left w:val="none" w:sz="0" w:space="0" w:color="auto"/>
                                                            <w:bottom w:val="none" w:sz="0" w:space="0" w:color="auto"/>
                                                            <w:right w:val="none" w:sz="0" w:space="0" w:color="auto"/>
                                                          </w:divBdr>
                                                          <w:divsChild>
                                                            <w:div w:id="102297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5467308">
      <w:bodyDiv w:val="1"/>
      <w:marLeft w:val="0"/>
      <w:marRight w:val="0"/>
      <w:marTop w:val="0"/>
      <w:marBottom w:val="0"/>
      <w:divBdr>
        <w:top w:val="none" w:sz="0" w:space="0" w:color="auto"/>
        <w:left w:val="none" w:sz="0" w:space="0" w:color="auto"/>
        <w:bottom w:val="none" w:sz="0" w:space="0" w:color="auto"/>
        <w:right w:val="none" w:sz="0" w:space="0" w:color="auto"/>
      </w:divBdr>
    </w:div>
    <w:div w:id="1170829225">
      <w:bodyDiv w:val="1"/>
      <w:marLeft w:val="0"/>
      <w:marRight w:val="0"/>
      <w:marTop w:val="0"/>
      <w:marBottom w:val="0"/>
      <w:divBdr>
        <w:top w:val="none" w:sz="0" w:space="0" w:color="auto"/>
        <w:left w:val="none" w:sz="0" w:space="0" w:color="auto"/>
        <w:bottom w:val="none" w:sz="0" w:space="0" w:color="auto"/>
        <w:right w:val="none" w:sz="0" w:space="0" w:color="auto"/>
      </w:divBdr>
    </w:div>
    <w:div w:id="1172337331">
      <w:bodyDiv w:val="1"/>
      <w:marLeft w:val="0"/>
      <w:marRight w:val="0"/>
      <w:marTop w:val="0"/>
      <w:marBottom w:val="0"/>
      <w:divBdr>
        <w:top w:val="none" w:sz="0" w:space="0" w:color="auto"/>
        <w:left w:val="none" w:sz="0" w:space="0" w:color="auto"/>
        <w:bottom w:val="none" w:sz="0" w:space="0" w:color="auto"/>
        <w:right w:val="none" w:sz="0" w:space="0" w:color="auto"/>
      </w:divBdr>
    </w:div>
    <w:div w:id="1176529934">
      <w:bodyDiv w:val="1"/>
      <w:marLeft w:val="0"/>
      <w:marRight w:val="0"/>
      <w:marTop w:val="0"/>
      <w:marBottom w:val="0"/>
      <w:divBdr>
        <w:top w:val="none" w:sz="0" w:space="0" w:color="auto"/>
        <w:left w:val="none" w:sz="0" w:space="0" w:color="auto"/>
        <w:bottom w:val="none" w:sz="0" w:space="0" w:color="auto"/>
        <w:right w:val="none" w:sz="0" w:space="0" w:color="auto"/>
      </w:divBdr>
    </w:div>
    <w:div w:id="1320572042">
      <w:bodyDiv w:val="1"/>
      <w:marLeft w:val="0"/>
      <w:marRight w:val="0"/>
      <w:marTop w:val="0"/>
      <w:marBottom w:val="0"/>
      <w:divBdr>
        <w:top w:val="none" w:sz="0" w:space="0" w:color="auto"/>
        <w:left w:val="none" w:sz="0" w:space="0" w:color="auto"/>
        <w:bottom w:val="none" w:sz="0" w:space="0" w:color="auto"/>
        <w:right w:val="none" w:sz="0" w:space="0" w:color="auto"/>
      </w:divBdr>
    </w:div>
    <w:div w:id="1346396245">
      <w:bodyDiv w:val="1"/>
      <w:marLeft w:val="0"/>
      <w:marRight w:val="0"/>
      <w:marTop w:val="0"/>
      <w:marBottom w:val="0"/>
      <w:divBdr>
        <w:top w:val="none" w:sz="0" w:space="0" w:color="auto"/>
        <w:left w:val="none" w:sz="0" w:space="0" w:color="auto"/>
        <w:bottom w:val="none" w:sz="0" w:space="0" w:color="auto"/>
        <w:right w:val="none" w:sz="0" w:space="0" w:color="auto"/>
      </w:divBdr>
    </w:div>
    <w:div w:id="1467822360">
      <w:bodyDiv w:val="1"/>
      <w:marLeft w:val="0"/>
      <w:marRight w:val="0"/>
      <w:marTop w:val="0"/>
      <w:marBottom w:val="0"/>
      <w:divBdr>
        <w:top w:val="none" w:sz="0" w:space="0" w:color="auto"/>
        <w:left w:val="none" w:sz="0" w:space="0" w:color="auto"/>
        <w:bottom w:val="none" w:sz="0" w:space="0" w:color="auto"/>
        <w:right w:val="none" w:sz="0" w:space="0" w:color="auto"/>
      </w:divBdr>
    </w:div>
    <w:div w:id="1613901627">
      <w:bodyDiv w:val="1"/>
      <w:marLeft w:val="0"/>
      <w:marRight w:val="0"/>
      <w:marTop w:val="0"/>
      <w:marBottom w:val="0"/>
      <w:divBdr>
        <w:top w:val="none" w:sz="0" w:space="0" w:color="auto"/>
        <w:left w:val="none" w:sz="0" w:space="0" w:color="auto"/>
        <w:bottom w:val="none" w:sz="0" w:space="0" w:color="auto"/>
        <w:right w:val="none" w:sz="0" w:space="0" w:color="auto"/>
      </w:divBdr>
    </w:div>
    <w:div w:id="1772777607">
      <w:bodyDiv w:val="1"/>
      <w:marLeft w:val="0"/>
      <w:marRight w:val="0"/>
      <w:marTop w:val="0"/>
      <w:marBottom w:val="0"/>
      <w:divBdr>
        <w:top w:val="none" w:sz="0" w:space="0" w:color="auto"/>
        <w:left w:val="none" w:sz="0" w:space="0" w:color="auto"/>
        <w:bottom w:val="none" w:sz="0" w:space="0" w:color="auto"/>
        <w:right w:val="none" w:sz="0" w:space="0" w:color="auto"/>
      </w:divBdr>
    </w:div>
    <w:div w:id="1859468288">
      <w:bodyDiv w:val="1"/>
      <w:marLeft w:val="0"/>
      <w:marRight w:val="0"/>
      <w:marTop w:val="0"/>
      <w:marBottom w:val="0"/>
      <w:divBdr>
        <w:top w:val="none" w:sz="0" w:space="0" w:color="auto"/>
        <w:left w:val="none" w:sz="0" w:space="0" w:color="auto"/>
        <w:bottom w:val="none" w:sz="0" w:space="0" w:color="auto"/>
        <w:right w:val="none" w:sz="0" w:space="0" w:color="auto"/>
      </w:divBdr>
    </w:div>
    <w:div w:id="1980647872">
      <w:bodyDiv w:val="1"/>
      <w:marLeft w:val="0"/>
      <w:marRight w:val="0"/>
      <w:marTop w:val="0"/>
      <w:marBottom w:val="0"/>
      <w:divBdr>
        <w:top w:val="none" w:sz="0" w:space="0" w:color="auto"/>
        <w:left w:val="none" w:sz="0" w:space="0" w:color="auto"/>
        <w:bottom w:val="none" w:sz="0" w:space="0" w:color="auto"/>
        <w:right w:val="none" w:sz="0" w:space="0" w:color="auto"/>
      </w:divBdr>
    </w:div>
    <w:div w:id="1984388805">
      <w:bodyDiv w:val="1"/>
      <w:marLeft w:val="0"/>
      <w:marRight w:val="0"/>
      <w:marTop w:val="0"/>
      <w:marBottom w:val="0"/>
      <w:divBdr>
        <w:top w:val="none" w:sz="0" w:space="0" w:color="auto"/>
        <w:left w:val="none" w:sz="0" w:space="0" w:color="auto"/>
        <w:bottom w:val="none" w:sz="0" w:space="0" w:color="auto"/>
        <w:right w:val="none" w:sz="0" w:space="0" w:color="auto"/>
      </w:divBdr>
    </w:div>
    <w:div w:id="1998455983">
      <w:bodyDiv w:val="1"/>
      <w:marLeft w:val="0"/>
      <w:marRight w:val="0"/>
      <w:marTop w:val="0"/>
      <w:marBottom w:val="0"/>
      <w:divBdr>
        <w:top w:val="none" w:sz="0" w:space="0" w:color="auto"/>
        <w:left w:val="none" w:sz="0" w:space="0" w:color="auto"/>
        <w:bottom w:val="none" w:sz="0" w:space="0" w:color="auto"/>
        <w:right w:val="none" w:sz="0" w:space="0" w:color="auto"/>
      </w:divBdr>
      <w:divsChild>
        <w:div w:id="1692219152">
          <w:marLeft w:val="0"/>
          <w:marRight w:val="0"/>
          <w:marTop w:val="0"/>
          <w:marBottom w:val="0"/>
          <w:divBdr>
            <w:top w:val="none" w:sz="0" w:space="0" w:color="auto"/>
            <w:left w:val="none" w:sz="0" w:space="0" w:color="auto"/>
            <w:bottom w:val="none" w:sz="0" w:space="0" w:color="auto"/>
            <w:right w:val="none" w:sz="0" w:space="0" w:color="auto"/>
          </w:divBdr>
          <w:divsChild>
            <w:div w:id="1049306234">
              <w:marLeft w:val="0"/>
              <w:marRight w:val="0"/>
              <w:marTop w:val="0"/>
              <w:marBottom w:val="0"/>
              <w:divBdr>
                <w:top w:val="none" w:sz="0" w:space="0" w:color="auto"/>
                <w:left w:val="none" w:sz="0" w:space="0" w:color="auto"/>
                <w:bottom w:val="none" w:sz="0" w:space="0" w:color="auto"/>
                <w:right w:val="none" w:sz="0" w:space="0" w:color="auto"/>
              </w:divBdr>
              <w:divsChild>
                <w:div w:id="1330985703">
                  <w:marLeft w:val="0"/>
                  <w:marRight w:val="0"/>
                  <w:marTop w:val="0"/>
                  <w:marBottom w:val="0"/>
                  <w:divBdr>
                    <w:top w:val="none" w:sz="0" w:space="0" w:color="auto"/>
                    <w:left w:val="none" w:sz="0" w:space="0" w:color="auto"/>
                    <w:bottom w:val="none" w:sz="0" w:space="0" w:color="auto"/>
                    <w:right w:val="none" w:sz="0" w:space="0" w:color="auto"/>
                  </w:divBdr>
                  <w:divsChild>
                    <w:div w:id="333653597">
                      <w:marLeft w:val="0"/>
                      <w:marRight w:val="0"/>
                      <w:marTop w:val="0"/>
                      <w:marBottom w:val="0"/>
                      <w:divBdr>
                        <w:top w:val="none" w:sz="0" w:space="0" w:color="auto"/>
                        <w:left w:val="none" w:sz="0" w:space="0" w:color="auto"/>
                        <w:bottom w:val="none" w:sz="0" w:space="0" w:color="auto"/>
                        <w:right w:val="none" w:sz="0" w:space="0" w:color="auto"/>
                      </w:divBdr>
                      <w:divsChild>
                        <w:div w:id="225069749">
                          <w:marLeft w:val="0"/>
                          <w:marRight w:val="0"/>
                          <w:marTop w:val="0"/>
                          <w:marBottom w:val="0"/>
                          <w:divBdr>
                            <w:top w:val="none" w:sz="0" w:space="0" w:color="auto"/>
                            <w:left w:val="none" w:sz="0" w:space="0" w:color="auto"/>
                            <w:bottom w:val="none" w:sz="0" w:space="0" w:color="auto"/>
                            <w:right w:val="none" w:sz="0" w:space="0" w:color="auto"/>
                          </w:divBdr>
                          <w:divsChild>
                            <w:div w:id="248854936">
                              <w:marLeft w:val="0"/>
                              <w:marRight w:val="0"/>
                              <w:marTop w:val="0"/>
                              <w:marBottom w:val="0"/>
                              <w:divBdr>
                                <w:top w:val="none" w:sz="0" w:space="0" w:color="auto"/>
                                <w:left w:val="none" w:sz="0" w:space="0" w:color="auto"/>
                                <w:bottom w:val="none" w:sz="0" w:space="0" w:color="auto"/>
                                <w:right w:val="none" w:sz="0" w:space="0" w:color="auto"/>
                              </w:divBdr>
                              <w:divsChild>
                                <w:div w:id="1325860998">
                                  <w:marLeft w:val="0"/>
                                  <w:marRight w:val="0"/>
                                  <w:marTop w:val="0"/>
                                  <w:marBottom w:val="0"/>
                                  <w:divBdr>
                                    <w:top w:val="none" w:sz="0" w:space="0" w:color="auto"/>
                                    <w:left w:val="none" w:sz="0" w:space="0" w:color="auto"/>
                                    <w:bottom w:val="none" w:sz="0" w:space="0" w:color="auto"/>
                                    <w:right w:val="none" w:sz="0" w:space="0" w:color="auto"/>
                                  </w:divBdr>
                                  <w:divsChild>
                                    <w:div w:id="1666012064">
                                      <w:marLeft w:val="0"/>
                                      <w:marRight w:val="0"/>
                                      <w:marTop w:val="0"/>
                                      <w:marBottom w:val="0"/>
                                      <w:divBdr>
                                        <w:top w:val="none" w:sz="0" w:space="0" w:color="auto"/>
                                        <w:left w:val="none" w:sz="0" w:space="0" w:color="auto"/>
                                        <w:bottom w:val="none" w:sz="0" w:space="0" w:color="auto"/>
                                        <w:right w:val="none" w:sz="0" w:space="0" w:color="auto"/>
                                      </w:divBdr>
                                      <w:divsChild>
                                        <w:div w:id="1038161370">
                                          <w:marLeft w:val="0"/>
                                          <w:marRight w:val="0"/>
                                          <w:marTop w:val="0"/>
                                          <w:marBottom w:val="0"/>
                                          <w:divBdr>
                                            <w:top w:val="none" w:sz="0" w:space="0" w:color="auto"/>
                                            <w:left w:val="none" w:sz="0" w:space="0" w:color="auto"/>
                                            <w:bottom w:val="none" w:sz="0" w:space="0" w:color="auto"/>
                                            <w:right w:val="none" w:sz="0" w:space="0" w:color="auto"/>
                                          </w:divBdr>
                                          <w:divsChild>
                                            <w:div w:id="1035545951">
                                              <w:marLeft w:val="0"/>
                                              <w:marRight w:val="0"/>
                                              <w:marTop w:val="0"/>
                                              <w:marBottom w:val="0"/>
                                              <w:divBdr>
                                                <w:top w:val="none" w:sz="0" w:space="0" w:color="auto"/>
                                                <w:left w:val="none" w:sz="0" w:space="0" w:color="auto"/>
                                                <w:bottom w:val="none" w:sz="0" w:space="0" w:color="auto"/>
                                                <w:right w:val="none" w:sz="0" w:space="0" w:color="auto"/>
                                              </w:divBdr>
                                              <w:divsChild>
                                                <w:div w:id="865488039">
                                                  <w:marLeft w:val="0"/>
                                                  <w:marRight w:val="0"/>
                                                  <w:marTop w:val="0"/>
                                                  <w:marBottom w:val="0"/>
                                                  <w:divBdr>
                                                    <w:top w:val="none" w:sz="0" w:space="0" w:color="auto"/>
                                                    <w:left w:val="none" w:sz="0" w:space="0" w:color="auto"/>
                                                    <w:bottom w:val="none" w:sz="0" w:space="0" w:color="auto"/>
                                                    <w:right w:val="none" w:sz="0" w:space="0" w:color="auto"/>
                                                  </w:divBdr>
                                                  <w:divsChild>
                                                    <w:div w:id="111705054">
                                                      <w:marLeft w:val="0"/>
                                                      <w:marRight w:val="0"/>
                                                      <w:marTop w:val="0"/>
                                                      <w:marBottom w:val="0"/>
                                                      <w:divBdr>
                                                        <w:top w:val="none" w:sz="0" w:space="0" w:color="auto"/>
                                                        <w:left w:val="none" w:sz="0" w:space="0" w:color="auto"/>
                                                        <w:bottom w:val="none" w:sz="0" w:space="0" w:color="auto"/>
                                                        <w:right w:val="none" w:sz="0" w:space="0" w:color="auto"/>
                                                      </w:divBdr>
                                                      <w:divsChild>
                                                        <w:div w:id="1553928597">
                                                          <w:marLeft w:val="0"/>
                                                          <w:marRight w:val="0"/>
                                                          <w:marTop w:val="0"/>
                                                          <w:marBottom w:val="0"/>
                                                          <w:divBdr>
                                                            <w:top w:val="none" w:sz="0" w:space="0" w:color="auto"/>
                                                            <w:left w:val="none" w:sz="0" w:space="0" w:color="auto"/>
                                                            <w:bottom w:val="none" w:sz="0" w:space="0" w:color="auto"/>
                                                            <w:right w:val="none" w:sz="0" w:space="0" w:color="auto"/>
                                                          </w:divBdr>
                                                          <w:divsChild>
                                                            <w:div w:id="159771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063176">
      <w:bodyDiv w:val="1"/>
      <w:marLeft w:val="0"/>
      <w:marRight w:val="0"/>
      <w:marTop w:val="0"/>
      <w:marBottom w:val="0"/>
      <w:divBdr>
        <w:top w:val="none" w:sz="0" w:space="0" w:color="auto"/>
        <w:left w:val="none" w:sz="0" w:space="0" w:color="auto"/>
        <w:bottom w:val="none" w:sz="0" w:space="0" w:color="auto"/>
        <w:right w:val="none" w:sz="0" w:space="0" w:color="auto"/>
      </w:divBdr>
    </w:div>
    <w:div w:id="211779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n&amp;parent=D18-TDAG28-C-001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meetingdoc.asp?lang=en&amp;parent=D18-TDAG28-C-0017"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tephen.bereaux@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42AE7-E102-49DC-A867-7511088C3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684</Words>
  <Characters>4299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Arabic</dc:creator>
  <cp:keywords/>
  <cp:lastModifiedBy>BDT-nd</cp:lastModifiedBy>
  <cp:revision>22</cp:revision>
  <cp:lastPrinted>2016-05-13T07:33:00Z</cp:lastPrinted>
  <dcterms:created xsi:type="dcterms:W3CDTF">2022-03-09T15:41:00Z</dcterms:created>
  <dcterms:modified xsi:type="dcterms:W3CDTF">2022-03-09T19:52:00Z</dcterms:modified>
</cp:coreProperties>
</file>