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98490B" w:rsidTr="004268F3">
        <w:trPr>
          <w:cantSplit/>
          <w:trHeight w:val="1134"/>
        </w:trPr>
        <w:tc>
          <w:tcPr>
            <w:tcW w:w="7251" w:type="dxa"/>
          </w:tcPr>
          <w:p w:rsidR="0021438F" w:rsidRPr="0098490B" w:rsidRDefault="0021438F" w:rsidP="00784D97">
            <w:pPr>
              <w:tabs>
                <w:tab w:val="left" w:pos="1871"/>
                <w:tab w:val="left" w:pos="2268"/>
              </w:tabs>
              <w:spacing w:before="20" w:after="48"/>
              <w:ind w:left="34"/>
              <w:rPr>
                <w:b/>
                <w:bCs/>
                <w:sz w:val="32"/>
                <w:szCs w:val="32"/>
                <w:lang w:val="fr-FR"/>
              </w:rPr>
            </w:pPr>
            <w:r w:rsidRPr="0098490B">
              <w:rPr>
                <w:b/>
                <w:sz w:val="32"/>
                <w:szCs w:val="32"/>
                <w:lang w:val="fr-FR"/>
              </w:rPr>
              <w:t>Groupe</w:t>
            </w:r>
            <w:r w:rsidRPr="0098490B">
              <w:rPr>
                <w:b/>
                <w:bCs/>
                <w:sz w:val="32"/>
                <w:szCs w:val="32"/>
                <w:lang w:val="fr-FR"/>
              </w:rPr>
              <w:t xml:space="preserve"> consultatif pour le développement </w:t>
            </w:r>
            <w:r w:rsidRPr="0098490B">
              <w:rPr>
                <w:b/>
                <w:bCs/>
                <w:sz w:val="32"/>
                <w:szCs w:val="32"/>
                <w:lang w:val="fr-FR"/>
              </w:rPr>
              <w:br/>
              <w:t>des télécommunications (GCDT)</w:t>
            </w:r>
          </w:p>
          <w:p w:rsidR="0021438F" w:rsidRPr="0098490B" w:rsidRDefault="0021438F" w:rsidP="00784D97">
            <w:pPr>
              <w:tabs>
                <w:tab w:val="clear" w:pos="1191"/>
                <w:tab w:val="clear" w:pos="1588"/>
                <w:tab w:val="clear" w:pos="1985"/>
              </w:tabs>
              <w:spacing w:before="100" w:after="120"/>
              <w:ind w:left="34"/>
              <w:rPr>
                <w:rFonts w:ascii="Verdana" w:hAnsi="Verdana"/>
                <w:sz w:val="28"/>
                <w:szCs w:val="28"/>
                <w:lang w:val="fr-FR"/>
              </w:rPr>
            </w:pPr>
            <w:r w:rsidRPr="0098490B">
              <w:rPr>
                <w:b/>
                <w:bCs/>
                <w:sz w:val="26"/>
                <w:szCs w:val="26"/>
                <w:lang w:val="fr-FR"/>
              </w:rPr>
              <w:t>23ème réunion, Genève, 9-11 avril 2018</w:t>
            </w:r>
          </w:p>
        </w:tc>
        <w:tc>
          <w:tcPr>
            <w:tcW w:w="2996" w:type="dxa"/>
          </w:tcPr>
          <w:p w:rsidR="0021438F" w:rsidRPr="0098490B" w:rsidRDefault="0021438F" w:rsidP="00784D97">
            <w:pPr>
              <w:spacing w:before="0"/>
              <w:ind w:right="142"/>
              <w:jc w:val="right"/>
              <w:rPr>
                <w:lang w:val="fr-FR"/>
              </w:rPr>
            </w:pPr>
            <w:r w:rsidRPr="0098490B">
              <w:rPr>
                <w:noProof/>
                <w:color w:val="3399FF"/>
                <w:lang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98490B" w:rsidTr="000C61E9">
        <w:trPr>
          <w:cantSplit/>
        </w:trPr>
        <w:tc>
          <w:tcPr>
            <w:tcW w:w="7251" w:type="dxa"/>
            <w:tcBorders>
              <w:top w:val="single" w:sz="12" w:space="0" w:color="auto"/>
            </w:tcBorders>
          </w:tcPr>
          <w:p w:rsidR="00683C32" w:rsidRPr="0098490B" w:rsidRDefault="00683C32" w:rsidP="00784D97">
            <w:pPr>
              <w:spacing w:before="0"/>
              <w:rPr>
                <w:rFonts w:cs="Arial"/>
                <w:b/>
                <w:bCs/>
                <w:sz w:val="20"/>
                <w:lang w:val="fr-FR"/>
              </w:rPr>
            </w:pPr>
          </w:p>
        </w:tc>
        <w:tc>
          <w:tcPr>
            <w:tcW w:w="2996" w:type="dxa"/>
            <w:tcBorders>
              <w:top w:val="single" w:sz="12" w:space="0" w:color="auto"/>
            </w:tcBorders>
          </w:tcPr>
          <w:p w:rsidR="00683C32" w:rsidRPr="0098490B" w:rsidRDefault="00683C32" w:rsidP="00784D97">
            <w:pPr>
              <w:spacing w:before="0"/>
              <w:rPr>
                <w:b/>
                <w:bCs/>
                <w:sz w:val="20"/>
                <w:lang w:val="fr-FR"/>
              </w:rPr>
            </w:pPr>
          </w:p>
        </w:tc>
      </w:tr>
      <w:tr w:rsidR="00683C32" w:rsidRPr="0098490B" w:rsidTr="000C61E9">
        <w:trPr>
          <w:cantSplit/>
        </w:trPr>
        <w:tc>
          <w:tcPr>
            <w:tcW w:w="7251" w:type="dxa"/>
          </w:tcPr>
          <w:p w:rsidR="00683C32" w:rsidRPr="0098490B" w:rsidRDefault="00683C32" w:rsidP="00784D97">
            <w:pPr>
              <w:pStyle w:val="Committee"/>
              <w:spacing w:before="0"/>
              <w:rPr>
                <w:b w:val="0"/>
                <w:szCs w:val="24"/>
                <w:lang w:val="fr-FR"/>
              </w:rPr>
            </w:pPr>
          </w:p>
        </w:tc>
        <w:tc>
          <w:tcPr>
            <w:tcW w:w="2996" w:type="dxa"/>
          </w:tcPr>
          <w:p w:rsidR="00683C32" w:rsidRPr="0098490B" w:rsidRDefault="00323587" w:rsidP="00784D97">
            <w:pPr>
              <w:spacing w:before="0"/>
              <w:rPr>
                <w:bCs/>
                <w:szCs w:val="24"/>
                <w:lang w:val="fr-FR"/>
              </w:rPr>
            </w:pPr>
            <w:r w:rsidRPr="0098490B">
              <w:rPr>
                <w:b/>
                <w:bCs/>
                <w:szCs w:val="28"/>
                <w:lang w:val="fr-FR"/>
              </w:rPr>
              <w:t xml:space="preserve">Document </w:t>
            </w:r>
            <w:bookmarkStart w:id="0" w:name="DocRef1"/>
            <w:bookmarkEnd w:id="0"/>
            <w:r w:rsidRPr="0098490B">
              <w:rPr>
                <w:b/>
                <w:bCs/>
                <w:szCs w:val="28"/>
                <w:lang w:val="fr-FR"/>
              </w:rPr>
              <w:t>TDAG1</w:t>
            </w:r>
            <w:r w:rsidR="009E2E4A" w:rsidRPr="0098490B">
              <w:rPr>
                <w:b/>
                <w:bCs/>
                <w:szCs w:val="28"/>
                <w:lang w:val="fr-FR"/>
              </w:rPr>
              <w:t>8</w:t>
            </w:r>
            <w:r w:rsidR="005E2766" w:rsidRPr="0098490B">
              <w:rPr>
                <w:b/>
                <w:bCs/>
                <w:szCs w:val="28"/>
                <w:lang w:val="fr-FR"/>
              </w:rPr>
              <w:t>-23</w:t>
            </w:r>
            <w:r w:rsidRPr="0098490B">
              <w:rPr>
                <w:b/>
                <w:bCs/>
                <w:szCs w:val="28"/>
                <w:lang w:val="fr-FR"/>
              </w:rPr>
              <w:t>/</w:t>
            </w:r>
            <w:bookmarkStart w:id="1" w:name="DocNo1"/>
            <w:bookmarkEnd w:id="1"/>
            <w:r w:rsidR="00E10BA0" w:rsidRPr="0098490B">
              <w:rPr>
                <w:b/>
                <w:bCs/>
                <w:szCs w:val="28"/>
                <w:lang w:val="fr-FR"/>
              </w:rPr>
              <w:t>2</w:t>
            </w:r>
            <w:r w:rsidRPr="0098490B">
              <w:rPr>
                <w:b/>
                <w:bCs/>
                <w:szCs w:val="28"/>
                <w:lang w:val="fr-FR"/>
              </w:rPr>
              <w:t>-F</w:t>
            </w:r>
          </w:p>
        </w:tc>
      </w:tr>
      <w:tr w:rsidR="00683C32" w:rsidRPr="0098490B" w:rsidTr="000C61E9">
        <w:trPr>
          <w:cantSplit/>
        </w:trPr>
        <w:tc>
          <w:tcPr>
            <w:tcW w:w="7251" w:type="dxa"/>
          </w:tcPr>
          <w:p w:rsidR="00683C32" w:rsidRPr="0098490B" w:rsidRDefault="00683C32" w:rsidP="00784D97">
            <w:pPr>
              <w:spacing w:before="0"/>
              <w:rPr>
                <w:b/>
                <w:bCs/>
                <w:smallCaps/>
                <w:szCs w:val="24"/>
                <w:lang w:val="fr-FR"/>
              </w:rPr>
            </w:pPr>
          </w:p>
        </w:tc>
        <w:tc>
          <w:tcPr>
            <w:tcW w:w="2996" w:type="dxa"/>
          </w:tcPr>
          <w:p w:rsidR="00683C32" w:rsidRPr="0098490B" w:rsidRDefault="00902B1D" w:rsidP="00784D97">
            <w:pPr>
              <w:spacing w:before="0"/>
              <w:rPr>
                <w:b/>
                <w:szCs w:val="24"/>
                <w:lang w:val="fr-FR"/>
              </w:rPr>
            </w:pPr>
            <w:bookmarkStart w:id="2" w:name="CreationDate"/>
            <w:bookmarkEnd w:id="2"/>
            <w:r w:rsidRPr="0098490B">
              <w:rPr>
                <w:b/>
                <w:bCs/>
                <w:szCs w:val="28"/>
                <w:lang w:val="fr-FR"/>
              </w:rPr>
              <w:t>31</w:t>
            </w:r>
            <w:r w:rsidR="00E10BA0" w:rsidRPr="0098490B">
              <w:rPr>
                <w:b/>
                <w:bCs/>
                <w:szCs w:val="28"/>
                <w:lang w:val="fr-FR"/>
              </w:rPr>
              <w:t xml:space="preserve"> janvier</w:t>
            </w:r>
            <w:r w:rsidR="00323587" w:rsidRPr="0098490B">
              <w:rPr>
                <w:b/>
                <w:bCs/>
                <w:szCs w:val="28"/>
                <w:lang w:val="fr-FR"/>
              </w:rPr>
              <w:t xml:space="preserve"> 201</w:t>
            </w:r>
            <w:r w:rsidR="009E2E4A" w:rsidRPr="0098490B">
              <w:rPr>
                <w:b/>
                <w:bCs/>
                <w:szCs w:val="28"/>
                <w:lang w:val="fr-FR"/>
              </w:rPr>
              <w:t>8</w:t>
            </w:r>
          </w:p>
        </w:tc>
      </w:tr>
      <w:tr w:rsidR="00683C32" w:rsidRPr="0098490B" w:rsidTr="000C61E9">
        <w:trPr>
          <w:cantSplit/>
        </w:trPr>
        <w:tc>
          <w:tcPr>
            <w:tcW w:w="7251" w:type="dxa"/>
          </w:tcPr>
          <w:p w:rsidR="00683C32" w:rsidRPr="0098490B" w:rsidRDefault="00683C32" w:rsidP="00784D97">
            <w:pPr>
              <w:spacing w:before="0"/>
              <w:rPr>
                <w:b/>
                <w:bCs/>
                <w:smallCaps/>
                <w:szCs w:val="24"/>
                <w:lang w:val="fr-FR"/>
              </w:rPr>
            </w:pPr>
          </w:p>
        </w:tc>
        <w:tc>
          <w:tcPr>
            <w:tcW w:w="2996" w:type="dxa"/>
          </w:tcPr>
          <w:p w:rsidR="00514D2F" w:rsidRPr="0098490B" w:rsidRDefault="00323587" w:rsidP="00784D97">
            <w:pPr>
              <w:spacing w:before="0"/>
              <w:rPr>
                <w:szCs w:val="24"/>
                <w:lang w:val="fr-FR"/>
              </w:rPr>
            </w:pPr>
            <w:r w:rsidRPr="0098490B">
              <w:rPr>
                <w:b/>
                <w:szCs w:val="28"/>
                <w:lang w:val="fr-FR"/>
              </w:rPr>
              <w:t>Original:</w:t>
            </w:r>
            <w:bookmarkStart w:id="3" w:name="Original"/>
            <w:bookmarkEnd w:id="3"/>
            <w:r w:rsidR="00E10BA0" w:rsidRPr="0098490B">
              <w:rPr>
                <w:b/>
                <w:szCs w:val="28"/>
                <w:lang w:val="fr-FR"/>
              </w:rPr>
              <w:t xml:space="preserve"> anglais</w:t>
            </w:r>
          </w:p>
        </w:tc>
      </w:tr>
      <w:tr w:rsidR="00A13162" w:rsidRPr="0098490B" w:rsidTr="000C61E9">
        <w:trPr>
          <w:cantSplit/>
          <w:trHeight w:val="852"/>
        </w:trPr>
        <w:tc>
          <w:tcPr>
            <w:tcW w:w="10247" w:type="dxa"/>
            <w:gridSpan w:val="2"/>
          </w:tcPr>
          <w:p w:rsidR="00A13162" w:rsidRPr="0098490B" w:rsidRDefault="00E10BA0" w:rsidP="00784D97">
            <w:pPr>
              <w:pStyle w:val="Source"/>
              <w:rPr>
                <w:lang w:val="fr-FR"/>
              </w:rPr>
            </w:pPr>
            <w:bookmarkStart w:id="4" w:name="Source"/>
            <w:bookmarkEnd w:id="4"/>
            <w:r w:rsidRPr="0098490B">
              <w:rPr>
                <w:szCs w:val="28"/>
                <w:lang w:val="fr-FR"/>
              </w:rPr>
              <w:t>Directeur du Bureau de développement des télécommunications</w:t>
            </w:r>
          </w:p>
        </w:tc>
      </w:tr>
      <w:tr w:rsidR="00AC6F14" w:rsidRPr="0098490B" w:rsidTr="000C61E9">
        <w:trPr>
          <w:cantSplit/>
        </w:trPr>
        <w:tc>
          <w:tcPr>
            <w:tcW w:w="10247" w:type="dxa"/>
            <w:gridSpan w:val="2"/>
          </w:tcPr>
          <w:p w:rsidR="00AC6F14" w:rsidRPr="0098490B" w:rsidRDefault="00E10BA0" w:rsidP="00784D97">
            <w:pPr>
              <w:pStyle w:val="Title1"/>
              <w:rPr>
                <w:rFonts w:cs="Times New Roman"/>
                <w:bCs/>
                <w:caps/>
                <w:lang w:val="fr-FR"/>
              </w:rPr>
            </w:pPr>
            <w:bookmarkStart w:id="5" w:name="Title"/>
            <w:bookmarkEnd w:id="5"/>
            <w:r w:rsidRPr="0098490B">
              <w:rPr>
                <w:rFonts w:cs="Times New Roman"/>
                <w:bCs/>
                <w:caps/>
                <w:lang w:val="fr-FR"/>
              </w:rPr>
              <w:t>R</w:t>
            </w:r>
            <w:r w:rsidRPr="0098490B">
              <w:rPr>
                <w:rFonts w:cs="Times New Roman"/>
                <w:bCs/>
                <w:caps/>
                <w:szCs w:val="28"/>
                <w:lang w:val="fr-FR"/>
              </w:rPr>
              <w:t>apport d'activité pour 2017</w:t>
            </w:r>
          </w:p>
        </w:tc>
      </w:tr>
      <w:tr w:rsidR="00A721F4" w:rsidRPr="0098490B" w:rsidTr="000C61E9">
        <w:trPr>
          <w:cantSplit/>
        </w:trPr>
        <w:tc>
          <w:tcPr>
            <w:tcW w:w="10247" w:type="dxa"/>
            <w:gridSpan w:val="2"/>
            <w:tcBorders>
              <w:bottom w:val="single" w:sz="4" w:space="0" w:color="auto"/>
            </w:tcBorders>
          </w:tcPr>
          <w:p w:rsidR="00A721F4" w:rsidRPr="0098490B" w:rsidRDefault="00A721F4" w:rsidP="00784D97">
            <w:pPr>
              <w:rPr>
                <w:lang w:val="fr-FR"/>
              </w:rPr>
            </w:pPr>
          </w:p>
        </w:tc>
      </w:tr>
      <w:tr w:rsidR="00A721F4" w:rsidRPr="0098490B"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98490B" w:rsidRDefault="00156BF6" w:rsidP="00784D97">
            <w:pPr>
              <w:spacing w:before="240"/>
              <w:rPr>
                <w:b/>
                <w:bCs/>
                <w:szCs w:val="24"/>
                <w:lang w:val="fr-FR"/>
              </w:rPr>
            </w:pPr>
            <w:r w:rsidRPr="0098490B">
              <w:rPr>
                <w:b/>
                <w:bCs/>
                <w:szCs w:val="24"/>
                <w:lang w:val="fr-FR"/>
              </w:rPr>
              <w:t>Résumé:</w:t>
            </w:r>
          </w:p>
          <w:p w:rsidR="00A721F4" w:rsidRPr="0098490B" w:rsidRDefault="00E10BA0" w:rsidP="00784D97">
            <w:pPr>
              <w:rPr>
                <w:szCs w:val="24"/>
                <w:lang w:val="fr-FR"/>
              </w:rPr>
            </w:pPr>
            <w:r w:rsidRPr="0098490B">
              <w:rPr>
                <w:szCs w:val="24"/>
                <w:lang w:val="fr-FR"/>
              </w:rPr>
              <w:t>Le rapport d'activité pour 2017 décrit l'état d'avancement de la mise en oeuvre des objectifs, des résultats et des produits définis dans le Plan opérationnel de l'UIT-D. Il met l'accent sur les résultats obtenus lors de la mise en oeuvre des objectifs, des résultats et des produits du Secteur ainsi que sur les indicateurs de performance.</w:t>
            </w:r>
          </w:p>
          <w:p w:rsidR="00E10BA0" w:rsidRPr="0098490B" w:rsidRDefault="00E10BA0" w:rsidP="00784D97">
            <w:pPr>
              <w:rPr>
                <w:szCs w:val="24"/>
                <w:lang w:val="fr-FR"/>
              </w:rPr>
            </w:pPr>
            <w:r w:rsidRPr="0098490B">
              <w:rPr>
                <w:szCs w:val="24"/>
                <w:lang w:val="fr-FR"/>
              </w:rPr>
              <w:t>Le rapport dans son intégralité est accessible à l'adresse:</w:t>
            </w:r>
            <w:r w:rsidRPr="0098490B">
              <w:rPr>
                <w:szCs w:val="24"/>
                <w:lang w:val="fr-FR"/>
              </w:rPr>
              <w:br/>
            </w:r>
            <w:hyperlink r:id="rId9" w:history="1">
              <w:r w:rsidRPr="0098490B">
                <w:rPr>
                  <w:rStyle w:val="Hyperlink"/>
                  <w:szCs w:val="24"/>
                  <w:lang w:val="fr-FR"/>
                </w:rPr>
                <w:t>https://www.itu.int/en/ITU-D/TIES_Protected/PerfReport2017.pdf</w:t>
              </w:r>
            </w:hyperlink>
          </w:p>
          <w:p w:rsidR="00A721F4" w:rsidRPr="0098490B" w:rsidRDefault="00156BF6" w:rsidP="00784D97">
            <w:pPr>
              <w:rPr>
                <w:b/>
                <w:bCs/>
                <w:szCs w:val="24"/>
                <w:lang w:val="fr-FR"/>
              </w:rPr>
            </w:pPr>
            <w:r w:rsidRPr="0098490B">
              <w:rPr>
                <w:b/>
                <w:bCs/>
                <w:szCs w:val="24"/>
                <w:lang w:val="fr-FR"/>
              </w:rPr>
              <w:t>Suite à donner:</w:t>
            </w:r>
          </w:p>
          <w:p w:rsidR="00A721F4" w:rsidRPr="0098490B" w:rsidRDefault="00E10BA0" w:rsidP="00784D97">
            <w:pPr>
              <w:rPr>
                <w:szCs w:val="24"/>
                <w:lang w:val="fr-FR"/>
              </w:rPr>
            </w:pPr>
            <w:r w:rsidRPr="0098490B">
              <w:rPr>
                <w:szCs w:val="24"/>
                <w:lang w:val="fr-FR"/>
              </w:rPr>
              <w:t>Le GCDT est invité à prendre note du présent rapport et à fournir les indications qu'il jugera nécessaires.</w:t>
            </w:r>
          </w:p>
          <w:p w:rsidR="00A721F4" w:rsidRPr="0098490B" w:rsidRDefault="00156BF6" w:rsidP="00784D97">
            <w:pPr>
              <w:rPr>
                <w:b/>
                <w:bCs/>
                <w:szCs w:val="24"/>
                <w:lang w:val="fr-FR"/>
              </w:rPr>
            </w:pPr>
            <w:r w:rsidRPr="0098490B">
              <w:rPr>
                <w:b/>
                <w:bCs/>
                <w:szCs w:val="24"/>
                <w:lang w:val="fr-FR"/>
              </w:rPr>
              <w:t>Références:</w:t>
            </w:r>
          </w:p>
          <w:p w:rsidR="00A721F4" w:rsidRPr="0098490B" w:rsidRDefault="00E2353B" w:rsidP="00AA2D0E">
            <w:pPr>
              <w:spacing w:after="120"/>
              <w:rPr>
                <w:lang w:val="fr-FR"/>
              </w:rPr>
            </w:pPr>
            <w:r w:rsidRPr="0098490B">
              <w:rPr>
                <w:lang w:val="fr-FR"/>
              </w:rPr>
              <w:t>N</w:t>
            </w:r>
            <w:r w:rsidR="00E10BA0" w:rsidRPr="0098490B">
              <w:rPr>
                <w:lang w:val="fr-FR"/>
              </w:rPr>
              <w:t>uméro 215EA de la Convention de l'UIT</w:t>
            </w:r>
          </w:p>
        </w:tc>
      </w:tr>
    </w:tbl>
    <w:p w:rsidR="00AC6F14" w:rsidRPr="0098490B" w:rsidRDefault="00AC6F14" w:rsidP="00784D97">
      <w:pPr>
        <w:rPr>
          <w:lang w:val="fr-FR"/>
        </w:rPr>
      </w:pPr>
    </w:p>
    <w:p w:rsidR="00F46EF5" w:rsidRPr="0098490B" w:rsidRDefault="00F46EF5" w:rsidP="00784D97">
      <w:pPr>
        <w:tabs>
          <w:tab w:val="clear" w:pos="794"/>
          <w:tab w:val="clear" w:pos="1191"/>
          <w:tab w:val="clear" w:pos="1588"/>
          <w:tab w:val="clear" w:pos="1985"/>
        </w:tabs>
        <w:overflowPunct/>
        <w:autoSpaceDE/>
        <w:autoSpaceDN/>
        <w:adjustRightInd/>
        <w:spacing w:before="0"/>
        <w:textAlignment w:val="auto"/>
        <w:rPr>
          <w:lang w:val="fr-FR"/>
        </w:rPr>
      </w:pPr>
      <w:r w:rsidRPr="0098490B">
        <w:rPr>
          <w:lang w:val="fr-FR"/>
        </w:rPr>
        <w:br w:type="page"/>
      </w:r>
    </w:p>
    <w:p w:rsidR="00084CA2" w:rsidRPr="0098490B" w:rsidRDefault="00084CA2" w:rsidP="00A36A4E">
      <w:pPr>
        <w:pStyle w:val="Headingb"/>
        <w:rPr>
          <w:lang w:val="fr-FR"/>
        </w:rPr>
      </w:pPr>
      <w:r w:rsidRPr="0098490B">
        <w:rPr>
          <w:lang w:val="fr-FR"/>
        </w:rPr>
        <w:lastRenderedPageBreak/>
        <w:t>Présentation du rapport d'activité pour 2017</w:t>
      </w:r>
    </w:p>
    <w:p w:rsidR="00084CA2" w:rsidRPr="0098490B" w:rsidRDefault="00084CA2" w:rsidP="00784D97">
      <w:pPr>
        <w:rPr>
          <w:szCs w:val="24"/>
          <w:lang w:val="fr-FR"/>
        </w:rPr>
      </w:pPr>
      <w:r w:rsidRPr="0098490B">
        <w:rPr>
          <w:szCs w:val="24"/>
          <w:lang w:val="fr-FR"/>
        </w:rPr>
        <w:t>Le rapport d'activité pour 2017 établit une comparaison entre</w:t>
      </w:r>
      <w:r w:rsidR="00554FC8" w:rsidRPr="0098490B">
        <w:rPr>
          <w:color w:val="000000"/>
          <w:lang w:val="fr-FR"/>
        </w:rPr>
        <w:t xml:space="preserve"> les produits et les réalisations,</w:t>
      </w:r>
      <w:r w:rsidR="00554FC8" w:rsidRPr="0098490B">
        <w:rPr>
          <w:szCs w:val="24"/>
          <w:lang w:val="fr-FR"/>
        </w:rPr>
        <w:t xml:space="preserve"> </w:t>
      </w:r>
      <w:r w:rsidR="00A36A4E" w:rsidRPr="0098490B">
        <w:rPr>
          <w:szCs w:val="24"/>
          <w:lang w:val="fr-FR"/>
        </w:rPr>
        <w:t>ainsi qu'</w:t>
      </w:r>
      <w:r w:rsidR="00554FC8" w:rsidRPr="0098490B">
        <w:rPr>
          <w:szCs w:val="24"/>
          <w:lang w:val="fr-FR"/>
        </w:rPr>
        <w:t xml:space="preserve">entre </w:t>
      </w:r>
      <w:r w:rsidRPr="0098490B">
        <w:rPr>
          <w:szCs w:val="24"/>
          <w:lang w:val="fr-FR"/>
        </w:rPr>
        <w:t>les résultats attendus et les résultats effectivement obtenus, au regard des indicateurs de performance correspondants. On y trouve également une évaluation des dangers et des risques pour 2017. Ces indicateurs sont présentés pour chaque objectif et pour chaque produit correspondant. Le rapport dans son intégra</w:t>
      </w:r>
      <w:r w:rsidR="00554FC8" w:rsidRPr="0098490B">
        <w:rPr>
          <w:szCs w:val="24"/>
          <w:lang w:val="fr-FR"/>
        </w:rPr>
        <w:t xml:space="preserve">lité est accessible à l'adresse </w:t>
      </w:r>
      <w:hyperlink r:id="rId10" w:history="1">
        <w:r w:rsidRPr="0098490B">
          <w:rPr>
            <w:rStyle w:val="Hyperlink"/>
            <w:lang w:val="fr-FR"/>
          </w:rPr>
          <w:t>https://www.itu.int/en/ITU-D/TIES_Protected/PerfReport2017.pdf</w:t>
        </w:r>
      </w:hyperlink>
      <w:r w:rsidR="00554FC8" w:rsidRPr="00637C6D">
        <w:rPr>
          <w:rStyle w:val="Hyperlink"/>
          <w:color w:val="auto"/>
          <w:u w:val="none"/>
          <w:lang w:val="fr-FR"/>
        </w:rPr>
        <w:t>.</w:t>
      </w:r>
    </w:p>
    <w:p w:rsidR="00084CA2" w:rsidRPr="0098490B" w:rsidRDefault="00084CA2" w:rsidP="00784D97">
      <w:pPr>
        <w:rPr>
          <w:szCs w:val="24"/>
          <w:lang w:val="fr-FR"/>
        </w:rPr>
      </w:pPr>
      <w:r w:rsidRPr="0098490B">
        <w:rPr>
          <w:szCs w:val="24"/>
          <w:lang w:val="fr-FR"/>
        </w:rPr>
        <w:t>Les principaux résultats obtenus par le BDT au cours de l'année 2017 dans le cadre de ses objectifs sont exposés ci</w:t>
      </w:r>
      <w:r w:rsidRPr="0098490B">
        <w:rPr>
          <w:szCs w:val="24"/>
          <w:lang w:val="fr-FR"/>
        </w:rPr>
        <w:noBreakHyphen/>
        <w:t>après.</w:t>
      </w:r>
    </w:p>
    <w:p w:rsidR="00084CA2" w:rsidRPr="0098490B" w:rsidRDefault="00084CA2" w:rsidP="00784D97">
      <w:pPr>
        <w:pStyle w:val="Heading1"/>
        <w:rPr>
          <w:rFonts w:ascii="Calibri" w:hAnsi="Calibri"/>
          <w:lang w:val="fr-FR"/>
        </w:rPr>
      </w:pPr>
      <w:r w:rsidRPr="0098490B">
        <w:rPr>
          <w:lang w:val="fr-FR"/>
        </w:rPr>
        <w:t>1</w:t>
      </w:r>
      <w:r w:rsidRPr="0098490B">
        <w:rPr>
          <w:lang w:val="fr-FR"/>
        </w:rPr>
        <w:tab/>
        <w:t xml:space="preserve">Objectif 1: </w:t>
      </w:r>
      <w:r w:rsidRPr="00AA2D0E">
        <w:rPr>
          <w:rFonts w:ascii="Calibri" w:hAnsi="Calibri"/>
          <w:lang w:val="fr-FR"/>
        </w:rPr>
        <w:t>"</w:t>
      </w:r>
      <w:r w:rsidRPr="0098490B">
        <w:rPr>
          <w:i/>
          <w:iCs/>
          <w:lang w:val="fr-FR"/>
        </w:rPr>
        <w:t>Promouvoir la coopération internationale concernant les questions de développement des télécommunications/TIC</w:t>
      </w:r>
      <w:r w:rsidRPr="00AA2D0E">
        <w:rPr>
          <w:lang w:val="fr-FR"/>
        </w:rPr>
        <w:t>"</w:t>
      </w:r>
    </w:p>
    <w:p w:rsidR="00084CA2" w:rsidRPr="0098490B" w:rsidRDefault="00084CA2" w:rsidP="00A36A4E">
      <w:pPr>
        <w:pStyle w:val="Heading2"/>
        <w:spacing w:after="120"/>
        <w:rPr>
          <w:lang w:val="fr-FR"/>
        </w:rPr>
      </w:pPr>
      <w:r w:rsidRPr="0098490B">
        <w:rPr>
          <w:lang w:val="fr-FR"/>
        </w:rPr>
        <w:t>1.1</w:t>
      </w:r>
      <w:r w:rsidRPr="0098490B">
        <w:rPr>
          <w:lang w:val="fr-FR"/>
        </w:rPr>
        <w:tab/>
        <w:t>Conférence mondiale de développement des télécommunications (CMDT)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084CA2" w:rsidRPr="0098490B" w:rsidTr="004268F3">
        <w:tc>
          <w:tcPr>
            <w:tcW w:w="5000" w:type="pct"/>
            <w:gridSpan w:val="2"/>
            <w:tcBorders>
              <w:bottom w:val="single" w:sz="4" w:space="0" w:color="auto"/>
            </w:tcBorders>
          </w:tcPr>
          <w:p w:rsidR="00084CA2" w:rsidRPr="0098490B" w:rsidRDefault="00084CA2" w:rsidP="00A36A4E">
            <w:pPr>
              <w:rPr>
                <w:color w:val="000000"/>
                <w:lang w:val="fr-FR"/>
              </w:rPr>
            </w:pPr>
            <w:r w:rsidRPr="0098490B">
              <w:rPr>
                <w:lang w:val="fr-FR"/>
              </w:rPr>
              <w:t xml:space="preserve">La </w:t>
            </w:r>
            <w:r w:rsidR="00902B1D" w:rsidRPr="0098490B">
              <w:rPr>
                <w:lang w:val="fr-FR"/>
              </w:rPr>
              <w:t>septième</w:t>
            </w:r>
            <w:r w:rsidRPr="0098490B">
              <w:rPr>
                <w:lang w:val="fr-FR"/>
              </w:rPr>
              <w:t xml:space="preserve"> Conférence mondiale de développement des télécommunications (CMDT-17) </w:t>
            </w:r>
            <w:r w:rsidR="00902B1D" w:rsidRPr="0098490B">
              <w:rPr>
                <w:lang w:val="fr-FR"/>
              </w:rPr>
              <w:t xml:space="preserve">de l'UIT a eu lieu </w:t>
            </w:r>
            <w:r w:rsidRPr="0098490B">
              <w:rPr>
                <w:lang w:val="fr-FR"/>
              </w:rPr>
              <w:t xml:space="preserve">à Buenos Aires (Argentine) du 9 </w:t>
            </w:r>
            <w:r w:rsidR="00552390" w:rsidRPr="0098490B">
              <w:rPr>
                <w:lang w:val="fr-FR"/>
              </w:rPr>
              <w:t>au 20 octobre 2017 sur le thème</w:t>
            </w:r>
            <w:r w:rsidR="004707F6">
              <w:rPr>
                <w:lang w:val="fr-FR"/>
              </w:rPr>
              <w:t xml:space="preserve"> "Les TIC au service des O</w:t>
            </w:r>
            <w:r w:rsidRPr="0098490B">
              <w:rPr>
                <w:lang w:val="fr-FR"/>
              </w:rPr>
              <w:t>bjectifs de développement durable"</w:t>
            </w:r>
            <w:r w:rsidR="00902B1D" w:rsidRPr="0098490B">
              <w:rPr>
                <w:lang w:val="fr-FR"/>
              </w:rPr>
              <w:t>, en présence de 1</w:t>
            </w:r>
            <w:r w:rsidR="00552390" w:rsidRPr="0098490B">
              <w:rPr>
                <w:lang w:val="fr-FR"/>
              </w:rPr>
              <w:t> </w:t>
            </w:r>
            <w:r w:rsidR="00637C6D">
              <w:rPr>
                <w:lang w:val="fr-FR"/>
              </w:rPr>
              <w:t>368 participants issus de </w:t>
            </w:r>
            <w:r w:rsidR="00902B1D" w:rsidRPr="0098490B">
              <w:rPr>
                <w:lang w:val="fr-FR"/>
              </w:rPr>
              <w:t>134</w:t>
            </w:r>
            <w:r w:rsidR="00A36A4E" w:rsidRPr="0098490B">
              <w:rPr>
                <w:lang w:val="fr-FR"/>
              </w:rPr>
              <w:t> </w:t>
            </w:r>
            <w:proofErr w:type="spellStart"/>
            <w:r w:rsidR="00902B1D" w:rsidRPr="0098490B">
              <w:rPr>
                <w:lang w:val="fr-FR"/>
              </w:rPr>
              <w:t>Etats</w:t>
            </w:r>
            <w:proofErr w:type="spellEnd"/>
            <w:r w:rsidR="00902B1D" w:rsidRPr="0098490B">
              <w:rPr>
                <w:lang w:val="fr-FR"/>
              </w:rPr>
              <w:t xml:space="preserve"> Membres, de 62 Membres du Secteur de l'UIT-D, de 10 établissements universitaires participant aux travaux de l'UIT, </w:t>
            </w:r>
            <w:r w:rsidR="00552390" w:rsidRPr="0098490B">
              <w:rPr>
                <w:lang w:val="fr-FR"/>
              </w:rPr>
              <w:t xml:space="preserve">ainsi que </w:t>
            </w:r>
            <w:r w:rsidR="00902B1D" w:rsidRPr="0098490B">
              <w:rPr>
                <w:lang w:val="fr-FR"/>
              </w:rPr>
              <w:t>d'observateurs de l'Organisation des Nations Unies et de ses institutions spécialisées.</w:t>
            </w:r>
            <w:r w:rsidR="00C143B5" w:rsidRPr="0098490B">
              <w:rPr>
                <w:lang w:val="fr-FR"/>
              </w:rPr>
              <w:t xml:space="preserve"> </w:t>
            </w:r>
            <w:r w:rsidR="00C143B5" w:rsidRPr="0098490B">
              <w:rPr>
                <w:color w:val="000000"/>
                <w:lang w:val="fr-FR"/>
              </w:rPr>
              <w:t>La Conférence a été ouverte par M. António Guterres, Secrétaire général de l</w:t>
            </w:r>
            <w:r w:rsidR="001231C3" w:rsidRPr="0098490B">
              <w:rPr>
                <w:color w:val="000000"/>
                <w:lang w:val="fr-FR"/>
              </w:rPr>
              <w:t>'</w:t>
            </w:r>
            <w:r w:rsidR="00C143B5" w:rsidRPr="0098490B">
              <w:rPr>
                <w:color w:val="000000"/>
                <w:lang w:val="fr-FR"/>
              </w:rPr>
              <w:t xml:space="preserve">Organisation des Nations Unies, qui s'est adressé aux participants par le biais d'un message de bienvenue retransmis par vidéo. </w:t>
            </w:r>
            <w:r w:rsidR="00C143B5" w:rsidRPr="0098490B">
              <w:rPr>
                <w:szCs w:val="24"/>
                <w:lang w:val="fr-FR"/>
              </w:rPr>
              <w:t>Au cours des trois premiers jours de la CMDT-17, quatre séances plénières ont été consacrées au Segment de haut niveau. A cette occasion, 53</w:t>
            </w:r>
            <w:r w:rsidR="00A36A4E" w:rsidRPr="0098490B">
              <w:rPr>
                <w:szCs w:val="24"/>
                <w:lang w:val="fr-FR"/>
              </w:rPr>
              <w:t> </w:t>
            </w:r>
            <w:r w:rsidR="00C143B5" w:rsidRPr="0098490B">
              <w:rPr>
                <w:szCs w:val="24"/>
                <w:lang w:val="fr-FR"/>
              </w:rPr>
              <w:t xml:space="preserve">orateurs se sont adressés à la Conférence; le discours principal du Directeur général de l'OMS M. Tedros, notamment, a été prononcé par un représentant de l'OMS à Buenos Aires. </w:t>
            </w:r>
            <w:r w:rsidR="00552390" w:rsidRPr="0098490B">
              <w:rPr>
                <w:szCs w:val="24"/>
                <w:lang w:val="fr-FR"/>
              </w:rPr>
              <w:t>Pendant la Conférence, d</w:t>
            </w:r>
            <w:r w:rsidR="00C143B5" w:rsidRPr="0098490B">
              <w:rPr>
                <w:szCs w:val="24"/>
                <w:lang w:val="fr-FR"/>
              </w:rPr>
              <w:t xml:space="preserve">es manifestations parallèles </w:t>
            </w:r>
            <w:r w:rsidR="00552390" w:rsidRPr="0098490B">
              <w:rPr>
                <w:szCs w:val="24"/>
                <w:lang w:val="fr-FR"/>
              </w:rPr>
              <w:t xml:space="preserve">ont eu lieu </w:t>
            </w:r>
            <w:r w:rsidR="00C143B5" w:rsidRPr="0098490B">
              <w:rPr>
                <w:szCs w:val="24"/>
                <w:lang w:val="fr-FR"/>
              </w:rPr>
              <w:t xml:space="preserve">sur </w:t>
            </w:r>
            <w:r w:rsidR="00552390" w:rsidRPr="0098490B">
              <w:rPr>
                <w:szCs w:val="24"/>
                <w:lang w:val="fr-FR"/>
              </w:rPr>
              <w:t>dix</w:t>
            </w:r>
            <w:r w:rsidR="00C143B5" w:rsidRPr="0098490B">
              <w:rPr>
                <w:szCs w:val="24"/>
                <w:lang w:val="fr-FR"/>
              </w:rPr>
              <w:t xml:space="preserve"> sujets au coeur d</w:t>
            </w:r>
            <w:r w:rsidR="00C057A3">
              <w:rPr>
                <w:szCs w:val="24"/>
                <w:lang w:val="fr-FR"/>
              </w:rPr>
              <w:t>e l'actualité. En </w:t>
            </w:r>
            <w:r w:rsidR="00C143B5" w:rsidRPr="0098490B">
              <w:rPr>
                <w:szCs w:val="24"/>
                <w:lang w:val="fr-FR"/>
              </w:rPr>
              <w:t xml:space="preserve">outre, deux </w:t>
            </w:r>
            <w:r w:rsidR="00C143B5" w:rsidRPr="0098490B">
              <w:rPr>
                <w:lang w:val="fr-FR"/>
              </w:rPr>
              <w:t>tables rondes ministérielles et un gala ont</w:t>
            </w:r>
            <w:r w:rsidR="00C057A3">
              <w:rPr>
                <w:lang w:val="fr-FR"/>
              </w:rPr>
              <w:t xml:space="preserve"> été organisés pour célébrer le </w:t>
            </w:r>
            <w:r w:rsidR="00C143B5" w:rsidRPr="0098490B">
              <w:rPr>
                <w:lang w:val="fr-FR"/>
              </w:rPr>
              <w:t>25ème</w:t>
            </w:r>
            <w:r w:rsidR="00A36A4E" w:rsidRPr="0098490B">
              <w:rPr>
                <w:lang w:val="fr-FR"/>
              </w:rPr>
              <w:t> </w:t>
            </w:r>
            <w:r w:rsidR="00C143B5" w:rsidRPr="0098490B">
              <w:rPr>
                <w:lang w:val="fr-FR"/>
              </w:rPr>
              <w:t>anniversair</w:t>
            </w:r>
            <w:r w:rsidR="00637C6D">
              <w:rPr>
                <w:lang w:val="fr-FR"/>
              </w:rPr>
              <w:t>e de l'UIT-D. Tous les anciens D</w:t>
            </w:r>
            <w:r w:rsidR="00C143B5" w:rsidRPr="0098490B">
              <w:rPr>
                <w:lang w:val="fr-FR"/>
              </w:rPr>
              <w:t xml:space="preserve">irecteurs du </w:t>
            </w:r>
            <w:r w:rsidR="00C143B5" w:rsidRPr="0098490B">
              <w:rPr>
                <w:color w:val="000000"/>
                <w:lang w:val="fr-FR"/>
              </w:rPr>
              <w:t xml:space="preserve">Bureau de développement des télécommunications (BDT) ont assisté aux célébrations. La CMDT-17 </w:t>
            </w:r>
            <w:r w:rsidR="001D11E4" w:rsidRPr="0098490B">
              <w:rPr>
                <w:color w:val="000000"/>
                <w:lang w:val="fr-FR"/>
              </w:rPr>
              <w:t>a indiqué la voie à suivre pour l'UIT-D et le BDT</w:t>
            </w:r>
            <w:r w:rsidR="00C143B5" w:rsidRPr="0098490B">
              <w:rPr>
                <w:color w:val="000000"/>
                <w:lang w:val="fr-FR"/>
              </w:rPr>
              <w:t xml:space="preserve"> au cours de la période à venir.</w:t>
            </w:r>
          </w:p>
          <w:p w:rsidR="00C143B5" w:rsidRPr="0098490B" w:rsidRDefault="00C143B5" w:rsidP="00784D97">
            <w:pPr>
              <w:rPr>
                <w:szCs w:val="24"/>
                <w:lang w:val="fr-FR"/>
              </w:rPr>
            </w:pPr>
            <w:r w:rsidRPr="0098490B">
              <w:rPr>
                <w:color w:val="000000"/>
                <w:lang w:val="fr-FR"/>
              </w:rPr>
              <w:t xml:space="preserve">Les principaux résultats </w:t>
            </w:r>
            <w:r w:rsidR="001D11E4" w:rsidRPr="0098490B">
              <w:rPr>
                <w:color w:val="000000"/>
                <w:lang w:val="fr-FR"/>
              </w:rPr>
              <w:t>de la</w:t>
            </w:r>
            <w:r w:rsidRPr="0098490B">
              <w:rPr>
                <w:color w:val="000000"/>
                <w:lang w:val="fr-FR"/>
              </w:rPr>
              <w:t xml:space="preserve"> Conférence sont les suivants:</w:t>
            </w:r>
          </w:p>
          <w:p w:rsidR="0055351A" w:rsidRPr="0098490B" w:rsidRDefault="0055351A" w:rsidP="00AA2D0E">
            <w:pPr>
              <w:pStyle w:val="enumlev1"/>
              <w:rPr>
                <w:lang w:val="fr-FR"/>
              </w:rPr>
            </w:pPr>
            <w:r w:rsidRPr="0098490B">
              <w:rPr>
                <w:color w:val="4A442A"/>
                <w:lang w:val="fr-FR"/>
              </w:rPr>
              <w:t>•</w:t>
            </w:r>
            <w:r w:rsidR="00C143B5" w:rsidRPr="0098490B">
              <w:rPr>
                <w:lang w:val="fr-FR"/>
              </w:rPr>
              <w:tab/>
            </w:r>
            <w:r w:rsidR="00AA2D0E">
              <w:rPr>
                <w:lang w:val="fr-FR"/>
              </w:rPr>
              <w:t>A</w:t>
            </w:r>
            <w:r w:rsidR="00C143B5" w:rsidRPr="0098490B">
              <w:rPr>
                <w:lang w:val="fr-FR"/>
              </w:rPr>
              <w:t>doption de</w:t>
            </w:r>
            <w:r w:rsidRPr="0098490B">
              <w:rPr>
                <w:lang w:val="fr-FR"/>
              </w:rPr>
              <w:t xml:space="preserve"> la Déclaration de Buenos Aires, qui met en évidence les principales conclusions et priorités établies par la</w:t>
            </w:r>
            <w:r w:rsidR="001D11E4" w:rsidRPr="0098490B">
              <w:rPr>
                <w:lang w:val="fr-FR"/>
              </w:rPr>
              <w:t xml:space="preserve"> C</w:t>
            </w:r>
            <w:r w:rsidRPr="0098490B">
              <w:rPr>
                <w:lang w:val="fr-FR"/>
              </w:rPr>
              <w:t xml:space="preserve">onférence et renforce l'appui politique en faveur de la mission de développement </w:t>
            </w:r>
            <w:r w:rsidR="001D11E4" w:rsidRPr="0098490B">
              <w:rPr>
                <w:lang w:val="fr-FR"/>
              </w:rPr>
              <w:t xml:space="preserve">de l'UIT </w:t>
            </w:r>
            <w:r w:rsidRPr="0098490B">
              <w:rPr>
                <w:lang w:val="fr-FR"/>
              </w:rPr>
              <w:t>et d</w:t>
            </w:r>
            <w:r w:rsidR="001D11E4" w:rsidRPr="0098490B">
              <w:rPr>
                <w:lang w:val="fr-FR"/>
              </w:rPr>
              <w:t>e s</w:t>
            </w:r>
            <w:r w:rsidRPr="0098490B">
              <w:rPr>
                <w:lang w:val="fr-FR"/>
              </w:rPr>
              <w:t xml:space="preserve">es </w:t>
            </w:r>
            <w:r w:rsidR="00AA2D0E">
              <w:rPr>
                <w:lang w:val="fr-FR"/>
              </w:rPr>
              <w:t>objectifs stratégiques.</w:t>
            </w:r>
          </w:p>
          <w:p w:rsidR="0055351A" w:rsidRPr="0098490B" w:rsidRDefault="0055351A" w:rsidP="00AA2D0E">
            <w:pPr>
              <w:pStyle w:val="enumlev1"/>
              <w:spacing w:before="40"/>
              <w:rPr>
                <w:lang w:val="fr-FR"/>
              </w:rPr>
            </w:pPr>
            <w:r w:rsidRPr="0098490B">
              <w:rPr>
                <w:color w:val="4A442A"/>
                <w:lang w:val="fr-FR"/>
              </w:rPr>
              <w:t>•</w:t>
            </w:r>
            <w:r w:rsidRPr="0098490B">
              <w:rPr>
                <w:lang w:val="fr-FR"/>
              </w:rPr>
              <w:tab/>
            </w:r>
            <w:r w:rsidR="00AA2D0E">
              <w:rPr>
                <w:lang w:val="fr-FR"/>
              </w:rPr>
              <w:t>A</w:t>
            </w:r>
            <w:r w:rsidRPr="0098490B">
              <w:rPr>
                <w:lang w:val="fr-FR"/>
              </w:rPr>
              <w:t>ppro</w:t>
            </w:r>
            <w:r w:rsidR="00C143B5" w:rsidRPr="0098490B">
              <w:rPr>
                <w:lang w:val="fr-FR"/>
              </w:rPr>
              <w:t>bation de</w:t>
            </w:r>
            <w:r w:rsidR="0037319A">
              <w:rPr>
                <w:lang w:val="fr-FR"/>
              </w:rPr>
              <w:t xml:space="preserve"> la contribution de l'UIT-D au P</w:t>
            </w:r>
            <w:r w:rsidRPr="0098490B">
              <w:rPr>
                <w:lang w:val="fr-FR"/>
              </w:rPr>
              <w:t>lan stratégique de l'UIT pour la période 2020</w:t>
            </w:r>
            <w:r w:rsidRPr="0098490B">
              <w:rPr>
                <w:lang w:val="fr-FR"/>
              </w:rPr>
              <w:noBreakHyphen/>
              <w:t xml:space="preserve">2023, qui sera examiné par la prochaine Conférence de plénipotentiaires </w:t>
            </w:r>
            <w:r w:rsidR="00D236B1" w:rsidRPr="0098490B">
              <w:rPr>
                <w:lang w:val="fr-FR"/>
              </w:rPr>
              <w:t>organisée</w:t>
            </w:r>
            <w:r w:rsidRPr="0098490B">
              <w:rPr>
                <w:lang w:val="fr-FR"/>
              </w:rPr>
              <w:t xml:space="preserve"> à Duba</w:t>
            </w:r>
            <w:r w:rsidR="00C143B5" w:rsidRPr="0098490B">
              <w:rPr>
                <w:lang w:val="fr-FR"/>
              </w:rPr>
              <w:t>ï (Emirats arabes unis) en 2018</w:t>
            </w:r>
            <w:r w:rsidR="00AA2D0E">
              <w:rPr>
                <w:lang w:val="fr-FR"/>
              </w:rPr>
              <w:t>.</w:t>
            </w:r>
          </w:p>
          <w:p w:rsidR="00084CA2" w:rsidRPr="0098490B" w:rsidRDefault="0055351A" w:rsidP="00AA2D0E">
            <w:pPr>
              <w:pStyle w:val="enumlev1"/>
              <w:rPr>
                <w:lang w:val="fr-FR"/>
              </w:rPr>
            </w:pPr>
            <w:r w:rsidRPr="0098490B">
              <w:rPr>
                <w:color w:val="4A442A"/>
                <w:lang w:val="fr-FR"/>
              </w:rPr>
              <w:t>•</w:t>
            </w:r>
            <w:r w:rsidRPr="0098490B">
              <w:rPr>
                <w:lang w:val="fr-FR"/>
              </w:rPr>
              <w:tab/>
            </w:r>
            <w:r w:rsidR="00AA2D0E">
              <w:rPr>
                <w:lang w:val="fr-FR"/>
              </w:rPr>
              <w:t>A</w:t>
            </w:r>
            <w:r w:rsidR="00C143B5" w:rsidRPr="0098490B">
              <w:rPr>
                <w:lang w:val="fr-FR"/>
              </w:rPr>
              <w:t>doption du</w:t>
            </w:r>
            <w:r w:rsidRPr="0098490B">
              <w:rPr>
                <w:lang w:val="fr-FR"/>
              </w:rPr>
              <w:t xml:space="preserve"> </w:t>
            </w:r>
            <w:r w:rsidR="00166EAD" w:rsidRPr="0098490B">
              <w:rPr>
                <w:lang w:val="fr-FR"/>
              </w:rPr>
              <w:t>Plan d'action de Buenos Aires</w:t>
            </w:r>
            <w:r w:rsidRPr="0098490B">
              <w:rPr>
                <w:lang w:val="fr-FR"/>
              </w:rPr>
              <w:t>, qui aligne les travaux de l'UIT-D sur les objectifs stratégiques de l'UIT, afin d'aider les pays à</w:t>
            </w:r>
            <w:r w:rsidR="00C143B5" w:rsidRPr="0098490B">
              <w:rPr>
                <w:lang w:val="fr-FR"/>
              </w:rPr>
              <w:t xml:space="preserve"> tirer pleinement parti des TIC.</w:t>
            </w:r>
          </w:p>
          <w:p w:rsidR="00084CA2" w:rsidRPr="0098490B" w:rsidRDefault="00EF1C13" w:rsidP="00D236B1">
            <w:pPr>
              <w:spacing w:after="120"/>
              <w:rPr>
                <w:rFonts w:cs="Segoe UI"/>
                <w:color w:val="000000"/>
                <w:lang w:val="fr-FR"/>
              </w:rPr>
            </w:pPr>
            <w:bookmarkStart w:id="6" w:name="lt_pId052"/>
            <w:r w:rsidRPr="0098490B">
              <w:rPr>
                <w:szCs w:val="24"/>
                <w:lang w:val="fr-FR"/>
              </w:rPr>
              <w:t xml:space="preserve">En outre, la CMDT-17 a adopté </w:t>
            </w:r>
            <w:r w:rsidRPr="0098490B">
              <w:rPr>
                <w:color w:val="000000"/>
                <w:lang w:val="fr-FR"/>
              </w:rPr>
              <w:t>cinq initiatives régionales dans chacune des six région</w:t>
            </w:r>
            <w:r w:rsidR="001D0483" w:rsidRPr="0098490B">
              <w:rPr>
                <w:color w:val="000000"/>
                <w:lang w:val="fr-FR"/>
              </w:rPr>
              <w:t>s de l'UIT</w:t>
            </w:r>
            <w:r w:rsidRPr="0098490B">
              <w:rPr>
                <w:color w:val="000000"/>
                <w:lang w:val="fr-FR"/>
              </w:rPr>
              <w:t>. La Conférence a aussi adopté la composition</w:t>
            </w:r>
            <w:r w:rsidR="00D236B1" w:rsidRPr="0098490B">
              <w:rPr>
                <w:color w:val="000000"/>
                <w:lang w:val="fr-FR"/>
              </w:rPr>
              <w:t xml:space="preserve"> du Bureau du GCDT et nommé le Président et les V</w:t>
            </w:r>
            <w:r w:rsidRPr="0098490B">
              <w:rPr>
                <w:color w:val="000000"/>
                <w:lang w:val="fr-FR"/>
              </w:rPr>
              <w:t>ice-</w:t>
            </w:r>
            <w:r w:rsidR="00D236B1" w:rsidRPr="0098490B">
              <w:rPr>
                <w:color w:val="000000"/>
                <w:lang w:val="fr-FR"/>
              </w:rPr>
              <w:t>P</w:t>
            </w:r>
            <w:r w:rsidRPr="0098490B">
              <w:rPr>
                <w:color w:val="000000"/>
                <w:lang w:val="fr-FR"/>
              </w:rPr>
              <w:t xml:space="preserve">résidents du GCDT. </w:t>
            </w:r>
            <w:r w:rsidRPr="0098490B">
              <w:rPr>
                <w:lang w:val="fr-FR"/>
              </w:rPr>
              <w:t xml:space="preserve">La Conférence a approuvé </w:t>
            </w:r>
            <w:r w:rsidR="001D0483" w:rsidRPr="0098490B">
              <w:rPr>
                <w:lang w:val="fr-FR"/>
              </w:rPr>
              <w:t>la</w:t>
            </w:r>
            <w:r w:rsidRPr="0098490B">
              <w:rPr>
                <w:lang w:val="fr-FR"/>
              </w:rPr>
              <w:t xml:space="preserve"> révisi</w:t>
            </w:r>
            <w:r w:rsidR="001D0483" w:rsidRPr="0098490B">
              <w:rPr>
                <w:lang w:val="fr-FR"/>
              </w:rPr>
              <w:t xml:space="preserve">on de 42 Résolutions </w:t>
            </w:r>
            <w:r w:rsidRPr="0098490B">
              <w:rPr>
                <w:lang w:val="fr-FR"/>
              </w:rPr>
              <w:t xml:space="preserve">et </w:t>
            </w:r>
            <w:r w:rsidR="001D0483" w:rsidRPr="0098490B">
              <w:rPr>
                <w:lang w:val="fr-FR"/>
              </w:rPr>
              <w:t>la création de 4 nouvelles R</w:t>
            </w:r>
            <w:r w:rsidRPr="0098490B">
              <w:rPr>
                <w:lang w:val="fr-FR"/>
              </w:rPr>
              <w:t>ésolutions</w:t>
            </w:r>
            <w:r w:rsidR="001D0483" w:rsidRPr="0098490B">
              <w:rPr>
                <w:lang w:val="fr-FR"/>
              </w:rPr>
              <w:t>; elle a supprimé 6 Résolutions, parmi lesquelles 5 ont été fusionnées avec des Résolutions existantes</w:t>
            </w:r>
            <w:r w:rsidRPr="0098490B">
              <w:rPr>
                <w:lang w:val="fr-FR"/>
              </w:rPr>
              <w:t xml:space="preserve">. La CMDT-17 a adopté 7 Questions pour chacune des </w:t>
            </w:r>
            <w:r w:rsidR="00D236B1" w:rsidRPr="0098490B">
              <w:rPr>
                <w:lang w:val="fr-FR"/>
              </w:rPr>
              <w:lastRenderedPageBreak/>
              <w:t>C</w:t>
            </w:r>
            <w:r w:rsidRPr="0098490B">
              <w:rPr>
                <w:lang w:val="fr-FR"/>
              </w:rPr>
              <w:t xml:space="preserve">ommissions d'études 1 et 2. Pour finir, la Conférence a pris note du rapport de la Commission 2 sur le contrôle budgétaire, qui </w:t>
            </w:r>
            <w:r w:rsidR="001D0483" w:rsidRPr="0098490B">
              <w:rPr>
                <w:lang w:val="fr-FR"/>
              </w:rPr>
              <w:t>présente</w:t>
            </w:r>
            <w:r w:rsidRPr="0098490B">
              <w:rPr>
                <w:lang w:val="fr-FR"/>
              </w:rPr>
              <w:t xml:space="preserve"> les incidences financières de la mise en oeuvre des initiatives régionales pour la période 2018-2021.</w:t>
            </w:r>
            <w:bookmarkEnd w:id="6"/>
          </w:p>
        </w:tc>
      </w:tr>
      <w:tr w:rsidR="0055351A" w:rsidRPr="0098490B" w:rsidTr="000A0B3D">
        <w:tc>
          <w:tcPr>
            <w:tcW w:w="1617" w:type="pct"/>
            <w:tcBorders>
              <w:top w:val="single" w:sz="4" w:space="0" w:color="auto"/>
              <w:bottom w:val="single" w:sz="4" w:space="0" w:color="auto"/>
              <w:right w:val="single" w:sz="4" w:space="0" w:color="auto"/>
            </w:tcBorders>
          </w:tcPr>
          <w:p w:rsidR="0055351A" w:rsidRPr="0098490B" w:rsidRDefault="0055351A" w:rsidP="00D236B1">
            <w:pPr>
              <w:spacing w:before="0"/>
              <w:rPr>
                <w:i/>
                <w:iCs/>
                <w:szCs w:val="24"/>
                <w:lang w:val="fr-FR"/>
              </w:rPr>
            </w:pPr>
            <w:r w:rsidRPr="0098490B">
              <w:rPr>
                <w:i/>
                <w:iCs/>
                <w:szCs w:val="24"/>
                <w:lang w:val="fr-FR"/>
              </w:rPr>
              <w:lastRenderedPageBreak/>
              <w:t>CMDT</w:t>
            </w:r>
          </w:p>
        </w:tc>
        <w:tc>
          <w:tcPr>
            <w:tcW w:w="3383" w:type="pct"/>
            <w:tcBorders>
              <w:top w:val="single" w:sz="4" w:space="0" w:color="auto"/>
              <w:left w:val="single" w:sz="4" w:space="0" w:color="auto"/>
              <w:bottom w:val="single" w:sz="4" w:space="0" w:color="auto"/>
            </w:tcBorders>
          </w:tcPr>
          <w:p w:rsidR="0055351A" w:rsidRPr="0098490B" w:rsidRDefault="0055351A" w:rsidP="00D236B1">
            <w:pPr>
              <w:spacing w:before="0"/>
              <w:rPr>
                <w:szCs w:val="24"/>
                <w:lang w:val="fr-FR"/>
              </w:rPr>
            </w:pPr>
            <w:bookmarkStart w:id="7" w:name="lt_pId058"/>
            <w:r w:rsidRPr="0098490B">
              <w:rPr>
                <w:szCs w:val="24"/>
                <w:lang w:val="fr-FR"/>
              </w:rPr>
              <w:t>Résolutions 1, 2, 5, 30, 33, 37, 50, 53, 59, 81, 82</w:t>
            </w:r>
            <w:bookmarkEnd w:id="7"/>
          </w:p>
        </w:tc>
      </w:tr>
      <w:tr w:rsidR="0055351A" w:rsidRPr="0098490B" w:rsidTr="000A0B3D">
        <w:trPr>
          <w:trHeight w:val="397"/>
        </w:trPr>
        <w:tc>
          <w:tcPr>
            <w:tcW w:w="1617" w:type="pct"/>
            <w:tcBorders>
              <w:top w:val="single" w:sz="4" w:space="0" w:color="auto"/>
              <w:bottom w:val="single" w:sz="4" w:space="0" w:color="auto"/>
              <w:right w:val="single" w:sz="4" w:space="0" w:color="auto"/>
            </w:tcBorders>
          </w:tcPr>
          <w:p w:rsidR="0055351A" w:rsidRPr="0098490B" w:rsidRDefault="00EF1C13" w:rsidP="00D236B1">
            <w:pPr>
              <w:spacing w:before="0"/>
              <w:rPr>
                <w:i/>
                <w:iCs/>
                <w:szCs w:val="24"/>
                <w:lang w:val="fr-FR"/>
              </w:rPr>
            </w:pPr>
            <w:r w:rsidRPr="0098490B">
              <w:rPr>
                <w:i/>
                <w:iCs/>
                <w:szCs w:val="24"/>
                <w:lang w:val="fr-FR"/>
              </w:rPr>
              <w:t>Conférence de plénipotentiaires</w:t>
            </w:r>
          </w:p>
        </w:tc>
        <w:tc>
          <w:tcPr>
            <w:tcW w:w="3383" w:type="pct"/>
            <w:tcBorders>
              <w:top w:val="single" w:sz="4" w:space="0" w:color="auto"/>
              <w:left w:val="single" w:sz="4" w:space="0" w:color="auto"/>
              <w:bottom w:val="single" w:sz="4" w:space="0" w:color="auto"/>
            </w:tcBorders>
          </w:tcPr>
          <w:p w:rsidR="0055351A" w:rsidRPr="0098490B" w:rsidRDefault="0055351A" w:rsidP="00D236B1">
            <w:pPr>
              <w:spacing w:before="0"/>
              <w:rPr>
                <w:szCs w:val="24"/>
                <w:lang w:val="fr-FR"/>
              </w:rPr>
            </w:pPr>
            <w:bookmarkStart w:id="8" w:name="lt_pId060"/>
            <w:r w:rsidRPr="0098490B">
              <w:rPr>
                <w:szCs w:val="24"/>
                <w:lang w:val="fr-FR"/>
              </w:rPr>
              <w:t>Décisions 5, 13</w:t>
            </w:r>
            <w:bookmarkEnd w:id="8"/>
          </w:p>
          <w:p w:rsidR="0055351A" w:rsidRPr="0098490B" w:rsidRDefault="0055351A" w:rsidP="00D236B1">
            <w:pPr>
              <w:spacing w:before="0"/>
              <w:rPr>
                <w:szCs w:val="24"/>
                <w:lang w:val="fr-FR"/>
              </w:rPr>
            </w:pPr>
            <w:bookmarkStart w:id="9" w:name="lt_pId061"/>
            <w:r w:rsidRPr="0098490B">
              <w:rPr>
                <w:szCs w:val="24"/>
                <w:lang w:val="fr-FR"/>
              </w:rPr>
              <w:t>Résolutions 25, 71, 72, 77, 111, 131, 133, 135, 139, 140, 151, 154, 165, 167</w:t>
            </w:r>
            <w:bookmarkEnd w:id="9"/>
          </w:p>
        </w:tc>
      </w:tr>
      <w:tr w:rsidR="0055351A" w:rsidRPr="0098490B" w:rsidTr="000A0B3D">
        <w:trPr>
          <w:trHeight w:val="397"/>
        </w:trPr>
        <w:tc>
          <w:tcPr>
            <w:tcW w:w="1617" w:type="pct"/>
            <w:tcBorders>
              <w:top w:val="single" w:sz="4" w:space="0" w:color="auto"/>
              <w:bottom w:val="single" w:sz="4" w:space="0" w:color="auto"/>
              <w:right w:val="single" w:sz="4" w:space="0" w:color="auto"/>
            </w:tcBorders>
          </w:tcPr>
          <w:p w:rsidR="0055351A" w:rsidRPr="0098490B" w:rsidRDefault="0055351A" w:rsidP="00D236B1">
            <w:pPr>
              <w:spacing w:before="0"/>
              <w:rPr>
                <w:i/>
                <w:iCs/>
                <w:lang w:val="fr-FR"/>
              </w:rPr>
            </w:pPr>
            <w:r w:rsidRPr="0098490B">
              <w:rPr>
                <w:i/>
                <w:iCs/>
                <w:lang w:val="fr-FR"/>
              </w:rPr>
              <w:t>Conseil</w:t>
            </w:r>
          </w:p>
        </w:tc>
        <w:tc>
          <w:tcPr>
            <w:tcW w:w="3383" w:type="pct"/>
            <w:tcBorders>
              <w:top w:val="single" w:sz="4" w:space="0" w:color="auto"/>
              <w:left w:val="single" w:sz="4" w:space="0" w:color="auto"/>
              <w:bottom w:val="single" w:sz="4" w:space="0" w:color="auto"/>
            </w:tcBorders>
          </w:tcPr>
          <w:p w:rsidR="0055351A" w:rsidRPr="0098490B" w:rsidRDefault="0055351A" w:rsidP="00D236B1">
            <w:pPr>
              <w:spacing w:before="0"/>
              <w:rPr>
                <w:szCs w:val="24"/>
                <w:lang w:val="fr-FR"/>
              </w:rPr>
            </w:pPr>
            <w:bookmarkStart w:id="10" w:name="lt_pId063"/>
            <w:r w:rsidRPr="0098490B">
              <w:rPr>
                <w:szCs w:val="24"/>
                <w:lang w:val="fr-FR"/>
              </w:rPr>
              <w:t>Résolution 1372</w:t>
            </w:r>
            <w:bookmarkEnd w:id="10"/>
          </w:p>
        </w:tc>
      </w:tr>
      <w:tr w:rsidR="0055351A" w:rsidRPr="0098490B" w:rsidTr="000A0B3D">
        <w:trPr>
          <w:trHeight w:val="397"/>
        </w:trPr>
        <w:tc>
          <w:tcPr>
            <w:tcW w:w="1617" w:type="pct"/>
            <w:tcBorders>
              <w:top w:val="single" w:sz="4" w:space="0" w:color="auto"/>
              <w:bottom w:val="single" w:sz="4" w:space="0" w:color="auto"/>
              <w:right w:val="single" w:sz="4" w:space="0" w:color="auto"/>
            </w:tcBorders>
          </w:tcPr>
          <w:p w:rsidR="0055351A" w:rsidRPr="0098490B" w:rsidRDefault="00F50FBE" w:rsidP="00D236B1">
            <w:pPr>
              <w:spacing w:before="0"/>
              <w:rPr>
                <w:i/>
                <w:iCs/>
                <w:lang w:val="fr-FR"/>
              </w:rPr>
            </w:pPr>
            <w:r>
              <w:rPr>
                <w:i/>
                <w:iCs/>
                <w:lang w:val="fr-FR"/>
              </w:rPr>
              <w:t>Grandes orientations du </w:t>
            </w:r>
            <w:r w:rsidR="0055351A" w:rsidRPr="0098490B">
              <w:rPr>
                <w:i/>
                <w:iCs/>
                <w:lang w:val="fr-FR"/>
              </w:rPr>
              <w:t>SMSI</w:t>
            </w:r>
          </w:p>
        </w:tc>
        <w:tc>
          <w:tcPr>
            <w:tcW w:w="3383" w:type="pct"/>
            <w:tcBorders>
              <w:top w:val="single" w:sz="4" w:space="0" w:color="auto"/>
              <w:left w:val="single" w:sz="4" w:space="0" w:color="auto"/>
              <w:bottom w:val="single" w:sz="4" w:space="0" w:color="auto"/>
            </w:tcBorders>
          </w:tcPr>
          <w:p w:rsidR="0055351A" w:rsidRPr="0098490B" w:rsidRDefault="00EF1C13" w:rsidP="00D236B1">
            <w:pPr>
              <w:spacing w:before="0"/>
              <w:rPr>
                <w:szCs w:val="24"/>
                <w:lang w:val="fr-FR"/>
              </w:rPr>
            </w:pPr>
            <w:bookmarkStart w:id="11" w:name="lt_pId065"/>
            <w:r w:rsidRPr="0098490B">
              <w:rPr>
                <w:szCs w:val="24"/>
                <w:lang w:val="fr-FR"/>
              </w:rPr>
              <w:t xml:space="preserve">Grandes orientations </w:t>
            </w:r>
            <w:r w:rsidR="0055351A" w:rsidRPr="0098490B">
              <w:rPr>
                <w:szCs w:val="24"/>
                <w:lang w:val="fr-FR"/>
              </w:rPr>
              <w:t xml:space="preserve">C1 </w:t>
            </w:r>
            <w:r w:rsidRPr="0098490B">
              <w:rPr>
                <w:szCs w:val="24"/>
                <w:lang w:val="fr-FR"/>
              </w:rPr>
              <w:t xml:space="preserve">et </w:t>
            </w:r>
            <w:r w:rsidR="0055351A" w:rsidRPr="0098490B">
              <w:rPr>
                <w:szCs w:val="24"/>
                <w:lang w:val="fr-FR"/>
              </w:rPr>
              <w:t>C11</w:t>
            </w:r>
            <w:bookmarkEnd w:id="11"/>
            <w:r w:rsidRPr="0098490B">
              <w:rPr>
                <w:szCs w:val="24"/>
                <w:lang w:val="fr-FR"/>
              </w:rPr>
              <w:t xml:space="preserve"> du SMSI</w:t>
            </w:r>
          </w:p>
        </w:tc>
      </w:tr>
      <w:tr w:rsidR="0055351A" w:rsidRPr="0098490B" w:rsidTr="000A0B3D">
        <w:tc>
          <w:tcPr>
            <w:tcW w:w="1617" w:type="pct"/>
            <w:tcBorders>
              <w:top w:val="single" w:sz="4" w:space="0" w:color="auto"/>
              <w:bottom w:val="single" w:sz="4" w:space="0" w:color="auto"/>
              <w:right w:val="single" w:sz="4" w:space="0" w:color="auto"/>
            </w:tcBorders>
          </w:tcPr>
          <w:p w:rsidR="0055351A" w:rsidRPr="0098490B" w:rsidRDefault="0055351A" w:rsidP="00D236B1">
            <w:pPr>
              <w:spacing w:before="0"/>
              <w:rPr>
                <w:i/>
                <w:iCs/>
                <w:szCs w:val="24"/>
                <w:lang w:val="fr-FR"/>
              </w:rPr>
            </w:pPr>
            <w:r w:rsidRPr="0098490B">
              <w:rPr>
                <w:i/>
                <w:iCs/>
                <w:lang w:val="fr-FR"/>
              </w:rPr>
              <w:t>Contribution aux cibles des O</w:t>
            </w:r>
            <w:r w:rsidR="00EF1C13" w:rsidRPr="0098490B">
              <w:rPr>
                <w:i/>
                <w:iCs/>
                <w:lang w:val="fr-FR"/>
              </w:rPr>
              <w:t>bjectifs de développement durable</w:t>
            </w:r>
          </w:p>
        </w:tc>
        <w:tc>
          <w:tcPr>
            <w:tcW w:w="3383" w:type="pct"/>
            <w:tcBorders>
              <w:top w:val="single" w:sz="4" w:space="0" w:color="auto"/>
              <w:left w:val="single" w:sz="4" w:space="0" w:color="auto"/>
              <w:bottom w:val="single" w:sz="4" w:space="0" w:color="auto"/>
            </w:tcBorders>
          </w:tcPr>
          <w:p w:rsidR="0055351A" w:rsidRPr="0098490B" w:rsidRDefault="00EF1C13" w:rsidP="00D236B1">
            <w:pPr>
              <w:spacing w:before="0"/>
              <w:rPr>
                <w:szCs w:val="24"/>
                <w:lang w:val="fr-FR"/>
              </w:rPr>
            </w:pPr>
            <w:bookmarkStart w:id="12" w:name="lt_pId067"/>
            <w:r w:rsidRPr="0098490B">
              <w:rPr>
                <w:szCs w:val="24"/>
                <w:lang w:val="fr-FR"/>
              </w:rPr>
              <w:t>Objectifs de développement durable</w:t>
            </w:r>
            <w:r w:rsidR="0055351A" w:rsidRPr="0098490B">
              <w:rPr>
                <w:szCs w:val="24"/>
                <w:lang w:val="fr-FR"/>
              </w:rPr>
              <w:t>:</w:t>
            </w:r>
            <w:bookmarkEnd w:id="12"/>
            <w:r w:rsidR="0055351A" w:rsidRPr="0098490B">
              <w:rPr>
                <w:szCs w:val="24"/>
                <w:lang w:val="fr-FR"/>
              </w:rPr>
              <w:t xml:space="preserve"> </w:t>
            </w:r>
            <w:bookmarkStart w:id="13" w:name="lt_pId068"/>
            <w:r w:rsidR="0055351A" w:rsidRPr="0098490B">
              <w:rPr>
                <w:szCs w:val="24"/>
                <w:lang w:val="fr-FR"/>
              </w:rPr>
              <w:t>1, 3, (cible 3.d), 5, 10, 16 (cibles 16.5, 16.6, 16.8), 17 (cibles 17.9, 17.16, 17.17, 17.18, 17.19)</w:t>
            </w:r>
            <w:bookmarkEnd w:id="13"/>
          </w:p>
        </w:tc>
      </w:tr>
    </w:tbl>
    <w:p w:rsidR="00084CA2" w:rsidRPr="0098490B" w:rsidRDefault="00084CA2" w:rsidP="00D236B1">
      <w:pPr>
        <w:pStyle w:val="Heading2"/>
        <w:spacing w:after="120"/>
        <w:rPr>
          <w:lang w:val="fr-FR"/>
        </w:rPr>
      </w:pPr>
      <w:r w:rsidRPr="0098490B">
        <w:rPr>
          <w:lang w:val="fr-FR"/>
        </w:rPr>
        <w:t>1.2</w:t>
      </w:r>
      <w:r w:rsidRPr="0098490B">
        <w:rPr>
          <w:lang w:val="fr-FR"/>
        </w:rPr>
        <w:tab/>
        <w:t>Réunions préparatoires régionales (RPM)</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084CA2" w:rsidRPr="0098490B" w:rsidTr="004268F3">
        <w:tc>
          <w:tcPr>
            <w:tcW w:w="9629" w:type="dxa"/>
            <w:gridSpan w:val="2"/>
            <w:tcBorders>
              <w:bottom w:val="single" w:sz="4" w:space="0" w:color="auto"/>
            </w:tcBorders>
          </w:tcPr>
          <w:p w:rsidR="00EF1C13" w:rsidRPr="0098490B" w:rsidRDefault="00EF1C13" w:rsidP="00784D97">
            <w:pPr>
              <w:rPr>
                <w:color w:val="000000"/>
                <w:lang w:val="fr-FR"/>
              </w:rPr>
            </w:pPr>
            <w:bookmarkStart w:id="14" w:name="lt_pId071"/>
            <w:r w:rsidRPr="0098490B">
              <w:rPr>
                <w:szCs w:val="24"/>
                <w:lang w:val="fr-FR"/>
              </w:rPr>
              <w:t>Conformément à la</w:t>
            </w:r>
            <w:r w:rsidR="00872A76" w:rsidRPr="0098490B">
              <w:rPr>
                <w:szCs w:val="24"/>
                <w:lang w:val="fr-FR"/>
              </w:rPr>
              <w:t xml:space="preserve"> Résolution 31 de la CMDT (Rév.</w:t>
            </w:r>
            <w:r w:rsidRPr="0098490B">
              <w:rPr>
                <w:szCs w:val="24"/>
                <w:lang w:val="fr-FR"/>
              </w:rPr>
              <w:t>Dubaï, 2014), le BDT a organisé une réunion préparatoire régionale</w:t>
            </w:r>
            <w:r w:rsidR="001976FE" w:rsidRPr="0098490B">
              <w:rPr>
                <w:szCs w:val="24"/>
                <w:lang w:val="fr-FR"/>
              </w:rPr>
              <w:t xml:space="preserve"> (RPM)</w:t>
            </w:r>
            <w:r w:rsidRPr="0098490B">
              <w:rPr>
                <w:szCs w:val="24"/>
                <w:lang w:val="fr-FR"/>
              </w:rPr>
              <w:t xml:space="preserve"> par région en vue de la CMDT-17, chacune </w:t>
            </w:r>
            <w:r w:rsidR="001976FE" w:rsidRPr="0098490B">
              <w:rPr>
                <w:szCs w:val="24"/>
                <w:lang w:val="fr-FR"/>
              </w:rPr>
              <w:t>précédée d'</w:t>
            </w:r>
            <w:r w:rsidR="000648E9" w:rsidRPr="0098490B">
              <w:rPr>
                <w:szCs w:val="24"/>
                <w:lang w:val="fr-FR"/>
              </w:rPr>
              <w:t>un</w:t>
            </w:r>
            <w:r w:rsidR="001976FE" w:rsidRPr="0098490B">
              <w:rPr>
                <w:szCs w:val="24"/>
                <w:lang w:val="fr-FR"/>
              </w:rPr>
              <w:t xml:space="preserve"> </w:t>
            </w:r>
            <w:r w:rsidR="00872A76" w:rsidRPr="0098490B">
              <w:rPr>
                <w:color w:val="000000"/>
                <w:lang w:val="fr-FR"/>
              </w:rPr>
              <w:t>f</w:t>
            </w:r>
            <w:r w:rsidR="001976FE" w:rsidRPr="0098490B">
              <w:rPr>
                <w:color w:val="000000"/>
                <w:lang w:val="fr-FR"/>
              </w:rPr>
              <w:t xml:space="preserve">orum régional </w:t>
            </w:r>
            <w:r w:rsidR="00641480" w:rsidRPr="0098490B">
              <w:rPr>
                <w:color w:val="000000"/>
                <w:lang w:val="fr-FR"/>
              </w:rPr>
              <w:t xml:space="preserve">d'une journée </w:t>
            </w:r>
            <w:r w:rsidR="001976FE" w:rsidRPr="0098490B">
              <w:rPr>
                <w:color w:val="000000"/>
                <w:lang w:val="fr-FR"/>
              </w:rPr>
              <w:t xml:space="preserve">sur le développement. En 2016, les RPM ont eu lieu en République kirghize pour la Communauté des Etats indépendants (CEI) </w:t>
            </w:r>
            <w:r w:rsidR="00AA2D0E">
              <w:rPr>
                <w:color w:val="000000"/>
                <w:lang w:val="fr-FR"/>
              </w:rPr>
              <w:t>et au Rwanda pour l'Afrique. En </w:t>
            </w:r>
            <w:r w:rsidR="001976FE" w:rsidRPr="0098490B">
              <w:rPr>
                <w:color w:val="000000"/>
                <w:lang w:val="fr-FR"/>
              </w:rPr>
              <w:t xml:space="preserve">2017, les RPM restantes se sont tenues au Soudan pour </w:t>
            </w:r>
            <w:r w:rsidR="000648E9" w:rsidRPr="0098490B">
              <w:rPr>
                <w:color w:val="000000"/>
                <w:lang w:val="fr-FR"/>
              </w:rPr>
              <w:t>les</w:t>
            </w:r>
            <w:r w:rsidR="001976FE" w:rsidRPr="0098490B">
              <w:rPr>
                <w:color w:val="000000"/>
                <w:lang w:val="fr-FR"/>
              </w:rPr>
              <w:t xml:space="preserve"> Etats arabes, au Paraguay pour les Amériques, en Indonésie pour l'Asie-Pacifique et en Lituanie pour l'Europe.</w:t>
            </w:r>
          </w:p>
          <w:p w:rsidR="001976FE" w:rsidRPr="0098490B" w:rsidRDefault="001976FE" w:rsidP="00872A76">
            <w:pPr>
              <w:rPr>
                <w:szCs w:val="24"/>
                <w:lang w:val="fr-FR"/>
              </w:rPr>
            </w:pPr>
            <w:r w:rsidRPr="0098490B">
              <w:rPr>
                <w:color w:val="000000"/>
                <w:lang w:val="fr-FR"/>
              </w:rPr>
              <w:t xml:space="preserve">Les six RPM ont été organisées en vue de définir des priorités au niveau régional concernant le développement des télécommunications et des technologies de l'information et de la communication (TIC). </w:t>
            </w:r>
            <w:bookmarkEnd w:id="14"/>
            <w:r w:rsidR="0055351A" w:rsidRPr="0098490B">
              <w:rPr>
                <w:lang w:val="fr-FR"/>
              </w:rPr>
              <w:t xml:space="preserve">Les participants ont examiné de manière approfondie les résultats de la mise en oeuvre du Plan d'action de Dubaï depuis 2014 et ont axé leurs débats sur les questions, les thèmes et les sujets prioritaires ainsi que sur les initiatives régionales </w:t>
            </w:r>
            <w:r w:rsidRPr="0098490B">
              <w:rPr>
                <w:lang w:val="fr-FR"/>
              </w:rPr>
              <w:t>intégrées au</w:t>
            </w:r>
            <w:r w:rsidR="0055351A" w:rsidRPr="0098490B">
              <w:rPr>
                <w:lang w:val="fr-FR"/>
              </w:rPr>
              <w:t xml:space="preserve"> Plan</w:t>
            </w:r>
            <w:r w:rsidR="00872A76" w:rsidRPr="0098490B">
              <w:rPr>
                <w:lang w:val="fr-FR"/>
              </w:rPr>
              <w:t> </w:t>
            </w:r>
            <w:r w:rsidR="0055351A" w:rsidRPr="0098490B">
              <w:rPr>
                <w:lang w:val="fr-FR"/>
              </w:rPr>
              <w:t xml:space="preserve">d'action de </w:t>
            </w:r>
            <w:r w:rsidR="00166EAD" w:rsidRPr="0098490B">
              <w:rPr>
                <w:lang w:val="fr-FR"/>
              </w:rPr>
              <w:t>Buenos Aires</w:t>
            </w:r>
            <w:r w:rsidR="0055351A" w:rsidRPr="0098490B">
              <w:rPr>
                <w:lang w:val="fr-FR"/>
              </w:rPr>
              <w:t xml:space="preserve">. </w:t>
            </w:r>
            <w:r w:rsidR="0055351A" w:rsidRPr="0098490B">
              <w:rPr>
                <w:rFonts w:cstheme="minorHAnsi"/>
                <w:szCs w:val="24"/>
                <w:lang w:val="fr-FR"/>
              </w:rPr>
              <w:t xml:space="preserve">Toutes les </w:t>
            </w:r>
            <w:r w:rsidR="0055351A" w:rsidRPr="0098490B">
              <w:rPr>
                <w:lang w:val="fr-FR"/>
              </w:rPr>
              <w:t>RPM ont reconnu que les initiatives régionales de l'UIT</w:t>
            </w:r>
            <w:r w:rsidR="0055351A" w:rsidRPr="0098490B">
              <w:rPr>
                <w:lang w:val="fr-FR"/>
              </w:rPr>
              <w:noBreakHyphen/>
              <w:t>D constitu</w:t>
            </w:r>
            <w:r w:rsidR="000648E9" w:rsidRPr="0098490B">
              <w:rPr>
                <w:lang w:val="fr-FR"/>
              </w:rPr>
              <w:t>ai</w:t>
            </w:r>
            <w:r w:rsidR="0055351A" w:rsidRPr="0098490B">
              <w:rPr>
                <w:lang w:val="fr-FR"/>
              </w:rPr>
              <w:t xml:space="preserve">ent un mécanisme efficace pour </w:t>
            </w:r>
            <w:r w:rsidR="00641480" w:rsidRPr="0098490B">
              <w:rPr>
                <w:lang w:val="fr-FR"/>
              </w:rPr>
              <w:t>stimuler</w:t>
            </w:r>
            <w:r w:rsidR="0055351A" w:rsidRPr="0098490B">
              <w:rPr>
                <w:lang w:val="fr-FR"/>
              </w:rPr>
              <w:t xml:space="preserve"> la </w:t>
            </w:r>
            <w:r w:rsidR="00F50FBE">
              <w:rPr>
                <w:lang w:val="fr-FR"/>
              </w:rPr>
              <w:t xml:space="preserve">mise en </w:t>
            </w:r>
            <w:proofErr w:type="spellStart"/>
            <w:r w:rsidR="00F50FBE">
              <w:rPr>
                <w:lang w:val="fr-FR"/>
              </w:rPr>
              <w:t>oeuvre</w:t>
            </w:r>
            <w:proofErr w:type="spellEnd"/>
            <w:r w:rsidR="00F50FBE">
              <w:rPr>
                <w:lang w:val="fr-FR"/>
              </w:rPr>
              <w:t xml:space="preserve"> des résultats du </w:t>
            </w:r>
            <w:r w:rsidR="0055351A" w:rsidRPr="0098490B">
              <w:rPr>
                <w:lang w:val="fr-FR"/>
              </w:rPr>
              <w:t xml:space="preserve">SMSI et du Programme de développement durable à l'horizon 2030, </w:t>
            </w:r>
            <w:r w:rsidR="00872A76" w:rsidRPr="0098490B">
              <w:rPr>
                <w:lang w:val="fr-FR"/>
              </w:rPr>
              <w:t>et notamment des</w:t>
            </w:r>
            <w:r w:rsidR="0055351A" w:rsidRPr="0098490B">
              <w:rPr>
                <w:lang w:val="fr-FR"/>
              </w:rPr>
              <w:t xml:space="preserve"> Objectifs de développement durable.</w:t>
            </w:r>
          </w:p>
          <w:p w:rsidR="0055351A" w:rsidRPr="0098490B" w:rsidRDefault="001976FE" w:rsidP="00784D97">
            <w:pPr>
              <w:rPr>
                <w:szCs w:val="24"/>
                <w:lang w:val="fr-FR"/>
              </w:rPr>
            </w:pPr>
            <w:r w:rsidRPr="0098490B">
              <w:rPr>
                <w:szCs w:val="24"/>
                <w:lang w:val="fr-FR"/>
              </w:rPr>
              <w:t xml:space="preserve">En outre, toutes les RPM </w:t>
            </w:r>
            <w:r w:rsidR="00641480" w:rsidRPr="0098490B">
              <w:rPr>
                <w:color w:val="000000"/>
                <w:lang w:val="fr-FR"/>
              </w:rPr>
              <w:t>ont débouché sur</w:t>
            </w:r>
            <w:r w:rsidRPr="0098490B">
              <w:rPr>
                <w:color w:val="000000"/>
                <w:lang w:val="fr-FR"/>
              </w:rPr>
              <w:t xml:space="preserve"> un ensemble de propositions </w:t>
            </w:r>
            <w:r w:rsidR="00641480" w:rsidRPr="0098490B">
              <w:rPr>
                <w:color w:val="000000"/>
                <w:lang w:val="fr-FR"/>
              </w:rPr>
              <w:t>concernant</w:t>
            </w:r>
            <w:r w:rsidRPr="0098490B">
              <w:rPr>
                <w:color w:val="000000"/>
                <w:lang w:val="fr-FR"/>
              </w:rPr>
              <w:t xml:space="preserve"> les questions prioritaires pour leurs régions respectives, qui ont servi de base </w:t>
            </w:r>
            <w:r w:rsidR="00641480" w:rsidRPr="0098490B">
              <w:rPr>
                <w:color w:val="000000"/>
                <w:lang w:val="fr-FR"/>
              </w:rPr>
              <w:t>à</w:t>
            </w:r>
            <w:r w:rsidRPr="0098490B">
              <w:rPr>
                <w:color w:val="000000"/>
                <w:lang w:val="fr-FR"/>
              </w:rPr>
              <w:t xml:space="preserve"> l'élaboration des contributions </w:t>
            </w:r>
            <w:r w:rsidR="00641480" w:rsidRPr="0098490B">
              <w:rPr>
                <w:color w:val="000000"/>
                <w:lang w:val="fr-FR"/>
              </w:rPr>
              <w:t>soumises à la</w:t>
            </w:r>
            <w:r w:rsidRPr="0098490B">
              <w:rPr>
                <w:color w:val="000000"/>
                <w:lang w:val="fr-FR"/>
              </w:rPr>
              <w:t xml:space="preserve"> CMDT-17.</w:t>
            </w:r>
          </w:p>
          <w:p w:rsidR="0055351A" w:rsidRPr="0098490B" w:rsidRDefault="001976FE" w:rsidP="00784D97">
            <w:pPr>
              <w:rPr>
                <w:lang w:val="fr-FR"/>
              </w:rPr>
            </w:pPr>
            <w:r w:rsidRPr="0098490B">
              <w:rPr>
                <w:lang w:val="fr-FR"/>
              </w:rPr>
              <w:t>L</w:t>
            </w:r>
            <w:r w:rsidR="0055351A" w:rsidRPr="0098490B">
              <w:rPr>
                <w:lang w:val="fr-FR"/>
              </w:rPr>
              <w:t>es documen</w:t>
            </w:r>
            <w:r w:rsidRPr="0098490B">
              <w:rPr>
                <w:lang w:val="fr-FR"/>
              </w:rPr>
              <w:t xml:space="preserve">ts </w:t>
            </w:r>
            <w:r w:rsidR="00641480" w:rsidRPr="0098490B">
              <w:rPr>
                <w:lang w:val="fr-FR"/>
              </w:rPr>
              <w:t xml:space="preserve">essentiels </w:t>
            </w:r>
            <w:r w:rsidRPr="0098490B">
              <w:rPr>
                <w:lang w:val="fr-FR"/>
              </w:rPr>
              <w:t xml:space="preserve">suivants ont été soumis </w:t>
            </w:r>
            <w:r w:rsidR="00641480" w:rsidRPr="0098490B">
              <w:rPr>
                <w:lang w:val="fr-FR"/>
              </w:rPr>
              <w:t>lors des six</w:t>
            </w:r>
            <w:r w:rsidR="0055351A" w:rsidRPr="0098490B">
              <w:rPr>
                <w:lang w:val="fr-FR"/>
              </w:rPr>
              <w:t xml:space="preserve"> RPM </w:t>
            </w:r>
            <w:r w:rsidR="00641480" w:rsidRPr="0098490B">
              <w:rPr>
                <w:lang w:val="fr-FR"/>
              </w:rPr>
              <w:t>à des fins d'examen</w:t>
            </w:r>
            <w:r w:rsidR="0055351A" w:rsidRPr="0098490B">
              <w:rPr>
                <w:lang w:val="fr-FR"/>
              </w:rPr>
              <w:t>:</w:t>
            </w:r>
          </w:p>
          <w:p w:rsidR="0055351A" w:rsidRPr="0098490B" w:rsidRDefault="0055351A" w:rsidP="00784D97">
            <w:pPr>
              <w:pStyle w:val="enumlev1"/>
              <w:rPr>
                <w:szCs w:val="24"/>
                <w:lang w:val="fr-FR"/>
              </w:rPr>
            </w:pPr>
            <w:r w:rsidRPr="0098490B">
              <w:rPr>
                <w:shd w:val="clear" w:color="auto" w:fill="FFFFFF"/>
                <w:lang w:val="fr-FR"/>
              </w:rPr>
              <w:t>•</w:t>
            </w:r>
            <w:r w:rsidR="00641480" w:rsidRPr="0098490B">
              <w:rPr>
                <w:shd w:val="clear" w:color="auto" w:fill="FFFFFF"/>
                <w:lang w:val="fr-FR"/>
              </w:rPr>
              <w:tab/>
            </w:r>
            <w:r w:rsidR="00C057A3" w:rsidRPr="0098490B">
              <w:rPr>
                <w:shd w:val="clear" w:color="auto" w:fill="FFFFFF"/>
                <w:lang w:val="fr-FR"/>
              </w:rPr>
              <w:t>A</w:t>
            </w:r>
            <w:r w:rsidRPr="0098490B">
              <w:rPr>
                <w:shd w:val="clear" w:color="auto" w:fill="FFFFFF"/>
                <w:lang w:val="fr-FR"/>
              </w:rPr>
              <w:t>vant-projet</w:t>
            </w:r>
            <w:r w:rsidR="0037319A">
              <w:rPr>
                <w:shd w:val="clear" w:color="auto" w:fill="FFFFFF"/>
                <w:lang w:val="fr-FR"/>
              </w:rPr>
              <w:t xml:space="preserve"> de contribution de l'UIT-D au P</w:t>
            </w:r>
            <w:r w:rsidRPr="0098490B">
              <w:rPr>
                <w:shd w:val="clear" w:color="auto" w:fill="FFFFFF"/>
                <w:lang w:val="fr-FR"/>
              </w:rPr>
              <w:t>lan stratégique de l'UIT pour la période 2020</w:t>
            </w:r>
            <w:r w:rsidRPr="0098490B">
              <w:rPr>
                <w:shd w:val="clear" w:color="auto" w:fill="FFFFFF"/>
                <w:lang w:val="fr-FR"/>
              </w:rPr>
              <w:noBreakHyphen/>
              <w:t>2023</w:t>
            </w:r>
            <w:r w:rsidR="00C057A3">
              <w:rPr>
                <w:shd w:val="clear" w:color="auto" w:fill="FFFFFF"/>
                <w:lang w:val="fr-FR"/>
              </w:rPr>
              <w:t>.</w:t>
            </w:r>
          </w:p>
          <w:p w:rsidR="0055351A" w:rsidRPr="0098490B" w:rsidRDefault="0055351A" w:rsidP="00C057A3">
            <w:pPr>
              <w:pStyle w:val="enumlev1"/>
              <w:rPr>
                <w:szCs w:val="24"/>
                <w:lang w:val="fr-FR"/>
              </w:rPr>
            </w:pPr>
            <w:r w:rsidRPr="0098490B">
              <w:rPr>
                <w:shd w:val="clear" w:color="auto" w:fill="FFFFFF"/>
                <w:lang w:val="fr-FR"/>
              </w:rPr>
              <w:t>•</w:t>
            </w:r>
            <w:r w:rsidR="00641480" w:rsidRPr="0098490B">
              <w:rPr>
                <w:shd w:val="clear" w:color="auto" w:fill="FFFFFF"/>
                <w:lang w:val="fr-FR"/>
              </w:rPr>
              <w:tab/>
            </w:r>
            <w:r w:rsidR="00C057A3" w:rsidRPr="0098490B">
              <w:rPr>
                <w:shd w:val="clear" w:color="auto" w:fill="FFFFFF"/>
                <w:lang w:val="fr-FR"/>
              </w:rPr>
              <w:t>A</w:t>
            </w:r>
            <w:r w:rsidR="0037319A">
              <w:rPr>
                <w:shd w:val="clear" w:color="auto" w:fill="FFFFFF"/>
                <w:lang w:val="fr-FR"/>
              </w:rPr>
              <w:t>vant-projet de P</w:t>
            </w:r>
            <w:r w:rsidRPr="0098490B">
              <w:rPr>
                <w:shd w:val="clear" w:color="auto" w:fill="FFFFFF"/>
                <w:lang w:val="fr-FR"/>
              </w:rPr>
              <w:t>lan d'action de l'UIT-D</w:t>
            </w:r>
            <w:r w:rsidR="00C057A3">
              <w:rPr>
                <w:shd w:val="clear" w:color="auto" w:fill="FFFFFF"/>
                <w:lang w:val="fr-FR"/>
              </w:rPr>
              <w:t>.</w:t>
            </w:r>
          </w:p>
          <w:p w:rsidR="0055351A" w:rsidRPr="0098490B" w:rsidRDefault="0055351A" w:rsidP="00C057A3">
            <w:pPr>
              <w:pStyle w:val="enumlev1"/>
              <w:rPr>
                <w:szCs w:val="24"/>
                <w:lang w:val="fr-FR"/>
              </w:rPr>
            </w:pPr>
            <w:r w:rsidRPr="0098490B">
              <w:rPr>
                <w:shd w:val="clear" w:color="auto" w:fill="FFFFFF"/>
                <w:lang w:val="fr-FR"/>
              </w:rPr>
              <w:t>•</w:t>
            </w:r>
            <w:r w:rsidR="00641480" w:rsidRPr="0098490B">
              <w:rPr>
                <w:shd w:val="clear" w:color="auto" w:fill="FFFFFF"/>
                <w:lang w:val="fr-FR"/>
              </w:rPr>
              <w:tab/>
            </w:r>
            <w:r w:rsidR="00C057A3" w:rsidRPr="0098490B">
              <w:rPr>
                <w:shd w:val="clear" w:color="auto" w:fill="FFFFFF"/>
                <w:lang w:val="fr-FR"/>
              </w:rPr>
              <w:t>A</w:t>
            </w:r>
            <w:r w:rsidRPr="0098490B">
              <w:rPr>
                <w:shd w:val="clear" w:color="auto" w:fill="FFFFFF"/>
                <w:lang w:val="fr-FR"/>
              </w:rPr>
              <w:t>vant-projet de Déclaration de la CMDT-17</w:t>
            </w:r>
            <w:r w:rsidR="00C057A3">
              <w:rPr>
                <w:shd w:val="clear" w:color="auto" w:fill="FFFFFF"/>
                <w:lang w:val="fr-FR"/>
              </w:rPr>
              <w:t>.</w:t>
            </w:r>
          </w:p>
          <w:p w:rsidR="0055351A" w:rsidRPr="0098490B" w:rsidRDefault="0055351A" w:rsidP="00C057A3">
            <w:pPr>
              <w:pStyle w:val="enumlev1"/>
              <w:rPr>
                <w:szCs w:val="24"/>
                <w:lang w:val="fr-FR"/>
              </w:rPr>
            </w:pPr>
            <w:r w:rsidRPr="0098490B">
              <w:rPr>
                <w:shd w:val="clear" w:color="auto" w:fill="FFFFFF"/>
                <w:lang w:val="fr-FR"/>
              </w:rPr>
              <w:t>•</w:t>
            </w:r>
            <w:r w:rsidR="00641480" w:rsidRPr="0098490B">
              <w:rPr>
                <w:shd w:val="clear" w:color="auto" w:fill="FFFFFF"/>
                <w:lang w:val="fr-FR"/>
              </w:rPr>
              <w:tab/>
            </w:r>
            <w:r w:rsidR="00C057A3" w:rsidRPr="0098490B">
              <w:rPr>
                <w:shd w:val="clear" w:color="auto" w:fill="FFFFFF"/>
                <w:lang w:val="fr-FR"/>
              </w:rPr>
              <w:t>R</w:t>
            </w:r>
            <w:r w:rsidRPr="0098490B">
              <w:rPr>
                <w:shd w:val="clear" w:color="auto" w:fill="FFFFFF"/>
                <w:lang w:val="fr-FR"/>
              </w:rPr>
              <w:t>èglement intérieur de l'UIT-D (Résolution 1 de la CMDT)</w:t>
            </w:r>
            <w:r w:rsidR="00C057A3">
              <w:rPr>
                <w:shd w:val="clear" w:color="auto" w:fill="FFFFFF"/>
                <w:lang w:val="fr-FR"/>
              </w:rPr>
              <w:t>.</w:t>
            </w:r>
          </w:p>
          <w:p w:rsidR="00782C16" w:rsidRPr="0098490B" w:rsidRDefault="0055351A" w:rsidP="00784D97">
            <w:pPr>
              <w:rPr>
                <w:shd w:val="clear" w:color="auto" w:fill="FFFFFF"/>
                <w:lang w:val="fr-FR"/>
              </w:rPr>
            </w:pPr>
            <w:r w:rsidRPr="0098490B">
              <w:rPr>
                <w:shd w:val="clear" w:color="auto" w:fill="FFFFFF"/>
                <w:lang w:val="fr-FR"/>
              </w:rPr>
              <w:t>•</w:t>
            </w:r>
            <w:r w:rsidR="00641480" w:rsidRPr="0098490B">
              <w:rPr>
                <w:shd w:val="clear" w:color="auto" w:fill="FFFFFF"/>
                <w:lang w:val="fr-FR"/>
              </w:rPr>
              <w:tab/>
            </w:r>
            <w:r w:rsidR="00C057A3" w:rsidRPr="0098490B">
              <w:rPr>
                <w:shd w:val="clear" w:color="auto" w:fill="FFFFFF"/>
                <w:lang w:val="fr-FR"/>
              </w:rPr>
              <w:t>R</w:t>
            </w:r>
            <w:r w:rsidRPr="0098490B">
              <w:rPr>
                <w:shd w:val="clear" w:color="auto" w:fill="FFFFFF"/>
                <w:lang w:val="fr-FR"/>
              </w:rPr>
              <w:t>apport sur la rationalisation des Résolutions de la CMDT.</w:t>
            </w:r>
          </w:p>
          <w:p w:rsidR="0055351A" w:rsidRPr="0098490B" w:rsidRDefault="00782C16" w:rsidP="008C0AA2">
            <w:pPr>
              <w:keepNext/>
              <w:keepLines/>
              <w:spacing w:after="120"/>
              <w:rPr>
                <w:lang w:val="fr-FR"/>
              </w:rPr>
            </w:pPr>
            <w:r w:rsidRPr="0098490B">
              <w:rPr>
                <w:shd w:val="clear" w:color="auto" w:fill="FFFFFF"/>
                <w:lang w:val="fr-FR"/>
              </w:rPr>
              <w:lastRenderedPageBreak/>
              <w:t>A la suite du GCDT-17, les réunions préparatoires de la CMDT-17 ont été organisées par les groupes régionaux suivants:</w:t>
            </w:r>
            <w:r w:rsidR="0055351A" w:rsidRPr="0098490B">
              <w:rPr>
                <w:szCs w:val="24"/>
                <w:lang w:val="fr-FR"/>
              </w:rPr>
              <w:t xml:space="preserve"> Union africaine des télécommunications (UAT), Commission interaméricaine des télécommunications (CITEL), Ligue des Etats arabes (LAS), Télécommunauté Asie-Pacifique (APT), Communauté régionale des communications (RCC), et Conférence européenne des administrations des postes et télécommunications</w:t>
            </w:r>
            <w:r w:rsidR="00B92E0E" w:rsidRPr="0098490B">
              <w:rPr>
                <w:szCs w:val="24"/>
                <w:lang w:val="fr-FR"/>
              </w:rPr>
              <w:t xml:space="preserve"> </w:t>
            </w:r>
            <w:r w:rsidR="0055351A" w:rsidRPr="0098490B">
              <w:rPr>
                <w:szCs w:val="24"/>
                <w:lang w:val="fr-FR"/>
              </w:rPr>
              <w:t>(CEPT).</w:t>
            </w:r>
          </w:p>
        </w:tc>
      </w:tr>
      <w:tr w:rsidR="0055351A" w:rsidRPr="0098490B" w:rsidTr="000A0B3D">
        <w:tc>
          <w:tcPr>
            <w:tcW w:w="3114" w:type="dxa"/>
            <w:tcBorders>
              <w:top w:val="single" w:sz="4" w:space="0" w:color="auto"/>
              <w:bottom w:val="single" w:sz="4" w:space="0" w:color="auto"/>
              <w:right w:val="single" w:sz="4" w:space="0" w:color="auto"/>
            </w:tcBorders>
          </w:tcPr>
          <w:p w:rsidR="0055351A" w:rsidRPr="0098490B" w:rsidRDefault="0055351A" w:rsidP="007439E1">
            <w:pPr>
              <w:spacing w:before="0"/>
              <w:rPr>
                <w:i/>
                <w:iCs/>
                <w:szCs w:val="24"/>
                <w:lang w:val="fr-FR"/>
              </w:rPr>
            </w:pPr>
            <w:r w:rsidRPr="0098490B">
              <w:rPr>
                <w:i/>
                <w:iCs/>
                <w:szCs w:val="24"/>
                <w:lang w:val="fr-FR"/>
              </w:rPr>
              <w:lastRenderedPageBreak/>
              <w:t>CMDT</w:t>
            </w:r>
          </w:p>
        </w:tc>
        <w:tc>
          <w:tcPr>
            <w:tcW w:w="6515" w:type="dxa"/>
            <w:tcBorders>
              <w:top w:val="single" w:sz="4" w:space="0" w:color="auto"/>
              <w:left w:val="single" w:sz="4" w:space="0" w:color="auto"/>
              <w:bottom w:val="single" w:sz="4" w:space="0" w:color="auto"/>
            </w:tcBorders>
          </w:tcPr>
          <w:p w:rsidR="0055351A" w:rsidRPr="0098490B" w:rsidRDefault="0055351A" w:rsidP="007439E1">
            <w:pPr>
              <w:spacing w:before="0"/>
              <w:rPr>
                <w:szCs w:val="24"/>
                <w:lang w:val="fr-FR"/>
              </w:rPr>
            </w:pPr>
            <w:bookmarkStart w:id="15" w:name="lt_pId087"/>
            <w:r w:rsidRPr="0098490B">
              <w:rPr>
                <w:szCs w:val="24"/>
                <w:lang w:val="fr-FR"/>
              </w:rPr>
              <w:t>Résolutions 1, 5, 17, 25, 30, 31, 33, 37, 48, 50, 59, 61, 81</w:t>
            </w:r>
            <w:bookmarkEnd w:id="15"/>
          </w:p>
        </w:tc>
      </w:tr>
      <w:tr w:rsidR="0055351A" w:rsidRPr="0098490B" w:rsidTr="000A0B3D">
        <w:tc>
          <w:tcPr>
            <w:tcW w:w="3114" w:type="dxa"/>
            <w:tcBorders>
              <w:top w:val="single" w:sz="4" w:space="0" w:color="auto"/>
              <w:bottom w:val="single" w:sz="4" w:space="0" w:color="auto"/>
              <w:right w:val="single" w:sz="4" w:space="0" w:color="auto"/>
            </w:tcBorders>
          </w:tcPr>
          <w:p w:rsidR="0055351A" w:rsidRPr="0098490B" w:rsidRDefault="007E17F6" w:rsidP="007439E1">
            <w:pPr>
              <w:spacing w:before="0"/>
              <w:rPr>
                <w:i/>
                <w:iCs/>
                <w:szCs w:val="24"/>
                <w:lang w:val="fr-FR"/>
              </w:rPr>
            </w:pPr>
            <w:r w:rsidRPr="0098490B">
              <w:rPr>
                <w:i/>
                <w:iCs/>
                <w:szCs w:val="24"/>
                <w:lang w:val="fr-FR"/>
              </w:rPr>
              <w:t>Conférence de plénipotentiaires</w:t>
            </w:r>
          </w:p>
        </w:tc>
        <w:tc>
          <w:tcPr>
            <w:tcW w:w="6515" w:type="dxa"/>
            <w:tcBorders>
              <w:top w:val="single" w:sz="4" w:space="0" w:color="auto"/>
              <w:left w:val="single" w:sz="4" w:space="0" w:color="auto"/>
              <w:bottom w:val="single" w:sz="4" w:space="0" w:color="auto"/>
            </w:tcBorders>
          </w:tcPr>
          <w:p w:rsidR="0055351A" w:rsidRPr="0098490B" w:rsidRDefault="007E17F6" w:rsidP="007439E1">
            <w:pPr>
              <w:spacing w:before="0"/>
              <w:rPr>
                <w:szCs w:val="24"/>
                <w:lang w:val="fr-FR"/>
              </w:rPr>
            </w:pPr>
            <w:bookmarkStart w:id="16" w:name="lt_pId089"/>
            <w:r w:rsidRPr="0098490B">
              <w:rPr>
                <w:szCs w:val="24"/>
                <w:lang w:val="fr-FR"/>
              </w:rPr>
              <w:t xml:space="preserve">Décisions </w:t>
            </w:r>
            <w:r w:rsidR="0055351A" w:rsidRPr="0098490B">
              <w:rPr>
                <w:szCs w:val="24"/>
                <w:lang w:val="fr-FR"/>
              </w:rPr>
              <w:t>5, 13</w:t>
            </w:r>
            <w:bookmarkEnd w:id="16"/>
            <w:r w:rsidR="0055351A" w:rsidRPr="0098490B">
              <w:rPr>
                <w:szCs w:val="24"/>
                <w:lang w:val="fr-FR"/>
              </w:rPr>
              <w:t xml:space="preserve"> </w:t>
            </w:r>
          </w:p>
          <w:p w:rsidR="0055351A" w:rsidRPr="0098490B" w:rsidRDefault="0055351A" w:rsidP="007439E1">
            <w:pPr>
              <w:spacing w:before="0"/>
              <w:rPr>
                <w:szCs w:val="24"/>
                <w:lang w:val="fr-FR"/>
              </w:rPr>
            </w:pPr>
            <w:bookmarkStart w:id="17" w:name="lt_pId090"/>
            <w:r w:rsidRPr="0098490B">
              <w:rPr>
                <w:szCs w:val="24"/>
                <w:lang w:val="fr-FR"/>
              </w:rPr>
              <w:t>Résolutions 25, 71, 111, 135, 140, 165, 167</w:t>
            </w:r>
            <w:bookmarkEnd w:id="17"/>
          </w:p>
        </w:tc>
      </w:tr>
      <w:tr w:rsidR="0055351A" w:rsidRPr="0098490B" w:rsidTr="000A0B3D">
        <w:trPr>
          <w:trHeight w:val="397"/>
        </w:trPr>
        <w:tc>
          <w:tcPr>
            <w:tcW w:w="3114" w:type="dxa"/>
            <w:tcBorders>
              <w:top w:val="single" w:sz="4" w:space="0" w:color="auto"/>
              <w:bottom w:val="single" w:sz="4" w:space="0" w:color="auto"/>
              <w:right w:val="single" w:sz="4" w:space="0" w:color="auto"/>
            </w:tcBorders>
          </w:tcPr>
          <w:p w:rsidR="0055351A" w:rsidRPr="0098490B" w:rsidRDefault="00F50FBE" w:rsidP="007439E1">
            <w:pPr>
              <w:spacing w:before="0"/>
              <w:rPr>
                <w:i/>
                <w:iCs/>
                <w:szCs w:val="24"/>
                <w:lang w:val="fr-FR"/>
              </w:rPr>
            </w:pPr>
            <w:r>
              <w:rPr>
                <w:i/>
                <w:iCs/>
                <w:lang w:val="fr-FR"/>
              </w:rPr>
              <w:t>Grandes orientations du </w:t>
            </w:r>
            <w:r w:rsidR="0055351A" w:rsidRPr="0098490B">
              <w:rPr>
                <w:i/>
                <w:iCs/>
                <w:lang w:val="fr-FR"/>
              </w:rPr>
              <w:t>SMSI</w:t>
            </w:r>
          </w:p>
        </w:tc>
        <w:tc>
          <w:tcPr>
            <w:tcW w:w="6515" w:type="dxa"/>
            <w:tcBorders>
              <w:top w:val="single" w:sz="4" w:space="0" w:color="auto"/>
              <w:left w:val="single" w:sz="4" w:space="0" w:color="auto"/>
              <w:bottom w:val="single" w:sz="4" w:space="0" w:color="auto"/>
            </w:tcBorders>
          </w:tcPr>
          <w:p w:rsidR="0055351A" w:rsidRPr="0098490B" w:rsidRDefault="007E17F6" w:rsidP="007439E1">
            <w:pPr>
              <w:spacing w:before="0"/>
              <w:rPr>
                <w:szCs w:val="24"/>
                <w:lang w:val="fr-FR"/>
              </w:rPr>
            </w:pPr>
            <w:r w:rsidRPr="0098490B">
              <w:rPr>
                <w:szCs w:val="24"/>
                <w:lang w:val="fr-FR"/>
              </w:rPr>
              <w:t>Grandes orientations C1 et C11 du SMSI</w:t>
            </w:r>
          </w:p>
        </w:tc>
      </w:tr>
      <w:tr w:rsidR="0055351A" w:rsidRPr="0098490B" w:rsidTr="000A0B3D">
        <w:tc>
          <w:tcPr>
            <w:tcW w:w="3114" w:type="dxa"/>
            <w:tcBorders>
              <w:top w:val="single" w:sz="4" w:space="0" w:color="auto"/>
              <w:bottom w:val="single" w:sz="4" w:space="0" w:color="auto"/>
              <w:right w:val="single" w:sz="4" w:space="0" w:color="auto"/>
            </w:tcBorders>
          </w:tcPr>
          <w:p w:rsidR="0055351A" w:rsidRPr="0098490B" w:rsidRDefault="0055351A" w:rsidP="007439E1">
            <w:pPr>
              <w:spacing w:before="0"/>
              <w:rPr>
                <w:i/>
                <w:iCs/>
                <w:szCs w:val="24"/>
                <w:lang w:val="fr-FR"/>
              </w:rPr>
            </w:pPr>
            <w:r w:rsidRPr="0098490B">
              <w:rPr>
                <w:i/>
                <w:iCs/>
                <w:lang w:val="fr-FR"/>
              </w:rPr>
              <w:t>Contribution aux cibles des O</w:t>
            </w:r>
            <w:r w:rsidR="007E17F6" w:rsidRPr="0098490B">
              <w:rPr>
                <w:i/>
                <w:iCs/>
                <w:lang w:val="fr-FR"/>
              </w:rPr>
              <w:t>bjectifs de développement durable</w:t>
            </w:r>
          </w:p>
        </w:tc>
        <w:tc>
          <w:tcPr>
            <w:tcW w:w="6515" w:type="dxa"/>
            <w:tcBorders>
              <w:top w:val="single" w:sz="4" w:space="0" w:color="auto"/>
              <w:left w:val="single" w:sz="4" w:space="0" w:color="auto"/>
              <w:bottom w:val="single" w:sz="4" w:space="0" w:color="auto"/>
            </w:tcBorders>
          </w:tcPr>
          <w:p w:rsidR="0055351A" w:rsidRPr="0098490B" w:rsidRDefault="007E17F6" w:rsidP="007439E1">
            <w:pPr>
              <w:spacing w:before="0"/>
              <w:rPr>
                <w:szCs w:val="24"/>
                <w:lang w:val="fr-FR"/>
              </w:rPr>
            </w:pPr>
            <w:bookmarkStart w:id="18" w:name="lt_pId094"/>
            <w:r w:rsidRPr="0098490B">
              <w:rPr>
                <w:szCs w:val="24"/>
                <w:lang w:val="fr-FR"/>
              </w:rPr>
              <w:t>Objectif</w:t>
            </w:r>
            <w:r w:rsidR="007439E1" w:rsidRPr="0098490B">
              <w:rPr>
                <w:szCs w:val="24"/>
                <w:lang w:val="fr-FR"/>
              </w:rPr>
              <w:t>s</w:t>
            </w:r>
            <w:r w:rsidRPr="0098490B">
              <w:rPr>
                <w:szCs w:val="24"/>
                <w:lang w:val="fr-FR"/>
              </w:rPr>
              <w:t xml:space="preserve"> de développement durable</w:t>
            </w:r>
            <w:r w:rsidR="0055351A" w:rsidRPr="0098490B">
              <w:rPr>
                <w:szCs w:val="24"/>
                <w:lang w:val="fr-FR"/>
              </w:rPr>
              <w:t>:</w:t>
            </w:r>
            <w:bookmarkEnd w:id="18"/>
            <w:r w:rsidR="0055351A" w:rsidRPr="0098490B">
              <w:rPr>
                <w:szCs w:val="24"/>
                <w:lang w:val="fr-FR"/>
              </w:rPr>
              <w:t xml:space="preserve"> </w:t>
            </w:r>
            <w:bookmarkStart w:id="19" w:name="lt_pId095"/>
            <w:r w:rsidR="0055351A" w:rsidRPr="0098490B">
              <w:rPr>
                <w:szCs w:val="24"/>
                <w:lang w:val="fr-FR"/>
              </w:rPr>
              <w:t>1, 3, (cible 3.d), 5, 10, 16 (cibles 16.5, 16.6, 16.8), 17 (cibles 17.9, 17.16, 17.17, 17.18, 17.19)</w:t>
            </w:r>
            <w:bookmarkEnd w:id="19"/>
          </w:p>
        </w:tc>
      </w:tr>
    </w:tbl>
    <w:p w:rsidR="00084CA2" w:rsidRPr="0098490B" w:rsidRDefault="00084CA2" w:rsidP="007439E1">
      <w:pPr>
        <w:pStyle w:val="Heading2"/>
        <w:spacing w:after="120"/>
        <w:rPr>
          <w:lang w:val="fr-FR"/>
        </w:rPr>
      </w:pPr>
      <w:bookmarkStart w:id="20" w:name="_Toc468087088"/>
      <w:r w:rsidRPr="0098490B">
        <w:rPr>
          <w:lang w:val="fr-FR"/>
        </w:rPr>
        <w:t>1.3</w:t>
      </w:r>
      <w:r w:rsidRPr="0098490B">
        <w:rPr>
          <w:lang w:val="fr-FR"/>
        </w:rPr>
        <w:tab/>
      </w:r>
      <w:bookmarkStart w:id="21" w:name="_Toc467807689"/>
      <w:r w:rsidRPr="0098490B">
        <w:rPr>
          <w:lang w:val="fr-FR"/>
        </w:rPr>
        <w:t>Groupe consultatif pour le développement des télécommunications (GCDT)</w:t>
      </w:r>
      <w:bookmarkEnd w:id="20"/>
      <w:bookmarkEnd w:id="21"/>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084CA2" w:rsidRPr="0098490B" w:rsidTr="004268F3">
        <w:tc>
          <w:tcPr>
            <w:tcW w:w="9629" w:type="dxa"/>
            <w:gridSpan w:val="2"/>
            <w:tcBorders>
              <w:bottom w:val="single" w:sz="4" w:space="0" w:color="auto"/>
            </w:tcBorders>
          </w:tcPr>
          <w:p w:rsidR="006B256D" w:rsidRPr="0098490B" w:rsidRDefault="002D4062" w:rsidP="00784D97">
            <w:pPr>
              <w:rPr>
                <w:szCs w:val="24"/>
                <w:lang w:val="fr-FR"/>
              </w:rPr>
            </w:pPr>
            <w:r w:rsidRPr="0098490B">
              <w:rPr>
                <w:lang w:val="fr-FR"/>
              </w:rPr>
              <w:t>La 22ème réunion du</w:t>
            </w:r>
            <w:r w:rsidR="00084CA2" w:rsidRPr="0098490B">
              <w:rPr>
                <w:lang w:val="fr-FR"/>
              </w:rPr>
              <w:t xml:space="preserve"> </w:t>
            </w:r>
            <w:r w:rsidR="006B256D" w:rsidRPr="0098490B">
              <w:rPr>
                <w:lang w:val="fr-FR"/>
              </w:rPr>
              <w:t xml:space="preserve">GCDT a </w:t>
            </w:r>
            <w:r w:rsidRPr="0098490B">
              <w:rPr>
                <w:lang w:val="fr-FR"/>
              </w:rPr>
              <w:t>eu lieu</w:t>
            </w:r>
            <w:r w:rsidR="006B256D" w:rsidRPr="0098490B">
              <w:rPr>
                <w:lang w:val="fr-FR"/>
              </w:rPr>
              <w:t xml:space="preserve"> </w:t>
            </w:r>
            <w:r w:rsidR="00084CA2" w:rsidRPr="0098490B">
              <w:rPr>
                <w:lang w:val="fr-FR"/>
              </w:rPr>
              <w:t xml:space="preserve">du </w:t>
            </w:r>
            <w:r w:rsidR="007E17F6" w:rsidRPr="0098490B">
              <w:rPr>
                <w:lang w:val="fr-FR"/>
              </w:rPr>
              <w:t>9 au 12</w:t>
            </w:r>
            <w:r w:rsidR="006B256D" w:rsidRPr="0098490B">
              <w:rPr>
                <w:lang w:val="fr-FR"/>
              </w:rPr>
              <w:t xml:space="preserve"> mai 2017</w:t>
            </w:r>
            <w:r w:rsidR="00084CA2" w:rsidRPr="0098490B">
              <w:rPr>
                <w:lang w:val="fr-FR"/>
              </w:rPr>
              <w:t xml:space="preserve"> au siège de l'UIT à Genève. </w:t>
            </w:r>
            <w:r w:rsidR="007E17F6" w:rsidRPr="0098490B">
              <w:rPr>
                <w:lang w:val="fr-FR"/>
              </w:rPr>
              <w:t xml:space="preserve">Il s'agissait de sa dernière réunion avant la CMDT-17. </w:t>
            </w:r>
            <w:r w:rsidRPr="0098490B">
              <w:rPr>
                <w:lang w:val="fr-FR"/>
              </w:rPr>
              <w:t xml:space="preserve">Lors de la réunion, les divers </w:t>
            </w:r>
            <w:r w:rsidR="007E17F6" w:rsidRPr="0098490B">
              <w:rPr>
                <w:lang w:val="fr-FR"/>
              </w:rPr>
              <w:t>thèmes suivants</w:t>
            </w:r>
            <w:r w:rsidRPr="0098490B">
              <w:rPr>
                <w:lang w:val="fr-FR"/>
              </w:rPr>
              <w:t xml:space="preserve"> ont été abordés</w:t>
            </w:r>
            <w:r w:rsidR="006B256D" w:rsidRPr="0098490B">
              <w:rPr>
                <w:szCs w:val="24"/>
                <w:lang w:val="fr-FR"/>
              </w:rPr>
              <w:t>:</w:t>
            </w:r>
          </w:p>
          <w:p w:rsidR="006B256D" w:rsidRPr="0098490B" w:rsidRDefault="006B256D" w:rsidP="007439E1">
            <w:pPr>
              <w:pStyle w:val="enumlev1"/>
              <w:rPr>
                <w:lang w:val="fr-FR"/>
              </w:rPr>
            </w:pPr>
            <w:bookmarkStart w:id="22" w:name="lt_pId101"/>
            <w:r w:rsidRPr="0098490B">
              <w:rPr>
                <w:lang w:val="fr-FR"/>
              </w:rPr>
              <w:t>–</w:t>
            </w:r>
            <w:r w:rsidRPr="0098490B">
              <w:rPr>
                <w:lang w:val="fr-FR"/>
              </w:rPr>
              <w:tab/>
            </w:r>
            <w:r w:rsidR="00F50FBE" w:rsidRPr="0098490B">
              <w:rPr>
                <w:lang w:val="fr-FR"/>
              </w:rPr>
              <w:t>P</w:t>
            </w:r>
            <w:r w:rsidR="007E17F6" w:rsidRPr="0098490B">
              <w:rPr>
                <w:lang w:val="fr-FR"/>
              </w:rPr>
              <w:t>réparatifs e</w:t>
            </w:r>
            <w:r w:rsidR="00F50FBE">
              <w:rPr>
                <w:lang w:val="fr-FR"/>
              </w:rPr>
              <w:t xml:space="preserve">n vue de la CMDT-17, y compris </w:t>
            </w:r>
            <w:r w:rsidR="007E17F6" w:rsidRPr="0098490B">
              <w:rPr>
                <w:lang w:val="fr-FR"/>
              </w:rPr>
              <w:t>i) un point sur l'avancement des prépar</w:t>
            </w:r>
            <w:r w:rsidR="00F50FBE">
              <w:rPr>
                <w:lang w:val="fr-FR"/>
              </w:rPr>
              <w:t xml:space="preserve">atifs en vue de la Conférence, </w:t>
            </w:r>
            <w:r w:rsidR="007E17F6" w:rsidRPr="0098490B">
              <w:rPr>
                <w:lang w:val="fr-FR"/>
              </w:rPr>
              <w:t xml:space="preserve">ii) le rapport de la </w:t>
            </w:r>
            <w:r w:rsidR="007E17F6" w:rsidRPr="0098490B">
              <w:rPr>
                <w:color w:val="000000"/>
                <w:lang w:val="fr-FR"/>
              </w:rPr>
              <w:t>Réunion de coordination des Réun</w:t>
            </w:r>
            <w:r w:rsidR="00F50FBE">
              <w:rPr>
                <w:color w:val="000000"/>
                <w:lang w:val="fr-FR"/>
              </w:rPr>
              <w:t xml:space="preserve">ions préparatoires régionales, </w:t>
            </w:r>
            <w:r w:rsidR="007E17F6" w:rsidRPr="0098490B">
              <w:rPr>
                <w:color w:val="000000"/>
                <w:lang w:val="fr-FR"/>
              </w:rPr>
              <w:t>ii</w:t>
            </w:r>
            <w:r w:rsidR="00F50FBE">
              <w:rPr>
                <w:color w:val="000000"/>
                <w:lang w:val="fr-FR"/>
              </w:rPr>
              <w:t xml:space="preserve">i) la structure de la CMDT-17, </w:t>
            </w:r>
            <w:r w:rsidR="007E17F6" w:rsidRPr="0098490B">
              <w:rPr>
                <w:color w:val="000000"/>
                <w:lang w:val="fr-FR"/>
              </w:rPr>
              <w:t xml:space="preserve">iv) </w:t>
            </w:r>
            <w:r w:rsidR="002D4062" w:rsidRPr="0098490B">
              <w:rPr>
                <w:color w:val="000000"/>
                <w:lang w:val="fr-FR"/>
              </w:rPr>
              <w:t>la</w:t>
            </w:r>
            <w:r w:rsidR="007E17F6" w:rsidRPr="0098490B">
              <w:rPr>
                <w:color w:val="000000"/>
                <w:lang w:val="fr-FR"/>
              </w:rPr>
              <w:t xml:space="preserve"> contri</w:t>
            </w:r>
            <w:r w:rsidR="0037319A">
              <w:rPr>
                <w:color w:val="000000"/>
                <w:lang w:val="fr-FR"/>
              </w:rPr>
              <w:t>bution de l'UIT-D au projet de P</w:t>
            </w:r>
            <w:r w:rsidR="00F50FBE">
              <w:rPr>
                <w:color w:val="000000"/>
                <w:lang w:val="fr-FR"/>
              </w:rPr>
              <w:t xml:space="preserve">lan stratégique de l'UIT, </w:t>
            </w:r>
            <w:r w:rsidR="007E17F6" w:rsidRPr="0098490B">
              <w:rPr>
                <w:color w:val="000000"/>
                <w:lang w:val="fr-FR"/>
              </w:rPr>
              <w:t xml:space="preserve">v) le projet de </w:t>
            </w:r>
            <w:r w:rsidR="0037319A">
              <w:rPr>
                <w:color w:val="000000"/>
                <w:lang w:val="fr-FR"/>
              </w:rPr>
              <w:t>P</w:t>
            </w:r>
            <w:r w:rsidR="00F50FBE">
              <w:rPr>
                <w:color w:val="000000"/>
                <w:lang w:val="fr-FR"/>
              </w:rPr>
              <w:t>lan d'action de l'UIT-D, et </w:t>
            </w:r>
            <w:r w:rsidR="007E17F6" w:rsidRPr="0098490B">
              <w:rPr>
                <w:color w:val="000000"/>
                <w:lang w:val="fr-FR"/>
              </w:rPr>
              <w:t>vi) le projet de Déclaration de la CMDT-17</w:t>
            </w:r>
            <w:bookmarkEnd w:id="22"/>
            <w:r w:rsidR="00F50FBE">
              <w:rPr>
                <w:lang w:val="fr-FR"/>
              </w:rPr>
              <w:t>.</w:t>
            </w:r>
          </w:p>
          <w:p w:rsidR="006B256D" w:rsidRPr="0098490B" w:rsidRDefault="006B256D" w:rsidP="00F50FBE">
            <w:pPr>
              <w:pStyle w:val="enumlev1"/>
              <w:rPr>
                <w:lang w:val="fr-FR"/>
              </w:rPr>
            </w:pPr>
            <w:r w:rsidRPr="0098490B">
              <w:rPr>
                <w:lang w:val="fr-FR"/>
              </w:rPr>
              <w:t>–</w:t>
            </w:r>
            <w:r w:rsidRPr="0098490B">
              <w:rPr>
                <w:lang w:val="fr-FR"/>
              </w:rPr>
              <w:tab/>
            </w:r>
            <w:bookmarkStart w:id="23" w:name="lt_pId102"/>
            <w:r w:rsidR="00F50FBE" w:rsidRPr="0098490B">
              <w:rPr>
                <w:lang w:val="fr-FR"/>
              </w:rPr>
              <w:t>R</w:t>
            </w:r>
            <w:r w:rsidR="007E17F6" w:rsidRPr="0098490B">
              <w:rPr>
                <w:lang w:val="fr-FR"/>
              </w:rPr>
              <w:t>ésultats de l'AMNT-16 liés aux travaux de l'UIT-D</w:t>
            </w:r>
            <w:bookmarkEnd w:id="23"/>
            <w:r w:rsidR="00F50FBE">
              <w:rPr>
                <w:lang w:val="fr-FR"/>
              </w:rPr>
              <w:t>.</w:t>
            </w:r>
          </w:p>
          <w:p w:rsidR="006B256D" w:rsidRPr="0098490B" w:rsidRDefault="006B256D" w:rsidP="00F50FBE">
            <w:pPr>
              <w:pStyle w:val="enumlev1"/>
              <w:rPr>
                <w:lang w:val="fr-FR"/>
              </w:rPr>
            </w:pPr>
            <w:r w:rsidRPr="0098490B">
              <w:rPr>
                <w:lang w:val="fr-FR"/>
              </w:rPr>
              <w:t>–</w:t>
            </w:r>
            <w:r w:rsidRPr="0098490B">
              <w:rPr>
                <w:lang w:val="fr-FR"/>
              </w:rPr>
              <w:tab/>
            </w:r>
            <w:r w:rsidR="00F50FBE" w:rsidRPr="0098490B">
              <w:rPr>
                <w:lang w:val="fr-FR"/>
              </w:rPr>
              <w:t>M</w:t>
            </w:r>
            <w:r w:rsidRPr="0098490B">
              <w:rPr>
                <w:lang w:val="fr-FR"/>
              </w:rPr>
              <w:t xml:space="preserve">ise en </w:t>
            </w:r>
            <w:proofErr w:type="spellStart"/>
            <w:r w:rsidRPr="0098490B">
              <w:rPr>
                <w:lang w:val="fr-FR"/>
              </w:rPr>
              <w:t>oeuvre</w:t>
            </w:r>
            <w:proofErr w:type="spellEnd"/>
            <w:r w:rsidRPr="0098490B">
              <w:rPr>
                <w:lang w:val="fr-FR"/>
              </w:rPr>
              <w:t xml:space="preserve"> du </w:t>
            </w:r>
            <w:r w:rsidR="0037319A">
              <w:rPr>
                <w:lang w:val="fr-FR"/>
              </w:rPr>
              <w:t>P</w:t>
            </w:r>
            <w:r w:rsidRPr="0098490B">
              <w:rPr>
                <w:lang w:val="fr-FR"/>
              </w:rPr>
              <w:t xml:space="preserve">lan stratégique et du </w:t>
            </w:r>
            <w:r w:rsidR="003E5283">
              <w:rPr>
                <w:lang w:val="fr-FR"/>
              </w:rPr>
              <w:t>P</w:t>
            </w:r>
            <w:r w:rsidRPr="0098490B">
              <w:rPr>
                <w:lang w:val="fr-FR"/>
              </w:rPr>
              <w:t>lan opéra</w:t>
            </w:r>
            <w:r w:rsidR="00F50FBE">
              <w:rPr>
                <w:lang w:val="fr-FR"/>
              </w:rPr>
              <w:t>tionnel de l'UIT-D pour 2016, y </w:t>
            </w:r>
            <w:r w:rsidRPr="0098490B">
              <w:rPr>
                <w:lang w:val="fr-FR"/>
              </w:rPr>
              <w:t>compris les initiatives régionales</w:t>
            </w:r>
            <w:r w:rsidR="00F50FBE">
              <w:rPr>
                <w:lang w:val="fr-FR"/>
              </w:rPr>
              <w:t>.</w:t>
            </w:r>
          </w:p>
          <w:p w:rsidR="006B256D" w:rsidRPr="0098490B" w:rsidRDefault="006B256D" w:rsidP="00F50FBE">
            <w:pPr>
              <w:pStyle w:val="enumlev1"/>
              <w:rPr>
                <w:lang w:val="fr-FR"/>
              </w:rPr>
            </w:pPr>
            <w:r w:rsidRPr="0098490B">
              <w:rPr>
                <w:lang w:val="fr-FR"/>
              </w:rPr>
              <w:t>–</w:t>
            </w:r>
            <w:r w:rsidRPr="0098490B">
              <w:rPr>
                <w:lang w:val="fr-FR"/>
              </w:rPr>
              <w:tab/>
            </w:r>
            <w:r w:rsidR="003E5283">
              <w:rPr>
                <w:lang w:val="fr-FR"/>
              </w:rPr>
              <w:t>P</w:t>
            </w:r>
            <w:r w:rsidRPr="0098490B">
              <w:rPr>
                <w:lang w:val="fr-FR"/>
              </w:rPr>
              <w:t xml:space="preserve">lan opérationnel quadriennal glissant </w:t>
            </w:r>
            <w:r w:rsidR="002D4062" w:rsidRPr="0098490B">
              <w:rPr>
                <w:lang w:val="fr-FR"/>
              </w:rPr>
              <w:t xml:space="preserve">de l'UIT-D pour la période </w:t>
            </w:r>
            <w:r w:rsidRPr="0098490B">
              <w:rPr>
                <w:lang w:val="fr-FR"/>
              </w:rPr>
              <w:t xml:space="preserve">2018-2021, </w:t>
            </w:r>
            <w:r w:rsidR="00846A1E" w:rsidRPr="0098490B">
              <w:rPr>
                <w:lang w:val="fr-FR"/>
              </w:rPr>
              <w:t>y compris un rapport d'activité du</w:t>
            </w:r>
            <w:r w:rsidRPr="0098490B">
              <w:rPr>
                <w:lang w:val="fr-FR"/>
              </w:rPr>
              <w:t xml:space="preserve"> Groupe de travail par correspondance du GCDT sur le </w:t>
            </w:r>
            <w:r w:rsidR="0037319A">
              <w:rPr>
                <w:lang w:val="fr-FR"/>
              </w:rPr>
              <w:t>P</w:t>
            </w:r>
            <w:r w:rsidRPr="0098490B">
              <w:rPr>
                <w:lang w:val="fr-FR"/>
              </w:rPr>
              <w:t xml:space="preserve">lan stratégique, le </w:t>
            </w:r>
            <w:r w:rsidR="003E5283">
              <w:rPr>
                <w:lang w:val="fr-FR"/>
              </w:rPr>
              <w:t>P</w:t>
            </w:r>
            <w:r w:rsidRPr="0098490B">
              <w:rPr>
                <w:lang w:val="fr-FR"/>
              </w:rPr>
              <w:t>lan opérationnel et la Déclaration (CG-SPOPD)</w:t>
            </w:r>
            <w:r w:rsidR="00F50FBE">
              <w:rPr>
                <w:lang w:val="fr-FR"/>
              </w:rPr>
              <w:t>.</w:t>
            </w:r>
          </w:p>
          <w:p w:rsidR="006B256D" w:rsidRPr="0098490B" w:rsidRDefault="006B256D" w:rsidP="00F50FBE">
            <w:pPr>
              <w:pStyle w:val="enumlev1"/>
              <w:rPr>
                <w:lang w:val="fr-FR"/>
              </w:rPr>
            </w:pPr>
            <w:r w:rsidRPr="0098490B">
              <w:rPr>
                <w:lang w:val="fr-FR"/>
              </w:rPr>
              <w:t>–</w:t>
            </w:r>
            <w:r w:rsidRPr="0098490B">
              <w:rPr>
                <w:lang w:val="fr-FR"/>
              </w:rPr>
              <w:tab/>
            </w:r>
            <w:r w:rsidR="00F50FBE" w:rsidRPr="0098490B">
              <w:rPr>
                <w:lang w:val="fr-FR"/>
              </w:rPr>
              <w:t>C</w:t>
            </w:r>
            <w:r w:rsidRPr="0098490B">
              <w:rPr>
                <w:lang w:val="fr-FR"/>
              </w:rPr>
              <w:t xml:space="preserve">ontribution de l'UIT-D à la mise en oeuvre du </w:t>
            </w:r>
            <w:r w:rsidR="0037319A">
              <w:rPr>
                <w:lang w:val="fr-FR"/>
              </w:rPr>
              <w:t>P</w:t>
            </w:r>
            <w:r w:rsidRPr="0098490B">
              <w:rPr>
                <w:lang w:val="fr-FR"/>
              </w:rPr>
              <w:t>lan d'action du SMSI, y compris l'examen d'ensemble par l'Assemblée générale des Nations Unies et les Objectifs de développement durable</w:t>
            </w:r>
            <w:r w:rsidR="00F50FBE">
              <w:rPr>
                <w:lang w:val="fr-FR"/>
              </w:rPr>
              <w:t>.</w:t>
            </w:r>
          </w:p>
          <w:p w:rsidR="006B256D" w:rsidRPr="0098490B" w:rsidRDefault="006B256D" w:rsidP="00F50FBE">
            <w:pPr>
              <w:pStyle w:val="enumlev1"/>
              <w:rPr>
                <w:lang w:val="fr-FR"/>
              </w:rPr>
            </w:pPr>
            <w:r w:rsidRPr="0098490B">
              <w:rPr>
                <w:lang w:val="fr-FR"/>
              </w:rPr>
              <w:t>–</w:t>
            </w:r>
            <w:r w:rsidRPr="0098490B">
              <w:rPr>
                <w:lang w:val="fr-FR"/>
              </w:rPr>
              <w:tab/>
            </w:r>
            <w:r w:rsidR="00F50FBE" w:rsidRPr="0098490B">
              <w:rPr>
                <w:lang w:val="fr-FR"/>
              </w:rPr>
              <w:t>M</w:t>
            </w:r>
            <w:r w:rsidR="004268F3" w:rsidRPr="0098490B">
              <w:rPr>
                <w:lang w:val="fr-FR"/>
              </w:rPr>
              <w:t>éthodes de travail et Règlement intérieur de</w:t>
            </w:r>
            <w:r w:rsidR="004268F3" w:rsidRPr="0098490B">
              <w:rPr>
                <w:rFonts w:cs="Segoe UI"/>
                <w:lang w:val="fr-FR"/>
              </w:rPr>
              <w:t xml:space="preserve"> l'UIT-D</w:t>
            </w:r>
            <w:r w:rsidR="00F50FBE">
              <w:rPr>
                <w:lang w:val="fr-FR"/>
              </w:rPr>
              <w:t xml:space="preserve"> (Résolution 1 de la CMDT), y </w:t>
            </w:r>
            <w:r w:rsidR="004268F3" w:rsidRPr="0098490B">
              <w:rPr>
                <w:lang w:val="fr-FR"/>
              </w:rPr>
              <w:t>compris un rapport établi par le Groupe de travail pa</w:t>
            </w:r>
            <w:r w:rsidR="00F50FBE">
              <w:rPr>
                <w:lang w:val="fr-FR"/>
              </w:rPr>
              <w:t>r correspondance du GCDT sur le </w:t>
            </w:r>
            <w:r w:rsidR="004268F3" w:rsidRPr="0098490B">
              <w:rPr>
                <w:lang w:val="fr-FR"/>
              </w:rPr>
              <w:t>Règlement intérieur de</w:t>
            </w:r>
            <w:r w:rsidR="004268F3" w:rsidRPr="0098490B">
              <w:rPr>
                <w:rFonts w:cs="Segoe UI"/>
                <w:lang w:val="fr-FR"/>
              </w:rPr>
              <w:t xml:space="preserve"> l'UIT-D</w:t>
            </w:r>
            <w:r w:rsidR="00846A1E" w:rsidRPr="0098490B">
              <w:rPr>
                <w:rFonts w:cs="Segoe UI"/>
                <w:lang w:val="fr-FR"/>
              </w:rPr>
              <w:t xml:space="preserve"> </w:t>
            </w:r>
            <w:r w:rsidR="00846A1E" w:rsidRPr="0098490B">
              <w:rPr>
                <w:szCs w:val="24"/>
                <w:lang w:val="fr-FR"/>
              </w:rPr>
              <w:t>(CG-Res1)</w:t>
            </w:r>
            <w:r w:rsidR="00F50FBE">
              <w:rPr>
                <w:szCs w:val="24"/>
                <w:lang w:val="fr-FR"/>
              </w:rPr>
              <w:t>.</w:t>
            </w:r>
          </w:p>
          <w:p w:rsidR="006B256D" w:rsidRPr="0098490B" w:rsidRDefault="006B256D" w:rsidP="00F50FBE">
            <w:pPr>
              <w:pStyle w:val="enumlev1"/>
              <w:rPr>
                <w:lang w:val="fr-FR"/>
              </w:rPr>
            </w:pPr>
            <w:r w:rsidRPr="0098490B">
              <w:rPr>
                <w:lang w:val="fr-FR"/>
              </w:rPr>
              <w:t>–</w:t>
            </w:r>
            <w:r w:rsidRPr="0098490B">
              <w:rPr>
                <w:lang w:val="fr-FR"/>
              </w:rPr>
              <w:tab/>
            </w:r>
            <w:r w:rsidR="00F50FBE" w:rsidRPr="0098490B">
              <w:rPr>
                <w:lang w:val="fr-FR"/>
              </w:rPr>
              <w:t>R</w:t>
            </w:r>
            <w:r w:rsidR="004268F3" w:rsidRPr="0098490B">
              <w:rPr>
                <w:lang w:val="fr-FR"/>
              </w:rPr>
              <w:t>ationalisation des Résolutions de la CMDT</w:t>
            </w:r>
            <w:r w:rsidR="00F50FBE">
              <w:rPr>
                <w:lang w:val="fr-FR"/>
              </w:rPr>
              <w:t>.</w:t>
            </w:r>
          </w:p>
          <w:p w:rsidR="004268F3" w:rsidRPr="0098490B" w:rsidRDefault="002D4062" w:rsidP="00F50FBE">
            <w:pPr>
              <w:pStyle w:val="enumlev1"/>
              <w:rPr>
                <w:lang w:val="fr-FR"/>
              </w:rPr>
            </w:pPr>
            <w:r w:rsidRPr="0098490B">
              <w:rPr>
                <w:lang w:val="fr-FR"/>
              </w:rPr>
              <w:t>–</w:t>
            </w:r>
            <w:r w:rsidRPr="0098490B">
              <w:rPr>
                <w:lang w:val="fr-FR"/>
              </w:rPr>
              <w:tab/>
            </w:r>
            <w:r w:rsidR="00F50FBE" w:rsidRPr="0098490B">
              <w:rPr>
                <w:lang w:val="fr-FR"/>
              </w:rPr>
              <w:t>C</w:t>
            </w:r>
            <w:r w:rsidR="004268F3" w:rsidRPr="0098490B">
              <w:rPr>
                <w:lang w:val="fr-FR"/>
              </w:rPr>
              <w:t>élébrations du 25ème anniversaire de l'UIT</w:t>
            </w:r>
            <w:r w:rsidR="004268F3" w:rsidRPr="0098490B">
              <w:rPr>
                <w:lang w:val="fr-FR"/>
              </w:rPr>
              <w:noBreakHyphen/>
              <w:t>D</w:t>
            </w:r>
            <w:r w:rsidR="00F50FBE">
              <w:rPr>
                <w:lang w:val="fr-FR"/>
              </w:rPr>
              <w:t>.</w:t>
            </w:r>
          </w:p>
          <w:p w:rsidR="004268F3" w:rsidRPr="0098490B" w:rsidRDefault="004268F3" w:rsidP="00F50FBE">
            <w:pPr>
              <w:pStyle w:val="enumlev1"/>
              <w:rPr>
                <w:lang w:val="fr-FR"/>
              </w:rPr>
            </w:pPr>
            <w:r w:rsidRPr="0098490B">
              <w:rPr>
                <w:lang w:val="fr-FR"/>
              </w:rPr>
              <w:t>–</w:t>
            </w:r>
            <w:r w:rsidRPr="0098490B">
              <w:rPr>
                <w:lang w:val="fr-FR"/>
              </w:rPr>
              <w:tab/>
            </w:r>
            <w:r w:rsidR="00F50FBE" w:rsidRPr="0098490B">
              <w:rPr>
                <w:lang w:val="fr-FR"/>
              </w:rPr>
              <w:t>C</w:t>
            </w:r>
            <w:r w:rsidRPr="0098490B">
              <w:rPr>
                <w:lang w:val="fr-FR"/>
              </w:rPr>
              <w:t xml:space="preserve">ollaboration avec les autres Secteurs, y compris un rapport d'activité </w:t>
            </w:r>
            <w:r w:rsidR="00846A1E" w:rsidRPr="0098490B">
              <w:rPr>
                <w:lang w:val="fr-FR"/>
              </w:rPr>
              <w:t xml:space="preserve">sur les travaux </w:t>
            </w:r>
            <w:r w:rsidRPr="0098490B">
              <w:rPr>
                <w:lang w:val="fr-FR"/>
              </w:rPr>
              <w:t>de l'Equipe de coordination intersectorielle sur des questions d'intérêt mutuel</w:t>
            </w:r>
            <w:r w:rsidR="00F50FBE">
              <w:rPr>
                <w:lang w:val="fr-FR"/>
              </w:rPr>
              <w:t>.</w:t>
            </w:r>
          </w:p>
          <w:p w:rsidR="004268F3" w:rsidRPr="0098490B" w:rsidRDefault="004268F3" w:rsidP="00F50FBE">
            <w:pPr>
              <w:pStyle w:val="enumlev1"/>
              <w:rPr>
                <w:lang w:val="fr-FR"/>
              </w:rPr>
            </w:pPr>
            <w:r w:rsidRPr="0098490B">
              <w:rPr>
                <w:lang w:val="fr-FR"/>
              </w:rPr>
              <w:t>–</w:t>
            </w:r>
            <w:r w:rsidRPr="0098490B">
              <w:rPr>
                <w:lang w:val="fr-FR"/>
              </w:rPr>
              <w:tab/>
            </w:r>
            <w:r w:rsidR="00F50FBE" w:rsidRPr="0098490B">
              <w:rPr>
                <w:lang w:val="fr-FR"/>
              </w:rPr>
              <w:t>Q</w:t>
            </w:r>
            <w:r w:rsidR="0037319A">
              <w:rPr>
                <w:lang w:val="fr-FR"/>
              </w:rPr>
              <w:t>uestions liées aux C</w:t>
            </w:r>
            <w:r w:rsidRPr="0098490B">
              <w:rPr>
                <w:lang w:val="fr-FR"/>
              </w:rPr>
              <w:t>ommissions d'études de l'UIT-D</w:t>
            </w:r>
            <w:r w:rsidR="00F50FBE">
              <w:rPr>
                <w:lang w:val="fr-FR"/>
              </w:rPr>
              <w:t>.</w:t>
            </w:r>
          </w:p>
          <w:p w:rsidR="004268F3" w:rsidRPr="0098490B" w:rsidRDefault="004268F3" w:rsidP="00784D97">
            <w:pPr>
              <w:pStyle w:val="enumlev1"/>
              <w:rPr>
                <w:lang w:val="fr-FR"/>
              </w:rPr>
            </w:pPr>
            <w:r w:rsidRPr="0098490B">
              <w:rPr>
                <w:lang w:val="fr-FR"/>
              </w:rPr>
              <w:t>–</w:t>
            </w:r>
            <w:r w:rsidRPr="0098490B">
              <w:rPr>
                <w:lang w:val="fr-FR"/>
              </w:rPr>
              <w:tab/>
            </w:r>
            <w:r w:rsidR="00F50FBE" w:rsidRPr="0098490B">
              <w:rPr>
                <w:lang w:val="fr-FR"/>
              </w:rPr>
              <w:t>Q</w:t>
            </w:r>
            <w:r w:rsidR="00CC5FFE" w:rsidRPr="0098490B">
              <w:rPr>
                <w:lang w:val="fr-FR"/>
              </w:rPr>
              <w:t>uestions relatives aux m</w:t>
            </w:r>
            <w:r w:rsidRPr="0098490B">
              <w:rPr>
                <w:lang w:val="fr-FR"/>
              </w:rPr>
              <w:t>embres, aux partenariats et à l'innovation</w:t>
            </w:r>
            <w:r w:rsidR="00846A1E" w:rsidRPr="0098490B">
              <w:rPr>
                <w:lang w:val="fr-FR"/>
              </w:rPr>
              <w:t>.</w:t>
            </w:r>
          </w:p>
          <w:p w:rsidR="004268F3" w:rsidRPr="0098490B" w:rsidRDefault="00846A1E" w:rsidP="007439E1">
            <w:pPr>
              <w:keepNext/>
              <w:keepLines/>
              <w:rPr>
                <w:lang w:val="fr-FR"/>
              </w:rPr>
            </w:pPr>
            <w:bookmarkStart w:id="24" w:name="lt_pId112"/>
            <w:r w:rsidRPr="0098490B">
              <w:rPr>
                <w:lang w:val="fr-FR"/>
              </w:rPr>
              <w:lastRenderedPageBreak/>
              <w:t>Les réunions supplémentaires suivantes ont eu lieu pendant la semaine du GCDT:</w:t>
            </w:r>
            <w:bookmarkEnd w:id="24"/>
          </w:p>
          <w:p w:rsidR="004268F3" w:rsidRPr="0098490B" w:rsidRDefault="004268F3" w:rsidP="007439E1">
            <w:pPr>
              <w:pStyle w:val="enumlev1"/>
              <w:keepNext/>
              <w:keepLines/>
              <w:rPr>
                <w:lang w:val="fr-FR"/>
              </w:rPr>
            </w:pPr>
            <w:r w:rsidRPr="0098490B">
              <w:rPr>
                <w:lang w:val="fr-FR"/>
              </w:rPr>
              <w:t>–</w:t>
            </w:r>
            <w:r w:rsidRPr="0098490B">
              <w:rPr>
                <w:lang w:val="fr-FR"/>
              </w:rPr>
              <w:tab/>
              <w:t>Groupe de travail par correspondance sur le Règlement intérieur du Secteur du développement des télécommunications de l'UIT (U</w:t>
            </w:r>
            <w:r w:rsidR="00846A1E" w:rsidRPr="0098490B">
              <w:rPr>
                <w:lang w:val="fr-FR"/>
              </w:rPr>
              <w:t>IT-D) (Résolution 1 de la CMDT)</w:t>
            </w:r>
            <w:r w:rsidR="00846A1E" w:rsidRPr="0098490B">
              <w:rPr>
                <w:szCs w:val="24"/>
                <w:lang w:val="fr-FR"/>
              </w:rPr>
              <w:t xml:space="preserve"> (CG</w:t>
            </w:r>
            <w:r w:rsidR="007439E1" w:rsidRPr="0098490B">
              <w:rPr>
                <w:szCs w:val="24"/>
                <w:lang w:val="fr-FR"/>
              </w:rPr>
              <w:noBreakHyphen/>
            </w:r>
            <w:r w:rsidR="00846A1E" w:rsidRPr="0098490B">
              <w:rPr>
                <w:szCs w:val="24"/>
                <w:lang w:val="fr-FR"/>
              </w:rPr>
              <w:t>Res1)</w:t>
            </w:r>
            <w:r w:rsidR="00C057A3">
              <w:rPr>
                <w:lang w:val="fr-FR"/>
              </w:rPr>
              <w:t>.</w:t>
            </w:r>
          </w:p>
          <w:p w:rsidR="004268F3" w:rsidRPr="0098490B" w:rsidRDefault="004268F3" w:rsidP="007439E1">
            <w:pPr>
              <w:pStyle w:val="enumlev1"/>
              <w:rPr>
                <w:lang w:val="fr-FR"/>
              </w:rPr>
            </w:pPr>
            <w:r w:rsidRPr="0098490B">
              <w:rPr>
                <w:lang w:val="fr-FR"/>
              </w:rPr>
              <w:t>–</w:t>
            </w:r>
            <w:r w:rsidRPr="0098490B">
              <w:rPr>
                <w:lang w:val="fr-FR"/>
              </w:rPr>
              <w:tab/>
              <w:t xml:space="preserve">Groupe de travail par correspondance sur le </w:t>
            </w:r>
            <w:r w:rsidR="0037319A">
              <w:rPr>
                <w:lang w:val="fr-FR"/>
              </w:rPr>
              <w:t>P</w:t>
            </w:r>
            <w:r w:rsidRPr="0098490B">
              <w:rPr>
                <w:lang w:val="fr-FR"/>
              </w:rPr>
              <w:t xml:space="preserve">lan stratégique, le </w:t>
            </w:r>
            <w:r w:rsidR="003E5283">
              <w:rPr>
                <w:lang w:val="fr-FR"/>
              </w:rPr>
              <w:t>P</w:t>
            </w:r>
            <w:r w:rsidRPr="0098490B">
              <w:rPr>
                <w:lang w:val="fr-FR"/>
              </w:rPr>
              <w:t>lan opérationnel et la Déclaration (CG</w:t>
            </w:r>
            <w:r w:rsidRPr="0098490B">
              <w:rPr>
                <w:lang w:val="fr-FR"/>
              </w:rPr>
              <w:noBreakHyphen/>
              <w:t>SPOPD)</w:t>
            </w:r>
            <w:r w:rsidR="00C057A3">
              <w:rPr>
                <w:lang w:val="fr-FR"/>
              </w:rPr>
              <w:t>.</w:t>
            </w:r>
          </w:p>
          <w:p w:rsidR="004268F3" w:rsidRPr="0098490B" w:rsidRDefault="004268F3" w:rsidP="00784D97">
            <w:pPr>
              <w:pStyle w:val="enumlev1"/>
              <w:rPr>
                <w:lang w:val="fr-FR"/>
              </w:rPr>
            </w:pPr>
            <w:r w:rsidRPr="0098490B">
              <w:rPr>
                <w:lang w:val="fr-FR"/>
              </w:rPr>
              <w:t>–</w:t>
            </w:r>
            <w:r w:rsidRPr="0098490B">
              <w:rPr>
                <w:lang w:val="fr-FR"/>
              </w:rPr>
              <w:tab/>
              <w:t>Groupe de travail par correspondance sur la rationalisation des Résolutions de la CMDT (CG-SR)</w:t>
            </w:r>
            <w:r w:rsidR="00C057A3">
              <w:rPr>
                <w:lang w:val="fr-FR"/>
              </w:rPr>
              <w:t>.</w:t>
            </w:r>
          </w:p>
          <w:p w:rsidR="004268F3" w:rsidRPr="0098490B" w:rsidRDefault="004268F3" w:rsidP="00784D97">
            <w:pPr>
              <w:pStyle w:val="enumlev1"/>
              <w:rPr>
                <w:lang w:val="fr-FR"/>
              </w:rPr>
            </w:pPr>
            <w:r w:rsidRPr="0098490B">
              <w:rPr>
                <w:lang w:val="fr-FR"/>
              </w:rPr>
              <w:t>–</w:t>
            </w:r>
            <w:r w:rsidRPr="0098490B">
              <w:rPr>
                <w:lang w:val="fr-FR"/>
              </w:rPr>
              <w:tab/>
              <w:t>Equipe de coordination intersectorielle sur des questions d'intérêt mutuel.</w:t>
            </w:r>
          </w:p>
          <w:p w:rsidR="006A0F3E" w:rsidRPr="0098490B" w:rsidRDefault="002D097B" w:rsidP="00784D97">
            <w:pPr>
              <w:rPr>
                <w:lang w:val="fr-FR"/>
              </w:rPr>
            </w:pPr>
            <w:bookmarkStart w:id="25" w:name="lt_pId117"/>
            <w:r w:rsidRPr="0098490B">
              <w:rPr>
                <w:lang w:val="fr-FR"/>
              </w:rPr>
              <w:t>On peut</w:t>
            </w:r>
            <w:r w:rsidR="00CA28AC" w:rsidRPr="0098490B">
              <w:rPr>
                <w:lang w:val="fr-FR"/>
              </w:rPr>
              <w:t xml:space="preserve"> notamment</w:t>
            </w:r>
            <w:r w:rsidRPr="0098490B">
              <w:rPr>
                <w:lang w:val="fr-FR"/>
              </w:rPr>
              <w:t xml:space="preserve"> citer les résultats suivants obtenus par le GCDT</w:t>
            </w:r>
            <w:r w:rsidR="00CA28AC" w:rsidRPr="0098490B">
              <w:rPr>
                <w:lang w:val="fr-FR"/>
              </w:rPr>
              <w:t>:</w:t>
            </w:r>
            <w:bookmarkEnd w:id="25"/>
          </w:p>
          <w:p w:rsidR="004268F3" w:rsidRPr="0098490B" w:rsidRDefault="004268F3" w:rsidP="00C057A3">
            <w:pPr>
              <w:pStyle w:val="enumlev1"/>
              <w:rPr>
                <w:lang w:val="fr-FR"/>
              </w:rPr>
            </w:pPr>
            <w:r w:rsidRPr="0098490B">
              <w:rPr>
                <w:lang w:val="fr-FR"/>
              </w:rPr>
              <w:t>–</w:t>
            </w:r>
            <w:r w:rsidRPr="0098490B">
              <w:rPr>
                <w:lang w:val="fr-FR"/>
              </w:rPr>
              <w:tab/>
            </w:r>
            <w:bookmarkStart w:id="26" w:name="lt_pId118"/>
            <w:r w:rsidR="00C057A3">
              <w:rPr>
                <w:lang w:val="fr-FR"/>
              </w:rPr>
              <w:t>E</w:t>
            </w:r>
            <w:r w:rsidR="00CA28AC" w:rsidRPr="0098490B">
              <w:rPr>
                <w:lang w:val="fr-FR"/>
              </w:rPr>
              <w:t>n lien avec</w:t>
            </w:r>
            <w:r w:rsidR="00C0109E" w:rsidRPr="0098490B">
              <w:rPr>
                <w:lang w:val="fr-FR"/>
              </w:rPr>
              <w:t xml:space="preserve"> la c</w:t>
            </w:r>
            <w:r w:rsidR="00CA28AC" w:rsidRPr="0098490B">
              <w:rPr>
                <w:lang w:val="fr-FR"/>
              </w:rPr>
              <w:t xml:space="preserve">ontribution de l'UIT-D au </w:t>
            </w:r>
            <w:r w:rsidR="0037319A">
              <w:rPr>
                <w:color w:val="000000"/>
                <w:lang w:val="fr-FR"/>
              </w:rPr>
              <w:t>projet de P</w:t>
            </w:r>
            <w:r w:rsidR="00CA28AC" w:rsidRPr="0098490B">
              <w:rPr>
                <w:color w:val="000000"/>
                <w:lang w:val="fr-FR"/>
              </w:rPr>
              <w:t>lan stratégique de l'UIT, le GCD</w:t>
            </w:r>
            <w:r w:rsidR="0037319A">
              <w:rPr>
                <w:color w:val="000000"/>
                <w:lang w:val="fr-FR"/>
              </w:rPr>
              <w:t>T a attiré l'attention sur les D</w:t>
            </w:r>
            <w:r w:rsidR="00CA28AC" w:rsidRPr="0098490B">
              <w:rPr>
                <w:color w:val="000000"/>
                <w:lang w:val="fr-FR"/>
              </w:rPr>
              <w:t xml:space="preserve">ocuments </w:t>
            </w:r>
            <w:r w:rsidR="00CA28AC" w:rsidRPr="0098490B">
              <w:rPr>
                <w:lang w:val="fr-FR"/>
              </w:rPr>
              <w:t>TDAG17-22/7, TDAG17-22/8, et TDAG17-22/9, qui contiennent la synthèse des résultats des RPM et des contributions au GCDT-17, et a invité les membres à utiliser ces documents pour préparer la CMDT-17</w:t>
            </w:r>
            <w:bookmarkEnd w:id="26"/>
            <w:r w:rsidR="00C057A3">
              <w:rPr>
                <w:lang w:val="fr-FR"/>
              </w:rPr>
              <w:t>.</w:t>
            </w:r>
          </w:p>
          <w:p w:rsidR="00CA28AC" w:rsidRPr="0098490B" w:rsidRDefault="004268F3" w:rsidP="00C057A3">
            <w:pPr>
              <w:pStyle w:val="enumlev1"/>
              <w:rPr>
                <w:lang w:val="fr-FR"/>
              </w:rPr>
            </w:pPr>
            <w:r w:rsidRPr="0098490B">
              <w:rPr>
                <w:lang w:val="fr-FR"/>
              </w:rPr>
              <w:t>–</w:t>
            </w:r>
            <w:r w:rsidRPr="0098490B">
              <w:rPr>
                <w:lang w:val="fr-FR"/>
              </w:rPr>
              <w:tab/>
            </w:r>
            <w:bookmarkStart w:id="27" w:name="lt_pId119"/>
            <w:r w:rsidR="00C057A3">
              <w:rPr>
                <w:lang w:val="fr-FR"/>
              </w:rPr>
              <w:t>E</w:t>
            </w:r>
            <w:r w:rsidR="007439E1" w:rsidRPr="0098490B">
              <w:rPr>
                <w:lang w:val="fr-FR"/>
              </w:rPr>
              <w:t>n lien avec les m</w:t>
            </w:r>
            <w:r w:rsidR="00CA28AC" w:rsidRPr="0098490B">
              <w:rPr>
                <w:lang w:val="fr-FR"/>
              </w:rPr>
              <w:t>éthodes de travail et le Règlement intérieur de</w:t>
            </w:r>
            <w:r w:rsidR="00CA28AC" w:rsidRPr="0098490B">
              <w:rPr>
                <w:rFonts w:cs="Segoe UI"/>
                <w:lang w:val="fr-FR"/>
              </w:rPr>
              <w:t xml:space="preserve"> l'UIT-D </w:t>
            </w:r>
            <w:r w:rsidR="00CA28AC" w:rsidRPr="0098490B">
              <w:rPr>
                <w:lang w:val="fr-FR"/>
              </w:rPr>
              <w:t>(Résolution 1 de la CMDT), le GCDT a conseil</w:t>
            </w:r>
            <w:r w:rsidR="004707F6">
              <w:rPr>
                <w:lang w:val="fr-FR"/>
              </w:rPr>
              <w:t>lé à ses membres d'utiliser le D</w:t>
            </w:r>
            <w:r w:rsidR="00CA28AC" w:rsidRPr="0098490B">
              <w:rPr>
                <w:lang w:val="fr-FR"/>
              </w:rPr>
              <w:t>ocument de synthèse TDAG17-22/10 pour préparer la CMDT</w:t>
            </w:r>
            <w:bookmarkEnd w:id="27"/>
            <w:r w:rsidR="00C057A3">
              <w:rPr>
                <w:lang w:val="fr-FR"/>
              </w:rPr>
              <w:t>.</w:t>
            </w:r>
          </w:p>
          <w:p w:rsidR="00084CA2" w:rsidRPr="0098490B" w:rsidRDefault="006A0F3E" w:rsidP="0098490B">
            <w:pPr>
              <w:pStyle w:val="enumlev1"/>
              <w:spacing w:after="120"/>
              <w:rPr>
                <w:lang w:val="fr-FR"/>
              </w:rPr>
            </w:pPr>
            <w:r w:rsidRPr="0098490B">
              <w:rPr>
                <w:lang w:val="fr-FR"/>
              </w:rPr>
              <w:t>–</w:t>
            </w:r>
            <w:r w:rsidRPr="0098490B">
              <w:rPr>
                <w:lang w:val="fr-FR"/>
              </w:rPr>
              <w:tab/>
            </w:r>
            <w:bookmarkStart w:id="28" w:name="lt_pId120"/>
            <w:r w:rsidR="00C057A3">
              <w:rPr>
                <w:lang w:val="fr-FR"/>
              </w:rPr>
              <w:t>E</w:t>
            </w:r>
            <w:r w:rsidR="00CA28AC" w:rsidRPr="0098490B">
              <w:rPr>
                <w:lang w:val="fr-FR"/>
              </w:rPr>
              <w:t xml:space="preserve">n lien avec la </w:t>
            </w:r>
            <w:r w:rsidR="00C0109E" w:rsidRPr="0098490B">
              <w:rPr>
                <w:lang w:val="fr-FR"/>
              </w:rPr>
              <w:t>r</w:t>
            </w:r>
            <w:r w:rsidR="00CA28AC" w:rsidRPr="0098490B">
              <w:rPr>
                <w:lang w:val="fr-FR"/>
              </w:rPr>
              <w:t xml:space="preserve">ationalisation des Résolutions de la CMDT, le GCDT a appuyé le rapport du Groupe GC-SR et </w:t>
            </w:r>
            <w:r w:rsidR="00CA28AC" w:rsidRPr="0098490B">
              <w:rPr>
                <w:color w:val="000000"/>
                <w:lang w:val="fr-FR"/>
              </w:rPr>
              <w:t>a pris note avec satisfaction de la proposition visant à réduire le nombre de Questions à l'étude et des efforts déployés pour éviter les chevauchements.</w:t>
            </w:r>
            <w:bookmarkEnd w:id="28"/>
          </w:p>
        </w:tc>
      </w:tr>
      <w:tr w:rsidR="006A0F3E" w:rsidRPr="0098490B" w:rsidTr="000A0B3D">
        <w:tc>
          <w:tcPr>
            <w:tcW w:w="3114" w:type="dxa"/>
            <w:tcBorders>
              <w:top w:val="single" w:sz="4" w:space="0" w:color="auto"/>
              <w:bottom w:val="single" w:sz="4" w:space="0" w:color="auto"/>
              <w:right w:val="single" w:sz="4" w:space="0" w:color="auto"/>
            </w:tcBorders>
          </w:tcPr>
          <w:p w:rsidR="006A0F3E" w:rsidRPr="0098490B" w:rsidRDefault="006A0F3E" w:rsidP="007439E1">
            <w:pPr>
              <w:spacing w:before="0"/>
              <w:rPr>
                <w:i/>
                <w:iCs/>
                <w:szCs w:val="24"/>
                <w:lang w:val="fr-FR"/>
              </w:rPr>
            </w:pPr>
            <w:r w:rsidRPr="0098490B">
              <w:rPr>
                <w:i/>
                <w:iCs/>
                <w:szCs w:val="24"/>
                <w:lang w:val="fr-FR"/>
              </w:rPr>
              <w:lastRenderedPageBreak/>
              <w:t>CMDT</w:t>
            </w:r>
          </w:p>
        </w:tc>
        <w:tc>
          <w:tcPr>
            <w:tcW w:w="6515" w:type="dxa"/>
            <w:tcBorders>
              <w:top w:val="single" w:sz="4" w:space="0" w:color="auto"/>
              <w:left w:val="single" w:sz="4" w:space="0" w:color="auto"/>
              <w:bottom w:val="single" w:sz="4" w:space="0" w:color="auto"/>
            </w:tcBorders>
          </w:tcPr>
          <w:p w:rsidR="006A0F3E" w:rsidRPr="0098490B" w:rsidRDefault="006A0F3E" w:rsidP="007439E1">
            <w:pPr>
              <w:spacing w:before="0"/>
              <w:rPr>
                <w:szCs w:val="24"/>
                <w:lang w:val="fr-FR"/>
              </w:rPr>
            </w:pPr>
            <w:bookmarkStart w:id="29" w:name="lt_pId122"/>
            <w:r w:rsidRPr="0098490B">
              <w:rPr>
                <w:szCs w:val="24"/>
                <w:lang w:val="fr-FR"/>
              </w:rPr>
              <w:t>Résolutions 1, 5, 17, 24, 30, 33, 37, 50, 59, 61, 81</w:t>
            </w:r>
            <w:bookmarkEnd w:id="29"/>
          </w:p>
        </w:tc>
      </w:tr>
      <w:tr w:rsidR="006A0F3E" w:rsidRPr="0098490B" w:rsidTr="000A0B3D">
        <w:tc>
          <w:tcPr>
            <w:tcW w:w="3114" w:type="dxa"/>
            <w:tcBorders>
              <w:top w:val="single" w:sz="4" w:space="0" w:color="auto"/>
              <w:bottom w:val="single" w:sz="4" w:space="0" w:color="auto"/>
              <w:right w:val="single" w:sz="4" w:space="0" w:color="auto"/>
            </w:tcBorders>
          </w:tcPr>
          <w:p w:rsidR="006A0F3E" w:rsidRPr="0098490B" w:rsidRDefault="00CA28AC" w:rsidP="007439E1">
            <w:pPr>
              <w:spacing w:before="0"/>
              <w:rPr>
                <w:i/>
                <w:iCs/>
                <w:lang w:val="fr-FR"/>
              </w:rPr>
            </w:pPr>
            <w:r w:rsidRPr="0098490B">
              <w:rPr>
                <w:i/>
                <w:iCs/>
                <w:lang w:val="fr-FR"/>
              </w:rPr>
              <w:t>Conférence de plénipotentiaires</w:t>
            </w:r>
          </w:p>
        </w:tc>
        <w:tc>
          <w:tcPr>
            <w:tcW w:w="6515" w:type="dxa"/>
            <w:tcBorders>
              <w:top w:val="single" w:sz="4" w:space="0" w:color="auto"/>
              <w:left w:val="single" w:sz="4" w:space="0" w:color="auto"/>
              <w:bottom w:val="single" w:sz="4" w:space="0" w:color="auto"/>
            </w:tcBorders>
          </w:tcPr>
          <w:p w:rsidR="006A0F3E" w:rsidRPr="0098490B" w:rsidRDefault="006A0F3E" w:rsidP="007439E1">
            <w:pPr>
              <w:spacing w:before="0"/>
              <w:rPr>
                <w:szCs w:val="24"/>
                <w:lang w:val="fr-FR"/>
              </w:rPr>
            </w:pPr>
            <w:bookmarkStart w:id="30" w:name="lt_pId124"/>
            <w:r w:rsidRPr="0098490B">
              <w:rPr>
                <w:szCs w:val="24"/>
                <w:lang w:val="fr-FR"/>
              </w:rPr>
              <w:t>Décisions 5, 13</w:t>
            </w:r>
            <w:bookmarkEnd w:id="30"/>
            <w:r w:rsidRPr="0098490B">
              <w:rPr>
                <w:szCs w:val="24"/>
                <w:lang w:val="fr-FR"/>
              </w:rPr>
              <w:t xml:space="preserve"> </w:t>
            </w:r>
          </w:p>
          <w:p w:rsidR="006A0F3E" w:rsidRPr="0098490B" w:rsidRDefault="006A0F3E" w:rsidP="007439E1">
            <w:pPr>
              <w:spacing w:before="0"/>
              <w:rPr>
                <w:szCs w:val="24"/>
                <w:lang w:val="fr-FR"/>
              </w:rPr>
            </w:pPr>
            <w:bookmarkStart w:id="31" w:name="lt_pId125"/>
            <w:r w:rsidRPr="0098490B">
              <w:rPr>
                <w:szCs w:val="24"/>
                <w:lang w:val="fr-FR"/>
              </w:rPr>
              <w:t>Résolutions 25, 71, 111, 135, 140, 151, 154, 165, 166, 167</w:t>
            </w:r>
            <w:bookmarkEnd w:id="31"/>
          </w:p>
        </w:tc>
      </w:tr>
      <w:tr w:rsidR="006A0F3E" w:rsidRPr="0098490B" w:rsidTr="000A0B3D">
        <w:tc>
          <w:tcPr>
            <w:tcW w:w="3114" w:type="dxa"/>
            <w:tcBorders>
              <w:top w:val="single" w:sz="4" w:space="0" w:color="auto"/>
              <w:bottom w:val="single" w:sz="4" w:space="0" w:color="auto"/>
              <w:right w:val="single" w:sz="4" w:space="0" w:color="auto"/>
            </w:tcBorders>
          </w:tcPr>
          <w:p w:rsidR="006A0F3E" w:rsidRPr="0098490B" w:rsidRDefault="006A0F3E" w:rsidP="007439E1">
            <w:pPr>
              <w:spacing w:before="0"/>
              <w:rPr>
                <w:i/>
                <w:iCs/>
                <w:lang w:val="fr-FR"/>
              </w:rPr>
            </w:pPr>
            <w:r w:rsidRPr="0098490B">
              <w:rPr>
                <w:i/>
                <w:iCs/>
                <w:lang w:val="fr-FR"/>
              </w:rPr>
              <w:t>Conseil</w:t>
            </w:r>
          </w:p>
        </w:tc>
        <w:tc>
          <w:tcPr>
            <w:tcW w:w="6515" w:type="dxa"/>
            <w:tcBorders>
              <w:top w:val="single" w:sz="4" w:space="0" w:color="auto"/>
              <w:left w:val="single" w:sz="4" w:space="0" w:color="auto"/>
              <w:bottom w:val="single" w:sz="4" w:space="0" w:color="auto"/>
            </w:tcBorders>
          </w:tcPr>
          <w:p w:rsidR="006A0F3E" w:rsidRPr="0098490B" w:rsidRDefault="006A0F3E" w:rsidP="007439E1">
            <w:pPr>
              <w:spacing w:before="0"/>
              <w:rPr>
                <w:szCs w:val="24"/>
                <w:lang w:val="fr-FR"/>
              </w:rPr>
            </w:pPr>
            <w:bookmarkStart w:id="32" w:name="lt_pId127"/>
            <w:r w:rsidRPr="0098490B">
              <w:rPr>
                <w:szCs w:val="24"/>
                <w:lang w:val="fr-FR"/>
              </w:rPr>
              <w:t>Résolution 1372</w:t>
            </w:r>
            <w:bookmarkEnd w:id="32"/>
          </w:p>
        </w:tc>
      </w:tr>
      <w:tr w:rsidR="006A0F3E" w:rsidRPr="0098490B" w:rsidTr="000A0B3D">
        <w:trPr>
          <w:trHeight w:val="397"/>
        </w:trPr>
        <w:tc>
          <w:tcPr>
            <w:tcW w:w="3114" w:type="dxa"/>
            <w:tcBorders>
              <w:top w:val="single" w:sz="4" w:space="0" w:color="auto"/>
              <w:bottom w:val="single" w:sz="4" w:space="0" w:color="auto"/>
              <w:right w:val="single" w:sz="4" w:space="0" w:color="auto"/>
            </w:tcBorders>
          </w:tcPr>
          <w:p w:rsidR="006A0F3E" w:rsidRPr="0098490B" w:rsidRDefault="00F50FBE" w:rsidP="007439E1">
            <w:pPr>
              <w:spacing w:before="0"/>
              <w:rPr>
                <w:i/>
                <w:iCs/>
                <w:szCs w:val="24"/>
                <w:lang w:val="fr-FR"/>
              </w:rPr>
            </w:pPr>
            <w:r>
              <w:rPr>
                <w:i/>
                <w:iCs/>
                <w:lang w:val="fr-FR"/>
              </w:rPr>
              <w:t>Grandes orientations du </w:t>
            </w:r>
            <w:r w:rsidR="006A0F3E" w:rsidRPr="0098490B">
              <w:rPr>
                <w:i/>
                <w:iCs/>
                <w:lang w:val="fr-FR"/>
              </w:rPr>
              <w:t>SMSI</w:t>
            </w:r>
          </w:p>
        </w:tc>
        <w:tc>
          <w:tcPr>
            <w:tcW w:w="6515" w:type="dxa"/>
            <w:tcBorders>
              <w:top w:val="single" w:sz="4" w:space="0" w:color="auto"/>
              <w:left w:val="single" w:sz="4" w:space="0" w:color="auto"/>
              <w:bottom w:val="single" w:sz="4" w:space="0" w:color="auto"/>
            </w:tcBorders>
          </w:tcPr>
          <w:p w:rsidR="006A0F3E" w:rsidRPr="0098490B" w:rsidRDefault="00CA28AC" w:rsidP="007439E1">
            <w:pPr>
              <w:spacing w:before="0"/>
              <w:rPr>
                <w:szCs w:val="24"/>
                <w:lang w:val="fr-FR"/>
              </w:rPr>
            </w:pPr>
            <w:r w:rsidRPr="0098490B">
              <w:rPr>
                <w:szCs w:val="24"/>
                <w:lang w:val="fr-FR"/>
              </w:rPr>
              <w:t>Grandes orientations C1 et C11 du SMSI</w:t>
            </w:r>
          </w:p>
        </w:tc>
      </w:tr>
      <w:tr w:rsidR="006A0F3E" w:rsidRPr="0098490B" w:rsidTr="000A0B3D">
        <w:tc>
          <w:tcPr>
            <w:tcW w:w="3114" w:type="dxa"/>
            <w:tcBorders>
              <w:top w:val="single" w:sz="4" w:space="0" w:color="auto"/>
              <w:bottom w:val="single" w:sz="4" w:space="0" w:color="auto"/>
              <w:right w:val="single" w:sz="4" w:space="0" w:color="auto"/>
            </w:tcBorders>
          </w:tcPr>
          <w:p w:rsidR="006A0F3E" w:rsidRPr="0098490B" w:rsidRDefault="006A0F3E" w:rsidP="007439E1">
            <w:pPr>
              <w:spacing w:before="0"/>
              <w:rPr>
                <w:i/>
                <w:iCs/>
                <w:szCs w:val="24"/>
                <w:lang w:val="fr-FR"/>
              </w:rPr>
            </w:pPr>
            <w:r w:rsidRPr="0098490B">
              <w:rPr>
                <w:i/>
                <w:iCs/>
                <w:lang w:val="fr-FR"/>
              </w:rPr>
              <w:t>Contribution aux cibles des O</w:t>
            </w:r>
            <w:r w:rsidR="00CA28AC" w:rsidRPr="0098490B">
              <w:rPr>
                <w:i/>
                <w:iCs/>
                <w:lang w:val="fr-FR"/>
              </w:rPr>
              <w:t>bjectifs de développement durable</w:t>
            </w:r>
          </w:p>
        </w:tc>
        <w:tc>
          <w:tcPr>
            <w:tcW w:w="6515" w:type="dxa"/>
            <w:tcBorders>
              <w:top w:val="single" w:sz="4" w:space="0" w:color="auto"/>
              <w:left w:val="single" w:sz="4" w:space="0" w:color="auto"/>
              <w:bottom w:val="single" w:sz="4" w:space="0" w:color="auto"/>
            </w:tcBorders>
          </w:tcPr>
          <w:p w:rsidR="006A0F3E" w:rsidRPr="0098490B" w:rsidRDefault="00CA28AC" w:rsidP="007439E1">
            <w:pPr>
              <w:spacing w:before="0"/>
              <w:rPr>
                <w:szCs w:val="24"/>
                <w:lang w:val="fr-FR"/>
              </w:rPr>
            </w:pPr>
            <w:bookmarkStart w:id="33" w:name="lt_pId131"/>
            <w:r w:rsidRPr="0098490B">
              <w:rPr>
                <w:szCs w:val="24"/>
                <w:lang w:val="fr-FR"/>
              </w:rPr>
              <w:t>Objectif</w:t>
            </w:r>
            <w:r w:rsidR="00C0109E" w:rsidRPr="0098490B">
              <w:rPr>
                <w:szCs w:val="24"/>
                <w:lang w:val="fr-FR"/>
              </w:rPr>
              <w:t>s</w:t>
            </w:r>
            <w:r w:rsidRPr="0098490B">
              <w:rPr>
                <w:szCs w:val="24"/>
                <w:lang w:val="fr-FR"/>
              </w:rPr>
              <w:t xml:space="preserve"> de développement durable</w:t>
            </w:r>
            <w:r w:rsidR="006A0F3E" w:rsidRPr="0098490B">
              <w:rPr>
                <w:szCs w:val="24"/>
                <w:lang w:val="fr-FR"/>
              </w:rPr>
              <w:t>:</w:t>
            </w:r>
            <w:bookmarkEnd w:id="33"/>
            <w:r w:rsidR="006A0F3E" w:rsidRPr="0098490B">
              <w:rPr>
                <w:szCs w:val="24"/>
                <w:lang w:val="fr-FR"/>
              </w:rPr>
              <w:t xml:space="preserve"> </w:t>
            </w:r>
            <w:bookmarkStart w:id="34" w:name="lt_pId132"/>
            <w:r w:rsidR="006A0F3E" w:rsidRPr="0098490B">
              <w:rPr>
                <w:szCs w:val="24"/>
                <w:lang w:val="fr-FR"/>
              </w:rPr>
              <w:t>1, 3, (cible 3.d), 5, 10, 16 (cibles 16.5, 16.6, 16.8), 17 (cibles 17.9, 17.16, 17.17, 17.18, 17.19)</w:t>
            </w:r>
            <w:bookmarkEnd w:id="34"/>
            <w:r w:rsidR="006A0F3E" w:rsidRPr="0098490B">
              <w:rPr>
                <w:color w:val="000000"/>
                <w:szCs w:val="24"/>
                <w:lang w:val="fr-FR"/>
              </w:rPr>
              <w:t xml:space="preserve"> </w:t>
            </w:r>
          </w:p>
        </w:tc>
      </w:tr>
    </w:tbl>
    <w:p w:rsidR="00084CA2" w:rsidRPr="0098490B" w:rsidRDefault="00084CA2" w:rsidP="007439E1">
      <w:pPr>
        <w:pStyle w:val="Heading2"/>
        <w:spacing w:after="120"/>
        <w:rPr>
          <w:lang w:val="fr-FR"/>
        </w:rPr>
      </w:pPr>
      <w:bookmarkStart w:id="35" w:name="_Toc468087089"/>
      <w:r w:rsidRPr="0098490B">
        <w:rPr>
          <w:lang w:val="fr-FR"/>
        </w:rPr>
        <w:t>1.4</w:t>
      </w:r>
      <w:r w:rsidRPr="0098490B">
        <w:rPr>
          <w:lang w:val="fr-FR"/>
        </w:rPr>
        <w:tab/>
      </w:r>
      <w:bookmarkStart w:id="36" w:name="_Toc467807690"/>
      <w:r w:rsidRPr="0098490B">
        <w:rPr>
          <w:lang w:val="fr-FR"/>
        </w:rPr>
        <w:t>Commissions d'études</w:t>
      </w:r>
      <w:bookmarkEnd w:id="35"/>
      <w:bookmarkEnd w:id="36"/>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084CA2" w:rsidRPr="0098490B" w:rsidTr="004268F3">
        <w:tc>
          <w:tcPr>
            <w:tcW w:w="9629" w:type="dxa"/>
            <w:gridSpan w:val="2"/>
            <w:tcBorders>
              <w:bottom w:val="single" w:sz="4" w:space="0" w:color="auto"/>
            </w:tcBorders>
          </w:tcPr>
          <w:p w:rsidR="00084CA2" w:rsidRPr="0098490B" w:rsidRDefault="00E3260F" w:rsidP="00F50FBE">
            <w:pPr>
              <w:spacing w:after="120"/>
              <w:rPr>
                <w:szCs w:val="24"/>
                <w:lang w:val="fr-FR"/>
              </w:rPr>
            </w:pPr>
            <w:r w:rsidRPr="0098490B">
              <w:rPr>
                <w:lang w:val="fr-FR"/>
              </w:rPr>
              <w:t>En janvier 2017, l</w:t>
            </w:r>
            <w:r w:rsidR="00057D6E" w:rsidRPr="0098490B">
              <w:rPr>
                <w:lang w:val="fr-FR"/>
              </w:rPr>
              <w:t>es C</w:t>
            </w:r>
            <w:r w:rsidR="009164F2" w:rsidRPr="0098490B">
              <w:rPr>
                <w:lang w:val="fr-FR"/>
              </w:rPr>
              <w:t xml:space="preserve">ommissions d'études de l'UIT-D ont tenu leur troisième série de réunions des Groupes du Rapporteur pour la période d'études 2014-2017. Les Groupes du Rapporteur de la Commission d'études 1, y compris le Groupe </w:t>
            </w:r>
            <w:r w:rsidR="00EA1BF1" w:rsidRPr="0098490B">
              <w:rPr>
                <w:lang w:val="fr-FR"/>
              </w:rPr>
              <w:t xml:space="preserve">de travail </w:t>
            </w:r>
            <w:r w:rsidR="009164F2" w:rsidRPr="0098490B">
              <w:rPr>
                <w:lang w:val="fr-FR"/>
              </w:rPr>
              <w:t xml:space="preserve">mixte </w:t>
            </w:r>
            <w:r w:rsidR="00EA1BF1" w:rsidRPr="0098490B">
              <w:rPr>
                <w:lang w:val="fr-FR"/>
              </w:rPr>
              <w:t>de l'</w:t>
            </w:r>
            <w:r w:rsidR="009164F2" w:rsidRPr="0098490B">
              <w:rPr>
                <w:lang w:val="fr-FR"/>
              </w:rPr>
              <w:t xml:space="preserve">UIT-D/UIT-R sur la Résolution 9 de la CMDT, se sont réunis à Genève du 9 au 18 janvier 2017. Les Groupes du Rapporteur de la Commission d'études 2 se sont réunis du 18 au 27 janvier 2017. Les réunions des Groupes du Rapporteur ont </w:t>
            </w:r>
            <w:r w:rsidR="00057D6E" w:rsidRPr="0098490B">
              <w:rPr>
                <w:lang w:val="fr-FR"/>
              </w:rPr>
              <w:t>constitué</w:t>
            </w:r>
            <w:r w:rsidR="009164F2" w:rsidRPr="0098490B">
              <w:rPr>
                <w:lang w:val="fr-FR"/>
              </w:rPr>
              <w:t xml:space="preserve"> une étape importante pour achever l'élaboration des produits attendus pour toutes les Questions </w:t>
            </w:r>
            <w:r w:rsidR="00EA1BF1" w:rsidRPr="0098490B">
              <w:rPr>
                <w:lang w:val="fr-FR"/>
              </w:rPr>
              <w:t>étudiées</w:t>
            </w:r>
            <w:r w:rsidR="009164F2" w:rsidRPr="0098490B">
              <w:rPr>
                <w:lang w:val="fr-FR"/>
              </w:rPr>
              <w:t xml:space="preserve"> pendant la période d'études. Des progrès importants ont été enregistrés en la matière et les groupes se sont également réunis pour réfléchir aux </w:t>
            </w:r>
            <w:r w:rsidR="00EA1BF1" w:rsidRPr="0098490B">
              <w:rPr>
                <w:lang w:val="fr-FR"/>
              </w:rPr>
              <w:t xml:space="preserve">possibles </w:t>
            </w:r>
            <w:r w:rsidR="009164F2" w:rsidRPr="0098490B">
              <w:rPr>
                <w:lang w:val="fr-FR"/>
              </w:rPr>
              <w:t xml:space="preserve">axes de travail futurs et aux activités correspondantes pour chacune des Questions à l'étude. Cette réflexion sur l'avenir des Questions a été utile </w:t>
            </w:r>
            <w:r w:rsidR="00FD6A27" w:rsidRPr="0098490B">
              <w:rPr>
                <w:lang w:val="fr-FR"/>
              </w:rPr>
              <w:t xml:space="preserve">aux </w:t>
            </w:r>
            <w:r w:rsidR="009164F2" w:rsidRPr="0098490B">
              <w:rPr>
                <w:lang w:val="fr-FR"/>
              </w:rPr>
              <w:t xml:space="preserve">membres lorsqu'ils </w:t>
            </w:r>
            <w:r w:rsidR="00FD6A27" w:rsidRPr="0098490B">
              <w:rPr>
                <w:lang w:val="fr-FR"/>
              </w:rPr>
              <w:t xml:space="preserve">en </w:t>
            </w:r>
            <w:r w:rsidR="009164F2" w:rsidRPr="0098490B">
              <w:rPr>
                <w:lang w:val="fr-FR"/>
              </w:rPr>
              <w:t xml:space="preserve">ont débattu et </w:t>
            </w:r>
            <w:r w:rsidR="00FD6A27" w:rsidRPr="0098490B">
              <w:rPr>
                <w:lang w:val="fr-FR"/>
              </w:rPr>
              <w:t xml:space="preserve">ont </w:t>
            </w:r>
            <w:r w:rsidR="009164F2" w:rsidRPr="0098490B">
              <w:rPr>
                <w:lang w:val="fr-FR"/>
              </w:rPr>
              <w:t xml:space="preserve">formulé des propositions </w:t>
            </w:r>
            <w:r w:rsidR="006C6809" w:rsidRPr="0098490B">
              <w:rPr>
                <w:lang w:val="fr-FR"/>
              </w:rPr>
              <w:t xml:space="preserve">à ce sujet </w:t>
            </w:r>
            <w:r w:rsidR="009164F2" w:rsidRPr="0098490B">
              <w:rPr>
                <w:lang w:val="fr-FR"/>
              </w:rPr>
              <w:t xml:space="preserve">dans le cadre des </w:t>
            </w:r>
            <w:r w:rsidR="006C6809" w:rsidRPr="0098490B">
              <w:rPr>
                <w:lang w:val="fr-FR"/>
              </w:rPr>
              <w:t>RPM et lors de</w:t>
            </w:r>
            <w:r w:rsidR="00C057A3">
              <w:rPr>
                <w:lang w:val="fr-FR"/>
              </w:rPr>
              <w:t xml:space="preserve"> la </w:t>
            </w:r>
            <w:r w:rsidR="009164F2" w:rsidRPr="0098490B">
              <w:rPr>
                <w:lang w:val="fr-FR"/>
              </w:rPr>
              <w:t xml:space="preserve">CMDT-17. </w:t>
            </w:r>
          </w:p>
          <w:p w:rsidR="009164F2" w:rsidRPr="0098490B" w:rsidRDefault="009164F2" w:rsidP="00784D97">
            <w:pPr>
              <w:pStyle w:val="enumlev1"/>
              <w:rPr>
                <w:lang w:val="fr-FR"/>
              </w:rPr>
            </w:pPr>
            <w:r w:rsidRPr="0098490B">
              <w:rPr>
                <w:lang w:val="fr-FR"/>
              </w:rPr>
              <w:lastRenderedPageBreak/>
              <w:t>–</w:t>
            </w:r>
            <w:r w:rsidRPr="0098490B">
              <w:rPr>
                <w:lang w:val="fr-FR"/>
              </w:rPr>
              <w:tab/>
            </w:r>
            <w:r w:rsidR="00DE678B" w:rsidRPr="0098490B">
              <w:rPr>
                <w:lang w:val="fr-FR"/>
              </w:rPr>
              <w:t xml:space="preserve">Le 26 janvier 2017, parallèlement à la réunion du Groupe du Rapporteur pour la Question 3/2 (cybersécurité), un atelier ouvert </w:t>
            </w:r>
            <w:r w:rsidR="009804E5" w:rsidRPr="0098490B">
              <w:rPr>
                <w:lang w:val="fr-FR"/>
              </w:rPr>
              <w:t xml:space="preserve">a eu lieu </w:t>
            </w:r>
            <w:r w:rsidR="00DE678B" w:rsidRPr="0098490B">
              <w:rPr>
                <w:lang w:val="fr-FR"/>
              </w:rPr>
              <w:t>sur le thème de la cybersécurité et de l'évaluation des risques dans la pratique. Cet atelier a rassemblé des spécialistes</w:t>
            </w:r>
            <w:r w:rsidR="00F44E1D" w:rsidRPr="0098490B">
              <w:rPr>
                <w:lang w:val="fr-FR"/>
              </w:rPr>
              <w:t>,</w:t>
            </w:r>
            <w:r w:rsidR="00DE678B" w:rsidRPr="0098490B">
              <w:rPr>
                <w:lang w:val="fr-FR"/>
              </w:rPr>
              <w:t xml:space="preserve"> qui ont partagé leurs connaissances et leurs données d'expérience sur l'évaluation pratique des cyberrisques au niveau national, dans les grandes organisations et dans les secteurs des infrastructures essentielles. Les risques pour la chaîne d'approvisionnement et le rôle que jouent les normes dans la gestion des cyberrisques au sein des organisations ont également été examinés. </w:t>
            </w:r>
          </w:p>
          <w:p w:rsidR="009164F2" w:rsidRPr="0098490B" w:rsidRDefault="009164F2" w:rsidP="00C330F4">
            <w:pPr>
              <w:pStyle w:val="enumlev1"/>
              <w:rPr>
                <w:lang w:val="fr-FR"/>
              </w:rPr>
            </w:pPr>
            <w:r w:rsidRPr="0098490B">
              <w:rPr>
                <w:lang w:val="fr-FR"/>
              </w:rPr>
              <w:t>–</w:t>
            </w:r>
            <w:r w:rsidRPr="0098490B">
              <w:rPr>
                <w:lang w:val="fr-FR"/>
              </w:rPr>
              <w:tab/>
            </w:r>
            <w:r w:rsidR="00F44E1D" w:rsidRPr="0098490B">
              <w:rPr>
                <w:lang w:val="fr-FR"/>
              </w:rPr>
              <w:t>Les réunions fi</w:t>
            </w:r>
            <w:r w:rsidR="00057D6E" w:rsidRPr="0098490B">
              <w:rPr>
                <w:lang w:val="fr-FR"/>
              </w:rPr>
              <w:t>nales des C</w:t>
            </w:r>
            <w:r w:rsidR="00DE678B" w:rsidRPr="0098490B">
              <w:rPr>
                <w:lang w:val="fr-FR"/>
              </w:rPr>
              <w:t>ommissions d'études 1 et 2</w:t>
            </w:r>
            <w:r w:rsidR="00E06CC9" w:rsidRPr="0098490B">
              <w:rPr>
                <w:lang w:val="fr-FR"/>
              </w:rPr>
              <w:t xml:space="preserve"> de l'UIT-D</w:t>
            </w:r>
            <w:r w:rsidR="00DE678B" w:rsidRPr="0098490B">
              <w:rPr>
                <w:lang w:val="fr-FR"/>
              </w:rPr>
              <w:t xml:space="preserve"> pour la période d'études ont eu lieu</w:t>
            </w:r>
            <w:r w:rsidR="00E06CC9" w:rsidRPr="0098490B">
              <w:rPr>
                <w:lang w:val="fr-FR"/>
              </w:rPr>
              <w:t xml:space="preserve"> à Genève</w:t>
            </w:r>
            <w:r w:rsidR="00DE678B" w:rsidRPr="0098490B">
              <w:rPr>
                <w:lang w:val="fr-FR"/>
              </w:rPr>
              <w:t xml:space="preserve"> du 27 </w:t>
            </w:r>
            <w:r w:rsidR="00E06CC9" w:rsidRPr="0098490B">
              <w:rPr>
                <w:lang w:val="fr-FR"/>
              </w:rPr>
              <w:t xml:space="preserve">au 31 </w:t>
            </w:r>
            <w:r w:rsidR="00DE678B" w:rsidRPr="0098490B">
              <w:rPr>
                <w:lang w:val="fr-FR"/>
              </w:rPr>
              <w:t xml:space="preserve">mars </w:t>
            </w:r>
            <w:r w:rsidR="00E06CC9" w:rsidRPr="0098490B">
              <w:rPr>
                <w:lang w:val="fr-FR"/>
              </w:rPr>
              <w:t xml:space="preserve">2017 et du 3 </w:t>
            </w:r>
            <w:r w:rsidR="00DE678B" w:rsidRPr="0098490B">
              <w:rPr>
                <w:lang w:val="fr-FR"/>
              </w:rPr>
              <w:t>au 7 avril 2017</w:t>
            </w:r>
            <w:r w:rsidR="00E06CC9" w:rsidRPr="0098490B">
              <w:rPr>
                <w:lang w:val="fr-FR"/>
              </w:rPr>
              <w:t xml:space="preserve"> respectivement</w:t>
            </w:r>
            <w:r w:rsidR="00057D6E" w:rsidRPr="0098490B">
              <w:rPr>
                <w:lang w:val="fr-FR"/>
              </w:rPr>
              <w:t>. Lors de ces réunions, les C</w:t>
            </w:r>
            <w:r w:rsidR="00DE678B" w:rsidRPr="0098490B">
              <w:rPr>
                <w:lang w:val="fr-FR"/>
              </w:rPr>
              <w:t>ommissions d'études 1 et 2 ont approuvé les rapports finals contenant les produits demandés par la CMDT</w:t>
            </w:r>
            <w:r w:rsidR="00DE678B" w:rsidRPr="0098490B">
              <w:rPr>
                <w:rFonts w:ascii="MS Gothic" w:hAnsi="MS Gothic" w:cs="MS Gothic"/>
                <w:lang w:val="fr-FR"/>
              </w:rPr>
              <w:t>‑</w:t>
            </w:r>
            <w:r w:rsidR="00DE678B" w:rsidRPr="0098490B">
              <w:rPr>
                <w:lang w:val="fr-FR"/>
              </w:rPr>
              <w:t xml:space="preserve">14 pour toutes les Questions dont l'étude leur avait été confiée. Les commissions d'études ont </w:t>
            </w:r>
            <w:r w:rsidR="00615D1B" w:rsidRPr="0098490B">
              <w:rPr>
                <w:lang w:val="fr-FR"/>
              </w:rPr>
              <w:t xml:space="preserve">aussi </w:t>
            </w:r>
            <w:r w:rsidR="00DE678B" w:rsidRPr="0098490B">
              <w:rPr>
                <w:lang w:val="fr-FR"/>
              </w:rPr>
              <w:t xml:space="preserve">poursuivi leurs </w:t>
            </w:r>
            <w:r w:rsidR="00057D6E" w:rsidRPr="0098490B">
              <w:rPr>
                <w:lang w:val="fr-FR"/>
              </w:rPr>
              <w:t>débats</w:t>
            </w:r>
            <w:r w:rsidR="00DE678B" w:rsidRPr="0098490B">
              <w:rPr>
                <w:lang w:val="fr-FR"/>
              </w:rPr>
              <w:t xml:space="preserve"> sur l'avenir des Questions </w:t>
            </w:r>
            <w:r w:rsidR="00E06CC9" w:rsidRPr="0098490B">
              <w:rPr>
                <w:lang w:val="fr-FR"/>
              </w:rPr>
              <w:t>actuellement à l'étude</w:t>
            </w:r>
            <w:r w:rsidR="00615D1B" w:rsidRPr="0098490B">
              <w:rPr>
                <w:lang w:val="fr-FR"/>
              </w:rPr>
              <w:t>,</w:t>
            </w:r>
            <w:r w:rsidR="00E06CC9" w:rsidRPr="0098490B">
              <w:rPr>
                <w:lang w:val="fr-FR"/>
              </w:rPr>
              <w:t xml:space="preserve"> </w:t>
            </w:r>
            <w:r w:rsidR="00DE678B" w:rsidRPr="0098490B">
              <w:rPr>
                <w:lang w:val="fr-FR"/>
              </w:rPr>
              <w:t xml:space="preserve">sur lesquels les Etats Membres </w:t>
            </w:r>
            <w:r w:rsidR="00615D1B" w:rsidRPr="0098490B">
              <w:rPr>
                <w:lang w:val="fr-FR"/>
              </w:rPr>
              <w:t xml:space="preserve">se sont appuyés à leur tour </w:t>
            </w:r>
            <w:r w:rsidR="00DE678B" w:rsidRPr="0098490B">
              <w:rPr>
                <w:lang w:val="fr-FR"/>
              </w:rPr>
              <w:t>dans le cadre des préparatifs en vue de la CMDT</w:t>
            </w:r>
            <w:r w:rsidR="00057D6E" w:rsidRPr="0098490B">
              <w:rPr>
                <w:lang w:val="fr-FR"/>
              </w:rPr>
              <w:noBreakHyphen/>
            </w:r>
            <w:r w:rsidR="00DE678B" w:rsidRPr="0098490B">
              <w:rPr>
                <w:lang w:val="fr-FR"/>
              </w:rPr>
              <w:t>17.</w:t>
            </w:r>
          </w:p>
          <w:p w:rsidR="009164F2" w:rsidRPr="0098490B" w:rsidRDefault="009164F2" w:rsidP="00784D97">
            <w:pPr>
              <w:pStyle w:val="enumlev1"/>
              <w:rPr>
                <w:lang w:val="fr-FR"/>
              </w:rPr>
            </w:pPr>
            <w:r w:rsidRPr="0098490B">
              <w:rPr>
                <w:lang w:val="fr-FR"/>
              </w:rPr>
              <w:t>–</w:t>
            </w:r>
            <w:r w:rsidRPr="0098490B">
              <w:rPr>
                <w:lang w:val="fr-FR"/>
              </w:rPr>
              <w:tab/>
            </w:r>
            <w:r w:rsidR="00615D1B" w:rsidRPr="0098490B">
              <w:rPr>
                <w:lang w:val="fr-FR"/>
              </w:rPr>
              <w:t>La que</w:t>
            </w:r>
            <w:r w:rsidR="00A67455" w:rsidRPr="0098490B">
              <w:rPr>
                <w:lang w:val="fr-FR"/>
              </w:rPr>
              <w:t>stion des dates de réunion des C</w:t>
            </w:r>
            <w:r w:rsidR="00615D1B" w:rsidRPr="0098490B">
              <w:rPr>
                <w:lang w:val="fr-FR"/>
              </w:rPr>
              <w:t>ommissions d'études 1 et 2</w:t>
            </w:r>
            <w:r w:rsidR="00840E57" w:rsidRPr="0098490B">
              <w:rPr>
                <w:lang w:val="fr-FR"/>
              </w:rPr>
              <w:t xml:space="preserve"> au cours de la prochaine période d'études (2018-2021)</w:t>
            </w:r>
            <w:r w:rsidR="00615D1B" w:rsidRPr="0098490B">
              <w:rPr>
                <w:lang w:val="fr-FR"/>
              </w:rPr>
              <w:t xml:space="preserve"> a également été abordée.</w:t>
            </w:r>
          </w:p>
          <w:p w:rsidR="009164F2" w:rsidRPr="0098490B" w:rsidRDefault="009164F2" w:rsidP="00784D97">
            <w:pPr>
              <w:pStyle w:val="enumlev1"/>
              <w:rPr>
                <w:lang w:val="fr-FR"/>
              </w:rPr>
            </w:pPr>
            <w:r w:rsidRPr="0098490B">
              <w:rPr>
                <w:lang w:val="fr-FR"/>
              </w:rPr>
              <w:t>–</w:t>
            </w:r>
            <w:r w:rsidRPr="0098490B">
              <w:rPr>
                <w:lang w:val="fr-FR"/>
              </w:rPr>
              <w:tab/>
            </w:r>
            <w:r w:rsidR="00840E57" w:rsidRPr="0098490B">
              <w:rPr>
                <w:lang w:val="fr-FR"/>
              </w:rPr>
              <w:t>En 2017, d</w:t>
            </w:r>
            <w:r w:rsidR="00DE678B" w:rsidRPr="0098490B">
              <w:rPr>
                <w:lang w:val="fr-FR"/>
              </w:rPr>
              <w:t>es possibilités de parrain</w:t>
            </w:r>
            <w:r w:rsidR="00615D1B" w:rsidRPr="0098490B">
              <w:rPr>
                <w:lang w:val="fr-FR"/>
              </w:rPr>
              <w:t xml:space="preserve">age pour différentes activités telles que des </w:t>
            </w:r>
            <w:r w:rsidR="00DE678B" w:rsidRPr="0098490B">
              <w:rPr>
                <w:lang w:val="fr-FR"/>
              </w:rPr>
              <w:t xml:space="preserve">expositions, </w:t>
            </w:r>
            <w:r w:rsidR="00615D1B" w:rsidRPr="0098490B">
              <w:rPr>
                <w:lang w:val="fr-FR"/>
              </w:rPr>
              <w:t xml:space="preserve">des </w:t>
            </w:r>
            <w:r w:rsidR="00DE678B" w:rsidRPr="0098490B">
              <w:rPr>
                <w:lang w:val="fr-FR"/>
              </w:rPr>
              <w:t>manifestations parallèles</w:t>
            </w:r>
            <w:r w:rsidR="00615D1B" w:rsidRPr="0098490B">
              <w:rPr>
                <w:lang w:val="fr-FR"/>
              </w:rPr>
              <w:t xml:space="preserve"> et des réceptions </w:t>
            </w:r>
            <w:r w:rsidR="00DE678B" w:rsidRPr="0098490B">
              <w:rPr>
                <w:lang w:val="fr-FR"/>
              </w:rPr>
              <w:t xml:space="preserve">ont été offertes </w:t>
            </w:r>
            <w:r w:rsidR="00840E57" w:rsidRPr="0098490B">
              <w:rPr>
                <w:lang w:val="fr-FR"/>
              </w:rPr>
              <w:t>à l'occasion de</w:t>
            </w:r>
            <w:r w:rsidR="00DE678B" w:rsidRPr="0098490B">
              <w:rPr>
                <w:lang w:val="fr-FR"/>
              </w:rPr>
              <w:t xml:space="preserve"> </w:t>
            </w:r>
            <w:r w:rsidR="00615D1B" w:rsidRPr="0098490B">
              <w:rPr>
                <w:lang w:val="fr-FR"/>
              </w:rPr>
              <w:t xml:space="preserve">toutes </w:t>
            </w:r>
            <w:r w:rsidR="00A67455" w:rsidRPr="0098490B">
              <w:rPr>
                <w:lang w:val="fr-FR"/>
              </w:rPr>
              <w:t>les réunions des C</w:t>
            </w:r>
            <w:r w:rsidR="00DE678B" w:rsidRPr="0098490B">
              <w:rPr>
                <w:lang w:val="fr-FR"/>
              </w:rPr>
              <w:t>ommis</w:t>
            </w:r>
            <w:r w:rsidR="00615D1B" w:rsidRPr="0098490B">
              <w:rPr>
                <w:lang w:val="fr-FR"/>
              </w:rPr>
              <w:t>sions d'études 1 de 2 de l'UIT-D, y compris celles</w:t>
            </w:r>
            <w:r w:rsidR="00DE678B" w:rsidRPr="0098490B">
              <w:rPr>
                <w:lang w:val="fr-FR"/>
              </w:rPr>
              <w:t xml:space="preserve"> des Groupes du Rapporteur.</w:t>
            </w:r>
          </w:p>
          <w:p w:rsidR="009164F2" w:rsidRPr="0098490B" w:rsidRDefault="009164F2" w:rsidP="00784D97">
            <w:pPr>
              <w:pStyle w:val="enumlev1"/>
              <w:rPr>
                <w:lang w:val="fr-FR"/>
              </w:rPr>
            </w:pPr>
            <w:r w:rsidRPr="0098490B">
              <w:rPr>
                <w:lang w:val="fr-FR"/>
              </w:rPr>
              <w:t>–</w:t>
            </w:r>
            <w:r w:rsidRPr="0098490B">
              <w:rPr>
                <w:lang w:val="fr-FR"/>
              </w:rPr>
              <w:tab/>
            </w:r>
            <w:bookmarkStart w:id="37" w:name="lt_pId148"/>
            <w:r w:rsidR="00615D1B" w:rsidRPr="0098490B">
              <w:rPr>
                <w:lang w:val="fr-FR"/>
              </w:rPr>
              <w:t>L'appel adressé aux Etats Membres pour qu'ils désignent des candidats aux postes de présid</w:t>
            </w:r>
            <w:r w:rsidR="00A67455" w:rsidRPr="0098490B">
              <w:rPr>
                <w:lang w:val="fr-FR"/>
              </w:rPr>
              <w:t>ents et de vice-présidents des C</w:t>
            </w:r>
            <w:r w:rsidR="00615D1B" w:rsidRPr="0098490B">
              <w:rPr>
                <w:lang w:val="fr-FR"/>
              </w:rPr>
              <w:t>ommissions d'études de l'UIT-D pour la prochaine période d'études (2018-2021) a été lancé en mai 2017.</w:t>
            </w:r>
            <w:bookmarkEnd w:id="37"/>
          </w:p>
          <w:p w:rsidR="009164F2" w:rsidRPr="0098490B" w:rsidRDefault="009164F2" w:rsidP="00784D97">
            <w:pPr>
              <w:pStyle w:val="enumlev1"/>
              <w:rPr>
                <w:lang w:val="fr-FR"/>
              </w:rPr>
            </w:pPr>
            <w:r w:rsidRPr="0098490B">
              <w:rPr>
                <w:lang w:val="fr-FR"/>
              </w:rPr>
              <w:t>–</w:t>
            </w:r>
            <w:r w:rsidRPr="0098490B">
              <w:rPr>
                <w:lang w:val="fr-FR"/>
              </w:rPr>
              <w:tab/>
            </w:r>
            <w:bookmarkStart w:id="38" w:name="lt_pId149"/>
            <w:r w:rsidR="00615D1B" w:rsidRPr="0098490B">
              <w:rPr>
                <w:lang w:val="fr-FR"/>
              </w:rPr>
              <w:t>Un total de 18 publications, disponibles dans les six langues de l'Union, ont été finalisées en vue de la CMDT-17, afin de présenter les résultats des études et des enquêtes réalisées et de faire état des contributions reçues au cours de la période d'études 2014-2017.</w:t>
            </w:r>
            <w:bookmarkEnd w:id="38"/>
          </w:p>
          <w:p w:rsidR="0086067F" w:rsidRPr="0098490B" w:rsidRDefault="009164F2" w:rsidP="00A67455">
            <w:pPr>
              <w:pStyle w:val="enumlev1"/>
              <w:rPr>
                <w:color w:val="000000"/>
                <w:lang w:val="fr-FR"/>
              </w:rPr>
            </w:pPr>
            <w:r w:rsidRPr="0098490B">
              <w:rPr>
                <w:lang w:val="fr-FR"/>
              </w:rPr>
              <w:t>–</w:t>
            </w:r>
            <w:r w:rsidRPr="0098490B">
              <w:rPr>
                <w:lang w:val="fr-FR"/>
              </w:rPr>
              <w:tab/>
            </w:r>
            <w:bookmarkStart w:id="39" w:name="lt_pId150"/>
            <w:r w:rsidR="0086067F" w:rsidRPr="0098490B">
              <w:rPr>
                <w:lang w:val="fr-FR"/>
              </w:rPr>
              <w:t>La CMDT-17 a renforcé l</w:t>
            </w:r>
            <w:r w:rsidR="0037319A">
              <w:rPr>
                <w:lang w:val="fr-FR"/>
              </w:rPr>
              <w:t>e rôle des C</w:t>
            </w:r>
            <w:r w:rsidR="0086067F" w:rsidRPr="0098490B">
              <w:rPr>
                <w:lang w:val="fr-FR"/>
              </w:rPr>
              <w:t xml:space="preserve">ommissions d'études de l'UIT-D pour offrir aux membres une tribune leur permettant d'échanger </w:t>
            </w:r>
            <w:r w:rsidR="00DB1C00" w:rsidRPr="0098490B">
              <w:rPr>
                <w:lang w:val="fr-FR"/>
              </w:rPr>
              <w:t xml:space="preserve">leurs </w:t>
            </w:r>
            <w:r w:rsidR="0086067F" w:rsidRPr="0098490B">
              <w:rPr>
                <w:lang w:val="fr-FR"/>
              </w:rPr>
              <w:t xml:space="preserve">expériences et </w:t>
            </w:r>
            <w:r w:rsidR="00DB1C00" w:rsidRPr="0098490B">
              <w:rPr>
                <w:lang w:val="fr-FR"/>
              </w:rPr>
              <w:t>leurs</w:t>
            </w:r>
            <w:r w:rsidR="0086067F" w:rsidRPr="0098490B">
              <w:rPr>
                <w:lang w:val="fr-FR"/>
              </w:rPr>
              <w:t xml:space="preserve"> points de vue, de présenter des idées, et de parvenir à un consensus sur les stratégies </w:t>
            </w:r>
            <w:r w:rsidR="00DB1C00" w:rsidRPr="0098490B">
              <w:rPr>
                <w:lang w:val="fr-FR"/>
              </w:rPr>
              <w:t>à adopter pour</w:t>
            </w:r>
            <w:r w:rsidR="0086067F" w:rsidRPr="0098490B">
              <w:rPr>
                <w:lang w:val="fr-FR"/>
              </w:rPr>
              <w:t xml:space="preserve"> s'attaquer aux priorités en matière de télécomm</w:t>
            </w:r>
            <w:r w:rsidR="00F50FBE">
              <w:rPr>
                <w:lang w:val="fr-FR"/>
              </w:rPr>
              <w:t>unications/TIC. La Conférence a </w:t>
            </w:r>
            <w:r w:rsidR="0086067F" w:rsidRPr="0098490B">
              <w:rPr>
                <w:lang w:val="fr-FR"/>
              </w:rPr>
              <w:t>aussi nommé la nouvelle équipe de direc</w:t>
            </w:r>
            <w:r w:rsidR="00DB1C00" w:rsidRPr="0098490B">
              <w:rPr>
                <w:lang w:val="fr-FR"/>
              </w:rPr>
              <w:t>tion co</w:t>
            </w:r>
            <w:r w:rsidR="00F50FBE">
              <w:rPr>
                <w:lang w:val="fr-FR"/>
              </w:rPr>
              <w:t>mposée de deux présidents et de </w:t>
            </w:r>
            <w:r w:rsidR="00DB1C00" w:rsidRPr="0098490B">
              <w:rPr>
                <w:lang w:val="fr-FR"/>
              </w:rPr>
              <w:t>23</w:t>
            </w:r>
            <w:r w:rsidR="00A67455" w:rsidRPr="0098490B">
              <w:rPr>
                <w:lang w:val="fr-FR"/>
              </w:rPr>
              <w:t> </w:t>
            </w:r>
            <w:r w:rsidR="00DB1C00" w:rsidRPr="0098490B">
              <w:rPr>
                <w:lang w:val="fr-FR"/>
              </w:rPr>
              <w:t>vice-p</w:t>
            </w:r>
            <w:r w:rsidR="0086067F" w:rsidRPr="0098490B">
              <w:rPr>
                <w:lang w:val="fr-FR"/>
              </w:rPr>
              <w:t xml:space="preserve">résidents issus des six régions. S'agissant du </w:t>
            </w:r>
            <w:r w:rsidR="00DB1C00" w:rsidRPr="0098490B">
              <w:rPr>
                <w:lang w:val="fr-FR"/>
              </w:rPr>
              <w:t>domaine de compétence</w:t>
            </w:r>
            <w:r w:rsidR="0037319A">
              <w:rPr>
                <w:lang w:val="fr-FR"/>
              </w:rPr>
              <w:t xml:space="preserve"> des C</w:t>
            </w:r>
            <w:r w:rsidR="0086067F" w:rsidRPr="0098490B">
              <w:rPr>
                <w:lang w:val="fr-FR"/>
              </w:rPr>
              <w:t>ommissions d'études de l'UIT-D pour la nouvelle période d'études 2018-2021, la Commission d'études 1 de l'UIT-D</w:t>
            </w:r>
            <w:r w:rsidR="00DB1C00" w:rsidRPr="0098490B">
              <w:rPr>
                <w:lang w:val="fr-FR"/>
              </w:rPr>
              <w:t>, par le biais de ses 14 nouvelles Questions à l'étude,</w:t>
            </w:r>
            <w:r w:rsidR="0086067F" w:rsidRPr="0098490B">
              <w:rPr>
                <w:lang w:val="fr-FR"/>
              </w:rPr>
              <w:t xml:space="preserve"> </w:t>
            </w:r>
            <w:r w:rsidR="00DB1C00" w:rsidRPr="0098490B">
              <w:rPr>
                <w:lang w:val="fr-FR"/>
              </w:rPr>
              <w:t>restera chargée de</w:t>
            </w:r>
            <w:r w:rsidR="0086067F" w:rsidRPr="0098490B">
              <w:rPr>
                <w:lang w:val="fr-FR"/>
              </w:rPr>
              <w:t xml:space="preserve"> l'</w:t>
            </w:r>
            <w:r w:rsidR="00E8441D" w:rsidRPr="0098490B">
              <w:rPr>
                <w:lang w:val="fr-FR"/>
              </w:rPr>
              <w:t>"E</w:t>
            </w:r>
            <w:r w:rsidR="0086067F" w:rsidRPr="0098490B">
              <w:rPr>
                <w:lang w:val="fr-FR"/>
              </w:rPr>
              <w:t>nvironnement propice au développement des télécommunications/TIC</w:t>
            </w:r>
            <w:r w:rsidR="00E8441D" w:rsidRPr="0098490B">
              <w:rPr>
                <w:lang w:val="fr-FR"/>
              </w:rPr>
              <w:t>"</w:t>
            </w:r>
            <w:r w:rsidR="0086067F" w:rsidRPr="0098490B">
              <w:rPr>
                <w:lang w:val="fr-FR"/>
              </w:rPr>
              <w:t>; la Commission d'études 2, quant à elle, se concentrera sur les "</w:t>
            </w:r>
            <w:r w:rsidR="0086067F" w:rsidRPr="0098490B">
              <w:rPr>
                <w:color w:val="000000"/>
                <w:lang w:val="fr-FR"/>
              </w:rPr>
              <w:t>Services et applications issus des TIC pour promouvoir le développement durable".</w:t>
            </w:r>
            <w:bookmarkEnd w:id="39"/>
          </w:p>
          <w:p w:rsidR="009164F2" w:rsidRPr="0098490B" w:rsidRDefault="009164F2" w:rsidP="008C0AA2">
            <w:pPr>
              <w:pStyle w:val="enumlev1"/>
              <w:spacing w:after="120"/>
              <w:rPr>
                <w:lang w:val="fr-FR"/>
              </w:rPr>
            </w:pPr>
            <w:r w:rsidRPr="0098490B">
              <w:rPr>
                <w:lang w:val="fr-FR"/>
              </w:rPr>
              <w:t>–</w:t>
            </w:r>
            <w:r w:rsidRPr="0098490B">
              <w:rPr>
                <w:lang w:val="fr-FR"/>
              </w:rPr>
              <w:tab/>
            </w:r>
            <w:bookmarkStart w:id="40" w:name="lt_pId153"/>
            <w:r w:rsidR="0086067F" w:rsidRPr="0098490B">
              <w:rPr>
                <w:lang w:val="fr-FR"/>
              </w:rPr>
              <w:t xml:space="preserve">L'appel adressé aux Etats Membres, aux Membres du Secteur, aux Associés et aux établissements universitaires participant aux travaux du </w:t>
            </w:r>
            <w:r w:rsidR="005168D0" w:rsidRPr="0098490B">
              <w:rPr>
                <w:lang w:val="fr-FR"/>
              </w:rPr>
              <w:t>Secteur</w:t>
            </w:r>
            <w:r w:rsidR="0086067F" w:rsidRPr="0098490B">
              <w:rPr>
                <w:lang w:val="fr-FR"/>
              </w:rPr>
              <w:t xml:space="preserve"> pour qu'ils désignent des candidats aux postes de </w:t>
            </w:r>
            <w:r w:rsidR="005168D0" w:rsidRPr="0098490B">
              <w:rPr>
                <w:lang w:val="fr-FR"/>
              </w:rPr>
              <w:t>rapporteurs</w:t>
            </w:r>
            <w:r w:rsidR="0086067F" w:rsidRPr="0098490B">
              <w:rPr>
                <w:lang w:val="fr-FR"/>
              </w:rPr>
              <w:t xml:space="preserve"> et de vice-</w:t>
            </w:r>
            <w:r w:rsidR="005168D0" w:rsidRPr="0098490B">
              <w:rPr>
                <w:lang w:val="fr-FR"/>
              </w:rPr>
              <w:t>rapporteurs pour les 14 nouvelles Questions à l'étude</w:t>
            </w:r>
            <w:r w:rsidR="0086067F" w:rsidRPr="0098490B">
              <w:rPr>
                <w:lang w:val="fr-FR"/>
              </w:rPr>
              <w:t xml:space="preserve"> a été lancé en </w:t>
            </w:r>
            <w:r w:rsidR="005168D0" w:rsidRPr="0098490B">
              <w:rPr>
                <w:lang w:val="fr-FR"/>
              </w:rPr>
              <w:t>novembre</w:t>
            </w:r>
            <w:r w:rsidR="0086067F" w:rsidRPr="0098490B">
              <w:rPr>
                <w:lang w:val="fr-FR"/>
              </w:rPr>
              <w:t xml:space="preserve"> 2017</w:t>
            </w:r>
            <w:r w:rsidR="005168D0" w:rsidRPr="0098490B">
              <w:rPr>
                <w:lang w:val="fr-FR"/>
              </w:rPr>
              <w:t>.</w:t>
            </w:r>
            <w:bookmarkEnd w:id="40"/>
          </w:p>
        </w:tc>
      </w:tr>
      <w:tr w:rsidR="00DE678B" w:rsidRPr="0098490B" w:rsidTr="000A0B3D">
        <w:tc>
          <w:tcPr>
            <w:tcW w:w="3256" w:type="dxa"/>
            <w:tcBorders>
              <w:top w:val="single" w:sz="4" w:space="0" w:color="auto"/>
              <w:bottom w:val="single" w:sz="4" w:space="0" w:color="auto"/>
              <w:right w:val="single" w:sz="4" w:space="0" w:color="auto"/>
            </w:tcBorders>
          </w:tcPr>
          <w:p w:rsidR="00DE678B" w:rsidRPr="0098490B" w:rsidRDefault="00DE678B" w:rsidP="008C0AA2">
            <w:pPr>
              <w:keepNext/>
              <w:keepLines/>
              <w:spacing w:before="0"/>
              <w:rPr>
                <w:i/>
                <w:iCs/>
                <w:szCs w:val="24"/>
                <w:lang w:val="fr-FR"/>
              </w:rPr>
            </w:pPr>
            <w:r w:rsidRPr="0098490B">
              <w:rPr>
                <w:i/>
                <w:iCs/>
                <w:szCs w:val="24"/>
                <w:lang w:val="fr-FR"/>
              </w:rPr>
              <w:lastRenderedPageBreak/>
              <w:t>CMDT</w:t>
            </w:r>
          </w:p>
        </w:tc>
        <w:tc>
          <w:tcPr>
            <w:tcW w:w="6373" w:type="dxa"/>
            <w:tcBorders>
              <w:top w:val="single" w:sz="4" w:space="0" w:color="auto"/>
              <w:left w:val="single" w:sz="4" w:space="0" w:color="auto"/>
              <w:bottom w:val="single" w:sz="4" w:space="0" w:color="auto"/>
            </w:tcBorders>
          </w:tcPr>
          <w:p w:rsidR="00DE678B" w:rsidRPr="0098490B" w:rsidRDefault="00DE678B" w:rsidP="008C0AA2">
            <w:pPr>
              <w:keepNext/>
              <w:keepLines/>
              <w:spacing w:before="0"/>
              <w:rPr>
                <w:szCs w:val="24"/>
                <w:lang w:val="fr-FR"/>
              </w:rPr>
            </w:pPr>
            <w:bookmarkStart w:id="41" w:name="lt_pId155"/>
            <w:r w:rsidRPr="0098490B">
              <w:rPr>
                <w:szCs w:val="24"/>
                <w:lang w:val="fr-FR"/>
              </w:rPr>
              <w:t>Résolutions 1, 2, 5, 9, 17, 21, 30, 33, 50, 59, 61, 80, 81</w:t>
            </w:r>
            <w:bookmarkEnd w:id="41"/>
          </w:p>
        </w:tc>
      </w:tr>
      <w:tr w:rsidR="00DE678B" w:rsidRPr="0098490B" w:rsidTr="000A0B3D">
        <w:trPr>
          <w:trHeight w:val="397"/>
        </w:trPr>
        <w:tc>
          <w:tcPr>
            <w:tcW w:w="3256" w:type="dxa"/>
            <w:tcBorders>
              <w:top w:val="single" w:sz="4" w:space="0" w:color="auto"/>
              <w:bottom w:val="single" w:sz="4" w:space="0" w:color="auto"/>
              <w:right w:val="single" w:sz="4" w:space="0" w:color="auto"/>
            </w:tcBorders>
          </w:tcPr>
          <w:p w:rsidR="00DE678B" w:rsidRPr="0098490B" w:rsidRDefault="00DE678B" w:rsidP="008C0AA2">
            <w:pPr>
              <w:keepNext/>
              <w:keepLines/>
              <w:spacing w:before="0"/>
              <w:rPr>
                <w:i/>
                <w:iCs/>
                <w:lang w:val="fr-FR"/>
              </w:rPr>
            </w:pPr>
            <w:r w:rsidRPr="0098490B">
              <w:rPr>
                <w:i/>
                <w:iCs/>
                <w:lang w:val="fr-FR"/>
              </w:rPr>
              <w:t>UIT</w:t>
            </w:r>
            <w:r w:rsidRPr="0098490B">
              <w:rPr>
                <w:i/>
                <w:iCs/>
                <w:lang w:val="fr-FR"/>
              </w:rPr>
              <w:noBreakHyphen/>
              <w:t>D</w:t>
            </w:r>
          </w:p>
        </w:tc>
        <w:tc>
          <w:tcPr>
            <w:tcW w:w="6373" w:type="dxa"/>
            <w:tcBorders>
              <w:top w:val="single" w:sz="4" w:space="0" w:color="auto"/>
              <w:left w:val="single" w:sz="4" w:space="0" w:color="auto"/>
              <w:bottom w:val="single" w:sz="4" w:space="0" w:color="auto"/>
            </w:tcBorders>
          </w:tcPr>
          <w:p w:rsidR="00DE678B" w:rsidRPr="0098490B" w:rsidRDefault="00DE678B" w:rsidP="008C0AA2">
            <w:pPr>
              <w:keepNext/>
              <w:keepLines/>
              <w:spacing w:before="0"/>
              <w:rPr>
                <w:szCs w:val="24"/>
                <w:lang w:val="fr-FR"/>
              </w:rPr>
            </w:pPr>
            <w:bookmarkStart w:id="42" w:name="lt_pId157"/>
            <w:r w:rsidRPr="0098490B">
              <w:rPr>
                <w:szCs w:val="24"/>
                <w:lang w:val="fr-FR"/>
              </w:rPr>
              <w:t>Recommandations 15, 16, 17, 19, 20, 21, 22</w:t>
            </w:r>
            <w:bookmarkEnd w:id="42"/>
          </w:p>
        </w:tc>
      </w:tr>
      <w:tr w:rsidR="00DE678B" w:rsidRPr="0098490B" w:rsidTr="000A0B3D">
        <w:trPr>
          <w:trHeight w:val="397"/>
        </w:trPr>
        <w:tc>
          <w:tcPr>
            <w:tcW w:w="3256" w:type="dxa"/>
            <w:tcBorders>
              <w:top w:val="single" w:sz="4" w:space="0" w:color="auto"/>
              <w:bottom w:val="single" w:sz="4" w:space="0" w:color="auto"/>
              <w:right w:val="single" w:sz="4" w:space="0" w:color="auto"/>
            </w:tcBorders>
          </w:tcPr>
          <w:p w:rsidR="00DE678B" w:rsidRPr="0098490B" w:rsidRDefault="005168D0" w:rsidP="00A67455">
            <w:pPr>
              <w:spacing w:before="0"/>
              <w:rPr>
                <w:i/>
                <w:iCs/>
                <w:lang w:val="fr-FR"/>
              </w:rPr>
            </w:pPr>
            <w:r w:rsidRPr="0098490B">
              <w:rPr>
                <w:i/>
                <w:iCs/>
                <w:lang w:val="fr-FR"/>
              </w:rPr>
              <w:t>Conférence de plénipotentiaires</w:t>
            </w:r>
          </w:p>
        </w:tc>
        <w:tc>
          <w:tcPr>
            <w:tcW w:w="6373" w:type="dxa"/>
            <w:tcBorders>
              <w:top w:val="single" w:sz="4" w:space="0" w:color="auto"/>
              <w:left w:val="single" w:sz="4" w:space="0" w:color="auto"/>
              <w:bottom w:val="single" w:sz="4" w:space="0" w:color="auto"/>
            </w:tcBorders>
          </w:tcPr>
          <w:p w:rsidR="00DE678B" w:rsidRPr="0098490B" w:rsidRDefault="00DE678B" w:rsidP="00A67455">
            <w:pPr>
              <w:spacing w:before="0"/>
              <w:rPr>
                <w:szCs w:val="24"/>
                <w:lang w:val="fr-FR"/>
              </w:rPr>
            </w:pPr>
            <w:bookmarkStart w:id="43" w:name="lt_pId159"/>
            <w:r w:rsidRPr="0098490B">
              <w:rPr>
                <w:szCs w:val="24"/>
                <w:lang w:val="fr-FR"/>
              </w:rPr>
              <w:t>Décisions 5, 13</w:t>
            </w:r>
            <w:bookmarkEnd w:id="43"/>
          </w:p>
          <w:p w:rsidR="00DE678B" w:rsidRPr="0098490B" w:rsidRDefault="00DE678B" w:rsidP="00A67455">
            <w:pPr>
              <w:spacing w:before="0"/>
              <w:rPr>
                <w:szCs w:val="24"/>
                <w:lang w:val="fr-FR"/>
              </w:rPr>
            </w:pPr>
            <w:bookmarkStart w:id="44" w:name="lt_pId160"/>
            <w:r w:rsidRPr="0098490B">
              <w:rPr>
                <w:szCs w:val="24"/>
                <w:lang w:val="fr-FR"/>
              </w:rPr>
              <w:t>Résolutions 25, 71, 133, 135, 140, 154, 165, 166, 167</w:t>
            </w:r>
            <w:bookmarkEnd w:id="44"/>
          </w:p>
        </w:tc>
      </w:tr>
      <w:tr w:rsidR="00DE678B" w:rsidRPr="0098490B" w:rsidTr="000A0B3D">
        <w:trPr>
          <w:trHeight w:val="397"/>
        </w:trPr>
        <w:tc>
          <w:tcPr>
            <w:tcW w:w="3256" w:type="dxa"/>
            <w:tcBorders>
              <w:top w:val="single" w:sz="4" w:space="0" w:color="auto"/>
              <w:bottom w:val="single" w:sz="4" w:space="0" w:color="auto"/>
              <w:right w:val="single" w:sz="4" w:space="0" w:color="auto"/>
            </w:tcBorders>
          </w:tcPr>
          <w:p w:rsidR="00DE678B" w:rsidRPr="0098490B" w:rsidRDefault="00DE678B" w:rsidP="00A67455">
            <w:pPr>
              <w:spacing w:before="0"/>
              <w:rPr>
                <w:i/>
                <w:iCs/>
                <w:lang w:val="fr-FR"/>
              </w:rPr>
            </w:pPr>
            <w:r w:rsidRPr="0098490B">
              <w:rPr>
                <w:i/>
                <w:iCs/>
                <w:lang w:val="fr-FR"/>
              </w:rPr>
              <w:t>Conseil</w:t>
            </w:r>
          </w:p>
        </w:tc>
        <w:tc>
          <w:tcPr>
            <w:tcW w:w="6373" w:type="dxa"/>
            <w:tcBorders>
              <w:top w:val="single" w:sz="4" w:space="0" w:color="auto"/>
              <w:left w:val="single" w:sz="4" w:space="0" w:color="auto"/>
              <w:bottom w:val="single" w:sz="4" w:space="0" w:color="auto"/>
            </w:tcBorders>
          </w:tcPr>
          <w:p w:rsidR="00DE678B" w:rsidRPr="0098490B" w:rsidRDefault="00DE678B" w:rsidP="00A67455">
            <w:pPr>
              <w:spacing w:before="0"/>
              <w:rPr>
                <w:szCs w:val="24"/>
                <w:lang w:val="fr-FR"/>
              </w:rPr>
            </w:pPr>
            <w:r w:rsidRPr="0098490B">
              <w:rPr>
                <w:szCs w:val="24"/>
                <w:lang w:val="fr-FR"/>
              </w:rPr>
              <w:t>1372</w:t>
            </w:r>
          </w:p>
        </w:tc>
      </w:tr>
      <w:tr w:rsidR="00DE678B" w:rsidRPr="0098490B" w:rsidTr="000A0B3D">
        <w:trPr>
          <w:trHeight w:val="397"/>
        </w:trPr>
        <w:tc>
          <w:tcPr>
            <w:tcW w:w="3256" w:type="dxa"/>
            <w:tcBorders>
              <w:top w:val="single" w:sz="4" w:space="0" w:color="auto"/>
              <w:bottom w:val="single" w:sz="4" w:space="0" w:color="auto"/>
              <w:right w:val="single" w:sz="4" w:space="0" w:color="auto"/>
            </w:tcBorders>
          </w:tcPr>
          <w:p w:rsidR="00DE678B" w:rsidRPr="0098490B" w:rsidRDefault="00F50FBE" w:rsidP="00A67455">
            <w:pPr>
              <w:spacing w:before="0"/>
              <w:rPr>
                <w:i/>
                <w:iCs/>
                <w:szCs w:val="24"/>
                <w:lang w:val="fr-FR"/>
              </w:rPr>
            </w:pPr>
            <w:r>
              <w:rPr>
                <w:i/>
                <w:iCs/>
                <w:lang w:val="fr-FR"/>
              </w:rPr>
              <w:t>Grandes orientations du</w:t>
            </w:r>
            <w:r w:rsidR="00CC5C15">
              <w:rPr>
                <w:i/>
                <w:iCs/>
                <w:lang w:val="fr-FR"/>
              </w:rPr>
              <w:t> </w:t>
            </w:r>
            <w:r w:rsidR="00DE678B" w:rsidRPr="0098490B">
              <w:rPr>
                <w:i/>
                <w:iCs/>
                <w:lang w:val="fr-FR"/>
              </w:rPr>
              <w:t>SMSI</w:t>
            </w:r>
          </w:p>
        </w:tc>
        <w:tc>
          <w:tcPr>
            <w:tcW w:w="6373" w:type="dxa"/>
            <w:tcBorders>
              <w:top w:val="single" w:sz="4" w:space="0" w:color="auto"/>
              <w:left w:val="single" w:sz="4" w:space="0" w:color="auto"/>
              <w:bottom w:val="single" w:sz="4" w:space="0" w:color="auto"/>
            </w:tcBorders>
          </w:tcPr>
          <w:p w:rsidR="00DE678B" w:rsidRPr="0098490B" w:rsidRDefault="005168D0" w:rsidP="00A67455">
            <w:pPr>
              <w:spacing w:before="0"/>
              <w:rPr>
                <w:szCs w:val="24"/>
                <w:lang w:val="fr-FR"/>
              </w:rPr>
            </w:pPr>
            <w:r w:rsidRPr="0098490B">
              <w:rPr>
                <w:szCs w:val="24"/>
                <w:lang w:val="fr-FR"/>
              </w:rPr>
              <w:t>Grandes orientations C1 et C11 du SMSI</w:t>
            </w:r>
          </w:p>
        </w:tc>
      </w:tr>
      <w:tr w:rsidR="00DE678B" w:rsidRPr="0098490B" w:rsidTr="000A0B3D">
        <w:tc>
          <w:tcPr>
            <w:tcW w:w="3256" w:type="dxa"/>
            <w:tcBorders>
              <w:top w:val="single" w:sz="4" w:space="0" w:color="auto"/>
              <w:bottom w:val="single" w:sz="4" w:space="0" w:color="auto"/>
              <w:right w:val="single" w:sz="4" w:space="0" w:color="auto"/>
            </w:tcBorders>
          </w:tcPr>
          <w:p w:rsidR="00DE678B" w:rsidRPr="0098490B" w:rsidRDefault="00DE678B" w:rsidP="00A67455">
            <w:pPr>
              <w:spacing w:before="0"/>
              <w:rPr>
                <w:i/>
                <w:iCs/>
                <w:szCs w:val="24"/>
                <w:lang w:val="fr-FR"/>
              </w:rPr>
            </w:pPr>
            <w:r w:rsidRPr="0098490B">
              <w:rPr>
                <w:i/>
                <w:iCs/>
                <w:lang w:val="fr-FR"/>
              </w:rPr>
              <w:t>Contribution aux cibles des O</w:t>
            </w:r>
            <w:r w:rsidR="005168D0" w:rsidRPr="0098490B">
              <w:rPr>
                <w:i/>
                <w:iCs/>
                <w:lang w:val="fr-FR"/>
              </w:rPr>
              <w:t>bjectifs de développement durable</w:t>
            </w:r>
          </w:p>
        </w:tc>
        <w:tc>
          <w:tcPr>
            <w:tcW w:w="6373" w:type="dxa"/>
            <w:tcBorders>
              <w:top w:val="single" w:sz="4" w:space="0" w:color="auto"/>
              <w:left w:val="single" w:sz="4" w:space="0" w:color="auto"/>
              <w:bottom w:val="single" w:sz="4" w:space="0" w:color="auto"/>
            </w:tcBorders>
          </w:tcPr>
          <w:p w:rsidR="00DE678B" w:rsidRPr="0098490B" w:rsidRDefault="005168D0" w:rsidP="00D72972">
            <w:pPr>
              <w:spacing w:before="0"/>
              <w:rPr>
                <w:szCs w:val="24"/>
                <w:lang w:val="fr-FR"/>
              </w:rPr>
            </w:pPr>
            <w:bookmarkStart w:id="45" w:name="lt_pId166"/>
            <w:r w:rsidRPr="0098490B">
              <w:rPr>
                <w:szCs w:val="24"/>
                <w:lang w:val="fr-FR"/>
              </w:rPr>
              <w:t>Objectifs de développement durable</w:t>
            </w:r>
            <w:r w:rsidR="00DE678B" w:rsidRPr="0098490B">
              <w:rPr>
                <w:szCs w:val="24"/>
                <w:lang w:val="fr-FR"/>
              </w:rPr>
              <w:t>:</w:t>
            </w:r>
            <w:bookmarkEnd w:id="45"/>
            <w:r w:rsidR="00DE678B" w:rsidRPr="0098490B">
              <w:rPr>
                <w:szCs w:val="24"/>
                <w:lang w:val="fr-FR"/>
              </w:rPr>
              <w:t xml:space="preserve"> </w:t>
            </w:r>
            <w:bookmarkStart w:id="46" w:name="lt_pId167"/>
            <w:r w:rsidR="00DE678B" w:rsidRPr="0098490B">
              <w:rPr>
                <w:szCs w:val="24"/>
                <w:lang w:val="fr-FR"/>
              </w:rPr>
              <w:t>1 (cible</w:t>
            </w:r>
            <w:r w:rsidR="00D72972" w:rsidRPr="0098490B">
              <w:rPr>
                <w:szCs w:val="24"/>
                <w:lang w:val="fr-FR"/>
              </w:rPr>
              <w:t> </w:t>
            </w:r>
            <w:r w:rsidR="00DE678B" w:rsidRPr="0098490B">
              <w:rPr>
                <w:szCs w:val="24"/>
                <w:lang w:val="fr-FR"/>
              </w:rPr>
              <w:t>1.b), 3 (cible 3.d), 5, 10, 16 (cibles 16.5, 16.6, 16.10), 17 (cibles 17.9, 17.16, 17.17, 17.18)</w:t>
            </w:r>
            <w:bookmarkEnd w:id="46"/>
          </w:p>
        </w:tc>
      </w:tr>
    </w:tbl>
    <w:p w:rsidR="00084CA2" w:rsidRPr="0098490B" w:rsidRDefault="00084CA2" w:rsidP="00784D97">
      <w:pPr>
        <w:pStyle w:val="Heading1"/>
        <w:rPr>
          <w:lang w:val="fr-FR"/>
        </w:rPr>
      </w:pPr>
      <w:r w:rsidRPr="0098490B">
        <w:rPr>
          <w:lang w:val="fr-FR"/>
        </w:rPr>
        <w:t>2</w:t>
      </w:r>
      <w:r w:rsidRPr="0098490B">
        <w:rPr>
          <w:lang w:val="fr-FR"/>
        </w:rPr>
        <w:tab/>
        <w:t>Objectif 2</w:t>
      </w:r>
      <w:bookmarkStart w:id="47" w:name="_Toc467807692"/>
      <w:bookmarkStart w:id="48" w:name="_Toc468087091"/>
      <w:r w:rsidRPr="0098490B">
        <w:rPr>
          <w:lang w:val="fr-FR"/>
        </w:rPr>
        <w:t xml:space="preserve">: </w:t>
      </w:r>
      <w:r w:rsidRPr="00C057A3">
        <w:rPr>
          <w:lang w:val="fr-FR"/>
        </w:rPr>
        <w:t>"</w:t>
      </w:r>
      <w:r w:rsidRPr="0098490B">
        <w:rPr>
          <w:i/>
          <w:iCs/>
          <w:lang w:val="fr-FR"/>
        </w:rPr>
        <w:t>Promouvoir un environneme</w:t>
      </w:r>
      <w:r w:rsidR="00C057A3">
        <w:rPr>
          <w:i/>
          <w:iCs/>
          <w:lang w:val="fr-FR"/>
        </w:rPr>
        <w:t>nt propice au développement des </w:t>
      </w:r>
      <w:r w:rsidRPr="0098490B">
        <w:rPr>
          <w:i/>
          <w:iCs/>
          <w:lang w:val="fr-FR"/>
        </w:rPr>
        <w:t xml:space="preserve">TIC et encourager le développement de réseaux de télécommunication/TIC, ainsi que des applications et des services </w:t>
      </w:r>
      <w:proofErr w:type="gramStart"/>
      <w:r w:rsidRPr="0098490B">
        <w:rPr>
          <w:i/>
          <w:iCs/>
          <w:lang w:val="fr-FR"/>
        </w:rPr>
        <w:t>correspondants</w:t>
      </w:r>
      <w:proofErr w:type="gramEnd"/>
      <w:r w:rsidRPr="0098490B">
        <w:rPr>
          <w:i/>
          <w:iCs/>
          <w:lang w:val="fr-FR"/>
        </w:rPr>
        <w:t>, notamment en vue de réduire l'écart en matière de normalisation</w:t>
      </w:r>
      <w:bookmarkEnd w:id="47"/>
      <w:bookmarkEnd w:id="48"/>
      <w:r w:rsidRPr="00C057A3">
        <w:rPr>
          <w:lang w:val="fr-FR"/>
        </w:rPr>
        <w:t>"</w:t>
      </w:r>
    </w:p>
    <w:p w:rsidR="00084CA2" w:rsidRPr="0098490B" w:rsidRDefault="00084CA2" w:rsidP="00A67455">
      <w:pPr>
        <w:pStyle w:val="Heading2"/>
        <w:spacing w:after="120"/>
        <w:rPr>
          <w:lang w:val="fr-FR"/>
        </w:rPr>
      </w:pPr>
      <w:bookmarkStart w:id="49" w:name="_Toc467807693"/>
      <w:bookmarkStart w:id="50" w:name="_Toc468087092"/>
      <w:r w:rsidRPr="0098490B">
        <w:rPr>
          <w:lang w:val="fr-FR"/>
        </w:rPr>
        <w:t>2.1</w:t>
      </w:r>
      <w:r w:rsidRPr="0098490B">
        <w:rPr>
          <w:lang w:val="fr-FR"/>
        </w:rPr>
        <w:tab/>
        <w:t>Cadres politiques et réglementaires</w:t>
      </w:r>
      <w:bookmarkEnd w:id="49"/>
      <w:bookmarkEnd w:id="50"/>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084CA2" w:rsidRPr="0098490B" w:rsidTr="004268F3">
        <w:tc>
          <w:tcPr>
            <w:tcW w:w="9629" w:type="dxa"/>
            <w:gridSpan w:val="2"/>
            <w:tcBorders>
              <w:bottom w:val="single" w:sz="4" w:space="0" w:color="auto"/>
            </w:tcBorders>
          </w:tcPr>
          <w:p w:rsidR="00EB43F2" w:rsidRPr="0098490B" w:rsidRDefault="00084CA2" w:rsidP="001231C3">
            <w:pPr>
              <w:rPr>
                <w:lang w:val="fr-FR"/>
              </w:rPr>
            </w:pPr>
            <w:r w:rsidRPr="0098490B">
              <w:rPr>
                <w:lang w:val="fr-FR"/>
              </w:rPr>
              <w:t xml:space="preserve">L'UIT-D </w:t>
            </w:r>
            <w:r w:rsidR="0052625E" w:rsidRPr="0098490B">
              <w:rPr>
                <w:lang w:val="fr-FR"/>
              </w:rPr>
              <w:t>a continué d'</w:t>
            </w:r>
            <w:r w:rsidRPr="0098490B">
              <w:rPr>
                <w:lang w:val="fr-FR"/>
              </w:rPr>
              <w:t>organise</w:t>
            </w:r>
            <w:r w:rsidR="0052625E" w:rsidRPr="0098490B">
              <w:rPr>
                <w:lang w:val="fr-FR"/>
              </w:rPr>
              <w:t>r</w:t>
            </w:r>
            <w:r w:rsidR="001231C3" w:rsidRPr="0098490B">
              <w:rPr>
                <w:lang w:val="fr-FR"/>
              </w:rPr>
              <w:t>,</w:t>
            </w:r>
            <w:r w:rsidRPr="0098490B">
              <w:rPr>
                <w:lang w:val="fr-FR"/>
              </w:rPr>
              <w:t xml:space="preserve"> à l'intention des Membres de Secteur et d'autres parties prenantes d'envergure nationale ou internationale</w:t>
            </w:r>
            <w:r w:rsidR="001231C3" w:rsidRPr="0098490B">
              <w:rPr>
                <w:lang w:val="fr-FR"/>
              </w:rPr>
              <w:t>,</w:t>
            </w:r>
            <w:r w:rsidRPr="0098490B">
              <w:rPr>
                <w:lang w:val="fr-FR"/>
              </w:rPr>
              <w:t xml:space="preserve"> des forums régionaux ou internationaux visant à examiner l'évolution à l'échelle mondiale de la réglementation, comme le Colloque mondial des régulateurs (GSR) ou des dialogues stratégiques sur les questions d'actualité en matière de politiques, de législation, de réglementation, d</w:t>
            </w:r>
            <w:r w:rsidR="001231C3" w:rsidRPr="0098490B">
              <w:rPr>
                <w:lang w:val="fr-FR"/>
              </w:rPr>
              <w:t>'</w:t>
            </w:r>
            <w:r w:rsidRPr="0098490B">
              <w:rPr>
                <w:lang w:val="fr-FR"/>
              </w:rPr>
              <w:t>économie, de finance et d</w:t>
            </w:r>
            <w:r w:rsidR="001231C3" w:rsidRPr="0098490B">
              <w:rPr>
                <w:lang w:val="fr-FR"/>
              </w:rPr>
              <w:t>'</w:t>
            </w:r>
            <w:r w:rsidRPr="0098490B">
              <w:rPr>
                <w:lang w:val="fr-FR"/>
              </w:rPr>
              <w:t>évolution du marché. Le GSR est la manifestation internationale annuelle qui permet aux régulateurs de confronter leurs poi</w:t>
            </w:r>
            <w:r w:rsidR="001231C3" w:rsidRPr="0098490B">
              <w:rPr>
                <w:lang w:val="fr-FR"/>
              </w:rPr>
              <w:t xml:space="preserve">nts de vue et leurs expériences; il </w:t>
            </w:r>
            <w:r w:rsidRPr="0098490B">
              <w:rPr>
                <w:lang w:val="fr-FR"/>
              </w:rPr>
              <w:t>s</w:t>
            </w:r>
            <w:r w:rsidR="001231C3" w:rsidRPr="0098490B">
              <w:rPr>
                <w:lang w:val="fr-FR"/>
              </w:rPr>
              <w:t>'</w:t>
            </w:r>
            <w:r w:rsidRPr="0098490B">
              <w:rPr>
                <w:lang w:val="fr-FR"/>
              </w:rPr>
              <w:t>achève sur l'adoption de lignes directrices relatives aux bonnes pratiques.</w:t>
            </w:r>
            <w:r w:rsidR="0052625E" w:rsidRPr="0098490B">
              <w:rPr>
                <w:lang w:val="fr-FR"/>
              </w:rPr>
              <w:t xml:space="preserve"> La 17</w:t>
            </w:r>
            <w:r w:rsidR="00FD59AB" w:rsidRPr="0098490B">
              <w:rPr>
                <w:lang w:val="fr-FR"/>
              </w:rPr>
              <w:t>ème</w:t>
            </w:r>
            <w:r w:rsidR="0052625E" w:rsidRPr="0098490B">
              <w:rPr>
                <w:lang w:val="fr-FR"/>
              </w:rPr>
              <w:t xml:space="preserve"> édition du GSR et ses manifestations préalables (le </w:t>
            </w:r>
            <w:r w:rsidR="00C057A3">
              <w:rPr>
                <w:color w:val="000000"/>
                <w:lang w:val="fr-FR"/>
              </w:rPr>
              <w:t>D</w:t>
            </w:r>
            <w:r w:rsidR="0052625E" w:rsidRPr="0098490B">
              <w:rPr>
                <w:color w:val="000000"/>
                <w:lang w:val="fr-FR"/>
              </w:rPr>
              <w:t>ialogue mondial sur l'inclusion financi</w:t>
            </w:r>
            <w:r w:rsidR="00FD59AB" w:rsidRPr="0098490B">
              <w:rPr>
                <w:color w:val="000000"/>
                <w:lang w:val="fr-FR"/>
              </w:rPr>
              <w:t>ère numérique, la réunion des a</w:t>
            </w:r>
            <w:r w:rsidR="0052625E" w:rsidRPr="0098490B">
              <w:rPr>
                <w:color w:val="000000"/>
                <w:lang w:val="fr-FR"/>
              </w:rPr>
              <w:t>ssociation</w:t>
            </w:r>
            <w:r w:rsidR="00FD59AB" w:rsidRPr="0098490B">
              <w:rPr>
                <w:color w:val="000000"/>
                <w:lang w:val="fr-FR"/>
              </w:rPr>
              <w:t>s</w:t>
            </w:r>
            <w:r w:rsidR="0052625E" w:rsidRPr="0098490B">
              <w:rPr>
                <w:color w:val="000000"/>
                <w:lang w:val="fr-FR"/>
              </w:rPr>
              <w:t xml:space="preserve"> de régulateurs et la réunion des directeurs de la réglementation</w:t>
            </w:r>
            <w:r w:rsidR="00FD59AB" w:rsidRPr="0098490B">
              <w:rPr>
                <w:color w:val="000000"/>
                <w:lang w:val="fr-FR"/>
              </w:rPr>
              <w:t xml:space="preserve"> dans le secteur privé</w:t>
            </w:r>
            <w:r w:rsidR="0052625E" w:rsidRPr="0098490B">
              <w:rPr>
                <w:color w:val="000000"/>
                <w:lang w:val="fr-FR"/>
              </w:rPr>
              <w:t>) ont eu lieu du 11 au 14 jui</w:t>
            </w:r>
            <w:r w:rsidR="00FD59AB" w:rsidRPr="0098490B">
              <w:rPr>
                <w:color w:val="000000"/>
                <w:lang w:val="fr-FR"/>
              </w:rPr>
              <w:t>llet à Nassau</w:t>
            </w:r>
            <w:r w:rsidR="0052625E" w:rsidRPr="0098490B">
              <w:rPr>
                <w:color w:val="000000"/>
                <w:lang w:val="fr-FR"/>
              </w:rPr>
              <w:t xml:space="preserve"> </w:t>
            </w:r>
            <w:r w:rsidR="00FD59AB" w:rsidRPr="0098490B">
              <w:rPr>
                <w:color w:val="000000"/>
                <w:lang w:val="fr-FR"/>
              </w:rPr>
              <w:t>(</w:t>
            </w:r>
            <w:r w:rsidR="0052625E" w:rsidRPr="0098490B">
              <w:rPr>
                <w:color w:val="000000"/>
                <w:lang w:val="fr-FR"/>
              </w:rPr>
              <w:t>Bahamas</w:t>
            </w:r>
            <w:r w:rsidR="00FD59AB" w:rsidRPr="0098490B">
              <w:rPr>
                <w:color w:val="000000"/>
                <w:lang w:val="fr-FR"/>
              </w:rPr>
              <w:t>)</w:t>
            </w:r>
            <w:r w:rsidR="0052625E" w:rsidRPr="0098490B">
              <w:rPr>
                <w:color w:val="000000"/>
                <w:lang w:val="fr-FR"/>
              </w:rPr>
              <w:t>.</w:t>
            </w:r>
          </w:p>
          <w:p w:rsidR="00EB43F2" w:rsidRPr="0098490B" w:rsidRDefault="00084CA2" w:rsidP="001231C3">
            <w:pPr>
              <w:rPr>
                <w:lang w:val="fr-FR"/>
              </w:rPr>
            </w:pPr>
            <w:r w:rsidRPr="0098490B">
              <w:rPr>
                <w:lang w:val="fr-FR"/>
              </w:rPr>
              <w:t xml:space="preserve">L'UIT-D </w:t>
            </w:r>
            <w:r w:rsidR="0052625E" w:rsidRPr="0098490B">
              <w:rPr>
                <w:lang w:val="fr-FR"/>
              </w:rPr>
              <w:t xml:space="preserve">a également fourni </w:t>
            </w:r>
            <w:r w:rsidRPr="0098490B">
              <w:rPr>
                <w:lang w:val="fr-FR"/>
              </w:rPr>
              <w:t>des données, des travaux de recherche, des analyses et des outils (rapports sur les tendances, documents de travail du GSR, publications, portails, bases de données), afin d'aider ses membres à définir, élaborer, mettre en oeuvre et examiner des stratégies transparentes, cohérentes et tournées vers l</w:t>
            </w:r>
            <w:r w:rsidR="001231C3" w:rsidRPr="0098490B">
              <w:rPr>
                <w:lang w:val="fr-FR"/>
              </w:rPr>
              <w:t>'</w:t>
            </w:r>
            <w:r w:rsidRPr="0098490B">
              <w:rPr>
                <w:lang w:val="fr-FR"/>
              </w:rPr>
              <w:t xml:space="preserve">avenir ainsi que des cadres politiques, juridiques et réglementaires, et à adopter un processus </w:t>
            </w:r>
            <w:r w:rsidR="00FD59AB" w:rsidRPr="0098490B">
              <w:rPr>
                <w:lang w:val="fr-FR"/>
              </w:rPr>
              <w:t>décisionnel</w:t>
            </w:r>
            <w:r w:rsidRPr="0098490B">
              <w:rPr>
                <w:lang w:val="fr-FR"/>
              </w:rPr>
              <w:t xml:space="preserve"> </w:t>
            </w:r>
            <w:r w:rsidR="00FD59AB" w:rsidRPr="0098490B">
              <w:rPr>
                <w:lang w:val="fr-FR"/>
              </w:rPr>
              <w:t>fondé sur des données factuelles</w:t>
            </w:r>
            <w:r w:rsidRPr="0098490B">
              <w:rPr>
                <w:lang w:val="fr-FR"/>
              </w:rPr>
              <w:t>.</w:t>
            </w:r>
            <w:r w:rsidR="0052625E" w:rsidRPr="0098490B">
              <w:rPr>
                <w:lang w:val="fr-FR"/>
              </w:rPr>
              <w:t xml:space="preserve"> Au </w:t>
            </w:r>
            <w:r w:rsidR="00FE3763" w:rsidRPr="0098490B">
              <w:rPr>
                <w:lang w:val="fr-FR"/>
              </w:rPr>
              <w:t xml:space="preserve">cours du </w:t>
            </w:r>
            <w:r w:rsidR="0052625E" w:rsidRPr="0098490B">
              <w:rPr>
                <w:lang w:val="fr-FR"/>
              </w:rPr>
              <w:t>premier trimestre</w:t>
            </w:r>
            <w:r w:rsidR="00EB43F2" w:rsidRPr="0098490B">
              <w:rPr>
                <w:lang w:val="fr-FR"/>
              </w:rPr>
              <w:t xml:space="preserve"> 2017, le rapport </w:t>
            </w:r>
            <w:r w:rsidR="001231C3" w:rsidRPr="0098490B">
              <w:rPr>
                <w:lang w:val="fr-FR"/>
              </w:rPr>
              <w:t>sur les p</w:t>
            </w:r>
            <w:r w:rsidR="00EB43F2" w:rsidRPr="0098490B">
              <w:rPr>
                <w:lang w:val="fr-FR"/>
              </w:rPr>
              <w:t>erspectives d'évolution de la réglementation des TIC dans le monde</w:t>
            </w:r>
            <w:r w:rsidR="00FE3763" w:rsidRPr="0098490B">
              <w:rPr>
                <w:lang w:val="fr-FR"/>
              </w:rPr>
              <w:t xml:space="preserve"> (dont le résumé est disponible à l'adresse </w:t>
            </w:r>
            <w:hyperlink r:id="rId11" w:history="1">
              <w:r w:rsidR="00FE3763" w:rsidRPr="0098490B">
                <w:rPr>
                  <w:rStyle w:val="Hyperlink"/>
                  <w:szCs w:val="24"/>
                  <w:lang w:val="fr-FR"/>
                </w:rPr>
                <w:t>http://www.itu.int/en/ITU-D/Regulatory-Market/Pages/Outlook/2017.aspx</w:t>
              </w:r>
            </w:hyperlink>
            <w:r w:rsidR="00FE3763" w:rsidRPr="0098490B">
              <w:rPr>
                <w:lang w:val="fr-FR"/>
              </w:rPr>
              <w:t>)</w:t>
            </w:r>
            <w:r w:rsidR="00C37CF9" w:rsidRPr="0098490B">
              <w:rPr>
                <w:rStyle w:val="Hyperlink"/>
                <w:color w:val="auto"/>
                <w:szCs w:val="24"/>
                <w:u w:val="none"/>
                <w:lang w:val="fr-FR"/>
              </w:rPr>
              <w:t xml:space="preserve"> a été inauguré</w:t>
            </w:r>
            <w:r w:rsidR="00FE3763" w:rsidRPr="0098490B">
              <w:rPr>
                <w:rStyle w:val="Hyperlink"/>
                <w:color w:val="auto"/>
                <w:szCs w:val="24"/>
                <w:u w:val="none"/>
                <w:lang w:val="fr-FR"/>
              </w:rPr>
              <w:t>. Il s'agit d'un</w:t>
            </w:r>
            <w:r w:rsidR="00EB43F2" w:rsidRPr="0098490B">
              <w:rPr>
                <w:lang w:val="fr-FR"/>
              </w:rPr>
              <w:t xml:space="preserve"> premier rapport d'une nouvelle série de rapports annuels portant sur l'évolution commerciale et réglementaire du secteur des TIC et les incidences de cette évolution sur l'économie.</w:t>
            </w:r>
          </w:p>
          <w:p w:rsidR="00EB43F2" w:rsidRPr="0098490B" w:rsidRDefault="00EB43F2" w:rsidP="00F50FBE">
            <w:pPr>
              <w:rPr>
                <w:szCs w:val="24"/>
                <w:lang w:val="fr-FR"/>
              </w:rPr>
            </w:pPr>
            <w:r w:rsidRPr="0098490B">
              <w:rPr>
                <w:lang w:val="fr-FR"/>
              </w:rPr>
              <w:t xml:space="preserve">L'UIT-D </w:t>
            </w:r>
            <w:r w:rsidR="0052625E" w:rsidRPr="0098490B">
              <w:rPr>
                <w:lang w:val="fr-FR"/>
              </w:rPr>
              <w:t xml:space="preserve">a également </w:t>
            </w:r>
            <w:r w:rsidRPr="0098490B">
              <w:rPr>
                <w:lang w:val="fr-FR"/>
              </w:rPr>
              <w:t xml:space="preserve">fourni des outils et des plates-formes de partage des connaissances </w:t>
            </w:r>
            <w:r w:rsidR="003460BE" w:rsidRPr="0098490B">
              <w:rPr>
                <w:szCs w:val="24"/>
                <w:lang w:val="fr-FR"/>
              </w:rPr>
              <w:t>(</w:t>
            </w:r>
            <w:r w:rsidR="003460BE" w:rsidRPr="0098490B">
              <w:rPr>
                <w:color w:val="000000"/>
                <w:lang w:val="fr-FR"/>
              </w:rPr>
              <w:t>base de données "L'</w:t>
            </w:r>
            <w:proofErr w:type="spellStart"/>
            <w:r w:rsidR="00F50FBE">
              <w:rPr>
                <w:color w:val="000000"/>
                <w:lang w:val="fr-FR"/>
              </w:rPr>
              <w:t>O</w:t>
            </w:r>
            <w:r w:rsidR="003460BE" w:rsidRPr="0098490B">
              <w:rPr>
                <w:color w:val="000000"/>
                <w:lang w:val="fr-FR"/>
              </w:rPr>
              <w:t>eil</w:t>
            </w:r>
            <w:proofErr w:type="spellEnd"/>
            <w:r w:rsidR="003460BE" w:rsidRPr="0098490B">
              <w:rPr>
                <w:color w:val="000000"/>
                <w:lang w:val="fr-FR"/>
              </w:rPr>
              <w:t xml:space="preserve"> sur les TIC"</w:t>
            </w:r>
            <w:r w:rsidR="003460BE" w:rsidRPr="0098490B">
              <w:rPr>
                <w:szCs w:val="24"/>
                <w:lang w:val="fr-FR"/>
              </w:rPr>
              <w:t xml:space="preserve">, </w:t>
            </w:r>
            <w:r w:rsidR="003460BE" w:rsidRPr="0098490B">
              <w:rPr>
                <w:color w:val="000000"/>
                <w:lang w:val="fr-FR"/>
              </w:rPr>
              <w:t>Kit d'aide sur la réglementation des TIC</w:t>
            </w:r>
            <w:r w:rsidR="003460BE" w:rsidRPr="0098490B">
              <w:rPr>
                <w:szCs w:val="24"/>
                <w:lang w:val="fr-FR"/>
              </w:rPr>
              <w:t xml:space="preserve">, centre d'information sur la réglementation des TIC) </w:t>
            </w:r>
            <w:r w:rsidRPr="0098490B">
              <w:rPr>
                <w:lang w:val="fr-FR"/>
              </w:rPr>
              <w:t xml:space="preserve">qui facilitent le dialogue inclusif et </w:t>
            </w:r>
            <w:r w:rsidR="003460BE" w:rsidRPr="0098490B">
              <w:rPr>
                <w:lang w:val="fr-FR"/>
              </w:rPr>
              <w:t xml:space="preserve">renforcent </w:t>
            </w:r>
            <w:r w:rsidRPr="0098490B">
              <w:rPr>
                <w:lang w:val="fr-FR"/>
              </w:rPr>
              <w:t xml:space="preserve">la coopération, afin d'aider les pays à créer une société de l'information plus inclusive et de </w:t>
            </w:r>
            <w:r w:rsidR="001231C3" w:rsidRPr="0098490B">
              <w:rPr>
                <w:lang w:val="fr-FR"/>
              </w:rPr>
              <w:t xml:space="preserve">mieux </w:t>
            </w:r>
            <w:r w:rsidRPr="0098490B">
              <w:rPr>
                <w:lang w:val="fr-FR"/>
              </w:rPr>
              <w:t>faire connaître, sur le plan national et régional, l'importance d'un environnement propice.</w:t>
            </w:r>
            <w:r w:rsidR="003460BE" w:rsidRPr="0098490B">
              <w:rPr>
                <w:lang w:val="fr-FR"/>
              </w:rPr>
              <w:t xml:space="preserve"> L'accès à l'</w:t>
            </w:r>
            <w:r w:rsidR="003460BE" w:rsidRPr="0098490B">
              <w:rPr>
                <w:color w:val="000000"/>
                <w:lang w:val="fr-FR"/>
              </w:rPr>
              <w:t xml:space="preserve">outil de </w:t>
            </w:r>
            <w:r w:rsidR="003460BE" w:rsidRPr="0098490B">
              <w:rPr>
                <w:color w:val="000000"/>
                <w:lang w:val="fr-FR"/>
              </w:rPr>
              <w:lastRenderedPageBreak/>
              <w:t>suivi réglementaire des TIC a été facilité grâce à sa</w:t>
            </w:r>
            <w:r w:rsidR="00C37CF9" w:rsidRPr="0098490B">
              <w:rPr>
                <w:color w:val="000000"/>
                <w:lang w:val="fr-FR"/>
              </w:rPr>
              <w:t xml:space="preserve"> diffusion sur un nouveau micro</w:t>
            </w:r>
            <w:r w:rsidR="003460BE" w:rsidRPr="0098490B">
              <w:rPr>
                <w:color w:val="000000"/>
                <w:lang w:val="fr-FR"/>
              </w:rPr>
              <w:t>site web, disponible à l'adresse</w:t>
            </w:r>
            <w:bookmarkStart w:id="51" w:name="lt_pId181"/>
            <w:r w:rsidR="003460BE" w:rsidRPr="0098490B">
              <w:rPr>
                <w:color w:val="000000"/>
                <w:lang w:val="fr-FR"/>
              </w:rPr>
              <w:t xml:space="preserve"> </w:t>
            </w:r>
            <w:hyperlink r:id="rId12" w:anchor="/tracker-by-country/regulatory-tracker/2015" w:history="1">
              <w:r w:rsidRPr="0098490B">
                <w:rPr>
                  <w:rStyle w:val="Hyperlink"/>
                  <w:szCs w:val="24"/>
                  <w:lang w:val="fr-FR"/>
                </w:rPr>
                <w:t>https://www.itu.int/net4/itu-d/irt/#/tracker-by-</w:t>
              </w:r>
              <w:r w:rsidR="003460BE" w:rsidRPr="0098490B">
                <w:rPr>
                  <w:rStyle w:val="Hyperlink"/>
                  <w:szCs w:val="24"/>
                  <w:lang w:val="fr-FR"/>
                </w:rPr>
                <w:t>country/regulatory-tracker/2015</w:t>
              </w:r>
            </w:hyperlink>
            <w:r w:rsidRPr="0098490B">
              <w:rPr>
                <w:szCs w:val="24"/>
                <w:lang w:val="fr-FR"/>
              </w:rPr>
              <w:t>.</w:t>
            </w:r>
            <w:bookmarkEnd w:id="51"/>
          </w:p>
          <w:p w:rsidR="00EB43F2" w:rsidRPr="0098490B" w:rsidRDefault="003460BE" w:rsidP="00CB7A2F">
            <w:pPr>
              <w:rPr>
                <w:color w:val="000000"/>
                <w:lang w:val="fr-FR"/>
              </w:rPr>
            </w:pPr>
            <w:r w:rsidRPr="0098490B">
              <w:rPr>
                <w:szCs w:val="24"/>
                <w:lang w:val="fr-FR"/>
              </w:rPr>
              <w:t xml:space="preserve">L'UIT-D a continué de mener des actions de sensibilisation et de renforcement des capacités en organisant des formations, </w:t>
            </w:r>
            <w:r w:rsidR="00C37CF9" w:rsidRPr="0098490B">
              <w:rPr>
                <w:szCs w:val="24"/>
                <w:lang w:val="fr-FR"/>
              </w:rPr>
              <w:t xml:space="preserve">des </w:t>
            </w:r>
            <w:r w:rsidRPr="0098490B">
              <w:rPr>
                <w:szCs w:val="24"/>
                <w:lang w:val="fr-FR"/>
              </w:rPr>
              <w:t xml:space="preserve">ateliers, </w:t>
            </w:r>
            <w:r w:rsidR="00C37CF9" w:rsidRPr="0098490B">
              <w:rPr>
                <w:szCs w:val="24"/>
                <w:lang w:val="fr-FR"/>
              </w:rPr>
              <w:t xml:space="preserve">des </w:t>
            </w:r>
            <w:r w:rsidRPr="0098490B">
              <w:rPr>
                <w:szCs w:val="24"/>
                <w:lang w:val="fr-FR"/>
              </w:rPr>
              <w:t xml:space="preserve">séminaires, </w:t>
            </w:r>
            <w:r w:rsidR="00C37CF9" w:rsidRPr="0098490B">
              <w:rPr>
                <w:szCs w:val="24"/>
                <w:lang w:val="fr-FR"/>
              </w:rPr>
              <w:t xml:space="preserve">des </w:t>
            </w:r>
            <w:r w:rsidRPr="0098490B">
              <w:rPr>
                <w:szCs w:val="24"/>
                <w:lang w:val="fr-FR"/>
              </w:rPr>
              <w:t xml:space="preserve">forums et </w:t>
            </w:r>
            <w:r w:rsidR="00C37CF9" w:rsidRPr="0098490B">
              <w:rPr>
                <w:szCs w:val="24"/>
                <w:lang w:val="fr-FR"/>
              </w:rPr>
              <w:t xml:space="preserve">des </w:t>
            </w:r>
            <w:r w:rsidRPr="0098490B">
              <w:rPr>
                <w:szCs w:val="24"/>
                <w:lang w:val="fr-FR"/>
              </w:rPr>
              <w:t>conférences sur le</w:t>
            </w:r>
            <w:r w:rsidR="00CB7A2F" w:rsidRPr="0098490B">
              <w:rPr>
                <w:szCs w:val="24"/>
                <w:lang w:val="fr-FR"/>
              </w:rPr>
              <w:t>s</w:t>
            </w:r>
            <w:r w:rsidRPr="0098490B">
              <w:rPr>
                <w:szCs w:val="24"/>
                <w:lang w:val="fr-FR"/>
              </w:rPr>
              <w:t xml:space="preserve"> thème</w:t>
            </w:r>
            <w:r w:rsidR="00CB7A2F" w:rsidRPr="0098490B">
              <w:rPr>
                <w:szCs w:val="24"/>
                <w:lang w:val="fr-FR"/>
              </w:rPr>
              <w:t>s suivants:</w:t>
            </w:r>
            <w:r w:rsidRPr="0098490B">
              <w:rPr>
                <w:szCs w:val="24"/>
                <w:lang w:val="fr-FR"/>
              </w:rPr>
              <w:t xml:space="preserve"> développement des TIC, infrastructure large bande, </w:t>
            </w:r>
            <w:r w:rsidR="004707F6">
              <w:rPr>
                <w:szCs w:val="24"/>
                <w:lang w:val="fr-FR"/>
              </w:rPr>
              <w:t xml:space="preserve">applications et services, </w:t>
            </w:r>
            <w:r w:rsidRPr="0098490B">
              <w:rPr>
                <w:szCs w:val="24"/>
                <w:lang w:val="fr-FR"/>
              </w:rPr>
              <w:t>5G, itinérance mobile internationale</w:t>
            </w:r>
            <w:r w:rsidR="00C4412D" w:rsidRPr="0098490B">
              <w:rPr>
                <w:szCs w:val="24"/>
                <w:lang w:val="fr-FR"/>
              </w:rPr>
              <w:t>,</w:t>
            </w:r>
            <w:r w:rsidRPr="0098490B">
              <w:rPr>
                <w:szCs w:val="24"/>
                <w:lang w:val="fr-FR"/>
              </w:rPr>
              <w:t xml:space="preserve"> </w:t>
            </w:r>
            <w:r w:rsidR="00C4412D" w:rsidRPr="0098490B">
              <w:rPr>
                <w:color w:val="000000"/>
                <w:lang w:val="fr-FR"/>
              </w:rPr>
              <w:t>modélisation des coûts, développement de l'infrastructure, gestion du spectre et des questions connexes, coordination des satellites, réseaux électriques intelligents, jeunes entreprises des TIC, accès à l'Internet, conformité et interopérabilité, tarification, collaboration politique et réglementaire dans le</w:t>
            </w:r>
            <w:r w:rsidR="00F172A4" w:rsidRPr="0098490B">
              <w:rPr>
                <w:color w:val="000000"/>
                <w:lang w:val="fr-FR"/>
              </w:rPr>
              <w:t>s</w:t>
            </w:r>
            <w:r w:rsidR="00C4412D" w:rsidRPr="0098490B">
              <w:rPr>
                <w:color w:val="000000"/>
                <w:lang w:val="fr-FR"/>
              </w:rPr>
              <w:t xml:space="preserve"> domaine</w:t>
            </w:r>
            <w:r w:rsidR="00F172A4" w:rsidRPr="0098490B">
              <w:rPr>
                <w:color w:val="000000"/>
                <w:lang w:val="fr-FR"/>
              </w:rPr>
              <w:t>s</w:t>
            </w:r>
            <w:r w:rsidR="00C4412D" w:rsidRPr="0098490B">
              <w:rPr>
                <w:color w:val="000000"/>
                <w:lang w:val="fr-FR"/>
              </w:rPr>
              <w:t xml:space="preserve"> des services financiers numériques et de l'inclusion financière numérique, et économie numérique. Plusieurs forums régionaux ont été organisés au sujet des aspects économiques et financiers du secteur des TIC/télécommunications, offrant une tribune de discussion </w:t>
            </w:r>
            <w:r w:rsidR="00F172A4" w:rsidRPr="0098490B">
              <w:rPr>
                <w:color w:val="000000"/>
                <w:lang w:val="fr-FR"/>
              </w:rPr>
              <w:t>sur les</w:t>
            </w:r>
            <w:r w:rsidR="00C4412D" w:rsidRPr="0098490B">
              <w:rPr>
                <w:color w:val="000000"/>
                <w:lang w:val="fr-FR"/>
              </w:rPr>
              <w:t xml:space="preserve"> questions économiques et financières qui touchent le secteur dans différents pays; des solutions possibles ont été envisagées.</w:t>
            </w:r>
          </w:p>
          <w:p w:rsidR="00084CA2" w:rsidRPr="0098490B" w:rsidRDefault="00C4412D" w:rsidP="008C0AA2">
            <w:pPr>
              <w:spacing w:after="120"/>
              <w:rPr>
                <w:lang w:val="fr-FR"/>
              </w:rPr>
            </w:pPr>
            <w:r w:rsidRPr="0098490B">
              <w:rPr>
                <w:color w:val="000000"/>
                <w:lang w:val="fr-FR"/>
              </w:rPr>
              <w:t xml:space="preserve">L'UIT-D a apporté une assistance directe à de nombreux pays </w:t>
            </w:r>
            <w:r w:rsidR="00917EA6" w:rsidRPr="0098490B">
              <w:rPr>
                <w:color w:val="000000"/>
                <w:lang w:val="fr-FR"/>
              </w:rPr>
              <w:t>en ce qui concer</w:t>
            </w:r>
            <w:r w:rsidR="00F172A4" w:rsidRPr="0098490B">
              <w:rPr>
                <w:color w:val="000000"/>
                <w:lang w:val="fr-FR"/>
              </w:rPr>
              <w:t>ne la mise en place, notamment,</w:t>
            </w:r>
            <w:r w:rsidR="00917EA6" w:rsidRPr="0098490B">
              <w:rPr>
                <w:color w:val="000000"/>
                <w:lang w:val="fr-FR"/>
              </w:rPr>
              <w:t xml:space="preserve"> de cadres politiques et réglementaires, d'une autorité indépendante chargée de la réglementation, de stratégies </w:t>
            </w:r>
            <w:r w:rsidR="00F172A4" w:rsidRPr="0098490B">
              <w:rPr>
                <w:color w:val="000000"/>
                <w:lang w:val="fr-FR"/>
              </w:rPr>
              <w:t>sur le large bande, d'activités de</w:t>
            </w:r>
            <w:r w:rsidR="00917EA6" w:rsidRPr="0098490B">
              <w:rPr>
                <w:color w:val="000000"/>
                <w:lang w:val="fr-FR"/>
              </w:rPr>
              <w:t xml:space="preserve"> renforcement des capacités en matière de contrôle du spectre, et de cadres de protection des consommateurs applicables au secteur des TIC</w:t>
            </w:r>
            <w:bookmarkStart w:id="52" w:name="lt_pId186"/>
            <w:r w:rsidR="00EB43F2" w:rsidRPr="0098490B">
              <w:rPr>
                <w:szCs w:val="24"/>
                <w:lang w:val="fr-FR"/>
              </w:rPr>
              <w:t>.</w:t>
            </w:r>
            <w:bookmarkEnd w:id="52"/>
          </w:p>
        </w:tc>
      </w:tr>
      <w:tr w:rsidR="00EB43F2" w:rsidRPr="0098490B" w:rsidTr="000A0B3D">
        <w:tc>
          <w:tcPr>
            <w:tcW w:w="3114" w:type="dxa"/>
            <w:tcBorders>
              <w:top w:val="single" w:sz="4" w:space="0" w:color="auto"/>
              <w:bottom w:val="single" w:sz="4" w:space="0" w:color="auto"/>
              <w:right w:val="single" w:sz="4" w:space="0" w:color="auto"/>
            </w:tcBorders>
          </w:tcPr>
          <w:p w:rsidR="00EB43F2" w:rsidRPr="0098490B" w:rsidRDefault="00EB43F2" w:rsidP="00CB7A2F">
            <w:pPr>
              <w:spacing w:before="0"/>
              <w:rPr>
                <w:i/>
                <w:iCs/>
                <w:szCs w:val="24"/>
                <w:lang w:val="fr-FR"/>
              </w:rPr>
            </w:pPr>
            <w:r w:rsidRPr="0098490B">
              <w:rPr>
                <w:i/>
                <w:iCs/>
                <w:szCs w:val="24"/>
                <w:lang w:val="fr-FR"/>
              </w:rPr>
              <w:lastRenderedPageBreak/>
              <w:t>CMDT</w:t>
            </w:r>
          </w:p>
        </w:tc>
        <w:tc>
          <w:tcPr>
            <w:tcW w:w="6515" w:type="dxa"/>
            <w:tcBorders>
              <w:top w:val="single" w:sz="4" w:space="0" w:color="auto"/>
              <w:left w:val="single" w:sz="4" w:space="0" w:color="auto"/>
              <w:bottom w:val="single" w:sz="4" w:space="0" w:color="auto"/>
            </w:tcBorders>
          </w:tcPr>
          <w:p w:rsidR="00EB43F2" w:rsidRPr="0098490B" w:rsidRDefault="00EB43F2" w:rsidP="00CB7A2F">
            <w:pPr>
              <w:spacing w:before="0"/>
              <w:rPr>
                <w:szCs w:val="24"/>
                <w:lang w:val="fr-FR"/>
              </w:rPr>
            </w:pPr>
            <w:bookmarkStart w:id="53" w:name="lt_pId188"/>
            <w:r w:rsidRPr="0098490B">
              <w:rPr>
                <w:szCs w:val="24"/>
                <w:lang w:val="fr-FR"/>
              </w:rPr>
              <w:t>Résolutions 1, 9, 17, 21, 23, 30, 32, 43, 48, 62</w:t>
            </w:r>
            <w:bookmarkEnd w:id="53"/>
          </w:p>
        </w:tc>
      </w:tr>
      <w:tr w:rsidR="00EB43F2" w:rsidRPr="0098490B" w:rsidTr="000A0B3D">
        <w:trPr>
          <w:trHeight w:val="397"/>
        </w:trPr>
        <w:tc>
          <w:tcPr>
            <w:tcW w:w="3114" w:type="dxa"/>
            <w:tcBorders>
              <w:top w:val="single" w:sz="4" w:space="0" w:color="auto"/>
              <w:bottom w:val="single" w:sz="4" w:space="0" w:color="auto"/>
              <w:right w:val="single" w:sz="4" w:space="0" w:color="auto"/>
            </w:tcBorders>
          </w:tcPr>
          <w:p w:rsidR="00EB43F2" w:rsidRPr="0098490B" w:rsidRDefault="00917EA6" w:rsidP="00CB7A2F">
            <w:pPr>
              <w:spacing w:before="0"/>
              <w:rPr>
                <w:i/>
                <w:iCs/>
                <w:lang w:val="fr-FR"/>
              </w:rPr>
            </w:pPr>
            <w:r w:rsidRPr="0098490B">
              <w:rPr>
                <w:i/>
                <w:iCs/>
                <w:lang w:val="fr-FR"/>
              </w:rPr>
              <w:t>Conférence de plénipotentiaires</w:t>
            </w:r>
          </w:p>
        </w:tc>
        <w:tc>
          <w:tcPr>
            <w:tcW w:w="6515" w:type="dxa"/>
            <w:tcBorders>
              <w:top w:val="single" w:sz="4" w:space="0" w:color="auto"/>
              <w:left w:val="single" w:sz="4" w:space="0" w:color="auto"/>
              <w:bottom w:val="single" w:sz="4" w:space="0" w:color="auto"/>
            </w:tcBorders>
          </w:tcPr>
          <w:p w:rsidR="00EB43F2" w:rsidRPr="0098490B" w:rsidRDefault="00EB43F2" w:rsidP="00CB7A2F">
            <w:pPr>
              <w:spacing w:before="0"/>
              <w:rPr>
                <w:szCs w:val="24"/>
                <w:lang w:val="fr-FR"/>
              </w:rPr>
            </w:pPr>
            <w:bookmarkStart w:id="54" w:name="lt_pId190"/>
            <w:r w:rsidRPr="0098490B">
              <w:rPr>
                <w:szCs w:val="24"/>
                <w:lang w:val="fr-FR"/>
              </w:rPr>
              <w:t>Décisions 5, 13,</w:t>
            </w:r>
            <w:bookmarkEnd w:id="54"/>
            <w:r w:rsidRPr="0098490B">
              <w:rPr>
                <w:szCs w:val="24"/>
                <w:lang w:val="fr-FR"/>
              </w:rPr>
              <w:t xml:space="preserve"> </w:t>
            </w:r>
          </w:p>
          <w:p w:rsidR="00EB43F2" w:rsidRPr="0098490B" w:rsidRDefault="00EB43F2" w:rsidP="00CB7A2F">
            <w:pPr>
              <w:spacing w:before="0"/>
              <w:rPr>
                <w:szCs w:val="24"/>
                <w:lang w:val="fr-FR"/>
              </w:rPr>
            </w:pPr>
            <w:bookmarkStart w:id="55" w:name="lt_pId191"/>
            <w:r w:rsidRPr="0098490B">
              <w:rPr>
                <w:szCs w:val="24"/>
                <w:lang w:val="fr-FR"/>
              </w:rPr>
              <w:t>Résolutions 25, 71, 102, 135, 138, 154, 165</w:t>
            </w:r>
            <w:bookmarkEnd w:id="55"/>
          </w:p>
        </w:tc>
      </w:tr>
      <w:tr w:rsidR="00EB43F2" w:rsidRPr="0098490B" w:rsidTr="000A0B3D">
        <w:trPr>
          <w:trHeight w:val="397"/>
        </w:trPr>
        <w:tc>
          <w:tcPr>
            <w:tcW w:w="3114" w:type="dxa"/>
            <w:tcBorders>
              <w:top w:val="single" w:sz="4" w:space="0" w:color="auto"/>
              <w:bottom w:val="single" w:sz="4" w:space="0" w:color="auto"/>
              <w:right w:val="single" w:sz="4" w:space="0" w:color="auto"/>
            </w:tcBorders>
          </w:tcPr>
          <w:p w:rsidR="00EB43F2" w:rsidRPr="0098490B" w:rsidRDefault="00EB43F2" w:rsidP="00CB7A2F">
            <w:pPr>
              <w:spacing w:before="0"/>
              <w:rPr>
                <w:i/>
                <w:iCs/>
                <w:lang w:val="fr-FR"/>
              </w:rPr>
            </w:pPr>
            <w:r w:rsidRPr="0098490B">
              <w:rPr>
                <w:i/>
                <w:iCs/>
                <w:lang w:val="fr-FR"/>
              </w:rPr>
              <w:t>Conseil</w:t>
            </w:r>
          </w:p>
        </w:tc>
        <w:tc>
          <w:tcPr>
            <w:tcW w:w="6515" w:type="dxa"/>
            <w:tcBorders>
              <w:top w:val="single" w:sz="4" w:space="0" w:color="auto"/>
              <w:left w:val="single" w:sz="4" w:space="0" w:color="auto"/>
              <w:bottom w:val="single" w:sz="4" w:space="0" w:color="auto"/>
            </w:tcBorders>
          </w:tcPr>
          <w:p w:rsidR="00EB43F2" w:rsidRPr="0098490B" w:rsidRDefault="00EB43F2" w:rsidP="00CB7A2F">
            <w:pPr>
              <w:spacing w:before="0"/>
              <w:rPr>
                <w:szCs w:val="24"/>
                <w:lang w:val="fr-FR"/>
              </w:rPr>
            </w:pPr>
            <w:bookmarkStart w:id="56" w:name="lt_pId193"/>
            <w:r w:rsidRPr="0098490B">
              <w:rPr>
                <w:szCs w:val="24"/>
                <w:lang w:val="fr-FR"/>
              </w:rPr>
              <w:t>Résolution 3</w:t>
            </w:r>
            <w:bookmarkEnd w:id="56"/>
          </w:p>
        </w:tc>
      </w:tr>
      <w:tr w:rsidR="00EB43F2" w:rsidRPr="0098490B" w:rsidTr="000A0B3D">
        <w:trPr>
          <w:trHeight w:val="397"/>
        </w:trPr>
        <w:tc>
          <w:tcPr>
            <w:tcW w:w="3114" w:type="dxa"/>
            <w:tcBorders>
              <w:top w:val="single" w:sz="4" w:space="0" w:color="auto"/>
              <w:bottom w:val="single" w:sz="4" w:space="0" w:color="auto"/>
              <w:right w:val="single" w:sz="4" w:space="0" w:color="auto"/>
            </w:tcBorders>
          </w:tcPr>
          <w:p w:rsidR="00EB43F2" w:rsidRPr="0098490B" w:rsidRDefault="00F50FBE" w:rsidP="00CB7A2F">
            <w:pPr>
              <w:spacing w:before="0"/>
              <w:rPr>
                <w:i/>
                <w:iCs/>
                <w:szCs w:val="24"/>
                <w:lang w:val="fr-FR"/>
              </w:rPr>
            </w:pPr>
            <w:r>
              <w:rPr>
                <w:i/>
                <w:iCs/>
                <w:lang w:val="fr-FR"/>
              </w:rPr>
              <w:t>Grandes orientations du </w:t>
            </w:r>
            <w:r w:rsidR="00EB43F2" w:rsidRPr="0098490B">
              <w:rPr>
                <w:i/>
                <w:iCs/>
                <w:lang w:val="fr-FR"/>
              </w:rPr>
              <w:t>SMSI</w:t>
            </w:r>
          </w:p>
        </w:tc>
        <w:tc>
          <w:tcPr>
            <w:tcW w:w="6515" w:type="dxa"/>
            <w:tcBorders>
              <w:top w:val="single" w:sz="4" w:space="0" w:color="auto"/>
              <w:left w:val="single" w:sz="4" w:space="0" w:color="auto"/>
              <w:bottom w:val="single" w:sz="4" w:space="0" w:color="auto"/>
            </w:tcBorders>
          </w:tcPr>
          <w:p w:rsidR="00EB43F2" w:rsidRPr="0098490B" w:rsidRDefault="00917EA6" w:rsidP="00CB7A2F">
            <w:pPr>
              <w:spacing w:before="0"/>
              <w:rPr>
                <w:szCs w:val="24"/>
                <w:lang w:val="fr-FR"/>
              </w:rPr>
            </w:pPr>
            <w:r w:rsidRPr="0098490B">
              <w:rPr>
                <w:color w:val="000000"/>
                <w:lang w:val="fr-FR"/>
              </w:rPr>
              <w:t>Grande orientation C6 du Plan d'</w:t>
            </w:r>
            <w:r w:rsidR="00F50FBE">
              <w:rPr>
                <w:color w:val="000000"/>
                <w:lang w:val="fr-FR"/>
              </w:rPr>
              <w:t>action de Genève et paragraphes </w:t>
            </w:r>
            <w:r w:rsidRPr="0098490B">
              <w:rPr>
                <w:color w:val="000000"/>
                <w:lang w:val="fr-FR"/>
              </w:rPr>
              <w:t>112 à 119 de l'Agenda de Tunis pour la société de l'information</w:t>
            </w:r>
          </w:p>
        </w:tc>
      </w:tr>
      <w:tr w:rsidR="00EB43F2" w:rsidRPr="0098490B" w:rsidTr="000A0B3D">
        <w:tc>
          <w:tcPr>
            <w:tcW w:w="3114" w:type="dxa"/>
            <w:tcBorders>
              <w:top w:val="single" w:sz="4" w:space="0" w:color="auto"/>
              <w:bottom w:val="single" w:sz="4" w:space="0" w:color="auto"/>
              <w:right w:val="single" w:sz="4" w:space="0" w:color="auto"/>
            </w:tcBorders>
          </w:tcPr>
          <w:p w:rsidR="00EB43F2" w:rsidRPr="0098490B" w:rsidRDefault="00EB43F2" w:rsidP="00CB7A2F">
            <w:pPr>
              <w:spacing w:before="0"/>
              <w:rPr>
                <w:i/>
                <w:iCs/>
                <w:szCs w:val="24"/>
                <w:lang w:val="fr-FR"/>
              </w:rPr>
            </w:pPr>
            <w:r w:rsidRPr="0098490B">
              <w:rPr>
                <w:i/>
                <w:iCs/>
                <w:lang w:val="fr-FR"/>
              </w:rPr>
              <w:t>Contribution aux cibles des O</w:t>
            </w:r>
            <w:r w:rsidR="00917EA6" w:rsidRPr="0098490B">
              <w:rPr>
                <w:i/>
                <w:iCs/>
                <w:lang w:val="fr-FR"/>
              </w:rPr>
              <w:t>bjectifs de développement durable</w:t>
            </w:r>
          </w:p>
        </w:tc>
        <w:tc>
          <w:tcPr>
            <w:tcW w:w="6515" w:type="dxa"/>
            <w:tcBorders>
              <w:top w:val="single" w:sz="4" w:space="0" w:color="auto"/>
              <w:left w:val="single" w:sz="4" w:space="0" w:color="auto"/>
              <w:bottom w:val="single" w:sz="4" w:space="0" w:color="auto"/>
            </w:tcBorders>
          </w:tcPr>
          <w:p w:rsidR="00EB43F2" w:rsidRPr="0098490B" w:rsidRDefault="00917EA6" w:rsidP="00CB7A2F">
            <w:pPr>
              <w:spacing w:before="0"/>
              <w:rPr>
                <w:szCs w:val="24"/>
                <w:lang w:val="fr-FR"/>
              </w:rPr>
            </w:pPr>
            <w:bookmarkStart w:id="57" w:name="lt_pId197"/>
            <w:r w:rsidRPr="0098490B">
              <w:rPr>
                <w:szCs w:val="24"/>
                <w:lang w:val="fr-FR"/>
              </w:rPr>
              <w:t>Objectif</w:t>
            </w:r>
            <w:r w:rsidR="00F172A4" w:rsidRPr="0098490B">
              <w:rPr>
                <w:szCs w:val="24"/>
                <w:lang w:val="fr-FR"/>
              </w:rPr>
              <w:t>s</w:t>
            </w:r>
            <w:r w:rsidRPr="0098490B">
              <w:rPr>
                <w:szCs w:val="24"/>
                <w:lang w:val="fr-FR"/>
              </w:rPr>
              <w:t xml:space="preserve"> de développement durable</w:t>
            </w:r>
            <w:r w:rsidR="00EB43F2" w:rsidRPr="0098490B">
              <w:rPr>
                <w:szCs w:val="24"/>
                <w:lang w:val="fr-FR"/>
              </w:rPr>
              <w:t>:</w:t>
            </w:r>
            <w:bookmarkEnd w:id="57"/>
            <w:r w:rsidR="00EB43F2" w:rsidRPr="0098490B">
              <w:rPr>
                <w:szCs w:val="24"/>
                <w:lang w:val="fr-FR"/>
              </w:rPr>
              <w:t xml:space="preserve"> </w:t>
            </w:r>
            <w:bookmarkStart w:id="58" w:name="lt_pId198"/>
            <w:r w:rsidR="00EB43F2" w:rsidRPr="0098490B">
              <w:rPr>
                <w:szCs w:val="24"/>
                <w:lang w:val="fr-FR"/>
              </w:rPr>
              <w:t>1 (cibles 1.1, 1.2, 1.3, 1.4, 1.5, 1.a, 1.b), 2 (cibles 2.3, 2.4, 2.c), 3 (cibles 3.8, 3.d), 4 (cibles 4.3, 4.4, 4.5, 4.7, 4.c), 5 (cibles 5.1, 5.b), 7 (cibles 7.a, 7.b), 8 (cibles 8.2, 8.3, 8.9, 8.10), 9 (cibles 9.1, 9.3, 9.5, 9.a, 9.c), 10 (cibles 10.3, 10.c), 11 (</w:t>
            </w:r>
            <w:r w:rsidRPr="0098490B">
              <w:rPr>
                <w:szCs w:val="24"/>
                <w:lang w:val="fr-FR"/>
              </w:rPr>
              <w:t>cible</w:t>
            </w:r>
            <w:r w:rsidR="00EB43F2" w:rsidRPr="0098490B">
              <w:rPr>
                <w:szCs w:val="24"/>
                <w:lang w:val="fr-FR"/>
              </w:rPr>
              <w:t xml:space="preserve"> 11.1), 12 (cibles 12.8, 12.b), 13 (</w:t>
            </w:r>
            <w:r w:rsidRPr="0098490B">
              <w:rPr>
                <w:szCs w:val="24"/>
                <w:lang w:val="fr-FR"/>
              </w:rPr>
              <w:t>cible</w:t>
            </w:r>
            <w:r w:rsidR="00EB43F2" w:rsidRPr="0098490B">
              <w:rPr>
                <w:szCs w:val="24"/>
                <w:lang w:val="fr-FR"/>
              </w:rPr>
              <w:t xml:space="preserve"> 13.3), 16 (cibles 16.6, 16.7, 16.8, 16.10, 16.b), 17 (cibles 17.6, 17.8, 17.9, 17.14, 17.16, 17.17)</w:t>
            </w:r>
            <w:bookmarkEnd w:id="58"/>
          </w:p>
        </w:tc>
      </w:tr>
    </w:tbl>
    <w:p w:rsidR="00084CA2" w:rsidRPr="0098490B" w:rsidRDefault="00084CA2" w:rsidP="00CB7A2F">
      <w:pPr>
        <w:pStyle w:val="Heading2"/>
        <w:spacing w:after="120"/>
        <w:rPr>
          <w:lang w:val="fr-FR"/>
        </w:rPr>
      </w:pPr>
      <w:bookmarkStart w:id="59" w:name="_Toc467807694"/>
      <w:bookmarkStart w:id="60" w:name="_Toc468087093"/>
      <w:r w:rsidRPr="0098490B">
        <w:rPr>
          <w:lang w:val="fr-FR"/>
        </w:rPr>
        <w:t>2.2</w:t>
      </w:r>
      <w:r w:rsidRPr="0098490B">
        <w:rPr>
          <w:lang w:val="fr-FR"/>
        </w:rPr>
        <w:tab/>
        <w:t>Réseaux de télécommunication/TIC, y compris la conformité et l'interopérabilité et la réduction de l'écart en matière de normalisation</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114"/>
        <w:gridCol w:w="6515"/>
      </w:tblGrid>
      <w:tr w:rsidR="00084CA2" w:rsidRPr="0098490B" w:rsidTr="004268F3">
        <w:tc>
          <w:tcPr>
            <w:tcW w:w="9629" w:type="dxa"/>
            <w:gridSpan w:val="2"/>
            <w:tcBorders>
              <w:bottom w:val="single" w:sz="4" w:space="0" w:color="auto"/>
            </w:tcBorders>
          </w:tcPr>
          <w:p w:rsidR="000F54FA" w:rsidRPr="0098490B" w:rsidRDefault="00084CA2" w:rsidP="00CB7A2F">
            <w:pPr>
              <w:rPr>
                <w:lang w:val="fr-FR"/>
              </w:rPr>
            </w:pPr>
            <w:r w:rsidRPr="0098490B">
              <w:rPr>
                <w:lang w:val="fr-FR"/>
              </w:rPr>
              <w:t xml:space="preserve">L'UIT-D </w:t>
            </w:r>
            <w:r w:rsidR="00DC4435" w:rsidRPr="0098490B">
              <w:rPr>
                <w:lang w:val="fr-FR"/>
              </w:rPr>
              <w:t>a continué</w:t>
            </w:r>
            <w:r w:rsidRPr="0098490B">
              <w:rPr>
                <w:lang w:val="fr-FR"/>
              </w:rPr>
              <w:t xml:space="preserve"> de mettre en oeuvre et d'actualiser </w:t>
            </w:r>
            <w:r w:rsidR="0065377B" w:rsidRPr="0098490B">
              <w:rPr>
                <w:lang w:val="fr-FR"/>
              </w:rPr>
              <w:t xml:space="preserve">la cartographie interactive </w:t>
            </w:r>
            <w:r w:rsidRPr="0098490B">
              <w:rPr>
                <w:lang w:val="fr-FR"/>
              </w:rPr>
              <w:t>des réseaux de transmission de Terre</w:t>
            </w:r>
            <w:r w:rsidR="0065377B" w:rsidRPr="0098490B">
              <w:rPr>
                <w:lang w:val="fr-FR"/>
              </w:rPr>
              <w:t xml:space="preserve"> de l'UIT </w:t>
            </w:r>
            <w:r w:rsidR="0065377B" w:rsidRPr="0098490B">
              <w:rPr>
                <w:szCs w:val="24"/>
                <w:lang w:val="fr-FR"/>
              </w:rPr>
              <w:t>(</w:t>
            </w:r>
            <w:hyperlink r:id="rId13" w:history="1">
              <w:r w:rsidR="0065377B" w:rsidRPr="0098490B">
                <w:rPr>
                  <w:rStyle w:val="Hyperlink"/>
                  <w:szCs w:val="24"/>
                  <w:lang w:val="fr-FR"/>
                </w:rPr>
                <w:t>http://itu.int/go/Maps</w:t>
              </w:r>
            </w:hyperlink>
            <w:r w:rsidR="0065377B" w:rsidRPr="0098490B">
              <w:rPr>
                <w:szCs w:val="24"/>
                <w:lang w:val="fr-FR"/>
              </w:rPr>
              <w:t>)</w:t>
            </w:r>
            <w:r w:rsidRPr="0098490B">
              <w:rPr>
                <w:lang w:val="fr-FR"/>
              </w:rPr>
              <w:t xml:space="preserve">. </w:t>
            </w:r>
            <w:r w:rsidR="0065377B" w:rsidRPr="0098490B">
              <w:rPr>
                <w:lang w:val="fr-FR"/>
              </w:rPr>
              <w:t>Les cartes</w:t>
            </w:r>
            <w:r w:rsidRPr="0098490B">
              <w:rPr>
                <w:lang w:val="fr-FR"/>
              </w:rPr>
              <w:t xml:space="preserve"> de l'UIT </w:t>
            </w:r>
            <w:r w:rsidR="00DC4435" w:rsidRPr="0098490B">
              <w:rPr>
                <w:lang w:val="fr-FR"/>
              </w:rPr>
              <w:t>présente</w:t>
            </w:r>
            <w:r w:rsidR="0065377B" w:rsidRPr="0098490B">
              <w:rPr>
                <w:lang w:val="fr-FR"/>
              </w:rPr>
              <w:t>nt</w:t>
            </w:r>
            <w:r w:rsidR="00DC4435" w:rsidRPr="0098490B">
              <w:rPr>
                <w:lang w:val="fr-FR"/>
              </w:rPr>
              <w:t xml:space="preserve"> des infrastructures TIC essentielles </w:t>
            </w:r>
            <w:r w:rsidR="00CB7A2F" w:rsidRPr="0098490B">
              <w:rPr>
                <w:lang w:val="fr-FR"/>
              </w:rPr>
              <w:t>concernant</w:t>
            </w:r>
            <w:r w:rsidRPr="0098490B">
              <w:rPr>
                <w:lang w:val="fr-FR"/>
              </w:rPr>
              <w:t xml:space="preserve"> les réseaux dorsaux large bande à fibres optiques, les liaisons hyperfréquences, les stations terriennes par satellites et les câbles sous-marins.</w:t>
            </w:r>
            <w:r w:rsidR="0065377B" w:rsidRPr="0098490B">
              <w:rPr>
                <w:lang w:val="fr-FR"/>
              </w:rPr>
              <w:t xml:space="preserve"> </w:t>
            </w:r>
            <w:r w:rsidR="000F54FA" w:rsidRPr="0098490B">
              <w:rPr>
                <w:lang w:val="fr-FR"/>
              </w:rPr>
              <w:t xml:space="preserve">L'interface des cartes a été renouvelé pour permettre la visualisation de nouvelles données et l'intégration de l'analyse de données. Les éléments suivants ont été </w:t>
            </w:r>
            <w:r w:rsidR="00AB0B30" w:rsidRPr="0098490B">
              <w:rPr>
                <w:lang w:val="fr-FR"/>
              </w:rPr>
              <w:t>fournis</w:t>
            </w:r>
            <w:r w:rsidR="000F54FA" w:rsidRPr="0098490B">
              <w:rPr>
                <w:lang w:val="fr-FR"/>
              </w:rPr>
              <w:t xml:space="preserve">: propositions d'améliorations graphiques, maquettes fil de fer </w:t>
            </w:r>
            <w:r w:rsidR="00AB0B30" w:rsidRPr="0098490B">
              <w:rPr>
                <w:lang w:val="fr-FR"/>
              </w:rPr>
              <w:t>concernant</w:t>
            </w:r>
            <w:r w:rsidR="000F54FA" w:rsidRPr="0098490B">
              <w:rPr>
                <w:lang w:val="fr-FR"/>
              </w:rPr>
              <w:t xml:space="preserve"> les applications pour téléphones intelligents et tablettes, ainsi que tableau de bord et statistiques. Des vidéos et des </w:t>
            </w:r>
            <w:r w:rsidR="000F54FA" w:rsidRPr="0098490B">
              <w:rPr>
                <w:lang w:val="fr-FR"/>
              </w:rPr>
              <w:lastRenderedPageBreak/>
              <w:t xml:space="preserve">démonstrations destinées aux manifestations sont en cours d'élaboration. </w:t>
            </w:r>
            <w:r w:rsidR="00AB0B30" w:rsidRPr="0098490B">
              <w:rPr>
                <w:lang w:val="fr-FR"/>
              </w:rPr>
              <w:t xml:space="preserve">A l'heure </w:t>
            </w:r>
            <w:r w:rsidR="00AB0B30" w:rsidRPr="0098490B">
              <w:rPr>
                <w:color w:val="000000"/>
                <w:lang w:val="fr-FR"/>
              </w:rPr>
              <w:t xml:space="preserve">où nous rédigeons le présent rapport, la carte englobe des informations </w:t>
            </w:r>
            <w:r w:rsidR="00AB0B30" w:rsidRPr="0098490B">
              <w:rPr>
                <w:lang w:val="fr-FR"/>
              </w:rPr>
              <w:t>relatives à</w:t>
            </w:r>
            <w:r w:rsidR="000F54FA" w:rsidRPr="0098490B">
              <w:rPr>
                <w:lang w:val="fr-FR"/>
              </w:rPr>
              <w:t xml:space="preserve"> 406 </w:t>
            </w:r>
            <w:r w:rsidR="000F54FA" w:rsidRPr="0098490B">
              <w:rPr>
                <w:color w:val="000000"/>
                <w:lang w:val="fr-FR"/>
              </w:rPr>
              <w:t xml:space="preserve">réseaux d'opérateurs et 19 170 noeuds du monde entier. </w:t>
            </w:r>
            <w:r w:rsidR="00AB0B30" w:rsidRPr="0098490B">
              <w:rPr>
                <w:color w:val="000000"/>
                <w:lang w:val="fr-FR"/>
              </w:rPr>
              <w:t xml:space="preserve">Les travaux de recherche sur les liaisons de transmission ont porté sur </w:t>
            </w:r>
            <w:r w:rsidR="000F54FA" w:rsidRPr="0098490B">
              <w:rPr>
                <w:szCs w:val="24"/>
                <w:lang w:val="fr-FR"/>
              </w:rPr>
              <w:t xml:space="preserve">13 010 406 km de </w:t>
            </w:r>
            <w:r w:rsidR="00A816CB" w:rsidRPr="0098490B">
              <w:rPr>
                <w:szCs w:val="24"/>
                <w:lang w:val="fr-FR"/>
              </w:rPr>
              <w:t>câbles</w:t>
            </w:r>
            <w:r w:rsidR="000F54FA" w:rsidRPr="0098490B">
              <w:rPr>
                <w:szCs w:val="24"/>
                <w:lang w:val="fr-FR"/>
              </w:rPr>
              <w:t>, do</w:t>
            </w:r>
            <w:r w:rsidR="00A816CB" w:rsidRPr="0098490B">
              <w:rPr>
                <w:szCs w:val="24"/>
                <w:lang w:val="fr-FR"/>
              </w:rPr>
              <w:t>nt 3 101 414 km ont été importé</w:t>
            </w:r>
            <w:r w:rsidR="000F54FA" w:rsidRPr="0098490B">
              <w:rPr>
                <w:szCs w:val="24"/>
                <w:lang w:val="fr-FR"/>
              </w:rPr>
              <w:t>s dans la carte. Une nouvelle page w</w:t>
            </w:r>
            <w:r w:rsidR="00A816CB" w:rsidRPr="0098490B">
              <w:rPr>
                <w:szCs w:val="24"/>
                <w:lang w:val="fr-FR"/>
              </w:rPr>
              <w:t>eb, des couches supplémentaires</w:t>
            </w:r>
            <w:r w:rsidR="000F54FA" w:rsidRPr="0098490B">
              <w:rPr>
                <w:szCs w:val="24"/>
                <w:lang w:val="fr-FR"/>
              </w:rPr>
              <w:t xml:space="preserve"> (points IXP en collaboration avec Telegeography) ainsi que des tableaux de bord ont été ajoutés; les renseignements concernant les câbles sous-marins et les stations terriennes par satellite ont été mis à jour.</w:t>
            </w:r>
          </w:p>
          <w:p w:rsidR="000F54FA" w:rsidRPr="0098490B" w:rsidRDefault="000F54FA" w:rsidP="00784D97">
            <w:pPr>
              <w:rPr>
                <w:lang w:val="fr-FR"/>
              </w:rPr>
            </w:pPr>
            <w:r w:rsidRPr="0098490B">
              <w:rPr>
                <w:lang w:val="fr-FR"/>
              </w:rPr>
              <w:t xml:space="preserve">Une </w:t>
            </w:r>
            <w:r w:rsidR="00073CCC" w:rsidRPr="0098490B">
              <w:rPr>
                <w:lang w:val="fr-FR"/>
              </w:rPr>
              <w:t xml:space="preserve">version révisée </w:t>
            </w:r>
            <w:r w:rsidRPr="0098490B">
              <w:rPr>
                <w:lang w:val="fr-FR"/>
              </w:rPr>
              <w:t>du rapport sur la mise en oeuvre d'infrastructures évolutives de télécommunication/TIC pour les pays en développement et ses aspects techniques, économiques et politiques a été élaborée et remi</w:t>
            </w:r>
            <w:r w:rsidR="0037319A">
              <w:rPr>
                <w:lang w:val="fr-FR"/>
              </w:rPr>
              <w:t>se à tous les participants des C</w:t>
            </w:r>
            <w:r w:rsidRPr="0098490B">
              <w:rPr>
                <w:lang w:val="fr-FR"/>
              </w:rPr>
              <w:t xml:space="preserve">ommissions d'études de l'UIT-D. </w:t>
            </w:r>
            <w:bookmarkStart w:id="61" w:name="lt_pId213"/>
            <w:r w:rsidR="00073CCC" w:rsidRPr="0098490B">
              <w:rPr>
                <w:lang w:val="fr-FR"/>
              </w:rPr>
              <w:t>E</w:t>
            </w:r>
            <w:r w:rsidRPr="0098490B">
              <w:rPr>
                <w:lang w:val="fr-FR"/>
              </w:rPr>
              <w:t xml:space="preserve">n plus </w:t>
            </w:r>
            <w:r w:rsidR="00073CCC" w:rsidRPr="0098490B">
              <w:rPr>
                <w:lang w:val="fr-FR"/>
              </w:rPr>
              <w:t xml:space="preserve">d'aborder </w:t>
            </w:r>
            <w:r w:rsidRPr="0098490B">
              <w:rPr>
                <w:lang w:val="fr-FR"/>
              </w:rPr>
              <w:t xml:space="preserve">les infrastructures </w:t>
            </w:r>
            <w:r w:rsidR="00073CCC" w:rsidRPr="0098490B">
              <w:rPr>
                <w:lang w:val="fr-FR"/>
              </w:rPr>
              <w:t xml:space="preserve">essentielles </w:t>
            </w:r>
            <w:r w:rsidRPr="0098490B">
              <w:rPr>
                <w:lang w:val="fr-FR"/>
              </w:rPr>
              <w:t xml:space="preserve">de télécommunication/TIC et leurs technologies, </w:t>
            </w:r>
            <w:r w:rsidR="00073CCC" w:rsidRPr="0098490B">
              <w:rPr>
                <w:lang w:val="fr-FR"/>
              </w:rPr>
              <w:t xml:space="preserve">cette version révisée intègre </w:t>
            </w:r>
            <w:r w:rsidRPr="0098490B">
              <w:rPr>
                <w:lang w:val="fr-FR"/>
              </w:rPr>
              <w:t xml:space="preserve">des informations sur le processus et les concepts associés à la normalisation de l'Internet des objets, le spectre et la </w:t>
            </w:r>
            <w:bookmarkEnd w:id="61"/>
            <w:r w:rsidR="00BD1EBA" w:rsidRPr="0098490B">
              <w:rPr>
                <w:lang w:val="fr-FR"/>
              </w:rPr>
              <w:t>radiodiffusion. Le</w:t>
            </w:r>
            <w:r w:rsidRPr="0098490B">
              <w:rPr>
                <w:lang w:val="fr-FR"/>
              </w:rPr>
              <w:t xml:space="preserve"> rapport fait référence à plus de 200 publi</w:t>
            </w:r>
            <w:r w:rsidR="0037319A">
              <w:rPr>
                <w:lang w:val="fr-FR"/>
              </w:rPr>
              <w:t>cations de l'UIT (rapports des C</w:t>
            </w:r>
            <w:r w:rsidRPr="0098490B">
              <w:rPr>
                <w:lang w:val="fr-FR"/>
              </w:rPr>
              <w:t xml:space="preserve">ommissions d'études de l'UIT-D, lignes directrices de l'UIT et recommandations de l'UIT émanant de tous les Secteurs de l'Union, </w:t>
            </w:r>
            <w:r w:rsidR="00BF5BAA" w:rsidRPr="0098490B">
              <w:rPr>
                <w:lang w:val="fr-FR"/>
              </w:rPr>
              <w:t>par exemple</w:t>
            </w:r>
            <w:r w:rsidRPr="0098490B">
              <w:rPr>
                <w:lang w:val="fr-FR"/>
              </w:rPr>
              <w:t>).</w:t>
            </w:r>
          </w:p>
          <w:p w:rsidR="000F54FA" w:rsidRPr="0098490B" w:rsidRDefault="000F54FA" w:rsidP="00CB7A2F">
            <w:pPr>
              <w:rPr>
                <w:lang w:val="fr-FR"/>
              </w:rPr>
            </w:pPr>
            <w:r w:rsidRPr="0098490B">
              <w:rPr>
                <w:lang w:val="fr-FR"/>
              </w:rPr>
              <w:t>Conformément à la</w:t>
            </w:r>
            <w:r w:rsidR="0098490B">
              <w:rPr>
                <w:lang w:val="fr-FR"/>
              </w:rPr>
              <w:t xml:space="preserve"> Résolution 47 de la CMDT (Rév.</w:t>
            </w:r>
            <w:r w:rsidRPr="0098490B">
              <w:rPr>
                <w:lang w:val="fr-FR"/>
              </w:rPr>
              <w:t xml:space="preserve">Dubaï, 2014), des forums et des cours de formation sur la conformité et l'interopérabilité ont été organisés au niveau régional. </w:t>
            </w:r>
            <w:bookmarkStart w:id="62" w:name="lt_pId216"/>
            <w:r w:rsidRPr="0098490B">
              <w:rPr>
                <w:lang w:val="fr-FR"/>
              </w:rPr>
              <w:t>Une étude d'évaluation sur la conformité et l'interopérabilité a été élaborée pour la</w:t>
            </w:r>
            <w:r w:rsidR="00AC00BD" w:rsidRPr="0098490B">
              <w:rPr>
                <w:lang w:val="fr-FR"/>
              </w:rPr>
              <w:t xml:space="preserve"> région de l'Amérique du Sud, à laquelle</w:t>
            </w:r>
            <w:r w:rsidRPr="0098490B">
              <w:rPr>
                <w:lang w:val="fr-FR"/>
              </w:rPr>
              <w:t xml:space="preserve"> </w:t>
            </w:r>
            <w:r w:rsidR="00CB7A2F" w:rsidRPr="0098490B">
              <w:rPr>
                <w:lang w:val="fr-FR"/>
              </w:rPr>
              <w:t>ont pris part neuf</w:t>
            </w:r>
            <w:r w:rsidRPr="0098490B">
              <w:rPr>
                <w:lang w:val="fr-FR"/>
              </w:rPr>
              <w:t xml:space="preserve"> des </w:t>
            </w:r>
            <w:r w:rsidR="00CB7A2F" w:rsidRPr="0098490B">
              <w:rPr>
                <w:lang w:val="fr-FR"/>
              </w:rPr>
              <w:t>dix</w:t>
            </w:r>
            <w:r w:rsidRPr="0098490B">
              <w:rPr>
                <w:lang w:val="fr-FR"/>
              </w:rPr>
              <w:t xml:space="preserve"> pays de la région. Des formations ont été organisées au niveau régional avec le concours de laboratoires de test partenaires pour les régions Amériques, Asie-Pacifique et Afrique.</w:t>
            </w:r>
          </w:p>
          <w:p w:rsidR="000F54FA" w:rsidRPr="0098490B" w:rsidRDefault="000F54FA" w:rsidP="00784D97">
            <w:pPr>
              <w:rPr>
                <w:color w:val="000000"/>
                <w:lang w:val="fr-FR"/>
              </w:rPr>
            </w:pPr>
            <w:r w:rsidRPr="0098490B">
              <w:rPr>
                <w:lang w:val="fr-FR"/>
              </w:rPr>
              <w:t xml:space="preserve">Les capacités des membres de l'UIT ont été renforcées sur un ensemble de questions relatives aux </w:t>
            </w:r>
            <w:r w:rsidRPr="0098490B">
              <w:rPr>
                <w:color w:val="000000"/>
                <w:lang w:val="fr-FR"/>
              </w:rPr>
              <w:t>réseaux de télécommunication/TIC, et notamment la conformité et l'interopérabilité, la télévision numérique de Terre, le protocole IPv6, le système de gestion du spectre pour les pays en développement (SMS4DC), la gestion du spectre, la planification et la coordination des fréquences, etc.</w:t>
            </w:r>
            <w:bookmarkEnd w:id="62"/>
          </w:p>
          <w:p w:rsidR="00084CA2" w:rsidRPr="0098490B" w:rsidRDefault="000F54FA" w:rsidP="008C0AA2">
            <w:pPr>
              <w:spacing w:after="120"/>
              <w:rPr>
                <w:lang w:val="fr-FR"/>
              </w:rPr>
            </w:pPr>
            <w:r w:rsidRPr="0098490B">
              <w:rPr>
                <w:color w:val="000000"/>
                <w:lang w:val="fr-FR"/>
              </w:rPr>
              <w:t xml:space="preserve">Une assistance directe a été fournie en ce qui concerne </w:t>
            </w:r>
            <w:r w:rsidR="00430590" w:rsidRPr="0098490B">
              <w:rPr>
                <w:color w:val="000000"/>
                <w:lang w:val="fr-FR"/>
              </w:rPr>
              <w:t xml:space="preserve">notamment </w:t>
            </w:r>
            <w:r w:rsidRPr="0098490B">
              <w:rPr>
                <w:color w:val="000000"/>
                <w:lang w:val="fr-FR"/>
              </w:rPr>
              <w:t xml:space="preserve">la planification des fréquences, les plans directeurs pour la gestion du spectre, le passage de la radiodiffusion télévisuelle analogique à la radiodiffusion télévisuelle numérique de Terre, les futurs échanges Internet et le large bande fondé sur le protocole IPv6, la mise en oeuvre de réseaux hertziens large bande, la radiodiffusion sonore, </w:t>
            </w:r>
            <w:r w:rsidR="00430590" w:rsidRPr="0098490B">
              <w:rPr>
                <w:color w:val="000000"/>
                <w:lang w:val="fr-FR"/>
              </w:rPr>
              <w:t xml:space="preserve">ou encore </w:t>
            </w:r>
            <w:r w:rsidRPr="0098490B">
              <w:rPr>
                <w:color w:val="000000"/>
                <w:lang w:val="fr-FR"/>
              </w:rPr>
              <w:t>les points d'échange Intern</w:t>
            </w:r>
            <w:r w:rsidR="00430590" w:rsidRPr="0098490B">
              <w:rPr>
                <w:color w:val="000000"/>
                <w:lang w:val="fr-FR"/>
              </w:rPr>
              <w:t>et (IXP) nationaux et régionaux</w:t>
            </w:r>
            <w:r w:rsidRPr="0098490B">
              <w:rPr>
                <w:color w:val="000000"/>
                <w:lang w:val="fr-FR"/>
              </w:rPr>
              <w:t>.</w:t>
            </w:r>
          </w:p>
        </w:tc>
      </w:tr>
      <w:tr w:rsidR="003873EA" w:rsidRPr="0098490B" w:rsidTr="000A0B3D">
        <w:tc>
          <w:tcPr>
            <w:tcW w:w="3114" w:type="dxa"/>
            <w:tcBorders>
              <w:right w:val="single" w:sz="4" w:space="0" w:color="auto"/>
            </w:tcBorders>
          </w:tcPr>
          <w:p w:rsidR="003873EA" w:rsidRPr="0098490B" w:rsidRDefault="003873EA" w:rsidP="00CB7A2F">
            <w:pPr>
              <w:spacing w:before="0"/>
              <w:rPr>
                <w:i/>
                <w:iCs/>
                <w:szCs w:val="24"/>
                <w:lang w:val="fr-FR"/>
              </w:rPr>
            </w:pPr>
            <w:r w:rsidRPr="0098490B">
              <w:rPr>
                <w:i/>
                <w:iCs/>
                <w:szCs w:val="24"/>
                <w:lang w:val="fr-FR"/>
              </w:rPr>
              <w:lastRenderedPageBreak/>
              <w:t>CMDT</w:t>
            </w:r>
          </w:p>
        </w:tc>
        <w:tc>
          <w:tcPr>
            <w:tcW w:w="6515" w:type="dxa"/>
            <w:tcBorders>
              <w:left w:val="single" w:sz="4" w:space="0" w:color="auto"/>
            </w:tcBorders>
          </w:tcPr>
          <w:p w:rsidR="003873EA" w:rsidRPr="0098490B" w:rsidRDefault="003873EA" w:rsidP="00CB7A2F">
            <w:pPr>
              <w:spacing w:before="0"/>
              <w:rPr>
                <w:szCs w:val="24"/>
                <w:lang w:val="fr-FR"/>
              </w:rPr>
            </w:pPr>
            <w:bookmarkStart w:id="63" w:name="lt_pId221"/>
            <w:r w:rsidRPr="0098490B">
              <w:rPr>
                <w:szCs w:val="24"/>
                <w:lang w:val="fr-FR"/>
              </w:rPr>
              <w:t>Résolutions 1, 9, 10, 11, 13, 17, 18, 20, 21, 22, 23, 25, 30, 32, 35, 37, 39, 43, 47, 48, 50, 51, 52, 57, 62, 63, 77</w:t>
            </w:r>
            <w:bookmarkEnd w:id="63"/>
          </w:p>
          <w:p w:rsidR="003873EA" w:rsidRPr="0098490B" w:rsidRDefault="003873EA" w:rsidP="00CB7A2F">
            <w:pPr>
              <w:spacing w:before="0"/>
              <w:rPr>
                <w:szCs w:val="24"/>
                <w:lang w:val="fr-FR"/>
              </w:rPr>
            </w:pPr>
            <w:bookmarkStart w:id="64" w:name="lt_pId222"/>
            <w:r w:rsidRPr="0098490B">
              <w:rPr>
                <w:szCs w:val="24"/>
                <w:lang w:val="fr-FR"/>
              </w:rPr>
              <w:t>Recommandations 17, 19, 22</w:t>
            </w:r>
            <w:bookmarkEnd w:id="64"/>
          </w:p>
        </w:tc>
      </w:tr>
      <w:tr w:rsidR="003873EA" w:rsidRPr="0098490B" w:rsidTr="000A0B3D">
        <w:trPr>
          <w:trHeight w:val="397"/>
        </w:trPr>
        <w:tc>
          <w:tcPr>
            <w:tcW w:w="3114" w:type="dxa"/>
            <w:tcBorders>
              <w:right w:val="single" w:sz="4" w:space="0" w:color="auto"/>
            </w:tcBorders>
          </w:tcPr>
          <w:p w:rsidR="003873EA" w:rsidRPr="0098490B" w:rsidRDefault="000F025D" w:rsidP="00CB7A2F">
            <w:pPr>
              <w:spacing w:before="0"/>
              <w:rPr>
                <w:i/>
                <w:iCs/>
                <w:lang w:val="fr-FR"/>
              </w:rPr>
            </w:pPr>
            <w:r w:rsidRPr="0098490B">
              <w:rPr>
                <w:i/>
                <w:iCs/>
                <w:lang w:val="fr-FR"/>
              </w:rPr>
              <w:t>Conférence de plénipotentiaires</w:t>
            </w:r>
          </w:p>
        </w:tc>
        <w:tc>
          <w:tcPr>
            <w:tcW w:w="6515" w:type="dxa"/>
            <w:tcBorders>
              <w:left w:val="single" w:sz="4" w:space="0" w:color="auto"/>
            </w:tcBorders>
          </w:tcPr>
          <w:p w:rsidR="003873EA" w:rsidRPr="0098490B" w:rsidRDefault="003873EA" w:rsidP="00CB7A2F">
            <w:pPr>
              <w:spacing w:before="0"/>
              <w:rPr>
                <w:szCs w:val="24"/>
                <w:lang w:val="fr-FR"/>
              </w:rPr>
            </w:pPr>
            <w:bookmarkStart w:id="65" w:name="lt_pId224"/>
            <w:r w:rsidRPr="0098490B">
              <w:rPr>
                <w:szCs w:val="24"/>
                <w:lang w:val="fr-FR"/>
              </w:rPr>
              <w:t>Décisions 5, 13</w:t>
            </w:r>
            <w:bookmarkEnd w:id="65"/>
          </w:p>
          <w:p w:rsidR="003873EA" w:rsidRPr="0098490B" w:rsidRDefault="003873EA" w:rsidP="00CB7A2F">
            <w:pPr>
              <w:spacing w:before="0"/>
              <w:rPr>
                <w:szCs w:val="24"/>
                <w:lang w:val="fr-FR"/>
              </w:rPr>
            </w:pPr>
            <w:bookmarkStart w:id="66" w:name="lt_pId225"/>
            <w:r w:rsidRPr="0098490B">
              <w:rPr>
                <w:szCs w:val="24"/>
                <w:lang w:val="fr-FR"/>
              </w:rPr>
              <w:t>Résolutions 25, 71, 101, 123, 176, 177, 178, 203</w:t>
            </w:r>
            <w:bookmarkEnd w:id="66"/>
          </w:p>
        </w:tc>
      </w:tr>
      <w:tr w:rsidR="003873EA" w:rsidRPr="0098490B" w:rsidTr="000A0B3D">
        <w:trPr>
          <w:trHeight w:val="397"/>
        </w:trPr>
        <w:tc>
          <w:tcPr>
            <w:tcW w:w="3114" w:type="dxa"/>
            <w:tcBorders>
              <w:right w:val="single" w:sz="4" w:space="0" w:color="auto"/>
            </w:tcBorders>
          </w:tcPr>
          <w:p w:rsidR="003873EA" w:rsidRPr="0098490B" w:rsidRDefault="003873EA" w:rsidP="00CB7A2F">
            <w:pPr>
              <w:spacing w:before="0"/>
              <w:rPr>
                <w:i/>
                <w:iCs/>
                <w:lang w:val="fr-FR"/>
              </w:rPr>
            </w:pPr>
            <w:r w:rsidRPr="0098490B">
              <w:rPr>
                <w:i/>
                <w:iCs/>
                <w:lang w:val="fr-FR"/>
              </w:rPr>
              <w:t>CMR</w:t>
            </w:r>
          </w:p>
        </w:tc>
        <w:tc>
          <w:tcPr>
            <w:tcW w:w="6515" w:type="dxa"/>
            <w:tcBorders>
              <w:left w:val="single" w:sz="4" w:space="0" w:color="auto"/>
            </w:tcBorders>
          </w:tcPr>
          <w:p w:rsidR="003873EA" w:rsidRPr="0098490B" w:rsidRDefault="003873EA" w:rsidP="00CB7A2F">
            <w:pPr>
              <w:spacing w:before="0"/>
              <w:rPr>
                <w:szCs w:val="24"/>
                <w:lang w:val="fr-FR"/>
              </w:rPr>
            </w:pPr>
            <w:bookmarkStart w:id="67" w:name="lt_pId227"/>
            <w:r w:rsidRPr="0098490B">
              <w:rPr>
                <w:szCs w:val="24"/>
                <w:lang w:val="fr-FR"/>
              </w:rPr>
              <w:t>Résolutions 12, 55, 212, 223, 224, 238, 908</w:t>
            </w:r>
            <w:bookmarkEnd w:id="67"/>
          </w:p>
          <w:p w:rsidR="003873EA" w:rsidRPr="0098490B" w:rsidRDefault="003873EA" w:rsidP="00CB7A2F">
            <w:pPr>
              <w:spacing w:before="0"/>
              <w:rPr>
                <w:szCs w:val="24"/>
                <w:lang w:val="fr-FR"/>
              </w:rPr>
            </w:pPr>
            <w:bookmarkStart w:id="68" w:name="lt_pId228"/>
            <w:r w:rsidRPr="0098490B">
              <w:rPr>
                <w:szCs w:val="24"/>
                <w:lang w:val="fr-FR"/>
              </w:rPr>
              <w:t>Recommandation 207</w:t>
            </w:r>
            <w:bookmarkEnd w:id="68"/>
          </w:p>
        </w:tc>
      </w:tr>
      <w:tr w:rsidR="003873EA" w:rsidRPr="0098490B" w:rsidTr="000A0B3D">
        <w:trPr>
          <w:trHeight w:val="397"/>
        </w:trPr>
        <w:tc>
          <w:tcPr>
            <w:tcW w:w="3114" w:type="dxa"/>
            <w:tcBorders>
              <w:right w:val="single" w:sz="4" w:space="0" w:color="auto"/>
            </w:tcBorders>
          </w:tcPr>
          <w:p w:rsidR="003873EA" w:rsidRPr="0098490B" w:rsidRDefault="003873EA" w:rsidP="00CB7A2F">
            <w:pPr>
              <w:spacing w:before="0"/>
              <w:rPr>
                <w:i/>
                <w:iCs/>
                <w:szCs w:val="24"/>
                <w:lang w:val="fr-FR"/>
              </w:rPr>
            </w:pPr>
            <w:r w:rsidRPr="0098490B">
              <w:rPr>
                <w:i/>
                <w:iCs/>
                <w:szCs w:val="24"/>
                <w:lang w:val="fr-FR"/>
              </w:rPr>
              <w:t>AMNT</w:t>
            </w:r>
          </w:p>
        </w:tc>
        <w:tc>
          <w:tcPr>
            <w:tcW w:w="6515" w:type="dxa"/>
            <w:tcBorders>
              <w:left w:val="single" w:sz="4" w:space="0" w:color="auto"/>
            </w:tcBorders>
          </w:tcPr>
          <w:p w:rsidR="003873EA" w:rsidRPr="0098490B" w:rsidRDefault="003873EA" w:rsidP="00CB7A2F">
            <w:pPr>
              <w:spacing w:before="0"/>
              <w:rPr>
                <w:szCs w:val="24"/>
                <w:lang w:val="fr-FR"/>
              </w:rPr>
            </w:pPr>
            <w:bookmarkStart w:id="69" w:name="lt_pId230"/>
            <w:r w:rsidRPr="0098490B">
              <w:rPr>
                <w:szCs w:val="24"/>
                <w:lang w:val="fr-FR"/>
              </w:rPr>
              <w:t>Résolutions 17, 20, 29, 44, 64, 72</w:t>
            </w:r>
            <w:bookmarkEnd w:id="69"/>
          </w:p>
        </w:tc>
      </w:tr>
      <w:tr w:rsidR="003873EA" w:rsidRPr="0098490B" w:rsidTr="000A0B3D">
        <w:trPr>
          <w:trHeight w:val="397"/>
        </w:trPr>
        <w:tc>
          <w:tcPr>
            <w:tcW w:w="3114" w:type="dxa"/>
            <w:tcBorders>
              <w:right w:val="single" w:sz="4" w:space="0" w:color="auto"/>
            </w:tcBorders>
          </w:tcPr>
          <w:p w:rsidR="003873EA" w:rsidRPr="0098490B" w:rsidRDefault="003873EA" w:rsidP="00CB7A2F">
            <w:pPr>
              <w:spacing w:before="0"/>
              <w:rPr>
                <w:i/>
                <w:iCs/>
                <w:szCs w:val="24"/>
                <w:lang w:val="fr-FR"/>
              </w:rPr>
            </w:pPr>
            <w:r w:rsidRPr="0098490B">
              <w:rPr>
                <w:i/>
                <w:iCs/>
                <w:szCs w:val="24"/>
                <w:lang w:val="fr-FR"/>
              </w:rPr>
              <w:t>CMTI</w:t>
            </w:r>
          </w:p>
        </w:tc>
        <w:tc>
          <w:tcPr>
            <w:tcW w:w="6515" w:type="dxa"/>
            <w:tcBorders>
              <w:left w:val="single" w:sz="4" w:space="0" w:color="auto"/>
            </w:tcBorders>
          </w:tcPr>
          <w:p w:rsidR="003873EA" w:rsidRPr="0098490B" w:rsidRDefault="003873EA" w:rsidP="00CB7A2F">
            <w:pPr>
              <w:spacing w:before="0"/>
              <w:rPr>
                <w:szCs w:val="24"/>
                <w:lang w:val="fr-FR"/>
              </w:rPr>
            </w:pPr>
            <w:bookmarkStart w:id="70" w:name="lt_pId232"/>
            <w:r w:rsidRPr="0098490B">
              <w:rPr>
                <w:szCs w:val="24"/>
                <w:lang w:val="fr-FR"/>
              </w:rPr>
              <w:t>Résolution 5</w:t>
            </w:r>
            <w:bookmarkEnd w:id="70"/>
          </w:p>
        </w:tc>
      </w:tr>
      <w:tr w:rsidR="003873EA" w:rsidRPr="0098490B" w:rsidTr="000A0B3D">
        <w:trPr>
          <w:trHeight w:val="397"/>
        </w:trPr>
        <w:tc>
          <w:tcPr>
            <w:tcW w:w="3114" w:type="dxa"/>
            <w:tcBorders>
              <w:right w:val="single" w:sz="4" w:space="0" w:color="auto"/>
            </w:tcBorders>
          </w:tcPr>
          <w:p w:rsidR="003873EA" w:rsidRPr="0098490B" w:rsidRDefault="000A0B3D" w:rsidP="00CB7A2F">
            <w:pPr>
              <w:keepNext/>
              <w:keepLines/>
              <w:spacing w:before="0"/>
              <w:rPr>
                <w:i/>
                <w:iCs/>
                <w:szCs w:val="24"/>
                <w:lang w:val="fr-FR"/>
              </w:rPr>
            </w:pPr>
            <w:r>
              <w:rPr>
                <w:i/>
                <w:iCs/>
                <w:lang w:val="fr-FR"/>
              </w:rPr>
              <w:lastRenderedPageBreak/>
              <w:t>Grandes orientations du </w:t>
            </w:r>
            <w:r w:rsidR="003873EA" w:rsidRPr="0098490B">
              <w:rPr>
                <w:i/>
                <w:iCs/>
                <w:lang w:val="fr-FR"/>
              </w:rPr>
              <w:t>SMSI</w:t>
            </w:r>
          </w:p>
        </w:tc>
        <w:tc>
          <w:tcPr>
            <w:tcW w:w="6515" w:type="dxa"/>
            <w:tcBorders>
              <w:left w:val="single" w:sz="4" w:space="0" w:color="auto"/>
            </w:tcBorders>
          </w:tcPr>
          <w:p w:rsidR="003873EA" w:rsidRPr="0098490B" w:rsidRDefault="00F27758" w:rsidP="00CB7A2F">
            <w:pPr>
              <w:keepNext/>
              <w:keepLines/>
              <w:spacing w:before="0"/>
              <w:rPr>
                <w:szCs w:val="24"/>
                <w:lang w:val="fr-FR"/>
              </w:rPr>
            </w:pPr>
            <w:bookmarkStart w:id="71" w:name="lt_pId234"/>
            <w:r w:rsidRPr="0098490B">
              <w:rPr>
                <w:color w:val="000000"/>
                <w:lang w:val="fr-FR"/>
              </w:rPr>
              <w:t>Grandes orientations C2, C3, C7 et C9 du SMSI figurant dans le Plan d'action de Genève et la section de l'Agenda de Tunis pour la société de l'information intitulée "Mécanismes de financement pour relever le défi que représente l'utilisation des TIC au service du développement".</w:t>
            </w:r>
            <w:bookmarkEnd w:id="71"/>
          </w:p>
        </w:tc>
      </w:tr>
      <w:tr w:rsidR="003873EA" w:rsidRPr="0098490B" w:rsidTr="000A0B3D">
        <w:tc>
          <w:tcPr>
            <w:tcW w:w="3114" w:type="dxa"/>
            <w:tcBorders>
              <w:right w:val="single" w:sz="4" w:space="0" w:color="auto"/>
            </w:tcBorders>
          </w:tcPr>
          <w:p w:rsidR="003873EA" w:rsidRPr="0098490B" w:rsidRDefault="00F27758" w:rsidP="00CB7A2F">
            <w:pPr>
              <w:spacing w:before="0"/>
              <w:rPr>
                <w:i/>
                <w:iCs/>
                <w:szCs w:val="24"/>
                <w:lang w:val="fr-FR"/>
              </w:rPr>
            </w:pPr>
            <w:r w:rsidRPr="0098490B">
              <w:rPr>
                <w:i/>
                <w:iCs/>
                <w:lang w:val="fr-FR"/>
              </w:rPr>
              <w:t>Contribution aux cibles des Objectifs de développement durable</w:t>
            </w:r>
          </w:p>
        </w:tc>
        <w:tc>
          <w:tcPr>
            <w:tcW w:w="6515" w:type="dxa"/>
            <w:tcBorders>
              <w:left w:val="single" w:sz="4" w:space="0" w:color="auto"/>
            </w:tcBorders>
          </w:tcPr>
          <w:p w:rsidR="003873EA" w:rsidRPr="0098490B" w:rsidRDefault="00F27758" w:rsidP="00CB7A2F">
            <w:pPr>
              <w:spacing w:before="0"/>
              <w:rPr>
                <w:szCs w:val="24"/>
                <w:lang w:val="fr-FR"/>
              </w:rPr>
            </w:pPr>
            <w:bookmarkStart w:id="72" w:name="lt_pId236"/>
            <w:r w:rsidRPr="0098490B">
              <w:rPr>
                <w:szCs w:val="24"/>
                <w:lang w:val="fr-FR"/>
              </w:rPr>
              <w:t>Objectif</w:t>
            </w:r>
            <w:r w:rsidR="00CB7A2F" w:rsidRPr="0098490B">
              <w:rPr>
                <w:szCs w:val="24"/>
                <w:lang w:val="fr-FR"/>
              </w:rPr>
              <w:t>s</w:t>
            </w:r>
            <w:r w:rsidRPr="0098490B">
              <w:rPr>
                <w:szCs w:val="24"/>
                <w:lang w:val="fr-FR"/>
              </w:rPr>
              <w:t xml:space="preserve"> de développement durable</w:t>
            </w:r>
            <w:r w:rsidR="003873EA" w:rsidRPr="0098490B">
              <w:rPr>
                <w:szCs w:val="24"/>
                <w:lang w:val="fr-FR"/>
              </w:rPr>
              <w:t>:</w:t>
            </w:r>
            <w:bookmarkEnd w:id="72"/>
            <w:r w:rsidR="003873EA" w:rsidRPr="0098490B">
              <w:rPr>
                <w:szCs w:val="24"/>
                <w:lang w:val="fr-FR"/>
              </w:rPr>
              <w:t xml:space="preserve"> </w:t>
            </w:r>
            <w:bookmarkStart w:id="73" w:name="lt_pId237"/>
            <w:r w:rsidR="003873EA" w:rsidRPr="0098490B">
              <w:rPr>
                <w:szCs w:val="24"/>
                <w:lang w:val="fr-FR"/>
              </w:rPr>
              <w:t>1 (cibles 1.a, 1.4), 4 (cibles</w:t>
            </w:r>
            <w:r w:rsidR="00CB7A2F" w:rsidRPr="0098490B">
              <w:rPr>
                <w:szCs w:val="24"/>
                <w:lang w:val="fr-FR"/>
              </w:rPr>
              <w:t> </w:t>
            </w:r>
            <w:r w:rsidR="003873EA" w:rsidRPr="0098490B">
              <w:rPr>
                <w:szCs w:val="24"/>
                <w:lang w:val="fr-FR"/>
              </w:rPr>
              <w:t>4.4, 4.6, 4.a, 4.c), 6 (cibles 6.5, 6.a, 6.b), 7 (cibles 7.1, 7.b), 8 (cibles 8.2, 8.5), 9 (cibles 9.1, 9.4, 9.5, 9.a, 9.b, 9.c), 11 (cibles</w:t>
            </w:r>
            <w:r w:rsidR="00CB7A2F" w:rsidRPr="0098490B">
              <w:rPr>
                <w:szCs w:val="24"/>
                <w:lang w:val="fr-FR"/>
              </w:rPr>
              <w:t> </w:t>
            </w:r>
            <w:r w:rsidR="003873EA" w:rsidRPr="0098490B">
              <w:rPr>
                <w:szCs w:val="24"/>
                <w:lang w:val="fr-FR"/>
              </w:rPr>
              <w:t>11.1, 11.5, 11.a, 11.b), 17 (cibles 17.3, 17.5)</w:t>
            </w:r>
            <w:bookmarkEnd w:id="73"/>
            <w:r w:rsidR="00C057A3">
              <w:rPr>
                <w:szCs w:val="24"/>
                <w:lang w:val="fr-FR"/>
              </w:rPr>
              <w:t>.</w:t>
            </w:r>
          </w:p>
        </w:tc>
      </w:tr>
    </w:tbl>
    <w:p w:rsidR="00084CA2" w:rsidRPr="0098490B" w:rsidRDefault="00084CA2" w:rsidP="00CB7A2F">
      <w:pPr>
        <w:pStyle w:val="Heading2"/>
        <w:spacing w:after="120"/>
        <w:rPr>
          <w:lang w:val="fr-FR"/>
        </w:rPr>
      </w:pPr>
      <w:bookmarkStart w:id="74" w:name="_Toc467807695"/>
      <w:bookmarkStart w:id="75" w:name="_Toc468087094"/>
      <w:r w:rsidRPr="0098490B">
        <w:rPr>
          <w:lang w:val="fr-FR"/>
        </w:rPr>
        <w:t>2.3</w:t>
      </w:r>
      <w:r w:rsidRPr="0098490B">
        <w:rPr>
          <w:lang w:val="fr-FR"/>
        </w:rPr>
        <w:tab/>
        <w:t>Innovation et partenariats</w:t>
      </w:r>
      <w:bookmarkEnd w:id="74"/>
      <w:bookmarkEnd w:id="75"/>
      <w:r w:rsidRPr="0098490B">
        <w:rPr>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084CA2" w:rsidRPr="0098490B" w:rsidTr="004268F3">
        <w:tc>
          <w:tcPr>
            <w:tcW w:w="9629" w:type="dxa"/>
            <w:gridSpan w:val="2"/>
            <w:tcBorders>
              <w:bottom w:val="single" w:sz="4" w:space="0" w:color="auto"/>
            </w:tcBorders>
          </w:tcPr>
          <w:p w:rsidR="00163570" w:rsidRPr="0098490B" w:rsidRDefault="00697D9F" w:rsidP="00091594">
            <w:pPr>
              <w:rPr>
                <w:color w:val="000000"/>
                <w:lang w:val="fr-FR"/>
              </w:rPr>
            </w:pPr>
            <w:bookmarkStart w:id="76" w:name="lt_pId240"/>
            <w:r w:rsidRPr="0098490B">
              <w:rPr>
                <w:b/>
                <w:bCs/>
                <w:szCs w:val="24"/>
                <w:lang w:val="fr-FR"/>
              </w:rPr>
              <w:t>Partenariat dans l'écosystème des TIC</w:t>
            </w:r>
            <w:r w:rsidR="0071203C" w:rsidRPr="0098490B">
              <w:rPr>
                <w:szCs w:val="24"/>
                <w:lang w:val="fr-FR"/>
              </w:rPr>
              <w:t>:</w:t>
            </w:r>
            <w:bookmarkEnd w:id="76"/>
            <w:r w:rsidR="0071203C" w:rsidRPr="0098490B">
              <w:rPr>
                <w:szCs w:val="24"/>
                <w:lang w:val="fr-FR"/>
              </w:rPr>
              <w:t xml:space="preserve"> </w:t>
            </w:r>
            <w:bookmarkStart w:id="77" w:name="lt_pId241"/>
            <w:r w:rsidRPr="0098490B">
              <w:rPr>
                <w:szCs w:val="24"/>
                <w:lang w:val="fr-FR"/>
              </w:rPr>
              <w:t>Les partenariats et la mobilisation de ressources ont été renforcés par le biais de contacts directs, de création de réseaux de relations et de réunions. En</w:t>
            </w:r>
            <w:r w:rsidR="00091594" w:rsidRPr="0098490B">
              <w:rPr>
                <w:szCs w:val="24"/>
                <w:lang w:val="fr-FR"/>
              </w:rPr>
              <w:t> </w:t>
            </w:r>
            <w:r w:rsidRPr="0098490B">
              <w:rPr>
                <w:szCs w:val="24"/>
                <w:lang w:val="fr-FR"/>
              </w:rPr>
              <w:t xml:space="preserve">2017, 58 nouveaux accords de partenariat ont été signés avec diverses parties prenantes: des partenariats multithématiques (20), sur les applications TIC (12), sur le renforcement des capacités humaines (6), sur l'infrastructure (5), sur les télécommunications d'urgence (4), sur l'inclusion numérique (3), sur la cybersécurité (3), sur les </w:t>
            </w:r>
            <w:r w:rsidRPr="0098490B">
              <w:rPr>
                <w:color w:val="000000"/>
                <w:lang w:val="fr-FR"/>
              </w:rPr>
              <w:t>déchets d'équipements électriques et électroniques (2), sur l'environnement réglementaire et commercial (2) et sur l'innovation (1). Trente-trois de ces nouveaux accords ont été signés au niveau international; les régions bénéficiaires des autres accords sont les Amériques (7), l'Asie-Pacifique (8), l'Afrique (4), les Etats arabes (3), l'Europe (2) et la CEI (1). La base de données interne du BDT sur les accords de partenariat a été renforcée pour soutenir les efforts de mobilisation de ressources déployés par le BDT, et afin de faciliter l'identification de partenaires potentiels.</w:t>
            </w:r>
            <w:bookmarkEnd w:id="77"/>
            <w:r w:rsidR="00DC6BC9" w:rsidRPr="0098490B">
              <w:rPr>
                <w:color w:val="000000"/>
                <w:lang w:val="fr-FR"/>
              </w:rPr>
              <w:t xml:space="preserve"> </w:t>
            </w:r>
            <w:r w:rsidRPr="0098490B">
              <w:rPr>
                <w:lang w:val="fr-FR"/>
              </w:rPr>
              <w:t xml:space="preserve">Le BDT </w:t>
            </w:r>
            <w:r w:rsidR="0071203C" w:rsidRPr="0098490B">
              <w:rPr>
                <w:lang w:val="fr-FR"/>
              </w:rPr>
              <w:t xml:space="preserve">accorde une attention particulière </w:t>
            </w:r>
            <w:r w:rsidR="00276A00" w:rsidRPr="0098490B">
              <w:rPr>
                <w:lang w:val="fr-FR"/>
              </w:rPr>
              <w:t>au fait</w:t>
            </w:r>
            <w:r w:rsidR="0071203C" w:rsidRPr="0098490B">
              <w:rPr>
                <w:lang w:val="fr-FR"/>
              </w:rPr>
              <w:t xml:space="preserve"> de favoriser les relations avec les partenaires existants et </w:t>
            </w:r>
            <w:r w:rsidR="00276A00" w:rsidRPr="0098490B">
              <w:rPr>
                <w:lang w:val="fr-FR"/>
              </w:rPr>
              <w:t>de</w:t>
            </w:r>
            <w:r w:rsidR="0071203C" w:rsidRPr="0098490B">
              <w:rPr>
                <w:lang w:val="fr-FR"/>
              </w:rPr>
              <w:t xml:space="preserve"> faire en sorte que ces relations soient durables</w:t>
            </w:r>
            <w:r w:rsidR="00DC6BC9" w:rsidRPr="0098490B">
              <w:rPr>
                <w:lang w:val="fr-FR"/>
              </w:rPr>
              <w:t>. Il</w:t>
            </w:r>
            <w:r w:rsidR="0071203C" w:rsidRPr="0098490B">
              <w:rPr>
                <w:lang w:val="fr-FR"/>
              </w:rPr>
              <w:t xml:space="preserve"> reconnaît également qu'il est important d'élargir et de diversifier le nombre de ses partenaires, en menant à bien des activités</w:t>
            </w:r>
            <w:r w:rsidR="0071203C" w:rsidRPr="0098490B">
              <w:rPr>
                <w:color w:val="000000"/>
                <w:lang w:val="fr-FR"/>
              </w:rPr>
              <w:t xml:space="preserve"> destinées à renforcer la communication auprès des partenaires non traditionnels. </w:t>
            </w:r>
            <w:r w:rsidR="00DC6BC9" w:rsidRPr="0098490B">
              <w:rPr>
                <w:color w:val="000000"/>
                <w:lang w:val="fr-FR"/>
              </w:rPr>
              <w:t>Par conséquent, dans un écosystème des TIC postconvergence, les entités des autres secteurs deviennent de nouveaux partenaires pour le BDT, comme la Fondation Pierre Fabre dans le cadre de projets dans le domaine de la santé sur mobile, ou l'</w:t>
            </w:r>
            <w:r w:rsidR="00DC6BC9" w:rsidRPr="0098490B">
              <w:rPr>
                <w:szCs w:val="24"/>
                <w:lang w:val="fr-FR"/>
              </w:rPr>
              <w:t xml:space="preserve">International Solid Waste Association pour des projets liés aux </w:t>
            </w:r>
            <w:r w:rsidR="00DC6BC9" w:rsidRPr="0098490B">
              <w:rPr>
                <w:color w:val="000000"/>
                <w:lang w:val="fr-FR"/>
              </w:rPr>
              <w:t xml:space="preserve">déchets d'équipements électriques et électroniques. </w:t>
            </w:r>
          </w:p>
          <w:p w:rsidR="0071203C" w:rsidRPr="0098490B" w:rsidRDefault="00DC6BC9" w:rsidP="00091594">
            <w:pPr>
              <w:rPr>
                <w:color w:val="000000"/>
                <w:lang w:val="fr-FR"/>
              </w:rPr>
            </w:pPr>
            <w:r w:rsidRPr="0098490B">
              <w:rPr>
                <w:color w:val="000000"/>
                <w:lang w:val="fr-FR"/>
              </w:rPr>
              <w:t xml:space="preserve">Au cours de l'année 2017, l'UIT a travaillé en étroite collaboration avec l'Organisation panaméricaine de la santé (OPS) en vue de mettre à jour une étude d'expériences couronnées de succès concernant la cybersanté </w:t>
            </w:r>
            <w:r w:rsidR="00635215" w:rsidRPr="0098490B">
              <w:rPr>
                <w:color w:val="000000"/>
                <w:lang w:val="fr-FR"/>
              </w:rPr>
              <w:t xml:space="preserve">réalisée </w:t>
            </w:r>
            <w:r w:rsidRPr="0098490B">
              <w:rPr>
                <w:color w:val="000000"/>
                <w:lang w:val="fr-FR"/>
              </w:rPr>
              <w:t xml:space="preserve">dans la région Amériques, tout en répétant ces expériences. </w:t>
            </w:r>
            <w:r w:rsidR="00635215" w:rsidRPr="0098490B">
              <w:rPr>
                <w:color w:val="000000"/>
                <w:lang w:val="fr-FR"/>
              </w:rPr>
              <w:t>A la suite</w:t>
            </w:r>
            <w:r w:rsidRPr="0098490B">
              <w:rPr>
                <w:color w:val="000000"/>
                <w:lang w:val="fr-FR"/>
              </w:rPr>
              <w:t xml:space="preserve"> de leur collaboration pendant l'année 2017, la région Amériques de l'UIT et l'OPS sont convenues de travailler à l'élaboration d'un mémorandum d'accord pour faciliter leur collaboration à l'avenir. Les négociations en vue de la signature d</w:t>
            </w:r>
            <w:r w:rsidR="00091594" w:rsidRPr="0098490B">
              <w:rPr>
                <w:color w:val="000000"/>
                <w:lang w:val="fr-FR"/>
              </w:rPr>
              <w:t>e ce</w:t>
            </w:r>
            <w:r w:rsidRPr="0098490B">
              <w:rPr>
                <w:color w:val="000000"/>
                <w:lang w:val="fr-FR"/>
              </w:rPr>
              <w:t xml:space="preserve"> mémorandum d'accord sont en cours.</w:t>
            </w:r>
          </w:p>
          <w:p w:rsidR="0071203C" w:rsidRPr="0098490B" w:rsidRDefault="005E6180" w:rsidP="00091594">
            <w:pPr>
              <w:rPr>
                <w:color w:val="000000"/>
                <w:lang w:val="fr-FR"/>
              </w:rPr>
            </w:pPr>
            <w:r w:rsidRPr="0098490B">
              <w:rPr>
                <w:b/>
                <w:bCs/>
                <w:color w:val="000000"/>
                <w:lang w:val="fr-FR"/>
              </w:rPr>
              <w:t>Possibilités de parrainage</w:t>
            </w:r>
            <w:r w:rsidRPr="0098490B">
              <w:rPr>
                <w:color w:val="000000"/>
                <w:lang w:val="fr-FR"/>
              </w:rPr>
              <w:t xml:space="preserve">: </w:t>
            </w:r>
            <w:r w:rsidR="0071203C" w:rsidRPr="0098490B">
              <w:rPr>
                <w:lang w:val="fr-FR"/>
              </w:rPr>
              <w:t xml:space="preserve">une nouvelle plate-forme </w:t>
            </w:r>
            <w:r w:rsidR="00635215" w:rsidRPr="0098490B">
              <w:rPr>
                <w:lang w:val="fr-FR"/>
              </w:rPr>
              <w:t xml:space="preserve">de parrainage interactive, </w:t>
            </w:r>
            <w:r w:rsidR="0071203C" w:rsidRPr="0098490B">
              <w:rPr>
                <w:lang w:val="fr-FR"/>
              </w:rPr>
              <w:t>disponible dans les six langues officielles de l'Union</w:t>
            </w:r>
            <w:r w:rsidR="00635215" w:rsidRPr="0098490B">
              <w:rPr>
                <w:lang w:val="fr-FR"/>
              </w:rPr>
              <w:t>,</w:t>
            </w:r>
            <w:r w:rsidR="0071203C" w:rsidRPr="0098490B">
              <w:rPr>
                <w:lang w:val="fr-FR"/>
              </w:rPr>
              <w:t xml:space="preserve"> a été inaugurée</w:t>
            </w:r>
            <w:r w:rsidR="00293F6D" w:rsidRPr="0098490B">
              <w:rPr>
                <w:lang w:val="fr-FR"/>
              </w:rPr>
              <w:t xml:space="preserve"> en 2017 pour des réceptions, </w:t>
            </w:r>
            <w:r w:rsidR="0071203C" w:rsidRPr="0098490B">
              <w:rPr>
                <w:lang w:val="fr-FR"/>
              </w:rPr>
              <w:t xml:space="preserve">des manifestations parallèles </w:t>
            </w:r>
            <w:r w:rsidR="00293F6D" w:rsidRPr="0098490B">
              <w:rPr>
                <w:lang w:val="fr-FR"/>
              </w:rPr>
              <w:t xml:space="preserve">et des activités </w:t>
            </w:r>
            <w:r w:rsidR="0071203C" w:rsidRPr="0098490B">
              <w:rPr>
                <w:lang w:val="fr-FR"/>
              </w:rPr>
              <w:t xml:space="preserve">organisées dans le cadre de manifestations </w:t>
            </w:r>
            <w:r w:rsidR="00091594" w:rsidRPr="0098490B">
              <w:rPr>
                <w:lang w:val="fr-FR"/>
              </w:rPr>
              <w:t xml:space="preserve">du </w:t>
            </w:r>
            <w:r w:rsidR="00293F6D" w:rsidRPr="0098490B">
              <w:rPr>
                <w:lang w:val="fr-FR"/>
              </w:rPr>
              <w:t>BDT</w:t>
            </w:r>
            <w:r w:rsidR="0071203C" w:rsidRPr="0098490B">
              <w:rPr>
                <w:lang w:val="fr-FR"/>
              </w:rPr>
              <w:t xml:space="preserve">. </w:t>
            </w:r>
            <w:r w:rsidRPr="0098490B">
              <w:rPr>
                <w:lang w:val="fr-FR"/>
              </w:rPr>
              <w:t xml:space="preserve">Des possibilités ont été offertes pour des réunions des commissions d'études, des manifestations organisées en marge de l'édition de 2017 du </w:t>
            </w:r>
            <w:r w:rsidRPr="0098490B">
              <w:rPr>
                <w:color w:val="000000"/>
                <w:lang w:val="fr-FR"/>
              </w:rPr>
              <w:t>Colloque</w:t>
            </w:r>
            <w:r w:rsidR="00293F6D" w:rsidRPr="0098490B">
              <w:rPr>
                <w:color w:val="000000"/>
                <w:lang w:val="fr-FR"/>
              </w:rPr>
              <w:t xml:space="preserve"> mondial des régulateurs (GSR) et de</w:t>
            </w:r>
            <w:r w:rsidRPr="0098490B">
              <w:rPr>
                <w:color w:val="000000"/>
                <w:lang w:val="fr-FR"/>
              </w:rPr>
              <w:t xml:space="preserve"> la CMDT-17</w:t>
            </w:r>
            <w:r w:rsidR="00293F6D" w:rsidRPr="0098490B">
              <w:rPr>
                <w:color w:val="000000"/>
                <w:lang w:val="fr-FR"/>
              </w:rPr>
              <w:t>, ainsi que pour</w:t>
            </w:r>
            <w:r w:rsidRPr="0098490B">
              <w:rPr>
                <w:color w:val="000000"/>
                <w:lang w:val="fr-FR"/>
              </w:rPr>
              <w:t xml:space="preserve"> le 25</w:t>
            </w:r>
            <w:r w:rsidR="00293F6D" w:rsidRPr="0098490B">
              <w:rPr>
                <w:color w:val="000000"/>
                <w:lang w:val="fr-FR"/>
              </w:rPr>
              <w:t>ème</w:t>
            </w:r>
            <w:r w:rsidRPr="0098490B">
              <w:rPr>
                <w:color w:val="000000"/>
                <w:lang w:val="fr-FR"/>
              </w:rPr>
              <w:t xml:space="preserve"> anniversaire de l'UIT-D.</w:t>
            </w:r>
            <w:r w:rsidR="0071203C" w:rsidRPr="0098490B">
              <w:rPr>
                <w:szCs w:val="24"/>
                <w:lang w:val="fr-FR"/>
              </w:rPr>
              <w:t xml:space="preserve"> </w:t>
            </w:r>
            <w:r w:rsidR="006336C9" w:rsidRPr="0098490B">
              <w:rPr>
                <w:szCs w:val="24"/>
                <w:lang w:val="fr-FR"/>
              </w:rPr>
              <w:t>Ce site web</w:t>
            </w:r>
            <w:r w:rsidRPr="0098490B">
              <w:rPr>
                <w:szCs w:val="24"/>
                <w:lang w:val="fr-FR"/>
              </w:rPr>
              <w:t>/portail</w:t>
            </w:r>
            <w:r w:rsidR="006336C9" w:rsidRPr="0098490B">
              <w:rPr>
                <w:szCs w:val="24"/>
                <w:lang w:val="fr-FR"/>
              </w:rPr>
              <w:t xml:space="preserve"> offre aux entités la possibilité </w:t>
            </w:r>
            <w:r w:rsidR="00293F6D" w:rsidRPr="0098490B">
              <w:rPr>
                <w:color w:val="000000"/>
                <w:lang w:val="fr-FR"/>
              </w:rPr>
              <w:t>de mieux se faire connaître</w:t>
            </w:r>
            <w:r w:rsidR="006336C9" w:rsidRPr="0098490B">
              <w:rPr>
                <w:szCs w:val="24"/>
                <w:lang w:val="fr-FR"/>
              </w:rPr>
              <w:t xml:space="preserve">, de </w:t>
            </w:r>
            <w:r w:rsidR="00293F6D" w:rsidRPr="0098490B">
              <w:rPr>
                <w:szCs w:val="24"/>
                <w:lang w:val="fr-FR"/>
              </w:rPr>
              <w:t>valoriser</w:t>
            </w:r>
            <w:r w:rsidR="006336C9" w:rsidRPr="0098490B">
              <w:rPr>
                <w:szCs w:val="24"/>
                <w:lang w:val="fr-FR"/>
              </w:rPr>
              <w:t xml:space="preserve"> leurs marques ou encore de présenter leurs produits et leurs solutions TIC.</w:t>
            </w:r>
          </w:p>
          <w:p w:rsidR="00EE6572" w:rsidRPr="0098490B" w:rsidRDefault="006336C9" w:rsidP="00784D97">
            <w:pPr>
              <w:rPr>
                <w:color w:val="000000"/>
                <w:lang w:val="fr-FR"/>
              </w:rPr>
            </w:pPr>
            <w:bookmarkStart w:id="78" w:name="lt_pId257"/>
            <w:r w:rsidRPr="0098490B">
              <w:rPr>
                <w:b/>
                <w:bCs/>
                <w:szCs w:val="24"/>
                <w:lang w:val="fr-FR"/>
              </w:rPr>
              <w:lastRenderedPageBreak/>
              <w:t>Innovation</w:t>
            </w:r>
            <w:r w:rsidRPr="0098490B">
              <w:rPr>
                <w:szCs w:val="24"/>
                <w:lang w:val="fr-FR"/>
              </w:rPr>
              <w:t>:</w:t>
            </w:r>
            <w:bookmarkEnd w:id="78"/>
            <w:r w:rsidRPr="0098490B">
              <w:rPr>
                <w:szCs w:val="24"/>
                <w:lang w:val="fr-FR"/>
              </w:rPr>
              <w:t xml:space="preserve"> </w:t>
            </w:r>
            <w:bookmarkStart w:id="79" w:name="lt_pId258"/>
            <w:r w:rsidR="00E54EA0" w:rsidRPr="0098490B">
              <w:rPr>
                <w:szCs w:val="24"/>
                <w:lang w:val="fr-FR"/>
              </w:rPr>
              <w:t xml:space="preserve">des consultations et des ateliers ont été réalisés avec succès dans plusieurs pays et régions (par exemple </w:t>
            </w:r>
            <w:r w:rsidR="00B13DAA" w:rsidRPr="0098490B">
              <w:rPr>
                <w:szCs w:val="24"/>
                <w:lang w:val="fr-FR"/>
              </w:rPr>
              <w:t xml:space="preserve">au </w:t>
            </w:r>
            <w:r w:rsidR="00E54EA0" w:rsidRPr="0098490B">
              <w:rPr>
                <w:szCs w:val="24"/>
                <w:lang w:val="fr-FR"/>
              </w:rPr>
              <w:t xml:space="preserve">Rwanda, </w:t>
            </w:r>
            <w:r w:rsidR="00B13DAA" w:rsidRPr="0098490B">
              <w:rPr>
                <w:szCs w:val="24"/>
                <w:lang w:val="fr-FR"/>
              </w:rPr>
              <w:t xml:space="preserve">au </w:t>
            </w:r>
            <w:r w:rsidR="00E54EA0" w:rsidRPr="0098490B">
              <w:rPr>
                <w:szCs w:val="24"/>
                <w:lang w:val="fr-FR"/>
              </w:rPr>
              <w:t xml:space="preserve">Kenya, </w:t>
            </w:r>
            <w:r w:rsidR="00B13DAA" w:rsidRPr="0098490B">
              <w:rPr>
                <w:szCs w:val="24"/>
                <w:lang w:val="fr-FR"/>
              </w:rPr>
              <w:t xml:space="preserve">en </w:t>
            </w:r>
            <w:r w:rsidR="00E54EA0" w:rsidRPr="0098490B">
              <w:rPr>
                <w:szCs w:val="24"/>
                <w:lang w:val="fr-FR"/>
              </w:rPr>
              <w:t xml:space="preserve">Argentine, </w:t>
            </w:r>
            <w:r w:rsidR="00B13DAA" w:rsidRPr="0098490B">
              <w:rPr>
                <w:szCs w:val="24"/>
                <w:lang w:val="fr-FR"/>
              </w:rPr>
              <w:t xml:space="preserve">en </w:t>
            </w:r>
            <w:r w:rsidR="00E54EA0" w:rsidRPr="0098490B">
              <w:rPr>
                <w:szCs w:val="24"/>
                <w:lang w:val="fr-FR"/>
              </w:rPr>
              <w:t xml:space="preserve">Moldova, ou encore </w:t>
            </w:r>
            <w:r w:rsidR="00B13DAA" w:rsidRPr="0098490B">
              <w:rPr>
                <w:szCs w:val="24"/>
                <w:lang w:val="fr-FR"/>
              </w:rPr>
              <w:t xml:space="preserve">au </w:t>
            </w:r>
            <w:r w:rsidR="00E54EA0" w:rsidRPr="0098490B">
              <w:rPr>
                <w:szCs w:val="24"/>
                <w:lang w:val="fr-FR"/>
              </w:rPr>
              <w:t>Sri Lanka) sur des</w:t>
            </w:r>
            <w:r w:rsidR="00E54EA0" w:rsidRPr="0098490B">
              <w:rPr>
                <w:b/>
                <w:bCs/>
                <w:szCs w:val="24"/>
                <w:lang w:val="fr-FR"/>
              </w:rPr>
              <w:t xml:space="preserve"> </w:t>
            </w:r>
            <w:r w:rsidR="00E54EA0" w:rsidRPr="0098490B">
              <w:rPr>
                <w:color w:val="000000"/>
                <w:lang w:val="fr-FR"/>
              </w:rPr>
              <w:t xml:space="preserve">écosystèmes d'innovation centrés sur les TIC, sur l'innovation et l'entrepreneuriat, et les politiques d'innovation. Un volet innovation a été organisé </w:t>
            </w:r>
            <w:r w:rsidR="00921507" w:rsidRPr="0098490B">
              <w:rPr>
                <w:color w:val="000000"/>
                <w:lang w:val="fr-FR"/>
              </w:rPr>
              <w:t xml:space="preserve">avec succès </w:t>
            </w:r>
            <w:r w:rsidR="00E54EA0" w:rsidRPr="0098490B">
              <w:rPr>
                <w:color w:val="000000"/>
                <w:lang w:val="fr-FR"/>
              </w:rPr>
              <w:t xml:space="preserve">pour l'édition de 2017 du Forum du SMSI, dans le cadre duquel de jeunes entreprises et des décideurs du secteur public se sont rencontrés afin de renforcer </w:t>
            </w:r>
            <w:r w:rsidR="00921507" w:rsidRPr="0098490B">
              <w:rPr>
                <w:color w:val="000000"/>
                <w:lang w:val="fr-FR"/>
              </w:rPr>
              <w:t xml:space="preserve">les capacités dans </w:t>
            </w:r>
            <w:r w:rsidR="00E54EA0" w:rsidRPr="0098490B">
              <w:rPr>
                <w:color w:val="000000"/>
                <w:lang w:val="fr-FR"/>
              </w:rPr>
              <w:t xml:space="preserve">les industries numériques et </w:t>
            </w:r>
            <w:r w:rsidR="00921507" w:rsidRPr="0098490B">
              <w:rPr>
                <w:color w:val="000000"/>
                <w:lang w:val="fr-FR"/>
              </w:rPr>
              <w:t xml:space="preserve">en matière </w:t>
            </w:r>
            <w:r w:rsidR="00E54EA0" w:rsidRPr="0098490B">
              <w:rPr>
                <w:color w:val="000000"/>
                <w:lang w:val="fr-FR"/>
              </w:rPr>
              <w:t xml:space="preserve">d'innovation, et de tirer parti des investissements en vue de </w:t>
            </w:r>
            <w:r w:rsidR="00EE6572" w:rsidRPr="0098490B">
              <w:rPr>
                <w:color w:val="000000"/>
                <w:lang w:val="fr-FR"/>
              </w:rPr>
              <w:t xml:space="preserve">réduire </w:t>
            </w:r>
            <w:r w:rsidR="00E54EA0" w:rsidRPr="0098490B">
              <w:rPr>
                <w:color w:val="000000"/>
                <w:lang w:val="fr-FR"/>
              </w:rPr>
              <w:t xml:space="preserve">la fracture </w:t>
            </w:r>
            <w:r w:rsidR="00EE6572" w:rsidRPr="0098490B">
              <w:rPr>
                <w:color w:val="000000"/>
                <w:lang w:val="fr-FR"/>
              </w:rPr>
              <w:t>à cet égard</w:t>
            </w:r>
            <w:r w:rsidR="00E54EA0" w:rsidRPr="0098490B">
              <w:rPr>
                <w:color w:val="000000"/>
                <w:lang w:val="fr-FR"/>
              </w:rPr>
              <w:t>.</w:t>
            </w:r>
            <w:bookmarkEnd w:id="79"/>
            <w:r w:rsidR="00EE6572" w:rsidRPr="0098490B">
              <w:rPr>
                <w:color w:val="000000"/>
                <w:lang w:val="fr-FR"/>
              </w:rPr>
              <w:t xml:space="preserve"> </w:t>
            </w:r>
            <w:r w:rsidRPr="0098490B">
              <w:rPr>
                <w:lang w:val="fr-FR"/>
              </w:rPr>
              <w:t xml:space="preserve">Le kit pratique </w:t>
            </w:r>
            <w:r w:rsidR="00EE6572" w:rsidRPr="0098490B">
              <w:rPr>
                <w:color w:val="000000"/>
                <w:lang w:val="fr-FR"/>
              </w:rPr>
              <w:t xml:space="preserve">sur la réduction de la fracture en matière d'innovation numérique </w:t>
            </w:r>
            <w:r w:rsidRPr="0098490B">
              <w:rPr>
                <w:lang w:val="fr-FR"/>
              </w:rPr>
              <w:t xml:space="preserve">visant à renforcer les écosystèmes centrés sur les TIC a été inauguré au cours d'une session </w:t>
            </w:r>
            <w:r w:rsidR="00921507" w:rsidRPr="0098490B">
              <w:rPr>
                <w:lang w:val="fr-FR"/>
              </w:rPr>
              <w:t>du volet</w:t>
            </w:r>
            <w:r w:rsidRPr="0098490B">
              <w:rPr>
                <w:lang w:val="fr-FR"/>
              </w:rPr>
              <w:t xml:space="preserve"> innovation de l'édition de 2017 du SMSI. </w:t>
            </w:r>
            <w:r w:rsidR="00EE6572" w:rsidRPr="0098490B">
              <w:rPr>
                <w:lang w:val="fr-FR"/>
              </w:rPr>
              <w:t xml:space="preserve">Ce kit pratique a été </w:t>
            </w:r>
            <w:r w:rsidR="00EE6572" w:rsidRPr="0098490B">
              <w:rPr>
                <w:color w:val="000000"/>
                <w:lang w:val="fr-FR"/>
              </w:rPr>
              <w:t xml:space="preserve">créé en vue d'aider les pays à mettre en place un cadre en faveur de l'innovation numérique, c'est-à-dire un ensemble de politiques et de projets </w:t>
            </w:r>
            <w:r w:rsidR="00921507" w:rsidRPr="0098490B">
              <w:rPr>
                <w:color w:val="000000"/>
                <w:lang w:val="fr-FR"/>
              </w:rPr>
              <w:t>qui encouragent</w:t>
            </w:r>
            <w:r w:rsidR="00EE6572" w:rsidRPr="0098490B">
              <w:rPr>
                <w:color w:val="000000"/>
                <w:lang w:val="fr-FR"/>
              </w:rPr>
              <w:t xml:space="preserve"> l'innovation au niveau national.</w:t>
            </w:r>
            <w:bookmarkStart w:id="80" w:name="lt_pId262"/>
          </w:p>
          <w:p w:rsidR="0071203C" w:rsidRPr="0098490B" w:rsidRDefault="00EE6572" w:rsidP="00C057A3">
            <w:pPr>
              <w:spacing w:after="120"/>
              <w:rPr>
                <w:lang w:val="fr-FR"/>
              </w:rPr>
            </w:pPr>
            <w:r w:rsidRPr="0098490B">
              <w:rPr>
                <w:color w:val="000000"/>
                <w:lang w:val="fr-FR"/>
              </w:rPr>
              <w:t xml:space="preserve">Un atelier multi-parties prenantes à l'échelle mondiale </w:t>
            </w:r>
            <w:r w:rsidR="008D48A9" w:rsidRPr="0098490B">
              <w:rPr>
                <w:color w:val="000000"/>
                <w:lang w:val="fr-FR"/>
              </w:rPr>
              <w:t xml:space="preserve">sur la réduction de la fracture en matière d'innovation numérique </w:t>
            </w:r>
            <w:r w:rsidRPr="0098490B">
              <w:rPr>
                <w:color w:val="000000"/>
                <w:lang w:val="fr-FR"/>
              </w:rPr>
              <w:t>a été organisé en marge d'ITU Telecom</w:t>
            </w:r>
            <w:r w:rsidR="008D48A9" w:rsidRPr="0098490B">
              <w:rPr>
                <w:color w:val="000000"/>
                <w:lang w:val="fr-FR"/>
              </w:rPr>
              <w:t>, qui s'est tenu</w:t>
            </w:r>
            <w:r w:rsidRPr="0098490B">
              <w:rPr>
                <w:color w:val="000000"/>
                <w:lang w:val="fr-FR"/>
              </w:rPr>
              <w:t xml:space="preserve"> à Busan du 26 au</w:t>
            </w:r>
            <w:r w:rsidR="00C057A3">
              <w:rPr>
                <w:color w:val="000000"/>
                <w:lang w:val="fr-FR"/>
              </w:rPr>
              <w:t> </w:t>
            </w:r>
            <w:r w:rsidRPr="0098490B">
              <w:rPr>
                <w:color w:val="000000"/>
                <w:lang w:val="fr-FR"/>
              </w:rPr>
              <w:t>28 septembre, en présence de représentants de 8 pays</w:t>
            </w:r>
            <w:r w:rsidR="00091594" w:rsidRPr="0098490B">
              <w:rPr>
                <w:color w:val="000000"/>
                <w:lang w:val="fr-FR"/>
              </w:rPr>
              <w:t>,</w:t>
            </w:r>
            <w:r w:rsidRPr="0098490B">
              <w:rPr>
                <w:color w:val="000000"/>
                <w:lang w:val="fr-FR"/>
              </w:rPr>
              <w:t xml:space="preserve"> compétents pour défendre et mener des examens </w:t>
            </w:r>
            <w:r w:rsidR="008D48A9" w:rsidRPr="0098490B">
              <w:rPr>
                <w:color w:val="000000"/>
                <w:lang w:val="fr-FR"/>
              </w:rPr>
              <w:t xml:space="preserve">au niveau national </w:t>
            </w:r>
            <w:r w:rsidRPr="0098490B">
              <w:rPr>
                <w:color w:val="000000"/>
                <w:lang w:val="fr-FR"/>
              </w:rPr>
              <w:t xml:space="preserve">sur les écosystèmes d'innovation centrés sur les TIC et pour élaborer des approches cohérentes </w:t>
            </w:r>
            <w:r w:rsidR="007140E8" w:rsidRPr="0098490B">
              <w:rPr>
                <w:color w:val="000000"/>
                <w:lang w:val="fr-FR"/>
              </w:rPr>
              <w:t xml:space="preserve">en vue de faire en sorte que les économies de leurs pays respectifs </w:t>
            </w:r>
            <w:r w:rsidR="008D48A9" w:rsidRPr="0098490B">
              <w:rPr>
                <w:color w:val="000000"/>
                <w:lang w:val="fr-FR"/>
              </w:rPr>
              <w:t>se tournent</w:t>
            </w:r>
            <w:r w:rsidR="007140E8" w:rsidRPr="0098490B">
              <w:rPr>
                <w:color w:val="000000"/>
                <w:lang w:val="fr-FR"/>
              </w:rPr>
              <w:t xml:space="preserve"> vers l'innovation. En partenariat avec la ville de Busan, l'UIT a organisé la quatrième édition du Forum pour les jeunes dirigeants du secteur des TIC en parallèle de l'édition 2017 d'ITU Telecom World à Busan (République de Corée), du 27 au 29</w:t>
            </w:r>
            <w:r w:rsidR="004707F6">
              <w:rPr>
                <w:color w:val="000000"/>
                <w:lang w:val="fr-FR"/>
              </w:rPr>
              <w:t> </w:t>
            </w:r>
            <w:r w:rsidR="007140E8" w:rsidRPr="0098490B">
              <w:rPr>
                <w:color w:val="000000"/>
                <w:lang w:val="fr-FR"/>
              </w:rPr>
              <w:t>septembre</w:t>
            </w:r>
            <w:r w:rsidR="004707F6">
              <w:rPr>
                <w:color w:val="000000"/>
                <w:lang w:val="fr-FR"/>
              </w:rPr>
              <w:t> </w:t>
            </w:r>
            <w:r w:rsidR="007140E8" w:rsidRPr="0098490B">
              <w:rPr>
                <w:color w:val="000000"/>
                <w:lang w:val="fr-FR"/>
              </w:rPr>
              <w:t>2017. Plus de 200 participants issus de plus de 30 pays ont pris part au Forum</w:t>
            </w:r>
            <w:r w:rsidR="009C6EFE" w:rsidRPr="0098490B">
              <w:rPr>
                <w:color w:val="000000"/>
                <w:lang w:val="fr-FR"/>
              </w:rPr>
              <w:t>, lors duquel</w:t>
            </w:r>
            <w:r w:rsidR="00324C62" w:rsidRPr="0098490B">
              <w:rPr>
                <w:color w:val="000000"/>
                <w:lang w:val="fr-FR"/>
              </w:rPr>
              <w:t xml:space="preserve"> s'est aussi tenu le </w:t>
            </w:r>
            <w:r w:rsidR="00324C62" w:rsidRPr="0098490B">
              <w:rPr>
                <w:szCs w:val="24"/>
                <w:lang w:val="fr-FR"/>
              </w:rPr>
              <w:t xml:space="preserve">Busan Global Smart Cities Challenge, </w:t>
            </w:r>
            <w:r w:rsidR="009C6EFE" w:rsidRPr="0098490B">
              <w:rPr>
                <w:szCs w:val="24"/>
                <w:lang w:val="fr-FR"/>
              </w:rPr>
              <w:t>qui a récompensé</w:t>
            </w:r>
            <w:r w:rsidR="00324C62" w:rsidRPr="0098490B">
              <w:rPr>
                <w:szCs w:val="24"/>
                <w:lang w:val="fr-FR"/>
              </w:rPr>
              <w:t xml:space="preserve"> </w:t>
            </w:r>
            <w:r w:rsidR="009C6EFE" w:rsidRPr="0098490B">
              <w:rPr>
                <w:szCs w:val="24"/>
                <w:lang w:val="fr-FR"/>
              </w:rPr>
              <w:t>cinq</w:t>
            </w:r>
            <w:r w:rsidR="004707F6">
              <w:rPr>
                <w:szCs w:val="24"/>
                <w:lang w:val="fr-FR"/>
              </w:rPr>
              <w:t> </w:t>
            </w:r>
            <w:r w:rsidR="00324C62" w:rsidRPr="0098490B">
              <w:rPr>
                <w:szCs w:val="24"/>
                <w:lang w:val="fr-FR"/>
              </w:rPr>
              <w:t>gagnants.</w:t>
            </w:r>
            <w:bookmarkEnd w:id="80"/>
          </w:p>
        </w:tc>
      </w:tr>
      <w:tr w:rsidR="003B549F" w:rsidRPr="0098490B" w:rsidTr="004268F3">
        <w:tc>
          <w:tcPr>
            <w:tcW w:w="3256" w:type="dxa"/>
            <w:tcBorders>
              <w:top w:val="single" w:sz="4" w:space="0" w:color="auto"/>
              <w:bottom w:val="single" w:sz="4" w:space="0" w:color="auto"/>
              <w:right w:val="single" w:sz="4" w:space="0" w:color="auto"/>
            </w:tcBorders>
          </w:tcPr>
          <w:p w:rsidR="003B549F" w:rsidRPr="0098490B" w:rsidRDefault="003B549F" w:rsidP="00091594">
            <w:pPr>
              <w:spacing w:before="0"/>
              <w:rPr>
                <w:i/>
                <w:iCs/>
                <w:szCs w:val="24"/>
                <w:lang w:val="fr-FR"/>
              </w:rPr>
            </w:pPr>
            <w:r w:rsidRPr="0098490B">
              <w:rPr>
                <w:i/>
                <w:iCs/>
                <w:szCs w:val="24"/>
                <w:lang w:val="fr-FR"/>
              </w:rPr>
              <w:lastRenderedPageBreak/>
              <w:t>CMDT</w:t>
            </w:r>
          </w:p>
        </w:tc>
        <w:tc>
          <w:tcPr>
            <w:tcW w:w="6373" w:type="dxa"/>
            <w:tcBorders>
              <w:top w:val="single" w:sz="4" w:space="0" w:color="auto"/>
              <w:left w:val="single" w:sz="4" w:space="0" w:color="auto"/>
              <w:bottom w:val="single" w:sz="4" w:space="0" w:color="auto"/>
            </w:tcBorders>
          </w:tcPr>
          <w:p w:rsidR="003B549F" w:rsidRPr="0098490B" w:rsidRDefault="003B549F" w:rsidP="00091594">
            <w:pPr>
              <w:spacing w:before="0"/>
              <w:rPr>
                <w:szCs w:val="24"/>
                <w:lang w:val="fr-FR"/>
              </w:rPr>
            </w:pPr>
            <w:bookmarkStart w:id="81" w:name="lt_pId267"/>
            <w:r w:rsidRPr="0098490B">
              <w:rPr>
                <w:szCs w:val="24"/>
                <w:lang w:val="fr-FR"/>
              </w:rPr>
              <w:t>Résolutions 1, 5, 30, 33, 50, 59, 71, 157</w:t>
            </w:r>
            <w:bookmarkEnd w:id="81"/>
          </w:p>
        </w:tc>
      </w:tr>
      <w:tr w:rsidR="003B549F" w:rsidRPr="0098490B" w:rsidTr="004268F3">
        <w:trPr>
          <w:trHeight w:val="397"/>
        </w:trPr>
        <w:tc>
          <w:tcPr>
            <w:tcW w:w="3256" w:type="dxa"/>
            <w:tcBorders>
              <w:top w:val="single" w:sz="4" w:space="0" w:color="auto"/>
              <w:bottom w:val="single" w:sz="4" w:space="0" w:color="auto"/>
              <w:right w:val="single" w:sz="4" w:space="0" w:color="auto"/>
            </w:tcBorders>
          </w:tcPr>
          <w:p w:rsidR="003B549F" w:rsidRPr="0098490B" w:rsidRDefault="00324C62" w:rsidP="00091594">
            <w:pPr>
              <w:spacing w:before="0"/>
              <w:rPr>
                <w:i/>
                <w:iCs/>
                <w:lang w:val="fr-FR"/>
              </w:rPr>
            </w:pPr>
            <w:r w:rsidRPr="0098490B">
              <w:rPr>
                <w:i/>
                <w:iCs/>
                <w:lang w:val="fr-FR"/>
              </w:rPr>
              <w:t>Conférence de plénipotentiaires</w:t>
            </w:r>
          </w:p>
        </w:tc>
        <w:tc>
          <w:tcPr>
            <w:tcW w:w="6373" w:type="dxa"/>
            <w:tcBorders>
              <w:top w:val="single" w:sz="4" w:space="0" w:color="auto"/>
              <w:left w:val="single" w:sz="4" w:space="0" w:color="auto"/>
              <w:bottom w:val="single" w:sz="4" w:space="0" w:color="auto"/>
            </w:tcBorders>
          </w:tcPr>
          <w:p w:rsidR="003B549F" w:rsidRPr="0098490B" w:rsidRDefault="003B549F" w:rsidP="00091594">
            <w:pPr>
              <w:spacing w:before="0"/>
              <w:rPr>
                <w:szCs w:val="24"/>
                <w:lang w:val="fr-FR"/>
              </w:rPr>
            </w:pPr>
            <w:bookmarkStart w:id="82" w:name="lt_pId269"/>
            <w:r w:rsidRPr="0098490B">
              <w:rPr>
                <w:szCs w:val="24"/>
                <w:lang w:val="fr-FR"/>
              </w:rPr>
              <w:t>Décisions 5, 13</w:t>
            </w:r>
            <w:bookmarkEnd w:id="82"/>
          </w:p>
          <w:p w:rsidR="003B549F" w:rsidRPr="0098490B" w:rsidRDefault="003B549F" w:rsidP="00091594">
            <w:pPr>
              <w:spacing w:before="0"/>
              <w:rPr>
                <w:szCs w:val="24"/>
                <w:lang w:val="fr-FR"/>
              </w:rPr>
            </w:pPr>
            <w:bookmarkStart w:id="83" w:name="lt_pId270"/>
            <w:r w:rsidRPr="0098490B">
              <w:rPr>
                <w:szCs w:val="24"/>
                <w:lang w:val="fr-FR"/>
              </w:rPr>
              <w:t>Résolutions 25, 71, 72</w:t>
            </w:r>
            <w:bookmarkEnd w:id="83"/>
          </w:p>
        </w:tc>
      </w:tr>
      <w:tr w:rsidR="003B549F" w:rsidRPr="0098490B" w:rsidTr="004268F3">
        <w:trPr>
          <w:trHeight w:val="397"/>
        </w:trPr>
        <w:tc>
          <w:tcPr>
            <w:tcW w:w="3256" w:type="dxa"/>
            <w:tcBorders>
              <w:top w:val="single" w:sz="4" w:space="0" w:color="auto"/>
              <w:bottom w:val="single" w:sz="4" w:space="0" w:color="auto"/>
              <w:right w:val="single" w:sz="4" w:space="0" w:color="auto"/>
            </w:tcBorders>
          </w:tcPr>
          <w:p w:rsidR="003B549F" w:rsidRPr="0098490B" w:rsidRDefault="003B549F" w:rsidP="00091594">
            <w:pPr>
              <w:spacing w:before="0"/>
              <w:rPr>
                <w:i/>
                <w:iCs/>
                <w:szCs w:val="24"/>
                <w:lang w:val="fr-FR"/>
              </w:rPr>
            </w:pPr>
            <w:r w:rsidRPr="0098490B">
              <w:rPr>
                <w:i/>
                <w:iCs/>
                <w:lang w:val="fr-FR"/>
              </w:rPr>
              <w:t>Grandes orientations du SMSI</w:t>
            </w:r>
          </w:p>
        </w:tc>
        <w:tc>
          <w:tcPr>
            <w:tcW w:w="6373" w:type="dxa"/>
            <w:tcBorders>
              <w:top w:val="single" w:sz="4" w:space="0" w:color="auto"/>
              <w:left w:val="single" w:sz="4" w:space="0" w:color="auto"/>
              <w:bottom w:val="single" w:sz="4" w:space="0" w:color="auto"/>
            </w:tcBorders>
          </w:tcPr>
          <w:p w:rsidR="003B549F" w:rsidRPr="0098490B" w:rsidRDefault="00324C62" w:rsidP="00091594">
            <w:pPr>
              <w:spacing w:before="0"/>
              <w:rPr>
                <w:szCs w:val="24"/>
                <w:lang w:val="fr-FR"/>
              </w:rPr>
            </w:pPr>
            <w:bookmarkStart w:id="84" w:name="lt_pId272"/>
            <w:r w:rsidRPr="0098490B">
              <w:rPr>
                <w:lang w:val="fr-FR"/>
              </w:rPr>
              <w:t>Grandes orientations</w:t>
            </w:r>
            <w:r w:rsidRPr="0098490B">
              <w:rPr>
                <w:i/>
                <w:iCs/>
                <w:lang w:val="fr-FR"/>
              </w:rPr>
              <w:t xml:space="preserve"> </w:t>
            </w:r>
            <w:r w:rsidR="003B549F" w:rsidRPr="0098490B">
              <w:rPr>
                <w:szCs w:val="24"/>
                <w:lang w:val="fr-FR"/>
              </w:rPr>
              <w:t xml:space="preserve">3, 4, 5, 6, </w:t>
            </w:r>
            <w:r w:rsidRPr="0098490B">
              <w:rPr>
                <w:szCs w:val="24"/>
                <w:lang w:val="fr-FR"/>
              </w:rPr>
              <w:t>et</w:t>
            </w:r>
            <w:r w:rsidR="003B549F" w:rsidRPr="0098490B">
              <w:rPr>
                <w:szCs w:val="24"/>
                <w:lang w:val="fr-FR"/>
              </w:rPr>
              <w:t xml:space="preserve"> 7 </w:t>
            </w:r>
            <w:r w:rsidRPr="0098490B">
              <w:rPr>
                <w:szCs w:val="24"/>
                <w:lang w:val="fr-FR"/>
              </w:rPr>
              <w:t xml:space="preserve">du </w:t>
            </w:r>
            <w:r w:rsidRPr="0098490B">
              <w:rPr>
                <w:color w:val="000000"/>
                <w:lang w:val="fr-FR"/>
              </w:rPr>
              <w:t xml:space="preserve">SMSI figurant </w:t>
            </w:r>
            <w:r w:rsidR="009C6EFE" w:rsidRPr="0098490B">
              <w:rPr>
                <w:color w:val="000000"/>
                <w:lang w:val="fr-FR"/>
              </w:rPr>
              <w:t>dans le Plan d'action de Genève</w:t>
            </w:r>
            <w:r w:rsidRPr="0098490B">
              <w:rPr>
                <w:color w:val="000000"/>
                <w:lang w:val="fr-FR"/>
              </w:rPr>
              <w:t xml:space="preserve"> et section de l'Agenda de Tunis pour la société de l'information intitulée "Mécanismes de financement pour relever le défi que représente l'utilisation des TIC au service du développement"</w:t>
            </w:r>
            <w:bookmarkEnd w:id="84"/>
          </w:p>
        </w:tc>
      </w:tr>
      <w:tr w:rsidR="003B549F" w:rsidRPr="0098490B" w:rsidTr="004268F3">
        <w:tc>
          <w:tcPr>
            <w:tcW w:w="3256" w:type="dxa"/>
            <w:tcBorders>
              <w:top w:val="single" w:sz="4" w:space="0" w:color="auto"/>
              <w:bottom w:val="single" w:sz="4" w:space="0" w:color="auto"/>
              <w:right w:val="single" w:sz="4" w:space="0" w:color="auto"/>
            </w:tcBorders>
          </w:tcPr>
          <w:p w:rsidR="003B549F" w:rsidRPr="0098490B" w:rsidRDefault="003B549F" w:rsidP="00091594">
            <w:pPr>
              <w:spacing w:before="0"/>
              <w:rPr>
                <w:i/>
                <w:iCs/>
                <w:szCs w:val="24"/>
                <w:lang w:val="fr-FR"/>
              </w:rPr>
            </w:pPr>
            <w:r w:rsidRPr="0098490B">
              <w:rPr>
                <w:i/>
                <w:iCs/>
                <w:lang w:val="fr-FR"/>
              </w:rPr>
              <w:t>Contribution aux cibles des O</w:t>
            </w:r>
            <w:r w:rsidR="00324C62" w:rsidRPr="0098490B">
              <w:rPr>
                <w:i/>
                <w:iCs/>
                <w:lang w:val="fr-FR"/>
              </w:rPr>
              <w:t>bjectifs de développement durable</w:t>
            </w:r>
          </w:p>
        </w:tc>
        <w:tc>
          <w:tcPr>
            <w:tcW w:w="6373" w:type="dxa"/>
            <w:tcBorders>
              <w:top w:val="single" w:sz="4" w:space="0" w:color="auto"/>
              <w:left w:val="single" w:sz="4" w:space="0" w:color="auto"/>
              <w:bottom w:val="single" w:sz="4" w:space="0" w:color="auto"/>
            </w:tcBorders>
          </w:tcPr>
          <w:p w:rsidR="003B549F" w:rsidRPr="0098490B" w:rsidRDefault="00324C62" w:rsidP="00091594">
            <w:pPr>
              <w:spacing w:before="0"/>
              <w:rPr>
                <w:szCs w:val="24"/>
                <w:lang w:val="fr-FR"/>
              </w:rPr>
            </w:pPr>
            <w:bookmarkStart w:id="85" w:name="lt_pId274"/>
            <w:r w:rsidRPr="0098490B">
              <w:rPr>
                <w:szCs w:val="24"/>
                <w:lang w:val="fr-FR"/>
              </w:rPr>
              <w:t>Objectif</w:t>
            </w:r>
            <w:r w:rsidR="009C6EFE" w:rsidRPr="0098490B">
              <w:rPr>
                <w:szCs w:val="24"/>
                <w:lang w:val="fr-FR"/>
              </w:rPr>
              <w:t>s</w:t>
            </w:r>
            <w:r w:rsidRPr="0098490B">
              <w:rPr>
                <w:szCs w:val="24"/>
                <w:lang w:val="fr-FR"/>
              </w:rPr>
              <w:t xml:space="preserve"> de développement durable</w:t>
            </w:r>
            <w:r w:rsidR="003B549F" w:rsidRPr="0098490B">
              <w:rPr>
                <w:szCs w:val="24"/>
                <w:lang w:val="fr-FR"/>
              </w:rPr>
              <w:t>:</w:t>
            </w:r>
            <w:bookmarkEnd w:id="85"/>
            <w:r w:rsidR="003B549F" w:rsidRPr="0098490B">
              <w:rPr>
                <w:szCs w:val="24"/>
                <w:lang w:val="fr-FR"/>
              </w:rPr>
              <w:t xml:space="preserve"> </w:t>
            </w:r>
            <w:bookmarkStart w:id="86" w:name="lt_pId275"/>
            <w:r w:rsidR="003B549F" w:rsidRPr="0098490B">
              <w:rPr>
                <w:szCs w:val="24"/>
                <w:lang w:val="fr-FR"/>
              </w:rPr>
              <w:t>1 (cibles 1.a;</w:t>
            </w:r>
            <w:bookmarkEnd w:id="86"/>
            <w:r w:rsidR="003B549F" w:rsidRPr="0098490B">
              <w:rPr>
                <w:szCs w:val="24"/>
                <w:lang w:val="fr-FR"/>
              </w:rPr>
              <w:t xml:space="preserve"> </w:t>
            </w:r>
            <w:bookmarkStart w:id="87" w:name="lt_pId276"/>
            <w:r w:rsidR="003B549F" w:rsidRPr="0098490B">
              <w:rPr>
                <w:szCs w:val="24"/>
                <w:lang w:val="fr-FR"/>
              </w:rPr>
              <w:t>1.b), 2 (cibles 2.a, 2.c), 3, 4 (cibles 4.a, 4.b, 4.3, 4.7), 5 (cibles 5.b, 5.6), 8 (cible</w:t>
            </w:r>
            <w:r w:rsidRPr="0098490B">
              <w:rPr>
                <w:szCs w:val="24"/>
                <w:lang w:val="fr-FR"/>
              </w:rPr>
              <w:t>s</w:t>
            </w:r>
            <w:r w:rsidR="003B549F" w:rsidRPr="0098490B">
              <w:rPr>
                <w:szCs w:val="24"/>
                <w:lang w:val="fr-FR"/>
              </w:rPr>
              <w:t xml:space="preserve"> 8.2, 8.3, 8.6, 8.10, 8.b), 9 (cibles 9.5, 9.b, 9.c), 10, 11 (cibles 11.1, 11.4), 12, 13 (cible 13.3), 16, 17 (cibles 17.1, 17.3, 17.9, 17.14, 17.16, 17.17)</w:t>
            </w:r>
            <w:bookmarkEnd w:id="87"/>
          </w:p>
        </w:tc>
      </w:tr>
    </w:tbl>
    <w:p w:rsidR="00091594" w:rsidRPr="0098490B" w:rsidRDefault="00091594" w:rsidP="00784D97">
      <w:pPr>
        <w:pStyle w:val="Heading1"/>
        <w:rPr>
          <w:lang w:val="fr-FR"/>
        </w:rPr>
      </w:pPr>
      <w:bookmarkStart w:id="88" w:name="_Toc467807696"/>
      <w:bookmarkStart w:id="89" w:name="_Toc468087095"/>
    </w:p>
    <w:p w:rsidR="00091594" w:rsidRPr="0098490B" w:rsidRDefault="00091594">
      <w:pPr>
        <w:tabs>
          <w:tab w:val="clear" w:pos="794"/>
          <w:tab w:val="clear" w:pos="1191"/>
          <w:tab w:val="clear" w:pos="1588"/>
          <w:tab w:val="clear" w:pos="1985"/>
        </w:tabs>
        <w:overflowPunct/>
        <w:autoSpaceDE/>
        <w:autoSpaceDN/>
        <w:adjustRightInd/>
        <w:spacing w:before="0"/>
        <w:textAlignment w:val="auto"/>
        <w:rPr>
          <w:b/>
          <w:sz w:val="28"/>
          <w:lang w:val="fr-FR"/>
        </w:rPr>
      </w:pPr>
      <w:r w:rsidRPr="0098490B">
        <w:rPr>
          <w:b/>
          <w:sz w:val="28"/>
          <w:lang w:val="fr-FR"/>
        </w:rPr>
        <w:br w:type="page"/>
      </w:r>
    </w:p>
    <w:p w:rsidR="00084CA2" w:rsidRPr="0098490B" w:rsidRDefault="00084CA2" w:rsidP="00784D97">
      <w:pPr>
        <w:pStyle w:val="Heading1"/>
        <w:rPr>
          <w:lang w:val="fr-FR"/>
        </w:rPr>
      </w:pPr>
      <w:r w:rsidRPr="0098490B">
        <w:rPr>
          <w:lang w:val="fr-FR"/>
        </w:rPr>
        <w:lastRenderedPageBreak/>
        <w:t>3</w:t>
      </w:r>
      <w:r w:rsidRPr="0098490B">
        <w:rPr>
          <w:lang w:val="fr-FR"/>
        </w:rPr>
        <w:tab/>
        <w:t>Objectif 3</w:t>
      </w:r>
      <w:bookmarkStart w:id="90" w:name="_Toc467807697"/>
      <w:bookmarkStart w:id="91" w:name="_Toc468087096"/>
      <w:bookmarkEnd w:id="88"/>
      <w:bookmarkEnd w:id="89"/>
      <w:r w:rsidRPr="0098490B">
        <w:rPr>
          <w:lang w:val="fr-FR"/>
        </w:rPr>
        <w:t xml:space="preserve">: </w:t>
      </w:r>
      <w:r w:rsidRPr="00C057A3">
        <w:rPr>
          <w:lang w:val="fr-FR"/>
        </w:rPr>
        <w:t>"</w:t>
      </w:r>
      <w:r w:rsidRPr="0098490B">
        <w:rPr>
          <w:i/>
          <w:iCs/>
          <w:lang w:val="fr-FR"/>
        </w:rPr>
        <w:t>Renforcer la confiance et la sécurité dans l'utilisation des télécommunications/TIC, ainsi que dans le déploiement des applications et des services correspondants</w:t>
      </w:r>
      <w:bookmarkEnd w:id="90"/>
      <w:bookmarkEnd w:id="91"/>
      <w:r w:rsidRPr="00C057A3">
        <w:rPr>
          <w:lang w:val="fr-FR"/>
        </w:rPr>
        <w:t>"</w:t>
      </w:r>
    </w:p>
    <w:p w:rsidR="00084CA2" w:rsidRPr="0098490B" w:rsidRDefault="00084CA2" w:rsidP="00091594">
      <w:pPr>
        <w:pStyle w:val="Heading2"/>
        <w:spacing w:after="120"/>
        <w:rPr>
          <w:lang w:val="fr-FR"/>
        </w:rPr>
      </w:pPr>
      <w:bookmarkStart w:id="92" w:name="_Toc467807698"/>
      <w:bookmarkStart w:id="93" w:name="_Toc468087097"/>
      <w:r w:rsidRPr="0098490B">
        <w:rPr>
          <w:lang w:val="fr-FR"/>
        </w:rPr>
        <w:t>3.1</w:t>
      </w:r>
      <w:r w:rsidRPr="0098490B">
        <w:rPr>
          <w:lang w:val="fr-FR"/>
        </w:rPr>
        <w:tab/>
        <w:t>Instaurer la confiance et la sécurité dans l'utilisation des TIC</w:t>
      </w:r>
      <w:bookmarkEnd w:id="92"/>
      <w:bookmarkEnd w:id="93"/>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515"/>
      </w:tblGrid>
      <w:tr w:rsidR="00084CA2" w:rsidRPr="0098490B" w:rsidTr="004268F3">
        <w:tc>
          <w:tcPr>
            <w:tcW w:w="9629" w:type="dxa"/>
            <w:gridSpan w:val="2"/>
            <w:tcBorders>
              <w:bottom w:val="single" w:sz="4" w:space="0" w:color="auto"/>
            </w:tcBorders>
          </w:tcPr>
          <w:p w:rsidR="00813F77" w:rsidRPr="0098490B" w:rsidRDefault="00813F77" w:rsidP="00091594">
            <w:pPr>
              <w:rPr>
                <w:lang w:val="fr-FR"/>
              </w:rPr>
            </w:pPr>
            <w:bookmarkStart w:id="94" w:name="lt_pId282"/>
            <w:r w:rsidRPr="0098490B">
              <w:rPr>
                <w:lang w:val="fr-FR"/>
              </w:rPr>
              <w:t xml:space="preserve">En 2017, le BDT a continué d'apporter un appui aux membres de l'UIT, en particulier aux pays en développement, </w:t>
            </w:r>
            <w:r w:rsidR="00091594" w:rsidRPr="0098490B">
              <w:rPr>
                <w:lang w:val="fr-FR"/>
              </w:rPr>
              <w:t>en vue d'instaurer</w:t>
            </w:r>
            <w:r w:rsidRPr="0098490B">
              <w:rPr>
                <w:lang w:val="fr-FR"/>
              </w:rPr>
              <w:t xml:space="preserve"> la confiance dans l'utilisation des TIC. Le BDT a notamment mené des activités de renforcement des capacités et de communication, ainsi que des activités </w:t>
            </w:r>
            <w:r w:rsidR="00693AB4" w:rsidRPr="0098490B">
              <w:rPr>
                <w:lang w:val="fr-FR"/>
              </w:rPr>
              <w:t>concernant des</w:t>
            </w:r>
            <w:r w:rsidRPr="0098490B">
              <w:rPr>
                <w:lang w:val="fr-FR"/>
              </w:rPr>
              <w:t xml:space="preserve"> améliorations juridiques et techniques, </w:t>
            </w:r>
            <w:r w:rsidR="00693AB4" w:rsidRPr="0098490B">
              <w:rPr>
                <w:lang w:val="fr-FR"/>
              </w:rPr>
              <w:t>et</w:t>
            </w:r>
            <w:r w:rsidRPr="0098490B">
              <w:rPr>
                <w:lang w:val="fr-FR"/>
              </w:rPr>
              <w:t xml:space="preserve"> </w:t>
            </w:r>
            <w:r w:rsidR="00091594" w:rsidRPr="0098490B">
              <w:rPr>
                <w:lang w:val="fr-FR"/>
              </w:rPr>
              <w:t xml:space="preserve">portant sur </w:t>
            </w:r>
            <w:r w:rsidRPr="0098490B">
              <w:rPr>
                <w:lang w:val="fr-FR"/>
              </w:rPr>
              <w:t>la coopération internationale.</w:t>
            </w:r>
            <w:bookmarkEnd w:id="94"/>
          </w:p>
          <w:p w:rsidR="00813F77" w:rsidRPr="0098490B" w:rsidRDefault="00813F77" w:rsidP="00784D97">
            <w:pPr>
              <w:rPr>
                <w:lang w:val="fr-FR"/>
              </w:rPr>
            </w:pPr>
            <w:r w:rsidRPr="0098490B">
              <w:rPr>
                <w:lang w:val="fr-FR"/>
              </w:rPr>
              <w:t>La deuxième édition de l'Indice mondial de cybersécurité a été présentée. Cet indice vise à mesurer le niveau de développement des Etats Membres en matière de cybersécurité.</w:t>
            </w:r>
          </w:p>
          <w:p w:rsidR="00813F77" w:rsidRPr="0098490B" w:rsidRDefault="00813F77" w:rsidP="00784D97">
            <w:pPr>
              <w:rPr>
                <w:color w:val="000000"/>
                <w:lang w:val="fr-FR"/>
              </w:rPr>
            </w:pPr>
            <w:r w:rsidRPr="0098490B">
              <w:rPr>
                <w:lang w:val="fr-FR"/>
              </w:rPr>
              <w:t xml:space="preserve">Plusieurs initiatives et activités ont été mises en oeuvre dans le domaine de la </w:t>
            </w:r>
            <w:r w:rsidRPr="0098490B">
              <w:rPr>
                <w:color w:val="000000"/>
                <w:lang w:val="fr-FR"/>
              </w:rPr>
              <w:t>protection en ligne des enfants, y compris concernant l'élaboration de lignes directrices et de stratégies (par exemple en Egypte, dans les Caraïbes, au Soudan, etc.).</w:t>
            </w:r>
          </w:p>
          <w:p w:rsidR="00084CA2" w:rsidRPr="0098490B" w:rsidRDefault="00813F77" w:rsidP="00784D97">
            <w:pPr>
              <w:rPr>
                <w:color w:val="000000"/>
                <w:lang w:val="fr-FR"/>
              </w:rPr>
            </w:pPr>
            <w:r w:rsidRPr="0098490B">
              <w:rPr>
                <w:color w:val="000000"/>
                <w:lang w:val="fr-FR"/>
              </w:rPr>
              <w:t xml:space="preserve">Le BDT a contribué à la mise en place et au renforcement </w:t>
            </w:r>
            <w:r w:rsidR="00693AB4" w:rsidRPr="0098490B">
              <w:rPr>
                <w:color w:val="000000"/>
                <w:lang w:val="fr-FR"/>
              </w:rPr>
              <w:t>d'</w:t>
            </w:r>
            <w:r w:rsidRPr="0098490B">
              <w:rPr>
                <w:color w:val="000000"/>
                <w:lang w:val="fr-FR"/>
              </w:rPr>
              <w:t>équipes CIRT nationales (</w:t>
            </w:r>
            <w:r w:rsidR="00693AB4" w:rsidRPr="0098490B">
              <w:rPr>
                <w:color w:val="000000"/>
                <w:lang w:val="fr-FR"/>
              </w:rPr>
              <w:t xml:space="preserve">par exemple </w:t>
            </w:r>
            <w:r w:rsidRPr="0098490B">
              <w:rPr>
                <w:color w:val="000000"/>
                <w:lang w:val="fr-FR"/>
              </w:rPr>
              <w:t xml:space="preserve">au Mali, dans la région des Etats arabes, en Namibie, en Mauritanie, ou encore au Zimbabwe). Un projet de cybersécurité a par exemple été signé au mois de septembre avec le Gouvernement de l'Australie en vue d'aider quatre pays </w:t>
            </w:r>
            <w:r w:rsidR="009671AF" w:rsidRPr="0098490B">
              <w:rPr>
                <w:color w:val="000000"/>
                <w:lang w:val="fr-FR"/>
              </w:rPr>
              <w:t>appartenant aux îles du Pacifique à mettre en place des équipes CIRT nationales.</w:t>
            </w:r>
          </w:p>
          <w:p w:rsidR="009671AF" w:rsidRPr="0098490B" w:rsidRDefault="009671AF" w:rsidP="00784D97">
            <w:pPr>
              <w:rPr>
                <w:color w:val="000000"/>
                <w:lang w:val="fr-FR"/>
              </w:rPr>
            </w:pPr>
            <w:r w:rsidRPr="0098490B">
              <w:rPr>
                <w:color w:val="000000"/>
                <w:lang w:val="fr-FR"/>
              </w:rPr>
              <w:t>Des cyberexercices ont été organisés dans plusieurs pays et régions (par exemple dans les Caraïbes, dans la région des Etats arabes ou en Uruguay). Citons par exemple le cyberexercice régional d'apprentissage appliqué pour les équipes d'intervention en situation d'urgence (ALERT) organisé à Doha (Qatar) en coopération avec le Centre régional de cybersécurité pour la région des Etats arabes (ARCC), auquel ont pris part 100 participants issus de 11 pays. Des ateliers et des colloques sur la cybersécurité ont été organisés avec succès dans plusieurs pays et régions (notamment dans la région Amériques, au Swaziland ou encore à Djibouti).</w:t>
            </w:r>
          </w:p>
          <w:p w:rsidR="00270176" w:rsidRPr="0098490B" w:rsidRDefault="009671AF" w:rsidP="00146D8E">
            <w:pPr>
              <w:spacing w:after="120"/>
              <w:rPr>
                <w:lang w:val="fr-FR"/>
              </w:rPr>
            </w:pPr>
            <w:r w:rsidRPr="0098490B">
              <w:rPr>
                <w:szCs w:val="24"/>
                <w:lang w:val="fr-FR"/>
              </w:rPr>
              <w:t xml:space="preserve">L'atelier régional de l'UIT sur la cybersécurité pour la CEI a offert une tribune permettant d'échanger des expériences, notamment au sujet des récentes cyberattaques qu'a subi la région, et des idées sur la manière de les combattre. Cinquante-six participants issus de 8 pays ont participé à l'atelier. </w:t>
            </w:r>
          </w:p>
        </w:tc>
      </w:tr>
      <w:tr w:rsidR="00270176" w:rsidRPr="0098490B" w:rsidTr="000A0B3D">
        <w:tc>
          <w:tcPr>
            <w:tcW w:w="3114" w:type="dxa"/>
            <w:tcBorders>
              <w:top w:val="single" w:sz="4" w:space="0" w:color="auto"/>
              <w:bottom w:val="single" w:sz="4" w:space="0" w:color="auto"/>
              <w:right w:val="single" w:sz="4" w:space="0" w:color="auto"/>
            </w:tcBorders>
          </w:tcPr>
          <w:p w:rsidR="00270176" w:rsidRPr="0098490B" w:rsidRDefault="00270176" w:rsidP="00146D8E">
            <w:pPr>
              <w:spacing w:before="0"/>
              <w:rPr>
                <w:i/>
                <w:iCs/>
                <w:szCs w:val="24"/>
                <w:lang w:val="fr-FR"/>
              </w:rPr>
            </w:pPr>
            <w:r w:rsidRPr="0098490B">
              <w:rPr>
                <w:i/>
                <w:iCs/>
                <w:szCs w:val="24"/>
                <w:lang w:val="fr-FR"/>
              </w:rPr>
              <w:t>CMDT</w:t>
            </w:r>
          </w:p>
        </w:tc>
        <w:tc>
          <w:tcPr>
            <w:tcW w:w="6515" w:type="dxa"/>
            <w:tcBorders>
              <w:top w:val="single" w:sz="4" w:space="0" w:color="auto"/>
              <w:left w:val="single" w:sz="4" w:space="0" w:color="auto"/>
              <w:bottom w:val="single" w:sz="4" w:space="0" w:color="auto"/>
            </w:tcBorders>
          </w:tcPr>
          <w:p w:rsidR="00270176" w:rsidRPr="0098490B" w:rsidRDefault="00270176" w:rsidP="00146D8E">
            <w:pPr>
              <w:spacing w:before="0"/>
              <w:rPr>
                <w:szCs w:val="24"/>
                <w:lang w:val="fr-FR"/>
              </w:rPr>
            </w:pPr>
            <w:bookmarkStart w:id="95" w:name="lt_pId296"/>
            <w:r w:rsidRPr="0098490B">
              <w:rPr>
                <w:szCs w:val="24"/>
                <w:lang w:val="fr-FR"/>
              </w:rPr>
              <w:t>Résolutions 1, 5, 9, 15, 30, 33, 37, 45, 50, 59, 64, 67, 69, 78, 79</w:t>
            </w:r>
            <w:bookmarkEnd w:id="95"/>
          </w:p>
        </w:tc>
      </w:tr>
      <w:tr w:rsidR="00270176" w:rsidRPr="0098490B" w:rsidTr="000A0B3D">
        <w:trPr>
          <w:trHeight w:val="397"/>
        </w:trPr>
        <w:tc>
          <w:tcPr>
            <w:tcW w:w="3114" w:type="dxa"/>
            <w:tcBorders>
              <w:top w:val="single" w:sz="4" w:space="0" w:color="auto"/>
              <w:bottom w:val="single" w:sz="4" w:space="0" w:color="auto"/>
              <w:right w:val="single" w:sz="4" w:space="0" w:color="auto"/>
            </w:tcBorders>
          </w:tcPr>
          <w:p w:rsidR="00270176" w:rsidRPr="0098490B" w:rsidRDefault="009671AF" w:rsidP="00146D8E">
            <w:pPr>
              <w:spacing w:before="0"/>
              <w:rPr>
                <w:i/>
                <w:iCs/>
                <w:lang w:val="fr-FR"/>
              </w:rPr>
            </w:pPr>
            <w:r w:rsidRPr="0098490B">
              <w:rPr>
                <w:i/>
                <w:iCs/>
                <w:lang w:val="fr-FR"/>
              </w:rPr>
              <w:t>Conférence de plénipotentiaires</w:t>
            </w:r>
          </w:p>
        </w:tc>
        <w:tc>
          <w:tcPr>
            <w:tcW w:w="6515" w:type="dxa"/>
            <w:tcBorders>
              <w:top w:val="single" w:sz="4" w:space="0" w:color="auto"/>
              <w:left w:val="single" w:sz="4" w:space="0" w:color="auto"/>
              <w:bottom w:val="single" w:sz="4" w:space="0" w:color="auto"/>
            </w:tcBorders>
          </w:tcPr>
          <w:p w:rsidR="00270176" w:rsidRPr="0098490B" w:rsidRDefault="00270176" w:rsidP="00146D8E">
            <w:pPr>
              <w:spacing w:before="0"/>
              <w:rPr>
                <w:szCs w:val="24"/>
                <w:lang w:val="fr-FR"/>
              </w:rPr>
            </w:pPr>
            <w:bookmarkStart w:id="96" w:name="lt_pId298"/>
            <w:r w:rsidRPr="0098490B">
              <w:rPr>
                <w:szCs w:val="24"/>
                <w:lang w:val="fr-FR"/>
              </w:rPr>
              <w:t>Décisions 5, 13</w:t>
            </w:r>
            <w:bookmarkEnd w:id="96"/>
          </w:p>
          <w:p w:rsidR="00270176" w:rsidRPr="0098490B" w:rsidRDefault="00270176" w:rsidP="00146D8E">
            <w:pPr>
              <w:spacing w:before="0"/>
              <w:rPr>
                <w:szCs w:val="24"/>
                <w:lang w:val="fr-FR"/>
              </w:rPr>
            </w:pPr>
            <w:bookmarkStart w:id="97" w:name="lt_pId299"/>
            <w:r w:rsidRPr="0098490B">
              <w:rPr>
                <w:szCs w:val="24"/>
                <w:lang w:val="fr-FR"/>
              </w:rPr>
              <w:t>Résolutions 25, 71, 72, 130, 179, 181</w:t>
            </w:r>
            <w:bookmarkEnd w:id="97"/>
          </w:p>
        </w:tc>
      </w:tr>
      <w:tr w:rsidR="00270176" w:rsidRPr="0098490B" w:rsidTr="000A0B3D">
        <w:trPr>
          <w:trHeight w:val="397"/>
        </w:trPr>
        <w:tc>
          <w:tcPr>
            <w:tcW w:w="3114" w:type="dxa"/>
            <w:tcBorders>
              <w:top w:val="single" w:sz="4" w:space="0" w:color="auto"/>
              <w:bottom w:val="single" w:sz="4" w:space="0" w:color="auto"/>
              <w:right w:val="single" w:sz="4" w:space="0" w:color="auto"/>
            </w:tcBorders>
          </w:tcPr>
          <w:p w:rsidR="00270176" w:rsidRPr="0098490B" w:rsidRDefault="00270176" w:rsidP="00146D8E">
            <w:pPr>
              <w:spacing w:before="0"/>
              <w:rPr>
                <w:i/>
                <w:iCs/>
                <w:lang w:val="fr-FR"/>
              </w:rPr>
            </w:pPr>
            <w:r w:rsidRPr="0098490B">
              <w:rPr>
                <w:i/>
                <w:iCs/>
                <w:lang w:val="fr-FR"/>
              </w:rPr>
              <w:t>AMNT</w:t>
            </w:r>
          </w:p>
        </w:tc>
        <w:tc>
          <w:tcPr>
            <w:tcW w:w="6515" w:type="dxa"/>
            <w:tcBorders>
              <w:top w:val="single" w:sz="4" w:space="0" w:color="auto"/>
              <w:left w:val="single" w:sz="4" w:space="0" w:color="auto"/>
              <w:bottom w:val="single" w:sz="4" w:space="0" w:color="auto"/>
            </w:tcBorders>
          </w:tcPr>
          <w:p w:rsidR="00270176" w:rsidRPr="0098490B" w:rsidRDefault="00270176" w:rsidP="00146D8E">
            <w:pPr>
              <w:spacing w:before="0"/>
              <w:rPr>
                <w:szCs w:val="24"/>
                <w:lang w:val="fr-FR"/>
              </w:rPr>
            </w:pPr>
            <w:bookmarkStart w:id="98" w:name="lt_pId301"/>
            <w:r w:rsidRPr="0098490B">
              <w:rPr>
                <w:szCs w:val="24"/>
                <w:lang w:val="fr-FR"/>
              </w:rPr>
              <w:t>Résolutions 50, 52, 58</w:t>
            </w:r>
            <w:bookmarkEnd w:id="98"/>
            <w:r w:rsidRPr="0098490B">
              <w:rPr>
                <w:szCs w:val="24"/>
                <w:lang w:val="fr-FR"/>
              </w:rPr>
              <w:t xml:space="preserve"> </w:t>
            </w:r>
          </w:p>
        </w:tc>
      </w:tr>
      <w:tr w:rsidR="00270176" w:rsidRPr="0098490B" w:rsidTr="000A0B3D">
        <w:trPr>
          <w:trHeight w:val="397"/>
        </w:trPr>
        <w:tc>
          <w:tcPr>
            <w:tcW w:w="3114" w:type="dxa"/>
            <w:tcBorders>
              <w:top w:val="single" w:sz="4" w:space="0" w:color="auto"/>
              <w:bottom w:val="single" w:sz="4" w:space="0" w:color="auto"/>
              <w:right w:val="single" w:sz="4" w:space="0" w:color="auto"/>
            </w:tcBorders>
          </w:tcPr>
          <w:p w:rsidR="00270176" w:rsidRPr="0098490B" w:rsidRDefault="000A0B3D" w:rsidP="00146D8E">
            <w:pPr>
              <w:spacing w:before="0"/>
              <w:rPr>
                <w:i/>
                <w:iCs/>
                <w:szCs w:val="24"/>
                <w:lang w:val="fr-FR"/>
              </w:rPr>
            </w:pPr>
            <w:r>
              <w:rPr>
                <w:i/>
                <w:iCs/>
                <w:lang w:val="fr-FR"/>
              </w:rPr>
              <w:t>Grandes orientations du </w:t>
            </w:r>
            <w:r w:rsidR="00270176" w:rsidRPr="0098490B">
              <w:rPr>
                <w:i/>
                <w:iCs/>
                <w:lang w:val="fr-FR"/>
              </w:rPr>
              <w:t>SMSI</w:t>
            </w:r>
          </w:p>
        </w:tc>
        <w:tc>
          <w:tcPr>
            <w:tcW w:w="6515" w:type="dxa"/>
            <w:tcBorders>
              <w:top w:val="single" w:sz="4" w:space="0" w:color="auto"/>
              <w:left w:val="single" w:sz="4" w:space="0" w:color="auto"/>
              <w:bottom w:val="single" w:sz="4" w:space="0" w:color="auto"/>
            </w:tcBorders>
          </w:tcPr>
          <w:p w:rsidR="00270176" w:rsidRPr="0098490B" w:rsidRDefault="009671AF" w:rsidP="00146D8E">
            <w:pPr>
              <w:spacing w:before="0"/>
              <w:rPr>
                <w:szCs w:val="24"/>
                <w:lang w:val="fr-FR"/>
              </w:rPr>
            </w:pPr>
            <w:bookmarkStart w:id="99" w:name="lt_pId303"/>
            <w:r w:rsidRPr="0098490B">
              <w:rPr>
                <w:szCs w:val="24"/>
                <w:lang w:val="fr-FR"/>
              </w:rPr>
              <w:t>Grande orientation</w:t>
            </w:r>
            <w:r w:rsidR="00270176" w:rsidRPr="0098490B">
              <w:rPr>
                <w:szCs w:val="24"/>
                <w:lang w:val="fr-FR"/>
              </w:rPr>
              <w:t xml:space="preserve"> C5</w:t>
            </w:r>
            <w:bookmarkEnd w:id="99"/>
            <w:r w:rsidRPr="0098490B">
              <w:rPr>
                <w:szCs w:val="24"/>
                <w:lang w:val="fr-FR"/>
              </w:rPr>
              <w:t xml:space="preserve"> du SMSI</w:t>
            </w:r>
          </w:p>
        </w:tc>
      </w:tr>
      <w:tr w:rsidR="00270176" w:rsidRPr="0098490B" w:rsidTr="000A0B3D">
        <w:tc>
          <w:tcPr>
            <w:tcW w:w="3114" w:type="dxa"/>
            <w:tcBorders>
              <w:top w:val="single" w:sz="4" w:space="0" w:color="auto"/>
              <w:bottom w:val="single" w:sz="4" w:space="0" w:color="auto"/>
              <w:right w:val="single" w:sz="4" w:space="0" w:color="auto"/>
            </w:tcBorders>
          </w:tcPr>
          <w:p w:rsidR="00270176" w:rsidRPr="0098490B" w:rsidRDefault="00270176" w:rsidP="00146D8E">
            <w:pPr>
              <w:spacing w:before="0"/>
              <w:rPr>
                <w:i/>
                <w:iCs/>
                <w:szCs w:val="24"/>
                <w:lang w:val="fr-FR"/>
              </w:rPr>
            </w:pPr>
            <w:r w:rsidRPr="0098490B">
              <w:rPr>
                <w:i/>
                <w:iCs/>
                <w:lang w:val="fr-FR"/>
              </w:rPr>
              <w:t>Contribution aux cibles des O</w:t>
            </w:r>
            <w:r w:rsidR="009671AF" w:rsidRPr="0098490B">
              <w:rPr>
                <w:i/>
                <w:iCs/>
                <w:lang w:val="fr-FR"/>
              </w:rPr>
              <w:t>bjectifs de développement durable</w:t>
            </w:r>
          </w:p>
        </w:tc>
        <w:tc>
          <w:tcPr>
            <w:tcW w:w="6515" w:type="dxa"/>
            <w:tcBorders>
              <w:top w:val="single" w:sz="4" w:space="0" w:color="auto"/>
              <w:left w:val="single" w:sz="4" w:space="0" w:color="auto"/>
              <w:bottom w:val="single" w:sz="4" w:space="0" w:color="auto"/>
            </w:tcBorders>
          </w:tcPr>
          <w:p w:rsidR="00270176" w:rsidRPr="0098490B" w:rsidRDefault="009671AF" w:rsidP="00146D8E">
            <w:pPr>
              <w:spacing w:before="0"/>
              <w:rPr>
                <w:szCs w:val="24"/>
                <w:lang w:val="fr-FR"/>
              </w:rPr>
            </w:pPr>
            <w:bookmarkStart w:id="100" w:name="lt_pId305"/>
            <w:r w:rsidRPr="0098490B">
              <w:rPr>
                <w:szCs w:val="24"/>
                <w:lang w:val="fr-FR"/>
              </w:rPr>
              <w:t>Objectif</w:t>
            </w:r>
            <w:r w:rsidR="00AB2129" w:rsidRPr="0098490B">
              <w:rPr>
                <w:szCs w:val="24"/>
                <w:lang w:val="fr-FR"/>
              </w:rPr>
              <w:t>s</w:t>
            </w:r>
            <w:r w:rsidRPr="0098490B">
              <w:rPr>
                <w:szCs w:val="24"/>
                <w:lang w:val="fr-FR"/>
              </w:rPr>
              <w:t xml:space="preserve"> de développement durable</w:t>
            </w:r>
            <w:r w:rsidR="00270176" w:rsidRPr="0098490B">
              <w:rPr>
                <w:szCs w:val="24"/>
                <w:lang w:val="fr-FR"/>
              </w:rPr>
              <w:t>:</w:t>
            </w:r>
            <w:bookmarkEnd w:id="100"/>
            <w:r w:rsidR="00270176" w:rsidRPr="0098490B">
              <w:rPr>
                <w:szCs w:val="24"/>
                <w:lang w:val="fr-FR"/>
              </w:rPr>
              <w:t xml:space="preserve"> </w:t>
            </w:r>
            <w:bookmarkStart w:id="101" w:name="lt_pId306"/>
            <w:r w:rsidR="00270176" w:rsidRPr="0098490B">
              <w:rPr>
                <w:szCs w:val="24"/>
                <w:lang w:val="fr-FR"/>
              </w:rPr>
              <w:t>1, 3 (cible 3.5), 4</w:t>
            </w:r>
            <w:r w:rsidR="00146D8E" w:rsidRPr="0098490B">
              <w:rPr>
                <w:szCs w:val="24"/>
                <w:lang w:val="fr-FR"/>
              </w:rPr>
              <w:t> </w:t>
            </w:r>
            <w:r w:rsidR="00270176" w:rsidRPr="0098490B">
              <w:rPr>
                <w:szCs w:val="24"/>
                <w:lang w:val="fr-FR"/>
              </w:rPr>
              <w:t>(cible</w:t>
            </w:r>
            <w:r w:rsidR="00146D8E" w:rsidRPr="0098490B">
              <w:rPr>
                <w:szCs w:val="24"/>
                <w:lang w:val="fr-FR"/>
              </w:rPr>
              <w:t> </w:t>
            </w:r>
            <w:r w:rsidR="00270176" w:rsidRPr="0098490B">
              <w:rPr>
                <w:szCs w:val="24"/>
                <w:lang w:val="fr-FR"/>
              </w:rPr>
              <w:t>4.a), 5 (cibles 5.2, 5.3, 5.b), 7, 8, 9, 10 (cible 10.2), 11, 16, 17</w:t>
            </w:r>
            <w:bookmarkEnd w:id="101"/>
          </w:p>
        </w:tc>
      </w:tr>
    </w:tbl>
    <w:p w:rsidR="00084CA2" w:rsidRPr="0098490B" w:rsidRDefault="00084CA2" w:rsidP="00146D8E">
      <w:pPr>
        <w:pStyle w:val="Heading2"/>
        <w:spacing w:after="120"/>
        <w:rPr>
          <w:lang w:val="fr-FR"/>
        </w:rPr>
      </w:pPr>
      <w:bookmarkStart w:id="102" w:name="_Toc467807699"/>
      <w:bookmarkStart w:id="103" w:name="_Toc468087098"/>
      <w:r w:rsidRPr="0098490B">
        <w:rPr>
          <w:lang w:val="fr-FR"/>
        </w:rPr>
        <w:lastRenderedPageBreak/>
        <w:t>3.2</w:t>
      </w:r>
      <w:r w:rsidRPr="0098490B">
        <w:rPr>
          <w:lang w:val="fr-FR"/>
        </w:rPr>
        <w:tab/>
        <w:t>Applications et services TIC</w:t>
      </w:r>
      <w:bookmarkEnd w:id="102"/>
      <w:bookmarkEnd w:id="103"/>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084CA2" w:rsidRPr="0098490B" w:rsidTr="004268F3">
        <w:tc>
          <w:tcPr>
            <w:tcW w:w="9629" w:type="dxa"/>
            <w:gridSpan w:val="2"/>
            <w:tcBorders>
              <w:bottom w:val="single" w:sz="4" w:space="0" w:color="auto"/>
            </w:tcBorders>
          </w:tcPr>
          <w:p w:rsidR="00084CA2" w:rsidRPr="0098490B" w:rsidRDefault="00AB2129" w:rsidP="00784D97">
            <w:pPr>
              <w:rPr>
                <w:lang w:val="fr-FR"/>
              </w:rPr>
            </w:pPr>
            <w:r w:rsidRPr="0098490B">
              <w:rPr>
                <w:lang w:val="fr-FR"/>
              </w:rPr>
              <w:t>Les</w:t>
            </w:r>
            <w:r w:rsidR="00084CA2" w:rsidRPr="0098490B">
              <w:rPr>
                <w:lang w:val="fr-FR"/>
              </w:rPr>
              <w:t xml:space="preserve"> capacité</w:t>
            </w:r>
            <w:r w:rsidRPr="0098490B">
              <w:rPr>
                <w:lang w:val="fr-FR"/>
              </w:rPr>
              <w:t>s</w:t>
            </w:r>
            <w:r w:rsidR="00084CA2" w:rsidRPr="0098490B">
              <w:rPr>
                <w:lang w:val="fr-FR"/>
              </w:rPr>
              <w:t xml:space="preserve"> des Etats Membres de l'UIT </w:t>
            </w:r>
            <w:r w:rsidR="004424B0" w:rsidRPr="0098490B">
              <w:rPr>
                <w:lang w:val="fr-FR"/>
              </w:rPr>
              <w:t xml:space="preserve">à </w:t>
            </w:r>
            <w:r w:rsidR="00084CA2" w:rsidRPr="0098490B">
              <w:rPr>
                <w:lang w:val="fr-FR"/>
              </w:rPr>
              <w:t>élaborer des cyberstratégies nationales visant à favoriser un environnement propice à l'amé</w:t>
            </w:r>
            <w:r w:rsidRPr="0098490B">
              <w:rPr>
                <w:lang w:val="fr-FR"/>
              </w:rPr>
              <w:t>lioration des applications TIC ont</w:t>
            </w:r>
            <w:r w:rsidR="00084CA2" w:rsidRPr="0098490B">
              <w:rPr>
                <w:lang w:val="fr-FR"/>
              </w:rPr>
              <w:t xml:space="preserve"> été renforcée</w:t>
            </w:r>
            <w:r w:rsidRPr="0098490B">
              <w:rPr>
                <w:lang w:val="fr-FR"/>
              </w:rPr>
              <w:t>s</w:t>
            </w:r>
            <w:r w:rsidR="004424B0" w:rsidRPr="0098490B">
              <w:rPr>
                <w:lang w:val="fr-FR"/>
              </w:rPr>
              <w:t xml:space="preserve"> plus avant</w:t>
            </w:r>
            <w:r w:rsidR="007A2480" w:rsidRPr="0098490B">
              <w:rPr>
                <w:lang w:val="fr-FR"/>
              </w:rPr>
              <w:t xml:space="preserve"> par le biais de nombreuses activités, dont notamment</w:t>
            </w:r>
            <w:r w:rsidR="00084CA2" w:rsidRPr="0098490B">
              <w:rPr>
                <w:lang w:val="fr-FR"/>
              </w:rPr>
              <w:t>:</w:t>
            </w:r>
          </w:p>
          <w:p w:rsidR="00084CA2" w:rsidRPr="0098490B" w:rsidRDefault="00084CA2" w:rsidP="00784D97">
            <w:pPr>
              <w:rPr>
                <w:lang w:val="fr-FR"/>
              </w:rPr>
            </w:pPr>
            <w:r w:rsidRPr="0098490B">
              <w:rPr>
                <w:lang w:val="fr-FR"/>
              </w:rPr>
              <w:t>En ce qui concerne la cybersanté:</w:t>
            </w:r>
          </w:p>
          <w:p w:rsidR="00084CA2" w:rsidRPr="0098490B" w:rsidRDefault="00084CA2" w:rsidP="00784D97">
            <w:pPr>
              <w:pStyle w:val="enumlev1"/>
              <w:rPr>
                <w:lang w:val="fr-FR"/>
              </w:rPr>
            </w:pPr>
            <w:r w:rsidRPr="0098490B">
              <w:rPr>
                <w:lang w:val="fr-FR"/>
              </w:rPr>
              <w:t>–</w:t>
            </w:r>
            <w:r w:rsidRPr="0098490B">
              <w:rPr>
                <w:lang w:val="fr-FR"/>
              </w:rPr>
              <w:tab/>
            </w:r>
            <w:bookmarkStart w:id="104" w:name="lt_pId311"/>
            <w:r w:rsidR="007A2480" w:rsidRPr="0098490B">
              <w:rPr>
                <w:lang w:val="fr-FR"/>
              </w:rPr>
              <w:t xml:space="preserve">Un accord </w:t>
            </w:r>
            <w:r w:rsidR="00AB2129" w:rsidRPr="0098490B">
              <w:rPr>
                <w:lang w:val="fr-FR"/>
              </w:rPr>
              <w:t>important</w:t>
            </w:r>
            <w:r w:rsidR="007A2480" w:rsidRPr="0098490B">
              <w:rPr>
                <w:lang w:val="fr-FR"/>
              </w:rPr>
              <w:t xml:space="preserve"> a été signé avec la Commission européenne et l'OMS en vue de créer un </w:t>
            </w:r>
            <w:r w:rsidR="007A2480" w:rsidRPr="0098490B">
              <w:rPr>
                <w:color w:val="000000"/>
                <w:lang w:val="fr-FR"/>
              </w:rPr>
              <w:t>pôle centralisé de connaissances et d</w:t>
            </w:r>
            <w:r w:rsidR="001231C3" w:rsidRPr="0098490B">
              <w:rPr>
                <w:color w:val="000000"/>
                <w:lang w:val="fr-FR"/>
              </w:rPr>
              <w:t>'</w:t>
            </w:r>
            <w:r w:rsidR="007A2480" w:rsidRPr="0098490B">
              <w:rPr>
                <w:color w:val="000000"/>
                <w:lang w:val="fr-FR"/>
              </w:rPr>
              <w:t xml:space="preserve">innovation au service de la santé sur mobile pour l'Europe. Ce pôle recueillera et diffusera des </w:t>
            </w:r>
            <w:r w:rsidR="00146D8E" w:rsidRPr="0098490B">
              <w:rPr>
                <w:color w:val="000000"/>
                <w:lang w:val="fr-FR"/>
              </w:rPr>
              <w:t xml:space="preserve">données relatives à des </w:t>
            </w:r>
            <w:r w:rsidR="007A2480" w:rsidRPr="0098490B">
              <w:rPr>
                <w:color w:val="000000"/>
                <w:lang w:val="fr-FR"/>
              </w:rPr>
              <w:t xml:space="preserve">recherches et des expériences réalisées dans le cadre de programmes de santé </w:t>
            </w:r>
            <w:r w:rsidR="00094EF4" w:rsidRPr="0098490B">
              <w:rPr>
                <w:color w:val="000000"/>
                <w:lang w:val="fr-FR"/>
              </w:rPr>
              <w:t xml:space="preserve">sur mobile </w:t>
            </w:r>
            <w:r w:rsidR="007A2480" w:rsidRPr="0098490B">
              <w:rPr>
                <w:color w:val="000000"/>
                <w:lang w:val="fr-FR"/>
              </w:rPr>
              <w:t>à grande échelle, et soutiendra les Etats Membres dans la mise en place de tels programmes.</w:t>
            </w:r>
            <w:bookmarkEnd w:id="104"/>
          </w:p>
          <w:p w:rsidR="00084CA2" w:rsidRPr="0098490B" w:rsidRDefault="00146D8E" w:rsidP="00146D8E">
            <w:pPr>
              <w:pStyle w:val="enumlev1"/>
              <w:rPr>
                <w:lang w:val="fr-FR"/>
              </w:rPr>
            </w:pPr>
            <w:r w:rsidRPr="0098490B">
              <w:rPr>
                <w:lang w:val="fr-FR"/>
              </w:rPr>
              <w:t>–</w:t>
            </w:r>
            <w:r w:rsidRPr="0098490B">
              <w:rPr>
                <w:lang w:val="fr-FR"/>
              </w:rPr>
              <w:tab/>
              <w:t>Un "</w:t>
            </w:r>
            <w:r w:rsidR="00084CA2" w:rsidRPr="0098490B">
              <w:rPr>
                <w:lang w:val="fr-FR"/>
              </w:rPr>
              <w:t>kit pratique et des lignes directrices sur la mise en oeuvre d</w:t>
            </w:r>
            <w:r w:rsidR="001231C3" w:rsidRPr="0098490B">
              <w:rPr>
                <w:lang w:val="fr-FR"/>
              </w:rPr>
              <w:t>'</w:t>
            </w:r>
            <w:r w:rsidR="00084CA2" w:rsidRPr="0098490B">
              <w:rPr>
                <w:lang w:val="fr-FR"/>
              </w:rPr>
              <w:t>une plate-forme numérique sur la santé</w:t>
            </w:r>
            <w:r w:rsidRPr="0098490B">
              <w:rPr>
                <w:lang w:val="fr-FR"/>
              </w:rPr>
              <w:t>"</w:t>
            </w:r>
            <w:r w:rsidR="00084CA2" w:rsidRPr="0098490B">
              <w:rPr>
                <w:lang w:val="fr-FR"/>
              </w:rPr>
              <w:t xml:space="preserve"> ont été mis au point, afin d'aider les décideurs et les responsables de la planification des services de santé à concevoir et mettre en place une "plate-forme numérique sur la santé".</w:t>
            </w:r>
          </w:p>
          <w:p w:rsidR="002E64ED" w:rsidRPr="0098490B" w:rsidRDefault="002E64ED" w:rsidP="00784D97">
            <w:pPr>
              <w:pStyle w:val="enumlev1"/>
              <w:rPr>
                <w:lang w:val="fr-FR"/>
              </w:rPr>
            </w:pPr>
            <w:r w:rsidRPr="0098490B">
              <w:rPr>
                <w:lang w:val="fr-FR"/>
              </w:rPr>
              <w:t>–</w:t>
            </w:r>
            <w:r w:rsidRPr="0098490B">
              <w:rPr>
                <w:lang w:val="fr-FR"/>
              </w:rPr>
              <w:tab/>
            </w:r>
            <w:bookmarkStart w:id="105" w:name="lt_pId314"/>
            <w:r w:rsidR="007A2480" w:rsidRPr="0098490B">
              <w:rPr>
                <w:lang w:val="fr-FR"/>
              </w:rPr>
              <w:t>Une nouvelle initiative conjointe a été amorcée avec la région Afrique de l'OMS au cours du prem</w:t>
            </w:r>
            <w:r w:rsidR="00146D8E" w:rsidRPr="0098490B">
              <w:rPr>
                <w:lang w:val="fr-FR"/>
              </w:rPr>
              <w:t>ier f</w:t>
            </w:r>
            <w:r w:rsidR="007A2480" w:rsidRPr="0098490B">
              <w:rPr>
                <w:lang w:val="fr-FR"/>
              </w:rPr>
              <w:t xml:space="preserve">orum </w:t>
            </w:r>
            <w:r w:rsidR="00094EF4" w:rsidRPr="0098490B">
              <w:rPr>
                <w:lang w:val="fr-FR"/>
              </w:rPr>
              <w:t xml:space="preserve">de l'OMS </w:t>
            </w:r>
            <w:r w:rsidR="007A2480" w:rsidRPr="0098490B">
              <w:rPr>
                <w:lang w:val="fr-FR"/>
              </w:rPr>
              <w:t>pour l'Afrique sur la santé</w:t>
            </w:r>
            <w:r w:rsidR="006B71A5" w:rsidRPr="0098490B">
              <w:rPr>
                <w:lang w:val="fr-FR"/>
              </w:rPr>
              <w:t xml:space="preserve">, qui a eu lieu à Kigali, au Rwanda, en vue de développer les services </w:t>
            </w:r>
            <w:r w:rsidR="006B71A5" w:rsidRPr="0098490B">
              <w:rPr>
                <w:color w:val="000000"/>
                <w:lang w:val="fr-FR"/>
              </w:rPr>
              <w:t>de santé numériques en Afrique.</w:t>
            </w:r>
            <w:bookmarkEnd w:id="105"/>
          </w:p>
          <w:p w:rsidR="002E64ED" w:rsidRPr="0098490B" w:rsidRDefault="002E64ED" w:rsidP="00146D8E">
            <w:pPr>
              <w:pStyle w:val="enumlev1"/>
              <w:rPr>
                <w:lang w:val="fr-FR"/>
              </w:rPr>
            </w:pPr>
            <w:r w:rsidRPr="0098490B">
              <w:rPr>
                <w:lang w:val="fr-FR"/>
              </w:rPr>
              <w:t>–</w:t>
            </w:r>
            <w:r w:rsidRPr="0098490B">
              <w:rPr>
                <w:lang w:val="fr-FR"/>
              </w:rPr>
              <w:tab/>
            </w:r>
            <w:bookmarkStart w:id="106" w:name="lt_pId315"/>
            <w:r w:rsidR="006B71A5" w:rsidRPr="0098490B">
              <w:rPr>
                <w:lang w:val="fr-FR"/>
              </w:rPr>
              <w:t xml:space="preserve">Une assistance a été apportée au Sénégal </w:t>
            </w:r>
            <w:r w:rsidR="00146D8E" w:rsidRPr="0098490B">
              <w:rPr>
                <w:lang w:val="fr-FR"/>
              </w:rPr>
              <w:t>pour</w:t>
            </w:r>
            <w:r w:rsidR="0037319A">
              <w:rPr>
                <w:lang w:val="fr-FR"/>
              </w:rPr>
              <w:t xml:space="preserve"> l'élaboration de son P</w:t>
            </w:r>
            <w:r w:rsidR="006B71A5" w:rsidRPr="0098490B">
              <w:rPr>
                <w:lang w:val="fr-FR"/>
              </w:rPr>
              <w:t>lan d'action en matière de cybersanté.</w:t>
            </w:r>
            <w:bookmarkEnd w:id="106"/>
          </w:p>
          <w:p w:rsidR="00084CA2" w:rsidRPr="0098490B" w:rsidRDefault="00084CA2" w:rsidP="00784D97">
            <w:pPr>
              <w:rPr>
                <w:lang w:val="fr-FR"/>
              </w:rPr>
            </w:pPr>
            <w:r w:rsidRPr="0098490B">
              <w:rPr>
                <w:lang w:val="fr-FR"/>
              </w:rPr>
              <w:t>En ce qui concerne la cyberagriculture:</w:t>
            </w:r>
          </w:p>
          <w:p w:rsidR="00084CA2" w:rsidRPr="0098490B" w:rsidRDefault="00084CA2" w:rsidP="00784D97">
            <w:pPr>
              <w:pStyle w:val="enumlev1"/>
              <w:rPr>
                <w:lang w:val="fr-FR"/>
              </w:rPr>
            </w:pPr>
            <w:r w:rsidRPr="0098490B">
              <w:rPr>
                <w:lang w:val="fr-FR"/>
              </w:rPr>
              <w:t>–</w:t>
            </w:r>
            <w:r w:rsidRPr="0098490B">
              <w:rPr>
                <w:lang w:val="fr-FR"/>
              </w:rPr>
              <w:tab/>
            </w:r>
            <w:bookmarkStart w:id="107" w:name="lt_pId317"/>
            <w:r w:rsidR="006B71A5" w:rsidRPr="0098490B">
              <w:rPr>
                <w:lang w:val="fr-FR"/>
              </w:rPr>
              <w:t>Un accord de coopération a été signé avec la FAO afin de renforcer la relation de travail entre l'Union et la FAO concernant les questions de cyberagriculture et d'élargir la portée des activités entreprises.</w:t>
            </w:r>
            <w:bookmarkEnd w:id="107"/>
          </w:p>
          <w:p w:rsidR="00084CA2" w:rsidRPr="0098490B" w:rsidRDefault="00084CA2" w:rsidP="00784D97">
            <w:pPr>
              <w:pStyle w:val="enumlev1"/>
              <w:rPr>
                <w:lang w:val="fr-FR"/>
              </w:rPr>
            </w:pPr>
            <w:r w:rsidRPr="0098490B">
              <w:rPr>
                <w:lang w:val="fr-FR"/>
              </w:rPr>
              <w:t>–</w:t>
            </w:r>
            <w:r w:rsidRPr="0098490B">
              <w:rPr>
                <w:lang w:val="fr-FR"/>
              </w:rPr>
              <w:tab/>
            </w:r>
            <w:bookmarkStart w:id="108" w:name="lt_pId318"/>
            <w:r w:rsidR="006B71A5" w:rsidRPr="0098490B">
              <w:rPr>
                <w:lang w:val="fr-FR"/>
              </w:rPr>
              <w:t xml:space="preserve">En partenariat avec la FAO, la stratégie </w:t>
            </w:r>
            <w:r w:rsidR="008A36C1" w:rsidRPr="0098490B">
              <w:rPr>
                <w:lang w:val="fr-FR"/>
              </w:rPr>
              <w:t xml:space="preserve">nationale </w:t>
            </w:r>
            <w:r w:rsidR="006B71A5" w:rsidRPr="0098490B">
              <w:rPr>
                <w:lang w:val="fr-FR"/>
              </w:rPr>
              <w:t xml:space="preserve">de la </w:t>
            </w:r>
            <w:r w:rsidR="00BD1EBA" w:rsidRPr="0098490B">
              <w:rPr>
                <w:lang w:val="fr-FR"/>
              </w:rPr>
              <w:t>Papouasie-Nouvelle-Guinée</w:t>
            </w:r>
            <w:r w:rsidR="006B71A5" w:rsidRPr="0098490B">
              <w:rPr>
                <w:lang w:val="fr-FR"/>
              </w:rPr>
              <w:t xml:space="preserve"> </w:t>
            </w:r>
            <w:r w:rsidR="008A36C1" w:rsidRPr="0098490B">
              <w:rPr>
                <w:lang w:val="fr-FR"/>
              </w:rPr>
              <w:t xml:space="preserve">en matière de cyberagriculture </w:t>
            </w:r>
            <w:r w:rsidR="006B71A5" w:rsidRPr="0098490B">
              <w:rPr>
                <w:lang w:val="fr-FR"/>
              </w:rPr>
              <w:t xml:space="preserve">a été perfectionnée plus avant, et certaines solutions prioritaires ont été identifiées. </w:t>
            </w:r>
            <w:r w:rsidR="008A36C1" w:rsidRPr="0098490B">
              <w:rPr>
                <w:lang w:val="fr-FR"/>
              </w:rPr>
              <w:t>La collaboration</w:t>
            </w:r>
            <w:r w:rsidR="006B71A5" w:rsidRPr="0098490B">
              <w:rPr>
                <w:lang w:val="fr-FR"/>
              </w:rPr>
              <w:t xml:space="preserve"> avec les parties prenantes en vue de sa mise en oeuvre a été encore </w:t>
            </w:r>
            <w:r w:rsidR="0098490B" w:rsidRPr="0098490B">
              <w:rPr>
                <w:lang w:val="fr-FR"/>
              </w:rPr>
              <w:t>renforcée</w:t>
            </w:r>
            <w:r w:rsidR="006B71A5" w:rsidRPr="0098490B">
              <w:rPr>
                <w:lang w:val="fr-FR"/>
              </w:rPr>
              <w:t>.</w:t>
            </w:r>
            <w:bookmarkEnd w:id="108"/>
          </w:p>
          <w:p w:rsidR="00084CA2" w:rsidRPr="0098490B" w:rsidRDefault="00084CA2" w:rsidP="00784D97">
            <w:pPr>
              <w:rPr>
                <w:lang w:val="fr-FR"/>
              </w:rPr>
            </w:pPr>
            <w:r w:rsidRPr="0098490B">
              <w:rPr>
                <w:lang w:val="fr-FR"/>
              </w:rPr>
              <w:t>En ce qui concerne le cyberapprentissage:</w:t>
            </w:r>
          </w:p>
          <w:p w:rsidR="00084CA2" w:rsidRPr="0098490B" w:rsidRDefault="00084CA2" w:rsidP="00784D97">
            <w:pPr>
              <w:pStyle w:val="enumlev1"/>
              <w:rPr>
                <w:lang w:val="fr-FR"/>
              </w:rPr>
            </w:pPr>
            <w:r w:rsidRPr="0098490B">
              <w:rPr>
                <w:lang w:val="fr-FR"/>
              </w:rPr>
              <w:t>–</w:t>
            </w:r>
            <w:r w:rsidRPr="0098490B">
              <w:rPr>
                <w:lang w:val="fr-FR"/>
              </w:rPr>
              <w:tab/>
            </w:r>
            <w:bookmarkStart w:id="109" w:name="lt_pId321"/>
            <w:r w:rsidR="006B71A5" w:rsidRPr="0098490B">
              <w:rPr>
                <w:lang w:val="fr-FR"/>
              </w:rPr>
              <w:t xml:space="preserve">Un </w:t>
            </w:r>
            <w:r w:rsidR="006B71A5" w:rsidRPr="0098490B">
              <w:rPr>
                <w:color w:val="000000"/>
                <w:lang w:val="fr-FR"/>
              </w:rPr>
              <w:t>accord de partenariat type entre différents secteurs</w:t>
            </w:r>
            <w:r w:rsidR="003250BD" w:rsidRPr="0098490B">
              <w:rPr>
                <w:color w:val="000000"/>
                <w:lang w:val="fr-FR"/>
              </w:rPr>
              <w:t xml:space="preserve"> </w:t>
            </w:r>
            <w:r w:rsidR="006B71A5" w:rsidRPr="0098490B">
              <w:rPr>
                <w:color w:val="000000"/>
                <w:lang w:val="fr-FR"/>
              </w:rPr>
              <w:t xml:space="preserve">(santé, agriculture, éduction, etc.) </w:t>
            </w:r>
            <w:r w:rsidR="003250BD" w:rsidRPr="0098490B">
              <w:rPr>
                <w:color w:val="000000"/>
                <w:lang w:val="fr-FR"/>
              </w:rPr>
              <w:t xml:space="preserve">et le secteur des TIC </w:t>
            </w:r>
            <w:r w:rsidR="006B71A5" w:rsidRPr="0098490B">
              <w:rPr>
                <w:color w:val="000000"/>
                <w:lang w:val="fr-FR"/>
              </w:rPr>
              <w:t xml:space="preserve">est en cours d'élaboration en vue de faciliter la création d'accords aux niveaux national et institutionnel capables de stimuler </w:t>
            </w:r>
            <w:r w:rsidR="00600A5A" w:rsidRPr="0098490B">
              <w:rPr>
                <w:color w:val="000000"/>
                <w:lang w:val="fr-FR"/>
              </w:rPr>
              <w:t>l'essor</w:t>
            </w:r>
            <w:r w:rsidR="00C057A3">
              <w:rPr>
                <w:color w:val="000000"/>
                <w:lang w:val="fr-FR"/>
              </w:rPr>
              <w:t xml:space="preserve"> de services </w:t>
            </w:r>
            <w:r w:rsidR="006B71A5" w:rsidRPr="0098490B">
              <w:rPr>
                <w:color w:val="000000"/>
                <w:lang w:val="fr-FR"/>
              </w:rPr>
              <w:t xml:space="preserve">TIC au service du développement </w:t>
            </w:r>
            <w:r w:rsidR="00ED5AD4" w:rsidRPr="0098490B">
              <w:rPr>
                <w:color w:val="000000"/>
                <w:lang w:val="fr-FR"/>
              </w:rPr>
              <w:t>tirant parti de partenariats public-privé.</w:t>
            </w:r>
            <w:bookmarkEnd w:id="109"/>
          </w:p>
          <w:p w:rsidR="00084CA2" w:rsidRPr="0098490B" w:rsidRDefault="00084CA2" w:rsidP="00146D8E">
            <w:pPr>
              <w:pStyle w:val="enumlev1"/>
              <w:rPr>
                <w:lang w:val="fr-FR"/>
              </w:rPr>
            </w:pPr>
            <w:r w:rsidRPr="0098490B">
              <w:rPr>
                <w:lang w:val="fr-FR"/>
              </w:rPr>
              <w:t>–</w:t>
            </w:r>
            <w:r w:rsidRPr="0098490B">
              <w:rPr>
                <w:lang w:val="fr-FR"/>
              </w:rPr>
              <w:tab/>
            </w:r>
            <w:bookmarkStart w:id="110" w:name="lt_pId322"/>
            <w:r w:rsidR="00ED5AD4" w:rsidRPr="0098490B">
              <w:rPr>
                <w:lang w:val="fr-FR"/>
              </w:rPr>
              <w:t xml:space="preserve">Un </w:t>
            </w:r>
            <w:r w:rsidR="00732847" w:rsidRPr="0098490B">
              <w:rPr>
                <w:szCs w:val="24"/>
                <w:lang w:val="fr-FR"/>
              </w:rPr>
              <w:t xml:space="preserve">Forum des politiques sur </w:t>
            </w:r>
            <w:r w:rsidR="00600A5A" w:rsidRPr="0098490B">
              <w:rPr>
                <w:szCs w:val="24"/>
                <w:lang w:val="fr-FR"/>
              </w:rPr>
              <w:t>l</w:t>
            </w:r>
            <w:r w:rsidR="00732847" w:rsidRPr="0098490B">
              <w:rPr>
                <w:szCs w:val="24"/>
                <w:lang w:val="fr-FR"/>
              </w:rPr>
              <w:t>'apprentissage sur mobile</w:t>
            </w:r>
            <w:r w:rsidR="00ED5AD4" w:rsidRPr="0098490B">
              <w:rPr>
                <w:szCs w:val="24"/>
                <w:lang w:val="fr-FR"/>
              </w:rPr>
              <w:t xml:space="preserve"> organisé conjointement par l'UNESCO et l'UIT </w:t>
            </w:r>
            <w:r w:rsidR="00146D8E" w:rsidRPr="0098490B">
              <w:rPr>
                <w:szCs w:val="24"/>
                <w:lang w:val="fr-FR"/>
              </w:rPr>
              <w:t>s'est tenu</w:t>
            </w:r>
            <w:r w:rsidR="00ED5AD4" w:rsidRPr="0098490B">
              <w:rPr>
                <w:szCs w:val="24"/>
                <w:lang w:val="fr-FR"/>
              </w:rPr>
              <w:t xml:space="preserve"> avec succès en présence</w:t>
            </w:r>
            <w:r w:rsidR="009B0AE3" w:rsidRPr="0098490B">
              <w:rPr>
                <w:szCs w:val="24"/>
                <w:lang w:val="fr-FR"/>
              </w:rPr>
              <w:t xml:space="preserve"> de plus de 300 participants. A cette occasion, on a</w:t>
            </w:r>
            <w:r w:rsidR="00ED5AD4" w:rsidRPr="0098490B">
              <w:rPr>
                <w:szCs w:val="24"/>
                <w:lang w:val="fr-FR"/>
              </w:rPr>
              <w:t xml:space="preserve"> insisté sur l'importance de</w:t>
            </w:r>
            <w:r w:rsidR="00596BE5" w:rsidRPr="0098490B">
              <w:rPr>
                <w:szCs w:val="24"/>
                <w:lang w:val="fr-FR"/>
              </w:rPr>
              <w:t xml:space="preserve"> la collaboration </w:t>
            </w:r>
            <w:r w:rsidR="00ED5AD4" w:rsidRPr="0098490B">
              <w:rPr>
                <w:szCs w:val="24"/>
                <w:lang w:val="fr-FR"/>
              </w:rPr>
              <w:t>entre différents secteurs en vue de développer les compétences nécessaires en informatique.</w:t>
            </w:r>
            <w:bookmarkEnd w:id="110"/>
          </w:p>
          <w:p w:rsidR="004575A8" w:rsidRPr="0098490B" w:rsidRDefault="00ED5AD4" w:rsidP="00784D97">
            <w:pPr>
              <w:rPr>
                <w:szCs w:val="24"/>
                <w:u w:val="single"/>
                <w:lang w:val="fr-FR"/>
              </w:rPr>
            </w:pPr>
            <w:bookmarkStart w:id="111" w:name="lt_pId324"/>
            <w:r w:rsidRPr="0098490B">
              <w:rPr>
                <w:szCs w:val="24"/>
                <w:lang w:val="fr-FR"/>
              </w:rPr>
              <w:t>Parmi les autres programmes, citons notamment</w:t>
            </w:r>
            <w:r w:rsidR="004575A8" w:rsidRPr="0098490B">
              <w:rPr>
                <w:szCs w:val="24"/>
                <w:lang w:val="fr-FR"/>
              </w:rPr>
              <w:t>:</w:t>
            </w:r>
            <w:bookmarkEnd w:id="111"/>
          </w:p>
          <w:p w:rsidR="004575A8" w:rsidRPr="0098490B" w:rsidRDefault="004575A8" w:rsidP="00784D97">
            <w:pPr>
              <w:pStyle w:val="enumlev1"/>
              <w:rPr>
                <w:lang w:val="fr-FR"/>
              </w:rPr>
            </w:pPr>
            <w:bookmarkStart w:id="112" w:name="lt_pId325"/>
            <w:r w:rsidRPr="0098490B">
              <w:rPr>
                <w:lang w:val="fr-FR"/>
              </w:rPr>
              <w:t>–</w:t>
            </w:r>
            <w:r w:rsidRPr="0098490B">
              <w:rPr>
                <w:lang w:val="fr-FR"/>
              </w:rPr>
              <w:tab/>
            </w:r>
            <w:r w:rsidR="00146D8E" w:rsidRPr="0098490B">
              <w:rPr>
                <w:lang w:val="fr-FR"/>
              </w:rPr>
              <w:t>U</w:t>
            </w:r>
            <w:r w:rsidR="00ED5AD4" w:rsidRPr="0098490B">
              <w:rPr>
                <w:lang w:val="fr-FR"/>
              </w:rPr>
              <w:t xml:space="preserve">n premier projet de plate-forme commune </w:t>
            </w:r>
            <w:r w:rsidR="00F6566B" w:rsidRPr="0098490B">
              <w:rPr>
                <w:lang w:val="fr-FR"/>
              </w:rPr>
              <w:t>sur les TIC au service des Objectifs de développement durable, mis au point pour fournir l'architecture générale d'une infrastructure numérique commune susceptible de donner accès à un ensemble de services intégrés et transversaux reposant sur des normes et des principes communs</w:t>
            </w:r>
            <w:bookmarkEnd w:id="112"/>
            <w:r w:rsidR="00146D8E" w:rsidRPr="0098490B">
              <w:rPr>
                <w:lang w:val="fr-FR"/>
              </w:rPr>
              <w:t>.</w:t>
            </w:r>
          </w:p>
          <w:p w:rsidR="004575A8" w:rsidRPr="0098490B" w:rsidRDefault="004575A8" w:rsidP="00784D97">
            <w:pPr>
              <w:pStyle w:val="enumlev1"/>
              <w:rPr>
                <w:lang w:val="fr-FR"/>
              </w:rPr>
            </w:pPr>
            <w:bookmarkStart w:id="113" w:name="lt_pId326"/>
            <w:r w:rsidRPr="0098490B">
              <w:rPr>
                <w:lang w:val="fr-FR"/>
              </w:rPr>
              <w:lastRenderedPageBreak/>
              <w:t>–</w:t>
            </w:r>
            <w:r w:rsidRPr="0098490B">
              <w:rPr>
                <w:lang w:val="fr-FR"/>
              </w:rPr>
              <w:tab/>
            </w:r>
            <w:r w:rsidR="00146D8E" w:rsidRPr="0098490B">
              <w:rPr>
                <w:lang w:val="fr-FR"/>
              </w:rPr>
              <w:t>U</w:t>
            </w:r>
            <w:r w:rsidR="00F6566B" w:rsidRPr="0098490B">
              <w:rPr>
                <w:lang w:val="fr-FR"/>
              </w:rPr>
              <w:t>ne collaboration régionale accrue au sujet des villes intelligentes et une meilleure compréhension des technologies sous-jacentes</w:t>
            </w:r>
            <w:r w:rsidR="00035511" w:rsidRPr="0098490B">
              <w:rPr>
                <w:lang w:val="fr-FR"/>
              </w:rPr>
              <w:t xml:space="preserve"> et des défis à relever dans ce domaine, lors de l'atelier régional de l'UIT organisé en </w:t>
            </w:r>
            <w:r w:rsidR="00035511" w:rsidRPr="0098490B">
              <w:rPr>
                <w:color w:val="000000"/>
                <w:lang w:val="fr-FR"/>
              </w:rPr>
              <w:t>Ouzbékistan.</w:t>
            </w:r>
            <w:bookmarkEnd w:id="113"/>
          </w:p>
          <w:p w:rsidR="00084CA2" w:rsidRPr="0098490B" w:rsidRDefault="00035511" w:rsidP="00146D8E">
            <w:pPr>
              <w:pStyle w:val="enumlev1"/>
              <w:tabs>
                <w:tab w:val="clear" w:pos="794"/>
                <w:tab w:val="left" w:pos="596"/>
              </w:tabs>
              <w:spacing w:after="120"/>
              <w:ind w:left="29" w:hanging="29"/>
              <w:rPr>
                <w:color w:val="000000"/>
                <w:lang w:val="fr-FR"/>
              </w:rPr>
            </w:pPr>
            <w:r w:rsidRPr="0098490B">
              <w:rPr>
                <w:lang w:val="fr-FR"/>
              </w:rPr>
              <w:t>Des activités ont été réalisées avec succès notamment aux Philippines (</w:t>
            </w:r>
            <w:r w:rsidRPr="0098490B">
              <w:rPr>
                <w:color w:val="000000"/>
                <w:lang w:val="fr-FR"/>
              </w:rPr>
              <w:t>stratégie nationale en matière de cyberagriculture)</w:t>
            </w:r>
            <w:r w:rsidRPr="0098490B">
              <w:rPr>
                <w:lang w:val="fr-FR"/>
              </w:rPr>
              <w:t xml:space="preserve">, en Russie (technologies relatives à l'Internet des objets et aux réseaux futurs), au </w:t>
            </w:r>
            <w:r w:rsidRPr="0098490B">
              <w:rPr>
                <w:color w:val="000000"/>
                <w:lang w:val="fr-FR"/>
              </w:rPr>
              <w:t xml:space="preserve">Kazakhstan (développement des services financiers numériques), au Burkina Faso (programme sur mobile </w:t>
            </w:r>
            <w:r w:rsidR="000C31B5" w:rsidRPr="0098490B">
              <w:rPr>
                <w:color w:val="000000"/>
                <w:lang w:val="fr-FR"/>
              </w:rPr>
              <w:t>relatif au</w:t>
            </w:r>
            <w:r w:rsidRPr="0098490B">
              <w:rPr>
                <w:color w:val="000000"/>
                <w:lang w:val="fr-FR"/>
              </w:rPr>
              <w:t xml:space="preserve"> cancer du col de l'utérus), en Zambie (mise en oeuvre de la santé sur mobile), ou encore au Zimbabwe (services de télémédecine).</w:t>
            </w:r>
          </w:p>
        </w:tc>
      </w:tr>
      <w:tr w:rsidR="00732847" w:rsidRPr="0098490B" w:rsidTr="004268F3">
        <w:tc>
          <w:tcPr>
            <w:tcW w:w="3256" w:type="dxa"/>
            <w:tcBorders>
              <w:top w:val="single" w:sz="4" w:space="0" w:color="auto"/>
              <w:bottom w:val="single" w:sz="4" w:space="0" w:color="auto"/>
              <w:right w:val="single" w:sz="4" w:space="0" w:color="auto"/>
            </w:tcBorders>
          </w:tcPr>
          <w:p w:rsidR="00732847" w:rsidRPr="0098490B" w:rsidRDefault="00732847" w:rsidP="00146D8E">
            <w:pPr>
              <w:spacing w:before="0"/>
              <w:rPr>
                <w:i/>
                <w:iCs/>
                <w:szCs w:val="24"/>
                <w:lang w:val="fr-FR"/>
              </w:rPr>
            </w:pPr>
            <w:r w:rsidRPr="0098490B">
              <w:rPr>
                <w:i/>
                <w:iCs/>
                <w:szCs w:val="24"/>
                <w:lang w:val="fr-FR"/>
              </w:rPr>
              <w:lastRenderedPageBreak/>
              <w:t>CMDT</w:t>
            </w:r>
          </w:p>
        </w:tc>
        <w:tc>
          <w:tcPr>
            <w:tcW w:w="6373" w:type="dxa"/>
            <w:tcBorders>
              <w:top w:val="single" w:sz="4" w:space="0" w:color="auto"/>
              <w:left w:val="single" w:sz="4" w:space="0" w:color="auto"/>
              <w:bottom w:val="single" w:sz="4" w:space="0" w:color="auto"/>
            </w:tcBorders>
          </w:tcPr>
          <w:p w:rsidR="00732847" w:rsidRPr="0098490B" w:rsidRDefault="00732847" w:rsidP="00146D8E">
            <w:pPr>
              <w:spacing w:before="0"/>
              <w:rPr>
                <w:szCs w:val="24"/>
                <w:lang w:val="fr-FR"/>
              </w:rPr>
            </w:pPr>
            <w:bookmarkStart w:id="114" w:name="lt_pId329"/>
            <w:r w:rsidRPr="0098490B">
              <w:rPr>
                <w:szCs w:val="24"/>
                <w:lang w:val="fr-FR"/>
              </w:rPr>
              <w:t>Résolutions 1, 5, 30, 54</w:t>
            </w:r>
            <w:bookmarkEnd w:id="114"/>
          </w:p>
        </w:tc>
      </w:tr>
      <w:tr w:rsidR="00732847" w:rsidRPr="0098490B" w:rsidTr="004268F3">
        <w:trPr>
          <w:trHeight w:val="397"/>
        </w:trPr>
        <w:tc>
          <w:tcPr>
            <w:tcW w:w="3256" w:type="dxa"/>
            <w:tcBorders>
              <w:top w:val="single" w:sz="4" w:space="0" w:color="auto"/>
              <w:bottom w:val="single" w:sz="4" w:space="0" w:color="auto"/>
              <w:right w:val="single" w:sz="4" w:space="0" w:color="auto"/>
            </w:tcBorders>
          </w:tcPr>
          <w:p w:rsidR="00732847" w:rsidRPr="0098490B" w:rsidRDefault="00035511" w:rsidP="00146D8E">
            <w:pPr>
              <w:spacing w:before="0"/>
              <w:rPr>
                <w:i/>
                <w:iCs/>
                <w:lang w:val="fr-FR"/>
              </w:rPr>
            </w:pPr>
            <w:r w:rsidRPr="0098490B">
              <w:rPr>
                <w:i/>
                <w:iCs/>
                <w:lang w:val="fr-FR"/>
              </w:rPr>
              <w:t>Conférence de plénipotentiaires</w:t>
            </w:r>
          </w:p>
        </w:tc>
        <w:tc>
          <w:tcPr>
            <w:tcW w:w="6373" w:type="dxa"/>
            <w:tcBorders>
              <w:top w:val="single" w:sz="4" w:space="0" w:color="auto"/>
              <w:left w:val="single" w:sz="4" w:space="0" w:color="auto"/>
              <w:bottom w:val="single" w:sz="4" w:space="0" w:color="auto"/>
            </w:tcBorders>
          </w:tcPr>
          <w:p w:rsidR="00732847" w:rsidRPr="0098490B" w:rsidRDefault="00732847" w:rsidP="00146D8E">
            <w:pPr>
              <w:spacing w:before="0"/>
              <w:rPr>
                <w:szCs w:val="24"/>
                <w:lang w:val="fr-FR"/>
              </w:rPr>
            </w:pPr>
            <w:bookmarkStart w:id="115" w:name="lt_pId331"/>
            <w:r w:rsidRPr="0098490B">
              <w:rPr>
                <w:szCs w:val="24"/>
                <w:lang w:val="fr-FR"/>
              </w:rPr>
              <w:t>Décisions 5, 13</w:t>
            </w:r>
            <w:bookmarkEnd w:id="115"/>
          </w:p>
          <w:p w:rsidR="00732847" w:rsidRPr="0098490B" w:rsidRDefault="00732847" w:rsidP="00146D8E">
            <w:pPr>
              <w:spacing w:before="0"/>
              <w:rPr>
                <w:szCs w:val="24"/>
                <w:lang w:val="fr-FR"/>
              </w:rPr>
            </w:pPr>
            <w:bookmarkStart w:id="116" w:name="lt_pId332"/>
            <w:r w:rsidRPr="0098490B">
              <w:rPr>
                <w:szCs w:val="24"/>
                <w:lang w:val="fr-FR"/>
              </w:rPr>
              <w:t>Résolutions 25, 71, 72, 139, 140, 183, 202</w:t>
            </w:r>
            <w:bookmarkEnd w:id="116"/>
          </w:p>
        </w:tc>
      </w:tr>
      <w:tr w:rsidR="00732847" w:rsidRPr="0098490B" w:rsidTr="004268F3">
        <w:trPr>
          <w:trHeight w:val="397"/>
        </w:trPr>
        <w:tc>
          <w:tcPr>
            <w:tcW w:w="3256" w:type="dxa"/>
            <w:tcBorders>
              <w:top w:val="single" w:sz="4" w:space="0" w:color="auto"/>
              <w:bottom w:val="single" w:sz="4" w:space="0" w:color="auto"/>
              <w:right w:val="single" w:sz="4" w:space="0" w:color="auto"/>
            </w:tcBorders>
          </w:tcPr>
          <w:p w:rsidR="00732847" w:rsidRPr="0098490B" w:rsidRDefault="00732847" w:rsidP="00146D8E">
            <w:pPr>
              <w:spacing w:before="0"/>
              <w:rPr>
                <w:i/>
                <w:iCs/>
                <w:szCs w:val="24"/>
                <w:lang w:val="fr-FR"/>
              </w:rPr>
            </w:pPr>
            <w:r w:rsidRPr="0098490B">
              <w:rPr>
                <w:i/>
                <w:iCs/>
                <w:lang w:val="fr-FR"/>
              </w:rPr>
              <w:t>Grandes orientations du SMSI</w:t>
            </w:r>
          </w:p>
        </w:tc>
        <w:tc>
          <w:tcPr>
            <w:tcW w:w="6373" w:type="dxa"/>
            <w:tcBorders>
              <w:top w:val="single" w:sz="4" w:space="0" w:color="auto"/>
              <w:left w:val="single" w:sz="4" w:space="0" w:color="auto"/>
              <w:bottom w:val="single" w:sz="4" w:space="0" w:color="auto"/>
            </w:tcBorders>
          </w:tcPr>
          <w:p w:rsidR="00732847" w:rsidRPr="0098490B" w:rsidRDefault="00035511" w:rsidP="00146D8E">
            <w:pPr>
              <w:spacing w:before="0"/>
              <w:rPr>
                <w:szCs w:val="24"/>
                <w:lang w:val="fr-FR"/>
              </w:rPr>
            </w:pPr>
            <w:r w:rsidRPr="0098490B">
              <w:rPr>
                <w:color w:val="000000"/>
                <w:lang w:val="fr-FR"/>
              </w:rPr>
              <w:t>Grande orientation C7 du Plan d'action de Genève</w:t>
            </w:r>
          </w:p>
        </w:tc>
      </w:tr>
      <w:tr w:rsidR="00732847" w:rsidRPr="0098490B" w:rsidTr="004268F3">
        <w:tc>
          <w:tcPr>
            <w:tcW w:w="3256" w:type="dxa"/>
            <w:tcBorders>
              <w:top w:val="single" w:sz="4" w:space="0" w:color="auto"/>
              <w:bottom w:val="single" w:sz="4" w:space="0" w:color="auto"/>
              <w:right w:val="single" w:sz="4" w:space="0" w:color="auto"/>
            </w:tcBorders>
          </w:tcPr>
          <w:p w:rsidR="00732847" w:rsidRPr="0098490B" w:rsidRDefault="00732847" w:rsidP="00146D8E">
            <w:pPr>
              <w:spacing w:before="0"/>
              <w:rPr>
                <w:i/>
                <w:iCs/>
                <w:szCs w:val="24"/>
                <w:lang w:val="fr-FR"/>
              </w:rPr>
            </w:pPr>
            <w:r w:rsidRPr="0098490B">
              <w:rPr>
                <w:i/>
                <w:iCs/>
                <w:lang w:val="fr-FR"/>
              </w:rPr>
              <w:t>Contribution aux cibles des O</w:t>
            </w:r>
            <w:r w:rsidR="00035511" w:rsidRPr="0098490B">
              <w:rPr>
                <w:i/>
                <w:iCs/>
                <w:lang w:val="fr-FR"/>
              </w:rPr>
              <w:t>bjectifs de développement durable</w:t>
            </w:r>
          </w:p>
        </w:tc>
        <w:tc>
          <w:tcPr>
            <w:tcW w:w="6373" w:type="dxa"/>
            <w:tcBorders>
              <w:top w:val="single" w:sz="4" w:space="0" w:color="auto"/>
              <w:left w:val="single" w:sz="4" w:space="0" w:color="auto"/>
              <w:bottom w:val="single" w:sz="4" w:space="0" w:color="auto"/>
            </w:tcBorders>
          </w:tcPr>
          <w:p w:rsidR="00732847" w:rsidRPr="0098490B" w:rsidRDefault="00035511" w:rsidP="00146D8E">
            <w:pPr>
              <w:spacing w:before="0"/>
              <w:rPr>
                <w:szCs w:val="24"/>
                <w:lang w:val="fr-FR"/>
              </w:rPr>
            </w:pPr>
            <w:bookmarkStart w:id="117" w:name="lt_pId336"/>
            <w:r w:rsidRPr="0098490B">
              <w:rPr>
                <w:szCs w:val="24"/>
                <w:lang w:val="fr-FR"/>
              </w:rPr>
              <w:t>Objectif</w:t>
            </w:r>
            <w:r w:rsidR="000C31B5" w:rsidRPr="0098490B">
              <w:rPr>
                <w:szCs w:val="24"/>
                <w:lang w:val="fr-FR"/>
              </w:rPr>
              <w:t>s</w:t>
            </w:r>
            <w:r w:rsidRPr="0098490B">
              <w:rPr>
                <w:szCs w:val="24"/>
                <w:lang w:val="fr-FR"/>
              </w:rPr>
              <w:t xml:space="preserve"> de développement durable</w:t>
            </w:r>
            <w:r w:rsidR="00732847" w:rsidRPr="0098490B">
              <w:rPr>
                <w:szCs w:val="24"/>
                <w:lang w:val="fr-FR"/>
              </w:rPr>
              <w:t>:</w:t>
            </w:r>
            <w:bookmarkEnd w:id="117"/>
            <w:r w:rsidR="00732847" w:rsidRPr="0098490B">
              <w:rPr>
                <w:szCs w:val="24"/>
                <w:lang w:val="fr-FR"/>
              </w:rPr>
              <w:t xml:space="preserve"> </w:t>
            </w:r>
            <w:bookmarkStart w:id="118" w:name="lt_pId337"/>
            <w:r w:rsidR="00732847" w:rsidRPr="0098490B">
              <w:rPr>
                <w:szCs w:val="24"/>
                <w:lang w:val="fr-FR"/>
              </w:rPr>
              <w:t>2, 3, 4 (cibles 4.1, 4.2, 4.3, 4.4, 4.5, 4.6, 4.7), 6, 7, 8 (cibles 8.1, 8.3, 8.8), 9 (cibles 9.1, 9.b), 11</w:t>
            </w:r>
            <w:bookmarkEnd w:id="118"/>
          </w:p>
        </w:tc>
      </w:tr>
    </w:tbl>
    <w:p w:rsidR="00084CA2" w:rsidRPr="0098490B" w:rsidRDefault="00084CA2" w:rsidP="00784D97">
      <w:pPr>
        <w:pStyle w:val="Heading1"/>
        <w:rPr>
          <w:lang w:val="fr-FR"/>
        </w:rPr>
      </w:pPr>
      <w:bookmarkStart w:id="119" w:name="_Toc467807700"/>
      <w:bookmarkStart w:id="120" w:name="_Toc468087099"/>
      <w:r w:rsidRPr="0098490B">
        <w:rPr>
          <w:lang w:val="fr-FR"/>
        </w:rPr>
        <w:t>4</w:t>
      </w:r>
      <w:r w:rsidRPr="0098490B">
        <w:rPr>
          <w:lang w:val="fr-FR"/>
        </w:rPr>
        <w:tab/>
        <w:t>Objectif 4</w:t>
      </w:r>
      <w:bookmarkEnd w:id="119"/>
      <w:bookmarkEnd w:id="120"/>
      <w:r w:rsidRPr="0098490B">
        <w:rPr>
          <w:lang w:val="fr-FR"/>
        </w:rPr>
        <w:t xml:space="preserve">: </w:t>
      </w:r>
      <w:bookmarkStart w:id="121" w:name="_Toc467807701"/>
      <w:bookmarkStart w:id="122" w:name="_Toc468087100"/>
      <w:r w:rsidRPr="00CC5C15">
        <w:rPr>
          <w:lang w:val="fr-FR"/>
        </w:rPr>
        <w:t>"</w:t>
      </w:r>
      <w:r w:rsidRPr="0098490B">
        <w:rPr>
          <w:i/>
          <w:iCs/>
          <w:lang w:val="fr-FR"/>
        </w:rPr>
        <w:t>Renforcer les capacités humaines et institutionnelles, fournir des données et des statistiques, promouvoir l'inclusion numérique et fournir une assistance ciblée aux pays ayant des besoins particuliers</w:t>
      </w:r>
      <w:bookmarkEnd w:id="121"/>
      <w:bookmarkEnd w:id="122"/>
      <w:r w:rsidRPr="00CC5C15">
        <w:rPr>
          <w:lang w:val="fr-FR"/>
        </w:rPr>
        <w:t>"</w:t>
      </w:r>
    </w:p>
    <w:p w:rsidR="00084CA2" w:rsidRPr="0098490B" w:rsidRDefault="00084CA2" w:rsidP="00CC5C15">
      <w:pPr>
        <w:pStyle w:val="Heading2"/>
        <w:spacing w:after="120"/>
        <w:rPr>
          <w:lang w:val="fr-FR"/>
        </w:rPr>
      </w:pPr>
      <w:bookmarkStart w:id="123" w:name="_Toc467807702"/>
      <w:bookmarkStart w:id="124" w:name="_Toc468087101"/>
      <w:r w:rsidRPr="0098490B">
        <w:rPr>
          <w:lang w:val="fr-FR"/>
        </w:rPr>
        <w:t>4.1</w:t>
      </w:r>
      <w:r w:rsidRPr="0098490B">
        <w:rPr>
          <w:lang w:val="fr-FR"/>
        </w:rPr>
        <w:tab/>
        <w:t>Renforcement des capacités</w:t>
      </w:r>
      <w:bookmarkEnd w:id="123"/>
      <w:bookmarkEnd w:id="12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084CA2" w:rsidRPr="0098490B" w:rsidTr="004268F3">
        <w:tc>
          <w:tcPr>
            <w:tcW w:w="9629" w:type="dxa"/>
            <w:gridSpan w:val="2"/>
            <w:tcBorders>
              <w:bottom w:val="single" w:sz="4" w:space="0" w:color="auto"/>
            </w:tcBorders>
          </w:tcPr>
          <w:p w:rsidR="00084CA2" w:rsidRPr="0098490B" w:rsidRDefault="009B4D59" w:rsidP="00784D97">
            <w:pPr>
              <w:rPr>
                <w:rFonts w:eastAsia="PMingLiU-ExtB"/>
                <w:szCs w:val="24"/>
                <w:lang w:val="fr-FR"/>
              </w:rPr>
            </w:pPr>
            <w:bookmarkStart w:id="125" w:name="lt_pId343"/>
            <w:r w:rsidRPr="0098490B">
              <w:rPr>
                <w:rFonts w:eastAsia="PMingLiU-ExtB"/>
                <w:szCs w:val="24"/>
                <w:lang w:val="fr-FR"/>
              </w:rPr>
              <w:t>En 2017, le BDT a continué de mettre en place des politiques, des stratégies et des lignes directrices en matière de renforcement des capacités, et de les proposer aux membres de l'UIT afin de les aider à renforcer leurs capacités h</w:t>
            </w:r>
            <w:r w:rsidR="000D559F" w:rsidRPr="0098490B">
              <w:rPr>
                <w:rFonts w:eastAsia="PMingLiU-ExtB"/>
                <w:szCs w:val="24"/>
                <w:lang w:val="fr-FR"/>
              </w:rPr>
              <w:t>umaines et institutionnelles, ainsi qu'</w:t>
            </w:r>
            <w:r w:rsidRPr="0098490B">
              <w:rPr>
                <w:rFonts w:eastAsia="PMingLiU-ExtB"/>
                <w:szCs w:val="24"/>
                <w:lang w:val="fr-FR"/>
              </w:rPr>
              <w:t>à élaborer des programmes nationaux</w:t>
            </w:r>
            <w:r w:rsidR="000D559F" w:rsidRPr="0098490B">
              <w:rPr>
                <w:rFonts w:eastAsia="PMingLiU-ExtB"/>
                <w:szCs w:val="24"/>
                <w:lang w:val="fr-FR"/>
              </w:rPr>
              <w:t xml:space="preserve"> à cet égard</w:t>
            </w:r>
            <w:r w:rsidRPr="0098490B">
              <w:rPr>
                <w:rFonts w:eastAsia="PMingLiU-ExtB"/>
                <w:szCs w:val="24"/>
                <w:lang w:val="fr-FR"/>
              </w:rPr>
              <w:t xml:space="preserve">. Les activités suivantes ont notamment été menées avec succès, et les </w:t>
            </w:r>
            <w:r w:rsidR="00B943E5" w:rsidRPr="0098490B">
              <w:rPr>
                <w:rFonts w:eastAsia="PMingLiU-ExtB"/>
                <w:szCs w:val="24"/>
                <w:lang w:val="fr-FR"/>
              </w:rPr>
              <w:t>résultats</w:t>
            </w:r>
            <w:r w:rsidRPr="0098490B">
              <w:rPr>
                <w:rFonts w:eastAsia="PMingLiU-ExtB"/>
                <w:szCs w:val="24"/>
                <w:lang w:val="fr-FR"/>
              </w:rPr>
              <w:t xml:space="preserve"> </w:t>
            </w:r>
            <w:r w:rsidR="00B943E5" w:rsidRPr="0098490B">
              <w:rPr>
                <w:rFonts w:eastAsia="PMingLiU-ExtB"/>
                <w:szCs w:val="24"/>
                <w:lang w:val="fr-FR"/>
              </w:rPr>
              <w:t xml:space="preserve">attendus </w:t>
            </w:r>
            <w:r w:rsidRPr="0098490B">
              <w:rPr>
                <w:rFonts w:eastAsia="PMingLiU-ExtB"/>
                <w:szCs w:val="24"/>
                <w:lang w:val="fr-FR"/>
              </w:rPr>
              <w:t>ont été atteints:</w:t>
            </w:r>
            <w:bookmarkEnd w:id="125"/>
          </w:p>
          <w:p w:rsidR="00732847" w:rsidRPr="0098490B" w:rsidRDefault="00732847" w:rsidP="00263D6D">
            <w:pPr>
              <w:pStyle w:val="enumlev1"/>
              <w:rPr>
                <w:rFonts w:eastAsia="PMingLiU-ExtB"/>
                <w:lang w:val="fr-FR"/>
              </w:rPr>
            </w:pPr>
            <w:bookmarkStart w:id="126" w:name="lt_pId345"/>
            <w:r w:rsidRPr="0098490B">
              <w:rPr>
                <w:rFonts w:eastAsia="PMingLiU-ExtB"/>
                <w:lang w:val="fr-FR"/>
              </w:rPr>
              <w:t>–</w:t>
            </w:r>
            <w:r w:rsidRPr="0098490B">
              <w:rPr>
                <w:rFonts w:eastAsia="PMingLiU-ExtB"/>
                <w:lang w:val="fr-FR"/>
              </w:rPr>
              <w:tab/>
            </w:r>
            <w:r w:rsidR="009B4D59" w:rsidRPr="0098490B">
              <w:rPr>
                <w:rFonts w:eastAsia="PMingLiU-ExtB"/>
                <w:lang w:val="fr-FR"/>
              </w:rPr>
              <w:t>Dans le cadre du réseau des centres d'excellence de l</w:t>
            </w:r>
            <w:r w:rsidR="00C057A3">
              <w:rPr>
                <w:rFonts w:eastAsia="PMingLiU-ExtB"/>
                <w:lang w:val="fr-FR"/>
              </w:rPr>
              <w:t>'Académie de l'UIT, un total de </w:t>
            </w:r>
            <w:r w:rsidR="009B4D59" w:rsidRPr="0098490B">
              <w:rPr>
                <w:rFonts w:eastAsia="PMingLiU-ExtB"/>
                <w:lang w:val="fr-FR"/>
              </w:rPr>
              <w:t>64</w:t>
            </w:r>
            <w:r w:rsidR="00263D6D" w:rsidRPr="0098490B">
              <w:rPr>
                <w:rFonts w:eastAsia="PMingLiU-ExtB"/>
                <w:lang w:val="fr-FR"/>
              </w:rPr>
              <w:t> </w:t>
            </w:r>
            <w:r w:rsidR="009B4D59" w:rsidRPr="0098490B">
              <w:rPr>
                <w:rFonts w:eastAsia="PMingLiU-ExtB"/>
                <w:lang w:val="fr-FR"/>
              </w:rPr>
              <w:t xml:space="preserve">formations </w:t>
            </w:r>
            <w:proofErr w:type="gramStart"/>
            <w:r w:rsidR="009B4D59" w:rsidRPr="0098490B">
              <w:rPr>
                <w:rFonts w:eastAsia="PMingLiU-ExtB"/>
                <w:lang w:val="fr-FR"/>
              </w:rPr>
              <w:t>ont</w:t>
            </w:r>
            <w:proofErr w:type="gramEnd"/>
            <w:r w:rsidR="009B4D59" w:rsidRPr="0098490B">
              <w:rPr>
                <w:rFonts w:eastAsia="PMingLiU-ExtB"/>
                <w:lang w:val="fr-FR"/>
              </w:rPr>
              <w:t xml:space="preserve"> été dispensées entre janvier e</w:t>
            </w:r>
            <w:r w:rsidR="00C057A3">
              <w:rPr>
                <w:rFonts w:eastAsia="PMingLiU-ExtB"/>
                <w:lang w:val="fr-FR"/>
              </w:rPr>
              <w:t>t décembre 2017, en présence de </w:t>
            </w:r>
            <w:r w:rsidR="009B4D59" w:rsidRPr="0098490B">
              <w:rPr>
                <w:rFonts w:eastAsia="PMingLiU-ExtB"/>
                <w:lang w:val="fr-FR"/>
              </w:rPr>
              <w:t>1 551 participants du monde entier.</w:t>
            </w:r>
            <w:bookmarkEnd w:id="126"/>
          </w:p>
          <w:p w:rsidR="00732847" w:rsidRPr="0098490B" w:rsidRDefault="00732847" w:rsidP="00784D97">
            <w:pPr>
              <w:pStyle w:val="enumlev1"/>
              <w:rPr>
                <w:rFonts w:eastAsia="PMingLiU-ExtB"/>
                <w:lang w:val="fr-FR"/>
              </w:rPr>
            </w:pPr>
            <w:bookmarkStart w:id="127" w:name="lt_pId346"/>
            <w:r w:rsidRPr="0098490B">
              <w:rPr>
                <w:rFonts w:eastAsia="PMingLiU-ExtB"/>
                <w:lang w:val="fr-FR"/>
              </w:rPr>
              <w:t>–</w:t>
            </w:r>
            <w:r w:rsidRPr="0098490B">
              <w:rPr>
                <w:rFonts w:eastAsia="PMingLiU-ExtB"/>
                <w:lang w:val="fr-FR"/>
              </w:rPr>
              <w:tab/>
            </w:r>
            <w:r w:rsidR="009B4D59" w:rsidRPr="0098490B">
              <w:rPr>
                <w:rFonts w:eastAsia="PMingLiU-ExtB"/>
                <w:lang w:val="fr-FR"/>
              </w:rPr>
              <w:t xml:space="preserve">La publication en ligne </w:t>
            </w:r>
            <w:r w:rsidR="00B943E5" w:rsidRPr="0098490B">
              <w:rPr>
                <w:rFonts w:eastAsia="PMingLiU-ExtB"/>
                <w:lang w:val="fr-FR"/>
              </w:rPr>
              <w:t xml:space="preserve">sur le </w:t>
            </w:r>
            <w:r w:rsidR="009B4D59" w:rsidRPr="0098490B">
              <w:rPr>
                <w:rFonts w:eastAsia="PMingLiU-ExtB"/>
                <w:lang w:val="fr-FR"/>
              </w:rPr>
              <w:t xml:space="preserve">renforcement des capacités </w:t>
            </w:r>
            <w:r w:rsidR="00C057A3">
              <w:rPr>
                <w:rFonts w:eastAsia="PMingLiU-ExtB"/>
                <w:lang w:val="fr-FR"/>
              </w:rPr>
              <w:t>dans un environnement des </w:t>
            </w:r>
            <w:r w:rsidR="00EE37EE" w:rsidRPr="0098490B">
              <w:rPr>
                <w:rFonts w:eastAsia="PMingLiU-ExtB"/>
                <w:lang w:val="fr-FR"/>
              </w:rPr>
              <w:t>TIC en pleine évolution</w:t>
            </w:r>
            <w:r w:rsidR="00B943E5" w:rsidRPr="0098490B">
              <w:rPr>
                <w:rFonts w:eastAsia="PMingLiU-ExtB"/>
                <w:lang w:val="fr-FR"/>
              </w:rPr>
              <w:t xml:space="preserve"> ("Capacity Building in a Changing ICT Environment"</w:t>
            </w:r>
            <w:r w:rsidR="00EE37EE" w:rsidRPr="0098490B">
              <w:rPr>
                <w:rFonts w:eastAsia="PMingLiU-ExtB"/>
                <w:lang w:val="fr-FR"/>
              </w:rPr>
              <w:t xml:space="preserve">) est sortie. </w:t>
            </w:r>
            <w:bookmarkEnd w:id="127"/>
          </w:p>
          <w:p w:rsidR="00732847" w:rsidRPr="0098490B" w:rsidRDefault="00732847" w:rsidP="00784D97">
            <w:pPr>
              <w:pStyle w:val="enumlev1"/>
              <w:rPr>
                <w:rFonts w:eastAsia="PMingLiU-ExtB"/>
                <w:lang w:val="fr-FR"/>
              </w:rPr>
            </w:pPr>
            <w:bookmarkStart w:id="128" w:name="lt_pId347"/>
            <w:r w:rsidRPr="0098490B">
              <w:rPr>
                <w:rFonts w:eastAsia="PMingLiU-ExtB"/>
                <w:lang w:val="fr-FR"/>
              </w:rPr>
              <w:t>–</w:t>
            </w:r>
            <w:r w:rsidRPr="0098490B">
              <w:rPr>
                <w:rFonts w:eastAsia="PMingLiU-ExtB"/>
                <w:lang w:val="fr-FR"/>
              </w:rPr>
              <w:tab/>
            </w:r>
            <w:r w:rsidR="00EE37EE" w:rsidRPr="0098490B">
              <w:rPr>
                <w:rFonts w:eastAsia="PMingLiU-ExtB"/>
                <w:lang w:val="fr-FR"/>
              </w:rPr>
              <w:t>Le rapport sur le renforcement des capacités dans le cadre de la gouvernance de l'Internet est terminé.</w:t>
            </w:r>
            <w:bookmarkEnd w:id="128"/>
          </w:p>
          <w:p w:rsidR="00732847" w:rsidRPr="0098490B" w:rsidRDefault="00732847" w:rsidP="00784D97">
            <w:pPr>
              <w:pStyle w:val="enumlev1"/>
              <w:rPr>
                <w:rFonts w:eastAsia="PMingLiU-ExtB"/>
                <w:lang w:val="fr-FR"/>
              </w:rPr>
            </w:pPr>
            <w:bookmarkStart w:id="129" w:name="lt_pId348"/>
            <w:r w:rsidRPr="0098490B">
              <w:rPr>
                <w:rFonts w:eastAsia="PMingLiU-ExtB"/>
                <w:lang w:val="fr-FR"/>
              </w:rPr>
              <w:t>–</w:t>
            </w:r>
            <w:r w:rsidRPr="0098490B">
              <w:rPr>
                <w:rFonts w:eastAsia="PMingLiU-ExtB"/>
                <w:lang w:val="fr-FR"/>
              </w:rPr>
              <w:tab/>
            </w:r>
            <w:r w:rsidR="00B943E5" w:rsidRPr="0098490B">
              <w:rPr>
                <w:rFonts w:eastAsia="PMingLiU-ExtB"/>
                <w:lang w:val="fr-FR"/>
              </w:rPr>
              <w:t xml:space="preserve">Le matériel didactique destiné au programme </w:t>
            </w:r>
            <w:r w:rsidR="00EE37EE" w:rsidRPr="0098490B">
              <w:rPr>
                <w:rFonts w:eastAsia="PMingLiU-ExtB"/>
                <w:lang w:val="fr-FR"/>
              </w:rPr>
              <w:t xml:space="preserve">de formation sur les TIC et les changements climatiques </w:t>
            </w:r>
            <w:r w:rsidR="00B943E5" w:rsidRPr="0098490B">
              <w:rPr>
                <w:rFonts w:eastAsia="PMingLiU-ExtB"/>
                <w:lang w:val="fr-FR"/>
              </w:rPr>
              <w:t>est terminé</w:t>
            </w:r>
            <w:r w:rsidR="00EE37EE" w:rsidRPr="0098490B">
              <w:rPr>
                <w:rFonts w:eastAsia="PMingLiU-ExtB"/>
                <w:lang w:val="fr-FR"/>
              </w:rPr>
              <w:t>.</w:t>
            </w:r>
            <w:bookmarkEnd w:id="129"/>
            <w:r w:rsidRPr="0098490B">
              <w:rPr>
                <w:lang w:val="fr-FR"/>
              </w:rPr>
              <w:t xml:space="preserve"> </w:t>
            </w:r>
          </w:p>
          <w:p w:rsidR="00EE37EE" w:rsidRPr="0098490B" w:rsidRDefault="00732847" w:rsidP="00263D6D">
            <w:pPr>
              <w:pStyle w:val="enumlev1"/>
              <w:rPr>
                <w:rFonts w:eastAsia="PMingLiU-ExtB"/>
                <w:lang w:val="fr-FR"/>
              </w:rPr>
            </w:pPr>
            <w:bookmarkStart w:id="130" w:name="lt_pId349"/>
            <w:r w:rsidRPr="0098490B">
              <w:rPr>
                <w:rFonts w:eastAsia="PMingLiU-ExtB"/>
                <w:lang w:val="fr-FR"/>
              </w:rPr>
              <w:t>–</w:t>
            </w:r>
            <w:r w:rsidRPr="0098490B">
              <w:rPr>
                <w:rFonts w:eastAsia="PMingLiU-ExtB"/>
                <w:lang w:val="fr-FR"/>
              </w:rPr>
              <w:tab/>
            </w:r>
            <w:r w:rsidR="00EE37EE" w:rsidRPr="0098490B">
              <w:rPr>
                <w:rFonts w:eastAsia="PMingLiU-ExtB"/>
                <w:lang w:val="fr-FR"/>
              </w:rPr>
              <w:t xml:space="preserve">Le rapport sur </w:t>
            </w:r>
            <w:r w:rsidR="00960E60" w:rsidRPr="0098490B">
              <w:rPr>
                <w:rFonts w:eastAsia="PMingLiU-ExtB"/>
                <w:lang w:val="fr-FR"/>
              </w:rPr>
              <w:t>l'élaboration</w:t>
            </w:r>
            <w:r w:rsidR="00EE37EE" w:rsidRPr="0098490B">
              <w:rPr>
                <w:rFonts w:eastAsia="PMingLiU-ExtB"/>
                <w:lang w:val="fr-FR"/>
              </w:rPr>
              <w:t xml:space="preserve"> </w:t>
            </w:r>
            <w:r w:rsidR="00960E60" w:rsidRPr="0098490B">
              <w:rPr>
                <w:rFonts w:eastAsia="PMingLiU-ExtB"/>
                <w:lang w:val="fr-FR"/>
              </w:rPr>
              <w:t>du</w:t>
            </w:r>
            <w:r w:rsidR="00EE37EE" w:rsidRPr="0098490B">
              <w:rPr>
                <w:rFonts w:eastAsia="PMingLiU-ExtB"/>
                <w:lang w:val="fr-FR"/>
              </w:rPr>
              <w:t xml:space="preserve"> programme de formation sur l'Internet des objets est terminé. Ce programme sera composé de 15 modules (8 modules de base et 7 modules avancés). Le recrutement d'experts en vue de la création des modules individuels</w:t>
            </w:r>
            <w:r w:rsidR="00263D6D" w:rsidRPr="0098490B">
              <w:rPr>
                <w:rFonts w:eastAsia="PMingLiU-ExtB"/>
                <w:lang w:val="fr-FR"/>
              </w:rPr>
              <w:t xml:space="preserve"> a débuté</w:t>
            </w:r>
            <w:r w:rsidR="00EE37EE" w:rsidRPr="0098490B">
              <w:rPr>
                <w:rFonts w:eastAsia="PMingLiU-ExtB"/>
                <w:lang w:val="fr-FR"/>
              </w:rPr>
              <w:t>. Les modules devraient être prêts d'ici la fin du mois d'avril 2018.</w:t>
            </w:r>
          </w:p>
          <w:p w:rsidR="00732847" w:rsidRPr="0098490B" w:rsidRDefault="00732847" w:rsidP="00784D97">
            <w:pPr>
              <w:pStyle w:val="enumlev1"/>
              <w:rPr>
                <w:rFonts w:eastAsia="PMingLiU-ExtB"/>
                <w:lang w:val="fr-FR"/>
              </w:rPr>
            </w:pPr>
            <w:bookmarkStart w:id="131" w:name="lt_pId353"/>
            <w:bookmarkEnd w:id="130"/>
            <w:r w:rsidRPr="0098490B">
              <w:rPr>
                <w:rFonts w:eastAsia="PMingLiU-ExtB"/>
                <w:lang w:val="fr-FR"/>
              </w:rPr>
              <w:t>–</w:t>
            </w:r>
            <w:r w:rsidRPr="0098490B">
              <w:rPr>
                <w:rFonts w:eastAsia="PMingLiU-ExtB"/>
                <w:lang w:val="fr-FR"/>
              </w:rPr>
              <w:tab/>
            </w:r>
            <w:r w:rsidR="00960E60" w:rsidRPr="0098490B">
              <w:rPr>
                <w:rFonts w:eastAsia="PMingLiU-ExtB"/>
                <w:lang w:val="fr-FR"/>
              </w:rPr>
              <w:t>Le p</w:t>
            </w:r>
            <w:r w:rsidR="00EE37EE" w:rsidRPr="0098490B">
              <w:rPr>
                <w:rFonts w:eastAsia="PMingLiU-ExtB"/>
                <w:lang w:val="fr-FR"/>
              </w:rPr>
              <w:t xml:space="preserve">rogramme </w:t>
            </w:r>
            <w:r w:rsidR="00EE37EE" w:rsidRPr="0098490B">
              <w:rPr>
                <w:color w:val="000000"/>
                <w:lang w:val="fr-FR"/>
              </w:rPr>
              <w:t>de forma</w:t>
            </w:r>
            <w:r w:rsidR="00960E60" w:rsidRPr="0098490B">
              <w:rPr>
                <w:color w:val="000000"/>
                <w:lang w:val="fr-FR"/>
              </w:rPr>
              <w:t>tion sur la gestion du spectre</w:t>
            </w:r>
            <w:r w:rsidR="00C27096" w:rsidRPr="0098490B">
              <w:rPr>
                <w:color w:val="000000"/>
                <w:lang w:val="fr-FR"/>
              </w:rPr>
              <w:t xml:space="preserve"> a été entièrement revu et mis à jour afin de veiller à ce que les supports</w:t>
            </w:r>
            <w:r w:rsidR="00960E60" w:rsidRPr="0098490B">
              <w:rPr>
                <w:color w:val="000000"/>
                <w:lang w:val="fr-FR"/>
              </w:rPr>
              <w:t xml:space="preserve"> utilisés</w:t>
            </w:r>
            <w:r w:rsidR="00C27096" w:rsidRPr="0098490B">
              <w:rPr>
                <w:color w:val="000000"/>
                <w:lang w:val="fr-FR"/>
              </w:rPr>
              <w:t xml:space="preserve"> tiennent compte des dernières avancées enregistrées dans le domaine.</w:t>
            </w:r>
            <w:bookmarkEnd w:id="131"/>
          </w:p>
          <w:p w:rsidR="00732847" w:rsidRPr="0098490B" w:rsidRDefault="00732847" w:rsidP="00784D97">
            <w:pPr>
              <w:pStyle w:val="enumlev1"/>
              <w:rPr>
                <w:rFonts w:eastAsia="PMingLiU-ExtB"/>
                <w:lang w:val="fr-FR"/>
              </w:rPr>
            </w:pPr>
            <w:bookmarkStart w:id="132" w:name="lt_pId354"/>
            <w:r w:rsidRPr="0098490B">
              <w:rPr>
                <w:rFonts w:eastAsia="PMingLiU-ExtB"/>
                <w:lang w:val="fr-FR"/>
              </w:rPr>
              <w:lastRenderedPageBreak/>
              <w:t>–</w:t>
            </w:r>
            <w:r w:rsidRPr="0098490B">
              <w:rPr>
                <w:rFonts w:eastAsia="PMingLiU-ExtB"/>
                <w:lang w:val="fr-FR"/>
              </w:rPr>
              <w:tab/>
            </w:r>
            <w:r w:rsidR="00960E60" w:rsidRPr="0098490B">
              <w:rPr>
                <w:rFonts w:eastAsia="PMingLiU-ExtB"/>
                <w:lang w:val="fr-FR"/>
              </w:rPr>
              <w:t>S</w:t>
            </w:r>
            <w:r w:rsidR="00C27096" w:rsidRPr="0098490B">
              <w:rPr>
                <w:rFonts w:eastAsia="PMingLiU-ExtB"/>
                <w:lang w:val="fr-FR"/>
              </w:rPr>
              <w:t>ept</w:t>
            </w:r>
            <w:r w:rsidR="00931017">
              <w:rPr>
                <w:rFonts w:eastAsia="PMingLiU-ExtB"/>
                <w:lang w:val="fr-FR"/>
              </w:rPr>
              <w:t xml:space="preserve"> formations dispensées par des C</w:t>
            </w:r>
            <w:r w:rsidR="00C27096" w:rsidRPr="0098490B">
              <w:rPr>
                <w:rFonts w:eastAsia="PMingLiU-ExtB"/>
                <w:lang w:val="fr-FR"/>
              </w:rPr>
              <w:t xml:space="preserve">entres d'excellence de la région Asie-Pacifique ont eu lieu dans cette région au sujet de la gestion du spectre, de la </w:t>
            </w:r>
            <w:r w:rsidR="00C27096" w:rsidRPr="0098490B">
              <w:rPr>
                <w:color w:val="000000"/>
                <w:lang w:val="fr-FR"/>
              </w:rPr>
              <w:t xml:space="preserve">sécurité de l'Internet et de l'infrastructure IPv6, de la conformité et de l'interopérabilité </w:t>
            </w:r>
            <w:r w:rsidR="007616B8" w:rsidRPr="0098490B">
              <w:rPr>
                <w:color w:val="000000"/>
                <w:lang w:val="fr-FR"/>
              </w:rPr>
              <w:t>des réseaux</w:t>
            </w:r>
            <w:r w:rsidR="00C27096" w:rsidRPr="0098490B">
              <w:rPr>
                <w:color w:val="000000"/>
                <w:lang w:val="fr-FR"/>
              </w:rPr>
              <w:t xml:space="preserve"> 4G LTE, des technologies</w:t>
            </w:r>
            <w:r w:rsidR="00EF0C0A" w:rsidRPr="0098490B">
              <w:rPr>
                <w:color w:val="000000"/>
                <w:lang w:val="fr-FR"/>
              </w:rPr>
              <w:t>,</w:t>
            </w:r>
            <w:r w:rsidR="00C27096" w:rsidRPr="0098490B">
              <w:rPr>
                <w:color w:val="000000"/>
                <w:lang w:val="fr-FR"/>
              </w:rPr>
              <w:t xml:space="preserve"> </w:t>
            </w:r>
            <w:r w:rsidR="008E5E7B" w:rsidRPr="0098490B">
              <w:rPr>
                <w:color w:val="000000"/>
                <w:lang w:val="fr-FR"/>
              </w:rPr>
              <w:t>des normes et de la planification liées à l'Internet des objets,</w:t>
            </w:r>
            <w:r w:rsidR="00C27096" w:rsidRPr="0098490B">
              <w:rPr>
                <w:color w:val="000000"/>
                <w:lang w:val="fr-FR"/>
              </w:rPr>
              <w:t xml:space="preserve"> des mécanismes réglementaires </w:t>
            </w:r>
            <w:r w:rsidR="00ED17B7" w:rsidRPr="0098490B">
              <w:rPr>
                <w:color w:val="000000"/>
                <w:lang w:val="fr-FR"/>
              </w:rPr>
              <w:t xml:space="preserve">transsectoriels collaboratifs et de l'analyse de la concurrence dans l'économie numérique, de l'ingénierie du spectre et de la coordination transfrontière des fréquences, </w:t>
            </w:r>
            <w:r w:rsidR="008E5E7B" w:rsidRPr="0098490B">
              <w:rPr>
                <w:color w:val="000000"/>
                <w:lang w:val="fr-FR"/>
              </w:rPr>
              <w:t xml:space="preserve">ainsi que </w:t>
            </w:r>
            <w:r w:rsidR="00ED17B7" w:rsidRPr="0098490B">
              <w:rPr>
                <w:color w:val="000000"/>
                <w:lang w:val="fr-FR"/>
              </w:rPr>
              <w:t xml:space="preserve">de la planification des réseaux du large bande mobile et de l'Internet des objets (plus de détails </w:t>
            </w:r>
            <w:r w:rsidR="008E5E7B" w:rsidRPr="0098490B">
              <w:rPr>
                <w:color w:val="000000"/>
                <w:lang w:val="fr-FR"/>
              </w:rPr>
              <w:t>sont fournis</w:t>
            </w:r>
            <w:r w:rsidR="00ED17B7" w:rsidRPr="0098490B">
              <w:rPr>
                <w:color w:val="000000"/>
                <w:lang w:val="fr-FR"/>
              </w:rPr>
              <w:t xml:space="preserve"> dans d'autres sections).</w:t>
            </w:r>
            <w:bookmarkEnd w:id="132"/>
          </w:p>
          <w:p w:rsidR="00732847" w:rsidRPr="0098490B" w:rsidRDefault="00084CA2" w:rsidP="00784D97">
            <w:pPr>
              <w:rPr>
                <w:rFonts w:eastAsia="PMingLiU-ExtB"/>
                <w:szCs w:val="24"/>
                <w:lang w:val="fr-FR"/>
              </w:rPr>
            </w:pPr>
            <w:r w:rsidRPr="0098490B">
              <w:rPr>
                <w:lang w:val="fr-FR"/>
              </w:rPr>
              <w:t>L</w:t>
            </w:r>
            <w:r w:rsidR="00615655" w:rsidRPr="0098490B">
              <w:rPr>
                <w:lang w:val="fr-FR"/>
              </w:rPr>
              <w:t>es activités relevant de ce p</w:t>
            </w:r>
            <w:r w:rsidRPr="0098490B">
              <w:rPr>
                <w:lang w:val="fr-FR"/>
              </w:rPr>
              <w:t xml:space="preserve">roduit ont contribué à accroître la coopération entre l'UIT et les partenaires concernés dans le domaine du renforcement des capacités. </w:t>
            </w:r>
            <w:r w:rsidR="00615655" w:rsidRPr="0098490B">
              <w:rPr>
                <w:lang w:val="fr-FR"/>
              </w:rPr>
              <w:t>Un accord de coopération a été signé avec l'ARCTEL au sujet de la mise en oeuvre conjointe d'un cours de gestion accéléré pour les cadres du secteur des télécommunications. Ce cours visait à offrir une formation certifiée et de haute qualité à des responsables du secteur des télécommunications. Plusieurs manifestations ont été organisées au niveau régional avec divers partenaires, et notamment:</w:t>
            </w:r>
          </w:p>
          <w:p w:rsidR="00732847" w:rsidRPr="0098490B" w:rsidRDefault="00732847" w:rsidP="00784D97">
            <w:pPr>
              <w:pStyle w:val="enumlev1"/>
              <w:rPr>
                <w:rFonts w:eastAsia="PMingLiU-ExtB"/>
                <w:lang w:val="fr-FR"/>
              </w:rPr>
            </w:pPr>
            <w:r w:rsidRPr="0098490B">
              <w:rPr>
                <w:rFonts w:eastAsia="PMingLiU-ExtB"/>
                <w:lang w:val="fr-FR"/>
              </w:rPr>
              <w:t>–</w:t>
            </w:r>
            <w:r w:rsidRPr="0098490B">
              <w:rPr>
                <w:rFonts w:eastAsia="PMingLiU-ExtB"/>
                <w:lang w:val="fr-FR"/>
              </w:rPr>
              <w:tab/>
            </w:r>
            <w:bookmarkStart w:id="133" w:name="lt_pId359"/>
            <w:r w:rsidR="00931017" w:rsidRPr="0098490B">
              <w:rPr>
                <w:rFonts w:eastAsia="PMingLiU-ExtB"/>
                <w:lang w:val="fr-FR"/>
              </w:rPr>
              <w:t>D</w:t>
            </w:r>
            <w:r w:rsidR="00615655" w:rsidRPr="0098490B">
              <w:rPr>
                <w:rFonts w:eastAsia="PMingLiU-ExtB"/>
                <w:lang w:val="fr-FR"/>
              </w:rPr>
              <w:t>es ateliers régionaux de formation sur les communications par satellite ont eu lieu pour l'Afrique, la région des Etats arabes e</w:t>
            </w:r>
            <w:r w:rsidR="00007F53" w:rsidRPr="0098490B">
              <w:rPr>
                <w:rFonts w:eastAsia="PMingLiU-ExtB"/>
                <w:lang w:val="fr-FR"/>
              </w:rPr>
              <w:t>t</w:t>
            </w:r>
            <w:r w:rsidR="00615655" w:rsidRPr="0098490B">
              <w:rPr>
                <w:rFonts w:eastAsia="PMingLiU-ExtB"/>
                <w:lang w:val="fr-FR"/>
              </w:rPr>
              <w:t xml:space="preserve"> les Caraïbes. Ces ateliers ont été organisés au titre d'un accord de partenariat avec </w:t>
            </w:r>
            <w:r w:rsidR="00615655" w:rsidRPr="0098490B">
              <w:rPr>
                <w:color w:val="000000"/>
                <w:lang w:val="fr-FR"/>
              </w:rPr>
              <w:t>l'Organisation internationale des télécommunications par satellite (ITSO)</w:t>
            </w:r>
            <w:bookmarkEnd w:id="133"/>
            <w:r w:rsidR="00931017">
              <w:rPr>
                <w:color w:val="000000"/>
                <w:lang w:val="fr-FR"/>
              </w:rPr>
              <w:t>.</w:t>
            </w:r>
          </w:p>
          <w:p w:rsidR="00732847" w:rsidRPr="0098490B" w:rsidRDefault="00732847" w:rsidP="00784D97">
            <w:pPr>
              <w:pStyle w:val="enumlev1"/>
              <w:rPr>
                <w:rFonts w:eastAsia="PMingLiU-ExtB"/>
                <w:lang w:val="fr-FR"/>
              </w:rPr>
            </w:pPr>
            <w:r w:rsidRPr="0098490B">
              <w:rPr>
                <w:rFonts w:eastAsia="PMingLiU-ExtB"/>
                <w:lang w:val="fr-FR"/>
              </w:rPr>
              <w:t>–</w:t>
            </w:r>
            <w:r w:rsidRPr="0098490B">
              <w:rPr>
                <w:rFonts w:eastAsia="PMingLiU-ExtB"/>
                <w:lang w:val="fr-FR"/>
              </w:rPr>
              <w:tab/>
            </w:r>
            <w:r w:rsidR="00931017" w:rsidRPr="0098490B">
              <w:rPr>
                <w:rFonts w:eastAsia="PMingLiU-ExtB"/>
                <w:lang w:val="fr-FR"/>
              </w:rPr>
              <w:t>U</w:t>
            </w:r>
            <w:r w:rsidR="00615655" w:rsidRPr="0098490B">
              <w:rPr>
                <w:rFonts w:eastAsia="PMingLiU-ExtB"/>
                <w:lang w:val="fr-FR"/>
              </w:rPr>
              <w:t>ne</w:t>
            </w:r>
            <w:r w:rsidR="000824A6" w:rsidRPr="0098490B">
              <w:rPr>
                <w:lang w:val="fr-FR"/>
              </w:rPr>
              <w:t xml:space="preserve"> formation</w:t>
            </w:r>
            <w:r w:rsidR="00615655" w:rsidRPr="0098490B">
              <w:rPr>
                <w:lang w:val="fr-FR"/>
              </w:rPr>
              <w:t xml:space="preserve"> régionale a été organisée en Tunisie </w:t>
            </w:r>
            <w:r w:rsidR="000824A6" w:rsidRPr="0098490B">
              <w:rPr>
                <w:lang w:val="fr-FR"/>
              </w:rPr>
              <w:t xml:space="preserve">en coopération avec le CIFODECOM, sur </w:t>
            </w:r>
            <w:r w:rsidR="00615655" w:rsidRPr="0098490B">
              <w:rPr>
                <w:lang w:val="fr-FR"/>
              </w:rPr>
              <w:t>les</w:t>
            </w:r>
            <w:r w:rsidR="000824A6" w:rsidRPr="0098490B">
              <w:rPr>
                <w:lang w:val="fr-FR"/>
              </w:rPr>
              <w:t xml:space="preserve"> principes de base applicable</w:t>
            </w:r>
            <w:r w:rsidR="000F2672" w:rsidRPr="0098490B">
              <w:rPr>
                <w:lang w:val="fr-FR"/>
              </w:rPr>
              <w:t>s aux réseaux à fibres optiques</w:t>
            </w:r>
            <w:r w:rsidR="00931017">
              <w:rPr>
                <w:color w:val="000000"/>
                <w:lang w:val="fr-FR"/>
              </w:rPr>
              <w:t>.</w:t>
            </w:r>
          </w:p>
          <w:p w:rsidR="00732847" w:rsidRPr="0098490B" w:rsidRDefault="00732847" w:rsidP="00784D97">
            <w:pPr>
              <w:pStyle w:val="enumlev1"/>
              <w:rPr>
                <w:rFonts w:eastAsia="PMingLiU-ExtB"/>
                <w:lang w:val="fr-FR"/>
              </w:rPr>
            </w:pPr>
            <w:r w:rsidRPr="0098490B">
              <w:rPr>
                <w:rFonts w:eastAsia="PMingLiU-ExtB"/>
                <w:lang w:val="fr-FR"/>
              </w:rPr>
              <w:t>–</w:t>
            </w:r>
            <w:r w:rsidRPr="0098490B">
              <w:rPr>
                <w:rFonts w:eastAsia="PMingLiU-ExtB"/>
                <w:lang w:val="fr-FR"/>
              </w:rPr>
              <w:tab/>
            </w:r>
            <w:bookmarkStart w:id="134" w:name="lt_pId362"/>
            <w:r w:rsidR="00931017" w:rsidRPr="0098490B">
              <w:rPr>
                <w:color w:val="000000"/>
                <w:lang w:val="fr-FR"/>
              </w:rPr>
              <w:t>L</w:t>
            </w:r>
            <w:r w:rsidR="000F2672" w:rsidRPr="0098490B">
              <w:rPr>
                <w:color w:val="000000"/>
                <w:lang w:val="fr-FR"/>
              </w:rPr>
              <w:t>'édition 2017 de la formation sur le thème "Se préparer à des conférences internationales</w:t>
            </w:r>
            <w:r w:rsidR="009F7D87" w:rsidRPr="0098490B">
              <w:rPr>
                <w:color w:val="000000"/>
                <w:lang w:val="fr-FR"/>
              </w:rPr>
              <w:t>"</w:t>
            </w:r>
            <w:r w:rsidR="009F7D87" w:rsidRPr="0098490B">
              <w:rPr>
                <w:rFonts w:eastAsia="PMingLiU-ExtB"/>
                <w:lang w:val="fr-FR"/>
              </w:rPr>
              <w:t xml:space="preserve"> a été organisée en partenariat avec la </w:t>
            </w:r>
            <w:r w:rsidR="009F7D87" w:rsidRPr="0098490B">
              <w:rPr>
                <w:color w:val="000000"/>
                <w:lang w:val="fr-FR"/>
              </w:rPr>
              <w:t>Télécommunauté Asie-Pacifique (APT)</w:t>
            </w:r>
            <w:r w:rsidR="000F2672" w:rsidRPr="0098490B">
              <w:rPr>
                <w:color w:val="000000"/>
                <w:lang w:val="fr-FR"/>
              </w:rPr>
              <w:t>. La formation a été dispensée en deux étapes (en ligne et sous forme traditionnelle)</w:t>
            </w:r>
            <w:bookmarkEnd w:id="134"/>
            <w:r w:rsidR="00931017">
              <w:rPr>
                <w:color w:val="000000"/>
                <w:lang w:val="fr-FR"/>
              </w:rPr>
              <w:t>.</w:t>
            </w:r>
          </w:p>
          <w:p w:rsidR="00732847" w:rsidRPr="0098490B" w:rsidRDefault="00732847" w:rsidP="00784D97">
            <w:pPr>
              <w:pStyle w:val="enumlev1"/>
              <w:rPr>
                <w:rFonts w:eastAsia="PMingLiU-ExtB"/>
                <w:lang w:val="fr-FR"/>
              </w:rPr>
            </w:pPr>
            <w:r w:rsidRPr="0098490B">
              <w:rPr>
                <w:rFonts w:eastAsia="PMingLiU-ExtB"/>
                <w:lang w:val="fr-FR"/>
              </w:rPr>
              <w:t>–</w:t>
            </w:r>
            <w:r w:rsidRPr="0098490B">
              <w:rPr>
                <w:rFonts w:eastAsia="PMingLiU-ExtB"/>
                <w:lang w:val="fr-FR"/>
              </w:rPr>
              <w:tab/>
            </w:r>
            <w:bookmarkStart w:id="135" w:name="lt_pId364"/>
            <w:r w:rsidR="00931017" w:rsidRPr="0098490B">
              <w:rPr>
                <w:rFonts w:eastAsia="PMingLiU-ExtB"/>
                <w:lang w:val="fr-FR"/>
              </w:rPr>
              <w:t>L</w:t>
            </w:r>
            <w:r w:rsidR="000F2672" w:rsidRPr="0098490B">
              <w:rPr>
                <w:rFonts w:eastAsia="PMingLiU-ExtB"/>
                <w:lang w:val="fr-FR"/>
              </w:rPr>
              <w:t>a r</w:t>
            </w:r>
            <w:r w:rsidR="000F2672" w:rsidRPr="0098490B">
              <w:rPr>
                <w:color w:val="000000"/>
                <w:lang w:val="fr-FR"/>
              </w:rPr>
              <w:t>éunion des partenaires universitaires</w:t>
            </w:r>
            <w:r w:rsidR="00496893" w:rsidRPr="0098490B">
              <w:rPr>
                <w:color w:val="000000"/>
                <w:lang w:val="fr-FR"/>
              </w:rPr>
              <w:t xml:space="preserve"> de l</w:t>
            </w:r>
            <w:r w:rsidR="001231C3" w:rsidRPr="0098490B">
              <w:rPr>
                <w:color w:val="000000"/>
                <w:lang w:val="fr-FR"/>
              </w:rPr>
              <w:t>'</w:t>
            </w:r>
            <w:r w:rsidR="00496893" w:rsidRPr="0098490B">
              <w:rPr>
                <w:color w:val="000000"/>
                <w:lang w:val="fr-FR"/>
              </w:rPr>
              <w:t>UIT a eu lieu à Budapest (</w:t>
            </w:r>
            <w:r w:rsidR="000F2672" w:rsidRPr="0098490B">
              <w:rPr>
                <w:color w:val="000000"/>
                <w:lang w:val="fr-FR"/>
              </w:rPr>
              <w:t>Hongrie</w:t>
            </w:r>
            <w:r w:rsidR="00496893" w:rsidRPr="0098490B">
              <w:rPr>
                <w:color w:val="000000"/>
                <w:lang w:val="fr-FR"/>
              </w:rPr>
              <w:t>)</w:t>
            </w:r>
            <w:r w:rsidR="000F2672" w:rsidRPr="0098490B">
              <w:rPr>
                <w:color w:val="000000"/>
                <w:lang w:val="fr-FR"/>
              </w:rPr>
              <w:t xml:space="preserve"> sur le thème "Acquérir des compétences pour l'ère numérique". Les participants à la réunion ont contribué à renforcer la coopération entre l'UIT et les établissements universitaires</w:t>
            </w:r>
            <w:r w:rsidR="00496893" w:rsidRPr="0098490B">
              <w:rPr>
                <w:color w:val="000000"/>
                <w:lang w:val="fr-FR"/>
              </w:rPr>
              <w:t xml:space="preserve"> participant à ses travaux</w:t>
            </w:r>
            <w:r w:rsidR="000F2672" w:rsidRPr="0098490B">
              <w:rPr>
                <w:color w:val="000000"/>
                <w:lang w:val="fr-FR"/>
              </w:rPr>
              <w:t>, ainsi qu'entre ces établisseme</w:t>
            </w:r>
            <w:r w:rsidR="009F7D87" w:rsidRPr="0098490B">
              <w:rPr>
                <w:color w:val="000000"/>
                <w:lang w:val="fr-FR"/>
              </w:rPr>
              <w:t>nts et les centres d'excellence</w:t>
            </w:r>
            <w:r w:rsidR="00931017">
              <w:rPr>
                <w:color w:val="000000"/>
                <w:lang w:val="fr-FR"/>
              </w:rPr>
              <w:t>.</w:t>
            </w:r>
            <w:r w:rsidR="000F2672" w:rsidRPr="0098490B">
              <w:rPr>
                <w:color w:val="000000"/>
                <w:lang w:val="fr-FR"/>
              </w:rPr>
              <w:t xml:space="preserve"> </w:t>
            </w:r>
            <w:bookmarkEnd w:id="135"/>
          </w:p>
          <w:p w:rsidR="00732847" w:rsidRPr="0098490B" w:rsidRDefault="00732847" w:rsidP="00931017">
            <w:pPr>
              <w:pStyle w:val="enumlev1"/>
              <w:rPr>
                <w:rFonts w:eastAsia="PMingLiU-ExtB"/>
                <w:lang w:val="fr-FR"/>
              </w:rPr>
            </w:pPr>
            <w:r w:rsidRPr="0098490B">
              <w:rPr>
                <w:rFonts w:eastAsia="PMingLiU-ExtB"/>
                <w:lang w:val="fr-FR"/>
              </w:rPr>
              <w:t>–</w:t>
            </w:r>
            <w:r w:rsidRPr="0098490B">
              <w:rPr>
                <w:rFonts w:eastAsia="PMingLiU-ExtB"/>
                <w:lang w:val="fr-FR"/>
              </w:rPr>
              <w:tab/>
            </w:r>
            <w:bookmarkStart w:id="136" w:name="lt_pId367"/>
            <w:r w:rsidR="00931017" w:rsidRPr="0098490B">
              <w:rPr>
                <w:rFonts w:eastAsia="PMingLiU-ExtB"/>
                <w:lang w:val="fr-FR"/>
              </w:rPr>
              <w:t>U</w:t>
            </w:r>
            <w:r w:rsidR="000F2672" w:rsidRPr="0098490B">
              <w:rPr>
                <w:rFonts w:eastAsia="PMingLiU-ExtB"/>
                <w:lang w:val="fr-FR"/>
              </w:rPr>
              <w:t xml:space="preserve">ne formation régionale a été organisée en coopération avec </w:t>
            </w:r>
            <w:r w:rsidR="000F2672" w:rsidRPr="0098490B">
              <w:rPr>
                <w:color w:val="000000"/>
                <w:lang w:val="fr-FR"/>
              </w:rPr>
              <w:t xml:space="preserve">la Sudatel Telecommunications Academy (SUDACAD) au Soudan, en vue de renforcer les capacités des participants </w:t>
            </w:r>
            <w:r w:rsidR="00BF3A50" w:rsidRPr="0098490B">
              <w:rPr>
                <w:color w:val="000000"/>
                <w:lang w:val="fr-FR"/>
              </w:rPr>
              <w:t xml:space="preserve">dans l'identification des risques commerciaux et </w:t>
            </w:r>
            <w:r w:rsidR="0088025F" w:rsidRPr="0098490B">
              <w:rPr>
                <w:color w:val="000000"/>
                <w:lang w:val="fr-FR"/>
              </w:rPr>
              <w:t>liés aux</w:t>
            </w:r>
            <w:r w:rsidR="00C057A3">
              <w:rPr>
                <w:color w:val="000000"/>
                <w:lang w:val="fr-FR"/>
              </w:rPr>
              <w:t xml:space="preserve"> projets TIC, et </w:t>
            </w:r>
            <w:r w:rsidR="00BF3A50" w:rsidRPr="0098490B">
              <w:rPr>
                <w:color w:val="000000"/>
                <w:lang w:val="fr-FR"/>
              </w:rPr>
              <w:t>afin de fournir un processus structuré pour la gestion des risques dans le secteur des</w:t>
            </w:r>
            <w:r w:rsidR="00C057A3">
              <w:rPr>
                <w:color w:val="000000"/>
                <w:lang w:val="fr-FR"/>
              </w:rPr>
              <w:t> </w:t>
            </w:r>
            <w:r w:rsidR="00BF3A50" w:rsidRPr="0098490B">
              <w:rPr>
                <w:color w:val="000000"/>
                <w:lang w:val="fr-FR"/>
              </w:rPr>
              <w:t>TIC</w:t>
            </w:r>
            <w:bookmarkEnd w:id="136"/>
            <w:r w:rsidR="00931017">
              <w:rPr>
                <w:color w:val="000000"/>
                <w:lang w:val="fr-FR"/>
              </w:rPr>
              <w:t>.</w:t>
            </w:r>
          </w:p>
          <w:p w:rsidR="00732847" w:rsidRPr="0098490B" w:rsidRDefault="00732847" w:rsidP="00784D97">
            <w:pPr>
              <w:pStyle w:val="enumlev1"/>
              <w:rPr>
                <w:lang w:val="fr-FR"/>
              </w:rPr>
            </w:pPr>
            <w:r w:rsidRPr="0098490B">
              <w:rPr>
                <w:rFonts w:eastAsia="PMingLiU-ExtB"/>
                <w:lang w:val="fr-FR"/>
              </w:rPr>
              <w:t>–</w:t>
            </w:r>
            <w:r w:rsidRPr="0098490B">
              <w:rPr>
                <w:rFonts w:eastAsia="PMingLiU-ExtB"/>
                <w:lang w:val="fr-FR"/>
              </w:rPr>
              <w:tab/>
            </w:r>
            <w:r w:rsidR="00931017" w:rsidRPr="0098490B">
              <w:rPr>
                <w:lang w:val="fr-FR"/>
              </w:rPr>
              <w:t>D</w:t>
            </w:r>
            <w:r w:rsidR="000824A6" w:rsidRPr="0098490B">
              <w:rPr>
                <w:lang w:val="fr-FR"/>
              </w:rPr>
              <w:t>ans le cadre de l'initiative de partenariat avec l'Autorité de régulation des télécommunications (TRA-UAE), un projet régional sur le renforcement des capacités humaines en matière de protocole IPv6 dans les PMA de la région arabe et en Palestine a été signé.</w:t>
            </w:r>
          </w:p>
          <w:p w:rsidR="000824A6" w:rsidRPr="0098490B" w:rsidRDefault="00BF3A50" w:rsidP="00263D6D">
            <w:pPr>
              <w:keepNext/>
              <w:keepLines/>
              <w:rPr>
                <w:rFonts w:eastAsia="PMingLiU-ExtB"/>
                <w:lang w:val="fr-FR"/>
              </w:rPr>
            </w:pPr>
            <w:bookmarkStart w:id="137" w:name="lt_pId369"/>
            <w:r w:rsidRPr="0098490B">
              <w:rPr>
                <w:rFonts w:eastAsia="PMingLiU-ExtB"/>
                <w:szCs w:val="24"/>
                <w:lang w:val="fr-FR"/>
              </w:rPr>
              <w:lastRenderedPageBreak/>
              <w:t>D'autres manifestations et formations spécifiques en matière de renforcement des capacités ont été organisées, dont notamment</w:t>
            </w:r>
            <w:r w:rsidR="000824A6" w:rsidRPr="0098490B">
              <w:rPr>
                <w:szCs w:val="24"/>
                <w:lang w:val="fr-FR"/>
              </w:rPr>
              <w:t>:</w:t>
            </w:r>
            <w:bookmarkEnd w:id="137"/>
          </w:p>
          <w:p w:rsidR="00BF3A50" w:rsidRPr="0098490B" w:rsidRDefault="00732847" w:rsidP="00931017">
            <w:pPr>
              <w:pStyle w:val="enumlev1"/>
              <w:keepNext/>
              <w:keepLines/>
              <w:rPr>
                <w:rFonts w:eastAsia="PMingLiU-ExtB"/>
                <w:lang w:val="fr-FR"/>
              </w:rPr>
            </w:pPr>
            <w:r w:rsidRPr="0098490B">
              <w:rPr>
                <w:rFonts w:eastAsia="PMingLiU-ExtB"/>
                <w:lang w:val="fr-FR"/>
              </w:rPr>
              <w:t>–</w:t>
            </w:r>
            <w:r w:rsidRPr="0098490B">
              <w:rPr>
                <w:rFonts w:eastAsia="PMingLiU-ExtB"/>
                <w:lang w:val="fr-FR"/>
              </w:rPr>
              <w:tab/>
            </w:r>
            <w:bookmarkStart w:id="138" w:name="lt_pId370"/>
            <w:r w:rsidR="00931017">
              <w:rPr>
                <w:rFonts w:eastAsia="PMingLiU-ExtB"/>
                <w:lang w:val="fr-FR"/>
              </w:rPr>
              <w:t>L</w:t>
            </w:r>
            <w:r w:rsidR="00BF3A50" w:rsidRPr="0098490B">
              <w:rPr>
                <w:rFonts w:eastAsia="PMingLiU-ExtB"/>
                <w:lang w:val="fr-FR"/>
              </w:rPr>
              <w:t>'atelier régional annuel sur le renforcement des capacités humaines pour les pays d'Afrique</w:t>
            </w:r>
            <w:r w:rsidR="0088025F" w:rsidRPr="0098490B">
              <w:rPr>
                <w:rFonts w:eastAsia="PMingLiU-ExtB"/>
                <w:lang w:val="fr-FR"/>
              </w:rPr>
              <w:t xml:space="preserve"> </w:t>
            </w:r>
            <w:r w:rsidR="00BF3A50" w:rsidRPr="0098490B">
              <w:rPr>
                <w:rFonts w:eastAsia="PMingLiU-ExtB"/>
                <w:lang w:val="fr-FR"/>
              </w:rPr>
              <w:t xml:space="preserve">s'est tenu à Maurice en présence de 121 participants issus de 27 pays. </w:t>
            </w:r>
            <w:r w:rsidR="0088025F" w:rsidRPr="0098490B">
              <w:rPr>
                <w:rFonts w:eastAsia="PMingLiU-ExtB"/>
                <w:lang w:val="fr-FR"/>
              </w:rPr>
              <w:t>Pour les professionnels du secteur des TIC issus du domaine public, de l'industrie et des établissements universitaires, l</w:t>
            </w:r>
            <w:r w:rsidR="00BF3A50" w:rsidRPr="0098490B">
              <w:rPr>
                <w:rFonts w:eastAsia="PMingLiU-ExtB"/>
                <w:lang w:val="fr-FR"/>
              </w:rPr>
              <w:t>'atelier a offert une plate-forme leur permettant d'améliorer leur compréhension des questions liées aux écosystèmes de l'Internet des objets</w:t>
            </w:r>
            <w:r w:rsidR="00931017">
              <w:rPr>
                <w:rFonts w:eastAsia="PMingLiU-ExtB"/>
                <w:lang w:val="fr-FR"/>
              </w:rPr>
              <w:t xml:space="preserve"> en Afrique.</w:t>
            </w:r>
          </w:p>
          <w:bookmarkEnd w:id="138"/>
          <w:p w:rsidR="00732847" w:rsidRPr="0098490B" w:rsidRDefault="00732847" w:rsidP="00931017">
            <w:pPr>
              <w:pStyle w:val="enumlev1"/>
              <w:tabs>
                <w:tab w:val="left" w:pos="7275"/>
              </w:tabs>
              <w:rPr>
                <w:lang w:val="fr-FR"/>
              </w:rPr>
            </w:pPr>
            <w:r w:rsidRPr="0098490B">
              <w:rPr>
                <w:rFonts w:eastAsia="PMingLiU-ExtB"/>
                <w:lang w:val="fr-FR"/>
              </w:rPr>
              <w:t>–</w:t>
            </w:r>
            <w:r w:rsidRPr="0098490B">
              <w:rPr>
                <w:rFonts w:eastAsia="PMingLiU-ExtB"/>
                <w:lang w:val="fr-FR"/>
              </w:rPr>
              <w:tab/>
            </w:r>
            <w:bookmarkStart w:id="139" w:name="lt_pId372"/>
            <w:r w:rsidR="00931017">
              <w:rPr>
                <w:rFonts w:eastAsia="PMingLiU-ExtB"/>
                <w:lang w:val="fr-FR"/>
              </w:rPr>
              <w:t>L</w:t>
            </w:r>
            <w:r w:rsidR="00D54157" w:rsidRPr="0098490B">
              <w:rPr>
                <w:rFonts w:eastAsia="PMingLiU-ExtB"/>
                <w:lang w:val="fr-FR"/>
              </w:rPr>
              <w:t>ors d'un atelier régional organisé en Ukraine</w:t>
            </w:r>
            <w:r w:rsidR="000B71C3" w:rsidRPr="0098490B">
              <w:rPr>
                <w:rFonts w:eastAsia="PMingLiU-ExtB"/>
                <w:lang w:val="fr-FR"/>
              </w:rPr>
              <w:t xml:space="preserve"> par l'UIT</w:t>
            </w:r>
            <w:r w:rsidR="00D54157" w:rsidRPr="0098490B">
              <w:rPr>
                <w:rFonts w:eastAsia="PMingLiU-ExtB"/>
                <w:lang w:val="fr-FR"/>
              </w:rPr>
              <w:t>, des professionnels du renforcement des capacités ont échangé au sujet de leurs expériences</w:t>
            </w:r>
            <w:bookmarkEnd w:id="139"/>
            <w:r w:rsidR="00931017">
              <w:rPr>
                <w:rFonts w:eastAsia="PMingLiU-ExtB"/>
                <w:lang w:val="fr-FR"/>
              </w:rPr>
              <w:t>.</w:t>
            </w:r>
          </w:p>
          <w:p w:rsidR="00084CA2" w:rsidRPr="0098490B" w:rsidRDefault="000824A6" w:rsidP="00931017">
            <w:pPr>
              <w:pStyle w:val="enumlev1"/>
              <w:spacing w:after="120"/>
              <w:rPr>
                <w:lang w:val="fr-FR"/>
              </w:rPr>
            </w:pPr>
            <w:r w:rsidRPr="0098490B">
              <w:rPr>
                <w:rFonts w:eastAsia="PMingLiU-ExtB"/>
                <w:lang w:val="fr-FR"/>
              </w:rPr>
              <w:t>–</w:t>
            </w:r>
            <w:r w:rsidRPr="0098490B">
              <w:rPr>
                <w:rFonts w:eastAsia="PMingLiU-ExtB"/>
                <w:lang w:val="fr-FR"/>
              </w:rPr>
              <w:tab/>
            </w:r>
            <w:bookmarkStart w:id="140" w:name="lt_pId373"/>
            <w:r w:rsidR="00931017">
              <w:rPr>
                <w:rFonts w:eastAsia="PMingLiU-ExtB"/>
                <w:lang w:val="fr-FR"/>
              </w:rPr>
              <w:t>L</w:t>
            </w:r>
            <w:r w:rsidR="00D54157" w:rsidRPr="0098490B">
              <w:rPr>
                <w:rFonts w:eastAsia="PMingLiU-ExtB"/>
                <w:lang w:val="fr-FR"/>
              </w:rPr>
              <w:t>'atelier régional sur le renforcement des capacités dans le contexte de la gouvernance internationale de l'Internet</w:t>
            </w:r>
            <w:r w:rsidR="0088025F" w:rsidRPr="0098490B">
              <w:rPr>
                <w:rFonts w:eastAsia="PMingLiU-ExtB"/>
                <w:lang w:val="fr-FR"/>
              </w:rPr>
              <w:t xml:space="preserve"> </w:t>
            </w:r>
            <w:r w:rsidR="00D54157" w:rsidRPr="0098490B">
              <w:rPr>
                <w:rFonts w:eastAsia="PMingLiU-ExtB"/>
                <w:lang w:val="fr-FR"/>
              </w:rPr>
              <w:t>s'est tenu au Brésil.</w:t>
            </w:r>
            <w:bookmarkEnd w:id="140"/>
          </w:p>
        </w:tc>
      </w:tr>
      <w:tr w:rsidR="000824A6" w:rsidRPr="0098490B" w:rsidTr="004268F3">
        <w:tc>
          <w:tcPr>
            <w:tcW w:w="3256" w:type="dxa"/>
            <w:tcBorders>
              <w:top w:val="single" w:sz="4" w:space="0" w:color="auto"/>
              <w:bottom w:val="single" w:sz="4" w:space="0" w:color="auto"/>
              <w:right w:val="single" w:sz="4" w:space="0" w:color="auto"/>
            </w:tcBorders>
          </w:tcPr>
          <w:p w:rsidR="000824A6" w:rsidRPr="0098490B" w:rsidRDefault="000824A6" w:rsidP="00263D6D">
            <w:pPr>
              <w:spacing w:before="0"/>
              <w:rPr>
                <w:i/>
                <w:iCs/>
                <w:szCs w:val="24"/>
                <w:lang w:val="fr-FR"/>
              </w:rPr>
            </w:pPr>
            <w:r w:rsidRPr="0098490B">
              <w:rPr>
                <w:i/>
                <w:iCs/>
                <w:szCs w:val="24"/>
                <w:lang w:val="fr-FR"/>
              </w:rPr>
              <w:lastRenderedPageBreak/>
              <w:t>CMDT</w:t>
            </w:r>
          </w:p>
        </w:tc>
        <w:tc>
          <w:tcPr>
            <w:tcW w:w="6373" w:type="dxa"/>
            <w:tcBorders>
              <w:top w:val="single" w:sz="4" w:space="0" w:color="auto"/>
              <w:left w:val="single" w:sz="4" w:space="0" w:color="auto"/>
              <w:bottom w:val="single" w:sz="4" w:space="0" w:color="auto"/>
            </w:tcBorders>
          </w:tcPr>
          <w:p w:rsidR="000824A6" w:rsidRPr="0098490B" w:rsidRDefault="000824A6" w:rsidP="00263D6D">
            <w:pPr>
              <w:spacing w:before="0"/>
              <w:rPr>
                <w:rFonts w:eastAsia="PMingLiU-ExtB"/>
                <w:szCs w:val="24"/>
                <w:lang w:val="fr-FR"/>
              </w:rPr>
            </w:pPr>
            <w:bookmarkStart w:id="141" w:name="lt_pId375"/>
            <w:r w:rsidRPr="0098490B">
              <w:rPr>
                <w:szCs w:val="24"/>
                <w:lang w:val="fr-FR"/>
              </w:rPr>
              <w:t>Résolutions 1, 5, 9, 15, 20, 21, 22, 30, 32, 33, 36, 40, 50, 59, 73, 77</w:t>
            </w:r>
            <w:bookmarkEnd w:id="141"/>
          </w:p>
        </w:tc>
      </w:tr>
      <w:tr w:rsidR="000824A6" w:rsidRPr="0098490B" w:rsidTr="004268F3">
        <w:trPr>
          <w:trHeight w:val="397"/>
        </w:trPr>
        <w:tc>
          <w:tcPr>
            <w:tcW w:w="3256" w:type="dxa"/>
            <w:tcBorders>
              <w:top w:val="single" w:sz="4" w:space="0" w:color="auto"/>
              <w:bottom w:val="single" w:sz="4" w:space="0" w:color="auto"/>
              <w:right w:val="single" w:sz="4" w:space="0" w:color="auto"/>
            </w:tcBorders>
          </w:tcPr>
          <w:p w:rsidR="000824A6" w:rsidRPr="0098490B" w:rsidRDefault="00D54157" w:rsidP="00263D6D">
            <w:pPr>
              <w:spacing w:before="0"/>
              <w:rPr>
                <w:i/>
                <w:iCs/>
                <w:lang w:val="fr-FR"/>
              </w:rPr>
            </w:pPr>
            <w:r w:rsidRPr="0098490B">
              <w:rPr>
                <w:i/>
                <w:iCs/>
                <w:lang w:val="fr-FR"/>
              </w:rPr>
              <w:t>Conférence de plénipotentiaires</w:t>
            </w:r>
          </w:p>
        </w:tc>
        <w:tc>
          <w:tcPr>
            <w:tcW w:w="6373" w:type="dxa"/>
            <w:tcBorders>
              <w:top w:val="single" w:sz="4" w:space="0" w:color="auto"/>
              <w:left w:val="single" w:sz="4" w:space="0" w:color="auto"/>
              <w:bottom w:val="single" w:sz="4" w:space="0" w:color="auto"/>
            </w:tcBorders>
          </w:tcPr>
          <w:p w:rsidR="000824A6" w:rsidRPr="0098490B" w:rsidRDefault="000824A6" w:rsidP="00263D6D">
            <w:pPr>
              <w:spacing w:before="0"/>
              <w:rPr>
                <w:rFonts w:eastAsia="PMingLiU-ExtB"/>
                <w:szCs w:val="24"/>
                <w:lang w:val="fr-FR"/>
              </w:rPr>
            </w:pPr>
            <w:bookmarkStart w:id="142" w:name="lt_pId377"/>
            <w:r w:rsidRPr="0098490B">
              <w:rPr>
                <w:rFonts w:eastAsia="PMingLiU-ExtB"/>
                <w:szCs w:val="24"/>
                <w:lang w:val="fr-FR"/>
              </w:rPr>
              <w:t>Décisions 5, 13</w:t>
            </w:r>
            <w:bookmarkEnd w:id="142"/>
          </w:p>
          <w:p w:rsidR="000824A6" w:rsidRPr="0098490B" w:rsidRDefault="000824A6" w:rsidP="00263D6D">
            <w:pPr>
              <w:spacing w:before="0"/>
              <w:rPr>
                <w:rFonts w:eastAsia="PMingLiU-ExtB"/>
                <w:szCs w:val="24"/>
                <w:lang w:val="fr-FR"/>
              </w:rPr>
            </w:pPr>
            <w:bookmarkStart w:id="143" w:name="lt_pId378"/>
            <w:r w:rsidRPr="0098490B">
              <w:rPr>
                <w:rFonts w:eastAsia="PMingLiU-ExtB"/>
                <w:szCs w:val="24"/>
                <w:lang w:val="fr-FR"/>
              </w:rPr>
              <w:t>Résolutions 25, 71, 72, 137, 139, 140, 176, 188, 189, 197, 199, 202</w:t>
            </w:r>
            <w:bookmarkEnd w:id="143"/>
          </w:p>
        </w:tc>
      </w:tr>
      <w:tr w:rsidR="000824A6" w:rsidRPr="0098490B" w:rsidTr="004268F3">
        <w:trPr>
          <w:trHeight w:val="397"/>
        </w:trPr>
        <w:tc>
          <w:tcPr>
            <w:tcW w:w="3256" w:type="dxa"/>
            <w:tcBorders>
              <w:top w:val="single" w:sz="4" w:space="0" w:color="auto"/>
              <w:bottom w:val="single" w:sz="4" w:space="0" w:color="auto"/>
              <w:right w:val="single" w:sz="4" w:space="0" w:color="auto"/>
            </w:tcBorders>
          </w:tcPr>
          <w:p w:rsidR="000824A6" w:rsidRPr="0098490B" w:rsidRDefault="000824A6" w:rsidP="00263D6D">
            <w:pPr>
              <w:spacing w:before="0"/>
              <w:rPr>
                <w:i/>
                <w:iCs/>
                <w:lang w:val="fr-FR"/>
              </w:rPr>
            </w:pPr>
            <w:r w:rsidRPr="0098490B">
              <w:rPr>
                <w:i/>
                <w:iCs/>
                <w:lang w:val="fr-FR"/>
              </w:rPr>
              <w:t>Conseil</w:t>
            </w:r>
          </w:p>
        </w:tc>
        <w:tc>
          <w:tcPr>
            <w:tcW w:w="6373" w:type="dxa"/>
            <w:tcBorders>
              <w:top w:val="single" w:sz="4" w:space="0" w:color="auto"/>
              <w:left w:val="single" w:sz="4" w:space="0" w:color="auto"/>
              <w:bottom w:val="single" w:sz="4" w:space="0" w:color="auto"/>
            </w:tcBorders>
          </w:tcPr>
          <w:p w:rsidR="000824A6" w:rsidRPr="0098490B" w:rsidRDefault="000824A6" w:rsidP="00263D6D">
            <w:pPr>
              <w:spacing w:before="0"/>
              <w:rPr>
                <w:szCs w:val="24"/>
                <w:lang w:val="fr-FR"/>
              </w:rPr>
            </w:pPr>
            <w:bookmarkStart w:id="144" w:name="lt_pId380"/>
            <w:r w:rsidRPr="0098490B">
              <w:rPr>
                <w:szCs w:val="24"/>
                <w:lang w:val="fr-FR"/>
              </w:rPr>
              <w:t>Résolution 1143</w:t>
            </w:r>
            <w:bookmarkEnd w:id="144"/>
          </w:p>
        </w:tc>
      </w:tr>
      <w:tr w:rsidR="000824A6" w:rsidRPr="0098490B" w:rsidTr="004268F3">
        <w:trPr>
          <w:trHeight w:val="397"/>
        </w:trPr>
        <w:tc>
          <w:tcPr>
            <w:tcW w:w="3256" w:type="dxa"/>
            <w:tcBorders>
              <w:top w:val="single" w:sz="4" w:space="0" w:color="auto"/>
              <w:bottom w:val="single" w:sz="4" w:space="0" w:color="auto"/>
              <w:right w:val="single" w:sz="4" w:space="0" w:color="auto"/>
            </w:tcBorders>
          </w:tcPr>
          <w:p w:rsidR="000824A6" w:rsidRPr="0098490B" w:rsidRDefault="000824A6" w:rsidP="00263D6D">
            <w:pPr>
              <w:spacing w:before="0"/>
              <w:rPr>
                <w:i/>
                <w:iCs/>
                <w:szCs w:val="24"/>
                <w:lang w:val="fr-FR"/>
              </w:rPr>
            </w:pPr>
            <w:r w:rsidRPr="0098490B">
              <w:rPr>
                <w:i/>
                <w:iCs/>
                <w:szCs w:val="24"/>
                <w:lang w:val="fr-FR"/>
              </w:rPr>
              <w:t>AMNT</w:t>
            </w:r>
          </w:p>
        </w:tc>
        <w:tc>
          <w:tcPr>
            <w:tcW w:w="6373" w:type="dxa"/>
            <w:tcBorders>
              <w:top w:val="single" w:sz="4" w:space="0" w:color="auto"/>
              <w:left w:val="single" w:sz="4" w:space="0" w:color="auto"/>
              <w:bottom w:val="single" w:sz="4" w:space="0" w:color="auto"/>
            </w:tcBorders>
          </w:tcPr>
          <w:p w:rsidR="000824A6" w:rsidRPr="0098490B" w:rsidRDefault="000824A6" w:rsidP="00263D6D">
            <w:pPr>
              <w:spacing w:before="0"/>
              <w:rPr>
                <w:szCs w:val="24"/>
                <w:lang w:val="fr-FR"/>
              </w:rPr>
            </w:pPr>
            <w:bookmarkStart w:id="145" w:name="lt_pId382"/>
            <w:r w:rsidRPr="0098490B">
              <w:rPr>
                <w:szCs w:val="24"/>
                <w:lang w:val="fr-FR"/>
              </w:rPr>
              <w:t>Résolutions 54, 59, 72</w:t>
            </w:r>
            <w:bookmarkEnd w:id="145"/>
          </w:p>
        </w:tc>
      </w:tr>
      <w:tr w:rsidR="000824A6" w:rsidRPr="0098490B" w:rsidTr="004268F3">
        <w:tc>
          <w:tcPr>
            <w:tcW w:w="3256" w:type="dxa"/>
            <w:tcBorders>
              <w:top w:val="single" w:sz="4" w:space="0" w:color="auto"/>
              <w:bottom w:val="single" w:sz="4" w:space="0" w:color="auto"/>
              <w:right w:val="single" w:sz="4" w:space="0" w:color="auto"/>
            </w:tcBorders>
          </w:tcPr>
          <w:p w:rsidR="000824A6" w:rsidRPr="0098490B" w:rsidRDefault="000824A6" w:rsidP="00263D6D">
            <w:pPr>
              <w:spacing w:before="0"/>
              <w:rPr>
                <w:i/>
                <w:iCs/>
                <w:szCs w:val="24"/>
                <w:lang w:val="fr-FR"/>
              </w:rPr>
            </w:pPr>
            <w:r w:rsidRPr="0098490B">
              <w:rPr>
                <w:i/>
                <w:iCs/>
                <w:lang w:val="fr-FR"/>
              </w:rPr>
              <w:t>Grandes orientations du SMSI</w:t>
            </w:r>
          </w:p>
        </w:tc>
        <w:tc>
          <w:tcPr>
            <w:tcW w:w="6373" w:type="dxa"/>
            <w:tcBorders>
              <w:top w:val="single" w:sz="4" w:space="0" w:color="auto"/>
              <w:left w:val="single" w:sz="4" w:space="0" w:color="auto"/>
              <w:bottom w:val="single" w:sz="4" w:space="0" w:color="auto"/>
            </w:tcBorders>
          </w:tcPr>
          <w:p w:rsidR="000824A6" w:rsidRPr="0098490B" w:rsidRDefault="00D54157" w:rsidP="00263D6D">
            <w:pPr>
              <w:spacing w:before="0"/>
              <w:rPr>
                <w:szCs w:val="24"/>
                <w:lang w:val="fr-FR"/>
              </w:rPr>
            </w:pPr>
            <w:bookmarkStart w:id="146" w:name="lt_pId384"/>
            <w:r w:rsidRPr="0098490B">
              <w:rPr>
                <w:color w:val="000000"/>
                <w:lang w:val="fr-FR"/>
              </w:rPr>
              <w:t xml:space="preserve">Grande orientation C4 du SMSI figurant dans le Plan d'action de Genève et paragraphes </w:t>
            </w:r>
            <w:r w:rsidR="000824A6" w:rsidRPr="0098490B">
              <w:rPr>
                <w:szCs w:val="24"/>
                <w:lang w:val="fr-FR"/>
              </w:rPr>
              <w:t xml:space="preserve">8, 22, 23a, 26g, 49, 51, 65, 72h, 86, 87, 90c, d, f, 95, 114b </w:t>
            </w:r>
            <w:r w:rsidRPr="0098490B">
              <w:rPr>
                <w:color w:val="000000"/>
                <w:lang w:val="fr-FR"/>
              </w:rPr>
              <w:t>de l'Agenda de Tunis pour la société de l'information</w:t>
            </w:r>
            <w:bookmarkEnd w:id="146"/>
          </w:p>
        </w:tc>
      </w:tr>
      <w:tr w:rsidR="000824A6" w:rsidRPr="0098490B" w:rsidTr="004268F3">
        <w:tc>
          <w:tcPr>
            <w:tcW w:w="3256" w:type="dxa"/>
            <w:tcBorders>
              <w:top w:val="single" w:sz="4" w:space="0" w:color="auto"/>
              <w:bottom w:val="single" w:sz="4" w:space="0" w:color="auto"/>
              <w:right w:val="single" w:sz="4" w:space="0" w:color="auto"/>
            </w:tcBorders>
          </w:tcPr>
          <w:p w:rsidR="000824A6" w:rsidRPr="0098490B" w:rsidRDefault="000824A6" w:rsidP="00263D6D">
            <w:pPr>
              <w:spacing w:before="0"/>
              <w:rPr>
                <w:i/>
                <w:iCs/>
                <w:szCs w:val="24"/>
                <w:lang w:val="fr-FR"/>
              </w:rPr>
            </w:pPr>
            <w:r w:rsidRPr="0098490B">
              <w:rPr>
                <w:i/>
                <w:iCs/>
                <w:lang w:val="fr-FR"/>
              </w:rPr>
              <w:t>Contribution aux cibles des O</w:t>
            </w:r>
            <w:r w:rsidR="00D54157" w:rsidRPr="0098490B">
              <w:rPr>
                <w:i/>
                <w:iCs/>
                <w:lang w:val="fr-FR"/>
              </w:rPr>
              <w:t>bjectifs de développement durable</w:t>
            </w:r>
          </w:p>
        </w:tc>
        <w:tc>
          <w:tcPr>
            <w:tcW w:w="6373" w:type="dxa"/>
            <w:tcBorders>
              <w:top w:val="single" w:sz="4" w:space="0" w:color="auto"/>
              <w:left w:val="single" w:sz="4" w:space="0" w:color="auto"/>
              <w:bottom w:val="single" w:sz="4" w:space="0" w:color="auto"/>
            </w:tcBorders>
          </w:tcPr>
          <w:p w:rsidR="000824A6" w:rsidRPr="0098490B" w:rsidRDefault="00D54157" w:rsidP="0098490B">
            <w:pPr>
              <w:spacing w:before="0"/>
              <w:rPr>
                <w:szCs w:val="24"/>
                <w:lang w:val="fr-FR"/>
              </w:rPr>
            </w:pPr>
            <w:bookmarkStart w:id="147" w:name="lt_pId386"/>
            <w:r w:rsidRPr="0098490B">
              <w:rPr>
                <w:szCs w:val="24"/>
                <w:lang w:val="fr-FR"/>
              </w:rPr>
              <w:t>Objectif</w:t>
            </w:r>
            <w:r w:rsidR="000B71C3" w:rsidRPr="0098490B">
              <w:rPr>
                <w:szCs w:val="24"/>
                <w:lang w:val="fr-FR"/>
              </w:rPr>
              <w:t>s</w:t>
            </w:r>
            <w:r w:rsidRPr="0098490B">
              <w:rPr>
                <w:szCs w:val="24"/>
                <w:lang w:val="fr-FR"/>
              </w:rPr>
              <w:t xml:space="preserve"> de développement durable</w:t>
            </w:r>
            <w:r w:rsidR="000824A6" w:rsidRPr="0098490B">
              <w:rPr>
                <w:szCs w:val="24"/>
                <w:lang w:val="fr-FR"/>
              </w:rPr>
              <w:t>:</w:t>
            </w:r>
            <w:bookmarkEnd w:id="147"/>
            <w:r w:rsidR="000824A6" w:rsidRPr="0098490B">
              <w:rPr>
                <w:szCs w:val="24"/>
                <w:lang w:val="fr-FR"/>
              </w:rPr>
              <w:t xml:space="preserve"> </w:t>
            </w:r>
            <w:bookmarkStart w:id="148" w:name="lt_pId387"/>
            <w:r w:rsidR="000824A6" w:rsidRPr="0098490B">
              <w:rPr>
                <w:szCs w:val="24"/>
                <w:lang w:val="fr-FR"/>
              </w:rPr>
              <w:t>1 (cible 1.b), 2 (cible 2.3), 3 (cibles 3.7</w:t>
            </w:r>
            <w:bookmarkEnd w:id="148"/>
            <w:r w:rsidR="0098490B">
              <w:rPr>
                <w:szCs w:val="24"/>
                <w:lang w:val="fr-FR"/>
              </w:rPr>
              <w:t>,</w:t>
            </w:r>
            <w:r w:rsidR="000824A6" w:rsidRPr="0098490B">
              <w:rPr>
                <w:szCs w:val="24"/>
                <w:lang w:val="fr-FR"/>
              </w:rPr>
              <w:t xml:space="preserve"> </w:t>
            </w:r>
            <w:bookmarkStart w:id="149" w:name="lt_pId388"/>
            <w:r w:rsidR="000824A6" w:rsidRPr="0098490B">
              <w:rPr>
                <w:szCs w:val="24"/>
                <w:lang w:val="fr-FR"/>
              </w:rPr>
              <w:t>3.b</w:t>
            </w:r>
            <w:r w:rsidR="0098490B">
              <w:rPr>
                <w:szCs w:val="24"/>
                <w:lang w:val="fr-FR"/>
              </w:rPr>
              <w:t>, 3.d)</w:t>
            </w:r>
            <w:r w:rsidR="000824A6" w:rsidRPr="0098490B">
              <w:rPr>
                <w:szCs w:val="24"/>
                <w:lang w:val="fr-FR"/>
              </w:rPr>
              <w:t>, 4 (cibles 4.4, 4.7), 5 (cibles 5.5, 5.b), 6 (</w:t>
            </w:r>
            <w:r w:rsidR="00B31F90" w:rsidRPr="0098490B">
              <w:rPr>
                <w:szCs w:val="24"/>
                <w:lang w:val="fr-FR"/>
              </w:rPr>
              <w:t>cible</w:t>
            </w:r>
            <w:r w:rsidR="000824A6" w:rsidRPr="0098490B">
              <w:rPr>
                <w:szCs w:val="24"/>
                <w:lang w:val="fr-FR"/>
              </w:rPr>
              <w:t xml:space="preserve"> 6.a), 8 (</w:t>
            </w:r>
            <w:r w:rsidR="00B31F90" w:rsidRPr="0098490B">
              <w:rPr>
                <w:szCs w:val="24"/>
                <w:lang w:val="fr-FR"/>
              </w:rPr>
              <w:t>cible</w:t>
            </w:r>
            <w:r w:rsidR="000824A6" w:rsidRPr="0098490B">
              <w:rPr>
                <w:szCs w:val="24"/>
                <w:lang w:val="fr-FR"/>
              </w:rPr>
              <w:t xml:space="preserve"> 8.2), 9 (cibles 9.1, 9.b, 9.c), 12 (cibles 12.7, 12.8, 12.a, 12.b), 13 (cibles 13.2, 13.3, 13.b), 14 (cible 14.a), 16 (cible 16.a), 17 (cible</w:t>
            </w:r>
            <w:r w:rsidR="00B31F90" w:rsidRPr="0098490B">
              <w:rPr>
                <w:szCs w:val="24"/>
                <w:lang w:val="fr-FR"/>
              </w:rPr>
              <w:t>s</w:t>
            </w:r>
            <w:r w:rsidR="000824A6" w:rsidRPr="0098490B">
              <w:rPr>
                <w:szCs w:val="24"/>
                <w:lang w:val="fr-FR"/>
              </w:rPr>
              <w:t xml:space="preserve"> 17.9, 17.18)</w:t>
            </w:r>
            <w:bookmarkEnd w:id="149"/>
          </w:p>
        </w:tc>
      </w:tr>
    </w:tbl>
    <w:p w:rsidR="00084CA2" w:rsidRPr="0098490B" w:rsidRDefault="00084CA2" w:rsidP="00263D6D">
      <w:pPr>
        <w:pStyle w:val="Heading2"/>
        <w:spacing w:after="120"/>
        <w:rPr>
          <w:lang w:val="fr-FR"/>
        </w:rPr>
      </w:pPr>
      <w:bookmarkStart w:id="150" w:name="_Toc467807703"/>
      <w:bookmarkStart w:id="151" w:name="_Toc468087102"/>
      <w:r w:rsidRPr="0098490B">
        <w:rPr>
          <w:lang w:val="fr-FR"/>
        </w:rPr>
        <w:t>4.2</w:t>
      </w:r>
      <w:r w:rsidRPr="0098490B">
        <w:rPr>
          <w:lang w:val="fr-FR"/>
        </w:rPr>
        <w:tab/>
        <w:t>Statistiques sur les télécommunications/TIC</w:t>
      </w:r>
      <w:bookmarkEnd w:id="150"/>
      <w:bookmarkEnd w:id="151"/>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084CA2" w:rsidRPr="0098490B" w:rsidTr="004268F3">
        <w:tc>
          <w:tcPr>
            <w:tcW w:w="9629" w:type="dxa"/>
            <w:gridSpan w:val="2"/>
            <w:tcBorders>
              <w:bottom w:val="single" w:sz="4" w:space="0" w:color="auto"/>
            </w:tcBorders>
          </w:tcPr>
          <w:p w:rsidR="00084CA2" w:rsidRPr="0098490B" w:rsidRDefault="00084CA2" w:rsidP="00784D97">
            <w:pPr>
              <w:rPr>
                <w:lang w:val="fr-FR"/>
              </w:rPr>
            </w:pPr>
            <w:r w:rsidRPr="0098490B">
              <w:rPr>
                <w:lang w:val="fr-FR"/>
              </w:rPr>
              <w:t>Le BDT dispose de l'ensemble le plus complet au monde de don</w:t>
            </w:r>
            <w:r w:rsidR="00C057A3">
              <w:rPr>
                <w:lang w:val="fr-FR"/>
              </w:rPr>
              <w:t>nées et de statistiques sur les </w:t>
            </w:r>
            <w:r w:rsidRPr="0098490B">
              <w:rPr>
                <w:lang w:val="fr-FR"/>
              </w:rPr>
              <w:t>TIC dans divers domaines: infrastructure des TIC, accès aux TIC et leur utilisation, politiques et réglementation et questions relatives aux coûts et aux politiques tarifaires. Les travaux de l'UIT relevant de ce produit ont permis d'améliorer l'accessibilité et la diffusion de bases de données statistiques sur les TIC comparables à l'échelle internationale et publiées en temps opportun.</w:t>
            </w:r>
          </w:p>
          <w:p w:rsidR="00D87F72" w:rsidRPr="0098490B" w:rsidRDefault="00405DA3" w:rsidP="00105822">
            <w:pPr>
              <w:rPr>
                <w:lang w:val="fr-FR"/>
              </w:rPr>
            </w:pPr>
            <w:bookmarkStart w:id="152" w:name="lt_pId393"/>
            <w:r w:rsidRPr="0098490B">
              <w:rPr>
                <w:szCs w:val="24"/>
                <w:lang w:val="fr-FR"/>
              </w:rPr>
              <w:t>Le 15</w:t>
            </w:r>
            <w:r w:rsidR="00F400AB" w:rsidRPr="0098490B">
              <w:rPr>
                <w:szCs w:val="24"/>
                <w:lang w:val="fr-FR"/>
              </w:rPr>
              <w:t>ème</w:t>
            </w:r>
            <w:r w:rsidRPr="0098490B">
              <w:rPr>
                <w:szCs w:val="24"/>
                <w:lang w:val="fr-FR"/>
              </w:rPr>
              <w:t xml:space="preserve"> </w:t>
            </w:r>
            <w:r w:rsidRPr="0098490B">
              <w:rPr>
                <w:color w:val="000000"/>
                <w:lang w:val="fr-FR"/>
              </w:rPr>
              <w:t>Colloque sur les indicateurs des télécommunications/TIC dans le monde (WTIS) a eu lieu en Tunisie au mois de novembre 2017. Dans le cadre de l'édition de 2017 du WTIS, les participants ont pris part</w:t>
            </w:r>
            <w:r w:rsidR="00F400AB" w:rsidRPr="0098490B">
              <w:rPr>
                <w:color w:val="000000"/>
                <w:lang w:val="fr-FR"/>
              </w:rPr>
              <w:t>,</w:t>
            </w:r>
            <w:r w:rsidRPr="0098490B">
              <w:rPr>
                <w:color w:val="000000"/>
                <w:lang w:val="fr-FR"/>
              </w:rPr>
              <w:t xml:space="preserve"> </w:t>
            </w:r>
            <w:r w:rsidR="00F400AB" w:rsidRPr="0098490B">
              <w:rPr>
                <w:color w:val="000000"/>
                <w:lang w:val="fr-FR"/>
              </w:rPr>
              <w:t xml:space="preserve">en séance plénière, </w:t>
            </w:r>
            <w:r w:rsidRPr="0098490B">
              <w:rPr>
                <w:color w:val="000000"/>
                <w:lang w:val="fr-FR"/>
              </w:rPr>
              <w:t xml:space="preserve">à des discussions de haut niveau sur les données </w:t>
            </w:r>
            <w:r w:rsidR="00FA54C8" w:rsidRPr="0098490B">
              <w:rPr>
                <w:color w:val="000000"/>
                <w:lang w:val="fr-FR"/>
              </w:rPr>
              <w:t>sur les TIC pour l'investissement et sur les tendance</w:t>
            </w:r>
            <w:r w:rsidR="00105822" w:rsidRPr="0098490B">
              <w:rPr>
                <w:color w:val="000000"/>
                <w:lang w:val="fr-FR"/>
              </w:rPr>
              <w:t>s</w:t>
            </w:r>
            <w:r w:rsidR="00FA54C8" w:rsidRPr="0098490B">
              <w:rPr>
                <w:color w:val="000000"/>
                <w:lang w:val="fr-FR"/>
              </w:rPr>
              <w:t xml:space="preserve"> émergentes dans le domaine des TIC concernant l'intelligence artificielle, les mégadonnées, l'informatique en nuage et l'Internet des objets. Les participants ont aussi eu l'occasion de suivre une sélection de démonstrations, de tutoriels et de discussions éclair sur les outils de visualisation des données et d'analyse des mégadonnées, la </w:t>
            </w:r>
            <w:r w:rsidR="00A13BDA" w:rsidRPr="0098490B">
              <w:rPr>
                <w:color w:val="000000"/>
                <w:lang w:val="fr-FR"/>
              </w:rPr>
              <w:t>production participative</w:t>
            </w:r>
            <w:r w:rsidR="00306CA1" w:rsidRPr="0098490B">
              <w:rPr>
                <w:color w:val="000000"/>
                <w:lang w:val="fr-FR"/>
              </w:rPr>
              <w:t xml:space="preserve">, les réseaux de prochaine génération et </w:t>
            </w:r>
            <w:r w:rsidR="00105822" w:rsidRPr="0098490B">
              <w:rPr>
                <w:color w:val="000000"/>
                <w:lang w:val="fr-FR"/>
              </w:rPr>
              <w:t xml:space="preserve">le </w:t>
            </w:r>
            <w:r w:rsidR="00306CA1" w:rsidRPr="0098490B">
              <w:rPr>
                <w:color w:val="000000"/>
                <w:lang w:val="fr-FR"/>
              </w:rPr>
              <w:t xml:space="preserve">suivi de </w:t>
            </w:r>
            <w:r w:rsidR="00306CA1" w:rsidRPr="0098490B">
              <w:rPr>
                <w:color w:val="000000"/>
                <w:lang w:val="fr-FR"/>
              </w:rPr>
              <w:lastRenderedPageBreak/>
              <w:t xml:space="preserve">l'économie numérique. La dernière édition du rapport de l'UIT intitulé </w:t>
            </w:r>
            <w:r w:rsidR="004707F6">
              <w:rPr>
                <w:color w:val="000000"/>
                <w:lang w:val="fr-FR"/>
              </w:rPr>
              <w:t>"</w:t>
            </w:r>
            <w:r w:rsidR="00306CA1" w:rsidRPr="0098490B">
              <w:rPr>
                <w:color w:val="000000"/>
                <w:lang w:val="fr-FR"/>
              </w:rPr>
              <w:t>Mesurer la société de l'information</w:t>
            </w:r>
            <w:r w:rsidR="004707F6">
              <w:rPr>
                <w:color w:val="000000"/>
                <w:lang w:val="fr-FR"/>
              </w:rPr>
              <w:t>"</w:t>
            </w:r>
            <w:r w:rsidR="00306CA1" w:rsidRPr="0098490B">
              <w:rPr>
                <w:color w:val="000000"/>
                <w:lang w:val="fr-FR"/>
              </w:rPr>
              <w:t xml:space="preserve"> a été </w:t>
            </w:r>
            <w:r w:rsidR="00A13BDA" w:rsidRPr="0098490B">
              <w:rPr>
                <w:color w:val="000000"/>
                <w:lang w:val="fr-FR"/>
              </w:rPr>
              <w:t>présentée</w:t>
            </w:r>
            <w:r w:rsidR="00306CA1" w:rsidRPr="0098490B">
              <w:rPr>
                <w:color w:val="000000"/>
                <w:lang w:val="fr-FR"/>
              </w:rPr>
              <w:t xml:space="preserve"> au cours du WTIS-17. Ce rapport contient les </w:t>
            </w:r>
            <w:r w:rsidR="00AB503D" w:rsidRPr="0098490B">
              <w:rPr>
                <w:color w:val="000000"/>
                <w:lang w:val="fr-FR"/>
              </w:rPr>
              <w:t>derniers résultats de l'indice de développement des TIC (IDI), qui est l'indice de référence au niveau international qui enregistre le niveau de développement des TIC dans plus de 170 économies dans le monde.</w:t>
            </w:r>
            <w:bookmarkEnd w:id="152"/>
            <w:r w:rsidR="00D87F72" w:rsidRPr="0098490B">
              <w:rPr>
                <w:szCs w:val="24"/>
                <w:lang w:val="fr-FR"/>
              </w:rPr>
              <w:t xml:space="preserve"> </w:t>
            </w:r>
            <w:r w:rsidR="00AB503D" w:rsidRPr="0098490B">
              <w:rPr>
                <w:lang w:val="fr-FR"/>
              </w:rPr>
              <w:t>Ce rapport</w:t>
            </w:r>
            <w:r w:rsidR="00D87F72" w:rsidRPr="0098490B">
              <w:rPr>
                <w:lang w:val="fr-FR"/>
              </w:rPr>
              <w:t xml:space="preserve"> a </w:t>
            </w:r>
            <w:r w:rsidR="000507A7" w:rsidRPr="0098490B">
              <w:rPr>
                <w:lang w:val="fr-FR"/>
              </w:rPr>
              <w:t xml:space="preserve">aidé à </w:t>
            </w:r>
            <w:r w:rsidR="00D87F72" w:rsidRPr="0098490B">
              <w:rPr>
                <w:lang w:val="fr-FR"/>
              </w:rPr>
              <w:t xml:space="preserve">enrichir les connaissances des décideurs, des investisseurs et des </w:t>
            </w:r>
            <w:r w:rsidR="00A13BDA" w:rsidRPr="0098490B">
              <w:rPr>
                <w:lang w:val="fr-FR"/>
              </w:rPr>
              <w:t xml:space="preserve">entrepreneurs </w:t>
            </w:r>
            <w:r w:rsidR="00D87F72" w:rsidRPr="0098490B">
              <w:rPr>
                <w:lang w:val="fr-FR"/>
              </w:rPr>
              <w:t>sur les tendances actuelles du marché des TIC, en leur fournissant une analyse précise de l'évolution des télécommunications/TIC dans le monde</w:t>
            </w:r>
            <w:r w:rsidR="000507A7" w:rsidRPr="0098490B">
              <w:rPr>
                <w:lang w:val="fr-FR"/>
              </w:rPr>
              <w:t xml:space="preserve"> </w:t>
            </w:r>
            <w:r w:rsidR="000507A7" w:rsidRPr="0098490B">
              <w:rPr>
                <w:color w:val="000000"/>
                <w:lang w:val="fr-FR"/>
              </w:rPr>
              <w:t>et en leur permettant de prendre des décisions fondées sur des données probantes.</w:t>
            </w:r>
          </w:p>
          <w:p w:rsidR="00D87F72" w:rsidRPr="0098490B" w:rsidRDefault="00D87F72" w:rsidP="00784D97">
            <w:pPr>
              <w:rPr>
                <w:lang w:val="fr-FR"/>
              </w:rPr>
            </w:pPr>
            <w:r w:rsidRPr="0098490B">
              <w:rPr>
                <w:lang w:val="fr-FR"/>
              </w:rPr>
              <w:t>En 2017, un certain nombre de produits statistiques ont été mis à disposition afin d'améliorer l'information et d'enrichir les connaissances des décideurs et des autres parties prenantes sur les tendances actuelles et l'évolution des télécommunications/TIC sur la bas</w:t>
            </w:r>
            <w:r w:rsidR="00105822" w:rsidRPr="0098490B">
              <w:rPr>
                <w:lang w:val="fr-FR"/>
              </w:rPr>
              <w:t xml:space="preserve">e de statistiques de qualité, </w:t>
            </w:r>
            <w:r w:rsidRPr="0098490B">
              <w:rPr>
                <w:lang w:val="fr-FR"/>
              </w:rPr>
              <w:t>comparables au niveau international</w:t>
            </w:r>
            <w:r w:rsidR="000507A7" w:rsidRPr="0098490B">
              <w:rPr>
                <w:lang w:val="fr-FR"/>
              </w:rPr>
              <w:t>.</w:t>
            </w:r>
          </w:p>
          <w:p w:rsidR="00DB3425" w:rsidRPr="0098490B" w:rsidRDefault="00D87F72" w:rsidP="00784D97">
            <w:pPr>
              <w:pStyle w:val="enumlev1"/>
              <w:rPr>
                <w:rFonts w:eastAsia="PMingLiU-ExtB"/>
                <w:lang w:val="fr-FR"/>
              </w:rPr>
            </w:pPr>
            <w:r w:rsidRPr="0098490B">
              <w:rPr>
                <w:rFonts w:eastAsia="PMingLiU-ExtB"/>
                <w:lang w:val="fr-FR"/>
              </w:rPr>
              <w:t>–</w:t>
            </w:r>
            <w:r w:rsidRPr="0098490B">
              <w:rPr>
                <w:rFonts w:eastAsia="PMingLiU-ExtB"/>
                <w:lang w:val="fr-FR"/>
              </w:rPr>
              <w:tab/>
            </w:r>
            <w:bookmarkStart w:id="153" w:name="lt_pId399"/>
            <w:r w:rsidR="00E24998" w:rsidRPr="0098490B">
              <w:rPr>
                <w:rFonts w:eastAsia="PMingLiU-ExtB"/>
                <w:lang w:val="fr-FR"/>
              </w:rPr>
              <w:t xml:space="preserve">La dernière édition </w:t>
            </w:r>
            <w:r w:rsidR="00DB3425" w:rsidRPr="0098490B">
              <w:rPr>
                <w:rFonts w:eastAsia="PMingLiU-ExtB"/>
                <w:lang w:val="fr-FR"/>
              </w:rPr>
              <w:t xml:space="preserve">de </w:t>
            </w:r>
            <w:r w:rsidR="00DB3425" w:rsidRPr="0098490B">
              <w:rPr>
                <w:color w:val="000000"/>
                <w:lang w:val="fr-FR"/>
              </w:rPr>
              <w:t xml:space="preserve">la base de données de l'UIT sur les indicateurs des télécommunications/TIC dans le monde et </w:t>
            </w:r>
            <w:r w:rsidR="00D43479" w:rsidRPr="0098490B">
              <w:rPr>
                <w:color w:val="000000"/>
                <w:lang w:val="fr-FR"/>
              </w:rPr>
              <w:t>la version 2017 de la publication conjointe de</w:t>
            </w:r>
            <w:r w:rsidR="00DB3425" w:rsidRPr="0098490B">
              <w:rPr>
                <w:color w:val="000000"/>
                <w:lang w:val="fr-FR"/>
              </w:rPr>
              <w:t xml:space="preserve"> </w:t>
            </w:r>
            <w:r w:rsidR="00D43479" w:rsidRPr="0098490B">
              <w:rPr>
                <w:color w:val="000000"/>
                <w:lang w:val="fr-FR"/>
              </w:rPr>
              <w:t xml:space="preserve">l'UIT et de la Banque mondiale intitulée </w:t>
            </w:r>
            <w:r w:rsidR="00DB3425" w:rsidRPr="0098490B">
              <w:rPr>
                <w:color w:val="000000"/>
                <w:lang w:val="fr-FR"/>
              </w:rPr>
              <w:t>"</w:t>
            </w:r>
            <w:r w:rsidR="00D43479" w:rsidRPr="0098490B">
              <w:rPr>
                <w:szCs w:val="24"/>
                <w:lang w:val="fr-FR"/>
              </w:rPr>
              <w:t>The Little Data Book on Information and Communication Technology" (p</w:t>
            </w:r>
            <w:r w:rsidR="00DB3425" w:rsidRPr="0098490B">
              <w:rPr>
                <w:color w:val="000000"/>
                <w:lang w:val="fr-FR"/>
              </w:rPr>
              <w:t>etit recueil de données sur les TIC</w:t>
            </w:r>
            <w:r w:rsidR="00D43479" w:rsidRPr="0098490B">
              <w:rPr>
                <w:color w:val="000000"/>
                <w:lang w:val="fr-FR"/>
              </w:rPr>
              <w:t>)</w:t>
            </w:r>
            <w:r w:rsidR="00DB3425" w:rsidRPr="0098490B">
              <w:rPr>
                <w:color w:val="000000"/>
                <w:lang w:val="fr-FR"/>
              </w:rPr>
              <w:t xml:space="preserve"> </w:t>
            </w:r>
            <w:r w:rsidR="00E24998" w:rsidRPr="0098490B">
              <w:rPr>
                <w:color w:val="000000"/>
                <w:lang w:val="fr-FR"/>
              </w:rPr>
              <w:t>ont été publié</w:t>
            </w:r>
            <w:r w:rsidR="00D43479" w:rsidRPr="0098490B">
              <w:rPr>
                <w:color w:val="000000"/>
                <w:lang w:val="fr-FR"/>
              </w:rPr>
              <w:t>e</w:t>
            </w:r>
            <w:r w:rsidR="00DB3425" w:rsidRPr="0098490B">
              <w:rPr>
                <w:color w:val="000000"/>
                <w:lang w:val="fr-FR"/>
              </w:rPr>
              <w:t>s respectivement en janvier et en juin 2017. Les données fournies permettront aux utilisateurs de prendre des décisions éclairées dans le domaine des TIC, reposant sur des statistiques comparables au niveau international.</w:t>
            </w:r>
          </w:p>
          <w:bookmarkEnd w:id="153"/>
          <w:p w:rsidR="00D87F72" w:rsidRPr="0098490B" w:rsidRDefault="00D87F72" w:rsidP="00784D97">
            <w:pPr>
              <w:pStyle w:val="enumlev1"/>
              <w:rPr>
                <w:rFonts w:eastAsia="PMingLiU-ExtB"/>
                <w:lang w:val="fr-FR"/>
              </w:rPr>
            </w:pPr>
            <w:r w:rsidRPr="0098490B">
              <w:rPr>
                <w:rFonts w:eastAsia="PMingLiU-ExtB"/>
                <w:lang w:val="fr-FR"/>
              </w:rPr>
              <w:t>–</w:t>
            </w:r>
            <w:r w:rsidRPr="0098490B">
              <w:rPr>
                <w:rFonts w:eastAsia="PMingLiU-ExtB"/>
                <w:lang w:val="fr-FR"/>
              </w:rPr>
              <w:tab/>
            </w:r>
            <w:bookmarkStart w:id="154" w:name="lt_pId401"/>
            <w:r w:rsidR="00DB3425" w:rsidRPr="0098490B">
              <w:rPr>
                <w:rFonts w:eastAsia="PMingLiU-ExtB"/>
                <w:lang w:val="fr-FR"/>
              </w:rPr>
              <w:t xml:space="preserve">Les rapports </w:t>
            </w:r>
            <w:r w:rsidR="00DB3425" w:rsidRPr="0098490B">
              <w:rPr>
                <w:color w:val="000000"/>
                <w:lang w:val="fr-FR"/>
              </w:rPr>
              <w:t>concernant les tendances et l</w:t>
            </w:r>
            <w:r w:rsidR="001231C3" w:rsidRPr="0098490B">
              <w:rPr>
                <w:color w:val="000000"/>
                <w:lang w:val="fr-FR"/>
              </w:rPr>
              <w:t>'</w:t>
            </w:r>
            <w:r w:rsidR="00DB3425" w:rsidRPr="0098490B">
              <w:rPr>
                <w:color w:val="000000"/>
                <w:lang w:val="fr-FR"/>
              </w:rPr>
              <w:t xml:space="preserve">évolution </w:t>
            </w:r>
            <w:r w:rsidR="00AE2180" w:rsidRPr="0098490B">
              <w:rPr>
                <w:color w:val="000000"/>
                <w:lang w:val="fr-FR"/>
              </w:rPr>
              <w:t xml:space="preserve">du secteur des </w:t>
            </w:r>
            <w:r w:rsidR="00DB3425" w:rsidRPr="0098490B">
              <w:rPr>
                <w:color w:val="000000"/>
                <w:lang w:val="fr-FR"/>
              </w:rPr>
              <w:t xml:space="preserve">TIC pour les régions Amériques, Asie-Pacifique et Europe ont été achevés et constituent une contribution </w:t>
            </w:r>
            <w:r w:rsidR="005533F0" w:rsidRPr="0098490B">
              <w:rPr>
                <w:color w:val="000000"/>
                <w:lang w:val="fr-FR"/>
              </w:rPr>
              <w:t>aux réunions préparatoires régionales (RPM). Les rapports ont permis aux membres de l'UIT de connaître les tendances en matière de TIC dans leurs régions,</w:t>
            </w:r>
            <w:r w:rsidR="00AE2180" w:rsidRPr="0098490B">
              <w:rPr>
                <w:color w:val="000000"/>
                <w:lang w:val="fr-FR"/>
              </w:rPr>
              <w:t xml:space="preserve"> offrant ainsi</w:t>
            </w:r>
            <w:r w:rsidR="005533F0" w:rsidRPr="0098490B">
              <w:rPr>
                <w:color w:val="000000"/>
                <w:lang w:val="fr-FR"/>
              </w:rPr>
              <w:t xml:space="preserve"> un point de départ </w:t>
            </w:r>
            <w:r w:rsidR="00AE2180" w:rsidRPr="0098490B">
              <w:rPr>
                <w:color w:val="000000"/>
                <w:lang w:val="fr-FR"/>
              </w:rPr>
              <w:t>aux</w:t>
            </w:r>
            <w:r w:rsidR="005533F0" w:rsidRPr="0098490B">
              <w:rPr>
                <w:color w:val="000000"/>
                <w:lang w:val="fr-FR"/>
              </w:rPr>
              <w:t xml:space="preserve"> débats </w:t>
            </w:r>
            <w:r w:rsidR="00AE2180" w:rsidRPr="0098490B">
              <w:rPr>
                <w:color w:val="000000"/>
                <w:lang w:val="fr-FR"/>
              </w:rPr>
              <w:t xml:space="preserve">tenus </w:t>
            </w:r>
            <w:r w:rsidR="005533F0" w:rsidRPr="0098490B">
              <w:rPr>
                <w:color w:val="000000"/>
                <w:lang w:val="fr-FR"/>
              </w:rPr>
              <w:t>lors des RPM.</w:t>
            </w:r>
            <w:bookmarkEnd w:id="154"/>
          </w:p>
          <w:p w:rsidR="00D87F72" w:rsidRPr="0098490B" w:rsidRDefault="00D87F72" w:rsidP="00C057A3">
            <w:pPr>
              <w:pStyle w:val="enumlev1"/>
              <w:rPr>
                <w:lang w:val="fr-FR"/>
              </w:rPr>
            </w:pPr>
            <w:r w:rsidRPr="0098490B">
              <w:rPr>
                <w:rFonts w:eastAsia="PMingLiU-ExtB"/>
                <w:lang w:val="fr-FR"/>
              </w:rPr>
              <w:t>–</w:t>
            </w:r>
            <w:r w:rsidRPr="0098490B">
              <w:rPr>
                <w:rFonts w:eastAsia="PMingLiU-ExtB"/>
                <w:lang w:val="fr-FR"/>
              </w:rPr>
              <w:tab/>
            </w:r>
            <w:bookmarkStart w:id="155" w:name="lt_pId403"/>
            <w:r w:rsidR="00AE2180" w:rsidRPr="0098490B">
              <w:rPr>
                <w:rFonts w:eastAsia="PMingLiU-ExtB"/>
                <w:lang w:val="fr-FR"/>
              </w:rPr>
              <w:t>La version longue du</w:t>
            </w:r>
            <w:r w:rsidR="005533F0" w:rsidRPr="0098490B">
              <w:rPr>
                <w:rFonts w:eastAsia="PMingLiU-ExtB"/>
                <w:lang w:val="fr-FR"/>
              </w:rPr>
              <w:t xml:space="preserve"> questionnaire 2017 sur la collecte des données a été achevé</w:t>
            </w:r>
            <w:r w:rsidR="00105822" w:rsidRPr="0098490B">
              <w:rPr>
                <w:rFonts w:eastAsia="PMingLiU-ExtB"/>
                <w:lang w:val="fr-FR"/>
              </w:rPr>
              <w:t>e</w:t>
            </w:r>
            <w:r w:rsidR="005533F0" w:rsidRPr="0098490B">
              <w:rPr>
                <w:rFonts w:eastAsia="PMingLiU-ExtB"/>
                <w:lang w:val="fr-FR"/>
              </w:rPr>
              <w:t xml:space="preserve">. Quelque 150 pays ont répondu </w:t>
            </w:r>
            <w:r w:rsidR="00AE2180" w:rsidRPr="0098490B">
              <w:rPr>
                <w:rFonts w:eastAsia="PMingLiU-ExtB"/>
                <w:lang w:val="fr-FR"/>
              </w:rPr>
              <w:t>à la version longue du</w:t>
            </w:r>
            <w:r w:rsidR="005533F0" w:rsidRPr="0098490B">
              <w:rPr>
                <w:rFonts w:eastAsia="PMingLiU-ExtB"/>
                <w:lang w:val="fr-FR"/>
              </w:rPr>
              <w:t xml:space="preserve"> questionnaire 2017 </w:t>
            </w:r>
            <w:r w:rsidR="005533F0" w:rsidRPr="0098490B">
              <w:rPr>
                <w:color w:val="000000"/>
                <w:lang w:val="fr-FR"/>
              </w:rPr>
              <w:t xml:space="preserve">sur les indicateurs de télécommunications/TIC dans le monde (WTI). Quelque 60 pays ont </w:t>
            </w:r>
            <w:r w:rsidR="00066AB8" w:rsidRPr="0098490B">
              <w:rPr>
                <w:color w:val="000000"/>
                <w:lang w:val="fr-FR"/>
              </w:rPr>
              <w:t>répondu à la version abrégée d</w:t>
            </w:r>
            <w:r w:rsidR="005533F0" w:rsidRPr="0098490B">
              <w:rPr>
                <w:color w:val="000000"/>
                <w:lang w:val="fr-FR"/>
              </w:rPr>
              <w:t>u questionnaire 2017 relatif aux TIC dans les ménages, et</w:t>
            </w:r>
            <w:r w:rsidR="00C057A3">
              <w:rPr>
                <w:color w:val="000000"/>
                <w:lang w:val="fr-FR"/>
              </w:rPr>
              <w:t> </w:t>
            </w:r>
            <w:r w:rsidR="005533F0" w:rsidRPr="0098490B">
              <w:rPr>
                <w:color w:val="000000"/>
                <w:lang w:val="fr-FR"/>
              </w:rPr>
              <w:t xml:space="preserve">114 pays ont répondu au questionnaire 2017 sur le panier de prix </w:t>
            </w:r>
            <w:r w:rsidR="00066AB8" w:rsidRPr="0098490B">
              <w:rPr>
                <w:color w:val="000000"/>
                <w:lang w:val="fr-FR"/>
              </w:rPr>
              <w:t>des</w:t>
            </w:r>
            <w:r w:rsidR="005533F0" w:rsidRPr="0098490B">
              <w:rPr>
                <w:color w:val="000000"/>
                <w:lang w:val="fr-FR"/>
              </w:rPr>
              <w:t xml:space="preserve"> TIC.</w:t>
            </w:r>
            <w:bookmarkEnd w:id="155"/>
          </w:p>
          <w:p w:rsidR="005A7171" w:rsidRPr="0098490B" w:rsidRDefault="00B06258" w:rsidP="00105822">
            <w:pPr>
              <w:rPr>
                <w:color w:val="000000"/>
                <w:lang w:val="fr-FR"/>
              </w:rPr>
            </w:pPr>
            <w:bookmarkStart w:id="156" w:name="lt_pId406"/>
            <w:r w:rsidRPr="0098490B">
              <w:rPr>
                <w:szCs w:val="24"/>
                <w:lang w:val="fr-FR"/>
              </w:rPr>
              <w:t xml:space="preserve">Le projet de l'UIT relatif aux </w:t>
            </w:r>
            <w:r w:rsidRPr="0098490B">
              <w:rPr>
                <w:color w:val="000000"/>
                <w:lang w:val="fr-FR"/>
              </w:rPr>
              <w:t xml:space="preserve">mégadonnées pour la mesure de la société de l'information a été mené avec succès. Il </w:t>
            </w:r>
            <w:r w:rsidR="009010D9" w:rsidRPr="0098490B">
              <w:rPr>
                <w:color w:val="000000"/>
                <w:lang w:val="fr-FR"/>
              </w:rPr>
              <w:t>comprenait</w:t>
            </w:r>
            <w:r w:rsidRPr="0098490B">
              <w:rPr>
                <w:color w:val="000000"/>
                <w:lang w:val="fr-FR"/>
              </w:rPr>
              <w:t xml:space="preserve"> la réalisation d'études pilote</w:t>
            </w:r>
            <w:r w:rsidR="00105822" w:rsidRPr="0098490B">
              <w:rPr>
                <w:color w:val="000000"/>
                <w:lang w:val="fr-FR"/>
              </w:rPr>
              <w:t>s</w:t>
            </w:r>
            <w:r w:rsidRPr="0098490B">
              <w:rPr>
                <w:color w:val="000000"/>
                <w:lang w:val="fr-FR"/>
              </w:rPr>
              <w:t xml:space="preserve"> dans six pays (Colombie, Géorgie, Kenya, Philippin</w:t>
            </w:r>
            <w:r w:rsidR="009010D9" w:rsidRPr="0098490B">
              <w:rPr>
                <w:color w:val="000000"/>
                <w:lang w:val="fr-FR"/>
              </w:rPr>
              <w:t>es, Suède et Emirats arabes uni</w:t>
            </w:r>
            <w:r w:rsidRPr="0098490B">
              <w:rPr>
                <w:color w:val="000000"/>
                <w:lang w:val="fr-FR"/>
              </w:rPr>
              <w:t>s)</w:t>
            </w:r>
            <w:r w:rsidR="009010D9" w:rsidRPr="0098490B">
              <w:rPr>
                <w:color w:val="000000"/>
                <w:lang w:val="fr-FR"/>
              </w:rPr>
              <w:t xml:space="preserve"> et visait à </w:t>
            </w:r>
            <w:r w:rsidRPr="0098490B">
              <w:rPr>
                <w:color w:val="000000"/>
                <w:lang w:val="fr-FR"/>
              </w:rPr>
              <w:t xml:space="preserve">comprendre la manière dont les mégadonnées issues du secteur des TIC, en particulier des opérateurs de télécommunication, peuvent produire de nouveaux indicateurs ou compléter des indicateurs existants en vue de mesurer la société de l'information. Le projet </w:t>
            </w:r>
            <w:r w:rsidR="009010D9" w:rsidRPr="0098490B">
              <w:rPr>
                <w:color w:val="000000"/>
                <w:lang w:val="fr-FR"/>
              </w:rPr>
              <w:t xml:space="preserve">a débouché sur la rédaction de </w:t>
            </w:r>
            <w:r w:rsidRPr="0098490B">
              <w:rPr>
                <w:color w:val="000000"/>
                <w:lang w:val="fr-FR"/>
              </w:rPr>
              <w:t>six rapports de pays</w:t>
            </w:r>
            <w:r w:rsidR="009010D9" w:rsidRPr="0098490B">
              <w:rPr>
                <w:color w:val="000000"/>
                <w:lang w:val="fr-FR"/>
              </w:rPr>
              <w:t xml:space="preserve"> et d</w:t>
            </w:r>
            <w:r w:rsidRPr="0098490B">
              <w:rPr>
                <w:color w:val="000000"/>
                <w:lang w:val="fr-FR"/>
              </w:rPr>
              <w:t>'une méthodologie décrivant les indicateurs des TIC sur les mégadonnées</w:t>
            </w:r>
            <w:r w:rsidR="009010D9" w:rsidRPr="0098490B">
              <w:rPr>
                <w:color w:val="000000"/>
                <w:lang w:val="fr-FR"/>
              </w:rPr>
              <w:t>, ainsi que</w:t>
            </w:r>
            <w:r w:rsidRPr="0098490B">
              <w:rPr>
                <w:color w:val="000000"/>
                <w:lang w:val="fr-FR"/>
              </w:rPr>
              <w:t xml:space="preserve"> la manière dont les indicateurs peuvent être </w:t>
            </w:r>
            <w:r w:rsidR="003278EE" w:rsidRPr="0098490B">
              <w:rPr>
                <w:color w:val="000000"/>
                <w:lang w:val="fr-FR"/>
              </w:rPr>
              <w:t>produits par l</w:t>
            </w:r>
            <w:r w:rsidRPr="0098490B">
              <w:rPr>
                <w:color w:val="000000"/>
                <w:lang w:val="fr-FR"/>
              </w:rPr>
              <w:t xml:space="preserve">es opérateurs </w:t>
            </w:r>
            <w:r w:rsidR="003278EE" w:rsidRPr="0098490B">
              <w:rPr>
                <w:color w:val="000000"/>
                <w:lang w:val="fr-FR"/>
              </w:rPr>
              <w:t>et les fournisseurs de services</w:t>
            </w:r>
            <w:r w:rsidRPr="0098490B">
              <w:rPr>
                <w:color w:val="000000"/>
                <w:lang w:val="fr-FR"/>
              </w:rPr>
              <w:t xml:space="preserve"> et dont les données peuvent être recueillies </w:t>
            </w:r>
            <w:r w:rsidR="003278EE" w:rsidRPr="0098490B">
              <w:rPr>
                <w:color w:val="000000"/>
                <w:lang w:val="fr-FR"/>
              </w:rPr>
              <w:t>au niveau national. Le document a été élaboré et renforcé sur la base d'expériences réalisées par des pays pilotes. L'utilisation de la méthodologie établie garantira la comparabilité à l'échelle internationale des indicateurs des TIC produits à partir de sources de mégadonnées.</w:t>
            </w:r>
            <w:bookmarkEnd w:id="156"/>
            <w:r w:rsidR="003278EE" w:rsidRPr="0098490B">
              <w:rPr>
                <w:color w:val="000000"/>
                <w:lang w:val="fr-FR"/>
              </w:rPr>
              <w:t xml:space="preserve"> </w:t>
            </w:r>
          </w:p>
          <w:p w:rsidR="00D87F72" w:rsidRPr="0098490B" w:rsidRDefault="00D87F72" w:rsidP="00784D97">
            <w:pPr>
              <w:rPr>
                <w:lang w:val="fr-FR"/>
              </w:rPr>
            </w:pPr>
            <w:r w:rsidRPr="0098490B">
              <w:rPr>
                <w:lang w:val="fr-FR"/>
              </w:rPr>
              <w:t xml:space="preserve">Les activités de l'UIT relevant de ce produit ont </w:t>
            </w:r>
            <w:r w:rsidR="003278EE" w:rsidRPr="0098490B">
              <w:rPr>
                <w:lang w:val="fr-FR"/>
              </w:rPr>
              <w:t xml:space="preserve">encore </w:t>
            </w:r>
            <w:r w:rsidRPr="0098490B">
              <w:rPr>
                <w:lang w:val="fr-FR"/>
              </w:rPr>
              <w:t>contribué à élargir la coopération et ont amélioré les méthodologies et les normes internationales en matière de statistiques sur les TIC grâce aux travaux du Groupe d'experts sur les indicateurs des télécommunications/TIC (EGTI) et du Groupe d'experts sur les indicateurs relatifs à l'utilisation des TIC par les ménages (EGH).</w:t>
            </w:r>
            <w:r w:rsidR="003278EE" w:rsidRPr="0098490B">
              <w:rPr>
                <w:lang w:val="fr-FR"/>
              </w:rPr>
              <w:t xml:space="preserve"> Le</w:t>
            </w:r>
            <w:r w:rsidR="005A7171" w:rsidRPr="0098490B">
              <w:rPr>
                <w:lang w:val="fr-FR"/>
              </w:rPr>
              <w:t>s</w:t>
            </w:r>
            <w:r w:rsidR="003278EE" w:rsidRPr="0098490B">
              <w:rPr>
                <w:lang w:val="fr-FR"/>
              </w:rPr>
              <w:t xml:space="preserve"> </w:t>
            </w:r>
            <w:r w:rsidR="005A7171" w:rsidRPr="0098490B">
              <w:rPr>
                <w:lang w:val="fr-FR"/>
              </w:rPr>
              <w:lastRenderedPageBreak/>
              <w:t>g</w:t>
            </w:r>
            <w:r w:rsidR="003278EE" w:rsidRPr="0098490B">
              <w:rPr>
                <w:lang w:val="fr-FR"/>
              </w:rPr>
              <w:t>roupe</w:t>
            </w:r>
            <w:r w:rsidR="005A7171" w:rsidRPr="0098490B">
              <w:rPr>
                <w:lang w:val="fr-FR"/>
              </w:rPr>
              <w:t>s</w:t>
            </w:r>
            <w:r w:rsidR="003278EE" w:rsidRPr="0098490B">
              <w:rPr>
                <w:lang w:val="fr-FR"/>
              </w:rPr>
              <w:t xml:space="preserve"> EGTI et EGH </w:t>
            </w:r>
            <w:r w:rsidR="005A7171" w:rsidRPr="0098490B">
              <w:rPr>
                <w:lang w:val="fr-FR"/>
              </w:rPr>
              <w:t xml:space="preserve">de l'UIT </w:t>
            </w:r>
            <w:r w:rsidR="003278EE" w:rsidRPr="0098490B">
              <w:rPr>
                <w:lang w:val="fr-FR"/>
              </w:rPr>
              <w:t>s</w:t>
            </w:r>
            <w:r w:rsidR="00A614E2" w:rsidRPr="0098490B">
              <w:rPr>
                <w:lang w:val="fr-FR"/>
              </w:rPr>
              <w:t>e sont réunis à Genève (Suisse)</w:t>
            </w:r>
            <w:r w:rsidR="00C057A3">
              <w:rPr>
                <w:lang w:val="fr-FR"/>
              </w:rPr>
              <w:t xml:space="preserve"> au mois de septembre. Près de </w:t>
            </w:r>
            <w:r w:rsidR="003278EE" w:rsidRPr="0098490B">
              <w:rPr>
                <w:lang w:val="fr-FR"/>
              </w:rPr>
              <w:t>100 spécialistes de</w:t>
            </w:r>
            <w:r w:rsidR="00A614E2" w:rsidRPr="0098490B">
              <w:rPr>
                <w:lang w:val="fr-FR"/>
              </w:rPr>
              <w:t>s</w:t>
            </w:r>
            <w:r w:rsidR="003278EE" w:rsidRPr="0098490B">
              <w:rPr>
                <w:lang w:val="fr-FR"/>
              </w:rPr>
              <w:t xml:space="preserve"> statistiques issus de ministères chargés des TIC, </w:t>
            </w:r>
            <w:r w:rsidR="00C057A3">
              <w:rPr>
                <w:color w:val="000000"/>
                <w:lang w:val="fr-FR"/>
              </w:rPr>
              <w:t>d'offices nationaux de la </w:t>
            </w:r>
            <w:r w:rsidR="00A26495" w:rsidRPr="0098490B">
              <w:rPr>
                <w:color w:val="000000"/>
                <w:lang w:val="fr-FR"/>
              </w:rPr>
              <w:t>statistique, de régulateurs des télécommunications et d'orga</w:t>
            </w:r>
            <w:r w:rsidR="00C057A3">
              <w:rPr>
                <w:color w:val="000000"/>
                <w:lang w:val="fr-FR"/>
              </w:rPr>
              <w:t>nisations internationales de 48 </w:t>
            </w:r>
            <w:r w:rsidR="00A26495" w:rsidRPr="0098490B">
              <w:rPr>
                <w:color w:val="000000"/>
                <w:lang w:val="fr-FR"/>
              </w:rPr>
              <w:t>pays</w:t>
            </w:r>
            <w:r w:rsidR="00105822" w:rsidRPr="0098490B">
              <w:rPr>
                <w:color w:val="000000"/>
                <w:lang w:val="fr-FR"/>
              </w:rPr>
              <w:t xml:space="preserve"> ont participé à ces réunions. Ils</w:t>
            </w:r>
            <w:r w:rsidR="00A26495" w:rsidRPr="0098490B">
              <w:rPr>
                <w:color w:val="000000"/>
                <w:lang w:val="fr-FR"/>
              </w:rPr>
              <w:t xml:space="preserve"> ont débattu de la manière d'améliorer le suivi et l'utilisation des TIC par </w:t>
            </w:r>
            <w:r w:rsidR="00105822" w:rsidRPr="0098490B">
              <w:rPr>
                <w:color w:val="000000"/>
                <w:lang w:val="fr-FR"/>
              </w:rPr>
              <w:t>les ménages et les personnes, ainsi que</w:t>
            </w:r>
            <w:r w:rsidR="00A26495" w:rsidRPr="0098490B">
              <w:rPr>
                <w:color w:val="000000"/>
                <w:lang w:val="fr-FR"/>
              </w:rPr>
              <w:t xml:space="preserve"> de la manière dont les données des fournisseurs de services TIC pourraient être utilisées pour renseigner les décideurs et les régulateurs et pour aider à contrôler et à stimuler le développement des TIC.</w:t>
            </w:r>
          </w:p>
          <w:p w:rsidR="00D87F72" w:rsidRPr="0098490B" w:rsidRDefault="00D87F72" w:rsidP="00784D97">
            <w:pPr>
              <w:rPr>
                <w:lang w:val="fr-FR"/>
              </w:rPr>
            </w:pPr>
            <w:r w:rsidRPr="0098490B">
              <w:rPr>
                <w:lang w:val="fr-FR"/>
              </w:rPr>
              <w:t>Les capacités et les compétences des organismes producteurs de statistiques sur les TIC en matière de collecte de données, d'élaboration et d'analyse d'indicateurs sur les TIC comparables sur le plan international ont été améliorées grâce à plusieurs activités de renforcement des capacités</w:t>
            </w:r>
            <w:r w:rsidR="00A26495" w:rsidRPr="0098490B">
              <w:rPr>
                <w:lang w:val="fr-FR"/>
              </w:rPr>
              <w:t>, parmi lesquelles notamment</w:t>
            </w:r>
            <w:r w:rsidRPr="0098490B">
              <w:rPr>
                <w:lang w:val="fr-FR"/>
              </w:rPr>
              <w:t>:</w:t>
            </w:r>
          </w:p>
          <w:p w:rsidR="00D87F72" w:rsidRPr="0098490B" w:rsidRDefault="00D87F72" w:rsidP="00784D97">
            <w:pPr>
              <w:pStyle w:val="enumlev1"/>
              <w:rPr>
                <w:rFonts w:eastAsia="PMingLiU-ExtB"/>
                <w:lang w:val="fr-FR"/>
              </w:rPr>
            </w:pPr>
            <w:r w:rsidRPr="0098490B">
              <w:rPr>
                <w:rFonts w:eastAsia="PMingLiU-ExtB"/>
                <w:lang w:val="fr-FR"/>
              </w:rPr>
              <w:t>–</w:t>
            </w:r>
            <w:r w:rsidRPr="0098490B">
              <w:rPr>
                <w:rFonts w:eastAsia="PMingLiU-ExtB"/>
                <w:lang w:val="fr-FR"/>
              </w:rPr>
              <w:tab/>
            </w:r>
            <w:bookmarkStart w:id="157" w:name="lt_pId415"/>
            <w:r w:rsidR="00A614E2" w:rsidRPr="0098490B">
              <w:rPr>
                <w:rFonts w:eastAsia="PMingLiU-ExtB"/>
                <w:lang w:val="fr-FR"/>
              </w:rPr>
              <w:t xml:space="preserve">un </w:t>
            </w:r>
            <w:r w:rsidR="00A26495" w:rsidRPr="0098490B">
              <w:rPr>
                <w:rFonts w:eastAsia="PMingLiU-ExtB"/>
                <w:lang w:val="fr-FR"/>
              </w:rPr>
              <w:t>atelier national sur les indicateurs des TIC organisé au Rwanda;</w:t>
            </w:r>
            <w:bookmarkEnd w:id="157"/>
          </w:p>
          <w:p w:rsidR="00D87F72" w:rsidRPr="0098490B" w:rsidRDefault="00A614E2" w:rsidP="00784D97">
            <w:pPr>
              <w:pStyle w:val="enumlev1"/>
              <w:rPr>
                <w:lang w:val="fr-FR"/>
              </w:rPr>
            </w:pPr>
            <w:r w:rsidRPr="0098490B">
              <w:rPr>
                <w:rFonts w:eastAsia="PMingLiU-ExtB"/>
                <w:lang w:val="fr-FR"/>
              </w:rPr>
              <w:t>–</w:t>
            </w:r>
            <w:r w:rsidRPr="0098490B">
              <w:rPr>
                <w:rFonts w:eastAsia="PMingLiU-ExtB"/>
                <w:lang w:val="fr-FR"/>
              </w:rPr>
              <w:tab/>
              <w:t xml:space="preserve">un </w:t>
            </w:r>
            <w:r w:rsidR="00D87F72" w:rsidRPr="0098490B">
              <w:rPr>
                <w:rFonts w:eastAsia="PMingLiU-ExtB"/>
                <w:lang w:val="fr-FR"/>
              </w:rPr>
              <w:t xml:space="preserve">atelier national de formation sur les statistiques relatives aux TIC </w:t>
            </w:r>
            <w:r w:rsidR="00A26495" w:rsidRPr="0098490B">
              <w:rPr>
                <w:rFonts w:eastAsia="PMingLiU-ExtB"/>
                <w:lang w:val="fr-FR"/>
              </w:rPr>
              <w:t xml:space="preserve">organisé </w:t>
            </w:r>
            <w:r w:rsidR="00D87F72" w:rsidRPr="0098490B">
              <w:rPr>
                <w:rFonts w:eastAsia="PMingLiU-ExtB"/>
                <w:lang w:val="fr-FR"/>
              </w:rPr>
              <w:t>en Mongolie</w:t>
            </w:r>
            <w:r w:rsidR="00A26495" w:rsidRPr="0098490B">
              <w:rPr>
                <w:rFonts w:eastAsia="PMingLiU-ExtB"/>
                <w:lang w:val="fr-FR"/>
              </w:rPr>
              <w:t>;</w:t>
            </w:r>
          </w:p>
          <w:p w:rsidR="00084CA2" w:rsidRPr="0098490B" w:rsidRDefault="00D87F72" w:rsidP="00105822">
            <w:pPr>
              <w:pStyle w:val="enumlev1"/>
              <w:spacing w:after="120"/>
              <w:rPr>
                <w:lang w:val="fr-FR"/>
              </w:rPr>
            </w:pPr>
            <w:r w:rsidRPr="0098490B">
              <w:rPr>
                <w:rFonts w:eastAsia="PMingLiU-ExtB"/>
                <w:lang w:val="fr-FR"/>
              </w:rPr>
              <w:t>–</w:t>
            </w:r>
            <w:r w:rsidRPr="0098490B">
              <w:rPr>
                <w:rFonts w:eastAsia="PMingLiU-ExtB"/>
                <w:lang w:val="fr-FR"/>
              </w:rPr>
              <w:tab/>
            </w:r>
            <w:bookmarkStart w:id="158" w:name="lt_pId417"/>
            <w:r w:rsidR="00A614E2" w:rsidRPr="0098490B">
              <w:rPr>
                <w:rFonts w:eastAsia="PMingLiU-ExtB"/>
                <w:lang w:val="fr-FR"/>
              </w:rPr>
              <w:t xml:space="preserve">un </w:t>
            </w:r>
            <w:r w:rsidR="00A26495" w:rsidRPr="0098490B">
              <w:rPr>
                <w:rFonts w:eastAsia="PMingLiU-ExtB"/>
                <w:lang w:val="fr-FR"/>
              </w:rPr>
              <w:t>atelier régional de l'UIT pour l'Asie-Pacifique sur les statistiques relatives aux TIC organisé en Chine</w:t>
            </w:r>
            <w:r w:rsidRPr="0098490B">
              <w:rPr>
                <w:lang w:val="fr-FR"/>
              </w:rPr>
              <w:t>.</w:t>
            </w:r>
            <w:bookmarkEnd w:id="158"/>
          </w:p>
        </w:tc>
      </w:tr>
      <w:tr w:rsidR="00D87F72" w:rsidRPr="0098490B" w:rsidTr="004268F3">
        <w:tc>
          <w:tcPr>
            <w:tcW w:w="3256" w:type="dxa"/>
            <w:tcBorders>
              <w:top w:val="single" w:sz="4" w:space="0" w:color="auto"/>
              <w:bottom w:val="single" w:sz="4" w:space="0" w:color="auto"/>
              <w:right w:val="single" w:sz="4" w:space="0" w:color="auto"/>
            </w:tcBorders>
          </w:tcPr>
          <w:p w:rsidR="00D87F72" w:rsidRPr="0098490B" w:rsidRDefault="00D87F72" w:rsidP="00105822">
            <w:pPr>
              <w:spacing w:before="0"/>
              <w:rPr>
                <w:i/>
                <w:iCs/>
                <w:szCs w:val="24"/>
                <w:lang w:val="fr-FR"/>
              </w:rPr>
            </w:pPr>
            <w:r w:rsidRPr="0098490B">
              <w:rPr>
                <w:i/>
                <w:iCs/>
                <w:szCs w:val="24"/>
                <w:lang w:val="fr-FR"/>
              </w:rPr>
              <w:lastRenderedPageBreak/>
              <w:t>CMDT</w:t>
            </w:r>
          </w:p>
        </w:tc>
        <w:tc>
          <w:tcPr>
            <w:tcW w:w="6373" w:type="dxa"/>
            <w:tcBorders>
              <w:top w:val="single" w:sz="4" w:space="0" w:color="auto"/>
              <w:left w:val="single" w:sz="4" w:space="0" w:color="auto"/>
              <w:bottom w:val="single" w:sz="4" w:space="0" w:color="auto"/>
            </w:tcBorders>
          </w:tcPr>
          <w:p w:rsidR="00D87F72" w:rsidRPr="0098490B" w:rsidRDefault="00D87F72" w:rsidP="00105822">
            <w:pPr>
              <w:spacing w:before="0"/>
              <w:rPr>
                <w:szCs w:val="24"/>
                <w:lang w:val="fr-FR"/>
              </w:rPr>
            </w:pPr>
            <w:bookmarkStart w:id="159" w:name="lt_pId419"/>
            <w:r w:rsidRPr="0098490B">
              <w:rPr>
                <w:szCs w:val="24"/>
                <w:lang w:val="fr-FR"/>
              </w:rPr>
              <w:t>Résolutions 1, 5, 8, 30, 33, 37, 43, 50, 51, 52, 57, 59, 60</w:t>
            </w:r>
            <w:bookmarkEnd w:id="159"/>
          </w:p>
        </w:tc>
      </w:tr>
      <w:tr w:rsidR="00D87F72" w:rsidRPr="0098490B" w:rsidTr="004268F3">
        <w:trPr>
          <w:trHeight w:val="397"/>
        </w:trPr>
        <w:tc>
          <w:tcPr>
            <w:tcW w:w="3256" w:type="dxa"/>
            <w:tcBorders>
              <w:top w:val="single" w:sz="4" w:space="0" w:color="auto"/>
              <w:bottom w:val="single" w:sz="4" w:space="0" w:color="auto"/>
              <w:right w:val="single" w:sz="4" w:space="0" w:color="auto"/>
            </w:tcBorders>
          </w:tcPr>
          <w:p w:rsidR="00D87F72" w:rsidRPr="0098490B" w:rsidRDefault="00A614E2" w:rsidP="00105822">
            <w:pPr>
              <w:spacing w:before="0"/>
              <w:rPr>
                <w:i/>
                <w:iCs/>
                <w:lang w:val="fr-FR"/>
              </w:rPr>
            </w:pPr>
            <w:r w:rsidRPr="0098490B">
              <w:rPr>
                <w:i/>
                <w:iCs/>
                <w:lang w:val="fr-FR"/>
              </w:rPr>
              <w:t>Conférence</w:t>
            </w:r>
            <w:r w:rsidR="00A26495" w:rsidRPr="0098490B">
              <w:rPr>
                <w:i/>
                <w:iCs/>
                <w:lang w:val="fr-FR"/>
              </w:rPr>
              <w:t xml:space="preserve"> de plénipotentiaires</w:t>
            </w:r>
          </w:p>
        </w:tc>
        <w:tc>
          <w:tcPr>
            <w:tcW w:w="6373" w:type="dxa"/>
            <w:tcBorders>
              <w:top w:val="single" w:sz="4" w:space="0" w:color="auto"/>
              <w:left w:val="single" w:sz="4" w:space="0" w:color="auto"/>
              <w:bottom w:val="single" w:sz="4" w:space="0" w:color="auto"/>
            </w:tcBorders>
          </w:tcPr>
          <w:p w:rsidR="00D87F72" w:rsidRPr="0098490B" w:rsidRDefault="00D87F72" w:rsidP="00105822">
            <w:pPr>
              <w:spacing w:before="0"/>
              <w:rPr>
                <w:szCs w:val="24"/>
                <w:lang w:val="fr-FR"/>
              </w:rPr>
            </w:pPr>
            <w:bookmarkStart w:id="160" w:name="lt_pId421"/>
            <w:r w:rsidRPr="0098490B">
              <w:rPr>
                <w:szCs w:val="24"/>
                <w:lang w:val="fr-FR"/>
              </w:rPr>
              <w:t>Décisions 5, 13</w:t>
            </w:r>
            <w:bookmarkEnd w:id="160"/>
          </w:p>
          <w:p w:rsidR="00D87F72" w:rsidRPr="0098490B" w:rsidRDefault="00D87F72" w:rsidP="00105822">
            <w:pPr>
              <w:spacing w:before="0"/>
              <w:rPr>
                <w:szCs w:val="24"/>
                <w:lang w:val="fr-FR"/>
              </w:rPr>
            </w:pPr>
            <w:bookmarkStart w:id="161" w:name="lt_pId422"/>
            <w:r w:rsidRPr="0098490B">
              <w:rPr>
                <w:szCs w:val="24"/>
                <w:lang w:val="fr-FR"/>
              </w:rPr>
              <w:t>Résolutions 25, 71, 72, 137, 139, 140, 176, 188, 189, 197, 199, 202</w:t>
            </w:r>
            <w:bookmarkEnd w:id="161"/>
          </w:p>
        </w:tc>
      </w:tr>
      <w:tr w:rsidR="00D87F72" w:rsidRPr="0098490B" w:rsidTr="004268F3">
        <w:trPr>
          <w:trHeight w:val="397"/>
        </w:trPr>
        <w:tc>
          <w:tcPr>
            <w:tcW w:w="3256" w:type="dxa"/>
            <w:tcBorders>
              <w:top w:val="single" w:sz="4" w:space="0" w:color="auto"/>
              <w:bottom w:val="single" w:sz="4" w:space="0" w:color="auto"/>
              <w:right w:val="single" w:sz="4" w:space="0" w:color="auto"/>
            </w:tcBorders>
          </w:tcPr>
          <w:p w:rsidR="00D87F72" w:rsidRPr="0098490B" w:rsidRDefault="00D87F72" w:rsidP="00105822">
            <w:pPr>
              <w:spacing w:before="0"/>
              <w:rPr>
                <w:i/>
                <w:iCs/>
                <w:szCs w:val="24"/>
                <w:lang w:val="fr-FR"/>
              </w:rPr>
            </w:pPr>
            <w:r w:rsidRPr="0098490B">
              <w:rPr>
                <w:i/>
                <w:iCs/>
                <w:lang w:val="fr-FR"/>
              </w:rPr>
              <w:t>Grandes orientations du SMSI</w:t>
            </w:r>
          </w:p>
        </w:tc>
        <w:tc>
          <w:tcPr>
            <w:tcW w:w="6373" w:type="dxa"/>
            <w:tcBorders>
              <w:top w:val="single" w:sz="4" w:space="0" w:color="auto"/>
              <w:left w:val="single" w:sz="4" w:space="0" w:color="auto"/>
              <w:bottom w:val="single" w:sz="4" w:space="0" w:color="auto"/>
            </w:tcBorders>
          </w:tcPr>
          <w:p w:rsidR="00D87F72" w:rsidRPr="0098490B" w:rsidRDefault="00BC4014" w:rsidP="00105822">
            <w:pPr>
              <w:spacing w:before="0"/>
              <w:rPr>
                <w:szCs w:val="24"/>
                <w:lang w:val="fr-FR"/>
              </w:rPr>
            </w:pPr>
            <w:r w:rsidRPr="0098490B">
              <w:rPr>
                <w:color w:val="000000"/>
                <w:lang w:val="fr-FR"/>
              </w:rPr>
              <w:t>Les statistiques sur les télécommunications/TIC sont importantes pour le suivi de la mise en oeuvre de toutes les Grandes orientations du SMSI figurant dans le Plan d'action de Genève et sont citées dans les paragraphes 112 à 119 de l'Agenda de Tunis pour la société de l'information</w:t>
            </w:r>
            <w:r w:rsidR="00A614E2" w:rsidRPr="0098490B">
              <w:rPr>
                <w:color w:val="000000"/>
                <w:lang w:val="fr-FR"/>
              </w:rPr>
              <w:t>,</w:t>
            </w:r>
            <w:r w:rsidRPr="0098490B">
              <w:rPr>
                <w:color w:val="000000"/>
                <w:lang w:val="fr-FR"/>
              </w:rPr>
              <w:t xml:space="preserve"> ainsi que dans le paragraphe 70 du Document final de la réunion de haut niveau de l'Assemblée générale sur l'examen d'ensemble de la mise en oeuvre des textes issus du SMSI.</w:t>
            </w:r>
          </w:p>
        </w:tc>
      </w:tr>
      <w:tr w:rsidR="00D87F72" w:rsidRPr="0098490B" w:rsidTr="004268F3">
        <w:tc>
          <w:tcPr>
            <w:tcW w:w="3256" w:type="dxa"/>
            <w:tcBorders>
              <w:top w:val="single" w:sz="4" w:space="0" w:color="auto"/>
              <w:bottom w:val="single" w:sz="4" w:space="0" w:color="auto"/>
              <w:right w:val="single" w:sz="4" w:space="0" w:color="auto"/>
            </w:tcBorders>
          </w:tcPr>
          <w:p w:rsidR="00D87F72" w:rsidRPr="0098490B" w:rsidRDefault="00D87F72" w:rsidP="00105822">
            <w:pPr>
              <w:spacing w:before="0"/>
              <w:rPr>
                <w:i/>
                <w:iCs/>
                <w:szCs w:val="24"/>
                <w:lang w:val="fr-FR"/>
              </w:rPr>
            </w:pPr>
            <w:r w:rsidRPr="0098490B">
              <w:rPr>
                <w:i/>
                <w:iCs/>
                <w:lang w:val="fr-FR"/>
              </w:rPr>
              <w:t>Contribution aux cibles des O</w:t>
            </w:r>
            <w:r w:rsidR="00BC4014" w:rsidRPr="0098490B">
              <w:rPr>
                <w:i/>
                <w:iCs/>
                <w:lang w:val="fr-FR"/>
              </w:rPr>
              <w:t>bjectifs de développement durable</w:t>
            </w:r>
          </w:p>
        </w:tc>
        <w:tc>
          <w:tcPr>
            <w:tcW w:w="6373" w:type="dxa"/>
            <w:tcBorders>
              <w:top w:val="single" w:sz="4" w:space="0" w:color="auto"/>
              <w:left w:val="single" w:sz="4" w:space="0" w:color="auto"/>
              <w:bottom w:val="single" w:sz="4" w:space="0" w:color="auto"/>
            </w:tcBorders>
          </w:tcPr>
          <w:p w:rsidR="00D87F72" w:rsidRPr="0098490B" w:rsidRDefault="00BC4014" w:rsidP="00105822">
            <w:pPr>
              <w:spacing w:before="0"/>
              <w:rPr>
                <w:szCs w:val="24"/>
                <w:lang w:val="fr-FR"/>
              </w:rPr>
            </w:pPr>
            <w:r w:rsidRPr="0098490B">
              <w:rPr>
                <w:color w:val="000000"/>
                <w:lang w:val="fr-FR"/>
              </w:rPr>
              <w:t>Les statistiques sur les télécommunications/TIC sont importantes pour le suivi de la mise en oeuvre de tous les O</w:t>
            </w:r>
            <w:r w:rsidR="00105822" w:rsidRPr="0098490B">
              <w:rPr>
                <w:color w:val="000000"/>
                <w:lang w:val="fr-FR"/>
              </w:rPr>
              <w:t>bjectifs de développement durable</w:t>
            </w:r>
            <w:r w:rsidRPr="0098490B">
              <w:rPr>
                <w:color w:val="000000"/>
                <w:lang w:val="fr-FR"/>
              </w:rPr>
              <w:t xml:space="preserve"> et sont citées dans les paragraphes 48, 57, 74-76, 83 du Programme de développement durable à l'horizon 2030.</w:t>
            </w:r>
          </w:p>
        </w:tc>
      </w:tr>
    </w:tbl>
    <w:p w:rsidR="00084CA2" w:rsidRPr="0098490B" w:rsidRDefault="00084CA2" w:rsidP="00105822">
      <w:pPr>
        <w:pStyle w:val="Heading2"/>
        <w:spacing w:after="120"/>
        <w:rPr>
          <w:lang w:val="fr-FR"/>
        </w:rPr>
      </w:pPr>
      <w:bookmarkStart w:id="162" w:name="_Toc467807704"/>
      <w:bookmarkStart w:id="163" w:name="_Toc468087103"/>
      <w:r w:rsidRPr="0098490B">
        <w:rPr>
          <w:lang w:val="fr-FR"/>
        </w:rPr>
        <w:t>4.3</w:t>
      </w:r>
      <w:r w:rsidRPr="0098490B">
        <w:rPr>
          <w:lang w:val="fr-FR"/>
        </w:rPr>
        <w:tab/>
        <w:t>Inclusion numérique des personnes ayant des besoins particuliers</w:t>
      </w:r>
      <w:bookmarkEnd w:id="162"/>
      <w:bookmarkEnd w:id="163"/>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084CA2" w:rsidRPr="0098490B" w:rsidTr="004268F3">
        <w:tc>
          <w:tcPr>
            <w:tcW w:w="9629" w:type="dxa"/>
            <w:gridSpan w:val="2"/>
            <w:tcBorders>
              <w:bottom w:val="single" w:sz="4" w:space="0" w:color="auto"/>
            </w:tcBorders>
          </w:tcPr>
          <w:p w:rsidR="00084CA2" w:rsidRPr="0098490B" w:rsidRDefault="00BC4014" w:rsidP="00784D97">
            <w:pPr>
              <w:rPr>
                <w:lang w:val="fr-FR"/>
              </w:rPr>
            </w:pPr>
            <w:r w:rsidRPr="0098490B">
              <w:rPr>
                <w:lang w:val="fr-FR"/>
              </w:rPr>
              <w:t>En 2017, l</w:t>
            </w:r>
            <w:r w:rsidR="00D87F72" w:rsidRPr="0098490B">
              <w:rPr>
                <w:lang w:val="fr-FR"/>
              </w:rPr>
              <w:t xml:space="preserve">es capacités des Etats Membres </w:t>
            </w:r>
            <w:r w:rsidR="006F5487" w:rsidRPr="0098490B">
              <w:rPr>
                <w:lang w:val="fr-FR"/>
              </w:rPr>
              <w:t xml:space="preserve">ont été renforcées plus avant </w:t>
            </w:r>
            <w:r w:rsidR="00D87F72" w:rsidRPr="0098490B">
              <w:rPr>
                <w:lang w:val="fr-FR"/>
              </w:rPr>
              <w:t>en matière d'élaboration et de mise en oeuvre de politiques, de stratégies et de lignes directrices relatives à l'inclusion numérique, en vue de garantir l'accessibil</w:t>
            </w:r>
            <w:r w:rsidR="00DB2065" w:rsidRPr="0098490B">
              <w:rPr>
                <w:lang w:val="fr-FR"/>
              </w:rPr>
              <w:t>ité des télécommunications/TIC</w:t>
            </w:r>
            <w:r w:rsidR="006F5487" w:rsidRPr="0098490B">
              <w:rPr>
                <w:lang w:val="fr-FR"/>
              </w:rPr>
              <w:t xml:space="preserve"> aux personnes handicapées</w:t>
            </w:r>
            <w:r w:rsidR="00DB2065" w:rsidRPr="0098490B">
              <w:rPr>
                <w:lang w:val="fr-FR"/>
              </w:rPr>
              <w:t>.</w:t>
            </w:r>
          </w:p>
          <w:p w:rsidR="00D87F72" w:rsidRPr="0098490B" w:rsidRDefault="00BC4014" w:rsidP="00105822">
            <w:pPr>
              <w:rPr>
                <w:lang w:val="fr-FR"/>
              </w:rPr>
            </w:pPr>
            <w:bookmarkStart w:id="164" w:name="lt_pId430"/>
            <w:r w:rsidRPr="0098490B">
              <w:rPr>
                <w:szCs w:val="24"/>
                <w:lang w:val="fr-FR"/>
              </w:rPr>
              <w:t>Le 27 avril, des manifestations ont été organisées partout dans le monde dans le cadre de la Journée des jeunes filles dans le secteur des TIC</w:t>
            </w:r>
            <w:r w:rsidR="0012303C" w:rsidRPr="0098490B">
              <w:rPr>
                <w:szCs w:val="24"/>
                <w:lang w:val="fr-FR"/>
              </w:rPr>
              <w:t xml:space="preserve">, notamment au siège et dans </w:t>
            </w:r>
            <w:r w:rsidR="006F5487" w:rsidRPr="0098490B">
              <w:rPr>
                <w:szCs w:val="24"/>
                <w:lang w:val="fr-FR"/>
              </w:rPr>
              <w:t xml:space="preserve">tous </w:t>
            </w:r>
            <w:r w:rsidR="0012303C" w:rsidRPr="0098490B">
              <w:rPr>
                <w:szCs w:val="24"/>
                <w:lang w:val="fr-FR"/>
              </w:rPr>
              <w:t xml:space="preserve">les bureaux régionaux de l'UIT, en vue de sensibiliser l'opinion publique et de contribuer à la création d'un environnement mondial qui confère une autonomie accrue aux jeunes filles et </w:t>
            </w:r>
            <w:r w:rsidR="004F128D" w:rsidRPr="0098490B">
              <w:rPr>
                <w:szCs w:val="24"/>
                <w:lang w:val="fr-FR"/>
              </w:rPr>
              <w:t xml:space="preserve">aux </w:t>
            </w:r>
            <w:r w:rsidR="0012303C" w:rsidRPr="0098490B">
              <w:rPr>
                <w:szCs w:val="24"/>
                <w:lang w:val="fr-FR"/>
              </w:rPr>
              <w:t xml:space="preserve">jeunes femmes et les encourage à envisager d'entreprendre des études ou une carrière dans le secteur </w:t>
            </w:r>
            <w:r w:rsidR="0012303C" w:rsidRPr="0098490B">
              <w:rPr>
                <w:szCs w:val="24"/>
                <w:lang w:val="fr-FR"/>
              </w:rPr>
              <w:lastRenderedPageBreak/>
              <w:t>des TIC en plein essor.</w:t>
            </w:r>
            <w:bookmarkEnd w:id="164"/>
            <w:r w:rsidR="0012303C" w:rsidRPr="0098490B">
              <w:rPr>
                <w:szCs w:val="24"/>
                <w:lang w:val="fr-FR"/>
              </w:rPr>
              <w:t xml:space="preserve"> </w:t>
            </w:r>
            <w:r w:rsidR="00DB2065" w:rsidRPr="0098490B">
              <w:rPr>
                <w:lang w:val="fr-FR"/>
              </w:rPr>
              <w:t>Depuis la première Journée internationale des jeunes filles dans le secteur des TIC</w:t>
            </w:r>
            <w:r w:rsidR="004F128D" w:rsidRPr="0098490B">
              <w:rPr>
                <w:lang w:val="fr-FR"/>
              </w:rPr>
              <w:t>,</w:t>
            </w:r>
            <w:r w:rsidR="00DB2065" w:rsidRPr="0098490B">
              <w:rPr>
                <w:lang w:val="fr-FR"/>
              </w:rPr>
              <w:t xml:space="preserve"> </w:t>
            </w:r>
            <w:r w:rsidR="004F128D" w:rsidRPr="0098490B">
              <w:rPr>
                <w:lang w:val="fr-FR"/>
              </w:rPr>
              <w:t xml:space="preserve">célébrée </w:t>
            </w:r>
            <w:r w:rsidR="00DB2065" w:rsidRPr="0098490B">
              <w:rPr>
                <w:lang w:val="fr-FR"/>
              </w:rPr>
              <w:t xml:space="preserve">en 2011, plus de 9 000 </w:t>
            </w:r>
            <w:r w:rsidR="004F128D" w:rsidRPr="0098490B">
              <w:rPr>
                <w:lang w:val="fr-FR"/>
              </w:rPr>
              <w:t>manifestations se s</w:t>
            </w:r>
            <w:r w:rsidR="00DB2065" w:rsidRPr="0098490B">
              <w:rPr>
                <w:lang w:val="fr-FR"/>
              </w:rPr>
              <w:t>ont déroulé</w:t>
            </w:r>
            <w:r w:rsidR="004F128D" w:rsidRPr="0098490B">
              <w:rPr>
                <w:lang w:val="fr-FR"/>
              </w:rPr>
              <w:t>e</w:t>
            </w:r>
            <w:r w:rsidR="00DB2065" w:rsidRPr="0098490B">
              <w:rPr>
                <w:lang w:val="fr-FR"/>
              </w:rPr>
              <w:t xml:space="preserve">s dans 166 pays et ont contribué à </w:t>
            </w:r>
            <w:r w:rsidR="004F128D" w:rsidRPr="0098490B">
              <w:rPr>
                <w:lang w:val="fr-FR"/>
              </w:rPr>
              <w:t>l'autonomisation de</w:t>
            </w:r>
            <w:r w:rsidR="00DB2065" w:rsidRPr="0098490B">
              <w:rPr>
                <w:lang w:val="fr-FR"/>
              </w:rPr>
              <w:t xml:space="preserve"> plus de 300 000 jeunes filles et jeunes femmes dans le monde entier. En 2017, </w:t>
            </w:r>
            <w:r w:rsidR="004F128D" w:rsidRPr="0098490B">
              <w:rPr>
                <w:lang w:val="fr-FR"/>
              </w:rPr>
              <w:t>quelque</w:t>
            </w:r>
            <w:r w:rsidR="00DB2065" w:rsidRPr="0098490B">
              <w:rPr>
                <w:lang w:val="fr-FR"/>
              </w:rPr>
              <w:t xml:space="preserve"> 70 000 jeunes filles originaires de 134 pays ont participé à plus de 2 100 manifestations</w:t>
            </w:r>
            <w:r w:rsidR="004F128D" w:rsidRPr="0098490B">
              <w:rPr>
                <w:lang w:val="fr-FR"/>
              </w:rPr>
              <w:t xml:space="preserve">, organisées notamment </w:t>
            </w:r>
            <w:r w:rsidR="00DB2065" w:rsidRPr="0098490B">
              <w:rPr>
                <w:lang w:val="fr-FR"/>
              </w:rPr>
              <w:t>dans 30 pays de la région Afrique, 33 pays de la région Amériques, 12 pays de la région des Etats arabes, 20 pays de la région Asie-Pacifique, six</w:t>
            </w:r>
            <w:r w:rsidR="00105822" w:rsidRPr="0098490B">
              <w:rPr>
                <w:lang w:val="fr-FR"/>
              </w:rPr>
              <w:t> </w:t>
            </w:r>
            <w:r w:rsidR="00DB2065" w:rsidRPr="0098490B">
              <w:rPr>
                <w:lang w:val="fr-FR"/>
              </w:rPr>
              <w:t>pays de la Communauté des Etats indépendants et 3</w:t>
            </w:r>
            <w:r w:rsidR="00105822" w:rsidRPr="0098490B">
              <w:rPr>
                <w:lang w:val="fr-FR"/>
              </w:rPr>
              <w:t>3 pays de la région Europe. Le p</w:t>
            </w:r>
            <w:r w:rsidR="00DB2065" w:rsidRPr="0098490B">
              <w:rPr>
                <w:lang w:val="fr-FR"/>
              </w:rPr>
              <w:t xml:space="preserve">ortail de l'UIT "Les jeunes filles dans le secteur des TIC" a enregistré </w:t>
            </w:r>
            <w:r w:rsidR="0012303C" w:rsidRPr="0098490B">
              <w:rPr>
                <w:lang w:val="fr-FR"/>
              </w:rPr>
              <w:t>1 117 695</w:t>
            </w:r>
            <w:r w:rsidR="00DB2065" w:rsidRPr="0098490B">
              <w:rPr>
                <w:lang w:val="fr-FR"/>
              </w:rPr>
              <w:t xml:space="preserve"> pages consultées </w:t>
            </w:r>
            <w:r w:rsidR="006259AE" w:rsidRPr="0098490B">
              <w:rPr>
                <w:lang w:val="fr-FR"/>
              </w:rPr>
              <w:t xml:space="preserve">entre janvier et septembre </w:t>
            </w:r>
            <w:r w:rsidR="00DB2065" w:rsidRPr="0098490B">
              <w:rPr>
                <w:lang w:val="fr-FR"/>
              </w:rPr>
              <w:t xml:space="preserve">2017, contre un total de 383 552 pages consultées en 2016 et </w:t>
            </w:r>
            <w:r w:rsidR="00DB079F">
              <w:rPr>
                <w:lang w:val="fr-FR"/>
              </w:rPr>
              <w:t>de </w:t>
            </w:r>
            <w:r w:rsidR="00DB2065" w:rsidRPr="0098490B">
              <w:rPr>
                <w:lang w:val="fr-FR"/>
              </w:rPr>
              <w:t>337</w:t>
            </w:r>
            <w:r w:rsidR="00105822" w:rsidRPr="0098490B">
              <w:rPr>
                <w:lang w:val="fr-FR"/>
              </w:rPr>
              <w:t> </w:t>
            </w:r>
            <w:r w:rsidR="00DB2065" w:rsidRPr="0098490B">
              <w:rPr>
                <w:lang w:val="fr-FR"/>
              </w:rPr>
              <w:t>936</w:t>
            </w:r>
            <w:r w:rsidR="00105822" w:rsidRPr="0098490B">
              <w:rPr>
                <w:lang w:val="fr-FR"/>
              </w:rPr>
              <w:t> </w:t>
            </w:r>
            <w:r w:rsidR="00DB2065" w:rsidRPr="0098490B">
              <w:rPr>
                <w:lang w:val="fr-FR"/>
              </w:rPr>
              <w:t>pages consultées en 2015. Des dizaines de millions de personnes à travers le monde ont été sensibilisées à la Journée des jeunes filles dans le secteur des TIC</w:t>
            </w:r>
            <w:r w:rsidR="006259AE" w:rsidRPr="0098490B">
              <w:rPr>
                <w:lang w:val="fr-FR"/>
              </w:rPr>
              <w:t xml:space="preserve">, qui </w:t>
            </w:r>
            <w:r w:rsidR="00DB2065" w:rsidRPr="0098490B">
              <w:rPr>
                <w:lang w:val="fr-FR"/>
              </w:rPr>
              <w:t xml:space="preserve">a été couverte par la </w:t>
            </w:r>
            <w:r w:rsidR="008475F9" w:rsidRPr="0098490B">
              <w:rPr>
                <w:lang w:val="fr-FR"/>
              </w:rPr>
              <w:t>BBC World Service Television</w:t>
            </w:r>
            <w:r w:rsidR="00DB2065" w:rsidRPr="0098490B">
              <w:rPr>
                <w:lang w:val="fr-FR"/>
              </w:rPr>
              <w:t xml:space="preserve"> en 2017</w:t>
            </w:r>
            <w:r w:rsidR="006259AE" w:rsidRPr="0098490B">
              <w:rPr>
                <w:lang w:val="fr-FR"/>
              </w:rPr>
              <w:t>. L</w:t>
            </w:r>
            <w:r w:rsidR="00DB2065" w:rsidRPr="0098490B">
              <w:rPr>
                <w:lang w:val="fr-FR"/>
              </w:rPr>
              <w:t xml:space="preserve">e hashtag #GirlsinICT a atteint plus de 63 millions de comptes Twitter et </w:t>
            </w:r>
            <w:r w:rsidR="008475F9" w:rsidRPr="0098490B">
              <w:rPr>
                <w:lang w:val="fr-FR"/>
              </w:rPr>
              <w:t xml:space="preserve">a </w:t>
            </w:r>
            <w:r w:rsidR="00DB2065" w:rsidRPr="0098490B">
              <w:rPr>
                <w:lang w:val="fr-FR"/>
              </w:rPr>
              <w:t>fait l'objet de 255 057 360 consultations.</w:t>
            </w:r>
          </w:p>
          <w:p w:rsidR="00DB2065" w:rsidRPr="0098490B" w:rsidRDefault="00126D0B" w:rsidP="009E709C">
            <w:pPr>
              <w:rPr>
                <w:lang w:val="fr-FR"/>
              </w:rPr>
            </w:pPr>
            <w:r w:rsidRPr="0098490B">
              <w:rPr>
                <w:lang w:val="fr-FR"/>
              </w:rPr>
              <w:t xml:space="preserve">Les membres de l'UIT ont été </w:t>
            </w:r>
            <w:r w:rsidR="00B1556B" w:rsidRPr="0098490B">
              <w:rPr>
                <w:lang w:val="fr-FR"/>
              </w:rPr>
              <w:t>informés</w:t>
            </w:r>
            <w:r w:rsidR="00DB2065" w:rsidRPr="0098490B">
              <w:rPr>
                <w:lang w:val="fr-FR"/>
              </w:rPr>
              <w:t xml:space="preserve"> et </w:t>
            </w:r>
            <w:r w:rsidRPr="0098490B">
              <w:rPr>
                <w:lang w:val="fr-FR"/>
              </w:rPr>
              <w:t xml:space="preserve">ont échangé </w:t>
            </w:r>
            <w:r w:rsidR="00DB2065" w:rsidRPr="0098490B">
              <w:rPr>
                <w:lang w:val="fr-FR"/>
              </w:rPr>
              <w:t>de bonnes pratiques grâce à la publication hebdomadaire de pratiques et de stratégies innovantes en matière d'inclusion numérique sur le site du bulletin</w:t>
            </w:r>
            <w:r w:rsidR="00B1556B" w:rsidRPr="0098490B">
              <w:rPr>
                <w:lang w:val="fr-FR"/>
              </w:rPr>
              <w:t xml:space="preserve"> d'actualité de l'UIT-D sur</w:t>
            </w:r>
            <w:r w:rsidR="00DB2065" w:rsidRPr="0098490B">
              <w:rPr>
                <w:lang w:val="fr-FR"/>
              </w:rPr>
              <w:t xml:space="preserve"> l'inclusion numérique.</w:t>
            </w:r>
            <w:r w:rsidRPr="0098490B">
              <w:rPr>
                <w:lang w:val="fr-FR"/>
              </w:rPr>
              <w:t xml:space="preserve"> </w:t>
            </w:r>
            <w:r w:rsidR="006F222C" w:rsidRPr="0098490B">
              <w:rPr>
                <w:color w:val="000000"/>
                <w:lang w:val="fr-FR"/>
              </w:rPr>
              <w:t>Les membres de l'UIT ont pu prendre connaissance de 181 programmes et bonnes pratiques sur l'inclusion</w:t>
            </w:r>
            <w:r w:rsidR="00B1556B" w:rsidRPr="0098490B">
              <w:rPr>
                <w:color w:val="000000"/>
                <w:lang w:val="fr-FR"/>
              </w:rPr>
              <w:t xml:space="preserve"> numérique publiés sur c</w:t>
            </w:r>
            <w:r w:rsidR="006F222C" w:rsidRPr="0098490B">
              <w:rPr>
                <w:color w:val="000000"/>
                <w:lang w:val="fr-FR"/>
              </w:rPr>
              <w:t>e site (</w:t>
            </w:r>
            <w:hyperlink r:id="rId14" w:history="1">
              <w:r w:rsidR="009E709C" w:rsidRPr="00BA0E09">
                <w:rPr>
                  <w:rStyle w:val="Hyperlink"/>
                  <w:szCs w:val="24"/>
                </w:rPr>
                <w:t>http://digita</w:t>
              </w:r>
              <w:r w:rsidR="009E709C" w:rsidRPr="00BA0E09">
                <w:rPr>
                  <w:rStyle w:val="Hyperlink"/>
                  <w:szCs w:val="24"/>
                </w:rPr>
                <w:t>l</w:t>
              </w:r>
              <w:r w:rsidR="009E709C" w:rsidRPr="00BA0E09">
                <w:rPr>
                  <w:rStyle w:val="Hyperlink"/>
                  <w:szCs w:val="24"/>
                </w:rPr>
                <w:t>inclusionnewslog.itu.int/</w:t>
              </w:r>
            </w:hyperlink>
            <w:r w:rsidR="006F222C" w:rsidRPr="0098490B">
              <w:rPr>
                <w:color w:val="000000"/>
                <w:lang w:val="fr-FR"/>
              </w:rPr>
              <w:t>) entre janvier et septembre</w:t>
            </w:r>
            <w:r w:rsidR="009E709C">
              <w:rPr>
                <w:color w:val="000000"/>
                <w:lang w:val="fr-FR"/>
              </w:rPr>
              <w:t> </w:t>
            </w:r>
            <w:r w:rsidR="006F222C" w:rsidRPr="0098490B">
              <w:rPr>
                <w:color w:val="000000"/>
                <w:lang w:val="fr-FR"/>
              </w:rPr>
              <w:t>2017, avec plus de 6 757 consultations des articles du site du bulletin d'actualité au cours de cette période.</w:t>
            </w:r>
            <w:r w:rsidR="006F222C" w:rsidRPr="0098490B">
              <w:rPr>
                <w:lang w:val="fr-FR"/>
              </w:rPr>
              <w:t xml:space="preserve"> </w:t>
            </w:r>
          </w:p>
          <w:p w:rsidR="00DB2065" w:rsidRPr="0098490B" w:rsidRDefault="006F222C" w:rsidP="00784D97">
            <w:pPr>
              <w:rPr>
                <w:szCs w:val="24"/>
                <w:lang w:val="fr-FR"/>
              </w:rPr>
            </w:pPr>
            <w:r w:rsidRPr="0098490B">
              <w:rPr>
                <w:szCs w:val="24"/>
                <w:lang w:val="fr-FR"/>
              </w:rPr>
              <w:t xml:space="preserve">Près de 200 parties prenantes ont été sensibilisées à l'importance de </w:t>
            </w:r>
            <w:r w:rsidRPr="0098490B">
              <w:rPr>
                <w:color w:val="000000"/>
                <w:lang w:val="fr-FR"/>
              </w:rPr>
              <w:t xml:space="preserve">doter les jeunes de compétences numériques adaptées à leur emploi au cours du dialogue de haut niveau sur les compétences numériques pour l'emploi décent des jeunes, qui s'est tenu dans le cadre du Forum du SMSI organisé en juin 2017. A cette occasion, la campagne conjointe UIT-OIT sur les compétences numériques pour l'emploi décent des jeunes a été lancée </w:t>
            </w:r>
            <w:r w:rsidR="00240FA8" w:rsidRPr="0098490B">
              <w:rPr>
                <w:color w:val="000000"/>
                <w:lang w:val="fr-FR"/>
              </w:rPr>
              <w:t xml:space="preserve">afin d'inciter un éventail de parties prenantes à doter 5 millions de jeunes dans le monde de compétences numériques adaptées à leur emploi d'ici 2030. La campagne a été lancée dans le cadre de l'Initiative mondiale en faveur de l'emploi décent des jeunes, qui bénéficie du soutien de 22 institutions du système des Nations Unies. L'UIT joue </w:t>
            </w:r>
            <w:r w:rsidR="00D12B18" w:rsidRPr="0098490B">
              <w:rPr>
                <w:color w:val="000000"/>
                <w:lang w:val="fr-FR"/>
              </w:rPr>
              <w:t>le</w:t>
            </w:r>
            <w:r w:rsidR="00240FA8" w:rsidRPr="0098490B">
              <w:rPr>
                <w:color w:val="000000"/>
                <w:lang w:val="fr-FR"/>
              </w:rPr>
              <w:t xml:space="preserve"> rôle de chef de file dans le domaine thématique des compétences numériques de cette Initi</w:t>
            </w:r>
            <w:r w:rsidR="00D12B18" w:rsidRPr="0098490B">
              <w:rPr>
                <w:color w:val="000000"/>
                <w:lang w:val="fr-FR"/>
              </w:rPr>
              <w:t xml:space="preserve">ative, qui vise à intensifier les </w:t>
            </w:r>
            <w:r w:rsidR="00240FA8" w:rsidRPr="0098490B">
              <w:rPr>
                <w:color w:val="000000"/>
                <w:lang w:val="fr-FR"/>
              </w:rPr>
              <w:t>action</w:t>
            </w:r>
            <w:r w:rsidR="00D12B18" w:rsidRPr="0098490B">
              <w:rPr>
                <w:color w:val="000000"/>
                <w:lang w:val="fr-FR"/>
              </w:rPr>
              <w:t>s menées au niveau</w:t>
            </w:r>
            <w:r w:rsidR="00240FA8" w:rsidRPr="0098490B">
              <w:rPr>
                <w:color w:val="000000"/>
                <w:lang w:val="fr-FR"/>
              </w:rPr>
              <w:t xml:space="preserve"> national</w:t>
            </w:r>
            <w:bookmarkStart w:id="165" w:name="lt_pId443"/>
            <w:r w:rsidR="00D12B18" w:rsidRPr="0098490B">
              <w:rPr>
                <w:color w:val="000000"/>
                <w:lang w:val="fr-FR"/>
              </w:rPr>
              <w:t xml:space="preserve"> </w:t>
            </w:r>
            <w:r w:rsidR="00DB2065" w:rsidRPr="0098490B">
              <w:rPr>
                <w:szCs w:val="24"/>
                <w:lang w:val="fr-FR"/>
              </w:rPr>
              <w:t>(</w:t>
            </w:r>
            <w:hyperlink r:id="rId15" w:history="1">
              <w:r w:rsidR="00DB2065" w:rsidRPr="0098490B">
                <w:rPr>
                  <w:rStyle w:val="Hyperlink"/>
                  <w:szCs w:val="24"/>
                  <w:lang w:val="fr-FR"/>
                </w:rPr>
                <w:t>www.itu.int/digitalskills</w:t>
              </w:r>
            </w:hyperlink>
            <w:r w:rsidR="00DB2065" w:rsidRPr="0098490B">
              <w:rPr>
                <w:szCs w:val="24"/>
                <w:lang w:val="fr-FR"/>
              </w:rPr>
              <w:t>).</w:t>
            </w:r>
            <w:bookmarkEnd w:id="165"/>
          </w:p>
          <w:p w:rsidR="00DB2065" w:rsidRPr="0098490B" w:rsidRDefault="00240FA8" w:rsidP="00784D97">
            <w:pPr>
              <w:rPr>
                <w:szCs w:val="24"/>
                <w:lang w:val="fr-FR"/>
              </w:rPr>
            </w:pPr>
            <w:bookmarkStart w:id="166" w:name="lt_pId444"/>
            <w:r w:rsidRPr="0098490B">
              <w:rPr>
                <w:szCs w:val="24"/>
                <w:lang w:val="fr-FR"/>
              </w:rPr>
              <w:t>Parmi les autres activités de sensibilisation et de renfor</w:t>
            </w:r>
            <w:r w:rsidR="00D12B18" w:rsidRPr="0098490B">
              <w:rPr>
                <w:szCs w:val="24"/>
                <w:lang w:val="fr-FR"/>
              </w:rPr>
              <w:t xml:space="preserve">cement des capacités figurent </w:t>
            </w:r>
            <w:r w:rsidRPr="0098490B">
              <w:rPr>
                <w:szCs w:val="24"/>
                <w:lang w:val="fr-FR"/>
              </w:rPr>
              <w:t>notamment:</w:t>
            </w:r>
            <w:bookmarkEnd w:id="166"/>
          </w:p>
          <w:p w:rsidR="00DB2065" w:rsidRPr="0098490B" w:rsidRDefault="00DB2065" w:rsidP="00784D97">
            <w:pPr>
              <w:pStyle w:val="enumlev1"/>
              <w:rPr>
                <w:lang w:val="fr-FR"/>
              </w:rPr>
            </w:pPr>
            <w:bookmarkStart w:id="167" w:name="lt_pId445"/>
            <w:r w:rsidRPr="0098490B">
              <w:rPr>
                <w:rFonts w:eastAsia="PMingLiU-ExtB"/>
                <w:lang w:val="fr-FR"/>
              </w:rPr>
              <w:t>–</w:t>
            </w:r>
            <w:r w:rsidRPr="0098490B">
              <w:rPr>
                <w:rFonts w:eastAsia="PMingLiU-ExtB"/>
                <w:lang w:val="fr-FR"/>
              </w:rPr>
              <w:tab/>
            </w:r>
            <w:r w:rsidR="00D12B18" w:rsidRPr="0098490B">
              <w:rPr>
                <w:rFonts w:eastAsia="PMingLiU-ExtB"/>
                <w:lang w:val="fr-FR"/>
              </w:rPr>
              <w:t xml:space="preserve">la </w:t>
            </w:r>
            <w:r w:rsidR="00240FA8" w:rsidRPr="0098490B">
              <w:rPr>
                <w:rFonts w:eastAsia="PMingLiU-ExtB"/>
                <w:lang w:val="fr-FR"/>
              </w:rPr>
              <w:t xml:space="preserve">fourniture d'une assistance à l'Egypte dans l'élaboration de sa </w:t>
            </w:r>
            <w:r w:rsidR="00240FA8" w:rsidRPr="0098490B">
              <w:rPr>
                <w:color w:val="000000"/>
                <w:lang w:val="fr-FR"/>
              </w:rPr>
              <w:t>politique nationale d'accessibilité des TIC;</w:t>
            </w:r>
            <w:bookmarkEnd w:id="167"/>
          </w:p>
          <w:p w:rsidR="00DB2065" w:rsidRPr="0098490B" w:rsidRDefault="00DB2065" w:rsidP="00784D97">
            <w:pPr>
              <w:pStyle w:val="enumlev1"/>
              <w:rPr>
                <w:lang w:val="fr-FR"/>
              </w:rPr>
            </w:pPr>
            <w:bookmarkStart w:id="168" w:name="lt_pId446"/>
            <w:r w:rsidRPr="0098490B">
              <w:rPr>
                <w:rFonts w:eastAsia="PMingLiU-ExtB"/>
                <w:lang w:val="fr-FR"/>
              </w:rPr>
              <w:t>–</w:t>
            </w:r>
            <w:r w:rsidRPr="0098490B">
              <w:rPr>
                <w:rFonts w:eastAsia="PMingLiU-ExtB"/>
                <w:lang w:val="fr-FR"/>
              </w:rPr>
              <w:tab/>
            </w:r>
            <w:r w:rsidR="00D12B18" w:rsidRPr="0098490B">
              <w:rPr>
                <w:rFonts w:eastAsia="PMingLiU-ExtB"/>
                <w:lang w:val="fr-FR"/>
              </w:rPr>
              <w:t xml:space="preserve">la </w:t>
            </w:r>
            <w:r w:rsidR="00240FA8" w:rsidRPr="0098490B">
              <w:rPr>
                <w:color w:val="000000"/>
                <w:lang w:val="fr-FR"/>
              </w:rPr>
              <w:t>création d'un centre d'accès à l'Internet et de formation pour les personnes malentendantes au Bélarus en mars 2017;</w:t>
            </w:r>
            <w:bookmarkEnd w:id="168"/>
          </w:p>
          <w:p w:rsidR="00DB2065" w:rsidRPr="0098490B" w:rsidRDefault="00DB2065" w:rsidP="00784D97">
            <w:pPr>
              <w:pStyle w:val="enumlev1"/>
              <w:rPr>
                <w:lang w:val="fr-FR"/>
              </w:rPr>
            </w:pPr>
            <w:bookmarkStart w:id="169" w:name="lt_pId447"/>
            <w:r w:rsidRPr="0098490B">
              <w:rPr>
                <w:rFonts w:eastAsia="PMingLiU-ExtB"/>
                <w:lang w:val="fr-FR"/>
              </w:rPr>
              <w:t>–</w:t>
            </w:r>
            <w:r w:rsidRPr="0098490B">
              <w:rPr>
                <w:rFonts w:eastAsia="PMingLiU-ExtB"/>
                <w:lang w:val="fr-FR"/>
              </w:rPr>
              <w:tab/>
            </w:r>
            <w:r w:rsidR="00D12B18" w:rsidRPr="0098490B">
              <w:rPr>
                <w:rFonts w:eastAsia="PMingLiU-ExtB"/>
                <w:lang w:val="fr-FR"/>
              </w:rPr>
              <w:t xml:space="preserve">la </w:t>
            </w:r>
            <w:r w:rsidR="005D040B" w:rsidRPr="0098490B">
              <w:rPr>
                <w:rFonts w:eastAsia="PMingLiU-ExtB"/>
                <w:lang w:val="fr-FR"/>
              </w:rPr>
              <w:t>fourniture d'un soutien à plus de 100 dirigeants autochtones issus des Etats Membres de l'UIT dans la région des Amériques en vue de renforcer leurs capacités en matière d'utilisation des télécommunications/TIC au service du développement social et économique;</w:t>
            </w:r>
            <w:bookmarkEnd w:id="169"/>
          </w:p>
          <w:p w:rsidR="00F27758" w:rsidRPr="0098490B" w:rsidRDefault="00DB2065" w:rsidP="00784D97">
            <w:pPr>
              <w:pStyle w:val="enumlev1"/>
              <w:rPr>
                <w:color w:val="000000"/>
                <w:lang w:val="fr-FR"/>
              </w:rPr>
            </w:pPr>
            <w:bookmarkStart w:id="170" w:name="lt_pId448"/>
            <w:r w:rsidRPr="0098490B">
              <w:rPr>
                <w:rFonts w:eastAsia="PMingLiU-ExtB"/>
                <w:lang w:val="fr-FR"/>
              </w:rPr>
              <w:t>–</w:t>
            </w:r>
            <w:r w:rsidRPr="0098490B">
              <w:rPr>
                <w:rFonts w:eastAsia="PMingLiU-ExtB"/>
                <w:lang w:val="fr-FR"/>
              </w:rPr>
              <w:tab/>
            </w:r>
            <w:r w:rsidR="00D12B18" w:rsidRPr="0098490B">
              <w:rPr>
                <w:rFonts w:eastAsia="PMingLiU-ExtB"/>
                <w:lang w:val="fr-FR"/>
              </w:rPr>
              <w:t xml:space="preserve">la </w:t>
            </w:r>
            <w:r w:rsidR="005D040B" w:rsidRPr="0098490B">
              <w:rPr>
                <w:rFonts w:eastAsia="PMingLiU-ExtB"/>
                <w:lang w:val="fr-FR"/>
              </w:rPr>
              <w:t xml:space="preserve">mise en place d'un programme de formation sur l'accessibilité du web intitulé </w:t>
            </w:r>
            <w:r w:rsidR="005D040B" w:rsidRPr="0098490B">
              <w:rPr>
                <w:lang w:val="fr-FR"/>
              </w:rPr>
              <w:t xml:space="preserve">"Internet for @ll" (l'Internet pour tous) composé d'une manifestation visant à recueillir l'adhésion des milieux politiques au niveau national sur l'accessibilité des TIC, et de deux </w:t>
            </w:r>
            <w:r w:rsidR="005D040B" w:rsidRPr="0098490B">
              <w:rPr>
                <w:color w:val="000000"/>
                <w:lang w:val="fr-FR"/>
              </w:rPr>
              <w:t>cours traditionnels de formation d</w:t>
            </w:r>
            <w:r w:rsidR="001058EA" w:rsidRPr="0098490B">
              <w:rPr>
                <w:color w:val="000000"/>
                <w:lang w:val="fr-FR"/>
              </w:rPr>
              <w:t>e formateurs sur les contenus</w:t>
            </w:r>
            <w:r w:rsidR="005D040B" w:rsidRPr="0098490B">
              <w:rPr>
                <w:color w:val="000000"/>
                <w:lang w:val="fr-FR"/>
              </w:rPr>
              <w:t xml:space="preserve"> web accessible</w:t>
            </w:r>
            <w:r w:rsidR="001058EA" w:rsidRPr="0098490B">
              <w:rPr>
                <w:color w:val="000000"/>
                <w:lang w:val="fr-FR"/>
              </w:rPr>
              <w:t>s</w:t>
            </w:r>
            <w:r w:rsidR="005D040B" w:rsidRPr="0098490B">
              <w:rPr>
                <w:color w:val="000000"/>
                <w:lang w:val="fr-FR"/>
              </w:rPr>
              <w:t xml:space="preserve"> et </w:t>
            </w:r>
            <w:r w:rsidR="001058EA" w:rsidRPr="0098490B">
              <w:rPr>
                <w:color w:val="000000"/>
                <w:lang w:val="fr-FR"/>
              </w:rPr>
              <w:t xml:space="preserve">sur </w:t>
            </w:r>
            <w:r w:rsidR="001058EA" w:rsidRPr="0098490B">
              <w:rPr>
                <w:color w:val="000000"/>
                <w:lang w:val="fr-FR"/>
              </w:rPr>
              <w:lastRenderedPageBreak/>
              <w:t>la c</w:t>
            </w:r>
            <w:r w:rsidR="005D040B" w:rsidRPr="0098490B">
              <w:rPr>
                <w:color w:val="000000"/>
                <w:lang w:val="fr-FR"/>
              </w:rPr>
              <w:t xml:space="preserve">onception </w:t>
            </w:r>
            <w:r w:rsidR="001058EA" w:rsidRPr="0098490B">
              <w:rPr>
                <w:color w:val="000000"/>
                <w:lang w:val="fr-FR"/>
              </w:rPr>
              <w:t>et la mise au point de sites web accessibles</w:t>
            </w:r>
            <w:r w:rsidR="005D040B" w:rsidRPr="0098490B">
              <w:rPr>
                <w:color w:val="000000"/>
                <w:lang w:val="fr-FR"/>
              </w:rPr>
              <w:t xml:space="preserve">, conformément aux </w:t>
            </w:r>
            <w:r w:rsidR="001058EA" w:rsidRPr="0098490B">
              <w:rPr>
                <w:color w:val="000000"/>
                <w:lang w:val="fr-FR"/>
              </w:rPr>
              <w:t>règles pour l</w:t>
            </w:r>
            <w:r w:rsidR="005D040B" w:rsidRPr="0098490B">
              <w:rPr>
                <w:color w:val="000000"/>
                <w:lang w:val="fr-FR"/>
              </w:rPr>
              <w:t>'accessibilité des contenus web (WCAG)</w:t>
            </w:r>
            <w:r w:rsidR="001058EA" w:rsidRPr="0098490B">
              <w:rPr>
                <w:color w:val="000000"/>
                <w:lang w:val="fr-FR"/>
              </w:rPr>
              <w:t xml:space="preserve"> 2.0</w:t>
            </w:r>
            <w:r w:rsidR="005D040B" w:rsidRPr="0098490B">
              <w:rPr>
                <w:color w:val="000000"/>
                <w:lang w:val="fr-FR"/>
              </w:rPr>
              <w:t>.</w:t>
            </w:r>
            <w:bookmarkEnd w:id="170"/>
            <w:r w:rsidR="002A3D18" w:rsidRPr="0098490B">
              <w:rPr>
                <w:color w:val="000000"/>
                <w:lang w:val="fr-FR"/>
              </w:rPr>
              <w:t xml:space="preserve"> Le programme de cette formation au niveau national sur l'accessibilité du web a été traduit en anglais, en français et en arabe; il sera traduit dans les autres langues officielles de l'Union en 2018.</w:t>
            </w:r>
            <w:bookmarkStart w:id="171" w:name="lt_pId450"/>
          </w:p>
          <w:p w:rsidR="00DB2065" w:rsidRPr="0098490B" w:rsidRDefault="00DB2065" w:rsidP="00105822">
            <w:pPr>
              <w:pStyle w:val="enumlev1"/>
              <w:spacing w:after="120"/>
              <w:rPr>
                <w:lang w:val="fr-FR"/>
              </w:rPr>
            </w:pPr>
            <w:r w:rsidRPr="0098490B">
              <w:rPr>
                <w:rFonts w:eastAsia="PMingLiU-ExtB"/>
                <w:lang w:val="fr-FR"/>
              </w:rPr>
              <w:t>–</w:t>
            </w:r>
            <w:r w:rsidRPr="0098490B">
              <w:rPr>
                <w:rFonts w:eastAsia="PMingLiU-ExtB"/>
                <w:lang w:val="fr-FR"/>
              </w:rPr>
              <w:tab/>
            </w:r>
            <w:r w:rsidR="00D12B18" w:rsidRPr="0098490B">
              <w:rPr>
                <w:rFonts w:eastAsia="PMingLiU-ExtB"/>
                <w:lang w:val="fr-FR"/>
              </w:rPr>
              <w:t>la fourniture d'une assistance</w:t>
            </w:r>
            <w:r w:rsidR="00F27758" w:rsidRPr="0098490B">
              <w:rPr>
                <w:lang w:val="fr-FR"/>
              </w:rPr>
              <w:t xml:space="preserve"> au </w:t>
            </w:r>
            <w:r w:rsidR="00F27758" w:rsidRPr="0098490B">
              <w:rPr>
                <w:color w:val="000000"/>
                <w:lang w:val="fr-FR"/>
              </w:rPr>
              <w:t>Ministère des technologies de l'information et de la communication de l'Egypte</w:t>
            </w:r>
            <w:r w:rsidR="00C37656" w:rsidRPr="0098490B">
              <w:rPr>
                <w:color w:val="000000"/>
                <w:lang w:val="fr-FR"/>
              </w:rPr>
              <w:t xml:space="preserve"> afin de formuler une politique</w:t>
            </w:r>
            <w:r w:rsidR="009E709C">
              <w:rPr>
                <w:color w:val="000000"/>
                <w:lang w:val="fr-FR"/>
              </w:rPr>
              <w:t xml:space="preserve"> en matière d'accessibilité des </w:t>
            </w:r>
            <w:r w:rsidR="00C37656" w:rsidRPr="0098490B">
              <w:rPr>
                <w:color w:val="000000"/>
                <w:lang w:val="fr-FR"/>
              </w:rPr>
              <w:t>TIC pour l'</w:t>
            </w:r>
            <w:proofErr w:type="spellStart"/>
            <w:r w:rsidR="00C37656" w:rsidRPr="0098490B">
              <w:rPr>
                <w:color w:val="000000"/>
                <w:lang w:val="fr-FR"/>
              </w:rPr>
              <w:t>Egypte</w:t>
            </w:r>
            <w:proofErr w:type="spellEnd"/>
            <w:r w:rsidR="00C37656" w:rsidRPr="0098490B">
              <w:rPr>
                <w:color w:val="000000"/>
                <w:lang w:val="fr-FR"/>
              </w:rPr>
              <w:t>.</w:t>
            </w:r>
            <w:bookmarkEnd w:id="171"/>
          </w:p>
        </w:tc>
      </w:tr>
      <w:tr w:rsidR="00DB2065" w:rsidRPr="0098490B" w:rsidTr="004268F3">
        <w:tc>
          <w:tcPr>
            <w:tcW w:w="3256" w:type="dxa"/>
            <w:tcBorders>
              <w:top w:val="single" w:sz="4" w:space="0" w:color="auto"/>
              <w:bottom w:val="single" w:sz="4" w:space="0" w:color="auto"/>
              <w:right w:val="single" w:sz="4" w:space="0" w:color="auto"/>
            </w:tcBorders>
          </w:tcPr>
          <w:p w:rsidR="00DB2065" w:rsidRPr="0098490B" w:rsidRDefault="00DB2065" w:rsidP="00105822">
            <w:pPr>
              <w:spacing w:before="0"/>
              <w:rPr>
                <w:i/>
                <w:iCs/>
                <w:szCs w:val="24"/>
                <w:lang w:val="fr-FR"/>
              </w:rPr>
            </w:pPr>
            <w:r w:rsidRPr="0098490B">
              <w:rPr>
                <w:i/>
                <w:iCs/>
                <w:szCs w:val="24"/>
                <w:lang w:val="fr-FR"/>
              </w:rPr>
              <w:lastRenderedPageBreak/>
              <w:t>CMDT</w:t>
            </w:r>
          </w:p>
        </w:tc>
        <w:tc>
          <w:tcPr>
            <w:tcW w:w="6373" w:type="dxa"/>
            <w:tcBorders>
              <w:top w:val="single" w:sz="4" w:space="0" w:color="auto"/>
              <w:left w:val="single" w:sz="4" w:space="0" w:color="auto"/>
              <w:bottom w:val="single" w:sz="4" w:space="0" w:color="auto"/>
            </w:tcBorders>
          </w:tcPr>
          <w:p w:rsidR="00DB2065" w:rsidRPr="0098490B" w:rsidRDefault="00DB2065" w:rsidP="00105822">
            <w:pPr>
              <w:spacing w:before="0"/>
              <w:rPr>
                <w:szCs w:val="24"/>
                <w:lang w:val="fr-FR"/>
              </w:rPr>
            </w:pPr>
            <w:bookmarkStart w:id="172" w:name="lt_pId452"/>
            <w:r w:rsidRPr="0098490B">
              <w:rPr>
                <w:szCs w:val="24"/>
                <w:lang w:val="fr-FR"/>
              </w:rPr>
              <w:t>Résolutions 1, 5, 9, 11, 15, 20, 21, 22, 23, 30, 32, 55, 58, 68, 76, 77</w:t>
            </w:r>
            <w:bookmarkEnd w:id="172"/>
          </w:p>
        </w:tc>
      </w:tr>
      <w:tr w:rsidR="00DB2065" w:rsidRPr="0098490B" w:rsidTr="004268F3">
        <w:trPr>
          <w:trHeight w:val="397"/>
        </w:trPr>
        <w:tc>
          <w:tcPr>
            <w:tcW w:w="3256" w:type="dxa"/>
            <w:tcBorders>
              <w:top w:val="single" w:sz="4" w:space="0" w:color="auto"/>
              <w:bottom w:val="single" w:sz="4" w:space="0" w:color="auto"/>
              <w:right w:val="single" w:sz="4" w:space="0" w:color="auto"/>
            </w:tcBorders>
          </w:tcPr>
          <w:p w:rsidR="00DB2065" w:rsidRPr="0098490B" w:rsidRDefault="002A3D18" w:rsidP="00105822">
            <w:pPr>
              <w:spacing w:before="0"/>
              <w:rPr>
                <w:i/>
                <w:iCs/>
                <w:lang w:val="fr-FR"/>
              </w:rPr>
            </w:pPr>
            <w:r w:rsidRPr="0098490B">
              <w:rPr>
                <w:i/>
                <w:iCs/>
                <w:lang w:val="fr-FR"/>
              </w:rPr>
              <w:t>Conférence de plénipotentiaires</w:t>
            </w:r>
          </w:p>
        </w:tc>
        <w:tc>
          <w:tcPr>
            <w:tcW w:w="6373" w:type="dxa"/>
            <w:tcBorders>
              <w:top w:val="single" w:sz="4" w:space="0" w:color="auto"/>
              <w:left w:val="single" w:sz="4" w:space="0" w:color="auto"/>
              <w:bottom w:val="single" w:sz="4" w:space="0" w:color="auto"/>
            </w:tcBorders>
          </w:tcPr>
          <w:p w:rsidR="00DB2065" w:rsidRPr="0098490B" w:rsidRDefault="00DB2065" w:rsidP="00105822">
            <w:pPr>
              <w:spacing w:before="0"/>
              <w:rPr>
                <w:szCs w:val="24"/>
                <w:lang w:val="fr-FR"/>
              </w:rPr>
            </w:pPr>
            <w:bookmarkStart w:id="173" w:name="lt_pId454"/>
            <w:r w:rsidRPr="0098490B">
              <w:rPr>
                <w:szCs w:val="24"/>
                <w:lang w:val="fr-FR"/>
              </w:rPr>
              <w:t>Décisions 5, 13</w:t>
            </w:r>
            <w:bookmarkEnd w:id="173"/>
          </w:p>
          <w:p w:rsidR="00DB2065" w:rsidRPr="0098490B" w:rsidRDefault="00DB2065" w:rsidP="00105822">
            <w:pPr>
              <w:spacing w:before="0"/>
              <w:rPr>
                <w:szCs w:val="24"/>
                <w:lang w:val="fr-FR"/>
              </w:rPr>
            </w:pPr>
            <w:bookmarkStart w:id="174" w:name="lt_pId455"/>
            <w:r w:rsidRPr="0098490B">
              <w:rPr>
                <w:szCs w:val="24"/>
                <w:lang w:val="fr-FR"/>
              </w:rPr>
              <w:t>Résolutions 25, 30, 32, 33, 34, 36, 37, 64, 70, 71, 131, 139, 140, 175, 184, 198, 202</w:t>
            </w:r>
            <w:bookmarkEnd w:id="174"/>
          </w:p>
        </w:tc>
      </w:tr>
      <w:tr w:rsidR="00DB2065" w:rsidRPr="0098490B" w:rsidTr="004268F3">
        <w:trPr>
          <w:trHeight w:val="397"/>
        </w:trPr>
        <w:tc>
          <w:tcPr>
            <w:tcW w:w="3256" w:type="dxa"/>
            <w:tcBorders>
              <w:top w:val="single" w:sz="4" w:space="0" w:color="auto"/>
              <w:bottom w:val="single" w:sz="4" w:space="0" w:color="auto"/>
              <w:right w:val="single" w:sz="4" w:space="0" w:color="auto"/>
            </w:tcBorders>
          </w:tcPr>
          <w:p w:rsidR="00DB2065" w:rsidRPr="0098490B" w:rsidRDefault="00DB2065" w:rsidP="00105822">
            <w:pPr>
              <w:spacing w:before="0"/>
              <w:rPr>
                <w:i/>
                <w:iCs/>
                <w:lang w:val="fr-FR"/>
              </w:rPr>
            </w:pPr>
            <w:r w:rsidRPr="0098490B">
              <w:rPr>
                <w:i/>
                <w:iCs/>
                <w:lang w:val="fr-FR"/>
              </w:rPr>
              <w:t>AMNT</w:t>
            </w:r>
          </w:p>
        </w:tc>
        <w:tc>
          <w:tcPr>
            <w:tcW w:w="6373" w:type="dxa"/>
            <w:tcBorders>
              <w:top w:val="single" w:sz="4" w:space="0" w:color="auto"/>
              <w:left w:val="single" w:sz="4" w:space="0" w:color="auto"/>
              <w:bottom w:val="single" w:sz="4" w:space="0" w:color="auto"/>
            </w:tcBorders>
          </w:tcPr>
          <w:p w:rsidR="00DB2065" w:rsidRPr="0098490B" w:rsidRDefault="00DB2065" w:rsidP="00105822">
            <w:pPr>
              <w:spacing w:before="0"/>
              <w:rPr>
                <w:szCs w:val="24"/>
                <w:lang w:val="fr-FR"/>
              </w:rPr>
            </w:pPr>
            <w:bookmarkStart w:id="175" w:name="lt_pId457"/>
            <w:r w:rsidRPr="0098490B">
              <w:rPr>
                <w:szCs w:val="24"/>
                <w:lang w:val="fr-FR"/>
              </w:rPr>
              <w:t>Résolution 55, 69</w:t>
            </w:r>
            <w:bookmarkEnd w:id="175"/>
          </w:p>
        </w:tc>
      </w:tr>
      <w:tr w:rsidR="00DB2065" w:rsidRPr="0098490B" w:rsidTr="004268F3">
        <w:trPr>
          <w:trHeight w:val="397"/>
        </w:trPr>
        <w:tc>
          <w:tcPr>
            <w:tcW w:w="3256" w:type="dxa"/>
            <w:tcBorders>
              <w:top w:val="single" w:sz="4" w:space="0" w:color="auto"/>
              <w:bottom w:val="single" w:sz="4" w:space="0" w:color="auto"/>
              <w:right w:val="single" w:sz="4" w:space="0" w:color="auto"/>
            </w:tcBorders>
          </w:tcPr>
          <w:p w:rsidR="00DB2065" w:rsidRPr="0098490B" w:rsidRDefault="00DB2065" w:rsidP="00105822">
            <w:pPr>
              <w:spacing w:before="0"/>
              <w:rPr>
                <w:i/>
                <w:iCs/>
                <w:szCs w:val="24"/>
                <w:lang w:val="fr-FR"/>
              </w:rPr>
            </w:pPr>
            <w:r w:rsidRPr="0098490B">
              <w:rPr>
                <w:i/>
                <w:iCs/>
                <w:lang w:val="fr-FR"/>
              </w:rPr>
              <w:t>Grandes orientations du SMSI</w:t>
            </w:r>
          </w:p>
        </w:tc>
        <w:tc>
          <w:tcPr>
            <w:tcW w:w="6373" w:type="dxa"/>
            <w:tcBorders>
              <w:top w:val="single" w:sz="4" w:space="0" w:color="auto"/>
              <w:left w:val="single" w:sz="4" w:space="0" w:color="auto"/>
              <w:bottom w:val="single" w:sz="4" w:space="0" w:color="auto"/>
            </w:tcBorders>
          </w:tcPr>
          <w:p w:rsidR="00DB2065" w:rsidRPr="0098490B" w:rsidRDefault="002A3D18" w:rsidP="00105822">
            <w:pPr>
              <w:spacing w:before="0"/>
              <w:rPr>
                <w:szCs w:val="24"/>
                <w:lang w:val="fr-FR"/>
              </w:rPr>
            </w:pPr>
            <w:bookmarkStart w:id="176" w:name="lt_pId459"/>
            <w:r w:rsidRPr="0098490B">
              <w:rPr>
                <w:color w:val="000000"/>
                <w:lang w:val="fr-FR"/>
              </w:rPr>
              <w:t xml:space="preserve">Grandes orientations </w:t>
            </w:r>
            <w:r w:rsidRPr="0098490B">
              <w:rPr>
                <w:szCs w:val="24"/>
                <w:lang w:val="fr-FR"/>
              </w:rPr>
              <w:t>C2, C4,</w:t>
            </w:r>
            <w:r w:rsidR="00DB2065" w:rsidRPr="0098490B">
              <w:rPr>
                <w:szCs w:val="24"/>
                <w:lang w:val="fr-FR"/>
              </w:rPr>
              <w:t xml:space="preserve"> C7 </w:t>
            </w:r>
            <w:r w:rsidRPr="0098490B">
              <w:rPr>
                <w:szCs w:val="24"/>
                <w:lang w:val="fr-FR"/>
              </w:rPr>
              <w:t>et</w:t>
            </w:r>
            <w:r w:rsidR="00DB2065" w:rsidRPr="0098490B">
              <w:rPr>
                <w:szCs w:val="24"/>
                <w:lang w:val="fr-FR"/>
              </w:rPr>
              <w:t xml:space="preserve"> C8 </w:t>
            </w:r>
            <w:r w:rsidRPr="0098490B">
              <w:rPr>
                <w:color w:val="000000"/>
                <w:lang w:val="fr-FR"/>
              </w:rPr>
              <w:t>du SMSI figurant dans le Plan d'action de Genève et le paragraphe 90 de l'Agenda de Tunis pour la société de l'information</w:t>
            </w:r>
            <w:bookmarkEnd w:id="176"/>
          </w:p>
        </w:tc>
      </w:tr>
      <w:tr w:rsidR="00DB2065" w:rsidRPr="0098490B" w:rsidTr="004268F3">
        <w:tc>
          <w:tcPr>
            <w:tcW w:w="3256" w:type="dxa"/>
            <w:tcBorders>
              <w:top w:val="single" w:sz="4" w:space="0" w:color="auto"/>
              <w:bottom w:val="single" w:sz="4" w:space="0" w:color="auto"/>
              <w:right w:val="single" w:sz="4" w:space="0" w:color="auto"/>
            </w:tcBorders>
          </w:tcPr>
          <w:p w:rsidR="00DB2065" w:rsidRPr="0098490B" w:rsidRDefault="00DB2065" w:rsidP="00105822">
            <w:pPr>
              <w:spacing w:before="0"/>
              <w:rPr>
                <w:i/>
                <w:iCs/>
                <w:szCs w:val="24"/>
                <w:lang w:val="fr-FR"/>
              </w:rPr>
            </w:pPr>
            <w:r w:rsidRPr="0098490B">
              <w:rPr>
                <w:i/>
                <w:iCs/>
                <w:lang w:val="fr-FR"/>
              </w:rPr>
              <w:t>Contribution aux cibles des O</w:t>
            </w:r>
            <w:r w:rsidR="002A3D18" w:rsidRPr="0098490B">
              <w:rPr>
                <w:i/>
                <w:iCs/>
                <w:lang w:val="fr-FR"/>
              </w:rPr>
              <w:t>bjectifs de développement durable</w:t>
            </w:r>
          </w:p>
        </w:tc>
        <w:tc>
          <w:tcPr>
            <w:tcW w:w="6373" w:type="dxa"/>
            <w:tcBorders>
              <w:top w:val="single" w:sz="4" w:space="0" w:color="auto"/>
              <w:left w:val="single" w:sz="4" w:space="0" w:color="auto"/>
              <w:bottom w:val="single" w:sz="4" w:space="0" w:color="auto"/>
            </w:tcBorders>
          </w:tcPr>
          <w:p w:rsidR="00DB2065" w:rsidRPr="0098490B" w:rsidRDefault="002A3D18" w:rsidP="00105822">
            <w:pPr>
              <w:spacing w:before="0"/>
              <w:rPr>
                <w:szCs w:val="24"/>
                <w:lang w:val="fr-FR"/>
              </w:rPr>
            </w:pPr>
            <w:bookmarkStart w:id="177" w:name="lt_pId461"/>
            <w:r w:rsidRPr="0098490B">
              <w:rPr>
                <w:szCs w:val="24"/>
                <w:lang w:val="fr-FR"/>
              </w:rPr>
              <w:t>Objectif</w:t>
            </w:r>
            <w:r w:rsidR="001058EA" w:rsidRPr="0098490B">
              <w:rPr>
                <w:szCs w:val="24"/>
                <w:lang w:val="fr-FR"/>
              </w:rPr>
              <w:t>s</w:t>
            </w:r>
            <w:r w:rsidRPr="0098490B">
              <w:rPr>
                <w:szCs w:val="24"/>
                <w:lang w:val="fr-FR"/>
              </w:rPr>
              <w:t xml:space="preserve"> de développement durable</w:t>
            </w:r>
            <w:r w:rsidR="00DB2065" w:rsidRPr="0098490B">
              <w:rPr>
                <w:szCs w:val="24"/>
                <w:lang w:val="fr-FR"/>
              </w:rPr>
              <w:t>:</w:t>
            </w:r>
            <w:bookmarkEnd w:id="177"/>
            <w:r w:rsidR="00DB2065" w:rsidRPr="0098490B">
              <w:rPr>
                <w:szCs w:val="24"/>
                <w:lang w:val="fr-FR"/>
              </w:rPr>
              <w:t xml:space="preserve"> </w:t>
            </w:r>
            <w:bookmarkStart w:id="178" w:name="lt_pId462"/>
            <w:r w:rsidR="00DB2065" w:rsidRPr="0098490B">
              <w:rPr>
                <w:szCs w:val="24"/>
                <w:lang w:val="fr-FR"/>
              </w:rPr>
              <w:t>1 (cibles 1.2, 1.4, 1.a, 1.b), 4 (cibles 4.1, 4.2, 4.3, 4.4, 4.5, 4.a, 4.b), 5 (5.1, 5.5, 5.b, 5.c), 8 (cibles 8.2, 8.3, 8.5, 8.6, 8.10, 8.b), 9 (cible 9.c), 10 (cibles 10.2, 10.3), 11 (cibles 11.2, 11.7, 11.c), 16 (cible 16.b), 17 (cibles 17.6, 17.7, 17.8, 17.17)</w:t>
            </w:r>
            <w:bookmarkEnd w:id="178"/>
          </w:p>
        </w:tc>
      </w:tr>
    </w:tbl>
    <w:p w:rsidR="00084CA2" w:rsidRPr="0098490B" w:rsidRDefault="00084CA2" w:rsidP="00105822">
      <w:pPr>
        <w:pStyle w:val="Heading2"/>
        <w:spacing w:after="120"/>
        <w:rPr>
          <w:lang w:val="fr-FR"/>
        </w:rPr>
      </w:pPr>
      <w:bookmarkStart w:id="179" w:name="_Toc467807705"/>
      <w:bookmarkStart w:id="180" w:name="_Toc468087104"/>
      <w:r w:rsidRPr="0098490B">
        <w:rPr>
          <w:lang w:val="fr-FR"/>
        </w:rPr>
        <w:t>4.4</w:t>
      </w:r>
      <w:r w:rsidRPr="0098490B">
        <w:rPr>
          <w:lang w:val="fr-FR"/>
        </w:rPr>
        <w:tab/>
        <w:t>Fourniture d'une assistance ciblée aux PMA, aux PEID et aux PDSL</w:t>
      </w:r>
      <w:bookmarkEnd w:id="179"/>
      <w:bookmarkEnd w:id="180"/>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084CA2" w:rsidRPr="0098490B" w:rsidTr="004268F3">
        <w:tc>
          <w:tcPr>
            <w:tcW w:w="9629" w:type="dxa"/>
            <w:gridSpan w:val="2"/>
            <w:tcBorders>
              <w:bottom w:val="single" w:sz="4" w:space="0" w:color="auto"/>
            </w:tcBorders>
          </w:tcPr>
          <w:p w:rsidR="000473ED" w:rsidRPr="0098490B" w:rsidRDefault="000473ED" w:rsidP="00784D97">
            <w:pPr>
              <w:rPr>
                <w:szCs w:val="24"/>
                <w:lang w:val="fr-FR"/>
              </w:rPr>
            </w:pPr>
            <w:bookmarkStart w:id="181" w:name="lt_pId465"/>
            <w:r w:rsidRPr="0098490B">
              <w:rPr>
                <w:szCs w:val="24"/>
                <w:lang w:val="fr-FR"/>
              </w:rPr>
              <w:t xml:space="preserve">En 2017, l'UIT a poursuivi ses efforts en vue de mieux faire connaître l'importance des TIC pour le développement durable, d'offrir une assistance ciblée et de renforcer les capacités des pays les moins avancés (PMA), des </w:t>
            </w:r>
            <w:r w:rsidRPr="0098490B">
              <w:rPr>
                <w:color w:val="000000"/>
                <w:lang w:val="fr-FR"/>
              </w:rPr>
              <w:t>pays en développement sans littoral (PDSL), et des petits Etats insulaires en développement (PEID)</w:t>
            </w:r>
            <w:r w:rsidR="00122AE9" w:rsidRPr="0098490B">
              <w:rPr>
                <w:color w:val="000000"/>
                <w:lang w:val="fr-FR"/>
              </w:rPr>
              <w:t>. Diverses activités, initiatives, programmes et projets liés aux TIC ont été mis en oeuvre dans les pays concernés.</w:t>
            </w:r>
          </w:p>
          <w:p w:rsidR="000473ED" w:rsidRPr="0098490B" w:rsidRDefault="00122AE9" w:rsidP="00C057A3">
            <w:pPr>
              <w:rPr>
                <w:color w:val="000000"/>
                <w:lang w:val="fr-FR"/>
              </w:rPr>
            </w:pPr>
            <w:r w:rsidRPr="0098490B">
              <w:rPr>
                <w:szCs w:val="24"/>
                <w:lang w:val="fr-FR"/>
              </w:rPr>
              <w:t xml:space="preserve">Au mois d'octobre 2017, </w:t>
            </w:r>
            <w:r w:rsidR="009470C0" w:rsidRPr="0098490B">
              <w:rPr>
                <w:color w:val="000000"/>
                <w:lang w:val="fr-FR"/>
              </w:rPr>
              <w:t xml:space="preserve">en amont de la CMDT-17, </w:t>
            </w:r>
            <w:r w:rsidRPr="0098490B">
              <w:rPr>
                <w:szCs w:val="24"/>
                <w:lang w:val="fr-FR"/>
              </w:rPr>
              <w:t xml:space="preserve">une </w:t>
            </w:r>
            <w:r w:rsidRPr="0098490B">
              <w:rPr>
                <w:color w:val="000000"/>
                <w:lang w:val="fr-FR"/>
              </w:rPr>
              <w:t>Table ronde ministérielle sur les TIC au service des O</w:t>
            </w:r>
            <w:r w:rsidR="009470C0" w:rsidRPr="0098490B">
              <w:rPr>
                <w:color w:val="000000"/>
                <w:lang w:val="fr-FR"/>
              </w:rPr>
              <w:t>bjectifs de développement durable</w:t>
            </w:r>
            <w:r w:rsidRPr="0098490B">
              <w:rPr>
                <w:color w:val="000000"/>
                <w:lang w:val="fr-FR"/>
              </w:rPr>
              <w:t xml:space="preserve"> dans les PMA, les PDSL et les PEID</w:t>
            </w:r>
            <w:r w:rsidR="009954DF" w:rsidRPr="0098490B">
              <w:rPr>
                <w:color w:val="000000"/>
                <w:lang w:val="fr-FR"/>
              </w:rPr>
              <w:t xml:space="preserve"> a été organisée en présence de 90 participants. Les participants ont mis en lumière la manière dont les TIC accélèrent la réalisation des Objectifs de développement durable et ont évoqué des initiatives au niveau national sur la manière d'apporter des solutions et de surmonter les obstacles quant au </w:t>
            </w:r>
            <w:r w:rsidR="00105822" w:rsidRPr="0098490B">
              <w:rPr>
                <w:color w:val="000000"/>
                <w:lang w:val="fr-FR"/>
              </w:rPr>
              <w:t xml:space="preserve">prix, à la </w:t>
            </w:r>
            <w:r w:rsidR="00C057A3">
              <w:rPr>
                <w:color w:val="000000"/>
                <w:lang w:val="fr-FR"/>
              </w:rPr>
              <w:t>connectivité</w:t>
            </w:r>
            <w:r w:rsidR="00105822" w:rsidRPr="0098490B">
              <w:rPr>
                <w:color w:val="000000"/>
                <w:lang w:val="fr-FR"/>
              </w:rPr>
              <w:t xml:space="preserve"> et à l'utilisation des TIC, ainsi qu'à l'accès à</w:t>
            </w:r>
            <w:r w:rsidR="009954DF" w:rsidRPr="0098490B">
              <w:rPr>
                <w:color w:val="000000"/>
                <w:lang w:val="fr-FR"/>
              </w:rPr>
              <w:t xml:space="preserve"> ces technologies.</w:t>
            </w:r>
          </w:p>
          <w:p w:rsidR="00A908B4" w:rsidRPr="0098490B" w:rsidRDefault="009954DF" w:rsidP="00784D97">
            <w:pPr>
              <w:rPr>
                <w:color w:val="000000"/>
                <w:lang w:val="fr-FR"/>
              </w:rPr>
            </w:pPr>
            <w:r w:rsidRPr="0098490B">
              <w:rPr>
                <w:color w:val="000000"/>
                <w:lang w:val="fr-FR"/>
              </w:rPr>
              <w:t xml:space="preserve">D'importantes activités de sensibilisation et de communication ont été menées à bien au cours de manifestations organisées par le Bureau du Haut Représentant </w:t>
            </w:r>
            <w:r w:rsidR="009470C0" w:rsidRPr="0098490B">
              <w:rPr>
                <w:color w:val="000000"/>
                <w:lang w:val="fr-FR"/>
              </w:rPr>
              <w:t xml:space="preserve">des Nations Unies </w:t>
            </w:r>
            <w:r w:rsidRPr="0098490B">
              <w:rPr>
                <w:color w:val="000000"/>
                <w:lang w:val="fr-FR"/>
              </w:rPr>
              <w:t xml:space="preserve">pour les pays les moins avancés, les pays en développement sans littoral et les petits </w:t>
            </w:r>
            <w:r w:rsidR="00105822" w:rsidRPr="0098490B">
              <w:rPr>
                <w:color w:val="000000"/>
                <w:lang w:val="fr-FR"/>
              </w:rPr>
              <w:t>E</w:t>
            </w:r>
            <w:r w:rsidRPr="0098490B">
              <w:rPr>
                <w:color w:val="000000"/>
                <w:lang w:val="fr-FR"/>
              </w:rPr>
              <w:t xml:space="preserve">tats insulaires en développement. Parmi ces manifestations, citons la réunion régionale des pays les moins avancés d'Afrique, tenue au Sénégal, </w:t>
            </w:r>
            <w:r w:rsidR="009470C0" w:rsidRPr="0098490B">
              <w:rPr>
                <w:color w:val="000000"/>
                <w:lang w:val="fr-FR"/>
              </w:rPr>
              <w:t>ainsi que</w:t>
            </w:r>
            <w:r w:rsidRPr="0098490B">
              <w:rPr>
                <w:color w:val="000000"/>
                <w:lang w:val="fr-FR"/>
              </w:rPr>
              <w:t xml:space="preserve"> la réunion du Groupe d'experts sur le financement du développement des infrastructures, </w:t>
            </w:r>
            <w:r w:rsidR="009470C0" w:rsidRPr="0098490B">
              <w:rPr>
                <w:color w:val="000000"/>
                <w:lang w:val="fr-FR"/>
              </w:rPr>
              <w:t>visant à</w:t>
            </w:r>
            <w:r w:rsidRPr="0098490B">
              <w:rPr>
                <w:color w:val="000000"/>
                <w:lang w:val="fr-FR"/>
              </w:rPr>
              <w:t xml:space="preserve"> permettre une intégration accrue des pays en développement sans littoral dans le commerce mondial, </w:t>
            </w:r>
            <w:r w:rsidR="009470C0" w:rsidRPr="0098490B">
              <w:rPr>
                <w:color w:val="000000"/>
                <w:lang w:val="fr-FR"/>
              </w:rPr>
              <w:t>et la 15ème réunion du g</w:t>
            </w:r>
            <w:r w:rsidRPr="0098490B">
              <w:rPr>
                <w:color w:val="000000"/>
                <w:lang w:val="fr-FR"/>
              </w:rPr>
              <w:t>roupe consultatif interinstitutions</w:t>
            </w:r>
            <w:r w:rsidR="00AB2E6A" w:rsidRPr="0098490B">
              <w:rPr>
                <w:color w:val="000000"/>
                <w:lang w:val="fr-FR"/>
              </w:rPr>
              <w:t xml:space="preserve"> du système des Nations Unies et des organisations internationales sur la mise en oeuvre du Programme d'action d'Istanbul (IPoA) pour les pays les moins avancés pour la période 2011-2020, toutes deux organisées à New York.</w:t>
            </w:r>
            <w:bookmarkEnd w:id="181"/>
            <w:r w:rsidR="00A908B4" w:rsidRPr="0098490B">
              <w:rPr>
                <w:color w:val="000000"/>
                <w:lang w:val="fr-FR"/>
              </w:rPr>
              <w:t xml:space="preserve"> </w:t>
            </w:r>
          </w:p>
          <w:p w:rsidR="00084CA2" w:rsidRPr="0098490B" w:rsidRDefault="00AB2E6A" w:rsidP="00105822">
            <w:pPr>
              <w:rPr>
                <w:lang w:val="fr-FR"/>
              </w:rPr>
            </w:pPr>
            <w:bookmarkStart w:id="182" w:name="lt_pId471"/>
            <w:r w:rsidRPr="0098490B">
              <w:rPr>
                <w:szCs w:val="24"/>
                <w:lang w:val="fr-FR"/>
              </w:rPr>
              <w:lastRenderedPageBreak/>
              <w:t xml:space="preserve">Deux rapports sont en cours d'élaboration sur les </w:t>
            </w:r>
            <w:r w:rsidR="003A6991" w:rsidRPr="0098490B">
              <w:rPr>
                <w:szCs w:val="24"/>
                <w:lang w:val="fr-FR"/>
              </w:rPr>
              <w:t>p</w:t>
            </w:r>
            <w:r w:rsidRPr="0098490B">
              <w:rPr>
                <w:szCs w:val="24"/>
                <w:lang w:val="fr-FR"/>
              </w:rPr>
              <w:t>ays en développement sans littora</w:t>
            </w:r>
            <w:r w:rsidR="003A6991" w:rsidRPr="0098490B">
              <w:rPr>
                <w:szCs w:val="24"/>
                <w:lang w:val="fr-FR"/>
              </w:rPr>
              <w:t>l (PDSL) de la région Amériques, et sur les</w:t>
            </w:r>
            <w:r w:rsidRPr="0098490B">
              <w:rPr>
                <w:szCs w:val="24"/>
                <w:lang w:val="fr-FR"/>
              </w:rPr>
              <w:t xml:space="preserve"> possibilités en matière de connectivité et </w:t>
            </w:r>
            <w:r w:rsidR="003A6991" w:rsidRPr="0098490B">
              <w:rPr>
                <w:szCs w:val="24"/>
                <w:lang w:val="fr-FR"/>
              </w:rPr>
              <w:t xml:space="preserve">les </w:t>
            </w:r>
            <w:r w:rsidRPr="0098490B">
              <w:rPr>
                <w:szCs w:val="24"/>
                <w:lang w:val="fr-FR"/>
              </w:rPr>
              <w:t>défis à relever en Bolivie et au Paraguay; ils ont pour objectifs de renfor</w:t>
            </w:r>
            <w:r w:rsidR="0037319A">
              <w:rPr>
                <w:szCs w:val="24"/>
                <w:lang w:val="fr-FR"/>
              </w:rPr>
              <w:t>cer les capacités des PDSL. Le P</w:t>
            </w:r>
            <w:r w:rsidRPr="0098490B">
              <w:rPr>
                <w:szCs w:val="24"/>
                <w:lang w:val="fr-FR"/>
              </w:rPr>
              <w:t xml:space="preserve">lan stratégique institutionnel de la </w:t>
            </w:r>
            <w:r w:rsidR="003A6991" w:rsidRPr="0098490B">
              <w:rPr>
                <w:szCs w:val="24"/>
                <w:lang w:val="fr-FR"/>
              </w:rPr>
              <w:t>c</w:t>
            </w:r>
            <w:r w:rsidRPr="0098490B">
              <w:rPr>
                <w:szCs w:val="24"/>
                <w:lang w:val="fr-FR"/>
              </w:rPr>
              <w:t>ommission de</w:t>
            </w:r>
            <w:r w:rsidR="003A6991" w:rsidRPr="0098490B">
              <w:rPr>
                <w:szCs w:val="24"/>
                <w:lang w:val="fr-FR"/>
              </w:rPr>
              <w:t>s technologies de</w:t>
            </w:r>
            <w:r w:rsidRPr="0098490B">
              <w:rPr>
                <w:szCs w:val="24"/>
                <w:lang w:val="fr-FR"/>
              </w:rPr>
              <w:t xml:space="preserve"> l'information et des communications de la Tanzanie, récemment mise en place, est en train d'être finalisé.</w:t>
            </w:r>
            <w:r w:rsidR="00266A81" w:rsidRPr="0098490B">
              <w:rPr>
                <w:szCs w:val="24"/>
                <w:lang w:val="fr-FR"/>
              </w:rPr>
              <w:t xml:space="preserve"> Ce plan aidera la Tanzanie</w:t>
            </w:r>
            <w:r w:rsidR="00266A81" w:rsidRPr="0098490B">
              <w:rPr>
                <w:color w:val="000000"/>
                <w:lang w:val="fr-FR"/>
              </w:rPr>
              <w:t xml:space="preserve"> à mettre en oeuvre un programme structuré de développement des TIC</w:t>
            </w:r>
            <w:r w:rsidR="00105822" w:rsidRPr="0098490B">
              <w:rPr>
                <w:color w:val="000000"/>
                <w:lang w:val="fr-FR"/>
              </w:rPr>
              <w:t xml:space="preserve"> dans le pays</w:t>
            </w:r>
            <w:r w:rsidR="00266A81" w:rsidRPr="0098490B">
              <w:rPr>
                <w:color w:val="000000"/>
                <w:lang w:val="fr-FR"/>
              </w:rPr>
              <w:t>.</w:t>
            </w:r>
            <w:bookmarkEnd w:id="182"/>
          </w:p>
          <w:p w:rsidR="00A908B4" w:rsidRPr="0098490B" w:rsidRDefault="00084CA2" w:rsidP="00784D97">
            <w:pPr>
              <w:rPr>
                <w:lang w:val="fr-FR"/>
              </w:rPr>
            </w:pPr>
            <w:r w:rsidRPr="0098490B">
              <w:rPr>
                <w:lang w:val="fr-FR"/>
              </w:rPr>
              <w:t xml:space="preserve">L'UIT a </w:t>
            </w:r>
            <w:r w:rsidR="00266A81" w:rsidRPr="0098490B">
              <w:rPr>
                <w:lang w:val="fr-FR"/>
              </w:rPr>
              <w:t>continué d'aider</w:t>
            </w:r>
            <w:r w:rsidRPr="0098490B">
              <w:rPr>
                <w:lang w:val="fr-FR"/>
              </w:rPr>
              <w:t xml:space="preserve"> les pays frappés par </w:t>
            </w:r>
            <w:r w:rsidR="003A6991" w:rsidRPr="0098490B">
              <w:rPr>
                <w:lang w:val="fr-FR"/>
              </w:rPr>
              <w:t>des</w:t>
            </w:r>
            <w:r w:rsidRPr="0098490B">
              <w:rPr>
                <w:lang w:val="fr-FR"/>
              </w:rPr>
              <w:t xml:space="preserve"> catastrophe</w:t>
            </w:r>
            <w:r w:rsidR="003A6991" w:rsidRPr="0098490B">
              <w:rPr>
                <w:lang w:val="fr-FR"/>
              </w:rPr>
              <w:t>s</w:t>
            </w:r>
            <w:r w:rsidRPr="0098490B">
              <w:rPr>
                <w:lang w:val="fr-FR"/>
              </w:rPr>
              <w:t xml:space="preserve"> à rétablir leurs réseaux de communication, en fournissant une assistance directe: évaluations des dégâts subis par les équipements et les infrastructures, reconstruction et remise en état des infrastructures de télécommunication. </w:t>
            </w:r>
          </w:p>
          <w:p w:rsidR="00A908B4" w:rsidRPr="0098490B" w:rsidRDefault="00266A81" w:rsidP="00784D97">
            <w:pPr>
              <w:rPr>
                <w:szCs w:val="24"/>
                <w:lang w:val="fr-FR"/>
              </w:rPr>
            </w:pPr>
            <w:bookmarkStart w:id="183" w:name="lt_pId476"/>
            <w:r w:rsidRPr="0098490B">
              <w:rPr>
                <w:szCs w:val="24"/>
                <w:lang w:val="fr-FR"/>
              </w:rPr>
              <w:t>Parmi les autres activités de renforc</w:t>
            </w:r>
            <w:r w:rsidR="00F56469" w:rsidRPr="0098490B">
              <w:rPr>
                <w:szCs w:val="24"/>
                <w:lang w:val="fr-FR"/>
              </w:rPr>
              <w:t xml:space="preserve">ement des capacités organisées figurent </w:t>
            </w:r>
            <w:r w:rsidRPr="0098490B">
              <w:rPr>
                <w:szCs w:val="24"/>
                <w:lang w:val="fr-FR"/>
              </w:rPr>
              <w:t>notamment:</w:t>
            </w:r>
            <w:bookmarkEnd w:id="183"/>
          </w:p>
          <w:p w:rsidR="00A908B4" w:rsidRPr="0098490B" w:rsidRDefault="00A908B4" w:rsidP="00784D97">
            <w:pPr>
              <w:pStyle w:val="enumlev1"/>
              <w:rPr>
                <w:lang w:val="fr-FR"/>
              </w:rPr>
            </w:pPr>
            <w:bookmarkStart w:id="184" w:name="lt_pId477"/>
            <w:r w:rsidRPr="0098490B">
              <w:rPr>
                <w:rFonts w:eastAsia="PMingLiU-ExtB"/>
                <w:lang w:val="fr-FR"/>
              </w:rPr>
              <w:t>–</w:t>
            </w:r>
            <w:r w:rsidRPr="0098490B">
              <w:rPr>
                <w:rFonts w:eastAsia="PMingLiU-ExtB"/>
                <w:lang w:val="fr-FR"/>
              </w:rPr>
              <w:tab/>
            </w:r>
            <w:r w:rsidR="002704E5" w:rsidRPr="0098490B">
              <w:rPr>
                <w:rFonts w:eastAsia="PMingLiU-ExtB"/>
                <w:lang w:val="fr-FR"/>
              </w:rPr>
              <w:t>le p</w:t>
            </w:r>
            <w:r w:rsidR="00266A81" w:rsidRPr="0098490B">
              <w:rPr>
                <w:rFonts w:eastAsia="PMingLiU-ExtB"/>
                <w:lang w:val="fr-FR"/>
              </w:rPr>
              <w:t xml:space="preserve">rogramme régional de formation </w:t>
            </w:r>
            <w:r w:rsidR="006448C4" w:rsidRPr="0098490B">
              <w:rPr>
                <w:rFonts w:eastAsia="PMingLiU-ExtB"/>
                <w:lang w:val="fr-FR"/>
              </w:rPr>
              <w:t xml:space="preserve">de l'UIT </w:t>
            </w:r>
            <w:r w:rsidR="00266A81" w:rsidRPr="0098490B">
              <w:rPr>
                <w:rFonts w:eastAsia="PMingLiU-ExtB"/>
                <w:lang w:val="fr-FR"/>
              </w:rPr>
              <w:t xml:space="preserve">destiné aux pays les moins avancés de la région des Etats arabes </w:t>
            </w:r>
            <w:r w:rsidR="002704E5" w:rsidRPr="0098490B">
              <w:rPr>
                <w:rFonts w:eastAsia="PMingLiU-ExtB"/>
                <w:lang w:val="fr-FR"/>
              </w:rPr>
              <w:t>sur le protocole IPv6 (CNE-2)</w:t>
            </w:r>
            <w:r w:rsidR="006448C4" w:rsidRPr="0098490B">
              <w:rPr>
                <w:rFonts w:eastAsia="PMingLiU-ExtB"/>
                <w:lang w:val="fr-FR"/>
              </w:rPr>
              <w:t xml:space="preserve">, </w:t>
            </w:r>
            <w:r w:rsidR="002704E5" w:rsidRPr="0098490B">
              <w:rPr>
                <w:rFonts w:eastAsia="PMingLiU-ExtB"/>
                <w:lang w:val="fr-FR"/>
              </w:rPr>
              <w:t xml:space="preserve">organisé en collaboration avec </w:t>
            </w:r>
            <w:r w:rsidR="002704E5" w:rsidRPr="0098490B">
              <w:rPr>
                <w:color w:val="000000"/>
                <w:lang w:val="fr-FR"/>
              </w:rPr>
              <w:t>NTC-Soudan au mois d'avril 2017</w:t>
            </w:r>
            <w:bookmarkEnd w:id="184"/>
            <w:r w:rsidR="00F56469" w:rsidRPr="0098490B">
              <w:rPr>
                <w:color w:val="000000"/>
                <w:lang w:val="fr-FR"/>
              </w:rPr>
              <w:t>;</w:t>
            </w:r>
          </w:p>
          <w:p w:rsidR="00A908B4" w:rsidRPr="0098490B" w:rsidRDefault="00A908B4" w:rsidP="00784D97">
            <w:pPr>
              <w:pStyle w:val="enumlev1"/>
              <w:rPr>
                <w:lang w:val="fr-FR"/>
              </w:rPr>
            </w:pPr>
            <w:bookmarkStart w:id="185" w:name="lt_pId478"/>
            <w:r w:rsidRPr="0098490B">
              <w:rPr>
                <w:rFonts w:eastAsia="PMingLiU-ExtB"/>
                <w:lang w:val="fr-FR"/>
              </w:rPr>
              <w:t>–</w:t>
            </w:r>
            <w:r w:rsidRPr="0098490B">
              <w:rPr>
                <w:rFonts w:eastAsia="PMingLiU-ExtB"/>
                <w:lang w:val="fr-FR"/>
              </w:rPr>
              <w:tab/>
            </w:r>
            <w:r w:rsidR="002704E5" w:rsidRPr="0098490B">
              <w:rPr>
                <w:rFonts w:eastAsia="PMingLiU-ExtB"/>
                <w:lang w:val="fr-FR"/>
              </w:rPr>
              <w:t xml:space="preserve">un appui à l'intégration des TIC dans le système éducatif de la </w:t>
            </w:r>
            <w:r w:rsidR="002704E5" w:rsidRPr="0098490B">
              <w:rPr>
                <w:color w:val="000000"/>
                <w:lang w:val="fr-FR"/>
              </w:rPr>
              <w:t>République kirghize</w:t>
            </w:r>
            <w:r w:rsidR="006448C4" w:rsidRPr="0098490B">
              <w:rPr>
                <w:color w:val="000000"/>
                <w:lang w:val="fr-FR"/>
              </w:rPr>
              <w:t xml:space="preserve">, </w:t>
            </w:r>
            <w:r w:rsidR="002704E5" w:rsidRPr="0098490B">
              <w:rPr>
                <w:color w:val="000000"/>
                <w:lang w:val="fr-FR"/>
              </w:rPr>
              <w:t>apporté par le biais de la fourniture d'installations d'enseignement à distance, dans le cadre d'une assistance technique, à l'Institut d'électronique et des télécommunications de l'Université technique nationale de la République kirghize</w:t>
            </w:r>
            <w:bookmarkEnd w:id="185"/>
            <w:r w:rsidR="00F56469" w:rsidRPr="0098490B">
              <w:rPr>
                <w:color w:val="000000"/>
                <w:lang w:val="fr-FR"/>
              </w:rPr>
              <w:t>;</w:t>
            </w:r>
          </w:p>
          <w:p w:rsidR="002704E5" w:rsidRPr="0098490B" w:rsidRDefault="00A908B4" w:rsidP="00784D97">
            <w:pPr>
              <w:pStyle w:val="enumlev1"/>
              <w:rPr>
                <w:rFonts w:eastAsia="PMingLiU-ExtB"/>
                <w:lang w:val="fr-FR"/>
              </w:rPr>
            </w:pPr>
            <w:bookmarkStart w:id="186" w:name="lt_pId479"/>
            <w:r w:rsidRPr="0098490B">
              <w:rPr>
                <w:rFonts w:eastAsia="PMingLiU-ExtB"/>
                <w:lang w:val="fr-FR"/>
              </w:rPr>
              <w:t>–</w:t>
            </w:r>
            <w:r w:rsidRPr="0098490B">
              <w:rPr>
                <w:rFonts w:eastAsia="PMingLiU-ExtB"/>
                <w:lang w:val="fr-FR"/>
              </w:rPr>
              <w:tab/>
            </w:r>
            <w:r w:rsidR="002704E5" w:rsidRPr="0098490B">
              <w:rPr>
                <w:rFonts w:eastAsia="PMingLiU-ExtB"/>
                <w:lang w:val="fr-FR"/>
              </w:rPr>
              <w:t>une assistance ciblée apportée à la Zambie, sous la forme d'équipements destinés aux établissements scolaires pour aveugles</w:t>
            </w:r>
            <w:bookmarkStart w:id="187" w:name="lt_pId480"/>
            <w:bookmarkEnd w:id="186"/>
            <w:r w:rsidR="00F56469" w:rsidRPr="0098490B">
              <w:rPr>
                <w:rFonts w:eastAsia="PMingLiU-ExtB"/>
                <w:lang w:val="fr-FR"/>
              </w:rPr>
              <w:t>.</w:t>
            </w:r>
          </w:p>
          <w:p w:rsidR="00084CA2" w:rsidRPr="0098490B" w:rsidRDefault="002704E5" w:rsidP="00105822">
            <w:pPr>
              <w:pStyle w:val="enumlev1"/>
              <w:tabs>
                <w:tab w:val="clear" w:pos="794"/>
                <w:tab w:val="left" w:pos="1163"/>
              </w:tabs>
              <w:spacing w:after="120"/>
              <w:ind w:left="29" w:hanging="29"/>
              <w:rPr>
                <w:lang w:val="fr-FR"/>
              </w:rPr>
            </w:pPr>
            <w:r w:rsidRPr="0098490B">
              <w:rPr>
                <w:rFonts w:eastAsia="PMingLiU-ExtB"/>
                <w:lang w:val="fr-FR"/>
              </w:rPr>
              <w:t>Au cours de l'année 2017, 624 bourses au total ont été accord</w:t>
            </w:r>
            <w:r w:rsidR="008F7211">
              <w:rPr>
                <w:rFonts w:eastAsia="PMingLiU-ExtB"/>
                <w:lang w:val="fr-FR"/>
              </w:rPr>
              <w:t>ées à des participants issus de </w:t>
            </w:r>
            <w:r w:rsidRPr="0098490B">
              <w:rPr>
                <w:rFonts w:eastAsia="PMingLiU-ExtB"/>
                <w:lang w:val="fr-FR"/>
              </w:rPr>
              <w:t>PMA pour leur permettre de prendre part à des réunions de l'UIT. Chaque PMA a bénéficié d'</w:t>
            </w:r>
            <w:r w:rsidR="006448C4" w:rsidRPr="0098490B">
              <w:rPr>
                <w:rFonts w:eastAsia="PMingLiU-ExtB"/>
                <w:lang w:val="fr-FR"/>
              </w:rPr>
              <w:t xml:space="preserve">au moins une </w:t>
            </w:r>
            <w:r w:rsidRPr="0098490B">
              <w:rPr>
                <w:rFonts w:eastAsia="PMingLiU-ExtB"/>
                <w:lang w:val="fr-FR"/>
              </w:rPr>
              <w:t>bourse.</w:t>
            </w:r>
            <w:bookmarkEnd w:id="187"/>
          </w:p>
        </w:tc>
      </w:tr>
      <w:tr w:rsidR="00A908B4" w:rsidRPr="0098490B" w:rsidTr="004268F3">
        <w:tc>
          <w:tcPr>
            <w:tcW w:w="3256" w:type="dxa"/>
            <w:tcBorders>
              <w:top w:val="single" w:sz="4" w:space="0" w:color="auto"/>
              <w:bottom w:val="single" w:sz="4" w:space="0" w:color="auto"/>
              <w:right w:val="single" w:sz="4" w:space="0" w:color="auto"/>
            </w:tcBorders>
          </w:tcPr>
          <w:p w:rsidR="00A908B4" w:rsidRPr="0098490B" w:rsidRDefault="00A908B4" w:rsidP="00105822">
            <w:pPr>
              <w:spacing w:before="0"/>
              <w:rPr>
                <w:i/>
                <w:iCs/>
                <w:szCs w:val="24"/>
                <w:lang w:val="fr-FR"/>
              </w:rPr>
            </w:pPr>
            <w:r w:rsidRPr="0098490B">
              <w:rPr>
                <w:i/>
                <w:iCs/>
                <w:szCs w:val="24"/>
                <w:lang w:val="fr-FR"/>
              </w:rPr>
              <w:lastRenderedPageBreak/>
              <w:t>CMDT</w:t>
            </w:r>
          </w:p>
        </w:tc>
        <w:tc>
          <w:tcPr>
            <w:tcW w:w="6373" w:type="dxa"/>
            <w:tcBorders>
              <w:top w:val="single" w:sz="4" w:space="0" w:color="auto"/>
              <w:left w:val="single" w:sz="4" w:space="0" w:color="auto"/>
              <w:bottom w:val="single" w:sz="4" w:space="0" w:color="auto"/>
            </w:tcBorders>
          </w:tcPr>
          <w:p w:rsidR="00A908B4" w:rsidRPr="0098490B" w:rsidRDefault="00A908B4" w:rsidP="00105822">
            <w:pPr>
              <w:spacing w:before="0"/>
              <w:rPr>
                <w:szCs w:val="24"/>
                <w:lang w:val="fr-FR"/>
              </w:rPr>
            </w:pPr>
            <w:bookmarkStart w:id="188" w:name="lt_pId483"/>
            <w:r w:rsidRPr="0098490B">
              <w:rPr>
                <w:szCs w:val="24"/>
                <w:lang w:val="fr-FR"/>
              </w:rPr>
              <w:t>Résolutions 16, 17, 18, 21, 25, 26, 30, 33, 36, 37, 50, 51, 52, 53, 57, 60</w:t>
            </w:r>
            <w:bookmarkEnd w:id="188"/>
          </w:p>
        </w:tc>
      </w:tr>
      <w:tr w:rsidR="00A908B4" w:rsidRPr="0098490B" w:rsidTr="004268F3">
        <w:trPr>
          <w:trHeight w:val="397"/>
        </w:trPr>
        <w:tc>
          <w:tcPr>
            <w:tcW w:w="3256" w:type="dxa"/>
            <w:tcBorders>
              <w:top w:val="single" w:sz="4" w:space="0" w:color="auto"/>
              <w:bottom w:val="single" w:sz="4" w:space="0" w:color="auto"/>
              <w:right w:val="single" w:sz="4" w:space="0" w:color="auto"/>
            </w:tcBorders>
          </w:tcPr>
          <w:p w:rsidR="00A908B4" w:rsidRPr="0098490B" w:rsidRDefault="002704E5" w:rsidP="00105822">
            <w:pPr>
              <w:spacing w:before="0"/>
              <w:rPr>
                <w:i/>
                <w:iCs/>
                <w:lang w:val="fr-FR"/>
              </w:rPr>
            </w:pPr>
            <w:r w:rsidRPr="0098490B">
              <w:rPr>
                <w:i/>
                <w:iCs/>
                <w:lang w:val="fr-FR"/>
              </w:rPr>
              <w:t>Conférence de plénipotentiaires</w:t>
            </w:r>
          </w:p>
        </w:tc>
        <w:tc>
          <w:tcPr>
            <w:tcW w:w="6373" w:type="dxa"/>
            <w:tcBorders>
              <w:top w:val="single" w:sz="4" w:space="0" w:color="auto"/>
              <w:left w:val="single" w:sz="4" w:space="0" w:color="auto"/>
              <w:bottom w:val="single" w:sz="4" w:space="0" w:color="auto"/>
            </w:tcBorders>
          </w:tcPr>
          <w:p w:rsidR="00A908B4" w:rsidRPr="0098490B" w:rsidRDefault="00A908B4" w:rsidP="00105822">
            <w:pPr>
              <w:spacing w:before="0"/>
              <w:rPr>
                <w:szCs w:val="24"/>
                <w:lang w:val="fr-FR"/>
              </w:rPr>
            </w:pPr>
            <w:bookmarkStart w:id="189" w:name="lt_pId485"/>
            <w:r w:rsidRPr="0098490B">
              <w:rPr>
                <w:szCs w:val="24"/>
                <w:lang w:val="fr-FR"/>
              </w:rPr>
              <w:t>Décisions 5, 13</w:t>
            </w:r>
            <w:bookmarkEnd w:id="189"/>
          </w:p>
          <w:p w:rsidR="00A908B4" w:rsidRPr="0098490B" w:rsidRDefault="00A908B4" w:rsidP="00105822">
            <w:pPr>
              <w:spacing w:before="0"/>
              <w:rPr>
                <w:szCs w:val="24"/>
                <w:lang w:val="fr-FR"/>
              </w:rPr>
            </w:pPr>
            <w:bookmarkStart w:id="190" w:name="lt_pId486"/>
            <w:r w:rsidRPr="0098490B">
              <w:rPr>
                <w:szCs w:val="24"/>
                <w:lang w:val="fr-FR"/>
              </w:rPr>
              <w:t>Résolutions 25, 30, 32, 33, 34, 36, 70, 71, 123, 124, 125, 126, 127, 135, 159, 160, 161, 193, 202</w:t>
            </w:r>
            <w:bookmarkEnd w:id="190"/>
          </w:p>
        </w:tc>
      </w:tr>
      <w:tr w:rsidR="00A908B4" w:rsidRPr="0098490B" w:rsidTr="004268F3">
        <w:trPr>
          <w:trHeight w:val="397"/>
        </w:trPr>
        <w:tc>
          <w:tcPr>
            <w:tcW w:w="3256" w:type="dxa"/>
            <w:tcBorders>
              <w:top w:val="single" w:sz="4" w:space="0" w:color="auto"/>
              <w:bottom w:val="single" w:sz="4" w:space="0" w:color="auto"/>
              <w:right w:val="single" w:sz="4" w:space="0" w:color="auto"/>
            </w:tcBorders>
          </w:tcPr>
          <w:p w:rsidR="00A908B4" w:rsidRPr="0098490B" w:rsidRDefault="00A908B4" w:rsidP="00105822">
            <w:pPr>
              <w:spacing w:before="0"/>
              <w:rPr>
                <w:i/>
                <w:iCs/>
                <w:lang w:val="fr-FR"/>
              </w:rPr>
            </w:pPr>
            <w:r w:rsidRPr="0098490B">
              <w:rPr>
                <w:i/>
                <w:iCs/>
                <w:lang w:val="fr-FR"/>
              </w:rPr>
              <w:t>CMR</w:t>
            </w:r>
          </w:p>
        </w:tc>
        <w:tc>
          <w:tcPr>
            <w:tcW w:w="6373" w:type="dxa"/>
            <w:tcBorders>
              <w:top w:val="single" w:sz="4" w:space="0" w:color="auto"/>
              <w:left w:val="single" w:sz="4" w:space="0" w:color="auto"/>
              <w:bottom w:val="single" w:sz="4" w:space="0" w:color="auto"/>
            </w:tcBorders>
          </w:tcPr>
          <w:p w:rsidR="00A908B4" w:rsidRPr="0098490B" w:rsidRDefault="00A908B4" w:rsidP="00105822">
            <w:pPr>
              <w:spacing w:before="0"/>
              <w:rPr>
                <w:szCs w:val="24"/>
                <w:lang w:val="fr-FR"/>
              </w:rPr>
            </w:pPr>
            <w:bookmarkStart w:id="191" w:name="lt_pId488"/>
            <w:r w:rsidRPr="0098490B">
              <w:rPr>
                <w:szCs w:val="24"/>
                <w:lang w:val="fr-FR"/>
              </w:rPr>
              <w:t>Résolution 12</w:t>
            </w:r>
            <w:bookmarkEnd w:id="191"/>
          </w:p>
        </w:tc>
      </w:tr>
      <w:tr w:rsidR="00A908B4" w:rsidRPr="0098490B" w:rsidTr="004268F3">
        <w:trPr>
          <w:trHeight w:val="397"/>
        </w:trPr>
        <w:tc>
          <w:tcPr>
            <w:tcW w:w="3256" w:type="dxa"/>
            <w:tcBorders>
              <w:top w:val="single" w:sz="4" w:space="0" w:color="auto"/>
              <w:bottom w:val="single" w:sz="4" w:space="0" w:color="auto"/>
              <w:right w:val="single" w:sz="4" w:space="0" w:color="auto"/>
            </w:tcBorders>
          </w:tcPr>
          <w:p w:rsidR="00A908B4" w:rsidRPr="0098490B" w:rsidRDefault="00A908B4" w:rsidP="00105822">
            <w:pPr>
              <w:spacing w:before="0"/>
              <w:rPr>
                <w:i/>
                <w:iCs/>
                <w:lang w:val="fr-FR"/>
              </w:rPr>
            </w:pPr>
            <w:r w:rsidRPr="0098490B">
              <w:rPr>
                <w:i/>
                <w:iCs/>
                <w:lang w:val="fr-FR"/>
              </w:rPr>
              <w:t>CMTI</w:t>
            </w:r>
          </w:p>
        </w:tc>
        <w:tc>
          <w:tcPr>
            <w:tcW w:w="6373" w:type="dxa"/>
            <w:tcBorders>
              <w:top w:val="single" w:sz="4" w:space="0" w:color="auto"/>
              <w:left w:val="single" w:sz="4" w:space="0" w:color="auto"/>
              <w:bottom w:val="single" w:sz="4" w:space="0" w:color="auto"/>
            </w:tcBorders>
          </w:tcPr>
          <w:p w:rsidR="00A908B4" w:rsidRPr="0098490B" w:rsidRDefault="00A908B4" w:rsidP="00105822">
            <w:pPr>
              <w:spacing w:before="0"/>
              <w:rPr>
                <w:szCs w:val="24"/>
                <w:lang w:val="fr-FR"/>
              </w:rPr>
            </w:pPr>
            <w:bookmarkStart w:id="192" w:name="lt_pId490"/>
            <w:r w:rsidRPr="0098490B">
              <w:rPr>
                <w:szCs w:val="24"/>
                <w:lang w:val="fr-FR"/>
              </w:rPr>
              <w:t>Résolution 1</w:t>
            </w:r>
            <w:bookmarkEnd w:id="192"/>
          </w:p>
        </w:tc>
      </w:tr>
      <w:tr w:rsidR="00A908B4" w:rsidRPr="0098490B" w:rsidTr="004268F3">
        <w:trPr>
          <w:trHeight w:val="397"/>
        </w:trPr>
        <w:tc>
          <w:tcPr>
            <w:tcW w:w="3256" w:type="dxa"/>
            <w:tcBorders>
              <w:top w:val="single" w:sz="4" w:space="0" w:color="auto"/>
              <w:bottom w:val="single" w:sz="4" w:space="0" w:color="auto"/>
              <w:right w:val="single" w:sz="4" w:space="0" w:color="auto"/>
            </w:tcBorders>
          </w:tcPr>
          <w:p w:rsidR="00A908B4" w:rsidRPr="0098490B" w:rsidRDefault="00A908B4" w:rsidP="00105822">
            <w:pPr>
              <w:spacing w:before="0"/>
              <w:rPr>
                <w:i/>
                <w:iCs/>
                <w:szCs w:val="24"/>
                <w:lang w:val="fr-FR"/>
              </w:rPr>
            </w:pPr>
            <w:r w:rsidRPr="0098490B">
              <w:rPr>
                <w:i/>
                <w:iCs/>
                <w:lang w:val="fr-FR"/>
              </w:rPr>
              <w:t>Grandes orientations du SMSI</w:t>
            </w:r>
          </w:p>
        </w:tc>
        <w:tc>
          <w:tcPr>
            <w:tcW w:w="6373" w:type="dxa"/>
            <w:tcBorders>
              <w:top w:val="single" w:sz="4" w:space="0" w:color="auto"/>
              <w:left w:val="single" w:sz="4" w:space="0" w:color="auto"/>
              <w:bottom w:val="single" w:sz="4" w:space="0" w:color="auto"/>
            </w:tcBorders>
          </w:tcPr>
          <w:p w:rsidR="00A908B4" w:rsidRPr="0098490B" w:rsidRDefault="0071204E" w:rsidP="00105822">
            <w:pPr>
              <w:spacing w:before="0"/>
              <w:rPr>
                <w:szCs w:val="24"/>
                <w:lang w:val="fr-FR"/>
              </w:rPr>
            </w:pPr>
            <w:bookmarkStart w:id="193" w:name="lt_pId492"/>
            <w:r w:rsidRPr="0098490B">
              <w:rPr>
                <w:color w:val="000000"/>
                <w:lang w:val="fr-FR"/>
              </w:rPr>
              <w:t xml:space="preserve">Grandes orientations </w:t>
            </w:r>
            <w:r w:rsidR="00A908B4" w:rsidRPr="0098490B">
              <w:rPr>
                <w:szCs w:val="24"/>
                <w:lang w:val="fr-FR"/>
              </w:rPr>
              <w:t xml:space="preserve">C4 </w:t>
            </w:r>
            <w:r w:rsidRPr="0098490B">
              <w:rPr>
                <w:szCs w:val="24"/>
                <w:lang w:val="fr-FR"/>
              </w:rPr>
              <w:t>et</w:t>
            </w:r>
            <w:r w:rsidR="00A908B4" w:rsidRPr="0098490B">
              <w:rPr>
                <w:szCs w:val="24"/>
                <w:lang w:val="fr-FR"/>
              </w:rPr>
              <w:t xml:space="preserve"> C7 </w:t>
            </w:r>
            <w:r w:rsidRPr="0098490B">
              <w:rPr>
                <w:color w:val="000000"/>
                <w:lang w:val="fr-FR"/>
              </w:rPr>
              <w:t>du SMSI figurant dans le Plan d'action de Genève et les paragraphes</w:t>
            </w:r>
            <w:r w:rsidR="00A908B4" w:rsidRPr="0098490B">
              <w:rPr>
                <w:szCs w:val="24"/>
                <w:lang w:val="fr-FR"/>
              </w:rPr>
              <w:t xml:space="preserve"> 9, 23, 26, 49, 59, 87 </w:t>
            </w:r>
            <w:r w:rsidRPr="0098490B">
              <w:rPr>
                <w:szCs w:val="24"/>
                <w:lang w:val="fr-FR"/>
              </w:rPr>
              <w:t>et</w:t>
            </w:r>
            <w:r w:rsidR="008F7211">
              <w:rPr>
                <w:szCs w:val="24"/>
                <w:lang w:val="fr-FR"/>
              </w:rPr>
              <w:t> </w:t>
            </w:r>
            <w:r w:rsidR="00A908B4" w:rsidRPr="0098490B">
              <w:rPr>
                <w:szCs w:val="24"/>
                <w:lang w:val="fr-FR"/>
              </w:rPr>
              <w:t xml:space="preserve">95 </w:t>
            </w:r>
            <w:r w:rsidRPr="0098490B">
              <w:rPr>
                <w:color w:val="000000"/>
                <w:lang w:val="fr-FR"/>
              </w:rPr>
              <w:t>de l'Agenda de Tunis pour la société de l'information</w:t>
            </w:r>
            <w:bookmarkEnd w:id="193"/>
          </w:p>
        </w:tc>
      </w:tr>
      <w:tr w:rsidR="00A908B4" w:rsidRPr="0098490B" w:rsidTr="004268F3">
        <w:tc>
          <w:tcPr>
            <w:tcW w:w="3256" w:type="dxa"/>
            <w:tcBorders>
              <w:top w:val="single" w:sz="4" w:space="0" w:color="auto"/>
              <w:bottom w:val="single" w:sz="4" w:space="0" w:color="auto"/>
              <w:right w:val="single" w:sz="4" w:space="0" w:color="auto"/>
            </w:tcBorders>
          </w:tcPr>
          <w:p w:rsidR="00A908B4" w:rsidRPr="0098490B" w:rsidRDefault="00A908B4" w:rsidP="00105822">
            <w:pPr>
              <w:spacing w:before="0"/>
              <w:rPr>
                <w:i/>
                <w:iCs/>
                <w:szCs w:val="24"/>
                <w:lang w:val="fr-FR"/>
              </w:rPr>
            </w:pPr>
            <w:r w:rsidRPr="0098490B">
              <w:rPr>
                <w:i/>
                <w:iCs/>
                <w:lang w:val="fr-FR"/>
              </w:rPr>
              <w:t>Contribution aux cibles des O</w:t>
            </w:r>
            <w:r w:rsidR="0071204E" w:rsidRPr="0098490B">
              <w:rPr>
                <w:i/>
                <w:iCs/>
                <w:lang w:val="fr-FR"/>
              </w:rPr>
              <w:t>bjectifs de développement durable</w:t>
            </w:r>
          </w:p>
        </w:tc>
        <w:tc>
          <w:tcPr>
            <w:tcW w:w="6373" w:type="dxa"/>
            <w:tcBorders>
              <w:top w:val="single" w:sz="4" w:space="0" w:color="auto"/>
              <w:left w:val="single" w:sz="4" w:space="0" w:color="auto"/>
              <w:bottom w:val="single" w:sz="4" w:space="0" w:color="auto"/>
            </w:tcBorders>
          </w:tcPr>
          <w:p w:rsidR="00A908B4" w:rsidRPr="0098490B" w:rsidRDefault="0071204E" w:rsidP="00105822">
            <w:pPr>
              <w:spacing w:before="0"/>
              <w:rPr>
                <w:szCs w:val="24"/>
                <w:lang w:val="fr-FR"/>
              </w:rPr>
            </w:pPr>
            <w:bookmarkStart w:id="194" w:name="lt_pId494"/>
            <w:r w:rsidRPr="0098490B">
              <w:rPr>
                <w:szCs w:val="24"/>
                <w:lang w:val="fr-FR"/>
              </w:rPr>
              <w:t>Objectif</w:t>
            </w:r>
            <w:r w:rsidR="006448C4" w:rsidRPr="0098490B">
              <w:rPr>
                <w:szCs w:val="24"/>
                <w:lang w:val="fr-FR"/>
              </w:rPr>
              <w:t>s</w:t>
            </w:r>
            <w:r w:rsidRPr="0098490B">
              <w:rPr>
                <w:szCs w:val="24"/>
                <w:lang w:val="fr-FR"/>
              </w:rPr>
              <w:t xml:space="preserve"> de développement durable</w:t>
            </w:r>
            <w:r w:rsidR="00A908B4" w:rsidRPr="0098490B">
              <w:rPr>
                <w:szCs w:val="24"/>
                <w:lang w:val="fr-FR"/>
              </w:rPr>
              <w:t>:</w:t>
            </w:r>
            <w:bookmarkEnd w:id="194"/>
            <w:r w:rsidR="00A908B4" w:rsidRPr="0098490B">
              <w:rPr>
                <w:szCs w:val="24"/>
                <w:lang w:val="fr-FR"/>
              </w:rPr>
              <w:t xml:space="preserve"> </w:t>
            </w:r>
            <w:bookmarkStart w:id="195" w:name="lt_pId495"/>
            <w:r w:rsidR="00A908B4" w:rsidRPr="0098490B">
              <w:rPr>
                <w:szCs w:val="24"/>
                <w:lang w:val="fr-FR"/>
              </w:rPr>
              <w:t>1 (cible 1.4), 3, 4 (cibles 4.3, 4.5, 4.6, 4.a, 4.b), 5 (</w:t>
            </w:r>
            <w:r w:rsidRPr="0098490B">
              <w:rPr>
                <w:szCs w:val="24"/>
                <w:lang w:val="fr-FR"/>
              </w:rPr>
              <w:t>cible</w:t>
            </w:r>
            <w:r w:rsidR="00A908B4" w:rsidRPr="0098490B">
              <w:rPr>
                <w:szCs w:val="24"/>
                <w:lang w:val="fr-FR"/>
              </w:rPr>
              <w:t xml:space="preserve"> 5.b), 6, 8 (cible 8.5), 9 (cibles (9.1, 9.2, 9.5, 9.a, 9.c), 10 (cibles 10.2, 10.b), 11 (cibles 11.1, 11.2, 11.7), 12 (cible 12.b), 13 (cible 13.b), 14, 15, 16, 17 (cibles 17.7, 17.8, 17.9, 17.18)</w:t>
            </w:r>
            <w:bookmarkEnd w:id="195"/>
          </w:p>
        </w:tc>
      </w:tr>
    </w:tbl>
    <w:p w:rsidR="00084CA2" w:rsidRPr="0098490B" w:rsidRDefault="00084CA2" w:rsidP="00784D97">
      <w:pPr>
        <w:pStyle w:val="Heading1"/>
        <w:rPr>
          <w:lang w:val="fr-FR"/>
        </w:rPr>
      </w:pPr>
      <w:bookmarkStart w:id="196" w:name="_Toc467807706"/>
      <w:bookmarkStart w:id="197" w:name="_Toc468087105"/>
      <w:r w:rsidRPr="0098490B">
        <w:rPr>
          <w:lang w:val="fr-FR"/>
        </w:rPr>
        <w:lastRenderedPageBreak/>
        <w:t>5</w:t>
      </w:r>
      <w:r w:rsidRPr="0098490B">
        <w:rPr>
          <w:lang w:val="fr-FR"/>
        </w:rPr>
        <w:tab/>
        <w:t>Objectif 5</w:t>
      </w:r>
      <w:bookmarkStart w:id="198" w:name="_Toc467807707"/>
      <w:bookmarkStart w:id="199" w:name="_Toc468087106"/>
      <w:bookmarkEnd w:id="196"/>
      <w:bookmarkEnd w:id="197"/>
      <w:r w:rsidRPr="0098490B">
        <w:rPr>
          <w:lang w:val="fr-FR"/>
        </w:rPr>
        <w:t xml:space="preserve">: </w:t>
      </w:r>
      <w:r w:rsidRPr="004743A4">
        <w:rPr>
          <w:lang w:val="fr-FR"/>
        </w:rPr>
        <w:t>"</w:t>
      </w:r>
      <w:r w:rsidRPr="0098490B">
        <w:rPr>
          <w:i/>
          <w:iCs/>
          <w:lang w:val="fr-FR"/>
        </w:rPr>
        <w:t>Renforcer les mesures relatives à la protection de l'environnement, à l'adaptation aux effets des changements climatiques et à l'atténuation de ces effets ainsi que les efforts déployés en matière de gestion des catastrophes au moyen des télécommunications/TIC</w:t>
      </w:r>
      <w:bookmarkEnd w:id="198"/>
      <w:bookmarkEnd w:id="199"/>
      <w:r w:rsidRPr="004743A4">
        <w:rPr>
          <w:lang w:val="fr-FR"/>
        </w:rPr>
        <w:t>"</w:t>
      </w:r>
    </w:p>
    <w:p w:rsidR="00084CA2" w:rsidRPr="0098490B" w:rsidRDefault="00084CA2" w:rsidP="00184BF6">
      <w:pPr>
        <w:pStyle w:val="Heading2"/>
        <w:spacing w:after="120"/>
        <w:rPr>
          <w:lang w:val="fr-FR"/>
        </w:rPr>
      </w:pPr>
      <w:bookmarkStart w:id="200" w:name="_Toc467807708"/>
      <w:bookmarkStart w:id="201" w:name="_Toc468087107"/>
      <w:r w:rsidRPr="0098490B">
        <w:rPr>
          <w:lang w:val="fr-FR"/>
        </w:rPr>
        <w:t>5.1</w:t>
      </w:r>
      <w:r w:rsidRPr="0098490B">
        <w:rPr>
          <w:lang w:val="fr-FR"/>
        </w:rPr>
        <w:tab/>
        <w:t>Les TIC et l'adaptation aux effets des changements clim</w:t>
      </w:r>
      <w:r w:rsidR="004743A4">
        <w:rPr>
          <w:lang w:val="fr-FR"/>
        </w:rPr>
        <w:t>atiques et l'atténuation de ces </w:t>
      </w:r>
      <w:r w:rsidRPr="0098490B">
        <w:rPr>
          <w:lang w:val="fr-FR"/>
        </w:rPr>
        <w:t>effets</w:t>
      </w:r>
      <w:bookmarkEnd w:id="200"/>
      <w:bookmarkEnd w:id="201"/>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084CA2" w:rsidRPr="0098490B" w:rsidTr="004268F3">
        <w:tc>
          <w:tcPr>
            <w:tcW w:w="9629" w:type="dxa"/>
            <w:gridSpan w:val="2"/>
            <w:tcBorders>
              <w:bottom w:val="single" w:sz="4" w:space="0" w:color="auto"/>
            </w:tcBorders>
          </w:tcPr>
          <w:p w:rsidR="0071204E" w:rsidRPr="0098490B" w:rsidRDefault="0071204E" w:rsidP="00184BF6">
            <w:pPr>
              <w:rPr>
                <w:color w:val="000000"/>
                <w:lang w:val="fr-FR"/>
              </w:rPr>
            </w:pPr>
            <w:bookmarkStart w:id="202" w:name="lt_pId501"/>
            <w:r w:rsidRPr="0098490B">
              <w:rPr>
                <w:rFonts w:eastAsiaTheme="majorEastAsia"/>
                <w:szCs w:val="24"/>
                <w:lang w:val="fr-FR"/>
              </w:rPr>
              <w:t>En 2017, l'UIT a continué d'apporter une assistance aux pays en développement en matière d'utilisation des TIC en vue d'</w:t>
            </w:r>
            <w:r w:rsidRPr="0098490B">
              <w:rPr>
                <w:color w:val="000000"/>
                <w:lang w:val="fr-FR"/>
              </w:rPr>
              <w:t xml:space="preserve">atténuer les effets des changements climatiques et d'y faire face, </w:t>
            </w:r>
            <w:r w:rsidR="00184BF6" w:rsidRPr="0098490B">
              <w:rPr>
                <w:color w:val="000000"/>
                <w:lang w:val="fr-FR"/>
              </w:rPr>
              <w:t>ainsi que pour</w:t>
            </w:r>
            <w:r w:rsidRPr="0098490B">
              <w:rPr>
                <w:color w:val="000000"/>
                <w:lang w:val="fr-FR"/>
              </w:rPr>
              <w:t xml:space="preserve"> mettre en place des stratégies, des politiques et des cadres réglementaires relatifs aux déchets d'équipements électriques et électroniques.</w:t>
            </w:r>
          </w:p>
          <w:p w:rsidR="0071204E" w:rsidRPr="0098490B" w:rsidRDefault="0071204E" w:rsidP="00784D97">
            <w:pPr>
              <w:rPr>
                <w:rFonts w:eastAsiaTheme="majorEastAsia"/>
                <w:szCs w:val="24"/>
                <w:lang w:val="fr-FR"/>
              </w:rPr>
            </w:pPr>
            <w:r w:rsidRPr="0098490B">
              <w:rPr>
                <w:color w:val="000000"/>
                <w:lang w:val="fr-FR"/>
              </w:rPr>
              <w:t>En collaboration avec l'Université des Nations Unies et l'Association internationale des déchets s</w:t>
            </w:r>
            <w:r w:rsidR="008F5067" w:rsidRPr="0098490B">
              <w:rPr>
                <w:color w:val="000000"/>
                <w:lang w:val="fr-FR"/>
              </w:rPr>
              <w:t>olides (ISWA), l'UIT a achevé l'édition 2017 du</w:t>
            </w:r>
            <w:r w:rsidRPr="0098490B">
              <w:rPr>
                <w:color w:val="000000"/>
                <w:lang w:val="fr-FR"/>
              </w:rPr>
              <w:t xml:space="preserve"> rapport The Global E-Waste Monitor (Suivi des déchets d'équipements électriques et électroniques à l'échelle mondiale</w:t>
            </w:r>
            <w:r w:rsidR="008F5067" w:rsidRPr="0098490B">
              <w:rPr>
                <w:color w:val="000000"/>
                <w:lang w:val="fr-FR"/>
              </w:rPr>
              <w:t>)</w:t>
            </w:r>
            <w:r w:rsidRPr="0098490B">
              <w:rPr>
                <w:color w:val="000000"/>
                <w:lang w:val="fr-FR"/>
              </w:rPr>
              <w:t>, dans lequel figurent des statistiques régionales et mondiales concernant, entre autres, la quantité de déchets d'équipements électriques et électroniques produits, les taux de recyclage aux niveaux mondial et régional, ainsi que le nombre</w:t>
            </w:r>
            <w:r w:rsidR="008F5067" w:rsidRPr="0098490B">
              <w:rPr>
                <w:color w:val="000000"/>
                <w:lang w:val="fr-FR"/>
              </w:rPr>
              <w:t xml:space="preserve"> de pays disposant de lois sur c</w:t>
            </w:r>
            <w:r w:rsidRPr="0098490B">
              <w:rPr>
                <w:color w:val="000000"/>
                <w:lang w:val="fr-FR"/>
              </w:rPr>
              <w:t>e</w:t>
            </w:r>
            <w:r w:rsidR="008F5067" w:rsidRPr="0098490B">
              <w:rPr>
                <w:color w:val="000000"/>
                <w:lang w:val="fr-FR"/>
              </w:rPr>
              <w:t xml:space="preserve"> type de</w:t>
            </w:r>
            <w:r w:rsidRPr="0098490B">
              <w:rPr>
                <w:color w:val="000000"/>
                <w:lang w:val="fr-FR"/>
              </w:rPr>
              <w:t xml:space="preserve"> déchets. Ce rapport constitue l'un des principaux résultats </w:t>
            </w:r>
            <w:r w:rsidR="00C278C7" w:rsidRPr="0098490B">
              <w:rPr>
                <w:color w:val="000000"/>
                <w:lang w:val="fr-FR"/>
              </w:rPr>
              <w:t>du Partenariat mondial sur les statistiques relatives aux déchets d'équipements électriques et électroniques.</w:t>
            </w:r>
          </w:p>
          <w:bookmarkEnd w:id="202"/>
          <w:p w:rsidR="00F56EEF" w:rsidRPr="0098490B" w:rsidRDefault="00C278C7" w:rsidP="00784D97">
            <w:pPr>
              <w:rPr>
                <w:rFonts w:eastAsiaTheme="majorEastAsia"/>
                <w:szCs w:val="24"/>
                <w:lang w:val="fr-FR"/>
              </w:rPr>
            </w:pPr>
            <w:r w:rsidRPr="0098490B">
              <w:rPr>
                <w:rFonts w:eastAsiaTheme="majorEastAsia"/>
                <w:szCs w:val="24"/>
                <w:lang w:val="fr-FR"/>
              </w:rPr>
              <w:t>Plusieurs autres manuels, lignes directrices et rapports importants ont été élaborés, dont notamment:</w:t>
            </w:r>
          </w:p>
          <w:p w:rsidR="00F56EEF" w:rsidRPr="0098490B" w:rsidRDefault="00F56EEF" w:rsidP="00784D97">
            <w:pPr>
              <w:pStyle w:val="enumlev1"/>
              <w:rPr>
                <w:rFonts w:eastAsiaTheme="majorEastAsia"/>
                <w:lang w:val="fr-FR"/>
              </w:rPr>
            </w:pPr>
            <w:bookmarkStart w:id="203" w:name="lt_pId505"/>
            <w:r w:rsidRPr="0098490B">
              <w:rPr>
                <w:rFonts w:eastAsia="PMingLiU-ExtB"/>
                <w:lang w:val="fr-FR"/>
              </w:rPr>
              <w:t>–</w:t>
            </w:r>
            <w:r w:rsidRPr="0098490B">
              <w:rPr>
                <w:rFonts w:eastAsia="PMingLiU-ExtB"/>
                <w:lang w:val="fr-FR"/>
              </w:rPr>
              <w:tab/>
            </w:r>
            <w:r w:rsidR="00B96A9E" w:rsidRPr="0098490B">
              <w:rPr>
                <w:rFonts w:eastAsia="PMingLiU-ExtB"/>
                <w:lang w:val="fr-FR"/>
              </w:rPr>
              <w:t>un</w:t>
            </w:r>
            <w:r w:rsidR="00C278C7" w:rsidRPr="0098490B">
              <w:rPr>
                <w:rFonts w:eastAsia="PMingLiU-ExtB"/>
                <w:lang w:val="fr-FR"/>
              </w:rPr>
              <w:t xml:space="preserve"> manuel pour l'élaboration d'un cadre stratégique sur les </w:t>
            </w:r>
            <w:r w:rsidR="00C278C7" w:rsidRPr="0098490B">
              <w:rPr>
                <w:color w:val="000000"/>
                <w:lang w:val="fr-FR"/>
              </w:rPr>
              <w:t xml:space="preserve">déchets d'équipements électriques et électroniques </w:t>
            </w:r>
            <w:r w:rsidR="00B96A9E" w:rsidRPr="0098490B">
              <w:rPr>
                <w:color w:val="000000"/>
                <w:lang w:val="fr-FR"/>
              </w:rPr>
              <w:t>résultant de l'utilisation des</w:t>
            </w:r>
            <w:r w:rsidR="00C278C7" w:rsidRPr="0098490B">
              <w:rPr>
                <w:color w:val="000000"/>
                <w:lang w:val="fr-FR"/>
              </w:rPr>
              <w:t xml:space="preserve"> TIC;</w:t>
            </w:r>
            <w:bookmarkEnd w:id="203"/>
          </w:p>
          <w:p w:rsidR="00F56EEF" w:rsidRPr="0098490B" w:rsidRDefault="00F56EEF" w:rsidP="00784D97">
            <w:pPr>
              <w:pStyle w:val="enumlev1"/>
              <w:rPr>
                <w:rFonts w:eastAsiaTheme="majorEastAsia"/>
                <w:lang w:val="fr-FR"/>
              </w:rPr>
            </w:pPr>
            <w:bookmarkStart w:id="204" w:name="lt_pId506"/>
            <w:r w:rsidRPr="0098490B">
              <w:rPr>
                <w:rFonts w:eastAsia="PMingLiU-ExtB"/>
                <w:lang w:val="fr-FR"/>
              </w:rPr>
              <w:t>–</w:t>
            </w:r>
            <w:r w:rsidRPr="0098490B">
              <w:rPr>
                <w:rFonts w:eastAsia="PMingLiU-ExtB"/>
                <w:lang w:val="fr-FR"/>
              </w:rPr>
              <w:tab/>
            </w:r>
            <w:r w:rsidR="00C278C7" w:rsidRPr="0098490B">
              <w:rPr>
                <w:rFonts w:eastAsia="PMingLiU-ExtB"/>
                <w:lang w:val="fr-FR"/>
              </w:rPr>
              <w:t xml:space="preserve">du </w:t>
            </w:r>
            <w:r w:rsidR="00C278C7" w:rsidRPr="0098490B">
              <w:rPr>
                <w:color w:val="000000"/>
                <w:lang w:val="fr-FR"/>
              </w:rPr>
              <w:t>matériel didactique relatif aux TIC et aux changements climatiques</w:t>
            </w:r>
            <w:bookmarkEnd w:id="204"/>
            <w:r w:rsidR="00C278C7" w:rsidRPr="0098490B">
              <w:rPr>
                <w:rFonts w:eastAsiaTheme="majorEastAsia"/>
                <w:lang w:val="fr-FR"/>
              </w:rPr>
              <w:t>;</w:t>
            </w:r>
          </w:p>
          <w:p w:rsidR="00F56EEF" w:rsidRPr="0098490B" w:rsidRDefault="00F56EEF" w:rsidP="00784D97">
            <w:pPr>
              <w:pStyle w:val="enumlev1"/>
              <w:rPr>
                <w:rFonts w:eastAsiaTheme="majorEastAsia"/>
                <w:lang w:val="fr-FR"/>
              </w:rPr>
            </w:pPr>
            <w:bookmarkStart w:id="205" w:name="lt_pId507"/>
            <w:r w:rsidRPr="0098490B">
              <w:rPr>
                <w:rFonts w:eastAsia="PMingLiU-ExtB"/>
                <w:lang w:val="fr-FR"/>
              </w:rPr>
              <w:t>–</w:t>
            </w:r>
            <w:r w:rsidRPr="0098490B">
              <w:rPr>
                <w:rFonts w:eastAsia="PMingLiU-ExtB"/>
                <w:lang w:val="fr-FR"/>
              </w:rPr>
              <w:tab/>
            </w:r>
            <w:r w:rsidR="00C278C7" w:rsidRPr="0098490B">
              <w:rPr>
                <w:rFonts w:eastAsia="PMingLiU-ExtB"/>
                <w:lang w:val="fr-FR"/>
              </w:rPr>
              <w:t xml:space="preserve">un rapport visant à concevoir une politique et un cadre réglementaire en matière de </w:t>
            </w:r>
            <w:r w:rsidR="00C278C7" w:rsidRPr="0098490B">
              <w:rPr>
                <w:color w:val="000000"/>
                <w:lang w:val="fr-FR"/>
              </w:rPr>
              <w:t>déchets d'équipements électriques et électroniques pour le Malawi, comportant notamment une évaluation du traitement actuel de ces déchets et des prévisions concernant leur volume et leur valeur;</w:t>
            </w:r>
            <w:bookmarkEnd w:id="205"/>
          </w:p>
          <w:p w:rsidR="00F56EEF" w:rsidRPr="0098490B" w:rsidRDefault="00F56EEF" w:rsidP="00784D97">
            <w:pPr>
              <w:pStyle w:val="enumlev1"/>
              <w:rPr>
                <w:rFonts w:eastAsiaTheme="majorEastAsia"/>
                <w:lang w:val="fr-FR"/>
              </w:rPr>
            </w:pPr>
            <w:bookmarkStart w:id="206" w:name="lt_pId508"/>
            <w:r w:rsidRPr="0098490B">
              <w:rPr>
                <w:rFonts w:eastAsia="PMingLiU-ExtB"/>
                <w:lang w:val="fr-FR"/>
              </w:rPr>
              <w:t>–</w:t>
            </w:r>
            <w:r w:rsidRPr="0098490B">
              <w:rPr>
                <w:rFonts w:eastAsia="PMingLiU-ExtB"/>
                <w:lang w:val="fr-FR"/>
              </w:rPr>
              <w:tab/>
            </w:r>
            <w:r w:rsidR="00C278C7" w:rsidRPr="0098490B">
              <w:rPr>
                <w:rFonts w:eastAsia="PMingLiU-ExtB"/>
                <w:lang w:val="fr-FR"/>
              </w:rPr>
              <w:t xml:space="preserve">une étude </w:t>
            </w:r>
            <w:r w:rsidR="00B96A9E" w:rsidRPr="0098490B">
              <w:rPr>
                <w:rFonts w:eastAsia="PMingLiU-ExtB"/>
                <w:lang w:val="fr-FR"/>
              </w:rPr>
              <w:t>visant à</w:t>
            </w:r>
            <w:r w:rsidR="00C278C7" w:rsidRPr="0098490B">
              <w:rPr>
                <w:rFonts w:eastAsia="PMingLiU-ExtB"/>
                <w:lang w:val="fr-FR"/>
              </w:rPr>
              <w:t xml:space="preserve"> déterminer les besoins </w:t>
            </w:r>
            <w:r w:rsidR="00B96A9E" w:rsidRPr="0098490B">
              <w:rPr>
                <w:rFonts w:eastAsia="PMingLiU-ExtB"/>
                <w:lang w:val="fr-FR"/>
              </w:rPr>
              <w:t xml:space="preserve">des pays africains </w:t>
            </w:r>
            <w:r w:rsidR="00C278C7" w:rsidRPr="0098490B">
              <w:rPr>
                <w:rFonts w:eastAsia="PMingLiU-ExtB"/>
                <w:lang w:val="fr-FR"/>
              </w:rPr>
              <w:t xml:space="preserve">en matière de renforcement des capacités en ce qui concerne l'élaboration de lignes directrices concernant la mise en place de cadres législatifs. Cette étude recommande l'adoption d'un plan relatif au renforcement des capacités en vue de mettre en place un cadre législatif applicable aux </w:t>
            </w:r>
            <w:r w:rsidR="00C278C7" w:rsidRPr="0098490B">
              <w:rPr>
                <w:color w:val="000000"/>
                <w:lang w:val="fr-FR"/>
              </w:rPr>
              <w:t>déchets d'équipements électriques et électroniques.</w:t>
            </w:r>
            <w:bookmarkEnd w:id="206"/>
          </w:p>
          <w:p w:rsidR="00F56EEF" w:rsidRPr="0098490B" w:rsidRDefault="00C278C7" w:rsidP="00784D97">
            <w:pPr>
              <w:rPr>
                <w:rFonts w:eastAsiaTheme="majorEastAsia"/>
                <w:szCs w:val="24"/>
                <w:lang w:val="fr-FR"/>
              </w:rPr>
            </w:pPr>
            <w:bookmarkStart w:id="207" w:name="lt_pId510"/>
            <w:r w:rsidRPr="0098490B">
              <w:rPr>
                <w:rFonts w:eastAsiaTheme="majorEastAsia"/>
                <w:szCs w:val="24"/>
                <w:lang w:val="fr-FR"/>
              </w:rPr>
              <w:t xml:space="preserve">D'autres activités ont été organisées en vue de renforcer les capacités, d'accroître la sensibilisation et d'aider les pays dans la mise en place de politiques et de cadres adaptés, </w:t>
            </w:r>
            <w:r w:rsidR="00CD5684" w:rsidRPr="0098490B">
              <w:rPr>
                <w:rFonts w:eastAsiaTheme="majorEastAsia"/>
                <w:szCs w:val="24"/>
                <w:lang w:val="fr-FR"/>
              </w:rPr>
              <w:t xml:space="preserve">et </w:t>
            </w:r>
            <w:r w:rsidRPr="0098490B">
              <w:rPr>
                <w:rFonts w:eastAsiaTheme="majorEastAsia"/>
                <w:szCs w:val="24"/>
                <w:lang w:val="fr-FR"/>
              </w:rPr>
              <w:t>notamment</w:t>
            </w:r>
            <w:r w:rsidR="00F56EEF" w:rsidRPr="0098490B">
              <w:rPr>
                <w:rFonts w:eastAsiaTheme="majorEastAsia"/>
                <w:szCs w:val="24"/>
                <w:lang w:val="fr-FR"/>
              </w:rPr>
              <w:t>:</w:t>
            </w:r>
            <w:bookmarkEnd w:id="207"/>
          </w:p>
          <w:p w:rsidR="00F56EEF" w:rsidRPr="0098490B" w:rsidRDefault="00F56EEF" w:rsidP="00784D97">
            <w:pPr>
              <w:pStyle w:val="enumlev1"/>
              <w:rPr>
                <w:rFonts w:eastAsiaTheme="majorEastAsia"/>
                <w:lang w:val="fr-FR"/>
              </w:rPr>
            </w:pPr>
            <w:bookmarkStart w:id="208" w:name="lt_pId511"/>
            <w:r w:rsidRPr="0098490B">
              <w:rPr>
                <w:rFonts w:eastAsia="PMingLiU-ExtB"/>
                <w:lang w:val="fr-FR"/>
              </w:rPr>
              <w:t>–</w:t>
            </w:r>
            <w:r w:rsidRPr="0098490B">
              <w:rPr>
                <w:rFonts w:eastAsia="PMingLiU-ExtB"/>
                <w:lang w:val="fr-FR"/>
              </w:rPr>
              <w:tab/>
            </w:r>
            <w:r w:rsidR="003D03CB" w:rsidRPr="0098490B">
              <w:rPr>
                <w:rFonts w:eastAsia="PMingLiU-ExtB"/>
                <w:lang w:val="fr-FR"/>
              </w:rPr>
              <w:t xml:space="preserve">la politique de gestion et le cadre réglementaire concernant les </w:t>
            </w:r>
            <w:r w:rsidR="003D03CB" w:rsidRPr="0098490B">
              <w:rPr>
                <w:color w:val="000000"/>
                <w:lang w:val="fr-FR"/>
              </w:rPr>
              <w:t xml:space="preserve">déchets d'équipements électriques et électroniques pour Sainte-Lucie </w:t>
            </w:r>
            <w:r w:rsidR="00CD5684" w:rsidRPr="0098490B">
              <w:rPr>
                <w:color w:val="000000"/>
                <w:lang w:val="fr-FR"/>
              </w:rPr>
              <w:t>ont</w:t>
            </w:r>
            <w:r w:rsidR="003D03CB" w:rsidRPr="0098490B">
              <w:rPr>
                <w:color w:val="000000"/>
                <w:lang w:val="fr-FR"/>
              </w:rPr>
              <w:t xml:space="preserve"> été finalisé</w:t>
            </w:r>
            <w:r w:rsidR="00CD5684" w:rsidRPr="0098490B">
              <w:rPr>
                <w:color w:val="000000"/>
                <w:lang w:val="fr-FR"/>
              </w:rPr>
              <w:t>s</w:t>
            </w:r>
            <w:r w:rsidR="003D03CB" w:rsidRPr="0098490B">
              <w:rPr>
                <w:color w:val="000000"/>
                <w:lang w:val="fr-FR"/>
              </w:rPr>
              <w:t>;</w:t>
            </w:r>
            <w:bookmarkEnd w:id="208"/>
            <w:r w:rsidRPr="0098490B">
              <w:rPr>
                <w:rFonts w:eastAsiaTheme="majorEastAsia"/>
                <w:lang w:val="fr-FR"/>
              </w:rPr>
              <w:t xml:space="preserve"> </w:t>
            </w:r>
          </w:p>
          <w:p w:rsidR="00F56EEF" w:rsidRPr="0098490B" w:rsidRDefault="00F56EEF" w:rsidP="00784D97">
            <w:pPr>
              <w:pStyle w:val="enumlev1"/>
              <w:rPr>
                <w:rFonts w:eastAsiaTheme="majorEastAsia"/>
                <w:lang w:val="fr-FR"/>
              </w:rPr>
            </w:pPr>
            <w:bookmarkStart w:id="209" w:name="lt_pId512"/>
            <w:r w:rsidRPr="0098490B">
              <w:rPr>
                <w:rFonts w:eastAsia="PMingLiU-ExtB"/>
                <w:lang w:val="fr-FR"/>
              </w:rPr>
              <w:t>–</w:t>
            </w:r>
            <w:r w:rsidRPr="0098490B">
              <w:rPr>
                <w:rFonts w:eastAsia="PMingLiU-ExtB"/>
                <w:lang w:val="fr-FR"/>
              </w:rPr>
              <w:tab/>
            </w:r>
            <w:r w:rsidR="00CD5684" w:rsidRPr="0098490B">
              <w:rPr>
                <w:rFonts w:eastAsia="PMingLiU-ExtB"/>
                <w:lang w:val="fr-FR"/>
              </w:rPr>
              <w:t xml:space="preserve">un </w:t>
            </w:r>
            <w:r w:rsidR="003D03CB" w:rsidRPr="0098490B">
              <w:rPr>
                <w:rFonts w:eastAsia="PMingLiU-ExtB"/>
                <w:lang w:val="fr-FR"/>
              </w:rPr>
              <w:t xml:space="preserve">atelier régional de formation sur les TIC au service de </w:t>
            </w:r>
            <w:r w:rsidR="003D03CB" w:rsidRPr="0098490B">
              <w:rPr>
                <w:color w:val="000000"/>
                <w:lang w:val="fr-FR"/>
              </w:rPr>
              <w:t xml:space="preserve">l'atténuation des effets des changements climatiques et </w:t>
            </w:r>
            <w:r w:rsidR="00CD5684" w:rsidRPr="0098490B">
              <w:rPr>
                <w:color w:val="000000"/>
                <w:lang w:val="fr-FR"/>
              </w:rPr>
              <w:t xml:space="preserve">de </w:t>
            </w:r>
            <w:r w:rsidR="003D03CB" w:rsidRPr="0098490B">
              <w:rPr>
                <w:color w:val="000000"/>
                <w:lang w:val="fr-FR"/>
              </w:rPr>
              <w:t xml:space="preserve">l'adaptation à ces effets </w:t>
            </w:r>
            <w:r w:rsidR="00CD5684" w:rsidRPr="0098490B">
              <w:rPr>
                <w:color w:val="000000"/>
                <w:lang w:val="fr-FR"/>
              </w:rPr>
              <w:t xml:space="preserve">a été </w:t>
            </w:r>
            <w:r w:rsidR="003D03CB" w:rsidRPr="0098490B">
              <w:rPr>
                <w:color w:val="000000"/>
                <w:lang w:val="fr-FR"/>
              </w:rPr>
              <w:t>organisé dans la région des Etats arabes;</w:t>
            </w:r>
            <w:bookmarkEnd w:id="209"/>
          </w:p>
          <w:p w:rsidR="003D03CB" w:rsidRPr="0098490B" w:rsidRDefault="00F56EEF" w:rsidP="00784D97">
            <w:pPr>
              <w:pStyle w:val="enumlev1"/>
              <w:rPr>
                <w:color w:val="000000"/>
                <w:lang w:val="fr-FR"/>
              </w:rPr>
            </w:pPr>
            <w:bookmarkStart w:id="210" w:name="lt_pId513"/>
            <w:r w:rsidRPr="0098490B">
              <w:rPr>
                <w:rFonts w:eastAsia="PMingLiU-ExtB"/>
                <w:lang w:val="fr-FR"/>
              </w:rPr>
              <w:lastRenderedPageBreak/>
              <w:t>–</w:t>
            </w:r>
            <w:r w:rsidRPr="0098490B">
              <w:rPr>
                <w:rFonts w:eastAsia="PMingLiU-ExtB"/>
                <w:lang w:val="fr-FR"/>
              </w:rPr>
              <w:tab/>
            </w:r>
            <w:r w:rsidR="00CD5684" w:rsidRPr="0098490B">
              <w:rPr>
                <w:rFonts w:eastAsia="PMingLiU-ExtB"/>
                <w:lang w:val="fr-FR"/>
              </w:rPr>
              <w:t xml:space="preserve">un </w:t>
            </w:r>
            <w:r w:rsidR="003D03CB" w:rsidRPr="0098490B">
              <w:rPr>
                <w:rFonts w:eastAsia="PMingLiU-ExtB"/>
                <w:lang w:val="fr-FR"/>
              </w:rPr>
              <w:t xml:space="preserve">atelier régional sur les perspectives en matière de </w:t>
            </w:r>
            <w:r w:rsidR="003D03CB" w:rsidRPr="0098490B">
              <w:rPr>
                <w:color w:val="000000"/>
                <w:lang w:val="fr-FR"/>
              </w:rPr>
              <w:t xml:space="preserve">gestion intelligente de l'eau </w:t>
            </w:r>
            <w:r w:rsidR="00CD5684" w:rsidRPr="0098490B">
              <w:rPr>
                <w:color w:val="000000"/>
                <w:lang w:val="fr-FR"/>
              </w:rPr>
              <w:t>dans la région des Etats arabes a été organisé</w:t>
            </w:r>
            <w:r w:rsidR="003D03CB" w:rsidRPr="0098490B">
              <w:rPr>
                <w:color w:val="000000"/>
                <w:lang w:val="fr-FR"/>
              </w:rPr>
              <w:t xml:space="preserve"> en collaboration avec le centre international de Tunis pour les technologies environnementales (CITET)</w:t>
            </w:r>
            <w:bookmarkStart w:id="211" w:name="lt_pId514"/>
            <w:bookmarkEnd w:id="210"/>
            <w:r w:rsidR="003D03CB" w:rsidRPr="0098490B">
              <w:rPr>
                <w:color w:val="000000"/>
                <w:lang w:val="fr-FR"/>
              </w:rPr>
              <w:t>;</w:t>
            </w:r>
          </w:p>
          <w:p w:rsidR="00084CA2" w:rsidRPr="0098490B" w:rsidRDefault="003D03CB" w:rsidP="00184BF6">
            <w:pPr>
              <w:pStyle w:val="enumlev1"/>
              <w:spacing w:after="120"/>
              <w:rPr>
                <w:lang w:val="fr-FR"/>
              </w:rPr>
            </w:pPr>
            <w:r w:rsidRPr="0098490B">
              <w:rPr>
                <w:rFonts w:eastAsia="PMingLiU-ExtB"/>
                <w:lang w:val="fr-FR"/>
              </w:rPr>
              <w:t>–</w:t>
            </w:r>
            <w:r w:rsidRPr="0098490B">
              <w:rPr>
                <w:rFonts w:eastAsia="PMingLiU-ExtB"/>
                <w:lang w:val="fr-FR"/>
              </w:rPr>
              <w:tab/>
            </w:r>
            <w:r w:rsidR="00CD5684" w:rsidRPr="0098490B">
              <w:rPr>
                <w:rFonts w:eastAsia="PMingLiU-ExtB"/>
                <w:lang w:val="fr-FR"/>
              </w:rPr>
              <w:t xml:space="preserve">un </w:t>
            </w:r>
            <w:r w:rsidRPr="0098490B">
              <w:rPr>
                <w:rFonts w:eastAsia="PMingLiU-ExtB"/>
                <w:lang w:val="fr-FR"/>
              </w:rPr>
              <w:t xml:space="preserve">forum régional sur l'Internet des objets au service du développement des villes intelligentes et durables </w:t>
            </w:r>
            <w:r w:rsidR="00CD5684" w:rsidRPr="0098490B">
              <w:rPr>
                <w:color w:val="000000"/>
                <w:lang w:val="fr-FR"/>
              </w:rPr>
              <w:t xml:space="preserve">a été organisé </w:t>
            </w:r>
            <w:r w:rsidRPr="0098490B">
              <w:rPr>
                <w:rFonts w:eastAsia="PMingLiU-ExtB"/>
                <w:lang w:val="fr-FR"/>
              </w:rPr>
              <w:t>pour la région des Etats arabes</w:t>
            </w:r>
            <w:bookmarkEnd w:id="211"/>
            <w:r w:rsidR="00CD5684" w:rsidRPr="0098490B">
              <w:rPr>
                <w:rFonts w:eastAsia="PMingLiU-ExtB"/>
                <w:lang w:val="fr-FR"/>
              </w:rPr>
              <w:t>.</w:t>
            </w:r>
          </w:p>
        </w:tc>
      </w:tr>
      <w:tr w:rsidR="00F56EEF" w:rsidRPr="0098490B" w:rsidTr="004268F3">
        <w:tc>
          <w:tcPr>
            <w:tcW w:w="3256" w:type="dxa"/>
            <w:tcBorders>
              <w:top w:val="single" w:sz="4" w:space="0" w:color="auto"/>
              <w:bottom w:val="single" w:sz="4" w:space="0" w:color="auto"/>
              <w:right w:val="single" w:sz="4" w:space="0" w:color="auto"/>
            </w:tcBorders>
          </w:tcPr>
          <w:p w:rsidR="00F56EEF" w:rsidRPr="0098490B" w:rsidRDefault="00F56EEF" w:rsidP="00184BF6">
            <w:pPr>
              <w:spacing w:before="0"/>
              <w:rPr>
                <w:i/>
                <w:iCs/>
                <w:szCs w:val="24"/>
                <w:lang w:val="fr-FR"/>
              </w:rPr>
            </w:pPr>
            <w:r w:rsidRPr="0098490B">
              <w:rPr>
                <w:i/>
                <w:iCs/>
                <w:szCs w:val="24"/>
                <w:lang w:val="fr-FR"/>
              </w:rPr>
              <w:lastRenderedPageBreak/>
              <w:t>CMDT</w:t>
            </w:r>
          </w:p>
        </w:tc>
        <w:tc>
          <w:tcPr>
            <w:tcW w:w="6373" w:type="dxa"/>
            <w:tcBorders>
              <w:top w:val="single" w:sz="4" w:space="0" w:color="auto"/>
              <w:left w:val="single" w:sz="4" w:space="0" w:color="auto"/>
              <w:bottom w:val="single" w:sz="4" w:space="0" w:color="auto"/>
            </w:tcBorders>
          </w:tcPr>
          <w:p w:rsidR="00F56EEF" w:rsidRPr="0098490B" w:rsidRDefault="00F56EEF" w:rsidP="00184BF6">
            <w:pPr>
              <w:spacing w:before="0"/>
              <w:rPr>
                <w:rFonts w:eastAsiaTheme="majorEastAsia"/>
                <w:szCs w:val="24"/>
                <w:lang w:val="fr-FR"/>
              </w:rPr>
            </w:pPr>
            <w:bookmarkStart w:id="212" w:name="lt_pId516"/>
            <w:r w:rsidRPr="0098490B">
              <w:rPr>
                <w:szCs w:val="24"/>
                <w:lang w:val="fr-FR"/>
              </w:rPr>
              <w:t>Résolutions 17, 21, 30, 32, 37, 50, 52, 53, 66</w:t>
            </w:r>
            <w:bookmarkEnd w:id="212"/>
          </w:p>
        </w:tc>
      </w:tr>
      <w:tr w:rsidR="00F56EEF" w:rsidRPr="0098490B" w:rsidTr="004268F3">
        <w:trPr>
          <w:trHeight w:val="397"/>
        </w:trPr>
        <w:tc>
          <w:tcPr>
            <w:tcW w:w="3256" w:type="dxa"/>
            <w:tcBorders>
              <w:top w:val="single" w:sz="4" w:space="0" w:color="auto"/>
              <w:bottom w:val="single" w:sz="4" w:space="0" w:color="auto"/>
              <w:right w:val="single" w:sz="4" w:space="0" w:color="auto"/>
            </w:tcBorders>
          </w:tcPr>
          <w:p w:rsidR="00F56EEF" w:rsidRPr="0098490B" w:rsidRDefault="00CD5684" w:rsidP="00184BF6">
            <w:pPr>
              <w:spacing w:before="0"/>
              <w:rPr>
                <w:i/>
                <w:iCs/>
                <w:lang w:val="fr-FR"/>
              </w:rPr>
            </w:pPr>
            <w:r w:rsidRPr="0098490B">
              <w:rPr>
                <w:i/>
                <w:iCs/>
                <w:lang w:val="fr-FR"/>
              </w:rPr>
              <w:t>Conférence de plénipotentiaires</w:t>
            </w:r>
          </w:p>
        </w:tc>
        <w:tc>
          <w:tcPr>
            <w:tcW w:w="6373" w:type="dxa"/>
            <w:tcBorders>
              <w:top w:val="single" w:sz="4" w:space="0" w:color="auto"/>
              <w:left w:val="single" w:sz="4" w:space="0" w:color="auto"/>
              <w:bottom w:val="single" w:sz="4" w:space="0" w:color="auto"/>
            </w:tcBorders>
          </w:tcPr>
          <w:p w:rsidR="00F56EEF" w:rsidRPr="0098490B" w:rsidRDefault="00F56EEF" w:rsidP="00184BF6">
            <w:pPr>
              <w:spacing w:before="0"/>
              <w:rPr>
                <w:rFonts w:eastAsiaTheme="majorEastAsia"/>
                <w:szCs w:val="24"/>
                <w:lang w:val="fr-FR"/>
              </w:rPr>
            </w:pPr>
            <w:bookmarkStart w:id="213" w:name="lt_pId518"/>
            <w:r w:rsidRPr="0098490B">
              <w:rPr>
                <w:rFonts w:eastAsiaTheme="majorEastAsia"/>
                <w:szCs w:val="24"/>
                <w:lang w:val="fr-FR"/>
              </w:rPr>
              <w:t>Décisions:</w:t>
            </w:r>
            <w:bookmarkEnd w:id="213"/>
            <w:r w:rsidRPr="0098490B">
              <w:rPr>
                <w:rFonts w:eastAsiaTheme="majorEastAsia"/>
                <w:szCs w:val="24"/>
                <w:lang w:val="fr-FR"/>
              </w:rPr>
              <w:t xml:space="preserve"> 5, 13, </w:t>
            </w:r>
          </w:p>
          <w:p w:rsidR="00F56EEF" w:rsidRPr="0098490B" w:rsidRDefault="00F56EEF" w:rsidP="00184BF6">
            <w:pPr>
              <w:spacing w:before="0"/>
              <w:rPr>
                <w:rFonts w:eastAsiaTheme="majorEastAsia"/>
                <w:szCs w:val="24"/>
                <w:lang w:val="fr-FR"/>
              </w:rPr>
            </w:pPr>
            <w:bookmarkStart w:id="214" w:name="lt_pId520"/>
            <w:r w:rsidRPr="0098490B">
              <w:rPr>
                <w:rFonts w:eastAsiaTheme="majorEastAsia"/>
                <w:szCs w:val="24"/>
                <w:lang w:val="fr-FR"/>
              </w:rPr>
              <w:t>Résolutions:</w:t>
            </w:r>
            <w:bookmarkEnd w:id="214"/>
            <w:r w:rsidRPr="0098490B">
              <w:rPr>
                <w:rFonts w:eastAsiaTheme="majorEastAsia"/>
                <w:szCs w:val="24"/>
                <w:lang w:val="fr-FR"/>
              </w:rPr>
              <w:t xml:space="preserve"> 25, 71, 182</w:t>
            </w:r>
          </w:p>
        </w:tc>
      </w:tr>
      <w:tr w:rsidR="00F56EEF" w:rsidRPr="0098490B" w:rsidTr="004268F3">
        <w:trPr>
          <w:trHeight w:val="397"/>
        </w:trPr>
        <w:tc>
          <w:tcPr>
            <w:tcW w:w="3256" w:type="dxa"/>
            <w:tcBorders>
              <w:top w:val="single" w:sz="4" w:space="0" w:color="auto"/>
              <w:bottom w:val="single" w:sz="4" w:space="0" w:color="auto"/>
              <w:right w:val="single" w:sz="4" w:space="0" w:color="auto"/>
            </w:tcBorders>
          </w:tcPr>
          <w:p w:rsidR="00F56EEF" w:rsidRPr="0098490B" w:rsidRDefault="00F56EEF" w:rsidP="00184BF6">
            <w:pPr>
              <w:spacing w:before="0"/>
              <w:rPr>
                <w:i/>
                <w:iCs/>
                <w:lang w:val="fr-FR"/>
              </w:rPr>
            </w:pPr>
            <w:r w:rsidRPr="0098490B">
              <w:rPr>
                <w:i/>
                <w:iCs/>
                <w:lang w:val="fr-FR"/>
              </w:rPr>
              <w:t>AMNT</w:t>
            </w:r>
          </w:p>
        </w:tc>
        <w:tc>
          <w:tcPr>
            <w:tcW w:w="6373" w:type="dxa"/>
            <w:tcBorders>
              <w:top w:val="single" w:sz="4" w:space="0" w:color="auto"/>
              <w:left w:val="single" w:sz="4" w:space="0" w:color="auto"/>
              <w:bottom w:val="single" w:sz="4" w:space="0" w:color="auto"/>
            </w:tcBorders>
          </w:tcPr>
          <w:p w:rsidR="00F56EEF" w:rsidRPr="0098490B" w:rsidRDefault="00F56EEF" w:rsidP="00184BF6">
            <w:pPr>
              <w:spacing w:before="0"/>
              <w:rPr>
                <w:szCs w:val="24"/>
                <w:lang w:val="fr-FR"/>
              </w:rPr>
            </w:pPr>
            <w:bookmarkStart w:id="215" w:name="lt_pId523"/>
            <w:r w:rsidRPr="0098490B">
              <w:rPr>
                <w:szCs w:val="24"/>
                <w:lang w:val="fr-FR"/>
              </w:rPr>
              <w:t>Résolution 73</w:t>
            </w:r>
            <w:bookmarkEnd w:id="215"/>
          </w:p>
        </w:tc>
      </w:tr>
      <w:tr w:rsidR="00F56EEF" w:rsidRPr="0098490B" w:rsidTr="004268F3">
        <w:trPr>
          <w:trHeight w:val="397"/>
        </w:trPr>
        <w:tc>
          <w:tcPr>
            <w:tcW w:w="3256" w:type="dxa"/>
            <w:tcBorders>
              <w:top w:val="single" w:sz="4" w:space="0" w:color="auto"/>
              <w:bottom w:val="single" w:sz="4" w:space="0" w:color="auto"/>
              <w:right w:val="single" w:sz="4" w:space="0" w:color="auto"/>
            </w:tcBorders>
          </w:tcPr>
          <w:p w:rsidR="00F56EEF" w:rsidRPr="0098490B" w:rsidRDefault="00F56EEF" w:rsidP="00184BF6">
            <w:pPr>
              <w:spacing w:before="0"/>
              <w:rPr>
                <w:i/>
                <w:iCs/>
                <w:szCs w:val="24"/>
                <w:lang w:val="fr-FR"/>
              </w:rPr>
            </w:pPr>
            <w:r w:rsidRPr="0098490B">
              <w:rPr>
                <w:i/>
                <w:iCs/>
                <w:lang w:val="fr-FR"/>
              </w:rPr>
              <w:t>Grandes orientations du SMSI</w:t>
            </w:r>
          </w:p>
        </w:tc>
        <w:tc>
          <w:tcPr>
            <w:tcW w:w="6373" w:type="dxa"/>
            <w:tcBorders>
              <w:top w:val="single" w:sz="4" w:space="0" w:color="auto"/>
              <w:left w:val="single" w:sz="4" w:space="0" w:color="auto"/>
              <w:bottom w:val="single" w:sz="4" w:space="0" w:color="auto"/>
            </w:tcBorders>
          </w:tcPr>
          <w:p w:rsidR="00F56EEF" w:rsidRPr="0098490B" w:rsidRDefault="003D03CB" w:rsidP="00184BF6">
            <w:pPr>
              <w:spacing w:before="0"/>
              <w:rPr>
                <w:rFonts w:eastAsiaTheme="majorEastAsia"/>
                <w:szCs w:val="24"/>
                <w:lang w:val="fr-FR"/>
              </w:rPr>
            </w:pPr>
            <w:r w:rsidRPr="0098490B">
              <w:rPr>
                <w:color w:val="000000"/>
                <w:lang w:val="fr-FR"/>
              </w:rPr>
              <w:t>La grande orientation C7 (cyberécologie) figurant dans le Plan d'action de Genève est étroitement liée au Produit D.5.1</w:t>
            </w:r>
          </w:p>
        </w:tc>
      </w:tr>
      <w:tr w:rsidR="00F56EEF" w:rsidRPr="0098490B" w:rsidTr="004268F3">
        <w:tc>
          <w:tcPr>
            <w:tcW w:w="3256" w:type="dxa"/>
            <w:tcBorders>
              <w:top w:val="single" w:sz="4" w:space="0" w:color="auto"/>
              <w:bottom w:val="single" w:sz="4" w:space="0" w:color="auto"/>
              <w:right w:val="single" w:sz="4" w:space="0" w:color="auto"/>
            </w:tcBorders>
          </w:tcPr>
          <w:p w:rsidR="00F56EEF" w:rsidRPr="0098490B" w:rsidRDefault="00F56EEF" w:rsidP="00184BF6">
            <w:pPr>
              <w:spacing w:before="0"/>
              <w:rPr>
                <w:i/>
                <w:iCs/>
                <w:szCs w:val="24"/>
                <w:lang w:val="fr-FR"/>
              </w:rPr>
            </w:pPr>
            <w:r w:rsidRPr="0098490B">
              <w:rPr>
                <w:i/>
                <w:iCs/>
                <w:lang w:val="fr-FR"/>
              </w:rPr>
              <w:t>Contribution aux cibles des O</w:t>
            </w:r>
            <w:r w:rsidR="003D03CB" w:rsidRPr="0098490B">
              <w:rPr>
                <w:i/>
                <w:iCs/>
                <w:lang w:val="fr-FR"/>
              </w:rPr>
              <w:t>bjectifs de développement durable</w:t>
            </w:r>
          </w:p>
        </w:tc>
        <w:tc>
          <w:tcPr>
            <w:tcW w:w="6373" w:type="dxa"/>
            <w:tcBorders>
              <w:top w:val="single" w:sz="4" w:space="0" w:color="auto"/>
              <w:left w:val="single" w:sz="4" w:space="0" w:color="auto"/>
              <w:bottom w:val="single" w:sz="4" w:space="0" w:color="auto"/>
            </w:tcBorders>
          </w:tcPr>
          <w:p w:rsidR="00F56EEF" w:rsidRPr="0098490B" w:rsidRDefault="003D03CB" w:rsidP="00184BF6">
            <w:pPr>
              <w:spacing w:before="0"/>
              <w:rPr>
                <w:rFonts w:eastAsiaTheme="majorEastAsia"/>
                <w:szCs w:val="24"/>
                <w:lang w:val="fr-FR"/>
              </w:rPr>
            </w:pPr>
            <w:bookmarkStart w:id="216" w:name="lt_pId527"/>
            <w:r w:rsidRPr="0098490B">
              <w:rPr>
                <w:szCs w:val="24"/>
                <w:lang w:val="fr-FR"/>
              </w:rPr>
              <w:t>Objectif</w:t>
            </w:r>
            <w:r w:rsidR="00CD5684" w:rsidRPr="0098490B">
              <w:rPr>
                <w:szCs w:val="24"/>
                <w:lang w:val="fr-FR"/>
              </w:rPr>
              <w:t>s</w:t>
            </w:r>
            <w:r w:rsidRPr="0098490B">
              <w:rPr>
                <w:szCs w:val="24"/>
                <w:lang w:val="fr-FR"/>
              </w:rPr>
              <w:t xml:space="preserve"> de développement durable</w:t>
            </w:r>
            <w:r w:rsidR="00F56EEF" w:rsidRPr="0098490B">
              <w:rPr>
                <w:szCs w:val="24"/>
                <w:lang w:val="fr-FR"/>
              </w:rPr>
              <w:t>:</w:t>
            </w:r>
            <w:bookmarkEnd w:id="216"/>
            <w:r w:rsidR="00F56EEF" w:rsidRPr="0098490B">
              <w:rPr>
                <w:szCs w:val="24"/>
                <w:lang w:val="fr-FR"/>
              </w:rPr>
              <w:t xml:space="preserve"> </w:t>
            </w:r>
            <w:bookmarkStart w:id="217" w:name="lt_pId528"/>
            <w:r w:rsidR="00F56EEF" w:rsidRPr="0098490B">
              <w:rPr>
                <w:szCs w:val="24"/>
                <w:lang w:val="fr-FR"/>
              </w:rPr>
              <w:t>3 (cible 3</w:t>
            </w:r>
            <w:r w:rsidR="009A56A2">
              <w:rPr>
                <w:szCs w:val="24"/>
                <w:lang w:val="fr-FR"/>
              </w:rPr>
              <w:t>.9), 5 (cible 5b), 9, 11 (cible</w:t>
            </w:r>
            <w:bookmarkStart w:id="218" w:name="_GoBack"/>
            <w:bookmarkEnd w:id="218"/>
            <w:r w:rsidR="00F56EEF" w:rsidRPr="0098490B">
              <w:rPr>
                <w:szCs w:val="24"/>
                <w:lang w:val="fr-FR"/>
              </w:rPr>
              <w:t xml:space="preserve"> 11b), 13 (cibles 13.1, 13.2 </w:t>
            </w:r>
            <w:r w:rsidRPr="0098490B">
              <w:rPr>
                <w:szCs w:val="24"/>
                <w:lang w:val="fr-FR"/>
              </w:rPr>
              <w:t>et</w:t>
            </w:r>
            <w:r w:rsidR="00F56EEF" w:rsidRPr="0098490B">
              <w:rPr>
                <w:szCs w:val="24"/>
                <w:lang w:val="fr-FR"/>
              </w:rPr>
              <w:t xml:space="preserve"> 13.3), 14, 15</w:t>
            </w:r>
            <w:bookmarkEnd w:id="217"/>
          </w:p>
        </w:tc>
      </w:tr>
    </w:tbl>
    <w:p w:rsidR="00084CA2" w:rsidRPr="0098490B" w:rsidRDefault="00084CA2" w:rsidP="00184BF6">
      <w:pPr>
        <w:pStyle w:val="Heading2"/>
        <w:spacing w:after="120"/>
        <w:rPr>
          <w:lang w:val="fr-FR"/>
        </w:rPr>
      </w:pPr>
      <w:bookmarkStart w:id="219" w:name="_Toc467807709"/>
      <w:bookmarkStart w:id="220" w:name="_Toc468087108"/>
      <w:r w:rsidRPr="0098490B">
        <w:rPr>
          <w:lang w:val="fr-FR"/>
        </w:rPr>
        <w:t>5.2</w:t>
      </w:r>
      <w:r w:rsidRPr="0098490B">
        <w:rPr>
          <w:lang w:val="fr-FR"/>
        </w:rPr>
        <w:tab/>
        <w:t>Télécommunications d'urgence</w:t>
      </w:r>
      <w:bookmarkEnd w:id="219"/>
      <w:bookmarkEnd w:id="220"/>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084CA2" w:rsidRPr="0098490B" w:rsidTr="004268F3">
        <w:tc>
          <w:tcPr>
            <w:tcW w:w="9629" w:type="dxa"/>
            <w:gridSpan w:val="2"/>
            <w:tcBorders>
              <w:bottom w:val="single" w:sz="4" w:space="0" w:color="auto"/>
            </w:tcBorders>
          </w:tcPr>
          <w:p w:rsidR="00F714D0" w:rsidRPr="0098490B" w:rsidRDefault="00F714D0" w:rsidP="00784D97">
            <w:pPr>
              <w:rPr>
                <w:color w:val="000000"/>
                <w:lang w:val="fr-FR"/>
              </w:rPr>
            </w:pPr>
            <w:bookmarkStart w:id="221" w:name="lt_pId531"/>
            <w:r w:rsidRPr="0098490B">
              <w:rPr>
                <w:szCs w:val="24"/>
                <w:lang w:val="fr-FR"/>
              </w:rPr>
              <w:t xml:space="preserve">En 2017, l'UIT a continué de faciliter </w:t>
            </w:r>
            <w:r w:rsidRPr="0098490B">
              <w:rPr>
                <w:color w:val="000000"/>
                <w:lang w:val="fr-FR"/>
              </w:rPr>
              <w:t>les interventions d'urgence en cas de catastrophe, de renforcer les capacités et d'améliorer les communications pour les opérations de secours.</w:t>
            </w:r>
          </w:p>
          <w:p w:rsidR="00463EE6" w:rsidRPr="0098490B" w:rsidRDefault="00F714D0" w:rsidP="00184BF6">
            <w:pPr>
              <w:rPr>
                <w:szCs w:val="24"/>
                <w:lang w:val="fr-FR"/>
              </w:rPr>
            </w:pPr>
            <w:r w:rsidRPr="0098490B">
              <w:rPr>
                <w:szCs w:val="24"/>
                <w:lang w:val="fr-FR"/>
              </w:rPr>
              <w:t>L'UIT a déployé des é</w:t>
            </w:r>
            <w:r w:rsidR="00B366BE" w:rsidRPr="0098490B">
              <w:rPr>
                <w:szCs w:val="24"/>
                <w:lang w:val="fr-FR"/>
              </w:rPr>
              <w:t>quipements de télécommunication</w:t>
            </w:r>
            <w:r w:rsidRPr="0098490B">
              <w:rPr>
                <w:szCs w:val="24"/>
                <w:lang w:val="fr-FR"/>
              </w:rPr>
              <w:t xml:space="preserve"> d'urgence dans les Caraïbes </w:t>
            </w:r>
            <w:r w:rsidR="00B366BE" w:rsidRPr="0098490B">
              <w:rPr>
                <w:szCs w:val="24"/>
                <w:lang w:val="fr-FR"/>
              </w:rPr>
              <w:t xml:space="preserve">en </w:t>
            </w:r>
            <w:r w:rsidR="00184BF6" w:rsidRPr="0098490B">
              <w:rPr>
                <w:szCs w:val="24"/>
                <w:lang w:val="fr-FR"/>
              </w:rPr>
              <w:t>soutien</w:t>
            </w:r>
            <w:r w:rsidR="004743A4">
              <w:rPr>
                <w:szCs w:val="24"/>
                <w:lang w:val="fr-FR"/>
              </w:rPr>
              <w:t> </w:t>
            </w:r>
            <w:r w:rsidR="00B366BE" w:rsidRPr="0098490B">
              <w:rPr>
                <w:szCs w:val="24"/>
                <w:lang w:val="fr-FR"/>
              </w:rPr>
              <w:t>aux opérations de secours menées à la suite du passage d</w:t>
            </w:r>
            <w:r w:rsidRPr="0098490B">
              <w:rPr>
                <w:szCs w:val="24"/>
                <w:lang w:val="fr-FR"/>
              </w:rPr>
              <w:t xml:space="preserve">es </w:t>
            </w:r>
            <w:r w:rsidR="00463EE6" w:rsidRPr="0098490B">
              <w:rPr>
                <w:szCs w:val="24"/>
                <w:lang w:val="fr-FR"/>
              </w:rPr>
              <w:t xml:space="preserve">ouragans </w:t>
            </w:r>
            <w:r w:rsidR="00B366BE" w:rsidRPr="0098490B">
              <w:rPr>
                <w:szCs w:val="24"/>
                <w:lang w:val="fr-FR"/>
              </w:rPr>
              <w:t>dévastateurs de catégorie 5 Irma et Maria</w:t>
            </w:r>
            <w:r w:rsidR="00463EE6" w:rsidRPr="0098490B">
              <w:rPr>
                <w:szCs w:val="24"/>
                <w:lang w:val="fr-FR"/>
              </w:rPr>
              <w:t xml:space="preserve">. Des équipements de télécommunication d'urgence ont été distribués dans plusieurs Etats Membres, y compris Haïti, la Dominique et </w:t>
            </w:r>
            <w:r w:rsidR="00463EE6" w:rsidRPr="0098490B">
              <w:rPr>
                <w:color w:val="000000"/>
                <w:lang w:val="fr-FR"/>
              </w:rPr>
              <w:t xml:space="preserve">Antigua-et-Barbuda, et notamment des téléphones par satellite ainsi que des terminaux BGAN et des microstations, en </w:t>
            </w:r>
            <w:r w:rsidR="00B366BE" w:rsidRPr="0098490B">
              <w:rPr>
                <w:color w:val="000000"/>
                <w:lang w:val="fr-FR"/>
              </w:rPr>
              <w:t>soutien aux</w:t>
            </w:r>
            <w:r w:rsidR="00463EE6" w:rsidRPr="0098490B">
              <w:rPr>
                <w:color w:val="000000"/>
                <w:lang w:val="fr-FR"/>
              </w:rPr>
              <w:t xml:space="preserve"> efforts déployés en matière d'aide humanitaire.</w:t>
            </w:r>
            <w:r w:rsidR="00B366BE" w:rsidRPr="0098490B">
              <w:rPr>
                <w:color w:val="000000"/>
                <w:lang w:val="fr-FR"/>
              </w:rPr>
              <w:t xml:space="preserve"> </w:t>
            </w:r>
            <w:r w:rsidR="00463EE6" w:rsidRPr="0098490B">
              <w:rPr>
                <w:color w:val="000000"/>
                <w:lang w:val="fr-FR"/>
              </w:rPr>
              <w:t xml:space="preserve">En outre, l'UIT a aidé le Gouvernement du Zimbabwe à réparer les dégâts causés par de graves inondations, grâce au déploiement </w:t>
            </w:r>
            <w:r w:rsidR="00780784" w:rsidRPr="0098490B">
              <w:rPr>
                <w:color w:val="000000"/>
                <w:lang w:val="fr-FR"/>
              </w:rPr>
              <w:t>d'</w:t>
            </w:r>
            <w:r w:rsidR="00780784" w:rsidRPr="0098490B">
              <w:rPr>
                <w:szCs w:val="24"/>
                <w:lang w:val="fr-FR"/>
              </w:rPr>
              <w:t>équipements de télécommunication d'urgence. Ces équipements ont été utilisés pour coordonner les activités de rétablissement et de reconstruction, en permettant notamment aux communautés les plus touchées du pays de communiquer.</w:t>
            </w:r>
          </w:p>
          <w:p w:rsidR="004F5C25" w:rsidRPr="0098490B" w:rsidRDefault="00780784" w:rsidP="00784D97">
            <w:pPr>
              <w:rPr>
                <w:szCs w:val="24"/>
                <w:lang w:val="fr-FR"/>
              </w:rPr>
            </w:pPr>
            <w:r w:rsidRPr="0098490B">
              <w:rPr>
                <w:szCs w:val="24"/>
                <w:lang w:val="fr-FR"/>
              </w:rPr>
              <w:t xml:space="preserve">L'UIT a </w:t>
            </w:r>
            <w:r w:rsidR="00B366BE" w:rsidRPr="0098490B">
              <w:rPr>
                <w:szCs w:val="24"/>
                <w:lang w:val="fr-FR"/>
              </w:rPr>
              <w:t>signé</w:t>
            </w:r>
            <w:r w:rsidRPr="0098490B">
              <w:rPr>
                <w:szCs w:val="24"/>
                <w:lang w:val="fr-FR"/>
              </w:rPr>
              <w:t xml:space="preserve"> plusieurs accords de coopération:</w:t>
            </w:r>
            <w:bookmarkEnd w:id="221"/>
          </w:p>
          <w:p w:rsidR="004F5C25" w:rsidRPr="0098490B" w:rsidRDefault="004F5C25" w:rsidP="00784D97">
            <w:pPr>
              <w:pStyle w:val="enumlev1"/>
              <w:rPr>
                <w:lang w:val="fr-FR"/>
              </w:rPr>
            </w:pPr>
            <w:bookmarkStart w:id="222" w:name="lt_pId537"/>
            <w:r w:rsidRPr="0098490B">
              <w:rPr>
                <w:lang w:val="fr-FR"/>
              </w:rPr>
              <w:t>–</w:t>
            </w:r>
            <w:r w:rsidRPr="0098490B">
              <w:rPr>
                <w:lang w:val="fr-FR"/>
              </w:rPr>
              <w:tab/>
            </w:r>
            <w:r w:rsidR="00780784" w:rsidRPr="0098490B">
              <w:rPr>
                <w:lang w:val="fr-FR"/>
              </w:rPr>
              <w:t>un accord de coopération avec l'Australie pour la mise en oeuvre d'un projet sur les télécommunications d'urgence dans la région Asie-Pacifique</w:t>
            </w:r>
            <w:bookmarkEnd w:id="222"/>
            <w:r w:rsidR="00B366BE" w:rsidRPr="0098490B">
              <w:rPr>
                <w:lang w:val="fr-FR"/>
              </w:rPr>
              <w:t>;</w:t>
            </w:r>
          </w:p>
          <w:p w:rsidR="00084CA2" w:rsidRPr="0098490B" w:rsidRDefault="004F5C25" w:rsidP="00784D97">
            <w:pPr>
              <w:pStyle w:val="enumlev1"/>
              <w:rPr>
                <w:lang w:val="fr-FR"/>
              </w:rPr>
            </w:pPr>
            <w:bookmarkStart w:id="223" w:name="lt_pId538"/>
            <w:r w:rsidRPr="0098490B">
              <w:rPr>
                <w:lang w:val="fr-FR"/>
              </w:rPr>
              <w:t>–</w:t>
            </w:r>
            <w:r w:rsidRPr="0098490B">
              <w:rPr>
                <w:lang w:val="fr-FR"/>
              </w:rPr>
              <w:tab/>
            </w:r>
            <w:r w:rsidR="00780784" w:rsidRPr="0098490B">
              <w:rPr>
                <w:lang w:val="fr-FR"/>
              </w:rPr>
              <w:t>un mémorandum d'accord sur les télécommunicati</w:t>
            </w:r>
            <w:r w:rsidR="008F7211">
              <w:rPr>
                <w:lang w:val="fr-FR"/>
              </w:rPr>
              <w:t>ons d'urgence avec la CITEL, la </w:t>
            </w:r>
            <w:r w:rsidR="00780784" w:rsidRPr="0098490B">
              <w:rPr>
                <w:lang w:val="fr-FR"/>
              </w:rPr>
              <w:t>COMTELCA et la CTU pendant la CMDT-17, en Argentine.</w:t>
            </w:r>
            <w:bookmarkEnd w:id="223"/>
          </w:p>
          <w:p w:rsidR="004F5C25" w:rsidRPr="0098490B" w:rsidRDefault="00BE47A1" w:rsidP="00784D97">
            <w:pPr>
              <w:rPr>
                <w:szCs w:val="24"/>
                <w:lang w:val="fr-FR"/>
              </w:rPr>
            </w:pPr>
            <w:r w:rsidRPr="0098490B">
              <w:rPr>
                <w:lang w:val="fr-FR"/>
              </w:rPr>
              <w:t xml:space="preserve">L'UIT a </w:t>
            </w:r>
            <w:r w:rsidR="009F4986" w:rsidRPr="0098490B">
              <w:rPr>
                <w:lang w:val="fr-FR"/>
              </w:rPr>
              <w:t xml:space="preserve">également </w:t>
            </w:r>
            <w:r w:rsidRPr="0098490B">
              <w:rPr>
                <w:lang w:val="fr-FR"/>
              </w:rPr>
              <w:t xml:space="preserve">organisé des activités relatives au renforcement des capacités </w:t>
            </w:r>
            <w:r w:rsidR="009F4986" w:rsidRPr="0098490B">
              <w:rPr>
                <w:lang w:val="fr-FR"/>
              </w:rPr>
              <w:t>dans les domaines des communications d'urgence, des changements climatiques, des villes intelligentes et durables et des déchets d'équipements électriques et électroniques, ainsi que concernant</w:t>
            </w:r>
            <w:r w:rsidR="00DB63E3" w:rsidRPr="0098490B">
              <w:rPr>
                <w:lang w:val="fr-FR"/>
              </w:rPr>
              <w:t xml:space="preserve"> les </w:t>
            </w:r>
            <w:r w:rsidR="009F4986" w:rsidRPr="0098490B">
              <w:rPr>
                <w:color w:val="000000"/>
                <w:lang w:val="fr-FR"/>
              </w:rPr>
              <w:t>équipes nationales d'intervention en cas d'incident informatique (CIRT)</w:t>
            </w:r>
            <w:r w:rsidRPr="0098490B">
              <w:rPr>
                <w:lang w:val="fr-FR"/>
              </w:rPr>
              <w:t xml:space="preserve">. </w:t>
            </w:r>
            <w:bookmarkStart w:id="224" w:name="lt_pId540"/>
            <w:r w:rsidR="000D5BBC" w:rsidRPr="0098490B">
              <w:rPr>
                <w:szCs w:val="24"/>
                <w:lang w:val="fr-FR"/>
              </w:rPr>
              <w:t>Citons notamment</w:t>
            </w:r>
            <w:r w:rsidRPr="0098490B">
              <w:rPr>
                <w:szCs w:val="24"/>
                <w:lang w:val="fr-FR"/>
              </w:rPr>
              <w:t>:</w:t>
            </w:r>
            <w:bookmarkEnd w:id="224"/>
          </w:p>
          <w:p w:rsidR="004F5C25" w:rsidRPr="0098490B" w:rsidRDefault="004F5C25" w:rsidP="00784D97">
            <w:pPr>
              <w:pStyle w:val="enumlev1"/>
              <w:rPr>
                <w:lang w:val="fr-FR"/>
              </w:rPr>
            </w:pPr>
            <w:bookmarkStart w:id="225" w:name="lt_pId541"/>
            <w:r w:rsidRPr="0098490B">
              <w:rPr>
                <w:lang w:val="fr-FR"/>
              </w:rPr>
              <w:t>–</w:t>
            </w:r>
            <w:r w:rsidRPr="0098490B">
              <w:rPr>
                <w:lang w:val="fr-FR"/>
              </w:rPr>
              <w:tab/>
            </w:r>
            <w:r w:rsidR="000D5BBC" w:rsidRPr="0098490B">
              <w:rPr>
                <w:lang w:val="fr-FR"/>
              </w:rPr>
              <w:t xml:space="preserve">un atelier sur les technologies </w:t>
            </w:r>
            <w:r w:rsidR="000D5BBC" w:rsidRPr="0098490B">
              <w:rPr>
                <w:color w:val="000000"/>
                <w:lang w:val="fr-FR"/>
              </w:rPr>
              <w:t>permettant d'atténuer les effets des tremblements de terre et des tsunamis</w:t>
            </w:r>
            <w:r w:rsidR="00DB63E3" w:rsidRPr="0098490B">
              <w:rPr>
                <w:color w:val="000000"/>
                <w:lang w:val="fr-FR"/>
              </w:rPr>
              <w:t>,</w:t>
            </w:r>
            <w:r w:rsidR="000D5BBC" w:rsidRPr="0098490B">
              <w:rPr>
                <w:color w:val="000000"/>
                <w:lang w:val="fr-FR"/>
              </w:rPr>
              <w:t xml:space="preserve"> organisé au Pérou;</w:t>
            </w:r>
            <w:bookmarkEnd w:id="225"/>
          </w:p>
          <w:p w:rsidR="004F5C25" w:rsidRPr="0098490B" w:rsidRDefault="004F5C25" w:rsidP="00784D97">
            <w:pPr>
              <w:pStyle w:val="enumlev1"/>
              <w:rPr>
                <w:lang w:val="fr-FR"/>
              </w:rPr>
            </w:pPr>
            <w:bookmarkStart w:id="226" w:name="lt_pId542"/>
            <w:r w:rsidRPr="0098490B">
              <w:rPr>
                <w:lang w:val="fr-FR"/>
              </w:rPr>
              <w:t>–</w:t>
            </w:r>
            <w:r w:rsidRPr="0098490B">
              <w:rPr>
                <w:lang w:val="fr-FR"/>
              </w:rPr>
              <w:tab/>
            </w:r>
            <w:r w:rsidR="000D5BBC" w:rsidRPr="0098490B">
              <w:rPr>
                <w:lang w:val="fr-FR"/>
              </w:rPr>
              <w:t xml:space="preserve">le deuxième </w:t>
            </w:r>
            <w:r w:rsidR="00DB63E3" w:rsidRPr="0098490B">
              <w:rPr>
                <w:lang w:val="fr-FR"/>
              </w:rPr>
              <w:t>fo</w:t>
            </w:r>
            <w:r w:rsidR="000D5BBC" w:rsidRPr="0098490B">
              <w:rPr>
                <w:color w:val="000000"/>
                <w:lang w:val="fr-FR"/>
              </w:rPr>
              <w:t>rum multi-parties prenantes sur le rôle des télécommunications/TIC dans la gestion des</w:t>
            </w:r>
            <w:r w:rsidR="00DB63E3" w:rsidRPr="0098490B">
              <w:rPr>
                <w:color w:val="000000"/>
                <w:lang w:val="fr-FR"/>
              </w:rPr>
              <w:t xml:space="preserve"> catastrophes, </w:t>
            </w:r>
            <w:r w:rsidR="000D5BBC" w:rsidRPr="0098490B">
              <w:rPr>
                <w:color w:val="000000"/>
                <w:lang w:val="fr-FR"/>
              </w:rPr>
              <w:t>organisé en Colombie;</w:t>
            </w:r>
            <w:bookmarkEnd w:id="226"/>
          </w:p>
          <w:p w:rsidR="004F5C25" w:rsidRPr="0098490B" w:rsidRDefault="004F5C25" w:rsidP="00784D97">
            <w:pPr>
              <w:pStyle w:val="enumlev1"/>
              <w:rPr>
                <w:lang w:val="fr-FR"/>
              </w:rPr>
            </w:pPr>
            <w:bookmarkStart w:id="227" w:name="lt_pId543"/>
            <w:r w:rsidRPr="0098490B">
              <w:rPr>
                <w:lang w:val="fr-FR"/>
              </w:rPr>
              <w:t>–</w:t>
            </w:r>
            <w:r w:rsidRPr="0098490B">
              <w:rPr>
                <w:lang w:val="fr-FR"/>
              </w:rPr>
              <w:tab/>
            </w:r>
            <w:r w:rsidR="000D5BBC" w:rsidRPr="0098490B">
              <w:rPr>
                <w:lang w:val="fr-FR"/>
              </w:rPr>
              <w:t>l'atelier régional de formation de l'UIT pour la région des Etats arabes sur les TIC pour la gestion des catastrophes</w:t>
            </w:r>
            <w:r w:rsidR="00DB63E3" w:rsidRPr="0098490B">
              <w:rPr>
                <w:lang w:val="fr-FR"/>
              </w:rPr>
              <w:t>,</w:t>
            </w:r>
            <w:r w:rsidR="000D5BBC" w:rsidRPr="0098490B">
              <w:rPr>
                <w:lang w:val="fr-FR"/>
              </w:rPr>
              <w:t xml:space="preserve"> organisé au Soudan;</w:t>
            </w:r>
            <w:bookmarkEnd w:id="227"/>
          </w:p>
          <w:p w:rsidR="000D5BBC" w:rsidRPr="0098490B" w:rsidRDefault="004F5C25" w:rsidP="00184BF6">
            <w:pPr>
              <w:pStyle w:val="enumlev1"/>
              <w:rPr>
                <w:color w:val="000000"/>
                <w:lang w:val="fr-FR"/>
              </w:rPr>
            </w:pPr>
            <w:bookmarkStart w:id="228" w:name="lt_pId544"/>
            <w:r w:rsidRPr="0098490B">
              <w:rPr>
                <w:lang w:val="fr-FR"/>
              </w:rPr>
              <w:lastRenderedPageBreak/>
              <w:t>–</w:t>
            </w:r>
            <w:r w:rsidRPr="0098490B">
              <w:rPr>
                <w:lang w:val="fr-FR"/>
              </w:rPr>
              <w:tab/>
            </w:r>
            <w:r w:rsidR="00DB63E3" w:rsidRPr="0098490B">
              <w:rPr>
                <w:lang w:val="fr-FR"/>
              </w:rPr>
              <w:t>l'</w:t>
            </w:r>
            <w:r w:rsidR="000D5BBC" w:rsidRPr="0098490B">
              <w:rPr>
                <w:lang w:val="fr-FR"/>
              </w:rPr>
              <w:t xml:space="preserve">atelier de formation sur la configuration des serveurs et la collecte de données pour des projets relatifs aux mégadonnées (stockage sûr et analyse des </w:t>
            </w:r>
            <w:r w:rsidR="000D5BBC" w:rsidRPr="0098490B">
              <w:rPr>
                <w:color w:val="000000"/>
                <w:lang w:val="fr-FR"/>
              </w:rPr>
              <w:t xml:space="preserve">relevés détaillés des communications), ainsi que sur l'utilisation des applications TIC </w:t>
            </w:r>
            <w:r w:rsidR="00184BF6" w:rsidRPr="0098490B">
              <w:rPr>
                <w:color w:val="000000"/>
                <w:lang w:val="fr-FR"/>
              </w:rPr>
              <w:t xml:space="preserve">telles que les services de télésanté, </w:t>
            </w:r>
            <w:r w:rsidR="000D5BBC" w:rsidRPr="0098490B">
              <w:rPr>
                <w:color w:val="000000"/>
                <w:lang w:val="fr-FR"/>
              </w:rPr>
              <w:t>pour la coordination humanitaire, organisé au Sierra Leone;</w:t>
            </w:r>
            <w:bookmarkEnd w:id="228"/>
          </w:p>
          <w:p w:rsidR="004F5C25" w:rsidRPr="0098490B" w:rsidRDefault="004F5C25" w:rsidP="00184BF6">
            <w:pPr>
              <w:pStyle w:val="enumlev1"/>
              <w:spacing w:after="120"/>
              <w:rPr>
                <w:lang w:val="fr-FR"/>
              </w:rPr>
            </w:pPr>
            <w:bookmarkStart w:id="229" w:name="lt_pId545"/>
            <w:r w:rsidRPr="0098490B">
              <w:rPr>
                <w:lang w:val="fr-FR"/>
              </w:rPr>
              <w:t>–</w:t>
            </w:r>
            <w:r w:rsidRPr="0098490B">
              <w:rPr>
                <w:lang w:val="fr-FR"/>
              </w:rPr>
              <w:tab/>
            </w:r>
            <w:r w:rsidR="00DB63E3" w:rsidRPr="0098490B">
              <w:rPr>
                <w:lang w:val="fr-FR"/>
              </w:rPr>
              <w:t>l'</w:t>
            </w:r>
            <w:r w:rsidR="000D5BBC" w:rsidRPr="0098490B">
              <w:rPr>
                <w:lang w:val="fr-FR"/>
              </w:rPr>
              <w:t xml:space="preserve">atelier de formation et </w:t>
            </w:r>
            <w:r w:rsidR="00DB63E3" w:rsidRPr="0098490B">
              <w:rPr>
                <w:lang w:val="fr-FR"/>
              </w:rPr>
              <w:t>le g</w:t>
            </w:r>
            <w:r w:rsidR="000D5BBC" w:rsidRPr="0098490B">
              <w:rPr>
                <w:lang w:val="fr-FR"/>
              </w:rPr>
              <w:t xml:space="preserve">roupe spécialisé </w:t>
            </w:r>
            <w:r w:rsidR="00DC4435" w:rsidRPr="0098490B">
              <w:rPr>
                <w:lang w:val="fr-FR"/>
              </w:rPr>
              <w:t>relatif au</w:t>
            </w:r>
            <w:r w:rsidR="000D5BBC" w:rsidRPr="0098490B">
              <w:rPr>
                <w:lang w:val="fr-FR"/>
              </w:rPr>
              <w:t xml:space="preserve"> projet </w:t>
            </w:r>
            <w:r w:rsidR="000D5BBC" w:rsidRPr="0098490B">
              <w:rPr>
                <w:color w:val="000000"/>
                <w:lang w:val="fr-FR"/>
              </w:rPr>
              <w:t>sur la connectivité par satellite</w:t>
            </w:r>
            <w:r w:rsidR="00DC4435" w:rsidRPr="0098490B">
              <w:rPr>
                <w:color w:val="000000"/>
                <w:lang w:val="fr-FR"/>
              </w:rPr>
              <w:t xml:space="preserve"> dans le Pacifique, organisé en Thaïlande.</w:t>
            </w:r>
            <w:bookmarkEnd w:id="229"/>
          </w:p>
        </w:tc>
      </w:tr>
      <w:tr w:rsidR="00BE47A1" w:rsidRPr="0098490B" w:rsidTr="004268F3">
        <w:tc>
          <w:tcPr>
            <w:tcW w:w="3256" w:type="dxa"/>
            <w:tcBorders>
              <w:top w:val="single" w:sz="4" w:space="0" w:color="auto"/>
              <w:bottom w:val="single" w:sz="4" w:space="0" w:color="auto"/>
              <w:right w:val="single" w:sz="4" w:space="0" w:color="auto"/>
            </w:tcBorders>
          </w:tcPr>
          <w:p w:rsidR="00BE47A1" w:rsidRPr="0098490B" w:rsidRDefault="00BE47A1" w:rsidP="00184BF6">
            <w:pPr>
              <w:spacing w:before="0"/>
              <w:rPr>
                <w:i/>
                <w:iCs/>
                <w:szCs w:val="24"/>
                <w:lang w:val="fr-FR"/>
              </w:rPr>
            </w:pPr>
            <w:r w:rsidRPr="0098490B">
              <w:rPr>
                <w:i/>
                <w:iCs/>
                <w:szCs w:val="24"/>
                <w:lang w:val="fr-FR"/>
              </w:rPr>
              <w:lastRenderedPageBreak/>
              <w:t>CMDT</w:t>
            </w:r>
          </w:p>
        </w:tc>
        <w:tc>
          <w:tcPr>
            <w:tcW w:w="6373" w:type="dxa"/>
            <w:tcBorders>
              <w:top w:val="single" w:sz="4" w:space="0" w:color="auto"/>
              <w:left w:val="single" w:sz="4" w:space="0" w:color="auto"/>
              <w:bottom w:val="single" w:sz="4" w:space="0" w:color="auto"/>
            </w:tcBorders>
          </w:tcPr>
          <w:p w:rsidR="00BE47A1" w:rsidRPr="0098490B" w:rsidRDefault="00BE47A1" w:rsidP="00184BF6">
            <w:pPr>
              <w:spacing w:before="0"/>
              <w:rPr>
                <w:szCs w:val="24"/>
                <w:lang w:val="fr-FR"/>
              </w:rPr>
            </w:pPr>
            <w:bookmarkStart w:id="230" w:name="lt_pId547"/>
            <w:r w:rsidRPr="0098490B">
              <w:rPr>
                <w:szCs w:val="24"/>
                <w:lang w:val="fr-FR"/>
              </w:rPr>
              <w:t>Résolutions 1, 5, 17, 21, 30, 32, 34, 37, 50, 52, 53, 69</w:t>
            </w:r>
            <w:bookmarkEnd w:id="230"/>
          </w:p>
        </w:tc>
      </w:tr>
      <w:tr w:rsidR="00BE47A1" w:rsidRPr="0098490B" w:rsidTr="004268F3">
        <w:trPr>
          <w:trHeight w:val="397"/>
        </w:trPr>
        <w:tc>
          <w:tcPr>
            <w:tcW w:w="3256" w:type="dxa"/>
            <w:tcBorders>
              <w:top w:val="single" w:sz="4" w:space="0" w:color="auto"/>
              <w:bottom w:val="single" w:sz="4" w:space="0" w:color="auto"/>
              <w:right w:val="single" w:sz="4" w:space="0" w:color="auto"/>
            </w:tcBorders>
          </w:tcPr>
          <w:p w:rsidR="00BE47A1" w:rsidRPr="0098490B" w:rsidRDefault="00DB63E3" w:rsidP="00184BF6">
            <w:pPr>
              <w:spacing w:before="0"/>
              <w:rPr>
                <w:i/>
                <w:iCs/>
                <w:lang w:val="fr-FR"/>
              </w:rPr>
            </w:pPr>
            <w:r w:rsidRPr="0098490B">
              <w:rPr>
                <w:i/>
                <w:iCs/>
                <w:lang w:val="fr-FR"/>
              </w:rPr>
              <w:t>Conférence de plénipotentiaires</w:t>
            </w:r>
          </w:p>
        </w:tc>
        <w:tc>
          <w:tcPr>
            <w:tcW w:w="6373" w:type="dxa"/>
            <w:tcBorders>
              <w:top w:val="single" w:sz="4" w:space="0" w:color="auto"/>
              <w:left w:val="single" w:sz="4" w:space="0" w:color="auto"/>
              <w:bottom w:val="single" w:sz="4" w:space="0" w:color="auto"/>
            </w:tcBorders>
          </w:tcPr>
          <w:p w:rsidR="00BE47A1" w:rsidRPr="0098490B" w:rsidRDefault="00BE47A1" w:rsidP="00184BF6">
            <w:pPr>
              <w:spacing w:before="0"/>
              <w:rPr>
                <w:szCs w:val="24"/>
                <w:lang w:val="fr-FR"/>
              </w:rPr>
            </w:pPr>
            <w:bookmarkStart w:id="231" w:name="lt_pId549"/>
            <w:r w:rsidRPr="0098490B">
              <w:rPr>
                <w:szCs w:val="24"/>
                <w:lang w:val="fr-FR"/>
              </w:rPr>
              <w:t>Décisions:</w:t>
            </w:r>
            <w:bookmarkEnd w:id="231"/>
            <w:r w:rsidRPr="0098490B">
              <w:rPr>
                <w:szCs w:val="24"/>
                <w:lang w:val="fr-FR"/>
              </w:rPr>
              <w:t xml:space="preserve"> 5, 13, </w:t>
            </w:r>
          </w:p>
          <w:p w:rsidR="00BE47A1" w:rsidRPr="0098490B" w:rsidRDefault="00BE47A1" w:rsidP="00184BF6">
            <w:pPr>
              <w:spacing w:before="0"/>
              <w:rPr>
                <w:szCs w:val="24"/>
                <w:lang w:val="fr-FR"/>
              </w:rPr>
            </w:pPr>
            <w:bookmarkStart w:id="232" w:name="lt_pId551"/>
            <w:r w:rsidRPr="0098490B">
              <w:rPr>
                <w:szCs w:val="24"/>
                <w:lang w:val="fr-FR"/>
              </w:rPr>
              <w:t>Résolutions:</w:t>
            </w:r>
            <w:bookmarkEnd w:id="232"/>
            <w:r w:rsidRPr="0098490B">
              <w:rPr>
                <w:szCs w:val="24"/>
                <w:lang w:val="fr-FR"/>
              </w:rPr>
              <w:t xml:space="preserve"> 25, 37, 71, 98, 136, 140, 182, 202</w:t>
            </w:r>
          </w:p>
        </w:tc>
      </w:tr>
      <w:tr w:rsidR="00BE47A1" w:rsidRPr="0098490B" w:rsidTr="004268F3">
        <w:trPr>
          <w:trHeight w:val="397"/>
        </w:trPr>
        <w:tc>
          <w:tcPr>
            <w:tcW w:w="3256" w:type="dxa"/>
            <w:tcBorders>
              <w:top w:val="single" w:sz="4" w:space="0" w:color="auto"/>
              <w:bottom w:val="single" w:sz="4" w:space="0" w:color="auto"/>
              <w:right w:val="single" w:sz="4" w:space="0" w:color="auto"/>
            </w:tcBorders>
          </w:tcPr>
          <w:p w:rsidR="00BE47A1" w:rsidRPr="0098490B" w:rsidRDefault="00BE47A1" w:rsidP="00184BF6">
            <w:pPr>
              <w:spacing w:before="0"/>
              <w:rPr>
                <w:i/>
                <w:iCs/>
                <w:lang w:val="fr-FR"/>
              </w:rPr>
            </w:pPr>
            <w:r w:rsidRPr="0098490B">
              <w:rPr>
                <w:i/>
                <w:iCs/>
                <w:lang w:val="fr-FR"/>
              </w:rPr>
              <w:t>CMR</w:t>
            </w:r>
          </w:p>
        </w:tc>
        <w:tc>
          <w:tcPr>
            <w:tcW w:w="6373" w:type="dxa"/>
            <w:tcBorders>
              <w:top w:val="single" w:sz="4" w:space="0" w:color="auto"/>
              <w:left w:val="single" w:sz="4" w:space="0" w:color="auto"/>
              <w:bottom w:val="single" w:sz="4" w:space="0" w:color="auto"/>
            </w:tcBorders>
          </w:tcPr>
          <w:p w:rsidR="00BE47A1" w:rsidRPr="0098490B" w:rsidRDefault="00BE47A1" w:rsidP="00184BF6">
            <w:pPr>
              <w:spacing w:before="0"/>
              <w:rPr>
                <w:szCs w:val="24"/>
                <w:lang w:val="fr-FR"/>
              </w:rPr>
            </w:pPr>
            <w:bookmarkStart w:id="233" w:name="lt_pId554"/>
            <w:r w:rsidRPr="0098490B">
              <w:rPr>
                <w:szCs w:val="24"/>
                <w:lang w:val="fr-FR"/>
              </w:rPr>
              <w:t>Résolution 646, 647</w:t>
            </w:r>
            <w:bookmarkEnd w:id="233"/>
          </w:p>
        </w:tc>
      </w:tr>
      <w:tr w:rsidR="00BE47A1" w:rsidRPr="0098490B" w:rsidTr="004268F3">
        <w:trPr>
          <w:trHeight w:val="397"/>
        </w:trPr>
        <w:tc>
          <w:tcPr>
            <w:tcW w:w="3256" w:type="dxa"/>
            <w:tcBorders>
              <w:top w:val="single" w:sz="4" w:space="0" w:color="auto"/>
              <w:bottom w:val="single" w:sz="4" w:space="0" w:color="auto"/>
              <w:right w:val="single" w:sz="4" w:space="0" w:color="auto"/>
            </w:tcBorders>
          </w:tcPr>
          <w:p w:rsidR="00BE47A1" w:rsidRPr="0098490B" w:rsidRDefault="00BE47A1" w:rsidP="00184BF6">
            <w:pPr>
              <w:spacing w:before="0"/>
              <w:rPr>
                <w:i/>
                <w:iCs/>
                <w:lang w:val="fr-FR"/>
              </w:rPr>
            </w:pPr>
            <w:r w:rsidRPr="0098490B">
              <w:rPr>
                <w:i/>
                <w:iCs/>
                <w:lang w:val="fr-FR"/>
              </w:rPr>
              <w:t>CMTI</w:t>
            </w:r>
          </w:p>
        </w:tc>
        <w:tc>
          <w:tcPr>
            <w:tcW w:w="6373" w:type="dxa"/>
            <w:tcBorders>
              <w:top w:val="single" w:sz="4" w:space="0" w:color="auto"/>
              <w:left w:val="single" w:sz="4" w:space="0" w:color="auto"/>
              <w:bottom w:val="single" w:sz="4" w:space="0" w:color="auto"/>
            </w:tcBorders>
          </w:tcPr>
          <w:p w:rsidR="00BE47A1" w:rsidRPr="0098490B" w:rsidRDefault="00BE47A1" w:rsidP="00184BF6">
            <w:pPr>
              <w:spacing w:before="0"/>
              <w:rPr>
                <w:szCs w:val="24"/>
                <w:lang w:val="fr-FR"/>
              </w:rPr>
            </w:pPr>
            <w:bookmarkStart w:id="234" w:name="lt_pId556"/>
            <w:r w:rsidRPr="0098490B">
              <w:rPr>
                <w:szCs w:val="24"/>
                <w:lang w:val="fr-FR"/>
              </w:rPr>
              <w:t>Résolution 2</w:t>
            </w:r>
            <w:bookmarkEnd w:id="234"/>
          </w:p>
        </w:tc>
      </w:tr>
      <w:tr w:rsidR="00BE47A1" w:rsidRPr="0098490B" w:rsidTr="004268F3">
        <w:trPr>
          <w:trHeight w:val="397"/>
        </w:trPr>
        <w:tc>
          <w:tcPr>
            <w:tcW w:w="3256" w:type="dxa"/>
            <w:tcBorders>
              <w:top w:val="single" w:sz="4" w:space="0" w:color="auto"/>
              <w:bottom w:val="single" w:sz="4" w:space="0" w:color="auto"/>
              <w:right w:val="single" w:sz="4" w:space="0" w:color="auto"/>
            </w:tcBorders>
          </w:tcPr>
          <w:p w:rsidR="00BE47A1" w:rsidRPr="0098490B" w:rsidRDefault="00BE47A1" w:rsidP="00184BF6">
            <w:pPr>
              <w:spacing w:before="0"/>
              <w:rPr>
                <w:i/>
                <w:iCs/>
                <w:szCs w:val="24"/>
                <w:lang w:val="fr-FR"/>
              </w:rPr>
            </w:pPr>
            <w:r w:rsidRPr="0098490B">
              <w:rPr>
                <w:i/>
                <w:iCs/>
                <w:lang w:val="fr-FR"/>
              </w:rPr>
              <w:t>Grandes orientations du SMSI</w:t>
            </w:r>
          </w:p>
        </w:tc>
        <w:tc>
          <w:tcPr>
            <w:tcW w:w="6373" w:type="dxa"/>
            <w:tcBorders>
              <w:top w:val="single" w:sz="4" w:space="0" w:color="auto"/>
              <w:left w:val="single" w:sz="4" w:space="0" w:color="auto"/>
              <w:bottom w:val="single" w:sz="4" w:space="0" w:color="auto"/>
            </w:tcBorders>
          </w:tcPr>
          <w:p w:rsidR="00BE47A1" w:rsidRPr="0098490B" w:rsidRDefault="00DC4435" w:rsidP="00184BF6">
            <w:pPr>
              <w:spacing w:before="0"/>
              <w:rPr>
                <w:szCs w:val="24"/>
                <w:lang w:val="fr-FR"/>
              </w:rPr>
            </w:pPr>
            <w:bookmarkStart w:id="235" w:name="lt_pId558"/>
            <w:r w:rsidRPr="0098490B">
              <w:rPr>
                <w:szCs w:val="24"/>
                <w:lang w:val="fr-FR"/>
              </w:rPr>
              <w:t>Grande orientation</w:t>
            </w:r>
            <w:r w:rsidR="00BE47A1" w:rsidRPr="0098490B">
              <w:rPr>
                <w:szCs w:val="24"/>
                <w:lang w:val="fr-FR"/>
              </w:rPr>
              <w:t xml:space="preserve"> C7</w:t>
            </w:r>
            <w:bookmarkEnd w:id="235"/>
          </w:p>
        </w:tc>
      </w:tr>
      <w:tr w:rsidR="00BE47A1" w:rsidRPr="0098490B" w:rsidTr="004268F3">
        <w:tc>
          <w:tcPr>
            <w:tcW w:w="3256" w:type="dxa"/>
            <w:tcBorders>
              <w:top w:val="single" w:sz="4" w:space="0" w:color="auto"/>
              <w:bottom w:val="single" w:sz="4" w:space="0" w:color="auto"/>
              <w:right w:val="single" w:sz="4" w:space="0" w:color="auto"/>
            </w:tcBorders>
          </w:tcPr>
          <w:p w:rsidR="00BE47A1" w:rsidRPr="0098490B" w:rsidRDefault="00BE47A1" w:rsidP="00184BF6">
            <w:pPr>
              <w:spacing w:before="0"/>
              <w:rPr>
                <w:i/>
                <w:iCs/>
                <w:szCs w:val="24"/>
                <w:lang w:val="fr-FR"/>
              </w:rPr>
            </w:pPr>
            <w:r w:rsidRPr="0098490B">
              <w:rPr>
                <w:i/>
                <w:iCs/>
                <w:lang w:val="fr-FR"/>
              </w:rPr>
              <w:t>Contribution aux cibles des O</w:t>
            </w:r>
            <w:r w:rsidR="00DC4435" w:rsidRPr="0098490B">
              <w:rPr>
                <w:i/>
                <w:iCs/>
                <w:lang w:val="fr-FR"/>
              </w:rPr>
              <w:t>bjectifs de développement durable</w:t>
            </w:r>
          </w:p>
        </w:tc>
        <w:tc>
          <w:tcPr>
            <w:tcW w:w="6373" w:type="dxa"/>
            <w:tcBorders>
              <w:top w:val="single" w:sz="4" w:space="0" w:color="auto"/>
              <w:left w:val="single" w:sz="4" w:space="0" w:color="auto"/>
              <w:bottom w:val="single" w:sz="4" w:space="0" w:color="auto"/>
            </w:tcBorders>
          </w:tcPr>
          <w:p w:rsidR="00BE47A1" w:rsidRPr="0098490B" w:rsidRDefault="00DC4435" w:rsidP="009A56A2">
            <w:pPr>
              <w:spacing w:before="0"/>
              <w:rPr>
                <w:szCs w:val="24"/>
                <w:lang w:val="fr-FR"/>
              </w:rPr>
            </w:pPr>
            <w:bookmarkStart w:id="236" w:name="lt_pId560"/>
            <w:r w:rsidRPr="0098490B">
              <w:rPr>
                <w:szCs w:val="24"/>
                <w:lang w:val="fr-FR"/>
              </w:rPr>
              <w:t>Objectif</w:t>
            </w:r>
            <w:r w:rsidR="00DB63E3" w:rsidRPr="0098490B">
              <w:rPr>
                <w:szCs w:val="24"/>
                <w:lang w:val="fr-FR"/>
              </w:rPr>
              <w:t>s</w:t>
            </w:r>
            <w:r w:rsidRPr="0098490B">
              <w:rPr>
                <w:szCs w:val="24"/>
                <w:lang w:val="fr-FR"/>
              </w:rPr>
              <w:t xml:space="preserve"> de développement durable</w:t>
            </w:r>
            <w:r w:rsidR="00BE47A1" w:rsidRPr="0098490B">
              <w:rPr>
                <w:szCs w:val="24"/>
                <w:lang w:val="fr-FR"/>
              </w:rPr>
              <w:t>:</w:t>
            </w:r>
            <w:bookmarkEnd w:id="236"/>
            <w:r w:rsidR="00BE47A1" w:rsidRPr="0098490B">
              <w:rPr>
                <w:szCs w:val="24"/>
                <w:lang w:val="fr-FR"/>
              </w:rPr>
              <w:t xml:space="preserve"> </w:t>
            </w:r>
            <w:bookmarkStart w:id="237" w:name="lt_pId561"/>
            <w:r w:rsidR="00BE47A1" w:rsidRPr="0098490B">
              <w:rPr>
                <w:szCs w:val="24"/>
                <w:lang w:val="fr-FR"/>
              </w:rPr>
              <w:t xml:space="preserve">3 (cible 3.9), 5 (cible 5b), 9, 11 (cible 11b), 13 (cibles 13.1, 13.2 </w:t>
            </w:r>
            <w:r w:rsidRPr="0098490B">
              <w:rPr>
                <w:szCs w:val="24"/>
                <w:lang w:val="fr-FR"/>
              </w:rPr>
              <w:t>et</w:t>
            </w:r>
            <w:r w:rsidR="00BE47A1" w:rsidRPr="0098490B">
              <w:rPr>
                <w:szCs w:val="24"/>
                <w:lang w:val="fr-FR"/>
              </w:rPr>
              <w:t xml:space="preserve"> 13.3), 14, 15</w:t>
            </w:r>
            <w:bookmarkEnd w:id="237"/>
          </w:p>
        </w:tc>
      </w:tr>
    </w:tbl>
    <w:p w:rsidR="00084CA2" w:rsidRPr="0098490B" w:rsidRDefault="00084CA2" w:rsidP="00784D97">
      <w:pPr>
        <w:rPr>
          <w:rFonts w:ascii="Times New Roman" w:hAnsi="Times New Roman"/>
          <w:lang w:val="fr-FR"/>
        </w:rPr>
      </w:pPr>
    </w:p>
    <w:p w:rsidR="00836BDB" w:rsidRPr="0098490B" w:rsidRDefault="00084CA2" w:rsidP="004743A4">
      <w:pPr>
        <w:jc w:val="center"/>
        <w:rPr>
          <w:lang w:val="fr-FR"/>
        </w:rPr>
      </w:pPr>
      <w:r w:rsidRPr="0098490B">
        <w:rPr>
          <w:lang w:val="fr-FR"/>
        </w:rPr>
        <w:t>______________</w:t>
      </w:r>
    </w:p>
    <w:sectPr w:rsidR="00836BDB" w:rsidRPr="0098490B"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0E" w:rsidRDefault="00AA2D0E">
      <w:r>
        <w:separator/>
      </w:r>
    </w:p>
  </w:endnote>
  <w:endnote w:type="continuationSeparator" w:id="0">
    <w:p w:rsidR="00AA2D0E" w:rsidRDefault="00AA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0E" w:rsidRPr="001231C3" w:rsidRDefault="00AA2D0E" w:rsidP="00F403F6">
    <w:pPr>
      <w:pStyle w:val="Footer"/>
      <w:rPr>
        <w:lang w:val="es-ES_tradnl"/>
      </w:rPr>
    </w:pPr>
    <w:r>
      <w:fldChar w:fldCharType="begin"/>
    </w:r>
    <w:r w:rsidRPr="001231C3">
      <w:rPr>
        <w:lang w:val="es-ES_tradnl"/>
      </w:rPr>
      <w:instrText xml:space="preserve"> FILENAME \p  \* MERGEFORMAT </w:instrText>
    </w:r>
    <w:r>
      <w:fldChar w:fldCharType="separate"/>
    </w:r>
    <w:r>
      <w:rPr>
        <w:lang w:val="es-ES_tradnl"/>
      </w:rPr>
      <w:t>P:\FRA\ITU-D\CONF-D\TDAG18\000\002F.docx</w:t>
    </w:r>
    <w:r>
      <w:fldChar w:fldCharType="end"/>
    </w:r>
    <w:r w:rsidRPr="001231C3">
      <w:rPr>
        <w:lang w:val="es-ES_tradnl"/>
      </w:rPr>
      <w:t xml:space="preserve"> (428688)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A2D0E" w:rsidRPr="00902B1D" w:rsidTr="004268F3">
      <w:tc>
        <w:tcPr>
          <w:tcW w:w="1526" w:type="dxa"/>
          <w:tcBorders>
            <w:top w:val="single" w:sz="4" w:space="0" w:color="000000"/>
          </w:tcBorders>
          <w:shd w:val="clear" w:color="auto" w:fill="auto"/>
        </w:tcPr>
        <w:p w:rsidR="00AA2D0E" w:rsidRPr="004D495C" w:rsidRDefault="00AA2D0E" w:rsidP="00F46E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A2D0E" w:rsidRPr="004D495C" w:rsidRDefault="00AA2D0E" w:rsidP="00F46EF5">
          <w:pPr>
            <w:pStyle w:val="FirstFooter"/>
            <w:tabs>
              <w:tab w:val="left" w:pos="2302"/>
            </w:tabs>
            <w:ind w:left="2302" w:hanging="2302"/>
            <w:rPr>
              <w:sz w:val="18"/>
              <w:szCs w:val="18"/>
              <w:lang w:val="en-US"/>
            </w:rPr>
          </w:pPr>
          <w:r>
            <w:rPr>
              <w:sz w:val="18"/>
              <w:szCs w:val="18"/>
              <w:lang w:val="en-US"/>
            </w:rPr>
            <w:t>Nom</w:t>
          </w:r>
          <w:r w:rsidRPr="00BD1EBA">
            <w:rPr>
              <w:sz w:val="18"/>
              <w:szCs w:val="18"/>
              <w:lang w:val="fr-CH"/>
            </w:rPr>
            <w:t>/Organisation/Entité</w:t>
          </w:r>
          <w:r w:rsidRPr="004D495C">
            <w:rPr>
              <w:sz w:val="18"/>
              <w:szCs w:val="18"/>
              <w:lang w:val="en-US"/>
            </w:rPr>
            <w:t>:</w:t>
          </w:r>
        </w:p>
      </w:tc>
      <w:tc>
        <w:tcPr>
          <w:tcW w:w="5987" w:type="dxa"/>
          <w:tcBorders>
            <w:top w:val="single" w:sz="4" w:space="0" w:color="000000"/>
          </w:tcBorders>
          <w:shd w:val="clear" w:color="auto" w:fill="auto"/>
        </w:tcPr>
        <w:p w:rsidR="00AA2D0E" w:rsidRPr="00902B1D" w:rsidRDefault="00AA2D0E" w:rsidP="00AA2D0E">
          <w:pPr>
            <w:pStyle w:val="FirstFooter"/>
            <w:tabs>
              <w:tab w:val="left" w:pos="2302"/>
            </w:tabs>
            <w:rPr>
              <w:sz w:val="18"/>
              <w:szCs w:val="18"/>
              <w:lang w:val="fr-CH"/>
            </w:rPr>
          </w:pPr>
          <w:bookmarkStart w:id="238" w:name="OrgName"/>
          <w:bookmarkEnd w:id="238"/>
          <w:r w:rsidRPr="00902B1D">
            <w:rPr>
              <w:sz w:val="18"/>
              <w:szCs w:val="18"/>
              <w:lang w:val="fr-CH"/>
            </w:rPr>
            <w:t xml:space="preserve">M. Yushi Torigoe, </w:t>
          </w:r>
          <w:r w:rsidRPr="00902B1D">
            <w:rPr>
              <w:color w:val="000000"/>
              <w:sz w:val="18"/>
              <w:szCs w:val="22"/>
            </w:rPr>
            <w:t xml:space="preserve">Adjoint au Directeur du Bureau de </w:t>
          </w:r>
          <w:r>
            <w:rPr>
              <w:color w:val="000000"/>
              <w:sz w:val="18"/>
              <w:szCs w:val="22"/>
            </w:rPr>
            <w:t>d</w:t>
          </w:r>
          <w:r w:rsidRPr="00902B1D">
            <w:rPr>
              <w:color w:val="000000"/>
              <w:sz w:val="18"/>
              <w:szCs w:val="22"/>
            </w:rPr>
            <w:t xml:space="preserve">éveloppement des </w:t>
          </w:r>
          <w:r>
            <w:rPr>
              <w:color w:val="000000"/>
              <w:sz w:val="18"/>
              <w:szCs w:val="22"/>
            </w:rPr>
            <w:t>t</w:t>
          </w:r>
          <w:r w:rsidRPr="00902B1D">
            <w:rPr>
              <w:color w:val="000000"/>
              <w:sz w:val="18"/>
              <w:szCs w:val="22"/>
            </w:rPr>
            <w:t>élécommunications</w:t>
          </w:r>
        </w:p>
      </w:tc>
    </w:tr>
    <w:tr w:rsidR="00AA2D0E" w:rsidRPr="004D495C" w:rsidTr="004268F3">
      <w:tc>
        <w:tcPr>
          <w:tcW w:w="1526" w:type="dxa"/>
          <w:shd w:val="clear" w:color="auto" w:fill="auto"/>
        </w:tcPr>
        <w:p w:rsidR="00AA2D0E" w:rsidRPr="00BD1EBA" w:rsidRDefault="00AA2D0E" w:rsidP="00F46EF5">
          <w:pPr>
            <w:pStyle w:val="FirstFooter"/>
            <w:tabs>
              <w:tab w:val="left" w:pos="1559"/>
              <w:tab w:val="left" w:pos="3828"/>
            </w:tabs>
            <w:rPr>
              <w:sz w:val="20"/>
              <w:lang w:val="fr-CH"/>
            </w:rPr>
          </w:pPr>
        </w:p>
      </w:tc>
      <w:tc>
        <w:tcPr>
          <w:tcW w:w="2410" w:type="dxa"/>
          <w:shd w:val="clear" w:color="auto" w:fill="auto"/>
        </w:tcPr>
        <w:p w:rsidR="00AA2D0E" w:rsidRPr="004D495C" w:rsidRDefault="00AA2D0E" w:rsidP="00F46EF5">
          <w:pPr>
            <w:pStyle w:val="FirstFooter"/>
            <w:tabs>
              <w:tab w:val="left" w:pos="2302"/>
            </w:tabs>
            <w:rPr>
              <w:sz w:val="18"/>
              <w:szCs w:val="18"/>
              <w:lang w:val="en-US"/>
            </w:rPr>
          </w:pPr>
          <w:r w:rsidRPr="00BD1EBA">
            <w:rPr>
              <w:sz w:val="18"/>
              <w:szCs w:val="18"/>
              <w:lang w:val="fr-CH"/>
            </w:rPr>
            <w:t>Numéro</w:t>
          </w:r>
          <w:r>
            <w:rPr>
              <w:sz w:val="18"/>
              <w:szCs w:val="18"/>
              <w:lang w:val="en-US"/>
            </w:rPr>
            <w:t xml:space="preserve"> de</w:t>
          </w:r>
          <w:r w:rsidRPr="00BD1EBA">
            <w:rPr>
              <w:sz w:val="18"/>
              <w:szCs w:val="18"/>
              <w:lang w:val="fr-CH"/>
            </w:rPr>
            <w:t xml:space="preserve"> téléphone</w:t>
          </w:r>
          <w:r w:rsidRPr="004D495C">
            <w:rPr>
              <w:sz w:val="18"/>
              <w:szCs w:val="18"/>
              <w:lang w:val="en-US"/>
            </w:rPr>
            <w:t>:</w:t>
          </w:r>
        </w:p>
      </w:tc>
      <w:tc>
        <w:tcPr>
          <w:tcW w:w="5987" w:type="dxa"/>
          <w:shd w:val="clear" w:color="auto" w:fill="auto"/>
        </w:tcPr>
        <w:p w:rsidR="00AA2D0E" w:rsidRPr="00AF7A97" w:rsidRDefault="00AA2D0E" w:rsidP="00F46EF5">
          <w:pPr>
            <w:pStyle w:val="FirstFooter"/>
            <w:tabs>
              <w:tab w:val="left" w:pos="2302"/>
            </w:tabs>
            <w:rPr>
              <w:sz w:val="18"/>
              <w:szCs w:val="18"/>
              <w:lang w:val="en-US"/>
            </w:rPr>
          </w:pPr>
          <w:bookmarkStart w:id="239" w:name="PhoneNo"/>
          <w:bookmarkEnd w:id="239"/>
          <w:r w:rsidRPr="00AF7A97">
            <w:rPr>
              <w:sz w:val="18"/>
              <w:szCs w:val="18"/>
              <w:lang w:val="en-US"/>
            </w:rPr>
            <w:t xml:space="preserve">+ 41 22 730 </w:t>
          </w:r>
          <w:r>
            <w:rPr>
              <w:sz w:val="18"/>
              <w:szCs w:val="18"/>
              <w:lang w:val="en-US"/>
            </w:rPr>
            <w:t>5784</w:t>
          </w:r>
        </w:p>
      </w:tc>
    </w:tr>
    <w:tr w:rsidR="00AA2D0E" w:rsidRPr="004D495C" w:rsidTr="004268F3">
      <w:tc>
        <w:tcPr>
          <w:tcW w:w="1526" w:type="dxa"/>
          <w:shd w:val="clear" w:color="auto" w:fill="auto"/>
        </w:tcPr>
        <w:p w:rsidR="00AA2D0E" w:rsidRPr="004D495C" w:rsidRDefault="00AA2D0E" w:rsidP="00A454E1">
          <w:pPr>
            <w:pStyle w:val="FirstFooter"/>
            <w:tabs>
              <w:tab w:val="left" w:pos="1559"/>
              <w:tab w:val="left" w:pos="3828"/>
            </w:tabs>
            <w:rPr>
              <w:sz w:val="20"/>
              <w:lang w:val="en-US"/>
            </w:rPr>
          </w:pPr>
        </w:p>
      </w:tc>
      <w:tc>
        <w:tcPr>
          <w:tcW w:w="2410" w:type="dxa"/>
          <w:shd w:val="clear" w:color="auto" w:fill="auto"/>
        </w:tcPr>
        <w:p w:rsidR="00AA2D0E" w:rsidRPr="004D495C" w:rsidRDefault="00AA2D0E" w:rsidP="00A454E1">
          <w:pPr>
            <w:pStyle w:val="FirstFooter"/>
            <w:tabs>
              <w:tab w:val="left" w:pos="2302"/>
            </w:tabs>
            <w:rPr>
              <w:sz w:val="18"/>
              <w:szCs w:val="18"/>
              <w:lang w:val="en-US"/>
            </w:rPr>
          </w:pPr>
          <w:r>
            <w:rPr>
              <w:sz w:val="18"/>
              <w:szCs w:val="18"/>
              <w:lang w:val="en-US"/>
            </w:rPr>
            <w:t>Courriel:</w:t>
          </w:r>
        </w:p>
      </w:tc>
      <w:bookmarkStart w:id="240" w:name="Email"/>
      <w:bookmarkEnd w:id="240"/>
      <w:tc>
        <w:tcPr>
          <w:tcW w:w="5987" w:type="dxa"/>
          <w:shd w:val="clear" w:color="auto" w:fill="auto"/>
        </w:tcPr>
        <w:p w:rsidR="00AA2D0E" w:rsidRPr="00E5653A" w:rsidRDefault="00AA2D0E" w:rsidP="00A454E1">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7A235C">
            <w:rPr>
              <w:rStyle w:val="Hyperlink"/>
              <w:sz w:val="18"/>
              <w:szCs w:val="18"/>
              <w:lang w:val="en-US"/>
            </w:rPr>
            <w:t>yushi.torigoe@itu.int</w:t>
          </w:r>
          <w:r>
            <w:rPr>
              <w:rStyle w:val="Hyperlink"/>
              <w:sz w:val="18"/>
              <w:szCs w:val="18"/>
              <w:lang w:val="en-US"/>
            </w:rPr>
            <w:fldChar w:fldCharType="end"/>
          </w:r>
        </w:p>
      </w:tc>
    </w:tr>
  </w:tbl>
  <w:p w:rsidR="00AA2D0E" w:rsidRDefault="00AA2D0E" w:rsidP="00B80157">
    <w:pPr>
      <w:pStyle w:val="Footer"/>
      <w:jc w:val="center"/>
      <w:rPr>
        <w:lang w:val="fr-CH"/>
      </w:rPr>
    </w:pPr>
  </w:p>
  <w:p w:rsidR="00AA2D0E" w:rsidRPr="008802F9" w:rsidRDefault="00AA2D0E" w:rsidP="00902B1D">
    <w:pPr>
      <w:pStyle w:val="Footer"/>
      <w:jc w:val="center"/>
    </w:pPr>
    <w:hyperlink r:id="rId1" w:history="1">
      <w:r w:rsidRPr="00A454E1">
        <w:rPr>
          <w:rStyle w:val="Hyperlink"/>
          <w:caps w:val="0"/>
          <w:noProof w:val="0"/>
          <w:sz w:val="18"/>
          <w:szCs w:val="18"/>
          <w:lang w:val="fr-CH"/>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0E" w:rsidRDefault="00AA2D0E">
      <w:r>
        <w:t>____________________</w:t>
      </w:r>
    </w:p>
  </w:footnote>
  <w:footnote w:type="continuationSeparator" w:id="0">
    <w:p w:rsidR="00AA2D0E" w:rsidRDefault="00AA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0E" w:rsidRPr="006D271A" w:rsidRDefault="00AA2D0E" w:rsidP="00902B1D">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TDAG1</w:t>
    </w:r>
    <w:r>
      <w:rPr>
        <w:sz w:val="22"/>
        <w:szCs w:val="22"/>
        <w:lang w:val="de-CH"/>
      </w:rPr>
      <w:t>8-23</w:t>
    </w:r>
    <w:r w:rsidRPr="00A54E72">
      <w:rPr>
        <w:sz w:val="22"/>
        <w:szCs w:val="22"/>
        <w:lang w:val="de-CH"/>
      </w:rPr>
      <w:t>/</w:t>
    </w:r>
    <w:r>
      <w:rPr>
        <w:sz w:val="22"/>
        <w:szCs w:val="22"/>
        <w:lang w:val="de-CH"/>
      </w:rPr>
      <w:t>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A56A2">
      <w:rPr>
        <w:noProof/>
        <w:sz w:val="22"/>
        <w:szCs w:val="22"/>
        <w:lang w:val="de-CH"/>
      </w:rPr>
      <w:t>24</w:t>
    </w:r>
    <w:r w:rsidRPr="00972BCD">
      <w:rPr>
        <w:sz w:val="22"/>
        <w:szCs w:val="22"/>
      </w:rPr>
      <w:fldChar w:fldCharType="end"/>
    </w:r>
  </w:p>
  <w:p w:rsidR="00AA2D0E" w:rsidRPr="00A525CC" w:rsidRDefault="00AA2D0E"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E8A4003"/>
    <w:multiLevelType w:val="hybridMultilevel"/>
    <w:tmpl w:val="2704172E"/>
    <w:lvl w:ilvl="0" w:tplc="11BA8B04">
      <w:start w:val="1"/>
      <w:numFmt w:val="bullet"/>
      <w:lvlText w:val="-"/>
      <w:lvlJc w:val="left"/>
      <w:pPr>
        <w:ind w:left="360" w:hanging="360"/>
      </w:pPr>
      <w:rPr>
        <w:rFonts w:ascii="Calibri" w:eastAsiaTheme="minorHAnsi" w:hAnsi="Calibri" w:cstheme="minorBidi" w:hint="default"/>
      </w:rPr>
    </w:lvl>
    <w:lvl w:ilvl="1" w:tplc="9E3CE4FA">
      <w:numFmt w:val="bullet"/>
      <w:lvlText w:val="•"/>
      <w:lvlJc w:val="left"/>
      <w:pPr>
        <w:ind w:left="1800" w:hanging="1080"/>
      </w:pPr>
      <w:rPr>
        <w:rFonts w:asciiTheme="minorHAnsi" w:eastAsiaTheme="minorHAnsi" w:hAnsiTheme="minorHAnsi" w:cstheme="minorBidi" w:hint="default"/>
      </w:rPr>
    </w:lvl>
    <w:lvl w:ilvl="2" w:tplc="F3CEE8F8" w:tentative="1">
      <w:start w:val="1"/>
      <w:numFmt w:val="bullet"/>
      <w:lvlText w:val=""/>
      <w:lvlJc w:val="left"/>
      <w:pPr>
        <w:ind w:left="1800" w:hanging="360"/>
      </w:pPr>
      <w:rPr>
        <w:rFonts w:ascii="Wingdings" w:hAnsi="Wingdings" w:hint="default"/>
      </w:rPr>
    </w:lvl>
    <w:lvl w:ilvl="3" w:tplc="15DABA36" w:tentative="1">
      <w:start w:val="1"/>
      <w:numFmt w:val="bullet"/>
      <w:lvlText w:val=""/>
      <w:lvlJc w:val="left"/>
      <w:pPr>
        <w:ind w:left="2520" w:hanging="360"/>
      </w:pPr>
      <w:rPr>
        <w:rFonts w:ascii="Symbol" w:hAnsi="Symbol" w:hint="default"/>
      </w:rPr>
    </w:lvl>
    <w:lvl w:ilvl="4" w:tplc="2F1E1E8E" w:tentative="1">
      <w:start w:val="1"/>
      <w:numFmt w:val="bullet"/>
      <w:lvlText w:val="o"/>
      <w:lvlJc w:val="left"/>
      <w:pPr>
        <w:ind w:left="3240" w:hanging="360"/>
      </w:pPr>
      <w:rPr>
        <w:rFonts w:ascii="Courier New" w:hAnsi="Courier New" w:cs="Courier New" w:hint="default"/>
      </w:rPr>
    </w:lvl>
    <w:lvl w:ilvl="5" w:tplc="76E48256" w:tentative="1">
      <w:start w:val="1"/>
      <w:numFmt w:val="bullet"/>
      <w:lvlText w:val=""/>
      <w:lvlJc w:val="left"/>
      <w:pPr>
        <w:ind w:left="3960" w:hanging="360"/>
      </w:pPr>
      <w:rPr>
        <w:rFonts w:ascii="Wingdings" w:hAnsi="Wingdings" w:hint="default"/>
      </w:rPr>
    </w:lvl>
    <w:lvl w:ilvl="6" w:tplc="B150E898" w:tentative="1">
      <w:start w:val="1"/>
      <w:numFmt w:val="bullet"/>
      <w:lvlText w:val=""/>
      <w:lvlJc w:val="left"/>
      <w:pPr>
        <w:ind w:left="4680" w:hanging="360"/>
      </w:pPr>
      <w:rPr>
        <w:rFonts w:ascii="Symbol" w:hAnsi="Symbol" w:hint="default"/>
      </w:rPr>
    </w:lvl>
    <w:lvl w:ilvl="7" w:tplc="AE2EBA42" w:tentative="1">
      <w:start w:val="1"/>
      <w:numFmt w:val="bullet"/>
      <w:lvlText w:val="o"/>
      <w:lvlJc w:val="left"/>
      <w:pPr>
        <w:ind w:left="5400" w:hanging="360"/>
      </w:pPr>
      <w:rPr>
        <w:rFonts w:ascii="Courier New" w:hAnsi="Courier New" w:cs="Courier New" w:hint="default"/>
      </w:rPr>
    </w:lvl>
    <w:lvl w:ilvl="8" w:tplc="FD2E52CC"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07F53"/>
    <w:rsid w:val="00010827"/>
    <w:rsid w:val="00015089"/>
    <w:rsid w:val="0002520B"/>
    <w:rsid w:val="00035511"/>
    <w:rsid w:val="00037A9E"/>
    <w:rsid w:val="00037F91"/>
    <w:rsid w:val="000473ED"/>
    <w:rsid w:val="000507A7"/>
    <w:rsid w:val="000539F1"/>
    <w:rsid w:val="00054747"/>
    <w:rsid w:val="00055A2A"/>
    <w:rsid w:val="000564A0"/>
    <w:rsid w:val="00057D6E"/>
    <w:rsid w:val="000615C1"/>
    <w:rsid w:val="00061675"/>
    <w:rsid w:val="000648E9"/>
    <w:rsid w:val="00066AB8"/>
    <w:rsid w:val="00073CCC"/>
    <w:rsid w:val="000743AA"/>
    <w:rsid w:val="000824A6"/>
    <w:rsid w:val="00084CA2"/>
    <w:rsid w:val="00091594"/>
    <w:rsid w:val="0009225C"/>
    <w:rsid w:val="00094EF4"/>
    <w:rsid w:val="000A0B3D"/>
    <w:rsid w:val="000A17C4"/>
    <w:rsid w:val="000A36A4"/>
    <w:rsid w:val="000B1EE1"/>
    <w:rsid w:val="000B2352"/>
    <w:rsid w:val="000B71C3"/>
    <w:rsid w:val="000C31B5"/>
    <w:rsid w:val="000C61E9"/>
    <w:rsid w:val="000C7B84"/>
    <w:rsid w:val="000D261B"/>
    <w:rsid w:val="000D559F"/>
    <w:rsid w:val="000D58A3"/>
    <w:rsid w:val="000D5BBC"/>
    <w:rsid w:val="000E1377"/>
    <w:rsid w:val="000E3ED4"/>
    <w:rsid w:val="000E3F9C"/>
    <w:rsid w:val="000F025D"/>
    <w:rsid w:val="000F1550"/>
    <w:rsid w:val="000F251B"/>
    <w:rsid w:val="000F2672"/>
    <w:rsid w:val="000F54FA"/>
    <w:rsid w:val="000F5FE8"/>
    <w:rsid w:val="000F6644"/>
    <w:rsid w:val="00100833"/>
    <w:rsid w:val="00102F72"/>
    <w:rsid w:val="00105822"/>
    <w:rsid w:val="001058EA"/>
    <w:rsid w:val="00107E85"/>
    <w:rsid w:val="00113EE8"/>
    <w:rsid w:val="0011455A"/>
    <w:rsid w:val="00114A65"/>
    <w:rsid w:val="00122AE9"/>
    <w:rsid w:val="0012303C"/>
    <w:rsid w:val="001231C3"/>
    <w:rsid w:val="00123FF6"/>
    <w:rsid w:val="00126D0B"/>
    <w:rsid w:val="00133061"/>
    <w:rsid w:val="00141699"/>
    <w:rsid w:val="00146D8E"/>
    <w:rsid w:val="00147000"/>
    <w:rsid w:val="00156BF6"/>
    <w:rsid w:val="00163091"/>
    <w:rsid w:val="00163570"/>
    <w:rsid w:val="001645CB"/>
    <w:rsid w:val="00166305"/>
    <w:rsid w:val="00166EAD"/>
    <w:rsid w:val="00167545"/>
    <w:rsid w:val="001703C6"/>
    <w:rsid w:val="00173781"/>
    <w:rsid w:val="00175ADF"/>
    <w:rsid w:val="00175CAE"/>
    <w:rsid w:val="001828DB"/>
    <w:rsid w:val="00184BF6"/>
    <w:rsid w:val="001850FE"/>
    <w:rsid w:val="00185135"/>
    <w:rsid w:val="0019037C"/>
    <w:rsid w:val="001905A9"/>
    <w:rsid w:val="00191273"/>
    <w:rsid w:val="001942A7"/>
    <w:rsid w:val="0019587B"/>
    <w:rsid w:val="001976FE"/>
    <w:rsid w:val="001A163D"/>
    <w:rsid w:val="001A441E"/>
    <w:rsid w:val="001A6733"/>
    <w:rsid w:val="001B357F"/>
    <w:rsid w:val="001C3444"/>
    <w:rsid w:val="001C3702"/>
    <w:rsid w:val="001C4656"/>
    <w:rsid w:val="001C46BC"/>
    <w:rsid w:val="001D0483"/>
    <w:rsid w:val="001D11E4"/>
    <w:rsid w:val="001F23E6"/>
    <w:rsid w:val="001F4238"/>
    <w:rsid w:val="00200A38"/>
    <w:rsid w:val="00200A46"/>
    <w:rsid w:val="00211B6F"/>
    <w:rsid w:val="0021438F"/>
    <w:rsid w:val="00217CC3"/>
    <w:rsid w:val="00220AB6"/>
    <w:rsid w:val="0022120F"/>
    <w:rsid w:val="0022754A"/>
    <w:rsid w:val="00236560"/>
    <w:rsid w:val="0023662E"/>
    <w:rsid w:val="00240EC2"/>
    <w:rsid w:val="00240FA8"/>
    <w:rsid w:val="00245D0F"/>
    <w:rsid w:val="002548C3"/>
    <w:rsid w:val="00257ACD"/>
    <w:rsid w:val="00262908"/>
    <w:rsid w:val="00263D6D"/>
    <w:rsid w:val="002650F4"/>
    <w:rsid w:val="00266A81"/>
    <w:rsid w:val="00270176"/>
    <w:rsid w:val="002704E5"/>
    <w:rsid w:val="002715FD"/>
    <w:rsid w:val="00276A00"/>
    <w:rsid w:val="002770B1"/>
    <w:rsid w:val="00285B33"/>
    <w:rsid w:val="00287A3C"/>
    <w:rsid w:val="00293F6D"/>
    <w:rsid w:val="002A2FC6"/>
    <w:rsid w:val="002A3D18"/>
    <w:rsid w:val="002C1EC7"/>
    <w:rsid w:val="002C4342"/>
    <w:rsid w:val="002C7EA3"/>
    <w:rsid w:val="002D097B"/>
    <w:rsid w:val="002D20AE"/>
    <w:rsid w:val="002D4062"/>
    <w:rsid w:val="002D6C61"/>
    <w:rsid w:val="002E2104"/>
    <w:rsid w:val="002E2DAC"/>
    <w:rsid w:val="002E64ED"/>
    <w:rsid w:val="002E6963"/>
    <w:rsid w:val="002E6F8F"/>
    <w:rsid w:val="002F05D8"/>
    <w:rsid w:val="002F0682"/>
    <w:rsid w:val="002F2DE0"/>
    <w:rsid w:val="002F5E25"/>
    <w:rsid w:val="0030353C"/>
    <w:rsid w:val="00306CA1"/>
    <w:rsid w:val="003125C3"/>
    <w:rsid w:val="00312AE6"/>
    <w:rsid w:val="00317D1A"/>
    <w:rsid w:val="003211FF"/>
    <w:rsid w:val="00323587"/>
    <w:rsid w:val="00324C62"/>
    <w:rsid w:val="003250BD"/>
    <w:rsid w:val="00327247"/>
    <w:rsid w:val="003278EE"/>
    <w:rsid w:val="00327A9D"/>
    <w:rsid w:val="0033130E"/>
    <w:rsid w:val="0033269C"/>
    <w:rsid w:val="003460BE"/>
    <w:rsid w:val="0035516C"/>
    <w:rsid w:val="00355A4C"/>
    <w:rsid w:val="003604FB"/>
    <w:rsid w:val="00360B73"/>
    <w:rsid w:val="0037319A"/>
    <w:rsid w:val="00380B71"/>
    <w:rsid w:val="0038365A"/>
    <w:rsid w:val="00386A89"/>
    <w:rsid w:val="003873EA"/>
    <w:rsid w:val="0039648E"/>
    <w:rsid w:val="003A5AFE"/>
    <w:rsid w:val="003A5D5F"/>
    <w:rsid w:val="003A6991"/>
    <w:rsid w:val="003A7FFE"/>
    <w:rsid w:val="003B0A63"/>
    <w:rsid w:val="003B50E1"/>
    <w:rsid w:val="003B549F"/>
    <w:rsid w:val="003C047F"/>
    <w:rsid w:val="003C1746"/>
    <w:rsid w:val="003C2AA9"/>
    <w:rsid w:val="003C58BF"/>
    <w:rsid w:val="003D03CB"/>
    <w:rsid w:val="003D451D"/>
    <w:rsid w:val="003E5283"/>
    <w:rsid w:val="003F2DD8"/>
    <w:rsid w:val="003F3F2D"/>
    <w:rsid w:val="003F50B2"/>
    <w:rsid w:val="00400CCF"/>
    <w:rsid w:val="00401BFF"/>
    <w:rsid w:val="00404424"/>
    <w:rsid w:val="00405DA3"/>
    <w:rsid w:val="0041156B"/>
    <w:rsid w:val="004122C5"/>
    <w:rsid w:val="00413B78"/>
    <w:rsid w:val="00416DDE"/>
    <w:rsid w:val="004171AA"/>
    <w:rsid w:val="004209CB"/>
    <w:rsid w:val="004268F3"/>
    <w:rsid w:val="00430590"/>
    <w:rsid w:val="004424B0"/>
    <w:rsid w:val="0044411E"/>
    <w:rsid w:val="00453435"/>
    <w:rsid w:val="004575A8"/>
    <w:rsid w:val="00463EE6"/>
    <w:rsid w:val="00466398"/>
    <w:rsid w:val="004707F6"/>
    <w:rsid w:val="0047306D"/>
    <w:rsid w:val="00473791"/>
    <w:rsid w:val="004743A4"/>
    <w:rsid w:val="00476E48"/>
    <w:rsid w:val="00481DE9"/>
    <w:rsid w:val="0049128B"/>
    <w:rsid w:val="00493B49"/>
    <w:rsid w:val="00495501"/>
    <w:rsid w:val="00496893"/>
    <w:rsid w:val="004A070A"/>
    <w:rsid w:val="004A320E"/>
    <w:rsid w:val="004A4E9C"/>
    <w:rsid w:val="004B1A3C"/>
    <w:rsid w:val="004D2CC3"/>
    <w:rsid w:val="004D35CB"/>
    <w:rsid w:val="004E20E5"/>
    <w:rsid w:val="004E64EA"/>
    <w:rsid w:val="004E7828"/>
    <w:rsid w:val="004F128D"/>
    <w:rsid w:val="004F46AA"/>
    <w:rsid w:val="004F5C25"/>
    <w:rsid w:val="004F6A70"/>
    <w:rsid w:val="00500AD7"/>
    <w:rsid w:val="00502ABF"/>
    <w:rsid w:val="00504DB0"/>
    <w:rsid w:val="00507C35"/>
    <w:rsid w:val="00510735"/>
    <w:rsid w:val="00514D2F"/>
    <w:rsid w:val="005168D0"/>
    <w:rsid w:val="0052625E"/>
    <w:rsid w:val="0054420E"/>
    <w:rsid w:val="00544D1B"/>
    <w:rsid w:val="00545DC0"/>
    <w:rsid w:val="00545F6C"/>
    <w:rsid w:val="005477D9"/>
    <w:rsid w:val="00552390"/>
    <w:rsid w:val="005533F0"/>
    <w:rsid w:val="0055351A"/>
    <w:rsid w:val="00554FC8"/>
    <w:rsid w:val="0055720C"/>
    <w:rsid w:val="005632DD"/>
    <w:rsid w:val="0056423B"/>
    <w:rsid w:val="00573424"/>
    <w:rsid w:val="0057402F"/>
    <w:rsid w:val="005849D6"/>
    <w:rsid w:val="00585367"/>
    <w:rsid w:val="005871A1"/>
    <w:rsid w:val="0058737E"/>
    <w:rsid w:val="00592518"/>
    <w:rsid w:val="00592E87"/>
    <w:rsid w:val="00593838"/>
    <w:rsid w:val="00594C4D"/>
    <w:rsid w:val="00596BE5"/>
    <w:rsid w:val="005A33B0"/>
    <w:rsid w:val="005A7171"/>
    <w:rsid w:val="005C2DC2"/>
    <w:rsid w:val="005C304A"/>
    <w:rsid w:val="005C3D69"/>
    <w:rsid w:val="005C7C98"/>
    <w:rsid w:val="005D040B"/>
    <w:rsid w:val="005D55A4"/>
    <w:rsid w:val="005D57C8"/>
    <w:rsid w:val="005D7761"/>
    <w:rsid w:val="005E0278"/>
    <w:rsid w:val="005E090D"/>
    <w:rsid w:val="005E2766"/>
    <w:rsid w:val="005E3CA0"/>
    <w:rsid w:val="005E44B1"/>
    <w:rsid w:val="005E6180"/>
    <w:rsid w:val="005E67B0"/>
    <w:rsid w:val="005E7047"/>
    <w:rsid w:val="005E777F"/>
    <w:rsid w:val="005F1CA7"/>
    <w:rsid w:val="005F43DD"/>
    <w:rsid w:val="005F51A9"/>
    <w:rsid w:val="005F6BE1"/>
    <w:rsid w:val="005F7416"/>
    <w:rsid w:val="00600A5A"/>
    <w:rsid w:val="00600C11"/>
    <w:rsid w:val="00606B89"/>
    <w:rsid w:val="00611EAF"/>
    <w:rsid w:val="00615655"/>
    <w:rsid w:val="00615D1B"/>
    <w:rsid w:val="00623F30"/>
    <w:rsid w:val="006259AE"/>
    <w:rsid w:val="00625FB8"/>
    <w:rsid w:val="006261BD"/>
    <w:rsid w:val="006336C9"/>
    <w:rsid w:val="00635215"/>
    <w:rsid w:val="00635EDB"/>
    <w:rsid w:val="00637C6D"/>
    <w:rsid w:val="00641480"/>
    <w:rsid w:val="006448C4"/>
    <w:rsid w:val="0064734E"/>
    <w:rsid w:val="00650137"/>
    <w:rsid w:val="006509D7"/>
    <w:rsid w:val="0065198B"/>
    <w:rsid w:val="00651CE8"/>
    <w:rsid w:val="0065377B"/>
    <w:rsid w:val="0065521B"/>
    <w:rsid w:val="00671EF6"/>
    <w:rsid w:val="0067205B"/>
    <w:rsid w:val="006748F8"/>
    <w:rsid w:val="00680489"/>
    <w:rsid w:val="00683C32"/>
    <w:rsid w:val="00690BB2"/>
    <w:rsid w:val="00693AB4"/>
    <w:rsid w:val="00693D09"/>
    <w:rsid w:val="00697D9F"/>
    <w:rsid w:val="006A0F3E"/>
    <w:rsid w:val="006A6549"/>
    <w:rsid w:val="006A7710"/>
    <w:rsid w:val="006A7A61"/>
    <w:rsid w:val="006B1E59"/>
    <w:rsid w:val="006B256D"/>
    <w:rsid w:val="006B2FFB"/>
    <w:rsid w:val="006B71A5"/>
    <w:rsid w:val="006C10A2"/>
    <w:rsid w:val="006C1F18"/>
    <w:rsid w:val="006C6809"/>
    <w:rsid w:val="006D40D5"/>
    <w:rsid w:val="006F009A"/>
    <w:rsid w:val="006F222C"/>
    <w:rsid w:val="006F3D93"/>
    <w:rsid w:val="006F5487"/>
    <w:rsid w:val="007019B1"/>
    <w:rsid w:val="0071203C"/>
    <w:rsid w:val="0071204E"/>
    <w:rsid w:val="007140E8"/>
    <w:rsid w:val="00721657"/>
    <w:rsid w:val="007279A8"/>
    <w:rsid w:val="00727B1A"/>
    <w:rsid w:val="00732847"/>
    <w:rsid w:val="00741337"/>
    <w:rsid w:val="007439E1"/>
    <w:rsid w:val="00752258"/>
    <w:rsid w:val="007529E1"/>
    <w:rsid w:val="007616B8"/>
    <w:rsid w:val="00762880"/>
    <w:rsid w:val="00762AD6"/>
    <w:rsid w:val="00762E02"/>
    <w:rsid w:val="00772290"/>
    <w:rsid w:val="00777265"/>
    <w:rsid w:val="007805E7"/>
    <w:rsid w:val="00780784"/>
    <w:rsid w:val="0078222A"/>
    <w:rsid w:val="00782C16"/>
    <w:rsid w:val="00784D97"/>
    <w:rsid w:val="00787D48"/>
    <w:rsid w:val="00795294"/>
    <w:rsid w:val="007A2480"/>
    <w:rsid w:val="007A4E50"/>
    <w:rsid w:val="007B18A7"/>
    <w:rsid w:val="007B250E"/>
    <w:rsid w:val="007C27FC"/>
    <w:rsid w:val="007C51FF"/>
    <w:rsid w:val="007D50E4"/>
    <w:rsid w:val="007E17F6"/>
    <w:rsid w:val="007F1CC7"/>
    <w:rsid w:val="008027AC"/>
    <w:rsid w:val="008028CE"/>
    <w:rsid w:val="0080332E"/>
    <w:rsid w:val="00813F77"/>
    <w:rsid w:val="008141E0"/>
    <w:rsid w:val="00816EE1"/>
    <w:rsid w:val="00816F88"/>
    <w:rsid w:val="00822323"/>
    <w:rsid w:val="00827BC6"/>
    <w:rsid w:val="008300AD"/>
    <w:rsid w:val="00833024"/>
    <w:rsid w:val="00836BDB"/>
    <w:rsid w:val="00840E57"/>
    <w:rsid w:val="008419B1"/>
    <w:rsid w:val="00844A56"/>
    <w:rsid w:val="00845B11"/>
    <w:rsid w:val="00846A1E"/>
    <w:rsid w:val="008475F9"/>
    <w:rsid w:val="00852081"/>
    <w:rsid w:val="0086067F"/>
    <w:rsid w:val="00872A76"/>
    <w:rsid w:val="00872B6E"/>
    <w:rsid w:val="00874DFD"/>
    <w:rsid w:val="0088025F"/>
    <w:rsid w:val="008802F9"/>
    <w:rsid w:val="00883086"/>
    <w:rsid w:val="008879FD"/>
    <w:rsid w:val="0089275D"/>
    <w:rsid w:val="00894C37"/>
    <w:rsid w:val="008A00EA"/>
    <w:rsid w:val="008A36C1"/>
    <w:rsid w:val="008A3F93"/>
    <w:rsid w:val="008A6236"/>
    <w:rsid w:val="008A6E1C"/>
    <w:rsid w:val="008A7137"/>
    <w:rsid w:val="008A72FD"/>
    <w:rsid w:val="008B2EDF"/>
    <w:rsid w:val="008B54CB"/>
    <w:rsid w:val="008B5A3D"/>
    <w:rsid w:val="008C0AA2"/>
    <w:rsid w:val="008C4010"/>
    <w:rsid w:val="008C4FDF"/>
    <w:rsid w:val="008C6B1F"/>
    <w:rsid w:val="008D48A9"/>
    <w:rsid w:val="008D5E4F"/>
    <w:rsid w:val="008E5E7B"/>
    <w:rsid w:val="008F14F5"/>
    <w:rsid w:val="008F5067"/>
    <w:rsid w:val="008F71C1"/>
    <w:rsid w:val="008F7211"/>
    <w:rsid w:val="009010D9"/>
    <w:rsid w:val="00902B1D"/>
    <w:rsid w:val="00902D41"/>
    <w:rsid w:val="00902F49"/>
    <w:rsid w:val="00914004"/>
    <w:rsid w:val="009164F2"/>
    <w:rsid w:val="00917EA6"/>
    <w:rsid w:val="0092088B"/>
    <w:rsid w:val="00921507"/>
    <w:rsid w:val="00922EC1"/>
    <w:rsid w:val="009301F1"/>
    <w:rsid w:val="009307DF"/>
    <w:rsid w:val="00931017"/>
    <w:rsid w:val="009359B8"/>
    <w:rsid w:val="00935FF0"/>
    <w:rsid w:val="009431F8"/>
    <w:rsid w:val="009470C0"/>
    <w:rsid w:val="00947A35"/>
    <w:rsid w:val="00960E60"/>
    <w:rsid w:val="00962081"/>
    <w:rsid w:val="00966CB5"/>
    <w:rsid w:val="009671AF"/>
    <w:rsid w:val="00975786"/>
    <w:rsid w:val="009804E5"/>
    <w:rsid w:val="00981CB7"/>
    <w:rsid w:val="00983E1F"/>
    <w:rsid w:val="0098490B"/>
    <w:rsid w:val="00993F46"/>
    <w:rsid w:val="009954DF"/>
    <w:rsid w:val="00997358"/>
    <w:rsid w:val="009A452B"/>
    <w:rsid w:val="009A56A2"/>
    <w:rsid w:val="009B050C"/>
    <w:rsid w:val="009B087F"/>
    <w:rsid w:val="009B0AE3"/>
    <w:rsid w:val="009B2AF4"/>
    <w:rsid w:val="009B4D59"/>
    <w:rsid w:val="009C110B"/>
    <w:rsid w:val="009C5441"/>
    <w:rsid w:val="009C6EFE"/>
    <w:rsid w:val="009D119F"/>
    <w:rsid w:val="009D49A2"/>
    <w:rsid w:val="009E2E4A"/>
    <w:rsid w:val="009E709C"/>
    <w:rsid w:val="009F3940"/>
    <w:rsid w:val="009F3EB2"/>
    <w:rsid w:val="009F4986"/>
    <w:rsid w:val="009F6EB1"/>
    <w:rsid w:val="009F7D87"/>
    <w:rsid w:val="00A11D05"/>
    <w:rsid w:val="00A127E3"/>
    <w:rsid w:val="00A13162"/>
    <w:rsid w:val="00A13BDA"/>
    <w:rsid w:val="00A20267"/>
    <w:rsid w:val="00A26495"/>
    <w:rsid w:val="00A3158C"/>
    <w:rsid w:val="00A32DF3"/>
    <w:rsid w:val="00A33E32"/>
    <w:rsid w:val="00A35E20"/>
    <w:rsid w:val="00A36A4E"/>
    <w:rsid w:val="00A36F6D"/>
    <w:rsid w:val="00A454E1"/>
    <w:rsid w:val="00A45D78"/>
    <w:rsid w:val="00A50CA0"/>
    <w:rsid w:val="00A525CC"/>
    <w:rsid w:val="00A53E7C"/>
    <w:rsid w:val="00A60087"/>
    <w:rsid w:val="00A614E2"/>
    <w:rsid w:val="00A67455"/>
    <w:rsid w:val="00A705E8"/>
    <w:rsid w:val="00A721F4"/>
    <w:rsid w:val="00A816CB"/>
    <w:rsid w:val="00A908B4"/>
    <w:rsid w:val="00A9392C"/>
    <w:rsid w:val="00A9462B"/>
    <w:rsid w:val="00A97D59"/>
    <w:rsid w:val="00AA2D0E"/>
    <w:rsid w:val="00AA3E09"/>
    <w:rsid w:val="00AA4BEF"/>
    <w:rsid w:val="00AB0B30"/>
    <w:rsid w:val="00AB1659"/>
    <w:rsid w:val="00AB2129"/>
    <w:rsid w:val="00AB2E6A"/>
    <w:rsid w:val="00AB4962"/>
    <w:rsid w:val="00AB503D"/>
    <w:rsid w:val="00AB734E"/>
    <w:rsid w:val="00AB740F"/>
    <w:rsid w:val="00AC00BD"/>
    <w:rsid w:val="00AC6F14"/>
    <w:rsid w:val="00AC7221"/>
    <w:rsid w:val="00AE2180"/>
    <w:rsid w:val="00AE5961"/>
    <w:rsid w:val="00AF0745"/>
    <w:rsid w:val="00AF4971"/>
    <w:rsid w:val="00AF5276"/>
    <w:rsid w:val="00AF7C86"/>
    <w:rsid w:val="00B01046"/>
    <w:rsid w:val="00B06258"/>
    <w:rsid w:val="00B13DAA"/>
    <w:rsid w:val="00B1556B"/>
    <w:rsid w:val="00B310F9"/>
    <w:rsid w:val="00B31F90"/>
    <w:rsid w:val="00B366BE"/>
    <w:rsid w:val="00B37866"/>
    <w:rsid w:val="00B412FB"/>
    <w:rsid w:val="00B4576B"/>
    <w:rsid w:val="00B46350"/>
    <w:rsid w:val="00B46DF3"/>
    <w:rsid w:val="00B533E9"/>
    <w:rsid w:val="00B66E8F"/>
    <w:rsid w:val="00B80157"/>
    <w:rsid w:val="00B83D5E"/>
    <w:rsid w:val="00B844F5"/>
    <w:rsid w:val="00B8460A"/>
    <w:rsid w:val="00B8650D"/>
    <w:rsid w:val="00B879B4"/>
    <w:rsid w:val="00B90F07"/>
    <w:rsid w:val="00B92E0E"/>
    <w:rsid w:val="00B943E5"/>
    <w:rsid w:val="00B96A9E"/>
    <w:rsid w:val="00B97BB9"/>
    <w:rsid w:val="00BA0009"/>
    <w:rsid w:val="00BB1863"/>
    <w:rsid w:val="00BB25EE"/>
    <w:rsid w:val="00BB363A"/>
    <w:rsid w:val="00BC10A0"/>
    <w:rsid w:val="00BC4014"/>
    <w:rsid w:val="00BC7BA2"/>
    <w:rsid w:val="00BD1EBA"/>
    <w:rsid w:val="00BD426B"/>
    <w:rsid w:val="00BD79F0"/>
    <w:rsid w:val="00BE2B4D"/>
    <w:rsid w:val="00BE47A1"/>
    <w:rsid w:val="00BF3A50"/>
    <w:rsid w:val="00BF5BAA"/>
    <w:rsid w:val="00C0109E"/>
    <w:rsid w:val="00C015F8"/>
    <w:rsid w:val="00C057A3"/>
    <w:rsid w:val="00C07E26"/>
    <w:rsid w:val="00C1011C"/>
    <w:rsid w:val="00C12F94"/>
    <w:rsid w:val="00C143B5"/>
    <w:rsid w:val="00C177C5"/>
    <w:rsid w:val="00C178AB"/>
    <w:rsid w:val="00C27096"/>
    <w:rsid w:val="00C278C7"/>
    <w:rsid w:val="00C330F4"/>
    <w:rsid w:val="00C34EC3"/>
    <w:rsid w:val="00C37656"/>
    <w:rsid w:val="00C37CF9"/>
    <w:rsid w:val="00C4038C"/>
    <w:rsid w:val="00C42BA2"/>
    <w:rsid w:val="00C44066"/>
    <w:rsid w:val="00C4412D"/>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8AC"/>
    <w:rsid w:val="00CB110F"/>
    <w:rsid w:val="00CB2A2E"/>
    <w:rsid w:val="00CB338A"/>
    <w:rsid w:val="00CB79C5"/>
    <w:rsid w:val="00CB7A2F"/>
    <w:rsid w:val="00CC411F"/>
    <w:rsid w:val="00CC4B75"/>
    <w:rsid w:val="00CC5C15"/>
    <w:rsid w:val="00CC5FFE"/>
    <w:rsid w:val="00CC732E"/>
    <w:rsid w:val="00CD2FCD"/>
    <w:rsid w:val="00CD5684"/>
    <w:rsid w:val="00CD7207"/>
    <w:rsid w:val="00CE0DBE"/>
    <w:rsid w:val="00CE2295"/>
    <w:rsid w:val="00CE5E4D"/>
    <w:rsid w:val="00CF02C4"/>
    <w:rsid w:val="00CF167F"/>
    <w:rsid w:val="00CF72E5"/>
    <w:rsid w:val="00D013EE"/>
    <w:rsid w:val="00D01F54"/>
    <w:rsid w:val="00D040F7"/>
    <w:rsid w:val="00D044B7"/>
    <w:rsid w:val="00D04A76"/>
    <w:rsid w:val="00D10FC7"/>
    <w:rsid w:val="00D12B18"/>
    <w:rsid w:val="00D1519F"/>
    <w:rsid w:val="00D20E99"/>
    <w:rsid w:val="00D21C83"/>
    <w:rsid w:val="00D236B1"/>
    <w:rsid w:val="00D35BDD"/>
    <w:rsid w:val="00D43479"/>
    <w:rsid w:val="00D54157"/>
    <w:rsid w:val="00D5468D"/>
    <w:rsid w:val="00D63006"/>
    <w:rsid w:val="00D72301"/>
    <w:rsid w:val="00D72972"/>
    <w:rsid w:val="00D87F72"/>
    <w:rsid w:val="00D90E76"/>
    <w:rsid w:val="00D911DE"/>
    <w:rsid w:val="00D91B97"/>
    <w:rsid w:val="00D93ACC"/>
    <w:rsid w:val="00D93C08"/>
    <w:rsid w:val="00D95DAC"/>
    <w:rsid w:val="00DA0B53"/>
    <w:rsid w:val="00DB079F"/>
    <w:rsid w:val="00DB1171"/>
    <w:rsid w:val="00DB1519"/>
    <w:rsid w:val="00DB1C00"/>
    <w:rsid w:val="00DB2065"/>
    <w:rsid w:val="00DB2840"/>
    <w:rsid w:val="00DB3425"/>
    <w:rsid w:val="00DB63E3"/>
    <w:rsid w:val="00DC1BD3"/>
    <w:rsid w:val="00DC2C1A"/>
    <w:rsid w:val="00DC4435"/>
    <w:rsid w:val="00DC6BC9"/>
    <w:rsid w:val="00DD66B4"/>
    <w:rsid w:val="00DE1972"/>
    <w:rsid w:val="00DE27AB"/>
    <w:rsid w:val="00DE678B"/>
    <w:rsid w:val="00DF2AB3"/>
    <w:rsid w:val="00DF7250"/>
    <w:rsid w:val="00E00CAA"/>
    <w:rsid w:val="00E03EBF"/>
    <w:rsid w:val="00E05209"/>
    <w:rsid w:val="00E06CC9"/>
    <w:rsid w:val="00E10BA0"/>
    <w:rsid w:val="00E11BCF"/>
    <w:rsid w:val="00E2258E"/>
    <w:rsid w:val="00E2353B"/>
    <w:rsid w:val="00E24998"/>
    <w:rsid w:val="00E260C2"/>
    <w:rsid w:val="00E32596"/>
    <w:rsid w:val="00E3260F"/>
    <w:rsid w:val="00E368F7"/>
    <w:rsid w:val="00E36EB8"/>
    <w:rsid w:val="00E37FB8"/>
    <w:rsid w:val="00E40B07"/>
    <w:rsid w:val="00E42326"/>
    <w:rsid w:val="00E42517"/>
    <w:rsid w:val="00E43544"/>
    <w:rsid w:val="00E44D89"/>
    <w:rsid w:val="00E477EA"/>
    <w:rsid w:val="00E54EA0"/>
    <w:rsid w:val="00E55807"/>
    <w:rsid w:val="00E5733F"/>
    <w:rsid w:val="00E63B14"/>
    <w:rsid w:val="00E65CA0"/>
    <w:rsid w:val="00E70D9F"/>
    <w:rsid w:val="00E83810"/>
    <w:rsid w:val="00E8441D"/>
    <w:rsid w:val="00E86933"/>
    <w:rsid w:val="00E87DF2"/>
    <w:rsid w:val="00E9605B"/>
    <w:rsid w:val="00E97298"/>
    <w:rsid w:val="00E97753"/>
    <w:rsid w:val="00EA1BF1"/>
    <w:rsid w:val="00EA7DE7"/>
    <w:rsid w:val="00EB43F2"/>
    <w:rsid w:val="00EB7196"/>
    <w:rsid w:val="00EB7A8A"/>
    <w:rsid w:val="00ED17B7"/>
    <w:rsid w:val="00ED5AD4"/>
    <w:rsid w:val="00EE3028"/>
    <w:rsid w:val="00EE37EE"/>
    <w:rsid w:val="00EE3A64"/>
    <w:rsid w:val="00EE50E5"/>
    <w:rsid w:val="00EE6572"/>
    <w:rsid w:val="00EF01CF"/>
    <w:rsid w:val="00EF0C0A"/>
    <w:rsid w:val="00EF1C13"/>
    <w:rsid w:val="00F03590"/>
    <w:rsid w:val="00F03622"/>
    <w:rsid w:val="00F060FF"/>
    <w:rsid w:val="00F077FD"/>
    <w:rsid w:val="00F172A4"/>
    <w:rsid w:val="00F204F3"/>
    <w:rsid w:val="00F218AB"/>
    <w:rsid w:val="00F238B3"/>
    <w:rsid w:val="00F24021"/>
    <w:rsid w:val="00F24FED"/>
    <w:rsid w:val="00F25586"/>
    <w:rsid w:val="00F2651D"/>
    <w:rsid w:val="00F27362"/>
    <w:rsid w:val="00F27758"/>
    <w:rsid w:val="00F31498"/>
    <w:rsid w:val="00F32FEF"/>
    <w:rsid w:val="00F400AB"/>
    <w:rsid w:val="00F403F6"/>
    <w:rsid w:val="00F41B1C"/>
    <w:rsid w:val="00F42E13"/>
    <w:rsid w:val="00F42F1C"/>
    <w:rsid w:val="00F43B44"/>
    <w:rsid w:val="00F440E5"/>
    <w:rsid w:val="00F448F6"/>
    <w:rsid w:val="00F44E1D"/>
    <w:rsid w:val="00F46EF5"/>
    <w:rsid w:val="00F50FBE"/>
    <w:rsid w:val="00F52741"/>
    <w:rsid w:val="00F53D8A"/>
    <w:rsid w:val="00F56469"/>
    <w:rsid w:val="00F56EEF"/>
    <w:rsid w:val="00F626F7"/>
    <w:rsid w:val="00F6566B"/>
    <w:rsid w:val="00F714D0"/>
    <w:rsid w:val="00F736F9"/>
    <w:rsid w:val="00F73833"/>
    <w:rsid w:val="00F9211C"/>
    <w:rsid w:val="00FA095D"/>
    <w:rsid w:val="00FA54C8"/>
    <w:rsid w:val="00FA6C8B"/>
    <w:rsid w:val="00FA7C89"/>
    <w:rsid w:val="00FB3E99"/>
    <w:rsid w:val="00FB4139"/>
    <w:rsid w:val="00FB476E"/>
    <w:rsid w:val="00FC0D90"/>
    <w:rsid w:val="00FC7D8C"/>
    <w:rsid w:val="00FD3980"/>
    <w:rsid w:val="00FD431E"/>
    <w:rsid w:val="00FD59AB"/>
    <w:rsid w:val="00FD5A2C"/>
    <w:rsid w:val="00FD6A27"/>
    <w:rsid w:val="00FE0D47"/>
    <w:rsid w:val="00FE1D5C"/>
    <w:rsid w:val="00FE2F8B"/>
    <w:rsid w:val="00FE3669"/>
    <w:rsid w:val="00FE3763"/>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character" w:styleId="FollowedHyperlink">
    <w:name w:val="FollowedHyperlink"/>
    <w:basedOn w:val="DefaultParagraphFont"/>
    <w:semiHidden/>
    <w:unhideWhenUsed/>
    <w:rsid w:val="00E10BA0"/>
    <w:rPr>
      <w:color w:val="800080" w:themeColor="followedHyperlink"/>
      <w:u w:val="single"/>
    </w:rPr>
  </w:style>
  <w:style w:type="character" w:customStyle="1" w:styleId="Heading1Char">
    <w:name w:val="Heading 1 Char"/>
    <w:basedOn w:val="DefaultParagraphFont"/>
    <w:link w:val="Heading1"/>
    <w:rsid w:val="00084CA2"/>
    <w:rPr>
      <w:rFonts w:asciiTheme="minorHAnsi" w:hAnsiTheme="minorHAnsi"/>
      <w:b/>
      <w:sz w:val="28"/>
      <w:lang w:val="fr-CH" w:eastAsia="en-US"/>
    </w:rPr>
  </w:style>
  <w:style w:type="character" w:customStyle="1" w:styleId="Heading2Char">
    <w:name w:val="Heading 2 Char"/>
    <w:basedOn w:val="DefaultParagraphFont"/>
    <w:link w:val="Heading2"/>
    <w:rsid w:val="00084CA2"/>
    <w:rPr>
      <w:rFonts w:asciiTheme="minorHAnsi" w:hAnsiTheme="minorHAnsi"/>
      <w:b/>
      <w:sz w:val="24"/>
      <w:lang w:val="fr-CH" w:eastAsia="en-US"/>
    </w:rPr>
  </w:style>
  <w:style w:type="character" w:customStyle="1" w:styleId="FootnoteTextChar">
    <w:name w:val="Footnote Text Char"/>
    <w:basedOn w:val="DefaultParagraphFont"/>
    <w:link w:val="FootnoteText"/>
    <w:rsid w:val="00084CA2"/>
    <w:rPr>
      <w:rFonts w:asciiTheme="minorHAnsi" w:hAnsiTheme="minorHAnsi"/>
      <w:sz w:val="24"/>
      <w:lang w:val="fr-CH" w:eastAsia="en-US"/>
    </w:rPr>
  </w:style>
  <w:style w:type="character" w:customStyle="1" w:styleId="Heading3Char">
    <w:name w:val="Heading 3 Char"/>
    <w:basedOn w:val="DefaultParagraphFont"/>
    <w:link w:val="Heading3"/>
    <w:rsid w:val="00084CA2"/>
    <w:rPr>
      <w:rFonts w:asciiTheme="minorHAnsi" w:hAnsiTheme="minorHAnsi"/>
      <w:b/>
      <w:sz w:val="24"/>
      <w:lang w:val="fr-CH" w:eastAsia="en-US"/>
    </w:rPr>
  </w:style>
  <w:style w:type="character" w:customStyle="1" w:styleId="Heading4Char">
    <w:name w:val="Heading 4 Char"/>
    <w:basedOn w:val="DefaultParagraphFont"/>
    <w:link w:val="Heading4"/>
    <w:rsid w:val="00084CA2"/>
    <w:rPr>
      <w:rFonts w:asciiTheme="minorHAnsi" w:hAnsiTheme="minorHAnsi"/>
      <w:b/>
      <w:sz w:val="24"/>
      <w:lang w:val="fr-CH" w:eastAsia="en-US"/>
    </w:rPr>
  </w:style>
  <w:style w:type="character" w:customStyle="1" w:styleId="Heading5Char">
    <w:name w:val="Heading 5 Char"/>
    <w:basedOn w:val="DefaultParagraphFont"/>
    <w:link w:val="Heading5"/>
    <w:rsid w:val="00084CA2"/>
    <w:rPr>
      <w:rFonts w:asciiTheme="minorHAnsi" w:hAnsiTheme="minorHAnsi"/>
      <w:b/>
      <w:sz w:val="24"/>
      <w:lang w:val="fr-CH" w:eastAsia="en-US"/>
    </w:rPr>
  </w:style>
  <w:style w:type="character" w:customStyle="1" w:styleId="Heading6Char">
    <w:name w:val="Heading 6 Char"/>
    <w:basedOn w:val="DefaultParagraphFont"/>
    <w:link w:val="Heading6"/>
    <w:rsid w:val="00084CA2"/>
    <w:rPr>
      <w:rFonts w:asciiTheme="minorHAnsi" w:hAnsiTheme="minorHAnsi"/>
      <w:b/>
      <w:sz w:val="24"/>
      <w:lang w:val="fr-CH" w:eastAsia="en-US"/>
    </w:rPr>
  </w:style>
  <w:style w:type="character" w:customStyle="1" w:styleId="Heading7Char">
    <w:name w:val="Heading 7 Char"/>
    <w:basedOn w:val="DefaultParagraphFont"/>
    <w:link w:val="Heading7"/>
    <w:rsid w:val="00084CA2"/>
    <w:rPr>
      <w:rFonts w:asciiTheme="minorHAnsi" w:hAnsiTheme="minorHAnsi"/>
      <w:b/>
      <w:sz w:val="24"/>
      <w:lang w:val="fr-CH" w:eastAsia="en-US"/>
    </w:rPr>
  </w:style>
  <w:style w:type="character" w:customStyle="1" w:styleId="Heading8Char">
    <w:name w:val="Heading 8 Char"/>
    <w:basedOn w:val="DefaultParagraphFont"/>
    <w:link w:val="Heading8"/>
    <w:rsid w:val="00084CA2"/>
    <w:rPr>
      <w:rFonts w:asciiTheme="minorHAnsi" w:hAnsiTheme="minorHAnsi"/>
      <w:b/>
      <w:sz w:val="24"/>
      <w:lang w:val="fr-CH" w:eastAsia="en-US"/>
    </w:rPr>
  </w:style>
  <w:style w:type="character" w:customStyle="1" w:styleId="Heading9Char">
    <w:name w:val="Heading 9 Char"/>
    <w:basedOn w:val="DefaultParagraphFont"/>
    <w:link w:val="Heading9"/>
    <w:rsid w:val="00084CA2"/>
    <w:rPr>
      <w:rFonts w:asciiTheme="minorHAnsi" w:hAnsiTheme="minorHAnsi"/>
      <w:b/>
      <w:sz w:val="24"/>
      <w:lang w:val="fr-CH" w:eastAsia="en-US"/>
    </w:rPr>
  </w:style>
  <w:style w:type="character" w:customStyle="1" w:styleId="enumlev1Char">
    <w:name w:val="enumlev1 Char"/>
    <w:basedOn w:val="DefaultParagraphFont"/>
    <w:link w:val="enumlev1"/>
    <w:rsid w:val="0055351A"/>
    <w:rPr>
      <w:rFonts w:asciiTheme="minorHAnsi" w:hAnsiTheme="minorHAnsi"/>
      <w:sz w:val="24"/>
      <w:lang w:val="fr-CH" w:eastAsia="en-US"/>
    </w:rPr>
  </w:style>
  <w:style w:type="table" w:customStyle="1" w:styleId="GridTable1Light-Accent51">
    <w:name w:val="Grid Table 1 Light - Accent 51"/>
    <w:basedOn w:val="TableNormal"/>
    <w:uiPriority w:val="46"/>
    <w:rsid w:val="00270176"/>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Recommendation Char"/>
    <w:basedOn w:val="DefaultParagraphFont"/>
    <w:link w:val="ListParagraph"/>
    <w:uiPriority w:val="34"/>
    <w:rsid w:val="004575A8"/>
    <w:rPr>
      <w:rFonts w:asciiTheme="minorHAnsi" w:hAnsiTheme="minorHAns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2671">
      <w:bodyDiv w:val="1"/>
      <w:marLeft w:val="0"/>
      <w:marRight w:val="0"/>
      <w:marTop w:val="0"/>
      <w:marBottom w:val="0"/>
      <w:divBdr>
        <w:top w:val="none" w:sz="0" w:space="0" w:color="auto"/>
        <w:left w:val="none" w:sz="0" w:space="0" w:color="auto"/>
        <w:bottom w:val="none" w:sz="0" w:space="0" w:color="auto"/>
        <w:right w:val="none" w:sz="0" w:space="0" w:color="auto"/>
      </w:divBdr>
      <w:divsChild>
        <w:div w:id="739981737">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Map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itu-d/i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ulatory-Market/Pages/Outlook/2017.aspx" TargetMode="External"/><Relationship Id="rId5" Type="http://schemas.openxmlformats.org/officeDocument/2006/relationships/webSettings" Target="webSettings.xml"/><Relationship Id="rId15" Type="http://schemas.openxmlformats.org/officeDocument/2006/relationships/hyperlink" Target="http://www.itu.int/digitalskills" TargetMode="External"/><Relationship Id="rId10" Type="http://schemas.openxmlformats.org/officeDocument/2006/relationships/hyperlink" Target="https://www.itu.int/en/ITU-D/TIES_Protected/PerfReport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ITU-D/TIES_Protected/PerfReport2017.pdf" TargetMode="External"/><Relationship Id="rId14" Type="http://schemas.openxmlformats.org/officeDocument/2006/relationships/hyperlink" Target="http://digitalinclusionnewslo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8FB1-3600-4D35-BF86-6C8AB7CC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280</TotalTime>
  <Pages>24</Pages>
  <Words>10859</Words>
  <Characters>60369</Characters>
  <Application>Microsoft Office Word</Application>
  <DocSecurity>0</DocSecurity>
  <Lines>503</Lines>
  <Paragraphs>142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71086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24</cp:revision>
  <cp:lastPrinted>2018-02-08T13:59:00Z</cp:lastPrinted>
  <dcterms:created xsi:type="dcterms:W3CDTF">2018-02-08T10:13:00Z</dcterms:created>
  <dcterms:modified xsi:type="dcterms:W3CDTF">2018-02-09T10:14:00Z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