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684459" w:rsidTr="0022671B">
        <w:trPr>
          <w:trHeight w:val="1134"/>
        </w:trPr>
        <w:tc>
          <w:tcPr>
            <w:tcW w:w="6662" w:type="dxa"/>
          </w:tcPr>
          <w:p w:rsidR="004713B8" w:rsidRPr="00684459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84459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684459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lang w:eastAsia="zh-CN"/>
              </w:rPr>
            </w:pPr>
            <w:r w:rsidRPr="0068445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684459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684459" w:rsidRDefault="004713B8" w:rsidP="00CD34AE">
            <w:pPr>
              <w:widowControl w:val="0"/>
              <w:spacing w:before="40"/>
            </w:pPr>
            <w:r w:rsidRPr="0068445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DA62A8C" wp14:editId="0ABB0BC3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684459" w:rsidTr="000F5BAE">
        <w:tc>
          <w:tcPr>
            <w:tcW w:w="6662" w:type="dxa"/>
            <w:tcBorders>
              <w:top w:val="single" w:sz="12" w:space="0" w:color="auto"/>
            </w:tcBorders>
          </w:tcPr>
          <w:p w:rsidR="00CD34AE" w:rsidRPr="00684459" w:rsidRDefault="00CD34AE" w:rsidP="00CD34AE">
            <w:pPr>
              <w:widowControl w:val="0"/>
              <w:spacing w:before="0"/>
              <w:rPr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684459" w:rsidRDefault="00CD34AE" w:rsidP="00CD34AE">
            <w:pPr>
              <w:widowControl w:val="0"/>
              <w:spacing w:before="0"/>
            </w:pPr>
          </w:p>
        </w:tc>
      </w:tr>
      <w:tr w:rsidR="00CD34AE" w:rsidRPr="00684459" w:rsidTr="000F5BAE">
        <w:tc>
          <w:tcPr>
            <w:tcW w:w="6662" w:type="dxa"/>
          </w:tcPr>
          <w:p w:rsidR="00CD34AE" w:rsidRPr="00684459" w:rsidRDefault="00CD34AE" w:rsidP="00CD34AE">
            <w:pPr>
              <w:widowControl w:val="0"/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684459" w:rsidRDefault="003E6E87" w:rsidP="006F1491">
            <w:pPr>
              <w:widowControl w:val="0"/>
              <w:spacing w:before="0"/>
              <w:rPr>
                <w:b/>
                <w:bCs/>
              </w:rPr>
            </w:pPr>
            <w:r w:rsidRPr="00684459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="009E0B39" w:rsidRPr="00684459">
              <w:rPr>
                <w:b/>
                <w:bCs/>
              </w:rPr>
              <w:t>TDAG</w:t>
            </w:r>
            <w:proofErr w:type="spellEnd"/>
            <w:r w:rsidR="009E0B39" w:rsidRPr="00684459">
              <w:rPr>
                <w:b/>
                <w:bCs/>
              </w:rPr>
              <w:t>-18</w:t>
            </w:r>
            <w:r w:rsidRPr="00684459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6F1491" w:rsidRPr="00684459">
              <w:rPr>
                <w:rFonts w:cstheme="minorHAnsi"/>
                <w:b/>
                <w:bCs/>
              </w:rPr>
              <w:t>2</w:t>
            </w:r>
            <w:r w:rsidRPr="00684459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684459" w:rsidTr="000F5BAE">
        <w:tc>
          <w:tcPr>
            <w:tcW w:w="6662" w:type="dxa"/>
          </w:tcPr>
          <w:p w:rsidR="00CD34AE" w:rsidRPr="00684459" w:rsidRDefault="00CD34AE" w:rsidP="00CD34AE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684459" w:rsidRDefault="00BA6538" w:rsidP="004713B8">
            <w:pPr>
              <w:widowControl w:val="0"/>
              <w:spacing w:before="0"/>
              <w:rPr>
                <w:b/>
                <w:bCs/>
              </w:rPr>
            </w:pPr>
            <w:bookmarkStart w:id="2" w:name="CreationDate"/>
            <w:bookmarkEnd w:id="2"/>
            <w:r w:rsidRPr="00684459">
              <w:rPr>
                <w:b/>
                <w:bCs/>
              </w:rPr>
              <w:t>31</w:t>
            </w:r>
            <w:r w:rsidR="006F1491" w:rsidRPr="00684459">
              <w:rPr>
                <w:b/>
                <w:bCs/>
              </w:rPr>
              <w:t xml:space="preserve"> января</w:t>
            </w:r>
            <w:r w:rsidR="00A73D91" w:rsidRPr="00684459">
              <w:rPr>
                <w:b/>
                <w:bCs/>
              </w:rPr>
              <w:t xml:space="preserve"> 201</w:t>
            </w:r>
            <w:r w:rsidR="004713B8" w:rsidRPr="00684459">
              <w:rPr>
                <w:b/>
                <w:bCs/>
              </w:rPr>
              <w:t>8</w:t>
            </w:r>
            <w:r w:rsidR="00A73D91" w:rsidRPr="00684459">
              <w:rPr>
                <w:b/>
                <w:bCs/>
              </w:rPr>
              <w:t xml:space="preserve"> года</w:t>
            </w:r>
          </w:p>
        </w:tc>
      </w:tr>
      <w:tr w:rsidR="00CD34AE" w:rsidRPr="00684459" w:rsidTr="000F5BAE">
        <w:tc>
          <w:tcPr>
            <w:tcW w:w="6662" w:type="dxa"/>
          </w:tcPr>
          <w:p w:rsidR="00CD34AE" w:rsidRPr="00684459" w:rsidRDefault="00CD34AE" w:rsidP="00CD34AE">
            <w:pPr>
              <w:widowControl w:val="0"/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684459" w:rsidRDefault="003E6E87" w:rsidP="00CD34AE">
            <w:pPr>
              <w:widowControl w:val="0"/>
              <w:spacing w:before="0"/>
              <w:rPr>
                <w:b/>
                <w:bCs/>
              </w:rPr>
            </w:pPr>
            <w:r w:rsidRPr="00684459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684459">
              <w:rPr>
                <w:rFonts w:cstheme="minorHAnsi"/>
                <w:b/>
                <w:bCs/>
              </w:rPr>
              <w:t xml:space="preserve"> </w:t>
            </w:r>
            <w:r w:rsidR="006F1491" w:rsidRPr="00684459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684459" w:rsidTr="00CD34AE">
        <w:trPr>
          <w:trHeight w:val="850"/>
        </w:trPr>
        <w:tc>
          <w:tcPr>
            <w:tcW w:w="9923" w:type="dxa"/>
            <w:gridSpan w:val="2"/>
          </w:tcPr>
          <w:p w:rsidR="00CD34AE" w:rsidRPr="00DB1F13" w:rsidRDefault="006F1491" w:rsidP="00DB1F13">
            <w:pPr>
              <w:pStyle w:val="Source"/>
              <w:framePr w:hSpace="0" w:wrap="auto" w:vAnchor="margin" w:hAnchor="text" w:yAlign="inline"/>
              <w:spacing w:before="240" w:after="240"/>
              <w:rPr>
                <w:sz w:val="26"/>
              </w:rPr>
            </w:pPr>
            <w:bookmarkStart w:id="4" w:name="Source"/>
            <w:bookmarkEnd w:id="4"/>
            <w:r w:rsidRPr="00684459">
              <w:rPr>
                <w:sz w:val="26"/>
              </w:rPr>
              <w:t xml:space="preserve">Директор Бюро </w:t>
            </w:r>
            <w:r w:rsidR="00DB1F13">
              <w:rPr>
                <w:sz w:val="26"/>
              </w:rPr>
              <w:t>развития электросвязи</w:t>
            </w:r>
          </w:p>
        </w:tc>
      </w:tr>
      <w:tr w:rsidR="00CD34AE" w:rsidRPr="00684459" w:rsidTr="00270876">
        <w:tc>
          <w:tcPr>
            <w:tcW w:w="9923" w:type="dxa"/>
            <w:gridSpan w:val="2"/>
          </w:tcPr>
          <w:p w:rsidR="00CD34AE" w:rsidRPr="00684459" w:rsidRDefault="008842E0" w:rsidP="00684459">
            <w:pPr>
              <w:pStyle w:val="Title1"/>
              <w:spacing w:before="120" w:after="120"/>
              <w:rPr>
                <w:sz w:val="26"/>
              </w:rPr>
            </w:pPr>
            <w:bookmarkStart w:id="5" w:name="Title"/>
            <w:bookmarkEnd w:id="5"/>
            <w:r w:rsidRPr="00684459">
              <w:rPr>
                <w:sz w:val="26"/>
              </w:rPr>
              <w:t>Отчет о проделанной работе за 2017 год</w:t>
            </w:r>
          </w:p>
        </w:tc>
      </w:tr>
      <w:tr w:rsidR="00CD34AE" w:rsidRPr="00684459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684459" w:rsidRDefault="00CD34AE" w:rsidP="00CD34AE"/>
        </w:tc>
      </w:tr>
      <w:tr w:rsidR="00CD34AE" w:rsidRPr="00684459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684459" w:rsidRDefault="00CD34AE" w:rsidP="00CD34AE">
            <w:pPr>
              <w:spacing w:before="240"/>
              <w:rPr>
                <w:b/>
                <w:bCs/>
              </w:rPr>
            </w:pPr>
            <w:r w:rsidRPr="00684459">
              <w:rPr>
                <w:b/>
                <w:bCs/>
              </w:rPr>
              <w:t>Резюме</w:t>
            </w:r>
          </w:p>
          <w:p w:rsidR="00CD34AE" w:rsidRPr="00684459" w:rsidRDefault="008842E0" w:rsidP="00CD34AE">
            <w:r w:rsidRPr="00684459">
              <w:t>В отчете о проделанной работе за 2017 год представлено состояние реализации задач, достижения намеченных и конечных результатов, описанных в Оперативном плане МСЭ-D. Особое внимание в отчете обращено на результаты, полученные в ходе выполнения задач, достижения намеченных и конечных результатов в Секторе, а также на показатели деятельности.</w:t>
            </w:r>
          </w:p>
          <w:p w:rsidR="008842E0" w:rsidRPr="00684459" w:rsidRDefault="008842E0" w:rsidP="00CD34AE">
            <w:r w:rsidRPr="00684459">
              <w:t xml:space="preserve">Полный текст отчета размещен на веб-сайте по </w:t>
            </w:r>
            <w:proofErr w:type="gramStart"/>
            <w:r w:rsidRPr="00684459">
              <w:t>адресу:</w:t>
            </w:r>
            <w:r w:rsidRPr="00684459">
              <w:br/>
            </w:r>
            <w:hyperlink r:id="rId9" w:history="1">
              <w:r w:rsidRPr="00684459">
                <w:rPr>
                  <w:rStyle w:val="Hyperlink"/>
                </w:rPr>
                <w:t>https://www.itu.int/en/ITU-D/TIES_Protected/PerfReport2017.pdf</w:t>
              </w:r>
              <w:proofErr w:type="gramEnd"/>
            </w:hyperlink>
            <w:r w:rsidR="000F5BAE" w:rsidRPr="00684459">
              <w:rPr>
                <w:color w:val="000000"/>
              </w:rPr>
              <w:t>.</w:t>
            </w:r>
          </w:p>
          <w:p w:rsidR="00CD34AE" w:rsidRPr="00684459" w:rsidRDefault="00CD34AE" w:rsidP="00CD34AE">
            <w:pPr>
              <w:rPr>
                <w:b/>
                <w:bCs/>
              </w:rPr>
            </w:pPr>
            <w:r w:rsidRPr="00684459">
              <w:rPr>
                <w:b/>
                <w:bCs/>
              </w:rPr>
              <w:t>Необходимые действия</w:t>
            </w:r>
          </w:p>
          <w:p w:rsidR="00CD34AE" w:rsidRPr="00684459" w:rsidRDefault="008842E0" w:rsidP="00CD34AE">
            <w:pPr>
              <w:rPr>
                <w:b/>
                <w:bCs/>
              </w:rPr>
            </w:pPr>
            <w:r w:rsidRPr="00684459">
              <w:rPr>
                <w:color w:val="000000"/>
              </w:rPr>
              <w:t>КГРЭ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684459" w:rsidRDefault="00CD34AE" w:rsidP="00CD34AE">
            <w:pPr>
              <w:rPr>
                <w:b/>
                <w:bCs/>
              </w:rPr>
            </w:pPr>
            <w:r w:rsidRPr="00684459">
              <w:rPr>
                <w:b/>
                <w:bCs/>
              </w:rPr>
              <w:t>Справочные материалы</w:t>
            </w:r>
          </w:p>
          <w:p w:rsidR="00CD34AE" w:rsidRPr="00684459" w:rsidRDefault="00684459" w:rsidP="008842E0">
            <w:pPr>
              <w:spacing w:after="120"/>
              <w:rPr>
                <w:b/>
                <w:bCs/>
              </w:rPr>
            </w:pPr>
            <w:r>
              <w:t>П.</w:t>
            </w:r>
            <w:r w:rsidR="008842E0" w:rsidRPr="00684459">
              <w:t xml:space="preserve"> </w:t>
            </w:r>
            <w:proofErr w:type="spellStart"/>
            <w:r w:rsidR="008842E0" w:rsidRPr="00684459">
              <w:t>215EA</w:t>
            </w:r>
            <w:proofErr w:type="spellEnd"/>
            <w:r w:rsidR="008842E0" w:rsidRPr="00684459">
              <w:t xml:space="preserve"> Конвенции МСЭ</w:t>
            </w:r>
          </w:p>
        </w:tc>
      </w:tr>
    </w:tbl>
    <w:p w:rsidR="006F1491" w:rsidRPr="00684459" w:rsidRDefault="006F1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684459">
        <w:br w:type="page"/>
      </w:r>
    </w:p>
    <w:p w:rsidR="008842E0" w:rsidRPr="00DB284F" w:rsidRDefault="008842E0" w:rsidP="00DB284F">
      <w:pPr>
        <w:pStyle w:val="Headingb"/>
      </w:pPr>
      <w:r w:rsidRPr="00DB284F">
        <w:lastRenderedPageBreak/>
        <w:t>Краткое содержание Отчета о проделанной работе за 201</w:t>
      </w:r>
      <w:r w:rsidR="00843D38" w:rsidRPr="00DB284F">
        <w:t>7</w:t>
      </w:r>
      <w:r w:rsidRPr="00DB284F">
        <w:t xml:space="preserve"> год</w:t>
      </w:r>
    </w:p>
    <w:p w:rsidR="008842E0" w:rsidRPr="00684459" w:rsidRDefault="008842E0" w:rsidP="00BE3359">
      <w:r w:rsidRPr="00684459">
        <w:t>В Отч</w:t>
      </w:r>
      <w:r w:rsidR="00BE3359" w:rsidRPr="00684459">
        <w:t>ете о проделанной работе за 2017</w:t>
      </w:r>
      <w:r w:rsidRPr="00684459">
        <w:t xml:space="preserve"> год проводится сравнение конечных результатов и достижений, ожидаемых и достигнутых результатов, а также приводятся соответствующие показатели деятельности. В нем также содержится оценка угроз и рисков за 201</w:t>
      </w:r>
      <w:r w:rsidR="00BE3359" w:rsidRPr="00684459">
        <w:t>7</w:t>
      </w:r>
      <w:r w:rsidRPr="00684459">
        <w:t xml:space="preserve"> год. Показатели определены для каждой задачи и каждого соответствующего намеченного результата деятельности. Полный текст отчета размещен на веб-сайте по адресу</w:t>
      </w:r>
      <w:r w:rsidR="00843D38" w:rsidRPr="00684459">
        <w:t>:</w:t>
      </w:r>
      <w:r w:rsidRPr="00684459">
        <w:t xml:space="preserve"> </w:t>
      </w:r>
      <w:hyperlink r:id="rId10" w:history="1">
        <w:r w:rsidR="00DB284F" w:rsidRPr="00752573">
          <w:rPr>
            <w:rStyle w:val="Hyperlink"/>
            <w:shd w:val="clear" w:color="auto" w:fill="FFFFFF" w:themeFill="background1"/>
          </w:rPr>
          <w:t>https://www.itu.int/en/ITU</w:t>
        </w:r>
        <w:r w:rsidR="00DB284F" w:rsidRPr="00752573">
          <w:rPr>
            <w:rStyle w:val="Hyperlink"/>
            <w:shd w:val="clear" w:color="auto" w:fill="FFFFFF" w:themeFill="background1"/>
          </w:rPr>
          <w:noBreakHyphen/>
          <w:t>D/TIES_Protected/PerfReport2017.pdf</w:t>
        </w:r>
      </w:hyperlink>
      <w:r w:rsidR="00843D38" w:rsidRPr="00684459">
        <w:t>.</w:t>
      </w:r>
    </w:p>
    <w:p w:rsidR="008842E0" w:rsidRPr="00684459" w:rsidRDefault="008842E0" w:rsidP="00843D38">
      <w:r w:rsidRPr="00684459">
        <w:t>Ниже приводятся основные результаты, достигнутые БРЭ в</w:t>
      </w:r>
      <w:r w:rsidR="000A01AA" w:rsidRPr="00684459">
        <w:t xml:space="preserve"> рамках</w:t>
      </w:r>
      <w:r w:rsidRPr="00684459">
        <w:t xml:space="preserve"> выполнени</w:t>
      </w:r>
      <w:r w:rsidR="000A01AA" w:rsidRPr="00684459">
        <w:t>я</w:t>
      </w:r>
      <w:r w:rsidRPr="00684459">
        <w:t xml:space="preserve"> его задач в течение 201</w:t>
      </w:r>
      <w:r w:rsidR="00843D38" w:rsidRPr="00684459">
        <w:t>7 </w:t>
      </w:r>
      <w:r w:rsidRPr="00684459">
        <w:t>года.</w:t>
      </w:r>
    </w:p>
    <w:p w:rsidR="004954FF" w:rsidRPr="00DB284F" w:rsidRDefault="008842E0" w:rsidP="00DB284F">
      <w:pPr>
        <w:pStyle w:val="Heading1"/>
      </w:pPr>
      <w:r w:rsidRPr="00DB284F">
        <w:t>1</w:t>
      </w:r>
      <w:r w:rsidRPr="00DB284F">
        <w:tab/>
        <w:t xml:space="preserve">Задача 1: </w:t>
      </w:r>
      <w:r w:rsidR="004E462F" w:rsidRPr="00DB284F">
        <w:t>"</w:t>
      </w:r>
      <w:r w:rsidRPr="00DB284F">
        <w:rPr>
          <w:i/>
          <w:iCs/>
        </w:rPr>
        <w:t>Способствовать международному сотрудничеству по вопросам развития электросвязи/ИКТ</w:t>
      </w:r>
      <w:r w:rsidR="004E462F" w:rsidRPr="00DB284F">
        <w:t>"</w:t>
      </w:r>
    </w:p>
    <w:p w:rsidR="00C71A6F" w:rsidRPr="00DB284F" w:rsidRDefault="00BE3359" w:rsidP="00DB284F">
      <w:pPr>
        <w:pStyle w:val="Heading2"/>
      </w:pPr>
      <w:r w:rsidRPr="00DB284F">
        <w:t>1.1</w:t>
      </w:r>
      <w:r w:rsidRPr="00DB284F">
        <w:tab/>
        <w:t>Всемирная конференция по развитию электросвязи (ВКРЭ)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E3359" w:rsidRPr="00684459" w:rsidTr="00BE3359">
        <w:tc>
          <w:tcPr>
            <w:tcW w:w="9634" w:type="dxa"/>
            <w:gridSpan w:val="2"/>
          </w:tcPr>
          <w:p w:rsidR="00BE3359" w:rsidRPr="00684459" w:rsidRDefault="00B611B6" w:rsidP="00684459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Седьмая ВКРЭ</w:t>
            </w:r>
            <w:r w:rsidR="00BE3359" w:rsidRPr="00684459">
              <w:rPr>
                <w:sz w:val="22"/>
                <w:szCs w:val="22"/>
              </w:rPr>
              <w:t xml:space="preserve"> (</w:t>
            </w:r>
            <w:r w:rsidR="008033B9" w:rsidRPr="00684459">
              <w:rPr>
                <w:sz w:val="22"/>
                <w:szCs w:val="22"/>
              </w:rPr>
              <w:t>ВКРЭ</w:t>
            </w:r>
            <w:r w:rsidR="00BE3359" w:rsidRPr="00684459">
              <w:rPr>
                <w:sz w:val="22"/>
                <w:szCs w:val="22"/>
              </w:rPr>
              <w:t xml:space="preserve">-17) </w:t>
            </w:r>
            <w:r w:rsidRPr="00684459">
              <w:rPr>
                <w:sz w:val="22"/>
                <w:szCs w:val="22"/>
              </w:rPr>
              <w:t>МСЭ прошла</w:t>
            </w:r>
            <w:r w:rsidR="00BE3359" w:rsidRPr="00684459">
              <w:rPr>
                <w:sz w:val="22"/>
                <w:szCs w:val="22"/>
              </w:rPr>
              <w:t xml:space="preserve"> </w:t>
            </w:r>
            <w:r w:rsidR="008033B9" w:rsidRPr="00684459">
              <w:rPr>
                <w:sz w:val="22"/>
                <w:szCs w:val="22"/>
              </w:rPr>
              <w:t>с</w:t>
            </w:r>
            <w:r w:rsidR="00BE3359" w:rsidRPr="00684459">
              <w:rPr>
                <w:sz w:val="22"/>
                <w:szCs w:val="22"/>
              </w:rPr>
              <w:t xml:space="preserve"> 9 </w:t>
            </w:r>
            <w:r w:rsidR="008033B9" w:rsidRPr="00684459">
              <w:rPr>
                <w:sz w:val="22"/>
                <w:szCs w:val="22"/>
              </w:rPr>
              <w:t>по</w:t>
            </w:r>
            <w:r w:rsidR="00BE3359" w:rsidRPr="00684459">
              <w:rPr>
                <w:sz w:val="22"/>
                <w:szCs w:val="22"/>
              </w:rPr>
              <w:t xml:space="preserve"> 20 </w:t>
            </w:r>
            <w:r w:rsidR="008033B9" w:rsidRPr="00684459">
              <w:rPr>
                <w:sz w:val="22"/>
                <w:szCs w:val="22"/>
              </w:rPr>
              <w:t>октября</w:t>
            </w:r>
            <w:r w:rsidR="00BE3359" w:rsidRPr="00684459">
              <w:rPr>
                <w:sz w:val="22"/>
                <w:szCs w:val="22"/>
              </w:rPr>
              <w:t xml:space="preserve"> 2017</w:t>
            </w:r>
            <w:r w:rsidR="008033B9" w:rsidRPr="00684459">
              <w:rPr>
                <w:sz w:val="22"/>
                <w:szCs w:val="22"/>
              </w:rPr>
              <w:t xml:space="preserve"> года в Буэнос-Айресе, Аргентина</w:t>
            </w:r>
            <w:r w:rsidR="00BE3359" w:rsidRPr="00684459">
              <w:rPr>
                <w:sz w:val="22"/>
                <w:szCs w:val="22"/>
              </w:rPr>
              <w:t xml:space="preserve"> </w:t>
            </w:r>
            <w:r w:rsidRPr="00684459">
              <w:rPr>
                <w:sz w:val="22"/>
                <w:szCs w:val="22"/>
              </w:rPr>
              <w:t>и была посвящена теме</w:t>
            </w:r>
            <w:r w:rsidR="00BE3359" w:rsidRPr="00684459">
              <w:rPr>
                <w:sz w:val="22"/>
                <w:szCs w:val="22"/>
              </w:rPr>
              <w:t xml:space="preserve"> </w:t>
            </w:r>
            <w:r w:rsidR="004E462F" w:rsidRPr="00684459">
              <w:rPr>
                <w:sz w:val="22"/>
                <w:szCs w:val="22"/>
              </w:rPr>
              <w:t>"</w:t>
            </w:r>
            <w:r w:rsidR="008033B9" w:rsidRPr="00684459">
              <w:rPr>
                <w:sz w:val="22"/>
                <w:szCs w:val="22"/>
              </w:rPr>
              <w:t>Использование ИКТ в интересах достижения целей в области устойчивого развития</w:t>
            </w:r>
            <w:r w:rsidR="004E462F" w:rsidRPr="00684459">
              <w:rPr>
                <w:b/>
                <w:bCs/>
                <w:sz w:val="22"/>
                <w:szCs w:val="22"/>
              </w:rPr>
              <w:t>"</w:t>
            </w:r>
            <w:r w:rsidR="00BE3359" w:rsidRPr="00684459">
              <w:rPr>
                <w:sz w:val="22"/>
                <w:szCs w:val="22"/>
              </w:rPr>
              <w:t xml:space="preserve">. </w:t>
            </w:r>
            <w:r w:rsidR="00CF25CE" w:rsidRPr="00684459">
              <w:rPr>
                <w:sz w:val="22"/>
                <w:szCs w:val="22"/>
              </w:rPr>
              <w:t xml:space="preserve">В ней приняли участие </w:t>
            </w:r>
            <w:r w:rsidR="001A10A3" w:rsidRPr="00684459">
              <w:rPr>
                <w:sz w:val="22"/>
                <w:szCs w:val="22"/>
              </w:rPr>
              <w:t>1368 человек, представлявших 134</w:t>
            </w:r>
            <w:r w:rsidR="00225A94" w:rsidRPr="00684459">
              <w:rPr>
                <w:sz w:val="22"/>
                <w:szCs w:val="22"/>
              </w:rPr>
              <w:t> </w:t>
            </w:r>
            <w:r w:rsidR="001A10A3" w:rsidRPr="00684459">
              <w:rPr>
                <w:sz w:val="22"/>
                <w:szCs w:val="22"/>
              </w:rPr>
              <w:t>Государства-Члена, 62 Члена Сектора МСЭ-D, 10 Академических организаций, наблюдателей, а также Организацию Объединенных Наций и ее специализированные учреждения. Конференция открылась демонстрацией приветственного видеообращения Генерального секретаря Организации Объединенных Наций Антониу Гутерриша. В первые три дня ВКРЭ-17 состоялись четыре пленарных заседания, посвященные сегменту высокого уровня, в течение кото</w:t>
            </w:r>
            <w:r w:rsidR="00DB284F">
              <w:rPr>
                <w:sz w:val="22"/>
                <w:szCs w:val="22"/>
              </w:rPr>
              <w:t>рых к конференции обратились 53 </w:t>
            </w:r>
            <w:r w:rsidR="001A10A3" w:rsidRPr="00684459">
              <w:rPr>
                <w:sz w:val="22"/>
                <w:szCs w:val="22"/>
              </w:rPr>
              <w:t>оратора, в том числе представителем ВОЗ в Буэнос-Айресе был представлен основной доклад д</w:t>
            </w:r>
            <w:r w:rsidR="00684459" w:rsidRPr="00684459">
              <w:rPr>
                <w:sz w:val="22"/>
                <w:szCs w:val="22"/>
              </w:rPr>
              <w:noBreakHyphen/>
            </w:r>
            <w:r w:rsidR="00DB284F">
              <w:rPr>
                <w:sz w:val="22"/>
                <w:szCs w:val="22"/>
              </w:rPr>
              <w:t>ра </w:t>
            </w:r>
            <w:r w:rsidR="001A10A3" w:rsidRPr="00684459">
              <w:rPr>
                <w:sz w:val="22"/>
                <w:szCs w:val="22"/>
              </w:rPr>
              <w:t xml:space="preserve">Тедроса, Генерального директора ВОЗ. В рамках ВКРЭ-17 также прошли сопутствующие мероприятия, посвященные 10 наиболее актуальным темам. Кроме того, были организованы </w:t>
            </w:r>
            <w:r w:rsidR="000F3437" w:rsidRPr="00684459">
              <w:rPr>
                <w:sz w:val="22"/>
                <w:szCs w:val="22"/>
              </w:rPr>
              <w:t>два</w:t>
            </w:r>
            <w:r w:rsidR="001A10A3" w:rsidRPr="00684459">
              <w:rPr>
                <w:sz w:val="22"/>
                <w:szCs w:val="22"/>
              </w:rPr>
              <w:t xml:space="preserve"> круглых стола на уровне министров и одно праздничное мероприятие по случаю 25-й годовщины МСЭ-D. На торжественных мероприятиях присутствовали все бывшие директора Бюро развития электросвязи (БРЭ). В ходе ВКРЭ-17 было определено направление дальн</w:t>
            </w:r>
            <w:r w:rsidR="00684459" w:rsidRPr="00684459">
              <w:rPr>
                <w:sz w:val="22"/>
                <w:szCs w:val="22"/>
              </w:rPr>
              <w:t>ейших действий для МСЭ</w:t>
            </w:r>
            <w:r w:rsidR="00684459" w:rsidRPr="00684459">
              <w:rPr>
                <w:sz w:val="22"/>
                <w:szCs w:val="22"/>
              </w:rPr>
              <w:noBreakHyphen/>
            </w:r>
            <w:r w:rsidR="001A10A3" w:rsidRPr="00684459">
              <w:rPr>
                <w:sz w:val="22"/>
                <w:szCs w:val="22"/>
              </w:rPr>
              <w:t>D и БРЭ на последующий период.</w:t>
            </w:r>
          </w:p>
          <w:p w:rsidR="00BE3359" w:rsidRPr="00684459" w:rsidRDefault="001A10A3" w:rsidP="008033B9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Основными решениями этой конференции стали следующие:</w:t>
            </w:r>
          </w:p>
          <w:p w:rsidR="008033B9" w:rsidRPr="00684459" w:rsidRDefault="00747A38" w:rsidP="0043242C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="008033B9" w:rsidRPr="00684459">
              <w:rPr>
                <w:sz w:val="22"/>
                <w:szCs w:val="22"/>
              </w:rPr>
              <w:tab/>
              <w:t>принят</w:t>
            </w:r>
            <w:r w:rsidR="003B31E6" w:rsidRPr="00684459">
              <w:rPr>
                <w:sz w:val="22"/>
                <w:szCs w:val="22"/>
              </w:rPr>
              <w:t>а</w:t>
            </w:r>
            <w:r w:rsidR="008033B9" w:rsidRPr="00684459">
              <w:rPr>
                <w:sz w:val="22"/>
                <w:szCs w:val="22"/>
              </w:rPr>
              <w:t xml:space="preserve"> Деклараци</w:t>
            </w:r>
            <w:r w:rsidR="003B31E6" w:rsidRPr="00684459">
              <w:rPr>
                <w:sz w:val="22"/>
                <w:szCs w:val="22"/>
              </w:rPr>
              <w:t>я</w:t>
            </w:r>
            <w:r w:rsidR="008033B9" w:rsidRPr="00684459">
              <w:rPr>
                <w:sz w:val="22"/>
                <w:szCs w:val="22"/>
              </w:rPr>
              <w:t xml:space="preserve"> Буэнос-Айреса, в которой изложены главные выводы и приоритеты, установленные </w:t>
            </w:r>
            <w:r w:rsidR="003B31E6" w:rsidRPr="00684459">
              <w:rPr>
                <w:sz w:val="22"/>
                <w:szCs w:val="22"/>
              </w:rPr>
              <w:t>к</w:t>
            </w:r>
            <w:r w:rsidR="008033B9" w:rsidRPr="00684459">
              <w:rPr>
                <w:sz w:val="22"/>
                <w:szCs w:val="22"/>
              </w:rPr>
              <w:t>онференцией, и которая усиливает политическую поддержку миссии и стратегических задач МСЭ в области развития;</w:t>
            </w:r>
          </w:p>
          <w:p w:rsidR="008033B9" w:rsidRPr="00684459" w:rsidRDefault="00747A38" w:rsidP="0043242C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="008033B9" w:rsidRPr="00684459">
              <w:rPr>
                <w:sz w:val="22"/>
                <w:szCs w:val="22"/>
              </w:rPr>
              <w:tab/>
              <w:t>согласова</w:t>
            </w:r>
            <w:r w:rsidR="00E1513F" w:rsidRPr="00684459">
              <w:rPr>
                <w:sz w:val="22"/>
                <w:szCs w:val="22"/>
              </w:rPr>
              <w:t>н</w:t>
            </w:r>
            <w:r w:rsidR="008033B9" w:rsidRPr="00684459">
              <w:rPr>
                <w:sz w:val="22"/>
                <w:szCs w:val="22"/>
              </w:rPr>
              <w:t xml:space="preserve"> вклад МСЭ-D в Стратегический план МСЭ на 2020–2023 годы, который будет рассматриваться на следующей полномочной конференции, проводимой в Дубае, ОАЭ, в</w:t>
            </w:r>
            <w:r w:rsidR="00D67BF2" w:rsidRPr="00684459">
              <w:rPr>
                <w:sz w:val="22"/>
                <w:szCs w:val="22"/>
              </w:rPr>
              <w:t> </w:t>
            </w:r>
            <w:r w:rsidR="008033B9" w:rsidRPr="00684459">
              <w:rPr>
                <w:sz w:val="22"/>
                <w:szCs w:val="22"/>
              </w:rPr>
              <w:t>2018 году;</w:t>
            </w:r>
          </w:p>
          <w:p w:rsidR="008033B9" w:rsidRPr="00684459" w:rsidRDefault="00747A38" w:rsidP="00D67BF2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="008033B9" w:rsidRPr="00684459">
              <w:rPr>
                <w:sz w:val="22"/>
                <w:szCs w:val="22"/>
              </w:rPr>
              <w:tab/>
              <w:t>принят План действий Буэнос-Айреса (ПДБА), в котором работа МСЭ-D согласована со стратегическими задачами МСЭ, с тем чтобы содействовать развивающимся странам в использовании всех преимуществ ИКТ.</w:t>
            </w:r>
          </w:p>
          <w:p w:rsidR="00BE3359" w:rsidRPr="00684459" w:rsidRDefault="009B5175" w:rsidP="0043242C">
            <w:pPr>
              <w:spacing w:before="60" w:after="120"/>
              <w:rPr>
                <w:b/>
                <w:bCs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Кроме того, на ВКРЭ-17 были приняты пять региональных инициатив по каждому</w:t>
            </w:r>
            <w:r w:rsidR="00581B4D" w:rsidRPr="00684459">
              <w:rPr>
                <w:sz w:val="22"/>
                <w:szCs w:val="22"/>
              </w:rPr>
              <w:t xml:space="preserve"> из шести</w:t>
            </w:r>
            <w:r w:rsidRPr="00684459">
              <w:rPr>
                <w:sz w:val="22"/>
                <w:szCs w:val="22"/>
              </w:rPr>
              <w:t xml:space="preserve"> регион</w:t>
            </w:r>
            <w:r w:rsidR="00581B4D" w:rsidRPr="00684459">
              <w:rPr>
                <w:sz w:val="22"/>
                <w:szCs w:val="22"/>
              </w:rPr>
              <w:t>ов</w:t>
            </w:r>
            <w:r w:rsidRPr="00684459">
              <w:rPr>
                <w:sz w:val="22"/>
                <w:szCs w:val="22"/>
              </w:rPr>
              <w:t xml:space="preserve"> развития. Также был утвержден состав Бюро КГРЭ и были назначены Председатель и заместители Председателя КГРЭ. В ходе конференции были утверждены </w:t>
            </w:r>
            <w:r w:rsidR="00581B4D" w:rsidRPr="00684459">
              <w:rPr>
                <w:sz w:val="22"/>
                <w:szCs w:val="22"/>
              </w:rPr>
              <w:t>четыре</w:t>
            </w:r>
            <w:r w:rsidRPr="00684459">
              <w:rPr>
                <w:sz w:val="22"/>
                <w:szCs w:val="22"/>
              </w:rPr>
              <w:t xml:space="preserve"> новых и </w:t>
            </w:r>
            <w:r w:rsidR="00684459" w:rsidRPr="00684459">
              <w:rPr>
                <w:sz w:val="22"/>
                <w:szCs w:val="22"/>
              </w:rPr>
              <w:t>42 </w:t>
            </w:r>
            <w:r w:rsidRPr="00684459">
              <w:rPr>
                <w:sz w:val="22"/>
                <w:szCs w:val="22"/>
              </w:rPr>
              <w:t>пересмотренных Резолюци</w:t>
            </w:r>
            <w:r w:rsidR="00581B4D" w:rsidRPr="00684459">
              <w:rPr>
                <w:sz w:val="22"/>
                <w:szCs w:val="22"/>
              </w:rPr>
              <w:t>и</w:t>
            </w:r>
            <w:r w:rsidR="00305B0C" w:rsidRPr="00684459">
              <w:rPr>
                <w:sz w:val="22"/>
                <w:szCs w:val="22"/>
              </w:rPr>
              <w:t>, а также отменены шесть Резолюций, пять из которых были объединены с уже существующими</w:t>
            </w:r>
            <w:r w:rsidRPr="00684459">
              <w:rPr>
                <w:sz w:val="22"/>
                <w:szCs w:val="22"/>
              </w:rPr>
              <w:t xml:space="preserve">. На ВКРЭ-17 были приняты по </w:t>
            </w:r>
            <w:r w:rsidR="00472DAD" w:rsidRPr="00684459">
              <w:rPr>
                <w:sz w:val="22"/>
                <w:szCs w:val="22"/>
              </w:rPr>
              <w:t>семь</w:t>
            </w:r>
            <w:r w:rsidR="00684459" w:rsidRPr="00684459">
              <w:rPr>
                <w:sz w:val="22"/>
                <w:szCs w:val="22"/>
              </w:rPr>
              <w:t xml:space="preserve"> Вопросов для 1-й и 2</w:t>
            </w:r>
            <w:r w:rsidR="00684459" w:rsidRPr="00684459">
              <w:rPr>
                <w:sz w:val="22"/>
                <w:szCs w:val="22"/>
              </w:rPr>
              <w:noBreakHyphen/>
              <w:t xml:space="preserve">й Исследовательских </w:t>
            </w:r>
            <w:r w:rsidRPr="00684459">
              <w:rPr>
                <w:sz w:val="22"/>
                <w:szCs w:val="22"/>
              </w:rPr>
              <w:t>комиссий. И наконец, в рамках конференции был принят к сведению отчет Комитета по бюджетному контролю (Комитета 2), содержащий информацию о финансовых последствиях реализации региональных инициатив на период 2018–2021 годов.</w:t>
            </w:r>
          </w:p>
        </w:tc>
      </w:tr>
      <w:tr w:rsidR="00BE3359" w:rsidRPr="00684459" w:rsidTr="00BE3359">
        <w:tc>
          <w:tcPr>
            <w:tcW w:w="2689" w:type="dxa"/>
          </w:tcPr>
          <w:p w:rsidR="00BE3359" w:rsidRPr="00684459" w:rsidRDefault="008033B9" w:rsidP="008033B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45" w:type="dxa"/>
          </w:tcPr>
          <w:p w:rsidR="00BE3359" w:rsidRPr="00684459" w:rsidRDefault="008033B9" w:rsidP="008033B9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BE3359" w:rsidRPr="00684459">
              <w:rPr>
                <w:sz w:val="22"/>
                <w:szCs w:val="22"/>
              </w:rPr>
              <w:t xml:space="preserve"> 1, 2, 5, 30, 33, 37, 50, 53, 59, 81, 82</w:t>
            </w:r>
          </w:p>
        </w:tc>
      </w:tr>
      <w:tr w:rsidR="00BE3359" w:rsidRPr="00684459" w:rsidTr="00BE3359">
        <w:trPr>
          <w:trHeight w:val="397"/>
        </w:trPr>
        <w:tc>
          <w:tcPr>
            <w:tcW w:w="2689" w:type="dxa"/>
          </w:tcPr>
          <w:p w:rsidR="00BE3359" w:rsidRPr="00684459" w:rsidRDefault="009B3F0C" w:rsidP="008033B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BE3359" w:rsidRPr="00684459" w:rsidRDefault="008033B9" w:rsidP="008033B9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BE3359" w:rsidRPr="00684459">
              <w:rPr>
                <w:sz w:val="22"/>
                <w:szCs w:val="22"/>
              </w:rPr>
              <w:t xml:space="preserve"> 5, 13</w:t>
            </w:r>
          </w:p>
          <w:p w:rsidR="00BE3359" w:rsidRPr="00684459" w:rsidRDefault="008033B9" w:rsidP="008033B9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BE3359" w:rsidRPr="00684459">
              <w:rPr>
                <w:sz w:val="22"/>
                <w:szCs w:val="22"/>
              </w:rPr>
              <w:t xml:space="preserve"> 25, 71, 72, 77, 111, 131, 133, 135, 139, 140, 151, 154, 165, 167</w:t>
            </w:r>
          </w:p>
        </w:tc>
      </w:tr>
      <w:tr w:rsidR="00BE3359" w:rsidRPr="00684459" w:rsidTr="00BE3359">
        <w:tc>
          <w:tcPr>
            <w:tcW w:w="2689" w:type="dxa"/>
          </w:tcPr>
          <w:p w:rsidR="00BE3359" w:rsidRPr="00684459" w:rsidRDefault="008033B9" w:rsidP="008033B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Совет</w:t>
            </w:r>
          </w:p>
        </w:tc>
        <w:tc>
          <w:tcPr>
            <w:tcW w:w="6945" w:type="dxa"/>
          </w:tcPr>
          <w:p w:rsidR="00BE3359" w:rsidRPr="00684459" w:rsidRDefault="008033B9" w:rsidP="008033B9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BE3359" w:rsidRPr="00684459">
              <w:rPr>
                <w:sz w:val="22"/>
                <w:szCs w:val="22"/>
              </w:rPr>
              <w:t xml:space="preserve"> 1372</w:t>
            </w:r>
          </w:p>
        </w:tc>
      </w:tr>
      <w:tr w:rsidR="00BE3359" w:rsidRPr="00684459" w:rsidTr="00BE3359">
        <w:tc>
          <w:tcPr>
            <w:tcW w:w="2689" w:type="dxa"/>
            <w:shd w:val="clear" w:color="auto" w:fill="auto"/>
          </w:tcPr>
          <w:p w:rsidR="00BE3359" w:rsidRPr="00684459" w:rsidRDefault="008033B9" w:rsidP="008033B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  <w:shd w:val="clear" w:color="auto" w:fill="auto"/>
          </w:tcPr>
          <w:p w:rsidR="00BE3359" w:rsidRPr="00684459" w:rsidRDefault="008033B9" w:rsidP="008033B9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</w:t>
            </w:r>
            <w:r w:rsidR="00BE3359" w:rsidRPr="00684459">
              <w:rPr>
                <w:sz w:val="22"/>
                <w:szCs w:val="22"/>
              </w:rPr>
              <w:t xml:space="preserve"> C1 </w:t>
            </w:r>
            <w:r w:rsidRPr="00684459">
              <w:rPr>
                <w:sz w:val="22"/>
                <w:szCs w:val="22"/>
              </w:rPr>
              <w:t>и</w:t>
            </w:r>
            <w:r w:rsidR="00BE3359" w:rsidRPr="00684459">
              <w:rPr>
                <w:sz w:val="22"/>
                <w:szCs w:val="22"/>
              </w:rPr>
              <w:t xml:space="preserve"> C11</w:t>
            </w:r>
            <w:r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BE3359" w:rsidRPr="00684459" w:rsidTr="00BE3359">
        <w:tc>
          <w:tcPr>
            <w:tcW w:w="2689" w:type="dxa"/>
            <w:shd w:val="clear" w:color="auto" w:fill="auto"/>
          </w:tcPr>
          <w:p w:rsidR="00BE3359" w:rsidRPr="00684459" w:rsidRDefault="00BC6207" w:rsidP="008033B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  <w:shd w:val="clear" w:color="auto" w:fill="auto"/>
          </w:tcPr>
          <w:p w:rsidR="00BE3359" w:rsidRPr="00684459" w:rsidRDefault="00BC6207" w:rsidP="00BC6207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BE3359" w:rsidRPr="00684459">
              <w:rPr>
                <w:sz w:val="22"/>
                <w:szCs w:val="22"/>
              </w:rPr>
              <w:t>: 1, 3, (</w:t>
            </w:r>
            <w:r w:rsidRPr="00684459">
              <w:rPr>
                <w:sz w:val="22"/>
                <w:szCs w:val="22"/>
              </w:rPr>
              <w:t>задача</w:t>
            </w:r>
            <w:r w:rsidR="00BE3359" w:rsidRPr="00684459">
              <w:rPr>
                <w:sz w:val="22"/>
                <w:szCs w:val="22"/>
              </w:rPr>
              <w:t xml:space="preserve"> 3.d), 5, 10, 16 (</w:t>
            </w:r>
            <w:r w:rsidRPr="00684459">
              <w:rPr>
                <w:sz w:val="22"/>
                <w:szCs w:val="22"/>
              </w:rPr>
              <w:t>задачи</w:t>
            </w:r>
            <w:r w:rsidR="00BE3359" w:rsidRPr="00684459">
              <w:rPr>
                <w:sz w:val="22"/>
                <w:szCs w:val="22"/>
              </w:rPr>
              <w:t xml:space="preserve"> 16.5, 16.6, 16.8), 17 (</w:t>
            </w:r>
            <w:r w:rsidRPr="00684459">
              <w:rPr>
                <w:sz w:val="22"/>
                <w:szCs w:val="22"/>
              </w:rPr>
              <w:t>задачи</w:t>
            </w:r>
            <w:r w:rsidR="00BE3359" w:rsidRPr="00684459">
              <w:rPr>
                <w:sz w:val="22"/>
                <w:szCs w:val="22"/>
              </w:rPr>
              <w:t xml:space="preserve"> 17.9, 17.16, 17.17, 17.18, 17.19)</w:t>
            </w:r>
          </w:p>
        </w:tc>
      </w:tr>
    </w:tbl>
    <w:p w:rsidR="00BC6207" w:rsidRPr="00DB284F" w:rsidRDefault="00BC6207" w:rsidP="00DB284F">
      <w:pPr>
        <w:pStyle w:val="Heading2"/>
      </w:pPr>
      <w:r w:rsidRPr="00DB284F">
        <w:t>1.2</w:t>
      </w:r>
      <w:r w:rsidRPr="00DB284F">
        <w:tab/>
        <w:t>Региональные подготовительные собрания (РПС)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0625D" w:rsidRPr="00684459" w:rsidTr="001620C5">
        <w:tc>
          <w:tcPr>
            <w:tcW w:w="9628" w:type="dxa"/>
            <w:gridSpan w:val="2"/>
          </w:tcPr>
          <w:p w:rsidR="0050625D" w:rsidRPr="00684459" w:rsidRDefault="009B5175" w:rsidP="00285A3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Согласно Резолюции 31 (Пересм. Дубай, 2014 г.) ВКРЭ, БРЭ организовало по одному региональному подготовительному собранию (РПС) на каждый регион в рамках подготовки к проведению ВКРЭ-17, каждому из которых предшествовал однодневный региональный форум по вопросам развития (РФР). В 2016 году РПС были организованы в </w:t>
            </w:r>
            <w:proofErr w:type="spellStart"/>
            <w:r w:rsidRPr="00684459">
              <w:rPr>
                <w:sz w:val="22"/>
                <w:szCs w:val="22"/>
              </w:rPr>
              <w:t>Кыргызской</w:t>
            </w:r>
            <w:proofErr w:type="spellEnd"/>
            <w:r w:rsidRPr="00684459">
              <w:rPr>
                <w:sz w:val="22"/>
                <w:szCs w:val="22"/>
              </w:rPr>
              <w:t xml:space="preserve"> Республике для Содружества Независимых Государств (СНГ), в также в Руанде для стран Африки. Остальные РПС были организованы в 2017 году: в Судане для арабских государств, в Парагвае для Северной и Южной Америки, в Индонезии для Азиатско-Тихоокеанского региона и в Литве для Европы.</w:t>
            </w:r>
          </w:p>
          <w:p w:rsidR="0050625D" w:rsidRPr="00684459" w:rsidRDefault="001C696C" w:rsidP="00225A94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Задача всех </w:t>
            </w:r>
            <w:r w:rsidR="00CF25CE" w:rsidRPr="00684459">
              <w:rPr>
                <w:sz w:val="22"/>
                <w:szCs w:val="22"/>
              </w:rPr>
              <w:t xml:space="preserve">шести </w:t>
            </w:r>
            <w:r w:rsidRPr="00684459">
              <w:rPr>
                <w:sz w:val="22"/>
                <w:szCs w:val="22"/>
              </w:rPr>
              <w:t>проведенных</w:t>
            </w:r>
            <w:r w:rsidR="00285A3A" w:rsidRPr="00684459">
              <w:rPr>
                <w:sz w:val="22"/>
                <w:szCs w:val="22"/>
              </w:rPr>
              <w:t xml:space="preserve"> РПС</w:t>
            </w:r>
            <w:r w:rsidRPr="00684459">
              <w:rPr>
                <w:sz w:val="22"/>
                <w:szCs w:val="22"/>
              </w:rPr>
              <w:t xml:space="preserve"> заключалась в определении приоритетов на региональном уровне</w:t>
            </w:r>
            <w:r w:rsidR="00196662" w:rsidRPr="00684459">
              <w:rPr>
                <w:sz w:val="22"/>
                <w:szCs w:val="22"/>
              </w:rPr>
              <w:t xml:space="preserve">, направленных на обеспечение развития электросвязи и информационно-коммуникационных технологий (ИКТ). В ходе этих собраний </w:t>
            </w:r>
            <w:r w:rsidR="00285A3A" w:rsidRPr="00684459">
              <w:rPr>
                <w:sz w:val="22"/>
                <w:szCs w:val="22"/>
              </w:rPr>
              <w:t>были тщательно рассмотрены результаты выполнения Дубайского плана действий после 2014</w:t>
            </w:r>
            <w:r w:rsidR="00225A94" w:rsidRPr="00684459">
              <w:rPr>
                <w:sz w:val="22"/>
                <w:szCs w:val="22"/>
              </w:rPr>
              <w:t> </w:t>
            </w:r>
            <w:r w:rsidR="00285A3A" w:rsidRPr="00684459">
              <w:rPr>
                <w:sz w:val="22"/>
                <w:szCs w:val="22"/>
              </w:rPr>
              <w:t>года, а обсуждения были сосредоточены главным образом на приоритетных вопросах, темах и проблемах, а также на региональных инициативах, которые должны быть включены в План действий Буэнос-Айреса (ПДБА).</w:t>
            </w:r>
            <w:r w:rsidR="00284F50" w:rsidRPr="00684459">
              <w:rPr>
                <w:sz w:val="22"/>
                <w:szCs w:val="22"/>
              </w:rPr>
              <w:t xml:space="preserve"> </w:t>
            </w:r>
            <w:r w:rsidR="00250E1F" w:rsidRPr="00684459">
              <w:rPr>
                <w:sz w:val="22"/>
                <w:szCs w:val="22"/>
              </w:rPr>
              <w:t xml:space="preserve">На всех </w:t>
            </w:r>
            <w:r w:rsidR="00285A3A" w:rsidRPr="00684459">
              <w:rPr>
                <w:sz w:val="22"/>
                <w:szCs w:val="22"/>
              </w:rPr>
              <w:t>РПС</w:t>
            </w:r>
            <w:r w:rsidR="00250E1F" w:rsidRPr="00684459">
              <w:rPr>
                <w:sz w:val="22"/>
                <w:szCs w:val="22"/>
              </w:rPr>
              <w:t xml:space="preserve"> было</w:t>
            </w:r>
            <w:r w:rsidR="00285A3A" w:rsidRPr="00684459">
              <w:rPr>
                <w:sz w:val="22"/>
                <w:szCs w:val="22"/>
              </w:rPr>
              <w:t xml:space="preserve"> призна</w:t>
            </w:r>
            <w:r w:rsidR="00250E1F" w:rsidRPr="00684459">
              <w:rPr>
                <w:sz w:val="22"/>
                <w:szCs w:val="22"/>
              </w:rPr>
              <w:t>но</w:t>
            </w:r>
            <w:r w:rsidR="00285A3A" w:rsidRPr="00684459">
              <w:rPr>
                <w:sz w:val="22"/>
                <w:szCs w:val="22"/>
              </w:rPr>
              <w:t>, что региональные инициативы МСЭ-D являются эффективным механизмом содействия выполнению решений ВВУИО и Повестки дня в области устойчивого развития на период до 2030 года, включая достижение Целей в области устойчивого развития.</w:t>
            </w:r>
          </w:p>
          <w:p w:rsidR="0050625D" w:rsidRPr="00684459" w:rsidRDefault="009B5175" w:rsidP="00285A3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Кроме того, в рамках всех РПС был выработан комплекс предложений по приоритетным для каждого региона вопросам, которые послужили основой при разработке вкладов для ВКРЭ-17.</w:t>
            </w:r>
          </w:p>
          <w:p w:rsidR="0050625D" w:rsidRPr="00684459" w:rsidRDefault="00250E1F" w:rsidP="001620C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ходе</w:t>
            </w:r>
            <w:r w:rsidR="00285A3A" w:rsidRPr="00684459">
              <w:rPr>
                <w:sz w:val="22"/>
                <w:szCs w:val="22"/>
              </w:rPr>
              <w:t xml:space="preserve"> всех шести РПС были представлены</w:t>
            </w:r>
            <w:r w:rsidR="00ED7EC6" w:rsidRPr="00684459">
              <w:rPr>
                <w:sz w:val="22"/>
                <w:szCs w:val="22"/>
              </w:rPr>
              <w:t xml:space="preserve"> и рассмотрены следующие</w:t>
            </w:r>
            <w:r w:rsidR="00285A3A" w:rsidRPr="00684459">
              <w:rPr>
                <w:sz w:val="22"/>
                <w:szCs w:val="22"/>
              </w:rPr>
              <w:t xml:space="preserve"> основные документы</w:t>
            </w:r>
            <w:r w:rsidR="008B5CE7" w:rsidRPr="00684459">
              <w:rPr>
                <w:sz w:val="22"/>
                <w:szCs w:val="22"/>
              </w:rPr>
              <w:t>:</w:t>
            </w:r>
          </w:p>
          <w:p w:rsidR="00285A3A" w:rsidRPr="00684459" w:rsidRDefault="00285A3A" w:rsidP="001620C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Предварительный проект вклада МСЭ-D в Стратегический план МСЭ на 2020–2023 годы;</w:t>
            </w:r>
          </w:p>
          <w:p w:rsidR="00285A3A" w:rsidRPr="00684459" w:rsidRDefault="00285A3A" w:rsidP="00620AC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Предварительный проект Плана действий МСЭ-D;</w:t>
            </w:r>
          </w:p>
          <w:p w:rsidR="00285A3A" w:rsidRPr="00684459" w:rsidRDefault="00285A3A" w:rsidP="00620AC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Предварительный проект Декларации ВКРЭ-17;</w:t>
            </w:r>
          </w:p>
          <w:p w:rsidR="00285A3A" w:rsidRPr="00684459" w:rsidRDefault="00285A3A" w:rsidP="00620AC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Правила процедуры МСЭ-D (Резолюция 1 ВКРЭ);</w:t>
            </w:r>
          </w:p>
          <w:p w:rsidR="0050625D" w:rsidRPr="00684459" w:rsidRDefault="00285A3A" w:rsidP="00620ACE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Отчет об упорядочении Резолюций ВКРЭ.</w:t>
            </w:r>
          </w:p>
          <w:p w:rsidR="0050625D" w:rsidRPr="00684459" w:rsidRDefault="009B5175" w:rsidP="00285A3A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После проведения КГРЭ-17 прошли подготовительные собрания в рамках ВКРЭ-17, которые были организованы следующими региональными группами:</w:t>
            </w:r>
            <w:r w:rsidR="0050625D" w:rsidRPr="00684459">
              <w:rPr>
                <w:sz w:val="22"/>
                <w:szCs w:val="22"/>
              </w:rPr>
              <w:t xml:space="preserve"> </w:t>
            </w:r>
            <w:r w:rsidR="00285A3A" w:rsidRPr="00684459">
              <w:rPr>
                <w:sz w:val="22"/>
                <w:szCs w:val="22"/>
              </w:rPr>
              <w:t>Африканский союз электросвязи</w:t>
            </w:r>
            <w:r w:rsidR="0050625D" w:rsidRPr="00684459">
              <w:rPr>
                <w:sz w:val="22"/>
                <w:szCs w:val="22"/>
              </w:rPr>
              <w:t xml:space="preserve"> (</w:t>
            </w:r>
            <w:r w:rsidR="00285A3A" w:rsidRPr="00684459">
              <w:rPr>
                <w:sz w:val="22"/>
                <w:szCs w:val="22"/>
              </w:rPr>
              <w:t>АСЭ</w:t>
            </w:r>
            <w:r w:rsidR="0050625D" w:rsidRPr="00684459">
              <w:rPr>
                <w:sz w:val="22"/>
                <w:szCs w:val="22"/>
              </w:rPr>
              <w:t xml:space="preserve">), </w:t>
            </w:r>
            <w:r w:rsidR="00285A3A" w:rsidRPr="00684459">
              <w:rPr>
                <w:sz w:val="22"/>
                <w:szCs w:val="22"/>
              </w:rPr>
              <w:t>Межамериканская комиссия по электросвязи (СИТЕЛ)</w:t>
            </w:r>
            <w:r w:rsidR="0050625D" w:rsidRPr="00684459">
              <w:rPr>
                <w:sz w:val="22"/>
                <w:szCs w:val="22"/>
              </w:rPr>
              <w:t xml:space="preserve">, </w:t>
            </w:r>
            <w:r w:rsidR="00285A3A" w:rsidRPr="00684459">
              <w:rPr>
                <w:sz w:val="22"/>
                <w:szCs w:val="22"/>
              </w:rPr>
              <w:t>Лига арабских государств</w:t>
            </w:r>
            <w:r w:rsidR="0050625D" w:rsidRPr="00684459">
              <w:rPr>
                <w:sz w:val="22"/>
                <w:szCs w:val="22"/>
              </w:rPr>
              <w:t xml:space="preserve"> (</w:t>
            </w:r>
            <w:r w:rsidR="00285A3A" w:rsidRPr="00684459">
              <w:rPr>
                <w:sz w:val="22"/>
                <w:szCs w:val="22"/>
              </w:rPr>
              <w:t>ЛАГ</w:t>
            </w:r>
            <w:r w:rsidR="0050625D" w:rsidRPr="00684459">
              <w:rPr>
                <w:sz w:val="22"/>
                <w:szCs w:val="22"/>
              </w:rPr>
              <w:t xml:space="preserve">), </w:t>
            </w:r>
            <w:r w:rsidR="00285A3A" w:rsidRPr="00684459">
              <w:rPr>
                <w:sz w:val="22"/>
                <w:szCs w:val="22"/>
              </w:rPr>
              <w:t>Азиатско-Тихоокеанское сообщество электросвязи (АТСЭ)</w:t>
            </w:r>
            <w:r w:rsidR="0050625D" w:rsidRPr="00684459">
              <w:rPr>
                <w:sz w:val="22"/>
                <w:szCs w:val="22"/>
              </w:rPr>
              <w:t xml:space="preserve">, </w:t>
            </w:r>
            <w:r w:rsidR="00285A3A" w:rsidRPr="00684459">
              <w:rPr>
                <w:sz w:val="22"/>
                <w:szCs w:val="22"/>
              </w:rPr>
              <w:t>Региональное сообщество в области связи (</w:t>
            </w:r>
            <w:proofErr w:type="spellStart"/>
            <w:r w:rsidR="00285A3A" w:rsidRPr="00684459">
              <w:rPr>
                <w:sz w:val="22"/>
                <w:szCs w:val="22"/>
              </w:rPr>
              <w:t>РСС</w:t>
            </w:r>
            <w:proofErr w:type="spellEnd"/>
            <w:r w:rsidR="00285A3A" w:rsidRPr="00684459">
              <w:rPr>
                <w:sz w:val="22"/>
                <w:szCs w:val="22"/>
              </w:rPr>
              <w:t>) и Европейская конференция администраций почт и электросвязи (СЕПТ)</w:t>
            </w:r>
            <w:r w:rsidR="0050625D" w:rsidRPr="00684459">
              <w:rPr>
                <w:sz w:val="22"/>
                <w:szCs w:val="22"/>
              </w:rPr>
              <w:t>.</w:t>
            </w:r>
          </w:p>
        </w:tc>
      </w:tr>
      <w:tr w:rsidR="0050625D" w:rsidRPr="00684459" w:rsidTr="001620C5">
        <w:tc>
          <w:tcPr>
            <w:tcW w:w="2689" w:type="dxa"/>
          </w:tcPr>
          <w:p w:rsidR="0050625D" w:rsidRPr="00684459" w:rsidRDefault="0050625D" w:rsidP="0050625D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ВКРЭ</w:t>
            </w:r>
          </w:p>
        </w:tc>
        <w:tc>
          <w:tcPr>
            <w:tcW w:w="6939" w:type="dxa"/>
          </w:tcPr>
          <w:p w:rsidR="0050625D" w:rsidRPr="00684459" w:rsidRDefault="0050625D" w:rsidP="0050625D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 1, 5, 17, 25, 30, 31, 33, 37, 48, 50, 59, 61, 81</w:t>
            </w:r>
          </w:p>
        </w:tc>
      </w:tr>
      <w:tr w:rsidR="0050625D" w:rsidRPr="00684459" w:rsidTr="001620C5">
        <w:tc>
          <w:tcPr>
            <w:tcW w:w="2689" w:type="dxa"/>
          </w:tcPr>
          <w:p w:rsidR="0050625D" w:rsidRPr="00684459" w:rsidRDefault="009B3F0C" w:rsidP="0050625D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39" w:type="dxa"/>
          </w:tcPr>
          <w:p w:rsidR="0050625D" w:rsidRPr="00684459" w:rsidRDefault="0050625D" w:rsidP="0050625D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 5, 13 ПК</w:t>
            </w:r>
          </w:p>
          <w:p w:rsidR="0050625D" w:rsidRPr="00684459" w:rsidRDefault="0050625D" w:rsidP="0050625D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 25, 71, 111, 135, 140, 165, 167 ПК</w:t>
            </w:r>
          </w:p>
        </w:tc>
      </w:tr>
      <w:tr w:rsidR="0050625D" w:rsidRPr="00684459" w:rsidTr="001620C5">
        <w:tc>
          <w:tcPr>
            <w:tcW w:w="2689" w:type="dxa"/>
          </w:tcPr>
          <w:p w:rsidR="0050625D" w:rsidRPr="00684459" w:rsidRDefault="0050625D" w:rsidP="0050625D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39" w:type="dxa"/>
          </w:tcPr>
          <w:p w:rsidR="0050625D" w:rsidRPr="00684459" w:rsidRDefault="0050625D" w:rsidP="0050625D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C1 и C11 ВВУИО</w:t>
            </w:r>
          </w:p>
        </w:tc>
      </w:tr>
      <w:tr w:rsidR="0050625D" w:rsidRPr="00684459" w:rsidTr="001620C5">
        <w:tc>
          <w:tcPr>
            <w:tcW w:w="2689" w:type="dxa"/>
          </w:tcPr>
          <w:p w:rsidR="0050625D" w:rsidRPr="00684459" w:rsidRDefault="0050625D" w:rsidP="0050625D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Вклад в выполнение задач ЦУР</w:t>
            </w:r>
          </w:p>
        </w:tc>
        <w:tc>
          <w:tcPr>
            <w:tcW w:w="6939" w:type="dxa"/>
          </w:tcPr>
          <w:p w:rsidR="0050625D" w:rsidRPr="00684459" w:rsidRDefault="0050625D" w:rsidP="0050625D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ЦУР: 1, 3, (задача 3.d),</w:t>
            </w:r>
            <w:bookmarkStart w:id="6" w:name="_GoBack"/>
            <w:bookmarkEnd w:id="6"/>
            <w:r w:rsidRPr="00684459">
              <w:rPr>
                <w:sz w:val="22"/>
                <w:szCs w:val="22"/>
              </w:rPr>
              <w:t xml:space="preserve"> 5, 10, 16 (задачи 16.5, 16.6, 16.8), 17 (задачи 17.9, 17.16, 17.17, 17.18, 17.19)</w:t>
            </w:r>
          </w:p>
        </w:tc>
      </w:tr>
    </w:tbl>
    <w:p w:rsidR="00D67BF2" w:rsidRPr="00DB284F" w:rsidRDefault="00D67BF2" w:rsidP="00DB284F">
      <w:pPr>
        <w:pStyle w:val="Heading2"/>
      </w:pPr>
      <w:r w:rsidRPr="00DB284F">
        <w:t>1.3</w:t>
      </w:r>
      <w:r w:rsidRPr="00DB284F">
        <w:tab/>
        <w:t>Консультативная группа по развитию электросвязи (КГРЭ)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67BF2" w:rsidRPr="00684459" w:rsidTr="00D67BF2">
        <w:tc>
          <w:tcPr>
            <w:tcW w:w="9628" w:type="dxa"/>
            <w:gridSpan w:val="2"/>
          </w:tcPr>
          <w:p w:rsidR="00D67BF2" w:rsidRPr="00684459" w:rsidRDefault="00D67BF2" w:rsidP="00185B4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22-е собрание КГРЭ </w:t>
            </w:r>
            <w:r w:rsidR="00185B4A" w:rsidRPr="00684459">
              <w:rPr>
                <w:sz w:val="22"/>
                <w:szCs w:val="22"/>
              </w:rPr>
              <w:t>состоялось</w:t>
            </w:r>
            <w:r w:rsidRPr="00684459">
              <w:rPr>
                <w:sz w:val="22"/>
                <w:szCs w:val="22"/>
              </w:rPr>
              <w:t xml:space="preserve"> с 9 по 12 мая 2017 года в штаб-квартире МСЭ в Женеве. </w:t>
            </w:r>
            <w:r w:rsidR="00024A31" w:rsidRPr="00684459">
              <w:rPr>
                <w:sz w:val="22"/>
                <w:szCs w:val="22"/>
              </w:rPr>
              <w:t>Это было последнее собрание перед проведением ВКРЭ-17. На собрании КГРЭ был рассмотрен широкий спектр вопросов, а именно:</w:t>
            </w:r>
          </w:p>
          <w:p w:rsidR="00D67BF2" w:rsidRPr="00684459" w:rsidRDefault="00851CDC" w:rsidP="00D67BF2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подготовка к ВКРЭ-17, в том числе: i) обновленная информация о состоянии дел по подготовке к проведению конференции; ii) отчет о Координационном собрании региональных подготовительных собраний; iii) структура ВКРЭ-17; iv) вклад МСЭ-D в проект Стратегического плана МСЭ;</w:t>
            </w:r>
            <w:r w:rsidR="00185B4A" w:rsidRPr="00684459">
              <w:rPr>
                <w:sz w:val="22"/>
                <w:szCs w:val="22"/>
              </w:rPr>
              <w:t xml:space="preserve"> </w:t>
            </w:r>
            <w:r w:rsidR="00D67BF2" w:rsidRPr="00684459">
              <w:rPr>
                <w:sz w:val="22"/>
                <w:szCs w:val="22"/>
              </w:rPr>
              <w:t>v</w:t>
            </w:r>
            <w:r w:rsidR="00185B4A" w:rsidRPr="00684459">
              <w:rPr>
                <w:sz w:val="22"/>
                <w:szCs w:val="22"/>
              </w:rPr>
              <w:t>)</w:t>
            </w:r>
            <w:r w:rsidR="00D67BF2" w:rsidRPr="00684459">
              <w:rPr>
                <w:sz w:val="22"/>
                <w:szCs w:val="22"/>
              </w:rPr>
              <w:t xml:space="preserve"> проект Плана действий МСЭ-D; и vi) проект Декларации ВКРЭ-17;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CF25CE" w:rsidRPr="00684459">
              <w:rPr>
                <w:sz w:val="22"/>
                <w:szCs w:val="22"/>
              </w:rPr>
              <w:t>итоги ВАСЭ-16, связанные с работой МСЭ-D</w:t>
            </w:r>
            <w:r w:rsidR="00851CDC" w:rsidRPr="00684459">
              <w:rPr>
                <w:sz w:val="22"/>
                <w:szCs w:val="22"/>
              </w:rPr>
              <w:t>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51CDC" w:rsidRPr="00684459">
              <w:rPr>
                <w:sz w:val="22"/>
                <w:szCs w:val="22"/>
              </w:rPr>
              <w:t>в</w:t>
            </w:r>
            <w:r w:rsidRPr="00684459">
              <w:rPr>
                <w:sz w:val="22"/>
                <w:szCs w:val="22"/>
              </w:rPr>
              <w:t>ыполнение Стратегического плана и Оперативного плана МСЭ-D на 2016 год, включая региональные инициативы</w:t>
            </w:r>
            <w:r w:rsidR="00D67BF2" w:rsidRPr="00684459">
              <w:rPr>
                <w:sz w:val="22"/>
                <w:szCs w:val="22"/>
              </w:rPr>
              <w:t>;</w:t>
            </w:r>
          </w:p>
          <w:p w:rsidR="00D67BF2" w:rsidRPr="00684459" w:rsidRDefault="00863109" w:rsidP="0015620A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E27B92" w:rsidRPr="00684459">
              <w:rPr>
                <w:sz w:val="22"/>
                <w:szCs w:val="22"/>
              </w:rPr>
              <w:t>четырехгодичный скользящий Оперативный план МСЭ-D на 2017–2020 годы, включая отчет о результатах деятельности</w:t>
            </w:r>
            <w:r w:rsidR="00D67BF2" w:rsidRPr="00684459">
              <w:rPr>
                <w:sz w:val="22"/>
                <w:szCs w:val="22"/>
              </w:rPr>
              <w:t xml:space="preserve"> </w:t>
            </w:r>
            <w:bookmarkStart w:id="7" w:name="lt_pId223"/>
            <w:r w:rsidR="00463835" w:rsidRPr="00684459">
              <w:rPr>
                <w:sz w:val="22"/>
                <w:szCs w:val="22"/>
              </w:rPr>
              <w:t>работающей по переписке Г</w:t>
            </w:r>
            <w:r w:rsidR="009661AD" w:rsidRPr="00684459">
              <w:rPr>
                <w:sz w:val="22"/>
                <w:szCs w:val="22"/>
              </w:rPr>
              <w:t>руппы КГРЭ по Стратегическому плану, Оперативному плану и Декларации</w:t>
            </w:r>
            <w:r w:rsidR="0015620A" w:rsidRPr="00684459">
              <w:rPr>
                <w:sz w:val="22"/>
                <w:szCs w:val="22"/>
              </w:rPr>
              <w:t xml:space="preserve"> </w:t>
            </w:r>
            <w:bookmarkEnd w:id="7"/>
            <w:r w:rsidR="0015620A" w:rsidRPr="00684459">
              <w:rPr>
                <w:sz w:val="22"/>
                <w:szCs w:val="22"/>
              </w:rPr>
              <w:t>(</w:t>
            </w:r>
            <w:proofErr w:type="spellStart"/>
            <w:r w:rsidR="0015620A" w:rsidRPr="00684459">
              <w:rPr>
                <w:sz w:val="22"/>
                <w:szCs w:val="22"/>
              </w:rPr>
              <w:t>ГП</w:t>
            </w:r>
            <w:r w:rsidR="0015620A" w:rsidRPr="00684459">
              <w:rPr>
                <w:sz w:val="22"/>
                <w:szCs w:val="22"/>
              </w:rPr>
              <w:noBreakHyphen/>
              <w:t>СПОПД</w:t>
            </w:r>
            <w:proofErr w:type="spellEnd"/>
            <w:r w:rsidR="0015620A" w:rsidRPr="00684459">
              <w:rPr>
                <w:sz w:val="22"/>
                <w:szCs w:val="22"/>
              </w:rPr>
              <w:t>)</w:t>
            </w:r>
            <w:r w:rsidR="00D67BF2" w:rsidRPr="00684459">
              <w:rPr>
                <w:sz w:val="22"/>
                <w:szCs w:val="22"/>
              </w:rPr>
              <w:t>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15620A" w:rsidRPr="00684459">
              <w:rPr>
                <w:sz w:val="22"/>
                <w:szCs w:val="22"/>
              </w:rPr>
              <w:t xml:space="preserve">вклад МСЭ-D в выполнение решений ВВУИО, включая </w:t>
            </w:r>
            <w:r w:rsidR="00AD774C" w:rsidRPr="00684459">
              <w:rPr>
                <w:sz w:val="22"/>
                <w:szCs w:val="22"/>
              </w:rPr>
              <w:t>проводимый Генеральной Ассамбле</w:t>
            </w:r>
            <w:r w:rsidR="00C028DB" w:rsidRPr="00684459">
              <w:rPr>
                <w:sz w:val="22"/>
                <w:szCs w:val="22"/>
              </w:rPr>
              <w:t>ей</w:t>
            </w:r>
            <w:r w:rsidR="00AD774C" w:rsidRPr="00684459">
              <w:rPr>
                <w:sz w:val="22"/>
                <w:szCs w:val="22"/>
              </w:rPr>
              <w:t xml:space="preserve"> Организации Объединенных Наций Общий обзор и цели в области устойчивого развития</w:t>
            </w:r>
            <w:r w:rsidR="00D67BF2" w:rsidRPr="00684459">
              <w:rPr>
                <w:sz w:val="22"/>
                <w:szCs w:val="22"/>
              </w:rPr>
              <w:t>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2338DD" w:rsidRPr="00684459">
              <w:rPr>
                <w:sz w:val="22"/>
                <w:szCs w:val="22"/>
              </w:rPr>
              <w:t xml:space="preserve">методы </w:t>
            </w:r>
            <w:r w:rsidR="00460481" w:rsidRPr="00684459">
              <w:rPr>
                <w:sz w:val="22"/>
                <w:szCs w:val="22"/>
              </w:rPr>
              <w:t xml:space="preserve">работы и Правила процедуры МСЭ-D (Резолюция 1 ВКРЭ), включая отчет работающей по переписке Группы КГРЭ по Правилам процедуры МСЭ D </w:t>
            </w:r>
            <w:r w:rsidR="00D67BF2" w:rsidRPr="00684459">
              <w:rPr>
                <w:sz w:val="22"/>
                <w:szCs w:val="22"/>
              </w:rPr>
              <w:t>(</w:t>
            </w:r>
            <w:proofErr w:type="spellStart"/>
            <w:r w:rsidR="002338DD" w:rsidRPr="00684459">
              <w:rPr>
                <w:sz w:val="22"/>
                <w:szCs w:val="22"/>
              </w:rPr>
              <w:t>ГП-Рез.1</w:t>
            </w:r>
            <w:proofErr w:type="spellEnd"/>
            <w:r w:rsidR="00D67BF2" w:rsidRPr="00684459">
              <w:rPr>
                <w:sz w:val="22"/>
                <w:szCs w:val="22"/>
              </w:rPr>
              <w:t>);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51CDC" w:rsidRPr="00684459">
              <w:rPr>
                <w:sz w:val="22"/>
                <w:szCs w:val="22"/>
              </w:rPr>
              <w:t>у</w:t>
            </w:r>
            <w:r w:rsidR="00460481" w:rsidRPr="00684459">
              <w:rPr>
                <w:sz w:val="22"/>
                <w:szCs w:val="22"/>
              </w:rPr>
              <w:t>порядочение Резолюций ВКРЭ</w:t>
            </w:r>
            <w:r w:rsidR="00D67BF2" w:rsidRPr="00684459">
              <w:rPr>
                <w:sz w:val="22"/>
                <w:szCs w:val="22"/>
              </w:rPr>
              <w:t>;</w:t>
            </w:r>
          </w:p>
          <w:p w:rsidR="009D4F43" w:rsidRPr="00684459" w:rsidRDefault="00863109" w:rsidP="009D4F43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D4F43" w:rsidRPr="00684459">
              <w:rPr>
                <w:sz w:val="22"/>
                <w:szCs w:val="22"/>
              </w:rPr>
              <w:t>празднование 25-й годовщины МСЭ-D;</w:t>
            </w:r>
          </w:p>
          <w:p w:rsidR="00D67BF2" w:rsidRPr="00684459" w:rsidRDefault="009D4F43" w:rsidP="009D4F43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сотрудничество с другими Секторами, в том числе отчет о ходе работы Межсекторальной координационной группы по вопросам, представляющим взаимный интерес;</w:t>
            </w:r>
          </w:p>
          <w:p w:rsidR="00D67BF2" w:rsidRPr="00684459" w:rsidRDefault="00863109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51CDC" w:rsidRPr="00684459">
              <w:rPr>
                <w:sz w:val="22"/>
                <w:szCs w:val="22"/>
              </w:rPr>
              <w:t>в</w:t>
            </w:r>
            <w:r w:rsidR="0015620A" w:rsidRPr="00684459">
              <w:rPr>
                <w:sz w:val="22"/>
                <w:szCs w:val="22"/>
              </w:rPr>
              <w:t>опросы, касающиеся исследовательских комиссий МСЭ-D</w:t>
            </w:r>
            <w:r w:rsidR="00D67BF2" w:rsidRPr="00684459">
              <w:rPr>
                <w:sz w:val="22"/>
                <w:szCs w:val="22"/>
              </w:rPr>
              <w:t>;</w:t>
            </w:r>
          </w:p>
          <w:p w:rsidR="00D67BF2" w:rsidRPr="00684459" w:rsidRDefault="00863109" w:rsidP="00602089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0928F5" w:rsidRPr="00684459">
              <w:rPr>
                <w:sz w:val="22"/>
                <w:szCs w:val="22"/>
              </w:rPr>
              <w:t xml:space="preserve">вопросы, относящиеся к </w:t>
            </w:r>
            <w:r w:rsidR="00851CDC" w:rsidRPr="00684459">
              <w:rPr>
                <w:sz w:val="22"/>
                <w:szCs w:val="22"/>
              </w:rPr>
              <w:t>ч</w:t>
            </w:r>
            <w:r w:rsidR="0015620A" w:rsidRPr="00684459">
              <w:rPr>
                <w:sz w:val="22"/>
                <w:szCs w:val="22"/>
              </w:rPr>
              <w:t>ленск</w:t>
            </w:r>
            <w:r w:rsidR="000928F5" w:rsidRPr="00684459">
              <w:rPr>
                <w:sz w:val="22"/>
                <w:szCs w:val="22"/>
              </w:rPr>
              <w:t>ому</w:t>
            </w:r>
            <w:r w:rsidR="0015620A" w:rsidRPr="00684459">
              <w:rPr>
                <w:sz w:val="22"/>
                <w:szCs w:val="22"/>
              </w:rPr>
              <w:t xml:space="preserve"> состав</w:t>
            </w:r>
            <w:r w:rsidR="000928F5" w:rsidRPr="00684459">
              <w:rPr>
                <w:sz w:val="22"/>
                <w:szCs w:val="22"/>
              </w:rPr>
              <w:t>у</w:t>
            </w:r>
            <w:r w:rsidR="0015620A" w:rsidRPr="00684459">
              <w:rPr>
                <w:sz w:val="22"/>
                <w:szCs w:val="22"/>
              </w:rPr>
              <w:t>, партнерски</w:t>
            </w:r>
            <w:r w:rsidR="000928F5" w:rsidRPr="00684459">
              <w:rPr>
                <w:sz w:val="22"/>
                <w:szCs w:val="22"/>
              </w:rPr>
              <w:t>м</w:t>
            </w:r>
            <w:r w:rsidR="0015620A" w:rsidRPr="00684459">
              <w:rPr>
                <w:sz w:val="22"/>
                <w:szCs w:val="22"/>
              </w:rPr>
              <w:t xml:space="preserve"> отношения</w:t>
            </w:r>
            <w:r w:rsidR="000928F5" w:rsidRPr="00684459">
              <w:rPr>
                <w:sz w:val="22"/>
                <w:szCs w:val="22"/>
              </w:rPr>
              <w:t>м</w:t>
            </w:r>
            <w:r w:rsidR="0015620A" w:rsidRPr="00684459">
              <w:rPr>
                <w:sz w:val="22"/>
                <w:szCs w:val="22"/>
              </w:rPr>
              <w:t xml:space="preserve"> и инновациям</w:t>
            </w:r>
            <w:r w:rsidR="00D67BF2" w:rsidRPr="00684459">
              <w:rPr>
                <w:sz w:val="22"/>
                <w:szCs w:val="22"/>
              </w:rPr>
              <w:t>.</w:t>
            </w:r>
          </w:p>
          <w:p w:rsidR="00D67BF2" w:rsidRPr="00684459" w:rsidRDefault="00F8187C" w:rsidP="00863109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На неделе проведения собрания </w:t>
            </w:r>
            <w:proofErr w:type="spellStart"/>
            <w:r w:rsidRPr="00684459">
              <w:rPr>
                <w:sz w:val="22"/>
                <w:szCs w:val="22"/>
              </w:rPr>
              <w:t>КРГЭ</w:t>
            </w:r>
            <w:proofErr w:type="spellEnd"/>
            <w:r w:rsidRPr="00684459">
              <w:rPr>
                <w:sz w:val="22"/>
                <w:szCs w:val="22"/>
              </w:rPr>
              <w:t xml:space="preserve"> состоялись следующие собрания:</w:t>
            </w:r>
          </w:p>
          <w:p w:rsidR="00D67BF2" w:rsidRPr="00684459" w:rsidRDefault="00863109" w:rsidP="00C1061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D4F43" w:rsidRPr="00684459">
              <w:rPr>
                <w:sz w:val="22"/>
                <w:szCs w:val="22"/>
              </w:rPr>
              <w:t>р</w:t>
            </w:r>
            <w:r w:rsidR="002F32E4" w:rsidRPr="00684459">
              <w:rPr>
                <w:sz w:val="22"/>
                <w:szCs w:val="22"/>
              </w:rPr>
              <w:t xml:space="preserve">аботающая </w:t>
            </w:r>
            <w:r w:rsidR="0015620A" w:rsidRPr="00684459">
              <w:rPr>
                <w:sz w:val="22"/>
                <w:szCs w:val="22"/>
              </w:rPr>
              <w:t xml:space="preserve">по переписке </w:t>
            </w:r>
            <w:r w:rsidR="009D4F43" w:rsidRPr="00684459">
              <w:rPr>
                <w:sz w:val="22"/>
                <w:szCs w:val="22"/>
              </w:rPr>
              <w:t>Г</w:t>
            </w:r>
            <w:r w:rsidR="0015620A" w:rsidRPr="00684459">
              <w:rPr>
                <w:sz w:val="22"/>
                <w:szCs w:val="22"/>
              </w:rPr>
              <w:t>рупп</w:t>
            </w:r>
            <w:r w:rsidR="002F32E4" w:rsidRPr="00684459">
              <w:rPr>
                <w:sz w:val="22"/>
                <w:szCs w:val="22"/>
              </w:rPr>
              <w:t>а</w:t>
            </w:r>
            <w:r w:rsidR="0015620A" w:rsidRPr="00684459">
              <w:rPr>
                <w:sz w:val="22"/>
                <w:szCs w:val="22"/>
              </w:rPr>
              <w:t xml:space="preserve"> по Правилам процедуры Сектора развития электросвязи МСЭ (МСЭ-D) (Резолюция 1 ВКРЭ) </w:t>
            </w:r>
            <w:r w:rsidR="00D67BF2" w:rsidRPr="00684459">
              <w:rPr>
                <w:sz w:val="22"/>
                <w:szCs w:val="22"/>
              </w:rPr>
              <w:t>(</w:t>
            </w:r>
            <w:proofErr w:type="spellStart"/>
            <w:r w:rsidR="00920DB2" w:rsidRPr="00684459">
              <w:rPr>
                <w:sz w:val="22"/>
                <w:szCs w:val="22"/>
              </w:rPr>
              <w:t>ГП-Рез.1</w:t>
            </w:r>
            <w:proofErr w:type="spellEnd"/>
            <w:r w:rsidR="00D67BF2" w:rsidRPr="00684459">
              <w:rPr>
                <w:sz w:val="22"/>
                <w:szCs w:val="22"/>
              </w:rPr>
              <w:t>);</w:t>
            </w:r>
          </w:p>
          <w:p w:rsidR="00D67BF2" w:rsidRPr="00684459" w:rsidRDefault="00863109" w:rsidP="00C1061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D4F43" w:rsidRPr="00684459">
              <w:rPr>
                <w:sz w:val="22"/>
                <w:szCs w:val="22"/>
              </w:rPr>
              <w:t>р</w:t>
            </w:r>
            <w:r w:rsidR="0015620A" w:rsidRPr="00684459">
              <w:rPr>
                <w:sz w:val="22"/>
                <w:szCs w:val="22"/>
              </w:rPr>
              <w:t xml:space="preserve">аботающая по переписке </w:t>
            </w:r>
            <w:r w:rsidR="009D4F43" w:rsidRPr="00684459">
              <w:rPr>
                <w:sz w:val="22"/>
                <w:szCs w:val="22"/>
              </w:rPr>
              <w:t>Г</w:t>
            </w:r>
            <w:r w:rsidR="0015620A" w:rsidRPr="00684459">
              <w:rPr>
                <w:sz w:val="22"/>
                <w:szCs w:val="22"/>
              </w:rPr>
              <w:t xml:space="preserve">руппа по Стратегическому плану, Оперативному плану и Декларации </w:t>
            </w:r>
            <w:r w:rsidR="00D67BF2" w:rsidRPr="00684459">
              <w:rPr>
                <w:sz w:val="22"/>
                <w:szCs w:val="22"/>
              </w:rPr>
              <w:t>(</w:t>
            </w:r>
            <w:proofErr w:type="spellStart"/>
            <w:r w:rsidR="0015620A" w:rsidRPr="00684459">
              <w:rPr>
                <w:sz w:val="22"/>
                <w:szCs w:val="22"/>
              </w:rPr>
              <w:t>ГП</w:t>
            </w:r>
            <w:r w:rsidR="0015620A" w:rsidRPr="00684459">
              <w:rPr>
                <w:sz w:val="22"/>
                <w:szCs w:val="22"/>
              </w:rPr>
              <w:noBreakHyphen/>
              <w:t>СПОПД</w:t>
            </w:r>
            <w:proofErr w:type="spellEnd"/>
            <w:r w:rsidR="00D67BF2" w:rsidRPr="00684459">
              <w:rPr>
                <w:sz w:val="22"/>
                <w:szCs w:val="22"/>
              </w:rPr>
              <w:t>);</w:t>
            </w:r>
          </w:p>
          <w:p w:rsidR="00D67BF2" w:rsidRPr="00684459" w:rsidRDefault="00863109" w:rsidP="00F940FB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D4F43" w:rsidRPr="00684459">
              <w:rPr>
                <w:sz w:val="22"/>
                <w:szCs w:val="22"/>
              </w:rPr>
              <w:t>р</w:t>
            </w:r>
            <w:r w:rsidR="0015620A" w:rsidRPr="00684459">
              <w:rPr>
                <w:sz w:val="22"/>
                <w:szCs w:val="22"/>
              </w:rPr>
              <w:t>аботающая по переписке Группа по упорядочению Резолюций ВКРЭ</w:t>
            </w:r>
            <w:r w:rsidR="00D67BF2" w:rsidRPr="00684459">
              <w:rPr>
                <w:sz w:val="22"/>
                <w:szCs w:val="22"/>
              </w:rPr>
              <w:t xml:space="preserve"> (</w:t>
            </w:r>
            <w:proofErr w:type="spellStart"/>
            <w:r w:rsidR="00F940FB" w:rsidRPr="00684459">
              <w:rPr>
                <w:sz w:val="22"/>
                <w:szCs w:val="22"/>
              </w:rPr>
              <w:t>ГП</w:t>
            </w:r>
            <w:proofErr w:type="spellEnd"/>
            <w:r w:rsidR="00F940FB" w:rsidRPr="00684459">
              <w:rPr>
                <w:sz w:val="22"/>
                <w:szCs w:val="22"/>
              </w:rPr>
              <w:t>-УР</w:t>
            </w:r>
            <w:r w:rsidR="00D67BF2" w:rsidRPr="00684459">
              <w:rPr>
                <w:sz w:val="22"/>
                <w:szCs w:val="22"/>
              </w:rPr>
              <w:t>);</w:t>
            </w:r>
          </w:p>
          <w:p w:rsidR="00D67BF2" w:rsidRPr="00684459" w:rsidRDefault="00863109" w:rsidP="00C1061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proofErr w:type="spellStart"/>
            <w:r w:rsidR="0015620A" w:rsidRPr="00684459">
              <w:rPr>
                <w:sz w:val="22"/>
                <w:szCs w:val="22"/>
              </w:rPr>
              <w:t>Межсекторальная</w:t>
            </w:r>
            <w:proofErr w:type="spellEnd"/>
            <w:r w:rsidR="0015620A" w:rsidRPr="00684459">
              <w:rPr>
                <w:sz w:val="22"/>
                <w:szCs w:val="22"/>
              </w:rPr>
              <w:t xml:space="preserve"> координационная группа по вопросам, представляющим взаимный интерес</w:t>
            </w:r>
            <w:r w:rsidR="00D67BF2" w:rsidRPr="00684459">
              <w:rPr>
                <w:sz w:val="22"/>
                <w:szCs w:val="22"/>
              </w:rPr>
              <w:t>.</w:t>
            </w:r>
          </w:p>
          <w:p w:rsidR="00F8187C" w:rsidRPr="00684459" w:rsidRDefault="00F8187C" w:rsidP="00F8187C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Ниже представлены некоторые из основных решений собрания КГРЭ:</w:t>
            </w:r>
          </w:p>
          <w:p w:rsidR="00F8187C" w:rsidRPr="00684459" w:rsidRDefault="00F8187C" w:rsidP="00C1061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отношении вклада МСЭ-D в проект Стратегического плана МСЭ КГРЭ привлекла внимание к </w:t>
            </w:r>
            <w:r w:rsidR="00DB284F" w:rsidRPr="00684459">
              <w:rPr>
                <w:sz w:val="22"/>
                <w:szCs w:val="22"/>
              </w:rPr>
              <w:t xml:space="preserve">Документам </w:t>
            </w:r>
            <w:proofErr w:type="spellStart"/>
            <w:r w:rsidRPr="00684459">
              <w:rPr>
                <w:sz w:val="22"/>
                <w:szCs w:val="22"/>
              </w:rPr>
              <w:t>TDAG17</w:t>
            </w:r>
            <w:proofErr w:type="spellEnd"/>
            <w:r w:rsidRPr="00684459">
              <w:rPr>
                <w:sz w:val="22"/>
                <w:szCs w:val="22"/>
              </w:rPr>
              <w:t xml:space="preserve">-22/7, </w:t>
            </w:r>
            <w:proofErr w:type="spellStart"/>
            <w:r w:rsidRPr="00684459">
              <w:rPr>
                <w:sz w:val="22"/>
                <w:szCs w:val="22"/>
              </w:rPr>
              <w:t>TDAG17</w:t>
            </w:r>
            <w:proofErr w:type="spellEnd"/>
            <w:r w:rsidRPr="00684459">
              <w:rPr>
                <w:sz w:val="22"/>
                <w:szCs w:val="22"/>
              </w:rPr>
              <w:t xml:space="preserve">-22/8 и </w:t>
            </w:r>
            <w:proofErr w:type="spellStart"/>
            <w:r w:rsidRPr="00684459">
              <w:rPr>
                <w:sz w:val="22"/>
                <w:szCs w:val="22"/>
              </w:rPr>
              <w:t>TDAG17</w:t>
            </w:r>
            <w:proofErr w:type="spellEnd"/>
            <w:r w:rsidRPr="00684459">
              <w:rPr>
                <w:sz w:val="22"/>
                <w:szCs w:val="22"/>
              </w:rPr>
              <w:t>-22/9, содержащим общий обзор решений РПС и вкладов для КГРЭ-17, и предложила членам использовать эти документы при подготовке к ВКРЭ-17;</w:t>
            </w:r>
          </w:p>
          <w:p w:rsidR="00F8187C" w:rsidRPr="00684459" w:rsidRDefault="00F8187C" w:rsidP="00C1061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отношении </w:t>
            </w:r>
            <w:r w:rsidR="00225A94" w:rsidRPr="00684459">
              <w:rPr>
                <w:sz w:val="22"/>
                <w:szCs w:val="22"/>
              </w:rPr>
              <w:t xml:space="preserve">методов </w:t>
            </w:r>
            <w:r w:rsidRPr="00684459">
              <w:rPr>
                <w:sz w:val="22"/>
                <w:szCs w:val="22"/>
              </w:rPr>
              <w:t xml:space="preserve">работы и Правил процедуры МСЭ-D (Резолюция 1 ВКРЭ) КГРЭ рекомендовала членам использовать сводный </w:t>
            </w:r>
            <w:r w:rsidR="00DB284F" w:rsidRPr="00684459">
              <w:rPr>
                <w:sz w:val="22"/>
                <w:szCs w:val="22"/>
              </w:rPr>
              <w:t xml:space="preserve">Документ </w:t>
            </w:r>
            <w:proofErr w:type="spellStart"/>
            <w:r w:rsidRPr="00684459">
              <w:rPr>
                <w:sz w:val="22"/>
                <w:szCs w:val="22"/>
              </w:rPr>
              <w:t>TDAG17</w:t>
            </w:r>
            <w:proofErr w:type="spellEnd"/>
            <w:r w:rsidRPr="00684459">
              <w:rPr>
                <w:sz w:val="22"/>
                <w:szCs w:val="22"/>
              </w:rPr>
              <w:t>-22/10 при подготовке к ВКРЭ;</w:t>
            </w:r>
          </w:p>
          <w:p w:rsidR="00D67BF2" w:rsidRPr="00684459" w:rsidRDefault="00F8187C" w:rsidP="00C1061E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>−</w:t>
            </w:r>
            <w:r w:rsidRPr="00684459">
              <w:rPr>
                <w:sz w:val="22"/>
                <w:szCs w:val="22"/>
              </w:rPr>
              <w:tab/>
              <w:t xml:space="preserve">в отношении упорядочения Резолюций ВКРЭ КГРЭ поддержала отчет </w:t>
            </w:r>
            <w:proofErr w:type="spellStart"/>
            <w:r w:rsidRPr="00684459">
              <w:rPr>
                <w:sz w:val="22"/>
                <w:szCs w:val="22"/>
              </w:rPr>
              <w:t>ГП</w:t>
            </w:r>
            <w:proofErr w:type="spellEnd"/>
            <w:r w:rsidRPr="00684459">
              <w:rPr>
                <w:sz w:val="22"/>
                <w:szCs w:val="22"/>
              </w:rPr>
              <w:t>-УР и высоко оценила предложение сократить количество исследуемых Вопросов, а также усилия по исключению дублирования.</w:t>
            </w:r>
          </w:p>
        </w:tc>
      </w:tr>
      <w:tr w:rsidR="00D67BF2" w:rsidRPr="00684459" w:rsidTr="00D67BF2">
        <w:tc>
          <w:tcPr>
            <w:tcW w:w="2689" w:type="dxa"/>
          </w:tcPr>
          <w:p w:rsidR="00D67BF2" w:rsidRPr="00684459" w:rsidRDefault="00D67BF2" w:rsidP="00D67BF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39" w:type="dxa"/>
          </w:tcPr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 1, 5, 17, 24, 30, 33, 37, 50, 59, 61, 81</w:t>
            </w:r>
          </w:p>
        </w:tc>
      </w:tr>
      <w:tr w:rsidR="00D67BF2" w:rsidRPr="00684459" w:rsidTr="00D67BF2">
        <w:tc>
          <w:tcPr>
            <w:tcW w:w="2689" w:type="dxa"/>
          </w:tcPr>
          <w:p w:rsidR="00D67BF2" w:rsidRPr="00684459" w:rsidRDefault="009B3F0C" w:rsidP="00D67BF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39" w:type="dxa"/>
          </w:tcPr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 5, 13 ПК</w:t>
            </w:r>
          </w:p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 25, 71, 111, 135, 140, 151, 154, 165, 166, 167 ПК</w:t>
            </w:r>
          </w:p>
        </w:tc>
      </w:tr>
      <w:tr w:rsidR="00D67BF2" w:rsidRPr="00684459" w:rsidTr="00D67BF2">
        <w:tc>
          <w:tcPr>
            <w:tcW w:w="2689" w:type="dxa"/>
          </w:tcPr>
          <w:p w:rsidR="00D67BF2" w:rsidRPr="00684459" w:rsidRDefault="00D67BF2" w:rsidP="00D67BF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Совет</w:t>
            </w:r>
          </w:p>
        </w:tc>
        <w:tc>
          <w:tcPr>
            <w:tcW w:w="6939" w:type="dxa"/>
          </w:tcPr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 1372</w:t>
            </w:r>
          </w:p>
        </w:tc>
      </w:tr>
      <w:tr w:rsidR="00D67BF2" w:rsidRPr="00684459" w:rsidTr="00D67BF2">
        <w:tc>
          <w:tcPr>
            <w:tcW w:w="2689" w:type="dxa"/>
          </w:tcPr>
          <w:p w:rsidR="00D67BF2" w:rsidRPr="00684459" w:rsidRDefault="00D67BF2" w:rsidP="00D67BF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39" w:type="dxa"/>
          </w:tcPr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C1 и C11 ВВУИО</w:t>
            </w:r>
          </w:p>
        </w:tc>
      </w:tr>
      <w:tr w:rsidR="00D67BF2" w:rsidRPr="00684459" w:rsidTr="00D67BF2">
        <w:tc>
          <w:tcPr>
            <w:tcW w:w="2689" w:type="dxa"/>
          </w:tcPr>
          <w:p w:rsidR="00D67BF2" w:rsidRPr="00684459" w:rsidRDefault="00D67BF2" w:rsidP="00D67BF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39" w:type="dxa"/>
          </w:tcPr>
          <w:p w:rsidR="00D67BF2" w:rsidRPr="00684459" w:rsidRDefault="00D67BF2" w:rsidP="00D67BF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ЦУР: 1, 3, (задача 3.d), 5, 10, 16 (задачи 16.5, 16.6, 16.8), 17 (задачи 17.9, 17.16, 17.17, 17.18, 17.19)</w:t>
            </w:r>
            <w:r w:rsidRPr="006844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0481" w:rsidRPr="00DB284F" w:rsidRDefault="00460481" w:rsidP="00DB284F">
      <w:pPr>
        <w:pStyle w:val="Heading2"/>
      </w:pPr>
      <w:r w:rsidRPr="00DB284F">
        <w:t>1.4</w:t>
      </w:r>
      <w:r w:rsidRPr="00DB284F">
        <w:tab/>
        <w:t>Исследовательские комиссии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60481" w:rsidRPr="00684459" w:rsidTr="00460481">
        <w:tc>
          <w:tcPr>
            <w:tcW w:w="9628" w:type="dxa"/>
            <w:gridSpan w:val="2"/>
          </w:tcPr>
          <w:p w:rsidR="00460481" w:rsidRPr="00684459" w:rsidRDefault="00DA2991" w:rsidP="001804CC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январе 2017 года исследовательские комиссии МСЭ-D провели третью серию собраний групп Докладчиков в исследовательском периоде 2014–2017 годов. Группы Докладчиков 1</w:t>
            </w:r>
            <w:r w:rsidR="00DB284F">
              <w:rPr>
                <w:sz w:val="22"/>
                <w:szCs w:val="22"/>
              </w:rPr>
              <w:noBreakHyphen/>
            </w:r>
            <w:r w:rsidRPr="00684459">
              <w:rPr>
                <w:sz w:val="22"/>
                <w:szCs w:val="22"/>
              </w:rPr>
              <w:t>й</w:t>
            </w:r>
            <w:r w:rsidR="00DB284F">
              <w:rPr>
                <w:sz w:val="22"/>
                <w:szCs w:val="22"/>
              </w:rPr>
              <w:t> </w:t>
            </w:r>
            <w:r w:rsidRPr="00684459">
              <w:rPr>
                <w:sz w:val="22"/>
                <w:szCs w:val="22"/>
              </w:rPr>
              <w:t xml:space="preserve">Исследовательской комиссии, в том числе Объединенная группа МСЭ-D/МСЭ-R по Резолюции 9 ВКРЭ, провели свои собрания с 9 по 18 января 2017 года в Женеве, и после них, с 18 по 27 января 2017 года, были проведены собрания групп Докладчиков 2-й Исследовательской комиссии. Собрания групп Докладчиков стали важной вехой на пути к достижению ожидаемых результатов работы по всем исследовательским Вопросам в данном исследовательском периоде. Достигнут значительный прогресс в отношении ожидаемых результатов, и группы также провели мозговой штурм, определяя возможные будущие направления и связанные с ними виды деятельности по своим конкретным исследовательским Вопросам. </w:t>
            </w:r>
            <w:r w:rsidR="00AA3851" w:rsidRPr="00684459">
              <w:rPr>
                <w:sz w:val="22"/>
                <w:szCs w:val="22"/>
              </w:rPr>
              <w:t>Такой обмен мнениями о потенциальном будущем исследуемых Вопросов был полезен, так как он позволил членам обсудить и разработать предложения по тем же вопросам, которые рассматривались в ходе РПС и ВКРЭ-17.</w:t>
            </w:r>
          </w:p>
          <w:p w:rsidR="00460481" w:rsidRPr="00684459" w:rsidRDefault="00F7051D" w:rsidP="00A3217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DA2991" w:rsidRPr="00684459">
              <w:rPr>
                <w:sz w:val="22"/>
                <w:szCs w:val="22"/>
              </w:rPr>
              <w:t xml:space="preserve">Параллельно с собранием Группы Докладчика по Вопросу 3/2 (Кибербезопасность) 26 января 2017 года была проведен открытый семинар-практикум по теме "Практические аспекты обеспечения кибербезопасности и оценки рисков". Присутствовавшие эксперты провели обмен знаниями и опытом в практической оценке </w:t>
            </w:r>
            <w:proofErr w:type="spellStart"/>
            <w:r w:rsidR="00DA2991" w:rsidRPr="00684459">
              <w:rPr>
                <w:sz w:val="22"/>
                <w:szCs w:val="22"/>
              </w:rPr>
              <w:t>киберрисков</w:t>
            </w:r>
            <w:proofErr w:type="spellEnd"/>
            <w:r w:rsidR="00DA2991" w:rsidRPr="00684459">
              <w:rPr>
                <w:sz w:val="22"/>
                <w:szCs w:val="22"/>
              </w:rPr>
              <w:t xml:space="preserve"> на национальном уровне, в крупных организациях, а также в важнейших секторах инфраструктуры. На семинаре также обсуждались риски в рамках цепочек поставок и роль стандартов в управлении </w:t>
            </w:r>
            <w:proofErr w:type="spellStart"/>
            <w:r w:rsidR="00DA2991" w:rsidRPr="00684459">
              <w:rPr>
                <w:sz w:val="22"/>
                <w:szCs w:val="22"/>
              </w:rPr>
              <w:t>киберрисками</w:t>
            </w:r>
            <w:proofErr w:type="spellEnd"/>
            <w:r w:rsidR="00DA2991" w:rsidRPr="00684459">
              <w:rPr>
                <w:sz w:val="22"/>
                <w:szCs w:val="22"/>
              </w:rPr>
              <w:t xml:space="preserve"> в организациях.</w:t>
            </w:r>
          </w:p>
          <w:p w:rsidR="00460481" w:rsidRPr="00684459" w:rsidRDefault="00F7051D" w:rsidP="00F940FB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Заключительные собрания 1-й и 2-й </w:t>
            </w:r>
            <w:r w:rsidR="002528A9" w:rsidRPr="00684459">
              <w:rPr>
                <w:sz w:val="22"/>
                <w:szCs w:val="22"/>
              </w:rPr>
              <w:t xml:space="preserve">Исследовательских </w:t>
            </w:r>
            <w:r w:rsidRPr="00684459">
              <w:rPr>
                <w:sz w:val="22"/>
                <w:szCs w:val="22"/>
              </w:rPr>
              <w:t xml:space="preserve">комиссий </w:t>
            </w:r>
            <w:r w:rsidR="00225A94" w:rsidRPr="00684459">
              <w:rPr>
                <w:sz w:val="22"/>
                <w:szCs w:val="22"/>
              </w:rPr>
              <w:t xml:space="preserve">МСЭ-D </w:t>
            </w:r>
            <w:r w:rsidRPr="00684459">
              <w:rPr>
                <w:sz w:val="22"/>
                <w:szCs w:val="22"/>
              </w:rPr>
              <w:t>в исследовательском цикле 2014−2017 годов были проведены с 27 по 31 марта и с 3</w:t>
            </w:r>
            <w:r w:rsidR="00225A94" w:rsidRPr="00684459">
              <w:rPr>
                <w:sz w:val="22"/>
                <w:szCs w:val="22"/>
              </w:rPr>
              <w:t> </w:t>
            </w:r>
            <w:r w:rsidR="00DB284F">
              <w:rPr>
                <w:sz w:val="22"/>
                <w:szCs w:val="22"/>
              </w:rPr>
              <w:t>по 7 </w:t>
            </w:r>
            <w:r w:rsidRPr="00684459">
              <w:rPr>
                <w:sz w:val="22"/>
                <w:szCs w:val="22"/>
              </w:rPr>
              <w:t>апреля 2017 года, соответственно</w:t>
            </w:r>
            <w:r w:rsidR="00460481" w:rsidRPr="00684459">
              <w:rPr>
                <w:sz w:val="22"/>
                <w:szCs w:val="22"/>
              </w:rPr>
              <w:t xml:space="preserve">. </w:t>
            </w:r>
            <w:r w:rsidRPr="00684459">
              <w:rPr>
                <w:sz w:val="22"/>
                <w:szCs w:val="22"/>
              </w:rPr>
              <w:t xml:space="preserve">На собраниях </w:t>
            </w:r>
            <w:proofErr w:type="spellStart"/>
            <w:r w:rsidR="00225A94" w:rsidRPr="00684459">
              <w:rPr>
                <w:sz w:val="22"/>
                <w:szCs w:val="22"/>
              </w:rPr>
              <w:t>ИК</w:t>
            </w:r>
            <w:r w:rsidRPr="00684459">
              <w:rPr>
                <w:sz w:val="22"/>
                <w:szCs w:val="22"/>
              </w:rPr>
              <w:t>1</w:t>
            </w:r>
            <w:proofErr w:type="spellEnd"/>
            <w:r w:rsidR="00225A94" w:rsidRPr="00684459">
              <w:rPr>
                <w:sz w:val="22"/>
                <w:szCs w:val="22"/>
              </w:rPr>
              <w:t xml:space="preserve"> и ИК</w:t>
            </w:r>
            <w:r w:rsidRPr="00684459">
              <w:rPr>
                <w:sz w:val="22"/>
                <w:szCs w:val="22"/>
              </w:rPr>
              <w:t>2 были согласованы заключительны</w:t>
            </w:r>
            <w:r w:rsidR="00225A94" w:rsidRPr="00684459">
              <w:rPr>
                <w:sz w:val="22"/>
                <w:szCs w:val="22"/>
              </w:rPr>
              <w:t>е</w:t>
            </w:r>
            <w:r w:rsidRPr="00684459">
              <w:rPr>
                <w:sz w:val="22"/>
                <w:szCs w:val="22"/>
              </w:rPr>
              <w:t xml:space="preserve"> отчет</w:t>
            </w:r>
            <w:r w:rsidR="00225A94" w:rsidRPr="00684459">
              <w:rPr>
                <w:sz w:val="22"/>
                <w:szCs w:val="22"/>
              </w:rPr>
              <w:t>ы</w:t>
            </w:r>
            <w:r w:rsidRPr="00684459">
              <w:rPr>
                <w:sz w:val="22"/>
                <w:szCs w:val="22"/>
              </w:rPr>
              <w:t>, содержащи</w:t>
            </w:r>
            <w:r w:rsidR="00225A94" w:rsidRPr="00684459">
              <w:rPr>
                <w:sz w:val="22"/>
                <w:szCs w:val="22"/>
              </w:rPr>
              <w:t xml:space="preserve">е </w:t>
            </w:r>
            <w:r w:rsidRPr="00684459">
              <w:rPr>
                <w:sz w:val="22"/>
                <w:szCs w:val="22"/>
              </w:rPr>
              <w:t>ожидаемые результаты, определенные ВКРЭ</w:t>
            </w:r>
            <w:r w:rsidR="00F940FB" w:rsidRPr="00684459">
              <w:rPr>
                <w:sz w:val="22"/>
                <w:szCs w:val="22"/>
              </w:rPr>
              <w:t>-</w:t>
            </w:r>
            <w:r w:rsidRPr="00684459">
              <w:rPr>
                <w:sz w:val="22"/>
                <w:szCs w:val="22"/>
              </w:rPr>
              <w:t>14 по всем исследовательским Вопросам обеих комиссий. Комиссии продолжили также обсуждение будущего этих Вопросов, что, в свою очередь, способствовало информированию Государств-Членов о подготовке к ВКРЭ 17.</w:t>
            </w:r>
          </w:p>
          <w:p w:rsidR="00460481" w:rsidRPr="00684459" w:rsidRDefault="00F7051D" w:rsidP="00A3217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DC3373" w:rsidRPr="00684459">
              <w:rPr>
                <w:sz w:val="22"/>
                <w:szCs w:val="22"/>
              </w:rPr>
              <w:t xml:space="preserve">Кроме того, были рассмотрены даты проведения собраний </w:t>
            </w:r>
            <w:proofErr w:type="spellStart"/>
            <w:r w:rsidR="00DC3373" w:rsidRPr="00684459">
              <w:rPr>
                <w:sz w:val="22"/>
                <w:szCs w:val="22"/>
              </w:rPr>
              <w:t>ИК1</w:t>
            </w:r>
            <w:proofErr w:type="spellEnd"/>
            <w:r w:rsidR="00DC3373" w:rsidRPr="00684459">
              <w:rPr>
                <w:sz w:val="22"/>
                <w:szCs w:val="22"/>
              </w:rPr>
              <w:t xml:space="preserve"> и ИК2 на следующий исследовательский период (2018–2021 гг.).</w:t>
            </w:r>
          </w:p>
          <w:p w:rsidR="00460481" w:rsidRPr="00684459" w:rsidRDefault="00F7051D" w:rsidP="00A3217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2017 году, в рамках собраний 1-й и 2-й </w:t>
            </w:r>
            <w:r w:rsidR="002528A9" w:rsidRPr="00684459">
              <w:rPr>
                <w:sz w:val="22"/>
                <w:szCs w:val="22"/>
              </w:rPr>
              <w:t xml:space="preserve">Исследовательских </w:t>
            </w:r>
            <w:r w:rsidRPr="00684459">
              <w:rPr>
                <w:sz w:val="22"/>
                <w:szCs w:val="22"/>
              </w:rPr>
              <w:t>комиссий, включая собрания групп Докладчиков, опять была предоставлена возможность спонсирования таких видов деятельности, как например выставки, сопутствующие и культурные мероприятия.</w:t>
            </w:r>
          </w:p>
          <w:p w:rsidR="0093172D" w:rsidRPr="00684459" w:rsidRDefault="00F7051D" w:rsidP="00A3217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3172D" w:rsidRPr="00684459">
              <w:rPr>
                <w:sz w:val="22"/>
                <w:szCs w:val="22"/>
              </w:rPr>
              <w:t>В мае 2017 года к Государствам-Членам был обращен призыв выдвигать кандидатуры на должности председателей и заместителей председателей исследовательских комиссий на следующий исследовательский период (2018–2021 гг.).</w:t>
            </w:r>
          </w:p>
          <w:p w:rsidR="0093172D" w:rsidRPr="00684459" w:rsidRDefault="0093172D" w:rsidP="00A3217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>−</w:t>
            </w:r>
            <w:r w:rsidRPr="00684459">
              <w:rPr>
                <w:sz w:val="22"/>
                <w:szCs w:val="22"/>
              </w:rPr>
              <w:tab/>
              <w:t>Для ВКРЭ-17 было подготовлено в общей сложности 18 публикаций на шести языках, в которых представлены итоги работы и собраны результаты проведенных исследований и обследований, а также отражены вклады, полученные за исследовательский период 2014−2017 годов.</w:t>
            </w:r>
          </w:p>
          <w:p w:rsidR="0093172D" w:rsidRPr="00684459" w:rsidRDefault="0093172D" w:rsidP="00225A94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ходе ВКРЭ-17 была подтверждена роль исследовательских комиссий МСЭ-D в предоставлении членам возможности обмена опытом и взглядами, представления идей и достижения консенсуса по стратегиям для рассмотрения приоритетов в области ИКТ. На конференции также было назначено новое руководство, состоящее из двух председателей и 23 заместителей председателей, представляющих все шесть регионов. Что касается сферы деятельности исследовательских комиссий МСЭ-D на новый цикл 2018–2021 годов в рамках 14</w:t>
            </w:r>
            <w:r w:rsidR="00225A94" w:rsidRPr="00684459">
              <w:rPr>
                <w:sz w:val="22"/>
                <w:szCs w:val="22"/>
              </w:rPr>
              <w:t> </w:t>
            </w:r>
            <w:r w:rsidRPr="00684459">
              <w:rPr>
                <w:sz w:val="22"/>
                <w:szCs w:val="22"/>
              </w:rPr>
              <w:t xml:space="preserve">новых исследуемых Вопросов, </w:t>
            </w:r>
            <w:proofErr w:type="spellStart"/>
            <w:r w:rsidRPr="00684459">
              <w:rPr>
                <w:sz w:val="22"/>
                <w:szCs w:val="22"/>
              </w:rPr>
              <w:t>ИК1</w:t>
            </w:r>
            <w:proofErr w:type="spellEnd"/>
            <w:r w:rsidRPr="00684459">
              <w:rPr>
                <w:sz w:val="22"/>
                <w:szCs w:val="22"/>
              </w:rPr>
              <w:t xml:space="preserve"> МСЭ-D будет и далее фокусироваться на "Благоприятной среде для развития электросвязи/ИКТ", а ИК2 – на "Использовании услуг и приложений ИКТ в целях содействия устойчивому развитию".</w:t>
            </w:r>
          </w:p>
          <w:p w:rsidR="00460481" w:rsidRPr="00684459" w:rsidRDefault="0093172D" w:rsidP="00A3217D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ноябре 2017 года к Государствам-Членам, Членам Сектора, Ассоциативным членам и Академическим организациям был обращен призыв выдвигать кандидатуры на должности Докладчика и заместителей Докладчика по 14 новым исследуемым Вопросам.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39" w:type="dxa"/>
          </w:tcPr>
          <w:p w:rsidR="00460481" w:rsidRPr="00684459" w:rsidRDefault="00EB6CAC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1, 2, 5, 9, 17, 21, 30, 33, 50, 59, 61, 80, 81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МСЭ</w:t>
            </w:r>
            <w:r w:rsidR="00460481" w:rsidRPr="00684459">
              <w:rPr>
                <w:i/>
                <w:iCs/>
                <w:sz w:val="22"/>
                <w:szCs w:val="22"/>
              </w:rPr>
              <w:t>-D</w:t>
            </w:r>
          </w:p>
        </w:tc>
        <w:tc>
          <w:tcPr>
            <w:tcW w:w="6939" w:type="dxa"/>
          </w:tcPr>
          <w:p w:rsidR="00460481" w:rsidRPr="00684459" w:rsidRDefault="00EB6CAC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Рекомендации</w:t>
            </w:r>
            <w:r w:rsidR="00460481" w:rsidRPr="00684459">
              <w:rPr>
                <w:sz w:val="22"/>
                <w:szCs w:val="22"/>
              </w:rPr>
              <w:t xml:space="preserve"> 15, 16, 17, 19, 20, 21, 22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9B3F0C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39" w:type="dxa"/>
          </w:tcPr>
          <w:p w:rsidR="004E462F" w:rsidRPr="00684459" w:rsidRDefault="00EB6CAC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4E462F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4E462F" w:rsidRPr="00684459" w:rsidRDefault="00EB6CAC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E462F" w:rsidRPr="00684459">
              <w:rPr>
                <w:sz w:val="22"/>
                <w:szCs w:val="22"/>
              </w:rPr>
              <w:t xml:space="preserve"> 25, 71, 133, 135, 140, 154, 165, 166, 167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Совет</w:t>
            </w:r>
          </w:p>
        </w:tc>
        <w:tc>
          <w:tcPr>
            <w:tcW w:w="6939" w:type="dxa"/>
          </w:tcPr>
          <w:p w:rsidR="004E462F" w:rsidRPr="00684459" w:rsidRDefault="004E462F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1372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39" w:type="dxa"/>
          </w:tcPr>
          <w:p w:rsidR="00EB6CAC" w:rsidRPr="00684459" w:rsidRDefault="00EB6CAC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C1 и C11 ВВУИО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39" w:type="dxa"/>
          </w:tcPr>
          <w:p w:rsidR="004E462F" w:rsidRPr="00684459" w:rsidRDefault="00EB6CAC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4E462F" w:rsidRPr="00684459">
              <w:rPr>
                <w:sz w:val="22"/>
                <w:szCs w:val="22"/>
              </w:rPr>
              <w:t>: 1 (</w:t>
            </w:r>
            <w:r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1.b), 3 (</w:t>
            </w:r>
            <w:r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3.d), 5, 10, 16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16.5, 16.6, 16.10), 17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17.9, 17.16, 17.17, 17.18)</w:t>
            </w:r>
          </w:p>
        </w:tc>
      </w:tr>
    </w:tbl>
    <w:p w:rsidR="00E21459" w:rsidRPr="00684459" w:rsidRDefault="00E21459" w:rsidP="00DB284F">
      <w:pPr>
        <w:pStyle w:val="Heading1"/>
      </w:pPr>
      <w:r w:rsidRPr="00684459">
        <w:t>2</w:t>
      </w:r>
      <w:r w:rsidRPr="00684459">
        <w:tab/>
        <w:t>Задача 2: "</w:t>
      </w:r>
      <w:r w:rsidRPr="00DB284F">
        <w:rPr>
          <w:i/>
          <w:iCs/>
        </w:rPr>
        <w:t>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</w:t>
      </w:r>
      <w:r w:rsidRPr="00684459">
        <w:t>"</w:t>
      </w:r>
    </w:p>
    <w:p w:rsidR="00E21459" w:rsidRPr="00DB284F" w:rsidRDefault="00E21459" w:rsidP="00DB284F">
      <w:pPr>
        <w:pStyle w:val="Heading2"/>
      </w:pPr>
      <w:r w:rsidRPr="00DB284F">
        <w:t>2.1</w:t>
      </w:r>
      <w:r w:rsidRPr="00DB284F">
        <w:tab/>
        <w:t>Политическая и регуляторная база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60481" w:rsidRPr="00684459" w:rsidTr="004E462F">
        <w:tc>
          <w:tcPr>
            <w:tcW w:w="9628" w:type="dxa"/>
            <w:gridSpan w:val="2"/>
          </w:tcPr>
          <w:p w:rsidR="00460481" w:rsidRPr="00684459" w:rsidRDefault="00BB6431" w:rsidP="00344E56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МСЭ-D </w:t>
            </w:r>
            <w:r w:rsidR="00225A94" w:rsidRPr="00684459">
              <w:rPr>
                <w:sz w:val="22"/>
                <w:szCs w:val="22"/>
              </w:rPr>
              <w:t>продолж</w:t>
            </w:r>
            <w:r w:rsidR="00344E56" w:rsidRPr="00684459">
              <w:rPr>
                <w:sz w:val="22"/>
                <w:szCs w:val="22"/>
              </w:rPr>
              <w:t>и</w:t>
            </w:r>
            <w:r w:rsidR="00225A94" w:rsidRPr="00684459">
              <w:rPr>
                <w:sz w:val="22"/>
                <w:szCs w:val="22"/>
              </w:rPr>
              <w:t xml:space="preserve">л </w:t>
            </w:r>
            <w:r w:rsidRPr="00684459">
              <w:rPr>
                <w:sz w:val="22"/>
                <w:szCs w:val="22"/>
              </w:rPr>
              <w:t>пров</w:t>
            </w:r>
            <w:r w:rsidR="00344E56" w:rsidRPr="00684459">
              <w:rPr>
                <w:sz w:val="22"/>
                <w:szCs w:val="22"/>
              </w:rPr>
              <w:t xml:space="preserve">едение </w:t>
            </w:r>
            <w:r w:rsidRPr="00684459">
              <w:rPr>
                <w:sz w:val="22"/>
                <w:szCs w:val="22"/>
              </w:rPr>
              <w:t>всемирны</w:t>
            </w:r>
            <w:r w:rsidR="00344E56" w:rsidRPr="00684459">
              <w:rPr>
                <w:sz w:val="22"/>
                <w:szCs w:val="22"/>
              </w:rPr>
              <w:t>х</w:t>
            </w:r>
            <w:r w:rsidRPr="00684459">
              <w:rPr>
                <w:sz w:val="22"/>
                <w:szCs w:val="22"/>
              </w:rPr>
              <w:t xml:space="preserve"> и региональны</w:t>
            </w:r>
            <w:r w:rsidR="00344E56" w:rsidRPr="00684459">
              <w:rPr>
                <w:sz w:val="22"/>
                <w:szCs w:val="22"/>
              </w:rPr>
              <w:t>х</w:t>
            </w:r>
            <w:r w:rsidRPr="00684459">
              <w:rPr>
                <w:sz w:val="22"/>
                <w:szCs w:val="22"/>
              </w:rPr>
              <w:t xml:space="preserve"> форум</w:t>
            </w:r>
            <w:r w:rsidR="00344E56" w:rsidRPr="00684459">
              <w:rPr>
                <w:sz w:val="22"/>
                <w:szCs w:val="22"/>
              </w:rPr>
              <w:t>ов</w:t>
            </w:r>
            <w:r w:rsidRPr="00684459">
              <w:rPr>
                <w:sz w:val="22"/>
                <w:szCs w:val="22"/>
              </w:rPr>
              <w:t xml:space="preserve"> для Членов Сектора и других национальных и международных заинтересованных сторон с целью обсуждения глобальных тенденций в отношении регулирования, организовывая Глобальный симпозиум для регуляторных органов (ГСР), а также проводя стратегические диалоги по актуальным политическим, юридическим и регуляторным вопросам, а также экономическим и финансовым вопросам и вопросам развития рынка. ГСР – это ежегодное всемирное мероприятие, ориентированное на регуляторные органы и призванное создать возможности для обмена точками зрения и опытом, по итогам которого принимаются руководящие указания на основе примеров передового опыта. </w:t>
            </w:r>
            <w:r w:rsidR="00581AAD" w:rsidRPr="00684459">
              <w:rPr>
                <w:sz w:val="22"/>
                <w:szCs w:val="22"/>
              </w:rPr>
              <w:t>С 11 по 14 июля в Нассау, Багамские Острова, состоялись 17-й Глобальный симпозиум для регуляторных органов (ГСР-17) и связанные с ним предварительные мероприятия (конференция "Глобальный диалог по охвату цифровыми финансовыми услугами", а также собрание региональных ассоциаций регуляторных органов и собрание старших сотрудников по регулированию из частного сектора).</w:t>
            </w:r>
          </w:p>
          <w:p w:rsidR="000840C5" w:rsidRPr="00684459" w:rsidRDefault="00BB6431" w:rsidP="00344E56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МСЭ-D предостав</w:t>
            </w:r>
            <w:r w:rsidR="00344E56" w:rsidRPr="00684459">
              <w:rPr>
                <w:sz w:val="22"/>
                <w:szCs w:val="22"/>
              </w:rPr>
              <w:t>и</w:t>
            </w:r>
            <w:r w:rsidR="00225A94" w:rsidRPr="00684459">
              <w:rPr>
                <w:sz w:val="22"/>
                <w:szCs w:val="22"/>
              </w:rPr>
              <w:t>л</w:t>
            </w:r>
            <w:r w:rsidRPr="00684459">
              <w:rPr>
                <w:sz w:val="22"/>
                <w:szCs w:val="22"/>
              </w:rPr>
              <w:t xml:space="preserve"> данные, </w:t>
            </w:r>
            <w:proofErr w:type="spellStart"/>
            <w:r w:rsidRPr="00684459">
              <w:rPr>
                <w:sz w:val="22"/>
                <w:szCs w:val="22"/>
              </w:rPr>
              <w:t>исследовательско</w:t>
            </w:r>
            <w:proofErr w:type="spellEnd"/>
            <w:r w:rsidRPr="00684459">
              <w:rPr>
                <w:sz w:val="22"/>
                <w:szCs w:val="22"/>
              </w:rPr>
              <w:t xml:space="preserve">-аналитические материалы и инструменты (отчеты о тенденциях, документы для обсуждения в рамках ГСР, публикации, порталы, базы данных) с целью </w:t>
            </w:r>
            <w:r w:rsidRPr="00684459">
              <w:rPr>
                <w:sz w:val="22"/>
                <w:szCs w:val="22"/>
              </w:rPr>
              <w:lastRenderedPageBreak/>
              <w:t xml:space="preserve">оказания своим членам поддержки при определении, разработке, внедрении и анализе прозрачных, последовательных и перспективных стратегий, политики, нормативно-правовой базы, а также в процессе перехода к принятию решений, основанных на доказательствах. </w:t>
            </w:r>
            <w:r w:rsidR="000840C5" w:rsidRPr="00684459">
              <w:rPr>
                <w:sz w:val="22"/>
                <w:szCs w:val="22"/>
              </w:rPr>
              <w:t xml:space="preserve">В первом квартале 2017 года в свет вышел первый из нового цикла ежегодных отчетов под названием "Глобальные перспективы регулирования в области ИКТ, 2017 год" (ознакомиться с резюме отчета можно по ссылке </w:t>
            </w:r>
            <w:hyperlink r:id="rId11">
              <w:r w:rsidR="000840C5" w:rsidRPr="00684459">
                <w:rPr>
                  <w:rStyle w:val="Hyperlink"/>
                  <w:sz w:val="22"/>
                  <w:szCs w:val="22"/>
                </w:rPr>
                <w:t>http://www.itu.int/en/ITU-D/Regulatory-Market/Pages/Outlook/2017.aspx</w:t>
              </w:r>
            </w:hyperlink>
            <w:r w:rsidR="000840C5" w:rsidRPr="00684459">
              <w:rPr>
                <w:sz w:val="22"/>
                <w:szCs w:val="22"/>
              </w:rPr>
              <w:t>), в котором отслеживаются тенденции рынка и регулирования в секторе ИКТ и их значение для экономики в целом.</w:t>
            </w:r>
          </w:p>
          <w:p w:rsidR="000840C5" w:rsidRPr="00684459" w:rsidRDefault="000840C5" w:rsidP="000840C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Кроме того, МСЭ-D предоставил возможность использовать инструменты и платформы для обмена знаниями ("Око МСЭ", Комплект материалов по регулированию в области ИКТ, центр знаний в области регулирования ИКТ) с целью содействия всеобъемлющему диалогу и расширенному сотрудничеству для оказания странам помощи в создании более открытого информационного общества, а также для повышения осведомленности на государственном и региональном уровне в отношении значимости формирования благоприятной среды. Получить доступ к инструменту отслеживания нормативно-правовой базы в области ИКТ стало проще благодаря запуску нового онлайнового </w:t>
            </w:r>
            <w:proofErr w:type="spellStart"/>
            <w:r w:rsidRPr="00684459">
              <w:rPr>
                <w:sz w:val="22"/>
                <w:szCs w:val="22"/>
              </w:rPr>
              <w:t>микросайта</w:t>
            </w:r>
            <w:proofErr w:type="spellEnd"/>
            <w:r w:rsidRPr="00684459">
              <w:rPr>
                <w:sz w:val="22"/>
                <w:szCs w:val="22"/>
              </w:rPr>
              <w:t>, ознакомиться с которым можно по следующей ссылке: (</w:t>
            </w:r>
            <w:hyperlink r:id="rId12" w:anchor="/tracker-by-country/regulatory-tracker/2015)">
              <w:r w:rsidRPr="00684459">
                <w:rPr>
                  <w:rStyle w:val="Hyperlink"/>
                  <w:sz w:val="22"/>
                  <w:szCs w:val="22"/>
                </w:rPr>
                <w:t>https://www.itu.int/net4/itu-d/irt/#/tracker-by-country/regulatory-tracker/2015)</w:t>
              </w:r>
            </w:hyperlink>
            <w:r w:rsidRPr="00684459">
              <w:rPr>
                <w:sz w:val="22"/>
                <w:szCs w:val="22"/>
              </w:rPr>
              <w:t>.</w:t>
            </w:r>
          </w:p>
          <w:p w:rsidR="000840C5" w:rsidRPr="00684459" w:rsidRDefault="000840C5" w:rsidP="00DB3D1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МСЭ-D продолжил обеспечивать повышение уровня осведомленности и развитие потенциала посредством различных программ подготовки, семинаров-практикумов, семинаров, форумов и конференций, посвященных развитию ИКТ, инфраструктуре широкополосной связи, приложениям и услугам, связи 5G, международному мобильному роумингу (</w:t>
            </w:r>
            <w:proofErr w:type="spellStart"/>
            <w:r w:rsidRPr="00684459">
              <w:rPr>
                <w:sz w:val="22"/>
                <w:szCs w:val="22"/>
              </w:rPr>
              <w:t>ММР</w:t>
            </w:r>
            <w:proofErr w:type="spellEnd"/>
            <w:r w:rsidRPr="00684459">
              <w:rPr>
                <w:sz w:val="22"/>
                <w:szCs w:val="22"/>
              </w:rPr>
              <w:t xml:space="preserve">), моделированию затрат, развитию инфраструктуры, управлению использованием спектра и сопутствующим вопросам, координации спутниковой связи, </w:t>
            </w:r>
            <w:r w:rsidR="00DB3D15" w:rsidRPr="00684459">
              <w:rPr>
                <w:sz w:val="22"/>
                <w:szCs w:val="22"/>
              </w:rPr>
              <w:t>начинающим</w:t>
            </w:r>
            <w:r w:rsidRPr="00684459">
              <w:rPr>
                <w:sz w:val="22"/>
                <w:szCs w:val="22"/>
              </w:rPr>
              <w:t xml:space="preserve"> компаниям в области ИКТ, доступу к интернету, соответствию и функциональной совместимости, ценообразованию, сотрудничеству в области политики и регулирования в отношении цифровых финансовых услуг и охвата цифровыми финансовыми услугами, а также цифровой экономике. Был организован ряд региональных форумов по вопросам экономики и финансов в области ИКТ/электросвязи, ставших платформой для обсуждения экономических и финансовых проблем, влияющих на данный сектор в разных странах, а также рассмотрения возможных путей их решения.</w:t>
            </w:r>
          </w:p>
          <w:p w:rsidR="00460481" w:rsidRPr="00684459" w:rsidRDefault="000840C5" w:rsidP="000840C5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МСЭ-D предоставил многим странам прямую помощь в разработке нормативно-правовой базы, создании независимого органа регулирования, определении стратегий развития широкополосной связи, развитии потенциала для управления использованием спектра, формировании основ защиты потребителей в секторе ИКТ и т. д.</w:t>
            </w:r>
          </w:p>
        </w:tc>
      </w:tr>
      <w:tr w:rsidR="00460481" w:rsidRPr="00684459" w:rsidTr="004E462F">
        <w:tc>
          <w:tcPr>
            <w:tcW w:w="2689" w:type="dxa"/>
          </w:tcPr>
          <w:p w:rsidR="00460481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39" w:type="dxa"/>
          </w:tcPr>
          <w:p w:rsidR="00460481" w:rsidRPr="00684459" w:rsidRDefault="00EB6CAC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1, 9, 17, 21, 23, 30, 32, 43, 48, 62</w:t>
            </w:r>
          </w:p>
        </w:tc>
      </w:tr>
      <w:tr w:rsidR="004E462F" w:rsidRPr="00684459" w:rsidTr="004E462F">
        <w:tc>
          <w:tcPr>
            <w:tcW w:w="2689" w:type="dxa"/>
          </w:tcPr>
          <w:p w:rsidR="004E462F" w:rsidRPr="00684459" w:rsidRDefault="00FC0E32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39" w:type="dxa"/>
          </w:tcPr>
          <w:p w:rsidR="004E462F" w:rsidRPr="00684459" w:rsidRDefault="00EB6CAC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4E462F" w:rsidRPr="00684459">
              <w:rPr>
                <w:sz w:val="22"/>
                <w:szCs w:val="22"/>
              </w:rPr>
              <w:t xml:space="preserve"> 5, 13, </w:t>
            </w:r>
            <w:r w:rsidRPr="00684459">
              <w:rPr>
                <w:sz w:val="22"/>
                <w:szCs w:val="22"/>
              </w:rPr>
              <w:t>ПК</w:t>
            </w:r>
          </w:p>
          <w:p w:rsidR="004E462F" w:rsidRPr="00684459" w:rsidRDefault="00EB6CAC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E462F" w:rsidRPr="00684459">
              <w:rPr>
                <w:sz w:val="22"/>
                <w:szCs w:val="22"/>
              </w:rPr>
              <w:t xml:space="preserve"> 25, 71, 102, 135, 138, 154, 165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E462F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proofErr w:type="spellStart"/>
            <w:r w:rsidRPr="00684459">
              <w:rPr>
                <w:i/>
                <w:iCs/>
                <w:sz w:val="22"/>
                <w:szCs w:val="22"/>
              </w:rPr>
              <w:t>ВКМЭ</w:t>
            </w:r>
            <w:proofErr w:type="spellEnd"/>
          </w:p>
        </w:tc>
        <w:tc>
          <w:tcPr>
            <w:tcW w:w="6939" w:type="dxa"/>
          </w:tcPr>
          <w:p w:rsidR="00460481" w:rsidRPr="00684459" w:rsidRDefault="00EB6CAC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3</w:t>
            </w:r>
          </w:p>
        </w:tc>
      </w:tr>
      <w:tr w:rsidR="004E462F" w:rsidRPr="00684459" w:rsidTr="004E462F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39" w:type="dxa"/>
          </w:tcPr>
          <w:p w:rsidR="004E462F" w:rsidRPr="00684459" w:rsidRDefault="00BC026E" w:rsidP="0035506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Направление деятельности C6 Женевского плана действий и</w:t>
            </w:r>
            <w:r w:rsidR="004E462F" w:rsidRPr="00684459">
              <w:rPr>
                <w:sz w:val="22"/>
                <w:szCs w:val="22"/>
              </w:rPr>
              <w:t xml:space="preserve"> §§</w:t>
            </w:r>
            <w:r w:rsidRPr="00684459">
              <w:rPr>
                <w:sz w:val="22"/>
                <w:szCs w:val="22"/>
              </w:rPr>
              <w:t> </w:t>
            </w:r>
            <w:r w:rsidR="004E462F" w:rsidRPr="00684459">
              <w:rPr>
                <w:sz w:val="22"/>
                <w:szCs w:val="22"/>
              </w:rPr>
              <w:t>112</w:t>
            </w:r>
            <w:r w:rsidR="00EB6CAC" w:rsidRPr="00684459">
              <w:rPr>
                <w:sz w:val="22"/>
                <w:szCs w:val="22"/>
              </w:rPr>
              <w:t>−</w:t>
            </w:r>
            <w:r w:rsidR="004E462F" w:rsidRPr="00684459">
              <w:rPr>
                <w:sz w:val="22"/>
                <w:szCs w:val="22"/>
              </w:rPr>
              <w:t xml:space="preserve">119 </w:t>
            </w:r>
            <w:r w:rsidR="000840C5" w:rsidRPr="00684459">
              <w:rPr>
                <w:sz w:val="22"/>
                <w:szCs w:val="22"/>
              </w:rPr>
              <w:t>Тунисской программы для информационного общества</w:t>
            </w:r>
            <w:r w:rsidR="00355061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4E462F" w:rsidRPr="00684459" w:rsidTr="004E462F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39" w:type="dxa"/>
          </w:tcPr>
          <w:p w:rsidR="004E462F" w:rsidRPr="00684459" w:rsidRDefault="00EB6CAC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4E462F" w:rsidRPr="00684459">
              <w:rPr>
                <w:sz w:val="22"/>
                <w:szCs w:val="22"/>
              </w:rPr>
              <w:t>: 1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1.1, 1.2, 1.3, 1.4, 1.5, 1.a, 1.b), 2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2.3, 2.4, </w:t>
            </w:r>
            <w:proofErr w:type="spellStart"/>
            <w:r w:rsidR="004E462F" w:rsidRPr="00684459">
              <w:rPr>
                <w:sz w:val="22"/>
                <w:szCs w:val="22"/>
              </w:rPr>
              <w:t>2.c</w:t>
            </w:r>
            <w:proofErr w:type="spellEnd"/>
            <w:r w:rsidR="004E462F" w:rsidRPr="00684459">
              <w:rPr>
                <w:sz w:val="22"/>
                <w:szCs w:val="22"/>
              </w:rPr>
              <w:t>), 3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3.8, 3.d), 4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4.3, 4.4, 4.5, 4.7, 4.c), 5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5.1, 5.b), 7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proofErr w:type="spellStart"/>
            <w:r w:rsidR="004E462F" w:rsidRPr="00684459">
              <w:rPr>
                <w:sz w:val="22"/>
                <w:szCs w:val="22"/>
              </w:rPr>
              <w:t>7.a</w:t>
            </w:r>
            <w:proofErr w:type="spellEnd"/>
            <w:r w:rsidR="004E462F" w:rsidRPr="00684459">
              <w:rPr>
                <w:sz w:val="22"/>
                <w:szCs w:val="22"/>
              </w:rPr>
              <w:t>, 7.b), 8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8.2, 8.3, 8.9, 8.10), 9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9.1, 9.3, 9.5, 9.a, 9.c), 10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10.3, 10.c), 11 (</w:t>
            </w:r>
            <w:r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11.1), 12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12.8, 12.b), 13 (</w:t>
            </w:r>
            <w:r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13.3), 16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16.6, 16.7, 16.8, 16.10, 16.b), 17 (</w:t>
            </w:r>
            <w:r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17.6, 17.8, 17.9, 17.14, 17.16, 17.17)</w:t>
            </w:r>
          </w:p>
        </w:tc>
      </w:tr>
    </w:tbl>
    <w:p w:rsidR="00BB6431" w:rsidRPr="00DB284F" w:rsidRDefault="00BB6431" w:rsidP="00DB284F">
      <w:pPr>
        <w:pStyle w:val="Heading2"/>
      </w:pPr>
      <w:r w:rsidRPr="00DB284F">
        <w:lastRenderedPageBreak/>
        <w:t>2.2</w:t>
      </w:r>
      <w:r w:rsidRPr="00DB284F">
        <w:tab/>
        <w:t>Сети электросвязи/ИКТ, включая аспекты соответствия и функциональной совместимости и сокращения разрыва в стандартизации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6963"/>
      </w:tblGrid>
      <w:tr w:rsidR="00460481" w:rsidRPr="00684459" w:rsidTr="004E462F">
        <w:tc>
          <w:tcPr>
            <w:tcW w:w="9628" w:type="dxa"/>
            <w:gridSpan w:val="2"/>
          </w:tcPr>
          <w:p w:rsidR="00460481" w:rsidRPr="00684459" w:rsidRDefault="00BB6431" w:rsidP="00344E56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МСЭ-D продолж</w:t>
            </w:r>
            <w:r w:rsidR="006D1CF7" w:rsidRPr="00684459">
              <w:rPr>
                <w:sz w:val="22"/>
                <w:szCs w:val="22"/>
              </w:rPr>
              <w:t>ил</w:t>
            </w:r>
            <w:r w:rsidRPr="00684459">
              <w:rPr>
                <w:sz w:val="22"/>
                <w:szCs w:val="22"/>
              </w:rPr>
              <w:t xml:space="preserve"> реализовывать и обновлять в онлайновом режиме интерактивные карты наземной передачи МСЭ </w:t>
            </w:r>
            <w:r w:rsidR="00460481" w:rsidRPr="00684459">
              <w:rPr>
                <w:sz w:val="22"/>
                <w:szCs w:val="22"/>
              </w:rPr>
              <w:t>(</w:t>
            </w:r>
            <w:hyperlink r:id="rId13" w:history="1">
              <w:r w:rsidR="00460481" w:rsidRPr="00684459">
                <w:rPr>
                  <w:rStyle w:val="Hyperlink"/>
                  <w:sz w:val="22"/>
                  <w:szCs w:val="22"/>
                </w:rPr>
                <w:t>http://itu.int/go/Maps</w:t>
              </w:r>
            </w:hyperlink>
            <w:r w:rsidR="00460481" w:rsidRPr="00684459">
              <w:rPr>
                <w:sz w:val="22"/>
                <w:szCs w:val="22"/>
              </w:rPr>
              <w:t>).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0840C5" w:rsidRPr="00684459">
              <w:rPr>
                <w:sz w:val="22"/>
                <w:szCs w:val="22"/>
              </w:rPr>
              <w:t>На них отображена важнейшая инфраструктура ИКТ, представленная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Pr="00684459">
              <w:rPr>
                <w:sz w:val="22"/>
                <w:szCs w:val="22"/>
              </w:rPr>
              <w:t>волоконно-оптически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широкополосны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магистральны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лини</w:t>
            </w:r>
            <w:r w:rsidR="006D1CF7" w:rsidRPr="00684459">
              <w:rPr>
                <w:sz w:val="22"/>
                <w:szCs w:val="22"/>
              </w:rPr>
              <w:t>ям</w:t>
            </w:r>
            <w:r w:rsidRPr="00684459">
              <w:rPr>
                <w:sz w:val="22"/>
                <w:szCs w:val="22"/>
              </w:rPr>
              <w:t>и, микроволновы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лини</w:t>
            </w:r>
            <w:r w:rsidR="006D1CF7" w:rsidRPr="00684459">
              <w:rPr>
                <w:sz w:val="22"/>
                <w:szCs w:val="22"/>
              </w:rPr>
              <w:t>ям</w:t>
            </w:r>
            <w:r w:rsidRPr="00684459">
              <w:rPr>
                <w:sz w:val="22"/>
                <w:szCs w:val="22"/>
              </w:rPr>
              <w:t>и, земны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станци</w:t>
            </w:r>
            <w:r w:rsidR="006D1CF7" w:rsidRPr="00684459">
              <w:rPr>
                <w:sz w:val="22"/>
                <w:szCs w:val="22"/>
              </w:rPr>
              <w:t>ям</w:t>
            </w:r>
            <w:r w:rsidRPr="00684459">
              <w:rPr>
                <w:sz w:val="22"/>
                <w:szCs w:val="22"/>
              </w:rPr>
              <w:t>и спутниковой связи, а также подводны</w:t>
            </w:r>
            <w:r w:rsidR="006D1CF7" w:rsidRPr="00684459">
              <w:rPr>
                <w:sz w:val="22"/>
                <w:szCs w:val="22"/>
              </w:rPr>
              <w:t>ми</w:t>
            </w:r>
            <w:r w:rsidRPr="00684459">
              <w:rPr>
                <w:sz w:val="22"/>
                <w:szCs w:val="22"/>
              </w:rPr>
              <w:t xml:space="preserve"> кабел</w:t>
            </w:r>
            <w:r w:rsidR="006D1CF7" w:rsidRPr="00684459">
              <w:rPr>
                <w:sz w:val="22"/>
                <w:szCs w:val="22"/>
              </w:rPr>
              <w:t>ям</w:t>
            </w:r>
            <w:r w:rsidRPr="00684459">
              <w:rPr>
                <w:sz w:val="22"/>
                <w:szCs w:val="22"/>
              </w:rPr>
              <w:t>и</w:t>
            </w:r>
            <w:r w:rsidR="00460481" w:rsidRPr="00684459">
              <w:rPr>
                <w:sz w:val="22"/>
                <w:szCs w:val="22"/>
              </w:rPr>
              <w:t xml:space="preserve">. </w:t>
            </w:r>
            <w:r w:rsidR="000840C5" w:rsidRPr="00684459">
              <w:rPr>
                <w:sz w:val="22"/>
                <w:szCs w:val="22"/>
              </w:rPr>
              <w:t xml:space="preserve">Интерфейс данных карт был обновлен с учетом новых возможностей визуализации и анализа данных. В частности, были учтены предложения по повышению качества графического изображения, внедрена каркасная сетка для ориентированных на смартфоны и планшетные компьютеры приложений, а также реализованы информационная панель и инструмент статистики. Функции видео и демонстрации мероприятий находятся на стадии разработки. На момент составления данного отчета на карте отображена информация, полученная </w:t>
            </w:r>
            <w:r w:rsidR="00344E56" w:rsidRPr="00684459">
              <w:rPr>
                <w:sz w:val="22"/>
                <w:szCs w:val="22"/>
              </w:rPr>
              <w:t>по</w:t>
            </w:r>
            <w:r w:rsidR="000840C5" w:rsidRPr="00684459">
              <w:rPr>
                <w:sz w:val="22"/>
                <w:szCs w:val="22"/>
              </w:rPr>
              <w:t xml:space="preserve"> 406 сет</w:t>
            </w:r>
            <w:r w:rsidR="00344E56" w:rsidRPr="00684459">
              <w:rPr>
                <w:sz w:val="22"/>
                <w:szCs w:val="22"/>
              </w:rPr>
              <w:t>ям</w:t>
            </w:r>
            <w:r w:rsidR="000840C5" w:rsidRPr="00684459">
              <w:rPr>
                <w:sz w:val="22"/>
                <w:szCs w:val="22"/>
              </w:rPr>
              <w:t xml:space="preserve"> операторов и 19 170 узл</w:t>
            </w:r>
            <w:r w:rsidR="00344E56" w:rsidRPr="00684459">
              <w:rPr>
                <w:sz w:val="22"/>
                <w:szCs w:val="22"/>
              </w:rPr>
              <w:t>ам</w:t>
            </w:r>
            <w:r w:rsidR="000840C5" w:rsidRPr="00684459">
              <w:rPr>
                <w:sz w:val="22"/>
                <w:szCs w:val="22"/>
              </w:rPr>
              <w:t>, расположенны</w:t>
            </w:r>
            <w:r w:rsidR="00344E56" w:rsidRPr="00684459">
              <w:rPr>
                <w:sz w:val="22"/>
                <w:szCs w:val="22"/>
              </w:rPr>
              <w:t>м</w:t>
            </w:r>
            <w:r w:rsidR="000840C5" w:rsidRPr="00684459">
              <w:rPr>
                <w:sz w:val="22"/>
                <w:szCs w:val="22"/>
              </w:rPr>
              <w:t xml:space="preserve"> по всему миру. Длина маршрутов, охваченных исследованием в области линий передачи данных, достигла 13 010 406 км; при этом информация о маршрутах длиной 3 101 414 км уже импортирована на карту. Добавлены новая веб-страница, дополнительные уровни (</w:t>
            </w:r>
            <w:r w:rsidR="00344E56" w:rsidRPr="00684459">
              <w:rPr>
                <w:sz w:val="22"/>
                <w:szCs w:val="22"/>
              </w:rPr>
              <w:t>пункты обмена трафиком интернета (</w:t>
            </w:r>
            <w:r w:rsidR="000840C5" w:rsidRPr="00684459">
              <w:rPr>
                <w:sz w:val="22"/>
                <w:szCs w:val="22"/>
              </w:rPr>
              <w:t>IXP</w:t>
            </w:r>
            <w:r w:rsidR="00344E56" w:rsidRPr="00684459">
              <w:rPr>
                <w:sz w:val="22"/>
                <w:szCs w:val="22"/>
              </w:rPr>
              <w:t>) –</w:t>
            </w:r>
            <w:r w:rsidR="000840C5" w:rsidRPr="00684459">
              <w:rPr>
                <w:sz w:val="22"/>
                <w:szCs w:val="22"/>
              </w:rPr>
              <w:t xml:space="preserve"> в сотрудничестве с </w:t>
            </w:r>
            <w:proofErr w:type="spellStart"/>
            <w:r w:rsidR="000840C5" w:rsidRPr="00684459">
              <w:rPr>
                <w:sz w:val="22"/>
                <w:szCs w:val="22"/>
              </w:rPr>
              <w:t>Telegeography</w:t>
            </w:r>
            <w:proofErr w:type="spellEnd"/>
            <w:r w:rsidR="000840C5" w:rsidRPr="00684459">
              <w:rPr>
                <w:sz w:val="22"/>
                <w:szCs w:val="22"/>
              </w:rPr>
              <w:t>) и информационные панели; обновлена информация по подводным кабелям и земным станциям спутниковой связи.</w:t>
            </w:r>
          </w:p>
          <w:p w:rsidR="00460481" w:rsidRPr="00684459" w:rsidRDefault="000840C5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Был пересмотрен и представлен всем участникам исследовательских комиссий МСЭ-D отчет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4E462F" w:rsidRPr="00684459">
              <w:rPr>
                <w:sz w:val="22"/>
                <w:szCs w:val="22"/>
              </w:rPr>
              <w:t>"</w:t>
            </w:r>
            <w:r w:rsidR="00BB6431" w:rsidRPr="00684459">
              <w:rPr>
                <w:sz w:val="22"/>
                <w:szCs w:val="22"/>
              </w:rPr>
              <w:t>О внедрении появляющейся инфраструктуры электросвязи/ИКТ для развивающихся стран: технические, экономические и политические аспекты</w:t>
            </w:r>
            <w:r w:rsidR="004E462F" w:rsidRPr="00684459">
              <w:rPr>
                <w:sz w:val="22"/>
                <w:szCs w:val="22"/>
              </w:rPr>
              <w:t>"</w:t>
            </w:r>
            <w:r w:rsidR="00460481" w:rsidRPr="00684459">
              <w:rPr>
                <w:sz w:val="22"/>
                <w:szCs w:val="22"/>
              </w:rPr>
              <w:t xml:space="preserve">. </w:t>
            </w:r>
            <w:r w:rsidR="003A3AF3" w:rsidRPr="00684459">
              <w:rPr>
                <w:sz w:val="22"/>
                <w:szCs w:val="22"/>
              </w:rPr>
              <w:t>В ходе пересмотра в отчете была дополнена информация о важнейшей инфраструктуре и технологиях электросвязи/ИКТ в контексте процесса и концепций стандартизации IoT, спектра и радиовещания.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F44709" w:rsidRPr="00684459">
              <w:rPr>
                <w:sz w:val="22"/>
                <w:szCs w:val="22"/>
              </w:rPr>
              <w:t>В</w:t>
            </w:r>
            <w:r w:rsidR="00F940FB" w:rsidRPr="00684459">
              <w:rPr>
                <w:sz w:val="22"/>
                <w:szCs w:val="22"/>
              </w:rPr>
              <w:t xml:space="preserve"> </w:t>
            </w:r>
            <w:r w:rsidR="00F44709" w:rsidRPr="00684459">
              <w:rPr>
                <w:sz w:val="22"/>
                <w:szCs w:val="22"/>
              </w:rPr>
              <w:t>отчете</w:t>
            </w:r>
            <w:r w:rsidR="00857C46" w:rsidRPr="00684459">
              <w:rPr>
                <w:sz w:val="22"/>
                <w:szCs w:val="22"/>
              </w:rPr>
              <w:t xml:space="preserve"> </w:t>
            </w:r>
            <w:r w:rsidR="00BB6431" w:rsidRPr="00684459">
              <w:rPr>
                <w:sz w:val="22"/>
                <w:szCs w:val="22"/>
              </w:rPr>
              <w:t>содержатся ссылки на более чем 200 публикаций МСЭ (например, отчеты исследовательских комиссий МСЭ-D, руководящие указания и рекомендации МСЭ, полученные от всех Секторов)</w:t>
            </w:r>
            <w:r w:rsidR="00460481" w:rsidRPr="00684459">
              <w:rPr>
                <w:sz w:val="22"/>
                <w:szCs w:val="22"/>
              </w:rPr>
              <w:t>.</w:t>
            </w:r>
          </w:p>
          <w:p w:rsidR="008E46BD" w:rsidRPr="00684459" w:rsidRDefault="00BB6431" w:rsidP="008E46BD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соответствии с Резолюцией 47 (Пересм. Дубай, 2014 г.) ВКРЭ проводились региональные форумы и курсы профессиональной подготовки по вопросам C&amp;I</w:t>
            </w:r>
            <w:r w:rsidR="00460481" w:rsidRPr="00684459">
              <w:rPr>
                <w:sz w:val="22"/>
                <w:szCs w:val="22"/>
              </w:rPr>
              <w:t>.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8E46BD" w:rsidRPr="00684459">
              <w:rPr>
                <w:sz w:val="22"/>
                <w:szCs w:val="22"/>
              </w:rPr>
              <w:t>Для стран Южной Америки было разработано исследование по оценке C&amp;I, участие в котором приняли 9 из 10 стран данного региона. Совместно с партнерскими лабораториями по тестированию для стран Северной и Южной Америки, Азиатско-Тихоокеанского региона и Африки были проведены региональные учебные мероприятия.</w:t>
            </w:r>
          </w:p>
          <w:p w:rsidR="008E46BD" w:rsidRPr="00684459" w:rsidRDefault="008E46BD" w:rsidP="008E46BD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Развитие потенциала членов МСЭ осуществлялось по ряду вопросов в области сетей электросвязи/ИКТ, включая соответствие и функциональную совместимость, цифровое наземное телевидение, IPv6, SMS4DC, управление использованием спектра, планирование и координация частот т. д.</w:t>
            </w:r>
          </w:p>
          <w:p w:rsidR="00460481" w:rsidRPr="00684459" w:rsidRDefault="008E46BD" w:rsidP="00344E56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Была предоставлена прямая помощь в отношении планирования частот, генеральных планов в области управления использованием спектра, перехода от аналогового к цифровому наземному телевизионному радиовещанию, будущего обмена трафиком интернета и широкополосной связи на базе протокола IPv6, внедрения сетей беспроводной широкополосной связи, радиовещания, национальных и региональных IXP и т. д.</w:t>
            </w:r>
          </w:p>
        </w:tc>
      </w:tr>
      <w:tr w:rsidR="00460481" w:rsidRPr="00684459" w:rsidTr="004E462F">
        <w:tc>
          <w:tcPr>
            <w:tcW w:w="2665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ВКРЭ</w:t>
            </w:r>
          </w:p>
        </w:tc>
        <w:tc>
          <w:tcPr>
            <w:tcW w:w="6963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Резолюции </w:t>
            </w:r>
            <w:r w:rsidR="00460481" w:rsidRPr="00684459">
              <w:rPr>
                <w:sz w:val="22"/>
                <w:szCs w:val="22"/>
              </w:rPr>
              <w:t>1, 9, 10, 11, 13, 17, 18, 20, 21, 22, 23, 25, 30, 32, 35, 37, 39, 43, 47, 48, 50, 51, 52, 57, 62, 63, 77</w:t>
            </w:r>
          </w:p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Рекомендации</w:t>
            </w:r>
            <w:r w:rsidR="00460481" w:rsidRPr="00684459">
              <w:rPr>
                <w:sz w:val="22"/>
                <w:szCs w:val="22"/>
              </w:rPr>
              <w:t xml:space="preserve"> 17, 19, 22</w:t>
            </w:r>
          </w:p>
        </w:tc>
      </w:tr>
      <w:tr w:rsidR="004E462F" w:rsidRPr="00684459" w:rsidTr="004E462F">
        <w:tc>
          <w:tcPr>
            <w:tcW w:w="2665" w:type="dxa"/>
          </w:tcPr>
          <w:p w:rsidR="004E462F" w:rsidRPr="00684459" w:rsidRDefault="00FC0E32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63" w:type="dxa"/>
          </w:tcPr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684459">
              <w:rPr>
                <w:sz w:val="22"/>
                <w:szCs w:val="22"/>
              </w:rPr>
              <w:t>Реше6ния</w:t>
            </w:r>
            <w:proofErr w:type="spellEnd"/>
            <w:r w:rsidR="004E462F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Резолюции </w:t>
            </w:r>
            <w:r w:rsidR="004E462F" w:rsidRPr="00684459">
              <w:rPr>
                <w:sz w:val="22"/>
                <w:szCs w:val="22"/>
              </w:rPr>
              <w:t>25, 71, 101, 123, 176, 177, 178, 203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E462F">
        <w:tc>
          <w:tcPr>
            <w:tcW w:w="2665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</w:t>
            </w:r>
          </w:p>
        </w:tc>
        <w:tc>
          <w:tcPr>
            <w:tcW w:w="6963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Резолюции </w:t>
            </w:r>
            <w:r w:rsidR="00460481" w:rsidRPr="00684459">
              <w:rPr>
                <w:sz w:val="22"/>
                <w:szCs w:val="22"/>
              </w:rPr>
              <w:t>12, 55, 212, 223, 224, 238, 908</w:t>
            </w:r>
          </w:p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Рекомендация</w:t>
            </w:r>
            <w:r w:rsidR="00460481" w:rsidRPr="00684459">
              <w:rPr>
                <w:sz w:val="22"/>
                <w:szCs w:val="22"/>
              </w:rPr>
              <w:t xml:space="preserve"> 207</w:t>
            </w:r>
          </w:p>
        </w:tc>
      </w:tr>
      <w:tr w:rsidR="00460481" w:rsidRPr="00684459" w:rsidTr="004E462F">
        <w:tc>
          <w:tcPr>
            <w:tcW w:w="2665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ВАСЭ</w:t>
            </w:r>
          </w:p>
        </w:tc>
        <w:tc>
          <w:tcPr>
            <w:tcW w:w="6963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Резолюции </w:t>
            </w:r>
            <w:r w:rsidR="00460481" w:rsidRPr="00684459">
              <w:rPr>
                <w:sz w:val="22"/>
                <w:szCs w:val="22"/>
              </w:rPr>
              <w:t>17, 20, 29, 44, 64, 72</w:t>
            </w:r>
          </w:p>
        </w:tc>
      </w:tr>
      <w:tr w:rsidR="00460481" w:rsidRPr="00684459" w:rsidTr="004E462F">
        <w:tc>
          <w:tcPr>
            <w:tcW w:w="2665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proofErr w:type="spellStart"/>
            <w:r w:rsidRPr="00684459">
              <w:rPr>
                <w:i/>
                <w:iCs/>
                <w:sz w:val="22"/>
                <w:szCs w:val="22"/>
              </w:rPr>
              <w:t>ВКМЭ</w:t>
            </w:r>
            <w:proofErr w:type="spellEnd"/>
          </w:p>
        </w:tc>
        <w:tc>
          <w:tcPr>
            <w:tcW w:w="6963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5</w:t>
            </w:r>
          </w:p>
        </w:tc>
      </w:tr>
      <w:tr w:rsidR="004E462F" w:rsidRPr="00684459" w:rsidTr="004E462F">
        <w:tc>
          <w:tcPr>
            <w:tcW w:w="2665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63" w:type="dxa"/>
          </w:tcPr>
          <w:p w:rsidR="004E462F" w:rsidRPr="00684459" w:rsidRDefault="00A85521" w:rsidP="0035506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C2</w:t>
            </w:r>
            <w:r w:rsidR="004E462F" w:rsidRPr="00684459">
              <w:rPr>
                <w:sz w:val="22"/>
                <w:szCs w:val="22"/>
              </w:rPr>
              <w:t xml:space="preserve">, C3, C7 </w:t>
            </w:r>
            <w:r w:rsidRPr="00684459">
              <w:rPr>
                <w:sz w:val="22"/>
                <w:szCs w:val="22"/>
              </w:rPr>
              <w:t>и</w:t>
            </w:r>
            <w:r w:rsidR="004E462F" w:rsidRPr="00684459">
              <w:rPr>
                <w:sz w:val="22"/>
                <w:szCs w:val="22"/>
              </w:rPr>
              <w:t xml:space="preserve"> C9 </w:t>
            </w:r>
            <w:r w:rsidRPr="00684459">
              <w:rPr>
                <w:sz w:val="22"/>
                <w:szCs w:val="22"/>
              </w:rPr>
              <w:t>Женевского плана действий</w:t>
            </w:r>
            <w:r w:rsidR="006B787A" w:rsidRPr="00684459">
              <w:rPr>
                <w:sz w:val="22"/>
                <w:szCs w:val="22"/>
              </w:rPr>
              <w:t>,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6B787A" w:rsidRPr="00684459">
              <w:rPr>
                <w:sz w:val="22"/>
                <w:szCs w:val="22"/>
              </w:rPr>
              <w:t>а также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0168D1" w:rsidRPr="00684459">
              <w:rPr>
                <w:sz w:val="22"/>
                <w:szCs w:val="22"/>
              </w:rPr>
              <w:t>Раздел "Финансовые механизмы для решения задач в области ИКТ в целях развития" Тунисской программы для информационного общества</w:t>
            </w:r>
            <w:r w:rsidR="00355061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4E462F" w:rsidRPr="00684459" w:rsidTr="004E462F">
        <w:tc>
          <w:tcPr>
            <w:tcW w:w="2665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63" w:type="dxa"/>
          </w:tcPr>
          <w:p w:rsidR="004E462F" w:rsidRPr="00684459" w:rsidRDefault="00A85521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4E462F" w:rsidRPr="00684459">
              <w:rPr>
                <w:sz w:val="22"/>
                <w:szCs w:val="22"/>
              </w:rPr>
              <w:t>: 1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1.a, 1.4), 4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4.4, 4.6, 4.a, 4.c), 6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6.5, 6.a, </w:t>
            </w:r>
            <w:proofErr w:type="spellStart"/>
            <w:r w:rsidR="004E462F" w:rsidRPr="00684459">
              <w:rPr>
                <w:sz w:val="22"/>
                <w:szCs w:val="22"/>
              </w:rPr>
              <w:t>6.b</w:t>
            </w:r>
            <w:proofErr w:type="spellEnd"/>
            <w:r w:rsidR="004E462F" w:rsidRPr="00684459">
              <w:rPr>
                <w:sz w:val="22"/>
                <w:szCs w:val="22"/>
              </w:rPr>
              <w:t>), 7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7.1, 7.b), 8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8.2, 8.5), 9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9.1, 9.4, 9.5, 9.a, 9.b, 9.c), 11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11.1, 11.5, </w:t>
            </w:r>
            <w:proofErr w:type="spellStart"/>
            <w:r w:rsidR="004E462F" w:rsidRPr="00684459">
              <w:rPr>
                <w:sz w:val="22"/>
                <w:szCs w:val="22"/>
              </w:rPr>
              <w:t>11.a</w:t>
            </w:r>
            <w:proofErr w:type="spellEnd"/>
            <w:r w:rsidR="004E462F" w:rsidRPr="00684459">
              <w:rPr>
                <w:sz w:val="22"/>
                <w:szCs w:val="22"/>
              </w:rPr>
              <w:t>, 11.b), 17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17.3, 17.5)</w:t>
            </w:r>
          </w:p>
        </w:tc>
      </w:tr>
    </w:tbl>
    <w:p w:rsidR="00807F77" w:rsidRPr="00DB284F" w:rsidRDefault="00807F77" w:rsidP="00DB284F">
      <w:pPr>
        <w:pStyle w:val="Heading2"/>
      </w:pPr>
      <w:r w:rsidRPr="00DB284F">
        <w:t>2.3</w:t>
      </w:r>
      <w:r w:rsidRPr="00DB284F">
        <w:tab/>
        <w:t>Инновации и партнерство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6962"/>
      </w:tblGrid>
      <w:tr w:rsidR="00460481" w:rsidRPr="00684459" w:rsidTr="004E462F">
        <w:tc>
          <w:tcPr>
            <w:tcW w:w="9628" w:type="dxa"/>
            <w:gridSpan w:val="2"/>
          </w:tcPr>
          <w:p w:rsidR="00755D01" w:rsidRPr="00684459" w:rsidRDefault="00755D01" w:rsidP="00755D01">
            <w:pPr>
              <w:rPr>
                <w:sz w:val="22"/>
                <w:szCs w:val="22"/>
              </w:rPr>
            </w:pPr>
            <w:r w:rsidRPr="00684459">
              <w:rPr>
                <w:b/>
                <w:sz w:val="22"/>
                <w:szCs w:val="22"/>
              </w:rPr>
              <w:t>Партнерство в экосистеме ИКТ</w:t>
            </w:r>
            <w:r w:rsidRPr="00684459">
              <w:rPr>
                <w:sz w:val="22"/>
                <w:szCs w:val="22"/>
              </w:rPr>
              <w:t xml:space="preserve">: Поддержание прямых контактов, установление профессиональных связей и проведение встреч способствовали укреплению партнерства и усилению мобилизации ресурсов. В 2017 году с различными заинтересованными сторонами было подписано 58 новых соглашений: комплексные (20), в области приложений ИКТ (12), в области создания </w:t>
            </w:r>
            <w:r w:rsidR="004104D7" w:rsidRPr="00684459">
              <w:rPr>
                <w:sz w:val="22"/>
                <w:szCs w:val="22"/>
              </w:rPr>
              <w:t xml:space="preserve">человеческого </w:t>
            </w:r>
            <w:r w:rsidRPr="00684459">
              <w:rPr>
                <w:sz w:val="22"/>
                <w:szCs w:val="22"/>
              </w:rPr>
              <w:t>потенциала (6), в области инфраструктуры (5), в области электросвязи в чрезвычайных ситуациях (4), в области охвата цифровыми технологиями (3), в области кибербезопасности (3), в области электронных отходов (2), в области регуляторной и рыночной среды (2) и в области инноваций (1). Регионами-бенефициарами новых подписанных соглашений были следующие: весь мир в целом (33), Северная и Южная Америка (7), Азиатско-Тихоокеанский регион (8), Африка (4), арабские государства (3), Европа (2) и СНГ (1). В целях поддержки усилий БРЭ по мобилизации ресурсов и содействия определению потенциальных партнеров была расширена внутренняя база данных партнерских соглашений БРЭ.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807F77" w:rsidRPr="00684459">
              <w:rPr>
                <w:sz w:val="22"/>
                <w:szCs w:val="22"/>
              </w:rPr>
              <w:t>Несмотря на то</w:t>
            </w:r>
            <w:r w:rsidR="00C1485D" w:rsidRPr="00684459">
              <w:rPr>
                <w:sz w:val="22"/>
                <w:szCs w:val="22"/>
              </w:rPr>
              <w:t>,</w:t>
            </w:r>
            <w:r w:rsidR="00807F77" w:rsidRPr="00684459">
              <w:rPr>
                <w:sz w:val="22"/>
                <w:szCs w:val="22"/>
              </w:rPr>
              <w:t xml:space="preserve"> что БРЭ уделяет особое внимание поддержанию отношений с существующими партнерами и преобразованию их в прочные отношения долгосрочного характера, БРЭ также признает важность расширения и диверсификации своей партнерской базы с помощью деятельности, направленной на охват нетипичных партнеров.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Pr="00684459">
              <w:rPr>
                <w:sz w:val="22"/>
                <w:szCs w:val="22"/>
              </w:rPr>
              <w:t>Таким образом, в конвергентной экосистеме ИКТ новыми партнерами становятся субъекты из других секторов, как в случае с Фондом Пьера Фабра в отношении проектов в области мобильного здравоохранения или в случае с Международной ассоциацией по твердым отходам в отношении проектов в области электронных отходов.</w:t>
            </w:r>
          </w:p>
          <w:p w:rsidR="00755D01" w:rsidRPr="00684459" w:rsidRDefault="00755D01" w:rsidP="00755D01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течение 2017 года МСЭ тесно сотрудничал с </w:t>
            </w:r>
            <w:proofErr w:type="spellStart"/>
            <w:r w:rsidRPr="00684459">
              <w:rPr>
                <w:sz w:val="22"/>
                <w:szCs w:val="22"/>
              </w:rPr>
              <w:t>ПАОЗ</w:t>
            </w:r>
            <w:proofErr w:type="spellEnd"/>
            <w:r w:rsidRPr="00684459">
              <w:rPr>
                <w:sz w:val="22"/>
                <w:szCs w:val="22"/>
              </w:rPr>
              <w:t xml:space="preserve"> по актуализации исследования в области успешного опыта внедрения электронного здравоохранения в странах Северной и </w:t>
            </w:r>
            <w:proofErr w:type="gramStart"/>
            <w:r w:rsidRPr="00684459">
              <w:rPr>
                <w:sz w:val="22"/>
                <w:szCs w:val="22"/>
              </w:rPr>
              <w:t>Южной Америки</w:t>
            </w:r>
            <w:proofErr w:type="gramEnd"/>
            <w:r w:rsidRPr="00684459">
              <w:rPr>
                <w:sz w:val="22"/>
                <w:szCs w:val="22"/>
              </w:rPr>
              <w:t xml:space="preserve"> и репликации успешных программ в области электронного здравоохранения. В результате их сотрудничества в 2017 году МСЭ, Американское метеорологическое общество и </w:t>
            </w:r>
            <w:proofErr w:type="spellStart"/>
            <w:r w:rsidRPr="00684459">
              <w:rPr>
                <w:sz w:val="22"/>
                <w:szCs w:val="22"/>
              </w:rPr>
              <w:t>ПАОЗ</w:t>
            </w:r>
            <w:proofErr w:type="spellEnd"/>
            <w:r w:rsidRPr="00684459">
              <w:rPr>
                <w:sz w:val="22"/>
                <w:szCs w:val="22"/>
              </w:rPr>
              <w:t xml:space="preserve"> решили разработать МоВ для содействия их совместным усилиям в будущем. В настоящее время проходят переговоры о подписании МоВ.</w:t>
            </w:r>
          </w:p>
          <w:p w:rsidR="00755D01" w:rsidRPr="00684459" w:rsidRDefault="00755D01" w:rsidP="00755D01">
            <w:pPr>
              <w:rPr>
                <w:sz w:val="22"/>
                <w:szCs w:val="22"/>
              </w:rPr>
            </w:pPr>
            <w:r w:rsidRPr="00684459">
              <w:rPr>
                <w:b/>
                <w:sz w:val="22"/>
                <w:szCs w:val="22"/>
              </w:rPr>
              <w:t>Возможности спонсорской помощи</w:t>
            </w:r>
            <w:r w:rsidRPr="00684459">
              <w:rPr>
                <w:sz w:val="22"/>
                <w:szCs w:val="22"/>
              </w:rPr>
              <w:t xml:space="preserve">: В 2017 году была введена в действие новая интерактивная платформа спонсорской поддержки, доступная на шести официальных языках МСЭ, для проведения сопутствующих мероприятий и осуществления социальной и другой деятельности </w:t>
            </w:r>
            <w:proofErr w:type="gramStart"/>
            <w:r w:rsidRPr="00684459">
              <w:rPr>
                <w:sz w:val="22"/>
                <w:szCs w:val="22"/>
              </w:rPr>
              <w:t>в рамках</w:t>
            </w:r>
            <w:proofErr w:type="gramEnd"/>
            <w:r w:rsidRPr="00684459">
              <w:rPr>
                <w:sz w:val="22"/>
                <w:szCs w:val="22"/>
              </w:rPr>
              <w:t xml:space="preserve"> организуемых БРЭ мероприятий. Это открыло новые возможности для проведения собраний исследовательских комиссий, сопутствующих мероприятий ВКРЭ-17 и ГСР-17, а также мероприятий, связанных с 25-й годовщиной МСЭ-D. Данный веб-сайт/портал обеспечивает возможность для объединений повысить наглядность их деятельности, способствовать популяризации бренда, а также демонстрировать продукты и решения в области ИКТ.</w:t>
            </w:r>
          </w:p>
          <w:p w:rsidR="00755D01" w:rsidRPr="00684459" w:rsidRDefault="00755D01" w:rsidP="00DB3D15">
            <w:pPr>
              <w:rPr>
                <w:sz w:val="22"/>
                <w:szCs w:val="22"/>
              </w:rPr>
            </w:pPr>
            <w:r w:rsidRPr="00684459">
              <w:rPr>
                <w:b/>
                <w:sz w:val="22"/>
                <w:szCs w:val="22"/>
              </w:rPr>
              <w:t>Инновации</w:t>
            </w:r>
            <w:r w:rsidRPr="00684459">
              <w:rPr>
                <w:sz w:val="22"/>
                <w:szCs w:val="22"/>
              </w:rPr>
              <w:t xml:space="preserve">: </w:t>
            </w:r>
            <w:proofErr w:type="gramStart"/>
            <w:r w:rsidRPr="00684459">
              <w:rPr>
                <w:sz w:val="22"/>
                <w:szCs w:val="22"/>
              </w:rPr>
              <w:t>В</w:t>
            </w:r>
            <w:proofErr w:type="gramEnd"/>
            <w:r w:rsidRPr="00684459">
              <w:rPr>
                <w:sz w:val="22"/>
                <w:szCs w:val="22"/>
              </w:rPr>
              <w:t xml:space="preserve"> ряде стран и регионов (например, в Руанде, Кении, Аргентине, Молдове, Шри-Ланке и т. д.) с успехом прошли консультации и семинары-практикумы по вопросам ориентированных на ИКТ инновационных экосистем, инноваций и предпринимательства, а также инновационной политики. Этот сегмент инноваций был успешно организован в рамках Форума ВВУИО 2017 года, </w:t>
            </w:r>
            <w:r w:rsidRPr="00684459">
              <w:rPr>
                <w:sz w:val="22"/>
                <w:szCs w:val="22"/>
              </w:rPr>
              <w:lastRenderedPageBreak/>
              <w:t xml:space="preserve">на котором представители </w:t>
            </w:r>
            <w:r w:rsidR="00DB3D15" w:rsidRPr="00684459">
              <w:rPr>
                <w:sz w:val="22"/>
                <w:szCs w:val="22"/>
              </w:rPr>
              <w:t>начинающих</w:t>
            </w:r>
            <w:r w:rsidRPr="00684459">
              <w:rPr>
                <w:sz w:val="22"/>
                <w:szCs w:val="22"/>
              </w:rPr>
              <w:t xml:space="preserve"> компаний и государственных директивных органов собрались вместе, чтобы укрепить позиции цифровых отраслей, усилить инновационный потенциал и направить инвестиции на сокращение инновационного разрыва. В ходе одного из заседаний инновационного сегмента ВВУИО 2017 года был представлен инновационный комплект материалов по сокращению разрыва в цифровых инновациях в целях укрепления ориентированных на ИКТ экосистем. Данный комплект материалов был разработан для того, чтобы помочь странам разработать принципы цифровых инноваций – комплекс направлений политики и проектов, способствующих инновациям на национальном уровне.</w:t>
            </w:r>
          </w:p>
          <w:p w:rsidR="00460481" w:rsidRPr="00684459" w:rsidRDefault="00755D01" w:rsidP="00DB3D15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рамках мероприятия ITU Telecom, прошедшего в </w:t>
            </w:r>
            <w:proofErr w:type="spellStart"/>
            <w:r w:rsidRPr="00684459">
              <w:rPr>
                <w:sz w:val="22"/>
                <w:szCs w:val="22"/>
              </w:rPr>
              <w:t>Пусане</w:t>
            </w:r>
            <w:proofErr w:type="spellEnd"/>
            <w:r w:rsidRPr="00684459">
              <w:rPr>
                <w:sz w:val="22"/>
                <w:szCs w:val="22"/>
              </w:rPr>
              <w:t xml:space="preserve"> 26–28 сентября, состоялся глобальный семинар-практикум с участием многих заинтересованных сторон, который был посвящен вопросам сокращения разрыва в цифровых инновациях. Его участниками стали представители </w:t>
            </w:r>
            <w:r w:rsidR="00DB3D15" w:rsidRPr="00684459">
              <w:rPr>
                <w:sz w:val="22"/>
                <w:szCs w:val="22"/>
              </w:rPr>
              <w:t>восьми</w:t>
            </w:r>
            <w:r w:rsidRPr="00684459">
              <w:rPr>
                <w:sz w:val="22"/>
                <w:szCs w:val="22"/>
              </w:rPr>
              <w:t xml:space="preserve"> стран, обладавшие навыками, необходимыми для продвижения и управления претворением в жизнь идеи национальных обзоров на тему ориентированных на ИКТ инновационных экосистем, а также для разработки согласованных подходов к стимулированию формирования инновационной экономики своих стран. Совместно с городом-метрополией Пусан МСЭ организовал 4-й Форум молодых лидеров в сфере ИКТ одновременно со Всемирным мероприятием Telecom-2017 в </w:t>
            </w:r>
            <w:proofErr w:type="spellStart"/>
            <w:r w:rsidRPr="00684459">
              <w:rPr>
                <w:sz w:val="22"/>
                <w:szCs w:val="22"/>
              </w:rPr>
              <w:t>Пусане</w:t>
            </w:r>
            <w:proofErr w:type="spellEnd"/>
            <w:r w:rsidRPr="00684459">
              <w:rPr>
                <w:sz w:val="22"/>
                <w:szCs w:val="22"/>
              </w:rPr>
              <w:t>, Республика Корея, 27–29 сентября 2017 года. В работе ф</w:t>
            </w:r>
            <w:r w:rsidR="00DB284F">
              <w:rPr>
                <w:sz w:val="22"/>
                <w:szCs w:val="22"/>
              </w:rPr>
              <w:t>орума приняли участие свыше 200 </w:t>
            </w:r>
            <w:r w:rsidRPr="00684459">
              <w:rPr>
                <w:sz w:val="22"/>
                <w:szCs w:val="22"/>
              </w:rPr>
              <w:t xml:space="preserve">представителей более 30 стран мира. В рамках форума также состоялся </w:t>
            </w:r>
            <w:proofErr w:type="spellStart"/>
            <w:r w:rsidRPr="00684459">
              <w:rPr>
                <w:sz w:val="22"/>
                <w:szCs w:val="22"/>
              </w:rPr>
              <w:t>Пусанский</w:t>
            </w:r>
            <w:proofErr w:type="spellEnd"/>
            <w:r w:rsidRPr="00684459">
              <w:rPr>
                <w:sz w:val="22"/>
                <w:szCs w:val="22"/>
              </w:rPr>
              <w:t xml:space="preserve"> конкурс "умных" городов мира, победителям которого вручили </w:t>
            </w:r>
            <w:r w:rsidR="00DB3D15" w:rsidRPr="00684459">
              <w:rPr>
                <w:sz w:val="22"/>
                <w:szCs w:val="22"/>
              </w:rPr>
              <w:t>пять</w:t>
            </w:r>
            <w:r w:rsidRPr="00684459">
              <w:rPr>
                <w:sz w:val="22"/>
                <w:szCs w:val="22"/>
              </w:rPr>
              <w:t xml:space="preserve"> наград.</w:t>
            </w:r>
          </w:p>
        </w:tc>
      </w:tr>
      <w:tr w:rsidR="004E462F" w:rsidRPr="00684459" w:rsidTr="004E462F">
        <w:tc>
          <w:tcPr>
            <w:tcW w:w="2666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62" w:type="dxa"/>
          </w:tcPr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E462F" w:rsidRPr="00684459">
              <w:rPr>
                <w:sz w:val="22"/>
                <w:szCs w:val="22"/>
              </w:rPr>
              <w:t xml:space="preserve"> 1, 5, 30, 33, 50, 59, 71, 157</w:t>
            </w:r>
          </w:p>
        </w:tc>
      </w:tr>
      <w:tr w:rsidR="004E462F" w:rsidRPr="00684459" w:rsidTr="004E462F">
        <w:tc>
          <w:tcPr>
            <w:tcW w:w="2666" w:type="dxa"/>
          </w:tcPr>
          <w:p w:rsidR="004E462F" w:rsidRPr="00684459" w:rsidRDefault="00FC0E32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62" w:type="dxa"/>
          </w:tcPr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4E462F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E462F" w:rsidRPr="00684459">
              <w:rPr>
                <w:sz w:val="22"/>
                <w:szCs w:val="22"/>
              </w:rPr>
              <w:t xml:space="preserve"> 25, 71, 72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E462F" w:rsidRPr="00684459" w:rsidTr="004E462F">
        <w:tc>
          <w:tcPr>
            <w:tcW w:w="2666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62" w:type="dxa"/>
          </w:tcPr>
          <w:p w:rsidR="004E462F" w:rsidRPr="00684459" w:rsidRDefault="00BC026E" w:rsidP="0035506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C3, C4, C5, С6 и C7 Женевского плана действий</w:t>
            </w:r>
            <w:r w:rsidR="0030308B" w:rsidRPr="00684459">
              <w:rPr>
                <w:sz w:val="22"/>
                <w:szCs w:val="22"/>
              </w:rPr>
              <w:t>, а также Раздел "Финансовые механизмы для решения задач в области ИКТ в целях развития" Тунисской программы для информационного общества</w:t>
            </w:r>
            <w:r w:rsidR="00355061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4E462F" w:rsidRPr="00684459" w:rsidTr="004E462F">
        <w:tc>
          <w:tcPr>
            <w:tcW w:w="2666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62" w:type="dxa"/>
          </w:tcPr>
          <w:p w:rsidR="004E462F" w:rsidRPr="00684459" w:rsidRDefault="00BC026E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4E462F" w:rsidRPr="00684459">
              <w:rPr>
                <w:sz w:val="22"/>
                <w:szCs w:val="22"/>
              </w:rPr>
              <w:t>: 1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1.a; 1.b), 2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2.a, </w:t>
            </w:r>
            <w:proofErr w:type="spellStart"/>
            <w:r w:rsidR="004E462F" w:rsidRPr="00684459">
              <w:rPr>
                <w:sz w:val="22"/>
                <w:szCs w:val="22"/>
              </w:rPr>
              <w:t>2.c</w:t>
            </w:r>
            <w:proofErr w:type="spellEnd"/>
            <w:r w:rsidR="004E462F" w:rsidRPr="00684459">
              <w:rPr>
                <w:sz w:val="22"/>
                <w:szCs w:val="22"/>
              </w:rPr>
              <w:t>), 3, 4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4.a, </w:t>
            </w:r>
            <w:proofErr w:type="spellStart"/>
            <w:r w:rsidR="004E462F" w:rsidRPr="00684459">
              <w:rPr>
                <w:sz w:val="22"/>
                <w:szCs w:val="22"/>
              </w:rPr>
              <w:t>4.b</w:t>
            </w:r>
            <w:proofErr w:type="spellEnd"/>
            <w:r w:rsidR="004E462F" w:rsidRPr="00684459">
              <w:rPr>
                <w:sz w:val="22"/>
                <w:szCs w:val="22"/>
              </w:rPr>
              <w:t>, 4.3, 4.7), 5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5.b, 5.6), 8 (</w:t>
            </w:r>
            <w:r w:rsidR="00EB6CAC"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8.2, 8.3, 8.6, 8.10, </w:t>
            </w:r>
            <w:proofErr w:type="spellStart"/>
            <w:r w:rsidR="004E462F" w:rsidRPr="00684459">
              <w:rPr>
                <w:sz w:val="22"/>
                <w:szCs w:val="22"/>
              </w:rPr>
              <w:t>8.b</w:t>
            </w:r>
            <w:proofErr w:type="spellEnd"/>
            <w:r w:rsidR="004E462F" w:rsidRPr="00684459">
              <w:rPr>
                <w:sz w:val="22"/>
                <w:szCs w:val="22"/>
              </w:rPr>
              <w:t>), 9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9.5, 9.b, 9.c), 10, 11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11.1, 11.4), 12, 13 (</w:t>
            </w:r>
            <w:r w:rsidR="00EB6CAC"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13.3), 16, 17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17.1, 17.3, 17.9, 17.14, 17.16, 17.17)</w:t>
            </w:r>
          </w:p>
        </w:tc>
      </w:tr>
    </w:tbl>
    <w:p w:rsidR="005E77E9" w:rsidRPr="00684459" w:rsidRDefault="005E77E9" w:rsidP="00DB284F">
      <w:pPr>
        <w:pStyle w:val="Heading1"/>
      </w:pPr>
      <w:r w:rsidRPr="00684459">
        <w:t>3</w:t>
      </w:r>
      <w:r w:rsidRPr="00684459">
        <w:tab/>
        <w:t>Задача 3: "</w:t>
      </w:r>
      <w:r w:rsidRPr="00DB284F">
        <w:rPr>
          <w:i/>
          <w:iCs/>
        </w:rPr>
        <w:t>Повышать доверие и безопасность при использовании электросвязи/ИКТ, а также при развертывании соответствующих приложений и услуг</w:t>
      </w:r>
      <w:r w:rsidRPr="00684459">
        <w:t>"</w:t>
      </w:r>
    </w:p>
    <w:p w:rsidR="005E77E9" w:rsidRPr="00DB284F" w:rsidRDefault="005E77E9" w:rsidP="00DB284F">
      <w:pPr>
        <w:pStyle w:val="Heading2"/>
      </w:pPr>
      <w:r w:rsidRPr="00DB284F">
        <w:t>3.1</w:t>
      </w:r>
      <w:r w:rsidRPr="00DB284F">
        <w:tab/>
        <w:t>Укрепление доверия и безопасности при использовании ИКТ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460481" w:rsidRPr="00684459" w:rsidTr="00460481">
        <w:tc>
          <w:tcPr>
            <w:tcW w:w="9634" w:type="dxa"/>
            <w:gridSpan w:val="2"/>
          </w:tcPr>
          <w:p w:rsidR="008A2F0A" w:rsidRPr="00684459" w:rsidRDefault="008A2F0A" w:rsidP="008A2F0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2017 году БРЭ продолжило оказывать поддержку членам МСЭ, в частности развивающимся странам, в сфере укрепления доверия и безопасности при использовании ИКТ. Проводимые БРЭ мероприятия </w:t>
            </w:r>
            <w:r w:rsidRPr="002528A9">
              <w:rPr>
                <w:sz w:val="22"/>
                <w:szCs w:val="22"/>
              </w:rPr>
              <w:t>включали, среди прочего, реализацию</w:t>
            </w:r>
            <w:r w:rsidRPr="00684459">
              <w:rPr>
                <w:sz w:val="22"/>
                <w:szCs w:val="22"/>
              </w:rPr>
              <w:t xml:space="preserve"> инициатив по созданию потенциала и информационно-пропагандистской деятельности, проведение мероприятий, касающихся правовых и технических улучшений, а также международного сотрудничества.</w:t>
            </w:r>
          </w:p>
          <w:p w:rsidR="008A2F0A" w:rsidRPr="00684459" w:rsidRDefault="008A2F0A" w:rsidP="008A2F0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Вышел в свет второй выпуск Глобального индекса кибербезопасности, который предназначен для измерения уровня приверженности Государств-Членов делу обеспечения кибербезопасности.</w:t>
            </w:r>
          </w:p>
          <w:p w:rsidR="008A2F0A" w:rsidRPr="00684459" w:rsidRDefault="008A2F0A" w:rsidP="008A2F0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сфере защиты ребенка в онлайновой среде был реализован ряд инициатив и проведен ряд мероприятий, включая разработку руководящих указаний и стратегий (например, в Египте, странах Карибс</w:t>
            </w:r>
            <w:r w:rsidR="009110E8" w:rsidRPr="00684459">
              <w:rPr>
                <w:sz w:val="22"/>
                <w:szCs w:val="22"/>
              </w:rPr>
              <w:t>кого бассейна, Судане и т. д.).</w:t>
            </w:r>
          </w:p>
          <w:p w:rsidR="008A2F0A" w:rsidRPr="00684459" w:rsidRDefault="008A2F0A" w:rsidP="00DB3D1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 xml:space="preserve">БРЭ содействовало созданию и усилению национальных CIRT (например, в Мали, арабских государствах, Намибии, Мавритании, Зимбабве и т. д.). Так, в сентябре с правительством Австралии было подписано соглашение о реализации проекта в области кибербезопасности, направленного на оказание помощи </w:t>
            </w:r>
            <w:r w:rsidR="00DB3D15" w:rsidRPr="00684459">
              <w:rPr>
                <w:sz w:val="22"/>
                <w:szCs w:val="22"/>
              </w:rPr>
              <w:t>четырем</w:t>
            </w:r>
            <w:r w:rsidRPr="00684459">
              <w:rPr>
                <w:sz w:val="22"/>
                <w:szCs w:val="22"/>
              </w:rPr>
              <w:t xml:space="preserve"> тихоокеанским островным государствам в создании национальных CIRT.</w:t>
            </w:r>
          </w:p>
          <w:p w:rsidR="008A2F0A" w:rsidRPr="00684459" w:rsidRDefault="008A2F0A" w:rsidP="008A2F0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ряде стран и регионов (например, в странах Карибского бассейна, арабских государствах, Уругвае и т. д.) были проведены тренировочные занятия по кибербезопасности. Так, в Дохе, Катар, в сотрудничестве с Арабским региональным центром по кибербезопасности (</w:t>
            </w:r>
            <w:proofErr w:type="spellStart"/>
            <w:r w:rsidRPr="00684459">
              <w:rPr>
                <w:sz w:val="22"/>
                <w:szCs w:val="22"/>
              </w:rPr>
              <w:t>ARCC</w:t>
            </w:r>
            <w:proofErr w:type="spellEnd"/>
            <w:r w:rsidRPr="00684459">
              <w:rPr>
                <w:sz w:val="22"/>
                <w:szCs w:val="22"/>
              </w:rPr>
              <w:t xml:space="preserve">) было проведено региональное тренировочное занятие по кибербезопасности </w:t>
            </w:r>
            <w:proofErr w:type="spellStart"/>
            <w:r w:rsidRPr="00684459">
              <w:rPr>
                <w:sz w:val="22"/>
                <w:szCs w:val="22"/>
              </w:rPr>
              <w:t>ALERT</w:t>
            </w:r>
            <w:proofErr w:type="spellEnd"/>
            <w:r w:rsidRPr="00684459">
              <w:rPr>
                <w:sz w:val="22"/>
                <w:szCs w:val="22"/>
              </w:rPr>
              <w:t xml:space="preserve"> (практическое обучение для группы реагирования на случаи чрезвычайных ситуаций). На занятии присутствовали 100 участников из 11 стран. В ряде стран и регионов (Северная и Южная Америка, Свазиленд, Джибути и т. д.) с успехом прошли семинары-практикумы и симпозиумы по вопросам кибербезопасности.</w:t>
            </w:r>
          </w:p>
          <w:p w:rsidR="00460481" w:rsidRPr="00684459" w:rsidRDefault="008A2F0A" w:rsidP="00DB3D15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Региональный семинар-практикум МСЭ по кибербезопасности для стран СНГ стал платформой для обмена опытом, в том числе в контексте недавних кибератак в регионе, а также идеями относительно того, как с ними бороться. В семинаре-практикуме приняли участие 56 человек из </w:t>
            </w:r>
            <w:r w:rsidR="00DB3D15" w:rsidRPr="00684459">
              <w:rPr>
                <w:sz w:val="22"/>
                <w:szCs w:val="22"/>
              </w:rPr>
              <w:t>восьми</w:t>
            </w:r>
            <w:r w:rsidRPr="00684459">
              <w:rPr>
                <w:sz w:val="22"/>
                <w:szCs w:val="22"/>
              </w:rPr>
              <w:t xml:space="preserve"> стран.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45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1, 5, 9, 15, 30, 33, 37, 45, 50, 59, 64, 67, 69, 78, 79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FC0E32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4E462F" w:rsidRPr="00684459" w:rsidRDefault="004B5B62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4E462F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4E462F" w:rsidRPr="00684459" w:rsidRDefault="004B5B62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E462F" w:rsidRPr="00684459">
              <w:rPr>
                <w:sz w:val="22"/>
                <w:szCs w:val="22"/>
              </w:rPr>
              <w:t xml:space="preserve"> 25, 71, 72, 130, 179, 181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4E462F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ВАСЭ</w:t>
            </w:r>
          </w:p>
        </w:tc>
        <w:tc>
          <w:tcPr>
            <w:tcW w:w="6945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50, 52, 58 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</w:tcPr>
          <w:p w:rsidR="004E462F" w:rsidRPr="00684459" w:rsidRDefault="00BC026E" w:rsidP="004B5B62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Направление деятельности C</w:t>
            </w:r>
            <w:r w:rsidR="004B5B62" w:rsidRPr="00684459">
              <w:rPr>
                <w:sz w:val="22"/>
                <w:szCs w:val="22"/>
              </w:rPr>
              <w:t>5 ВВУИО</w:t>
            </w:r>
          </w:p>
        </w:tc>
      </w:tr>
      <w:tr w:rsidR="004E462F" w:rsidRPr="00684459" w:rsidTr="00460481">
        <w:tc>
          <w:tcPr>
            <w:tcW w:w="2689" w:type="dxa"/>
          </w:tcPr>
          <w:p w:rsidR="004E462F" w:rsidRPr="00684459" w:rsidRDefault="004E462F" w:rsidP="004E46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</w:tcPr>
          <w:p w:rsidR="004E462F" w:rsidRPr="00684459" w:rsidRDefault="004B5B62" w:rsidP="004E462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4E462F" w:rsidRPr="00684459">
              <w:rPr>
                <w:sz w:val="22"/>
                <w:szCs w:val="22"/>
              </w:rPr>
              <w:t>: 1, 3 (</w:t>
            </w:r>
            <w:r w:rsidR="00EB6CAC"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3.5), 4 (</w:t>
            </w:r>
            <w:r w:rsidR="00EB6CAC"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4.a), 5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4E462F" w:rsidRPr="00684459">
              <w:rPr>
                <w:sz w:val="22"/>
                <w:szCs w:val="22"/>
              </w:rPr>
              <w:t xml:space="preserve"> 5.2, 5.3, 5.b), 7, 8, 9, 10 (</w:t>
            </w:r>
            <w:r w:rsidR="00EB6CAC" w:rsidRPr="00684459">
              <w:rPr>
                <w:sz w:val="22"/>
                <w:szCs w:val="22"/>
              </w:rPr>
              <w:t>задача</w:t>
            </w:r>
            <w:r w:rsidR="004E462F" w:rsidRPr="00684459">
              <w:rPr>
                <w:sz w:val="22"/>
                <w:szCs w:val="22"/>
              </w:rPr>
              <w:t xml:space="preserve"> 10.2), 11, 16, 17</w:t>
            </w:r>
          </w:p>
        </w:tc>
      </w:tr>
    </w:tbl>
    <w:p w:rsidR="00460481" w:rsidRPr="00E21E8F" w:rsidRDefault="00460481" w:rsidP="00E21E8F">
      <w:pPr>
        <w:pStyle w:val="Heading2"/>
      </w:pPr>
      <w:r w:rsidRPr="00E21E8F">
        <w:t>3.2</w:t>
      </w:r>
      <w:r w:rsidRPr="00E21E8F">
        <w:tab/>
      </w:r>
      <w:r w:rsidR="00B10559" w:rsidRPr="00E21E8F">
        <w:t>Приложения и услуги ИКТ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6961"/>
      </w:tblGrid>
      <w:tr w:rsidR="00460481" w:rsidRPr="00684459" w:rsidTr="0022671B">
        <w:tc>
          <w:tcPr>
            <w:tcW w:w="9628" w:type="dxa"/>
            <w:gridSpan w:val="2"/>
          </w:tcPr>
          <w:p w:rsidR="00460481" w:rsidRPr="00684459" w:rsidRDefault="008A2F0A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Развитие потенциала Государств-Членов МСЭ для разработки национальных электронных стратегий содействия формированию благоприятной среды в целях расширения масштабов использования приложений ИКТ и далее осуществлялось в рамках самых разных мероприятий, включая</w:t>
            </w:r>
            <w:r w:rsidRPr="002528A9">
              <w:rPr>
                <w:sz w:val="22"/>
                <w:szCs w:val="22"/>
              </w:rPr>
              <w:t>, среди прочего, следующие</w:t>
            </w:r>
            <w:r w:rsidRPr="00684459">
              <w:rPr>
                <w:sz w:val="22"/>
                <w:szCs w:val="22"/>
              </w:rPr>
              <w:t>:</w:t>
            </w:r>
          </w:p>
          <w:p w:rsidR="00460481" w:rsidRPr="00684459" w:rsidRDefault="00B10559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сфере электронного здравоохранения</w:t>
            </w:r>
            <w:r w:rsidR="00460481" w:rsidRPr="00684459">
              <w:rPr>
                <w:sz w:val="22"/>
                <w:szCs w:val="22"/>
              </w:rPr>
              <w:t>:</w:t>
            </w:r>
          </w:p>
          <w:p w:rsidR="00460481" w:rsidRPr="00684459" w:rsidRDefault="00B10559" w:rsidP="001C33D3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A2F0A" w:rsidRPr="00684459">
              <w:rPr>
                <w:sz w:val="22"/>
                <w:szCs w:val="22"/>
              </w:rPr>
              <w:t>одно из главных соглашений было подписано с Европейской комиссией и ВОЗ с целью создания центра по инновациям и знаниям в области мобильного здравоохранения в Европе. Центр будет отвечать за сбор и распространение информации об опыте реализации масштабных программ в области мобильного здравоохранения, а также за содействие Государствам-Членам в разработке таких программ;</w:t>
            </w:r>
          </w:p>
          <w:p w:rsidR="00460481" w:rsidRPr="00684459" w:rsidRDefault="00B10559" w:rsidP="001C33D3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при разработке и внедрении национальной "платформы цифрового здравоохранения" был разработан "Инструментарий и руководящие указания по внедрению платформы цифрового здравоохранения"</w:t>
            </w:r>
            <w:r w:rsidR="008A2F0A" w:rsidRPr="00684459">
              <w:rPr>
                <w:sz w:val="22"/>
                <w:szCs w:val="22"/>
              </w:rPr>
              <w:t>;</w:t>
            </w:r>
          </w:p>
          <w:p w:rsidR="00460481" w:rsidRPr="00684459" w:rsidRDefault="00B10559" w:rsidP="001C33D3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A2F0A" w:rsidRPr="00684459">
              <w:rPr>
                <w:sz w:val="22"/>
                <w:szCs w:val="22"/>
              </w:rPr>
              <w:t>в сотрудничестве с Региональным бюро ВОЗ д</w:t>
            </w:r>
            <w:r w:rsidR="00E21E8F">
              <w:rPr>
                <w:sz w:val="22"/>
                <w:szCs w:val="22"/>
              </w:rPr>
              <w:t>ля стран Африки и в рамках 1</w:t>
            </w:r>
            <w:r w:rsidR="00E21E8F">
              <w:rPr>
                <w:sz w:val="22"/>
                <w:szCs w:val="22"/>
              </w:rPr>
              <w:noBreakHyphen/>
              <w:t>го </w:t>
            </w:r>
            <w:r w:rsidR="00E21E8F" w:rsidRPr="00684459">
              <w:rPr>
                <w:sz w:val="22"/>
                <w:szCs w:val="22"/>
              </w:rPr>
              <w:t xml:space="preserve">Африканского </w:t>
            </w:r>
            <w:r w:rsidR="008A2F0A" w:rsidRPr="00684459">
              <w:rPr>
                <w:sz w:val="22"/>
                <w:szCs w:val="22"/>
              </w:rPr>
              <w:t>форума ВОЗ по вопросам здравоохранения, прошедшего в Кигали, Руанда, была реализована новая совместная инициатива, направленная на расширение масштаба предоставления услуг цифрового здравоохранения в странах Африки;</w:t>
            </w:r>
          </w:p>
          <w:p w:rsidR="00460481" w:rsidRPr="00684459" w:rsidRDefault="00B10559" w:rsidP="004D1F3E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A2F0A" w:rsidRPr="00684459">
              <w:rPr>
                <w:sz w:val="22"/>
                <w:szCs w:val="22"/>
              </w:rPr>
              <w:t>Сенегалу была оказана помощь в разработке национального плана действий в области внедрения электронного здравоохранения.</w:t>
            </w:r>
          </w:p>
          <w:p w:rsidR="00460481" w:rsidRPr="00684459" w:rsidRDefault="00B10559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>В сфере электронного сельского хозяйства</w:t>
            </w:r>
            <w:r w:rsidR="00460481" w:rsidRPr="00684459">
              <w:rPr>
                <w:sz w:val="22"/>
                <w:szCs w:val="22"/>
              </w:rPr>
              <w:t>:</w:t>
            </w:r>
          </w:p>
          <w:p w:rsidR="00C627D4" w:rsidRPr="00684459" w:rsidRDefault="00B10559" w:rsidP="00FB3F7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C627D4" w:rsidRPr="00684459">
              <w:rPr>
                <w:sz w:val="22"/>
                <w:szCs w:val="22"/>
              </w:rPr>
              <w:t xml:space="preserve">с </w:t>
            </w:r>
            <w:proofErr w:type="spellStart"/>
            <w:r w:rsidR="00C627D4" w:rsidRPr="00684459">
              <w:rPr>
                <w:sz w:val="22"/>
                <w:szCs w:val="22"/>
              </w:rPr>
              <w:t>ФАО</w:t>
            </w:r>
            <w:proofErr w:type="spellEnd"/>
            <w:r w:rsidR="00C627D4" w:rsidRPr="00684459">
              <w:rPr>
                <w:sz w:val="22"/>
                <w:szCs w:val="22"/>
              </w:rPr>
              <w:t xml:space="preserve"> было подписано соглашение о сотрудничестве в целях укрепления взаимодействия по вопросам электронного сельского хозяйства, а также расширения масштаба и углубления соответствующей деятельности;</w:t>
            </w:r>
          </w:p>
          <w:p w:rsidR="00460481" w:rsidRPr="00684459" w:rsidRDefault="00C627D4" w:rsidP="00A52A71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сотрудничестве с </w:t>
            </w:r>
            <w:proofErr w:type="spellStart"/>
            <w:r w:rsidRPr="00684459">
              <w:rPr>
                <w:sz w:val="22"/>
                <w:szCs w:val="22"/>
              </w:rPr>
              <w:t>ФАО</w:t>
            </w:r>
            <w:proofErr w:type="spellEnd"/>
            <w:r w:rsidRPr="00684459">
              <w:rPr>
                <w:sz w:val="22"/>
                <w:szCs w:val="22"/>
              </w:rPr>
              <w:t xml:space="preserve"> была доработана национальная стратегия в области внедрения электронного сельского хозяйства в интересах Папуа-Новой Гвинеи и был определен ряд приоритетных мер. Были усилена работа по установлению контактов с заинтересованными сторонами для последующей реализации вышеуказанной стратегии.</w:t>
            </w:r>
          </w:p>
          <w:p w:rsidR="00460481" w:rsidRPr="00684459" w:rsidRDefault="00B10559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сфере электронного обучения</w:t>
            </w:r>
            <w:r w:rsidR="00460481" w:rsidRPr="00684459">
              <w:rPr>
                <w:sz w:val="22"/>
                <w:szCs w:val="22"/>
              </w:rPr>
              <w:t>:</w:t>
            </w:r>
          </w:p>
          <w:p w:rsidR="00460481" w:rsidRPr="00684459" w:rsidRDefault="00B10559" w:rsidP="00A52A71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105EC" w:rsidRPr="00684459">
              <w:rPr>
                <w:sz w:val="22"/>
                <w:szCs w:val="22"/>
              </w:rPr>
              <w:t>разрабатывается типовое соглашение о сотрудничестве сектора ИКТ с другими секторами (здравоохранение, сельское хозяйство, образование и т. д.), с тем чтобы содействовать появлению на национальном и ведомственном уровнях соглашений, которые могут способствовать расширению масштаба предоставления услуг ИКТ в целях развития на основе партнерства государственного и частного секторов;</w:t>
            </w:r>
          </w:p>
          <w:p w:rsidR="009105EC" w:rsidRPr="00684459" w:rsidRDefault="00B10559" w:rsidP="00A52A71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9105EC" w:rsidRPr="00684459">
              <w:rPr>
                <w:sz w:val="22"/>
                <w:szCs w:val="22"/>
              </w:rPr>
              <w:t>был успешно проведен совместный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4E462F" w:rsidRPr="00684459">
              <w:rPr>
                <w:sz w:val="22"/>
                <w:szCs w:val="22"/>
              </w:rPr>
              <w:t>"</w:t>
            </w:r>
            <w:r w:rsidRPr="00684459">
              <w:rPr>
                <w:sz w:val="22"/>
                <w:szCs w:val="22"/>
              </w:rPr>
              <w:t>Политический форум МСЭ-ЮНЕСКО по мобильному обучению</w:t>
            </w:r>
            <w:r w:rsidR="004E462F" w:rsidRPr="00684459">
              <w:rPr>
                <w:sz w:val="22"/>
                <w:szCs w:val="22"/>
              </w:rPr>
              <w:t>"</w:t>
            </w:r>
            <w:r w:rsidR="009105EC" w:rsidRPr="00684459">
              <w:rPr>
                <w:sz w:val="22"/>
                <w:szCs w:val="22"/>
              </w:rPr>
              <w:t>,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9105EC" w:rsidRPr="00684459">
              <w:rPr>
                <w:sz w:val="22"/>
                <w:szCs w:val="22"/>
              </w:rPr>
              <w:t xml:space="preserve">на котором присутствовали свыше 300 участников. На форуме была отмечена роль </w:t>
            </w:r>
            <w:proofErr w:type="spellStart"/>
            <w:r w:rsidR="009105EC" w:rsidRPr="00684459">
              <w:rPr>
                <w:sz w:val="22"/>
                <w:szCs w:val="22"/>
              </w:rPr>
              <w:t>межсекторального</w:t>
            </w:r>
            <w:proofErr w:type="spellEnd"/>
            <w:r w:rsidR="009105EC" w:rsidRPr="00684459">
              <w:rPr>
                <w:sz w:val="22"/>
                <w:szCs w:val="22"/>
              </w:rPr>
              <w:t xml:space="preserve"> сотрудничества в развитии необходимых электронных навыков.</w:t>
            </w:r>
          </w:p>
          <w:p w:rsidR="009105EC" w:rsidRPr="00684459" w:rsidRDefault="009105EC" w:rsidP="009105EC">
            <w:pPr>
              <w:rPr>
                <w:sz w:val="22"/>
                <w:szCs w:val="22"/>
                <w:u w:val="single"/>
              </w:rPr>
            </w:pPr>
            <w:r w:rsidRPr="00684459">
              <w:rPr>
                <w:sz w:val="22"/>
                <w:szCs w:val="22"/>
              </w:rPr>
              <w:t xml:space="preserve">Другие </w:t>
            </w:r>
            <w:r w:rsidRPr="00E21E8F">
              <w:rPr>
                <w:sz w:val="22"/>
                <w:szCs w:val="22"/>
              </w:rPr>
              <w:t>программы, среди прочего, включали</w:t>
            </w:r>
            <w:r w:rsidRPr="00684459">
              <w:rPr>
                <w:sz w:val="22"/>
                <w:szCs w:val="22"/>
              </w:rPr>
              <w:t xml:space="preserve"> следующее:</w:t>
            </w:r>
          </w:p>
          <w:p w:rsidR="009105EC" w:rsidRPr="00684459" w:rsidRDefault="009105EC" w:rsidP="009105EC">
            <w:pPr>
              <w:pStyle w:val="enumlev1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разработан первый проект единой платформы ИКТ в интересах достижения ЦУР, направленный на создание общей архитектуры единой цифровой инфраструктуры, способной предоставлять ряд комплексных и межсекторальных услуг в соответствии с едиными стандартами и корпоративными принципами;</w:t>
            </w:r>
          </w:p>
          <w:p w:rsidR="009105EC" w:rsidRPr="00684459" w:rsidRDefault="009105EC" w:rsidP="00FB3F7E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рамках регионального семинара-практикума МСЭ, прошедшего в Узбекистане, было усилено сотрудничество в сфере внедрения концепции "умных" городов и улучшено понимание базовых технологий и связанных с ними трудностей;</w:t>
            </w:r>
          </w:p>
          <w:p w:rsidR="00460481" w:rsidRPr="00684459" w:rsidRDefault="009105EC" w:rsidP="00FB3F7E">
            <w:pPr>
              <w:pStyle w:val="enumlev1"/>
              <w:spacing w:before="12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были успешно проведены мероприятия на Филиппинах (национальная стратегия внедрения электронного сельского хозяйства), а также в России (технологии на основе интернета вещей и будущих сетей), Казахстане (развитие цифровых финансовых услуг), Буркина-Фасо (программа по внедрению мобильных услуг в области лечения рака шейки матки), Замбии (внедрение мобильного здравоохранения), Зимбабве (услуги телемедицины) и т. д.</w:t>
            </w:r>
          </w:p>
        </w:tc>
      </w:tr>
      <w:tr w:rsidR="0022671B" w:rsidRPr="00684459" w:rsidTr="0022671B">
        <w:tc>
          <w:tcPr>
            <w:tcW w:w="2667" w:type="dxa"/>
          </w:tcPr>
          <w:p w:rsidR="0022671B" w:rsidRPr="00684459" w:rsidRDefault="0022671B" w:rsidP="0022671B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61" w:type="dxa"/>
          </w:tcPr>
          <w:p w:rsidR="0022671B" w:rsidRPr="00684459" w:rsidRDefault="004B5B62" w:rsidP="007D2860">
            <w:pPr>
              <w:spacing w:before="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22671B" w:rsidRPr="00684459">
              <w:rPr>
                <w:sz w:val="22"/>
                <w:szCs w:val="22"/>
              </w:rPr>
              <w:t xml:space="preserve"> 1, 5, 30, 54</w:t>
            </w:r>
          </w:p>
        </w:tc>
      </w:tr>
      <w:tr w:rsidR="0022671B" w:rsidRPr="00684459" w:rsidTr="0022671B">
        <w:tc>
          <w:tcPr>
            <w:tcW w:w="2667" w:type="dxa"/>
          </w:tcPr>
          <w:p w:rsidR="0022671B" w:rsidRPr="00684459" w:rsidRDefault="00FC0E32" w:rsidP="0022671B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61" w:type="dxa"/>
          </w:tcPr>
          <w:p w:rsidR="0022671B" w:rsidRPr="00684459" w:rsidRDefault="004B5B62" w:rsidP="0022671B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22671B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22671B" w:rsidRPr="00684459" w:rsidRDefault="004B5B62" w:rsidP="0022671B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22671B" w:rsidRPr="00684459">
              <w:rPr>
                <w:sz w:val="22"/>
                <w:szCs w:val="22"/>
              </w:rPr>
              <w:t xml:space="preserve"> 25, 71, 72, 139, 140, 183, 202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22671B" w:rsidRPr="00684459" w:rsidTr="0022671B">
        <w:tc>
          <w:tcPr>
            <w:tcW w:w="2667" w:type="dxa"/>
          </w:tcPr>
          <w:p w:rsidR="0022671B" w:rsidRPr="00684459" w:rsidRDefault="0022671B" w:rsidP="0022671B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61" w:type="dxa"/>
          </w:tcPr>
          <w:p w:rsidR="0022671B" w:rsidRPr="00684459" w:rsidRDefault="004B5B62" w:rsidP="00DB3D15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Направление деятельности C7 Женевского плана действий</w:t>
            </w:r>
            <w:r w:rsidR="00DB3D15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22671B" w:rsidRPr="00684459" w:rsidTr="0022671B">
        <w:tc>
          <w:tcPr>
            <w:tcW w:w="2667" w:type="dxa"/>
          </w:tcPr>
          <w:p w:rsidR="0022671B" w:rsidRPr="00684459" w:rsidRDefault="0022671B" w:rsidP="0022671B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61" w:type="dxa"/>
          </w:tcPr>
          <w:p w:rsidR="0022671B" w:rsidRPr="00684459" w:rsidRDefault="004B5B62" w:rsidP="0022671B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22671B" w:rsidRPr="00684459">
              <w:rPr>
                <w:sz w:val="22"/>
                <w:szCs w:val="22"/>
              </w:rPr>
              <w:t>: 2, 3, 4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22671B" w:rsidRPr="00684459">
              <w:rPr>
                <w:sz w:val="22"/>
                <w:szCs w:val="22"/>
              </w:rPr>
              <w:t xml:space="preserve"> 4.1, 4.2, 4.3, 4.4, 4.5, 4.6, 4.7), 6, 7, 8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22671B" w:rsidRPr="00684459">
              <w:rPr>
                <w:sz w:val="22"/>
                <w:szCs w:val="22"/>
              </w:rPr>
              <w:t xml:space="preserve"> 8.1, 8.3, 8.8), 9 (</w:t>
            </w:r>
            <w:r w:rsidR="00EB6CAC" w:rsidRPr="00684459">
              <w:rPr>
                <w:sz w:val="22"/>
                <w:szCs w:val="22"/>
              </w:rPr>
              <w:t>задачи</w:t>
            </w:r>
            <w:r w:rsidR="0022671B" w:rsidRPr="00684459">
              <w:rPr>
                <w:sz w:val="22"/>
                <w:szCs w:val="22"/>
              </w:rPr>
              <w:t xml:space="preserve"> 9.1, 9.b), 11</w:t>
            </w:r>
          </w:p>
        </w:tc>
      </w:tr>
    </w:tbl>
    <w:p w:rsidR="00DD58C8" w:rsidRPr="00684459" w:rsidRDefault="00DD58C8" w:rsidP="00E21E8F">
      <w:pPr>
        <w:pStyle w:val="Heading1"/>
      </w:pPr>
      <w:r w:rsidRPr="00684459">
        <w:lastRenderedPageBreak/>
        <w:t>4</w:t>
      </w:r>
      <w:r w:rsidRPr="00684459">
        <w:tab/>
        <w:t>Задача 4: "</w:t>
      </w:r>
      <w:r w:rsidRPr="00E21E8F">
        <w:rPr>
          <w:i/>
          <w:iCs/>
        </w:rPr>
        <w:t>Создавать человеческий и институциональный потенциал, предоставлять информацию и статистические данные, обеспечивать охват цифровыми технологиями и предоставлять концентрированную помощь странам, находящимся в особо трудном положении</w:t>
      </w:r>
      <w:r w:rsidRPr="00684459">
        <w:t>"</w:t>
      </w:r>
    </w:p>
    <w:p w:rsidR="00DD58C8" w:rsidRPr="00E21E8F" w:rsidRDefault="00DD58C8" w:rsidP="00E21E8F">
      <w:pPr>
        <w:pStyle w:val="Heading2"/>
      </w:pPr>
      <w:r w:rsidRPr="00E21E8F">
        <w:t>4.1</w:t>
      </w:r>
      <w:r w:rsidRPr="00E21E8F">
        <w:tab/>
        <w:t>Создание потенциала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460481" w:rsidRPr="00684459" w:rsidTr="00460481">
        <w:tc>
          <w:tcPr>
            <w:tcW w:w="9634" w:type="dxa"/>
            <w:gridSpan w:val="2"/>
          </w:tcPr>
          <w:p w:rsidR="00130E28" w:rsidRPr="00684459" w:rsidRDefault="00130E28" w:rsidP="008258FF">
            <w:pPr>
              <w:rPr>
                <w:rFonts w:eastAsia="PMingLiU-ExtB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2017 году БРЭ продолжил</w:t>
            </w:r>
            <w:r w:rsidR="008258FF" w:rsidRPr="00684459">
              <w:rPr>
                <w:sz w:val="22"/>
                <w:szCs w:val="22"/>
              </w:rPr>
              <w:t>о</w:t>
            </w:r>
            <w:r w:rsidRPr="00684459">
              <w:rPr>
                <w:sz w:val="22"/>
                <w:szCs w:val="22"/>
              </w:rPr>
              <w:t xml:space="preserve"> разрабатывать направления политики, стратегии и руководящие указания по созданию потенциала и доводить их до </w:t>
            </w:r>
            <w:r w:rsidR="008258FF" w:rsidRPr="00684459">
              <w:rPr>
                <w:sz w:val="22"/>
                <w:szCs w:val="22"/>
              </w:rPr>
              <w:t>сведения</w:t>
            </w:r>
            <w:r w:rsidRPr="00684459">
              <w:rPr>
                <w:sz w:val="22"/>
                <w:szCs w:val="22"/>
              </w:rPr>
              <w:t xml:space="preserve"> членов МСЭ для оказания помощи последним в расширении и усилении их </w:t>
            </w:r>
            <w:r w:rsidR="004104D7" w:rsidRPr="00684459">
              <w:rPr>
                <w:sz w:val="22"/>
                <w:szCs w:val="22"/>
              </w:rPr>
              <w:t>человеческого</w:t>
            </w:r>
            <w:r w:rsidRPr="00684459">
              <w:rPr>
                <w:sz w:val="22"/>
                <w:szCs w:val="22"/>
              </w:rPr>
              <w:t xml:space="preserve"> и институционального потенциала, а также в разработке национальных программ. Были успешно предприняты, </w:t>
            </w:r>
            <w:r w:rsidRPr="00684459">
              <w:rPr>
                <w:i/>
                <w:sz w:val="22"/>
                <w:szCs w:val="22"/>
              </w:rPr>
              <w:t>в том числе</w:t>
            </w:r>
            <w:r w:rsidRPr="00684459">
              <w:rPr>
                <w:sz w:val="22"/>
                <w:szCs w:val="22"/>
              </w:rPr>
              <w:t>, следующие меры и достигнуты запланированные конечные результаты:</w:t>
            </w:r>
          </w:p>
          <w:p w:rsidR="00130E28" w:rsidRPr="00684459" w:rsidRDefault="00130E28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на базе центров профессионального мастерства Академии МСЭ за период с января по декабр</w:t>
            </w:r>
            <w:r w:rsidR="00E21E8F">
              <w:rPr>
                <w:sz w:val="22"/>
                <w:szCs w:val="22"/>
              </w:rPr>
              <w:t>ь 2017 года было проведено в общ</w:t>
            </w:r>
            <w:r w:rsidRPr="00684459">
              <w:rPr>
                <w:sz w:val="22"/>
                <w:szCs w:val="22"/>
              </w:rPr>
              <w:t>ей сложности 64 курса профессиональной подготовки, участие в которых принял в целом 1551 человек со всего мира;</w:t>
            </w:r>
          </w:p>
          <w:p w:rsidR="00130E28" w:rsidRPr="00684459" w:rsidRDefault="00130E28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вышла в свет онлайновая публикация под названием "Создание потенциала в условиях изменяющейся среды ИКТ";</w:t>
            </w:r>
          </w:p>
          <w:p w:rsidR="00130E28" w:rsidRPr="00684459" w:rsidRDefault="00130E28" w:rsidP="008258F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доработан отчет о развитии потенциала в области управления использованием интернета;</w:t>
            </w:r>
          </w:p>
          <w:p w:rsidR="00130E28" w:rsidRPr="00684459" w:rsidRDefault="00130E28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была завершена разработка учебных материалов для учебной программы в о</w:t>
            </w:r>
            <w:r w:rsidR="009110E8" w:rsidRPr="00684459">
              <w:rPr>
                <w:sz w:val="22"/>
                <w:szCs w:val="22"/>
              </w:rPr>
              <w:t>бласти ИКТ и изменения климата;</w:t>
            </w:r>
          </w:p>
          <w:p w:rsidR="00130E28" w:rsidRPr="00684459" w:rsidRDefault="00130E28" w:rsidP="008258F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подготовлен отчет о разработке учебной программы в области интернета вещей (IoT). В программу войдут в общей сложности 15 модулей (</w:t>
            </w:r>
            <w:r w:rsidR="008258FF" w:rsidRPr="00684459">
              <w:rPr>
                <w:sz w:val="22"/>
                <w:szCs w:val="22"/>
              </w:rPr>
              <w:t>восемь</w:t>
            </w:r>
            <w:r w:rsidRPr="00684459">
              <w:rPr>
                <w:sz w:val="22"/>
                <w:szCs w:val="22"/>
              </w:rPr>
              <w:t xml:space="preserve"> модулей базового уровня и </w:t>
            </w:r>
            <w:r w:rsidR="008258FF" w:rsidRPr="00684459">
              <w:rPr>
                <w:sz w:val="22"/>
                <w:szCs w:val="22"/>
              </w:rPr>
              <w:t>семь</w:t>
            </w:r>
            <w:r w:rsidRPr="00684459">
              <w:rPr>
                <w:sz w:val="22"/>
                <w:szCs w:val="22"/>
              </w:rPr>
              <w:t xml:space="preserve"> модулей продвинутого уровня). Набор экспертов для разработки индивидуальных модулей уже начался. Разработка модулей должна быть завершена не позднее апреля 2018 года;</w:t>
            </w:r>
          </w:p>
          <w:p w:rsidR="00130E28" w:rsidRPr="00684459" w:rsidRDefault="00130E28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Программа профессиональной подготовки в области управления использованием спектра (SMTP) была полностью пересмотрена и обновлена, с тем чтобы содержащиеся в ней материалы отображали наиболее актуальную картину в данной области;</w:t>
            </w:r>
          </w:p>
          <w:p w:rsidR="00460481" w:rsidRPr="00684459" w:rsidRDefault="00130E28" w:rsidP="0014682D">
            <w:pPr>
              <w:pStyle w:val="enumlev1"/>
              <w:spacing w:before="60"/>
              <w:rPr>
                <w:rFonts w:eastAsia="PMingLiU-ExtB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на базе центров профессионального мастерства МСЭ в Азиатско-Тихоокеанском регионе были проведены семь курсов профессиональной подготовки в области управления использованием спектра, безопасности интернета и инфраструктуры IPv6, соответствия и функциональной совместимости (C&amp;I) в контексте 4G </w:t>
            </w:r>
            <w:proofErr w:type="spellStart"/>
            <w:r w:rsidRPr="00684459">
              <w:rPr>
                <w:sz w:val="22"/>
                <w:szCs w:val="22"/>
              </w:rPr>
              <w:t>LTE</w:t>
            </w:r>
            <w:proofErr w:type="spellEnd"/>
            <w:r w:rsidRPr="00684459">
              <w:rPr>
                <w:sz w:val="22"/>
                <w:szCs w:val="22"/>
              </w:rPr>
              <w:t xml:space="preserve">, технологии IoT, стандартов и планирования, механизмов совместного </w:t>
            </w:r>
            <w:proofErr w:type="spellStart"/>
            <w:r w:rsidRPr="00684459">
              <w:rPr>
                <w:sz w:val="22"/>
                <w:szCs w:val="22"/>
              </w:rPr>
              <w:t>межсекторального</w:t>
            </w:r>
            <w:proofErr w:type="spellEnd"/>
            <w:r w:rsidRPr="00684459">
              <w:rPr>
                <w:sz w:val="22"/>
                <w:szCs w:val="22"/>
              </w:rPr>
              <w:t xml:space="preserve"> регулирования и анализа конкуренции в условиях цифровой экономики, технической разработки спектра и трансграничной координации радиочастот, а также планирования сетей широкополосной подвижной связи и интернета вещей (подробное описание содержится в других разделах).</w:t>
            </w:r>
          </w:p>
          <w:p w:rsidR="00831859" w:rsidRPr="00684459" w:rsidRDefault="00AF64DE" w:rsidP="00831859">
            <w:pPr>
              <w:rPr>
                <w:rFonts w:eastAsia="PMingLiU-ExtB"/>
                <w:sz w:val="22"/>
                <w:szCs w:val="22"/>
              </w:rPr>
            </w:pPr>
            <w:r w:rsidRPr="00684459">
              <w:rPr>
                <w:rFonts w:eastAsia="PMingLiU-ExtB"/>
                <w:sz w:val="22"/>
                <w:szCs w:val="22"/>
              </w:rPr>
              <w:t>Работа, нацеленная на достижение Намеченного результата деятельности 4.1, способствовала укреплению сотрудничества между МСЭ и соответствующими партнерами в области развития потенциала.</w:t>
            </w:r>
            <w:r w:rsidR="004E462F" w:rsidRPr="00684459">
              <w:rPr>
                <w:rFonts w:eastAsia="PMingLiU-ExtB"/>
                <w:sz w:val="22"/>
                <w:szCs w:val="22"/>
              </w:rPr>
              <w:t xml:space="preserve"> </w:t>
            </w:r>
            <w:r w:rsidR="00831859" w:rsidRPr="00684459">
              <w:rPr>
                <w:sz w:val="22"/>
                <w:szCs w:val="22"/>
              </w:rPr>
              <w:t xml:space="preserve">С </w:t>
            </w:r>
            <w:proofErr w:type="spellStart"/>
            <w:r w:rsidR="00831859" w:rsidRPr="00684459">
              <w:rPr>
                <w:sz w:val="22"/>
                <w:szCs w:val="22"/>
              </w:rPr>
              <w:t>ARCTEL</w:t>
            </w:r>
            <w:proofErr w:type="spellEnd"/>
            <w:r w:rsidR="00831859" w:rsidRPr="00684459">
              <w:rPr>
                <w:sz w:val="22"/>
                <w:szCs w:val="22"/>
              </w:rPr>
              <w:t xml:space="preserve"> было подписано соглашение о сотрудничестве в целях совместного проведения ускоренного курса по вопросам управления для руководителей в области электросвязи. Данный курс направлен на проведение высококачественного и сертифицированного обучения руководителей сектора электросвязи. В сотрудничестве с различными партнерами был проведен ряд региональных мероприятий, </w:t>
            </w:r>
            <w:r w:rsidR="00831859" w:rsidRPr="002528A9">
              <w:rPr>
                <w:sz w:val="22"/>
                <w:szCs w:val="22"/>
              </w:rPr>
              <w:t>включая, среди прочего, следующие</w:t>
            </w:r>
            <w:r w:rsidR="00831859" w:rsidRPr="00684459">
              <w:rPr>
                <w:sz w:val="22"/>
                <w:szCs w:val="22"/>
              </w:rPr>
              <w:t>:</w:t>
            </w:r>
          </w:p>
          <w:p w:rsidR="00460481" w:rsidRPr="00684459" w:rsidRDefault="00831859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были проведены региональные учебные семинары-практикумы на тему "Спутниковая связь" для стран Африки, Арабского региона и Карибского бассейна. Данные семинары-практикумы были организованы в рамках соглашения о партнерстве с Международной организацией спутниковой связи (</w:t>
            </w:r>
            <w:proofErr w:type="spellStart"/>
            <w:r w:rsidRPr="00684459">
              <w:rPr>
                <w:sz w:val="22"/>
                <w:szCs w:val="22"/>
              </w:rPr>
              <w:t>ITSO</w:t>
            </w:r>
            <w:proofErr w:type="spellEnd"/>
            <w:r w:rsidRPr="00684459">
              <w:rPr>
                <w:sz w:val="22"/>
                <w:szCs w:val="22"/>
              </w:rPr>
              <w:t>);</w:t>
            </w:r>
          </w:p>
          <w:p w:rsidR="00460481" w:rsidRPr="00684459" w:rsidRDefault="00B5605C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>−</w:t>
            </w:r>
            <w:r w:rsidRPr="00684459">
              <w:rPr>
                <w:sz w:val="22"/>
                <w:szCs w:val="22"/>
              </w:rPr>
              <w:tab/>
            </w:r>
            <w:r w:rsidR="00AF64DE" w:rsidRPr="00684459">
              <w:rPr>
                <w:sz w:val="22"/>
                <w:szCs w:val="22"/>
              </w:rPr>
              <w:t xml:space="preserve">курс профессиональной подготовки, посвященный основам построения волоконно-оптических сетей, также организованный в сотрудничестве с центром </w:t>
            </w:r>
            <w:proofErr w:type="spellStart"/>
            <w:r w:rsidR="00AF64DE" w:rsidRPr="00684459">
              <w:rPr>
                <w:sz w:val="22"/>
                <w:szCs w:val="22"/>
              </w:rPr>
              <w:t>CIFODECOM</w:t>
            </w:r>
            <w:proofErr w:type="spellEnd"/>
            <w:r w:rsidR="004F434E" w:rsidRPr="00684459">
              <w:rPr>
                <w:sz w:val="22"/>
                <w:szCs w:val="22"/>
              </w:rPr>
              <w:t>;</w:t>
            </w:r>
          </w:p>
          <w:p w:rsidR="00831859" w:rsidRPr="00684459" w:rsidRDefault="00B5605C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831859" w:rsidRPr="00684459">
              <w:rPr>
                <w:sz w:val="22"/>
                <w:szCs w:val="22"/>
              </w:rPr>
              <w:t>был проведен курс профессиональной подготовки на тему "Подготовка к международной конференции-2017" в сотрудничестве с Азиатско-Тихоокеанским сообществом электросвязи (АТСЭ). Проведение данного курса осуществлялось в два этапа (в онлайновом режиме и очно);</w:t>
            </w:r>
          </w:p>
          <w:p w:rsidR="00831859" w:rsidRPr="00684459" w:rsidRDefault="00831859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собрание партнерства МСЭ и Академических организаций "Развитие навыков для цифровой эпохи" прошло в Будапеште, Венгрия. Проведение данного собрания способствовало усилению сотрудничества между МСЭ и академическими организациями, а также между академическими организациями и центрами профессионального мастерства;</w:t>
            </w:r>
          </w:p>
          <w:p w:rsidR="00460481" w:rsidRPr="00684459" w:rsidRDefault="00831859" w:rsidP="0014682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сотрудничестве с </w:t>
            </w:r>
            <w:proofErr w:type="spellStart"/>
            <w:r w:rsidRPr="00684459">
              <w:rPr>
                <w:sz w:val="22"/>
                <w:szCs w:val="22"/>
              </w:rPr>
              <w:t>SUDACAD</w:t>
            </w:r>
            <w:proofErr w:type="spellEnd"/>
            <w:r w:rsidRPr="00684459">
              <w:rPr>
                <w:sz w:val="22"/>
                <w:szCs w:val="22"/>
              </w:rPr>
              <w:t xml:space="preserve"> был проведен курс профессиональной подготовки, направленный на усиление способности участников определять бизнес-риски и риски, связанные с проектами ИКТ, а также обеспечивать организацию процесса управления рисками в области ИКТ.</w:t>
            </w:r>
          </w:p>
          <w:p w:rsidR="00460481" w:rsidRPr="00684459" w:rsidRDefault="00B5605C" w:rsidP="0014682D">
            <w:pPr>
              <w:pStyle w:val="enumlev1"/>
              <w:spacing w:before="60"/>
              <w:rPr>
                <w:rFonts w:eastAsia="PMingLiU-ExtB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AF64DE" w:rsidRPr="00684459">
              <w:rPr>
                <w:sz w:val="22"/>
                <w:szCs w:val="22"/>
              </w:rPr>
              <w:t>В рамках реализуемой совместно с Регуляторным органом электросвязи (</w:t>
            </w:r>
            <w:proofErr w:type="spellStart"/>
            <w:r w:rsidR="00AF64DE" w:rsidRPr="00684459">
              <w:rPr>
                <w:sz w:val="22"/>
                <w:szCs w:val="22"/>
              </w:rPr>
              <w:t>TRA</w:t>
            </w:r>
            <w:proofErr w:type="spellEnd"/>
            <w:r w:rsidR="00AF64DE" w:rsidRPr="00684459">
              <w:rPr>
                <w:sz w:val="22"/>
                <w:szCs w:val="22"/>
              </w:rPr>
              <w:t>) ОАЭ партнерской инициативы утвержден региональный проект по созданию человеческого потенциала в области IPv6 для арабских НРС и Палестины.</w:t>
            </w:r>
          </w:p>
          <w:p w:rsidR="004F434E" w:rsidRPr="00684459" w:rsidRDefault="004F434E" w:rsidP="004F434E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Другие мероприятия и курсы профессиональной подготовки в области создания потенциала </w:t>
            </w:r>
            <w:r w:rsidRPr="002528A9">
              <w:rPr>
                <w:sz w:val="22"/>
                <w:szCs w:val="22"/>
              </w:rPr>
              <w:t>включали, среди прочего, следующие</w:t>
            </w:r>
            <w:r w:rsidRPr="00684459">
              <w:rPr>
                <w:sz w:val="22"/>
                <w:szCs w:val="22"/>
              </w:rPr>
              <w:t>:</w:t>
            </w:r>
          </w:p>
          <w:p w:rsidR="004F434E" w:rsidRPr="00684459" w:rsidRDefault="004F434E" w:rsidP="0028015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Мавритании был проведен ежегодный региональный семинар-практикум по вопросам развития </w:t>
            </w:r>
            <w:r w:rsidR="004104D7" w:rsidRPr="00684459">
              <w:rPr>
                <w:sz w:val="22"/>
                <w:szCs w:val="22"/>
              </w:rPr>
              <w:t xml:space="preserve">человеческого </w:t>
            </w:r>
            <w:r w:rsidRPr="00684459">
              <w:rPr>
                <w:sz w:val="22"/>
                <w:szCs w:val="22"/>
              </w:rPr>
              <w:t>потенциала для стран Африк</w:t>
            </w:r>
            <w:r w:rsidR="00E21E8F">
              <w:rPr>
                <w:sz w:val="22"/>
                <w:szCs w:val="22"/>
              </w:rPr>
              <w:t>и, участие в котором принял 121 </w:t>
            </w:r>
            <w:r w:rsidRPr="00684459">
              <w:rPr>
                <w:sz w:val="22"/>
                <w:szCs w:val="22"/>
              </w:rPr>
              <w:t>человек из 27 стран. Данный семинар-практикум предоставил профессионалам в области ИКТ из государственного сектора, промышленных предприятий и академических учреждений возможность углубить понимание проблем, с которыми сталкиваются страны Африки в конте</w:t>
            </w:r>
            <w:r w:rsidR="009110E8" w:rsidRPr="00684459">
              <w:rPr>
                <w:sz w:val="22"/>
                <w:szCs w:val="22"/>
              </w:rPr>
              <w:t>ксте экосистем интернета вещей;</w:t>
            </w:r>
          </w:p>
          <w:p w:rsidR="004F434E" w:rsidRPr="00684459" w:rsidRDefault="004F434E" w:rsidP="0028015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ходе проведенного в Украине регионального семинара-практикума МСЭ состоялся обмен опытом между профессионалами в области создания потенциала;</w:t>
            </w:r>
          </w:p>
          <w:p w:rsidR="00460481" w:rsidRPr="00684459" w:rsidRDefault="004F434E" w:rsidP="0028015F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Бразилии прошел региональный семинар-практикум на тему "Укрепление потенциала для управления использованием интернета на международном уровне".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45" w:type="dxa"/>
          </w:tcPr>
          <w:p w:rsidR="00EB6CAC" w:rsidRPr="00684459" w:rsidRDefault="00B55837" w:rsidP="00EB6CAC">
            <w:pPr>
              <w:spacing w:before="40" w:after="40"/>
              <w:rPr>
                <w:rFonts w:eastAsia="PMingLiU-ExtB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1, 5, 9, 15, 20, 21, 22, 30, 32, 33, 36, 40, 50, 59, 73, 77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FC0E32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EB6CAC" w:rsidRPr="00684459" w:rsidRDefault="00B55837" w:rsidP="00EB6CAC">
            <w:pPr>
              <w:spacing w:before="40" w:after="40"/>
              <w:rPr>
                <w:rFonts w:eastAsia="PMingLiU-ExtB"/>
                <w:sz w:val="22"/>
                <w:szCs w:val="22"/>
              </w:rPr>
            </w:pPr>
            <w:r w:rsidRPr="00684459">
              <w:rPr>
                <w:rFonts w:eastAsia="PMingLiU-ExtB"/>
                <w:sz w:val="22"/>
                <w:szCs w:val="22"/>
              </w:rPr>
              <w:t>Решения</w:t>
            </w:r>
            <w:r w:rsidR="00EB6CAC" w:rsidRPr="00684459">
              <w:rPr>
                <w:rFonts w:eastAsia="PMingLiU-ExtB"/>
                <w:sz w:val="22"/>
                <w:szCs w:val="22"/>
              </w:rPr>
              <w:t xml:space="preserve"> 5, 13</w:t>
            </w:r>
            <w:r w:rsidRPr="00684459">
              <w:rPr>
                <w:rFonts w:eastAsia="PMingLiU-ExtB"/>
                <w:sz w:val="22"/>
                <w:szCs w:val="22"/>
              </w:rPr>
              <w:t xml:space="preserve"> ПК</w:t>
            </w:r>
          </w:p>
          <w:p w:rsidR="00EB6CAC" w:rsidRPr="00684459" w:rsidRDefault="00B55837" w:rsidP="00EB6CAC">
            <w:pPr>
              <w:spacing w:before="40" w:after="40"/>
              <w:rPr>
                <w:rFonts w:eastAsia="PMingLiU-ExtB"/>
                <w:sz w:val="22"/>
                <w:szCs w:val="22"/>
              </w:rPr>
            </w:pPr>
            <w:r w:rsidRPr="00684459">
              <w:rPr>
                <w:rFonts w:eastAsia="PMingLiU-ExtB"/>
                <w:sz w:val="22"/>
                <w:szCs w:val="22"/>
              </w:rPr>
              <w:t>Резолюции</w:t>
            </w:r>
            <w:r w:rsidR="00EB6CAC" w:rsidRPr="00684459">
              <w:rPr>
                <w:rFonts w:eastAsia="PMingLiU-ExtB"/>
                <w:sz w:val="22"/>
                <w:szCs w:val="22"/>
              </w:rPr>
              <w:t xml:space="preserve"> 25, 71, 72, 137, 139, 140, 176, 188, 189, 197, 199, 202</w:t>
            </w:r>
            <w:r w:rsidRPr="00684459">
              <w:rPr>
                <w:rFonts w:eastAsia="PMingLiU-ExtB"/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Совет</w:t>
            </w:r>
          </w:p>
        </w:tc>
        <w:tc>
          <w:tcPr>
            <w:tcW w:w="6945" w:type="dxa"/>
          </w:tcPr>
          <w:p w:rsidR="00460481" w:rsidRPr="00684459" w:rsidRDefault="00B55837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1143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ВАСЭ</w:t>
            </w:r>
          </w:p>
        </w:tc>
        <w:tc>
          <w:tcPr>
            <w:tcW w:w="6945" w:type="dxa"/>
          </w:tcPr>
          <w:p w:rsidR="00460481" w:rsidRPr="00684459" w:rsidRDefault="00B55837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54, 59, 72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</w:tcPr>
          <w:p w:rsidR="00EB6CAC" w:rsidRPr="00684459" w:rsidRDefault="00B55837" w:rsidP="00F940FB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Направление деятельности C4 Женевского плана действий </w:t>
            </w:r>
            <w:r w:rsidR="00F940FB" w:rsidRPr="00684459">
              <w:rPr>
                <w:sz w:val="22"/>
                <w:szCs w:val="22"/>
              </w:rPr>
              <w:t>и</w:t>
            </w:r>
            <w:r w:rsidR="00EB6CAC" w:rsidRPr="00684459">
              <w:rPr>
                <w:sz w:val="22"/>
                <w:szCs w:val="22"/>
              </w:rPr>
              <w:t xml:space="preserve"> §§ 8, 22, </w:t>
            </w:r>
            <w:proofErr w:type="spellStart"/>
            <w:r w:rsidR="00EB6CAC" w:rsidRPr="00684459">
              <w:rPr>
                <w:sz w:val="22"/>
                <w:szCs w:val="22"/>
              </w:rPr>
              <w:t>23a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, 26g, 49, 51, 65, </w:t>
            </w:r>
            <w:proofErr w:type="spellStart"/>
            <w:r w:rsidR="00EB6CAC" w:rsidRPr="00684459">
              <w:rPr>
                <w:sz w:val="22"/>
                <w:szCs w:val="22"/>
              </w:rPr>
              <w:t>72h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, 86, 87, </w:t>
            </w:r>
            <w:proofErr w:type="spellStart"/>
            <w:r w:rsidR="00EB6CAC" w:rsidRPr="00684459">
              <w:rPr>
                <w:sz w:val="22"/>
                <w:szCs w:val="22"/>
              </w:rPr>
              <w:t>90c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, d, f, 95, </w:t>
            </w:r>
            <w:proofErr w:type="spellStart"/>
            <w:r w:rsidR="00EB6CAC" w:rsidRPr="00684459">
              <w:rPr>
                <w:sz w:val="22"/>
                <w:szCs w:val="22"/>
              </w:rPr>
              <w:t>114b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 </w:t>
            </w:r>
            <w:r w:rsidR="00453B42" w:rsidRPr="00684459">
              <w:rPr>
                <w:sz w:val="22"/>
                <w:szCs w:val="22"/>
              </w:rPr>
              <w:t>Тунисской программы для информационного общества</w:t>
            </w:r>
            <w:r w:rsidR="00F940FB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</w:tcPr>
          <w:p w:rsidR="00EB6CAC" w:rsidRPr="00684459" w:rsidRDefault="00B55837" w:rsidP="00EB6CAC">
            <w:pPr>
              <w:spacing w:before="40" w:after="40"/>
              <w:rPr>
                <w:rFonts w:eastAsia="PMingLiU-ExtB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EB6CAC" w:rsidRPr="00684459">
              <w:rPr>
                <w:sz w:val="22"/>
                <w:szCs w:val="22"/>
              </w:rPr>
              <w:t>: 1 (задача 1.b), 2 (задача 2.3), 3 (задачи 3.7. 3.b. 3.d), 4 (задачи 4.4, 4.7), 5 (задачи 5.5, 5.b), 6 (задача 6.a), 8 (Задача 8.2), 9 (задачи 9.1, 9.b, 9.c), 12 (задачи 12.7, 12.8, 12.a, 12.b), 13 (задачи 13.2, 13.3, 13.b), 14 (задача 14.a), 16 (задача 16.a), 17 (задача 17.9, 17.18)</w:t>
            </w:r>
          </w:p>
        </w:tc>
      </w:tr>
    </w:tbl>
    <w:p w:rsidR="00E21E8F" w:rsidRPr="00E21E8F" w:rsidRDefault="00E21E8F" w:rsidP="00E21E8F">
      <w:r w:rsidRPr="00E21E8F">
        <w:br w:type="page"/>
      </w:r>
    </w:p>
    <w:p w:rsidR="009244EA" w:rsidRPr="00E21E8F" w:rsidRDefault="009244EA" w:rsidP="00E21E8F">
      <w:pPr>
        <w:pStyle w:val="Heading2"/>
      </w:pPr>
      <w:r w:rsidRPr="00E21E8F">
        <w:lastRenderedPageBreak/>
        <w:t>4.2</w:t>
      </w:r>
      <w:r w:rsidRPr="00E21E8F">
        <w:tab/>
        <w:t>Статистические данные по электросвязи/ИКТ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460481" w:rsidRPr="00684459" w:rsidTr="00460481">
        <w:tc>
          <w:tcPr>
            <w:tcW w:w="9634" w:type="dxa"/>
            <w:gridSpan w:val="2"/>
          </w:tcPr>
          <w:p w:rsidR="00460481" w:rsidRPr="00684459" w:rsidRDefault="009244EA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БРЭ имеются наиболее полные наборы данных, в том числе статистических, в области ИКТ со всего мира, относящиеся к различным тематическим областям, среди которых: инфраструктура ИКТ, доступ и использование, политика и регулирование, вопросы затрат и тарифной политики. Усилия МСЭ по достижению данного намеченного результата деятельности привели к повышению доступности и более широкому распространению актуальных, сравнимых на международном уровне баз статистических данных по ИКТ.</w:t>
            </w:r>
          </w:p>
          <w:p w:rsidR="00460481" w:rsidRPr="00684459" w:rsidRDefault="00453B42" w:rsidP="00F940FB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ноябре 2017 года в Тунисе состоялся 15-й симпозиум по всемирным показателям в области электросвязи/ИКТ (WTIS). В рамках WTIS-17 </w:t>
            </w:r>
            <w:r w:rsidR="00F940FB" w:rsidRPr="00684459">
              <w:rPr>
                <w:sz w:val="22"/>
                <w:szCs w:val="22"/>
              </w:rPr>
              <w:t>проведены</w:t>
            </w:r>
            <w:r w:rsidRPr="00684459">
              <w:rPr>
                <w:sz w:val="22"/>
                <w:szCs w:val="22"/>
              </w:rPr>
              <w:t xml:space="preserve"> </w:t>
            </w:r>
            <w:r w:rsidR="00F940FB" w:rsidRPr="00684459">
              <w:rPr>
                <w:sz w:val="22"/>
                <w:szCs w:val="22"/>
              </w:rPr>
              <w:t>пленарные заседания</w:t>
            </w:r>
            <w:r w:rsidRPr="00684459">
              <w:rPr>
                <w:sz w:val="22"/>
                <w:szCs w:val="22"/>
              </w:rPr>
              <w:t xml:space="preserve"> высокого уровня по вопросам использования данных ИКТ в интересах осуществления инвестиционной деятельности, а также касательно появляющихся тенденций в области ИКТ в контексте искусственного интеллекта, больших данных, облачных вычислений и интернета вещей. Участникам также представилась возможность посмотреть несколько презентаций и поприсутствовать на ряде учебных занятий и экспресс-бесед, посвященных инструментам визуализации данных и анализа больших данных, коллективному сбору данных, сетям последующих поколений и отслеживанию формирования цифровой экономики. В рамках WTIS-17 был представлен </w:t>
            </w:r>
            <w:r w:rsidR="00F940FB" w:rsidRPr="00684459">
              <w:rPr>
                <w:sz w:val="22"/>
                <w:szCs w:val="22"/>
              </w:rPr>
              <w:t>последний</w:t>
            </w:r>
            <w:r w:rsidRPr="00684459">
              <w:rPr>
                <w:sz w:val="22"/>
                <w:szCs w:val="22"/>
              </w:rPr>
              <w:t xml:space="preserve"> отчет МСЭ под названием "Измерение информационного общества", в котором были приведены самые свежие результаты определения Индекса развития ИКТ (IDI), являющегося основным глобальным инструментом сравнения уровня развития ИКТ в более чем 170 экономиках мира. Данный отчет помог повысить</w:t>
            </w:r>
            <w:r w:rsidR="009244EA" w:rsidRPr="00684459">
              <w:rPr>
                <w:sz w:val="22"/>
                <w:szCs w:val="22"/>
              </w:rPr>
              <w:t xml:space="preserve"> уровень знаний директивных органов, инвесторов и бизнесменов о текущих тенденциях рынка ИКТ, что позволило им принимать решения с учетом фактических данных на основе точного анализа развития сектора электросвязи/ИКТ на общемировом уровне.</w:t>
            </w:r>
          </w:p>
          <w:p w:rsidR="00460481" w:rsidRPr="00684459" w:rsidRDefault="009244EA" w:rsidP="009244EA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2017 году вышел в свет ряд статистических материалов, призванных повысить осведомленность и расширить знания директивных органов и других заинтересованных сторон о нынешних тенденциях и событиях в сфере электросвязи/ИКТ на основе высококачественных, сопоставимых на международном уровне статистических данных</w:t>
            </w:r>
            <w:r w:rsidR="00460481" w:rsidRPr="00684459">
              <w:rPr>
                <w:sz w:val="22"/>
                <w:szCs w:val="22"/>
              </w:rPr>
              <w:t>.</w:t>
            </w:r>
          </w:p>
          <w:p w:rsidR="00B741EF" w:rsidRPr="00684459" w:rsidRDefault="009244EA" w:rsidP="00D95826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B741EF" w:rsidRPr="00684459">
              <w:rPr>
                <w:sz w:val="22"/>
                <w:szCs w:val="22"/>
              </w:rPr>
              <w:t>В январе и июне 2017 года, соответственно, в свет вышли последняя версия Базы данных МСЭ по всемирным показателям в области электросвязи/ИКТ и совместное издание МСЭ и Всемирного банка под названием "Малый статистический справочник по информационно-коммуникационным технологиям 2017 года". Содержащаяся в них информация позволит пользователям принимать обоснованные решения в области ИКТ с учетом сопоставимых на международном уровне статистических данных.</w:t>
            </w:r>
          </w:p>
          <w:p w:rsidR="00B741EF" w:rsidRPr="00684459" w:rsidRDefault="00B741EF" w:rsidP="0001524B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рамках содействия проведению региональных подготовительных собраний (РПС) были подготовлены отчеты "Тенденции и разработки в области ИКТ" для стран Северной и Южной Америки, Азии, Тихого океана и Европы. Благодаря этим отчетам, члены МСЭ получили возможность проанализировать наблюдающиеся в соответствующих регионах тенденции в области ИКТ, очертив, таким образом, основные направл</w:t>
            </w:r>
            <w:r w:rsidR="00FB6445" w:rsidRPr="00684459">
              <w:rPr>
                <w:sz w:val="22"/>
                <w:szCs w:val="22"/>
              </w:rPr>
              <w:t>ения для обсуждения в ходе РПС.</w:t>
            </w:r>
          </w:p>
          <w:p w:rsidR="00B741EF" w:rsidRPr="00684459" w:rsidRDefault="00B741EF" w:rsidP="0001524B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завершен сбор данных путем заполнения большого вопросника за 2017 год. Свои ответы в рамках заполнения большого вопросника WTI</w:t>
            </w:r>
            <w:r w:rsidR="00E21E8F">
              <w:rPr>
                <w:sz w:val="22"/>
                <w:szCs w:val="22"/>
              </w:rPr>
              <w:t xml:space="preserve"> за 2017 год прислали около 150 </w:t>
            </w:r>
            <w:r w:rsidRPr="00684459">
              <w:rPr>
                <w:sz w:val="22"/>
                <w:szCs w:val="22"/>
              </w:rPr>
              <w:t>стран. Приблизительно 60 стран предоставили ответы в рамках заполнения краткого вопросника по домашним хозяйствам за 2017 год, и 114 стран – в рамках заполнения вопросника по корзине цен на услуги ИКТ за 2017 год.</w:t>
            </w:r>
          </w:p>
          <w:p w:rsidR="00460481" w:rsidRPr="00684459" w:rsidRDefault="00B741EF" w:rsidP="00B741E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Была успешно завершена реализация проекта МСЭ под названием "Большие данные для измерения информационного общества". Проект предусматривал проведение экспериментальных исследований в шести странах (Колумбия, Грузия, Кения, Филиппины, Швеция и Объединенные Арабские Эмираты) для изучения того, как большие данные, получаемые от сектора ИКТ, в частности операторов электросвязи, могут способствовать появлению новых или дополнению уже существующих показателей, предназначенных для измерения информационного общества. Среди </w:t>
            </w:r>
            <w:r w:rsidRPr="00684459">
              <w:rPr>
                <w:sz w:val="22"/>
                <w:szCs w:val="22"/>
              </w:rPr>
              <w:lastRenderedPageBreak/>
              <w:t>промежуточных результатов деятельности проекта – шесть отчетов стран и методический документ, в котором содержится описание показателей в области ИКТ, полученных на основе больших данных, и рассказывается, как определение таких показателей может осуществляться на уровне операторов и поставщиков услуг, а также на уровне стран. Данный документ был разработан и дополнен на основе полученного пилотными странами опыта. Методический документ поможет обеспечить сопоставимость получаемых на основе больших данных показателей в области ИКТ на международном уровне.</w:t>
            </w:r>
          </w:p>
          <w:p w:rsidR="00460481" w:rsidRPr="00684459" w:rsidRDefault="004F3E95" w:rsidP="004F3E9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рамках данного намеченного результата деятельности МСЭ способствовал активизации сотрудничества и усовершенствованию методик и международных стандартов в области статистических данных по ИКТ посредством деятельности, осуществляемой Группой экспертов МСЭ по показателям в области электросвязи/ИКТ (EGTI) и Группой экспертов по показателям ИКТ в домашних хозяйствах (EGH). </w:t>
            </w:r>
            <w:r w:rsidR="00F470AB" w:rsidRPr="00684459">
              <w:rPr>
                <w:sz w:val="22"/>
                <w:szCs w:val="22"/>
              </w:rPr>
              <w:t>В сентябре в Женеве, Швейцария, прошли собрания Группы экспертов МСЭ по показателям в области электросвязи/ИКТ (EGTI) и Группы экспертов по показателям ИКТ в домашних хозяйствах (EGH). На собраниях присутствовали около 100 экспертов по статистике от связанных с ИКТ министерств, национальных управлений по статистике, органов регулирования в области электросвязи и международных организаций из 48 стран, которые обсудили наиболее эффективные способы отслеживания получения доступа к ИКТ и их использования домохозяйствами и отдельными лицами, а также возможные способы использования данных, получаемых от поставщиков услуг в области ИКТ, для предоставления необходимой информации директивным и регуляторным органам, содействия мониторингу и стимулирования развития ИКТ.</w:t>
            </w:r>
          </w:p>
          <w:p w:rsidR="00460481" w:rsidRPr="00684459" w:rsidRDefault="004F3E95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Повышение потенциала и навыков производителей статистических данных в области ИКТ, необходимых для сбора данных, разработки и анализа сравнимых на международном уровне показателей в области ИКТ, было достигнуто благодаря ряду мероприятий по созданию потенциала</w:t>
            </w:r>
            <w:r w:rsidR="00A06576" w:rsidRPr="00684459">
              <w:rPr>
                <w:sz w:val="22"/>
                <w:szCs w:val="22"/>
              </w:rPr>
              <w:t xml:space="preserve">, </w:t>
            </w:r>
            <w:r w:rsidR="00A06576" w:rsidRPr="002528A9">
              <w:rPr>
                <w:sz w:val="22"/>
                <w:szCs w:val="22"/>
              </w:rPr>
              <w:t>включая, среди прочего, следующие</w:t>
            </w:r>
            <w:r w:rsidR="00460481" w:rsidRPr="00684459">
              <w:rPr>
                <w:sz w:val="22"/>
                <w:szCs w:val="22"/>
              </w:rPr>
              <w:t>:</w:t>
            </w:r>
          </w:p>
          <w:p w:rsidR="00460481" w:rsidRPr="00684459" w:rsidRDefault="004F3E95" w:rsidP="001452F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F470AB" w:rsidRPr="00684459">
              <w:rPr>
                <w:sz w:val="22"/>
                <w:szCs w:val="22"/>
              </w:rPr>
              <w:t>в Руанде был проведен национальный семинар-практикум по вопросам показателей в области ИКТ;</w:t>
            </w:r>
          </w:p>
          <w:p w:rsidR="00460481" w:rsidRPr="00684459" w:rsidRDefault="004F3E95" w:rsidP="001452FF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C47B59" w:rsidRPr="00684459">
              <w:rPr>
                <w:sz w:val="22"/>
                <w:szCs w:val="22"/>
              </w:rPr>
              <w:t xml:space="preserve">в Монголии прошел </w:t>
            </w:r>
            <w:r w:rsidRPr="00684459">
              <w:rPr>
                <w:sz w:val="22"/>
                <w:szCs w:val="22"/>
              </w:rPr>
              <w:t>национальный учебный семинар-практикум по статистическим данным в области ИКТ</w:t>
            </w:r>
            <w:r w:rsidR="00B95DA8" w:rsidRPr="00684459">
              <w:rPr>
                <w:sz w:val="22"/>
                <w:szCs w:val="22"/>
              </w:rPr>
              <w:t>;</w:t>
            </w:r>
          </w:p>
          <w:p w:rsidR="00460481" w:rsidRPr="00684459" w:rsidRDefault="004F3E95" w:rsidP="001452FF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</w:r>
            <w:r w:rsidR="00F470AB" w:rsidRPr="00684459">
              <w:rPr>
                <w:sz w:val="22"/>
                <w:szCs w:val="22"/>
              </w:rPr>
              <w:t>в Китае прошел региональный семинар-практикум МСЭ, посвященный статистическим данным по ИКТ, для стран Азиатско-Тихоокеанского региона.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45" w:type="dxa"/>
          </w:tcPr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1, 5, 8, 30, 33, 37, 43, 50, 51, 52, 57, 59, 60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FC0E32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EB6CAC" w:rsidRPr="00684459">
              <w:rPr>
                <w:sz w:val="22"/>
                <w:szCs w:val="22"/>
              </w:rPr>
              <w:t xml:space="preserve"> 5, 13 </w:t>
            </w:r>
            <w:r w:rsidRPr="00684459">
              <w:rPr>
                <w:sz w:val="22"/>
                <w:szCs w:val="22"/>
              </w:rPr>
              <w:t>ПК</w:t>
            </w:r>
          </w:p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25, 71, 72, 137, 139, 140, 176, 188, 189, 197, 199, 202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</w:tcPr>
          <w:p w:rsidR="00EB6CAC" w:rsidRPr="00684459" w:rsidRDefault="002C4AAB" w:rsidP="00D43E6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Статистические данные по электросвязи/ИКТ актуальны для мониторинга осуществления всех Направлений деятельности Женевского плана действий </w:t>
            </w:r>
            <w:r w:rsidR="00D43E6F" w:rsidRPr="00684459">
              <w:rPr>
                <w:sz w:val="22"/>
                <w:szCs w:val="22"/>
              </w:rPr>
              <w:t xml:space="preserve">ВВУИО </w:t>
            </w:r>
            <w:r w:rsidRPr="00684459">
              <w:rPr>
                <w:sz w:val="22"/>
                <w:szCs w:val="22"/>
              </w:rPr>
              <w:t>и упоминаются в пунктах 112–119 Тунисской программы для информационного общества, а также в пункте 70 итогового документа заседания высокого уровня Генеральной Ассамблеи по общему обзору осуществления решений ВВУИО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</w:tcPr>
          <w:p w:rsidR="00EB6CAC" w:rsidRPr="00684459" w:rsidRDefault="00300E83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Статистические данные по электросвязи/ИКТ актуальны для мониторинга достижения всех ЦУР и упоминаются в пунктах 48, 57, 74–76 и 83 Повестки дня в области устойчивого развития на период до 2030 года</w:t>
            </w:r>
          </w:p>
        </w:tc>
      </w:tr>
    </w:tbl>
    <w:p w:rsidR="00EC2490" w:rsidRPr="00E21E8F" w:rsidRDefault="00EC2490" w:rsidP="00E21E8F">
      <w:pPr>
        <w:pStyle w:val="Heading2"/>
      </w:pPr>
      <w:r w:rsidRPr="00E21E8F">
        <w:lastRenderedPageBreak/>
        <w:t>4.3</w:t>
      </w:r>
      <w:r w:rsidRPr="00E21E8F">
        <w:tab/>
        <w:t>Охват цифровыми технологии лиц с особыми потребностями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</w:tblGrid>
      <w:tr w:rsidR="00460481" w:rsidRPr="00684459" w:rsidTr="00460481">
        <w:tc>
          <w:tcPr>
            <w:tcW w:w="9634" w:type="dxa"/>
            <w:gridSpan w:val="2"/>
          </w:tcPr>
          <w:p w:rsidR="00460481" w:rsidRPr="00684459" w:rsidRDefault="00B251EF" w:rsidP="00B251E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2017 году </w:t>
            </w:r>
            <w:r w:rsidR="00A216A1" w:rsidRPr="00684459">
              <w:rPr>
                <w:sz w:val="22"/>
                <w:szCs w:val="22"/>
              </w:rPr>
              <w:t>была продолжена работа</w:t>
            </w:r>
            <w:r w:rsidRPr="00684459">
              <w:rPr>
                <w:sz w:val="22"/>
                <w:szCs w:val="22"/>
              </w:rPr>
              <w:t xml:space="preserve"> по укреплению потенциала Государств-Членов в области разработки и реализации политики, стратегий и руководящих указаний по охвату цифровыми технологиями в целях обеспечения доступности электросвязи/ИКТ для лиц с ограниченными возможностями</w:t>
            </w:r>
            <w:r w:rsidR="00460481" w:rsidRPr="00684459">
              <w:rPr>
                <w:sz w:val="22"/>
                <w:szCs w:val="22"/>
              </w:rPr>
              <w:t>.</w:t>
            </w:r>
          </w:p>
          <w:p w:rsidR="00460481" w:rsidRPr="00684459" w:rsidRDefault="00300E83" w:rsidP="00D43E6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27 апреля во всем мире, в том числе в штаб-квартире МСЭ и его региональных отделениях, прошли мероприятия в рамках международного дня "Девушки в ИКТ", направленные на повышение уровня осведомленности и содействия созданию глобальной среды, которая расширяет права и возможности девушек и молодых женщин и стимулирует их к получению образования и выбору профессии в растущей области ИКТ.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B251EF" w:rsidRPr="00684459">
              <w:rPr>
                <w:sz w:val="22"/>
                <w:szCs w:val="22"/>
              </w:rPr>
              <w:t>За период с 2011</w:t>
            </w:r>
            <w:r w:rsidR="00D43E6F" w:rsidRPr="00684459">
              <w:rPr>
                <w:sz w:val="22"/>
                <w:szCs w:val="22"/>
              </w:rPr>
              <w:t> </w:t>
            </w:r>
            <w:r w:rsidR="00B251EF" w:rsidRPr="00684459">
              <w:rPr>
                <w:sz w:val="22"/>
                <w:szCs w:val="22"/>
              </w:rPr>
              <w:t>года, когда Международный день "Девушки в ИКТ" отмечался впервые, было проведено 9000 мероприятий в 166 странах, что позволило расширить права и возможности более чем 300 000 девушек и молодых женщин по всему миру. В 2017 году около 70 000 девушек из 134 стран приняли участие в более чем 2100 мероприятиях</w:t>
            </w:r>
            <w:r w:rsidR="008C618D" w:rsidRPr="00684459">
              <w:rPr>
                <w:sz w:val="22"/>
                <w:szCs w:val="22"/>
              </w:rPr>
              <w:t>, которые,</w:t>
            </w:r>
            <w:r w:rsidR="00B251EF" w:rsidRPr="00684459">
              <w:rPr>
                <w:sz w:val="22"/>
                <w:szCs w:val="22"/>
              </w:rPr>
              <w:t xml:space="preserve"> среди проч</w:t>
            </w:r>
            <w:r w:rsidR="008C618D" w:rsidRPr="00684459">
              <w:rPr>
                <w:sz w:val="22"/>
                <w:szCs w:val="22"/>
              </w:rPr>
              <w:t>его</w:t>
            </w:r>
            <w:r w:rsidR="00B251EF" w:rsidRPr="00684459">
              <w:rPr>
                <w:sz w:val="22"/>
                <w:szCs w:val="22"/>
              </w:rPr>
              <w:t xml:space="preserve">, </w:t>
            </w:r>
            <w:r w:rsidR="008C618D" w:rsidRPr="00684459">
              <w:rPr>
                <w:sz w:val="22"/>
                <w:szCs w:val="22"/>
              </w:rPr>
              <w:t>прошли</w:t>
            </w:r>
            <w:r w:rsidR="00B251EF" w:rsidRPr="00684459">
              <w:rPr>
                <w:sz w:val="22"/>
                <w:szCs w:val="22"/>
              </w:rPr>
              <w:t xml:space="preserve"> в 30 странах Африканского региона, 33 странах региона Северной и Южной Америки, 12 странах региона арабских государств, 20 странах Азиатско-Тихоокеанского региона, 6 странах </w:t>
            </w:r>
            <w:r w:rsidR="008C618D" w:rsidRPr="00684459">
              <w:rPr>
                <w:sz w:val="22"/>
                <w:szCs w:val="22"/>
              </w:rPr>
              <w:t>СНГ</w:t>
            </w:r>
            <w:r w:rsidR="00B251EF" w:rsidRPr="00684459">
              <w:rPr>
                <w:sz w:val="22"/>
                <w:szCs w:val="22"/>
              </w:rPr>
              <w:t xml:space="preserve"> и 33 странах региона Европы.</w:t>
            </w:r>
            <w:r w:rsidR="00460481" w:rsidRPr="00684459">
              <w:rPr>
                <w:sz w:val="22"/>
                <w:szCs w:val="22"/>
              </w:rPr>
              <w:t xml:space="preserve"> </w:t>
            </w:r>
            <w:r w:rsidR="00F02865" w:rsidRPr="00684459">
              <w:rPr>
                <w:sz w:val="22"/>
                <w:szCs w:val="22"/>
              </w:rPr>
              <w:t>В январе-сентябре 2017 года число просмотров страниц портала МСЭ "Девушки в ИКТ" составило 1</w:t>
            </w:r>
            <w:r w:rsidR="00D43E6F" w:rsidRPr="00684459">
              <w:rPr>
                <w:sz w:val="22"/>
                <w:szCs w:val="22"/>
              </w:rPr>
              <w:t> </w:t>
            </w:r>
            <w:r w:rsidR="00F02865" w:rsidRPr="00684459">
              <w:rPr>
                <w:sz w:val="22"/>
                <w:szCs w:val="22"/>
              </w:rPr>
              <w:t>117</w:t>
            </w:r>
            <w:r w:rsidR="00D43E6F" w:rsidRPr="00684459">
              <w:rPr>
                <w:sz w:val="22"/>
                <w:szCs w:val="22"/>
              </w:rPr>
              <w:t> </w:t>
            </w:r>
            <w:r w:rsidR="00F02865" w:rsidRPr="00684459">
              <w:rPr>
                <w:sz w:val="22"/>
                <w:szCs w:val="22"/>
              </w:rPr>
              <w:t>695 по сравнению с 383</w:t>
            </w:r>
            <w:r w:rsidR="00D43E6F" w:rsidRPr="00684459">
              <w:rPr>
                <w:sz w:val="22"/>
                <w:szCs w:val="22"/>
              </w:rPr>
              <w:t> </w:t>
            </w:r>
            <w:r w:rsidR="00F02865" w:rsidRPr="00684459">
              <w:rPr>
                <w:sz w:val="22"/>
                <w:szCs w:val="22"/>
              </w:rPr>
              <w:t>552 в 2016 году и 337</w:t>
            </w:r>
            <w:r w:rsidR="00D43E6F" w:rsidRPr="00684459">
              <w:rPr>
                <w:sz w:val="22"/>
                <w:szCs w:val="22"/>
              </w:rPr>
              <w:t> </w:t>
            </w:r>
            <w:r w:rsidR="00F02865" w:rsidRPr="00684459">
              <w:rPr>
                <w:sz w:val="22"/>
                <w:szCs w:val="22"/>
              </w:rPr>
              <w:t>936 в 2015 году.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B251EF" w:rsidRPr="00684459">
              <w:rPr>
                <w:sz w:val="22"/>
                <w:szCs w:val="22"/>
              </w:rPr>
              <w:t>О проведении дня "Девушки в ИКТ" знают десятки миллионов человек по всему миру. В 2017 году мероприятия в рамках этого дня освещались на телевидении Всемирной службой Би-би-си</w:t>
            </w:r>
            <w:r w:rsidR="0088152F" w:rsidRPr="00684459">
              <w:rPr>
                <w:sz w:val="22"/>
                <w:szCs w:val="22"/>
              </w:rPr>
              <w:t>;</w:t>
            </w:r>
            <w:r w:rsidR="00B251EF" w:rsidRPr="00684459">
              <w:rPr>
                <w:sz w:val="22"/>
                <w:szCs w:val="22"/>
              </w:rPr>
              <w:t xml:space="preserve"> кроме того</w:t>
            </w:r>
            <w:r w:rsidR="0088152F" w:rsidRPr="00684459">
              <w:rPr>
                <w:sz w:val="22"/>
                <w:szCs w:val="22"/>
              </w:rPr>
              <w:t>,</w:t>
            </w:r>
            <w:r w:rsidR="00B251EF" w:rsidRPr="00684459">
              <w:rPr>
                <w:sz w:val="22"/>
                <w:szCs w:val="22"/>
              </w:rPr>
              <w:t xml:space="preserve"> число учетных записей </w:t>
            </w:r>
            <w:proofErr w:type="spellStart"/>
            <w:r w:rsidR="00B251EF" w:rsidRPr="00684459">
              <w:rPr>
                <w:sz w:val="22"/>
                <w:szCs w:val="22"/>
              </w:rPr>
              <w:t>Twitter</w:t>
            </w:r>
            <w:proofErr w:type="spellEnd"/>
            <w:r w:rsidR="00B251EF" w:rsidRPr="00684459">
              <w:rPr>
                <w:sz w:val="22"/>
                <w:szCs w:val="22"/>
              </w:rPr>
              <w:t xml:space="preserve"> с </w:t>
            </w:r>
            <w:proofErr w:type="spellStart"/>
            <w:r w:rsidR="00B251EF" w:rsidRPr="00684459">
              <w:rPr>
                <w:sz w:val="22"/>
                <w:szCs w:val="22"/>
              </w:rPr>
              <w:t>хэштегом</w:t>
            </w:r>
            <w:proofErr w:type="spellEnd"/>
            <w:r w:rsidR="00B251EF" w:rsidRPr="00684459">
              <w:rPr>
                <w:sz w:val="22"/>
                <w:szCs w:val="22"/>
              </w:rPr>
              <w:t xml:space="preserve"> #</w:t>
            </w:r>
            <w:proofErr w:type="spellStart"/>
            <w:r w:rsidR="00B251EF" w:rsidRPr="00684459">
              <w:rPr>
                <w:sz w:val="22"/>
                <w:szCs w:val="22"/>
              </w:rPr>
              <w:t>GirlsinICT</w:t>
            </w:r>
            <w:proofErr w:type="spellEnd"/>
            <w:r w:rsidR="00B251EF" w:rsidRPr="00684459">
              <w:rPr>
                <w:sz w:val="22"/>
                <w:szCs w:val="22"/>
              </w:rPr>
              <w:t xml:space="preserve"> превысило в этом году 63 миллиона, а число </w:t>
            </w:r>
            <w:proofErr w:type="spellStart"/>
            <w:r w:rsidR="00B251EF" w:rsidRPr="00684459">
              <w:rPr>
                <w:sz w:val="22"/>
                <w:szCs w:val="22"/>
              </w:rPr>
              <w:t>ретвитов</w:t>
            </w:r>
            <w:proofErr w:type="spellEnd"/>
            <w:r w:rsidR="00B251EF" w:rsidRPr="00684459">
              <w:rPr>
                <w:sz w:val="22"/>
                <w:szCs w:val="22"/>
              </w:rPr>
              <w:t xml:space="preserve"> составило 255 057 360.</w:t>
            </w:r>
          </w:p>
          <w:p w:rsidR="00F02865" w:rsidRPr="00684459" w:rsidRDefault="00B251EF" w:rsidP="00F0286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Осуществлялось повышение уровня осведомленности и обмен передовым опытом между членами МСЭ в рамках еженедельной публикации на новостном ресурсе МСЭ-D, посвященном охвату цифровыми технологиями, информации об инновационных практиках и стратегиях охвата цифровыми технологиями</w:t>
            </w:r>
            <w:r w:rsidR="00460481" w:rsidRPr="00684459">
              <w:rPr>
                <w:sz w:val="22"/>
                <w:szCs w:val="22"/>
              </w:rPr>
              <w:t xml:space="preserve">. </w:t>
            </w:r>
            <w:r w:rsidR="00F02865" w:rsidRPr="00684459">
              <w:rPr>
                <w:sz w:val="22"/>
                <w:szCs w:val="22"/>
              </w:rPr>
              <w:t xml:space="preserve">В январе-сентябре 2017 года на новостном ресурсе МСЭ-D, посвященном охвату цифровыми технологиями, по адресу </w:t>
            </w:r>
            <w:hyperlink r:id="rId14">
              <w:r w:rsidR="00F02865" w:rsidRPr="00684459">
                <w:rPr>
                  <w:rStyle w:val="Hyperlink"/>
                  <w:sz w:val="22"/>
                  <w:szCs w:val="22"/>
                </w:rPr>
                <w:t>http://digitalinclusionnewslog.itu.int/</w:t>
              </w:r>
            </w:hyperlink>
            <w:r w:rsidR="00F02865" w:rsidRPr="00684459">
              <w:rPr>
                <w:sz w:val="22"/>
                <w:szCs w:val="22"/>
              </w:rPr>
              <w:t xml:space="preserve"> был осуществлен обмен информацией о 181 программе охвата цифровыми технологиями и соответствующими практиками; при этом число просмотров новостных сообщений на данном ресурсы за этот период составило 6757.</w:t>
            </w:r>
          </w:p>
          <w:p w:rsidR="00F02865" w:rsidRPr="00684459" w:rsidRDefault="00F02865" w:rsidP="00F0286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ходе форума "Диалог высокого уровня по вопросам цифровых навыков для достойных рабочих мест", прошедшего в июне 2017 года в рамках Всемирной встречи на высшем уровне по вопросам информационного общества (ВВУИО), был повышен уровень осведомленности около 200 заинтересованных сторон о роли обучения молодых людей цифровым навыкам, которые позволят им получить рабочие места. В результате проведенного форума была начата реализация совместной кампании МСЭ и МОТ под названием "Цифровые навыки для достойных рабочих мест", которая направлена на то, чтобы стимулировать ряд заинтересованных сторон к 2030 году обучить 5 млн. молодых людей во всем мире цифровым навыкам, которые позволят им получить рабочие места. Данная кампания осуществляется под эгидой Глобальной инициативы в интересах обеспечения достойных рабочих мест для молодежи, поддерживаемой 22 учреждениями ООН. МСЭ возглавляет работу по тематическому направлению "цифровые навыки" в рамках Глобальной инициативы в интересах обеспечения достойных рабочих мест для молодежи, направленной на расширение масштаба мер, предпринимаемых на уровне стран (</w:t>
            </w:r>
            <w:hyperlink r:id="rId15">
              <w:r w:rsidRPr="00684459">
                <w:rPr>
                  <w:rStyle w:val="Hyperlink"/>
                  <w:sz w:val="22"/>
                  <w:szCs w:val="22"/>
                </w:rPr>
                <w:t>www.itu.int/digitalskills</w:t>
              </w:r>
            </w:hyperlink>
            <w:r w:rsidRPr="00684459">
              <w:rPr>
                <w:sz w:val="22"/>
                <w:szCs w:val="22"/>
              </w:rPr>
              <w:t xml:space="preserve">). </w:t>
            </w:r>
          </w:p>
          <w:p w:rsidR="00F02865" w:rsidRPr="002528A9" w:rsidRDefault="00F02865" w:rsidP="00F02865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К другим мероприятиям по повышению уровня осведомленности и созданию </w:t>
            </w:r>
            <w:r w:rsidRPr="002528A9">
              <w:rPr>
                <w:sz w:val="22"/>
                <w:szCs w:val="22"/>
              </w:rPr>
              <w:t>потенциала, среди прочего, принадлежат следующие:</w:t>
            </w:r>
          </w:p>
          <w:p w:rsidR="00F02865" w:rsidRPr="00684459" w:rsidRDefault="00F02865" w:rsidP="003E1CE4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Египту была оказана помощь в разработке национальной политики обеспечения доступности ИКТ;</w:t>
            </w:r>
          </w:p>
          <w:p w:rsidR="00F02865" w:rsidRPr="00684459" w:rsidRDefault="00F02865" w:rsidP="003E1CE4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Беларуси в марте 2017 года был создан Центр доступа в интернет и обучения на базе интернета для лиц с нарушениями слуха;</w:t>
            </w:r>
          </w:p>
          <w:p w:rsidR="00F02865" w:rsidRPr="00684459" w:rsidRDefault="00F02865" w:rsidP="003E1CE4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lastRenderedPageBreak/>
              <w:t>−</w:t>
            </w:r>
            <w:r w:rsidRPr="00684459">
              <w:rPr>
                <w:sz w:val="22"/>
                <w:szCs w:val="22"/>
              </w:rPr>
              <w:tab/>
              <w:t>более чем 100 лидерам коренных народов, представляющих Государства-Члены МСЭ в Северной и Южной Америке, была оказана поддержка в целях развития их потенциала для использования электросвязи/ИКТ в интересах социально-экономического развития;</w:t>
            </w:r>
          </w:p>
          <w:p w:rsidR="00F02865" w:rsidRPr="00684459" w:rsidRDefault="00F02865" w:rsidP="003E1CE4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была разработана национальная программа профессиональной подготовки в области сетевой доступности "Интернет для всех", включающая модуль по стимулированию политической приверженности делу обеспечения доступности ИКТ на национальном уровне и очные курсы подготовки преподавателей в соответствии со стандартами сетевой доступности </w:t>
            </w:r>
            <w:proofErr w:type="spellStart"/>
            <w:r w:rsidRPr="00684459">
              <w:rPr>
                <w:sz w:val="22"/>
                <w:szCs w:val="22"/>
              </w:rPr>
              <w:t>WCAG</w:t>
            </w:r>
            <w:proofErr w:type="spellEnd"/>
            <w:r w:rsidRPr="00684459">
              <w:rPr>
                <w:sz w:val="22"/>
                <w:szCs w:val="22"/>
              </w:rPr>
              <w:t xml:space="preserve"> 2.0 "Доступный веб-контент" и "Проектирование и разработка доступных веб-сайтов". Учебный план программы был переведен на английский, французский и арабский языки; перевод на другие официальные языки МСЭ запланирован на 2018 год;</w:t>
            </w:r>
          </w:p>
          <w:p w:rsidR="00460481" w:rsidRPr="00684459" w:rsidRDefault="00F02865" w:rsidP="003E1CE4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Министерству связи и информационных технологий Египта была оказана помощь в разработке национальной политики обеспечения доступности ИКТ.</w:t>
            </w:r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7087" w:type="dxa"/>
          </w:tcPr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1, 5, 9, 11, 15, 20, 21, 22, 23, 30, 32, 55, 58, 68, 76, 77</w:t>
            </w:r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FC0E32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7087" w:type="dxa"/>
          </w:tcPr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EB6CAC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25, 30, 32, 33, 34, 36, 37, 64, 70, 71, 131, 139, 140, 175, 184, 198, 202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547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ВАСЭ</w:t>
            </w:r>
          </w:p>
        </w:tc>
        <w:tc>
          <w:tcPr>
            <w:tcW w:w="7087" w:type="dxa"/>
          </w:tcPr>
          <w:p w:rsidR="00460481" w:rsidRPr="00684459" w:rsidRDefault="00B55837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55, 69</w:t>
            </w:r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7087" w:type="dxa"/>
          </w:tcPr>
          <w:p w:rsidR="00EB6CAC" w:rsidRPr="00684459" w:rsidRDefault="00B55837" w:rsidP="00D43E6F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C2, C4, C7 и C8 Женевского плана действий</w:t>
            </w:r>
            <w:r w:rsidR="00CF38E2" w:rsidRPr="00684459">
              <w:rPr>
                <w:sz w:val="22"/>
                <w:szCs w:val="22"/>
              </w:rPr>
              <w:t>,</w:t>
            </w:r>
            <w:r w:rsidRPr="00684459">
              <w:rPr>
                <w:sz w:val="22"/>
                <w:szCs w:val="22"/>
              </w:rPr>
              <w:t xml:space="preserve"> </w:t>
            </w:r>
            <w:r w:rsidR="00CF38E2" w:rsidRPr="00684459">
              <w:rPr>
                <w:sz w:val="22"/>
                <w:szCs w:val="22"/>
              </w:rPr>
              <w:t>а также</w:t>
            </w:r>
            <w:r w:rsidR="00EB6CAC" w:rsidRPr="00684459">
              <w:rPr>
                <w:sz w:val="22"/>
                <w:szCs w:val="22"/>
              </w:rPr>
              <w:t xml:space="preserve"> </w:t>
            </w:r>
            <w:r w:rsidR="008561C1" w:rsidRPr="00684459">
              <w:rPr>
                <w:sz w:val="22"/>
                <w:szCs w:val="22"/>
              </w:rPr>
              <w:t>пункт</w:t>
            </w:r>
            <w:r w:rsidR="00EB6CAC" w:rsidRPr="00684459">
              <w:rPr>
                <w:sz w:val="22"/>
                <w:szCs w:val="22"/>
              </w:rPr>
              <w:t xml:space="preserve"> 90 </w:t>
            </w:r>
            <w:r w:rsidR="00F02865" w:rsidRPr="00684459">
              <w:rPr>
                <w:sz w:val="22"/>
                <w:szCs w:val="22"/>
              </w:rPr>
              <w:t>Тунисской программы для информационного общества</w:t>
            </w:r>
            <w:r w:rsidR="00D43E6F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7087" w:type="dxa"/>
          </w:tcPr>
          <w:p w:rsidR="00EB6CAC" w:rsidRPr="00684459" w:rsidRDefault="00B55837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EB6CAC" w:rsidRPr="00684459">
              <w:rPr>
                <w:sz w:val="22"/>
                <w:szCs w:val="22"/>
              </w:rPr>
              <w:t xml:space="preserve">: 1 (задачи 1.2, 1.4, 1.a, 1.b), 4 (задачи 4.1, 4.2, 4.3, 4.4, 4.5, 4.a, </w:t>
            </w:r>
            <w:proofErr w:type="spellStart"/>
            <w:r w:rsidR="00EB6CAC" w:rsidRPr="00684459">
              <w:rPr>
                <w:sz w:val="22"/>
                <w:szCs w:val="22"/>
              </w:rPr>
              <w:t>4.b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), 5 (5.1, 5.5, 5.b, 5.c), 8 (задачи 8.2, 8.3, 8.5, 8.6, 8.10, </w:t>
            </w:r>
            <w:proofErr w:type="spellStart"/>
            <w:r w:rsidR="00EB6CAC" w:rsidRPr="00684459">
              <w:rPr>
                <w:sz w:val="22"/>
                <w:szCs w:val="22"/>
              </w:rPr>
              <w:t>8.b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), 9 (задача 9.c), 10 (задачи 10.2, 10.3), 11 (задачи 11.2, 11.7, </w:t>
            </w:r>
            <w:proofErr w:type="spellStart"/>
            <w:r w:rsidR="00EB6CAC" w:rsidRPr="00684459">
              <w:rPr>
                <w:sz w:val="22"/>
                <w:szCs w:val="22"/>
              </w:rPr>
              <w:t>11.c</w:t>
            </w:r>
            <w:proofErr w:type="spellEnd"/>
            <w:r w:rsidR="00EB6CAC" w:rsidRPr="00684459">
              <w:rPr>
                <w:sz w:val="22"/>
                <w:szCs w:val="22"/>
              </w:rPr>
              <w:t>), 16 (задача 16.b), 17 (задачи 17.6, 17.7, 17.8, 17.17)</w:t>
            </w:r>
          </w:p>
        </w:tc>
      </w:tr>
    </w:tbl>
    <w:p w:rsidR="00FA059A" w:rsidRPr="00E21E8F" w:rsidRDefault="00FA059A" w:rsidP="00E21E8F">
      <w:pPr>
        <w:pStyle w:val="Heading2"/>
      </w:pPr>
      <w:r w:rsidRPr="00E21E8F">
        <w:t>4.4</w:t>
      </w:r>
      <w:r w:rsidRPr="00E21E8F">
        <w:tab/>
      </w:r>
      <w:r w:rsidR="00315583" w:rsidRPr="00E21E8F">
        <w:t>Концентрированная</w:t>
      </w:r>
      <w:r w:rsidRPr="00E21E8F">
        <w:t xml:space="preserve"> помощь НРС, СИДС и ЛЛДС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460481" w:rsidRPr="00684459" w:rsidTr="00460481">
        <w:tc>
          <w:tcPr>
            <w:tcW w:w="9634" w:type="dxa"/>
            <w:gridSpan w:val="2"/>
          </w:tcPr>
          <w:p w:rsidR="00CF38E2" w:rsidRPr="00684459" w:rsidRDefault="00CF38E2" w:rsidP="00CF38E2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В 2017 году МСЭ продолжил работу по повышению уровня осведомленности о роли ИКТ в обеспечении устойчивого развития, предоставлению концентрированной помощи и усилению потенциала наименее развитых стран (НРС), развивающихся стран, не имеющих выхода к морю (ЛЛДС), и малых островных развивающихся государств (СИДС). В соответствующих странах были проведены различные мероприятия, инициативы, программы и проекты в области ИКТ. </w:t>
            </w:r>
          </w:p>
          <w:p w:rsidR="00CF38E2" w:rsidRPr="00684459" w:rsidRDefault="00CF38E2" w:rsidP="00CF38E2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рамках подготовки к ВКРЭ-17 в сентябре 2017 года прошел круглый стол на уровне министров по ICT④SDGs в НРС, ЛЛДС и СИДС, участие в котором приняли около 90 человек. Его участники сосредоточили свое внимание на том, каким образом ИКТ способствуют ускоренному достижению ЦУР, а также обсудили способы устранения факторов, препятствующих обеспечению приемлемости ИКТ в ценовом отношении, возможности установления соединения с ними, доступа к ним и их применения.</w:t>
            </w:r>
          </w:p>
          <w:p w:rsidR="00CF38E2" w:rsidRPr="00684459" w:rsidRDefault="00CF38E2" w:rsidP="00CF38E2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рамках мероприятий, организованных Канцелярией Высокого представителя Организации Объединенных Наций по наименее развитым странам, развивающимся странам, не имеющим выхода к морю, и малым островным развивающимся государствам (</w:t>
            </w:r>
            <w:proofErr w:type="spellStart"/>
            <w:r w:rsidR="00D43E6F" w:rsidRPr="00684459">
              <w:rPr>
                <w:sz w:val="22"/>
                <w:szCs w:val="22"/>
              </w:rPr>
              <w:t>КВПНРМ</w:t>
            </w:r>
            <w:proofErr w:type="spellEnd"/>
            <w:r w:rsidR="00D43E6F" w:rsidRPr="00684459">
              <w:rPr>
                <w:sz w:val="22"/>
                <w:szCs w:val="22"/>
              </w:rPr>
              <w:t xml:space="preserve"> ООН</w:t>
            </w:r>
            <w:r w:rsidRPr="00684459">
              <w:rPr>
                <w:sz w:val="22"/>
                <w:szCs w:val="22"/>
              </w:rPr>
              <w:t xml:space="preserve">), были предприняты значимые шаги, направленные на повышение уровня осведомленности и осуществление информационно-пропагандистской деятельности. К таким мероприятиям, среди прочего, принадлежали региональное собрание африканских НРС в Сенегале, собрание Группы экспертов по финансированию развития инфраструктуры в целях проведения усиленной интеграции ЛЛДС в процессы глобальной торговли, а также 15-е собрание </w:t>
            </w:r>
            <w:proofErr w:type="spellStart"/>
            <w:r w:rsidRPr="00684459">
              <w:rPr>
                <w:sz w:val="22"/>
                <w:szCs w:val="22"/>
              </w:rPr>
              <w:t>Межучрежденческой</w:t>
            </w:r>
            <w:proofErr w:type="spellEnd"/>
            <w:r w:rsidRPr="00684459">
              <w:rPr>
                <w:sz w:val="22"/>
                <w:szCs w:val="22"/>
              </w:rPr>
              <w:t xml:space="preserve"> консультативной группы учреждений системы Организации Объединенных Наций и </w:t>
            </w:r>
            <w:r w:rsidRPr="00684459">
              <w:rPr>
                <w:sz w:val="22"/>
                <w:szCs w:val="22"/>
              </w:rPr>
              <w:lastRenderedPageBreak/>
              <w:t xml:space="preserve">международных организаций, посвященное выполнению </w:t>
            </w:r>
            <w:proofErr w:type="spellStart"/>
            <w:r w:rsidRPr="00684459">
              <w:rPr>
                <w:sz w:val="22"/>
                <w:szCs w:val="22"/>
              </w:rPr>
              <w:t>СПД</w:t>
            </w:r>
            <w:proofErr w:type="spellEnd"/>
            <w:r w:rsidRPr="00684459">
              <w:rPr>
                <w:sz w:val="22"/>
                <w:szCs w:val="22"/>
              </w:rPr>
              <w:t xml:space="preserve"> в интересах НРС за десятилетний период 2011–2020 годов (оба последних собрания прошли в Нью-Йорке). </w:t>
            </w:r>
          </w:p>
          <w:p w:rsidR="00460481" w:rsidRPr="00684459" w:rsidRDefault="00CF38E2" w:rsidP="00CF38E2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настоящее время осуществляется работа по подготовке двух отчетов на тему "Развивающиеся страны Америки, не имеющие выхода к морю (ЛЛДС): возможности и трудности установления соединения в Боливии и Парагвае", которые направлены на усиление потенциала ЛЛДС. В стадии доработки находится стратегический корпоративный план, предназначенный для недавно созданной в Танзании Комиссии по вопросам ИКТ (</w:t>
            </w:r>
            <w:proofErr w:type="spellStart"/>
            <w:r w:rsidRPr="00684459">
              <w:rPr>
                <w:sz w:val="22"/>
                <w:szCs w:val="22"/>
              </w:rPr>
              <w:t>ICTC</w:t>
            </w:r>
            <w:proofErr w:type="spellEnd"/>
            <w:r w:rsidRPr="00684459">
              <w:rPr>
                <w:sz w:val="22"/>
                <w:szCs w:val="22"/>
              </w:rPr>
              <w:t>). Его выполнение будет способствовать реализации структурированной программы по развитию ИКТ в Танзании.</w:t>
            </w:r>
          </w:p>
          <w:p w:rsidR="00460481" w:rsidRPr="00684459" w:rsidRDefault="00443D10" w:rsidP="008E4D1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МСЭ </w:t>
            </w:r>
            <w:r w:rsidR="007410DB" w:rsidRPr="00684459">
              <w:rPr>
                <w:sz w:val="22"/>
                <w:szCs w:val="22"/>
              </w:rPr>
              <w:t xml:space="preserve">продолжил </w:t>
            </w:r>
            <w:r w:rsidRPr="00684459">
              <w:rPr>
                <w:sz w:val="22"/>
                <w:szCs w:val="22"/>
              </w:rPr>
              <w:t>оказ</w:t>
            </w:r>
            <w:r w:rsidR="007410DB" w:rsidRPr="00684459">
              <w:rPr>
                <w:sz w:val="22"/>
                <w:szCs w:val="22"/>
              </w:rPr>
              <w:t>ывать</w:t>
            </w:r>
            <w:r w:rsidRPr="00684459">
              <w:rPr>
                <w:sz w:val="22"/>
                <w:szCs w:val="22"/>
              </w:rPr>
              <w:t xml:space="preserve"> поддержку пострадавшим от бедствий странам в последующем восстановлении их сетей связи, обеспечив прямую помощь путем предоставления оборудования и проведения оценки масштабов повреждения инфраструктуры, а также ремонта и восстановления инфраструктуры электросвязи.</w:t>
            </w:r>
          </w:p>
          <w:p w:rsidR="00F8027F" w:rsidRPr="00684459" w:rsidRDefault="00F8027F" w:rsidP="00F8027F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К другим мероприятиям по созданию </w:t>
            </w:r>
            <w:r w:rsidRPr="002528A9">
              <w:rPr>
                <w:sz w:val="22"/>
                <w:szCs w:val="22"/>
              </w:rPr>
              <w:t>потенциала, среди прочего, принадлежат</w:t>
            </w:r>
            <w:r w:rsidRPr="00684459">
              <w:rPr>
                <w:sz w:val="22"/>
                <w:szCs w:val="22"/>
              </w:rPr>
              <w:t xml:space="preserve"> следующие:</w:t>
            </w:r>
          </w:p>
          <w:p w:rsidR="00F8027F" w:rsidRPr="00684459" w:rsidRDefault="00F8027F" w:rsidP="009044D1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апреле 2017 года в сотрудничестве с Национальной корпорацией </w:t>
            </w:r>
            <w:r w:rsidR="009044D1" w:rsidRPr="00684459">
              <w:rPr>
                <w:sz w:val="22"/>
                <w:szCs w:val="22"/>
              </w:rPr>
              <w:t xml:space="preserve">электросвязи </w:t>
            </w:r>
            <w:r w:rsidRPr="00684459">
              <w:rPr>
                <w:sz w:val="22"/>
                <w:szCs w:val="22"/>
              </w:rPr>
              <w:t>Судана была реализована региональная программа МСЭ по IPv6 для арабских НРС (</w:t>
            </w:r>
            <w:proofErr w:type="spellStart"/>
            <w:r w:rsidRPr="00684459">
              <w:rPr>
                <w:sz w:val="22"/>
                <w:szCs w:val="22"/>
              </w:rPr>
              <w:t>CNE</w:t>
            </w:r>
            <w:proofErr w:type="spellEnd"/>
            <w:r w:rsidRPr="00684459">
              <w:rPr>
                <w:sz w:val="22"/>
                <w:szCs w:val="22"/>
              </w:rPr>
              <w:t>-2);</w:t>
            </w:r>
          </w:p>
          <w:p w:rsidR="00F8027F" w:rsidRPr="00684459" w:rsidRDefault="00F8027F" w:rsidP="000F3E0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поддержка интеграции ИКТ в систему образования </w:t>
            </w:r>
            <w:proofErr w:type="spellStart"/>
            <w:r w:rsidRPr="00684459">
              <w:rPr>
                <w:sz w:val="22"/>
                <w:szCs w:val="22"/>
              </w:rPr>
              <w:t>Кыргызской</w:t>
            </w:r>
            <w:proofErr w:type="spellEnd"/>
            <w:r w:rsidRPr="00684459">
              <w:rPr>
                <w:sz w:val="22"/>
                <w:szCs w:val="22"/>
              </w:rPr>
              <w:t xml:space="preserve"> Республики путем поставки устройств дистанционного обучения в форме технической помощи Институту электроники и телекоммуникаций при </w:t>
            </w:r>
            <w:proofErr w:type="spellStart"/>
            <w:r w:rsidRPr="00684459">
              <w:rPr>
                <w:sz w:val="22"/>
                <w:szCs w:val="22"/>
              </w:rPr>
              <w:t>Кыргызском</w:t>
            </w:r>
            <w:proofErr w:type="spellEnd"/>
            <w:r w:rsidRPr="00684459">
              <w:rPr>
                <w:sz w:val="22"/>
                <w:szCs w:val="22"/>
              </w:rPr>
              <w:t xml:space="preserve"> государственном техническом университете;</w:t>
            </w:r>
          </w:p>
          <w:p w:rsidR="00F8027F" w:rsidRPr="00684459" w:rsidRDefault="00F8027F" w:rsidP="000F3E0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предоставление Замбии концентрированной помощи в виде оборудования для школ, ориентированных на слабовидящих лиц.</w:t>
            </w:r>
          </w:p>
          <w:p w:rsidR="00460481" w:rsidRPr="00684459" w:rsidRDefault="00F8027F" w:rsidP="00F8027F">
            <w:pPr>
              <w:spacing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течение 2017 года представителям НРС было предоставлено в общей сложности 624 стипендии для участия в собраниях МСЭ. На каждую НРС пришлось как минимум по одной стипендии.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ВКРЭ</w:t>
            </w:r>
          </w:p>
        </w:tc>
        <w:tc>
          <w:tcPr>
            <w:tcW w:w="6945" w:type="dxa"/>
          </w:tcPr>
          <w:p w:rsidR="00EB6CAC" w:rsidRPr="00684459" w:rsidRDefault="00BC026E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16, 17, 18, 21, 25, 26, 30, 33, 36, 37, 50, 51, 52, 53, 57, 60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FC0E32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EB6CAC" w:rsidRPr="00684459" w:rsidRDefault="00BC026E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EB6CAC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EB6CAC" w:rsidRPr="00684459" w:rsidRDefault="00BC026E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EB6CAC" w:rsidRPr="00684459">
              <w:rPr>
                <w:sz w:val="22"/>
                <w:szCs w:val="22"/>
              </w:rPr>
              <w:t xml:space="preserve"> 25, 30, 32, 33, 34, 36, 70, 71, 123, 124, 125, 126, 127, 135, 159, 160, 161, 193, 202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</w:t>
            </w:r>
          </w:p>
        </w:tc>
        <w:tc>
          <w:tcPr>
            <w:tcW w:w="6945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12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proofErr w:type="spellStart"/>
            <w:r w:rsidRPr="00684459">
              <w:rPr>
                <w:i/>
                <w:iCs/>
                <w:sz w:val="22"/>
                <w:szCs w:val="22"/>
              </w:rPr>
              <w:t>ВКМЭ</w:t>
            </w:r>
            <w:proofErr w:type="spellEnd"/>
          </w:p>
        </w:tc>
        <w:tc>
          <w:tcPr>
            <w:tcW w:w="6945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1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</w:tcPr>
          <w:p w:rsidR="00EB6CAC" w:rsidRPr="00684459" w:rsidRDefault="00B55837" w:rsidP="009044D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Направления деятельности C4 и C7 Женевского плана действий</w:t>
            </w:r>
            <w:r w:rsidR="00BF4679" w:rsidRPr="00684459">
              <w:rPr>
                <w:sz w:val="22"/>
                <w:szCs w:val="22"/>
              </w:rPr>
              <w:t>,</w:t>
            </w:r>
            <w:r w:rsidRPr="00684459">
              <w:rPr>
                <w:sz w:val="22"/>
                <w:szCs w:val="22"/>
              </w:rPr>
              <w:t xml:space="preserve"> </w:t>
            </w:r>
            <w:r w:rsidR="00BF4679" w:rsidRPr="00684459">
              <w:rPr>
                <w:sz w:val="22"/>
                <w:szCs w:val="22"/>
              </w:rPr>
              <w:t>а также</w:t>
            </w:r>
            <w:r w:rsidR="000712F4" w:rsidRPr="00684459">
              <w:rPr>
                <w:sz w:val="22"/>
                <w:szCs w:val="22"/>
              </w:rPr>
              <w:t xml:space="preserve"> пунктов</w:t>
            </w:r>
            <w:r w:rsidR="00EB6CAC" w:rsidRPr="00684459">
              <w:rPr>
                <w:sz w:val="22"/>
                <w:szCs w:val="22"/>
              </w:rPr>
              <w:t xml:space="preserve"> 9, 23, 26, 49, 59, 87 </w:t>
            </w:r>
            <w:r w:rsidR="00BF4679" w:rsidRPr="00684459">
              <w:rPr>
                <w:sz w:val="22"/>
                <w:szCs w:val="22"/>
              </w:rPr>
              <w:t>и 95 Тунисской программы для информационного общества</w:t>
            </w:r>
            <w:r w:rsidR="009044D1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</w:tcPr>
          <w:p w:rsidR="00EB6CAC" w:rsidRPr="00684459" w:rsidRDefault="00BC026E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EB6CAC" w:rsidRPr="00684459">
              <w:rPr>
                <w:sz w:val="22"/>
                <w:szCs w:val="22"/>
              </w:rPr>
              <w:t xml:space="preserve">: 1 (задача 1.4), 3, 4 (задачи 4.3, 4.5, 4.6, 4.a, </w:t>
            </w:r>
            <w:proofErr w:type="spellStart"/>
            <w:r w:rsidR="00EB6CAC" w:rsidRPr="00684459">
              <w:rPr>
                <w:sz w:val="22"/>
                <w:szCs w:val="22"/>
              </w:rPr>
              <w:t>4.b</w:t>
            </w:r>
            <w:proofErr w:type="spellEnd"/>
            <w:r w:rsidR="00EB6CAC" w:rsidRPr="00684459">
              <w:rPr>
                <w:sz w:val="22"/>
                <w:szCs w:val="22"/>
              </w:rPr>
              <w:t xml:space="preserve">), 5 (задача 5.b), 6, 8 (задача 8.5), 9 (задачи (9.1, 9.2, 9.5, 9.a, 9.c), 10 (задачи 10.2, </w:t>
            </w:r>
            <w:proofErr w:type="spellStart"/>
            <w:r w:rsidR="00EB6CAC" w:rsidRPr="00684459">
              <w:rPr>
                <w:sz w:val="22"/>
                <w:szCs w:val="22"/>
              </w:rPr>
              <w:t>10.b</w:t>
            </w:r>
            <w:proofErr w:type="spellEnd"/>
            <w:r w:rsidR="00EB6CAC" w:rsidRPr="00684459">
              <w:rPr>
                <w:sz w:val="22"/>
                <w:szCs w:val="22"/>
              </w:rPr>
              <w:t>), 11 (задачи 11.1, 11.2, 11.7), 12 (задача 12.b), 13 (задача 13.b), 14, 15, 16, 17 (задачи 17.7, 17.8, 17.9, 17.18)</w:t>
            </w:r>
          </w:p>
        </w:tc>
      </w:tr>
    </w:tbl>
    <w:p w:rsidR="00E21E8F" w:rsidRPr="00E21E8F" w:rsidRDefault="00E21E8F" w:rsidP="00E21E8F">
      <w:r w:rsidRPr="00E21E8F">
        <w:br w:type="page"/>
      </w:r>
    </w:p>
    <w:p w:rsidR="00443D10" w:rsidRPr="00684459" w:rsidRDefault="00443D10" w:rsidP="00E21E8F">
      <w:pPr>
        <w:pStyle w:val="Heading1"/>
      </w:pPr>
      <w:r w:rsidRPr="00684459">
        <w:lastRenderedPageBreak/>
        <w:t>5</w:t>
      </w:r>
      <w:r w:rsidRPr="00684459">
        <w:tab/>
        <w:t>Задача 5: "</w:t>
      </w:r>
      <w:r w:rsidRPr="00E21E8F">
        <w:rPr>
          <w:i/>
          <w:iCs/>
        </w:rPr>
        <w:t>Совершенствовать с помощью электросвязи/ИКТ охрану окружающей среды, меры по смягчению последствий изменения климата, адаптации к ним, а также меры по управлению операциями при бедствиях</w:t>
      </w:r>
      <w:r w:rsidRPr="00684459">
        <w:t>"</w:t>
      </w:r>
    </w:p>
    <w:p w:rsidR="00443D10" w:rsidRPr="00E21E8F" w:rsidRDefault="00443D10" w:rsidP="00E21E8F">
      <w:pPr>
        <w:pStyle w:val="Heading2"/>
      </w:pPr>
      <w:r w:rsidRPr="00E21E8F">
        <w:t>5.1</w:t>
      </w:r>
      <w:r w:rsidRPr="00E21E8F">
        <w:tab/>
        <w:t xml:space="preserve">ИКТ и адаптация к изменению климата </w:t>
      </w:r>
      <w:r w:rsidR="006702AD" w:rsidRPr="00E21E8F">
        <w:t>и смягчение его последствий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</w:tblGrid>
      <w:tr w:rsidR="00460481" w:rsidRPr="00684459" w:rsidTr="00460481">
        <w:tc>
          <w:tcPr>
            <w:tcW w:w="9634" w:type="dxa"/>
            <w:gridSpan w:val="2"/>
          </w:tcPr>
          <w:p w:rsidR="00BF4679" w:rsidRPr="00684459" w:rsidRDefault="00BF4679" w:rsidP="00BF4679">
            <w:pPr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 xml:space="preserve">В 2017 году МСЭ продолжил оказывать помощь развивающимся странам в смягчении и ликвидации последствий изменения климата посредством использования ИКТ, а также в разработке стратегий и нормативно-правовой базы в области электронных отходов. </w:t>
            </w:r>
          </w:p>
          <w:p w:rsidR="00BF4679" w:rsidRPr="00684459" w:rsidRDefault="00BF4679" w:rsidP="00BF4679">
            <w:pPr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>Совместно с Университетом Организации Объединенных Наций (</w:t>
            </w:r>
            <w:proofErr w:type="spellStart"/>
            <w:r w:rsidRPr="00684459">
              <w:rPr>
                <w:rFonts w:eastAsiaTheme="majorEastAsia"/>
                <w:sz w:val="22"/>
                <w:szCs w:val="22"/>
              </w:rPr>
              <w:t>УООН</w:t>
            </w:r>
            <w:proofErr w:type="spellEnd"/>
            <w:r w:rsidRPr="00684459">
              <w:rPr>
                <w:rFonts w:eastAsiaTheme="majorEastAsia"/>
                <w:sz w:val="22"/>
                <w:szCs w:val="22"/>
              </w:rPr>
              <w:t>) и Международной ассоциацией по твердым отходам (</w:t>
            </w:r>
            <w:proofErr w:type="spellStart"/>
            <w:r w:rsidRPr="00684459">
              <w:rPr>
                <w:rFonts w:eastAsiaTheme="majorEastAsia"/>
                <w:sz w:val="22"/>
                <w:szCs w:val="22"/>
              </w:rPr>
              <w:t>МАТО</w:t>
            </w:r>
            <w:proofErr w:type="spellEnd"/>
            <w:r w:rsidRPr="00684459">
              <w:rPr>
                <w:rFonts w:eastAsiaTheme="majorEastAsia"/>
                <w:sz w:val="22"/>
                <w:szCs w:val="22"/>
              </w:rPr>
              <w:t xml:space="preserve">) МСЭ доработал документ "Глобальный мониторинг электронных отходов 2017 года", в котором содержатся статистические данные общемирового и регионального характера, </w:t>
            </w:r>
            <w:r w:rsidRPr="002528A9">
              <w:rPr>
                <w:rFonts w:eastAsiaTheme="majorEastAsia"/>
                <w:sz w:val="22"/>
                <w:szCs w:val="22"/>
              </w:rPr>
              <w:t>касающиеся, среди прочего, объема</w:t>
            </w:r>
            <w:r w:rsidRPr="00684459">
              <w:rPr>
                <w:rFonts w:eastAsiaTheme="majorEastAsia"/>
                <w:sz w:val="22"/>
                <w:szCs w:val="22"/>
              </w:rPr>
              <w:t xml:space="preserve"> производимых электронных отходов, уровня переработки отходов на глобальном и региональном уровнях, а также числа стран, в которых действует законодательство в области электронных отходов. Данный отчет – это один из ключевых результатов Глобального партнерства по статистическим данным об электронных отходах. </w:t>
            </w:r>
          </w:p>
          <w:p w:rsidR="00BF4679" w:rsidRPr="00684459" w:rsidRDefault="00BF4679" w:rsidP="00BF4679">
            <w:pPr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 xml:space="preserve">Была выполнена работа по подготовке и других важных справочников, руководящих указаний и отчетов, </w:t>
            </w:r>
            <w:r w:rsidRPr="00684459">
              <w:rPr>
                <w:rFonts w:eastAsiaTheme="majorEastAsia"/>
                <w:i/>
                <w:sz w:val="22"/>
                <w:szCs w:val="22"/>
              </w:rPr>
              <w:t>в том числе</w:t>
            </w:r>
            <w:r w:rsidRPr="00684459">
              <w:rPr>
                <w:rFonts w:eastAsiaTheme="majorEastAsia"/>
                <w:sz w:val="22"/>
                <w:szCs w:val="22"/>
              </w:rPr>
              <w:t xml:space="preserve"> следующих:</w:t>
            </w:r>
          </w:p>
          <w:p w:rsidR="00BF4679" w:rsidRPr="00684459" w:rsidRDefault="00BF4679" w:rsidP="0064464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справочник по разработке нормативно-правовой базы в области электрических и электронных отходов от применения информационно-коммуникационных технологий;</w:t>
            </w:r>
          </w:p>
          <w:p w:rsidR="00BF4679" w:rsidRPr="00684459" w:rsidRDefault="00BF4679" w:rsidP="0064464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учебные материалы по ИКТ и изменению климата;</w:t>
            </w:r>
          </w:p>
          <w:p w:rsidR="00BF4679" w:rsidRPr="00684459" w:rsidRDefault="00BF4679" w:rsidP="0064464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отчет о разработке нормативно-правовой базы в области электронных отходов для Малави, в том числе оценка текущей ситуации в сфере обращения с электронными отходами и прогноз показателей объема и стоимости электронных отходов;</w:t>
            </w:r>
          </w:p>
          <w:p w:rsidR="00BF4679" w:rsidRPr="00684459" w:rsidRDefault="00BF4679" w:rsidP="0064464D">
            <w:pPr>
              <w:pStyle w:val="enumlev1"/>
              <w:spacing w:before="6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было проведено исследование, направленное на определение потребностей африканских стран в области создания потенциала для разработки руководящих указаний по формированию нормативно-правовой базы. Исследованием рекомендовано разработать план по созданию потенциала для внедрения нормативно-правовой базы в области электронных отходов.</w:t>
            </w:r>
          </w:p>
          <w:p w:rsidR="00BF4679" w:rsidRPr="00E21E8F" w:rsidRDefault="00BF4679" w:rsidP="00BF4679">
            <w:pPr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 xml:space="preserve">Другие мероприятия, направленные на развитие потенциала, повышение уровня осведомленности и содействие странам во внедрении надлежащих правил и принципов, </w:t>
            </w:r>
            <w:r w:rsidRPr="00E21E8F">
              <w:rPr>
                <w:rFonts w:eastAsiaTheme="majorEastAsia"/>
                <w:sz w:val="22"/>
                <w:szCs w:val="22"/>
              </w:rPr>
              <w:t>включали, среди прочего, следующие:</w:t>
            </w:r>
          </w:p>
          <w:p w:rsidR="00BF4679" w:rsidRPr="00684459" w:rsidRDefault="00BF4679" w:rsidP="00C53FF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для Сент-Люсии была доработана нормативно-правовая база в области управления электронными отходами; </w:t>
            </w:r>
          </w:p>
          <w:p w:rsidR="00BF4679" w:rsidRPr="00684459" w:rsidRDefault="00BF4679" w:rsidP="00C53FF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проведен региональный учебный семинар-практикум по применению ИКТ в целях смягчения последствий изменения климата и адаптации к ним в Арабском регионе;</w:t>
            </w:r>
          </w:p>
          <w:p w:rsidR="00BF4679" w:rsidRPr="00684459" w:rsidRDefault="00BF4679" w:rsidP="00C53FF5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 сотрудничестве с Международным центром технологий защиты окружающей среды Туниса (</w:t>
            </w:r>
            <w:proofErr w:type="spellStart"/>
            <w:r w:rsidRPr="00684459">
              <w:rPr>
                <w:sz w:val="22"/>
                <w:szCs w:val="22"/>
              </w:rPr>
              <w:t>CITET</w:t>
            </w:r>
            <w:proofErr w:type="spellEnd"/>
            <w:r w:rsidRPr="00684459">
              <w:rPr>
                <w:sz w:val="22"/>
                <w:szCs w:val="22"/>
              </w:rPr>
              <w:t>) был проведен региональный семинар-практикум на тему перспектив "умного" водопользования (</w:t>
            </w:r>
            <w:proofErr w:type="spellStart"/>
            <w:r w:rsidRPr="00684459">
              <w:rPr>
                <w:sz w:val="22"/>
                <w:szCs w:val="22"/>
              </w:rPr>
              <w:t>SWM</w:t>
            </w:r>
            <w:proofErr w:type="spellEnd"/>
            <w:r w:rsidRPr="00684459">
              <w:rPr>
                <w:sz w:val="22"/>
                <w:szCs w:val="22"/>
              </w:rPr>
              <w:t>) в Арабском регионе;</w:t>
            </w:r>
          </w:p>
          <w:p w:rsidR="00460481" w:rsidRPr="00684459" w:rsidRDefault="00BF4679" w:rsidP="00C53FF5">
            <w:pPr>
              <w:pStyle w:val="enumlev1"/>
              <w:spacing w:before="60" w:after="120"/>
              <w:rPr>
                <w:b/>
                <w:bCs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был проведен региональный форум по вопросам использования интернета вещей (IoT) для развития "умных" устойчивых городов (</w:t>
            </w:r>
            <w:proofErr w:type="spellStart"/>
            <w:r w:rsidRPr="00684459">
              <w:rPr>
                <w:sz w:val="22"/>
                <w:szCs w:val="22"/>
              </w:rPr>
              <w:t>SSC</w:t>
            </w:r>
            <w:proofErr w:type="spellEnd"/>
            <w:r w:rsidRPr="00684459">
              <w:rPr>
                <w:sz w:val="22"/>
                <w:szCs w:val="22"/>
              </w:rPr>
              <w:t>) в Арабском регионе.</w:t>
            </w:r>
          </w:p>
        </w:tc>
      </w:tr>
      <w:tr w:rsidR="00460481" w:rsidRPr="00684459" w:rsidTr="00460481">
        <w:tc>
          <w:tcPr>
            <w:tcW w:w="2547" w:type="dxa"/>
          </w:tcPr>
          <w:p w:rsidR="00460481" w:rsidRPr="00684459" w:rsidRDefault="00EB6CAC" w:rsidP="00460481">
            <w:pPr>
              <w:spacing w:before="40" w:after="40"/>
              <w:rPr>
                <w:rFonts w:eastAsiaTheme="majorEastAsia"/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ВКРЭ</w:t>
            </w:r>
          </w:p>
        </w:tc>
        <w:tc>
          <w:tcPr>
            <w:tcW w:w="7087" w:type="dxa"/>
          </w:tcPr>
          <w:p w:rsidR="00460481" w:rsidRPr="00684459" w:rsidRDefault="00BC026E" w:rsidP="00460481">
            <w:pPr>
              <w:spacing w:before="40" w:after="4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17, 21, 30, 32, 37, 50, 52, 53, 66</w:t>
            </w:r>
          </w:p>
        </w:tc>
      </w:tr>
      <w:tr w:rsidR="00460481" w:rsidRPr="00684459" w:rsidTr="00460481">
        <w:tc>
          <w:tcPr>
            <w:tcW w:w="2547" w:type="dxa"/>
          </w:tcPr>
          <w:p w:rsidR="00460481" w:rsidRPr="00684459" w:rsidRDefault="00FC0E32" w:rsidP="00460481">
            <w:pPr>
              <w:spacing w:before="40" w:after="40"/>
              <w:rPr>
                <w:rFonts w:eastAsiaTheme="majorEastAsia"/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7087" w:type="dxa"/>
          </w:tcPr>
          <w:p w:rsidR="00460481" w:rsidRPr="00684459" w:rsidRDefault="00BC026E" w:rsidP="00BC026E">
            <w:pPr>
              <w:spacing w:before="40" w:after="4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>Решения 5, 13 ПК</w:t>
            </w:r>
          </w:p>
          <w:p w:rsidR="00460481" w:rsidRPr="00684459" w:rsidRDefault="00BC026E" w:rsidP="00BC026E">
            <w:pPr>
              <w:spacing w:before="40" w:after="4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rFonts w:eastAsiaTheme="majorEastAsia"/>
                <w:sz w:val="22"/>
                <w:szCs w:val="22"/>
              </w:rPr>
              <w:t>Резолюции</w:t>
            </w:r>
            <w:r w:rsidR="00460481" w:rsidRPr="00684459">
              <w:rPr>
                <w:rFonts w:eastAsiaTheme="majorEastAsia"/>
                <w:sz w:val="22"/>
                <w:szCs w:val="22"/>
              </w:rPr>
              <w:t xml:space="preserve"> 25, 71, 182</w:t>
            </w:r>
            <w:r w:rsidRPr="00684459">
              <w:rPr>
                <w:rFonts w:eastAsiaTheme="majorEastAsia"/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547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ВАСЭ</w:t>
            </w:r>
          </w:p>
        </w:tc>
        <w:tc>
          <w:tcPr>
            <w:tcW w:w="7087" w:type="dxa"/>
          </w:tcPr>
          <w:p w:rsidR="00460481" w:rsidRPr="00684459" w:rsidRDefault="00BC026E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73</w:t>
            </w:r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Направления деятельности ВВУИО</w:t>
            </w:r>
          </w:p>
        </w:tc>
        <w:tc>
          <w:tcPr>
            <w:tcW w:w="7087" w:type="dxa"/>
          </w:tcPr>
          <w:p w:rsidR="00EB6CAC" w:rsidRPr="00684459" w:rsidRDefault="00B55837" w:rsidP="008C32EA">
            <w:pPr>
              <w:spacing w:before="40" w:after="4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Направление деятельности C7 (</w:t>
            </w:r>
            <w:r w:rsidR="00BB1FAA" w:rsidRPr="00684459">
              <w:rPr>
                <w:sz w:val="22"/>
                <w:szCs w:val="22"/>
              </w:rPr>
              <w:t xml:space="preserve">Электронная охрана окружающей среды) </w:t>
            </w:r>
            <w:r w:rsidRPr="00684459">
              <w:rPr>
                <w:sz w:val="22"/>
                <w:szCs w:val="22"/>
              </w:rPr>
              <w:t xml:space="preserve">Женевского плана действий </w:t>
            </w:r>
            <w:r w:rsidR="008C32EA" w:rsidRPr="00684459">
              <w:rPr>
                <w:sz w:val="22"/>
                <w:szCs w:val="22"/>
              </w:rPr>
              <w:t xml:space="preserve">ВВУИО </w:t>
            </w:r>
            <w:r w:rsidR="001B136E" w:rsidRPr="00684459">
              <w:rPr>
                <w:sz w:val="22"/>
                <w:szCs w:val="22"/>
              </w:rPr>
              <w:t xml:space="preserve">тесно связано с Намеченным результатом деятельности </w:t>
            </w:r>
            <w:proofErr w:type="spellStart"/>
            <w:r w:rsidR="001B136E" w:rsidRPr="00684459">
              <w:rPr>
                <w:sz w:val="22"/>
                <w:szCs w:val="22"/>
              </w:rPr>
              <w:t>D.5.1</w:t>
            </w:r>
            <w:proofErr w:type="spellEnd"/>
          </w:p>
        </w:tc>
      </w:tr>
      <w:tr w:rsidR="00EB6CAC" w:rsidRPr="00684459" w:rsidTr="00460481">
        <w:tc>
          <w:tcPr>
            <w:tcW w:w="2547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7087" w:type="dxa"/>
          </w:tcPr>
          <w:p w:rsidR="00EB6CAC" w:rsidRPr="00684459" w:rsidRDefault="00BC026E" w:rsidP="00EB6CAC">
            <w:pPr>
              <w:spacing w:before="40" w:after="40"/>
              <w:rPr>
                <w:rFonts w:eastAsiaTheme="majorEastAsia"/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EB6CAC" w:rsidRPr="00684459">
              <w:rPr>
                <w:sz w:val="22"/>
                <w:szCs w:val="22"/>
              </w:rPr>
              <w:t>: 3 (задача 3.9), 5 (задача 5b), 9, 11 (задачи 11b), 13 (задачи 13.1, 13.2 и 13.3), 14, 15</w:t>
            </w:r>
          </w:p>
        </w:tc>
      </w:tr>
    </w:tbl>
    <w:p w:rsidR="003851F3" w:rsidRPr="00E21E8F" w:rsidRDefault="003851F3" w:rsidP="00E21E8F">
      <w:pPr>
        <w:pStyle w:val="Heading2"/>
      </w:pPr>
      <w:r w:rsidRPr="00E21E8F">
        <w:t>5.2</w:t>
      </w:r>
      <w:r w:rsidRPr="00E21E8F">
        <w:tab/>
        <w:t>Электросвязь в чрезвычайных ситуациях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460481" w:rsidRPr="00684459" w:rsidTr="00460481">
        <w:tc>
          <w:tcPr>
            <w:tcW w:w="9634" w:type="dxa"/>
            <w:gridSpan w:val="2"/>
          </w:tcPr>
          <w:p w:rsidR="005124BC" w:rsidRPr="00684459" w:rsidRDefault="005124BC" w:rsidP="005124BC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В 2017 году МСЭ продолжил оказывать содействие усилиям в области реагирования на чрезвычайные ситуации при бедствиях, повысил потенциал и улучшил связь в рамках оказания помощи при бедствиях.</w:t>
            </w:r>
          </w:p>
          <w:p w:rsidR="005124BC" w:rsidRPr="00684459" w:rsidRDefault="005124BC" w:rsidP="005124BC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 xml:space="preserve">МСЭ предоставил оборудование для электросвязи в чрезвычайных ситуациях странам Карибского бассейна в ответ на масштабные разрушения, вызванные ураганами 5-й категории Ирма и Мария. Оборудование для электросвязи в чрезвычайных ситуациях, включая телефоны спутниковой связи, </w:t>
            </w:r>
            <w:proofErr w:type="spellStart"/>
            <w:r w:rsidRPr="00684459">
              <w:rPr>
                <w:sz w:val="22"/>
                <w:szCs w:val="22"/>
              </w:rPr>
              <w:t>BGAN</w:t>
            </w:r>
            <w:proofErr w:type="spellEnd"/>
            <w:r w:rsidRPr="00684459">
              <w:rPr>
                <w:sz w:val="22"/>
                <w:szCs w:val="22"/>
              </w:rPr>
              <w:t xml:space="preserve"> и </w:t>
            </w:r>
            <w:proofErr w:type="spellStart"/>
            <w:r w:rsidRPr="00684459">
              <w:rPr>
                <w:sz w:val="22"/>
                <w:szCs w:val="22"/>
              </w:rPr>
              <w:t>VSAT</w:t>
            </w:r>
            <w:proofErr w:type="spellEnd"/>
            <w:r w:rsidRPr="00684459">
              <w:rPr>
                <w:sz w:val="22"/>
                <w:szCs w:val="22"/>
              </w:rPr>
              <w:t xml:space="preserve">, получил ряд Государств-Членов, в том числе Гаити, Доминика и Антигуа и </w:t>
            </w:r>
            <w:proofErr w:type="spellStart"/>
            <w:r w:rsidRPr="00684459">
              <w:rPr>
                <w:sz w:val="22"/>
                <w:szCs w:val="22"/>
              </w:rPr>
              <w:t>Барбуда</w:t>
            </w:r>
            <w:proofErr w:type="spellEnd"/>
            <w:r w:rsidRPr="00684459">
              <w:rPr>
                <w:sz w:val="22"/>
                <w:szCs w:val="22"/>
              </w:rPr>
              <w:t>, в рамках содействия оказанию гуманитарной помощи. Кроме того, МСЭ помог правительству Зимбабве преодолеть трудности, последовавшие за разрушениями, вызванными несколькими наводнениями, предоставив оборудование для электросвязи в чрезвычайных ситуациях. Это оборудование было использовано для координации проведения восстановительных и реабилитационных мероприятий, включая меры по обеспечению установления связи с наиболее пострадавшими общинами страны.</w:t>
            </w:r>
          </w:p>
          <w:p w:rsidR="005124BC" w:rsidRPr="00684459" w:rsidRDefault="005124BC" w:rsidP="005124BC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 заключил ряд соглашений о сотрудничестве:</w:t>
            </w:r>
          </w:p>
          <w:p w:rsidR="005124BC" w:rsidRPr="00684459" w:rsidRDefault="005124BC" w:rsidP="001B776C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соглашение о сотрудничестве между МСЭ и Австралией в сфере реализации проекта по обеспечению электросвязи в чрезвычайных ситуациях в Азиатско-Тихоокеанском регионе;</w:t>
            </w:r>
          </w:p>
          <w:p w:rsidR="00460481" w:rsidRPr="00684459" w:rsidRDefault="005124BC" w:rsidP="001B776C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в ходе ВКРЭ-17 в Аргентине между СИТЕЛ, </w:t>
            </w:r>
            <w:proofErr w:type="spellStart"/>
            <w:r w:rsidRPr="00684459">
              <w:rPr>
                <w:sz w:val="22"/>
                <w:szCs w:val="22"/>
              </w:rPr>
              <w:t>COMTELCA</w:t>
            </w:r>
            <w:proofErr w:type="spellEnd"/>
            <w:r w:rsidRPr="00684459">
              <w:rPr>
                <w:sz w:val="22"/>
                <w:szCs w:val="22"/>
              </w:rPr>
              <w:t xml:space="preserve"> и КСЭ был подписан меморандум о взаимопонимании в сфере обеспечения электросвязи в чрезвычайных ситуациях.</w:t>
            </w:r>
          </w:p>
          <w:p w:rsidR="00B615BB" w:rsidRPr="00684459" w:rsidRDefault="003851F3" w:rsidP="00B615BB">
            <w:pPr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МСЭ также организовал мероприятия по усилению потенциала в области связи в чрезвычайных ситуациях, изменения климата, "умных" устойчивых городов, электронных отходов, а также мероприятия, связанные с деятельностью национальных групп реагирования на компьютерные инциденты (CIRT).</w:t>
            </w:r>
            <w:r w:rsidR="004E462F" w:rsidRPr="00684459">
              <w:rPr>
                <w:sz w:val="22"/>
                <w:szCs w:val="22"/>
              </w:rPr>
              <w:t xml:space="preserve"> </w:t>
            </w:r>
            <w:r w:rsidR="00B615BB" w:rsidRPr="00684459">
              <w:rPr>
                <w:sz w:val="22"/>
                <w:szCs w:val="22"/>
              </w:rPr>
              <w:t>Среди них:</w:t>
            </w:r>
          </w:p>
          <w:p w:rsidR="00B615BB" w:rsidRPr="00684459" w:rsidRDefault="00B615BB" w:rsidP="009058B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семинар-практикум по вопросам технологий смягчения последствий землетрясений и цунами, проведенный в Перу;</w:t>
            </w:r>
          </w:p>
          <w:p w:rsidR="00B615BB" w:rsidRPr="00684459" w:rsidRDefault="00B615BB" w:rsidP="009058B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второй форум с участием многих заинтересованных сторон, посвященный роли электросвязи/ИКТ в управлении операциями в случае бедствий, проведенный в Колумбии;</w:t>
            </w:r>
          </w:p>
          <w:p w:rsidR="00B615BB" w:rsidRPr="00684459" w:rsidRDefault="00B615BB" w:rsidP="009058B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региональный учебный семинар-практикум для Арабского региона по вопросам ИКТ для управления операциями в случае бедствий, проведенный в Судане;</w:t>
            </w:r>
          </w:p>
          <w:p w:rsidR="00B615BB" w:rsidRPr="00684459" w:rsidRDefault="00B615BB" w:rsidP="009058BD">
            <w:pPr>
              <w:pStyle w:val="enumlev1"/>
              <w:spacing w:before="6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 xml:space="preserve">учебный семинар-практикум по вопросам конфигурации серверов и сбора данных для проекта в области больших данных ("Безопасное хранение и анализ </w:t>
            </w:r>
            <w:proofErr w:type="spellStart"/>
            <w:r w:rsidRPr="00684459">
              <w:rPr>
                <w:sz w:val="22"/>
                <w:szCs w:val="22"/>
              </w:rPr>
              <w:t>CDR</w:t>
            </w:r>
            <w:proofErr w:type="spellEnd"/>
            <w:r w:rsidRPr="00684459">
              <w:rPr>
                <w:sz w:val="22"/>
                <w:szCs w:val="22"/>
              </w:rPr>
              <w:t xml:space="preserve">"), а также применения основанных на ИКТ приложений, таких как </w:t>
            </w:r>
            <w:proofErr w:type="spellStart"/>
            <w:r w:rsidRPr="00684459">
              <w:rPr>
                <w:sz w:val="22"/>
                <w:szCs w:val="22"/>
              </w:rPr>
              <w:t>Tele-Health</w:t>
            </w:r>
            <w:proofErr w:type="spellEnd"/>
            <w:r w:rsidRPr="00684459">
              <w:rPr>
                <w:sz w:val="22"/>
                <w:szCs w:val="22"/>
              </w:rPr>
              <w:t>, в целях координации гуманитарной деятельности, проведенный в Сьерра-Леоне.</w:t>
            </w:r>
          </w:p>
          <w:p w:rsidR="00460481" w:rsidRPr="00684459" w:rsidRDefault="00B615BB" w:rsidP="009058BD">
            <w:pPr>
              <w:pStyle w:val="enumlev1"/>
              <w:spacing w:before="60" w:after="12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−</w:t>
            </w:r>
            <w:r w:rsidRPr="00684459">
              <w:rPr>
                <w:sz w:val="22"/>
                <w:szCs w:val="22"/>
              </w:rPr>
              <w:tab/>
              <w:t>учебный семинар-практикум и собрание оперативной группы по проекту обеспечения возможности установления спутникового соединения в Тихом океане, проведенные в Таиланде.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ВКРЭ</w:t>
            </w:r>
          </w:p>
        </w:tc>
        <w:tc>
          <w:tcPr>
            <w:tcW w:w="6945" w:type="dxa"/>
          </w:tcPr>
          <w:p w:rsidR="00460481" w:rsidRPr="00684459" w:rsidRDefault="00E03903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1, 5, 17, 21, 30, 32, 34, 37, 50, 52, 53, 69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FC0E32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Полномочная конференция</w:t>
            </w:r>
          </w:p>
        </w:tc>
        <w:tc>
          <w:tcPr>
            <w:tcW w:w="6945" w:type="dxa"/>
          </w:tcPr>
          <w:p w:rsidR="00460481" w:rsidRPr="00684459" w:rsidRDefault="00E03903" w:rsidP="00E03903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Решения</w:t>
            </w:r>
            <w:r w:rsidR="00460481" w:rsidRPr="00684459">
              <w:rPr>
                <w:sz w:val="22"/>
                <w:szCs w:val="22"/>
              </w:rPr>
              <w:t xml:space="preserve"> 5, 13</w:t>
            </w:r>
            <w:r w:rsidRPr="00684459">
              <w:rPr>
                <w:sz w:val="22"/>
                <w:szCs w:val="22"/>
              </w:rPr>
              <w:t xml:space="preserve"> ПК</w:t>
            </w:r>
          </w:p>
          <w:p w:rsidR="00460481" w:rsidRPr="00684459" w:rsidRDefault="00E03903" w:rsidP="00E03903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25, 37, 71, 98, 136, 140, 182, 202</w:t>
            </w:r>
            <w:r w:rsidRPr="00684459">
              <w:rPr>
                <w:sz w:val="22"/>
                <w:szCs w:val="22"/>
              </w:rPr>
              <w:t xml:space="preserve"> ПК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lastRenderedPageBreak/>
              <w:t>ВКР</w:t>
            </w:r>
          </w:p>
        </w:tc>
        <w:tc>
          <w:tcPr>
            <w:tcW w:w="6945" w:type="dxa"/>
          </w:tcPr>
          <w:p w:rsidR="00460481" w:rsidRPr="00684459" w:rsidRDefault="00E03903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Резолюции</w:t>
            </w:r>
            <w:r w:rsidR="00460481" w:rsidRPr="00684459">
              <w:rPr>
                <w:sz w:val="22"/>
                <w:szCs w:val="22"/>
              </w:rPr>
              <w:t xml:space="preserve"> 646, 647</w:t>
            </w:r>
          </w:p>
        </w:tc>
      </w:tr>
      <w:tr w:rsidR="00460481" w:rsidRPr="00684459" w:rsidTr="00460481">
        <w:tc>
          <w:tcPr>
            <w:tcW w:w="2689" w:type="dxa"/>
          </w:tcPr>
          <w:p w:rsidR="00460481" w:rsidRPr="00684459" w:rsidRDefault="00EB6CAC" w:rsidP="00460481">
            <w:pPr>
              <w:spacing w:before="40" w:after="40"/>
              <w:rPr>
                <w:i/>
                <w:iCs/>
                <w:sz w:val="22"/>
                <w:szCs w:val="22"/>
              </w:rPr>
            </w:pPr>
            <w:proofErr w:type="spellStart"/>
            <w:r w:rsidRPr="00684459">
              <w:rPr>
                <w:i/>
                <w:iCs/>
                <w:sz w:val="22"/>
                <w:szCs w:val="22"/>
              </w:rPr>
              <w:t>ВКМЭ</w:t>
            </w:r>
            <w:proofErr w:type="spellEnd"/>
          </w:p>
        </w:tc>
        <w:tc>
          <w:tcPr>
            <w:tcW w:w="6945" w:type="dxa"/>
          </w:tcPr>
          <w:p w:rsidR="00460481" w:rsidRPr="00684459" w:rsidRDefault="00E03903" w:rsidP="00460481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Резолюция</w:t>
            </w:r>
            <w:r w:rsidR="00460481" w:rsidRPr="00684459">
              <w:rPr>
                <w:sz w:val="22"/>
                <w:szCs w:val="22"/>
              </w:rPr>
              <w:t xml:space="preserve"> 2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</w:p>
        </w:tc>
        <w:tc>
          <w:tcPr>
            <w:tcW w:w="6945" w:type="dxa"/>
          </w:tcPr>
          <w:p w:rsidR="00EB6CAC" w:rsidRPr="00684459" w:rsidRDefault="00E03903" w:rsidP="00EB6CAC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Направление деятельности</w:t>
            </w:r>
            <w:r w:rsidR="00EB6CAC" w:rsidRPr="00684459">
              <w:rPr>
                <w:sz w:val="22"/>
                <w:szCs w:val="22"/>
              </w:rPr>
              <w:t xml:space="preserve"> C7</w:t>
            </w:r>
            <w:r w:rsidR="00BB1FAA" w:rsidRPr="00684459">
              <w:rPr>
                <w:sz w:val="22"/>
                <w:szCs w:val="22"/>
              </w:rPr>
              <w:t xml:space="preserve"> ВВУИО</w:t>
            </w:r>
          </w:p>
        </w:tc>
      </w:tr>
      <w:tr w:rsidR="00EB6CAC" w:rsidRPr="00684459" w:rsidTr="00460481">
        <w:tc>
          <w:tcPr>
            <w:tcW w:w="2689" w:type="dxa"/>
          </w:tcPr>
          <w:p w:rsidR="00EB6CAC" w:rsidRPr="00684459" w:rsidRDefault="00EB6CAC" w:rsidP="00EB6CAC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84459">
              <w:rPr>
                <w:i/>
                <w:iCs/>
                <w:sz w:val="22"/>
                <w:szCs w:val="22"/>
              </w:rPr>
              <w:t>Вклад в выполнение задач ЦУР</w:t>
            </w:r>
          </w:p>
        </w:tc>
        <w:tc>
          <w:tcPr>
            <w:tcW w:w="6945" w:type="dxa"/>
          </w:tcPr>
          <w:p w:rsidR="00EB6CAC" w:rsidRPr="00684459" w:rsidRDefault="00BC026E" w:rsidP="00BC026E">
            <w:pPr>
              <w:spacing w:before="40" w:after="40"/>
              <w:rPr>
                <w:sz w:val="22"/>
                <w:szCs w:val="22"/>
              </w:rPr>
            </w:pPr>
            <w:r w:rsidRPr="00684459">
              <w:rPr>
                <w:sz w:val="22"/>
                <w:szCs w:val="22"/>
              </w:rPr>
              <w:t>ЦУР</w:t>
            </w:r>
            <w:r w:rsidR="00EB6CAC" w:rsidRPr="00684459">
              <w:rPr>
                <w:sz w:val="22"/>
                <w:szCs w:val="22"/>
              </w:rPr>
              <w:t xml:space="preserve">: 3 (задача 3.9), 5 (задача 5b), 9, 11 (задачи 11b), 13 (задачи 13.1, 13.2 </w:t>
            </w:r>
            <w:r w:rsidRPr="00684459">
              <w:rPr>
                <w:sz w:val="22"/>
                <w:szCs w:val="22"/>
              </w:rPr>
              <w:t>и</w:t>
            </w:r>
            <w:r w:rsidR="00EB6CAC" w:rsidRPr="00684459">
              <w:rPr>
                <w:sz w:val="22"/>
                <w:szCs w:val="22"/>
              </w:rPr>
              <w:t xml:space="preserve"> 13.3), 14, 15</w:t>
            </w:r>
          </w:p>
        </w:tc>
      </w:tr>
    </w:tbl>
    <w:p w:rsidR="004713B8" w:rsidRPr="00684459" w:rsidRDefault="00AA42F8" w:rsidP="00AA42F8">
      <w:pPr>
        <w:spacing w:before="720"/>
        <w:jc w:val="center"/>
      </w:pPr>
      <w:r w:rsidRPr="00684459">
        <w:t>______________</w:t>
      </w:r>
    </w:p>
    <w:sectPr w:rsidR="004713B8" w:rsidRPr="00684459" w:rsidSect="00111662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59" w:rsidRDefault="00684459" w:rsidP="00E54FD2">
      <w:pPr>
        <w:spacing w:before="0"/>
      </w:pPr>
      <w:r>
        <w:separator/>
      </w:r>
    </w:p>
  </w:endnote>
  <w:endnote w:type="continuationSeparator" w:id="0">
    <w:p w:rsidR="00684459" w:rsidRDefault="0068445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59" w:rsidRPr="00663D74" w:rsidRDefault="00684459" w:rsidP="006F1491">
    <w:pPr>
      <w:pStyle w:val="Footer"/>
      <w:rPr>
        <w:lang w:val="en-US"/>
      </w:rPr>
    </w:pPr>
    <w:r>
      <w:fldChar w:fldCharType="begin"/>
    </w:r>
    <w:r w:rsidRPr="00663D74">
      <w:rPr>
        <w:lang w:val="en-US"/>
      </w:rPr>
      <w:instrText xml:space="preserve"> FILENAME \p  \* MERGEFORMAT </w:instrText>
    </w:r>
    <w:r>
      <w:fldChar w:fldCharType="separate"/>
    </w:r>
    <w:r w:rsidRPr="00663D74">
      <w:rPr>
        <w:lang w:val="en-US"/>
      </w:rPr>
      <w:t>P:\RUS\ITU-D\CONF-D\TDAG18\000\002R.docx</w:t>
    </w:r>
    <w:r>
      <w:fldChar w:fldCharType="end"/>
    </w:r>
    <w:r w:rsidRPr="00663D74">
      <w:rPr>
        <w:lang w:val="en-US"/>
      </w:rPr>
      <w:t xml:space="preserve"> (428688)</w:t>
    </w:r>
    <w:r w:rsidRPr="00663D7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681">
      <w:t>16.02.18</w:t>
    </w:r>
    <w:r>
      <w:fldChar w:fldCharType="end"/>
    </w:r>
    <w:r w:rsidRPr="00663D7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684459" w:rsidRPr="00AC12F9" w:rsidTr="0022671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684459" w:rsidRPr="004D495C" w:rsidRDefault="00684459" w:rsidP="00843D3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544" w:type="dxa"/>
          <w:tcBorders>
            <w:top w:val="single" w:sz="4" w:space="0" w:color="000000"/>
          </w:tcBorders>
        </w:tcPr>
        <w:p w:rsidR="00684459" w:rsidRPr="00EB2F10" w:rsidRDefault="00684459" w:rsidP="00843D38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684459" w:rsidRPr="00BA0AE3" w:rsidRDefault="00684459" w:rsidP="00843D38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>Юси Торигое (</w:t>
          </w:r>
          <w:r w:rsidRPr="00BA0AE3">
            <w:rPr>
              <w:sz w:val="18"/>
              <w:szCs w:val="18"/>
              <w:lang w:val="en-US"/>
            </w:rPr>
            <w:t>Mr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br/>
            <w:t>заместитель Директора Бюро развития электросвязи</w:t>
          </w:r>
        </w:p>
      </w:tc>
    </w:tr>
    <w:tr w:rsidR="00684459" w:rsidRPr="007F5A01" w:rsidTr="0022671B">
      <w:tc>
        <w:tcPr>
          <w:tcW w:w="1418" w:type="dxa"/>
          <w:shd w:val="clear" w:color="auto" w:fill="auto"/>
        </w:tcPr>
        <w:p w:rsidR="00684459" w:rsidRPr="00B64AAC" w:rsidRDefault="00684459" w:rsidP="00843D3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544" w:type="dxa"/>
        </w:tcPr>
        <w:p w:rsidR="00684459" w:rsidRPr="007F5A01" w:rsidRDefault="00684459" w:rsidP="00843D38">
          <w:pPr>
            <w:pStyle w:val="FirstFooter"/>
            <w:spacing w:before="40"/>
            <w:rPr>
              <w:sz w:val="18"/>
              <w:szCs w:val="18"/>
            </w:rPr>
          </w:pPr>
          <w:r w:rsidRPr="007F5A01">
            <w:rPr>
              <w:sz w:val="18"/>
              <w:szCs w:val="18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684459" w:rsidRPr="00BA0AE3" w:rsidRDefault="00684459" w:rsidP="00843D3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5784</w:t>
          </w:r>
        </w:p>
      </w:tc>
    </w:tr>
    <w:tr w:rsidR="00684459" w:rsidRPr="007F5A01" w:rsidTr="0022671B">
      <w:tc>
        <w:tcPr>
          <w:tcW w:w="1418" w:type="dxa"/>
          <w:shd w:val="clear" w:color="auto" w:fill="auto"/>
        </w:tcPr>
        <w:p w:rsidR="00684459" w:rsidRPr="007F5A01" w:rsidRDefault="00684459" w:rsidP="00843D3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544" w:type="dxa"/>
        </w:tcPr>
        <w:p w:rsidR="00684459" w:rsidRPr="007F5A01" w:rsidRDefault="00684459" w:rsidP="00843D3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F5A01">
            <w:rPr>
              <w:sz w:val="18"/>
              <w:szCs w:val="18"/>
            </w:rPr>
            <w:t>Эл. почта:</w:t>
          </w:r>
        </w:p>
      </w:tc>
      <w:tc>
        <w:tcPr>
          <w:tcW w:w="4677" w:type="dxa"/>
          <w:shd w:val="clear" w:color="auto" w:fill="auto"/>
        </w:tcPr>
        <w:p w:rsidR="00684459" w:rsidRPr="007F5A01" w:rsidRDefault="00DB1F13" w:rsidP="00843D3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684459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684459" w:rsidRPr="007F5A01">
              <w:rPr>
                <w:rStyle w:val="Hyperlink"/>
                <w:sz w:val="18"/>
                <w:szCs w:val="18"/>
              </w:rPr>
              <w:t>.</w:t>
            </w:r>
            <w:r w:rsidR="00684459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684459" w:rsidRPr="007F5A01">
              <w:rPr>
                <w:rStyle w:val="Hyperlink"/>
                <w:sz w:val="18"/>
                <w:szCs w:val="18"/>
              </w:rPr>
              <w:t>@</w:t>
            </w:r>
            <w:r w:rsidR="00684459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684459" w:rsidRPr="007F5A01">
              <w:rPr>
                <w:rStyle w:val="Hyperlink"/>
                <w:sz w:val="18"/>
                <w:szCs w:val="18"/>
              </w:rPr>
              <w:t>.</w:t>
            </w:r>
            <w:r w:rsidR="00684459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684459" w:rsidRDefault="00684459" w:rsidP="0068445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684459" w:rsidRPr="006E4AB3" w:rsidRDefault="00DB1F13" w:rsidP="0068445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68445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59" w:rsidRDefault="00684459" w:rsidP="00E54FD2">
      <w:pPr>
        <w:spacing w:before="0"/>
      </w:pPr>
      <w:r>
        <w:separator/>
      </w:r>
    </w:p>
  </w:footnote>
  <w:footnote w:type="continuationSeparator" w:id="0">
    <w:p w:rsidR="00684459" w:rsidRDefault="0068445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59" w:rsidRPr="00701E31" w:rsidRDefault="00684459" w:rsidP="006F149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proofErr w:type="spellStart"/>
    <w:r w:rsidRPr="00BD4375">
      <w:rPr>
        <w:lang w:val="fr-CH"/>
      </w:rPr>
      <w:t>TDAG</w:t>
    </w:r>
    <w:proofErr w:type="spellEnd"/>
    <w:r>
      <w:rPr>
        <w:lang w:val="fr-CH"/>
      </w:rPr>
      <w:t>-</w:t>
    </w:r>
    <w:r w:rsidRPr="00BD4375">
      <w:rPr>
        <w:lang w:val="fr-CH"/>
      </w:rPr>
      <w:t>1</w:t>
    </w:r>
    <w:r>
      <w:rPr>
        <w:lang w:val="fr-CH"/>
      </w:rPr>
      <w:t>8</w:t>
    </w:r>
    <w:bookmarkStart w:id="8" w:name="DocNo2"/>
    <w:bookmarkEnd w:id="8"/>
    <w:r>
      <w:rPr>
        <w:lang w:val="fr-CH"/>
      </w:rPr>
      <w:t>/2-</w:t>
    </w:r>
    <w:r>
      <w:rPr>
        <w:lang w:val="en-US"/>
      </w:rPr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DB1F13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B5B42"/>
    <w:multiLevelType w:val="hybridMultilevel"/>
    <w:tmpl w:val="63F8BA42"/>
    <w:lvl w:ilvl="0" w:tplc="0ECE7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8A4003"/>
    <w:multiLevelType w:val="hybridMultilevel"/>
    <w:tmpl w:val="2704172E"/>
    <w:lvl w:ilvl="0" w:tplc="0ECE7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7080F58">
      <w:numFmt w:val="bullet"/>
      <w:lvlText w:val="•"/>
      <w:lvlJc w:val="left"/>
      <w:pPr>
        <w:ind w:left="1800" w:hanging="1080"/>
      </w:pPr>
      <w:rPr>
        <w:rFonts w:asciiTheme="minorHAnsi" w:eastAsiaTheme="minorHAnsi" w:hAnsiTheme="minorHAns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10B38"/>
    <w:rsid w:val="0001524B"/>
    <w:rsid w:val="000168D1"/>
    <w:rsid w:val="00024A31"/>
    <w:rsid w:val="000373D5"/>
    <w:rsid w:val="0003787A"/>
    <w:rsid w:val="0004797D"/>
    <w:rsid w:val="00051A69"/>
    <w:rsid w:val="000712F4"/>
    <w:rsid w:val="000840C5"/>
    <w:rsid w:val="00086AC6"/>
    <w:rsid w:val="000928F5"/>
    <w:rsid w:val="00097AA0"/>
    <w:rsid w:val="000A01AA"/>
    <w:rsid w:val="000A6A57"/>
    <w:rsid w:val="000C0EFE"/>
    <w:rsid w:val="000D112F"/>
    <w:rsid w:val="000D1BCD"/>
    <w:rsid w:val="000D677A"/>
    <w:rsid w:val="000F3437"/>
    <w:rsid w:val="000F3E05"/>
    <w:rsid w:val="000F5BAE"/>
    <w:rsid w:val="00104579"/>
    <w:rsid w:val="00107E03"/>
    <w:rsid w:val="00111662"/>
    <w:rsid w:val="00130E28"/>
    <w:rsid w:val="00134D3C"/>
    <w:rsid w:val="0014277C"/>
    <w:rsid w:val="00143CC4"/>
    <w:rsid w:val="001452FF"/>
    <w:rsid w:val="0014682D"/>
    <w:rsid w:val="0015620A"/>
    <w:rsid w:val="001620C5"/>
    <w:rsid w:val="001804CC"/>
    <w:rsid w:val="00185B4A"/>
    <w:rsid w:val="00191479"/>
    <w:rsid w:val="00196662"/>
    <w:rsid w:val="001A10A3"/>
    <w:rsid w:val="001B136E"/>
    <w:rsid w:val="001B776C"/>
    <w:rsid w:val="001C33D3"/>
    <w:rsid w:val="001C696C"/>
    <w:rsid w:val="001E3E78"/>
    <w:rsid w:val="00202D0A"/>
    <w:rsid w:val="002236F8"/>
    <w:rsid w:val="00225A94"/>
    <w:rsid w:val="0022671B"/>
    <w:rsid w:val="00226F3F"/>
    <w:rsid w:val="002338DD"/>
    <w:rsid w:val="00250E1F"/>
    <w:rsid w:val="002528A9"/>
    <w:rsid w:val="00257C2C"/>
    <w:rsid w:val="00270876"/>
    <w:rsid w:val="002717CC"/>
    <w:rsid w:val="00276CB7"/>
    <w:rsid w:val="00277A67"/>
    <w:rsid w:val="0028015F"/>
    <w:rsid w:val="00284F50"/>
    <w:rsid w:val="00285A3A"/>
    <w:rsid w:val="00285BE0"/>
    <w:rsid w:val="002A1213"/>
    <w:rsid w:val="002B5C2F"/>
    <w:rsid w:val="002C0A7B"/>
    <w:rsid w:val="002C4AAB"/>
    <w:rsid w:val="002F32E4"/>
    <w:rsid w:val="00300E83"/>
    <w:rsid w:val="0030308B"/>
    <w:rsid w:val="00305B0C"/>
    <w:rsid w:val="00314D0A"/>
    <w:rsid w:val="00315583"/>
    <w:rsid w:val="00316454"/>
    <w:rsid w:val="00343DC6"/>
    <w:rsid w:val="00344E56"/>
    <w:rsid w:val="00355061"/>
    <w:rsid w:val="00366978"/>
    <w:rsid w:val="0037757C"/>
    <w:rsid w:val="003851F3"/>
    <w:rsid w:val="003A294B"/>
    <w:rsid w:val="003A3AF3"/>
    <w:rsid w:val="003B31E6"/>
    <w:rsid w:val="003C6E83"/>
    <w:rsid w:val="003E1CE4"/>
    <w:rsid w:val="003E6E87"/>
    <w:rsid w:val="003E7E9B"/>
    <w:rsid w:val="003F7F87"/>
    <w:rsid w:val="004059D1"/>
    <w:rsid w:val="004104D7"/>
    <w:rsid w:val="00417508"/>
    <w:rsid w:val="00422053"/>
    <w:rsid w:val="00424EBC"/>
    <w:rsid w:val="0043242C"/>
    <w:rsid w:val="00437881"/>
    <w:rsid w:val="00443D10"/>
    <w:rsid w:val="00443EEB"/>
    <w:rsid w:val="00453B42"/>
    <w:rsid w:val="00460481"/>
    <w:rsid w:val="00460E20"/>
    <w:rsid w:val="00463835"/>
    <w:rsid w:val="004713B8"/>
    <w:rsid w:val="00472DAD"/>
    <w:rsid w:val="00492670"/>
    <w:rsid w:val="004954FF"/>
    <w:rsid w:val="004B5B62"/>
    <w:rsid w:val="004D1F3E"/>
    <w:rsid w:val="004D4F34"/>
    <w:rsid w:val="004E4490"/>
    <w:rsid w:val="004E462F"/>
    <w:rsid w:val="004F3E95"/>
    <w:rsid w:val="004F434E"/>
    <w:rsid w:val="0050625D"/>
    <w:rsid w:val="0051014E"/>
    <w:rsid w:val="005124BC"/>
    <w:rsid w:val="00517ED9"/>
    <w:rsid w:val="00521F79"/>
    <w:rsid w:val="00540847"/>
    <w:rsid w:val="00581AAD"/>
    <w:rsid w:val="00581B4D"/>
    <w:rsid w:val="005B2A4E"/>
    <w:rsid w:val="005D6061"/>
    <w:rsid w:val="005E77E9"/>
    <w:rsid w:val="00601D5B"/>
    <w:rsid w:val="00602089"/>
    <w:rsid w:val="00620ACE"/>
    <w:rsid w:val="00626814"/>
    <w:rsid w:val="0064464D"/>
    <w:rsid w:val="00655923"/>
    <w:rsid w:val="00663D74"/>
    <w:rsid w:val="006702AD"/>
    <w:rsid w:val="00684459"/>
    <w:rsid w:val="006B787A"/>
    <w:rsid w:val="006C6BAC"/>
    <w:rsid w:val="006D1CF7"/>
    <w:rsid w:val="006F1491"/>
    <w:rsid w:val="00701E31"/>
    <w:rsid w:val="00716D51"/>
    <w:rsid w:val="007262D7"/>
    <w:rsid w:val="007410DB"/>
    <w:rsid w:val="007460B0"/>
    <w:rsid w:val="00747A38"/>
    <w:rsid w:val="00755D01"/>
    <w:rsid w:val="007B7A13"/>
    <w:rsid w:val="007D0199"/>
    <w:rsid w:val="007D2860"/>
    <w:rsid w:val="008033B9"/>
    <w:rsid w:val="00807F77"/>
    <w:rsid w:val="008112E9"/>
    <w:rsid w:val="00812884"/>
    <w:rsid w:val="008258FF"/>
    <w:rsid w:val="00831859"/>
    <w:rsid w:val="00835491"/>
    <w:rsid w:val="008357F4"/>
    <w:rsid w:val="00843D38"/>
    <w:rsid w:val="00851CDC"/>
    <w:rsid w:val="008561C1"/>
    <w:rsid w:val="00857C46"/>
    <w:rsid w:val="00863109"/>
    <w:rsid w:val="00875722"/>
    <w:rsid w:val="00877A92"/>
    <w:rsid w:val="0088152F"/>
    <w:rsid w:val="008842E0"/>
    <w:rsid w:val="008A2F0A"/>
    <w:rsid w:val="008B15FC"/>
    <w:rsid w:val="008B5CE7"/>
    <w:rsid w:val="008C32EA"/>
    <w:rsid w:val="008C576E"/>
    <w:rsid w:val="008C618D"/>
    <w:rsid w:val="008C7AF5"/>
    <w:rsid w:val="008D25ED"/>
    <w:rsid w:val="008E0343"/>
    <w:rsid w:val="008E46BD"/>
    <w:rsid w:val="008E4D1F"/>
    <w:rsid w:val="009044D1"/>
    <w:rsid w:val="009058BD"/>
    <w:rsid w:val="009105EC"/>
    <w:rsid w:val="009110E8"/>
    <w:rsid w:val="0091186D"/>
    <w:rsid w:val="00916B10"/>
    <w:rsid w:val="00920DB2"/>
    <w:rsid w:val="009244EA"/>
    <w:rsid w:val="0093172D"/>
    <w:rsid w:val="00940ED3"/>
    <w:rsid w:val="00941D3A"/>
    <w:rsid w:val="00941E2B"/>
    <w:rsid w:val="009661AD"/>
    <w:rsid w:val="009663FD"/>
    <w:rsid w:val="009B0429"/>
    <w:rsid w:val="009B3F0C"/>
    <w:rsid w:val="009B5175"/>
    <w:rsid w:val="009C5B8E"/>
    <w:rsid w:val="009D4F43"/>
    <w:rsid w:val="009E0B39"/>
    <w:rsid w:val="00A06576"/>
    <w:rsid w:val="00A216A1"/>
    <w:rsid w:val="00A30897"/>
    <w:rsid w:val="00A3217D"/>
    <w:rsid w:val="00A33E5D"/>
    <w:rsid w:val="00A4304E"/>
    <w:rsid w:val="00A44602"/>
    <w:rsid w:val="00A52A71"/>
    <w:rsid w:val="00A5393C"/>
    <w:rsid w:val="00A564AA"/>
    <w:rsid w:val="00A64F9D"/>
    <w:rsid w:val="00A73D91"/>
    <w:rsid w:val="00A85521"/>
    <w:rsid w:val="00AA3851"/>
    <w:rsid w:val="00AA42F8"/>
    <w:rsid w:val="00AA5E78"/>
    <w:rsid w:val="00AC2E0E"/>
    <w:rsid w:val="00AC6023"/>
    <w:rsid w:val="00AD5826"/>
    <w:rsid w:val="00AD774C"/>
    <w:rsid w:val="00AE0BB7"/>
    <w:rsid w:val="00AE1BA7"/>
    <w:rsid w:val="00AF54E4"/>
    <w:rsid w:val="00AF64DE"/>
    <w:rsid w:val="00B01BD1"/>
    <w:rsid w:val="00B10559"/>
    <w:rsid w:val="00B222FE"/>
    <w:rsid w:val="00B251EF"/>
    <w:rsid w:val="00B52E6E"/>
    <w:rsid w:val="00B55837"/>
    <w:rsid w:val="00B5605C"/>
    <w:rsid w:val="00B60617"/>
    <w:rsid w:val="00B611B6"/>
    <w:rsid w:val="00B615BB"/>
    <w:rsid w:val="00B726C0"/>
    <w:rsid w:val="00B741EF"/>
    <w:rsid w:val="00B75868"/>
    <w:rsid w:val="00B95DA8"/>
    <w:rsid w:val="00BA6538"/>
    <w:rsid w:val="00BB1FAA"/>
    <w:rsid w:val="00BB6431"/>
    <w:rsid w:val="00BC026E"/>
    <w:rsid w:val="00BC6207"/>
    <w:rsid w:val="00BD7A1A"/>
    <w:rsid w:val="00BE3359"/>
    <w:rsid w:val="00BE6CDF"/>
    <w:rsid w:val="00BF2637"/>
    <w:rsid w:val="00BF4679"/>
    <w:rsid w:val="00C028DB"/>
    <w:rsid w:val="00C1061E"/>
    <w:rsid w:val="00C1485D"/>
    <w:rsid w:val="00C31EAF"/>
    <w:rsid w:val="00C47B59"/>
    <w:rsid w:val="00C509C2"/>
    <w:rsid w:val="00C53A94"/>
    <w:rsid w:val="00C53FF5"/>
    <w:rsid w:val="00C55C4B"/>
    <w:rsid w:val="00C627D4"/>
    <w:rsid w:val="00C62E82"/>
    <w:rsid w:val="00C71A6F"/>
    <w:rsid w:val="00C84CCD"/>
    <w:rsid w:val="00CA3663"/>
    <w:rsid w:val="00CC6849"/>
    <w:rsid w:val="00CD34AE"/>
    <w:rsid w:val="00CE37A1"/>
    <w:rsid w:val="00CE5E7B"/>
    <w:rsid w:val="00CF25CE"/>
    <w:rsid w:val="00CF38E2"/>
    <w:rsid w:val="00D16175"/>
    <w:rsid w:val="00D20D99"/>
    <w:rsid w:val="00D423E3"/>
    <w:rsid w:val="00D43E6F"/>
    <w:rsid w:val="00D544F3"/>
    <w:rsid w:val="00D66880"/>
    <w:rsid w:val="00D67BF2"/>
    <w:rsid w:val="00D712FE"/>
    <w:rsid w:val="00D86478"/>
    <w:rsid w:val="00D923CD"/>
    <w:rsid w:val="00D93FCC"/>
    <w:rsid w:val="00D95826"/>
    <w:rsid w:val="00DA2991"/>
    <w:rsid w:val="00DA4610"/>
    <w:rsid w:val="00DB1F13"/>
    <w:rsid w:val="00DB284F"/>
    <w:rsid w:val="00DB3D15"/>
    <w:rsid w:val="00DC3373"/>
    <w:rsid w:val="00DD028E"/>
    <w:rsid w:val="00DD19E1"/>
    <w:rsid w:val="00DD58C8"/>
    <w:rsid w:val="00DD5D8C"/>
    <w:rsid w:val="00E0193A"/>
    <w:rsid w:val="00E03903"/>
    <w:rsid w:val="00E06A7D"/>
    <w:rsid w:val="00E1513F"/>
    <w:rsid w:val="00E21459"/>
    <w:rsid w:val="00E21E8F"/>
    <w:rsid w:val="00E27B3A"/>
    <w:rsid w:val="00E27B92"/>
    <w:rsid w:val="00E30170"/>
    <w:rsid w:val="00E33923"/>
    <w:rsid w:val="00E36142"/>
    <w:rsid w:val="00E4322E"/>
    <w:rsid w:val="00E54FD2"/>
    <w:rsid w:val="00E82D31"/>
    <w:rsid w:val="00EB6CAC"/>
    <w:rsid w:val="00EC2490"/>
    <w:rsid w:val="00ED7DFC"/>
    <w:rsid w:val="00ED7EC6"/>
    <w:rsid w:val="00EE153D"/>
    <w:rsid w:val="00F02865"/>
    <w:rsid w:val="00F27BEA"/>
    <w:rsid w:val="00F3351C"/>
    <w:rsid w:val="00F42F71"/>
    <w:rsid w:val="00F44709"/>
    <w:rsid w:val="00F470AB"/>
    <w:rsid w:val="00F5522D"/>
    <w:rsid w:val="00F7051D"/>
    <w:rsid w:val="00F72A94"/>
    <w:rsid w:val="00F746B3"/>
    <w:rsid w:val="00F8027F"/>
    <w:rsid w:val="00F8187C"/>
    <w:rsid w:val="00F8418E"/>
    <w:rsid w:val="00F940FB"/>
    <w:rsid w:val="00F961B7"/>
    <w:rsid w:val="00F97681"/>
    <w:rsid w:val="00FA059A"/>
    <w:rsid w:val="00FA06C6"/>
    <w:rsid w:val="00FA2BC3"/>
    <w:rsid w:val="00FB3F7E"/>
    <w:rsid w:val="00FB6445"/>
    <w:rsid w:val="00FC0E32"/>
    <w:rsid w:val="00FC1008"/>
    <w:rsid w:val="00FC1479"/>
    <w:rsid w:val="00FC5ABC"/>
    <w:rsid w:val="00FD757E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C60DC17-EBDE-46D6-8DEC-D006A69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E3359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B284F"/>
    <w:pPr>
      <w:spacing w:before="320" w:after="1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863109"/>
    <w:pPr>
      <w:spacing w:before="80"/>
      <w:ind w:left="794" w:hanging="794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359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DB284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954FF"/>
    <w:pPr>
      <w:framePr w:hSpace="180" w:wrap="around" w:vAnchor="page" w:hAnchor="margin" w:y="790"/>
      <w:spacing w:before="840"/>
      <w:jc w:val="center"/>
    </w:pPr>
    <w:rPr>
      <w:b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BE33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BE3359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8033B9"/>
    <w:rPr>
      <w:b/>
      <w:bCs/>
    </w:rPr>
  </w:style>
  <w:style w:type="character" w:customStyle="1" w:styleId="enumlev1Char">
    <w:name w:val="enumlev1 Char"/>
    <w:basedOn w:val="DefaultParagraphFont"/>
    <w:link w:val="enumlev1"/>
    <w:rsid w:val="00863109"/>
    <w:rPr>
      <w:rFonts w:ascii="Calibri" w:eastAsia="Times New Roman" w:hAnsi="Calibri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Map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d/ir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ulatory-Market/Pages/Outlook/201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digitalskills" TargetMode="External"/><Relationship Id="rId10" Type="http://schemas.openxmlformats.org/officeDocument/2006/relationships/hyperlink" Target="https://www.itu.int/en/ITUD/TIES_Protected/PerfReport201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PerfReport2017.pdf" TargetMode="External"/><Relationship Id="rId14" Type="http://schemas.openxmlformats.org/officeDocument/2006/relationships/hyperlink" Target="http://digitalinclusionnewslog.itu.in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964C-1A37-4228-ADEE-16D2671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9776</Words>
  <Characters>55725</Characters>
  <Application>Microsoft Office Word</Application>
  <DocSecurity>0</DocSecurity>
  <Lines>464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TDAG17</vt:lpstr>
      <vt:lpstr>TDAG17</vt:lpstr>
    </vt:vector>
  </TitlesOfParts>
  <Company>International Telecommunication Union (ITU)</Company>
  <LinksUpToDate>false</LinksUpToDate>
  <CharactersWithSpaces>65371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Komissarova, Olga</dc:creator>
  <cp:lastModifiedBy>Maloletkova, Svetlana</cp:lastModifiedBy>
  <cp:revision>3</cp:revision>
  <cp:lastPrinted>2015-03-02T13:42:00Z</cp:lastPrinted>
  <dcterms:created xsi:type="dcterms:W3CDTF">2018-03-05T15:02:00Z</dcterms:created>
  <dcterms:modified xsi:type="dcterms:W3CDTF">2018-03-05T15:07:00Z</dcterms:modified>
</cp:coreProperties>
</file>