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197169">
        <w:trPr>
          <w:cantSplit/>
          <w:trHeight w:val="1134"/>
        </w:trPr>
        <w:tc>
          <w:tcPr>
            <w:tcW w:w="6804" w:type="dxa"/>
          </w:tcPr>
          <w:p w:rsidR="001E252D" w:rsidRPr="001E252D" w:rsidRDefault="001E252D" w:rsidP="00B951D0">
            <w:pPr>
              <w:tabs>
                <w:tab w:val="clear" w:pos="1134"/>
              </w:tabs>
              <w:spacing w:before="20" w:after="48" w:line="240" w:lineRule="atLeast"/>
              <w:ind w:left="34"/>
              <w:rPr>
                <w:b/>
                <w:bCs/>
                <w:sz w:val="32"/>
                <w:szCs w:val="32"/>
              </w:rPr>
            </w:pPr>
            <w:r w:rsidRPr="001E252D">
              <w:rPr>
                <w:b/>
                <w:bCs/>
                <w:sz w:val="32"/>
                <w:szCs w:val="32"/>
              </w:rPr>
              <w:t>Telecommunication Development Advisory Group (TDAG)</w:t>
            </w:r>
          </w:p>
          <w:p w:rsidR="001E252D" w:rsidRPr="00421F93" w:rsidRDefault="001E252D" w:rsidP="00BC0382">
            <w:pPr>
              <w:tabs>
                <w:tab w:val="clear" w:pos="1134"/>
              </w:tabs>
              <w:spacing w:after="48" w:line="240" w:lineRule="atLeast"/>
              <w:ind w:left="34"/>
              <w:rPr>
                <w:b/>
                <w:bCs/>
                <w:sz w:val="28"/>
                <w:szCs w:val="28"/>
              </w:rPr>
            </w:pPr>
            <w:r>
              <w:rPr>
                <w:b/>
                <w:bCs/>
                <w:sz w:val="26"/>
                <w:szCs w:val="26"/>
              </w:rPr>
              <w:t>23</w:t>
            </w:r>
            <w:r w:rsidRPr="001E252D">
              <w:rPr>
                <w:b/>
                <w:bCs/>
                <w:sz w:val="26"/>
                <w:szCs w:val="26"/>
                <w:vertAlign w:val="superscript"/>
              </w:rPr>
              <w:t>rd</w:t>
            </w:r>
            <w:r>
              <w:rPr>
                <w:b/>
                <w:bCs/>
                <w:sz w:val="26"/>
                <w:szCs w:val="26"/>
              </w:rPr>
              <w:t xml:space="preserve"> Meeting, Geneva, 9-11 April 2018</w:t>
            </w:r>
          </w:p>
        </w:tc>
        <w:tc>
          <w:tcPr>
            <w:tcW w:w="3227" w:type="dxa"/>
          </w:tcPr>
          <w:p w:rsidR="001E252D" w:rsidRPr="00D96B4B" w:rsidRDefault="002B3C84" w:rsidP="00B951D0">
            <w:pPr>
              <w:spacing w:before="0" w:line="240" w:lineRule="atLeast"/>
              <w:jc w:val="right"/>
              <w:rPr>
                <w:rFonts w:cstheme="minorHAnsi"/>
              </w:rPr>
            </w:pPr>
            <w:bookmarkStart w:id="0" w:name="ditulogo"/>
            <w:bookmarkEnd w:id="0"/>
            <w:r w:rsidRPr="005D532E">
              <w:rPr>
                <w:noProof/>
                <w:lang w:eastAsia="zh-CN"/>
              </w:rPr>
              <w:drawing>
                <wp:inline distT="0" distB="0" distL="0" distR="0">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D83BF5" w:rsidP="003F1363">
            <w:pPr>
              <w:tabs>
                <w:tab w:val="left" w:pos="851"/>
              </w:tabs>
              <w:spacing w:before="0" w:line="240" w:lineRule="atLeast"/>
              <w:rPr>
                <w:rFonts w:cstheme="minorHAnsi"/>
                <w:szCs w:val="24"/>
                <w:lang w:val="es-ES_tradnl"/>
              </w:rPr>
            </w:pPr>
            <w:r w:rsidRPr="0084734D">
              <w:rPr>
                <w:b/>
                <w:bCs/>
                <w:szCs w:val="24"/>
                <w:lang w:val="es-ES_tradnl"/>
              </w:rPr>
              <w:t xml:space="preserve">Document </w:t>
            </w:r>
            <w:bookmarkStart w:id="4" w:name="DocRef1"/>
            <w:bookmarkEnd w:id="4"/>
            <w:r w:rsidR="001E252D">
              <w:rPr>
                <w:b/>
                <w:bCs/>
                <w:szCs w:val="24"/>
                <w:lang w:val="es-ES_tradnl"/>
              </w:rPr>
              <w:t>TDAG-18</w:t>
            </w:r>
            <w:r w:rsidRPr="00147DA1">
              <w:rPr>
                <w:b/>
                <w:bCs/>
                <w:szCs w:val="24"/>
                <w:lang w:val="es-ES_tradnl"/>
              </w:rPr>
              <w:t>/</w:t>
            </w:r>
            <w:r w:rsidR="003F1363">
              <w:rPr>
                <w:b/>
                <w:bCs/>
                <w:szCs w:val="24"/>
                <w:lang w:val="es-ES_tradnl"/>
              </w:rPr>
              <w:t>13</w:t>
            </w:r>
            <w:r w:rsidRPr="00147DA1">
              <w:rPr>
                <w:b/>
                <w:bCs/>
                <w:szCs w:val="24"/>
                <w:lang w:val="es-ES_tradnl"/>
              </w:rPr>
              <w:t>-E</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246B32" w:rsidP="00620ECD">
            <w:pPr>
              <w:spacing w:before="0" w:line="240" w:lineRule="atLeast"/>
              <w:rPr>
                <w:rFonts w:cstheme="minorHAnsi"/>
                <w:szCs w:val="24"/>
              </w:rPr>
            </w:pPr>
            <w:r>
              <w:rPr>
                <w:b/>
                <w:bCs/>
                <w:szCs w:val="24"/>
                <w:lang w:val="fr-FR"/>
              </w:rPr>
              <w:t>31</w:t>
            </w:r>
            <w:r w:rsidR="00ED44A8">
              <w:rPr>
                <w:b/>
                <w:bCs/>
                <w:szCs w:val="24"/>
                <w:lang w:val="fr-FR"/>
              </w:rPr>
              <w:t xml:space="preserve"> January 2018</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3F1363" w:rsidP="00B951D0">
            <w:pPr>
              <w:tabs>
                <w:tab w:val="left" w:pos="993"/>
              </w:tabs>
              <w:spacing w:before="0"/>
              <w:rPr>
                <w:rFonts w:cstheme="minorHAnsi"/>
                <w:b/>
                <w:szCs w:val="24"/>
              </w:rPr>
            </w:pPr>
            <w:r>
              <w:rPr>
                <w:b/>
                <w:bCs/>
                <w:szCs w:val="24"/>
                <w:lang w:val="fr-FR"/>
              </w:rPr>
              <w:t>O</w:t>
            </w:r>
            <w:r w:rsidR="00D83BF5" w:rsidRPr="00930F7E">
              <w:rPr>
                <w:b/>
                <w:bCs/>
                <w:szCs w:val="24"/>
                <w:lang w:val="fr-FR"/>
              </w:rPr>
              <w:t>riginal:</w:t>
            </w:r>
            <w:r w:rsidR="00D83BF5">
              <w:rPr>
                <w:b/>
                <w:bCs/>
                <w:szCs w:val="24"/>
                <w:lang w:val="fr-FR"/>
              </w:rPr>
              <w:t xml:space="preserve"> English</w:t>
            </w:r>
          </w:p>
        </w:tc>
      </w:tr>
      <w:tr w:rsidR="00D83BF5" w:rsidRPr="00C324A8" w:rsidTr="007F735C">
        <w:trPr>
          <w:cantSplit/>
          <w:trHeight w:val="23"/>
        </w:trPr>
        <w:tc>
          <w:tcPr>
            <w:tcW w:w="10031" w:type="dxa"/>
            <w:gridSpan w:val="2"/>
            <w:shd w:val="clear" w:color="auto" w:fill="auto"/>
          </w:tcPr>
          <w:p w:rsidR="00D83BF5" w:rsidRPr="00D83BF5" w:rsidRDefault="003F1363" w:rsidP="00B911B2">
            <w:pPr>
              <w:pStyle w:val="Source"/>
              <w:spacing w:before="240" w:after="240"/>
            </w:pPr>
            <w:r w:rsidRPr="00C96B44">
              <w:t>Chairman, ITU-D Study Group 2</w:t>
            </w:r>
          </w:p>
        </w:tc>
      </w:tr>
      <w:tr w:rsidR="00D83BF5" w:rsidRPr="00C324A8" w:rsidTr="007F735C">
        <w:trPr>
          <w:cantSplit/>
          <w:trHeight w:val="23"/>
        </w:trPr>
        <w:tc>
          <w:tcPr>
            <w:tcW w:w="10031" w:type="dxa"/>
            <w:gridSpan w:val="2"/>
            <w:shd w:val="clear" w:color="auto" w:fill="auto"/>
            <w:vAlign w:val="center"/>
          </w:tcPr>
          <w:p w:rsidR="00D83BF5" w:rsidRDefault="003F1363" w:rsidP="007F735C">
            <w:pPr>
              <w:pStyle w:val="Title1"/>
              <w:spacing w:before="120" w:after="120"/>
            </w:pPr>
            <w:r w:rsidRPr="00E12F2F">
              <w:rPr>
                <w:bCs/>
                <w:szCs w:val="28"/>
              </w:rPr>
              <w:t xml:space="preserve">Scope of work of </w:t>
            </w:r>
            <w:r>
              <w:rPr>
                <w:bCs/>
                <w:szCs w:val="28"/>
              </w:rPr>
              <w:t>ITU-D Study Group 2 for the 2018-2021</w:t>
            </w:r>
            <w:r w:rsidRPr="00E12F2F">
              <w:rPr>
                <w:bCs/>
                <w:szCs w:val="28"/>
              </w:rPr>
              <w:t xml:space="preserve"> study period</w:t>
            </w:r>
          </w:p>
        </w:tc>
      </w:tr>
      <w:tr w:rsidR="00D83BF5" w:rsidRPr="00C324A8" w:rsidTr="00B951D0">
        <w:trPr>
          <w:cantSplit/>
          <w:trHeight w:val="23"/>
        </w:trPr>
        <w:tc>
          <w:tcPr>
            <w:tcW w:w="10031" w:type="dxa"/>
            <w:gridSpan w:val="2"/>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rPr>
            </w:pPr>
          </w:p>
        </w:tc>
      </w:tr>
      <w:tr w:rsidR="001E252D" w:rsidRPr="00C324A8"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1E252D" w:rsidRPr="008A3933" w:rsidRDefault="001E252D" w:rsidP="00DA273A">
            <w:pPr>
              <w:rPr>
                <w:b/>
                <w:bCs/>
                <w:szCs w:val="24"/>
              </w:rPr>
            </w:pPr>
            <w:r w:rsidRPr="00D9621A">
              <w:rPr>
                <w:b/>
                <w:bCs/>
                <w:szCs w:val="24"/>
              </w:rPr>
              <w:t>Summary:</w:t>
            </w:r>
          </w:p>
          <w:p w:rsidR="003F1363" w:rsidRDefault="003F1363" w:rsidP="003F1363">
            <w:r w:rsidRPr="00B27453">
              <w:t xml:space="preserve">This report </w:t>
            </w:r>
            <w:r>
              <w:t>provides the s</w:t>
            </w:r>
            <w:r w:rsidRPr="00E12F2F">
              <w:t>cope of work of ITU-D Study Group 2 for the 201</w:t>
            </w:r>
            <w:r>
              <w:t>8</w:t>
            </w:r>
            <w:r w:rsidRPr="00E12F2F">
              <w:t>-20</w:t>
            </w:r>
            <w:r>
              <w:t>2</w:t>
            </w:r>
            <w:r w:rsidRPr="00E12F2F">
              <w:t>1 study period</w:t>
            </w:r>
            <w:r>
              <w:t xml:space="preserve"> as agreed by the 2017 World Telecommunication Development Conference (WTDC-17). It also contains information on </w:t>
            </w:r>
            <w:r w:rsidRPr="00362176">
              <w:t>WTDC-17 decisions with impact on ITU-D study groups</w:t>
            </w:r>
            <w:r>
              <w:t xml:space="preserve"> and the </w:t>
            </w:r>
            <w:r w:rsidRPr="00AC2B08">
              <w:t>work plan for Study Group 2</w:t>
            </w:r>
            <w:r>
              <w:t xml:space="preserve"> to implement the mandate.</w:t>
            </w:r>
          </w:p>
          <w:p w:rsidR="001E252D" w:rsidRPr="00D9621A" w:rsidRDefault="003F1363" w:rsidP="00ED44A8">
            <w:pPr>
              <w:rPr>
                <w:szCs w:val="24"/>
              </w:rPr>
            </w:pPr>
            <w:r>
              <w:t>The first meeting of ITU-D Study Group 2 for the new study period will take place from 7</w:t>
            </w:r>
            <w:r w:rsidR="00ED44A8">
              <w:t> </w:t>
            </w:r>
            <w:r>
              <w:t>to</w:t>
            </w:r>
            <w:r w:rsidR="00ED44A8">
              <w:t> </w:t>
            </w:r>
            <w:r>
              <w:t>11</w:t>
            </w:r>
            <w:r w:rsidR="00ED44A8">
              <w:t> </w:t>
            </w:r>
            <w:r>
              <w:t>May</w:t>
            </w:r>
            <w:r w:rsidR="00ED44A8">
              <w:t> </w:t>
            </w:r>
            <w:r>
              <w:t>2018.</w:t>
            </w:r>
          </w:p>
          <w:p w:rsidR="001E252D" w:rsidRPr="00D9621A" w:rsidRDefault="001E252D" w:rsidP="008A3933">
            <w:pPr>
              <w:rPr>
                <w:b/>
                <w:bCs/>
                <w:szCs w:val="24"/>
              </w:rPr>
            </w:pPr>
            <w:r w:rsidRPr="005E090D">
              <w:rPr>
                <w:b/>
                <w:bCs/>
              </w:rPr>
              <w:t>Action required</w:t>
            </w:r>
            <w:r w:rsidR="008A3933">
              <w:rPr>
                <w:b/>
                <w:bCs/>
              </w:rPr>
              <w:t>:</w:t>
            </w:r>
          </w:p>
          <w:p w:rsidR="001E252D" w:rsidRPr="00D9621A" w:rsidRDefault="003F1363" w:rsidP="001E252D">
            <w:pPr>
              <w:rPr>
                <w:szCs w:val="24"/>
              </w:rPr>
            </w:pPr>
            <w:r>
              <w:t>TDAG is invited to take note of this document and provide any guidance as deemed appropriate.</w:t>
            </w:r>
          </w:p>
          <w:p w:rsidR="001E252D" w:rsidRPr="00D9621A" w:rsidRDefault="001E252D" w:rsidP="008A3933">
            <w:pPr>
              <w:rPr>
                <w:b/>
                <w:bCs/>
                <w:szCs w:val="24"/>
              </w:rPr>
            </w:pPr>
            <w:r w:rsidRPr="00D9621A">
              <w:rPr>
                <w:b/>
                <w:bCs/>
                <w:szCs w:val="24"/>
              </w:rPr>
              <w:t>References</w:t>
            </w:r>
            <w:r w:rsidR="008A3933">
              <w:rPr>
                <w:b/>
                <w:bCs/>
                <w:szCs w:val="24"/>
              </w:rPr>
              <w:t>:</w:t>
            </w:r>
          </w:p>
          <w:p w:rsidR="001E252D" w:rsidRPr="00D9621A" w:rsidRDefault="003F1363" w:rsidP="003F1363">
            <w:pPr>
              <w:spacing w:after="120"/>
            </w:pPr>
            <w:r>
              <w:t>WTDC-17 final report</w:t>
            </w:r>
          </w:p>
        </w:tc>
      </w:tr>
      <w:bookmarkEnd w:id="7"/>
      <w:bookmarkEnd w:id="8"/>
    </w:tbl>
    <w:p w:rsidR="001E252D" w:rsidRDefault="001E252D">
      <w:pPr>
        <w:tabs>
          <w:tab w:val="clear" w:pos="1134"/>
          <w:tab w:val="clear" w:pos="1871"/>
          <w:tab w:val="clear" w:pos="2268"/>
        </w:tabs>
        <w:overflowPunct/>
        <w:autoSpaceDE/>
        <w:autoSpaceDN/>
        <w:adjustRightInd/>
        <w:spacing w:before="0"/>
        <w:textAlignment w:val="auto"/>
        <w:rPr>
          <w:szCs w:val="24"/>
        </w:rPr>
      </w:pPr>
    </w:p>
    <w:p w:rsidR="00075C63" w:rsidRDefault="00075C63">
      <w:pPr>
        <w:tabs>
          <w:tab w:val="clear" w:pos="1134"/>
          <w:tab w:val="clear" w:pos="1871"/>
          <w:tab w:val="clear" w:pos="2268"/>
        </w:tabs>
        <w:overflowPunct/>
        <w:autoSpaceDE/>
        <w:autoSpaceDN/>
        <w:adjustRightInd/>
        <w:spacing w:before="0"/>
        <w:textAlignment w:val="auto"/>
        <w:rPr>
          <w:szCs w:val="24"/>
        </w:rPr>
      </w:pPr>
      <w:r>
        <w:rPr>
          <w:szCs w:val="24"/>
        </w:rPr>
        <w:br w:type="page"/>
      </w:r>
    </w:p>
    <w:p w:rsidR="003F1363" w:rsidRDefault="003F1363" w:rsidP="00FC24DA">
      <w:pPr>
        <w:pStyle w:val="Heading1"/>
        <w:numPr>
          <w:ilvl w:val="0"/>
          <w:numId w:val="8"/>
        </w:numPr>
        <w:ind w:left="567" w:hanging="567"/>
        <w:rPr>
          <w:noProof/>
          <w:lang w:val="en-US"/>
        </w:rPr>
      </w:pPr>
      <w:r>
        <w:rPr>
          <w:noProof/>
          <w:lang w:val="en-US"/>
        </w:rPr>
        <w:lastRenderedPageBreak/>
        <w:t>WTDC-17 decisions with impact on ITU-D study groups</w:t>
      </w:r>
    </w:p>
    <w:p w:rsidR="003F1363" w:rsidRPr="00CA5030" w:rsidRDefault="003F1363" w:rsidP="00DB750F">
      <w:pPr>
        <w:rPr>
          <w:lang w:val="en-US"/>
        </w:rPr>
      </w:pPr>
      <w:r w:rsidRPr="00EB6DF0">
        <w:rPr>
          <w:rFonts w:eastAsia="Batang" w:cs="Calibri"/>
          <w:bCs/>
        </w:rPr>
        <w:t xml:space="preserve">The ITU-D study groups follow the process </w:t>
      </w:r>
      <w:r>
        <w:rPr>
          <w:rFonts w:eastAsia="Batang" w:cs="Calibri"/>
          <w:bCs/>
        </w:rPr>
        <w:t xml:space="preserve">and working methods </w:t>
      </w:r>
      <w:r w:rsidRPr="00EB6DF0">
        <w:rPr>
          <w:rFonts w:eastAsia="Batang" w:cs="Calibri"/>
          <w:bCs/>
        </w:rPr>
        <w:t>set</w:t>
      </w:r>
      <w:r>
        <w:rPr>
          <w:rFonts w:eastAsia="Batang" w:cs="Calibri"/>
          <w:bCs/>
        </w:rPr>
        <w:t xml:space="preserve"> out in Resolution</w:t>
      </w:r>
      <w:r w:rsidR="00ED44A8">
        <w:rPr>
          <w:rFonts w:eastAsia="Batang" w:cs="Calibri"/>
          <w:bCs/>
        </w:rPr>
        <w:t> </w:t>
      </w:r>
      <w:r>
        <w:rPr>
          <w:rFonts w:eastAsia="Batang" w:cs="Calibri"/>
          <w:bCs/>
        </w:rPr>
        <w:t>1 (Rev. Buenos Aires, 2017</w:t>
      </w:r>
      <w:r w:rsidRPr="00EB6DF0">
        <w:rPr>
          <w:rFonts w:eastAsia="Batang" w:cs="Calibri"/>
          <w:bCs/>
        </w:rPr>
        <w:t xml:space="preserve">) </w:t>
      </w:r>
      <w:r>
        <w:rPr>
          <w:rFonts w:eastAsia="Batang" w:cs="Calibri"/>
          <w:bCs/>
        </w:rPr>
        <w:t>“</w:t>
      </w:r>
      <w:r w:rsidRPr="004D555B">
        <w:rPr>
          <w:rFonts w:eastAsia="Batang" w:cs="Calibri"/>
          <w:bCs/>
        </w:rPr>
        <w:t>Rules of procedure of the ITU Telecommunication Development Sector</w:t>
      </w:r>
      <w:r>
        <w:rPr>
          <w:rFonts w:eastAsia="Batang" w:cs="Calibri"/>
          <w:bCs/>
        </w:rPr>
        <w:t>”</w:t>
      </w:r>
      <w:r w:rsidRPr="004D555B">
        <w:rPr>
          <w:rFonts w:eastAsia="Batang" w:cs="Calibri"/>
          <w:bCs/>
        </w:rPr>
        <w:t xml:space="preserve"> </w:t>
      </w:r>
      <w:r w:rsidRPr="00EB6DF0">
        <w:rPr>
          <w:rFonts w:eastAsia="Batang" w:cs="Calibri"/>
          <w:bCs/>
        </w:rPr>
        <w:t>and work in accordance with t</w:t>
      </w:r>
      <w:r>
        <w:rPr>
          <w:rFonts w:eastAsia="Batang" w:cs="Calibri"/>
          <w:bCs/>
        </w:rPr>
        <w:t>he work plans adopted by WTDC-17</w:t>
      </w:r>
      <w:r w:rsidRPr="00EB6DF0">
        <w:rPr>
          <w:rFonts w:eastAsia="Batang" w:cs="Calibri"/>
          <w:bCs/>
        </w:rPr>
        <w:t>.</w:t>
      </w:r>
      <w:r>
        <w:rPr>
          <w:rFonts w:eastAsia="Batang" w:cs="Calibri"/>
          <w:bCs/>
        </w:rPr>
        <w:t xml:space="preserve"> </w:t>
      </w:r>
      <w:r>
        <w:rPr>
          <w:lang w:val="en-US"/>
        </w:rPr>
        <w:t>WTDC-17 r</w:t>
      </w:r>
      <w:r w:rsidRPr="00CA5030">
        <w:rPr>
          <w:lang w:val="en-US"/>
        </w:rPr>
        <w:t xml:space="preserve">einforced the role of the ITU-D study groups to provide membership with a platform to share experiences, present ideas, exchange views, and achieve consensus on strategies to address telecommunication/ICT priorities. </w:t>
      </w:r>
      <w:r>
        <w:rPr>
          <w:lang w:val="en-US"/>
        </w:rPr>
        <w:t xml:space="preserve">In so doing, </w:t>
      </w:r>
      <w:r w:rsidRPr="00CA5030">
        <w:rPr>
          <w:lang w:val="en-US"/>
        </w:rPr>
        <w:t xml:space="preserve">the role of the ITU-D study groups </w:t>
      </w:r>
      <w:r>
        <w:rPr>
          <w:lang w:val="en-US"/>
        </w:rPr>
        <w:t xml:space="preserve">to </w:t>
      </w:r>
      <w:r w:rsidRPr="00CA5030">
        <w:rPr>
          <w:lang w:val="en-US"/>
        </w:rPr>
        <w:t xml:space="preserve">assist Member States in achieving their SDG targets and </w:t>
      </w:r>
      <w:r>
        <w:rPr>
          <w:lang w:val="en-US"/>
        </w:rPr>
        <w:t xml:space="preserve">specific </w:t>
      </w:r>
      <w:r w:rsidRPr="00CA5030">
        <w:rPr>
          <w:lang w:val="en-US"/>
        </w:rPr>
        <w:t>development goals</w:t>
      </w:r>
      <w:r>
        <w:rPr>
          <w:lang w:val="en-US"/>
        </w:rPr>
        <w:t xml:space="preserve"> was strengthened</w:t>
      </w:r>
      <w:r w:rsidRPr="00CA5030">
        <w:rPr>
          <w:lang w:val="en-US"/>
        </w:rPr>
        <w:t>.</w:t>
      </w:r>
    </w:p>
    <w:p w:rsidR="003F1363" w:rsidRDefault="003F1363" w:rsidP="003F1363">
      <w:pPr>
        <w:rPr>
          <w:lang w:val="en-US"/>
        </w:rPr>
      </w:pPr>
      <w:r>
        <w:rPr>
          <w:lang w:val="en-US"/>
        </w:rPr>
        <w:t>With regards to the s</w:t>
      </w:r>
      <w:r w:rsidRPr="00CA5030">
        <w:rPr>
          <w:lang w:val="en-US"/>
        </w:rPr>
        <w:t xml:space="preserve">cope of </w:t>
      </w:r>
      <w:r>
        <w:rPr>
          <w:lang w:val="en-US"/>
        </w:rPr>
        <w:t xml:space="preserve">the ITU-D </w:t>
      </w:r>
      <w:r w:rsidRPr="00CA5030">
        <w:rPr>
          <w:lang w:val="en-US"/>
        </w:rPr>
        <w:t>study groups</w:t>
      </w:r>
      <w:r>
        <w:rPr>
          <w:lang w:val="en-US"/>
        </w:rPr>
        <w:t>, ITU-D Study Group 1 will</w:t>
      </w:r>
      <w:r w:rsidRPr="00CA5030">
        <w:rPr>
          <w:lang w:val="en-US"/>
        </w:rPr>
        <w:t xml:space="preserve"> continue </w:t>
      </w:r>
      <w:r>
        <w:rPr>
          <w:lang w:val="en-US"/>
        </w:rPr>
        <w:t xml:space="preserve">to </w:t>
      </w:r>
      <w:r w:rsidRPr="00CA5030">
        <w:rPr>
          <w:lang w:val="en-US"/>
        </w:rPr>
        <w:t xml:space="preserve">focus on </w:t>
      </w:r>
      <w:r>
        <w:rPr>
          <w:lang w:val="en-US"/>
        </w:rPr>
        <w:t xml:space="preserve">“Enabling environment for the </w:t>
      </w:r>
      <w:r w:rsidRPr="00CA5030">
        <w:rPr>
          <w:lang w:val="en-US"/>
        </w:rPr>
        <w:t xml:space="preserve">development of telecommunications/ICTs”. </w:t>
      </w:r>
      <w:r>
        <w:rPr>
          <w:lang w:val="en-US"/>
        </w:rPr>
        <w:t>ITU-D Study Group 2</w:t>
      </w:r>
      <w:r w:rsidRPr="00CA5030">
        <w:rPr>
          <w:lang w:val="en-US"/>
        </w:rPr>
        <w:t xml:space="preserve"> has </w:t>
      </w:r>
      <w:r>
        <w:rPr>
          <w:lang w:val="en-US"/>
        </w:rPr>
        <w:t>a r</w:t>
      </w:r>
      <w:r w:rsidRPr="00CA5030">
        <w:rPr>
          <w:lang w:val="en-US"/>
        </w:rPr>
        <w:t>e</w:t>
      </w:r>
      <w:r>
        <w:rPr>
          <w:lang w:val="en-US"/>
        </w:rPr>
        <w:t>newed</w:t>
      </w:r>
      <w:r w:rsidRPr="00CA5030">
        <w:rPr>
          <w:lang w:val="en-US"/>
        </w:rPr>
        <w:t xml:space="preserve"> focus on “ICT services and applications for the promotio</w:t>
      </w:r>
      <w:r>
        <w:rPr>
          <w:lang w:val="en-US"/>
        </w:rPr>
        <w:t>n of sustainable development”. The c</w:t>
      </w:r>
      <w:r w:rsidRPr="00CA5030">
        <w:rPr>
          <w:lang w:val="en-US"/>
        </w:rPr>
        <w:t xml:space="preserve">reation of possible working parties is up to each study group, as per their requirements. </w:t>
      </w:r>
      <w:r>
        <w:rPr>
          <w:lang w:val="en-US"/>
        </w:rPr>
        <w:t>The new</w:t>
      </w:r>
      <w:r w:rsidRPr="00CA5030">
        <w:rPr>
          <w:lang w:val="en-US"/>
        </w:rPr>
        <w:t xml:space="preserve"> management team appointed </w:t>
      </w:r>
      <w:r>
        <w:rPr>
          <w:lang w:val="en-US"/>
        </w:rPr>
        <w:t xml:space="preserve">by WTDC-17 </w:t>
      </w:r>
      <w:r w:rsidRPr="00EB6DF0">
        <w:rPr>
          <w:rFonts w:eastAsia="Batang" w:cs="Calibri"/>
          <w:bCs/>
        </w:rPr>
        <w:t>to lead the work</w:t>
      </w:r>
      <w:r>
        <w:rPr>
          <w:lang w:val="en-US"/>
        </w:rPr>
        <w:t xml:space="preserve"> of the two study groups is made up of two</w:t>
      </w:r>
      <w:r w:rsidRPr="00CA5030">
        <w:rPr>
          <w:lang w:val="en-US"/>
        </w:rPr>
        <w:t xml:space="preserve"> Chairmen and 23 Vice-Chairmen. New roles </w:t>
      </w:r>
      <w:r>
        <w:rPr>
          <w:lang w:val="en-US"/>
        </w:rPr>
        <w:t xml:space="preserve">were furthermore </w:t>
      </w:r>
      <w:r w:rsidRPr="00CA5030">
        <w:rPr>
          <w:lang w:val="en-US"/>
        </w:rPr>
        <w:t>assigned to the Vice-Chairmen.</w:t>
      </w:r>
      <w:r w:rsidRPr="00BF0711">
        <w:rPr>
          <w:rFonts w:eastAsia="Batang" w:cs="Calibri"/>
          <w:bCs/>
        </w:rPr>
        <w:t xml:space="preserve"> </w:t>
      </w:r>
      <w:r>
        <w:rPr>
          <w:rFonts w:eastAsia="Batang" w:cs="Calibri"/>
          <w:bCs/>
        </w:rPr>
        <w:t>A call for Rapporteurs and Vice-Rapporteurs has been sent out to the membership and appointments will be made at the first ITU-D SG1 and SG2 meetings in April/May 2018.</w:t>
      </w:r>
    </w:p>
    <w:p w:rsidR="003F1363" w:rsidRDefault="003F1363" w:rsidP="00DB750F">
      <w:pPr>
        <w:rPr>
          <w:lang w:val="en-US"/>
        </w:rPr>
      </w:pPr>
      <w:r w:rsidRPr="005660C0">
        <w:rPr>
          <w:lang w:val="en-US"/>
        </w:rPr>
        <w:t xml:space="preserve">Each study group has </w:t>
      </w:r>
      <w:r>
        <w:rPr>
          <w:lang w:val="en-US"/>
        </w:rPr>
        <w:t>seven</w:t>
      </w:r>
      <w:r w:rsidRPr="005660C0">
        <w:rPr>
          <w:lang w:val="en-US"/>
        </w:rPr>
        <w:t xml:space="preserve"> Questions</w:t>
      </w:r>
      <w:r>
        <w:rPr>
          <w:lang w:val="en-US"/>
        </w:rPr>
        <w:t xml:space="preserve"> compared to the previous nine,</w:t>
      </w:r>
      <w:r w:rsidRPr="005660C0">
        <w:rPr>
          <w:lang w:val="en-US"/>
        </w:rPr>
        <w:t xml:space="preserve"> which </w:t>
      </w:r>
      <w:r>
        <w:rPr>
          <w:lang w:val="en-US"/>
        </w:rPr>
        <w:t xml:space="preserve">will </w:t>
      </w:r>
      <w:r w:rsidRPr="005660C0">
        <w:rPr>
          <w:lang w:val="en-US"/>
        </w:rPr>
        <w:t xml:space="preserve">allow for more focus on the topics under study. </w:t>
      </w:r>
      <w:r>
        <w:rPr>
          <w:lang w:val="en-US"/>
        </w:rPr>
        <w:t xml:space="preserve">In several cases the </w:t>
      </w:r>
      <w:r w:rsidRPr="005660C0">
        <w:rPr>
          <w:lang w:val="en-US"/>
        </w:rPr>
        <w:t xml:space="preserve">Questions have </w:t>
      </w:r>
      <w:r>
        <w:rPr>
          <w:lang w:val="en-US"/>
        </w:rPr>
        <w:t xml:space="preserve">been drafted </w:t>
      </w:r>
      <w:r w:rsidRPr="005660C0">
        <w:rPr>
          <w:lang w:val="en-US"/>
        </w:rPr>
        <w:t xml:space="preserve">to focus on ‘national’ aspects and experiences. The delivery of annual output reports </w:t>
      </w:r>
      <w:r>
        <w:rPr>
          <w:lang w:val="en-US"/>
        </w:rPr>
        <w:t xml:space="preserve">is </w:t>
      </w:r>
      <w:r w:rsidRPr="005660C0">
        <w:rPr>
          <w:lang w:val="en-US"/>
        </w:rPr>
        <w:t xml:space="preserve">to be built into the </w:t>
      </w:r>
      <w:r>
        <w:rPr>
          <w:lang w:val="en-US"/>
        </w:rPr>
        <w:t>Question</w:t>
      </w:r>
      <w:r w:rsidR="00DB750F">
        <w:rPr>
          <w:lang w:val="en-US"/>
        </w:rPr>
        <w:t>-</w:t>
      </w:r>
      <w:r>
        <w:rPr>
          <w:lang w:val="en-US"/>
        </w:rPr>
        <w:t xml:space="preserve">specific </w:t>
      </w:r>
      <w:r w:rsidRPr="005660C0">
        <w:rPr>
          <w:lang w:val="en-US"/>
        </w:rPr>
        <w:t xml:space="preserve">work plans, to the extent feasible. The capacity building and training aspect of the ITU-D study groups </w:t>
      </w:r>
      <w:r>
        <w:rPr>
          <w:lang w:val="en-US"/>
        </w:rPr>
        <w:t xml:space="preserve">is now </w:t>
      </w:r>
      <w:r w:rsidRPr="005660C0">
        <w:rPr>
          <w:lang w:val="en-US"/>
        </w:rPr>
        <w:t xml:space="preserve">reflected more prominently in the study Questions, </w:t>
      </w:r>
      <w:r>
        <w:rPr>
          <w:lang w:val="en-US"/>
        </w:rPr>
        <w:t xml:space="preserve">which is </w:t>
      </w:r>
      <w:r w:rsidRPr="005660C0">
        <w:rPr>
          <w:lang w:val="en-US"/>
        </w:rPr>
        <w:t>to be realized though the development of training material and delivery of training.</w:t>
      </w:r>
    </w:p>
    <w:p w:rsidR="003F1363" w:rsidRDefault="003F1363" w:rsidP="00ED44A8">
      <w:pPr>
        <w:rPr>
          <w:lang w:val="en-US"/>
        </w:rPr>
      </w:pPr>
      <w:r w:rsidRPr="00983C09">
        <w:rPr>
          <w:rFonts w:eastAsia="SimSun" w:cs="Calibri"/>
        </w:rPr>
        <w:t xml:space="preserve">There are substantial changes to the </w:t>
      </w:r>
      <w:r>
        <w:rPr>
          <w:lang w:val="en-US"/>
        </w:rPr>
        <w:t xml:space="preserve">rules of procedure and </w:t>
      </w:r>
      <w:r w:rsidRPr="00983C09">
        <w:rPr>
          <w:rFonts w:eastAsia="SimSun" w:cs="Calibri"/>
        </w:rPr>
        <w:t xml:space="preserve">working methods </w:t>
      </w:r>
      <w:r>
        <w:rPr>
          <w:rFonts w:eastAsia="SimSun" w:cs="Calibri"/>
        </w:rPr>
        <w:t xml:space="preserve">as can be seen in the revised </w:t>
      </w:r>
      <w:r>
        <w:rPr>
          <w:rFonts w:eastAsia="Batang" w:cs="Calibri"/>
          <w:bCs/>
        </w:rPr>
        <w:t>Resolution 1 (Rev. Buenos Aires, 2017</w:t>
      </w:r>
      <w:r w:rsidRPr="00EB6DF0">
        <w:rPr>
          <w:rFonts w:eastAsia="Batang" w:cs="Calibri"/>
          <w:bCs/>
        </w:rPr>
        <w:t xml:space="preserve">) </w:t>
      </w:r>
      <w:r w:rsidRPr="00983C09">
        <w:rPr>
          <w:rFonts w:eastAsia="SimSun" w:cs="Calibri"/>
        </w:rPr>
        <w:t>compared to the previous study period</w:t>
      </w:r>
      <w:r>
        <w:rPr>
          <w:rFonts w:eastAsia="SimSun" w:cs="Calibri"/>
        </w:rPr>
        <w:t xml:space="preserve">. These revisions </w:t>
      </w:r>
      <w:r w:rsidRPr="007A6900">
        <w:rPr>
          <w:lang w:val="en-US"/>
        </w:rPr>
        <w:t>buil</w:t>
      </w:r>
      <w:r>
        <w:rPr>
          <w:lang w:val="en-US"/>
        </w:rPr>
        <w:t>d</w:t>
      </w:r>
      <w:r w:rsidRPr="007A6900">
        <w:rPr>
          <w:lang w:val="en-US"/>
        </w:rPr>
        <w:t xml:space="preserve"> on the work conducted by the TDAG Correspondence Group on Resolution</w:t>
      </w:r>
      <w:r w:rsidR="00ED44A8">
        <w:rPr>
          <w:lang w:val="en-US"/>
        </w:rPr>
        <w:t> </w:t>
      </w:r>
      <w:r w:rsidRPr="007A6900">
        <w:rPr>
          <w:lang w:val="en-US"/>
        </w:rPr>
        <w:t>1</w:t>
      </w:r>
      <w:r>
        <w:rPr>
          <w:lang w:val="en-US"/>
        </w:rPr>
        <w:t xml:space="preserve"> which was established following WTDC-14</w:t>
      </w:r>
      <w:r w:rsidRPr="007A6900">
        <w:rPr>
          <w:lang w:val="en-US"/>
        </w:rPr>
        <w:t>.</w:t>
      </w:r>
      <w:r>
        <w:rPr>
          <w:lang w:val="en-US"/>
        </w:rPr>
        <w:t xml:space="preserve"> </w:t>
      </w:r>
    </w:p>
    <w:p w:rsidR="003F1363" w:rsidRDefault="003F1363" w:rsidP="003F1363">
      <w:pPr>
        <w:spacing w:after="120"/>
        <w:rPr>
          <w:lang w:val="en-US"/>
        </w:rPr>
      </w:pPr>
      <w:r>
        <w:rPr>
          <w:lang w:val="en-US"/>
        </w:rPr>
        <w:t>The changes to the working methods include c</w:t>
      </w:r>
      <w:r w:rsidRPr="007A6900">
        <w:rPr>
          <w:lang w:val="en-US"/>
        </w:rPr>
        <w:t xml:space="preserve">lear </w:t>
      </w:r>
      <w:r>
        <w:rPr>
          <w:lang w:val="en-US"/>
        </w:rPr>
        <w:t>d</w:t>
      </w:r>
      <w:r w:rsidRPr="007A6900">
        <w:rPr>
          <w:lang w:val="en-US"/>
        </w:rPr>
        <w:t>efinitions</w:t>
      </w:r>
      <w:r>
        <w:rPr>
          <w:lang w:val="en-US"/>
        </w:rPr>
        <w:t xml:space="preserve"> of key texts in the Sector and</w:t>
      </w:r>
      <w:r w:rsidRPr="007A6900">
        <w:rPr>
          <w:lang w:val="en-US"/>
        </w:rPr>
        <w:t xml:space="preserve"> </w:t>
      </w:r>
      <w:r>
        <w:rPr>
          <w:lang w:val="en-US"/>
        </w:rPr>
        <w:t>detailed a</w:t>
      </w:r>
      <w:r w:rsidRPr="007A6900">
        <w:rPr>
          <w:lang w:val="en-US"/>
        </w:rPr>
        <w:t>pproval/</w:t>
      </w:r>
      <w:r>
        <w:rPr>
          <w:lang w:val="en-US"/>
        </w:rPr>
        <w:t>d</w:t>
      </w:r>
      <w:r w:rsidRPr="007A6900">
        <w:rPr>
          <w:lang w:val="en-US"/>
        </w:rPr>
        <w:t>eletion process</w:t>
      </w:r>
      <w:r>
        <w:rPr>
          <w:lang w:val="en-US"/>
        </w:rPr>
        <w:t>es</w:t>
      </w:r>
      <w:r w:rsidRPr="007A6900">
        <w:rPr>
          <w:lang w:val="en-US"/>
        </w:rPr>
        <w:t xml:space="preserve"> to be followed for </w:t>
      </w:r>
      <w:r>
        <w:rPr>
          <w:lang w:val="en-US"/>
        </w:rPr>
        <w:t xml:space="preserve">the </w:t>
      </w:r>
      <w:r w:rsidRPr="007A6900">
        <w:rPr>
          <w:lang w:val="en-US"/>
        </w:rPr>
        <w:t xml:space="preserve">main ITU-D instruments. </w:t>
      </w:r>
      <w:r>
        <w:rPr>
          <w:lang w:val="en-US"/>
        </w:rPr>
        <w:t>The t</w:t>
      </w:r>
      <w:r w:rsidRPr="007A6900">
        <w:rPr>
          <w:lang w:val="en-US"/>
        </w:rPr>
        <w:t xml:space="preserve">emplate for contributions </w:t>
      </w:r>
      <w:r>
        <w:rPr>
          <w:lang w:val="en-US"/>
        </w:rPr>
        <w:t xml:space="preserve">was </w:t>
      </w:r>
      <w:r w:rsidRPr="007A6900">
        <w:rPr>
          <w:lang w:val="en-US"/>
        </w:rPr>
        <w:t>updated to incorporate lessons learned and suggested best practices.</w:t>
      </w:r>
      <w:r>
        <w:rPr>
          <w:lang w:val="en-US"/>
        </w:rPr>
        <w:t xml:space="preserve"> New </w:t>
      </w:r>
      <w:r w:rsidRPr="007A6900">
        <w:rPr>
          <w:lang w:val="en-US"/>
        </w:rPr>
        <w:t>requirement</w:t>
      </w:r>
      <w:r>
        <w:rPr>
          <w:lang w:val="en-US"/>
        </w:rPr>
        <w:t>s</w:t>
      </w:r>
      <w:r w:rsidRPr="007A6900">
        <w:rPr>
          <w:lang w:val="en-US"/>
        </w:rPr>
        <w:t xml:space="preserve"> for the delivery of annual output reports for the study Questions, to the extent possible</w:t>
      </w:r>
      <w:r>
        <w:rPr>
          <w:lang w:val="en-US"/>
        </w:rPr>
        <w:t xml:space="preserve"> was added to the working methods</w:t>
      </w:r>
      <w:r w:rsidRPr="007A6900">
        <w:rPr>
          <w:lang w:val="en-US"/>
        </w:rPr>
        <w:t>.</w:t>
      </w:r>
      <w:r>
        <w:rPr>
          <w:lang w:val="en-US"/>
        </w:rPr>
        <w:t xml:space="preserve"> In addition, </w:t>
      </w:r>
      <w:r w:rsidRPr="007A6900">
        <w:rPr>
          <w:lang w:val="en-US"/>
        </w:rPr>
        <w:t>informal roundtable discussions, seminars or illustrative workshops associated with each study Question</w:t>
      </w:r>
      <w:r>
        <w:rPr>
          <w:lang w:val="en-US"/>
        </w:rPr>
        <w:t xml:space="preserve"> are to be held</w:t>
      </w:r>
      <w:r w:rsidRPr="007A6900">
        <w:rPr>
          <w:lang w:val="en-US"/>
        </w:rPr>
        <w:t>, to the extent possible</w:t>
      </w:r>
      <w:r>
        <w:rPr>
          <w:lang w:val="en-US"/>
        </w:rPr>
        <w:t xml:space="preserve"> throughout the study period</w:t>
      </w:r>
      <w:r w:rsidRPr="007A6900">
        <w:rPr>
          <w:lang w:val="en-US"/>
        </w:rPr>
        <w:t>.</w:t>
      </w:r>
      <w:r>
        <w:rPr>
          <w:lang w:val="en-US"/>
        </w:rPr>
        <w:t xml:space="preserve"> </w:t>
      </w:r>
      <w:r w:rsidRPr="007A6900">
        <w:rPr>
          <w:lang w:val="en-US"/>
        </w:rPr>
        <w:t>Coordinated effort</w:t>
      </w:r>
      <w:r>
        <w:rPr>
          <w:lang w:val="en-US"/>
        </w:rPr>
        <w:t>s</w:t>
      </w:r>
      <w:r w:rsidRPr="007A6900">
        <w:rPr>
          <w:lang w:val="en-US"/>
        </w:rPr>
        <w:t xml:space="preserve"> between the activities of the Questions and other work carried out by BDT is called for</w:t>
      </w:r>
      <w:r>
        <w:rPr>
          <w:lang w:val="en-US"/>
        </w:rPr>
        <w:t xml:space="preserve"> with a r</w:t>
      </w:r>
      <w:r w:rsidRPr="007A6900">
        <w:rPr>
          <w:lang w:val="en-US"/>
        </w:rPr>
        <w:t xml:space="preserve">einforced focus on the need to report on the synergies achieved through the work of the related study Questions, programmes, regional initiatives and projects. </w:t>
      </w:r>
      <w:r>
        <w:rPr>
          <w:lang w:val="en-US"/>
        </w:rPr>
        <w:t>The r</w:t>
      </w:r>
      <w:r w:rsidRPr="007A6900">
        <w:rPr>
          <w:lang w:val="en-US"/>
        </w:rPr>
        <w:t>eference to ‘Academia’ and their participation in the work of the Sector</w:t>
      </w:r>
      <w:r>
        <w:rPr>
          <w:lang w:val="en-US"/>
        </w:rPr>
        <w:t xml:space="preserve"> was</w:t>
      </w:r>
      <w:r w:rsidRPr="007A6900">
        <w:rPr>
          <w:lang w:val="en-US"/>
        </w:rPr>
        <w:t xml:space="preserve"> reinforced through Resolution 1.</w:t>
      </w:r>
    </w:p>
    <w:p w:rsidR="003F1363" w:rsidRPr="008E4EEE" w:rsidRDefault="003F1363" w:rsidP="00FC24DA">
      <w:pPr>
        <w:pStyle w:val="Heading1"/>
        <w:numPr>
          <w:ilvl w:val="0"/>
          <w:numId w:val="8"/>
        </w:numPr>
        <w:ind w:left="567" w:hanging="567"/>
        <w:rPr>
          <w:noProof/>
          <w:lang w:val="en-US"/>
        </w:rPr>
      </w:pPr>
      <w:r w:rsidRPr="008E4EEE">
        <w:rPr>
          <w:noProof/>
          <w:lang w:val="en-US"/>
        </w:rPr>
        <w:t>Introduction to the work of ITU-D Study Group 2</w:t>
      </w:r>
    </w:p>
    <w:p w:rsidR="003F1363" w:rsidRPr="00351EBE" w:rsidRDefault="003F1363" w:rsidP="00FC24DA">
      <w:pPr>
        <w:pStyle w:val="Heading2"/>
        <w:ind w:left="567" w:hanging="567"/>
      </w:pPr>
      <w:r>
        <w:t>2.1</w:t>
      </w:r>
      <w:r>
        <w:tab/>
      </w:r>
      <w:r w:rsidRPr="00351EBE">
        <w:t>Scope of work</w:t>
      </w:r>
    </w:p>
    <w:p w:rsidR="003F1363" w:rsidRDefault="003F1363" w:rsidP="00ED44A8">
      <w:pPr>
        <w:rPr>
          <w:rFonts w:cstheme="minorHAnsi"/>
          <w:szCs w:val="24"/>
        </w:rPr>
      </w:pPr>
      <w:r w:rsidRPr="0072675F">
        <w:rPr>
          <w:rFonts w:cstheme="minorHAnsi"/>
          <w:szCs w:val="24"/>
        </w:rPr>
        <w:t xml:space="preserve">Study Group </w:t>
      </w:r>
      <w:r>
        <w:rPr>
          <w:rFonts w:cstheme="minorHAnsi"/>
          <w:szCs w:val="24"/>
        </w:rPr>
        <w:t>2</w:t>
      </w:r>
      <w:r w:rsidRPr="0072675F">
        <w:rPr>
          <w:rFonts w:cstheme="minorHAnsi"/>
          <w:szCs w:val="24"/>
        </w:rPr>
        <w:t xml:space="preserve"> (</w:t>
      </w:r>
      <w:r>
        <w:rPr>
          <w:rFonts w:cstheme="minorHAnsi"/>
          <w:szCs w:val="24"/>
        </w:rPr>
        <w:t>SG2</w:t>
      </w:r>
      <w:r w:rsidRPr="0072675F">
        <w:rPr>
          <w:rFonts w:cstheme="minorHAnsi"/>
          <w:szCs w:val="24"/>
        </w:rPr>
        <w:t>) was established</w:t>
      </w:r>
      <w:r>
        <w:rPr>
          <w:rFonts w:cstheme="minorHAnsi"/>
          <w:szCs w:val="24"/>
        </w:rPr>
        <w:t xml:space="preserve"> </w:t>
      </w:r>
      <w:r w:rsidRPr="0072675F">
        <w:rPr>
          <w:rFonts w:cstheme="minorHAnsi"/>
          <w:szCs w:val="24"/>
        </w:rPr>
        <w:t xml:space="preserve">in accordance with Resolution 2 (Rev. </w:t>
      </w:r>
      <w:r>
        <w:rPr>
          <w:rFonts w:cstheme="minorHAnsi"/>
          <w:szCs w:val="24"/>
        </w:rPr>
        <w:t>Buenos Aires, 201</w:t>
      </w:r>
      <w:r w:rsidR="00ED44A8">
        <w:rPr>
          <w:rFonts w:cstheme="minorHAnsi"/>
          <w:szCs w:val="24"/>
        </w:rPr>
        <w:t>7</w:t>
      </w:r>
      <w:r w:rsidRPr="0072675F">
        <w:rPr>
          <w:rFonts w:cstheme="minorHAnsi"/>
          <w:szCs w:val="24"/>
        </w:rPr>
        <w:t xml:space="preserve">) to examine, through Questions adopted by the ITU </w:t>
      </w:r>
      <w:r>
        <w:rPr>
          <w:rFonts w:cstheme="minorHAnsi"/>
          <w:szCs w:val="24"/>
        </w:rPr>
        <w:t>m</w:t>
      </w:r>
      <w:r w:rsidRPr="0072675F">
        <w:rPr>
          <w:rFonts w:cstheme="minorHAnsi"/>
          <w:szCs w:val="24"/>
        </w:rPr>
        <w:t>embership at WTDC-1</w:t>
      </w:r>
      <w:r>
        <w:rPr>
          <w:rFonts w:cstheme="minorHAnsi"/>
          <w:szCs w:val="24"/>
        </w:rPr>
        <w:t>7</w:t>
      </w:r>
      <w:r w:rsidRPr="0072675F">
        <w:rPr>
          <w:rFonts w:cstheme="minorHAnsi"/>
          <w:szCs w:val="24"/>
        </w:rPr>
        <w:t xml:space="preserve">, issues relating to </w:t>
      </w:r>
      <w:r>
        <w:rPr>
          <w:rFonts w:cstheme="minorHAnsi"/>
          <w:szCs w:val="24"/>
        </w:rPr>
        <w:t>ICT</w:t>
      </w:r>
      <w:r w:rsidRPr="00362176">
        <w:rPr>
          <w:rFonts w:cstheme="minorHAnsi"/>
          <w:szCs w:val="24"/>
        </w:rPr>
        <w:t xml:space="preserve"> services and applications</w:t>
      </w:r>
      <w:r w:rsidRPr="00FC24DA">
        <w:t xml:space="preserve"> for the </w:t>
      </w:r>
      <w:r w:rsidRPr="00362176">
        <w:rPr>
          <w:rFonts w:cstheme="minorHAnsi"/>
          <w:szCs w:val="24"/>
        </w:rPr>
        <w:t xml:space="preserve">promotion of sustainable </w:t>
      </w:r>
      <w:r w:rsidRPr="00FC24DA">
        <w:t>development</w:t>
      </w:r>
      <w:r>
        <w:rPr>
          <w:rFonts w:cstheme="minorHAnsi"/>
          <w:szCs w:val="24"/>
        </w:rPr>
        <w:t>.</w:t>
      </w:r>
    </w:p>
    <w:p w:rsidR="003F1363" w:rsidRDefault="003F1363" w:rsidP="00FC24DA">
      <w:r>
        <w:rPr>
          <w:rFonts w:cstheme="minorHAnsi"/>
          <w:szCs w:val="24"/>
        </w:rPr>
        <w:lastRenderedPageBreak/>
        <w:t>In this context, SG2 is responsible for seven</w:t>
      </w:r>
      <w:r w:rsidRPr="009171B0">
        <w:rPr>
          <w:rFonts w:cstheme="minorHAnsi"/>
          <w:szCs w:val="24"/>
        </w:rPr>
        <w:t xml:space="preserve"> sub</w:t>
      </w:r>
      <w:r>
        <w:rPr>
          <w:rFonts w:cstheme="minorHAnsi"/>
          <w:szCs w:val="24"/>
        </w:rPr>
        <w:t xml:space="preserve">stantive topics, which broadly include </w:t>
      </w:r>
      <w:r>
        <w:t>services and applications supported by telecommunications/ICTs</w:t>
      </w:r>
      <w:r>
        <w:rPr>
          <w:rFonts w:cstheme="minorHAnsi"/>
          <w:szCs w:val="24"/>
        </w:rPr>
        <w:t xml:space="preserve">, </w:t>
      </w:r>
      <w:r>
        <w:t>building confidence and security in the use of ICTs, the implementation of conformance and interoperability testing for telecommunication/ICT devices and equipment, combating counterfeit telecommunications/ICT devices and combating theft of mobile telecommunication devices. Moreover, the use of telecommunications/ICTs in monitoring and mitigating the impact of climate change on developing countries, the u</w:t>
      </w:r>
      <w:r w:rsidRPr="00362176">
        <w:t>tilizing telecommunications/</w:t>
      </w:r>
      <w:r>
        <w:t xml:space="preserve">ICTs </w:t>
      </w:r>
      <w:r w:rsidRPr="00362176">
        <w:t>for disaster risk reduction and management</w:t>
      </w:r>
      <w:r>
        <w:t>, and human exposure to electromagnetic fields and safe disposal of electronic waste are also included in the work of SG2.</w:t>
      </w:r>
    </w:p>
    <w:p w:rsidR="003F1363" w:rsidRPr="00CC6EAF" w:rsidRDefault="003F1363" w:rsidP="003F1363">
      <w:pPr>
        <w:pStyle w:val="Heading2"/>
        <w:ind w:left="567" w:hanging="567"/>
      </w:pPr>
      <w:r>
        <w:t>2.2</w:t>
      </w:r>
      <w:r>
        <w:tab/>
      </w:r>
      <w:r w:rsidRPr="00CC6EAF">
        <w:t>Study Group 2 management</w:t>
      </w:r>
    </w:p>
    <w:p w:rsidR="003F1363" w:rsidRPr="005B2233" w:rsidRDefault="003F1363" w:rsidP="003F1363">
      <w:pPr>
        <w:rPr>
          <w:rFonts w:cstheme="minorHAnsi"/>
          <w:szCs w:val="24"/>
        </w:rPr>
      </w:pPr>
      <w:r w:rsidRPr="005B2233">
        <w:rPr>
          <w:rFonts w:cstheme="minorHAnsi"/>
          <w:szCs w:val="24"/>
        </w:rPr>
        <w:t>WTDC-1</w:t>
      </w:r>
      <w:r>
        <w:rPr>
          <w:rFonts w:cstheme="minorHAnsi"/>
          <w:szCs w:val="24"/>
        </w:rPr>
        <w:t>7</w:t>
      </w:r>
      <w:r w:rsidRPr="005B2233">
        <w:rPr>
          <w:rFonts w:cstheme="minorHAnsi"/>
          <w:szCs w:val="24"/>
        </w:rPr>
        <w:t xml:space="preserve"> designated the </w:t>
      </w:r>
      <w:r>
        <w:rPr>
          <w:rFonts w:cstheme="minorHAnsi"/>
          <w:szCs w:val="24"/>
        </w:rPr>
        <w:t>SG2</w:t>
      </w:r>
      <w:r w:rsidRPr="005B2233">
        <w:rPr>
          <w:rFonts w:cstheme="minorHAnsi"/>
          <w:szCs w:val="24"/>
        </w:rPr>
        <w:t xml:space="preserve"> </w:t>
      </w:r>
      <w:r>
        <w:rPr>
          <w:rFonts w:cstheme="minorHAnsi"/>
          <w:szCs w:val="24"/>
        </w:rPr>
        <w:t>l</w:t>
      </w:r>
      <w:r w:rsidRPr="005B2233">
        <w:rPr>
          <w:rFonts w:cstheme="minorHAnsi"/>
          <w:szCs w:val="24"/>
        </w:rPr>
        <w:t xml:space="preserve">eadership for the </w:t>
      </w:r>
      <w:r>
        <w:rPr>
          <w:rFonts w:cstheme="minorHAnsi"/>
          <w:szCs w:val="24"/>
        </w:rPr>
        <w:t>seventh</w:t>
      </w:r>
      <w:r w:rsidRPr="005B2233">
        <w:rPr>
          <w:rFonts w:cstheme="minorHAnsi"/>
          <w:szCs w:val="24"/>
        </w:rPr>
        <w:t xml:space="preserve"> cycle (201</w:t>
      </w:r>
      <w:r>
        <w:rPr>
          <w:rFonts w:cstheme="minorHAnsi"/>
          <w:szCs w:val="24"/>
        </w:rPr>
        <w:t>8-2021</w:t>
      </w:r>
      <w:r w:rsidRPr="005B2233">
        <w:rPr>
          <w:rFonts w:cstheme="minorHAnsi"/>
          <w:szCs w:val="24"/>
        </w:rPr>
        <w:t xml:space="preserve">): </w:t>
      </w:r>
      <w:r>
        <w:rPr>
          <w:rFonts w:cstheme="minorHAnsi"/>
          <w:szCs w:val="24"/>
        </w:rPr>
        <w:t>Mr Ahmad Reza Sharafat</w:t>
      </w:r>
      <w:r w:rsidRPr="005B2233">
        <w:rPr>
          <w:rFonts w:cstheme="minorHAnsi"/>
          <w:szCs w:val="24"/>
        </w:rPr>
        <w:t xml:space="preserve"> (</w:t>
      </w:r>
      <w:r>
        <w:rPr>
          <w:rFonts w:cstheme="minorHAnsi"/>
          <w:szCs w:val="24"/>
        </w:rPr>
        <w:t>Islamic Republic of Iran</w:t>
      </w:r>
      <w:r w:rsidRPr="005B2233">
        <w:rPr>
          <w:rFonts w:cstheme="minorHAnsi"/>
          <w:szCs w:val="24"/>
        </w:rPr>
        <w:t xml:space="preserve">) </w:t>
      </w:r>
      <w:r>
        <w:rPr>
          <w:rFonts w:cstheme="minorHAnsi"/>
          <w:szCs w:val="24"/>
        </w:rPr>
        <w:t xml:space="preserve">was appointed as </w:t>
      </w:r>
      <w:r w:rsidRPr="005B2233">
        <w:rPr>
          <w:rFonts w:cstheme="minorHAnsi"/>
          <w:szCs w:val="24"/>
        </w:rPr>
        <w:t>Chairman</w:t>
      </w:r>
      <w:r>
        <w:rPr>
          <w:rFonts w:cstheme="minorHAnsi"/>
          <w:szCs w:val="24"/>
        </w:rPr>
        <w:t xml:space="preserve">; and eleven </w:t>
      </w:r>
      <w:r w:rsidRPr="005B2233">
        <w:rPr>
          <w:rFonts w:cstheme="minorHAnsi"/>
          <w:szCs w:val="24"/>
        </w:rPr>
        <w:t>Vice-Chairmen</w:t>
      </w:r>
      <w:r>
        <w:rPr>
          <w:rFonts w:cstheme="minorHAnsi"/>
          <w:szCs w:val="24"/>
        </w:rPr>
        <w:t xml:space="preserve"> were appointed</w:t>
      </w:r>
      <w:r w:rsidRPr="005B2233">
        <w:rPr>
          <w:rFonts w:cstheme="minorHAnsi"/>
          <w:szCs w:val="24"/>
        </w:rPr>
        <w:t>:</w:t>
      </w:r>
    </w:p>
    <w:p w:rsidR="003F1363" w:rsidRPr="00FC24DA" w:rsidRDefault="003F1363" w:rsidP="008B63AA">
      <w:pPr>
        <w:pStyle w:val="ListParagraph"/>
        <w:numPr>
          <w:ilvl w:val="0"/>
          <w:numId w:val="6"/>
        </w:numPr>
        <w:tabs>
          <w:tab w:val="clear" w:pos="1134"/>
          <w:tab w:val="clear" w:pos="1871"/>
          <w:tab w:val="clear" w:pos="2268"/>
          <w:tab w:val="left" w:pos="567"/>
        </w:tabs>
        <w:spacing w:before="60"/>
        <w:ind w:left="567" w:hanging="567"/>
        <w:contextualSpacing w:val="0"/>
      </w:pPr>
      <w:r w:rsidRPr="00C3196E">
        <w:rPr>
          <w:rFonts w:cstheme="minorHAnsi"/>
          <w:szCs w:val="24"/>
        </w:rPr>
        <w:t>Mr Roland Yaw Kudozia (Ghana</w:t>
      </w:r>
      <w:r w:rsidR="008B63AA">
        <w:rPr>
          <w:rFonts w:cstheme="minorHAnsi"/>
          <w:szCs w:val="24"/>
        </w:rPr>
        <w:t xml:space="preserve">, </w:t>
      </w:r>
      <w:r w:rsidRPr="00EA50B3">
        <w:rPr>
          <w:rFonts w:cstheme="minorHAnsi"/>
          <w:szCs w:val="24"/>
          <w:lang w:val="en-US"/>
        </w:rPr>
        <w:t>A</w:t>
      </w:r>
      <w:r>
        <w:rPr>
          <w:rFonts w:cstheme="minorHAnsi"/>
          <w:szCs w:val="24"/>
          <w:lang w:val="en-US"/>
        </w:rPr>
        <w:t>FR</w:t>
      </w:r>
      <w:r w:rsidR="008B63AA">
        <w:rPr>
          <w:rFonts w:cstheme="minorHAnsi"/>
          <w:szCs w:val="24"/>
          <w:lang w:val="en-US"/>
        </w:rPr>
        <w:t>)</w:t>
      </w:r>
    </w:p>
    <w:p w:rsidR="003F1363" w:rsidRPr="00FC24DA" w:rsidRDefault="003F1363" w:rsidP="008B63AA">
      <w:pPr>
        <w:pStyle w:val="ListParagraph"/>
        <w:numPr>
          <w:ilvl w:val="0"/>
          <w:numId w:val="6"/>
        </w:numPr>
        <w:tabs>
          <w:tab w:val="clear" w:pos="1134"/>
          <w:tab w:val="clear" w:pos="1871"/>
          <w:tab w:val="clear" w:pos="2268"/>
          <w:tab w:val="left" w:pos="567"/>
        </w:tabs>
        <w:spacing w:before="60"/>
        <w:ind w:left="567" w:hanging="567"/>
        <w:contextualSpacing w:val="0"/>
      </w:pPr>
      <w:r w:rsidRPr="00C3196E">
        <w:rPr>
          <w:rFonts w:cstheme="minorHAnsi"/>
          <w:szCs w:val="24"/>
        </w:rPr>
        <w:t>Mr Henry Chukwudumeme Nkemadu (Nigeria</w:t>
      </w:r>
      <w:r w:rsidR="008B63AA">
        <w:rPr>
          <w:rFonts w:cstheme="minorHAnsi"/>
          <w:szCs w:val="24"/>
        </w:rPr>
        <w:t xml:space="preserve">, </w:t>
      </w:r>
      <w:r w:rsidRPr="00EA50B3">
        <w:rPr>
          <w:rFonts w:cstheme="minorHAnsi"/>
          <w:szCs w:val="24"/>
          <w:lang w:val="en-US"/>
        </w:rPr>
        <w:t>A</w:t>
      </w:r>
      <w:r>
        <w:rPr>
          <w:rFonts w:cstheme="minorHAnsi"/>
          <w:szCs w:val="24"/>
          <w:lang w:val="en-US"/>
        </w:rPr>
        <w:t>FR</w:t>
      </w:r>
      <w:r w:rsidR="008B63AA">
        <w:rPr>
          <w:rFonts w:cstheme="minorHAnsi"/>
          <w:szCs w:val="24"/>
          <w:lang w:val="en-US"/>
        </w:rPr>
        <w:t>)</w:t>
      </w:r>
    </w:p>
    <w:p w:rsidR="003F1363" w:rsidRPr="00FC24DA" w:rsidRDefault="003F1363" w:rsidP="008B63AA">
      <w:pPr>
        <w:pStyle w:val="ListParagraph"/>
        <w:numPr>
          <w:ilvl w:val="0"/>
          <w:numId w:val="6"/>
        </w:numPr>
        <w:tabs>
          <w:tab w:val="clear" w:pos="1134"/>
          <w:tab w:val="clear" w:pos="1871"/>
          <w:tab w:val="clear" w:pos="2268"/>
          <w:tab w:val="left" w:pos="567"/>
        </w:tabs>
        <w:spacing w:before="60"/>
        <w:ind w:left="567" w:hanging="567"/>
        <w:contextualSpacing w:val="0"/>
        <w:rPr>
          <w:lang w:val="es-ES_tradnl"/>
        </w:rPr>
      </w:pPr>
      <w:r w:rsidRPr="00C3196E">
        <w:rPr>
          <w:rFonts w:cstheme="minorHAnsi"/>
          <w:szCs w:val="24"/>
          <w:lang w:val="es-ES_tradnl"/>
        </w:rPr>
        <w:t>Ms Celina Delgado Castellón (Nicaragua</w:t>
      </w:r>
      <w:r w:rsidR="008B63AA">
        <w:rPr>
          <w:rFonts w:cstheme="minorHAnsi"/>
          <w:szCs w:val="24"/>
          <w:lang w:val="es-ES_tradnl"/>
        </w:rPr>
        <w:t xml:space="preserve">, </w:t>
      </w:r>
      <w:r w:rsidR="008B63AA">
        <w:rPr>
          <w:lang w:val="es-ES_tradnl"/>
        </w:rPr>
        <w:t>AMS)</w:t>
      </w:r>
    </w:p>
    <w:p w:rsidR="003F1363" w:rsidRPr="00FC24DA" w:rsidRDefault="003F1363" w:rsidP="008B63AA">
      <w:pPr>
        <w:pStyle w:val="ListParagraph"/>
        <w:numPr>
          <w:ilvl w:val="0"/>
          <w:numId w:val="6"/>
        </w:numPr>
        <w:tabs>
          <w:tab w:val="clear" w:pos="1134"/>
          <w:tab w:val="clear" w:pos="1871"/>
          <w:tab w:val="clear" w:pos="2268"/>
          <w:tab w:val="left" w:pos="567"/>
        </w:tabs>
        <w:spacing w:before="60"/>
        <w:ind w:left="567" w:hanging="567"/>
        <w:contextualSpacing w:val="0"/>
        <w:rPr>
          <w:lang w:val="es-ES_tradnl"/>
        </w:rPr>
      </w:pPr>
      <w:r w:rsidRPr="00C3196E">
        <w:rPr>
          <w:rFonts w:cstheme="minorHAnsi"/>
          <w:szCs w:val="24"/>
          <w:lang w:val="es-ES_tradnl"/>
        </w:rPr>
        <w:t>Ms Nora Abdalla Hassan Basher (Sudan</w:t>
      </w:r>
      <w:r w:rsidR="008B63AA">
        <w:rPr>
          <w:rFonts w:cstheme="minorHAnsi"/>
          <w:szCs w:val="24"/>
          <w:lang w:val="es-ES_tradnl"/>
        </w:rPr>
        <w:t xml:space="preserve">, </w:t>
      </w:r>
      <w:r w:rsidR="008B63AA">
        <w:rPr>
          <w:lang w:val="es-ES_tradnl"/>
        </w:rPr>
        <w:t>ARB)</w:t>
      </w:r>
    </w:p>
    <w:p w:rsidR="003F1363" w:rsidRPr="00FC24DA" w:rsidRDefault="003F1363" w:rsidP="008B63AA">
      <w:pPr>
        <w:pStyle w:val="ListParagraph"/>
        <w:numPr>
          <w:ilvl w:val="0"/>
          <w:numId w:val="6"/>
        </w:numPr>
        <w:tabs>
          <w:tab w:val="clear" w:pos="1134"/>
          <w:tab w:val="clear" w:pos="1871"/>
          <w:tab w:val="clear" w:pos="2268"/>
          <w:tab w:val="left" w:pos="567"/>
        </w:tabs>
        <w:spacing w:before="60"/>
        <w:ind w:left="567" w:hanging="567"/>
        <w:contextualSpacing w:val="0"/>
      </w:pPr>
      <w:r w:rsidRPr="00C3196E">
        <w:rPr>
          <w:rFonts w:cstheme="minorHAnsi"/>
          <w:szCs w:val="24"/>
        </w:rPr>
        <w:t>Mr Nasser Al Marzouqi (United Arab Emirates</w:t>
      </w:r>
      <w:r w:rsidR="008B63AA">
        <w:rPr>
          <w:rFonts w:cstheme="minorHAnsi"/>
          <w:szCs w:val="24"/>
        </w:rPr>
        <w:t xml:space="preserve">, </w:t>
      </w:r>
      <w:r w:rsidR="008B63AA">
        <w:rPr>
          <w:lang w:val="es-ES_tradnl"/>
        </w:rPr>
        <w:t>ARB)</w:t>
      </w:r>
    </w:p>
    <w:p w:rsidR="003F1363" w:rsidRPr="00FC24DA" w:rsidRDefault="003F1363" w:rsidP="008B63AA">
      <w:pPr>
        <w:pStyle w:val="ListParagraph"/>
        <w:numPr>
          <w:ilvl w:val="0"/>
          <w:numId w:val="6"/>
        </w:numPr>
        <w:tabs>
          <w:tab w:val="clear" w:pos="1134"/>
          <w:tab w:val="clear" w:pos="1871"/>
          <w:tab w:val="clear" w:pos="2268"/>
          <w:tab w:val="left" w:pos="567"/>
        </w:tabs>
        <w:spacing w:before="60"/>
        <w:ind w:left="567" w:hanging="567"/>
        <w:contextualSpacing w:val="0"/>
      </w:pPr>
      <w:r w:rsidRPr="00C3196E">
        <w:rPr>
          <w:rFonts w:cstheme="minorHAnsi"/>
          <w:szCs w:val="24"/>
        </w:rPr>
        <w:t>Ms Ke Wang (People’s Republic of China</w:t>
      </w:r>
      <w:r w:rsidR="008B63AA">
        <w:rPr>
          <w:rFonts w:cstheme="minorHAnsi"/>
          <w:szCs w:val="24"/>
        </w:rPr>
        <w:t xml:space="preserve">, </w:t>
      </w:r>
      <w:r w:rsidRPr="00EA50B3">
        <w:rPr>
          <w:rFonts w:cstheme="minorHAnsi"/>
          <w:szCs w:val="24"/>
          <w:lang w:val="en-US"/>
        </w:rPr>
        <w:t>ASP</w:t>
      </w:r>
      <w:r w:rsidR="008B63AA">
        <w:rPr>
          <w:rFonts w:cstheme="minorHAnsi"/>
          <w:szCs w:val="24"/>
          <w:lang w:val="en-US"/>
        </w:rPr>
        <w:t>)</w:t>
      </w:r>
    </w:p>
    <w:p w:rsidR="003F1363" w:rsidRPr="00FC24DA" w:rsidRDefault="003F1363" w:rsidP="008B63AA">
      <w:pPr>
        <w:pStyle w:val="ListParagraph"/>
        <w:numPr>
          <w:ilvl w:val="0"/>
          <w:numId w:val="6"/>
        </w:numPr>
        <w:tabs>
          <w:tab w:val="clear" w:pos="1134"/>
          <w:tab w:val="clear" w:pos="1871"/>
          <w:tab w:val="clear" w:pos="2268"/>
          <w:tab w:val="left" w:pos="567"/>
        </w:tabs>
        <w:spacing w:before="60"/>
        <w:ind w:left="567" w:hanging="567"/>
        <w:contextualSpacing w:val="0"/>
        <w:rPr>
          <w:lang w:val="es-ES_tradnl"/>
        </w:rPr>
      </w:pPr>
      <w:r w:rsidRPr="00C3196E">
        <w:rPr>
          <w:rFonts w:cstheme="minorHAnsi"/>
          <w:szCs w:val="24"/>
          <w:lang w:val="es-ES_tradnl"/>
        </w:rPr>
        <w:t>Mr Ananda Raj Khanal (Nepal</w:t>
      </w:r>
      <w:r w:rsidR="008B63AA">
        <w:rPr>
          <w:rFonts w:cstheme="minorHAnsi"/>
          <w:szCs w:val="24"/>
          <w:lang w:val="es-ES_tradnl"/>
        </w:rPr>
        <w:t xml:space="preserve">, </w:t>
      </w:r>
      <w:r w:rsidR="008B63AA">
        <w:rPr>
          <w:lang w:val="es-ES_tradnl"/>
        </w:rPr>
        <w:t>ASP)</w:t>
      </w:r>
    </w:p>
    <w:p w:rsidR="003F1363" w:rsidRPr="00FC24DA" w:rsidRDefault="003F1363" w:rsidP="008B63AA">
      <w:pPr>
        <w:pStyle w:val="ListParagraph"/>
        <w:numPr>
          <w:ilvl w:val="0"/>
          <w:numId w:val="6"/>
        </w:numPr>
        <w:tabs>
          <w:tab w:val="clear" w:pos="1134"/>
          <w:tab w:val="clear" w:pos="1871"/>
          <w:tab w:val="clear" w:pos="2268"/>
          <w:tab w:val="left" w:pos="567"/>
        </w:tabs>
        <w:spacing w:before="60"/>
        <w:ind w:left="567" w:hanging="567"/>
        <w:contextualSpacing w:val="0"/>
      </w:pPr>
      <w:r w:rsidRPr="00C3196E">
        <w:rPr>
          <w:rFonts w:cstheme="minorHAnsi"/>
          <w:szCs w:val="24"/>
        </w:rPr>
        <w:t>Mr Yakov Gass (Russian Federation</w:t>
      </w:r>
      <w:r w:rsidR="008B63AA">
        <w:rPr>
          <w:rFonts w:cstheme="minorHAnsi"/>
          <w:szCs w:val="24"/>
        </w:rPr>
        <w:t xml:space="preserve">, </w:t>
      </w:r>
      <w:r>
        <w:rPr>
          <w:rFonts w:cstheme="minorHAnsi"/>
          <w:szCs w:val="24"/>
          <w:lang w:val="en-US"/>
        </w:rPr>
        <w:t>CIS</w:t>
      </w:r>
      <w:r w:rsidR="008B63AA">
        <w:rPr>
          <w:rFonts w:cstheme="minorHAnsi"/>
          <w:szCs w:val="24"/>
          <w:lang w:val="en-US"/>
        </w:rPr>
        <w:t>)</w:t>
      </w:r>
    </w:p>
    <w:p w:rsidR="003F1363" w:rsidRPr="00FC24DA" w:rsidRDefault="003F1363" w:rsidP="008B63AA">
      <w:pPr>
        <w:pStyle w:val="ListParagraph"/>
        <w:numPr>
          <w:ilvl w:val="0"/>
          <w:numId w:val="6"/>
        </w:numPr>
        <w:tabs>
          <w:tab w:val="clear" w:pos="1134"/>
          <w:tab w:val="clear" w:pos="1871"/>
          <w:tab w:val="clear" w:pos="2268"/>
          <w:tab w:val="left" w:pos="567"/>
        </w:tabs>
        <w:spacing w:before="60"/>
        <w:ind w:left="567" w:hanging="567"/>
        <w:contextualSpacing w:val="0"/>
      </w:pPr>
      <w:r w:rsidRPr="00C3196E">
        <w:rPr>
          <w:rFonts w:cstheme="minorHAnsi"/>
          <w:szCs w:val="24"/>
        </w:rPr>
        <w:t>Mr Tolibjon Oltinovich Mirzakulov (Uzbekistan</w:t>
      </w:r>
      <w:r w:rsidR="008B63AA">
        <w:rPr>
          <w:rFonts w:cstheme="minorHAnsi"/>
          <w:szCs w:val="24"/>
        </w:rPr>
        <w:t xml:space="preserve">, </w:t>
      </w:r>
      <w:r>
        <w:rPr>
          <w:rFonts w:cstheme="minorHAnsi"/>
          <w:szCs w:val="24"/>
          <w:lang w:val="en-US"/>
        </w:rPr>
        <w:t>CIS</w:t>
      </w:r>
      <w:r w:rsidR="008B63AA">
        <w:rPr>
          <w:rFonts w:cstheme="minorHAnsi"/>
          <w:szCs w:val="24"/>
          <w:lang w:val="en-US"/>
        </w:rPr>
        <w:t>)</w:t>
      </w:r>
    </w:p>
    <w:p w:rsidR="003F1363" w:rsidRPr="00FC24DA" w:rsidRDefault="003F1363" w:rsidP="008B63AA">
      <w:pPr>
        <w:pStyle w:val="ListParagraph"/>
        <w:numPr>
          <w:ilvl w:val="0"/>
          <w:numId w:val="6"/>
        </w:numPr>
        <w:tabs>
          <w:tab w:val="clear" w:pos="1134"/>
          <w:tab w:val="clear" w:pos="1871"/>
          <w:tab w:val="clear" w:pos="2268"/>
          <w:tab w:val="left" w:pos="567"/>
        </w:tabs>
        <w:spacing w:before="60"/>
        <w:ind w:left="567" w:hanging="567"/>
        <w:contextualSpacing w:val="0"/>
        <w:rPr>
          <w:lang w:val="es-ES_tradnl"/>
        </w:rPr>
      </w:pPr>
      <w:r w:rsidRPr="00C3196E">
        <w:rPr>
          <w:rFonts w:cstheme="minorHAnsi"/>
          <w:szCs w:val="24"/>
          <w:lang w:val="es-ES_tradnl"/>
        </w:rPr>
        <w:t>Mr Filipe Miguel Antunes Batista (Portugal</w:t>
      </w:r>
      <w:r w:rsidR="008B63AA">
        <w:rPr>
          <w:rFonts w:cstheme="minorHAnsi"/>
          <w:szCs w:val="24"/>
          <w:lang w:val="es-ES_tradnl"/>
        </w:rPr>
        <w:t xml:space="preserve">, </w:t>
      </w:r>
      <w:r w:rsidR="008B63AA">
        <w:rPr>
          <w:lang w:val="es-ES_tradnl"/>
        </w:rPr>
        <w:t>EUR)</w:t>
      </w:r>
    </w:p>
    <w:p w:rsidR="003F1363" w:rsidRPr="00FC24DA" w:rsidRDefault="003F1363" w:rsidP="008B63AA">
      <w:pPr>
        <w:pStyle w:val="ListParagraph"/>
        <w:numPr>
          <w:ilvl w:val="0"/>
          <w:numId w:val="6"/>
        </w:numPr>
        <w:tabs>
          <w:tab w:val="clear" w:pos="1134"/>
          <w:tab w:val="clear" w:pos="1871"/>
          <w:tab w:val="clear" w:pos="2268"/>
          <w:tab w:val="left" w:pos="567"/>
        </w:tabs>
        <w:spacing w:before="60"/>
        <w:ind w:left="567" w:hanging="567"/>
        <w:contextualSpacing w:val="0"/>
        <w:rPr>
          <w:lang w:val="fr-CH"/>
        </w:rPr>
      </w:pPr>
      <w:r w:rsidRPr="00EA50B3">
        <w:rPr>
          <w:rFonts w:cstheme="minorHAnsi"/>
          <w:szCs w:val="24"/>
          <w:lang w:val="fr-CH"/>
        </w:rPr>
        <w:t>Mr Dominique Würges (</w:t>
      </w:r>
      <w:r w:rsidR="008B63AA">
        <w:rPr>
          <w:rFonts w:cstheme="minorHAnsi"/>
          <w:szCs w:val="24"/>
          <w:lang w:val="fr-CH"/>
        </w:rPr>
        <w:t xml:space="preserve">France, </w:t>
      </w:r>
      <w:r w:rsidR="008B63AA">
        <w:rPr>
          <w:lang w:val="fr-CH"/>
        </w:rPr>
        <w:t>EUR)</w:t>
      </w:r>
      <w:bookmarkStart w:id="9" w:name="_GoBack"/>
      <w:bookmarkEnd w:id="9"/>
    </w:p>
    <w:p w:rsidR="003F1363" w:rsidRPr="00CC6EAF" w:rsidRDefault="003F1363" w:rsidP="00FC24DA">
      <w:pPr>
        <w:pStyle w:val="Heading2"/>
        <w:ind w:left="567" w:hanging="567"/>
      </w:pPr>
      <w:r>
        <w:t>2.3</w:t>
      </w:r>
      <w:r>
        <w:tab/>
      </w:r>
      <w:r w:rsidRPr="00CC6EAF">
        <w:t>Study Group 2 Questions</w:t>
      </w:r>
    </w:p>
    <w:p w:rsidR="003F1363" w:rsidRPr="005B2233" w:rsidRDefault="003F1363" w:rsidP="003F1363">
      <w:pPr>
        <w:keepNext/>
        <w:rPr>
          <w:rFonts w:cstheme="minorHAnsi"/>
          <w:szCs w:val="24"/>
        </w:rPr>
      </w:pPr>
      <w:r w:rsidRPr="005B2233">
        <w:rPr>
          <w:rFonts w:cstheme="minorHAnsi"/>
          <w:szCs w:val="24"/>
        </w:rPr>
        <w:t>WTDC-1</w:t>
      </w:r>
      <w:r>
        <w:rPr>
          <w:rFonts w:cstheme="minorHAnsi"/>
          <w:szCs w:val="24"/>
        </w:rPr>
        <w:t xml:space="preserve">7 </w:t>
      </w:r>
      <w:r w:rsidRPr="005B2233">
        <w:rPr>
          <w:rFonts w:cstheme="minorHAnsi"/>
          <w:szCs w:val="24"/>
        </w:rPr>
        <w:t xml:space="preserve">entrusted Study Group </w:t>
      </w:r>
      <w:r>
        <w:rPr>
          <w:rFonts w:cstheme="minorHAnsi"/>
          <w:szCs w:val="24"/>
        </w:rPr>
        <w:t>2</w:t>
      </w:r>
      <w:r w:rsidRPr="005B2233">
        <w:rPr>
          <w:rFonts w:cstheme="minorHAnsi"/>
          <w:szCs w:val="24"/>
        </w:rPr>
        <w:t xml:space="preserve"> with the following Questions:</w:t>
      </w:r>
    </w:p>
    <w:p w:rsidR="003F1363" w:rsidRDefault="003F1363" w:rsidP="00FC24DA">
      <w:pPr>
        <w:pStyle w:val="ListParagraph"/>
        <w:widowControl w:val="0"/>
        <w:numPr>
          <w:ilvl w:val="0"/>
          <w:numId w:val="6"/>
        </w:numPr>
        <w:tabs>
          <w:tab w:val="clear" w:pos="1134"/>
          <w:tab w:val="clear" w:pos="1871"/>
          <w:tab w:val="clear" w:pos="2268"/>
          <w:tab w:val="left" w:pos="567"/>
        </w:tabs>
        <w:spacing w:before="60"/>
        <w:ind w:left="567" w:hanging="567"/>
        <w:contextualSpacing w:val="0"/>
        <w:rPr>
          <w:rFonts w:cs="Calibri"/>
          <w:color w:val="1E1E1E"/>
          <w:lang w:val="en-US" w:eastAsia="zh-CN"/>
        </w:rPr>
      </w:pPr>
      <w:r w:rsidRPr="00D808A4">
        <w:rPr>
          <w:rFonts w:cs="Calibri"/>
          <w:color w:val="1E1E1E"/>
          <w:lang w:val="en-US" w:eastAsia="zh-CN"/>
        </w:rPr>
        <w:t>Question 1/2 : Creating smart cities and society: Employing ICTs for sustainable social and economic development</w:t>
      </w:r>
    </w:p>
    <w:p w:rsidR="003F1363" w:rsidRPr="00D808A4" w:rsidRDefault="003F1363" w:rsidP="00FC24DA">
      <w:pPr>
        <w:pStyle w:val="ListParagraph"/>
        <w:widowControl w:val="0"/>
        <w:numPr>
          <w:ilvl w:val="0"/>
          <w:numId w:val="6"/>
        </w:numPr>
        <w:tabs>
          <w:tab w:val="clear" w:pos="1134"/>
          <w:tab w:val="clear" w:pos="1871"/>
          <w:tab w:val="clear" w:pos="2268"/>
          <w:tab w:val="left" w:pos="567"/>
        </w:tabs>
        <w:spacing w:before="60"/>
        <w:ind w:left="567" w:hanging="567"/>
        <w:contextualSpacing w:val="0"/>
        <w:rPr>
          <w:rFonts w:cs="Calibri"/>
          <w:color w:val="1E1E1E"/>
          <w:lang w:val="en-US" w:eastAsia="zh-CN"/>
        </w:rPr>
      </w:pPr>
      <w:r w:rsidRPr="00D808A4">
        <w:rPr>
          <w:rFonts w:cs="Calibri"/>
          <w:color w:val="1E1E1E"/>
          <w:lang w:val="en-US" w:eastAsia="zh-CN"/>
        </w:rPr>
        <w:t>Question 2/2 : Telecommunications/ICTs for e-Health</w:t>
      </w:r>
    </w:p>
    <w:p w:rsidR="003F1363" w:rsidRPr="00D808A4" w:rsidRDefault="003F1363" w:rsidP="00FC24DA">
      <w:pPr>
        <w:pStyle w:val="ListParagraph"/>
        <w:widowControl w:val="0"/>
        <w:numPr>
          <w:ilvl w:val="0"/>
          <w:numId w:val="6"/>
        </w:numPr>
        <w:tabs>
          <w:tab w:val="clear" w:pos="1134"/>
          <w:tab w:val="clear" w:pos="1871"/>
          <w:tab w:val="clear" w:pos="2268"/>
          <w:tab w:val="left" w:pos="567"/>
        </w:tabs>
        <w:spacing w:before="60"/>
        <w:ind w:left="567" w:hanging="567"/>
        <w:contextualSpacing w:val="0"/>
        <w:rPr>
          <w:rFonts w:cs="Calibri"/>
          <w:color w:val="1E1E1E"/>
          <w:lang w:val="en-US" w:eastAsia="zh-CN"/>
        </w:rPr>
      </w:pPr>
      <w:r w:rsidRPr="00D808A4">
        <w:rPr>
          <w:rFonts w:cs="Calibri"/>
          <w:color w:val="1E1E1E"/>
          <w:lang w:val="en-US" w:eastAsia="zh-CN"/>
        </w:rPr>
        <w:t>Question 3/2 : Securing information and communication networks: Best practices for developing a culture of cybersecurity</w:t>
      </w:r>
    </w:p>
    <w:p w:rsidR="003F1363" w:rsidRPr="00D808A4" w:rsidRDefault="003F1363" w:rsidP="003F1363">
      <w:pPr>
        <w:pStyle w:val="ListParagraph"/>
        <w:widowControl w:val="0"/>
        <w:numPr>
          <w:ilvl w:val="0"/>
          <w:numId w:val="6"/>
        </w:numPr>
        <w:tabs>
          <w:tab w:val="clear" w:pos="1134"/>
          <w:tab w:val="clear" w:pos="1871"/>
          <w:tab w:val="clear" w:pos="2268"/>
          <w:tab w:val="left" w:pos="567"/>
        </w:tabs>
        <w:spacing w:before="60"/>
        <w:ind w:left="567" w:hanging="567"/>
        <w:contextualSpacing w:val="0"/>
        <w:rPr>
          <w:rFonts w:cs="Calibri"/>
          <w:color w:val="1E1E1E"/>
          <w:lang w:val="en-US" w:eastAsia="zh-CN"/>
        </w:rPr>
      </w:pPr>
      <w:r w:rsidRPr="00D808A4">
        <w:rPr>
          <w:rFonts w:cs="Calibri"/>
          <w:color w:val="1E1E1E"/>
          <w:lang w:val="en-US" w:eastAsia="zh-CN"/>
        </w:rPr>
        <w:t>Question 4/2 : Assistance to developing countries for implementing conformance and interoperability (C&amp;I) programmes and combating counterfeit ICT equipment and theft of mobile devices</w:t>
      </w:r>
    </w:p>
    <w:p w:rsidR="003F1363" w:rsidRPr="00D808A4" w:rsidRDefault="003F1363" w:rsidP="003F1363">
      <w:pPr>
        <w:pStyle w:val="ListParagraph"/>
        <w:widowControl w:val="0"/>
        <w:numPr>
          <w:ilvl w:val="0"/>
          <w:numId w:val="6"/>
        </w:numPr>
        <w:tabs>
          <w:tab w:val="clear" w:pos="1134"/>
          <w:tab w:val="clear" w:pos="1871"/>
          <w:tab w:val="clear" w:pos="2268"/>
          <w:tab w:val="left" w:pos="567"/>
        </w:tabs>
        <w:spacing w:before="60"/>
        <w:ind w:left="567" w:hanging="567"/>
        <w:contextualSpacing w:val="0"/>
        <w:rPr>
          <w:rFonts w:cs="Calibri"/>
          <w:color w:val="1E1E1E"/>
          <w:lang w:val="en-US" w:eastAsia="zh-CN"/>
        </w:rPr>
      </w:pPr>
      <w:r w:rsidRPr="00D808A4">
        <w:rPr>
          <w:rFonts w:cs="Calibri"/>
          <w:color w:val="1E1E1E"/>
          <w:lang w:val="en-US" w:eastAsia="zh-CN"/>
        </w:rPr>
        <w:t>Question 5/2 : Utilizing telecommunications/ICTs for disaster risk reduction and management</w:t>
      </w:r>
    </w:p>
    <w:p w:rsidR="003F1363" w:rsidRPr="00D808A4" w:rsidRDefault="003F1363" w:rsidP="003F1363">
      <w:pPr>
        <w:pStyle w:val="ListParagraph"/>
        <w:widowControl w:val="0"/>
        <w:numPr>
          <w:ilvl w:val="0"/>
          <w:numId w:val="6"/>
        </w:numPr>
        <w:tabs>
          <w:tab w:val="clear" w:pos="1134"/>
          <w:tab w:val="clear" w:pos="1871"/>
          <w:tab w:val="clear" w:pos="2268"/>
          <w:tab w:val="left" w:pos="567"/>
        </w:tabs>
        <w:spacing w:before="60"/>
        <w:ind w:left="567" w:hanging="567"/>
        <w:contextualSpacing w:val="0"/>
        <w:rPr>
          <w:rFonts w:cs="Calibri"/>
          <w:color w:val="1E1E1E"/>
          <w:lang w:val="en-US" w:eastAsia="zh-CN"/>
        </w:rPr>
      </w:pPr>
      <w:r w:rsidRPr="00D808A4">
        <w:rPr>
          <w:rFonts w:cs="Calibri"/>
          <w:color w:val="1E1E1E"/>
          <w:lang w:val="en-US" w:eastAsia="zh-CN"/>
        </w:rPr>
        <w:t>Question 6/2 : ICTs and the environment</w:t>
      </w:r>
    </w:p>
    <w:p w:rsidR="003F1363" w:rsidRDefault="003F1363" w:rsidP="003F1363">
      <w:pPr>
        <w:pStyle w:val="ListParagraph"/>
        <w:widowControl w:val="0"/>
        <w:numPr>
          <w:ilvl w:val="0"/>
          <w:numId w:val="6"/>
        </w:numPr>
        <w:tabs>
          <w:tab w:val="clear" w:pos="1134"/>
          <w:tab w:val="clear" w:pos="1871"/>
          <w:tab w:val="clear" w:pos="2268"/>
          <w:tab w:val="left" w:pos="567"/>
        </w:tabs>
        <w:spacing w:before="60"/>
        <w:ind w:left="567" w:hanging="567"/>
        <w:contextualSpacing w:val="0"/>
        <w:rPr>
          <w:rFonts w:cs="Calibri"/>
          <w:color w:val="1E1E1E"/>
          <w:lang w:val="en-US" w:eastAsia="zh-CN"/>
        </w:rPr>
      </w:pPr>
      <w:r w:rsidRPr="00D808A4">
        <w:rPr>
          <w:rFonts w:cs="Calibri"/>
          <w:color w:val="1E1E1E"/>
          <w:lang w:val="en-US" w:eastAsia="zh-CN"/>
        </w:rPr>
        <w:t>Question 7/2 : Strategies and policies concerning human exposure to electromagnetic fields</w:t>
      </w:r>
    </w:p>
    <w:p w:rsidR="003F1363" w:rsidRPr="00351EBE" w:rsidRDefault="003F1363" w:rsidP="00FC24DA">
      <w:pPr>
        <w:pStyle w:val="Heading2"/>
        <w:ind w:left="567" w:hanging="567"/>
      </w:pPr>
      <w:r>
        <w:t>2.4</w:t>
      </w:r>
      <w:r>
        <w:tab/>
      </w:r>
      <w:r w:rsidRPr="00351EBE">
        <w:t>Appointment of Study Group 2 Rapporteurs and Vice-Rapporteurs</w:t>
      </w:r>
    </w:p>
    <w:p w:rsidR="003F1363" w:rsidRDefault="003F1363" w:rsidP="003F1363">
      <w:pPr>
        <w:rPr>
          <w:rFonts w:eastAsia="Batang" w:cs="Calibri"/>
          <w:bCs/>
        </w:rPr>
      </w:pPr>
      <w:r>
        <w:rPr>
          <w:rFonts w:eastAsia="Batang" w:cs="Calibri"/>
          <w:bCs/>
        </w:rPr>
        <w:t xml:space="preserve">A call for Rapporteurs and Vice-Rapporteurs has been sent out to the membership and subsequent appointments will be made for the seven study Questions at the first ITU-D SG2 meeting in </w:t>
      </w:r>
      <w:r>
        <w:rPr>
          <w:rFonts w:eastAsia="Batang" w:cs="Calibri"/>
          <w:bCs/>
        </w:rPr>
        <w:lastRenderedPageBreak/>
        <w:t>May</w:t>
      </w:r>
      <w:r w:rsidR="00ED44A8">
        <w:rPr>
          <w:rFonts w:eastAsia="Batang" w:cs="Calibri"/>
          <w:bCs/>
        </w:rPr>
        <w:t> </w:t>
      </w:r>
      <w:r>
        <w:rPr>
          <w:rFonts w:eastAsia="Batang" w:cs="Calibri"/>
          <w:bCs/>
        </w:rPr>
        <w:t>2018. Based on t</w:t>
      </w:r>
      <w:r w:rsidRPr="009C277E">
        <w:rPr>
          <w:rFonts w:eastAsia="Batang" w:cs="Calibri"/>
          <w:bCs/>
        </w:rPr>
        <w:t xml:space="preserve">he nature of the studies, the appointment of Rapporteurs </w:t>
      </w:r>
      <w:r>
        <w:rPr>
          <w:rFonts w:eastAsia="Batang" w:cs="Calibri"/>
          <w:bCs/>
        </w:rPr>
        <w:t xml:space="preserve">will be </w:t>
      </w:r>
      <w:r w:rsidRPr="009C277E">
        <w:rPr>
          <w:rFonts w:eastAsia="Batang" w:cs="Calibri"/>
          <w:bCs/>
        </w:rPr>
        <w:t>based both on expertise in the subject to be studied</w:t>
      </w:r>
      <w:r>
        <w:rPr>
          <w:rFonts w:eastAsia="Batang" w:cs="Calibri"/>
          <w:bCs/>
        </w:rPr>
        <w:t xml:space="preserve"> an</w:t>
      </w:r>
      <w:r w:rsidRPr="009C277E">
        <w:rPr>
          <w:rFonts w:eastAsia="Batang" w:cs="Calibri"/>
          <w:bCs/>
        </w:rPr>
        <w:t xml:space="preserve">d on the ability to coordinate the work. </w:t>
      </w:r>
      <w:r>
        <w:rPr>
          <w:rFonts w:eastAsia="Batang" w:cs="Calibri"/>
          <w:bCs/>
        </w:rPr>
        <w:t xml:space="preserve">The appointment of Vice-Rapporteurs will also seek regional balance. </w:t>
      </w:r>
    </w:p>
    <w:p w:rsidR="003F1363" w:rsidRDefault="003F1363" w:rsidP="003F1363">
      <w:pPr>
        <w:spacing w:after="120"/>
        <w:rPr>
          <w:rFonts w:eastAsia="Batang" w:cs="Calibri"/>
          <w:bCs/>
        </w:rPr>
      </w:pPr>
      <w:r>
        <w:rPr>
          <w:rFonts w:eastAsia="Batang" w:cs="Calibri"/>
          <w:bCs/>
        </w:rPr>
        <w:t xml:space="preserve">The list of all candidatures received can be found online at the following link: </w:t>
      </w:r>
      <w:hyperlink r:id="rId13" w:history="1">
        <w:r w:rsidRPr="00116D44">
          <w:rPr>
            <w:rStyle w:val="Hyperlink"/>
            <w:rFonts w:eastAsia="Batang" w:cs="Calibri"/>
            <w:bCs/>
          </w:rPr>
          <w:t>https://www.itu.int/en/ITU-D/Study-Groups/2018-2021/Pages/Candidates.aspx</w:t>
        </w:r>
      </w:hyperlink>
      <w:r>
        <w:rPr>
          <w:rFonts w:eastAsia="Batang" w:cs="Calibri"/>
          <w:bCs/>
        </w:rPr>
        <w:t xml:space="preserve"> </w:t>
      </w:r>
    </w:p>
    <w:p w:rsidR="003F1363" w:rsidRPr="00536215" w:rsidRDefault="003F1363" w:rsidP="00FC24DA">
      <w:pPr>
        <w:pStyle w:val="Heading1"/>
        <w:numPr>
          <w:ilvl w:val="0"/>
          <w:numId w:val="8"/>
        </w:numPr>
        <w:ind w:left="567" w:hanging="567"/>
        <w:rPr>
          <w:noProof/>
          <w:lang w:val="en-US"/>
        </w:rPr>
      </w:pPr>
      <w:r>
        <w:rPr>
          <w:noProof/>
          <w:lang w:val="en-US"/>
        </w:rPr>
        <w:t>Strategy</w:t>
      </w:r>
      <w:r w:rsidRPr="00536215">
        <w:rPr>
          <w:noProof/>
          <w:lang w:val="en-US"/>
        </w:rPr>
        <w:t xml:space="preserve"> </w:t>
      </w:r>
      <w:r>
        <w:rPr>
          <w:noProof/>
          <w:lang w:val="en-US"/>
        </w:rPr>
        <w:t xml:space="preserve">and </w:t>
      </w:r>
      <w:r w:rsidRPr="00536215">
        <w:rPr>
          <w:noProof/>
          <w:lang w:val="en-US"/>
        </w:rPr>
        <w:t>work plan</w:t>
      </w:r>
      <w:r>
        <w:rPr>
          <w:noProof/>
          <w:lang w:val="en-US"/>
        </w:rPr>
        <w:t xml:space="preserve"> for </w:t>
      </w:r>
      <w:r w:rsidRPr="00536215">
        <w:rPr>
          <w:noProof/>
          <w:lang w:val="en-US"/>
        </w:rPr>
        <w:t>Study Group 2</w:t>
      </w:r>
    </w:p>
    <w:p w:rsidR="003F1363" w:rsidRPr="00FC24DA" w:rsidRDefault="003F1363" w:rsidP="00FC24DA">
      <w:r>
        <w:t>In order for Study Group 2 to reach its expected results for the 2018-2021 study period, in accordance with the scope of work as defined in Resolution 2 (Rev. Buenos Aires, 2017) “</w:t>
      </w:r>
      <w:r w:rsidRPr="00755E17">
        <w:t>Establishment of study groups</w:t>
      </w:r>
      <w:r>
        <w:t xml:space="preserve">”, certain key elements are to be considered and put in place from the outset. </w:t>
      </w:r>
      <w:r w:rsidRPr="00FC24DA">
        <w:t xml:space="preserve">Four annual study group meetings are planned as well as </w:t>
      </w:r>
      <w:r w:rsidR="00ED44A8" w:rsidRPr="00FC24DA">
        <w:t>three</w:t>
      </w:r>
      <w:r w:rsidRPr="00FC24DA">
        <w:t xml:space="preserve"> sets of rapporteur group meetings. In addition, expert meetings on topics related to the Questions under study are foreseen to be held in Geneva and in the regions. These associated meetings, which can include </w:t>
      </w:r>
      <w:r w:rsidRPr="00FC24DA">
        <w:rPr>
          <w:lang w:val="en-US"/>
        </w:rPr>
        <w:t xml:space="preserve">informal roundtable discussions, seminars or illustrative workshops </w:t>
      </w:r>
      <w:r w:rsidR="00DB750F">
        <w:rPr>
          <w:lang w:val="en-US"/>
        </w:rPr>
        <w:t>related to</w:t>
      </w:r>
      <w:r w:rsidR="00DB750F" w:rsidRPr="00FC24DA">
        <w:rPr>
          <w:lang w:val="en-US"/>
        </w:rPr>
        <w:t xml:space="preserve"> </w:t>
      </w:r>
      <w:r w:rsidRPr="00FC24DA">
        <w:rPr>
          <w:lang w:val="en-US"/>
        </w:rPr>
        <w:t>each study Question, subject to</w:t>
      </w:r>
      <w:r>
        <w:rPr>
          <w:lang w:val="en-US"/>
        </w:rPr>
        <w:t xml:space="preserve"> receiving</w:t>
      </w:r>
      <w:r w:rsidRPr="00FC24DA">
        <w:rPr>
          <w:lang w:val="en-US"/>
        </w:rPr>
        <w:t xml:space="preserve"> distinct proposals from the membership, are to be held throughout the study period to the extent possible</w:t>
      </w:r>
      <w:r w:rsidRPr="00FC24DA">
        <w:t xml:space="preserve">. Proposals for such associated meetings and </w:t>
      </w:r>
      <w:r>
        <w:t>workshop</w:t>
      </w:r>
      <w:r w:rsidRPr="00FC24DA">
        <w:t xml:space="preserve"> are encouraged from the membership for consideration and approval at the annual study group meetings. </w:t>
      </w:r>
    </w:p>
    <w:p w:rsidR="003F1363" w:rsidRDefault="003F1363" w:rsidP="00FC24DA">
      <w:pPr>
        <w:rPr>
          <w:lang w:val="en-US"/>
        </w:rPr>
      </w:pPr>
      <w:r w:rsidRPr="00FC24DA">
        <w:t>Good planning at the beginning of the study period will also allow for strategic synergies to be sought</w:t>
      </w:r>
      <w:r>
        <w:t xml:space="preserve"> between the work of the SG2 study Questions, with Questions in the other study group, as well as with study groups in the other Sectors. As requested by the membership, a</w:t>
      </w:r>
      <w:r>
        <w:rPr>
          <w:lang w:val="en-US"/>
        </w:rPr>
        <w:t xml:space="preserve"> need </w:t>
      </w:r>
      <w:r w:rsidRPr="007A6900">
        <w:rPr>
          <w:lang w:val="en-US"/>
        </w:rPr>
        <w:t>to report on the synergies achieved through the work of the related study Questions, programmes, regional initiatives and projects</w:t>
      </w:r>
      <w:r>
        <w:rPr>
          <w:lang w:val="en-US"/>
        </w:rPr>
        <w:t xml:space="preserve"> will be considered in all activities that are undertaken by the ITU-D study groups</w:t>
      </w:r>
      <w:r w:rsidRPr="007A6900">
        <w:rPr>
          <w:lang w:val="en-US"/>
        </w:rPr>
        <w:t>.</w:t>
      </w:r>
    </w:p>
    <w:p w:rsidR="003F1363" w:rsidRDefault="003F1363" w:rsidP="00ED44A8">
      <w:pPr>
        <w:rPr>
          <w:lang w:val="en-US"/>
        </w:rPr>
      </w:pPr>
      <w:r>
        <w:rPr>
          <w:rFonts w:eastAsia="Batang" w:cs="Calibri"/>
          <w:bCs/>
        </w:rPr>
        <w:t>ITU-D study g</w:t>
      </w:r>
      <w:r w:rsidRPr="000163B1">
        <w:rPr>
          <w:rFonts w:eastAsia="Batang" w:cs="Calibri"/>
          <w:bCs/>
        </w:rPr>
        <w:t>roups provide an</w:t>
      </w:r>
      <w:r>
        <w:rPr>
          <w:rFonts w:eastAsia="Batang" w:cs="Calibri"/>
          <w:bCs/>
        </w:rPr>
        <w:t xml:space="preserve"> </w:t>
      </w:r>
      <w:r w:rsidRPr="000163B1">
        <w:rPr>
          <w:rFonts w:eastAsia="Batang" w:cs="Calibri"/>
          <w:bCs/>
        </w:rPr>
        <w:t xml:space="preserve">opportunity for the </w:t>
      </w:r>
      <w:r>
        <w:rPr>
          <w:rFonts w:eastAsia="Batang" w:cs="Calibri"/>
          <w:bCs/>
        </w:rPr>
        <w:t>m</w:t>
      </w:r>
      <w:r w:rsidRPr="000163B1">
        <w:rPr>
          <w:rFonts w:eastAsia="Batang" w:cs="Calibri"/>
          <w:bCs/>
        </w:rPr>
        <w:t>embership</w:t>
      </w:r>
      <w:r>
        <w:rPr>
          <w:rFonts w:eastAsia="Batang" w:cs="Calibri"/>
          <w:bCs/>
        </w:rPr>
        <w:t xml:space="preserve"> </w:t>
      </w:r>
      <w:r w:rsidRPr="000163B1">
        <w:rPr>
          <w:rFonts w:eastAsia="Batang" w:cs="Calibri"/>
          <w:bCs/>
        </w:rPr>
        <w:t>to share experiences, present ideas,</w:t>
      </w:r>
      <w:r>
        <w:rPr>
          <w:rFonts w:eastAsia="Batang" w:cs="Calibri"/>
          <w:bCs/>
        </w:rPr>
        <w:t xml:space="preserve"> </w:t>
      </w:r>
      <w:r w:rsidRPr="000163B1">
        <w:rPr>
          <w:rFonts w:eastAsia="Batang" w:cs="Calibri"/>
          <w:bCs/>
        </w:rPr>
        <w:t xml:space="preserve">exchange views, and </w:t>
      </w:r>
      <w:r>
        <w:rPr>
          <w:rFonts w:eastAsia="Batang" w:cs="Calibri"/>
          <w:bCs/>
        </w:rPr>
        <w:t xml:space="preserve">develop </w:t>
      </w:r>
      <w:r w:rsidRPr="000163B1">
        <w:rPr>
          <w:rFonts w:eastAsia="Batang" w:cs="Calibri"/>
          <w:bCs/>
        </w:rPr>
        <w:t>strategies to address</w:t>
      </w:r>
      <w:r>
        <w:rPr>
          <w:rFonts w:eastAsia="Batang" w:cs="Calibri"/>
          <w:bCs/>
        </w:rPr>
        <w:t xml:space="preserve"> </w:t>
      </w:r>
      <w:r w:rsidRPr="000163B1">
        <w:rPr>
          <w:rFonts w:eastAsia="Batang" w:cs="Calibri"/>
          <w:bCs/>
        </w:rPr>
        <w:t>telecommunication/ICT priorities.</w:t>
      </w:r>
      <w:r w:rsidRPr="000163B1" w:rsidDel="000163B1">
        <w:rPr>
          <w:rFonts w:eastAsia="Batang" w:cs="Calibri"/>
          <w:bCs/>
        </w:rPr>
        <w:t xml:space="preserve"> </w:t>
      </w:r>
      <w:r w:rsidRPr="009F69EE">
        <w:rPr>
          <w:lang w:val="en-US"/>
        </w:rPr>
        <w:t xml:space="preserve">The participation of </w:t>
      </w:r>
      <w:r>
        <w:rPr>
          <w:lang w:val="en-US"/>
        </w:rPr>
        <w:t>Academia</w:t>
      </w:r>
      <w:r w:rsidRPr="007A6900">
        <w:rPr>
          <w:lang w:val="en-US"/>
        </w:rPr>
        <w:t xml:space="preserve"> in the work of the Sector</w:t>
      </w:r>
      <w:r>
        <w:rPr>
          <w:lang w:val="en-US"/>
        </w:rPr>
        <w:t xml:space="preserve"> was</w:t>
      </w:r>
      <w:r w:rsidRPr="007A6900">
        <w:rPr>
          <w:lang w:val="en-US"/>
        </w:rPr>
        <w:t xml:space="preserve"> reinforced through </w:t>
      </w:r>
      <w:r>
        <w:rPr>
          <w:lang w:val="en-US"/>
        </w:rPr>
        <w:t xml:space="preserve">the revised text in </w:t>
      </w:r>
      <w:r w:rsidRPr="007A6900">
        <w:rPr>
          <w:lang w:val="en-US"/>
        </w:rPr>
        <w:t>Resolution</w:t>
      </w:r>
      <w:r w:rsidR="00ED44A8">
        <w:rPr>
          <w:lang w:val="en-US"/>
        </w:rPr>
        <w:t> </w:t>
      </w:r>
      <w:r w:rsidRPr="007A6900">
        <w:rPr>
          <w:lang w:val="en-US"/>
        </w:rPr>
        <w:t>1</w:t>
      </w:r>
      <w:r>
        <w:rPr>
          <w:lang w:val="en-US"/>
        </w:rPr>
        <w:t xml:space="preserve"> (Rev. Buenos Aires, 2017)</w:t>
      </w:r>
      <w:r w:rsidRPr="007A6900">
        <w:rPr>
          <w:lang w:val="en-US"/>
        </w:rPr>
        <w:t>.</w:t>
      </w:r>
      <w:r>
        <w:rPr>
          <w:lang w:val="en-US"/>
        </w:rPr>
        <w:t xml:space="preserve"> In this respect ITU-D study groups will raise further awareness on the value proposition for all members, including Academia, to participate and contribute fully in the work of the Sector.</w:t>
      </w:r>
    </w:p>
    <w:p w:rsidR="003F1363" w:rsidRDefault="003F1363" w:rsidP="00DB750F">
      <w:r>
        <w:t xml:space="preserve">Following the Council 2017 decision to trial participation of </w:t>
      </w:r>
      <w:r>
        <w:rPr>
          <w:szCs w:val="22"/>
        </w:rPr>
        <w:t>Small and Medium Enterprises (</w:t>
      </w:r>
      <w:r>
        <w:t>SMEs) in ITU-T and ITU-D study groups</w:t>
      </w:r>
      <w:r w:rsidR="00DB750F">
        <w:t>,</w:t>
      </w:r>
      <w:r>
        <w:t xml:space="preserve"> SMEs may participate in the 201</w:t>
      </w:r>
      <w:r w:rsidR="00ED44A8">
        <w:t>8 meetings of ITU-D Study Group </w:t>
      </w:r>
      <w:r>
        <w:t>1 and Study Group</w:t>
      </w:r>
      <w:r w:rsidR="00ED44A8">
        <w:t> </w:t>
      </w:r>
      <w:r>
        <w:t xml:space="preserve">2. The trial period will run up until and including the last ITU-D study group and rapporteur group meetings before the </w:t>
      </w:r>
      <w:r w:rsidRPr="00A1293D">
        <w:t xml:space="preserve">ITU Plenipotentiary Conference 2018 </w:t>
      </w:r>
      <w:r w:rsidR="00ED44A8">
        <w:t>(PP-18). In </w:t>
      </w:r>
      <w:r>
        <w:t xml:space="preserve">this respect interested SMEs may consult with their respective Administration concerning possible participation. The Administration will inform ITU which SMEs meet the national criteria and can participate in the trial. While these selected SMEs do not constitute a membership category, they may participate fully in the work of the ITU-D study groups for the duration of the trial, with the exception of any role in decision making and management. </w:t>
      </w:r>
    </w:p>
    <w:p w:rsidR="003F1363" w:rsidRPr="00351EBE" w:rsidRDefault="003F1363" w:rsidP="003F1363">
      <w:r>
        <w:t xml:space="preserve">The preliminary work plan for Study Group 2 can be found in </w:t>
      </w:r>
      <w:r w:rsidRPr="00351EBE">
        <w:rPr>
          <w:b/>
          <w:bCs/>
        </w:rPr>
        <w:t>Annex 1</w:t>
      </w:r>
      <w:r>
        <w:t>. The work plan will be revised each year to guide the work of the study group.</w:t>
      </w:r>
    </w:p>
    <w:p w:rsidR="003F1363" w:rsidRDefault="003F1363" w:rsidP="00FC24DA">
      <w:pPr>
        <w:pStyle w:val="Heading1"/>
        <w:ind w:left="567" w:hanging="567"/>
      </w:pPr>
      <w:r>
        <w:t>4</w:t>
      </w:r>
      <w:r>
        <w:tab/>
        <w:t>Collaborative tools</w:t>
      </w:r>
    </w:p>
    <w:p w:rsidR="003F1363" w:rsidRDefault="003F1363" w:rsidP="00ED44A8">
      <w:pPr>
        <w:rPr>
          <w:lang w:val="en-US"/>
        </w:rPr>
      </w:pPr>
      <w:r>
        <w:t xml:space="preserve">In line with the approach expressed by the World Telecommunication Development Conference, the Secretariat had been working on various collaborative tools to facilitate collaborators’ </w:t>
      </w:r>
      <w:r>
        <w:lastRenderedPageBreak/>
        <w:t>electronic participation in the work of the ITU-D study groups. In addition to i</w:t>
      </w:r>
      <w:r w:rsidRPr="00864D50">
        <w:t xml:space="preserve">nteractive remote participation services </w:t>
      </w:r>
      <w:r>
        <w:t xml:space="preserve">and the </w:t>
      </w:r>
      <w:r w:rsidRPr="00864D50">
        <w:t xml:space="preserve">standard webcast in </w:t>
      </w:r>
      <w:r>
        <w:t xml:space="preserve">the </w:t>
      </w:r>
      <w:r w:rsidRPr="00864D50">
        <w:t>languages of the respective meeting</w:t>
      </w:r>
      <w:r>
        <w:t>, mailing lists and collaborative SharePoint sites are made available to participants and management team members at the study group and study Question levels.</w:t>
      </w:r>
      <w:r w:rsidRPr="00350FD4">
        <w:t xml:space="preserve"> </w:t>
      </w:r>
    </w:p>
    <w:p w:rsidR="003F1363" w:rsidRDefault="003F1363" w:rsidP="00ED44A8">
      <w:r>
        <w:t>While mailing lists allow for the exchange of e-mails amongst experts interested in the topics under study, the collaborative SharePoint sites provide a virtual meeting place for participants, with a calendar of activities of the study group, announcements, a document exchange area to facilitate the work in between meetings. An area exclusively for the management teams of the study groups is also available with similar facilities.</w:t>
      </w:r>
      <w:r w:rsidRPr="00350FD4">
        <w:t xml:space="preserve"> </w:t>
      </w:r>
      <w:r>
        <w:t xml:space="preserve">Moreover, the </w:t>
      </w:r>
      <w:r w:rsidRPr="00350FD4">
        <w:rPr>
          <w:lang w:val="en-US"/>
        </w:rPr>
        <w:t>ITU-D Events Mobile and Desktop Application provide participants with a simple and fast way to access, on computers, smart-phones and tablets, all relevant documents and other practical information related to the meetings.</w:t>
      </w:r>
      <w:r>
        <w:rPr>
          <w:lang w:val="en-US"/>
        </w:rPr>
        <w:t xml:space="preserve"> </w:t>
      </w:r>
      <w:r w:rsidRPr="00864D50">
        <w:t>A</w:t>
      </w:r>
      <w:r>
        <w:t>n active</w:t>
      </w:r>
      <w:r w:rsidRPr="00864D50">
        <w:t xml:space="preserve"> </w:t>
      </w:r>
      <w:r w:rsidRPr="00350FD4">
        <w:t>TIES account</w:t>
      </w:r>
      <w:r w:rsidRPr="00864D50">
        <w:t xml:space="preserve"> is required to access </w:t>
      </w:r>
      <w:r>
        <w:t xml:space="preserve">all these </w:t>
      </w:r>
      <w:r w:rsidRPr="00864D50">
        <w:t xml:space="preserve">services. </w:t>
      </w:r>
    </w:p>
    <w:p w:rsidR="003F1363" w:rsidRPr="000B455B" w:rsidRDefault="003F1363" w:rsidP="003F1363">
      <w:r>
        <w:t>The first meeting of ITU-D Study Group 2 will include induction and training sessions on the working methods and the collaborative tools that are available to those participating in the work of the ITU-D study groups. Study group participants are encouraged to explore the tools and to provide any feedback to the secretariat to assist in their improvement.</w:t>
      </w:r>
    </w:p>
    <w:p w:rsidR="003F1363" w:rsidRPr="00AE074C" w:rsidRDefault="003F1363" w:rsidP="00FC24DA">
      <w:pPr>
        <w:pStyle w:val="Heading1"/>
        <w:ind w:left="567" w:hanging="567"/>
      </w:pPr>
      <w:r>
        <w:t>5</w:t>
      </w:r>
      <w:r>
        <w:tab/>
      </w:r>
      <w:r w:rsidRPr="00AE074C">
        <w:t>Conclusion</w:t>
      </w:r>
    </w:p>
    <w:p w:rsidR="003F1363" w:rsidRPr="00350FD4" w:rsidRDefault="003F1363" w:rsidP="00880325">
      <w:pPr>
        <w:rPr>
          <w:bCs/>
          <w:szCs w:val="24"/>
          <w:lang w:val="en-US"/>
        </w:rPr>
      </w:pPr>
      <w:r w:rsidRPr="00350FD4">
        <w:rPr>
          <w:bCs/>
          <w:szCs w:val="24"/>
          <w:lang w:val="en-US"/>
        </w:rPr>
        <w:t xml:space="preserve">With </w:t>
      </w:r>
      <w:r>
        <w:rPr>
          <w:bCs/>
          <w:szCs w:val="24"/>
          <w:lang w:val="en-US"/>
        </w:rPr>
        <w:t xml:space="preserve">its </w:t>
      </w:r>
      <w:r w:rsidRPr="00350FD4">
        <w:rPr>
          <w:bCs/>
          <w:szCs w:val="24"/>
          <w:lang w:val="en-US"/>
        </w:rPr>
        <w:t xml:space="preserve">new agreed scope of work and assigned study Questions, Study Group </w:t>
      </w:r>
      <w:r>
        <w:rPr>
          <w:bCs/>
          <w:szCs w:val="24"/>
          <w:lang w:val="en-US"/>
        </w:rPr>
        <w:t>2</w:t>
      </w:r>
      <w:r w:rsidR="00880325">
        <w:rPr>
          <w:bCs/>
          <w:szCs w:val="24"/>
          <w:lang w:val="en-US"/>
        </w:rPr>
        <w:t xml:space="preserve"> will meet from 7 </w:t>
      </w:r>
      <w:r w:rsidRPr="00350FD4">
        <w:rPr>
          <w:bCs/>
          <w:szCs w:val="24"/>
          <w:lang w:val="en-US"/>
        </w:rPr>
        <w:t>to</w:t>
      </w:r>
      <w:r w:rsidR="00880325">
        <w:rPr>
          <w:bCs/>
          <w:szCs w:val="24"/>
          <w:lang w:val="en-US"/>
        </w:rPr>
        <w:t> 11 May </w:t>
      </w:r>
      <w:r w:rsidRPr="00350FD4">
        <w:rPr>
          <w:bCs/>
          <w:szCs w:val="24"/>
          <w:lang w:val="en-US"/>
        </w:rPr>
        <w:t xml:space="preserve">2018. The first meetings will </w:t>
      </w:r>
      <w:r w:rsidR="00880325">
        <w:rPr>
          <w:bCs/>
          <w:szCs w:val="24"/>
          <w:lang w:val="en-US"/>
        </w:rPr>
        <w:t xml:space="preserve">closely </w:t>
      </w:r>
      <w:r w:rsidRPr="00350FD4">
        <w:rPr>
          <w:bCs/>
          <w:szCs w:val="24"/>
          <w:lang w:val="en-US"/>
        </w:rPr>
        <w:t xml:space="preserve">look at the expected results agreed on by the membership at WTDC-17, identify methods for conducting </w:t>
      </w:r>
      <w:r>
        <w:rPr>
          <w:bCs/>
          <w:szCs w:val="24"/>
          <w:lang w:val="en-US"/>
        </w:rPr>
        <w:t>its</w:t>
      </w:r>
      <w:r w:rsidRPr="00350FD4">
        <w:rPr>
          <w:bCs/>
          <w:szCs w:val="24"/>
          <w:lang w:val="en-US"/>
        </w:rPr>
        <w:t xml:space="preserve"> work and agree on detailed work plans for each study Question. These meetings will also appoint Rapporteurs and Vice-Rapporteurs for each of the study Questions. </w:t>
      </w:r>
    </w:p>
    <w:p w:rsidR="003F1363" w:rsidRDefault="003F1363" w:rsidP="003F1363">
      <w:pPr>
        <w:rPr>
          <w:bCs/>
          <w:szCs w:val="24"/>
          <w:lang w:val="en-US"/>
        </w:rPr>
      </w:pPr>
      <w:r w:rsidRPr="00350FD4">
        <w:rPr>
          <w:bCs/>
          <w:szCs w:val="24"/>
          <w:lang w:val="en-US"/>
        </w:rPr>
        <w:t xml:space="preserve">Induction sessions to the work of the ITU-D study groups, with details on the working methods and tools available to study group participants, will be provided </w:t>
      </w:r>
      <w:r>
        <w:rPr>
          <w:bCs/>
          <w:szCs w:val="24"/>
          <w:lang w:val="en-US"/>
        </w:rPr>
        <w:t>on the first day of the meeting</w:t>
      </w:r>
      <w:r w:rsidRPr="00350FD4">
        <w:rPr>
          <w:bCs/>
          <w:szCs w:val="24"/>
          <w:lang w:val="en-US"/>
        </w:rPr>
        <w:t>.</w:t>
      </w:r>
    </w:p>
    <w:p w:rsidR="003F1363" w:rsidRDefault="003F1363" w:rsidP="00880325">
      <w:pPr>
        <w:rPr>
          <w:bCs/>
          <w:szCs w:val="24"/>
        </w:rPr>
      </w:pPr>
      <w:r w:rsidRPr="00CF6C09">
        <w:rPr>
          <w:bCs/>
          <w:szCs w:val="24"/>
        </w:rPr>
        <w:t xml:space="preserve">The </w:t>
      </w:r>
      <w:r>
        <w:rPr>
          <w:bCs/>
          <w:szCs w:val="24"/>
        </w:rPr>
        <w:t>2018</w:t>
      </w:r>
      <w:r w:rsidRPr="00CF6C09">
        <w:rPr>
          <w:bCs/>
          <w:szCs w:val="24"/>
        </w:rPr>
        <w:t xml:space="preserve"> </w:t>
      </w:r>
      <w:r>
        <w:rPr>
          <w:bCs/>
          <w:szCs w:val="24"/>
        </w:rPr>
        <w:t xml:space="preserve">block of </w:t>
      </w:r>
      <w:r w:rsidRPr="00CF6C09">
        <w:rPr>
          <w:bCs/>
          <w:szCs w:val="24"/>
        </w:rPr>
        <w:t xml:space="preserve">Study Group </w:t>
      </w:r>
      <w:r>
        <w:rPr>
          <w:bCs/>
          <w:szCs w:val="24"/>
        </w:rPr>
        <w:t>2</w:t>
      </w:r>
      <w:r w:rsidRPr="00CF6C09">
        <w:rPr>
          <w:bCs/>
          <w:szCs w:val="24"/>
        </w:rPr>
        <w:t xml:space="preserve"> Rapporteur Group meetings </w:t>
      </w:r>
      <w:r>
        <w:rPr>
          <w:bCs/>
          <w:szCs w:val="24"/>
        </w:rPr>
        <w:t xml:space="preserve">are planned to </w:t>
      </w:r>
      <w:r w:rsidRPr="00CF6C09">
        <w:rPr>
          <w:bCs/>
          <w:szCs w:val="24"/>
        </w:rPr>
        <w:t xml:space="preserve">take place </w:t>
      </w:r>
      <w:r>
        <w:rPr>
          <w:bCs/>
          <w:szCs w:val="24"/>
        </w:rPr>
        <w:t>from 1 to 12</w:t>
      </w:r>
      <w:r w:rsidR="00880325">
        <w:rPr>
          <w:bCs/>
          <w:szCs w:val="24"/>
        </w:rPr>
        <w:t> </w:t>
      </w:r>
      <w:r>
        <w:rPr>
          <w:bCs/>
          <w:szCs w:val="24"/>
        </w:rPr>
        <w:t xml:space="preserve">October 2018. </w:t>
      </w:r>
    </w:p>
    <w:p w:rsidR="003F1363" w:rsidRPr="00350FD4" w:rsidRDefault="003F1363" w:rsidP="003F1363">
      <w:pPr>
        <w:rPr>
          <w:bCs/>
          <w:szCs w:val="24"/>
          <w:lang w:val="en-US"/>
        </w:rPr>
      </w:pPr>
    </w:p>
    <w:p w:rsidR="003F1363" w:rsidRDefault="003F1363" w:rsidP="003F1363">
      <w:pPr>
        <w:overflowPunct/>
        <w:autoSpaceDE/>
        <w:autoSpaceDN/>
        <w:adjustRightInd/>
        <w:spacing w:before="0"/>
        <w:textAlignment w:val="auto"/>
        <w:rPr>
          <w:b/>
          <w:sz w:val="28"/>
        </w:rPr>
      </w:pPr>
    </w:p>
    <w:p w:rsidR="00566EEB" w:rsidRDefault="00566EEB" w:rsidP="003F1363">
      <w:pPr>
        <w:pStyle w:val="Annextitle"/>
        <w:spacing w:before="120" w:after="0"/>
        <w:sectPr w:rsidR="00566EEB" w:rsidSect="00DA273A">
          <w:headerReference w:type="default" r:id="rId14"/>
          <w:footerReference w:type="even" r:id="rId15"/>
          <w:footerReference w:type="default" r:id="rId16"/>
          <w:footerReference w:type="first" r:id="rId17"/>
          <w:pgSz w:w="11907" w:h="16840" w:code="9"/>
          <w:pgMar w:top="1440" w:right="1134" w:bottom="1134" w:left="1134" w:header="720" w:footer="720" w:gutter="0"/>
          <w:paperSrc w:first="7" w:other="7"/>
          <w:pgNumType w:start="1"/>
          <w:cols w:space="720"/>
          <w:titlePg/>
          <w:docGrid w:linePitch="326"/>
        </w:sectPr>
      </w:pPr>
    </w:p>
    <w:p w:rsidR="003F1363" w:rsidRDefault="003F1363" w:rsidP="003F1363">
      <w:pPr>
        <w:pStyle w:val="Annextitle"/>
        <w:spacing w:before="120" w:after="0"/>
      </w:pPr>
      <w:r>
        <w:lastRenderedPageBreak/>
        <w:t>Annex 1: ITU-D Study Group 2 work plan</w:t>
      </w:r>
    </w:p>
    <w:p w:rsidR="009A291A" w:rsidRPr="00FC24DA" w:rsidRDefault="009A291A" w:rsidP="00FC24DA">
      <w:pPr>
        <w:spacing w:after="120"/>
        <w:jc w:val="center"/>
        <w:rPr>
          <w:b/>
          <w:sz w:val="12"/>
          <w:lang w:val="en-US"/>
        </w:rPr>
      </w:pPr>
    </w:p>
    <w:p w:rsidR="003F1363" w:rsidRDefault="009A291A" w:rsidP="003F1363">
      <w:pPr>
        <w:spacing w:after="120"/>
        <w:jc w:val="center"/>
        <w:rPr>
          <w:b/>
          <w:bCs/>
          <w:szCs w:val="24"/>
        </w:rPr>
      </w:pPr>
      <w:r>
        <w:rPr>
          <w:b/>
          <w:bCs/>
          <w:noProof/>
          <w:szCs w:val="24"/>
          <w:lang w:eastAsia="zh-CN"/>
        </w:rPr>
        <w:drawing>
          <wp:inline distT="0" distB="0" distL="0" distR="0">
            <wp:extent cx="8892540" cy="5001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eline_SG2-draft-16-jan-2018-rev.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92540" cy="5001895"/>
                    </a:xfrm>
                    <a:prstGeom prst="rect">
                      <a:avLst/>
                    </a:prstGeom>
                  </pic:spPr>
                </pic:pic>
              </a:graphicData>
            </a:graphic>
          </wp:inline>
        </w:drawing>
      </w:r>
    </w:p>
    <w:p w:rsidR="00D83BF5" w:rsidRPr="0084734D" w:rsidRDefault="00D83BF5" w:rsidP="00D83BF5">
      <w:pPr>
        <w:jc w:val="center"/>
        <w:rPr>
          <w:szCs w:val="24"/>
        </w:rPr>
      </w:pPr>
      <w:r>
        <w:rPr>
          <w:szCs w:val="24"/>
        </w:rPr>
        <w:t>_______________</w:t>
      </w:r>
    </w:p>
    <w:sectPr w:rsidR="00D83BF5" w:rsidRPr="0084734D" w:rsidSect="00942FC1">
      <w:headerReference w:type="default" r:id="rId19"/>
      <w:headerReference w:type="first" r:id="rId20"/>
      <w:pgSz w:w="16840"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C81" w:rsidRDefault="00412C81">
      <w:r>
        <w:separator/>
      </w:r>
    </w:p>
  </w:endnote>
  <w:endnote w:type="continuationSeparator" w:id="0">
    <w:p w:rsidR="00412C81" w:rsidRDefault="00412C81">
      <w:r>
        <w:continuationSeparator/>
      </w:r>
    </w:p>
  </w:endnote>
  <w:endnote w:type="continuationNotice" w:id="1">
    <w:p w:rsidR="00412C81" w:rsidRDefault="00412C8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CB3537">
    <w:pPr>
      <w:framePr w:wrap="around" w:vAnchor="text" w:hAnchor="margin" w:xAlign="right" w:y="1"/>
    </w:pPr>
    <w:r>
      <w:fldChar w:fldCharType="begin"/>
    </w:r>
    <w:r w:rsidR="00E45D05">
      <w:instrText xml:space="preserve">PAGE  </w:instrText>
    </w:r>
    <w:r>
      <w:fldChar w:fldCharType="end"/>
    </w:r>
  </w:p>
  <w:p w:rsidR="00E45D05" w:rsidRPr="0041348E" w:rsidRDefault="00FC24DA">
    <w:pPr>
      <w:ind w:right="360"/>
      <w:rPr>
        <w:lang w:val="en-US"/>
      </w:rPr>
    </w:pPr>
    <w:fldSimple w:instr=" FILENAME \p  \* MERGEFORMAT ">
      <w:r w:rsidR="002B3C84">
        <w:rPr>
          <w:noProof/>
          <w:lang w:val="en-US"/>
        </w:rPr>
        <w:t>P:\SUP\Meetings\TDAG\2018-23rd\Templates\TDAG-18_C-template_E_v1.docx</w:t>
      </w:r>
    </w:fldSimple>
    <w:r w:rsidR="00E45D05" w:rsidRPr="0041348E">
      <w:rPr>
        <w:lang w:val="en-US"/>
      </w:rPr>
      <w:tab/>
    </w:r>
    <w:r w:rsidR="00CB3537">
      <w:fldChar w:fldCharType="begin"/>
    </w:r>
    <w:r w:rsidR="00E45D05">
      <w:instrText xml:space="preserve"> SAVEDATE \@ DD.MM.YY </w:instrText>
    </w:r>
    <w:r w:rsidR="00CB3537">
      <w:fldChar w:fldCharType="separate"/>
    </w:r>
    <w:r w:rsidR="002712A9">
      <w:rPr>
        <w:noProof/>
      </w:rPr>
      <w:t>25.01.18</w:t>
    </w:r>
    <w:r w:rsidR="00CB3537">
      <w:fldChar w:fldCharType="end"/>
    </w:r>
    <w:r w:rsidR="00E45D05" w:rsidRPr="0041348E">
      <w:rPr>
        <w:lang w:val="en-US"/>
      </w:rPr>
      <w:tab/>
    </w:r>
    <w:r w:rsidR="00CB3537">
      <w:fldChar w:fldCharType="begin"/>
    </w:r>
    <w:r w:rsidR="00E45D05">
      <w:instrText xml:space="preserve"> PRINTDATE \@ DD.MM.YY </w:instrText>
    </w:r>
    <w:r w:rsidR="00CB3537">
      <w:fldChar w:fldCharType="separate"/>
    </w:r>
    <w:r w:rsidR="002B3C84">
      <w:rPr>
        <w:noProof/>
      </w:rPr>
      <w:t>24.08.11</w:t>
    </w:r>
    <w:r w:rsidR="00CB353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C81" w:rsidRDefault="00412C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3F1363" w:rsidRPr="004D495C" w:rsidTr="003F1363">
      <w:tc>
        <w:tcPr>
          <w:tcW w:w="1526" w:type="dxa"/>
          <w:tcBorders>
            <w:top w:val="single" w:sz="4" w:space="0" w:color="000000"/>
          </w:tcBorders>
          <w:shd w:val="clear" w:color="auto" w:fill="auto"/>
        </w:tcPr>
        <w:p w:rsidR="003F1363" w:rsidRPr="004D495C" w:rsidRDefault="003F1363" w:rsidP="003F136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3F1363" w:rsidRPr="004D495C" w:rsidRDefault="003F1363" w:rsidP="003F1363">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3F1363" w:rsidRPr="004F6CC8" w:rsidRDefault="003F1363" w:rsidP="003F1363">
          <w:pPr>
            <w:pStyle w:val="FirstFooter"/>
            <w:tabs>
              <w:tab w:val="left" w:pos="2302"/>
            </w:tabs>
            <w:ind w:left="2302" w:hanging="2302"/>
            <w:rPr>
              <w:sz w:val="18"/>
              <w:szCs w:val="18"/>
              <w:highlight w:val="yellow"/>
              <w:lang w:val="en-US"/>
            </w:rPr>
          </w:pPr>
          <w:r w:rsidRPr="004F6CC8">
            <w:rPr>
              <w:sz w:val="18"/>
              <w:szCs w:val="18"/>
              <w:lang w:val="en-US"/>
            </w:rPr>
            <w:t>Dr Ahmad Reza Sharafat, Chairman, ITU-D Study Group 2</w:t>
          </w:r>
        </w:p>
      </w:tc>
      <w:bookmarkStart w:id="11" w:name="OrgName"/>
      <w:bookmarkEnd w:id="11"/>
    </w:tr>
    <w:tr w:rsidR="003F1363" w:rsidRPr="004D495C" w:rsidTr="003F1363">
      <w:tc>
        <w:tcPr>
          <w:tcW w:w="1526" w:type="dxa"/>
          <w:shd w:val="clear" w:color="auto" w:fill="auto"/>
        </w:tcPr>
        <w:p w:rsidR="003F1363" w:rsidRPr="004D495C" w:rsidRDefault="003F1363" w:rsidP="003F1363">
          <w:pPr>
            <w:pStyle w:val="FirstFooter"/>
            <w:tabs>
              <w:tab w:val="left" w:pos="1559"/>
              <w:tab w:val="left" w:pos="3828"/>
            </w:tabs>
            <w:rPr>
              <w:sz w:val="20"/>
              <w:lang w:val="en-US"/>
            </w:rPr>
          </w:pPr>
        </w:p>
      </w:tc>
      <w:tc>
        <w:tcPr>
          <w:tcW w:w="2410" w:type="dxa"/>
          <w:shd w:val="clear" w:color="auto" w:fill="auto"/>
        </w:tcPr>
        <w:p w:rsidR="003F1363" w:rsidRPr="004D495C" w:rsidRDefault="003F1363" w:rsidP="003F1363">
          <w:pPr>
            <w:pStyle w:val="FirstFooter"/>
            <w:tabs>
              <w:tab w:val="left" w:pos="2302"/>
            </w:tabs>
            <w:rPr>
              <w:sz w:val="18"/>
              <w:szCs w:val="18"/>
              <w:lang w:val="en-US"/>
            </w:rPr>
          </w:pPr>
          <w:r w:rsidRPr="004D495C">
            <w:rPr>
              <w:sz w:val="18"/>
              <w:szCs w:val="18"/>
              <w:lang w:val="en-US"/>
            </w:rPr>
            <w:t>Phone number:</w:t>
          </w:r>
        </w:p>
      </w:tc>
      <w:tc>
        <w:tcPr>
          <w:tcW w:w="5987" w:type="dxa"/>
        </w:tcPr>
        <w:p w:rsidR="003F1363" w:rsidRPr="004F6CC8" w:rsidRDefault="003F1363" w:rsidP="003F1363">
          <w:pPr>
            <w:pStyle w:val="FirstFooter"/>
            <w:tabs>
              <w:tab w:val="left" w:pos="2302"/>
            </w:tabs>
            <w:rPr>
              <w:sz w:val="18"/>
              <w:szCs w:val="18"/>
              <w:highlight w:val="yellow"/>
              <w:lang w:val="en-US"/>
            </w:rPr>
          </w:pPr>
          <w:r w:rsidRPr="004F6CC8">
            <w:rPr>
              <w:sz w:val="18"/>
              <w:szCs w:val="18"/>
              <w:lang w:val="en-US"/>
            </w:rPr>
            <w:t>+98 912 106 1716</w:t>
          </w:r>
          <w:r w:rsidR="00F7440E">
            <w:rPr>
              <w:sz w:val="18"/>
              <w:szCs w:val="18"/>
              <w:lang w:val="en-US"/>
            </w:rPr>
            <w:t>, +41 76 797 6116</w:t>
          </w:r>
        </w:p>
      </w:tc>
      <w:bookmarkStart w:id="12" w:name="PhoneNo"/>
      <w:bookmarkEnd w:id="12"/>
    </w:tr>
    <w:tr w:rsidR="003F1363" w:rsidRPr="004D495C" w:rsidTr="003F1363">
      <w:tc>
        <w:tcPr>
          <w:tcW w:w="1526" w:type="dxa"/>
          <w:shd w:val="clear" w:color="auto" w:fill="auto"/>
        </w:tcPr>
        <w:p w:rsidR="003F1363" w:rsidRPr="004D495C" w:rsidRDefault="003F1363" w:rsidP="003F1363">
          <w:pPr>
            <w:pStyle w:val="FirstFooter"/>
            <w:tabs>
              <w:tab w:val="left" w:pos="1559"/>
              <w:tab w:val="left" w:pos="3828"/>
            </w:tabs>
            <w:rPr>
              <w:sz w:val="20"/>
              <w:lang w:val="en-US"/>
            </w:rPr>
          </w:pPr>
        </w:p>
      </w:tc>
      <w:tc>
        <w:tcPr>
          <w:tcW w:w="2410" w:type="dxa"/>
          <w:shd w:val="clear" w:color="auto" w:fill="auto"/>
        </w:tcPr>
        <w:p w:rsidR="003F1363" w:rsidRPr="004D495C" w:rsidRDefault="003F1363" w:rsidP="003F1363">
          <w:pPr>
            <w:pStyle w:val="FirstFooter"/>
            <w:tabs>
              <w:tab w:val="left" w:pos="2302"/>
            </w:tabs>
            <w:rPr>
              <w:sz w:val="18"/>
              <w:szCs w:val="18"/>
              <w:lang w:val="en-US"/>
            </w:rPr>
          </w:pPr>
          <w:r w:rsidRPr="004D495C">
            <w:rPr>
              <w:sz w:val="18"/>
              <w:szCs w:val="18"/>
              <w:lang w:val="en-US"/>
            </w:rPr>
            <w:t>E-mail:</w:t>
          </w:r>
        </w:p>
      </w:tc>
      <w:tc>
        <w:tcPr>
          <w:tcW w:w="5987" w:type="dxa"/>
        </w:tcPr>
        <w:p w:rsidR="003F1363" w:rsidRPr="004F6CC8" w:rsidRDefault="008B63AA" w:rsidP="003F1363">
          <w:pPr>
            <w:pStyle w:val="FirstFooter"/>
            <w:tabs>
              <w:tab w:val="left" w:pos="2302"/>
            </w:tabs>
            <w:rPr>
              <w:sz w:val="18"/>
              <w:szCs w:val="18"/>
              <w:highlight w:val="yellow"/>
              <w:lang w:val="en-US"/>
            </w:rPr>
          </w:pPr>
          <w:hyperlink r:id="rId1" w:history="1">
            <w:r w:rsidR="003F1363" w:rsidRPr="004F6CC8">
              <w:rPr>
                <w:rStyle w:val="Hyperlink"/>
                <w:sz w:val="18"/>
                <w:szCs w:val="18"/>
              </w:rPr>
              <w:t>ahmad.sharafat@gmail.com</w:t>
            </w:r>
          </w:hyperlink>
        </w:p>
      </w:tc>
      <w:bookmarkStart w:id="13" w:name="Email"/>
      <w:bookmarkEnd w:id="13"/>
    </w:tr>
  </w:tbl>
  <w:p w:rsidR="00E45D05" w:rsidRPr="00D83BF5" w:rsidRDefault="008B63AA" w:rsidP="001E252D">
    <w:pPr>
      <w:jc w:val="center"/>
    </w:pPr>
    <w:hyperlink r:id="rId2" w:history="1">
      <w:r w:rsidR="001E252D"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C81" w:rsidRDefault="00412C81">
      <w:r>
        <w:rPr>
          <w:b/>
        </w:rPr>
        <w:t>_______________</w:t>
      </w:r>
    </w:p>
  </w:footnote>
  <w:footnote w:type="continuationSeparator" w:id="0">
    <w:p w:rsidR="00412C81" w:rsidRDefault="00412C81">
      <w:r>
        <w:continuationSeparator/>
      </w:r>
    </w:p>
  </w:footnote>
  <w:footnote w:type="continuationNotice" w:id="1">
    <w:p w:rsidR="00412C81" w:rsidRDefault="00412C81">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D83BF5" w:rsidRDefault="00D83BF5" w:rsidP="00FC24DA">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001E252D">
      <w:rPr>
        <w:sz w:val="22"/>
        <w:szCs w:val="22"/>
        <w:lang w:val="es-ES_tradnl"/>
      </w:rPr>
      <w:t>TDAG</w:t>
    </w:r>
    <w:r w:rsidR="008B61EA">
      <w:rPr>
        <w:sz w:val="22"/>
        <w:szCs w:val="22"/>
        <w:lang w:val="es-ES_tradnl"/>
      </w:rPr>
      <w:t>-1</w:t>
    </w:r>
    <w:r w:rsidR="001E252D">
      <w:rPr>
        <w:sz w:val="22"/>
        <w:szCs w:val="22"/>
        <w:lang w:val="es-ES_tradnl"/>
      </w:rPr>
      <w:t>8</w:t>
    </w:r>
    <w:r w:rsidRPr="00FF089C">
      <w:rPr>
        <w:sz w:val="22"/>
        <w:szCs w:val="22"/>
        <w:lang w:val="es-ES_tradnl"/>
      </w:rPr>
      <w:t>/</w:t>
    </w:r>
    <w:bookmarkStart w:id="10" w:name="DocNo2"/>
    <w:bookmarkEnd w:id="10"/>
    <w:r w:rsidR="003F1363">
      <w:rPr>
        <w:sz w:val="22"/>
        <w:szCs w:val="22"/>
        <w:lang w:val="es-ES_tradnl"/>
      </w:rPr>
      <w:t>13</w:t>
    </w:r>
    <w:r w:rsidRPr="00FF089C">
      <w:rPr>
        <w:sz w:val="22"/>
        <w:szCs w:val="22"/>
        <w:lang w:val="es-ES_tradnl"/>
      </w:rPr>
      <w:t>-E</w:t>
    </w:r>
    <w:r w:rsidRPr="00FF089C">
      <w:rPr>
        <w:sz w:val="22"/>
        <w:szCs w:val="22"/>
        <w:lang w:val="es-ES_tradnl"/>
      </w:rPr>
      <w:tab/>
      <w:t xml:space="preserve">Page </w:t>
    </w:r>
    <w:r w:rsidR="00CB3537" w:rsidRPr="004D495C">
      <w:rPr>
        <w:sz w:val="22"/>
        <w:szCs w:val="22"/>
      </w:rPr>
      <w:fldChar w:fldCharType="begin"/>
    </w:r>
    <w:r w:rsidRPr="00FF089C">
      <w:rPr>
        <w:sz w:val="22"/>
        <w:szCs w:val="22"/>
        <w:lang w:val="es-ES_tradnl"/>
      </w:rPr>
      <w:instrText xml:space="preserve"> PAGE </w:instrText>
    </w:r>
    <w:r w:rsidR="00CB3537" w:rsidRPr="004D495C">
      <w:rPr>
        <w:sz w:val="22"/>
        <w:szCs w:val="22"/>
      </w:rPr>
      <w:fldChar w:fldCharType="separate"/>
    </w:r>
    <w:r w:rsidR="008B63AA">
      <w:rPr>
        <w:noProof/>
        <w:sz w:val="22"/>
        <w:szCs w:val="22"/>
        <w:lang w:val="es-ES_tradnl"/>
      </w:rPr>
      <w:t>5</w:t>
    </w:r>
    <w:r w:rsidR="00CB3537"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325" w:rsidRPr="00D83BF5" w:rsidRDefault="00880325" w:rsidP="00880325">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TDAG-18</w:t>
    </w:r>
    <w:r w:rsidRPr="00FF089C">
      <w:rPr>
        <w:sz w:val="22"/>
        <w:szCs w:val="22"/>
        <w:lang w:val="es-ES_tradnl"/>
      </w:rPr>
      <w:t>/</w:t>
    </w:r>
    <w:r>
      <w:rPr>
        <w:sz w:val="22"/>
        <w:szCs w:val="22"/>
        <w:lang w:val="es-ES_tradnl"/>
      </w:rPr>
      <w:t>13</w:t>
    </w:r>
    <w:r w:rsidRPr="00FF089C">
      <w:rPr>
        <w:sz w:val="22"/>
        <w:szCs w:val="22"/>
        <w:lang w:val="es-ES_tradnl"/>
      </w:rPr>
      <w:t>-E</w:t>
    </w:r>
    <w:r w:rsidRPr="00FF089C">
      <w:rPr>
        <w:sz w:val="22"/>
        <w:szCs w:val="22"/>
        <w:lang w:val="es-ES_tradnl"/>
      </w:rPr>
      <w:tab/>
      <w:t xml:space="preserve">Page </w:t>
    </w:r>
    <w:r w:rsidR="00CB3537" w:rsidRPr="004D495C">
      <w:rPr>
        <w:sz w:val="22"/>
        <w:szCs w:val="22"/>
      </w:rPr>
      <w:fldChar w:fldCharType="begin"/>
    </w:r>
    <w:r w:rsidRPr="00FF089C">
      <w:rPr>
        <w:sz w:val="22"/>
        <w:szCs w:val="22"/>
        <w:lang w:val="es-ES_tradnl"/>
      </w:rPr>
      <w:instrText xml:space="preserve"> PAGE </w:instrText>
    </w:r>
    <w:r w:rsidR="00CB3537" w:rsidRPr="004D495C">
      <w:rPr>
        <w:sz w:val="22"/>
        <w:szCs w:val="22"/>
      </w:rPr>
      <w:fldChar w:fldCharType="separate"/>
    </w:r>
    <w:r w:rsidR="008B63AA">
      <w:rPr>
        <w:noProof/>
        <w:sz w:val="22"/>
        <w:szCs w:val="22"/>
        <w:lang w:val="es-ES_tradnl"/>
      </w:rPr>
      <w:t>6</w:t>
    </w:r>
    <w:r w:rsidR="00CB3537"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EEB" w:rsidRDefault="00566E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8"/>
  </w:num>
  <w:num w:numId="4">
    <w:abstractNumId w:val="2"/>
  </w:num>
  <w:num w:numId="5">
    <w:abstractNumId w:val="6"/>
  </w:num>
  <w:num w:numId="6">
    <w:abstractNumId w:val="7"/>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617DF"/>
    <w:rsid w:val="00075C63"/>
    <w:rsid w:val="00077239"/>
    <w:rsid w:val="00080905"/>
    <w:rsid w:val="000822BE"/>
    <w:rsid w:val="00086491"/>
    <w:rsid w:val="00091346"/>
    <w:rsid w:val="000C4FD1"/>
    <w:rsid w:val="000D4875"/>
    <w:rsid w:val="000F73FF"/>
    <w:rsid w:val="00114CF7"/>
    <w:rsid w:val="00123B68"/>
    <w:rsid w:val="00126F2E"/>
    <w:rsid w:val="00146F6F"/>
    <w:rsid w:val="00147DA1"/>
    <w:rsid w:val="00152957"/>
    <w:rsid w:val="00187BD9"/>
    <w:rsid w:val="00190B55"/>
    <w:rsid w:val="00194CFB"/>
    <w:rsid w:val="001B2ED3"/>
    <w:rsid w:val="001B7EA3"/>
    <w:rsid w:val="001C3B5F"/>
    <w:rsid w:val="001D058F"/>
    <w:rsid w:val="001E252D"/>
    <w:rsid w:val="002009EA"/>
    <w:rsid w:val="00202CA0"/>
    <w:rsid w:val="002154A6"/>
    <w:rsid w:val="002162CD"/>
    <w:rsid w:val="00220634"/>
    <w:rsid w:val="002255B3"/>
    <w:rsid w:val="00236E8A"/>
    <w:rsid w:val="002420D0"/>
    <w:rsid w:val="00246B32"/>
    <w:rsid w:val="002712A9"/>
    <w:rsid w:val="00271316"/>
    <w:rsid w:val="00296313"/>
    <w:rsid w:val="002B3C84"/>
    <w:rsid w:val="002C4B75"/>
    <w:rsid w:val="002D58BE"/>
    <w:rsid w:val="003013EE"/>
    <w:rsid w:val="00361609"/>
    <w:rsid w:val="00372BCF"/>
    <w:rsid w:val="00377BD3"/>
    <w:rsid w:val="00384088"/>
    <w:rsid w:val="0038489B"/>
    <w:rsid w:val="0039169B"/>
    <w:rsid w:val="003A22FC"/>
    <w:rsid w:val="003A7F8C"/>
    <w:rsid w:val="003B532E"/>
    <w:rsid w:val="003B6F14"/>
    <w:rsid w:val="003D0F8B"/>
    <w:rsid w:val="003F1363"/>
    <w:rsid w:val="00412C81"/>
    <w:rsid w:val="004131D4"/>
    <w:rsid w:val="0041348E"/>
    <w:rsid w:val="00447308"/>
    <w:rsid w:val="00462CB2"/>
    <w:rsid w:val="004765FF"/>
    <w:rsid w:val="00492075"/>
    <w:rsid w:val="004969AD"/>
    <w:rsid w:val="004B13CB"/>
    <w:rsid w:val="004B4FDF"/>
    <w:rsid w:val="004C3355"/>
    <w:rsid w:val="004D5D5C"/>
    <w:rsid w:val="004D7763"/>
    <w:rsid w:val="004E2F10"/>
    <w:rsid w:val="0050139F"/>
    <w:rsid w:val="00510F4D"/>
    <w:rsid w:val="00521223"/>
    <w:rsid w:val="00523D3E"/>
    <w:rsid w:val="00524DF1"/>
    <w:rsid w:val="00536513"/>
    <w:rsid w:val="0054450F"/>
    <w:rsid w:val="0055140B"/>
    <w:rsid w:val="00554C4F"/>
    <w:rsid w:val="00561D72"/>
    <w:rsid w:val="00566EEB"/>
    <w:rsid w:val="00593B87"/>
    <w:rsid w:val="005964AB"/>
    <w:rsid w:val="005B44F5"/>
    <w:rsid w:val="005C099A"/>
    <w:rsid w:val="005C31A5"/>
    <w:rsid w:val="005E10C9"/>
    <w:rsid w:val="005E61DD"/>
    <w:rsid w:val="005E6321"/>
    <w:rsid w:val="006023DF"/>
    <w:rsid w:val="00620ECD"/>
    <w:rsid w:val="0064322F"/>
    <w:rsid w:val="006463EE"/>
    <w:rsid w:val="00657DE0"/>
    <w:rsid w:val="0067199F"/>
    <w:rsid w:val="00677048"/>
    <w:rsid w:val="00685313"/>
    <w:rsid w:val="006A6E9B"/>
    <w:rsid w:val="006B7C2A"/>
    <w:rsid w:val="006C23DA"/>
    <w:rsid w:val="006E3D45"/>
    <w:rsid w:val="007149F9"/>
    <w:rsid w:val="00733A30"/>
    <w:rsid w:val="00745AEE"/>
    <w:rsid w:val="007479EA"/>
    <w:rsid w:val="00750F10"/>
    <w:rsid w:val="007742CA"/>
    <w:rsid w:val="007B4578"/>
    <w:rsid w:val="007D06F0"/>
    <w:rsid w:val="007D45E3"/>
    <w:rsid w:val="007D5320"/>
    <w:rsid w:val="007F735C"/>
    <w:rsid w:val="00800972"/>
    <w:rsid w:val="00804475"/>
    <w:rsid w:val="00811633"/>
    <w:rsid w:val="00821CEF"/>
    <w:rsid w:val="00832828"/>
    <w:rsid w:val="008334AF"/>
    <w:rsid w:val="0083645A"/>
    <w:rsid w:val="00840B0F"/>
    <w:rsid w:val="00863578"/>
    <w:rsid w:val="008711AE"/>
    <w:rsid w:val="00872FC8"/>
    <w:rsid w:val="008801D3"/>
    <w:rsid w:val="00880325"/>
    <w:rsid w:val="008845D0"/>
    <w:rsid w:val="008A3933"/>
    <w:rsid w:val="008B43F2"/>
    <w:rsid w:val="008B61EA"/>
    <w:rsid w:val="008B63AA"/>
    <w:rsid w:val="008B6CFF"/>
    <w:rsid w:val="008E33DA"/>
    <w:rsid w:val="009006A0"/>
    <w:rsid w:val="00910B26"/>
    <w:rsid w:val="009274B4"/>
    <w:rsid w:val="00934EA2"/>
    <w:rsid w:val="00942FC1"/>
    <w:rsid w:val="00944A5C"/>
    <w:rsid w:val="00952A66"/>
    <w:rsid w:val="009944BE"/>
    <w:rsid w:val="009A291A"/>
    <w:rsid w:val="009B75FF"/>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AB4927"/>
    <w:rsid w:val="00AC034F"/>
    <w:rsid w:val="00B004E5"/>
    <w:rsid w:val="00B15F9D"/>
    <w:rsid w:val="00B35A1C"/>
    <w:rsid w:val="00B41367"/>
    <w:rsid w:val="00B441B1"/>
    <w:rsid w:val="00B639E9"/>
    <w:rsid w:val="00B817CD"/>
    <w:rsid w:val="00B830CC"/>
    <w:rsid w:val="00B911B2"/>
    <w:rsid w:val="00B951D0"/>
    <w:rsid w:val="00B95DA2"/>
    <w:rsid w:val="00BB1F53"/>
    <w:rsid w:val="00BB29C8"/>
    <w:rsid w:val="00BB3A95"/>
    <w:rsid w:val="00BC00FB"/>
    <w:rsid w:val="00BC0382"/>
    <w:rsid w:val="00BD239D"/>
    <w:rsid w:val="00BD50BD"/>
    <w:rsid w:val="00BD62C6"/>
    <w:rsid w:val="00C0018F"/>
    <w:rsid w:val="00C20466"/>
    <w:rsid w:val="00C214ED"/>
    <w:rsid w:val="00C234E6"/>
    <w:rsid w:val="00C324A8"/>
    <w:rsid w:val="00C54517"/>
    <w:rsid w:val="00C64CD8"/>
    <w:rsid w:val="00C73347"/>
    <w:rsid w:val="00C97C68"/>
    <w:rsid w:val="00CA1A47"/>
    <w:rsid w:val="00CB3537"/>
    <w:rsid w:val="00CC247A"/>
    <w:rsid w:val="00CE5E47"/>
    <w:rsid w:val="00CF020F"/>
    <w:rsid w:val="00CF2B5B"/>
    <w:rsid w:val="00D14CE0"/>
    <w:rsid w:val="00D36333"/>
    <w:rsid w:val="00D5651D"/>
    <w:rsid w:val="00D74898"/>
    <w:rsid w:val="00D801ED"/>
    <w:rsid w:val="00D83BF5"/>
    <w:rsid w:val="00D925C2"/>
    <w:rsid w:val="00D936BC"/>
    <w:rsid w:val="00D9621A"/>
    <w:rsid w:val="00D96530"/>
    <w:rsid w:val="00D96B4B"/>
    <w:rsid w:val="00DA2345"/>
    <w:rsid w:val="00DA273A"/>
    <w:rsid w:val="00DA3AC4"/>
    <w:rsid w:val="00DA453A"/>
    <w:rsid w:val="00DA7078"/>
    <w:rsid w:val="00DB750F"/>
    <w:rsid w:val="00DD08B4"/>
    <w:rsid w:val="00DD44AF"/>
    <w:rsid w:val="00DE2AC3"/>
    <w:rsid w:val="00DE434C"/>
    <w:rsid w:val="00DE5692"/>
    <w:rsid w:val="00DF6F8E"/>
    <w:rsid w:val="00E03C94"/>
    <w:rsid w:val="00E07105"/>
    <w:rsid w:val="00E26226"/>
    <w:rsid w:val="00E36E67"/>
    <w:rsid w:val="00E4165C"/>
    <w:rsid w:val="00E45D05"/>
    <w:rsid w:val="00E55816"/>
    <w:rsid w:val="00E55AEF"/>
    <w:rsid w:val="00E64B4B"/>
    <w:rsid w:val="00E976C1"/>
    <w:rsid w:val="00EA12E5"/>
    <w:rsid w:val="00EB4C45"/>
    <w:rsid w:val="00EC0FC2"/>
    <w:rsid w:val="00ED44A8"/>
    <w:rsid w:val="00F02766"/>
    <w:rsid w:val="00F04067"/>
    <w:rsid w:val="00F05BD4"/>
    <w:rsid w:val="00F11A98"/>
    <w:rsid w:val="00F15E05"/>
    <w:rsid w:val="00F21A1D"/>
    <w:rsid w:val="00F61818"/>
    <w:rsid w:val="00F64DBC"/>
    <w:rsid w:val="00F65C19"/>
    <w:rsid w:val="00F7338B"/>
    <w:rsid w:val="00F7440E"/>
    <w:rsid w:val="00F8476E"/>
    <w:rsid w:val="00F94FEF"/>
    <w:rsid w:val="00FC24DA"/>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ITU-D/Study-Groups/2018-2021/Pages/Candidates.aspx"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996b2e75-67fd-4955-a3b0-5ab9934cb50b"/>
    <ds:schemaRef ds:uri="http://schemas.microsoft.com/office/infopath/2007/PartnerControls"/>
    <ds:schemaRef ds:uri="http://schemas.openxmlformats.org/package/2006/metadata/core-properties"/>
    <ds:schemaRef ds:uri="32a1a8c5-2265-4ebc-b7a0-2071e2c5c9bb"/>
    <ds:schemaRef ds:uri="http://www.w3.org/XML/1998/namespace"/>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2C1CB419-12D6-41B9-A442-64061DD2F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12830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Manias, Michel</dc:creator>
  <cp:lastModifiedBy>BDT - nd</cp:lastModifiedBy>
  <cp:revision>4</cp:revision>
  <cp:lastPrinted>2011-08-24T07:41:00Z</cp:lastPrinted>
  <dcterms:created xsi:type="dcterms:W3CDTF">2018-02-01T07:40:00Z</dcterms:created>
  <dcterms:modified xsi:type="dcterms:W3CDTF">2018-02-01T07:42:00Z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