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761074">
        <w:trPr>
          <w:cantSplit/>
          <w:trHeight w:val="1134"/>
        </w:trPr>
        <w:tc>
          <w:tcPr>
            <w:tcW w:w="6804" w:type="dxa"/>
          </w:tcPr>
          <w:p w:rsidR="001E252D" w:rsidRPr="001E252D" w:rsidRDefault="00BA5AAB" w:rsidP="00032FDB">
            <w:pPr>
              <w:tabs>
                <w:tab w:val="clear" w:pos="1134"/>
              </w:tabs>
              <w:spacing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E252D" w:rsidRPr="00BA5AAB" w:rsidRDefault="00BA5AAB" w:rsidP="00BA5AAB">
            <w:pPr>
              <w:tabs>
                <w:tab w:val="clear" w:pos="1134"/>
              </w:tabs>
              <w:spacing w:after="48" w:line="240" w:lineRule="atLeast"/>
              <w:ind w:left="34"/>
              <w:rPr>
                <w:b/>
                <w:bCs/>
                <w:sz w:val="28"/>
                <w:szCs w:val="28"/>
                <w:lang w:eastAsia="zh-CN"/>
              </w:rPr>
            </w:pPr>
            <w:r w:rsidRPr="00BA5AAB">
              <w:rPr>
                <w:b/>
                <w:bCs/>
                <w:sz w:val="28"/>
                <w:szCs w:val="28"/>
                <w:lang w:val="fr-CH" w:eastAsia="zh-CN"/>
              </w:rPr>
              <w:t>第</w:t>
            </w:r>
            <w:r w:rsidRPr="00BA5AAB">
              <w:rPr>
                <w:b/>
                <w:bCs/>
                <w:sz w:val="28"/>
                <w:szCs w:val="28"/>
                <w:lang w:val="fr-CH" w:eastAsia="zh-CN"/>
              </w:rPr>
              <w:t>23</w:t>
            </w:r>
            <w:r w:rsidRPr="00BA5AAB">
              <w:rPr>
                <w:b/>
                <w:bCs/>
                <w:sz w:val="28"/>
                <w:szCs w:val="28"/>
                <w:lang w:val="fr-CH" w:eastAsia="zh-CN"/>
              </w:rPr>
              <w:t>次会议，</w:t>
            </w:r>
            <w:r w:rsidRPr="00BA5AAB">
              <w:rPr>
                <w:b/>
                <w:bCs/>
                <w:sz w:val="28"/>
                <w:szCs w:val="28"/>
                <w:lang w:val="fr-CH" w:eastAsia="zh-CN"/>
              </w:rPr>
              <w:t>2018</w:t>
            </w:r>
            <w:r w:rsidRPr="00BA5AAB">
              <w:rPr>
                <w:b/>
                <w:bCs/>
                <w:sz w:val="28"/>
                <w:szCs w:val="28"/>
                <w:lang w:val="fr-CH" w:eastAsia="zh-CN"/>
              </w:rPr>
              <w:t>年</w:t>
            </w:r>
            <w:r w:rsidRPr="00BA5AAB">
              <w:rPr>
                <w:b/>
                <w:bCs/>
                <w:sz w:val="28"/>
                <w:szCs w:val="28"/>
                <w:lang w:val="fr-CH" w:eastAsia="zh-CN"/>
              </w:rPr>
              <w:t>4</w:t>
            </w:r>
            <w:r w:rsidRPr="00BA5AAB">
              <w:rPr>
                <w:b/>
                <w:bCs/>
                <w:sz w:val="28"/>
                <w:szCs w:val="28"/>
                <w:lang w:val="fr-CH" w:eastAsia="zh-CN"/>
              </w:rPr>
              <w:t>月</w:t>
            </w:r>
            <w:r w:rsidR="001E252D" w:rsidRPr="00BA5AAB">
              <w:rPr>
                <w:b/>
                <w:bCs/>
                <w:sz w:val="28"/>
                <w:szCs w:val="28"/>
                <w:lang w:eastAsia="zh-CN"/>
              </w:rPr>
              <w:t>9-11</w:t>
            </w:r>
            <w:r w:rsidRPr="00BA5AAB">
              <w:rPr>
                <w:b/>
                <w:bCs/>
                <w:sz w:val="28"/>
                <w:szCs w:val="28"/>
                <w:lang w:eastAsia="zh-CN"/>
              </w:rPr>
              <w:t>日，日内瓦</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BA5AAB" w:rsidP="006060E6">
            <w:pPr>
              <w:tabs>
                <w:tab w:val="left" w:pos="851"/>
              </w:tabs>
              <w:spacing w:before="0" w:line="240" w:lineRule="atLeast"/>
              <w:rPr>
                <w:rFonts w:cstheme="minorHAnsi"/>
                <w:szCs w:val="24"/>
                <w:lang w:val="es-ES_tradnl"/>
              </w:rPr>
            </w:pPr>
            <w:r>
              <w:rPr>
                <w:rFonts w:hint="eastAsia"/>
                <w:b/>
                <w:bCs/>
                <w:szCs w:val="24"/>
                <w:lang w:val="es-ES_tradnl" w:eastAsia="zh-CN"/>
              </w:rPr>
              <w:t>文件</w:t>
            </w:r>
            <w:r w:rsidR="00D83BF5" w:rsidRPr="0084734D">
              <w:rPr>
                <w:b/>
                <w:bCs/>
                <w:szCs w:val="24"/>
                <w:lang w:val="es-ES_tradnl"/>
              </w:rPr>
              <w:t xml:space="preserve"> </w:t>
            </w:r>
            <w:bookmarkStart w:id="4" w:name="DocRef1"/>
            <w:bookmarkEnd w:id="4"/>
            <w:r w:rsidR="001E252D">
              <w:rPr>
                <w:b/>
                <w:bCs/>
                <w:szCs w:val="24"/>
                <w:lang w:val="es-ES_tradnl"/>
              </w:rPr>
              <w:t>TDAG-18</w:t>
            </w:r>
            <w:r w:rsidR="00D83BF5" w:rsidRPr="00147DA1">
              <w:rPr>
                <w:b/>
                <w:bCs/>
                <w:szCs w:val="24"/>
                <w:lang w:val="es-ES_tradnl"/>
              </w:rPr>
              <w:t>/</w:t>
            </w:r>
            <w:r w:rsidR="006060E6">
              <w:rPr>
                <w:rFonts w:hint="eastAsia"/>
                <w:b/>
                <w:bCs/>
                <w:szCs w:val="24"/>
                <w:lang w:val="es-ES_tradnl" w:eastAsia="zh-CN"/>
              </w:rPr>
              <w:t>1</w:t>
            </w:r>
            <w:r w:rsidR="00032FDB">
              <w:rPr>
                <w:rFonts w:hint="eastAsia"/>
                <w:b/>
                <w:bCs/>
                <w:szCs w:val="24"/>
                <w:lang w:val="es-ES_tradnl" w:eastAsia="zh-CN"/>
              </w:rPr>
              <w:t>8</w:t>
            </w:r>
            <w:r w:rsidR="00D83BF5" w:rsidRPr="00147DA1">
              <w:rPr>
                <w:b/>
                <w:bCs/>
                <w:szCs w:val="24"/>
                <w:lang w:val="es-ES_tradnl"/>
              </w:rPr>
              <w:t>-</w:t>
            </w:r>
            <w:r>
              <w:rPr>
                <w:b/>
                <w:bCs/>
                <w:szCs w:val="24"/>
                <w:lang w:val="es-ES_tradnl"/>
              </w:rPr>
              <w:t>C</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D25C8A" w:rsidP="006060E6">
            <w:pPr>
              <w:spacing w:before="0" w:line="240" w:lineRule="atLeast"/>
              <w:rPr>
                <w:rFonts w:cstheme="minorHAnsi"/>
                <w:szCs w:val="24"/>
                <w:lang w:eastAsia="zh-CN"/>
              </w:rPr>
            </w:pPr>
            <w:r>
              <w:rPr>
                <w:b/>
                <w:bCs/>
                <w:szCs w:val="24"/>
                <w:lang w:val="fr-FR"/>
              </w:rPr>
              <w:t>2018</w:t>
            </w:r>
            <w:r w:rsidR="00BA5AAB">
              <w:rPr>
                <w:rFonts w:hint="eastAsia"/>
                <w:b/>
                <w:bCs/>
                <w:szCs w:val="24"/>
                <w:lang w:val="fr-FR" w:eastAsia="zh-CN"/>
              </w:rPr>
              <w:t>年</w:t>
            </w:r>
            <w:r w:rsidR="00032FDB">
              <w:rPr>
                <w:rFonts w:hint="eastAsia"/>
                <w:b/>
                <w:bCs/>
                <w:szCs w:val="24"/>
                <w:lang w:val="fr-FR" w:eastAsia="zh-CN"/>
              </w:rPr>
              <w:t>2</w:t>
            </w:r>
            <w:r w:rsidR="00BA5AAB">
              <w:rPr>
                <w:b/>
                <w:bCs/>
                <w:szCs w:val="24"/>
                <w:lang w:val="fr-FR" w:eastAsia="zh-CN"/>
              </w:rPr>
              <w:t>月</w:t>
            </w:r>
            <w:r w:rsidR="00032FDB">
              <w:rPr>
                <w:rFonts w:hint="eastAsia"/>
                <w:b/>
                <w:bCs/>
                <w:szCs w:val="24"/>
                <w:lang w:val="fr-FR" w:eastAsia="zh-CN"/>
              </w:rPr>
              <w:t>5</w:t>
            </w:r>
            <w:r w:rsidR="00BA5AAB">
              <w:rPr>
                <w:b/>
                <w:bCs/>
                <w:szCs w:val="24"/>
                <w:lang w:val="fr-FR" w:eastAsia="zh-CN"/>
              </w:rPr>
              <w:t>日</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BA5AAB" w:rsidP="00BA5AAB">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D83BF5" w:rsidRPr="00C324A8" w:rsidTr="007F735C">
        <w:trPr>
          <w:cantSplit/>
          <w:trHeight w:val="23"/>
        </w:trPr>
        <w:tc>
          <w:tcPr>
            <w:tcW w:w="10031" w:type="dxa"/>
            <w:gridSpan w:val="2"/>
            <w:shd w:val="clear" w:color="auto" w:fill="auto"/>
          </w:tcPr>
          <w:p w:rsidR="00D83BF5" w:rsidRPr="00D83BF5" w:rsidRDefault="00BA5AAB" w:rsidP="00B911B2">
            <w:pPr>
              <w:pStyle w:val="Source"/>
              <w:spacing w:before="240" w:after="240"/>
              <w:rPr>
                <w:lang w:eastAsia="zh-CN"/>
              </w:rPr>
            </w:pPr>
            <w:r w:rsidRPr="00926865">
              <w:rPr>
                <w:rFonts w:hint="eastAsia"/>
                <w:lang w:eastAsia="zh-CN"/>
              </w:rPr>
              <w:t>电</w:t>
            </w:r>
            <w:r w:rsidRPr="00926865">
              <w:rPr>
                <w:lang w:eastAsia="zh-CN"/>
              </w:rPr>
              <w:t>信发展局主任</w:t>
            </w:r>
            <w:r w:rsidR="000F7D8C">
              <w:rPr>
                <w:rFonts w:hint="eastAsia"/>
                <w:lang w:eastAsia="zh-CN"/>
              </w:rPr>
              <w:t>的报告</w:t>
            </w:r>
          </w:p>
        </w:tc>
      </w:tr>
      <w:tr w:rsidR="00D83BF5" w:rsidRPr="00C324A8" w:rsidTr="007F735C">
        <w:trPr>
          <w:cantSplit/>
          <w:trHeight w:val="23"/>
        </w:trPr>
        <w:tc>
          <w:tcPr>
            <w:tcW w:w="10031" w:type="dxa"/>
            <w:gridSpan w:val="2"/>
            <w:shd w:val="clear" w:color="auto" w:fill="auto"/>
            <w:vAlign w:val="center"/>
          </w:tcPr>
          <w:p w:rsidR="00D83BF5" w:rsidRPr="006060E6" w:rsidRDefault="000F7D8C" w:rsidP="000F7D8C">
            <w:pPr>
              <w:pStyle w:val="Title1"/>
              <w:spacing w:before="120" w:after="120"/>
              <w:rPr>
                <w:lang w:eastAsia="zh-CN"/>
              </w:rPr>
            </w:pPr>
            <w:r>
              <w:rPr>
                <w:rFonts w:ascii="Calibri" w:eastAsia="SimSun" w:hAnsi="Calibri" w:hint="eastAsia"/>
                <w:szCs w:val="22"/>
                <w:lang w:eastAsia="zh-CN"/>
              </w:rPr>
              <w:t>能力建设活动</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lang w:eastAsia="zh-CN"/>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A5AAB" w:rsidRPr="00054016" w:rsidRDefault="00BA5AAB" w:rsidP="00BA5AAB">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BA5AAB" w:rsidRPr="00054016" w:rsidRDefault="006060E6" w:rsidP="000F7D8C">
            <w:pPr>
              <w:overflowPunct/>
              <w:autoSpaceDE/>
              <w:autoSpaceDN/>
              <w:adjustRightInd/>
              <w:ind w:firstLineChars="200" w:firstLine="480"/>
              <w:textAlignment w:val="auto"/>
              <w:rPr>
                <w:b/>
                <w:bCs/>
                <w:lang w:eastAsia="zh-CN"/>
              </w:rPr>
            </w:pPr>
            <w:r w:rsidRPr="00AE0D18">
              <w:rPr>
                <w:lang w:eastAsia="zh-CN"/>
              </w:rPr>
              <w:t>本文件</w:t>
            </w:r>
            <w:bookmarkStart w:id="9" w:name="lt_pId019"/>
            <w:r w:rsidR="000F7D8C">
              <w:rPr>
                <w:rFonts w:hint="eastAsia"/>
                <w:lang w:eastAsia="zh-CN"/>
              </w:rPr>
              <w:t>概述了去年电信发展局在国际电联学院框架下开展的重要能力建设活动，其中包括定制并开展培训、高级培训中心网络的工作、国际电联出版物《</w:t>
            </w:r>
            <w:r w:rsidR="000F7D8C" w:rsidRPr="000F7D8C">
              <w:rPr>
                <w:lang w:eastAsia="zh-CN"/>
              </w:rPr>
              <w:t>不断变化的</w:t>
            </w:r>
            <w:r w:rsidR="000F7D8C" w:rsidRPr="000F7D8C">
              <w:rPr>
                <w:lang w:eastAsia="zh-CN"/>
              </w:rPr>
              <w:t>ICT</w:t>
            </w:r>
            <w:r w:rsidR="000F7D8C" w:rsidRPr="000F7D8C">
              <w:rPr>
                <w:lang w:eastAsia="zh-CN"/>
              </w:rPr>
              <w:t>环境中的能力建设</w:t>
            </w:r>
            <w:r w:rsidR="000F7D8C">
              <w:rPr>
                <w:rFonts w:hint="eastAsia"/>
                <w:lang w:eastAsia="zh-CN"/>
              </w:rPr>
              <w:t>》以及</w:t>
            </w:r>
            <w:r w:rsidR="000F7D8C">
              <w:rPr>
                <w:rFonts w:hint="eastAsia"/>
                <w:lang w:eastAsia="zh-CN"/>
              </w:rPr>
              <w:t>2017</w:t>
            </w:r>
            <w:r w:rsidR="000F7D8C">
              <w:rPr>
                <w:rFonts w:hint="eastAsia"/>
                <w:lang w:eastAsia="zh-CN"/>
              </w:rPr>
              <w:t>年</w:t>
            </w:r>
            <w:r w:rsidR="000F7D8C">
              <w:rPr>
                <w:rFonts w:hint="eastAsia"/>
                <w:lang w:eastAsia="zh-CN"/>
              </w:rPr>
              <w:t>9</w:t>
            </w:r>
            <w:r w:rsidR="000F7D8C">
              <w:rPr>
                <w:rFonts w:hint="eastAsia"/>
                <w:lang w:eastAsia="zh-CN"/>
              </w:rPr>
              <w:t>月在匈牙利布达佩斯举行的国际电联</w:t>
            </w:r>
            <w:bookmarkStart w:id="10" w:name="_GoBack"/>
            <w:bookmarkEnd w:id="10"/>
            <w:r w:rsidR="000F7D8C">
              <w:rPr>
                <w:rFonts w:hint="eastAsia"/>
                <w:lang w:eastAsia="zh-CN"/>
              </w:rPr>
              <w:t>学术界伙伴关系会议。</w:t>
            </w:r>
            <w:bookmarkStart w:id="11" w:name="lt_pId020"/>
            <w:bookmarkEnd w:id="9"/>
            <w:r w:rsidR="000F7D8C">
              <w:rPr>
                <w:rFonts w:hint="eastAsia"/>
                <w:lang w:eastAsia="zh-CN"/>
              </w:rPr>
              <w:t>它也总结了</w:t>
            </w:r>
            <w:r w:rsidR="000F7D8C">
              <w:rPr>
                <w:lang w:val="en-US" w:eastAsia="zh-CN"/>
              </w:rPr>
              <w:t>WTDC-17</w:t>
            </w:r>
            <w:r w:rsidR="000F7D8C">
              <w:rPr>
                <w:rFonts w:hint="eastAsia"/>
                <w:lang w:val="en-US" w:eastAsia="zh-CN"/>
              </w:rPr>
              <w:t>有关能力建设的成果。</w:t>
            </w:r>
            <w:bookmarkEnd w:id="11"/>
          </w:p>
          <w:p w:rsidR="006060E6" w:rsidRPr="005B29F3" w:rsidRDefault="006060E6" w:rsidP="006060E6">
            <w:pPr>
              <w:spacing w:before="240"/>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r w:rsidRPr="005B29F3">
              <w:rPr>
                <w:b/>
                <w:bCs/>
                <w:lang w:eastAsia="zh-CN"/>
              </w:rPr>
              <w:t>：</w:t>
            </w:r>
          </w:p>
          <w:p w:rsidR="006060E6" w:rsidRPr="005B29F3" w:rsidRDefault="006060E6" w:rsidP="00902DC1">
            <w:pPr>
              <w:ind w:firstLineChars="200" w:firstLine="480"/>
              <w:rPr>
                <w:b/>
                <w:bCs/>
                <w:lang w:eastAsia="zh-CN"/>
              </w:rPr>
            </w:pPr>
            <w:r w:rsidRPr="00AE0D18">
              <w:rPr>
                <w:lang w:eastAsia="zh-CN"/>
              </w:rPr>
              <w:t>请</w:t>
            </w:r>
            <w:r w:rsidRPr="00AE0D18">
              <w:rPr>
                <w:lang w:eastAsia="zh-CN"/>
              </w:rPr>
              <w:t>TDAG</w:t>
            </w:r>
            <w:r>
              <w:rPr>
                <w:rFonts w:hint="eastAsia"/>
                <w:lang w:eastAsia="zh-CN"/>
              </w:rPr>
              <w:t>将本</w:t>
            </w:r>
            <w:r w:rsidRPr="00AE0D18">
              <w:rPr>
                <w:lang w:eastAsia="zh-CN"/>
              </w:rPr>
              <w:t>报告</w:t>
            </w:r>
            <w:r>
              <w:rPr>
                <w:rFonts w:hint="eastAsia"/>
                <w:lang w:eastAsia="zh-CN"/>
              </w:rPr>
              <w:t>记录</w:t>
            </w:r>
            <w:r>
              <w:rPr>
                <w:lang w:eastAsia="zh-CN"/>
              </w:rPr>
              <w:t>在案</w:t>
            </w:r>
            <w:r w:rsidR="00902DC1">
              <w:rPr>
                <w:rFonts w:hint="eastAsia"/>
                <w:lang w:eastAsia="zh-CN"/>
              </w:rPr>
              <w:t>并</w:t>
            </w:r>
            <w:r w:rsidR="00902DC1" w:rsidRPr="00902DC1">
              <w:rPr>
                <w:lang w:eastAsia="zh-CN"/>
              </w:rPr>
              <w:t>酌情提供指导</w:t>
            </w:r>
            <w:r w:rsidRPr="00AE0D18">
              <w:rPr>
                <w:lang w:eastAsia="zh-CN"/>
              </w:rPr>
              <w:t>。</w:t>
            </w:r>
          </w:p>
          <w:p w:rsidR="006060E6" w:rsidRPr="005B29F3" w:rsidRDefault="006060E6" w:rsidP="006060E6">
            <w:pPr>
              <w:spacing w:before="240"/>
              <w:rPr>
                <w:b/>
                <w:bCs/>
                <w:lang w:eastAsia="zh-CN"/>
              </w:rPr>
            </w:pPr>
            <w:r w:rsidRPr="00054016">
              <w:rPr>
                <w:rFonts w:hint="eastAsia"/>
                <w:b/>
                <w:bCs/>
                <w:lang w:eastAsia="zh-CN"/>
              </w:rPr>
              <w:t>参考文件</w:t>
            </w:r>
            <w:r w:rsidRPr="005B29F3">
              <w:rPr>
                <w:b/>
                <w:bCs/>
                <w:lang w:eastAsia="zh-CN"/>
              </w:rPr>
              <w:t>：</w:t>
            </w:r>
          </w:p>
          <w:p w:rsidR="00484EAD" w:rsidRDefault="00484EAD" w:rsidP="00AE0094">
            <w:pPr>
              <w:spacing w:before="0"/>
              <w:rPr>
                <w:lang w:eastAsia="zh-CN"/>
              </w:rPr>
            </w:pPr>
            <w:r>
              <w:rPr>
                <w:rFonts w:hint="eastAsia"/>
                <w:lang w:eastAsia="zh-CN"/>
              </w:rPr>
              <w:t>《布宜诺斯艾利斯行动计划》部门目标</w:t>
            </w:r>
            <w:r>
              <w:rPr>
                <w:rFonts w:hint="eastAsia"/>
                <w:lang w:eastAsia="zh-CN"/>
              </w:rPr>
              <w:t>3</w:t>
            </w:r>
            <w:r>
              <w:rPr>
                <w:rFonts w:hint="eastAsia"/>
                <w:lang w:eastAsia="zh-CN"/>
              </w:rPr>
              <w:t>、输出成果</w:t>
            </w:r>
            <w:r>
              <w:rPr>
                <w:rFonts w:hint="eastAsia"/>
                <w:lang w:eastAsia="zh-CN"/>
              </w:rPr>
              <w:t>3.3</w:t>
            </w:r>
          </w:p>
          <w:p w:rsidR="00902DC1" w:rsidRDefault="00902DC1" w:rsidP="00AE0094">
            <w:pPr>
              <w:spacing w:before="0"/>
              <w:rPr>
                <w:lang w:eastAsia="zh-CN"/>
              </w:rPr>
            </w:pPr>
            <w:r w:rsidRPr="006A3964">
              <w:rPr>
                <w:lang w:eastAsia="zh-CN"/>
              </w:rPr>
              <w:t>WTDC</w:t>
            </w:r>
            <w:r w:rsidRPr="006A3964">
              <w:rPr>
                <w:rFonts w:hint="eastAsia"/>
                <w:lang w:eastAsia="zh-CN"/>
              </w:rPr>
              <w:t>有关能力建设举措</w:t>
            </w:r>
            <w:r>
              <w:rPr>
                <w:rFonts w:hint="eastAsia"/>
                <w:lang w:eastAsia="zh-CN"/>
              </w:rPr>
              <w:t>组</w:t>
            </w:r>
            <w:r w:rsidRPr="006A3964">
              <w:rPr>
                <w:rFonts w:hint="eastAsia"/>
                <w:lang w:eastAsia="zh-CN"/>
              </w:rPr>
              <w:t>的第</w:t>
            </w:r>
            <w:r w:rsidRPr="006A3964">
              <w:rPr>
                <w:lang w:eastAsia="zh-CN"/>
              </w:rPr>
              <w:t>40</w:t>
            </w:r>
            <w:r w:rsidRPr="006A3964">
              <w:rPr>
                <w:rFonts w:hint="eastAsia"/>
                <w:lang w:eastAsia="zh-CN"/>
              </w:rPr>
              <w:t>号决议（</w:t>
            </w:r>
            <w:r w:rsidRPr="006A3964">
              <w:rPr>
                <w:lang w:eastAsia="zh-CN"/>
              </w:rPr>
              <w:t>201</w:t>
            </w:r>
            <w:r>
              <w:rPr>
                <w:rFonts w:hint="eastAsia"/>
                <w:lang w:eastAsia="zh-CN"/>
              </w:rPr>
              <w:t>7</w:t>
            </w:r>
            <w:r w:rsidRPr="006A3964">
              <w:rPr>
                <w:rFonts w:hint="eastAsia"/>
                <w:lang w:eastAsia="zh-CN"/>
              </w:rPr>
              <w:t>年，</w:t>
            </w:r>
            <w:r>
              <w:rPr>
                <w:rFonts w:hint="eastAsia"/>
                <w:lang w:eastAsia="zh-CN"/>
              </w:rPr>
              <w:t>布宜诺斯艾利斯</w:t>
            </w:r>
            <w:r w:rsidRPr="006A3964">
              <w:rPr>
                <w:rFonts w:hint="eastAsia"/>
                <w:lang w:eastAsia="zh-CN"/>
              </w:rPr>
              <w:t>，修订版）</w:t>
            </w:r>
          </w:p>
          <w:p w:rsidR="00902DC1" w:rsidRDefault="00902DC1" w:rsidP="00AE0094">
            <w:pPr>
              <w:spacing w:before="0"/>
              <w:rPr>
                <w:lang w:eastAsia="zh-CN"/>
              </w:rPr>
            </w:pPr>
            <w:r w:rsidRPr="006A3964">
              <w:rPr>
                <w:lang w:eastAsia="zh-CN"/>
              </w:rPr>
              <w:t>WTDC</w:t>
            </w:r>
            <w:r w:rsidRPr="006A3964">
              <w:rPr>
                <w:lang w:eastAsia="zh-CN"/>
              </w:rPr>
              <w:t>有关国际电联高级培训中心的第</w:t>
            </w:r>
            <w:r w:rsidRPr="006A3964">
              <w:rPr>
                <w:lang w:eastAsia="zh-CN"/>
              </w:rPr>
              <w:t>73</w:t>
            </w:r>
            <w:r w:rsidRPr="006A3964">
              <w:rPr>
                <w:lang w:eastAsia="zh-CN"/>
              </w:rPr>
              <w:t>号决议（</w:t>
            </w:r>
            <w:r w:rsidRPr="006A3964">
              <w:rPr>
                <w:lang w:eastAsia="zh-CN"/>
              </w:rPr>
              <w:t>201</w:t>
            </w:r>
            <w:r w:rsidR="00484EAD">
              <w:rPr>
                <w:rFonts w:hint="eastAsia"/>
                <w:lang w:eastAsia="zh-CN"/>
              </w:rPr>
              <w:t>7</w:t>
            </w:r>
            <w:r w:rsidRPr="006A3964">
              <w:rPr>
                <w:lang w:eastAsia="zh-CN"/>
              </w:rPr>
              <w:t>年，</w:t>
            </w:r>
            <w:r w:rsidR="00484EAD">
              <w:rPr>
                <w:rFonts w:hint="eastAsia"/>
                <w:lang w:eastAsia="zh-CN"/>
              </w:rPr>
              <w:t>布宜诺斯艾利斯</w:t>
            </w:r>
            <w:r w:rsidRPr="006A3964">
              <w:rPr>
                <w:lang w:eastAsia="zh-CN"/>
              </w:rPr>
              <w:t>，修订版）</w:t>
            </w:r>
          </w:p>
          <w:p w:rsidR="00661931" w:rsidRPr="00D9621A" w:rsidRDefault="00902DC1" w:rsidP="00AE0094">
            <w:pPr>
              <w:spacing w:before="0"/>
              <w:rPr>
                <w:lang w:eastAsia="zh-CN"/>
              </w:rPr>
            </w:pPr>
            <w:r>
              <w:rPr>
                <w:rFonts w:hint="eastAsia"/>
                <w:lang w:eastAsia="zh-CN"/>
              </w:rPr>
              <w:t>全</w:t>
            </w:r>
            <w:r>
              <w:rPr>
                <w:lang w:eastAsia="zh-CN"/>
              </w:rPr>
              <w:t>权代表大会</w:t>
            </w:r>
            <w:r w:rsidRPr="00902DC1">
              <w:rPr>
                <w:rFonts w:hint="eastAsia"/>
                <w:lang w:eastAsia="zh-CN"/>
              </w:rPr>
              <w:t>有关接纳学术机构参加国际电联工作的</w:t>
            </w:r>
            <w:r w:rsidR="006060E6" w:rsidRPr="00871D70">
              <w:rPr>
                <w:lang w:eastAsia="zh-CN"/>
              </w:rPr>
              <w:t>第</w:t>
            </w:r>
            <w:r w:rsidR="006060E6" w:rsidRPr="00871D70">
              <w:rPr>
                <w:lang w:eastAsia="zh-CN"/>
              </w:rPr>
              <w:t>1</w:t>
            </w:r>
            <w:r>
              <w:rPr>
                <w:rFonts w:hint="eastAsia"/>
                <w:lang w:eastAsia="zh-CN"/>
              </w:rPr>
              <w:t>69</w:t>
            </w:r>
            <w:r w:rsidR="006060E6" w:rsidRPr="00871D70">
              <w:rPr>
                <w:lang w:eastAsia="zh-CN"/>
              </w:rPr>
              <w:t>号决议（</w:t>
            </w:r>
            <w:r w:rsidR="006060E6" w:rsidRPr="00871D70">
              <w:rPr>
                <w:lang w:eastAsia="zh-CN"/>
              </w:rPr>
              <w:t>2014</w:t>
            </w:r>
            <w:r w:rsidR="006060E6" w:rsidRPr="00871D70">
              <w:rPr>
                <w:lang w:eastAsia="zh-CN"/>
              </w:rPr>
              <w:t>年，釜山，修订版）。</w:t>
            </w:r>
          </w:p>
        </w:tc>
      </w:tr>
      <w:bookmarkEnd w:id="7"/>
      <w:bookmarkEnd w:id="8"/>
    </w:tbl>
    <w:p w:rsidR="00075C63" w:rsidRDefault="00075C63">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rsidR="00484EAD" w:rsidRDefault="00484EAD" w:rsidP="001B261F">
      <w:pPr>
        <w:tabs>
          <w:tab w:val="clear" w:pos="1134"/>
          <w:tab w:val="clear" w:pos="1871"/>
          <w:tab w:val="clear" w:pos="2268"/>
        </w:tabs>
        <w:overflowPunct/>
        <w:autoSpaceDE/>
        <w:autoSpaceDN/>
        <w:adjustRightInd/>
        <w:ind w:firstLineChars="200" w:firstLine="480"/>
        <w:textAlignment w:val="auto"/>
        <w:rPr>
          <w:szCs w:val="24"/>
          <w:lang w:eastAsia="zh-CN"/>
        </w:rPr>
      </w:pPr>
      <w:bookmarkStart w:id="12" w:name="lt_pId028"/>
      <w:r>
        <w:rPr>
          <w:rFonts w:hint="eastAsia"/>
          <w:szCs w:val="24"/>
          <w:lang w:eastAsia="zh-CN"/>
        </w:rPr>
        <w:lastRenderedPageBreak/>
        <w:t>在国际电联学院框架下</w:t>
      </w:r>
      <w:r w:rsidR="00714B71">
        <w:rPr>
          <w:rFonts w:hint="eastAsia"/>
          <w:szCs w:val="24"/>
          <w:lang w:eastAsia="zh-CN"/>
        </w:rPr>
        <w:t>，</w:t>
      </w:r>
      <w:r>
        <w:rPr>
          <w:rFonts w:hint="eastAsia"/>
          <w:szCs w:val="24"/>
          <w:lang w:eastAsia="zh-CN"/>
        </w:rPr>
        <w:t>电信发展局开展了多项能力建设活动，为提高国际电联成员的人员技能并丰富电信</w:t>
      </w:r>
      <w:r>
        <w:rPr>
          <w:rFonts w:hint="eastAsia"/>
          <w:szCs w:val="24"/>
          <w:lang w:eastAsia="zh-CN"/>
        </w:rPr>
        <w:t>/ICT</w:t>
      </w:r>
      <w:r>
        <w:rPr>
          <w:rFonts w:hint="eastAsia"/>
          <w:szCs w:val="24"/>
          <w:lang w:eastAsia="zh-CN"/>
        </w:rPr>
        <w:t>领域的知识做出了贡献。</w:t>
      </w:r>
      <w:bookmarkEnd w:id="12"/>
    </w:p>
    <w:p w:rsidR="00484EAD" w:rsidRPr="006F31B7" w:rsidRDefault="00484EAD" w:rsidP="00F6345A">
      <w:pPr>
        <w:pStyle w:val="Headingb"/>
        <w:rPr>
          <w:lang w:eastAsia="zh-CN"/>
        </w:rPr>
      </w:pPr>
      <w:bookmarkStart w:id="13" w:name="lt_pId029"/>
      <w:r>
        <w:rPr>
          <w:rFonts w:hint="eastAsia"/>
          <w:lang w:eastAsia="zh-CN"/>
        </w:rPr>
        <w:t>开发和提供培训课程</w:t>
      </w:r>
      <w:bookmarkEnd w:id="13"/>
    </w:p>
    <w:p w:rsidR="00484EAD" w:rsidRDefault="002239E6" w:rsidP="001B261F">
      <w:pPr>
        <w:tabs>
          <w:tab w:val="clear" w:pos="1134"/>
          <w:tab w:val="clear" w:pos="1871"/>
          <w:tab w:val="clear" w:pos="2268"/>
        </w:tabs>
        <w:overflowPunct/>
        <w:autoSpaceDE/>
        <w:autoSpaceDN/>
        <w:adjustRightInd/>
        <w:ind w:firstLineChars="200" w:firstLine="480"/>
        <w:textAlignment w:val="auto"/>
        <w:rPr>
          <w:szCs w:val="24"/>
          <w:lang w:val="en-US" w:eastAsia="zh-CN"/>
        </w:rPr>
      </w:pPr>
      <w:bookmarkStart w:id="14" w:name="lt_pId030"/>
      <w:r>
        <w:rPr>
          <w:rFonts w:hint="eastAsia"/>
          <w:szCs w:val="24"/>
          <w:lang w:val="en-US" w:eastAsia="zh-CN"/>
        </w:rPr>
        <w:t>与高级培训中心（</w:t>
      </w:r>
      <w:proofErr w:type="spellStart"/>
      <w:r>
        <w:rPr>
          <w:szCs w:val="24"/>
          <w:lang w:val="en-US" w:eastAsia="zh-CN"/>
        </w:rPr>
        <w:t>CoE</w:t>
      </w:r>
      <w:proofErr w:type="spellEnd"/>
      <w:r>
        <w:rPr>
          <w:rFonts w:hint="eastAsia"/>
          <w:szCs w:val="24"/>
          <w:lang w:val="en-US" w:eastAsia="zh-CN"/>
        </w:rPr>
        <w:t>）、私营部门、学术界和其他培训机构等相关合作伙伴密切协作，开展了能力建设活动。</w:t>
      </w:r>
      <w:bookmarkEnd w:id="14"/>
    </w:p>
    <w:p w:rsidR="00484EAD" w:rsidRDefault="00484EAD" w:rsidP="001B261F">
      <w:pPr>
        <w:tabs>
          <w:tab w:val="clear" w:pos="1134"/>
          <w:tab w:val="clear" w:pos="1871"/>
          <w:tab w:val="clear" w:pos="2268"/>
        </w:tabs>
        <w:overflowPunct/>
        <w:autoSpaceDE/>
        <w:autoSpaceDN/>
        <w:adjustRightInd/>
        <w:ind w:firstLineChars="200" w:firstLine="480"/>
        <w:textAlignment w:val="auto"/>
        <w:rPr>
          <w:szCs w:val="24"/>
          <w:lang w:val="en-US" w:eastAsia="zh-CN"/>
        </w:rPr>
      </w:pPr>
      <w:bookmarkStart w:id="15" w:name="lt_pId031"/>
      <w:r>
        <w:rPr>
          <w:szCs w:val="24"/>
          <w:lang w:val="en-US" w:eastAsia="zh-CN"/>
        </w:rPr>
        <w:t>2017</w:t>
      </w:r>
      <w:r w:rsidR="00714B71">
        <w:rPr>
          <w:rFonts w:hint="eastAsia"/>
          <w:szCs w:val="24"/>
          <w:lang w:val="en-US" w:eastAsia="zh-CN"/>
        </w:rPr>
        <w:t>年，来自</w:t>
      </w:r>
      <w:r w:rsidR="00714B71">
        <w:rPr>
          <w:rFonts w:hint="eastAsia"/>
          <w:szCs w:val="24"/>
          <w:lang w:val="en-US" w:eastAsia="zh-CN"/>
        </w:rPr>
        <w:t>116</w:t>
      </w:r>
      <w:r w:rsidR="00714B71">
        <w:rPr>
          <w:rFonts w:hint="eastAsia"/>
          <w:szCs w:val="24"/>
          <w:lang w:val="en-US" w:eastAsia="zh-CN"/>
        </w:rPr>
        <w:t>个国家的</w:t>
      </w:r>
      <w:r>
        <w:rPr>
          <w:szCs w:val="24"/>
          <w:lang w:val="en-US" w:eastAsia="zh-CN"/>
        </w:rPr>
        <w:t>1 500</w:t>
      </w:r>
      <w:r w:rsidR="00714B71">
        <w:rPr>
          <w:rFonts w:hint="eastAsia"/>
          <w:szCs w:val="24"/>
          <w:lang w:val="en-US" w:eastAsia="zh-CN"/>
        </w:rPr>
        <w:t>多名与会者参加了高级培训中心网络提供的</w:t>
      </w:r>
      <w:r w:rsidR="00714B71">
        <w:rPr>
          <w:rFonts w:hint="eastAsia"/>
          <w:szCs w:val="24"/>
          <w:lang w:val="en-US" w:eastAsia="zh-CN"/>
        </w:rPr>
        <w:t>64</w:t>
      </w:r>
      <w:r w:rsidR="00714B71">
        <w:rPr>
          <w:rFonts w:hint="eastAsia"/>
          <w:szCs w:val="24"/>
          <w:lang w:val="en-US" w:eastAsia="zh-CN"/>
        </w:rPr>
        <w:t>种培训课程；共组织了</w:t>
      </w:r>
      <w:r w:rsidR="00714B71">
        <w:rPr>
          <w:rFonts w:hint="eastAsia"/>
          <w:szCs w:val="24"/>
          <w:lang w:val="en-US" w:eastAsia="zh-CN"/>
        </w:rPr>
        <w:t>28</w:t>
      </w:r>
      <w:r w:rsidR="00714B71">
        <w:rPr>
          <w:rFonts w:hint="eastAsia"/>
          <w:szCs w:val="24"/>
          <w:lang w:val="en-US" w:eastAsia="zh-CN"/>
        </w:rPr>
        <w:t>场区域能力建设活动，约</w:t>
      </w:r>
      <w:r w:rsidR="00714B71">
        <w:rPr>
          <w:rFonts w:hint="eastAsia"/>
          <w:szCs w:val="24"/>
          <w:lang w:val="en-US" w:eastAsia="zh-CN"/>
        </w:rPr>
        <w:t>1300</w:t>
      </w:r>
      <w:r w:rsidR="00714B71">
        <w:rPr>
          <w:rFonts w:hint="eastAsia"/>
          <w:szCs w:val="24"/>
          <w:lang w:val="en-US" w:eastAsia="zh-CN"/>
        </w:rPr>
        <w:t>名与会者参加</w:t>
      </w:r>
      <w:r w:rsidR="00C85CAF">
        <w:rPr>
          <w:rFonts w:hint="eastAsia"/>
          <w:szCs w:val="24"/>
          <w:lang w:val="en-US" w:eastAsia="zh-CN"/>
        </w:rPr>
        <w:t>。</w:t>
      </w:r>
      <w:r w:rsidR="00714B71">
        <w:rPr>
          <w:rFonts w:hint="eastAsia"/>
          <w:szCs w:val="24"/>
          <w:lang w:val="en-US" w:eastAsia="zh-CN"/>
        </w:rPr>
        <w:t>这些活动涵盖以下重要领域：政策和监管、宽带接入、网络安全、</w:t>
      </w:r>
      <w:r w:rsidR="00714B71">
        <w:rPr>
          <w:rFonts w:hint="eastAsia"/>
          <w:szCs w:val="24"/>
          <w:lang w:val="en-US" w:eastAsia="zh-CN"/>
        </w:rPr>
        <w:t>ICT</w:t>
      </w:r>
      <w:r w:rsidR="00714B71">
        <w:rPr>
          <w:rFonts w:hint="eastAsia"/>
          <w:szCs w:val="24"/>
          <w:lang w:val="en-US" w:eastAsia="zh-CN"/>
        </w:rPr>
        <w:t>应用和服务、频谱管理、互联网管理、数字广播、合规性和互操作性、云计算、服务质量和电子废物。</w:t>
      </w:r>
      <w:bookmarkEnd w:id="15"/>
    </w:p>
    <w:p w:rsidR="00484EAD" w:rsidRDefault="00714B71" w:rsidP="001B261F">
      <w:pPr>
        <w:tabs>
          <w:tab w:val="clear" w:pos="1134"/>
          <w:tab w:val="clear" w:pos="1871"/>
          <w:tab w:val="clear" w:pos="2268"/>
        </w:tabs>
        <w:overflowPunct/>
        <w:autoSpaceDE/>
        <w:autoSpaceDN/>
        <w:adjustRightInd/>
        <w:ind w:firstLineChars="200" w:firstLine="480"/>
        <w:textAlignment w:val="auto"/>
        <w:rPr>
          <w:szCs w:val="24"/>
          <w:lang w:val="en-US" w:eastAsia="zh-CN"/>
        </w:rPr>
      </w:pPr>
      <w:bookmarkStart w:id="16" w:name="lt_pId032"/>
      <w:r>
        <w:rPr>
          <w:rFonts w:hint="eastAsia"/>
          <w:szCs w:val="24"/>
          <w:lang w:eastAsia="zh-CN"/>
        </w:rPr>
        <w:t>在国际电联学院框架下，电信发展局</w:t>
      </w:r>
      <w:r w:rsidR="00727FE3">
        <w:rPr>
          <w:rFonts w:hint="eastAsia"/>
          <w:szCs w:val="24"/>
          <w:lang w:eastAsia="zh-CN"/>
        </w:rPr>
        <w:t>制定了高质量的综合培训计划。这些培训资源由国际电联专家、学者和其他专家开发并进行了同行评审，以确保它们达到了最高质量要求并满足国际电联的标准。</w:t>
      </w:r>
      <w:bookmarkStart w:id="17" w:name="lt_pId034"/>
      <w:bookmarkEnd w:id="16"/>
      <w:r w:rsidR="00727FE3">
        <w:rPr>
          <w:rFonts w:hint="eastAsia"/>
          <w:szCs w:val="24"/>
          <w:lang w:eastAsia="zh-CN"/>
        </w:rPr>
        <w:t>在过去的一年中，更新、最终确定或启动了以下领域的培训计划：频谱管理、服务质量、</w:t>
      </w:r>
      <w:r w:rsidR="00727FE3">
        <w:rPr>
          <w:rFonts w:hint="eastAsia"/>
          <w:szCs w:val="24"/>
          <w:lang w:eastAsia="zh-CN"/>
        </w:rPr>
        <w:t>ICT</w:t>
      </w:r>
      <w:r w:rsidR="00727FE3">
        <w:rPr>
          <w:rFonts w:hint="eastAsia"/>
          <w:szCs w:val="24"/>
          <w:lang w:eastAsia="zh-CN"/>
        </w:rPr>
        <w:t>与气候变化、物联网（</w:t>
      </w:r>
      <w:proofErr w:type="spellStart"/>
      <w:r w:rsidR="00727FE3">
        <w:rPr>
          <w:szCs w:val="24"/>
          <w:lang w:val="en-US" w:eastAsia="zh-CN"/>
        </w:rPr>
        <w:t>IoT</w:t>
      </w:r>
      <w:proofErr w:type="spellEnd"/>
      <w:r w:rsidR="00727FE3">
        <w:rPr>
          <w:rFonts w:hint="eastAsia"/>
          <w:szCs w:val="24"/>
          <w:lang w:eastAsia="zh-CN"/>
        </w:rPr>
        <w:t>）以及互联网管理。</w:t>
      </w:r>
      <w:bookmarkEnd w:id="17"/>
    </w:p>
    <w:p w:rsidR="00484EAD" w:rsidRPr="00F6345A" w:rsidRDefault="00727FE3" w:rsidP="00F6345A">
      <w:pPr>
        <w:pStyle w:val="Headingb"/>
        <w:rPr>
          <w:lang w:eastAsia="zh-CN"/>
        </w:rPr>
      </w:pPr>
      <w:bookmarkStart w:id="18" w:name="lt_pId035"/>
      <w:r w:rsidRPr="00F6345A">
        <w:rPr>
          <w:rFonts w:hint="eastAsia"/>
          <w:lang w:eastAsia="zh-CN"/>
        </w:rPr>
        <w:t>高级培训中心网络</w:t>
      </w:r>
      <w:bookmarkEnd w:id="18"/>
    </w:p>
    <w:p w:rsidR="00484EAD" w:rsidRPr="00AA5536" w:rsidRDefault="00710F1C" w:rsidP="001B261F">
      <w:pPr>
        <w:overflowPunct/>
        <w:autoSpaceDE/>
        <w:autoSpaceDN/>
        <w:adjustRightInd/>
        <w:ind w:firstLineChars="200" w:firstLine="480"/>
        <w:textAlignment w:val="auto"/>
        <w:rPr>
          <w:lang w:val="en-US" w:eastAsia="zh-CN"/>
        </w:rPr>
      </w:pPr>
      <w:bookmarkStart w:id="19" w:name="lt_pId036"/>
      <w:r>
        <w:rPr>
          <w:rFonts w:hint="eastAsia"/>
          <w:szCs w:val="24"/>
          <w:lang w:val="en-US" w:eastAsia="zh-CN"/>
        </w:rPr>
        <w:t>高级培训中心（</w:t>
      </w:r>
      <w:proofErr w:type="spellStart"/>
      <w:r>
        <w:rPr>
          <w:szCs w:val="24"/>
          <w:lang w:val="en-US" w:eastAsia="zh-CN"/>
        </w:rPr>
        <w:t>CoE</w:t>
      </w:r>
      <w:proofErr w:type="spellEnd"/>
      <w:r>
        <w:rPr>
          <w:rFonts w:hint="eastAsia"/>
          <w:szCs w:val="24"/>
          <w:lang w:val="en-US" w:eastAsia="zh-CN"/>
        </w:rPr>
        <w:t>）网络是国际电联学院下属的主要培训提供渠道。去年，高级培训中心网络继续增强决策机构、监管机构、运营商以及从网络安全、宽带基础设施到频谱管理、</w:t>
      </w:r>
      <w:r>
        <w:rPr>
          <w:rFonts w:hint="eastAsia"/>
          <w:szCs w:val="24"/>
          <w:lang w:val="en-US" w:eastAsia="zh-CN"/>
        </w:rPr>
        <w:t>ICT</w:t>
      </w:r>
      <w:r>
        <w:rPr>
          <w:rFonts w:hint="eastAsia"/>
          <w:szCs w:val="24"/>
          <w:lang w:val="en-US" w:eastAsia="zh-CN"/>
        </w:rPr>
        <w:t>政策、应用和服务等各</w:t>
      </w:r>
      <w:r>
        <w:rPr>
          <w:rFonts w:hint="eastAsia"/>
          <w:szCs w:val="24"/>
          <w:lang w:val="en-US" w:eastAsia="zh-CN"/>
        </w:rPr>
        <w:t>ICT</w:t>
      </w:r>
      <w:r>
        <w:rPr>
          <w:rFonts w:hint="eastAsia"/>
          <w:szCs w:val="24"/>
          <w:lang w:val="en-US" w:eastAsia="zh-CN"/>
        </w:rPr>
        <w:t>相关领域内其他受益人的能力。</w:t>
      </w:r>
      <w:bookmarkEnd w:id="19"/>
      <w:r w:rsidR="00484EAD" w:rsidRPr="00AA5536">
        <w:rPr>
          <w:lang w:val="en-US" w:eastAsia="zh-CN"/>
        </w:rPr>
        <w:t xml:space="preserve"> </w:t>
      </w:r>
    </w:p>
    <w:p w:rsidR="00484EAD" w:rsidRDefault="006F7E38" w:rsidP="00C85CAF">
      <w:pPr>
        <w:overflowPunct/>
        <w:autoSpaceDE/>
        <w:autoSpaceDN/>
        <w:adjustRightInd/>
        <w:ind w:firstLineChars="200" w:firstLine="480"/>
        <w:textAlignment w:val="auto"/>
        <w:rPr>
          <w:lang w:val="en-US" w:eastAsia="zh-CN"/>
        </w:rPr>
      </w:pPr>
      <w:bookmarkStart w:id="20" w:name="lt_pId038"/>
      <w:r>
        <w:rPr>
          <w:rFonts w:hint="eastAsia"/>
          <w:lang w:val="en-US" w:eastAsia="zh-CN"/>
        </w:rPr>
        <w:t>当前的</w:t>
      </w:r>
      <w:r>
        <w:rPr>
          <w:rFonts w:hint="eastAsia"/>
          <w:szCs w:val="24"/>
          <w:lang w:val="en-US" w:eastAsia="zh-CN"/>
        </w:rPr>
        <w:t>高级培训中心网络正在步入</w:t>
      </w:r>
      <w:r w:rsidRPr="00AA5536">
        <w:rPr>
          <w:lang w:val="en-US" w:eastAsia="zh-CN"/>
        </w:rPr>
        <w:t>2015-2018</w:t>
      </w:r>
      <w:r>
        <w:rPr>
          <w:rFonts w:hint="eastAsia"/>
          <w:lang w:val="en-US" w:eastAsia="zh-CN"/>
        </w:rPr>
        <w:t>年周期的最后一年（本周期将于</w:t>
      </w:r>
      <w:r>
        <w:rPr>
          <w:rFonts w:hint="eastAsia"/>
          <w:lang w:val="en-US" w:eastAsia="zh-CN"/>
        </w:rPr>
        <w:t>2018</w:t>
      </w:r>
      <w:r>
        <w:rPr>
          <w:rFonts w:hint="eastAsia"/>
          <w:lang w:val="en-US" w:eastAsia="zh-CN"/>
        </w:rPr>
        <w:t>年</w:t>
      </w:r>
      <w:r>
        <w:rPr>
          <w:rFonts w:hint="eastAsia"/>
          <w:lang w:val="en-US" w:eastAsia="zh-CN"/>
        </w:rPr>
        <w:t>12</w:t>
      </w:r>
      <w:r>
        <w:rPr>
          <w:rFonts w:hint="eastAsia"/>
          <w:lang w:val="en-US" w:eastAsia="zh-CN"/>
        </w:rPr>
        <w:t>月结束）。</w:t>
      </w:r>
      <w:r>
        <w:rPr>
          <w:rFonts w:hint="eastAsia"/>
          <w:lang w:val="en-US" w:eastAsia="zh-CN"/>
        </w:rPr>
        <w:t>2017</w:t>
      </w:r>
      <w:r>
        <w:rPr>
          <w:rFonts w:hint="eastAsia"/>
          <w:lang w:val="en-US" w:eastAsia="zh-CN"/>
        </w:rPr>
        <w:t>年</w:t>
      </w:r>
      <w:r>
        <w:rPr>
          <w:rFonts w:hint="eastAsia"/>
          <w:lang w:val="en-US" w:eastAsia="zh-CN"/>
        </w:rPr>
        <w:t>11</w:t>
      </w:r>
      <w:r>
        <w:rPr>
          <w:rFonts w:hint="eastAsia"/>
          <w:lang w:val="en-US" w:eastAsia="zh-CN"/>
        </w:rPr>
        <w:t>月至</w:t>
      </w:r>
      <w:r>
        <w:rPr>
          <w:rFonts w:hint="eastAsia"/>
          <w:lang w:val="en-US" w:eastAsia="zh-CN"/>
        </w:rPr>
        <w:t>12</w:t>
      </w:r>
      <w:r>
        <w:rPr>
          <w:rFonts w:hint="eastAsia"/>
          <w:lang w:val="en-US" w:eastAsia="zh-CN"/>
        </w:rPr>
        <w:t>月期间召开了本周期</w:t>
      </w:r>
      <w:r>
        <w:rPr>
          <w:rFonts w:hint="eastAsia"/>
          <w:szCs w:val="24"/>
          <w:lang w:val="en-US" w:eastAsia="zh-CN"/>
        </w:rPr>
        <w:t>高级培训中心指导委员会第四轮会议。</w:t>
      </w:r>
      <w:bookmarkStart w:id="21" w:name="lt_pId040"/>
      <w:bookmarkEnd w:id="20"/>
      <w:r w:rsidR="00265296">
        <w:rPr>
          <w:rFonts w:hint="eastAsia"/>
          <w:szCs w:val="24"/>
          <w:lang w:val="en-US" w:eastAsia="zh-CN"/>
        </w:rPr>
        <w:t>会议审议了网络的工作绩效，讨论了改进工作的方法并决定了</w:t>
      </w:r>
      <w:r w:rsidR="00265296">
        <w:rPr>
          <w:rFonts w:hint="eastAsia"/>
          <w:szCs w:val="24"/>
          <w:lang w:val="en-US" w:eastAsia="zh-CN"/>
        </w:rPr>
        <w:t>2018</w:t>
      </w:r>
      <w:r w:rsidR="00265296">
        <w:rPr>
          <w:rFonts w:hint="eastAsia"/>
          <w:szCs w:val="24"/>
          <w:lang w:val="en-US" w:eastAsia="zh-CN"/>
        </w:rPr>
        <w:t>年的培训活动。</w:t>
      </w:r>
      <w:bookmarkStart w:id="22" w:name="lt_pId041"/>
      <w:bookmarkEnd w:id="21"/>
      <w:r w:rsidR="00265296">
        <w:rPr>
          <w:rFonts w:hint="eastAsia"/>
          <w:szCs w:val="24"/>
          <w:lang w:val="en-US" w:eastAsia="zh-CN"/>
        </w:rPr>
        <w:t>正在为新周期（</w:t>
      </w:r>
      <w:r w:rsidR="00265296">
        <w:rPr>
          <w:lang w:val="en-US" w:eastAsia="zh-CN"/>
        </w:rPr>
        <w:t>2019-2022</w:t>
      </w:r>
      <w:r w:rsidR="00265296">
        <w:rPr>
          <w:rFonts w:hint="eastAsia"/>
          <w:lang w:val="en-US" w:eastAsia="zh-CN"/>
        </w:rPr>
        <w:t>年</w:t>
      </w:r>
      <w:r w:rsidR="00265296">
        <w:rPr>
          <w:rFonts w:hint="eastAsia"/>
          <w:szCs w:val="24"/>
          <w:lang w:val="en-US" w:eastAsia="zh-CN"/>
        </w:rPr>
        <w:t>）开展筹备活动且电信发展局已根据</w:t>
      </w:r>
      <w:r w:rsidR="00265296">
        <w:rPr>
          <w:lang w:val="en-US" w:eastAsia="zh-CN"/>
        </w:rPr>
        <w:t>WTDC-17</w:t>
      </w:r>
      <w:r w:rsidR="00265296">
        <w:rPr>
          <w:rFonts w:hint="eastAsia"/>
          <w:lang w:val="en-US" w:eastAsia="zh-CN"/>
        </w:rPr>
        <w:t>的成果复审了指导</w:t>
      </w:r>
      <w:r w:rsidR="00265296">
        <w:rPr>
          <w:rFonts w:hint="eastAsia"/>
          <w:szCs w:val="24"/>
          <w:lang w:val="en-US" w:eastAsia="zh-CN"/>
        </w:rPr>
        <w:t>高级培训中心工作的战略</w:t>
      </w:r>
      <w:r w:rsidR="00C85CAF">
        <w:rPr>
          <w:rFonts w:hint="eastAsia"/>
          <w:szCs w:val="24"/>
          <w:lang w:val="en-US" w:eastAsia="zh-CN"/>
        </w:rPr>
        <w:t>及</w:t>
      </w:r>
      <w:r w:rsidR="00265296">
        <w:rPr>
          <w:rFonts w:hint="eastAsia"/>
          <w:szCs w:val="24"/>
          <w:lang w:val="en-US" w:eastAsia="zh-CN"/>
        </w:rPr>
        <w:t>运作流程和程序。</w:t>
      </w:r>
      <w:bookmarkStart w:id="23" w:name="lt_pId042"/>
      <w:bookmarkEnd w:id="22"/>
      <w:r w:rsidR="00C03DC9">
        <w:rPr>
          <w:rFonts w:hint="eastAsia"/>
          <w:szCs w:val="24"/>
          <w:lang w:val="en-US" w:eastAsia="zh-CN"/>
        </w:rPr>
        <w:t>2018</w:t>
      </w:r>
      <w:r w:rsidR="00C03DC9">
        <w:rPr>
          <w:rFonts w:hint="eastAsia"/>
          <w:szCs w:val="24"/>
          <w:lang w:val="en-US" w:eastAsia="zh-CN"/>
        </w:rPr>
        <w:t>年第二季度将启动征集新高级培训中心的</w:t>
      </w:r>
      <w:r w:rsidR="00D36FD0">
        <w:rPr>
          <w:rFonts w:hint="eastAsia"/>
          <w:szCs w:val="24"/>
          <w:lang w:val="en-US" w:eastAsia="zh-CN"/>
        </w:rPr>
        <w:t>报名工作，以便在</w:t>
      </w:r>
      <w:r w:rsidR="00D36FD0">
        <w:rPr>
          <w:rFonts w:hint="eastAsia"/>
          <w:szCs w:val="24"/>
          <w:lang w:val="en-US" w:eastAsia="zh-CN"/>
        </w:rPr>
        <w:t>2018</w:t>
      </w:r>
      <w:r w:rsidR="00D36FD0">
        <w:rPr>
          <w:rFonts w:hint="eastAsia"/>
          <w:szCs w:val="24"/>
          <w:lang w:val="en-US" w:eastAsia="zh-CN"/>
        </w:rPr>
        <w:t>年第三季度最终选定新的高级培训中心。</w:t>
      </w:r>
      <w:bookmarkEnd w:id="23"/>
      <w:r w:rsidR="00484EAD">
        <w:rPr>
          <w:lang w:val="en-US" w:eastAsia="zh-CN"/>
        </w:rPr>
        <w:t xml:space="preserve"> </w:t>
      </w:r>
    </w:p>
    <w:p w:rsidR="00484EAD" w:rsidRPr="00F6345A" w:rsidRDefault="00D36FD0" w:rsidP="00F6345A">
      <w:pPr>
        <w:pStyle w:val="Headingb"/>
        <w:rPr>
          <w:lang w:eastAsia="zh-CN"/>
        </w:rPr>
      </w:pPr>
      <w:bookmarkStart w:id="24" w:name="lt_pId043"/>
      <w:r w:rsidRPr="00F6345A">
        <w:rPr>
          <w:rFonts w:hint="eastAsia"/>
          <w:lang w:eastAsia="zh-CN"/>
        </w:rPr>
        <w:t>出版物《</w:t>
      </w:r>
      <w:r w:rsidRPr="00F6345A">
        <w:rPr>
          <w:lang w:eastAsia="zh-CN"/>
        </w:rPr>
        <w:t>不断变化的</w:t>
      </w:r>
      <w:r w:rsidRPr="00F6345A">
        <w:rPr>
          <w:lang w:eastAsia="zh-CN"/>
        </w:rPr>
        <w:t>ICT</w:t>
      </w:r>
      <w:r w:rsidRPr="00F6345A">
        <w:rPr>
          <w:lang w:eastAsia="zh-CN"/>
        </w:rPr>
        <w:t>环境中的能力建设</w:t>
      </w:r>
      <w:r w:rsidRPr="00F6345A">
        <w:rPr>
          <w:rFonts w:hint="eastAsia"/>
          <w:lang w:eastAsia="zh-CN"/>
        </w:rPr>
        <w:t>》</w:t>
      </w:r>
      <w:bookmarkEnd w:id="24"/>
    </w:p>
    <w:p w:rsidR="00484EAD" w:rsidRPr="00AB623D" w:rsidRDefault="00D36FD0" w:rsidP="00C85CAF">
      <w:pPr>
        <w:overflowPunct/>
        <w:autoSpaceDE/>
        <w:autoSpaceDN/>
        <w:adjustRightInd/>
        <w:ind w:firstLineChars="200" w:firstLine="480"/>
        <w:textAlignment w:val="auto"/>
        <w:rPr>
          <w:lang w:val="en-US" w:eastAsia="zh-CN"/>
        </w:rPr>
      </w:pPr>
      <w:bookmarkStart w:id="25" w:name="lt_pId044"/>
      <w:r>
        <w:rPr>
          <w:rFonts w:hint="eastAsia"/>
          <w:lang w:val="en-US" w:eastAsia="zh-CN"/>
        </w:rPr>
        <w:t>国际电联首期在线出版物</w:t>
      </w:r>
      <w:hyperlink r:id="rId13" w:history="1">
        <w:r w:rsidRPr="00C85CAF">
          <w:rPr>
            <w:rStyle w:val="Hyperlink"/>
            <w:lang w:val="en-US" w:eastAsia="zh-CN"/>
          </w:rPr>
          <w:t>《不断变化的</w:t>
        </w:r>
        <w:r w:rsidRPr="00C85CAF">
          <w:rPr>
            <w:rStyle w:val="Hyperlink"/>
            <w:lang w:val="en-US" w:eastAsia="zh-CN"/>
          </w:rPr>
          <w:t>ICT</w:t>
        </w:r>
        <w:r w:rsidRPr="00C85CAF">
          <w:rPr>
            <w:rStyle w:val="Hyperlink"/>
            <w:lang w:val="en-US" w:eastAsia="zh-CN"/>
          </w:rPr>
          <w:t>环境中的能力建设》</w:t>
        </w:r>
      </w:hyperlink>
      <w:r>
        <w:rPr>
          <w:rFonts w:hint="eastAsia"/>
          <w:lang w:val="en-US" w:eastAsia="zh-CN"/>
        </w:rPr>
        <w:t>于</w:t>
      </w:r>
      <w:r>
        <w:rPr>
          <w:rFonts w:hint="eastAsia"/>
          <w:lang w:val="en-US" w:eastAsia="zh-CN"/>
        </w:rPr>
        <w:t>2017</w:t>
      </w:r>
      <w:r>
        <w:rPr>
          <w:rFonts w:hint="eastAsia"/>
          <w:lang w:val="en-US" w:eastAsia="zh-CN"/>
        </w:rPr>
        <w:t>年发布。</w:t>
      </w:r>
      <w:bookmarkStart w:id="26" w:name="lt_pId045"/>
      <w:bookmarkEnd w:id="25"/>
      <w:r>
        <w:rPr>
          <w:rFonts w:hint="eastAsia"/>
          <w:lang w:val="en-US" w:eastAsia="zh-CN"/>
        </w:rPr>
        <w:t>这份新出版物汇集了侧重电信</w:t>
      </w:r>
      <w:r>
        <w:rPr>
          <w:rFonts w:hint="eastAsia"/>
          <w:lang w:val="en-US" w:eastAsia="zh-CN"/>
        </w:rPr>
        <w:t>/ICT</w:t>
      </w:r>
      <w:r>
        <w:rPr>
          <w:rFonts w:hint="eastAsia"/>
          <w:lang w:val="en-US" w:eastAsia="zh-CN"/>
        </w:rPr>
        <w:t>行业能力建设领域人员和机构问题的学术文章。</w:t>
      </w:r>
      <w:bookmarkStart w:id="27" w:name="lt_pId046"/>
      <w:bookmarkEnd w:id="26"/>
      <w:r>
        <w:rPr>
          <w:rFonts w:hint="eastAsia"/>
          <w:lang w:val="en-US" w:eastAsia="zh-CN"/>
        </w:rPr>
        <w:t>它涵盖了可影响到人和人</w:t>
      </w:r>
      <w:r w:rsidR="00C85CAF">
        <w:rPr>
          <w:rFonts w:hint="eastAsia"/>
          <w:lang w:val="en-US" w:eastAsia="zh-CN"/>
        </w:rPr>
        <w:t>员</w:t>
      </w:r>
      <w:r>
        <w:rPr>
          <w:rFonts w:hint="eastAsia"/>
          <w:lang w:val="en-US" w:eastAsia="zh-CN"/>
        </w:rPr>
        <w:t>技能发展的各种</w:t>
      </w:r>
      <w:r>
        <w:rPr>
          <w:rFonts w:hint="eastAsia"/>
          <w:lang w:val="en-US" w:eastAsia="zh-CN"/>
        </w:rPr>
        <w:t>ICT</w:t>
      </w:r>
      <w:r>
        <w:rPr>
          <w:rFonts w:hint="eastAsia"/>
          <w:lang w:val="en-US" w:eastAsia="zh-CN"/>
        </w:rPr>
        <w:t>问题。</w:t>
      </w:r>
      <w:bookmarkEnd w:id="27"/>
    </w:p>
    <w:p w:rsidR="00484EAD" w:rsidRDefault="002277C0" w:rsidP="001B261F">
      <w:pPr>
        <w:overflowPunct/>
        <w:autoSpaceDE/>
        <w:autoSpaceDN/>
        <w:adjustRightInd/>
        <w:ind w:firstLineChars="200" w:firstLine="480"/>
        <w:textAlignment w:val="auto"/>
        <w:rPr>
          <w:lang w:val="en-US" w:eastAsia="zh-CN"/>
        </w:rPr>
      </w:pPr>
      <w:bookmarkStart w:id="28" w:name="lt_pId047"/>
      <w:r>
        <w:rPr>
          <w:rFonts w:hint="eastAsia"/>
          <w:lang w:val="en-US" w:eastAsia="zh-CN"/>
        </w:rPr>
        <w:t>该首期出版物侧重于移动技术促进技能发展和终生学习</w:t>
      </w:r>
      <w:bookmarkStart w:id="29" w:name="lt_pId048"/>
      <w:bookmarkEnd w:id="28"/>
      <w:r w:rsidR="00BA0DF9">
        <w:rPr>
          <w:rFonts w:hint="eastAsia"/>
          <w:lang w:val="en-US" w:eastAsia="zh-CN"/>
        </w:rPr>
        <w:t>。它代表着国际专家队伍的工作，以分析、批判和概念性的方式</w:t>
      </w:r>
      <w:r w:rsidR="00F6345A">
        <w:rPr>
          <w:rFonts w:hint="eastAsia"/>
          <w:lang w:val="en-US" w:eastAsia="zh-CN"/>
        </w:rPr>
        <w:t>研究</w:t>
      </w:r>
      <w:r w:rsidR="00BA0DF9">
        <w:rPr>
          <w:rFonts w:hint="eastAsia"/>
          <w:lang w:val="en-US" w:eastAsia="zh-CN"/>
        </w:rPr>
        <w:t>解决问题。</w:t>
      </w:r>
      <w:bookmarkStart w:id="30" w:name="lt_pId049"/>
      <w:bookmarkEnd w:id="29"/>
      <w:r w:rsidR="00BA0DF9">
        <w:rPr>
          <w:rFonts w:hint="eastAsia"/>
          <w:lang w:val="en-US" w:eastAsia="zh-CN"/>
        </w:rPr>
        <w:t>本期文章探索了移动设备在</w:t>
      </w:r>
      <w:r w:rsidR="000C0404">
        <w:rPr>
          <w:rFonts w:hint="eastAsia"/>
          <w:lang w:val="en-US" w:eastAsia="zh-CN"/>
        </w:rPr>
        <w:t>促进全球更多人享受</w:t>
      </w:r>
      <w:r w:rsidR="000C0404">
        <w:rPr>
          <w:rFonts w:hint="eastAsia"/>
          <w:lang w:val="en-US" w:eastAsia="zh-CN"/>
        </w:rPr>
        <w:t>ICT</w:t>
      </w:r>
      <w:r w:rsidR="000C0404">
        <w:rPr>
          <w:rFonts w:hint="eastAsia"/>
          <w:lang w:val="en-US" w:eastAsia="zh-CN"/>
        </w:rPr>
        <w:t>红利方面日益增长的力量。</w:t>
      </w:r>
      <w:bookmarkStart w:id="31" w:name="lt_pId050"/>
      <w:bookmarkEnd w:id="30"/>
      <w:r w:rsidR="000C0404">
        <w:rPr>
          <w:rFonts w:hint="eastAsia"/>
          <w:lang w:val="en-US" w:eastAsia="zh-CN"/>
        </w:rPr>
        <w:t>这些文章有益于当前有关移动技术用于教育以及它们在促进推动终生学习和技能发展方面的潜力的讨论。</w:t>
      </w:r>
      <w:bookmarkEnd w:id="31"/>
    </w:p>
    <w:p w:rsidR="00484EAD" w:rsidRDefault="00F040AB" w:rsidP="00C85CAF">
      <w:pPr>
        <w:overflowPunct/>
        <w:autoSpaceDE/>
        <w:autoSpaceDN/>
        <w:adjustRightInd/>
        <w:ind w:firstLineChars="200" w:firstLine="480"/>
        <w:textAlignment w:val="auto"/>
        <w:rPr>
          <w:lang w:val="en-US" w:eastAsia="zh-CN"/>
        </w:rPr>
      </w:pPr>
      <w:bookmarkStart w:id="32" w:name="lt_pId051"/>
      <w:r>
        <w:rPr>
          <w:rFonts w:hint="eastAsia"/>
          <w:lang w:val="en-US" w:eastAsia="zh-CN"/>
        </w:rPr>
        <w:t>该出版物的第二期目前正在编辑中。它将侧重于</w:t>
      </w:r>
      <w:r>
        <w:rPr>
          <w:rFonts w:hint="eastAsia"/>
          <w:lang w:val="en-US" w:eastAsia="zh-CN"/>
        </w:rPr>
        <w:t>21</w:t>
      </w:r>
      <w:r>
        <w:rPr>
          <w:rFonts w:hint="eastAsia"/>
          <w:lang w:val="en-US" w:eastAsia="zh-CN"/>
        </w:rPr>
        <w:t>世纪数字经济的能力建设，并重点关注人工智能、机器学习、物联网和大数据分析等重要数字变革如何改变技能要求并</w:t>
      </w:r>
      <w:r w:rsidR="00C85CAF">
        <w:rPr>
          <w:rFonts w:hint="eastAsia"/>
          <w:lang w:val="en-US" w:eastAsia="zh-CN"/>
        </w:rPr>
        <w:t>转</w:t>
      </w:r>
      <w:r>
        <w:rPr>
          <w:rFonts w:hint="eastAsia"/>
          <w:lang w:val="en-US" w:eastAsia="zh-CN"/>
        </w:rPr>
        <w:t>而影响到能力建设和技能发展。</w:t>
      </w:r>
      <w:bookmarkStart w:id="33" w:name="lt_pId053"/>
      <w:bookmarkEnd w:id="32"/>
      <w:r>
        <w:rPr>
          <w:rFonts w:hint="eastAsia"/>
          <w:lang w:val="en-US" w:eastAsia="zh-CN"/>
        </w:rPr>
        <w:t>第二期《</w:t>
      </w:r>
      <w:r w:rsidRPr="000F7D8C">
        <w:rPr>
          <w:lang w:eastAsia="zh-CN"/>
        </w:rPr>
        <w:t>不断变化的</w:t>
      </w:r>
      <w:r w:rsidRPr="000F7D8C">
        <w:rPr>
          <w:lang w:eastAsia="zh-CN"/>
        </w:rPr>
        <w:t>ICT</w:t>
      </w:r>
      <w:r w:rsidRPr="000F7D8C">
        <w:rPr>
          <w:lang w:eastAsia="zh-CN"/>
        </w:rPr>
        <w:t>环境中的能力建设</w:t>
      </w:r>
      <w:r>
        <w:rPr>
          <w:rFonts w:hint="eastAsia"/>
          <w:lang w:val="en-US" w:eastAsia="zh-CN"/>
        </w:rPr>
        <w:t>》预计将在</w:t>
      </w:r>
      <w:r>
        <w:rPr>
          <w:rFonts w:hint="eastAsia"/>
          <w:lang w:val="en-US" w:eastAsia="zh-CN"/>
        </w:rPr>
        <w:t>2018</w:t>
      </w:r>
      <w:r>
        <w:rPr>
          <w:rFonts w:hint="eastAsia"/>
          <w:lang w:val="en-US" w:eastAsia="zh-CN"/>
        </w:rPr>
        <w:t>年第二季度发布。</w:t>
      </w:r>
      <w:bookmarkEnd w:id="33"/>
    </w:p>
    <w:p w:rsidR="00F6345A" w:rsidRDefault="00F6345A">
      <w:pPr>
        <w:tabs>
          <w:tab w:val="clear" w:pos="1134"/>
          <w:tab w:val="clear" w:pos="1871"/>
          <w:tab w:val="clear" w:pos="2268"/>
        </w:tabs>
        <w:overflowPunct/>
        <w:autoSpaceDE/>
        <w:autoSpaceDN/>
        <w:adjustRightInd/>
        <w:spacing w:before="0"/>
        <w:textAlignment w:val="auto"/>
        <w:rPr>
          <w:rFonts w:cs="Times New Roman Bold"/>
          <w:b/>
          <w:lang w:val="fr-CH" w:eastAsia="zh-CN"/>
        </w:rPr>
      </w:pPr>
      <w:bookmarkStart w:id="34" w:name="lt_pId054"/>
      <w:r>
        <w:rPr>
          <w:lang w:eastAsia="zh-CN"/>
        </w:rPr>
        <w:br w:type="page"/>
      </w:r>
    </w:p>
    <w:p w:rsidR="00484EAD" w:rsidRPr="00F6345A" w:rsidRDefault="00F040AB" w:rsidP="00F6345A">
      <w:pPr>
        <w:pStyle w:val="Headingb"/>
        <w:rPr>
          <w:lang w:eastAsia="zh-CN"/>
        </w:rPr>
      </w:pPr>
      <w:r w:rsidRPr="00F6345A">
        <w:rPr>
          <w:rFonts w:hint="eastAsia"/>
          <w:lang w:eastAsia="zh-CN"/>
        </w:rPr>
        <w:lastRenderedPageBreak/>
        <w:t>国际电联</w:t>
      </w:r>
      <w:r w:rsidR="00F6345A" w:rsidRPr="00F6345A">
        <w:rPr>
          <w:lang w:eastAsia="zh-CN"/>
        </w:rPr>
        <w:t xml:space="preserve"> – </w:t>
      </w:r>
      <w:r w:rsidRPr="00F6345A">
        <w:rPr>
          <w:rFonts w:hint="eastAsia"/>
          <w:lang w:eastAsia="zh-CN"/>
        </w:rPr>
        <w:t>学术界伙伴关系会议</w:t>
      </w:r>
      <w:bookmarkEnd w:id="34"/>
    </w:p>
    <w:bookmarkStart w:id="35" w:name="lt_pId055"/>
    <w:p w:rsidR="00484EAD" w:rsidRDefault="00484EAD" w:rsidP="00F6345A">
      <w:pPr>
        <w:overflowPunct/>
        <w:autoSpaceDE/>
        <w:autoSpaceDN/>
        <w:adjustRightInd/>
        <w:ind w:firstLineChars="200" w:firstLine="480"/>
        <w:textAlignment w:val="auto"/>
        <w:rPr>
          <w:lang w:val="en-US" w:eastAsia="zh-CN"/>
        </w:rPr>
      </w:pPr>
      <w:r w:rsidRPr="001B261F">
        <w:rPr>
          <w:rFonts w:ascii="STKaiti" w:hAnsi="STKaiti"/>
        </w:rPr>
        <w:fldChar w:fldCharType="begin"/>
      </w:r>
      <w:r w:rsidR="00510918" w:rsidRPr="001B261F">
        <w:rPr>
          <w:rFonts w:ascii="STKaiti" w:hAnsi="STKaiti"/>
          <w:lang w:eastAsia="zh-CN"/>
        </w:rPr>
        <w:instrText>HYPERLINK "https://www.itu.int/en/ITU-D/Capacity-Building/Pages/events/academia2017.aspx"</w:instrText>
      </w:r>
      <w:r w:rsidRPr="001B261F">
        <w:rPr>
          <w:rFonts w:ascii="STKaiti" w:hAnsi="STKaiti"/>
        </w:rPr>
        <w:fldChar w:fldCharType="separate"/>
      </w:r>
      <w:r w:rsidR="00510918" w:rsidRPr="001B261F">
        <w:rPr>
          <w:rStyle w:val="Hyperlink"/>
          <w:rFonts w:ascii="STKaiti" w:hAnsi="STKaiti"/>
          <w:iCs/>
          <w:lang w:val="en-US" w:eastAsia="zh-CN"/>
        </w:rPr>
        <w:t>国际电</w:t>
      </w:r>
      <w:r w:rsidR="00510918" w:rsidRPr="00F6345A">
        <w:rPr>
          <w:rStyle w:val="Hyperlink"/>
          <w:iCs/>
          <w:lang w:val="en-US" w:eastAsia="zh-CN"/>
        </w:rPr>
        <w:t>联</w:t>
      </w:r>
      <w:r w:rsidR="00F6345A" w:rsidRPr="00F6345A">
        <w:rPr>
          <w:rStyle w:val="Hyperlink"/>
          <w:iCs/>
          <w:lang w:val="en-US" w:eastAsia="zh-CN"/>
        </w:rPr>
        <w:t xml:space="preserve"> </w:t>
      </w:r>
      <w:r w:rsidR="00F6345A" w:rsidRPr="00F6345A">
        <w:rPr>
          <w:rStyle w:val="Hyperlink"/>
          <w:rFonts w:cstheme="majorBidi"/>
          <w:iCs/>
          <w:lang w:val="en-US" w:eastAsia="zh-CN"/>
        </w:rPr>
        <w:t xml:space="preserve">– </w:t>
      </w:r>
      <w:r w:rsidR="00510918" w:rsidRPr="00F6345A">
        <w:rPr>
          <w:rStyle w:val="Hyperlink"/>
          <w:iCs/>
          <w:lang w:val="en-US" w:eastAsia="zh-CN"/>
        </w:rPr>
        <w:t>学</w:t>
      </w:r>
      <w:r w:rsidR="00510918" w:rsidRPr="001B261F">
        <w:rPr>
          <w:rStyle w:val="Hyperlink"/>
          <w:rFonts w:ascii="STKaiti" w:hAnsi="STKaiti"/>
          <w:iCs/>
          <w:lang w:val="en-US" w:eastAsia="zh-CN"/>
        </w:rPr>
        <w:t>术界伙伴关系会议：</w:t>
      </w:r>
      <w:r w:rsidR="00510918" w:rsidRPr="00F6345A">
        <w:rPr>
          <w:rStyle w:val="Hyperlink"/>
          <w:rFonts w:ascii="STKaiti" w:eastAsia="STKaiti" w:hAnsi="STKaiti"/>
          <w:iCs/>
          <w:lang w:val="en-US" w:eastAsia="zh-CN"/>
        </w:rPr>
        <w:t>开发数字时代的技能</w:t>
      </w:r>
      <w:r w:rsidRPr="001B261F">
        <w:rPr>
          <w:rFonts w:ascii="STKaiti" w:hAnsi="STKaiti"/>
        </w:rPr>
        <w:fldChar w:fldCharType="end"/>
      </w:r>
      <w:r w:rsidR="00510918">
        <w:rPr>
          <w:rFonts w:hint="eastAsia"/>
          <w:lang w:val="en-US" w:eastAsia="zh-CN"/>
        </w:rPr>
        <w:t>于</w:t>
      </w:r>
      <w:r w:rsidR="00510918">
        <w:rPr>
          <w:rFonts w:hint="eastAsia"/>
          <w:lang w:val="en-US" w:eastAsia="zh-CN"/>
        </w:rPr>
        <w:t>2017</w:t>
      </w:r>
      <w:r w:rsidR="00510918">
        <w:rPr>
          <w:rFonts w:hint="eastAsia"/>
          <w:lang w:val="en-US" w:eastAsia="zh-CN"/>
        </w:rPr>
        <w:t>年</w:t>
      </w:r>
      <w:r w:rsidR="00510918">
        <w:rPr>
          <w:rFonts w:hint="eastAsia"/>
          <w:lang w:val="en-US" w:eastAsia="zh-CN"/>
        </w:rPr>
        <w:t>9</w:t>
      </w:r>
      <w:r w:rsidR="00510918">
        <w:rPr>
          <w:rFonts w:hint="eastAsia"/>
          <w:lang w:val="en-US" w:eastAsia="zh-CN"/>
        </w:rPr>
        <w:t>月</w:t>
      </w:r>
      <w:r w:rsidR="00510918">
        <w:rPr>
          <w:rFonts w:hint="eastAsia"/>
          <w:lang w:val="en-US" w:eastAsia="zh-CN"/>
        </w:rPr>
        <w:t>19-21</w:t>
      </w:r>
      <w:r w:rsidR="00510918">
        <w:rPr>
          <w:rFonts w:hint="eastAsia"/>
          <w:lang w:val="en-US" w:eastAsia="zh-CN"/>
        </w:rPr>
        <w:t>日在匈牙利布达佩斯举行。该次会议由国际电联主办并由匈牙利国家媒体和信息通信管理局（</w:t>
      </w:r>
      <w:r w:rsidR="00510918">
        <w:rPr>
          <w:rFonts w:hint="eastAsia"/>
          <w:lang w:val="en-US" w:eastAsia="zh-CN"/>
        </w:rPr>
        <w:t>NMHH</w:t>
      </w:r>
      <w:r w:rsidR="00510918">
        <w:rPr>
          <w:rFonts w:hint="eastAsia"/>
          <w:lang w:val="en-US" w:eastAsia="zh-CN"/>
        </w:rPr>
        <w:t>）具体承办。</w:t>
      </w:r>
      <w:bookmarkStart w:id="36" w:name="lt_pId057"/>
      <w:bookmarkEnd w:id="35"/>
      <w:r w:rsidR="00510918">
        <w:rPr>
          <w:rFonts w:hint="eastAsia"/>
          <w:lang w:val="en-US" w:eastAsia="zh-CN"/>
        </w:rPr>
        <w:t>来自</w:t>
      </w:r>
      <w:r w:rsidR="00510918">
        <w:rPr>
          <w:rFonts w:hint="eastAsia"/>
          <w:lang w:val="en-US" w:eastAsia="zh-CN"/>
        </w:rPr>
        <w:t>32</w:t>
      </w:r>
      <w:r w:rsidR="00510918">
        <w:rPr>
          <w:rFonts w:hint="eastAsia"/>
          <w:lang w:val="en-US" w:eastAsia="zh-CN"/>
        </w:rPr>
        <w:t>个国家的</w:t>
      </w:r>
      <w:r w:rsidR="00510918">
        <w:rPr>
          <w:rFonts w:hint="eastAsia"/>
          <w:lang w:val="en-US" w:eastAsia="zh-CN"/>
        </w:rPr>
        <w:t>88</w:t>
      </w:r>
      <w:r w:rsidR="00510918">
        <w:rPr>
          <w:rFonts w:hint="eastAsia"/>
          <w:lang w:val="en-US" w:eastAsia="zh-CN"/>
        </w:rPr>
        <w:t>名与会者出席了会议，其中也包括代表各区域的</w:t>
      </w:r>
      <w:r w:rsidR="00510918">
        <w:rPr>
          <w:rFonts w:hint="eastAsia"/>
          <w:lang w:val="en-US" w:eastAsia="zh-CN"/>
        </w:rPr>
        <w:t>38</w:t>
      </w:r>
      <w:r w:rsidR="00510918">
        <w:rPr>
          <w:rFonts w:hint="eastAsia"/>
          <w:lang w:val="en-US" w:eastAsia="zh-CN"/>
        </w:rPr>
        <w:t>家学术机构。</w:t>
      </w:r>
      <w:bookmarkEnd w:id="36"/>
    </w:p>
    <w:p w:rsidR="00484EAD" w:rsidRDefault="00087BDD" w:rsidP="001B261F">
      <w:pPr>
        <w:overflowPunct/>
        <w:autoSpaceDE/>
        <w:autoSpaceDN/>
        <w:adjustRightInd/>
        <w:ind w:firstLineChars="200" w:firstLine="480"/>
        <w:textAlignment w:val="auto"/>
        <w:rPr>
          <w:lang w:val="en-US" w:eastAsia="zh-CN"/>
        </w:rPr>
      </w:pPr>
      <w:bookmarkStart w:id="37" w:name="lt_pId058"/>
      <w:r>
        <w:rPr>
          <w:rFonts w:hint="eastAsia"/>
          <w:lang w:val="en-US" w:eastAsia="zh-CN"/>
        </w:rPr>
        <w:t>会议研讨了新兴技术发展趋势及他们如何影响到学术项目，分享了数字时代教育和学习领域的最新发展情况并</w:t>
      </w:r>
      <w:r w:rsidR="008B0D8E">
        <w:rPr>
          <w:rFonts w:hint="eastAsia"/>
          <w:lang w:val="en-US" w:eastAsia="zh-CN"/>
        </w:rPr>
        <w:t>研究</w:t>
      </w:r>
      <w:r w:rsidR="00C85CAF">
        <w:rPr>
          <w:rFonts w:hint="eastAsia"/>
          <w:lang w:val="en-US" w:eastAsia="zh-CN"/>
        </w:rPr>
        <w:t>了</w:t>
      </w:r>
      <w:r w:rsidR="008B0D8E">
        <w:rPr>
          <w:rFonts w:hint="eastAsia"/>
          <w:lang w:val="en-US" w:eastAsia="zh-CN"/>
        </w:rPr>
        <w:t>开发</w:t>
      </w:r>
      <w:r w:rsidR="008B0D8E">
        <w:rPr>
          <w:rFonts w:hint="eastAsia"/>
          <w:lang w:val="en-US" w:eastAsia="zh-CN"/>
        </w:rPr>
        <w:t>21</w:t>
      </w:r>
      <w:r w:rsidR="008B0D8E">
        <w:rPr>
          <w:rFonts w:hint="eastAsia"/>
          <w:lang w:val="en-US" w:eastAsia="zh-CN"/>
        </w:rPr>
        <w:t>世纪劳动力技能的途径。</w:t>
      </w:r>
      <w:bookmarkStart w:id="38" w:name="lt_pId059"/>
      <w:bookmarkEnd w:id="37"/>
      <w:r w:rsidR="008B0D8E">
        <w:rPr>
          <w:rFonts w:hint="eastAsia"/>
          <w:lang w:val="en-US" w:eastAsia="zh-CN"/>
        </w:rPr>
        <w:t>活动涵盖了有关数字变革和所需系列技能的讨论，大学在打造数字议程、改革课程设置（特别是解决互联网政策相关议题）方面的作用以及数字时代教育和学习新手段等内容。</w:t>
      </w:r>
      <w:bookmarkStart w:id="39" w:name="lt_pId060"/>
      <w:bookmarkEnd w:id="38"/>
      <w:r w:rsidR="008B0D8E">
        <w:rPr>
          <w:rFonts w:hint="eastAsia"/>
          <w:lang w:val="en-US" w:eastAsia="zh-CN"/>
        </w:rPr>
        <w:t>会议的另一个特色在于一系列展示大学、私营部门、高级培训中心与国际电联成功结成合作伙伴关系的讨论。</w:t>
      </w:r>
      <w:bookmarkStart w:id="40" w:name="lt_pId061"/>
      <w:bookmarkEnd w:id="39"/>
      <w:r w:rsidR="008B0D8E">
        <w:rPr>
          <w:rFonts w:hint="eastAsia"/>
          <w:lang w:val="en-US" w:eastAsia="zh-CN"/>
        </w:rPr>
        <w:t>它也探讨了大学在成为创新孵化器和创业方面的作用并介绍了一些实例。</w:t>
      </w:r>
      <w:bookmarkEnd w:id="40"/>
    </w:p>
    <w:p w:rsidR="00484EAD" w:rsidRDefault="00635D2D" w:rsidP="001B261F">
      <w:pPr>
        <w:overflowPunct/>
        <w:autoSpaceDE/>
        <w:autoSpaceDN/>
        <w:adjustRightInd/>
        <w:ind w:firstLineChars="200" w:firstLine="480"/>
        <w:textAlignment w:val="auto"/>
        <w:rPr>
          <w:lang w:val="en-US" w:eastAsia="zh-CN"/>
        </w:rPr>
      </w:pPr>
      <w:bookmarkStart w:id="41" w:name="lt_pId062"/>
      <w:r>
        <w:rPr>
          <w:rFonts w:hint="eastAsia"/>
          <w:lang w:val="en-US" w:eastAsia="zh-CN"/>
        </w:rPr>
        <w:t>一系列有关加强国际电联与学术界在开发未来数字技能方面协作的途径和方法的建议和提议是该项活动的一项主要成果。</w:t>
      </w:r>
      <w:bookmarkStart w:id="42" w:name="lt_pId063"/>
      <w:bookmarkEnd w:id="41"/>
      <w:r>
        <w:rPr>
          <w:rFonts w:hint="eastAsia"/>
          <w:lang w:val="en-US" w:eastAsia="zh-CN"/>
        </w:rPr>
        <w:t>代表们确认，对于这些类型的伙伴关系活动有着很强的需求且国际电联在汇聚各个区域的利益攸关方和大学方面发挥着重要的作用。</w:t>
      </w:r>
      <w:bookmarkStart w:id="43" w:name="lt_pId064"/>
      <w:bookmarkEnd w:id="42"/>
      <w:r>
        <w:rPr>
          <w:rFonts w:hint="eastAsia"/>
          <w:lang w:val="en-US" w:eastAsia="zh-CN"/>
        </w:rPr>
        <w:t>在此方面，国际电联的全球影响力及成员的广泛性是其重要优势之一。</w:t>
      </w:r>
      <w:r w:rsidR="00200774">
        <w:rPr>
          <w:rFonts w:hint="eastAsia"/>
          <w:lang w:val="en-US" w:eastAsia="zh-CN"/>
        </w:rPr>
        <w:t>最后，与会者将数字时代的能力开发视为一个发展领域，国际电联应在此方面发挥重要作用。</w:t>
      </w:r>
      <w:bookmarkEnd w:id="43"/>
    </w:p>
    <w:p w:rsidR="00484EAD" w:rsidRPr="00F6345A" w:rsidRDefault="00484EAD" w:rsidP="00F6345A">
      <w:pPr>
        <w:pStyle w:val="Headingb"/>
        <w:rPr>
          <w:lang w:eastAsia="zh-CN"/>
        </w:rPr>
      </w:pPr>
      <w:bookmarkStart w:id="44" w:name="lt_pId066"/>
      <w:r w:rsidRPr="00F6345A">
        <w:rPr>
          <w:lang w:eastAsia="zh-CN"/>
        </w:rPr>
        <w:t>WTDC-17</w:t>
      </w:r>
      <w:bookmarkEnd w:id="44"/>
    </w:p>
    <w:p w:rsidR="00484EAD" w:rsidRDefault="00484EAD" w:rsidP="001B261F">
      <w:pPr>
        <w:tabs>
          <w:tab w:val="clear" w:pos="1134"/>
          <w:tab w:val="clear" w:pos="1871"/>
          <w:tab w:val="clear" w:pos="2268"/>
        </w:tabs>
        <w:overflowPunct/>
        <w:autoSpaceDE/>
        <w:autoSpaceDN/>
        <w:adjustRightInd/>
        <w:ind w:firstLineChars="200" w:firstLine="480"/>
        <w:textAlignment w:val="auto"/>
        <w:rPr>
          <w:szCs w:val="24"/>
          <w:lang w:eastAsia="zh-CN"/>
        </w:rPr>
      </w:pPr>
      <w:bookmarkStart w:id="45" w:name="lt_pId067"/>
      <w:r>
        <w:rPr>
          <w:szCs w:val="24"/>
          <w:lang w:eastAsia="zh-CN"/>
        </w:rPr>
        <w:t>WTDC-17</w:t>
      </w:r>
      <w:r w:rsidR="00200774">
        <w:rPr>
          <w:rFonts w:hint="eastAsia"/>
          <w:szCs w:val="24"/>
          <w:lang w:eastAsia="zh-CN"/>
        </w:rPr>
        <w:t>重申了能力建设和技能开发的重要性并将其反映在</w:t>
      </w:r>
      <w:r w:rsidR="00200774">
        <w:rPr>
          <w:rFonts w:hint="eastAsia"/>
          <w:lang w:eastAsia="zh-CN"/>
        </w:rPr>
        <w:t>《布宜诺斯艾利斯行动计划》部门目标</w:t>
      </w:r>
      <w:r w:rsidR="00200774">
        <w:rPr>
          <w:rFonts w:hint="eastAsia"/>
          <w:lang w:eastAsia="zh-CN"/>
        </w:rPr>
        <w:t>3</w:t>
      </w:r>
      <w:r w:rsidR="00200774">
        <w:rPr>
          <w:rFonts w:hint="eastAsia"/>
          <w:lang w:eastAsia="zh-CN"/>
        </w:rPr>
        <w:t>、</w:t>
      </w:r>
      <w:r w:rsidR="006904FC">
        <w:rPr>
          <w:rFonts w:hint="eastAsia"/>
          <w:lang w:eastAsia="zh-CN"/>
        </w:rPr>
        <w:t>（有关</w:t>
      </w:r>
      <w:r w:rsidR="006904FC" w:rsidRPr="006A3964">
        <w:rPr>
          <w:rFonts w:hint="eastAsia"/>
          <w:lang w:eastAsia="zh-CN"/>
        </w:rPr>
        <w:t>能力建设举措</w:t>
      </w:r>
      <w:r w:rsidR="006904FC">
        <w:rPr>
          <w:rFonts w:hint="eastAsia"/>
          <w:lang w:eastAsia="zh-CN"/>
        </w:rPr>
        <w:t>组</w:t>
      </w:r>
      <w:r w:rsidR="006904FC" w:rsidRPr="006A3964">
        <w:rPr>
          <w:rFonts w:hint="eastAsia"/>
          <w:lang w:eastAsia="zh-CN"/>
        </w:rPr>
        <w:t>的</w:t>
      </w:r>
      <w:r w:rsidR="006904FC">
        <w:rPr>
          <w:rFonts w:hint="eastAsia"/>
          <w:lang w:eastAsia="zh-CN"/>
        </w:rPr>
        <w:t>）</w:t>
      </w:r>
      <w:r w:rsidR="00200774">
        <w:rPr>
          <w:rFonts w:hint="eastAsia"/>
          <w:lang w:eastAsia="zh-CN"/>
        </w:rPr>
        <w:t>第</w:t>
      </w:r>
      <w:r w:rsidR="00200774">
        <w:rPr>
          <w:rFonts w:hint="eastAsia"/>
          <w:lang w:eastAsia="zh-CN"/>
        </w:rPr>
        <w:t>40</w:t>
      </w:r>
      <w:r w:rsidR="00200774">
        <w:rPr>
          <w:rFonts w:hint="eastAsia"/>
          <w:lang w:eastAsia="zh-CN"/>
        </w:rPr>
        <w:t>号决议和</w:t>
      </w:r>
      <w:r w:rsidR="006904FC">
        <w:rPr>
          <w:rFonts w:hint="eastAsia"/>
          <w:lang w:eastAsia="zh-CN"/>
        </w:rPr>
        <w:t>（有关高级培训中心的）</w:t>
      </w:r>
      <w:r w:rsidR="00200774" w:rsidRPr="006A3964">
        <w:rPr>
          <w:lang w:eastAsia="zh-CN"/>
        </w:rPr>
        <w:t>第</w:t>
      </w:r>
      <w:r w:rsidR="00200774" w:rsidRPr="006A3964">
        <w:rPr>
          <w:lang w:eastAsia="zh-CN"/>
        </w:rPr>
        <w:t>73</w:t>
      </w:r>
      <w:r w:rsidR="00200774" w:rsidRPr="006A3964">
        <w:rPr>
          <w:lang w:eastAsia="zh-CN"/>
        </w:rPr>
        <w:t>号决议</w:t>
      </w:r>
      <w:r w:rsidR="006904FC">
        <w:rPr>
          <w:rFonts w:hint="eastAsia"/>
          <w:lang w:eastAsia="zh-CN"/>
        </w:rPr>
        <w:t>，请参见</w:t>
      </w:r>
      <w:hyperlink r:id="rId14" w:history="1">
        <w:r w:rsidRPr="00C52F87">
          <w:rPr>
            <w:rStyle w:val="Hyperlink"/>
            <w:szCs w:val="24"/>
            <w:lang w:eastAsia="zh-CN"/>
          </w:rPr>
          <w:t>TDAG-18/17</w:t>
        </w:r>
      </w:hyperlink>
      <w:r w:rsidR="006904FC">
        <w:rPr>
          <w:rFonts w:hint="eastAsia"/>
          <w:lang w:eastAsia="zh-CN"/>
        </w:rPr>
        <w:t>号文件。</w:t>
      </w:r>
      <w:bookmarkEnd w:id="45"/>
    </w:p>
    <w:p w:rsidR="00484EAD" w:rsidRDefault="006904FC" w:rsidP="006904FC">
      <w:pPr>
        <w:tabs>
          <w:tab w:val="clear" w:pos="1134"/>
          <w:tab w:val="clear" w:pos="1871"/>
          <w:tab w:val="clear" w:pos="2268"/>
        </w:tabs>
        <w:overflowPunct/>
        <w:autoSpaceDE/>
        <w:autoSpaceDN/>
        <w:adjustRightInd/>
        <w:textAlignment w:val="auto"/>
        <w:rPr>
          <w:szCs w:val="24"/>
          <w:lang w:eastAsia="zh-CN"/>
        </w:rPr>
      </w:pPr>
      <w:bookmarkStart w:id="46" w:name="lt_pId068"/>
      <w:r>
        <w:rPr>
          <w:rFonts w:hint="eastAsia"/>
          <w:szCs w:val="24"/>
          <w:lang w:eastAsia="zh-CN"/>
        </w:rPr>
        <w:t>应特别强调</w:t>
      </w:r>
      <w:r w:rsidR="00484EAD">
        <w:rPr>
          <w:szCs w:val="24"/>
          <w:lang w:eastAsia="zh-CN"/>
        </w:rPr>
        <w:t>WTDC-17</w:t>
      </w:r>
      <w:r>
        <w:rPr>
          <w:rFonts w:hint="eastAsia"/>
          <w:szCs w:val="24"/>
          <w:lang w:eastAsia="zh-CN"/>
        </w:rPr>
        <w:t>的以下成果：</w:t>
      </w:r>
      <w:bookmarkEnd w:id="46"/>
    </w:p>
    <w:p w:rsidR="00484EAD" w:rsidRPr="00C85CAF" w:rsidRDefault="00C85CAF" w:rsidP="00C85CAF">
      <w:pPr>
        <w:pStyle w:val="enumlev1"/>
        <w:tabs>
          <w:tab w:val="clear" w:pos="1134"/>
          <w:tab w:val="left" w:pos="709"/>
        </w:tabs>
        <w:ind w:left="709" w:hanging="709"/>
        <w:rPr>
          <w:lang w:eastAsia="zh-CN"/>
        </w:rPr>
      </w:pPr>
      <w:bookmarkStart w:id="47" w:name="lt_pId069"/>
      <w:r>
        <w:rPr>
          <w:lang w:eastAsia="zh-CN"/>
        </w:rPr>
        <w:t>•</w:t>
      </w:r>
      <w:r>
        <w:rPr>
          <w:lang w:eastAsia="zh-CN"/>
        </w:rPr>
        <w:tab/>
      </w:r>
      <w:r w:rsidR="006904FC" w:rsidRPr="00C85CAF">
        <w:rPr>
          <w:rFonts w:hint="eastAsia"/>
          <w:lang w:eastAsia="zh-CN"/>
        </w:rPr>
        <w:t>增进技能发展对于数字未来重要性的认识这一点很重要。</w:t>
      </w:r>
      <w:bookmarkEnd w:id="47"/>
    </w:p>
    <w:p w:rsidR="00484EAD" w:rsidRPr="00C85CAF" w:rsidRDefault="00C85CAF" w:rsidP="00C85CAF">
      <w:pPr>
        <w:pStyle w:val="enumlev1"/>
        <w:tabs>
          <w:tab w:val="clear" w:pos="1134"/>
          <w:tab w:val="left" w:pos="709"/>
        </w:tabs>
        <w:ind w:left="709" w:hanging="709"/>
        <w:rPr>
          <w:lang w:eastAsia="zh-CN"/>
        </w:rPr>
      </w:pPr>
      <w:bookmarkStart w:id="48" w:name="lt_pId070"/>
      <w:r>
        <w:rPr>
          <w:lang w:eastAsia="zh-CN"/>
        </w:rPr>
        <w:t>•</w:t>
      </w:r>
      <w:r>
        <w:rPr>
          <w:lang w:eastAsia="zh-CN"/>
        </w:rPr>
        <w:tab/>
      </w:r>
      <w:r w:rsidR="006904FC" w:rsidRPr="00C85CAF">
        <w:rPr>
          <w:rFonts w:hint="eastAsia"/>
          <w:lang w:eastAsia="zh-CN"/>
        </w:rPr>
        <w:t>将国际互联网管理包括在国际电联能力建设和技能开发计划中。</w:t>
      </w:r>
      <w:bookmarkEnd w:id="48"/>
    </w:p>
    <w:p w:rsidR="00484EAD" w:rsidRPr="00C85CAF" w:rsidRDefault="00C85CAF" w:rsidP="00C85CAF">
      <w:pPr>
        <w:pStyle w:val="enumlev1"/>
        <w:tabs>
          <w:tab w:val="clear" w:pos="1134"/>
          <w:tab w:val="left" w:pos="709"/>
        </w:tabs>
        <w:ind w:left="709" w:hanging="709"/>
        <w:rPr>
          <w:lang w:eastAsia="zh-CN"/>
        </w:rPr>
      </w:pPr>
      <w:bookmarkStart w:id="49" w:name="lt_pId071"/>
      <w:r>
        <w:rPr>
          <w:lang w:eastAsia="zh-CN"/>
        </w:rPr>
        <w:t>•</w:t>
      </w:r>
      <w:r>
        <w:rPr>
          <w:lang w:eastAsia="zh-CN"/>
        </w:rPr>
        <w:tab/>
      </w:r>
      <w:r w:rsidR="009550CD" w:rsidRPr="00C85CAF">
        <w:rPr>
          <w:rFonts w:hint="eastAsia"/>
          <w:lang w:eastAsia="zh-CN"/>
        </w:rPr>
        <w:t>高级培训中心计划的重要性并呼吁对其进行复审和进一步加强。</w:t>
      </w:r>
      <w:bookmarkEnd w:id="49"/>
    </w:p>
    <w:p w:rsidR="00484EAD" w:rsidRPr="00C85CAF" w:rsidRDefault="00C85CAF" w:rsidP="00C85CAF">
      <w:pPr>
        <w:pStyle w:val="enumlev1"/>
        <w:tabs>
          <w:tab w:val="clear" w:pos="1134"/>
          <w:tab w:val="left" w:pos="709"/>
        </w:tabs>
        <w:ind w:left="709" w:hanging="709"/>
        <w:rPr>
          <w:lang w:eastAsia="zh-CN"/>
        </w:rPr>
      </w:pPr>
      <w:bookmarkStart w:id="50" w:name="lt_pId072"/>
      <w:r>
        <w:rPr>
          <w:lang w:eastAsia="zh-CN"/>
        </w:rPr>
        <w:t>•</w:t>
      </w:r>
      <w:r>
        <w:rPr>
          <w:lang w:eastAsia="zh-CN"/>
        </w:rPr>
        <w:tab/>
      </w:r>
      <w:r w:rsidR="00761074" w:rsidRPr="00C85CAF">
        <w:rPr>
          <w:rFonts w:hint="eastAsia"/>
          <w:lang w:eastAsia="zh-CN"/>
        </w:rPr>
        <w:t>进一步改进国际电联学院平台和相关服务，将其作为国际电联能力建设活动的主要工具和框架。</w:t>
      </w:r>
      <w:bookmarkEnd w:id="50"/>
    </w:p>
    <w:p w:rsidR="00484EAD" w:rsidRPr="00C85CAF" w:rsidRDefault="00C85CAF" w:rsidP="00C85CAF">
      <w:pPr>
        <w:pStyle w:val="enumlev1"/>
        <w:tabs>
          <w:tab w:val="clear" w:pos="1134"/>
          <w:tab w:val="left" w:pos="709"/>
        </w:tabs>
        <w:ind w:left="709" w:hanging="709"/>
        <w:rPr>
          <w:lang w:eastAsia="zh-CN"/>
        </w:rPr>
      </w:pPr>
      <w:bookmarkStart w:id="51" w:name="lt_pId073"/>
      <w:r>
        <w:rPr>
          <w:lang w:eastAsia="zh-CN"/>
        </w:rPr>
        <w:t>•</w:t>
      </w:r>
      <w:r>
        <w:rPr>
          <w:lang w:eastAsia="zh-CN"/>
        </w:rPr>
        <w:tab/>
      </w:r>
      <w:r w:rsidR="00761074" w:rsidRPr="00C85CAF">
        <w:rPr>
          <w:rFonts w:hint="eastAsia"/>
          <w:lang w:eastAsia="zh-CN"/>
        </w:rPr>
        <w:t>呼吁提供针对数字技能开发、教育和终生学习的全球和区域论坛，其中也包括借助全球</w:t>
      </w:r>
      <w:r w:rsidR="00761074" w:rsidRPr="00C85CAF">
        <w:rPr>
          <w:rFonts w:hint="eastAsia"/>
          <w:lang w:eastAsia="zh-CN"/>
        </w:rPr>
        <w:t>ICT</w:t>
      </w:r>
      <w:r w:rsidR="00761074" w:rsidRPr="00C85CAF">
        <w:rPr>
          <w:rFonts w:hint="eastAsia"/>
          <w:lang w:eastAsia="zh-CN"/>
        </w:rPr>
        <w:t>能力建设专题研讨会</w:t>
      </w:r>
      <w:r w:rsidRPr="00C85CAF">
        <w:rPr>
          <w:rFonts w:hint="eastAsia"/>
          <w:lang w:eastAsia="zh-CN"/>
        </w:rPr>
        <w:t>这</w:t>
      </w:r>
      <w:r w:rsidRPr="00C85CAF">
        <w:rPr>
          <w:lang w:eastAsia="zh-CN"/>
        </w:rPr>
        <w:t>一</w:t>
      </w:r>
      <w:r w:rsidR="00761074" w:rsidRPr="00C85CAF">
        <w:rPr>
          <w:rFonts w:hint="eastAsia"/>
          <w:lang w:eastAsia="zh-CN"/>
        </w:rPr>
        <w:t>平台。</w:t>
      </w:r>
      <w:bookmarkEnd w:id="51"/>
    </w:p>
    <w:p w:rsidR="00484EAD" w:rsidRPr="00C85CAF" w:rsidRDefault="00C85CAF" w:rsidP="00C85CAF">
      <w:pPr>
        <w:pStyle w:val="enumlev1"/>
        <w:tabs>
          <w:tab w:val="clear" w:pos="1134"/>
          <w:tab w:val="left" w:pos="709"/>
        </w:tabs>
        <w:ind w:left="709" w:hanging="709"/>
        <w:rPr>
          <w:lang w:eastAsia="zh-CN"/>
        </w:rPr>
      </w:pPr>
      <w:bookmarkStart w:id="52" w:name="lt_pId074"/>
      <w:r>
        <w:rPr>
          <w:lang w:eastAsia="zh-CN"/>
        </w:rPr>
        <w:t>•</w:t>
      </w:r>
      <w:r>
        <w:rPr>
          <w:lang w:eastAsia="zh-CN"/>
        </w:rPr>
        <w:tab/>
      </w:r>
      <w:r w:rsidR="00761074" w:rsidRPr="00C85CAF">
        <w:rPr>
          <w:rFonts w:hint="eastAsia"/>
          <w:lang w:eastAsia="zh-CN"/>
        </w:rPr>
        <w:t>与学术机构和其他合作伙伴结成伙伴关系，创建与数字变革有关的专业知识并开发技能。</w:t>
      </w:r>
      <w:bookmarkEnd w:id="52"/>
    </w:p>
    <w:p w:rsidR="00484EAD" w:rsidRPr="00C85CAF" w:rsidRDefault="00C85CAF" w:rsidP="00C85CAF">
      <w:pPr>
        <w:pStyle w:val="enumlev1"/>
        <w:tabs>
          <w:tab w:val="clear" w:pos="1134"/>
          <w:tab w:val="left" w:pos="709"/>
        </w:tabs>
        <w:ind w:left="709" w:hanging="709"/>
        <w:rPr>
          <w:lang w:eastAsia="zh-CN"/>
        </w:rPr>
      </w:pPr>
      <w:bookmarkStart w:id="53" w:name="lt_pId075"/>
      <w:r>
        <w:rPr>
          <w:lang w:eastAsia="zh-CN"/>
        </w:rPr>
        <w:t>•</w:t>
      </w:r>
      <w:r>
        <w:rPr>
          <w:lang w:eastAsia="zh-CN"/>
        </w:rPr>
        <w:tab/>
      </w:r>
      <w:r w:rsidR="00761074" w:rsidRPr="00C85CAF">
        <w:rPr>
          <w:rFonts w:hint="eastAsia"/>
          <w:lang w:eastAsia="zh-CN"/>
        </w:rPr>
        <w:t>加强区域性举措在开展人力建设方面的作用。各区域性举措将能力建设作为一项重要实际成果。</w:t>
      </w:r>
      <w:bookmarkEnd w:id="53"/>
    </w:p>
    <w:p w:rsidR="00484EAD" w:rsidRPr="00F6345A" w:rsidRDefault="00484EAD" w:rsidP="00F6345A">
      <w:pPr>
        <w:pStyle w:val="Headingb"/>
        <w:rPr>
          <w:lang w:eastAsia="zh-CN"/>
        </w:rPr>
      </w:pPr>
      <w:bookmarkStart w:id="54" w:name="lt_pId077"/>
      <w:r w:rsidRPr="00F6345A">
        <w:rPr>
          <w:lang w:eastAsia="zh-CN"/>
        </w:rPr>
        <w:t>CBS-18</w:t>
      </w:r>
      <w:bookmarkEnd w:id="54"/>
    </w:p>
    <w:p w:rsidR="00484EAD" w:rsidRDefault="00484EAD" w:rsidP="00C85CAF">
      <w:pPr>
        <w:overflowPunct/>
        <w:autoSpaceDE/>
        <w:autoSpaceDN/>
        <w:adjustRightInd/>
        <w:ind w:firstLineChars="200" w:firstLine="480"/>
        <w:textAlignment w:val="auto"/>
        <w:rPr>
          <w:lang w:eastAsia="zh-CN"/>
        </w:rPr>
      </w:pPr>
      <w:bookmarkStart w:id="55" w:name="lt_pId078"/>
      <w:r>
        <w:rPr>
          <w:lang w:eastAsia="zh-CN"/>
        </w:rPr>
        <w:t>2018</w:t>
      </w:r>
      <w:r w:rsidR="00761074">
        <w:rPr>
          <w:rFonts w:hint="eastAsia"/>
          <w:lang w:eastAsia="zh-CN"/>
        </w:rPr>
        <w:t>年</w:t>
      </w:r>
      <w:r w:rsidR="00761074" w:rsidRPr="00761074">
        <w:rPr>
          <w:lang w:eastAsia="zh-CN"/>
        </w:rPr>
        <w:t>全球</w:t>
      </w:r>
      <w:r w:rsidR="00761074" w:rsidRPr="00761074">
        <w:rPr>
          <w:lang w:eastAsia="zh-CN"/>
        </w:rPr>
        <w:t>ICT</w:t>
      </w:r>
      <w:r w:rsidR="00761074" w:rsidRPr="00761074">
        <w:rPr>
          <w:lang w:eastAsia="zh-CN"/>
        </w:rPr>
        <w:t>能力建设专题研讨会（</w:t>
      </w:r>
      <w:r w:rsidR="00761074" w:rsidRPr="00761074">
        <w:rPr>
          <w:lang w:eastAsia="zh-CN"/>
        </w:rPr>
        <w:t>CBS</w:t>
      </w:r>
      <w:r w:rsidR="00761074">
        <w:rPr>
          <w:rFonts w:hint="eastAsia"/>
          <w:lang w:eastAsia="zh-CN"/>
        </w:rPr>
        <w:t>-18</w:t>
      </w:r>
      <w:r w:rsidR="00761074" w:rsidRPr="00761074">
        <w:rPr>
          <w:lang w:eastAsia="zh-CN"/>
        </w:rPr>
        <w:t>）</w:t>
      </w:r>
      <w:r w:rsidR="00080177">
        <w:rPr>
          <w:rFonts w:hint="eastAsia"/>
          <w:lang w:eastAsia="zh-CN"/>
        </w:rPr>
        <w:t>将于</w:t>
      </w:r>
      <w:r w:rsidR="00080177" w:rsidRPr="00080177">
        <w:rPr>
          <w:bCs/>
          <w:lang w:val="es-ES" w:eastAsia="zh-CN"/>
        </w:rPr>
        <w:t>2018</w:t>
      </w:r>
      <w:r w:rsidR="00080177" w:rsidRPr="00080177">
        <w:rPr>
          <w:rFonts w:hint="eastAsia"/>
          <w:bCs/>
          <w:lang w:val="es-ES" w:eastAsia="zh-CN"/>
        </w:rPr>
        <w:t>年</w:t>
      </w:r>
      <w:r w:rsidR="00080177" w:rsidRPr="00080177">
        <w:rPr>
          <w:bCs/>
          <w:lang w:val="es-ES" w:eastAsia="zh-CN"/>
        </w:rPr>
        <w:t>6</w:t>
      </w:r>
      <w:r w:rsidR="00080177" w:rsidRPr="00080177">
        <w:rPr>
          <w:rFonts w:hint="eastAsia"/>
          <w:bCs/>
          <w:lang w:val="es-ES" w:eastAsia="zh-CN"/>
        </w:rPr>
        <w:t>月</w:t>
      </w:r>
      <w:r w:rsidR="00080177" w:rsidRPr="00080177">
        <w:rPr>
          <w:bCs/>
          <w:lang w:val="es-ES" w:eastAsia="zh-CN"/>
        </w:rPr>
        <w:t>18-20</w:t>
      </w:r>
      <w:r w:rsidR="00080177" w:rsidRPr="00080177">
        <w:rPr>
          <w:rFonts w:hint="eastAsia"/>
          <w:bCs/>
          <w:lang w:val="es-ES" w:eastAsia="zh-CN"/>
        </w:rPr>
        <w:t>日在多米尼加共和国</w:t>
      </w:r>
      <w:r w:rsidR="00080177" w:rsidRPr="00080177">
        <w:rPr>
          <w:rFonts w:hint="eastAsia"/>
          <w:bCs/>
          <w:lang w:eastAsia="zh-CN"/>
        </w:rPr>
        <w:t>圣多明各举行</w:t>
      </w:r>
      <w:r w:rsidR="00C85CAF">
        <w:rPr>
          <w:rFonts w:hint="eastAsia"/>
          <w:lang w:val="es-ES" w:eastAsia="zh-CN"/>
        </w:rPr>
        <w:t>。此次专题研讨会由国际电</w:t>
      </w:r>
      <w:r w:rsidR="00080177" w:rsidRPr="00080177">
        <w:rPr>
          <w:rFonts w:hint="eastAsia"/>
          <w:lang w:val="es-ES" w:eastAsia="zh-CN"/>
        </w:rPr>
        <w:t>联主办，由多米尼加电信研究院（</w:t>
      </w:r>
      <w:r w:rsidR="00080177" w:rsidRPr="00080177">
        <w:rPr>
          <w:lang w:val="es-ES" w:eastAsia="zh-CN"/>
        </w:rPr>
        <w:t>INDOTEL</w:t>
      </w:r>
      <w:r w:rsidR="00080177" w:rsidRPr="00080177">
        <w:rPr>
          <w:rFonts w:hint="eastAsia"/>
          <w:lang w:val="es-ES" w:eastAsia="zh-CN"/>
        </w:rPr>
        <w:t>）具体承办</w:t>
      </w:r>
      <w:bookmarkStart w:id="56" w:name="lt_pId080"/>
      <w:bookmarkEnd w:id="55"/>
      <w:r w:rsidR="00080177">
        <w:rPr>
          <w:rFonts w:hint="eastAsia"/>
          <w:lang w:val="es-ES" w:eastAsia="zh-CN"/>
        </w:rPr>
        <w:t>。它将</w:t>
      </w:r>
      <w:r w:rsidR="00080177">
        <w:rPr>
          <w:rFonts w:cs="Arial" w:hint="eastAsia"/>
          <w:szCs w:val="22"/>
          <w:lang w:eastAsia="zh-CN"/>
        </w:rPr>
        <w:t>汇集来自政府、私营部门和学术界的代表，探讨数字经济和社会技能开发领域的相关议题。</w:t>
      </w:r>
      <w:bookmarkEnd w:id="56"/>
    </w:p>
    <w:p w:rsidR="00325D93" w:rsidRDefault="00325D93" w:rsidP="00761074">
      <w:pPr>
        <w:pStyle w:val="Reasons"/>
        <w:rPr>
          <w:lang w:eastAsia="zh-CN"/>
        </w:rPr>
      </w:pPr>
    </w:p>
    <w:p w:rsidR="00325D93" w:rsidRDefault="00325D93">
      <w:pPr>
        <w:jc w:val="center"/>
        <w:rPr>
          <w:lang w:eastAsia="zh-CN"/>
        </w:rPr>
      </w:pPr>
      <w:r>
        <w:rPr>
          <w:lang w:eastAsia="zh-CN"/>
        </w:rPr>
        <w:t>______________</w:t>
      </w:r>
    </w:p>
    <w:sectPr w:rsidR="00325D93"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074" w:rsidRDefault="00761074">
      <w:r>
        <w:separator/>
      </w:r>
    </w:p>
  </w:endnote>
  <w:endnote w:type="continuationSeparator" w:id="0">
    <w:p w:rsidR="00761074" w:rsidRDefault="0076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TKaiti">
    <w:altName w:val="Times New Roman"/>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74" w:rsidRDefault="00761074">
    <w:pPr>
      <w:framePr w:wrap="around" w:vAnchor="text" w:hAnchor="margin" w:xAlign="right" w:y="1"/>
    </w:pPr>
    <w:r>
      <w:fldChar w:fldCharType="begin"/>
    </w:r>
    <w:r>
      <w:instrText xml:space="preserve">PAGE  </w:instrText>
    </w:r>
    <w:r>
      <w:fldChar w:fldCharType="end"/>
    </w:r>
  </w:p>
  <w:p w:rsidR="00761074" w:rsidRPr="0041348E" w:rsidRDefault="00761074">
    <w:pPr>
      <w:ind w:right="360"/>
      <w:rPr>
        <w:lang w:val="en-US"/>
      </w:rPr>
    </w:pPr>
    <w:r>
      <w:fldChar w:fldCharType="begin"/>
    </w:r>
    <w:r w:rsidRPr="0041348E">
      <w:rPr>
        <w:lang w:val="en-US"/>
      </w:rPr>
      <w:instrText xml:space="preserve"> FILENAME \p  \* MERGEFORMAT </w:instrText>
    </w:r>
    <w:r>
      <w:fldChar w:fldCharType="separate"/>
    </w:r>
    <w:r w:rsidR="008D6C4D">
      <w:rPr>
        <w:noProof/>
        <w:lang w:val="en-US"/>
      </w:rPr>
      <w:t>P:\TRAD\C\ITU-D\CONF-D\TDAG18\000\018C.docx</w:t>
    </w:r>
    <w:r>
      <w:fldChar w:fldCharType="end"/>
    </w:r>
    <w:r w:rsidRPr="0041348E">
      <w:rPr>
        <w:lang w:val="en-US"/>
      </w:rPr>
      <w:tab/>
    </w:r>
    <w:r>
      <w:fldChar w:fldCharType="begin"/>
    </w:r>
    <w:r>
      <w:instrText xml:space="preserve"> SAVEDATE \@ DD.MM.YY </w:instrText>
    </w:r>
    <w:r>
      <w:fldChar w:fldCharType="separate"/>
    </w:r>
    <w:r w:rsidR="00205F82">
      <w:rPr>
        <w:noProof/>
      </w:rPr>
      <w:t>08.02.18</w:t>
    </w:r>
    <w:r>
      <w:fldChar w:fldCharType="end"/>
    </w:r>
    <w:r w:rsidRPr="0041348E">
      <w:rPr>
        <w:lang w:val="en-US"/>
      </w:rPr>
      <w:tab/>
    </w:r>
    <w:r>
      <w:fldChar w:fldCharType="begin"/>
    </w:r>
    <w:r>
      <w:instrText xml:space="preserve"> PRINTDATE \@ DD.MM.YY </w:instrText>
    </w:r>
    <w:r>
      <w:fldChar w:fldCharType="separate"/>
    </w:r>
    <w:r w:rsidR="008D6C4D">
      <w:rPr>
        <w:noProof/>
      </w:rPr>
      <w:t>08.02.18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74" w:rsidRDefault="00F6345A" w:rsidP="00A30419">
    <w:pPr>
      <w:pStyle w:val="Footer"/>
    </w:pPr>
    <w:r>
      <w:fldChar w:fldCharType="begin"/>
    </w:r>
    <w:r>
      <w:instrText xml:space="preserve"> FILENAME \p  \* MERGEFORMAT </w:instrText>
    </w:r>
    <w:r>
      <w:fldChar w:fldCharType="separate"/>
    </w:r>
    <w:r w:rsidR="00C85CAF">
      <w:t>P:\CHI\ITU-D\CONF-D\TDAG18\000\018C.docx</w:t>
    </w:r>
    <w:r>
      <w:fldChar w:fldCharType="end"/>
    </w:r>
    <w:r w:rsidR="00761074">
      <w:t xml:space="preserve"> (42871</w:t>
    </w:r>
    <w:r w:rsidR="00C85CAF">
      <w:rPr>
        <w:rFonts w:hint="eastAsia"/>
        <w:lang w:eastAsia="zh-CN"/>
      </w:rPr>
      <w:t>0</w:t>
    </w:r>
    <w:r w:rsidR="00761074">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761074" w:rsidRPr="004D495C" w:rsidTr="00761074">
      <w:tc>
        <w:tcPr>
          <w:tcW w:w="1526" w:type="dxa"/>
          <w:tcBorders>
            <w:top w:val="single" w:sz="4" w:space="0" w:color="000000"/>
          </w:tcBorders>
          <w:shd w:val="clear" w:color="auto" w:fill="auto"/>
        </w:tcPr>
        <w:p w:rsidR="00761074" w:rsidRPr="004D495C" w:rsidRDefault="00761074" w:rsidP="00761074">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761074" w:rsidRPr="004D495C" w:rsidRDefault="00761074" w:rsidP="00761074">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761074" w:rsidRPr="004C0022" w:rsidRDefault="00761074" w:rsidP="005C271A">
          <w:pPr>
            <w:pStyle w:val="FirstFooter"/>
            <w:tabs>
              <w:tab w:val="left" w:pos="2302"/>
            </w:tabs>
            <w:ind w:left="2302" w:hanging="2302"/>
            <w:rPr>
              <w:sz w:val="18"/>
              <w:szCs w:val="18"/>
              <w:lang w:val="en-US" w:eastAsia="zh-CN"/>
            </w:rPr>
          </w:pPr>
          <w:bookmarkStart w:id="58" w:name="OrgName"/>
          <w:bookmarkEnd w:id="58"/>
          <w:r w:rsidRPr="004C0022">
            <w:rPr>
              <w:rFonts w:hint="eastAsia"/>
              <w:sz w:val="18"/>
              <w:szCs w:val="18"/>
              <w:lang w:eastAsia="zh-CN"/>
            </w:rPr>
            <w:t>电信发展局项目和知识管理部（</w:t>
          </w:r>
          <w:r w:rsidRPr="004C0022">
            <w:rPr>
              <w:sz w:val="18"/>
              <w:szCs w:val="18"/>
              <w:lang w:eastAsia="zh-CN"/>
            </w:rPr>
            <w:t>PKM</w:t>
          </w:r>
          <w:r w:rsidRPr="004C0022">
            <w:rPr>
              <w:rFonts w:hint="eastAsia"/>
              <w:sz w:val="18"/>
              <w:szCs w:val="18"/>
              <w:lang w:eastAsia="zh-CN"/>
            </w:rPr>
            <w:t>）</w:t>
          </w:r>
          <w:r>
            <w:rPr>
              <w:rFonts w:hint="eastAsia"/>
              <w:sz w:val="18"/>
              <w:szCs w:val="18"/>
              <w:lang w:eastAsia="zh-CN"/>
            </w:rPr>
            <w:t>负责人</w:t>
          </w:r>
          <w:r w:rsidRPr="004C0022">
            <w:rPr>
              <w:sz w:val="18"/>
              <w:szCs w:val="18"/>
              <w:lang w:val="en-US" w:eastAsia="zh-CN"/>
            </w:rPr>
            <w:t xml:space="preserve">Cosmas </w:t>
          </w:r>
          <w:proofErr w:type="spellStart"/>
          <w:r w:rsidRPr="004C0022">
            <w:rPr>
              <w:sz w:val="18"/>
              <w:szCs w:val="18"/>
              <w:lang w:val="en-US" w:eastAsia="zh-CN"/>
            </w:rPr>
            <w:t>Zavazava</w:t>
          </w:r>
          <w:proofErr w:type="spellEnd"/>
          <w:r w:rsidRPr="004C0022">
            <w:rPr>
              <w:rFonts w:hint="eastAsia"/>
              <w:sz w:val="18"/>
              <w:szCs w:val="18"/>
              <w:lang w:val="en-US" w:eastAsia="zh-CN"/>
            </w:rPr>
            <w:t>先生</w:t>
          </w:r>
        </w:p>
      </w:tc>
    </w:tr>
    <w:tr w:rsidR="00761074" w:rsidRPr="004D495C" w:rsidTr="00761074">
      <w:tc>
        <w:tcPr>
          <w:tcW w:w="1526" w:type="dxa"/>
          <w:shd w:val="clear" w:color="auto" w:fill="auto"/>
        </w:tcPr>
        <w:p w:rsidR="00761074" w:rsidRPr="004D495C" w:rsidRDefault="00761074" w:rsidP="00761074">
          <w:pPr>
            <w:pStyle w:val="FirstFooter"/>
            <w:tabs>
              <w:tab w:val="left" w:pos="1559"/>
              <w:tab w:val="left" w:pos="3828"/>
            </w:tabs>
            <w:rPr>
              <w:sz w:val="20"/>
              <w:lang w:val="en-US" w:eastAsia="zh-CN"/>
            </w:rPr>
          </w:pPr>
        </w:p>
      </w:tc>
      <w:tc>
        <w:tcPr>
          <w:tcW w:w="2410" w:type="dxa"/>
          <w:shd w:val="clear" w:color="auto" w:fill="auto"/>
        </w:tcPr>
        <w:p w:rsidR="00761074" w:rsidRPr="004D495C" w:rsidRDefault="00761074" w:rsidP="00761074">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rsidR="00761074" w:rsidRPr="004C0022" w:rsidRDefault="00761074" w:rsidP="00761074">
          <w:pPr>
            <w:pStyle w:val="FirstFooter"/>
            <w:tabs>
              <w:tab w:val="left" w:pos="2302"/>
            </w:tabs>
            <w:rPr>
              <w:sz w:val="18"/>
              <w:szCs w:val="18"/>
              <w:highlight w:val="yellow"/>
              <w:lang w:val="en-US"/>
            </w:rPr>
          </w:pPr>
          <w:bookmarkStart w:id="59" w:name="PhoneNo"/>
          <w:bookmarkEnd w:id="59"/>
          <w:r w:rsidRPr="004C0022">
            <w:rPr>
              <w:sz w:val="18"/>
              <w:szCs w:val="18"/>
              <w:lang w:val="en-US"/>
            </w:rPr>
            <w:t>+41 22 7305447</w:t>
          </w:r>
        </w:p>
      </w:tc>
    </w:tr>
    <w:tr w:rsidR="00761074" w:rsidRPr="004D495C" w:rsidTr="00761074">
      <w:tc>
        <w:tcPr>
          <w:tcW w:w="1526" w:type="dxa"/>
          <w:shd w:val="clear" w:color="auto" w:fill="auto"/>
        </w:tcPr>
        <w:p w:rsidR="00761074" w:rsidRPr="004D495C" w:rsidRDefault="00761074" w:rsidP="00761074">
          <w:pPr>
            <w:pStyle w:val="FirstFooter"/>
            <w:tabs>
              <w:tab w:val="left" w:pos="1559"/>
              <w:tab w:val="left" w:pos="3828"/>
            </w:tabs>
            <w:rPr>
              <w:sz w:val="20"/>
              <w:lang w:val="en-US"/>
            </w:rPr>
          </w:pPr>
        </w:p>
      </w:tc>
      <w:tc>
        <w:tcPr>
          <w:tcW w:w="2410" w:type="dxa"/>
          <w:shd w:val="clear" w:color="auto" w:fill="auto"/>
        </w:tcPr>
        <w:p w:rsidR="00761074" w:rsidRPr="004D495C" w:rsidRDefault="00761074" w:rsidP="00761074">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60" w:name="Email"/>
      <w:bookmarkEnd w:id="60"/>
      <w:tc>
        <w:tcPr>
          <w:tcW w:w="5987" w:type="dxa"/>
          <w:shd w:val="clear" w:color="auto" w:fill="auto"/>
        </w:tcPr>
        <w:p w:rsidR="00761074" w:rsidRPr="004C0022" w:rsidRDefault="00761074" w:rsidP="00761074">
          <w:pPr>
            <w:pStyle w:val="FirstFooter"/>
            <w:tabs>
              <w:tab w:val="left" w:pos="2302"/>
            </w:tabs>
            <w:rPr>
              <w:sz w:val="18"/>
              <w:szCs w:val="18"/>
              <w:highlight w:val="yellow"/>
              <w:lang w:val="en-US"/>
            </w:rPr>
          </w:pPr>
          <w:r w:rsidRPr="004C0022">
            <w:rPr>
              <w:sz w:val="18"/>
              <w:szCs w:val="18"/>
              <w:lang w:val="en-US"/>
            </w:rPr>
            <w:fldChar w:fldCharType="begin"/>
          </w:r>
          <w:r w:rsidRPr="004C0022">
            <w:rPr>
              <w:sz w:val="18"/>
              <w:szCs w:val="18"/>
              <w:lang w:val="en-US"/>
            </w:rPr>
            <w:instrText xml:space="preserve"> HYPERLINK "mailto:cosmas.zavazava@itu.int" </w:instrText>
          </w:r>
          <w:r w:rsidRPr="004C0022">
            <w:rPr>
              <w:sz w:val="18"/>
              <w:szCs w:val="18"/>
              <w:lang w:val="en-US"/>
            </w:rPr>
            <w:fldChar w:fldCharType="separate"/>
          </w:r>
          <w:r w:rsidRPr="004C0022">
            <w:rPr>
              <w:rStyle w:val="Hyperlink"/>
              <w:sz w:val="18"/>
              <w:szCs w:val="18"/>
              <w:lang w:val="en-US"/>
            </w:rPr>
            <w:t>cosmas.zavazava@itu.int</w:t>
          </w:r>
          <w:r w:rsidRPr="004C0022">
            <w:rPr>
              <w:sz w:val="18"/>
              <w:szCs w:val="18"/>
              <w:lang w:val="en-US"/>
            </w:rPr>
            <w:fldChar w:fldCharType="end"/>
          </w:r>
        </w:p>
      </w:tc>
    </w:tr>
  </w:tbl>
  <w:p w:rsidR="00761074" w:rsidRPr="00D83BF5" w:rsidRDefault="00F6345A" w:rsidP="00C50E83">
    <w:pPr>
      <w:jc w:val="center"/>
    </w:pPr>
    <w:hyperlink r:id="rId1" w:history="1">
      <w:r w:rsidR="00761074" w:rsidRPr="001E252D">
        <w:rPr>
          <w:rStyle w:val="Hyperlink"/>
          <w:sz w:val="20"/>
        </w:rPr>
        <w:t>TDAG</w:t>
      </w:r>
    </w:hyperlink>
  </w:p>
  <w:p w:rsidR="00761074" w:rsidRPr="00C50E83" w:rsidRDefault="00761074" w:rsidP="00C50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074" w:rsidRDefault="00761074">
      <w:r>
        <w:rPr>
          <w:b/>
        </w:rPr>
        <w:t>_______________</w:t>
      </w:r>
    </w:p>
  </w:footnote>
  <w:footnote w:type="continuationSeparator" w:id="0">
    <w:p w:rsidR="00761074" w:rsidRDefault="00761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74" w:rsidRPr="00325D93" w:rsidRDefault="00761074" w:rsidP="00C6748F">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Pr="00325D93">
      <w:rPr>
        <w:sz w:val="18"/>
        <w:szCs w:val="18"/>
        <w:lang w:val="es-ES_tradnl"/>
      </w:rPr>
      <w:t>TDAG-18/</w:t>
    </w:r>
    <w:bookmarkStart w:id="57" w:name="DocNo2"/>
    <w:bookmarkEnd w:id="57"/>
    <w:r>
      <w:rPr>
        <w:rFonts w:hint="eastAsia"/>
        <w:sz w:val="18"/>
        <w:szCs w:val="18"/>
        <w:lang w:val="es-ES_tradnl" w:eastAsia="zh-CN"/>
      </w:rPr>
      <w:t>1</w:t>
    </w:r>
    <w:r w:rsidR="00AE0094">
      <w:rPr>
        <w:rFonts w:hint="eastAsia"/>
        <w:sz w:val="18"/>
        <w:szCs w:val="18"/>
        <w:lang w:val="es-ES_tradnl" w:eastAsia="zh-CN"/>
      </w:rPr>
      <w:t>8</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F6345A">
      <w:rPr>
        <w:noProof/>
        <w:sz w:val="18"/>
        <w:szCs w:val="18"/>
        <w:lang w:val="es-ES_tradnl"/>
      </w:rPr>
      <w:t>3</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7E5B99"/>
    <w:multiLevelType w:val="hybridMultilevel"/>
    <w:tmpl w:val="A9C2F088"/>
    <w:lvl w:ilvl="0" w:tplc="519C3D1A">
      <w:start w:val="1"/>
      <w:numFmt w:val="bullet"/>
      <w:lvlText w:val=""/>
      <w:lvlJc w:val="left"/>
      <w:pPr>
        <w:ind w:left="720" w:hanging="360"/>
      </w:pPr>
      <w:rPr>
        <w:rFonts w:ascii="Symbol" w:hAnsi="Symbol" w:hint="default"/>
      </w:rPr>
    </w:lvl>
    <w:lvl w:ilvl="1" w:tplc="92B2432A" w:tentative="1">
      <w:start w:val="1"/>
      <w:numFmt w:val="bullet"/>
      <w:lvlText w:val="o"/>
      <w:lvlJc w:val="left"/>
      <w:pPr>
        <w:ind w:left="1440" w:hanging="360"/>
      </w:pPr>
      <w:rPr>
        <w:rFonts w:ascii="Courier New" w:hAnsi="Courier New" w:cs="Courier New" w:hint="default"/>
      </w:rPr>
    </w:lvl>
    <w:lvl w:ilvl="2" w:tplc="EE749150" w:tentative="1">
      <w:start w:val="1"/>
      <w:numFmt w:val="bullet"/>
      <w:lvlText w:val=""/>
      <w:lvlJc w:val="left"/>
      <w:pPr>
        <w:ind w:left="2160" w:hanging="360"/>
      </w:pPr>
      <w:rPr>
        <w:rFonts w:ascii="Wingdings" w:hAnsi="Wingdings" w:hint="default"/>
      </w:rPr>
    </w:lvl>
    <w:lvl w:ilvl="3" w:tplc="30AEFEA2" w:tentative="1">
      <w:start w:val="1"/>
      <w:numFmt w:val="bullet"/>
      <w:lvlText w:val=""/>
      <w:lvlJc w:val="left"/>
      <w:pPr>
        <w:ind w:left="2880" w:hanging="360"/>
      </w:pPr>
      <w:rPr>
        <w:rFonts w:ascii="Symbol" w:hAnsi="Symbol" w:hint="default"/>
      </w:rPr>
    </w:lvl>
    <w:lvl w:ilvl="4" w:tplc="58369BEC" w:tentative="1">
      <w:start w:val="1"/>
      <w:numFmt w:val="bullet"/>
      <w:lvlText w:val="o"/>
      <w:lvlJc w:val="left"/>
      <w:pPr>
        <w:ind w:left="3600" w:hanging="360"/>
      </w:pPr>
      <w:rPr>
        <w:rFonts w:ascii="Courier New" w:hAnsi="Courier New" w:cs="Courier New" w:hint="default"/>
      </w:rPr>
    </w:lvl>
    <w:lvl w:ilvl="5" w:tplc="454AABE8" w:tentative="1">
      <w:start w:val="1"/>
      <w:numFmt w:val="bullet"/>
      <w:lvlText w:val=""/>
      <w:lvlJc w:val="left"/>
      <w:pPr>
        <w:ind w:left="4320" w:hanging="360"/>
      </w:pPr>
      <w:rPr>
        <w:rFonts w:ascii="Wingdings" w:hAnsi="Wingdings" w:hint="default"/>
      </w:rPr>
    </w:lvl>
    <w:lvl w:ilvl="6" w:tplc="524CC400" w:tentative="1">
      <w:start w:val="1"/>
      <w:numFmt w:val="bullet"/>
      <w:lvlText w:val=""/>
      <w:lvlJc w:val="left"/>
      <w:pPr>
        <w:ind w:left="5040" w:hanging="360"/>
      </w:pPr>
      <w:rPr>
        <w:rFonts w:ascii="Symbol" w:hAnsi="Symbol" w:hint="default"/>
      </w:rPr>
    </w:lvl>
    <w:lvl w:ilvl="7" w:tplc="C5D644C6" w:tentative="1">
      <w:start w:val="1"/>
      <w:numFmt w:val="bullet"/>
      <w:lvlText w:val="o"/>
      <w:lvlJc w:val="left"/>
      <w:pPr>
        <w:ind w:left="5760" w:hanging="360"/>
      </w:pPr>
      <w:rPr>
        <w:rFonts w:ascii="Courier New" w:hAnsi="Courier New" w:cs="Courier New" w:hint="default"/>
      </w:rPr>
    </w:lvl>
    <w:lvl w:ilvl="8" w:tplc="DCD42BC6"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EB77860"/>
    <w:multiLevelType w:val="multilevel"/>
    <w:tmpl w:val="93F499C0"/>
    <w:lvl w:ilvl="0">
      <w:start w:val="4"/>
      <w:numFmt w:val="decimal"/>
      <w:lvlText w:val="%1"/>
      <w:lvlJc w:val="left"/>
      <w:pPr>
        <w:ind w:left="360" w:hanging="360"/>
      </w:pPr>
      <w:rPr>
        <w:rFonts w:hint="default"/>
        <w:b/>
      </w:rPr>
    </w:lvl>
    <w:lvl w:ilvl="1">
      <w:start w:val="1"/>
      <w:numFmt w:val="decimal"/>
      <w:lvlText w:val="%1.%2"/>
      <w:lvlJc w:val="left"/>
      <w:pPr>
        <w:ind w:left="603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2FDB"/>
    <w:rsid w:val="000355FD"/>
    <w:rsid w:val="00051E39"/>
    <w:rsid w:val="0005621A"/>
    <w:rsid w:val="00075C63"/>
    <w:rsid w:val="00077239"/>
    <w:rsid w:val="00080177"/>
    <w:rsid w:val="00080905"/>
    <w:rsid w:val="000822BE"/>
    <w:rsid w:val="00086491"/>
    <w:rsid w:val="00087BDD"/>
    <w:rsid w:val="00091346"/>
    <w:rsid w:val="000C0404"/>
    <w:rsid w:val="000C0FE7"/>
    <w:rsid w:val="000D4875"/>
    <w:rsid w:val="000F73FF"/>
    <w:rsid w:val="000F7D8C"/>
    <w:rsid w:val="00114CF7"/>
    <w:rsid w:val="00123B68"/>
    <w:rsid w:val="00126F2E"/>
    <w:rsid w:val="00146F6F"/>
    <w:rsid w:val="00147DA1"/>
    <w:rsid w:val="00150E91"/>
    <w:rsid w:val="00152957"/>
    <w:rsid w:val="0015741E"/>
    <w:rsid w:val="00187BD9"/>
    <w:rsid w:val="00190B55"/>
    <w:rsid w:val="00194CFB"/>
    <w:rsid w:val="001B261F"/>
    <w:rsid w:val="001B2ED3"/>
    <w:rsid w:val="001B7EA3"/>
    <w:rsid w:val="001C3B5F"/>
    <w:rsid w:val="001D058F"/>
    <w:rsid w:val="001E252D"/>
    <w:rsid w:val="00200774"/>
    <w:rsid w:val="002009EA"/>
    <w:rsid w:val="00202CA0"/>
    <w:rsid w:val="00205F82"/>
    <w:rsid w:val="002154A6"/>
    <w:rsid w:val="002162CD"/>
    <w:rsid w:val="002239E6"/>
    <w:rsid w:val="002255B3"/>
    <w:rsid w:val="002277C0"/>
    <w:rsid w:val="00236E8A"/>
    <w:rsid w:val="00265296"/>
    <w:rsid w:val="00271316"/>
    <w:rsid w:val="00296313"/>
    <w:rsid w:val="002B3C84"/>
    <w:rsid w:val="002D58BE"/>
    <w:rsid w:val="003013EE"/>
    <w:rsid w:val="00316987"/>
    <w:rsid w:val="00325D93"/>
    <w:rsid w:val="00373916"/>
    <w:rsid w:val="00377BD3"/>
    <w:rsid w:val="00384088"/>
    <w:rsid w:val="0038489B"/>
    <w:rsid w:val="0039169B"/>
    <w:rsid w:val="003A6822"/>
    <w:rsid w:val="003A7F8C"/>
    <w:rsid w:val="003B532E"/>
    <w:rsid w:val="003B6F14"/>
    <w:rsid w:val="003D0F8B"/>
    <w:rsid w:val="004131D4"/>
    <w:rsid w:val="0041348E"/>
    <w:rsid w:val="00447308"/>
    <w:rsid w:val="004765FF"/>
    <w:rsid w:val="00484EAD"/>
    <w:rsid w:val="00492075"/>
    <w:rsid w:val="004969AD"/>
    <w:rsid w:val="004A18E5"/>
    <w:rsid w:val="004B13CB"/>
    <w:rsid w:val="004B4FDF"/>
    <w:rsid w:val="004D5D5C"/>
    <w:rsid w:val="005009E1"/>
    <w:rsid w:val="0050139F"/>
    <w:rsid w:val="00510918"/>
    <w:rsid w:val="00521223"/>
    <w:rsid w:val="00524DF1"/>
    <w:rsid w:val="005455CE"/>
    <w:rsid w:val="0055140B"/>
    <w:rsid w:val="00554C4F"/>
    <w:rsid w:val="00561D72"/>
    <w:rsid w:val="005964AB"/>
    <w:rsid w:val="005B44F5"/>
    <w:rsid w:val="005C099A"/>
    <w:rsid w:val="005C271A"/>
    <w:rsid w:val="005C31A5"/>
    <w:rsid w:val="005E10C9"/>
    <w:rsid w:val="005E61DD"/>
    <w:rsid w:val="005E6321"/>
    <w:rsid w:val="005F5F32"/>
    <w:rsid w:val="006023DF"/>
    <w:rsid w:val="00602C32"/>
    <w:rsid w:val="006060E6"/>
    <w:rsid w:val="00635D2D"/>
    <w:rsid w:val="0064322F"/>
    <w:rsid w:val="00657DE0"/>
    <w:rsid w:val="00661931"/>
    <w:rsid w:val="0067199F"/>
    <w:rsid w:val="00677048"/>
    <w:rsid w:val="00685313"/>
    <w:rsid w:val="006904FC"/>
    <w:rsid w:val="006A6E9B"/>
    <w:rsid w:val="006B7C2A"/>
    <w:rsid w:val="006C23DA"/>
    <w:rsid w:val="006E3D45"/>
    <w:rsid w:val="006F7E38"/>
    <w:rsid w:val="00700EA2"/>
    <w:rsid w:val="00710F1C"/>
    <w:rsid w:val="007149F9"/>
    <w:rsid w:val="00714B71"/>
    <w:rsid w:val="00727FE3"/>
    <w:rsid w:val="00733A30"/>
    <w:rsid w:val="00745AEE"/>
    <w:rsid w:val="007479EA"/>
    <w:rsid w:val="00750F10"/>
    <w:rsid w:val="00761074"/>
    <w:rsid w:val="007742CA"/>
    <w:rsid w:val="007B4465"/>
    <w:rsid w:val="007D06F0"/>
    <w:rsid w:val="007D45E3"/>
    <w:rsid w:val="007D5320"/>
    <w:rsid w:val="007F735C"/>
    <w:rsid w:val="00800972"/>
    <w:rsid w:val="00804475"/>
    <w:rsid w:val="00811633"/>
    <w:rsid w:val="008119ED"/>
    <w:rsid w:val="00821CEF"/>
    <w:rsid w:val="00832828"/>
    <w:rsid w:val="0083645A"/>
    <w:rsid w:val="00840B0F"/>
    <w:rsid w:val="008711AE"/>
    <w:rsid w:val="00872FC8"/>
    <w:rsid w:val="008801D3"/>
    <w:rsid w:val="008845D0"/>
    <w:rsid w:val="008A3933"/>
    <w:rsid w:val="008B0D8E"/>
    <w:rsid w:val="008B2082"/>
    <w:rsid w:val="008B43F2"/>
    <w:rsid w:val="008B61EA"/>
    <w:rsid w:val="008B6CFF"/>
    <w:rsid w:val="008B7245"/>
    <w:rsid w:val="008C31D7"/>
    <w:rsid w:val="008D6C4D"/>
    <w:rsid w:val="00902DC1"/>
    <w:rsid w:val="00910B26"/>
    <w:rsid w:val="009274B4"/>
    <w:rsid w:val="00934EA2"/>
    <w:rsid w:val="00944A5C"/>
    <w:rsid w:val="00952A66"/>
    <w:rsid w:val="009550CD"/>
    <w:rsid w:val="009752FB"/>
    <w:rsid w:val="009A08D2"/>
    <w:rsid w:val="009B75FF"/>
    <w:rsid w:val="009C56E5"/>
    <w:rsid w:val="009E5FC8"/>
    <w:rsid w:val="009E687A"/>
    <w:rsid w:val="00A03C5C"/>
    <w:rsid w:val="00A066F1"/>
    <w:rsid w:val="00A141AF"/>
    <w:rsid w:val="00A16D29"/>
    <w:rsid w:val="00A20E5E"/>
    <w:rsid w:val="00A30305"/>
    <w:rsid w:val="00A30419"/>
    <w:rsid w:val="00A31D2D"/>
    <w:rsid w:val="00A4600A"/>
    <w:rsid w:val="00A538A6"/>
    <w:rsid w:val="00A54C25"/>
    <w:rsid w:val="00A710E7"/>
    <w:rsid w:val="00A7372E"/>
    <w:rsid w:val="00A777F6"/>
    <w:rsid w:val="00A93B85"/>
    <w:rsid w:val="00AA0B18"/>
    <w:rsid w:val="00AA666F"/>
    <w:rsid w:val="00AB3318"/>
    <w:rsid w:val="00AB4927"/>
    <w:rsid w:val="00AC034F"/>
    <w:rsid w:val="00AE0094"/>
    <w:rsid w:val="00AF5E61"/>
    <w:rsid w:val="00B004E5"/>
    <w:rsid w:val="00B15F9D"/>
    <w:rsid w:val="00B42977"/>
    <w:rsid w:val="00B639E9"/>
    <w:rsid w:val="00B817CD"/>
    <w:rsid w:val="00B911B2"/>
    <w:rsid w:val="00B951D0"/>
    <w:rsid w:val="00B95DA2"/>
    <w:rsid w:val="00BA0DF9"/>
    <w:rsid w:val="00BA5AAB"/>
    <w:rsid w:val="00BB29C8"/>
    <w:rsid w:val="00BB3A95"/>
    <w:rsid w:val="00BC0382"/>
    <w:rsid w:val="00BD0504"/>
    <w:rsid w:val="00BD62C6"/>
    <w:rsid w:val="00BE4CB7"/>
    <w:rsid w:val="00C0018F"/>
    <w:rsid w:val="00C03DC9"/>
    <w:rsid w:val="00C20466"/>
    <w:rsid w:val="00C214ED"/>
    <w:rsid w:val="00C234E6"/>
    <w:rsid w:val="00C324A8"/>
    <w:rsid w:val="00C50E83"/>
    <w:rsid w:val="00C54517"/>
    <w:rsid w:val="00C56CC5"/>
    <w:rsid w:val="00C64CD8"/>
    <w:rsid w:val="00C6748F"/>
    <w:rsid w:val="00C85CAF"/>
    <w:rsid w:val="00C97C68"/>
    <w:rsid w:val="00CA1A47"/>
    <w:rsid w:val="00CB419A"/>
    <w:rsid w:val="00CC247A"/>
    <w:rsid w:val="00CE5E47"/>
    <w:rsid w:val="00CF020F"/>
    <w:rsid w:val="00CF2B5B"/>
    <w:rsid w:val="00D14CE0"/>
    <w:rsid w:val="00D25C8A"/>
    <w:rsid w:val="00D36333"/>
    <w:rsid w:val="00D36FD0"/>
    <w:rsid w:val="00D5651D"/>
    <w:rsid w:val="00D73231"/>
    <w:rsid w:val="00D74898"/>
    <w:rsid w:val="00D801ED"/>
    <w:rsid w:val="00D83BF5"/>
    <w:rsid w:val="00D867B3"/>
    <w:rsid w:val="00D925C2"/>
    <w:rsid w:val="00D936BC"/>
    <w:rsid w:val="00D9621A"/>
    <w:rsid w:val="00D96530"/>
    <w:rsid w:val="00D96B4B"/>
    <w:rsid w:val="00DA2345"/>
    <w:rsid w:val="00DA453A"/>
    <w:rsid w:val="00DA4848"/>
    <w:rsid w:val="00DA7078"/>
    <w:rsid w:val="00DD08B4"/>
    <w:rsid w:val="00DD44AF"/>
    <w:rsid w:val="00DE2AC3"/>
    <w:rsid w:val="00DE434C"/>
    <w:rsid w:val="00DE5692"/>
    <w:rsid w:val="00DF51EE"/>
    <w:rsid w:val="00DF6F8E"/>
    <w:rsid w:val="00E03C94"/>
    <w:rsid w:val="00E07105"/>
    <w:rsid w:val="00E26226"/>
    <w:rsid w:val="00E4165C"/>
    <w:rsid w:val="00E435B6"/>
    <w:rsid w:val="00E45D05"/>
    <w:rsid w:val="00E55816"/>
    <w:rsid w:val="00E55AEF"/>
    <w:rsid w:val="00E976C1"/>
    <w:rsid w:val="00EA12E5"/>
    <w:rsid w:val="00F02766"/>
    <w:rsid w:val="00F04067"/>
    <w:rsid w:val="00F040AB"/>
    <w:rsid w:val="00F05BD4"/>
    <w:rsid w:val="00F11A98"/>
    <w:rsid w:val="00F21A1D"/>
    <w:rsid w:val="00F34F0E"/>
    <w:rsid w:val="00F6345A"/>
    <w:rsid w:val="00F65C19"/>
    <w:rsid w:val="00F7693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7F479A-5C02-4065-941A-0AC9F508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List Paragraph11,Recommendation"/>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373916"/>
    <w:pPr>
      <w:tabs>
        <w:tab w:val="clear" w:pos="1134"/>
        <w:tab w:val="clear" w:pos="1871"/>
        <w:tab w:val="clear" w:pos="2268"/>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373916"/>
    <w:rPr>
      <w:rFonts w:ascii="Calibri" w:hAnsi="Calibri" w:cstheme="minorBidi"/>
      <w:sz w:val="22"/>
      <w:szCs w:val="21"/>
    </w:rPr>
  </w:style>
  <w:style w:type="paragraph" w:customStyle="1" w:styleId="CEONormal">
    <w:name w:val="CEO_Normal"/>
    <w:link w:val="CEONormalChar"/>
    <w:rsid w:val="009752FB"/>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9752FB"/>
    <w:rPr>
      <w:rFonts w:ascii="Calibri" w:eastAsia="SimSun" w:hAnsi="Calibri" w:cs="Simplified Arabic"/>
      <w:sz w:val="22"/>
      <w:szCs w:val="19"/>
      <w:lang w:val="en-GB" w:eastAsia="en-US"/>
    </w:rPr>
  </w:style>
  <w:style w:type="paragraph" w:styleId="NormalWeb">
    <w:name w:val="Normal (Web)"/>
    <w:basedOn w:val="Normal"/>
    <w:uiPriority w:val="99"/>
    <w:unhideWhenUsed/>
    <w:rsid w:val="009752F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ListParagraphChar">
    <w:name w:val="List Paragraph Char"/>
    <w:aliases w:val="List Paragraph1 Char,List Paragraph11 Char,Recommendation Char"/>
    <w:basedOn w:val="DefaultParagraphFont"/>
    <w:link w:val="ListParagraph"/>
    <w:uiPriority w:val="34"/>
    <w:rsid w:val="009752FB"/>
    <w:rPr>
      <w:rFonts w:asciiTheme="minorHAnsi" w:hAnsiTheme="minorHAnsi"/>
      <w:sz w:val="24"/>
      <w:lang w:val="en-GB" w:eastAsia="en-US"/>
    </w:rPr>
  </w:style>
  <w:style w:type="character" w:styleId="Strong">
    <w:name w:val="Strong"/>
    <w:basedOn w:val="DefaultParagraphFont"/>
    <w:uiPriority w:val="22"/>
    <w:qFormat/>
    <w:rsid w:val="000C0FE7"/>
    <w:rPr>
      <w:b/>
      <w:bCs/>
    </w:rPr>
  </w:style>
  <w:style w:type="character" w:customStyle="1" w:styleId="ms-rtefontsize-1">
    <w:name w:val="ms-rtefontsize-1"/>
    <w:basedOn w:val="DefaultParagraphFont"/>
    <w:rsid w:val="000C0FE7"/>
  </w:style>
  <w:style w:type="character" w:styleId="FollowedHyperlink">
    <w:name w:val="FollowedHyperlink"/>
    <w:basedOn w:val="DefaultParagraphFont"/>
    <w:semiHidden/>
    <w:unhideWhenUsed/>
    <w:rsid w:val="000C0F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17961089">
      <w:bodyDiv w:val="1"/>
      <w:marLeft w:val="0"/>
      <w:marRight w:val="0"/>
      <w:marTop w:val="0"/>
      <w:marBottom w:val="0"/>
      <w:divBdr>
        <w:top w:val="none" w:sz="0" w:space="0" w:color="auto"/>
        <w:left w:val="none" w:sz="0" w:space="0" w:color="auto"/>
        <w:bottom w:val="none" w:sz="0" w:space="0" w:color="auto"/>
        <w:right w:val="none" w:sz="0" w:space="0" w:color="auto"/>
      </w:divBdr>
    </w:div>
    <w:div w:id="1102645411">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72984248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ademy.itu.int/index.php?option=com_content&amp;view=article&amp;id=178&amp;Itemid=687&amp;lang=en"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TDAG23-C-0017/"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8A7C67D6-CEFE-4AFE-8EC3-4585BFEF5BAE}">
  <ds:schemaRefs>
    <ds:schemaRef ds:uri="http://www.w3.org/XML/1998/namespace"/>
    <ds:schemaRef ds:uri="http://purl.org/dc/dcmitype/"/>
    <ds:schemaRef ds:uri="http://schemas.microsoft.com/office/2006/documentManagement/types"/>
    <ds:schemaRef ds:uri="bc0480e9-89b5-4e04-9897-b8ef005e5e50"/>
    <ds:schemaRef ds:uri="http://purl.org/dc/terms/"/>
    <ds:schemaRef ds:uri="http://schemas.openxmlformats.org/package/2006/metadata/core-properties"/>
    <ds:schemaRef ds:uri="http://schemas.microsoft.com/office/2006/metadata/properties"/>
    <ds:schemaRef ds:uri="http://schemas.microsoft.com/office/infopath/2007/PartnerControls"/>
    <ds:schemaRef ds:uri="10bb021d-947f-43a0-81ba-2a21b0d60df9"/>
    <ds:schemaRef ds:uri="http://purl.org/dc/elements/1.1/"/>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AC89FAEA-7582-4BC9-B94E-9D83D4CB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2439</Words>
  <Characters>583</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3016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cp:lastModifiedBy>Kong, Hongli</cp:lastModifiedBy>
  <cp:revision>6</cp:revision>
  <cp:lastPrinted>2018-02-08T15:24:00Z</cp:lastPrinted>
  <dcterms:created xsi:type="dcterms:W3CDTF">2018-02-09T08:16:00Z</dcterms:created>
  <dcterms:modified xsi:type="dcterms:W3CDTF">2018-02-09T08:35:00Z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