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197169">
        <w:trPr>
          <w:cantSplit/>
          <w:trHeight w:val="1134"/>
        </w:trPr>
        <w:tc>
          <w:tcPr>
            <w:tcW w:w="6804" w:type="dxa"/>
          </w:tcPr>
          <w:p w:rsidR="001E252D" w:rsidRPr="001E252D" w:rsidRDefault="001E252D" w:rsidP="00B951D0">
            <w:pPr>
              <w:tabs>
                <w:tab w:val="clear" w:pos="1134"/>
              </w:tabs>
              <w:spacing w:before="20" w:after="48" w:line="240" w:lineRule="atLeast"/>
              <w:ind w:left="34"/>
              <w:rPr>
                <w:b/>
                <w:bCs/>
                <w:sz w:val="32"/>
                <w:szCs w:val="32"/>
              </w:rPr>
            </w:pPr>
            <w:r w:rsidRPr="001E252D">
              <w:rPr>
                <w:b/>
                <w:bCs/>
                <w:sz w:val="32"/>
                <w:szCs w:val="32"/>
              </w:rPr>
              <w:t>Telecommunication Development Advisory Group (TDAG)</w:t>
            </w:r>
          </w:p>
          <w:p w:rsidR="001E252D" w:rsidRPr="00421F93" w:rsidRDefault="001E252D" w:rsidP="00BC0382">
            <w:pPr>
              <w:tabs>
                <w:tab w:val="clear" w:pos="1134"/>
              </w:tabs>
              <w:spacing w:after="48" w:line="240" w:lineRule="atLeast"/>
              <w:ind w:left="34"/>
              <w:rPr>
                <w:b/>
                <w:bCs/>
                <w:sz w:val="28"/>
                <w:szCs w:val="28"/>
              </w:rPr>
            </w:pPr>
            <w:r>
              <w:rPr>
                <w:b/>
                <w:bCs/>
                <w:sz w:val="26"/>
                <w:szCs w:val="26"/>
              </w:rPr>
              <w:t>23</w:t>
            </w:r>
            <w:r w:rsidRPr="001E252D">
              <w:rPr>
                <w:b/>
                <w:bCs/>
                <w:sz w:val="26"/>
                <w:szCs w:val="26"/>
                <w:vertAlign w:val="superscript"/>
              </w:rPr>
              <w:t>rd</w:t>
            </w:r>
            <w:r>
              <w:rPr>
                <w:b/>
                <w:bCs/>
                <w:sz w:val="26"/>
                <w:szCs w:val="26"/>
              </w:rPr>
              <w:t xml:space="preserve"> Meeting, Geneva, 9-11 April 2018</w:t>
            </w:r>
          </w:p>
        </w:tc>
        <w:tc>
          <w:tcPr>
            <w:tcW w:w="3227" w:type="dxa"/>
          </w:tcPr>
          <w:p w:rsidR="001E252D" w:rsidRPr="00D96B4B" w:rsidRDefault="002B3C84" w:rsidP="00B951D0">
            <w:pPr>
              <w:spacing w:before="0" w:line="240" w:lineRule="atLeast"/>
              <w:jc w:val="right"/>
              <w:rPr>
                <w:rFonts w:cstheme="minorHAnsi"/>
              </w:rPr>
            </w:pPr>
            <w:bookmarkStart w:id="0" w:name="ditulogo"/>
            <w:bookmarkEnd w:id="0"/>
            <w:r w:rsidRPr="005D532E">
              <w:rPr>
                <w:noProof/>
                <w:lang w:eastAsia="zh-CN"/>
              </w:rPr>
              <w:drawing>
                <wp:inline distT="0" distB="0" distL="0" distR="0" wp14:anchorId="591A4FE9" wp14:editId="6178710A">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shd w:val="clear" w:color="auto" w:fill="auto"/>
          </w:tcPr>
          <w:p w:rsidR="00D83BF5" w:rsidRPr="00D96B4B"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E07105" w:rsidRDefault="00D83BF5" w:rsidP="004B65F4">
            <w:pPr>
              <w:tabs>
                <w:tab w:val="left" w:pos="851"/>
              </w:tabs>
              <w:spacing w:before="0" w:line="240" w:lineRule="atLeast"/>
              <w:rPr>
                <w:rFonts w:cstheme="minorHAnsi"/>
                <w:szCs w:val="24"/>
                <w:lang w:val="es-ES_tradnl"/>
              </w:rPr>
            </w:pPr>
            <w:proofErr w:type="spellStart"/>
            <w:r w:rsidRPr="0084734D">
              <w:rPr>
                <w:b/>
                <w:bCs/>
                <w:szCs w:val="24"/>
                <w:lang w:val="es-ES_tradnl"/>
              </w:rPr>
              <w:t>Document</w:t>
            </w:r>
            <w:proofErr w:type="spellEnd"/>
            <w:r w:rsidRPr="0084734D">
              <w:rPr>
                <w:b/>
                <w:bCs/>
                <w:szCs w:val="24"/>
                <w:lang w:val="es-ES_tradnl"/>
              </w:rPr>
              <w:t xml:space="preserve"> </w:t>
            </w:r>
            <w:bookmarkStart w:id="4" w:name="DocRef1"/>
            <w:bookmarkEnd w:id="4"/>
            <w:r w:rsidR="001E252D">
              <w:rPr>
                <w:b/>
                <w:bCs/>
                <w:szCs w:val="24"/>
                <w:lang w:val="es-ES_tradnl"/>
              </w:rPr>
              <w:t>TDAG-18</w:t>
            </w:r>
            <w:r w:rsidRPr="00147DA1">
              <w:rPr>
                <w:b/>
                <w:bCs/>
                <w:szCs w:val="24"/>
                <w:lang w:val="es-ES_tradnl"/>
              </w:rPr>
              <w:t>/</w:t>
            </w:r>
            <w:r w:rsidR="004B65F4">
              <w:rPr>
                <w:b/>
                <w:bCs/>
                <w:szCs w:val="24"/>
                <w:lang w:val="es-ES_tradnl"/>
              </w:rPr>
              <w:t>18</w:t>
            </w:r>
            <w:r w:rsidRPr="00147DA1">
              <w:rPr>
                <w:b/>
                <w:bCs/>
                <w:szCs w:val="24"/>
                <w:lang w:val="es-ES_tradnl"/>
              </w:rPr>
              <w:t>-E</w:t>
            </w:r>
          </w:p>
        </w:tc>
      </w:tr>
      <w:tr w:rsidR="00D83BF5" w:rsidRPr="00C324A8" w:rsidTr="00B951D0">
        <w:trPr>
          <w:cantSplit/>
          <w:trHeight w:val="23"/>
        </w:trPr>
        <w:tc>
          <w:tcPr>
            <w:tcW w:w="6804" w:type="dxa"/>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037A17" w:rsidP="00B951D0">
            <w:pPr>
              <w:spacing w:before="0" w:line="240" w:lineRule="atLeast"/>
              <w:rPr>
                <w:rFonts w:cstheme="minorHAnsi"/>
                <w:szCs w:val="24"/>
              </w:rPr>
            </w:pPr>
            <w:r>
              <w:rPr>
                <w:b/>
                <w:bCs/>
                <w:szCs w:val="24"/>
                <w:lang w:val="fr-FR"/>
              </w:rPr>
              <w:t>5</w:t>
            </w:r>
            <w:bookmarkStart w:id="7" w:name="_GoBack"/>
            <w:bookmarkEnd w:id="7"/>
            <w:r w:rsidR="00F02F00">
              <w:rPr>
                <w:b/>
                <w:bCs/>
                <w:szCs w:val="24"/>
                <w:lang w:val="fr-FR"/>
              </w:rPr>
              <w:t xml:space="preserve"> </w:t>
            </w:r>
            <w:proofErr w:type="spellStart"/>
            <w:r w:rsidR="00F02F00">
              <w:rPr>
                <w:b/>
                <w:bCs/>
                <w:szCs w:val="24"/>
                <w:lang w:val="fr-FR"/>
              </w:rPr>
              <w:t>February</w:t>
            </w:r>
            <w:proofErr w:type="spellEnd"/>
            <w:r w:rsidR="00F02F00">
              <w:rPr>
                <w:b/>
                <w:bCs/>
                <w:szCs w:val="24"/>
                <w:lang w:val="fr-FR"/>
              </w:rPr>
              <w:t xml:space="preserve"> 2018</w:t>
            </w:r>
          </w:p>
        </w:tc>
      </w:tr>
      <w:tr w:rsidR="00D83BF5" w:rsidRPr="00C324A8" w:rsidTr="00B951D0">
        <w:trPr>
          <w:cantSplit/>
          <w:trHeight w:val="23"/>
        </w:trPr>
        <w:tc>
          <w:tcPr>
            <w:tcW w:w="6804" w:type="dxa"/>
            <w:shd w:val="clear" w:color="auto" w:fill="auto"/>
          </w:tcPr>
          <w:p w:rsidR="00D83BF5" w:rsidRPr="00D96B4B" w:rsidRDefault="00D83BF5" w:rsidP="00B951D0">
            <w:pPr>
              <w:tabs>
                <w:tab w:val="left" w:pos="851"/>
              </w:tabs>
              <w:spacing w:before="0" w:line="240" w:lineRule="atLeast"/>
              <w:rPr>
                <w:rFonts w:cstheme="minorHAnsi"/>
                <w:szCs w:val="24"/>
              </w:rPr>
            </w:pPr>
            <w:bookmarkStart w:id="8" w:name="dbluepink" w:colFirst="0" w:colLast="0"/>
            <w:bookmarkStart w:id="9" w:name="dorlang" w:colFirst="1" w:colLast="1"/>
            <w:bookmarkEnd w:id="5"/>
            <w:bookmarkEnd w:id="6"/>
          </w:p>
        </w:tc>
        <w:tc>
          <w:tcPr>
            <w:tcW w:w="3227" w:type="dxa"/>
          </w:tcPr>
          <w:p w:rsidR="00D83BF5" w:rsidRPr="00D96B4B" w:rsidRDefault="00D83BF5" w:rsidP="00B951D0">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00D83BF5" w:rsidRPr="00C324A8" w:rsidTr="007F735C">
        <w:trPr>
          <w:cantSplit/>
          <w:trHeight w:val="23"/>
        </w:trPr>
        <w:tc>
          <w:tcPr>
            <w:tcW w:w="10031" w:type="dxa"/>
            <w:gridSpan w:val="2"/>
            <w:shd w:val="clear" w:color="auto" w:fill="auto"/>
          </w:tcPr>
          <w:p w:rsidR="00D83BF5" w:rsidRPr="00D83BF5" w:rsidRDefault="009E283B" w:rsidP="009E283B">
            <w:pPr>
              <w:pStyle w:val="Source"/>
              <w:spacing w:before="240" w:after="240"/>
            </w:pPr>
            <w:r>
              <w:t>Report by the Director of BDT</w:t>
            </w:r>
          </w:p>
        </w:tc>
      </w:tr>
      <w:tr w:rsidR="00D83BF5" w:rsidRPr="00C324A8" w:rsidTr="007F735C">
        <w:trPr>
          <w:cantSplit/>
          <w:trHeight w:val="23"/>
        </w:trPr>
        <w:tc>
          <w:tcPr>
            <w:tcW w:w="10031" w:type="dxa"/>
            <w:gridSpan w:val="2"/>
            <w:shd w:val="clear" w:color="auto" w:fill="auto"/>
            <w:vAlign w:val="center"/>
          </w:tcPr>
          <w:p w:rsidR="00D83BF5" w:rsidRDefault="009E283B" w:rsidP="009E283B">
            <w:pPr>
              <w:pStyle w:val="Title1"/>
              <w:spacing w:before="120" w:after="120"/>
            </w:pPr>
            <w:r>
              <w:rPr>
                <w:szCs w:val="28"/>
              </w:rPr>
              <w:t>capacity building activities</w:t>
            </w:r>
          </w:p>
        </w:tc>
      </w:tr>
      <w:tr w:rsidR="00D83BF5" w:rsidRPr="00C324A8" w:rsidTr="00B951D0">
        <w:trPr>
          <w:cantSplit/>
          <w:trHeight w:val="23"/>
        </w:trPr>
        <w:tc>
          <w:tcPr>
            <w:tcW w:w="10031" w:type="dxa"/>
            <w:gridSpan w:val="2"/>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rPr>
            </w:pPr>
          </w:p>
        </w:tc>
      </w:tr>
      <w:tr w:rsidR="001E252D" w:rsidRPr="00C324A8"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1E252D" w:rsidRPr="008A3933" w:rsidRDefault="001E252D" w:rsidP="00064F8C">
            <w:pPr>
              <w:rPr>
                <w:b/>
                <w:bCs/>
                <w:szCs w:val="24"/>
              </w:rPr>
            </w:pPr>
            <w:r w:rsidRPr="00D9621A">
              <w:rPr>
                <w:b/>
                <w:bCs/>
                <w:szCs w:val="24"/>
              </w:rPr>
              <w:t>Summary:</w:t>
            </w:r>
          </w:p>
          <w:p w:rsidR="001E252D" w:rsidRPr="00D9621A" w:rsidRDefault="00A23978" w:rsidP="002D7D06">
            <w:pPr>
              <w:rPr>
                <w:szCs w:val="24"/>
              </w:rPr>
            </w:pPr>
            <w:r>
              <w:rPr>
                <w:szCs w:val="24"/>
              </w:rPr>
              <w:t>This docum</w:t>
            </w:r>
            <w:r w:rsidR="00DA6D8E">
              <w:rPr>
                <w:szCs w:val="24"/>
              </w:rPr>
              <w:t xml:space="preserve">ent provides an overview of </w:t>
            </w:r>
            <w:r>
              <w:rPr>
                <w:szCs w:val="24"/>
              </w:rPr>
              <w:t xml:space="preserve">key BDT capacity building </w:t>
            </w:r>
            <w:proofErr w:type="spellStart"/>
            <w:r>
              <w:rPr>
                <w:szCs w:val="24"/>
              </w:rPr>
              <w:t>activites</w:t>
            </w:r>
            <w:proofErr w:type="spellEnd"/>
            <w:r>
              <w:rPr>
                <w:szCs w:val="24"/>
              </w:rPr>
              <w:t xml:space="preserve"> carried out over the past year under the framework of the ITU Academy, </w:t>
            </w:r>
            <w:r w:rsidR="002D7D06">
              <w:rPr>
                <w:szCs w:val="24"/>
              </w:rPr>
              <w:t>including</w:t>
            </w:r>
            <w:r>
              <w:rPr>
                <w:szCs w:val="24"/>
              </w:rPr>
              <w:t xml:space="preserve"> the </w:t>
            </w:r>
            <w:r w:rsidR="003B015D">
              <w:rPr>
                <w:szCs w:val="24"/>
              </w:rPr>
              <w:t xml:space="preserve">development and delivery of training, the work of the </w:t>
            </w:r>
            <w:proofErr w:type="spellStart"/>
            <w:r>
              <w:rPr>
                <w:szCs w:val="24"/>
              </w:rPr>
              <w:t>Centers</w:t>
            </w:r>
            <w:proofErr w:type="spellEnd"/>
            <w:r>
              <w:rPr>
                <w:szCs w:val="24"/>
              </w:rPr>
              <w:t xml:space="preserve"> of Excellence network, the ITU publication “</w:t>
            </w:r>
            <w:r w:rsidRPr="00646C4A">
              <w:rPr>
                <w:lang w:val="en-US"/>
              </w:rPr>
              <w:t>Capacity Building in a Changing ICT Environment</w:t>
            </w:r>
            <w:r>
              <w:rPr>
                <w:lang w:val="en-US"/>
              </w:rPr>
              <w:t>”</w:t>
            </w:r>
            <w:r w:rsidR="00FD2594">
              <w:rPr>
                <w:lang w:val="en-US"/>
              </w:rPr>
              <w:t>,</w:t>
            </w:r>
            <w:r>
              <w:rPr>
                <w:lang w:val="en-US"/>
              </w:rPr>
              <w:t xml:space="preserve"> </w:t>
            </w:r>
            <w:r w:rsidR="003B015D">
              <w:rPr>
                <w:lang w:val="en-US"/>
              </w:rPr>
              <w:t xml:space="preserve">and </w:t>
            </w:r>
            <w:r>
              <w:rPr>
                <w:lang w:val="en-US"/>
              </w:rPr>
              <w:t xml:space="preserve">the </w:t>
            </w:r>
            <w:r w:rsidR="000B2A98">
              <w:rPr>
                <w:lang w:val="en-US"/>
              </w:rPr>
              <w:t>I</w:t>
            </w:r>
            <w:r w:rsidRPr="00D36E63">
              <w:rPr>
                <w:lang w:val="en-US"/>
              </w:rPr>
              <w:t>TU-Academia Partnership Meeting</w:t>
            </w:r>
            <w:r>
              <w:rPr>
                <w:lang w:val="en-US"/>
              </w:rPr>
              <w:t xml:space="preserve"> held in September 2017 in Budapest, Hungary. </w:t>
            </w:r>
            <w:r w:rsidR="002D7D06">
              <w:rPr>
                <w:lang w:val="en-US"/>
              </w:rPr>
              <w:t>It also summarizes WTDC-17 outcomes with respect to capacity building.</w:t>
            </w:r>
          </w:p>
          <w:p w:rsidR="001E252D" w:rsidRPr="00D9621A" w:rsidRDefault="001E252D" w:rsidP="008A3933">
            <w:pPr>
              <w:rPr>
                <w:b/>
                <w:bCs/>
                <w:szCs w:val="24"/>
              </w:rPr>
            </w:pPr>
            <w:r w:rsidRPr="005E090D">
              <w:rPr>
                <w:b/>
                <w:bCs/>
              </w:rPr>
              <w:t>Action required</w:t>
            </w:r>
            <w:r w:rsidR="008A3933">
              <w:rPr>
                <w:b/>
                <w:bCs/>
              </w:rPr>
              <w:t>:</w:t>
            </w:r>
          </w:p>
          <w:p w:rsidR="001E252D" w:rsidRPr="00D9621A" w:rsidRDefault="00A23978" w:rsidP="001E252D">
            <w:pPr>
              <w:rPr>
                <w:szCs w:val="24"/>
              </w:rPr>
            </w:pPr>
            <w:r w:rsidRPr="00247F58">
              <w:t>TDAG is invited to note this report and provide guidance as deemed appropriate</w:t>
            </w:r>
            <w:r>
              <w:t>.</w:t>
            </w:r>
          </w:p>
          <w:p w:rsidR="001E252D" w:rsidRPr="00D9621A" w:rsidRDefault="001E252D" w:rsidP="008A3933">
            <w:pPr>
              <w:rPr>
                <w:b/>
                <w:bCs/>
                <w:szCs w:val="24"/>
              </w:rPr>
            </w:pPr>
            <w:r w:rsidRPr="00D9621A">
              <w:rPr>
                <w:b/>
                <w:bCs/>
                <w:szCs w:val="24"/>
              </w:rPr>
              <w:t>References</w:t>
            </w:r>
            <w:r w:rsidR="008A3933">
              <w:rPr>
                <w:b/>
                <w:bCs/>
                <w:szCs w:val="24"/>
              </w:rPr>
              <w:t>:</w:t>
            </w:r>
          </w:p>
          <w:p w:rsidR="001E252D" w:rsidRDefault="00A23978" w:rsidP="00A23978">
            <w:r>
              <w:t>Buenos Aires Action Plan, Objective 3, Output 3.3</w:t>
            </w:r>
          </w:p>
          <w:p w:rsidR="002D7D06" w:rsidRDefault="002D7D06" w:rsidP="002D7D06">
            <w:r>
              <w:t>WTDC Resolution 40 (Rev. Buenos Aires, 2017), on the Group on Capacity Building Initiatives</w:t>
            </w:r>
          </w:p>
          <w:p w:rsidR="002D7D06" w:rsidRDefault="002D7D06" w:rsidP="002D7D06">
            <w:r>
              <w:t>WTDC-14 Resolution 73 (Rev. Buenos Aires, 2017), on ITU Centres of Excellence</w:t>
            </w:r>
          </w:p>
          <w:p w:rsidR="00CD7608" w:rsidRPr="00D9621A" w:rsidRDefault="00CD7608" w:rsidP="00C52F87">
            <w:pPr>
              <w:spacing w:after="120"/>
            </w:pPr>
            <w:r>
              <w:t>PP Resolution 169 (Rev. Busan, 2014) on admission of Academia to participate in the work of the ITU</w:t>
            </w:r>
          </w:p>
        </w:tc>
      </w:tr>
      <w:bookmarkEnd w:id="8"/>
      <w:bookmarkEnd w:id="9"/>
    </w:tbl>
    <w:p w:rsidR="00064F8C" w:rsidRDefault="00064F8C">
      <w:pPr>
        <w:tabs>
          <w:tab w:val="clear" w:pos="1134"/>
          <w:tab w:val="clear" w:pos="1871"/>
          <w:tab w:val="clear" w:pos="2268"/>
        </w:tabs>
        <w:overflowPunct/>
        <w:autoSpaceDE/>
        <w:autoSpaceDN/>
        <w:adjustRightInd/>
        <w:spacing w:before="360"/>
        <w:textAlignment w:val="auto"/>
        <w:rPr>
          <w:szCs w:val="24"/>
        </w:rPr>
      </w:pPr>
    </w:p>
    <w:p w:rsidR="00064F8C" w:rsidRDefault="00064F8C">
      <w:pPr>
        <w:tabs>
          <w:tab w:val="clear" w:pos="1134"/>
          <w:tab w:val="clear" w:pos="1871"/>
          <w:tab w:val="clear" w:pos="2268"/>
        </w:tabs>
        <w:overflowPunct/>
        <w:autoSpaceDE/>
        <w:autoSpaceDN/>
        <w:adjustRightInd/>
        <w:spacing w:before="0"/>
        <w:textAlignment w:val="auto"/>
        <w:rPr>
          <w:szCs w:val="24"/>
        </w:rPr>
      </w:pPr>
      <w:r>
        <w:rPr>
          <w:szCs w:val="24"/>
        </w:rPr>
        <w:br w:type="page"/>
      </w:r>
    </w:p>
    <w:p w:rsidR="00D36E63" w:rsidRDefault="006F31B7">
      <w:pPr>
        <w:tabs>
          <w:tab w:val="clear" w:pos="1134"/>
          <w:tab w:val="clear" w:pos="1871"/>
          <w:tab w:val="clear" w:pos="2268"/>
        </w:tabs>
        <w:overflowPunct/>
        <w:autoSpaceDE/>
        <w:autoSpaceDN/>
        <w:adjustRightInd/>
        <w:spacing w:before="360"/>
        <w:textAlignment w:val="auto"/>
        <w:rPr>
          <w:szCs w:val="24"/>
        </w:rPr>
      </w:pPr>
      <w:r>
        <w:rPr>
          <w:szCs w:val="24"/>
        </w:rPr>
        <w:lastRenderedPageBreak/>
        <w:t>Under the framework of the ITU Academy, BDT has carried out a number of capacity building activities, which contributed to the strengthening of human skills and the enhancement of knowledge in the field of telecommunication/ICT</w:t>
      </w:r>
      <w:r w:rsidR="00BB6218">
        <w:rPr>
          <w:szCs w:val="24"/>
        </w:rPr>
        <w:t xml:space="preserve"> among the ITU membership</w:t>
      </w:r>
      <w:r>
        <w:rPr>
          <w:szCs w:val="24"/>
        </w:rPr>
        <w:t>.</w:t>
      </w:r>
    </w:p>
    <w:p w:rsidR="003B015D" w:rsidRPr="006F31B7" w:rsidRDefault="003B015D" w:rsidP="00777B64">
      <w:pPr>
        <w:keepNext/>
        <w:rPr>
          <w:b/>
          <w:bCs/>
          <w:lang w:val="en-US"/>
        </w:rPr>
      </w:pPr>
      <w:r w:rsidRPr="006F31B7">
        <w:rPr>
          <w:b/>
          <w:bCs/>
          <w:lang w:val="en-US"/>
        </w:rPr>
        <w:t xml:space="preserve">Development and delivery of training </w:t>
      </w:r>
      <w:r w:rsidR="00AD01FD">
        <w:rPr>
          <w:b/>
          <w:bCs/>
          <w:lang w:val="en-US"/>
        </w:rPr>
        <w:t>courses</w:t>
      </w:r>
    </w:p>
    <w:p w:rsidR="001C0D19" w:rsidRDefault="001C0D19" w:rsidP="00777B64">
      <w:pPr>
        <w:tabs>
          <w:tab w:val="clear" w:pos="1134"/>
          <w:tab w:val="clear" w:pos="1871"/>
          <w:tab w:val="clear" w:pos="2268"/>
        </w:tabs>
        <w:overflowPunct/>
        <w:autoSpaceDE/>
        <w:autoSpaceDN/>
        <w:adjustRightInd/>
        <w:textAlignment w:val="auto"/>
        <w:rPr>
          <w:szCs w:val="24"/>
          <w:lang w:val="en-US"/>
        </w:rPr>
      </w:pPr>
      <w:r>
        <w:rPr>
          <w:szCs w:val="24"/>
          <w:lang w:val="en-US"/>
        </w:rPr>
        <w:t>Capacity building activities are delivered in close collaboration with partners, including Centers of Excellence (</w:t>
      </w:r>
      <w:proofErr w:type="spellStart"/>
      <w:r>
        <w:rPr>
          <w:szCs w:val="24"/>
          <w:lang w:val="en-US"/>
        </w:rPr>
        <w:t>CoEs</w:t>
      </w:r>
      <w:proofErr w:type="spellEnd"/>
      <w:r>
        <w:rPr>
          <w:szCs w:val="24"/>
          <w:lang w:val="en-US"/>
        </w:rPr>
        <w:t xml:space="preserve">), the private sector, academia and other training institutions. </w:t>
      </w:r>
    </w:p>
    <w:p w:rsidR="001C0D19" w:rsidRDefault="001C0D19" w:rsidP="00C1782F">
      <w:pPr>
        <w:tabs>
          <w:tab w:val="clear" w:pos="1134"/>
          <w:tab w:val="clear" w:pos="1871"/>
          <w:tab w:val="clear" w:pos="2268"/>
        </w:tabs>
        <w:overflowPunct/>
        <w:autoSpaceDE/>
        <w:autoSpaceDN/>
        <w:adjustRightInd/>
        <w:textAlignment w:val="auto"/>
        <w:rPr>
          <w:szCs w:val="24"/>
          <w:lang w:val="en-US"/>
        </w:rPr>
      </w:pPr>
      <w:r>
        <w:rPr>
          <w:szCs w:val="24"/>
          <w:lang w:val="en-US"/>
        </w:rPr>
        <w:t xml:space="preserve">In 2017, more than </w:t>
      </w:r>
      <w:r w:rsidR="00777B64" w:rsidRPr="00364383">
        <w:rPr>
          <w:szCs w:val="24"/>
          <w:lang w:val="en-US"/>
        </w:rPr>
        <w:t>1</w:t>
      </w:r>
      <w:r w:rsidR="00777B64">
        <w:rPr>
          <w:szCs w:val="24"/>
          <w:lang w:val="en-US"/>
        </w:rPr>
        <w:t> </w:t>
      </w:r>
      <w:r w:rsidR="00777B64" w:rsidRPr="00364383">
        <w:rPr>
          <w:szCs w:val="24"/>
          <w:lang w:val="en-US"/>
        </w:rPr>
        <w:t>5</w:t>
      </w:r>
      <w:r w:rsidR="00777B64">
        <w:rPr>
          <w:szCs w:val="24"/>
          <w:lang w:val="en-US"/>
        </w:rPr>
        <w:t>00</w:t>
      </w:r>
      <w:r w:rsidR="00777B64" w:rsidRPr="00364383">
        <w:rPr>
          <w:szCs w:val="24"/>
          <w:lang w:val="en-US"/>
        </w:rPr>
        <w:t xml:space="preserve"> </w:t>
      </w:r>
      <w:r w:rsidRPr="00364383">
        <w:rPr>
          <w:szCs w:val="24"/>
          <w:lang w:val="en-US"/>
        </w:rPr>
        <w:t xml:space="preserve">participants </w:t>
      </w:r>
      <w:r>
        <w:rPr>
          <w:szCs w:val="24"/>
          <w:lang w:val="en-US"/>
        </w:rPr>
        <w:t xml:space="preserve">from </w:t>
      </w:r>
      <w:r w:rsidR="00777B64">
        <w:rPr>
          <w:szCs w:val="24"/>
          <w:lang w:val="en-US"/>
        </w:rPr>
        <w:t>116 </w:t>
      </w:r>
      <w:r>
        <w:rPr>
          <w:szCs w:val="24"/>
          <w:lang w:val="en-US"/>
        </w:rPr>
        <w:t xml:space="preserve">countries </w:t>
      </w:r>
      <w:r w:rsidRPr="00364383">
        <w:rPr>
          <w:szCs w:val="24"/>
          <w:lang w:val="en-US"/>
        </w:rPr>
        <w:t xml:space="preserve">were trained through </w:t>
      </w:r>
      <w:r w:rsidR="00B93621">
        <w:rPr>
          <w:szCs w:val="24"/>
          <w:lang w:val="en-US"/>
        </w:rPr>
        <w:t>64</w:t>
      </w:r>
      <w:r w:rsidR="00C1782F">
        <w:rPr>
          <w:szCs w:val="24"/>
          <w:lang w:val="en-US"/>
        </w:rPr>
        <w:t> </w:t>
      </w:r>
      <w:r w:rsidRPr="00364383">
        <w:rPr>
          <w:szCs w:val="24"/>
          <w:lang w:val="en-US"/>
        </w:rPr>
        <w:t xml:space="preserve">courses delivered by the </w:t>
      </w:r>
      <w:proofErr w:type="spellStart"/>
      <w:r w:rsidRPr="00364383">
        <w:rPr>
          <w:szCs w:val="24"/>
          <w:lang w:val="en-US"/>
        </w:rPr>
        <w:t>CoE</w:t>
      </w:r>
      <w:proofErr w:type="spellEnd"/>
      <w:r w:rsidRPr="00364383">
        <w:rPr>
          <w:szCs w:val="24"/>
          <w:lang w:val="en-US"/>
        </w:rPr>
        <w:t xml:space="preserve"> network</w:t>
      </w:r>
      <w:r>
        <w:rPr>
          <w:szCs w:val="24"/>
          <w:lang w:val="en-US"/>
        </w:rPr>
        <w:t xml:space="preserve"> and </w:t>
      </w:r>
      <w:r w:rsidR="00777B64" w:rsidRPr="00364383">
        <w:rPr>
          <w:szCs w:val="24"/>
          <w:lang w:val="en-US"/>
        </w:rPr>
        <w:t>28</w:t>
      </w:r>
      <w:r w:rsidR="00777B64">
        <w:rPr>
          <w:szCs w:val="24"/>
          <w:lang w:val="en-US"/>
        </w:rPr>
        <w:t> </w:t>
      </w:r>
      <w:r w:rsidRPr="00364383">
        <w:rPr>
          <w:szCs w:val="24"/>
          <w:lang w:val="en-US"/>
        </w:rPr>
        <w:t xml:space="preserve">regional capacity building events were organized, attended by </w:t>
      </w:r>
      <w:r>
        <w:rPr>
          <w:szCs w:val="24"/>
          <w:lang w:val="en-US"/>
        </w:rPr>
        <w:t xml:space="preserve">around </w:t>
      </w:r>
      <w:r w:rsidR="00777B64">
        <w:rPr>
          <w:szCs w:val="24"/>
          <w:lang w:val="en-US"/>
        </w:rPr>
        <w:t xml:space="preserve">1 300 </w:t>
      </w:r>
      <w:r w:rsidRPr="00364383">
        <w:rPr>
          <w:szCs w:val="24"/>
          <w:lang w:val="en-US"/>
        </w:rPr>
        <w:t>pa</w:t>
      </w:r>
      <w:r>
        <w:rPr>
          <w:szCs w:val="24"/>
          <w:lang w:val="en-US"/>
        </w:rPr>
        <w:t>r</w:t>
      </w:r>
      <w:r w:rsidRPr="00364383">
        <w:rPr>
          <w:szCs w:val="24"/>
          <w:lang w:val="en-US"/>
        </w:rPr>
        <w:t>ticipants</w:t>
      </w:r>
      <w:r w:rsidR="00B93621">
        <w:rPr>
          <w:szCs w:val="24"/>
          <w:lang w:val="en-US"/>
        </w:rPr>
        <w:t xml:space="preserve">, covering the following main areas: policy and regulation, broadband access, cybersecurity, ICT applications and services, spectrum management, Internet governance, digital broadcasting, conformance and interoperability, cloud computing, quality of service and e-waste. </w:t>
      </w:r>
    </w:p>
    <w:p w:rsidR="001C0D19" w:rsidRDefault="001C0D19">
      <w:pPr>
        <w:tabs>
          <w:tab w:val="clear" w:pos="1134"/>
          <w:tab w:val="clear" w:pos="1871"/>
          <w:tab w:val="clear" w:pos="2268"/>
        </w:tabs>
        <w:overflowPunct/>
        <w:autoSpaceDE/>
        <w:autoSpaceDN/>
        <w:adjustRightInd/>
        <w:textAlignment w:val="auto"/>
        <w:rPr>
          <w:szCs w:val="24"/>
          <w:lang w:val="en-US"/>
        </w:rPr>
      </w:pPr>
      <w:r>
        <w:rPr>
          <w:szCs w:val="24"/>
          <w:lang w:val="en-US"/>
        </w:rPr>
        <w:t xml:space="preserve">Under the framework of the ITU Academy, BDT has developed high-quality, comprehensive training </w:t>
      </w:r>
      <w:proofErr w:type="spellStart"/>
      <w:r>
        <w:rPr>
          <w:szCs w:val="24"/>
          <w:lang w:val="en-US"/>
        </w:rPr>
        <w:t>programmes</w:t>
      </w:r>
      <w:proofErr w:type="spellEnd"/>
      <w:r>
        <w:rPr>
          <w:szCs w:val="24"/>
          <w:lang w:val="en-US"/>
        </w:rPr>
        <w:t xml:space="preserve">. These training resources </w:t>
      </w:r>
      <w:r w:rsidR="009107DC">
        <w:rPr>
          <w:szCs w:val="24"/>
          <w:lang w:val="en-US"/>
        </w:rPr>
        <w:t>are developed and peer-</w:t>
      </w:r>
      <w:r w:rsidRPr="001C0D19">
        <w:rPr>
          <w:szCs w:val="24"/>
          <w:lang w:val="en-US"/>
        </w:rPr>
        <w:t xml:space="preserve">reviewed by experts from ITU, academic scholars and other experts, to ensure they meet the highest levels of quality and </w:t>
      </w:r>
      <w:r>
        <w:rPr>
          <w:szCs w:val="24"/>
          <w:lang w:val="en-US"/>
        </w:rPr>
        <w:t>are</w:t>
      </w:r>
      <w:r w:rsidRPr="001C0D19">
        <w:rPr>
          <w:szCs w:val="24"/>
          <w:lang w:val="en-US"/>
        </w:rPr>
        <w:t xml:space="preserve"> conform to ITU standards.</w:t>
      </w:r>
      <w:r>
        <w:rPr>
          <w:szCs w:val="24"/>
          <w:lang w:val="en-US"/>
        </w:rPr>
        <w:t xml:space="preserve"> Over the past year, training </w:t>
      </w:r>
      <w:proofErr w:type="spellStart"/>
      <w:r>
        <w:rPr>
          <w:szCs w:val="24"/>
          <w:lang w:val="en-US"/>
        </w:rPr>
        <w:t>programmes</w:t>
      </w:r>
      <w:proofErr w:type="spellEnd"/>
      <w:r>
        <w:rPr>
          <w:szCs w:val="24"/>
          <w:lang w:val="en-US"/>
        </w:rPr>
        <w:t xml:space="preserve"> o</w:t>
      </w:r>
      <w:r w:rsidR="006402F1">
        <w:rPr>
          <w:szCs w:val="24"/>
          <w:lang w:val="en-US"/>
        </w:rPr>
        <w:t xml:space="preserve">n </w:t>
      </w:r>
      <w:r>
        <w:rPr>
          <w:szCs w:val="24"/>
          <w:lang w:val="en-US"/>
        </w:rPr>
        <w:t xml:space="preserve">the following topics were updated, finalized or </w:t>
      </w:r>
      <w:r w:rsidR="006402F1">
        <w:rPr>
          <w:szCs w:val="24"/>
          <w:lang w:val="en-US"/>
        </w:rPr>
        <w:t>being started: spectrum management, quality of service, ICT and climate change</w:t>
      </w:r>
      <w:r w:rsidR="00F15F38">
        <w:rPr>
          <w:szCs w:val="24"/>
          <w:lang w:val="en-US"/>
        </w:rPr>
        <w:t>, Internet of Things (</w:t>
      </w:r>
      <w:proofErr w:type="spellStart"/>
      <w:r w:rsidR="00F15F38">
        <w:rPr>
          <w:szCs w:val="24"/>
          <w:lang w:val="en-US"/>
        </w:rPr>
        <w:t>IoT</w:t>
      </w:r>
      <w:proofErr w:type="spellEnd"/>
      <w:r w:rsidR="00F15F38">
        <w:rPr>
          <w:szCs w:val="24"/>
          <w:lang w:val="en-US"/>
        </w:rPr>
        <w:t>)</w:t>
      </w:r>
      <w:r w:rsidR="006402F1">
        <w:rPr>
          <w:szCs w:val="24"/>
          <w:lang w:val="en-US"/>
        </w:rPr>
        <w:t xml:space="preserve"> and Internet governance. </w:t>
      </w:r>
    </w:p>
    <w:p w:rsidR="00D36E63" w:rsidRPr="00D97061" w:rsidRDefault="00D36E63" w:rsidP="00777B64">
      <w:pPr>
        <w:keepNext/>
        <w:rPr>
          <w:b/>
          <w:bCs/>
          <w:lang w:val="en-US"/>
        </w:rPr>
      </w:pPr>
      <w:r w:rsidRPr="00D97061">
        <w:rPr>
          <w:b/>
          <w:bCs/>
          <w:lang w:val="en-US"/>
        </w:rPr>
        <w:t>Centers of Excellence network</w:t>
      </w:r>
    </w:p>
    <w:p w:rsidR="00D36E63" w:rsidRDefault="003E1D04" w:rsidP="00777B64">
      <w:pPr>
        <w:rPr>
          <w:lang w:val="en-US"/>
        </w:rPr>
      </w:pPr>
      <w:r>
        <w:rPr>
          <w:lang w:val="en-US"/>
        </w:rPr>
        <w:t>The Centers of Excellence (</w:t>
      </w:r>
      <w:proofErr w:type="spellStart"/>
      <w:r>
        <w:rPr>
          <w:lang w:val="en-US"/>
        </w:rPr>
        <w:t>CoEs</w:t>
      </w:r>
      <w:proofErr w:type="spellEnd"/>
      <w:r>
        <w:rPr>
          <w:lang w:val="en-US"/>
        </w:rPr>
        <w:t xml:space="preserve">) </w:t>
      </w:r>
      <w:r w:rsidR="00DA6D8E">
        <w:rPr>
          <w:lang w:val="en-US"/>
        </w:rPr>
        <w:t>network is</w:t>
      </w:r>
      <w:r>
        <w:rPr>
          <w:lang w:val="en-US"/>
        </w:rPr>
        <w:t xml:space="preserve"> the main channel of training delivery unde</w:t>
      </w:r>
      <w:r w:rsidR="00052F77">
        <w:rPr>
          <w:lang w:val="en-US"/>
        </w:rPr>
        <w:t>r</w:t>
      </w:r>
      <w:r>
        <w:rPr>
          <w:lang w:val="en-US"/>
        </w:rPr>
        <w:t xml:space="preserve"> the ITU Academy. Over the past year, the </w:t>
      </w:r>
      <w:proofErr w:type="spellStart"/>
      <w:r>
        <w:rPr>
          <w:lang w:val="en-US"/>
        </w:rPr>
        <w:t>CoE</w:t>
      </w:r>
      <w:proofErr w:type="spellEnd"/>
      <w:r>
        <w:rPr>
          <w:lang w:val="en-US"/>
        </w:rPr>
        <w:t xml:space="preserve"> network has continued to enhance capacities among policy makers, regulators, operators and other beneficiaries in a wide range of ICT-related ar</w:t>
      </w:r>
      <w:r w:rsidR="009B0928">
        <w:rPr>
          <w:lang w:val="en-US"/>
        </w:rPr>
        <w:t>eas, ranging from cybersecurity</w:t>
      </w:r>
      <w:r w:rsidR="006E69F9">
        <w:rPr>
          <w:lang w:val="en-US"/>
        </w:rPr>
        <w:t>, broadband infrastructure</w:t>
      </w:r>
      <w:r w:rsidR="009B0928">
        <w:rPr>
          <w:lang w:val="en-US"/>
        </w:rPr>
        <w:t xml:space="preserve"> and</w:t>
      </w:r>
      <w:r>
        <w:rPr>
          <w:lang w:val="en-US"/>
        </w:rPr>
        <w:t xml:space="preserve"> </w:t>
      </w:r>
      <w:r w:rsidR="00052F77">
        <w:rPr>
          <w:lang w:val="en-US"/>
        </w:rPr>
        <w:t xml:space="preserve">spectrum management, to </w:t>
      </w:r>
      <w:r w:rsidR="009B0928">
        <w:rPr>
          <w:lang w:val="en-US"/>
        </w:rPr>
        <w:t xml:space="preserve">ICT policy, </w:t>
      </w:r>
      <w:r w:rsidR="00052F77">
        <w:rPr>
          <w:lang w:val="en-US"/>
        </w:rPr>
        <w:t>applications and services</w:t>
      </w:r>
      <w:r>
        <w:rPr>
          <w:lang w:val="en-US"/>
        </w:rPr>
        <w:t xml:space="preserve">. </w:t>
      </w:r>
    </w:p>
    <w:p w:rsidR="00C342C7" w:rsidRDefault="00C342C7">
      <w:pPr>
        <w:rPr>
          <w:lang w:val="en-US"/>
        </w:rPr>
      </w:pPr>
      <w:r>
        <w:rPr>
          <w:lang w:val="en-US"/>
        </w:rPr>
        <w:t xml:space="preserve">The </w:t>
      </w:r>
      <w:r w:rsidR="00753735">
        <w:rPr>
          <w:lang w:val="en-US"/>
        </w:rPr>
        <w:t xml:space="preserve">current </w:t>
      </w:r>
      <w:proofErr w:type="spellStart"/>
      <w:r>
        <w:rPr>
          <w:lang w:val="en-US"/>
        </w:rPr>
        <w:t>CoE</w:t>
      </w:r>
      <w:proofErr w:type="spellEnd"/>
      <w:r>
        <w:rPr>
          <w:lang w:val="en-US"/>
        </w:rPr>
        <w:t xml:space="preserve"> network is now entering into its final </w:t>
      </w:r>
      <w:r w:rsidR="00753735">
        <w:rPr>
          <w:lang w:val="en-US"/>
        </w:rPr>
        <w:t xml:space="preserve">year, with the 2015-2018 cycle coming to an end in December 2018. </w:t>
      </w:r>
      <w:r w:rsidR="00AE0F0E">
        <w:rPr>
          <w:lang w:val="en-US"/>
        </w:rPr>
        <w:t>The fo</w:t>
      </w:r>
      <w:r w:rsidR="00777B64">
        <w:rPr>
          <w:lang w:val="en-US"/>
        </w:rPr>
        <w:t>u</w:t>
      </w:r>
      <w:r w:rsidR="00AE0F0E">
        <w:rPr>
          <w:lang w:val="en-US"/>
        </w:rPr>
        <w:t xml:space="preserve">rth round of </w:t>
      </w:r>
      <w:proofErr w:type="spellStart"/>
      <w:r w:rsidR="00AE0F0E">
        <w:rPr>
          <w:lang w:val="en-US"/>
        </w:rPr>
        <w:t>CoE</w:t>
      </w:r>
      <w:proofErr w:type="spellEnd"/>
      <w:r w:rsidR="00AE0F0E">
        <w:rPr>
          <w:lang w:val="en-US"/>
        </w:rPr>
        <w:t xml:space="preserve"> Steering Committee meetings under the current cycle was held between November and December 2017. The meetings reviewed the </w:t>
      </w:r>
      <w:r w:rsidR="00357DA9">
        <w:rPr>
          <w:lang w:val="en-US"/>
        </w:rPr>
        <w:t>performance of the network</w:t>
      </w:r>
      <w:r w:rsidR="00AE0F0E">
        <w:rPr>
          <w:lang w:val="en-US"/>
        </w:rPr>
        <w:t xml:space="preserve">, discussed </w:t>
      </w:r>
      <w:r w:rsidR="00357DA9">
        <w:rPr>
          <w:lang w:val="en-US"/>
        </w:rPr>
        <w:t xml:space="preserve">ways of </w:t>
      </w:r>
      <w:r w:rsidR="00777B64">
        <w:rPr>
          <w:lang w:val="en-US"/>
        </w:rPr>
        <w:t xml:space="preserve">improving </w:t>
      </w:r>
      <w:r w:rsidR="00357DA9">
        <w:rPr>
          <w:lang w:val="en-US"/>
        </w:rPr>
        <w:t xml:space="preserve">and decided on the training activities for 2018. </w:t>
      </w:r>
      <w:r w:rsidR="00753735">
        <w:rPr>
          <w:lang w:val="en-US"/>
        </w:rPr>
        <w:t xml:space="preserve">Preparations for the new cycle (2019-2022) are </w:t>
      </w:r>
      <w:r w:rsidR="00052F77">
        <w:rPr>
          <w:lang w:val="en-US"/>
        </w:rPr>
        <w:t>under way</w:t>
      </w:r>
      <w:r w:rsidR="00753735">
        <w:rPr>
          <w:lang w:val="en-US"/>
        </w:rPr>
        <w:t xml:space="preserve"> and, following the outcomes of WTDC</w:t>
      </w:r>
      <w:r w:rsidR="00777B64">
        <w:rPr>
          <w:lang w:val="en-US"/>
        </w:rPr>
        <w:t>-</w:t>
      </w:r>
      <w:r w:rsidR="00753735">
        <w:rPr>
          <w:lang w:val="en-US"/>
        </w:rPr>
        <w:t xml:space="preserve">17, BDT has reviewed the strategy and operational processes and procedures guiding the </w:t>
      </w:r>
      <w:proofErr w:type="spellStart"/>
      <w:r w:rsidR="00753735">
        <w:rPr>
          <w:lang w:val="en-US"/>
        </w:rPr>
        <w:t>CoE</w:t>
      </w:r>
      <w:proofErr w:type="spellEnd"/>
      <w:r w:rsidR="00753735">
        <w:rPr>
          <w:lang w:val="en-US"/>
        </w:rPr>
        <w:t xml:space="preserve"> </w:t>
      </w:r>
      <w:r w:rsidR="00052F77">
        <w:rPr>
          <w:lang w:val="en-US"/>
        </w:rPr>
        <w:t>operations</w:t>
      </w:r>
      <w:r w:rsidR="00753735">
        <w:rPr>
          <w:lang w:val="en-US"/>
        </w:rPr>
        <w:t xml:space="preserve">. A call for proposals for new </w:t>
      </w:r>
      <w:proofErr w:type="spellStart"/>
      <w:r w:rsidR="00753735">
        <w:rPr>
          <w:lang w:val="en-US"/>
        </w:rPr>
        <w:t>CoEs</w:t>
      </w:r>
      <w:proofErr w:type="spellEnd"/>
      <w:r w:rsidR="00753735">
        <w:rPr>
          <w:lang w:val="en-US"/>
        </w:rPr>
        <w:t xml:space="preserve"> will be launched in the second quarter of 2018, with a view to finalizing the selection of the new </w:t>
      </w:r>
      <w:proofErr w:type="spellStart"/>
      <w:r w:rsidR="00753735">
        <w:rPr>
          <w:lang w:val="en-US"/>
        </w:rPr>
        <w:t>CoEs</w:t>
      </w:r>
      <w:proofErr w:type="spellEnd"/>
      <w:r w:rsidR="00753735">
        <w:rPr>
          <w:lang w:val="en-US"/>
        </w:rPr>
        <w:t xml:space="preserve"> in the third quarter of 2018. </w:t>
      </w:r>
    </w:p>
    <w:p w:rsidR="00D36E63" w:rsidRPr="00D97061" w:rsidRDefault="00D36E63" w:rsidP="00777B64">
      <w:pPr>
        <w:keepNext/>
        <w:rPr>
          <w:b/>
          <w:bCs/>
        </w:rPr>
      </w:pPr>
      <w:r w:rsidRPr="00D97061">
        <w:rPr>
          <w:b/>
          <w:bCs/>
          <w:lang w:val="en-US"/>
        </w:rPr>
        <w:t>Publication</w:t>
      </w:r>
      <w:r w:rsidR="00FD2594" w:rsidRPr="00D97061">
        <w:rPr>
          <w:b/>
          <w:bCs/>
          <w:lang w:val="en-US"/>
        </w:rPr>
        <w:t xml:space="preserve"> “</w:t>
      </w:r>
      <w:r w:rsidRPr="00D97061">
        <w:rPr>
          <w:b/>
          <w:bCs/>
          <w:lang w:val="en-US"/>
        </w:rPr>
        <w:t>Capacity Building in a Changing ICT Environment</w:t>
      </w:r>
      <w:r w:rsidR="00FD2594" w:rsidRPr="00D97061">
        <w:rPr>
          <w:b/>
          <w:bCs/>
          <w:lang w:val="en-US"/>
        </w:rPr>
        <w:t>“</w:t>
      </w:r>
    </w:p>
    <w:p w:rsidR="00AB623D" w:rsidRPr="00AB623D" w:rsidRDefault="00AB623D" w:rsidP="00777B64">
      <w:pPr>
        <w:rPr>
          <w:lang w:val="en-US"/>
        </w:rPr>
      </w:pPr>
      <w:r w:rsidRPr="00AB623D">
        <w:rPr>
          <w:lang w:val="en-US"/>
        </w:rPr>
        <w:t xml:space="preserve">The </w:t>
      </w:r>
      <w:r>
        <w:rPr>
          <w:lang w:val="en-US"/>
        </w:rPr>
        <w:t xml:space="preserve">first issue of the </w:t>
      </w:r>
      <w:r w:rsidRPr="00AB623D">
        <w:rPr>
          <w:lang w:val="en-US"/>
        </w:rPr>
        <w:t>ITU online publication “</w:t>
      </w:r>
      <w:hyperlink r:id="rId13" w:history="1">
        <w:r w:rsidRPr="00063ACD">
          <w:rPr>
            <w:rStyle w:val="Hyperlink"/>
            <w:lang w:val="en-US"/>
          </w:rPr>
          <w:t>Capacity Building in a Changing ICT Environment</w:t>
        </w:r>
      </w:hyperlink>
      <w:r>
        <w:rPr>
          <w:lang w:val="en-US"/>
        </w:rPr>
        <w:t xml:space="preserve">” was released in 2017. This new publication </w:t>
      </w:r>
      <w:r w:rsidRPr="00AB623D">
        <w:rPr>
          <w:lang w:val="en-US"/>
        </w:rPr>
        <w:t xml:space="preserve">puts together scholarly articles with a focus on the human and institutional aspects of capacity building in the telecommunications/ICT sector. It covers a wide range of ICT topics that may affect people and their skills development. </w:t>
      </w:r>
    </w:p>
    <w:p w:rsidR="00D36E63" w:rsidRDefault="00AB623D" w:rsidP="00777B64">
      <w:pPr>
        <w:rPr>
          <w:lang w:val="en-US"/>
        </w:rPr>
      </w:pPr>
      <w:r w:rsidRPr="00AB623D">
        <w:rPr>
          <w:lang w:val="en-US"/>
        </w:rPr>
        <w:t>The first issue of th</w:t>
      </w:r>
      <w:r>
        <w:rPr>
          <w:lang w:val="en-US"/>
        </w:rPr>
        <w:t>e</w:t>
      </w:r>
      <w:r w:rsidRPr="00AB623D">
        <w:rPr>
          <w:lang w:val="en-US"/>
        </w:rPr>
        <w:t xml:space="preserve"> publication focuses on mobile technologies for skills development and lifelong learning. It features the work of an international team of experts, tackling the issues in an analytical, critical and conceptual fashion. The articles in this issue explore the increasing power of mobile devices in bringing the benefits of ICTs to more people worldwide. They are a contribution to the current discussions on the educational applications of mobile technologies and their potential to enhance and facilitate lifelong learning and skills development.</w:t>
      </w:r>
    </w:p>
    <w:p w:rsidR="00AB623D" w:rsidRDefault="00AB623D">
      <w:pPr>
        <w:rPr>
          <w:lang w:val="en-US"/>
        </w:rPr>
      </w:pPr>
      <w:r>
        <w:rPr>
          <w:lang w:val="en-US"/>
        </w:rPr>
        <w:lastRenderedPageBreak/>
        <w:t xml:space="preserve">The second issue </w:t>
      </w:r>
      <w:r w:rsidR="00DA6D8E">
        <w:rPr>
          <w:lang w:val="en-US"/>
        </w:rPr>
        <w:t xml:space="preserve">of the publication </w:t>
      </w:r>
      <w:r>
        <w:rPr>
          <w:lang w:val="en-US"/>
        </w:rPr>
        <w:t xml:space="preserve">is currently under preparation. It </w:t>
      </w:r>
      <w:r w:rsidRPr="00AB623D">
        <w:rPr>
          <w:lang w:val="en-US"/>
        </w:rPr>
        <w:t>will focus on building capacity for the 21st</w:t>
      </w:r>
      <w:r w:rsidR="00777B64">
        <w:rPr>
          <w:lang w:val="en-US"/>
        </w:rPr>
        <w:t> </w:t>
      </w:r>
      <w:r w:rsidRPr="00AB623D">
        <w:rPr>
          <w:lang w:val="en-US"/>
        </w:rPr>
        <w:t>century digital</w:t>
      </w:r>
      <w:r>
        <w:rPr>
          <w:lang w:val="en-US"/>
        </w:rPr>
        <w:t xml:space="preserve"> </w:t>
      </w:r>
      <w:r w:rsidRPr="00AB623D">
        <w:rPr>
          <w:lang w:val="en-US"/>
        </w:rPr>
        <w:t>economy, with emphasis on how major digital transformations – such as artificial intelligence, machine</w:t>
      </w:r>
      <w:r>
        <w:rPr>
          <w:lang w:val="en-US"/>
        </w:rPr>
        <w:t xml:space="preserve"> </w:t>
      </w:r>
      <w:r w:rsidRPr="00AB623D">
        <w:rPr>
          <w:lang w:val="en-US"/>
        </w:rPr>
        <w:t>learning, Internet of Things and big data analytics – change skills requirements and in turn impact</w:t>
      </w:r>
      <w:r>
        <w:rPr>
          <w:lang w:val="en-US"/>
        </w:rPr>
        <w:t xml:space="preserve"> </w:t>
      </w:r>
      <w:r w:rsidRPr="00AB623D">
        <w:rPr>
          <w:lang w:val="en-US"/>
        </w:rPr>
        <w:t>capacity building and skills development.</w:t>
      </w:r>
      <w:r>
        <w:rPr>
          <w:lang w:val="en-US"/>
        </w:rPr>
        <w:t xml:space="preserve"> The second issue </w:t>
      </w:r>
      <w:r w:rsidR="00C87A4D">
        <w:rPr>
          <w:lang w:val="en-US"/>
        </w:rPr>
        <w:t xml:space="preserve">of </w:t>
      </w:r>
      <w:r w:rsidR="00C87A4D" w:rsidRPr="00AB623D">
        <w:rPr>
          <w:lang w:val="en-US"/>
        </w:rPr>
        <w:t xml:space="preserve">“Capacity Building </w:t>
      </w:r>
      <w:r w:rsidR="00C87A4D">
        <w:rPr>
          <w:lang w:val="en-US"/>
        </w:rPr>
        <w:t xml:space="preserve">in a Changing ICT Environment” </w:t>
      </w:r>
      <w:r>
        <w:rPr>
          <w:lang w:val="en-US"/>
        </w:rPr>
        <w:t>is expected to be launched in the second quarter of 2018.</w:t>
      </w:r>
    </w:p>
    <w:p w:rsidR="00D36E63" w:rsidRPr="00D97061" w:rsidRDefault="00D36E63" w:rsidP="00777B64">
      <w:pPr>
        <w:keepNext/>
        <w:rPr>
          <w:b/>
          <w:bCs/>
          <w:lang w:val="en-US"/>
        </w:rPr>
      </w:pPr>
      <w:r w:rsidRPr="00D97061">
        <w:rPr>
          <w:b/>
          <w:bCs/>
          <w:lang w:val="en-US"/>
        </w:rPr>
        <w:t>ITU-Academia Partnership Meeting</w:t>
      </w:r>
    </w:p>
    <w:p w:rsidR="00D36E63" w:rsidRDefault="00037A17">
      <w:pPr>
        <w:rPr>
          <w:lang w:val="en-US"/>
        </w:rPr>
      </w:pPr>
      <w:hyperlink r:id="rId14" w:history="1">
        <w:r w:rsidR="00B04B2A" w:rsidRPr="00063ACD">
          <w:rPr>
            <w:rStyle w:val="Hyperlink"/>
            <w:lang w:val="en-US"/>
          </w:rPr>
          <w:t xml:space="preserve">The ITU-Academia Partnership Meeting: </w:t>
        </w:r>
        <w:r w:rsidR="00B04B2A" w:rsidRPr="00063ACD">
          <w:rPr>
            <w:rStyle w:val="Hyperlink"/>
            <w:i/>
            <w:iCs/>
            <w:lang w:val="en-US"/>
          </w:rPr>
          <w:t>Developing Skills for the Digital Era</w:t>
        </w:r>
      </w:hyperlink>
      <w:r w:rsidR="00B04B2A" w:rsidRPr="00B04B2A">
        <w:rPr>
          <w:lang w:val="en-US"/>
        </w:rPr>
        <w:t xml:space="preserve"> took place in Budapest, Hungary from 19-21 September 2017. The meeting was </w:t>
      </w:r>
      <w:proofErr w:type="spellStart"/>
      <w:r w:rsidR="00B04B2A" w:rsidRPr="00B04B2A">
        <w:rPr>
          <w:lang w:val="en-US"/>
        </w:rPr>
        <w:t>organised</w:t>
      </w:r>
      <w:proofErr w:type="spellEnd"/>
      <w:r w:rsidR="00B04B2A" w:rsidRPr="00B04B2A">
        <w:rPr>
          <w:lang w:val="en-US"/>
        </w:rPr>
        <w:t xml:space="preserve"> by ITU and hosted by the National Media and </w:t>
      </w:r>
      <w:proofErr w:type="spellStart"/>
      <w:r w:rsidR="00B04B2A" w:rsidRPr="00B04B2A">
        <w:rPr>
          <w:lang w:val="en-US"/>
        </w:rPr>
        <w:t>Infocommunications</w:t>
      </w:r>
      <w:proofErr w:type="spellEnd"/>
      <w:r w:rsidR="00B04B2A" w:rsidRPr="00B04B2A">
        <w:rPr>
          <w:lang w:val="en-US"/>
        </w:rPr>
        <w:t xml:space="preserve"> Authority of Hungary (NMHH).</w:t>
      </w:r>
      <w:r w:rsidR="00845B9B">
        <w:rPr>
          <w:lang w:val="en-US"/>
        </w:rPr>
        <w:t xml:space="preserve"> </w:t>
      </w:r>
      <w:r w:rsidR="00845B9B" w:rsidRPr="00845B9B">
        <w:rPr>
          <w:lang w:val="en-US"/>
        </w:rPr>
        <w:t xml:space="preserve">The </w:t>
      </w:r>
      <w:r w:rsidR="00845B9B">
        <w:rPr>
          <w:lang w:val="en-US"/>
        </w:rPr>
        <w:t>meeting</w:t>
      </w:r>
      <w:r w:rsidR="00845B9B" w:rsidRPr="00845B9B">
        <w:rPr>
          <w:lang w:val="en-US"/>
        </w:rPr>
        <w:t xml:space="preserve"> was attended by </w:t>
      </w:r>
      <w:r w:rsidR="00777B64" w:rsidRPr="00845B9B">
        <w:rPr>
          <w:lang w:val="en-US"/>
        </w:rPr>
        <w:t>88</w:t>
      </w:r>
      <w:r w:rsidR="00777B64">
        <w:rPr>
          <w:lang w:val="en-US"/>
        </w:rPr>
        <w:t> </w:t>
      </w:r>
      <w:r w:rsidR="00845B9B" w:rsidRPr="00845B9B">
        <w:rPr>
          <w:lang w:val="en-US"/>
        </w:rPr>
        <w:t xml:space="preserve">participants from </w:t>
      </w:r>
      <w:r w:rsidR="00777B64" w:rsidRPr="00845B9B">
        <w:rPr>
          <w:lang w:val="en-US"/>
        </w:rPr>
        <w:t>32</w:t>
      </w:r>
      <w:r w:rsidR="00777B64">
        <w:rPr>
          <w:lang w:val="en-US"/>
        </w:rPr>
        <w:t> </w:t>
      </w:r>
      <w:r w:rsidR="00845B9B" w:rsidRPr="00845B9B">
        <w:rPr>
          <w:lang w:val="en-US"/>
        </w:rPr>
        <w:t xml:space="preserve">countries, including </w:t>
      </w:r>
      <w:r w:rsidR="00777B64" w:rsidRPr="00845B9B">
        <w:rPr>
          <w:lang w:val="en-US"/>
        </w:rPr>
        <w:t>38</w:t>
      </w:r>
      <w:r w:rsidR="00777B64">
        <w:rPr>
          <w:lang w:val="en-US"/>
        </w:rPr>
        <w:t> </w:t>
      </w:r>
      <w:r w:rsidR="00845B9B" w:rsidRPr="00845B9B">
        <w:rPr>
          <w:lang w:val="en-US"/>
        </w:rPr>
        <w:t>academic institutions representing all regions.</w:t>
      </w:r>
    </w:p>
    <w:p w:rsidR="00CF5272" w:rsidRDefault="00845B9B" w:rsidP="00777B64">
      <w:pPr>
        <w:rPr>
          <w:lang w:val="en-US"/>
        </w:rPr>
      </w:pPr>
      <w:r>
        <w:rPr>
          <w:lang w:val="en-US"/>
        </w:rPr>
        <w:t xml:space="preserve">The meeting </w:t>
      </w:r>
      <w:r w:rsidRPr="00845B9B">
        <w:rPr>
          <w:lang w:val="en-US"/>
        </w:rPr>
        <w:t>discuss</w:t>
      </w:r>
      <w:r>
        <w:rPr>
          <w:lang w:val="en-US"/>
        </w:rPr>
        <w:t>ed</w:t>
      </w:r>
      <w:r w:rsidRPr="00845B9B">
        <w:rPr>
          <w:lang w:val="en-US"/>
        </w:rPr>
        <w:t xml:space="preserve"> emerging technology trends and how they impact on academic </w:t>
      </w:r>
      <w:proofErr w:type="spellStart"/>
      <w:r w:rsidRPr="00845B9B">
        <w:rPr>
          <w:lang w:val="en-US"/>
        </w:rPr>
        <w:t>programmes</w:t>
      </w:r>
      <w:proofErr w:type="spellEnd"/>
      <w:r w:rsidRPr="00845B9B">
        <w:rPr>
          <w:lang w:val="en-US"/>
        </w:rPr>
        <w:t>, sharing latest developments in teaching and learning in the digital era, and examining approaches towards building skills for a 21st century workforce. The event covered debates around the digital transformation and required skill sets, the role of universities in shaping the digital agenda, changes in the curriculum</w:t>
      </w:r>
      <w:r w:rsidR="00777B64">
        <w:rPr>
          <w:lang w:val="en-US"/>
        </w:rPr>
        <w:t>,</w:t>
      </w:r>
      <w:r w:rsidRPr="00845B9B">
        <w:rPr>
          <w:lang w:val="en-US"/>
        </w:rPr>
        <w:t xml:space="preserve"> in particular with respect to embracing Internet policy-related topics, and new ways of teaching and learning in the digital age. The meeting also featured a series of discussions showcasing successful partnerships between universities, the private sector, Centers of Excellence and ITU. It also explored the role of universities as incubators of innovation and start-ups and presented some concrete examples of those. </w:t>
      </w:r>
    </w:p>
    <w:p w:rsidR="000675E6" w:rsidRDefault="00845B9B" w:rsidP="00777B64">
      <w:pPr>
        <w:rPr>
          <w:lang w:val="en-US"/>
        </w:rPr>
      </w:pPr>
      <w:r w:rsidRPr="00845B9B">
        <w:rPr>
          <w:lang w:val="en-US"/>
        </w:rPr>
        <w:t xml:space="preserve">A major </w:t>
      </w:r>
      <w:r>
        <w:rPr>
          <w:lang w:val="en-US"/>
        </w:rPr>
        <w:t>outcome of the event was a series of recommendations and proposals on</w:t>
      </w:r>
      <w:r w:rsidRPr="00845B9B">
        <w:rPr>
          <w:lang w:val="en-US"/>
        </w:rPr>
        <w:t xml:space="preserve"> ways and means to strengthen collaboration between ITU and the academic community in developing capacities for the digital future.</w:t>
      </w:r>
      <w:r w:rsidR="00CF5272">
        <w:rPr>
          <w:lang w:val="en-US"/>
        </w:rPr>
        <w:t xml:space="preserve"> D</w:t>
      </w:r>
      <w:r w:rsidR="005B6AF5">
        <w:rPr>
          <w:lang w:val="en-US"/>
        </w:rPr>
        <w:t>eleg</w:t>
      </w:r>
      <w:r w:rsidR="00CF5272">
        <w:rPr>
          <w:lang w:val="en-US"/>
        </w:rPr>
        <w:t xml:space="preserve">ates </w:t>
      </w:r>
      <w:r w:rsidR="00CF5272" w:rsidRPr="00CF5272">
        <w:rPr>
          <w:lang w:val="en-US"/>
        </w:rPr>
        <w:t xml:space="preserve">confirmed that there was high demand for these kind of </w:t>
      </w:r>
      <w:r w:rsidR="00DA6D8E">
        <w:rPr>
          <w:lang w:val="en-US"/>
        </w:rPr>
        <w:t xml:space="preserve">partnership </w:t>
      </w:r>
      <w:r w:rsidR="00CF5272" w:rsidRPr="00CF5272">
        <w:rPr>
          <w:lang w:val="en-US"/>
        </w:rPr>
        <w:t xml:space="preserve">events and that ITU had an important role to play in bringing </w:t>
      </w:r>
      <w:r w:rsidR="005B6AF5">
        <w:rPr>
          <w:lang w:val="en-US"/>
        </w:rPr>
        <w:t>different stakeholders</w:t>
      </w:r>
      <w:r w:rsidR="00CF5272" w:rsidRPr="00CF5272">
        <w:rPr>
          <w:lang w:val="en-US"/>
        </w:rPr>
        <w:t xml:space="preserve"> </w:t>
      </w:r>
      <w:r w:rsidR="005B6AF5">
        <w:rPr>
          <w:lang w:val="en-US"/>
        </w:rPr>
        <w:t xml:space="preserve">and Universities from all regions </w:t>
      </w:r>
      <w:r w:rsidR="00CF5272" w:rsidRPr="00CF5272">
        <w:rPr>
          <w:lang w:val="en-US"/>
        </w:rPr>
        <w:t xml:space="preserve">together. In this respect, one of the key advantages of ITU is its global reach and large worldwide membership. Finally, capacity development for the digital era was considered as a growth area by participants and </w:t>
      </w:r>
      <w:r w:rsidR="00DA6D8E">
        <w:rPr>
          <w:lang w:val="en-US"/>
        </w:rPr>
        <w:t xml:space="preserve">that </w:t>
      </w:r>
      <w:r w:rsidR="00CF5272" w:rsidRPr="00CF5272">
        <w:rPr>
          <w:lang w:val="en-US"/>
        </w:rPr>
        <w:t>ITU should play a key role in this.</w:t>
      </w:r>
    </w:p>
    <w:p w:rsidR="00651E96" w:rsidRPr="00CD7608" w:rsidRDefault="00651E96">
      <w:pPr>
        <w:keepNext/>
        <w:tabs>
          <w:tab w:val="clear" w:pos="1134"/>
          <w:tab w:val="clear" w:pos="1871"/>
          <w:tab w:val="clear" w:pos="2268"/>
        </w:tabs>
        <w:rPr>
          <w:b/>
          <w:bCs/>
          <w:szCs w:val="24"/>
        </w:rPr>
      </w:pPr>
      <w:r w:rsidRPr="00CD7608">
        <w:rPr>
          <w:b/>
          <w:bCs/>
          <w:szCs w:val="24"/>
        </w:rPr>
        <w:t>WTDC</w:t>
      </w:r>
      <w:r w:rsidR="00777B64">
        <w:rPr>
          <w:b/>
          <w:bCs/>
          <w:szCs w:val="24"/>
        </w:rPr>
        <w:t>-</w:t>
      </w:r>
      <w:r w:rsidRPr="00CD7608">
        <w:rPr>
          <w:b/>
          <w:bCs/>
          <w:szCs w:val="24"/>
        </w:rPr>
        <w:t>17</w:t>
      </w:r>
    </w:p>
    <w:p w:rsidR="00651E96" w:rsidRDefault="00651E96" w:rsidP="002101A1">
      <w:pPr>
        <w:tabs>
          <w:tab w:val="clear" w:pos="1134"/>
          <w:tab w:val="clear" w:pos="1871"/>
          <w:tab w:val="clear" w:pos="2268"/>
        </w:tabs>
        <w:overflowPunct/>
        <w:autoSpaceDE/>
        <w:autoSpaceDN/>
        <w:adjustRightInd/>
        <w:textAlignment w:val="auto"/>
        <w:rPr>
          <w:szCs w:val="24"/>
        </w:rPr>
      </w:pPr>
      <w:r>
        <w:rPr>
          <w:szCs w:val="24"/>
        </w:rPr>
        <w:t xml:space="preserve">The importance of capacity building and skill development was </w:t>
      </w:r>
      <w:r w:rsidR="001D6F12">
        <w:rPr>
          <w:szCs w:val="24"/>
        </w:rPr>
        <w:t>re</w:t>
      </w:r>
      <w:r w:rsidR="002101A1">
        <w:rPr>
          <w:szCs w:val="24"/>
        </w:rPr>
        <w:t>affirmed</w:t>
      </w:r>
      <w:r>
        <w:rPr>
          <w:szCs w:val="24"/>
        </w:rPr>
        <w:t xml:space="preserve"> at WTDC</w:t>
      </w:r>
      <w:r w:rsidR="00777B64">
        <w:rPr>
          <w:szCs w:val="24"/>
        </w:rPr>
        <w:t>-</w:t>
      </w:r>
      <w:r>
        <w:rPr>
          <w:szCs w:val="24"/>
        </w:rPr>
        <w:t xml:space="preserve">17 and is reflected in the Buenos Aires Action Plan under Objective 3, </w:t>
      </w:r>
      <w:r w:rsidR="00777B64">
        <w:rPr>
          <w:szCs w:val="24"/>
        </w:rPr>
        <w:t>in Resolution </w:t>
      </w:r>
      <w:r>
        <w:rPr>
          <w:szCs w:val="24"/>
        </w:rPr>
        <w:t xml:space="preserve">40 (on the </w:t>
      </w:r>
      <w:proofErr w:type="spellStart"/>
      <w:r>
        <w:rPr>
          <w:szCs w:val="24"/>
        </w:rPr>
        <w:t>Centers</w:t>
      </w:r>
      <w:proofErr w:type="spellEnd"/>
      <w:r>
        <w:rPr>
          <w:szCs w:val="24"/>
        </w:rPr>
        <w:t xml:space="preserve"> of Excellence) and </w:t>
      </w:r>
      <w:r w:rsidR="00777B64">
        <w:rPr>
          <w:szCs w:val="24"/>
        </w:rPr>
        <w:t>in Resolution </w:t>
      </w:r>
      <w:r>
        <w:rPr>
          <w:szCs w:val="24"/>
        </w:rPr>
        <w:t>73 (on the Group on Capacity Building</w:t>
      </w:r>
      <w:r w:rsidR="00567B7C">
        <w:rPr>
          <w:szCs w:val="24"/>
        </w:rPr>
        <w:t xml:space="preserve"> Initiatives</w:t>
      </w:r>
      <w:r>
        <w:rPr>
          <w:szCs w:val="24"/>
        </w:rPr>
        <w:t xml:space="preserve">, see </w:t>
      </w:r>
      <w:r w:rsidR="00C52F87">
        <w:rPr>
          <w:szCs w:val="24"/>
        </w:rPr>
        <w:t xml:space="preserve">document </w:t>
      </w:r>
      <w:hyperlink r:id="rId15" w:history="1">
        <w:r w:rsidR="00C52F87" w:rsidRPr="00C52F87">
          <w:rPr>
            <w:rStyle w:val="Hyperlink"/>
            <w:szCs w:val="24"/>
          </w:rPr>
          <w:t>TDAG-18/17</w:t>
        </w:r>
      </w:hyperlink>
      <w:r w:rsidR="00C52F87">
        <w:rPr>
          <w:szCs w:val="24"/>
        </w:rPr>
        <w:t>)</w:t>
      </w:r>
      <w:r>
        <w:rPr>
          <w:szCs w:val="24"/>
        </w:rPr>
        <w:t xml:space="preserve">. </w:t>
      </w:r>
    </w:p>
    <w:p w:rsidR="00651E96" w:rsidRDefault="00651E96" w:rsidP="00777B64">
      <w:pPr>
        <w:tabs>
          <w:tab w:val="clear" w:pos="1134"/>
          <w:tab w:val="clear" w:pos="1871"/>
          <w:tab w:val="clear" w:pos="2268"/>
        </w:tabs>
        <w:overflowPunct/>
        <w:autoSpaceDE/>
        <w:autoSpaceDN/>
        <w:adjustRightInd/>
        <w:textAlignment w:val="auto"/>
        <w:rPr>
          <w:szCs w:val="24"/>
        </w:rPr>
      </w:pPr>
      <w:r>
        <w:rPr>
          <w:szCs w:val="24"/>
        </w:rPr>
        <w:t xml:space="preserve">In particular, the following outcomes of WTDC-17 </w:t>
      </w:r>
      <w:r w:rsidR="00567B7C">
        <w:rPr>
          <w:szCs w:val="24"/>
        </w:rPr>
        <w:t xml:space="preserve">can </w:t>
      </w:r>
      <w:r>
        <w:rPr>
          <w:szCs w:val="24"/>
        </w:rPr>
        <w:t>be highlighted:</w:t>
      </w:r>
    </w:p>
    <w:p w:rsidR="00651E96" w:rsidRPr="00651E96" w:rsidRDefault="00651E96">
      <w:pPr>
        <w:pStyle w:val="ListParagraph"/>
        <w:numPr>
          <w:ilvl w:val="0"/>
          <w:numId w:val="6"/>
        </w:numPr>
        <w:tabs>
          <w:tab w:val="clear" w:pos="1134"/>
          <w:tab w:val="clear" w:pos="1871"/>
          <w:tab w:val="clear" w:pos="2268"/>
        </w:tabs>
        <w:overflowPunct/>
        <w:autoSpaceDE/>
        <w:autoSpaceDN/>
        <w:adjustRightInd/>
        <w:spacing w:before="60"/>
        <w:ind w:left="567" w:hanging="567"/>
        <w:contextualSpacing w:val="0"/>
        <w:textAlignment w:val="auto"/>
        <w:rPr>
          <w:szCs w:val="24"/>
        </w:rPr>
      </w:pPr>
      <w:r>
        <w:rPr>
          <w:szCs w:val="24"/>
        </w:rPr>
        <w:t xml:space="preserve">The importance of increasing </w:t>
      </w:r>
      <w:r w:rsidRPr="00651E96">
        <w:rPr>
          <w:szCs w:val="24"/>
        </w:rPr>
        <w:t xml:space="preserve">awareness on the importance of skill development for the digital future. </w:t>
      </w:r>
    </w:p>
    <w:p w:rsidR="00651E96" w:rsidRPr="00651E96" w:rsidRDefault="00651E96">
      <w:pPr>
        <w:pStyle w:val="ListParagraph"/>
        <w:numPr>
          <w:ilvl w:val="0"/>
          <w:numId w:val="6"/>
        </w:numPr>
        <w:tabs>
          <w:tab w:val="clear" w:pos="1134"/>
          <w:tab w:val="clear" w:pos="1871"/>
          <w:tab w:val="clear" w:pos="2268"/>
        </w:tabs>
        <w:overflowPunct/>
        <w:autoSpaceDE/>
        <w:autoSpaceDN/>
        <w:adjustRightInd/>
        <w:spacing w:before="60"/>
        <w:ind w:left="567" w:hanging="567"/>
        <w:contextualSpacing w:val="0"/>
        <w:textAlignment w:val="auto"/>
        <w:rPr>
          <w:szCs w:val="24"/>
        </w:rPr>
      </w:pPr>
      <w:r>
        <w:rPr>
          <w:szCs w:val="24"/>
        </w:rPr>
        <w:t>The i</w:t>
      </w:r>
      <w:r w:rsidRPr="00651E96">
        <w:rPr>
          <w:szCs w:val="24"/>
        </w:rPr>
        <w:t xml:space="preserve">nclusion of international Internet governance in </w:t>
      </w:r>
      <w:r>
        <w:rPr>
          <w:szCs w:val="24"/>
        </w:rPr>
        <w:t xml:space="preserve">ITU </w:t>
      </w:r>
      <w:r w:rsidRPr="00651E96">
        <w:rPr>
          <w:szCs w:val="24"/>
        </w:rPr>
        <w:t>capacity building an</w:t>
      </w:r>
      <w:r>
        <w:rPr>
          <w:szCs w:val="24"/>
        </w:rPr>
        <w:t>d</w:t>
      </w:r>
      <w:r w:rsidRPr="00651E96">
        <w:rPr>
          <w:szCs w:val="24"/>
        </w:rPr>
        <w:t xml:space="preserve"> human skill development programmes.  </w:t>
      </w:r>
    </w:p>
    <w:p w:rsidR="00651E96" w:rsidRPr="00651E96" w:rsidRDefault="00651E96" w:rsidP="00777B64">
      <w:pPr>
        <w:pStyle w:val="ListParagraph"/>
        <w:numPr>
          <w:ilvl w:val="0"/>
          <w:numId w:val="6"/>
        </w:numPr>
        <w:tabs>
          <w:tab w:val="clear" w:pos="1134"/>
          <w:tab w:val="clear" w:pos="1871"/>
          <w:tab w:val="clear" w:pos="2268"/>
        </w:tabs>
        <w:overflowPunct/>
        <w:autoSpaceDE/>
        <w:autoSpaceDN/>
        <w:adjustRightInd/>
        <w:spacing w:before="60"/>
        <w:ind w:left="567" w:hanging="567"/>
        <w:contextualSpacing w:val="0"/>
        <w:textAlignment w:val="auto"/>
        <w:rPr>
          <w:szCs w:val="24"/>
        </w:rPr>
      </w:pPr>
      <w:r>
        <w:rPr>
          <w:szCs w:val="24"/>
        </w:rPr>
        <w:t xml:space="preserve">The </w:t>
      </w:r>
      <w:r w:rsidRPr="00651E96">
        <w:rPr>
          <w:szCs w:val="24"/>
        </w:rPr>
        <w:t xml:space="preserve">importance of </w:t>
      </w:r>
      <w:r>
        <w:rPr>
          <w:szCs w:val="24"/>
        </w:rPr>
        <w:t xml:space="preserve">the </w:t>
      </w:r>
      <w:proofErr w:type="spellStart"/>
      <w:r w:rsidRPr="00651E96">
        <w:rPr>
          <w:szCs w:val="24"/>
        </w:rPr>
        <w:t>Centers</w:t>
      </w:r>
      <w:proofErr w:type="spellEnd"/>
      <w:r w:rsidRPr="00651E96">
        <w:rPr>
          <w:szCs w:val="24"/>
        </w:rPr>
        <w:t xml:space="preserve"> of Excellence programme </w:t>
      </w:r>
      <w:r>
        <w:rPr>
          <w:szCs w:val="24"/>
        </w:rPr>
        <w:t xml:space="preserve">and a call for its </w:t>
      </w:r>
      <w:r w:rsidRPr="00651E96">
        <w:rPr>
          <w:szCs w:val="24"/>
        </w:rPr>
        <w:t xml:space="preserve">review and </w:t>
      </w:r>
      <w:r>
        <w:rPr>
          <w:szCs w:val="24"/>
        </w:rPr>
        <w:t xml:space="preserve">further </w:t>
      </w:r>
      <w:proofErr w:type="spellStart"/>
      <w:r w:rsidRPr="00651E96">
        <w:rPr>
          <w:szCs w:val="24"/>
        </w:rPr>
        <w:t>strenthening</w:t>
      </w:r>
      <w:proofErr w:type="spellEnd"/>
      <w:r w:rsidRPr="00651E96">
        <w:rPr>
          <w:szCs w:val="24"/>
        </w:rPr>
        <w:t>.</w:t>
      </w:r>
    </w:p>
    <w:p w:rsidR="00651E96" w:rsidRPr="00651E96" w:rsidRDefault="00651E96" w:rsidP="00777B64">
      <w:pPr>
        <w:pStyle w:val="ListParagraph"/>
        <w:numPr>
          <w:ilvl w:val="0"/>
          <w:numId w:val="6"/>
        </w:numPr>
        <w:tabs>
          <w:tab w:val="clear" w:pos="1134"/>
          <w:tab w:val="clear" w:pos="1871"/>
          <w:tab w:val="clear" w:pos="2268"/>
        </w:tabs>
        <w:overflowPunct/>
        <w:autoSpaceDE/>
        <w:autoSpaceDN/>
        <w:adjustRightInd/>
        <w:spacing w:before="60"/>
        <w:ind w:left="567" w:hanging="567"/>
        <w:contextualSpacing w:val="0"/>
        <w:textAlignment w:val="auto"/>
        <w:rPr>
          <w:szCs w:val="24"/>
        </w:rPr>
      </w:pPr>
      <w:r w:rsidRPr="00651E96">
        <w:rPr>
          <w:szCs w:val="24"/>
        </w:rPr>
        <w:t>Further enhancement of the ITU Academy platform and related services as the primary tool and main umbrella for ITU’s capacity development activities.</w:t>
      </w:r>
    </w:p>
    <w:p w:rsidR="00651E96" w:rsidRPr="00651E96" w:rsidRDefault="00651E96">
      <w:pPr>
        <w:pStyle w:val="ListParagraph"/>
        <w:numPr>
          <w:ilvl w:val="0"/>
          <w:numId w:val="6"/>
        </w:numPr>
        <w:tabs>
          <w:tab w:val="clear" w:pos="1134"/>
          <w:tab w:val="clear" w:pos="1871"/>
          <w:tab w:val="clear" w:pos="2268"/>
        </w:tabs>
        <w:overflowPunct/>
        <w:autoSpaceDE/>
        <w:autoSpaceDN/>
        <w:adjustRightInd/>
        <w:spacing w:before="60"/>
        <w:ind w:left="567" w:hanging="567"/>
        <w:contextualSpacing w:val="0"/>
        <w:textAlignment w:val="auto"/>
        <w:rPr>
          <w:szCs w:val="24"/>
        </w:rPr>
      </w:pPr>
      <w:r>
        <w:rPr>
          <w:szCs w:val="24"/>
        </w:rPr>
        <w:lastRenderedPageBreak/>
        <w:t>A c</w:t>
      </w:r>
      <w:r w:rsidRPr="00651E96">
        <w:rPr>
          <w:szCs w:val="24"/>
        </w:rPr>
        <w:t>all</w:t>
      </w:r>
      <w:r>
        <w:rPr>
          <w:szCs w:val="24"/>
        </w:rPr>
        <w:t xml:space="preserve"> </w:t>
      </w:r>
      <w:r w:rsidRPr="00651E96">
        <w:rPr>
          <w:szCs w:val="24"/>
        </w:rPr>
        <w:t xml:space="preserve">to provide global and regional fora on digital skill development, education and lifelong learning, including through the Global ICT Capacity Building Symposium. </w:t>
      </w:r>
    </w:p>
    <w:p w:rsidR="00651E96" w:rsidRPr="00651E96" w:rsidRDefault="00651E96">
      <w:pPr>
        <w:pStyle w:val="ListParagraph"/>
        <w:numPr>
          <w:ilvl w:val="0"/>
          <w:numId w:val="6"/>
        </w:numPr>
        <w:tabs>
          <w:tab w:val="clear" w:pos="1134"/>
          <w:tab w:val="clear" w:pos="1871"/>
          <w:tab w:val="clear" w:pos="2268"/>
        </w:tabs>
        <w:overflowPunct/>
        <w:autoSpaceDE/>
        <w:autoSpaceDN/>
        <w:adjustRightInd/>
        <w:spacing w:before="60"/>
        <w:ind w:left="567" w:hanging="567"/>
        <w:contextualSpacing w:val="0"/>
        <w:textAlignment w:val="auto"/>
        <w:rPr>
          <w:szCs w:val="24"/>
        </w:rPr>
      </w:pPr>
      <w:r>
        <w:rPr>
          <w:szCs w:val="24"/>
        </w:rPr>
        <w:t>The d</w:t>
      </w:r>
      <w:r w:rsidRPr="00651E96">
        <w:rPr>
          <w:szCs w:val="24"/>
        </w:rPr>
        <w:t xml:space="preserve">evelopment of partnerships with academic institutions and other partners to build professional knowledge and skill development related to the digital transformation. </w:t>
      </w:r>
    </w:p>
    <w:p w:rsidR="00651E96" w:rsidRPr="00651E96" w:rsidRDefault="00651E96" w:rsidP="00777B64">
      <w:pPr>
        <w:pStyle w:val="ListParagraph"/>
        <w:numPr>
          <w:ilvl w:val="0"/>
          <w:numId w:val="6"/>
        </w:numPr>
        <w:tabs>
          <w:tab w:val="clear" w:pos="1134"/>
          <w:tab w:val="clear" w:pos="1871"/>
          <w:tab w:val="clear" w:pos="2268"/>
        </w:tabs>
        <w:overflowPunct/>
        <w:autoSpaceDE/>
        <w:autoSpaceDN/>
        <w:adjustRightInd/>
        <w:spacing w:before="60"/>
        <w:ind w:left="567" w:hanging="567"/>
        <w:contextualSpacing w:val="0"/>
        <w:textAlignment w:val="auto"/>
        <w:rPr>
          <w:szCs w:val="24"/>
        </w:rPr>
      </w:pPr>
      <w:r w:rsidRPr="00651E96">
        <w:rPr>
          <w:szCs w:val="24"/>
        </w:rPr>
        <w:t xml:space="preserve">Strengthening the role of Regional Initiatives in building human capacities. All Regional Initiatives incorporated capacity building as </w:t>
      </w:r>
      <w:r>
        <w:rPr>
          <w:szCs w:val="24"/>
        </w:rPr>
        <w:t xml:space="preserve">a </w:t>
      </w:r>
      <w:r w:rsidRPr="00651E96">
        <w:rPr>
          <w:szCs w:val="24"/>
        </w:rPr>
        <w:t>key deliverable.</w:t>
      </w:r>
    </w:p>
    <w:p w:rsidR="00D36E63" w:rsidRPr="000675E6" w:rsidRDefault="00D36E63">
      <w:pPr>
        <w:keepNext/>
        <w:rPr>
          <w:b/>
          <w:bCs/>
          <w:lang w:val="en-US"/>
        </w:rPr>
      </w:pPr>
      <w:r w:rsidRPr="000675E6">
        <w:rPr>
          <w:b/>
          <w:bCs/>
          <w:lang w:val="en-US"/>
        </w:rPr>
        <w:t>CBS</w:t>
      </w:r>
      <w:r w:rsidR="00777B64">
        <w:rPr>
          <w:b/>
          <w:bCs/>
          <w:lang w:val="en-US"/>
        </w:rPr>
        <w:t>-</w:t>
      </w:r>
      <w:r w:rsidRPr="000675E6">
        <w:rPr>
          <w:b/>
          <w:bCs/>
          <w:lang w:val="en-US"/>
        </w:rPr>
        <w:t>18</w:t>
      </w:r>
    </w:p>
    <w:p w:rsidR="00A508FB" w:rsidRDefault="00A508FB" w:rsidP="002101A1">
      <w:r>
        <w:t>The 2018 Global ICT C</w:t>
      </w:r>
      <w:r w:rsidR="00DA6D8E">
        <w:t>apacity Building Symposium (CBS</w:t>
      </w:r>
      <w:r w:rsidR="00777B64">
        <w:t>-</w:t>
      </w:r>
      <w:r>
        <w:t xml:space="preserve">18) will </w:t>
      </w:r>
      <w:r w:rsidR="000675E6">
        <w:t xml:space="preserve">take </w:t>
      </w:r>
      <w:r>
        <w:t xml:space="preserve">place in Santo Domingo, Dominican Republic, from </w:t>
      </w:r>
      <w:r w:rsidR="002101A1">
        <w:t>18</w:t>
      </w:r>
      <w:r w:rsidR="00777B64">
        <w:t xml:space="preserve"> to </w:t>
      </w:r>
      <w:r w:rsidR="002101A1">
        <w:t>20 June</w:t>
      </w:r>
      <w:r>
        <w:t xml:space="preserve"> 2018. It will be organized by </w:t>
      </w:r>
      <w:r w:rsidR="00CD7608">
        <w:t xml:space="preserve">ITU </w:t>
      </w:r>
      <w:r>
        <w:t xml:space="preserve">and hosted by </w:t>
      </w:r>
      <w:r w:rsidR="00CD7608">
        <w:t xml:space="preserve">the </w:t>
      </w:r>
      <w:r>
        <w:t>Dominican Institute of Telecommunications/</w:t>
      </w:r>
      <w:proofErr w:type="spellStart"/>
      <w:r w:rsidRPr="00A508FB">
        <w:t>Instituto</w:t>
      </w:r>
      <w:proofErr w:type="spellEnd"/>
      <w:r w:rsidRPr="00A508FB">
        <w:t xml:space="preserve"> </w:t>
      </w:r>
      <w:proofErr w:type="spellStart"/>
      <w:r w:rsidRPr="00A508FB">
        <w:t>Dominicano</w:t>
      </w:r>
      <w:proofErr w:type="spellEnd"/>
      <w:r w:rsidRPr="00A508FB">
        <w:t xml:space="preserve"> de </w:t>
      </w:r>
      <w:proofErr w:type="spellStart"/>
      <w:r w:rsidRPr="00A508FB">
        <w:t>Telecomunicaciones</w:t>
      </w:r>
      <w:proofErr w:type="spellEnd"/>
      <w:r>
        <w:t xml:space="preserve"> (INDOTEL). The </w:t>
      </w:r>
      <w:r w:rsidR="00DA6D8E">
        <w:t xml:space="preserve">Symposium will bring together representatives from Government, private sector and academia to discuss pertinent issues in the field of skills development for </w:t>
      </w:r>
      <w:r w:rsidR="001604CF">
        <w:t xml:space="preserve">the </w:t>
      </w:r>
      <w:r w:rsidR="0085779E">
        <w:t>digital economy</w:t>
      </w:r>
      <w:r w:rsidR="00BE1F05">
        <w:t xml:space="preserve"> and society</w:t>
      </w:r>
      <w:r>
        <w:t xml:space="preserve">.  </w:t>
      </w:r>
    </w:p>
    <w:p w:rsidR="00D83BF5" w:rsidRPr="0084734D" w:rsidRDefault="00D83BF5" w:rsidP="00777B64">
      <w:pPr>
        <w:jc w:val="center"/>
        <w:rPr>
          <w:szCs w:val="24"/>
        </w:rPr>
      </w:pPr>
      <w:r>
        <w:rPr>
          <w:szCs w:val="24"/>
        </w:rPr>
        <w:t>_______________</w:t>
      </w:r>
    </w:p>
    <w:sectPr w:rsidR="00D83BF5" w:rsidRPr="0084734D" w:rsidSect="0039169B">
      <w:headerReference w:type="default" r:id="rId16"/>
      <w:footerReference w:type="even" r:id="rId17"/>
      <w:footerReference w:type="first" r:id="rId18"/>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B91" w:rsidRDefault="009B1B91">
      <w:r>
        <w:separator/>
      </w:r>
    </w:p>
  </w:endnote>
  <w:endnote w:type="continuationSeparator" w:id="0">
    <w:p w:rsidR="009B1B91" w:rsidRDefault="009B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64F8C">
      <w:rPr>
        <w:noProof/>
        <w:lang w:val="en-US"/>
      </w:rPr>
      <w:t>P:\SUP\Meetings\TDAG\2018-23rd\Documents\C\018E_v3-Clean_capacity-building.docx</w:t>
    </w:r>
    <w:r>
      <w:fldChar w:fldCharType="end"/>
    </w:r>
    <w:r w:rsidRPr="0041348E">
      <w:rPr>
        <w:lang w:val="en-US"/>
      </w:rPr>
      <w:tab/>
    </w:r>
    <w:r>
      <w:fldChar w:fldCharType="begin"/>
    </w:r>
    <w:r>
      <w:instrText xml:space="preserve"> SAVEDATE \@ DD.MM.YY </w:instrText>
    </w:r>
    <w:r>
      <w:fldChar w:fldCharType="separate"/>
    </w:r>
    <w:r w:rsidR="00037A17">
      <w:rPr>
        <w:noProof/>
      </w:rPr>
      <w:t>02.02.18</w:t>
    </w:r>
    <w:r>
      <w:fldChar w:fldCharType="end"/>
    </w:r>
    <w:r w:rsidRPr="0041348E">
      <w:rPr>
        <w:lang w:val="en-US"/>
      </w:rPr>
      <w:tab/>
    </w:r>
    <w:r>
      <w:fldChar w:fldCharType="begin"/>
    </w:r>
    <w:r>
      <w:instrText xml:space="preserve"> PRINTDATE \@ DD.MM.YY </w:instrText>
    </w:r>
    <w:r>
      <w:fldChar w:fldCharType="separate"/>
    </w:r>
    <w:r w:rsidR="00064F8C">
      <w:rPr>
        <w:noProof/>
      </w:rPr>
      <w:t>02.02.18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777B64" w:rsidRPr="004D495C" w:rsidTr="00B864EE">
      <w:tc>
        <w:tcPr>
          <w:tcW w:w="1526" w:type="dxa"/>
          <w:tcBorders>
            <w:top w:val="single" w:sz="4" w:space="0" w:color="000000"/>
          </w:tcBorders>
          <w:shd w:val="clear" w:color="auto" w:fill="auto"/>
        </w:tcPr>
        <w:p w:rsidR="00777B64" w:rsidRPr="004D495C" w:rsidRDefault="00777B64" w:rsidP="00777B64">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777B64" w:rsidRPr="008673C5" w:rsidRDefault="00777B64" w:rsidP="00777B64">
          <w:pPr>
            <w:pStyle w:val="FirstFooter"/>
            <w:tabs>
              <w:tab w:val="left" w:pos="2302"/>
            </w:tabs>
            <w:ind w:left="2302" w:hanging="2302"/>
            <w:rPr>
              <w:sz w:val="18"/>
              <w:szCs w:val="18"/>
              <w:lang w:val="en-US"/>
            </w:rPr>
          </w:pPr>
          <w:r w:rsidRPr="008673C5">
            <w:rPr>
              <w:sz w:val="18"/>
              <w:szCs w:val="18"/>
              <w:lang w:val="en-US"/>
            </w:rPr>
            <w:t>Name/Organization/Entity:</w:t>
          </w:r>
        </w:p>
      </w:tc>
      <w:tc>
        <w:tcPr>
          <w:tcW w:w="5987" w:type="dxa"/>
          <w:tcBorders>
            <w:top w:val="single" w:sz="4" w:space="0" w:color="000000"/>
          </w:tcBorders>
          <w:shd w:val="clear" w:color="auto" w:fill="auto"/>
        </w:tcPr>
        <w:p w:rsidR="00777B64" w:rsidRPr="008673C5" w:rsidRDefault="00777B64" w:rsidP="00777B64">
          <w:pPr>
            <w:pStyle w:val="FirstFooter"/>
            <w:rPr>
              <w:sz w:val="18"/>
              <w:szCs w:val="18"/>
              <w:lang w:val="en-US"/>
            </w:rPr>
          </w:pPr>
          <w:bookmarkStart w:id="11" w:name="OrgName"/>
          <w:bookmarkEnd w:id="11"/>
          <w:proofErr w:type="spellStart"/>
          <w:r w:rsidRPr="006F6E5C">
            <w:rPr>
              <w:sz w:val="18"/>
              <w:szCs w:val="18"/>
              <w:lang w:val="en-US"/>
            </w:rPr>
            <w:t>Mr</w:t>
          </w:r>
          <w:proofErr w:type="spellEnd"/>
          <w:r w:rsidRPr="006F6E5C">
            <w:rPr>
              <w:sz w:val="18"/>
              <w:szCs w:val="18"/>
              <w:lang w:val="en-US"/>
            </w:rPr>
            <w:t xml:space="preserve"> Cosmas Zavazava, Chief of Projects and Knowledge Management Department (PKM), Telecommunication Development Bureau</w:t>
          </w:r>
        </w:p>
      </w:tc>
    </w:tr>
    <w:tr w:rsidR="00777B64" w:rsidRPr="004D495C" w:rsidTr="00B864EE">
      <w:tc>
        <w:tcPr>
          <w:tcW w:w="1526" w:type="dxa"/>
          <w:shd w:val="clear" w:color="auto" w:fill="auto"/>
        </w:tcPr>
        <w:p w:rsidR="00777B64" w:rsidRPr="004D495C" w:rsidRDefault="00777B64" w:rsidP="00777B64">
          <w:pPr>
            <w:pStyle w:val="FirstFooter"/>
            <w:tabs>
              <w:tab w:val="left" w:pos="1559"/>
              <w:tab w:val="left" w:pos="3828"/>
            </w:tabs>
            <w:rPr>
              <w:sz w:val="20"/>
              <w:lang w:val="en-US"/>
            </w:rPr>
          </w:pPr>
        </w:p>
      </w:tc>
      <w:tc>
        <w:tcPr>
          <w:tcW w:w="2410" w:type="dxa"/>
          <w:shd w:val="clear" w:color="auto" w:fill="auto"/>
        </w:tcPr>
        <w:p w:rsidR="00777B64" w:rsidRPr="004D495C" w:rsidRDefault="00777B64" w:rsidP="00777B64">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777B64" w:rsidRPr="004D495C" w:rsidRDefault="00777B64" w:rsidP="00777B64">
          <w:pPr>
            <w:pStyle w:val="FirstFooter"/>
            <w:tabs>
              <w:tab w:val="left" w:pos="2302"/>
            </w:tabs>
            <w:rPr>
              <w:sz w:val="18"/>
              <w:szCs w:val="18"/>
              <w:highlight w:val="yellow"/>
              <w:lang w:val="en-US"/>
            </w:rPr>
          </w:pPr>
          <w:bookmarkStart w:id="12" w:name="PhoneNo"/>
          <w:bookmarkEnd w:id="12"/>
          <w:r w:rsidRPr="006F6E5C">
            <w:rPr>
              <w:sz w:val="18"/>
              <w:szCs w:val="18"/>
              <w:lang w:val="en-US"/>
            </w:rPr>
            <w:t>+41 22 7305447</w:t>
          </w:r>
        </w:p>
      </w:tc>
    </w:tr>
    <w:tr w:rsidR="00777B64" w:rsidRPr="004D495C" w:rsidTr="00B864EE">
      <w:tc>
        <w:tcPr>
          <w:tcW w:w="1526" w:type="dxa"/>
          <w:shd w:val="clear" w:color="auto" w:fill="auto"/>
        </w:tcPr>
        <w:p w:rsidR="00777B64" w:rsidRPr="004D495C" w:rsidRDefault="00777B64" w:rsidP="00777B64">
          <w:pPr>
            <w:pStyle w:val="FirstFooter"/>
            <w:tabs>
              <w:tab w:val="left" w:pos="1559"/>
              <w:tab w:val="left" w:pos="3828"/>
            </w:tabs>
            <w:rPr>
              <w:sz w:val="20"/>
              <w:lang w:val="en-US"/>
            </w:rPr>
          </w:pPr>
        </w:p>
      </w:tc>
      <w:tc>
        <w:tcPr>
          <w:tcW w:w="2410" w:type="dxa"/>
          <w:shd w:val="clear" w:color="auto" w:fill="auto"/>
        </w:tcPr>
        <w:p w:rsidR="00777B64" w:rsidRPr="004D495C" w:rsidRDefault="00777B64" w:rsidP="00777B64">
          <w:pPr>
            <w:pStyle w:val="FirstFooter"/>
            <w:tabs>
              <w:tab w:val="left" w:pos="2302"/>
            </w:tabs>
            <w:rPr>
              <w:sz w:val="18"/>
              <w:szCs w:val="18"/>
              <w:lang w:val="en-US"/>
            </w:rPr>
          </w:pPr>
          <w:r w:rsidRPr="004D495C">
            <w:rPr>
              <w:sz w:val="18"/>
              <w:szCs w:val="18"/>
              <w:lang w:val="en-US"/>
            </w:rPr>
            <w:t>E-mail:</w:t>
          </w:r>
        </w:p>
      </w:tc>
      <w:bookmarkStart w:id="13" w:name="Email"/>
      <w:bookmarkEnd w:id="13"/>
      <w:tc>
        <w:tcPr>
          <w:tcW w:w="5987" w:type="dxa"/>
          <w:shd w:val="clear" w:color="auto" w:fill="auto"/>
        </w:tcPr>
        <w:p w:rsidR="00777B64" w:rsidRPr="004D495C" w:rsidRDefault="00777B64" w:rsidP="00777B64">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92144E">
            <w:rPr>
              <w:sz w:val="18"/>
              <w:szCs w:val="18"/>
              <w:lang w:val="en-US"/>
            </w:rPr>
            <w:instrText>cosmas.zavazava@itu.int</w:instrText>
          </w:r>
          <w:r>
            <w:rPr>
              <w:sz w:val="18"/>
              <w:szCs w:val="18"/>
              <w:lang w:val="en-US"/>
            </w:rPr>
            <w:instrText xml:space="preserve">" </w:instrText>
          </w:r>
          <w:r>
            <w:rPr>
              <w:sz w:val="18"/>
              <w:szCs w:val="18"/>
              <w:lang w:val="en-US"/>
            </w:rPr>
            <w:fldChar w:fldCharType="separate"/>
          </w:r>
          <w:r w:rsidRPr="00C77B30">
            <w:rPr>
              <w:rStyle w:val="Hyperlink"/>
              <w:sz w:val="18"/>
              <w:szCs w:val="18"/>
              <w:lang w:val="en-US"/>
            </w:rPr>
            <w:t>cosmas.zavazava@itu.int</w:t>
          </w:r>
          <w:r>
            <w:rPr>
              <w:sz w:val="18"/>
              <w:szCs w:val="18"/>
              <w:lang w:val="en-US"/>
            </w:rPr>
            <w:fldChar w:fldCharType="end"/>
          </w:r>
        </w:p>
      </w:tc>
    </w:tr>
  </w:tbl>
  <w:p w:rsidR="00E45D05" w:rsidRPr="00777B64" w:rsidRDefault="00037A17" w:rsidP="00777B64">
    <w:pPr>
      <w:jc w:val="center"/>
    </w:pPr>
    <w:hyperlink r:id="rId1" w:history="1">
      <w:r w:rsidR="00777B64"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B91" w:rsidRDefault="009B1B91">
      <w:r>
        <w:rPr>
          <w:b/>
        </w:rPr>
        <w:t>_______________</w:t>
      </w:r>
    </w:p>
  </w:footnote>
  <w:footnote w:type="continuationSeparator" w:id="0">
    <w:p w:rsidR="009B1B91" w:rsidRDefault="009B1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D83BF5" w:rsidRDefault="00D83BF5" w:rsidP="00777B64">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001E252D">
      <w:rPr>
        <w:sz w:val="22"/>
        <w:szCs w:val="22"/>
        <w:lang w:val="es-ES_tradnl"/>
      </w:rPr>
      <w:t>TDAG</w:t>
    </w:r>
    <w:r w:rsidR="008B61EA">
      <w:rPr>
        <w:sz w:val="22"/>
        <w:szCs w:val="22"/>
        <w:lang w:val="es-ES_tradnl"/>
      </w:rPr>
      <w:t>-1</w:t>
    </w:r>
    <w:r w:rsidR="001E252D">
      <w:rPr>
        <w:sz w:val="22"/>
        <w:szCs w:val="22"/>
        <w:lang w:val="es-ES_tradnl"/>
      </w:rPr>
      <w:t>8</w:t>
    </w:r>
    <w:r w:rsidRPr="00FF089C">
      <w:rPr>
        <w:sz w:val="22"/>
        <w:szCs w:val="22"/>
        <w:lang w:val="es-ES_tradnl"/>
      </w:rPr>
      <w:t>/</w:t>
    </w:r>
    <w:bookmarkStart w:id="10" w:name="DocNo2"/>
    <w:bookmarkEnd w:id="10"/>
    <w:r w:rsidR="00777B64">
      <w:rPr>
        <w:sz w:val="22"/>
        <w:szCs w:val="22"/>
        <w:lang w:val="es-ES_tradnl"/>
      </w:rPr>
      <w:t>18</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037A17">
      <w:rPr>
        <w:noProof/>
        <w:sz w:val="22"/>
        <w:szCs w:val="22"/>
        <w:lang w:val="es-ES_tradnl"/>
      </w:rPr>
      <w:t>4</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57E5B99"/>
    <w:multiLevelType w:val="hybridMultilevel"/>
    <w:tmpl w:val="A9C2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37A17"/>
    <w:rsid w:val="00051E39"/>
    <w:rsid w:val="00052F77"/>
    <w:rsid w:val="00063ACD"/>
    <w:rsid w:val="00064F8C"/>
    <w:rsid w:val="000675E6"/>
    <w:rsid w:val="00075C63"/>
    <w:rsid w:val="00077239"/>
    <w:rsid w:val="00080905"/>
    <w:rsid w:val="000822BE"/>
    <w:rsid w:val="00086491"/>
    <w:rsid w:val="00091346"/>
    <w:rsid w:val="000B0F68"/>
    <w:rsid w:val="000B2A98"/>
    <w:rsid w:val="000D4875"/>
    <w:rsid w:val="000F73FF"/>
    <w:rsid w:val="00114CF7"/>
    <w:rsid w:val="00123B68"/>
    <w:rsid w:val="00126F2E"/>
    <w:rsid w:val="00146F6F"/>
    <w:rsid w:val="00147DA1"/>
    <w:rsid w:val="00152957"/>
    <w:rsid w:val="001604CF"/>
    <w:rsid w:val="00187BD9"/>
    <w:rsid w:val="00190B55"/>
    <w:rsid w:val="00194CFB"/>
    <w:rsid w:val="001B2ED3"/>
    <w:rsid w:val="001B7EA3"/>
    <w:rsid w:val="001C0D19"/>
    <w:rsid w:val="001C3B5F"/>
    <w:rsid w:val="001D058F"/>
    <w:rsid w:val="001D2D89"/>
    <w:rsid w:val="001D6F12"/>
    <w:rsid w:val="001E252D"/>
    <w:rsid w:val="002009EA"/>
    <w:rsid w:val="00202CA0"/>
    <w:rsid w:val="00205DEE"/>
    <w:rsid w:val="002101A1"/>
    <w:rsid w:val="002154A6"/>
    <w:rsid w:val="002162CD"/>
    <w:rsid w:val="002255B3"/>
    <w:rsid w:val="00236E8A"/>
    <w:rsid w:val="00271316"/>
    <w:rsid w:val="00296313"/>
    <w:rsid w:val="002B3C84"/>
    <w:rsid w:val="002D58BE"/>
    <w:rsid w:val="002D7D06"/>
    <w:rsid w:val="003013EE"/>
    <w:rsid w:val="00307A50"/>
    <w:rsid w:val="00357DA9"/>
    <w:rsid w:val="00364383"/>
    <w:rsid w:val="00377BD3"/>
    <w:rsid w:val="00384088"/>
    <w:rsid w:val="0038489B"/>
    <w:rsid w:val="0039169B"/>
    <w:rsid w:val="003961A9"/>
    <w:rsid w:val="003A7F8C"/>
    <w:rsid w:val="003B015D"/>
    <w:rsid w:val="003B532E"/>
    <w:rsid w:val="003B6F14"/>
    <w:rsid w:val="003D0F8B"/>
    <w:rsid w:val="003E1D04"/>
    <w:rsid w:val="004131D4"/>
    <w:rsid w:val="0041348E"/>
    <w:rsid w:val="00416496"/>
    <w:rsid w:val="00447308"/>
    <w:rsid w:val="004765FF"/>
    <w:rsid w:val="00492075"/>
    <w:rsid w:val="004969AD"/>
    <w:rsid w:val="004B13CB"/>
    <w:rsid w:val="004B4FDF"/>
    <w:rsid w:val="004B65F4"/>
    <w:rsid w:val="004D5D5C"/>
    <w:rsid w:val="0050139F"/>
    <w:rsid w:val="00501D24"/>
    <w:rsid w:val="00521223"/>
    <w:rsid w:val="00524DF1"/>
    <w:rsid w:val="00530FF3"/>
    <w:rsid w:val="0055140B"/>
    <w:rsid w:val="00554C4F"/>
    <w:rsid w:val="00561D72"/>
    <w:rsid w:val="00567B7C"/>
    <w:rsid w:val="005964AB"/>
    <w:rsid w:val="005B44F5"/>
    <w:rsid w:val="005B6AF5"/>
    <w:rsid w:val="005C099A"/>
    <w:rsid w:val="005C31A5"/>
    <w:rsid w:val="005E10C9"/>
    <w:rsid w:val="005E61DD"/>
    <w:rsid w:val="005E6321"/>
    <w:rsid w:val="006023DF"/>
    <w:rsid w:val="006402F1"/>
    <w:rsid w:val="0064322F"/>
    <w:rsid w:val="00651E96"/>
    <w:rsid w:val="00657DE0"/>
    <w:rsid w:val="0067199F"/>
    <w:rsid w:val="00677048"/>
    <w:rsid w:val="00685313"/>
    <w:rsid w:val="006A6E9B"/>
    <w:rsid w:val="006B7C2A"/>
    <w:rsid w:val="006C23DA"/>
    <w:rsid w:val="006E3D45"/>
    <w:rsid w:val="006E69F9"/>
    <w:rsid w:val="006F31B7"/>
    <w:rsid w:val="007149F9"/>
    <w:rsid w:val="00733A30"/>
    <w:rsid w:val="00745AEE"/>
    <w:rsid w:val="007479EA"/>
    <w:rsid w:val="00750F10"/>
    <w:rsid w:val="00753735"/>
    <w:rsid w:val="007742CA"/>
    <w:rsid w:val="007756DE"/>
    <w:rsid w:val="00777B64"/>
    <w:rsid w:val="007D06F0"/>
    <w:rsid w:val="007D45E3"/>
    <w:rsid w:val="007D5320"/>
    <w:rsid w:val="007F735C"/>
    <w:rsid w:val="00800972"/>
    <w:rsid w:val="00804475"/>
    <w:rsid w:val="00811633"/>
    <w:rsid w:val="00821CEF"/>
    <w:rsid w:val="008236ED"/>
    <w:rsid w:val="00832828"/>
    <w:rsid w:val="0083645A"/>
    <w:rsid w:val="00840B0F"/>
    <w:rsid w:val="00845B9B"/>
    <w:rsid w:val="0085779E"/>
    <w:rsid w:val="008711AE"/>
    <w:rsid w:val="00872FC8"/>
    <w:rsid w:val="008801D3"/>
    <w:rsid w:val="008845D0"/>
    <w:rsid w:val="008A3933"/>
    <w:rsid w:val="008B43F2"/>
    <w:rsid w:val="008B61EA"/>
    <w:rsid w:val="008B6CFF"/>
    <w:rsid w:val="009107DC"/>
    <w:rsid w:val="00910B26"/>
    <w:rsid w:val="009274B4"/>
    <w:rsid w:val="00927FA2"/>
    <w:rsid w:val="00934EA2"/>
    <w:rsid w:val="00936B0F"/>
    <w:rsid w:val="00944A5C"/>
    <w:rsid w:val="00952A66"/>
    <w:rsid w:val="00991CA2"/>
    <w:rsid w:val="009B0928"/>
    <w:rsid w:val="009B0B44"/>
    <w:rsid w:val="009B1B91"/>
    <w:rsid w:val="009B75FF"/>
    <w:rsid w:val="009C56E5"/>
    <w:rsid w:val="009E283B"/>
    <w:rsid w:val="009E5FC8"/>
    <w:rsid w:val="009E687A"/>
    <w:rsid w:val="00A03C5C"/>
    <w:rsid w:val="00A066F1"/>
    <w:rsid w:val="00A141AF"/>
    <w:rsid w:val="00A14C89"/>
    <w:rsid w:val="00A16D29"/>
    <w:rsid w:val="00A20E5E"/>
    <w:rsid w:val="00A23978"/>
    <w:rsid w:val="00A30305"/>
    <w:rsid w:val="00A31D2D"/>
    <w:rsid w:val="00A4600A"/>
    <w:rsid w:val="00A508FB"/>
    <w:rsid w:val="00A538A6"/>
    <w:rsid w:val="00A54C25"/>
    <w:rsid w:val="00A710E7"/>
    <w:rsid w:val="00A7372E"/>
    <w:rsid w:val="00A93B85"/>
    <w:rsid w:val="00AA0B18"/>
    <w:rsid w:val="00AA666F"/>
    <w:rsid w:val="00AB4927"/>
    <w:rsid w:val="00AB623D"/>
    <w:rsid w:val="00AC034F"/>
    <w:rsid w:val="00AC14D9"/>
    <w:rsid w:val="00AD01FD"/>
    <w:rsid w:val="00AD0DA4"/>
    <w:rsid w:val="00AE0F0E"/>
    <w:rsid w:val="00B004E5"/>
    <w:rsid w:val="00B04B2A"/>
    <w:rsid w:val="00B15F9D"/>
    <w:rsid w:val="00B464B1"/>
    <w:rsid w:val="00B639E9"/>
    <w:rsid w:val="00B813AE"/>
    <w:rsid w:val="00B817CD"/>
    <w:rsid w:val="00B911B2"/>
    <w:rsid w:val="00B93621"/>
    <w:rsid w:val="00B951D0"/>
    <w:rsid w:val="00B95DA2"/>
    <w:rsid w:val="00BB29C8"/>
    <w:rsid w:val="00BB3A95"/>
    <w:rsid w:val="00BB6218"/>
    <w:rsid w:val="00BC0382"/>
    <w:rsid w:val="00BD62C6"/>
    <w:rsid w:val="00BE1F05"/>
    <w:rsid w:val="00C0018F"/>
    <w:rsid w:val="00C1782F"/>
    <w:rsid w:val="00C20466"/>
    <w:rsid w:val="00C214ED"/>
    <w:rsid w:val="00C234E6"/>
    <w:rsid w:val="00C324A8"/>
    <w:rsid w:val="00C342C7"/>
    <w:rsid w:val="00C34521"/>
    <w:rsid w:val="00C50CF5"/>
    <w:rsid w:val="00C52F87"/>
    <w:rsid w:val="00C54517"/>
    <w:rsid w:val="00C64CD8"/>
    <w:rsid w:val="00C87A4D"/>
    <w:rsid w:val="00C97C68"/>
    <w:rsid w:val="00CA1A47"/>
    <w:rsid w:val="00CC247A"/>
    <w:rsid w:val="00CD7608"/>
    <w:rsid w:val="00CE5E47"/>
    <w:rsid w:val="00CF020F"/>
    <w:rsid w:val="00CF2B5B"/>
    <w:rsid w:val="00CF5272"/>
    <w:rsid w:val="00CF68EF"/>
    <w:rsid w:val="00D14CE0"/>
    <w:rsid w:val="00D36333"/>
    <w:rsid w:val="00D36E63"/>
    <w:rsid w:val="00D5651D"/>
    <w:rsid w:val="00D74898"/>
    <w:rsid w:val="00D801ED"/>
    <w:rsid w:val="00D83BF5"/>
    <w:rsid w:val="00D925C2"/>
    <w:rsid w:val="00D936BC"/>
    <w:rsid w:val="00D93DE2"/>
    <w:rsid w:val="00D9621A"/>
    <w:rsid w:val="00D96530"/>
    <w:rsid w:val="00D96B4B"/>
    <w:rsid w:val="00D97061"/>
    <w:rsid w:val="00DA2345"/>
    <w:rsid w:val="00DA453A"/>
    <w:rsid w:val="00DA6D8E"/>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614BD"/>
    <w:rsid w:val="00E976C1"/>
    <w:rsid w:val="00EA12E5"/>
    <w:rsid w:val="00F02766"/>
    <w:rsid w:val="00F02F00"/>
    <w:rsid w:val="00F04067"/>
    <w:rsid w:val="00F05BD4"/>
    <w:rsid w:val="00F11A98"/>
    <w:rsid w:val="00F15F38"/>
    <w:rsid w:val="00F21A1D"/>
    <w:rsid w:val="00F65C19"/>
    <w:rsid w:val="00FD2546"/>
    <w:rsid w:val="00FD2594"/>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cademy.itu.int/index.php?option=com_content&amp;view=article&amp;id=178&amp;Itemid=687&amp;lang=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D18-TDAG23-C-0017/"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D/Capacity-Building/Pages/events/academia2017.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996b2e75-67fd-4955-a3b0-5ab9934cb50b"/>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32a1a8c5-2265-4ebc-b7a0-2071e2c5c9b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FB7B84-B222-4A2B-B8C4-136B1342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1337</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9299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 - nd</cp:lastModifiedBy>
  <cp:revision>5</cp:revision>
  <cp:lastPrinted>2018-02-02T10:20:00Z</cp:lastPrinted>
  <dcterms:created xsi:type="dcterms:W3CDTF">2018-02-02T10:18:00Z</dcterms:created>
  <dcterms:modified xsi:type="dcterms:W3CDTF">2018-02-05T10:01:00Z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