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320DA3" w:rsidTr="00D92762">
        <w:trPr>
          <w:cantSplit/>
          <w:trHeight w:val="1134"/>
        </w:trPr>
        <w:tc>
          <w:tcPr>
            <w:tcW w:w="6663" w:type="dxa"/>
            <w:tcBorders>
              <w:bottom w:val="single" w:sz="12" w:space="0" w:color="auto"/>
            </w:tcBorders>
          </w:tcPr>
          <w:p w:rsidR="00D372A5" w:rsidRDefault="00D372A5"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D372A5" w:rsidRPr="00560C51" w:rsidRDefault="00D372A5" w:rsidP="000725A1">
            <w:pPr>
              <w:spacing w:before="100" w:after="120"/>
              <w:rPr>
                <w:rFonts w:ascii="Verdana" w:hAnsi="Verdana"/>
                <w:sz w:val="28"/>
                <w:szCs w:val="28"/>
                <w:lang w:val="es-ES_tradnl"/>
              </w:rPr>
            </w:pPr>
            <w:r w:rsidRPr="008C1852">
              <w:rPr>
                <w:b/>
                <w:bCs/>
                <w:sz w:val="26"/>
                <w:szCs w:val="26"/>
                <w:lang w:val="es-ES_tradnl"/>
              </w:rPr>
              <w:t>2</w:t>
            </w:r>
            <w:r>
              <w:rPr>
                <w:b/>
                <w:bCs/>
                <w:sz w:val="26"/>
                <w:szCs w:val="26"/>
                <w:lang w:val="es-ES_tradnl"/>
              </w:rPr>
              <w:t>3</w:t>
            </w:r>
            <w:r w:rsidRPr="008C1852">
              <w:rPr>
                <w:b/>
                <w:bCs/>
                <w:sz w:val="26"/>
                <w:szCs w:val="26"/>
                <w:lang w:val="es-ES_tradnl"/>
              </w:rPr>
              <w:t>ª reunión, Ginebra, 9-1</w:t>
            </w:r>
            <w:r>
              <w:rPr>
                <w:b/>
                <w:bCs/>
                <w:sz w:val="26"/>
                <w:szCs w:val="26"/>
                <w:lang w:val="es-ES_tradnl"/>
              </w:rPr>
              <w:t>1</w:t>
            </w:r>
            <w:r w:rsidRPr="008C1852">
              <w:rPr>
                <w:b/>
                <w:bCs/>
                <w:sz w:val="26"/>
                <w:szCs w:val="26"/>
                <w:lang w:val="es-ES_tradnl"/>
              </w:rPr>
              <w:t xml:space="preserve"> de </w:t>
            </w:r>
            <w:r>
              <w:rPr>
                <w:b/>
                <w:bCs/>
                <w:sz w:val="26"/>
                <w:szCs w:val="26"/>
                <w:lang w:val="es-ES_tradnl"/>
              </w:rPr>
              <w:t>abril</w:t>
            </w:r>
            <w:r w:rsidRPr="008C1852">
              <w:rPr>
                <w:b/>
                <w:bCs/>
                <w:sz w:val="26"/>
                <w:szCs w:val="26"/>
                <w:lang w:val="es-ES_tradnl"/>
              </w:rPr>
              <w:t xml:space="preserve"> de 201</w:t>
            </w:r>
            <w:r>
              <w:rPr>
                <w:b/>
                <w:bCs/>
                <w:sz w:val="26"/>
                <w:szCs w:val="26"/>
                <w:lang w:val="es-ES_tradnl"/>
              </w:rPr>
              <w:t>8</w:t>
            </w:r>
          </w:p>
        </w:tc>
        <w:tc>
          <w:tcPr>
            <w:tcW w:w="3225" w:type="dxa"/>
            <w:tcBorders>
              <w:bottom w:val="single" w:sz="12" w:space="0" w:color="auto"/>
            </w:tcBorders>
          </w:tcPr>
          <w:p w:rsidR="00D372A5" w:rsidRPr="00560C51" w:rsidRDefault="00D372A5" w:rsidP="004B7893">
            <w:pPr>
              <w:spacing w:before="40" w:after="80"/>
              <w:ind w:right="142"/>
              <w:rPr>
                <w:lang w:val="es-ES_tradnl"/>
              </w:rPr>
            </w:pPr>
            <w:r w:rsidRPr="00CC1F10">
              <w:rPr>
                <w:noProof/>
                <w:color w:val="3399FF"/>
                <w:lang w:val="en-GB" w:eastAsia="zh-CN"/>
              </w:rPr>
              <w:drawing>
                <wp:anchor distT="0" distB="0" distL="114300" distR="114300" simplePos="0" relativeHeight="251661312" behindDoc="0" locked="0" layoutInCell="1" allowOverlap="1" wp14:anchorId="1BC3BCAE" wp14:editId="3F2A306F">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320DA3" w:rsidTr="004B7893">
        <w:trPr>
          <w:cantSplit/>
        </w:trPr>
        <w:tc>
          <w:tcPr>
            <w:tcW w:w="6663" w:type="dxa"/>
            <w:tcBorders>
              <w:top w:val="single" w:sz="12" w:space="0" w:color="auto"/>
            </w:tcBorders>
          </w:tcPr>
          <w:p w:rsidR="004B7893" w:rsidRPr="00560C51" w:rsidRDefault="004B7893" w:rsidP="004B7893">
            <w:pPr>
              <w:spacing w:before="0"/>
              <w:rPr>
                <w:rFonts w:cs="Arial"/>
                <w:b/>
                <w:bCs/>
                <w:sz w:val="20"/>
                <w:lang w:val="es-ES_tradnl"/>
              </w:rPr>
            </w:pPr>
          </w:p>
        </w:tc>
        <w:tc>
          <w:tcPr>
            <w:tcW w:w="3225" w:type="dxa"/>
            <w:tcBorders>
              <w:top w:val="single" w:sz="12" w:space="0" w:color="auto"/>
            </w:tcBorders>
          </w:tcPr>
          <w:p w:rsidR="004B7893" w:rsidRPr="00560C51" w:rsidRDefault="004B7893" w:rsidP="004B7893">
            <w:pPr>
              <w:spacing w:before="0"/>
              <w:rPr>
                <w:b/>
                <w:bCs/>
                <w:sz w:val="20"/>
                <w:lang w:val="es-ES_tradnl"/>
              </w:rPr>
            </w:pPr>
          </w:p>
        </w:tc>
      </w:tr>
      <w:tr w:rsidR="004B7893" w:rsidRPr="00560C51" w:rsidTr="004B7893">
        <w:trPr>
          <w:cantSplit/>
        </w:trPr>
        <w:tc>
          <w:tcPr>
            <w:tcW w:w="6663" w:type="dxa"/>
          </w:tcPr>
          <w:p w:rsidR="004B7893" w:rsidRPr="00560C51" w:rsidRDefault="004B7893" w:rsidP="004B7893">
            <w:pPr>
              <w:pStyle w:val="Committee"/>
              <w:spacing w:before="0"/>
              <w:rPr>
                <w:b w:val="0"/>
                <w:lang w:val="es-ES_tradnl"/>
              </w:rPr>
            </w:pPr>
          </w:p>
        </w:tc>
        <w:tc>
          <w:tcPr>
            <w:tcW w:w="3225" w:type="dxa"/>
          </w:tcPr>
          <w:p w:rsidR="004B7893" w:rsidRPr="00560C51" w:rsidRDefault="005637B9" w:rsidP="00CF2A05">
            <w:pPr>
              <w:spacing w:before="0"/>
              <w:rPr>
                <w:bCs/>
                <w:lang w:val="es-ES_tradnl"/>
              </w:rPr>
            </w:pPr>
            <w:r w:rsidRPr="00560C51">
              <w:rPr>
                <w:b/>
                <w:bCs/>
                <w:lang w:val="es-ES_tradnl"/>
              </w:rPr>
              <w:t xml:space="preserve">Documento </w:t>
            </w:r>
            <w:bookmarkStart w:id="0" w:name="DocRef1"/>
            <w:bookmarkEnd w:id="0"/>
            <w:r>
              <w:rPr>
                <w:b/>
                <w:bCs/>
                <w:lang w:val="es-ES_tradnl"/>
              </w:rPr>
              <w:t>TDAG1</w:t>
            </w:r>
            <w:r w:rsidR="000725A1">
              <w:rPr>
                <w:b/>
                <w:bCs/>
                <w:lang w:val="es-ES_tradnl"/>
              </w:rPr>
              <w:t>8</w:t>
            </w:r>
            <w:bookmarkStart w:id="1" w:name="_GoBack"/>
            <w:bookmarkEnd w:id="1"/>
            <w:r w:rsidRPr="00560C51">
              <w:rPr>
                <w:b/>
                <w:bCs/>
                <w:lang w:val="es-ES_tradnl"/>
              </w:rPr>
              <w:t>/</w:t>
            </w:r>
            <w:bookmarkStart w:id="2" w:name="DocNo1"/>
            <w:bookmarkEnd w:id="2"/>
            <w:r w:rsidR="00320DA3">
              <w:rPr>
                <w:b/>
                <w:bCs/>
                <w:lang w:val="es-ES_tradnl"/>
              </w:rPr>
              <w:t>18</w:t>
            </w:r>
            <w:r>
              <w:rPr>
                <w:b/>
                <w:bCs/>
                <w:lang w:val="es-ES_tradnl"/>
              </w:rPr>
              <w:t>-S</w:t>
            </w:r>
          </w:p>
        </w:tc>
      </w:tr>
      <w:tr w:rsidR="004B7893" w:rsidRPr="00560C51"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360762" w:rsidRDefault="00320DA3" w:rsidP="000725A1">
            <w:pPr>
              <w:spacing w:before="0"/>
              <w:rPr>
                <w:b/>
                <w:lang w:val="es-ES_tradnl"/>
              </w:rPr>
            </w:pPr>
            <w:bookmarkStart w:id="3" w:name="CreationDate"/>
            <w:bookmarkEnd w:id="3"/>
            <w:r w:rsidRPr="00320DA3">
              <w:rPr>
                <w:b/>
                <w:bCs/>
                <w:szCs w:val="28"/>
              </w:rPr>
              <w:t>5 de febrero de 2018</w:t>
            </w:r>
          </w:p>
        </w:tc>
      </w:tr>
      <w:tr w:rsidR="004B7893" w:rsidRPr="00560C51"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7F1CC7" w:rsidRDefault="005637B9" w:rsidP="004B7893">
            <w:pPr>
              <w:spacing w:before="0"/>
              <w:rPr>
                <w:szCs w:val="24"/>
              </w:rPr>
            </w:pPr>
            <w:r w:rsidRPr="00560C51">
              <w:rPr>
                <w:b/>
                <w:lang w:val="es-ES_tradnl"/>
              </w:rPr>
              <w:t>Original:</w:t>
            </w:r>
            <w:bookmarkStart w:id="4" w:name="Original"/>
            <w:bookmarkEnd w:id="4"/>
            <w:r>
              <w:rPr>
                <w:b/>
                <w:lang w:val="es-ES_tradnl"/>
              </w:rPr>
              <w:t xml:space="preserve"> </w:t>
            </w:r>
            <w:r w:rsidR="00320DA3" w:rsidRPr="00320DA3">
              <w:rPr>
                <w:b/>
                <w:lang w:val="es-ES_tradnl"/>
              </w:rPr>
              <w:t>inglés</w:t>
            </w:r>
          </w:p>
        </w:tc>
      </w:tr>
      <w:tr w:rsidR="004B7893" w:rsidRPr="00320DA3" w:rsidTr="004B7893">
        <w:trPr>
          <w:cantSplit/>
          <w:trHeight w:val="852"/>
        </w:trPr>
        <w:tc>
          <w:tcPr>
            <w:tcW w:w="9888" w:type="dxa"/>
            <w:gridSpan w:val="2"/>
          </w:tcPr>
          <w:p w:rsidR="004B7893" w:rsidRPr="00320DA3" w:rsidRDefault="00320DA3" w:rsidP="004B7893">
            <w:pPr>
              <w:pStyle w:val="Source"/>
              <w:rPr>
                <w:szCs w:val="28"/>
                <w:lang w:val="es-ES_tradnl"/>
              </w:rPr>
            </w:pPr>
            <w:bookmarkStart w:id="5" w:name="Source"/>
            <w:bookmarkEnd w:id="5"/>
            <w:r w:rsidRPr="00320DA3">
              <w:rPr>
                <w:lang w:val="es-ES_tradnl"/>
              </w:rPr>
              <w:t>Informe del Director de la BDT</w:t>
            </w:r>
          </w:p>
        </w:tc>
      </w:tr>
      <w:tr w:rsidR="004B7893" w:rsidRPr="00560C51" w:rsidTr="004B7893">
        <w:trPr>
          <w:cantSplit/>
        </w:trPr>
        <w:tc>
          <w:tcPr>
            <w:tcW w:w="9888" w:type="dxa"/>
            <w:gridSpan w:val="2"/>
          </w:tcPr>
          <w:p w:rsidR="004B7893" w:rsidRPr="000135AE" w:rsidRDefault="00320DA3" w:rsidP="004B7893">
            <w:pPr>
              <w:pStyle w:val="Title1"/>
              <w:spacing w:afterAutospacing="0"/>
              <w:rPr>
                <w:bCs/>
                <w:szCs w:val="28"/>
                <w:lang w:val="es-ES_tradnl"/>
              </w:rPr>
            </w:pPr>
            <w:bookmarkStart w:id="6" w:name="Title"/>
            <w:bookmarkEnd w:id="6"/>
            <w:r w:rsidRPr="00320DA3">
              <w:t>ACTIVIDADES DE CAPACITACIÓN</w:t>
            </w:r>
          </w:p>
        </w:tc>
      </w:tr>
      <w:tr w:rsidR="004B7893" w:rsidRPr="00560C51" w:rsidTr="004B7893">
        <w:trPr>
          <w:cantSplit/>
        </w:trPr>
        <w:tc>
          <w:tcPr>
            <w:tcW w:w="9888" w:type="dxa"/>
            <w:gridSpan w:val="2"/>
            <w:tcBorders>
              <w:bottom w:val="single" w:sz="4" w:space="0" w:color="auto"/>
            </w:tcBorders>
          </w:tcPr>
          <w:p w:rsidR="004B7893" w:rsidRPr="00A721F4" w:rsidRDefault="004B7893" w:rsidP="00BC7208"/>
        </w:tc>
      </w:tr>
      <w:tr w:rsidR="004B7893" w:rsidRPr="00320DA3"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320DA3" w:rsidRDefault="004B7893" w:rsidP="004B7893">
            <w:pPr>
              <w:spacing w:before="240"/>
              <w:rPr>
                <w:b/>
                <w:bCs/>
                <w:lang w:val="es-ES_tradnl"/>
              </w:rPr>
            </w:pPr>
            <w:r w:rsidRPr="00320DA3">
              <w:rPr>
                <w:b/>
                <w:bCs/>
                <w:lang w:val="es-ES_tradnl"/>
              </w:rPr>
              <w:t>Resumen:</w:t>
            </w:r>
          </w:p>
          <w:p w:rsidR="00320DA3" w:rsidRPr="00FC0937" w:rsidRDefault="00320DA3" w:rsidP="00320DA3">
            <w:pPr>
              <w:rPr>
                <w:szCs w:val="24"/>
                <w:lang w:val="es-ES_tradnl"/>
              </w:rPr>
            </w:pPr>
            <w:r w:rsidRPr="00FC0937">
              <w:rPr>
                <w:szCs w:val="24"/>
                <w:lang w:val="es-ES_tradnl"/>
              </w:rPr>
              <w:t xml:space="preserve">En este documento se presentan las principales actividades de capacitación llevadas a cabo por la BDT durante el último año en el marco de la Academia de la UIT, incluidas la preparación e impartición de formaciones, el trabajo de la red de Centros de Excelencia, la publicación de la UIT </w:t>
            </w:r>
            <w:r w:rsidR="002E3B15">
              <w:rPr>
                <w:szCs w:val="24"/>
                <w:lang w:val="es-ES_tradnl"/>
              </w:rPr>
              <w:t>"</w:t>
            </w:r>
            <w:r w:rsidRPr="00FC0937">
              <w:rPr>
                <w:szCs w:val="24"/>
                <w:lang w:val="es-ES_tradnl"/>
              </w:rPr>
              <w:t>Capacitación en un entorno de TIC en evolución</w:t>
            </w:r>
            <w:r w:rsidR="002E3B15">
              <w:rPr>
                <w:szCs w:val="24"/>
                <w:lang w:val="es-ES_tradnl"/>
              </w:rPr>
              <w:t>"</w:t>
            </w:r>
            <w:r w:rsidRPr="00FC0937">
              <w:rPr>
                <w:szCs w:val="24"/>
                <w:lang w:val="es-ES_tradnl"/>
              </w:rPr>
              <w:t xml:space="preserve"> y la Reunión de Asociación UIT-Instituciones Académicas, celebrada en septiembre de</w:t>
            </w:r>
            <w:r w:rsidRPr="00FC0937">
              <w:rPr>
                <w:lang w:val="es-ES_tradnl"/>
              </w:rPr>
              <w:t xml:space="preserve"> 2017 e</w:t>
            </w:r>
            <w:r w:rsidR="00040066">
              <w:rPr>
                <w:lang w:val="es-ES_tradnl"/>
              </w:rPr>
              <w:t>n Budapest</w:t>
            </w:r>
            <w:r w:rsidRPr="00FC0937">
              <w:rPr>
                <w:lang w:val="es-ES_tradnl"/>
              </w:rPr>
              <w:t xml:space="preserve"> </w:t>
            </w:r>
            <w:r w:rsidR="00040066">
              <w:rPr>
                <w:lang w:val="es-ES_tradnl"/>
              </w:rPr>
              <w:t>(</w:t>
            </w:r>
            <w:r w:rsidRPr="00FC0937">
              <w:rPr>
                <w:lang w:val="es-ES_tradnl"/>
              </w:rPr>
              <w:t>Hungr</w:t>
            </w:r>
            <w:r>
              <w:rPr>
                <w:lang w:val="es-ES_tradnl"/>
              </w:rPr>
              <w:t>ía</w:t>
            </w:r>
            <w:r w:rsidR="00040066">
              <w:rPr>
                <w:lang w:val="es-ES_tradnl"/>
              </w:rPr>
              <w:t>)</w:t>
            </w:r>
            <w:r>
              <w:rPr>
                <w:lang w:val="es-ES_tradnl"/>
              </w:rPr>
              <w:t>. También se resumen los resultados de la CMDT-17 relacionados con la capacitación</w:t>
            </w:r>
            <w:r w:rsidRPr="00FC0937">
              <w:rPr>
                <w:lang w:val="es-ES_tradnl"/>
              </w:rPr>
              <w:t>.</w:t>
            </w:r>
          </w:p>
          <w:p w:rsidR="004B7893" w:rsidRPr="000C0AA7" w:rsidRDefault="00320DA3" w:rsidP="004B7893">
            <w:pPr>
              <w:rPr>
                <w:b/>
                <w:bCs/>
              </w:rPr>
            </w:pPr>
            <w:r>
              <w:rPr>
                <w:b/>
                <w:bCs/>
              </w:rPr>
              <w:t>Acción solicitada:</w:t>
            </w:r>
          </w:p>
          <w:p w:rsidR="004B7893" w:rsidRPr="00320DA3" w:rsidRDefault="00320DA3" w:rsidP="00320DA3">
            <w:pPr>
              <w:rPr>
                <w:lang w:val="es-ES_tradnl"/>
              </w:rPr>
            </w:pPr>
            <w:r w:rsidRPr="00320DA3">
              <w:rPr>
                <w:lang w:val="es-ES_tradnl"/>
              </w:rPr>
              <w:t>Se invita al GADT a tomar nota del Informe y formular los comentarios que considere convenientes.</w:t>
            </w:r>
          </w:p>
          <w:p w:rsidR="004B7893" w:rsidRPr="00320DA3" w:rsidRDefault="004B7893" w:rsidP="004B7893">
            <w:pPr>
              <w:rPr>
                <w:b/>
                <w:bCs/>
                <w:lang w:val="es-ES_tradnl"/>
              </w:rPr>
            </w:pPr>
            <w:r w:rsidRPr="00320DA3">
              <w:rPr>
                <w:b/>
                <w:bCs/>
                <w:lang w:val="es-ES_tradnl"/>
              </w:rPr>
              <w:t>Referencias:</w:t>
            </w:r>
          </w:p>
          <w:p w:rsidR="00320DA3" w:rsidRPr="00320DA3" w:rsidRDefault="00320DA3" w:rsidP="00320DA3">
            <w:pPr>
              <w:rPr>
                <w:lang w:val="es-ES_tradnl"/>
              </w:rPr>
            </w:pPr>
            <w:r w:rsidRPr="00320DA3">
              <w:rPr>
                <w:lang w:val="es-ES_tradnl"/>
              </w:rPr>
              <w:t>Plan de Acción de Buenos Aires, Objetivo 3, Producto 3.3</w:t>
            </w:r>
          </w:p>
          <w:p w:rsidR="00320DA3" w:rsidRPr="00320DA3" w:rsidRDefault="00320DA3" w:rsidP="00320DA3">
            <w:pPr>
              <w:rPr>
                <w:lang w:val="es-ES_tradnl"/>
              </w:rPr>
            </w:pPr>
            <w:r w:rsidRPr="00320DA3">
              <w:rPr>
                <w:lang w:val="es-ES_tradnl"/>
              </w:rPr>
              <w:t>Resolución 40 (Rev. Buenos Aires, 2017) de la CMDT, Grupo sobre Iniciativas de Capacitación</w:t>
            </w:r>
          </w:p>
          <w:p w:rsidR="00320DA3" w:rsidRPr="00320DA3" w:rsidRDefault="00320DA3" w:rsidP="00320DA3">
            <w:pPr>
              <w:rPr>
                <w:lang w:val="es-ES_tradnl"/>
              </w:rPr>
            </w:pPr>
            <w:r w:rsidRPr="00320DA3">
              <w:rPr>
                <w:lang w:val="es-ES_tradnl"/>
              </w:rPr>
              <w:t>Resolución 73 (Rev. Buenos Aires, 2017) de la CMDT, Centros de Excelencia de la UIT</w:t>
            </w:r>
          </w:p>
          <w:p w:rsidR="004B7893" w:rsidRPr="00320DA3" w:rsidRDefault="00320DA3" w:rsidP="00320DA3">
            <w:pPr>
              <w:rPr>
                <w:lang w:val="es-ES_tradnl"/>
              </w:rPr>
            </w:pPr>
            <w:r w:rsidRPr="00320DA3">
              <w:rPr>
                <w:lang w:val="es-ES_tradnl"/>
              </w:rPr>
              <w:t>Resolución 169 (Rev. Busán, 2014) de la PP, Admisión de Instituciones Académicas para participar en los trabajos de la Unión</w:t>
            </w:r>
          </w:p>
        </w:tc>
      </w:tr>
    </w:tbl>
    <w:p w:rsidR="00320DA3" w:rsidRDefault="00320DA3" w:rsidP="00320DA3">
      <w:pPr>
        <w:rPr>
          <w:lang w:val="es-ES_tradnl"/>
        </w:rPr>
      </w:pPr>
      <w:r>
        <w:rPr>
          <w:lang w:val="es-ES_tradnl"/>
        </w:rPr>
        <w:br w:type="page"/>
      </w:r>
    </w:p>
    <w:p w:rsidR="00320DA3" w:rsidRPr="00320DA3" w:rsidRDefault="00320DA3" w:rsidP="00320DA3">
      <w:pPr>
        <w:rPr>
          <w:lang w:val="es-ES_tradnl"/>
        </w:rPr>
      </w:pPr>
      <w:r w:rsidRPr="00320DA3">
        <w:rPr>
          <w:lang w:val="es-ES_tradnl"/>
        </w:rPr>
        <w:lastRenderedPageBreak/>
        <w:t>En el marco de la Academia de la UIT, la BDT ha llevado a cabo una serie de actividades de capacitación que han contribuido a reforzar los recursos humanos y a aumentar los conocimientos en materia de telecomunicaciones/TIC de los Miembros de la UIT.</w:t>
      </w:r>
    </w:p>
    <w:p w:rsidR="00320DA3" w:rsidRPr="00320DA3" w:rsidRDefault="00320DA3" w:rsidP="002E3B15">
      <w:pPr>
        <w:pStyle w:val="Headingb"/>
        <w:rPr>
          <w:lang w:val="es-ES_tradnl"/>
        </w:rPr>
      </w:pPr>
      <w:r w:rsidRPr="00320DA3">
        <w:rPr>
          <w:lang w:val="es-ES_tradnl"/>
        </w:rPr>
        <w:t>Preparación e impartición de cursos de formación</w:t>
      </w:r>
    </w:p>
    <w:p w:rsidR="00320DA3" w:rsidRPr="00320DA3" w:rsidRDefault="00320DA3" w:rsidP="00320DA3">
      <w:pPr>
        <w:rPr>
          <w:lang w:val="es-ES_tradnl"/>
        </w:rPr>
      </w:pPr>
      <w:r w:rsidRPr="00320DA3">
        <w:rPr>
          <w:lang w:val="es-ES_tradnl"/>
        </w:rPr>
        <w:t>Las actividades de capacitación se llevan a cabo en estrecha colaboración con los socios, incluidos los Centros de Excelencia (CoE), el sector privado, las instituciones académicas y otras instituciones docentes</w:t>
      </w:r>
      <w:r w:rsidR="0095734A">
        <w:rPr>
          <w:lang w:val="es-ES_tradnl"/>
        </w:rPr>
        <w:t>.</w:t>
      </w:r>
    </w:p>
    <w:p w:rsidR="00320DA3" w:rsidRPr="00320DA3" w:rsidRDefault="00320DA3" w:rsidP="008712E1">
      <w:pPr>
        <w:rPr>
          <w:lang w:val="es-ES_tradnl"/>
        </w:rPr>
      </w:pPr>
      <w:r w:rsidRPr="00320DA3">
        <w:rPr>
          <w:lang w:val="es-ES_tradnl"/>
        </w:rPr>
        <w:t>En 2017</w:t>
      </w:r>
      <w:r w:rsidR="008712E1">
        <w:rPr>
          <w:lang w:val="es-ES_tradnl"/>
        </w:rPr>
        <w:t xml:space="preserve"> </w:t>
      </w:r>
      <w:r w:rsidRPr="00320DA3">
        <w:rPr>
          <w:lang w:val="es-ES_tradnl"/>
        </w:rPr>
        <w:t>se impartió formación a más de 1 500 participantes de 116 países a través de la red de</w:t>
      </w:r>
      <w:r w:rsidR="008712E1">
        <w:rPr>
          <w:lang w:val="es-ES_tradnl"/>
        </w:rPr>
        <w:t> </w:t>
      </w:r>
      <w:r w:rsidRPr="00320DA3">
        <w:rPr>
          <w:lang w:val="es-ES_tradnl"/>
        </w:rPr>
        <w:t>CoE y se organizaron 28 eventos de capacitación regionales, a los que asistieron unos 1 300</w:t>
      </w:r>
      <w:r w:rsidR="008712E1">
        <w:rPr>
          <w:lang w:val="es-ES_tradnl"/>
        </w:rPr>
        <w:t> </w:t>
      </w:r>
      <w:r w:rsidRPr="00320DA3">
        <w:rPr>
          <w:lang w:val="es-ES_tradnl"/>
        </w:rPr>
        <w:t xml:space="preserve">participantes, en los que se trataron los siguientes temas: política y reglamentación, acceso a la banda ancha, ciberseguridad, aplicaciones y servicios de TIC, gestión del espectro, gobernanza de Internet, radiodifusión digital, conformidad e interoperabilidad, computación en la nube, calidad de servicio y residuos-e. </w:t>
      </w:r>
    </w:p>
    <w:p w:rsidR="00320DA3" w:rsidRPr="00320DA3" w:rsidRDefault="00320DA3" w:rsidP="00320DA3">
      <w:pPr>
        <w:rPr>
          <w:lang w:val="es-ES_tradnl"/>
        </w:rPr>
      </w:pPr>
      <w:r w:rsidRPr="00320DA3">
        <w:rPr>
          <w:lang w:val="es-ES_tradnl"/>
        </w:rPr>
        <w:t xml:space="preserve">En el marco de la Academia de la UIT, la BDT ha preparado programas de formación globales de alta calidad. La preparación y revisión cruzada de los recursos de formación corre a cargo de expertos de la UIT, especialistas académicos y otros expertos para garantizar que se ajustan a los más altos niveles de calidad y se conforman a las normas de la UIT. A lo largo del último año se actualizaron, finalizaron o iniciaron programas de formación sobre los siguientes temas: gestión del espectro, calidad de servicio, TIC y cambio climático, Internet de las cosas (IoT) y gobernanza de Internet. </w:t>
      </w:r>
    </w:p>
    <w:p w:rsidR="00320DA3" w:rsidRPr="002E3B15" w:rsidRDefault="00320DA3" w:rsidP="002E3B15">
      <w:pPr>
        <w:pStyle w:val="Headingb"/>
        <w:rPr>
          <w:lang w:val="es-ES_tradnl"/>
        </w:rPr>
      </w:pPr>
      <w:r w:rsidRPr="002E3B15">
        <w:rPr>
          <w:lang w:val="es-ES_tradnl"/>
        </w:rPr>
        <w:t>Red de Centros de Excelencia</w:t>
      </w:r>
    </w:p>
    <w:p w:rsidR="00320DA3" w:rsidRPr="00320DA3" w:rsidRDefault="00320DA3" w:rsidP="00320DA3">
      <w:pPr>
        <w:rPr>
          <w:lang w:val="es-ES_tradnl"/>
        </w:rPr>
      </w:pPr>
      <w:r w:rsidRPr="00320DA3">
        <w:rPr>
          <w:lang w:val="es-ES_tradnl"/>
        </w:rPr>
        <w:t xml:space="preserve">La red de Centros de Excelencia (CoE) </w:t>
      </w:r>
      <w:r w:rsidR="002E3B15">
        <w:rPr>
          <w:lang w:val="es-ES_tradnl"/>
        </w:rPr>
        <w:t xml:space="preserve">es la principal vía </w:t>
      </w:r>
      <w:r w:rsidRPr="00320DA3">
        <w:rPr>
          <w:lang w:val="es-ES_tradnl"/>
        </w:rPr>
        <w:t>de impartición de formación de la Academia de la UIT. A lo largo del año pasado la red de CoE siguió mejorando las capacidades de legisladores, reguladores, operadores y demás beneficiarios en una amplia gama de temas relacionados con las TIC, desde la ciberseguridad a la infraestructura de banda ancha, pasando por la gestión del espectro y las políticas, aplicaciones y servicios de TIC</w:t>
      </w:r>
      <w:r w:rsidR="002E3B15">
        <w:rPr>
          <w:lang w:val="es-ES_tradnl"/>
        </w:rPr>
        <w:t>.</w:t>
      </w:r>
    </w:p>
    <w:p w:rsidR="00320DA3" w:rsidRPr="00320DA3" w:rsidRDefault="00320DA3" w:rsidP="00320DA3">
      <w:pPr>
        <w:rPr>
          <w:lang w:val="es-ES_tradnl"/>
        </w:rPr>
      </w:pPr>
      <w:r w:rsidRPr="00320DA3">
        <w:rPr>
          <w:lang w:val="es-ES_tradnl"/>
        </w:rPr>
        <w:t>La actual red de CoE está entrando en su último año, pues el ciclo 2015-2018 finalizará en diciembre de este año. La cuarta ronda de reuniones del Comité de Dirección de los CoE de este ciclo se celebró entre noviembre y diciembre de 2017 y en ella se examinó el rendimiento de la red, se abordaron las posibles mejoras y se decidieron las actividades de formación para 2018. En la actualidad se está preparando el nuevo ciclo (2019-2022) y, habida cuenta de los resultados de la CMDT-17, la BDT ha examinado la estrategia y los procesos y procedimientos operativos que rigen el funcionamiento de los CoE. El plazo de presentación de propuestas de nuevos CoE se iniciará en el segundo trimestre de 2018 con miras a finalizar la selección de nuevos CoE durante el tercer trimestre del año</w:t>
      </w:r>
      <w:r w:rsidR="002E3B15">
        <w:rPr>
          <w:lang w:val="es-ES_tradnl"/>
        </w:rPr>
        <w:t>.</w:t>
      </w:r>
    </w:p>
    <w:p w:rsidR="00320DA3" w:rsidRPr="002E3B15" w:rsidRDefault="00320DA3" w:rsidP="002E3B15">
      <w:pPr>
        <w:pStyle w:val="Headingb"/>
        <w:rPr>
          <w:lang w:val="es-ES_tradnl"/>
        </w:rPr>
      </w:pPr>
      <w:r w:rsidRPr="002E3B15">
        <w:rPr>
          <w:lang w:val="es-ES_tradnl"/>
        </w:rPr>
        <w:t xml:space="preserve">Publicación </w:t>
      </w:r>
      <w:r w:rsidR="002E3B15">
        <w:rPr>
          <w:lang w:val="es-ES_tradnl"/>
        </w:rPr>
        <w:t>"</w:t>
      </w:r>
      <w:r w:rsidRPr="002E3B15">
        <w:rPr>
          <w:lang w:val="es-ES_tradnl"/>
        </w:rPr>
        <w:t>Capacitación en un entorno de TIC en evolución</w:t>
      </w:r>
      <w:r w:rsidR="002E3B15">
        <w:rPr>
          <w:lang w:val="es-ES_tradnl"/>
        </w:rPr>
        <w:t>"</w:t>
      </w:r>
    </w:p>
    <w:p w:rsidR="00320DA3" w:rsidRPr="00320DA3" w:rsidRDefault="00320DA3" w:rsidP="00320DA3">
      <w:pPr>
        <w:rPr>
          <w:lang w:val="es-ES_tradnl"/>
        </w:rPr>
      </w:pPr>
      <w:r w:rsidRPr="00320DA3">
        <w:rPr>
          <w:lang w:val="es-ES_tradnl"/>
        </w:rPr>
        <w:t xml:space="preserve">La primera edición de la publicación en línea </w:t>
      </w:r>
      <w:r w:rsidR="002E3B15">
        <w:rPr>
          <w:lang w:val="es-ES_tradnl"/>
        </w:rPr>
        <w:t>"</w:t>
      </w:r>
      <w:hyperlink r:id="rId9" w:history="1">
        <w:r w:rsidRPr="008712E1">
          <w:rPr>
            <w:rStyle w:val="Hyperlink"/>
            <w:lang w:val="es-ES_tradnl"/>
          </w:rPr>
          <w:t>Capacitación en un entorno de TIC en evolución</w:t>
        </w:r>
      </w:hyperlink>
      <w:r w:rsidR="002E3B15">
        <w:rPr>
          <w:lang w:val="es-ES_tradnl"/>
        </w:rPr>
        <w:t>"</w:t>
      </w:r>
      <w:r w:rsidRPr="00320DA3">
        <w:rPr>
          <w:lang w:val="es-ES_tradnl"/>
        </w:rPr>
        <w:t xml:space="preserve"> de la UIT se publicó en 2017. Esta nueva publicación reúne artículos académicos centrados en los aspectos humanos e institucionales de la capacitación en el sector de las telecomunicaciones/TIC y cubre una amplia gama de temas relacionados con las TIC que pueden ser de interés para las personas y su desarrollo formativo</w:t>
      </w:r>
      <w:r w:rsidR="002E3B15">
        <w:rPr>
          <w:lang w:val="es-ES_tradnl"/>
        </w:rPr>
        <w:t>.</w:t>
      </w:r>
    </w:p>
    <w:p w:rsidR="00320DA3" w:rsidRPr="00320DA3" w:rsidRDefault="00320DA3" w:rsidP="0095734A">
      <w:pPr>
        <w:keepNext/>
        <w:keepLines/>
        <w:rPr>
          <w:lang w:val="es-ES_tradnl"/>
        </w:rPr>
      </w:pPr>
      <w:r w:rsidRPr="00320DA3">
        <w:rPr>
          <w:lang w:val="es-ES_tradnl"/>
        </w:rPr>
        <w:lastRenderedPageBreak/>
        <w:t>La primera edición se centró en las tecnologías móviles para el desarrollo formativo y la formación continua y contiene los trabajos de un equipo internacional de expertos, en los que se abordan los temas de manera analítica, crítica y conceptual. En los artículos de esa edición se explora la creciente capacidad de los dispositivos móviles para aportar los beneficios de las TIC a más personas en todo el mundo, contribuyendo a los actuales debates sobre las aplicaciones docentes de las tecnologías móviles y su capacidad para mejorar y facilitar la formación continua y el desarrollo formativo.</w:t>
      </w:r>
    </w:p>
    <w:p w:rsidR="00320DA3" w:rsidRPr="00320DA3" w:rsidRDefault="00320DA3" w:rsidP="002E3B15">
      <w:pPr>
        <w:rPr>
          <w:lang w:val="es-ES_tradnl"/>
        </w:rPr>
      </w:pPr>
      <w:r w:rsidRPr="00320DA3">
        <w:rPr>
          <w:lang w:val="es-ES_tradnl"/>
        </w:rPr>
        <w:t>En la actualidad se está preparando la segunda edición, que se centrará en la capacitación para la economía digital del siglo XXI, haciendo hincapié en cómo las grand</w:t>
      </w:r>
      <w:r w:rsidR="002E3B15">
        <w:rPr>
          <w:lang w:val="es-ES_tradnl"/>
        </w:rPr>
        <w:t>es transformaciones digitales –</w:t>
      </w:r>
      <w:r w:rsidR="002E3B15" w:rsidRPr="002E3B15">
        <w:rPr>
          <w:sz w:val="2"/>
          <w:szCs w:val="2"/>
          <w:lang w:val="es-ES_tradnl"/>
        </w:rPr>
        <w:t> </w:t>
      </w:r>
      <w:r w:rsidRPr="00320DA3">
        <w:rPr>
          <w:lang w:val="es-ES_tradnl"/>
        </w:rPr>
        <w:t>como la inteligencia artificial, el aprendizaje automático, la Internet de las cos</w:t>
      </w:r>
      <w:r w:rsidR="002E3B15">
        <w:rPr>
          <w:lang w:val="es-ES_tradnl"/>
        </w:rPr>
        <w:t>as y la analítica de macrodatos</w:t>
      </w:r>
      <w:r w:rsidRPr="00320DA3">
        <w:rPr>
          <w:lang w:val="es-ES_tradnl"/>
        </w:rPr>
        <w:t xml:space="preserve">– va a modificar las necesidades formativas y, a su vez, repercutir en la capacitación y la formación. Se espera que la segunda edición de </w:t>
      </w:r>
      <w:r w:rsidR="002E3B15">
        <w:rPr>
          <w:lang w:val="es-ES_tradnl"/>
        </w:rPr>
        <w:t>"</w:t>
      </w:r>
      <w:r w:rsidRPr="00320DA3">
        <w:rPr>
          <w:lang w:val="es-ES_tradnl"/>
        </w:rPr>
        <w:t>Capacitación en un entorno de TIC en evolución</w:t>
      </w:r>
      <w:r w:rsidR="002E3B15">
        <w:rPr>
          <w:lang w:val="es-ES_tradnl"/>
        </w:rPr>
        <w:t>"</w:t>
      </w:r>
      <w:r w:rsidRPr="00320DA3">
        <w:rPr>
          <w:lang w:val="es-ES_tradnl"/>
        </w:rPr>
        <w:t xml:space="preserve"> se publique durante el segundo trimestre de 2018.</w:t>
      </w:r>
    </w:p>
    <w:p w:rsidR="00320DA3" w:rsidRPr="002E3B15" w:rsidRDefault="00320DA3" w:rsidP="002E3B15">
      <w:pPr>
        <w:pStyle w:val="Headingb"/>
        <w:rPr>
          <w:lang w:val="es-ES_tradnl"/>
        </w:rPr>
      </w:pPr>
      <w:r w:rsidRPr="002E3B15">
        <w:rPr>
          <w:lang w:val="es-ES_tradnl"/>
        </w:rPr>
        <w:t>Reunión de Asociación UIT-Instituciones Académicas</w:t>
      </w:r>
    </w:p>
    <w:p w:rsidR="00320DA3" w:rsidRPr="00320DA3" w:rsidRDefault="00CF2A05" w:rsidP="00320DA3">
      <w:pPr>
        <w:rPr>
          <w:lang w:val="es-ES_tradnl"/>
        </w:rPr>
      </w:pPr>
      <w:hyperlink r:id="rId10" w:history="1">
        <w:r w:rsidR="00320DA3" w:rsidRPr="00320DA3">
          <w:rPr>
            <w:rStyle w:val="Hyperlink"/>
            <w:lang w:val="es-ES_tradnl"/>
          </w:rPr>
          <w:t xml:space="preserve">La Reunión de Asociación UIT-Instituciones Académicas: </w:t>
        </w:r>
        <w:r w:rsidR="00320DA3" w:rsidRPr="00320DA3">
          <w:rPr>
            <w:rStyle w:val="Hyperlink"/>
            <w:i/>
            <w:iCs/>
            <w:lang w:val="es-ES_tradnl"/>
          </w:rPr>
          <w:t>Desarrollo formativo para la era digital</w:t>
        </w:r>
      </w:hyperlink>
      <w:r w:rsidR="00320DA3" w:rsidRPr="00320DA3">
        <w:rPr>
          <w:lang w:val="es-ES_tradnl"/>
        </w:rPr>
        <w:t xml:space="preserve"> tuvo lugar en </w:t>
      </w:r>
      <w:r w:rsidR="0095734A">
        <w:rPr>
          <w:lang w:val="es-ES_tradnl"/>
        </w:rPr>
        <w:t>Budapest</w:t>
      </w:r>
      <w:r w:rsidR="00320DA3" w:rsidRPr="00320DA3">
        <w:rPr>
          <w:lang w:val="es-ES_tradnl"/>
        </w:rPr>
        <w:t xml:space="preserve"> </w:t>
      </w:r>
      <w:r w:rsidR="0095734A">
        <w:rPr>
          <w:lang w:val="es-ES_tradnl"/>
        </w:rPr>
        <w:t>(</w:t>
      </w:r>
      <w:r w:rsidR="00320DA3" w:rsidRPr="00320DA3">
        <w:rPr>
          <w:lang w:val="es-ES_tradnl"/>
        </w:rPr>
        <w:t>Hungría</w:t>
      </w:r>
      <w:r w:rsidR="0095734A">
        <w:rPr>
          <w:lang w:val="es-ES_tradnl"/>
        </w:rPr>
        <w:t>)</w:t>
      </w:r>
      <w:r w:rsidR="00320DA3" w:rsidRPr="00320DA3">
        <w:rPr>
          <w:lang w:val="es-ES_tradnl"/>
        </w:rPr>
        <w:t>, del 19 al 21 de septiembre de 2017. La reunión fue organizada por la UIT y la Autoridad Nacional de Medios de Comunicación e Infocomunicaciones de Hungría (NMHH) y a ella acudieron 88 participantes de 32 países, incluidas 38 instituciones académicas representantes de todas las regiones.</w:t>
      </w:r>
    </w:p>
    <w:p w:rsidR="00320DA3" w:rsidRPr="00320DA3" w:rsidRDefault="00320DA3" w:rsidP="00320DA3">
      <w:pPr>
        <w:rPr>
          <w:lang w:val="es-ES_tradnl"/>
        </w:rPr>
      </w:pPr>
      <w:r w:rsidRPr="00320DA3">
        <w:rPr>
          <w:lang w:val="es-ES_tradnl"/>
        </w:rPr>
        <w:t>En la reunión se habló de las nuevas tendencias tecnológicas y de su repercusión en los programas académicos, de las últimas novedades en docencia y aprendizaje en la era digital y se examinaron métodos para la formación de la mano de obra del siglo XXI. Se sostuvieron debates sobre la transformación digital y las destrezas necesarias, la función de las universidades en la elaboración de la agenda digital, los cambios en los programas educativos, sobre todo en lo que respecta a la incorporación de temas relacionados con la política de Internet, y los nuevos medios de enseñanza y aprendizaje en la era digital. Se presentaron asimismo los éxitos cosechados por las asociaciones entre las universidades, el sector privado, los Centros de Excelencia y la UIT. Además, se exploró la función de las universidades como viveros de la innovación y la creación empresarial con presentación de algunos ejemplos concretos</w:t>
      </w:r>
      <w:r w:rsidR="002E3B15">
        <w:rPr>
          <w:lang w:val="es-ES_tradnl"/>
        </w:rPr>
        <w:t>.</w:t>
      </w:r>
    </w:p>
    <w:p w:rsidR="00320DA3" w:rsidRPr="00320DA3" w:rsidRDefault="00320DA3" w:rsidP="00320DA3">
      <w:pPr>
        <w:rPr>
          <w:lang w:val="es-ES_tradnl"/>
        </w:rPr>
      </w:pPr>
      <w:r w:rsidRPr="00320DA3">
        <w:rPr>
          <w:lang w:val="es-ES_tradnl"/>
        </w:rPr>
        <w:t>Uno de los principales resultados del evento fueron las recomendaciones y propuestas formuladas sobre los medios y maneras de estrechar la colaboración entre la UIT y la comunidad académica para el desarrollo de las capacidades de cara al futuro digital. Los delegados confirmaron que hay una gran demanda de eventos asociativos de este tipo y que la UIT tiene un importante papel que desempeñar a la hora de reunir a los distintos interesados y universidades de todas las regiones. En este sentido, una de las grandes ventajas de la UIT es su alcance mundial y su amplísima composición geográfica. Por último, los participantes coincidieron en reconocer el desarrollo de capacidades para la era digital como una esfera de crecimiento en la que la UIT debería desempeñar un papel clave.</w:t>
      </w:r>
    </w:p>
    <w:p w:rsidR="00320DA3" w:rsidRPr="002E3B15" w:rsidRDefault="00320DA3" w:rsidP="002E3B15">
      <w:pPr>
        <w:pStyle w:val="Headingb"/>
        <w:rPr>
          <w:lang w:val="es-ES_tradnl"/>
        </w:rPr>
      </w:pPr>
      <w:r w:rsidRPr="002E3B15">
        <w:rPr>
          <w:lang w:val="es-ES_tradnl"/>
        </w:rPr>
        <w:t>CMDT-17</w:t>
      </w:r>
    </w:p>
    <w:p w:rsidR="00320DA3" w:rsidRPr="00320DA3" w:rsidRDefault="00320DA3" w:rsidP="002E3B15">
      <w:pPr>
        <w:rPr>
          <w:lang w:val="es-ES_tradnl"/>
        </w:rPr>
      </w:pPr>
      <w:r w:rsidRPr="00320DA3">
        <w:rPr>
          <w:lang w:val="es-ES_tradnl"/>
        </w:rPr>
        <w:t>En la CMDT-17 se reafirmó la importancia de la capacitación y el desarrollo formativo, como se refleja en el Objetivo 3 del Plan de Acción de Buenos Aires, en la Resolución 40 (Centros de Excelencia) y en la Resolución 73 (Grupo sobre Iniciativas de Capacitación, véase el Documento</w:t>
      </w:r>
      <w:r w:rsidR="002E3B15">
        <w:rPr>
          <w:lang w:val="es-ES_tradnl"/>
        </w:rPr>
        <w:t> </w:t>
      </w:r>
      <w:hyperlink r:id="rId11" w:history="1">
        <w:r w:rsidRPr="00320DA3">
          <w:rPr>
            <w:rStyle w:val="Hyperlink"/>
            <w:lang w:val="es-ES_tradnl"/>
          </w:rPr>
          <w:t>TDAG-18/17</w:t>
        </w:r>
      </w:hyperlink>
      <w:r w:rsidRPr="00320DA3">
        <w:rPr>
          <w:lang w:val="es-ES_tradnl"/>
        </w:rPr>
        <w:t>)</w:t>
      </w:r>
      <w:r w:rsidR="002E3B15">
        <w:rPr>
          <w:lang w:val="es-ES_tradnl"/>
        </w:rPr>
        <w:t>.</w:t>
      </w:r>
    </w:p>
    <w:p w:rsidR="00320DA3" w:rsidRPr="00320DA3" w:rsidRDefault="00320DA3" w:rsidP="0095734A">
      <w:pPr>
        <w:keepNext/>
        <w:keepLines/>
        <w:rPr>
          <w:lang w:val="es-ES_tradnl"/>
        </w:rPr>
      </w:pPr>
      <w:r w:rsidRPr="00320DA3">
        <w:rPr>
          <w:lang w:val="es-ES_tradnl"/>
        </w:rPr>
        <w:lastRenderedPageBreak/>
        <w:t>Concretamente, cabe destacar los siguientes resultados de la CMDT-17:</w:t>
      </w:r>
    </w:p>
    <w:p w:rsidR="00320DA3" w:rsidRPr="00320DA3" w:rsidRDefault="002E3B15" w:rsidP="002E3B15">
      <w:pPr>
        <w:pStyle w:val="enumlev1"/>
        <w:rPr>
          <w:lang w:val="es-ES_tradnl"/>
        </w:rPr>
      </w:pPr>
      <w:r w:rsidRPr="002E3B15">
        <w:rPr>
          <w:lang w:val="es-ES_tradnl"/>
        </w:rPr>
        <w:t>•</w:t>
      </w:r>
      <w:r>
        <w:rPr>
          <w:lang w:val="es-ES_tradnl"/>
        </w:rPr>
        <w:tab/>
      </w:r>
      <w:r w:rsidR="00320DA3" w:rsidRPr="00320DA3">
        <w:rPr>
          <w:lang w:val="es-ES_tradnl"/>
        </w:rPr>
        <w:t xml:space="preserve">La importancia de la concienciación sobre la relevancia del desarrollo formativo para el futuro digital. </w:t>
      </w:r>
    </w:p>
    <w:p w:rsidR="00320DA3" w:rsidRPr="00320DA3" w:rsidRDefault="002E3B15" w:rsidP="002E3B15">
      <w:pPr>
        <w:pStyle w:val="enumlev1"/>
        <w:rPr>
          <w:lang w:val="es-ES_tradnl"/>
        </w:rPr>
      </w:pPr>
      <w:r w:rsidRPr="002E3B15">
        <w:rPr>
          <w:lang w:val="es-ES_tradnl"/>
        </w:rPr>
        <w:t>•</w:t>
      </w:r>
      <w:r>
        <w:rPr>
          <w:lang w:val="es-ES_tradnl"/>
        </w:rPr>
        <w:tab/>
      </w:r>
      <w:r w:rsidR="00320DA3" w:rsidRPr="00320DA3">
        <w:rPr>
          <w:lang w:val="es-ES_tradnl"/>
        </w:rPr>
        <w:t>La integración de la gobernanza internacional de Internet en los programas de capacitación y formación de la UIT</w:t>
      </w:r>
      <w:r>
        <w:rPr>
          <w:lang w:val="es-ES_tradnl"/>
        </w:rPr>
        <w:t>.</w:t>
      </w:r>
    </w:p>
    <w:p w:rsidR="00320DA3" w:rsidRPr="00320DA3" w:rsidRDefault="002E3B15" w:rsidP="002E3B15">
      <w:pPr>
        <w:pStyle w:val="enumlev1"/>
        <w:rPr>
          <w:lang w:val="es-ES_tradnl"/>
        </w:rPr>
      </w:pPr>
      <w:r w:rsidRPr="002E3B15">
        <w:rPr>
          <w:lang w:val="es-ES_tradnl"/>
        </w:rPr>
        <w:t>•</w:t>
      </w:r>
      <w:r>
        <w:rPr>
          <w:lang w:val="es-ES_tradnl"/>
        </w:rPr>
        <w:tab/>
      </w:r>
      <w:r w:rsidR="00320DA3" w:rsidRPr="00320DA3">
        <w:rPr>
          <w:lang w:val="es-ES_tradnl"/>
        </w:rPr>
        <w:t>La importancia del programa de Centros de Excelencia, cuyo examen y fortalecimiento se solicitó.</w:t>
      </w:r>
    </w:p>
    <w:p w:rsidR="00320DA3" w:rsidRPr="00320DA3" w:rsidRDefault="002E3B15" w:rsidP="002E3B15">
      <w:pPr>
        <w:pStyle w:val="enumlev1"/>
        <w:rPr>
          <w:lang w:val="es-ES_tradnl"/>
        </w:rPr>
      </w:pPr>
      <w:r w:rsidRPr="002E3B15">
        <w:rPr>
          <w:lang w:val="es-ES_tradnl"/>
        </w:rPr>
        <w:t>•</w:t>
      </w:r>
      <w:r>
        <w:rPr>
          <w:lang w:val="es-ES_tradnl"/>
        </w:rPr>
        <w:tab/>
      </w:r>
      <w:r w:rsidR="00320DA3" w:rsidRPr="00320DA3">
        <w:rPr>
          <w:lang w:val="es-ES_tradnl"/>
        </w:rPr>
        <w:t>La mejora de la plataforma Academia de la UIT y de los servicios conexos como herramienta primaria y marco global para las actividades de capacitación de la UIT.</w:t>
      </w:r>
    </w:p>
    <w:p w:rsidR="00320DA3" w:rsidRPr="00320DA3" w:rsidRDefault="002E3B15" w:rsidP="002E3B15">
      <w:pPr>
        <w:pStyle w:val="enumlev1"/>
        <w:rPr>
          <w:lang w:val="es-ES_tradnl"/>
        </w:rPr>
      </w:pPr>
      <w:r w:rsidRPr="002E3B15">
        <w:rPr>
          <w:lang w:val="es-ES_tradnl"/>
        </w:rPr>
        <w:t>•</w:t>
      </w:r>
      <w:r>
        <w:rPr>
          <w:lang w:val="es-ES_tradnl"/>
        </w:rPr>
        <w:tab/>
      </w:r>
      <w:r w:rsidR="00320DA3" w:rsidRPr="00320DA3">
        <w:rPr>
          <w:lang w:val="es-ES_tradnl"/>
        </w:rPr>
        <w:t>La petición de crear un foro mundial y regional sobre la formación digital, la educación y la formación continua, incuso a través del Simposio Mundial sobre Capacitación en TIC</w:t>
      </w:r>
      <w:r>
        <w:rPr>
          <w:lang w:val="es-ES_tradnl"/>
        </w:rPr>
        <w:t>.</w:t>
      </w:r>
    </w:p>
    <w:p w:rsidR="00320DA3" w:rsidRPr="00320DA3" w:rsidRDefault="002E3B15" w:rsidP="002E3B15">
      <w:pPr>
        <w:pStyle w:val="enumlev1"/>
        <w:rPr>
          <w:lang w:val="es-ES_tradnl"/>
        </w:rPr>
      </w:pPr>
      <w:r w:rsidRPr="002E3B15">
        <w:rPr>
          <w:lang w:val="es-ES_tradnl"/>
        </w:rPr>
        <w:t>•</w:t>
      </w:r>
      <w:r>
        <w:rPr>
          <w:lang w:val="es-ES_tradnl"/>
        </w:rPr>
        <w:tab/>
      </w:r>
      <w:r w:rsidR="00320DA3" w:rsidRPr="00320DA3">
        <w:rPr>
          <w:lang w:val="es-ES_tradnl"/>
        </w:rPr>
        <w:t>La concusión de asociaciones con instituciones académicas y demás interesados para la capacitación teórica y práctica en materia de transformación digital a nivel profesional</w:t>
      </w:r>
      <w:r>
        <w:rPr>
          <w:lang w:val="es-ES_tradnl"/>
        </w:rPr>
        <w:t>.</w:t>
      </w:r>
    </w:p>
    <w:p w:rsidR="00320DA3" w:rsidRPr="00320DA3" w:rsidRDefault="002E3B15" w:rsidP="002E3B15">
      <w:pPr>
        <w:pStyle w:val="enumlev1"/>
        <w:rPr>
          <w:lang w:val="es-ES_tradnl"/>
        </w:rPr>
      </w:pPr>
      <w:r w:rsidRPr="002E3B15">
        <w:rPr>
          <w:lang w:val="es-ES_tradnl"/>
        </w:rPr>
        <w:t>•</w:t>
      </w:r>
      <w:r>
        <w:rPr>
          <w:lang w:val="es-ES_tradnl"/>
        </w:rPr>
        <w:tab/>
      </w:r>
      <w:r w:rsidR="00320DA3" w:rsidRPr="00320DA3">
        <w:rPr>
          <w:lang w:val="es-ES_tradnl"/>
        </w:rPr>
        <w:t>El refuerzo del papel de las Iniciativas Regionales en la capacitación. Todas las Iniciativas Regionales recogen como uno de sus resultados clave la capacitación.</w:t>
      </w:r>
    </w:p>
    <w:p w:rsidR="00320DA3" w:rsidRPr="002E3B15" w:rsidRDefault="00320DA3" w:rsidP="002E3B15">
      <w:pPr>
        <w:pStyle w:val="Headingb"/>
        <w:rPr>
          <w:lang w:val="es-ES_tradnl"/>
        </w:rPr>
      </w:pPr>
      <w:r w:rsidRPr="002E3B15">
        <w:rPr>
          <w:lang w:val="es-ES_tradnl"/>
        </w:rPr>
        <w:t>CBS-18</w:t>
      </w:r>
    </w:p>
    <w:p w:rsidR="00320DA3" w:rsidRPr="00320DA3" w:rsidRDefault="00320DA3" w:rsidP="00320DA3">
      <w:pPr>
        <w:rPr>
          <w:lang w:val="es-ES_tradnl"/>
        </w:rPr>
      </w:pPr>
      <w:r w:rsidRPr="00320DA3">
        <w:rPr>
          <w:lang w:val="es-ES_tradnl"/>
        </w:rPr>
        <w:t>El Simposio Mundial sobre Capacitación en TIC de 2018 (CBS-18) se celebrará en</w:t>
      </w:r>
      <w:r w:rsidR="0095734A">
        <w:rPr>
          <w:lang w:val="es-ES_tradnl"/>
        </w:rPr>
        <w:t xml:space="preserve"> Santo Domingo</w:t>
      </w:r>
      <w:r w:rsidRPr="00320DA3">
        <w:rPr>
          <w:lang w:val="es-ES_tradnl"/>
        </w:rPr>
        <w:t xml:space="preserve"> </w:t>
      </w:r>
      <w:r w:rsidR="0095734A">
        <w:rPr>
          <w:lang w:val="es-ES_tradnl"/>
        </w:rPr>
        <w:t>(</w:t>
      </w:r>
      <w:r w:rsidRPr="00320DA3">
        <w:rPr>
          <w:lang w:val="es-ES_tradnl"/>
        </w:rPr>
        <w:t>República Dominicana</w:t>
      </w:r>
      <w:r w:rsidR="0095734A">
        <w:rPr>
          <w:lang w:val="es-ES_tradnl"/>
        </w:rPr>
        <w:t>)</w:t>
      </w:r>
      <w:r w:rsidRPr="00320DA3">
        <w:rPr>
          <w:lang w:val="es-ES_tradnl"/>
        </w:rPr>
        <w:t>, del 18 al 20 de junio de 2018. Estará organizado por la UIT y el Instituto Dominicano de Telecomunicaciones (INDOTEL). El Simposio reunirá a representantes de los gobiernos, el sector privado y el sector académico para tratar de los temas pertinentes al desarrollo formativo para la economía y la sociedad digital</w:t>
      </w:r>
      <w:r w:rsidR="002E3B15">
        <w:rPr>
          <w:lang w:val="es-ES_tradnl"/>
        </w:rPr>
        <w:t>.</w:t>
      </w:r>
    </w:p>
    <w:p w:rsidR="002E3B15" w:rsidRDefault="002E3B15" w:rsidP="0032202E">
      <w:pPr>
        <w:pStyle w:val="Reasons"/>
      </w:pPr>
    </w:p>
    <w:p w:rsidR="002E3B15" w:rsidRDefault="002E3B15">
      <w:pPr>
        <w:jc w:val="center"/>
      </w:pPr>
      <w:r>
        <w:t>______________</w:t>
      </w:r>
    </w:p>
    <w:sectPr w:rsidR="002E3B15" w:rsidSect="004B7893">
      <w:headerReference w:type="default" r:id="rId12"/>
      <w:footerReference w:type="defaul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DA3" w:rsidRDefault="00320DA3" w:rsidP="0088106F">
      <w:r>
        <w:separator/>
      </w:r>
    </w:p>
  </w:endnote>
  <w:endnote w:type="continuationSeparator" w:id="0">
    <w:p w:rsidR="00320DA3" w:rsidRDefault="00320DA3"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CF2A05" w:rsidP="002E3B15">
    <w:pPr>
      <w:pStyle w:val="Footer"/>
    </w:pPr>
    <w:r>
      <w:fldChar w:fldCharType="begin"/>
    </w:r>
    <w:r>
      <w:instrText xml:space="preserve"> FILENAME \p  \* MERGEFO</w:instrText>
    </w:r>
    <w:r>
      <w:instrText xml:space="preserve">RMAT </w:instrText>
    </w:r>
    <w:r>
      <w:fldChar w:fldCharType="separate"/>
    </w:r>
    <w:r w:rsidR="002E3B15">
      <w:t>P:\ESP\ITU-D\CONF-D\TDAG18\000\018S.docx</w:t>
    </w:r>
    <w:r>
      <w:fldChar w:fldCharType="end"/>
    </w:r>
    <w:r w:rsidR="002E3B15">
      <w:t xml:space="preserve"> (428710)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9D1BD4" w:rsidRPr="00320DA3" w:rsidTr="004E3CF5">
      <w:tc>
        <w:tcPr>
          <w:tcW w:w="1134" w:type="dxa"/>
          <w:tcBorders>
            <w:top w:val="single" w:sz="4" w:space="0" w:color="000000"/>
          </w:tcBorders>
          <w:shd w:val="clear" w:color="auto" w:fill="auto"/>
        </w:tcPr>
        <w:p w:rsidR="009D1BD4" w:rsidRPr="004D495C" w:rsidRDefault="009D1BD4" w:rsidP="009D1BD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9D1BD4" w:rsidRPr="004D495C" w:rsidRDefault="009D1BD4"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9D1BD4" w:rsidRPr="00320DA3" w:rsidRDefault="00320DA3" w:rsidP="00040066">
          <w:pPr>
            <w:pStyle w:val="FirstFooter"/>
            <w:tabs>
              <w:tab w:val="left" w:pos="2302"/>
            </w:tabs>
            <w:rPr>
              <w:sz w:val="18"/>
              <w:szCs w:val="18"/>
              <w:lang w:val="es-ES_tradnl"/>
            </w:rPr>
          </w:pPr>
          <w:bookmarkStart w:id="7" w:name="OrgName"/>
          <w:bookmarkEnd w:id="7"/>
          <w:r w:rsidRPr="00320DA3">
            <w:rPr>
              <w:sz w:val="18"/>
              <w:szCs w:val="18"/>
              <w:lang w:val="es-ES_tradnl"/>
            </w:rPr>
            <w:t>Sr. Cosmas Zavazava, Jefe de Proyectos y Gestión del Conocimiento (PKM), Oficina</w:t>
          </w:r>
          <w:r w:rsidR="00040066">
            <w:rPr>
              <w:sz w:val="18"/>
              <w:szCs w:val="18"/>
              <w:lang w:val="es-ES_tradnl"/>
            </w:rPr>
            <w:t> </w:t>
          </w:r>
          <w:r w:rsidRPr="00320DA3">
            <w:rPr>
              <w:sz w:val="18"/>
              <w:szCs w:val="18"/>
              <w:lang w:val="es-ES_tradnl"/>
            </w:rPr>
            <w:t>de Desarrollo de las Telecomunicaciones</w:t>
          </w:r>
        </w:p>
      </w:tc>
    </w:tr>
    <w:tr w:rsidR="009D1BD4" w:rsidRPr="004D495C" w:rsidTr="004E3CF5">
      <w:tc>
        <w:tcPr>
          <w:tcW w:w="1134" w:type="dxa"/>
          <w:shd w:val="clear" w:color="auto" w:fill="auto"/>
        </w:tcPr>
        <w:p w:rsidR="009D1BD4" w:rsidRPr="00320DA3" w:rsidRDefault="009D1BD4" w:rsidP="009D1BD4">
          <w:pPr>
            <w:pStyle w:val="FirstFooter"/>
            <w:tabs>
              <w:tab w:val="left" w:pos="1559"/>
              <w:tab w:val="left" w:pos="3828"/>
            </w:tabs>
            <w:rPr>
              <w:sz w:val="20"/>
              <w:lang w:val="es-ES_tradnl"/>
            </w:rPr>
          </w:pPr>
        </w:p>
      </w:tc>
      <w:tc>
        <w:tcPr>
          <w:tcW w:w="2552" w:type="dxa"/>
          <w:shd w:val="clear" w:color="auto" w:fill="auto"/>
        </w:tcPr>
        <w:p w:rsidR="009D1BD4" w:rsidRPr="004D495C" w:rsidRDefault="009D1BD4" w:rsidP="009D1BD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9D1BD4" w:rsidRPr="00050E06" w:rsidRDefault="00320DA3" w:rsidP="009D1BD4">
          <w:pPr>
            <w:pStyle w:val="FirstFooter"/>
            <w:tabs>
              <w:tab w:val="left" w:pos="2302"/>
            </w:tabs>
            <w:rPr>
              <w:sz w:val="18"/>
              <w:szCs w:val="18"/>
              <w:lang w:val="en-US"/>
            </w:rPr>
          </w:pPr>
          <w:bookmarkStart w:id="8" w:name="PhoneNo"/>
          <w:bookmarkEnd w:id="8"/>
          <w:r w:rsidRPr="00320DA3">
            <w:rPr>
              <w:sz w:val="18"/>
              <w:szCs w:val="18"/>
              <w:lang w:val="en-US"/>
            </w:rPr>
            <w:t>+41 22 7305447</w:t>
          </w:r>
        </w:p>
      </w:tc>
    </w:tr>
    <w:tr w:rsidR="009D1BD4" w:rsidRPr="004D495C" w:rsidTr="004E3CF5">
      <w:tc>
        <w:tcPr>
          <w:tcW w:w="1134" w:type="dxa"/>
          <w:shd w:val="clear" w:color="auto" w:fill="auto"/>
        </w:tcPr>
        <w:p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rsidR="009D1BD4" w:rsidRPr="004D495C" w:rsidRDefault="009D1BD4" w:rsidP="009D1BD4">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9" w:name="Email"/>
      <w:bookmarkEnd w:id="9"/>
      <w:tc>
        <w:tcPr>
          <w:tcW w:w="6237" w:type="dxa"/>
          <w:shd w:val="clear" w:color="auto" w:fill="auto"/>
        </w:tcPr>
        <w:p w:rsidR="009D1BD4" w:rsidRPr="00050E06" w:rsidRDefault="00320DA3" w:rsidP="009D1BD4">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320DA3">
            <w:rPr>
              <w:sz w:val="18"/>
              <w:szCs w:val="18"/>
              <w:lang w:val="en-US"/>
            </w:rPr>
            <w:instrText>cosmas.zavazava@itu.int</w:instrText>
          </w:r>
          <w:r>
            <w:rPr>
              <w:sz w:val="18"/>
              <w:szCs w:val="18"/>
              <w:lang w:val="en-US"/>
            </w:rPr>
            <w:instrText xml:space="preserve">" </w:instrText>
          </w:r>
          <w:r>
            <w:rPr>
              <w:sz w:val="18"/>
              <w:szCs w:val="18"/>
              <w:lang w:val="en-US"/>
            </w:rPr>
            <w:fldChar w:fldCharType="separate"/>
          </w:r>
          <w:r w:rsidRPr="00231AE5">
            <w:rPr>
              <w:rStyle w:val="Hyperlink"/>
              <w:sz w:val="18"/>
              <w:szCs w:val="18"/>
              <w:lang w:val="en-US"/>
            </w:rPr>
            <w:t>cosmas.zavazava@itu.int</w:t>
          </w:r>
          <w:r>
            <w:rPr>
              <w:sz w:val="18"/>
              <w:szCs w:val="18"/>
              <w:lang w:val="en-US"/>
            </w:rPr>
            <w:fldChar w:fldCharType="end"/>
          </w:r>
        </w:p>
      </w:tc>
    </w:tr>
  </w:tbl>
  <w:p w:rsidR="006E4AB3" w:rsidRPr="006E4AB3" w:rsidRDefault="00CF2A05" w:rsidP="00320DA3">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6E4AB3" w:rsidRPr="009D1BD4">
        <w:rPr>
          <w:rFonts w:ascii="Calibri" w:hAnsi="Calibri"/>
          <w:color w:val="0000FF"/>
          <w:sz w:val="18"/>
          <w:szCs w:val="18"/>
          <w:u w:val="single"/>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DA3" w:rsidRDefault="00320DA3" w:rsidP="0088106F">
      <w:r>
        <w:separator/>
      </w:r>
    </w:p>
  </w:footnote>
  <w:footnote w:type="continuationSeparator" w:id="0">
    <w:p w:rsidR="00320DA3" w:rsidRDefault="00320DA3"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320DA3" w:rsidRDefault="009A6FC4" w:rsidP="00320DA3">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Pr="00320DA3">
      <w:rPr>
        <w:sz w:val="22"/>
        <w:szCs w:val="22"/>
        <w:lang w:val="es-ES_tradnl"/>
      </w:rPr>
      <w:t>ITU-D/TDAG1</w:t>
    </w:r>
    <w:r w:rsidR="000725A1" w:rsidRPr="00320DA3">
      <w:rPr>
        <w:sz w:val="22"/>
        <w:szCs w:val="22"/>
        <w:lang w:val="es-ES_tradnl"/>
      </w:rPr>
      <w:t>8</w:t>
    </w:r>
    <w:r w:rsidRPr="00320DA3">
      <w:rPr>
        <w:sz w:val="22"/>
        <w:szCs w:val="22"/>
        <w:lang w:val="es-ES_tradnl"/>
      </w:rPr>
      <w:t>-</w:t>
    </w:r>
    <w:r w:rsidR="0033649F" w:rsidRPr="00320DA3">
      <w:rPr>
        <w:sz w:val="22"/>
        <w:szCs w:val="22"/>
        <w:lang w:val="es-ES_tradnl"/>
      </w:rPr>
      <w:t>2</w:t>
    </w:r>
    <w:r w:rsidR="000725A1" w:rsidRPr="00320DA3">
      <w:rPr>
        <w:sz w:val="22"/>
        <w:szCs w:val="22"/>
        <w:lang w:val="es-ES_tradnl"/>
      </w:rPr>
      <w:t>3</w:t>
    </w:r>
    <w:r w:rsidRPr="00320DA3">
      <w:rPr>
        <w:sz w:val="22"/>
        <w:szCs w:val="22"/>
        <w:lang w:val="es-ES_tradnl"/>
      </w:rPr>
      <w:t>/</w:t>
    </w:r>
    <w:r w:rsidR="00320DA3">
      <w:rPr>
        <w:sz w:val="22"/>
        <w:szCs w:val="22"/>
        <w:lang w:val="es-ES_tradnl"/>
      </w:rPr>
      <w:t>18</w:t>
    </w:r>
    <w:r w:rsidRPr="00320DA3">
      <w:rPr>
        <w:sz w:val="22"/>
        <w:szCs w:val="22"/>
        <w:lang w:val="es-ES_tradnl"/>
      </w:rPr>
      <w:t>-S</w:t>
    </w:r>
    <w:r w:rsidRPr="00320DA3">
      <w:rPr>
        <w:sz w:val="22"/>
        <w:szCs w:val="22"/>
        <w:lang w:val="es-ES_tradnl"/>
      </w:rPr>
      <w:tab/>
    </w:r>
    <w:r w:rsidRPr="00877904">
      <w:rPr>
        <w:rStyle w:val="PageNumber"/>
        <w:sz w:val="22"/>
        <w:szCs w:val="22"/>
        <w:lang w:val="es-ES_tradnl"/>
      </w:rPr>
      <w:t>Página</w:t>
    </w:r>
    <w:r w:rsidRPr="00320DA3">
      <w:rPr>
        <w:sz w:val="22"/>
        <w:szCs w:val="22"/>
        <w:lang w:val="es-ES_tradnl"/>
      </w:rPr>
      <w:t xml:space="preserve"> </w:t>
    </w:r>
    <w:r w:rsidRPr="00972BCD">
      <w:rPr>
        <w:sz w:val="22"/>
        <w:szCs w:val="22"/>
      </w:rPr>
      <w:fldChar w:fldCharType="begin"/>
    </w:r>
    <w:r w:rsidRPr="00320DA3">
      <w:rPr>
        <w:sz w:val="22"/>
        <w:szCs w:val="22"/>
        <w:lang w:val="es-ES_tradnl"/>
      </w:rPr>
      <w:instrText xml:space="preserve"> PAGE </w:instrText>
    </w:r>
    <w:r w:rsidRPr="00972BCD">
      <w:rPr>
        <w:sz w:val="22"/>
        <w:szCs w:val="22"/>
      </w:rPr>
      <w:fldChar w:fldCharType="separate"/>
    </w:r>
    <w:r w:rsidR="00CF2A05">
      <w:rPr>
        <w:noProof/>
        <w:sz w:val="22"/>
        <w:szCs w:val="22"/>
        <w:lang w:val="es-ES_tradnl"/>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5B99"/>
    <w:multiLevelType w:val="hybridMultilevel"/>
    <w:tmpl w:val="A9C2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A3"/>
    <w:rsid w:val="000135AE"/>
    <w:rsid w:val="00033D49"/>
    <w:rsid w:val="00040066"/>
    <w:rsid w:val="000725A1"/>
    <w:rsid w:val="000C0AA7"/>
    <w:rsid w:val="000E7A0A"/>
    <w:rsid w:val="00194CB2"/>
    <w:rsid w:val="00213302"/>
    <w:rsid w:val="00221C14"/>
    <w:rsid w:val="00241CB9"/>
    <w:rsid w:val="002A7FAB"/>
    <w:rsid w:val="002D4BE6"/>
    <w:rsid w:val="002D6772"/>
    <w:rsid w:val="002E3B15"/>
    <w:rsid w:val="00302736"/>
    <w:rsid w:val="00320DA3"/>
    <w:rsid w:val="0033649F"/>
    <w:rsid w:val="00360762"/>
    <w:rsid w:val="00390391"/>
    <w:rsid w:val="003D4CFB"/>
    <w:rsid w:val="00482632"/>
    <w:rsid w:val="004B7893"/>
    <w:rsid w:val="00535C50"/>
    <w:rsid w:val="005557A3"/>
    <w:rsid w:val="005637B9"/>
    <w:rsid w:val="005643DC"/>
    <w:rsid w:val="006339E7"/>
    <w:rsid w:val="00635A62"/>
    <w:rsid w:val="006E4AB3"/>
    <w:rsid w:val="006F39EB"/>
    <w:rsid w:val="007C3061"/>
    <w:rsid w:val="007E471D"/>
    <w:rsid w:val="00835A77"/>
    <w:rsid w:val="008712E1"/>
    <w:rsid w:val="0088106F"/>
    <w:rsid w:val="008C1852"/>
    <w:rsid w:val="008D789A"/>
    <w:rsid w:val="00917B12"/>
    <w:rsid w:val="0095734A"/>
    <w:rsid w:val="009752D2"/>
    <w:rsid w:val="009952F6"/>
    <w:rsid w:val="009A6FC4"/>
    <w:rsid w:val="009D1BD4"/>
    <w:rsid w:val="00A33516"/>
    <w:rsid w:val="00A87DD9"/>
    <w:rsid w:val="00AE1BA7"/>
    <w:rsid w:val="00AF563E"/>
    <w:rsid w:val="00B95448"/>
    <w:rsid w:val="00BC7208"/>
    <w:rsid w:val="00CF2A05"/>
    <w:rsid w:val="00D16175"/>
    <w:rsid w:val="00D372A5"/>
    <w:rsid w:val="00E17138"/>
    <w:rsid w:val="00E204A0"/>
    <w:rsid w:val="00E3519F"/>
    <w:rsid w:val="00E51C72"/>
    <w:rsid w:val="00E827C2"/>
    <w:rsid w:val="00EB6D19"/>
    <w:rsid w:val="00ED2681"/>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8B1FF5A-D164-4966-BDDE-D95B8039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FollowedHyperlink">
    <w:name w:val="FollowedHyperlink"/>
    <w:basedOn w:val="DefaultParagraphFont"/>
    <w:uiPriority w:val="99"/>
    <w:semiHidden/>
    <w:unhideWhenUsed/>
    <w:rsid w:val="002E3B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3-C-0017/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D/Capacity-Building/Pages/events/academia2017.aspx" TargetMode="External"/><Relationship Id="rId4" Type="http://schemas.openxmlformats.org/officeDocument/2006/relationships/settings" Target="settings.xml"/><Relationship Id="rId9" Type="http://schemas.openxmlformats.org/officeDocument/2006/relationships/hyperlink" Target="https://academy.itu.int/index.php?option=com_content&amp;view=article&amp;id=178&amp;Itemid=687&amp;lang=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5BCAB-227C-4C5F-8622-B6A082F4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30</TotalTime>
  <Pages>4</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BDT - nd</cp:lastModifiedBy>
  <cp:revision>5</cp:revision>
  <cp:lastPrinted>2018-02-07T10:46:00Z</cp:lastPrinted>
  <dcterms:created xsi:type="dcterms:W3CDTF">2018-02-07T10:36:00Z</dcterms:created>
  <dcterms:modified xsi:type="dcterms:W3CDTF">2018-02-08T13:59:00Z</dcterms:modified>
</cp:coreProperties>
</file>