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A72D20" w:rsidTr="006D7E3A">
        <w:trPr>
          <w:cantSplit/>
          <w:trHeight w:val="1134"/>
        </w:trPr>
        <w:tc>
          <w:tcPr>
            <w:tcW w:w="7251" w:type="dxa"/>
          </w:tcPr>
          <w:p w:rsidR="0021438F" w:rsidRPr="00A72D20" w:rsidRDefault="0021438F" w:rsidP="00156BF6">
            <w:pPr>
              <w:tabs>
                <w:tab w:val="left" w:pos="1871"/>
                <w:tab w:val="left" w:pos="2268"/>
              </w:tabs>
              <w:spacing w:before="20" w:after="48" w:line="240" w:lineRule="atLeast"/>
              <w:ind w:left="34"/>
              <w:rPr>
                <w:b/>
                <w:bCs/>
                <w:sz w:val="32"/>
                <w:szCs w:val="32"/>
                <w:lang w:val="fr-FR"/>
              </w:rPr>
            </w:pPr>
            <w:r w:rsidRPr="00A72D20">
              <w:rPr>
                <w:b/>
                <w:sz w:val="32"/>
                <w:szCs w:val="32"/>
                <w:lang w:val="fr-FR"/>
              </w:rPr>
              <w:t>Groupe</w:t>
            </w:r>
            <w:r w:rsidRPr="00A72D20">
              <w:rPr>
                <w:b/>
                <w:bCs/>
                <w:sz w:val="32"/>
                <w:szCs w:val="32"/>
                <w:lang w:val="fr-FR"/>
              </w:rPr>
              <w:t xml:space="preserve"> consultatif pour le développement </w:t>
            </w:r>
            <w:r w:rsidRPr="00A72D20">
              <w:rPr>
                <w:b/>
                <w:bCs/>
                <w:sz w:val="32"/>
                <w:szCs w:val="32"/>
                <w:lang w:val="fr-FR"/>
              </w:rPr>
              <w:br/>
              <w:t>des télécommunications (GCDT)</w:t>
            </w:r>
          </w:p>
          <w:p w:rsidR="0021438F" w:rsidRPr="00A72D20" w:rsidRDefault="0021438F" w:rsidP="009E2E4A">
            <w:pPr>
              <w:tabs>
                <w:tab w:val="clear" w:pos="1191"/>
                <w:tab w:val="clear" w:pos="1588"/>
                <w:tab w:val="clear" w:pos="1985"/>
              </w:tabs>
              <w:spacing w:before="100" w:after="120"/>
              <w:ind w:left="34"/>
              <w:rPr>
                <w:rFonts w:ascii="Verdana" w:hAnsi="Verdana"/>
                <w:sz w:val="28"/>
                <w:szCs w:val="28"/>
                <w:lang w:val="fr-FR"/>
              </w:rPr>
            </w:pPr>
            <w:r w:rsidRPr="00A72D20">
              <w:rPr>
                <w:b/>
                <w:bCs/>
                <w:sz w:val="26"/>
                <w:szCs w:val="26"/>
                <w:lang w:val="fr-FR"/>
              </w:rPr>
              <w:t>23ème réunion, Genève, 9-11 avril 2018</w:t>
            </w:r>
          </w:p>
        </w:tc>
        <w:tc>
          <w:tcPr>
            <w:tcW w:w="2996" w:type="dxa"/>
          </w:tcPr>
          <w:p w:rsidR="0021438F" w:rsidRPr="00A72D20" w:rsidRDefault="0021438F" w:rsidP="00107E85">
            <w:pPr>
              <w:spacing w:before="0"/>
              <w:ind w:right="142"/>
              <w:jc w:val="right"/>
              <w:rPr>
                <w:lang w:val="fr-FR"/>
              </w:rPr>
            </w:pPr>
            <w:r w:rsidRPr="00A72D20">
              <w:rPr>
                <w:noProof/>
                <w:color w:val="3399FF"/>
                <w:lang w:val="en-GB" w:eastAsia="zh-CN"/>
              </w:rPr>
              <w:drawing>
                <wp:anchor distT="0" distB="0" distL="114300" distR="114300" simplePos="0" relativeHeight="251670528" behindDoc="0" locked="0" layoutInCell="1" allowOverlap="1" wp14:anchorId="2A9E46AC" wp14:editId="1509EEC8">
                  <wp:simplePos x="0" y="0"/>
                  <wp:positionH relativeFrom="column">
                    <wp:posOffset>1015365</wp:posOffset>
                  </wp:positionH>
                  <wp:positionV relativeFrom="paragraph">
                    <wp:posOffset>62230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83C32" w:rsidRPr="00A72D20" w:rsidTr="000C61E9">
        <w:trPr>
          <w:cantSplit/>
        </w:trPr>
        <w:tc>
          <w:tcPr>
            <w:tcW w:w="7251" w:type="dxa"/>
            <w:tcBorders>
              <w:top w:val="single" w:sz="12" w:space="0" w:color="auto"/>
            </w:tcBorders>
          </w:tcPr>
          <w:p w:rsidR="00683C32" w:rsidRPr="00A72D20" w:rsidRDefault="00683C32" w:rsidP="00107E85">
            <w:pPr>
              <w:spacing w:before="0"/>
              <w:rPr>
                <w:rFonts w:cs="Arial"/>
                <w:b/>
                <w:bCs/>
                <w:sz w:val="20"/>
                <w:lang w:val="fr-FR"/>
              </w:rPr>
            </w:pPr>
          </w:p>
        </w:tc>
        <w:tc>
          <w:tcPr>
            <w:tcW w:w="2996" w:type="dxa"/>
            <w:tcBorders>
              <w:top w:val="single" w:sz="12" w:space="0" w:color="auto"/>
            </w:tcBorders>
          </w:tcPr>
          <w:p w:rsidR="00683C32" w:rsidRPr="00A72D20" w:rsidRDefault="00683C32" w:rsidP="00107E85">
            <w:pPr>
              <w:spacing w:before="0"/>
              <w:rPr>
                <w:b/>
                <w:bCs/>
                <w:sz w:val="20"/>
                <w:lang w:val="fr-FR"/>
              </w:rPr>
            </w:pPr>
          </w:p>
        </w:tc>
      </w:tr>
      <w:tr w:rsidR="00683C32" w:rsidRPr="00A72D20" w:rsidTr="000C61E9">
        <w:trPr>
          <w:cantSplit/>
        </w:trPr>
        <w:tc>
          <w:tcPr>
            <w:tcW w:w="7251" w:type="dxa"/>
          </w:tcPr>
          <w:p w:rsidR="00683C32" w:rsidRPr="00A72D20" w:rsidRDefault="00683C32" w:rsidP="00400CCF">
            <w:pPr>
              <w:pStyle w:val="Committee"/>
              <w:spacing w:before="0"/>
              <w:rPr>
                <w:b w:val="0"/>
                <w:szCs w:val="24"/>
                <w:lang w:val="fr-FR"/>
              </w:rPr>
            </w:pPr>
          </w:p>
        </w:tc>
        <w:tc>
          <w:tcPr>
            <w:tcW w:w="2996" w:type="dxa"/>
          </w:tcPr>
          <w:p w:rsidR="00683C32" w:rsidRPr="00A72D20" w:rsidRDefault="00323587" w:rsidP="007A5375">
            <w:pPr>
              <w:spacing w:before="0"/>
              <w:rPr>
                <w:bCs/>
                <w:szCs w:val="24"/>
                <w:lang w:val="fr-FR"/>
              </w:rPr>
            </w:pPr>
            <w:r w:rsidRPr="00A72D20">
              <w:rPr>
                <w:b/>
                <w:bCs/>
                <w:szCs w:val="28"/>
                <w:lang w:val="fr-FR"/>
              </w:rPr>
              <w:t xml:space="preserve">Document </w:t>
            </w:r>
            <w:bookmarkStart w:id="0" w:name="DocRef1"/>
            <w:bookmarkEnd w:id="0"/>
            <w:r w:rsidRPr="00A72D20">
              <w:rPr>
                <w:b/>
                <w:bCs/>
                <w:szCs w:val="28"/>
                <w:lang w:val="fr-FR"/>
              </w:rPr>
              <w:t>TDAG1</w:t>
            </w:r>
            <w:r w:rsidR="009E2E4A" w:rsidRPr="00A72D20">
              <w:rPr>
                <w:b/>
                <w:bCs/>
                <w:szCs w:val="28"/>
                <w:lang w:val="fr-FR"/>
              </w:rPr>
              <w:t>8</w:t>
            </w:r>
            <w:r w:rsidRPr="00A72D20">
              <w:rPr>
                <w:b/>
                <w:bCs/>
                <w:szCs w:val="28"/>
                <w:lang w:val="fr-FR"/>
              </w:rPr>
              <w:t>/</w:t>
            </w:r>
            <w:bookmarkStart w:id="1" w:name="DocNo1"/>
            <w:bookmarkEnd w:id="1"/>
            <w:r w:rsidR="00DC38B6" w:rsidRPr="00A72D20">
              <w:rPr>
                <w:b/>
                <w:bCs/>
                <w:szCs w:val="28"/>
                <w:lang w:val="fr-FR"/>
              </w:rPr>
              <w:t>20</w:t>
            </w:r>
            <w:r w:rsidRPr="00A72D20">
              <w:rPr>
                <w:b/>
                <w:bCs/>
                <w:szCs w:val="28"/>
                <w:lang w:val="fr-FR"/>
              </w:rPr>
              <w:t>-F</w:t>
            </w:r>
          </w:p>
        </w:tc>
      </w:tr>
      <w:tr w:rsidR="00683C32" w:rsidRPr="00A72D20" w:rsidTr="000C61E9">
        <w:trPr>
          <w:cantSplit/>
        </w:trPr>
        <w:tc>
          <w:tcPr>
            <w:tcW w:w="7251" w:type="dxa"/>
          </w:tcPr>
          <w:p w:rsidR="00683C32" w:rsidRPr="00A72D20" w:rsidRDefault="00683C32" w:rsidP="00400CCF">
            <w:pPr>
              <w:spacing w:before="0"/>
              <w:rPr>
                <w:b/>
                <w:bCs/>
                <w:smallCaps/>
                <w:szCs w:val="24"/>
                <w:lang w:val="fr-FR"/>
              </w:rPr>
            </w:pPr>
          </w:p>
        </w:tc>
        <w:tc>
          <w:tcPr>
            <w:tcW w:w="2996" w:type="dxa"/>
          </w:tcPr>
          <w:p w:rsidR="00683C32" w:rsidRPr="00A72D20" w:rsidRDefault="007A5375" w:rsidP="009E2E4A">
            <w:pPr>
              <w:spacing w:before="0"/>
              <w:rPr>
                <w:b/>
                <w:szCs w:val="24"/>
                <w:lang w:val="fr-FR"/>
              </w:rPr>
            </w:pPr>
            <w:bookmarkStart w:id="2" w:name="CreationDate"/>
            <w:bookmarkEnd w:id="2"/>
            <w:r>
              <w:rPr>
                <w:b/>
                <w:bCs/>
                <w:szCs w:val="28"/>
                <w:lang w:val="fr-FR"/>
              </w:rPr>
              <w:t>31</w:t>
            </w:r>
            <w:bookmarkStart w:id="3" w:name="_GoBack"/>
            <w:bookmarkEnd w:id="3"/>
            <w:r w:rsidR="002A25DD">
              <w:rPr>
                <w:b/>
                <w:bCs/>
                <w:szCs w:val="28"/>
                <w:lang w:val="fr-FR"/>
              </w:rPr>
              <w:t xml:space="preserve"> janvier</w:t>
            </w:r>
            <w:r w:rsidR="00323587" w:rsidRPr="00A72D20">
              <w:rPr>
                <w:b/>
                <w:bCs/>
                <w:szCs w:val="28"/>
                <w:lang w:val="fr-FR"/>
              </w:rPr>
              <w:t xml:space="preserve"> 201</w:t>
            </w:r>
            <w:r w:rsidR="009E2E4A" w:rsidRPr="00A72D20">
              <w:rPr>
                <w:b/>
                <w:bCs/>
                <w:szCs w:val="28"/>
                <w:lang w:val="fr-FR"/>
              </w:rPr>
              <w:t>8</w:t>
            </w:r>
          </w:p>
        </w:tc>
      </w:tr>
      <w:tr w:rsidR="00683C32" w:rsidRPr="00A72D20" w:rsidTr="000C61E9">
        <w:trPr>
          <w:cantSplit/>
        </w:trPr>
        <w:tc>
          <w:tcPr>
            <w:tcW w:w="7251" w:type="dxa"/>
          </w:tcPr>
          <w:p w:rsidR="00683C32" w:rsidRPr="00A72D20" w:rsidRDefault="00683C32" w:rsidP="00400CCF">
            <w:pPr>
              <w:spacing w:before="0"/>
              <w:rPr>
                <w:b/>
                <w:bCs/>
                <w:smallCaps/>
                <w:szCs w:val="24"/>
                <w:lang w:val="fr-FR"/>
              </w:rPr>
            </w:pPr>
          </w:p>
        </w:tc>
        <w:tc>
          <w:tcPr>
            <w:tcW w:w="2996" w:type="dxa"/>
          </w:tcPr>
          <w:p w:rsidR="00514D2F" w:rsidRPr="00A72D20" w:rsidRDefault="00323587" w:rsidP="00400CCF">
            <w:pPr>
              <w:spacing w:before="0"/>
              <w:rPr>
                <w:szCs w:val="24"/>
                <w:lang w:val="fr-FR"/>
              </w:rPr>
            </w:pPr>
            <w:r w:rsidRPr="00A72D20">
              <w:rPr>
                <w:b/>
                <w:szCs w:val="28"/>
                <w:lang w:val="fr-FR"/>
              </w:rPr>
              <w:t>Original:</w:t>
            </w:r>
            <w:bookmarkStart w:id="4" w:name="Original"/>
            <w:bookmarkEnd w:id="4"/>
            <w:r w:rsidR="00C4562F">
              <w:rPr>
                <w:b/>
                <w:szCs w:val="28"/>
                <w:lang w:val="fr-FR"/>
              </w:rPr>
              <w:t xml:space="preserve"> anglais</w:t>
            </w:r>
          </w:p>
        </w:tc>
      </w:tr>
      <w:tr w:rsidR="00A13162" w:rsidRPr="00A72D20" w:rsidTr="000C61E9">
        <w:trPr>
          <w:cantSplit/>
          <w:trHeight w:val="852"/>
        </w:trPr>
        <w:tc>
          <w:tcPr>
            <w:tcW w:w="10247" w:type="dxa"/>
            <w:gridSpan w:val="2"/>
          </w:tcPr>
          <w:p w:rsidR="00A13162" w:rsidRPr="00A72D20" w:rsidRDefault="00DC38B6" w:rsidP="00D90E76">
            <w:pPr>
              <w:pStyle w:val="Source"/>
              <w:rPr>
                <w:lang w:val="fr-FR"/>
              </w:rPr>
            </w:pPr>
            <w:bookmarkStart w:id="5" w:name="Source"/>
            <w:bookmarkEnd w:id="5"/>
            <w:r w:rsidRPr="00A72D20">
              <w:rPr>
                <w:lang w:val="fr-FR"/>
              </w:rPr>
              <w:t>Directeur du Bureau de développement des télécommunications</w:t>
            </w:r>
          </w:p>
        </w:tc>
      </w:tr>
      <w:tr w:rsidR="00AC6F14" w:rsidRPr="00A72D20" w:rsidTr="000C61E9">
        <w:trPr>
          <w:cantSplit/>
        </w:trPr>
        <w:tc>
          <w:tcPr>
            <w:tcW w:w="10247" w:type="dxa"/>
            <w:gridSpan w:val="2"/>
          </w:tcPr>
          <w:p w:rsidR="00AC6F14" w:rsidRPr="00A72D20" w:rsidRDefault="00DC38B6" w:rsidP="0030353C">
            <w:pPr>
              <w:pStyle w:val="Title1"/>
              <w:rPr>
                <w:lang w:val="fr-FR"/>
              </w:rPr>
            </w:pPr>
            <w:bookmarkStart w:id="6" w:name="Title"/>
            <w:bookmarkEnd w:id="6"/>
            <w:r w:rsidRPr="00A72D20">
              <w:rPr>
                <w:rFonts w:cs="Times New Roman"/>
                <w:bCs/>
                <w:caps/>
                <w:szCs w:val="28"/>
                <w:lang w:val="fr-FR"/>
              </w:rPr>
              <w:t>COMPOSITION DE L'UIT-D</w:t>
            </w:r>
          </w:p>
        </w:tc>
      </w:tr>
      <w:tr w:rsidR="00A721F4" w:rsidRPr="00A72D20" w:rsidTr="000C61E9">
        <w:trPr>
          <w:cantSplit/>
        </w:trPr>
        <w:tc>
          <w:tcPr>
            <w:tcW w:w="10247" w:type="dxa"/>
            <w:gridSpan w:val="2"/>
            <w:tcBorders>
              <w:bottom w:val="single" w:sz="4" w:space="0" w:color="auto"/>
            </w:tcBorders>
          </w:tcPr>
          <w:p w:rsidR="00A721F4" w:rsidRPr="00A72D20" w:rsidRDefault="00A721F4" w:rsidP="0030353C">
            <w:pPr>
              <w:rPr>
                <w:lang w:val="fr-FR"/>
              </w:rPr>
            </w:pPr>
          </w:p>
        </w:tc>
      </w:tr>
      <w:tr w:rsidR="00A721F4" w:rsidRPr="00A72D20"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A72D20" w:rsidRDefault="00156BF6" w:rsidP="00935FF0">
            <w:pPr>
              <w:spacing w:before="240"/>
              <w:rPr>
                <w:b/>
                <w:bCs/>
                <w:szCs w:val="24"/>
                <w:lang w:val="fr-FR"/>
              </w:rPr>
            </w:pPr>
            <w:r w:rsidRPr="00A72D20">
              <w:rPr>
                <w:b/>
                <w:bCs/>
                <w:szCs w:val="24"/>
                <w:lang w:val="fr-FR"/>
              </w:rPr>
              <w:t>Résumé:</w:t>
            </w:r>
          </w:p>
          <w:p w:rsidR="00A721F4" w:rsidRPr="00A72D20" w:rsidRDefault="00DC38B6" w:rsidP="00A721F4">
            <w:pPr>
              <w:rPr>
                <w:szCs w:val="24"/>
                <w:lang w:val="fr-FR"/>
              </w:rPr>
            </w:pPr>
            <w:r w:rsidRPr="00A72D20">
              <w:rPr>
                <w:lang w:val="fr-FR"/>
              </w:rPr>
              <w:t>Les Membres du Secteur de l'UIT-D comprennent des Membres de Secteur, des Associés et des établissements universitaires. Le présent document donne un aperçu de l'évolution de la composition de l'UIT-D ainsi que des stratégies et des mesures à mettre en oeuvre pour renforcer la composition de l'UIT-D conformément aux résultats de la CMDT-17 et de la PP</w:t>
            </w:r>
            <w:r w:rsidRPr="00A72D20">
              <w:rPr>
                <w:lang w:val="fr-FR"/>
              </w:rPr>
              <w:noBreakHyphen/>
              <w:t>14.</w:t>
            </w:r>
          </w:p>
          <w:p w:rsidR="00A721F4" w:rsidRPr="00A72D20" w:rsidRDefault="00156BF6" w:rsidP="00A721F4">
            <w:pPr>
              <w:rPr>
                <w:b/>
                <w:bCs/>
                <w:szCs w:val="24"/>
                <w:lang w:val="fr-FR"/>
              </w:rPr>
            </w:pPr>
            <w:r w:rsidRPr="00A72D20">
              <w:rPr>
                <w:b/>
                <w:bCs/>
                <w:szCs w:val="24"/>
                <w:lang w:val="fr-FR"/>
              </w:rPr>
              <w:t>Suite à donner:</w:t>
            </w:r>
          </w:p>
          <w:p w:rsidR="00A721F4" w:rsidRPr="00A72D20" w:rsidRDefault="00DC38B6" w:rsidP="00A721F4">
            <w:pPr>
              <w:rPr>
                <w:szCs w:val="24"/>
                <w:lang w:val="fr-FR"/>
              </w:rPr>
            </w:pPr>
            <w:r w:rsidRPr="00A72D20">
              <w:rPr>
                <w:lang w:val="fr-FR"/>
              </w:rPr>
              <w:t>Le GCDT est invité à prendre note du présent rapport et à fournir les orientations qu'il jugera nécessaires.</w:t>
            </w:r>
          </w:p>
          <w:p w:rsidR="00A721F4" w:rsidRPr="00A72D20" w:rsidRDefault="00156BF6" w:rsidP="00A721F4">
            <w:pPr>
              <w:rPr>
                <w:b/>
                <w:bCs/>
                <w:szCs w:val="24"/>
                <w:lang w:val="fr-FR"/>
              </w:rPr>
            </w:pPr>
            <w:r w:rsidRPr="00A72D20">
              <w:rPr>
                <w:b/>
                <w:bCs/>
                <w:szCs w:val="24"/>
                <w:lang w:val="fr-FR"/>
              </w:rPr>
              <w:t>Références:</w:t>
            </w:r>
          </w:p>
          <w:p w:rsidR="00A721F4" w:rsidRPr="00A72D20" w:rsidRDefault="00DC38B6" w:rsidP="00C4562F">
            <w:pPr>
              <w:spacing w:after="120"/>
              <w:rPr>
                <w:lang w:val="fr-FR"/>
              </w:rPr>
            </w:pPr>
            <w:r w:rsidRPr="00A72D20">
              <w:rPr>
                <w:szCs w:val="24"/>
                <w:lang w:val="fr-FR"/>
              </w:rPr>
              <w:t>Résolution 71 (Rév.Buenos Aires, 2017) de la CMDT; R</w:t>
            </w:r>
            <w:r w:rsidR="00C4562F">
              <w:rPr>
                <w:szCs w:val="24"/>
                <w:lang w:val="fr-FR"/>
              </w:rPr>
              <w:t>ésolutions 187 (Busan, 2014) et </w:t>
            </w:r>
            <w:r w:rsidRPr="00A72D20">
              <w:rPr>
                <w:szCs w:val="24"/>
                <w:lang w:val="fr-FR"/>
              </w:rPr>
              <w:t>169 (Rév. Busan, 2014) de la Conférence de plénipotentiaires</w:t>
            </w:r>
          </w:p>
        </w:tc>
      </w:tr>
    </w:tbl>
    <w:p w:rsidR="00DC38B6" w:rsidRPr="00A72D20" w:rsidRDefault="00DC38B6" w:rsidP="00935FF0">
      <w:pPr>
        <w:rPr>
          <w:lang w:val="fr-FR"/>
        </w:rPr>
      </w:pPr>
    </w:p>
    <w:p w:rsidR="00DC38B6" w:rsidRPr="00A72D20" w:rsidRDefault="00DC38B6">
      <w:pPr>
        <w:tabs>
          <w:tab w:val="clear" w:pos="794"/>
          <w:tab w:val="clear" w:pos="1191"/>
          <w:tab w:val="clear" w:pos="1588"/>
          <w:tab w:val="clear" w:pos="1985"/>
        </w:tabs>
        <w:overflowPunct/>
        <w:autoSpaceDE/>
        <w:autoSpaceDN/>
        <w:adjustRightInd/>
        <w:spacing w:before="0"/>
        <w:textAlignment w:val="auto"/>
        <w:rPr>
          <w:lang w:val="fr-FR"/>
        </w:rPr>
      </w:pPr>
      <w:r w:rsidRPr="00A72D20">
        <w:rPr>
          <w:lang w:val="fr-FR"/>
        </w:rPr>
        <w:br w:type="page"/>
      </w:r>
    </w:p>
    <w:p w:rsidR="00DC38B6" w:rsidRPr="00A72D20" w:rsidRDefault="00DC38B6" w:rsidP="00DC38B6">
      <w:pPr>
        <w:pStyle w:val="Heading1"/>
        <w:rPr>
          <w:lang w:val="fr-FR"/>
        </w:rPr>
      </w:pPr>
      <w:r w:rsidRPr="00A72D20">
        <w:rPr>
          <w:lang w:val="fr-FR"/>
        </w:rPr>
        <w:lastRenderedPageBreak/>
        <w:t>1</w:t>
      </w:r>
      <w:r w:rsidRPr="00A72D20">
        <w:rPr>
          <w:lang w:val="fr-FR"/>
        </w:rPr>
        <w:tab/>
        <w:t>Rappel</w:t>
      </w:r>
    </w:p>
    <w:p w:rsidR="00DC38B6" w:rsidRPr="00A72D20" w:rsidRDefault="00DC38B6" w:rsidP="00DC38B6">
      <w:pPr>
        <w:rPr>
          <w:color w:val="000000"/>
          <w:lang w:val="fr-FR"/>
        </w:rPr>
      </w:pPr>
      <w:r w:rsidRPr="00A72D20">
        <w:rPr>
          <w:lang w:val="fr-FR"/>
        </w:rPr>
        <w:t xml:space="preserve">La Conférence mondiale de développement des télécommunications tenue en 2017 (CMDT-17) a modifié et adopté la Résolution 71 (Rév.Buenos Aires, 2017) afin d'encourager l'implication active des Membres du Secteur, des Associés et des établissements universitaires participant aux travaux de l'UIT-D actuels dans les activités de ce Secteur, et </w:t>
      </w:r>
      <w:r w:rsidR="00202682">
        <w:rPr>
          <w:lang w:val="fr-FR"/>
        </w:rPr>
        <w:t>notamment dans les travaux des C</w:t>
      </w:r>
      <w:r w:rsidRPr="00A72D20">
        <w:rPr>
          <w:lang w:val="fr-FR"/>
        </w:rPr>
        <w:t xml:space="preserve">ommissions d'études de l'UIT-D, et en vue d'engager des acteurs des secteurs public, privé et universitaire à devenir membres. La Conférence a, en particulier, </w:t>
      </w:r>
      <w:r w:rsidRPr="00A72D20">
        <w:rPr>
          <w:color w:val="000000"/>
          <w:lang w:val="fr-FR"/>
        </w:rPr>
        <w:t>chargé le Directeur du BDT de renforcer le portail des Membres du Secteur et des Associés de l'UIT-D ainsi que des établissements universitaires participant à ses travaux, afin de contribuer à l'échange et à la diffusion d'informations pour tous les membres de l'UIT.</w:t>
      </w:r>
    </w:p>
    <w:p w:rsidR="00DC38B6" w:rsidRPr="00A72D20" w:rsidRDefault="00202682" w:rsidP="00DC38B6">
      <w:pPr>
        <w:rPr>
          <w:lang w:val="fr-FR"/>
        </w:rPr>
      </w:pPr>
      <w:r>
        <w:rPr>
          <w:color w:val="000000"/>
          <w:lang w:val="fr-FR"/>
        </w:rPr>
        <w:t>La Résolution 71 (Rév.</w:t>
      </w:r>
      <w:r w:rsidR="00DC38B6" w:rsidRPr="00A72D20">
        <w:rPr>
          <w:color w:val="000000"/>
          <w:lang w:val="fr-FR"/>
        </w:rPr>
        <w:t>Buenos Aires, 2017) accorde aussi une attention accrue au rôle, en constante évolution, du secteur privé dans les travaux du Secteur de l'UIT-D en demandant, notamment, la création du Groupe consultatif de professionnels chargé des questions de développement (IAGDI), encourageant ainsi la participation d'un large éventail de représentants du secteur privé parmi les Membres du Secteur de l'UIT-D de toutes les régions.</w:t>
      </w:r>
    </w:p>
    <w:p w:rsidR="00DC38B6" w:rsidRPr="00A72D20" w:rsidRDefault="00DC38B6" w:rsidP="00DC38B6">
      <w:pPr>
        <w:rPr>
          <w:lang w:val="fr-FR"/>
        </w:rPr>
      </w:pPr>
      <w:r w:rsidRPr="00A72D20">
        <w:rPr>
          <w:lang w:val="fr-FR"/>
        </w:rPr>
        <w:t xml:space="preserve">En outre, la Conférence de plénipotentiaires de 2014 (PP-14) a adopté plusieurs Résolutions relatives à la composition, par exemple la Résolution 187 (Busan, 2014), aux termes de laquelle le Conseil a été chargé d'examiner la composition des Secteurs par l'intermédiaire de son Groupe de travail sur les ressources financières et les ressources humaines (GTC-FHR). Plus précisément, en application de la Résolution 187 (Busan, 2014), le Conseil est chargé </w:t>
      </w:r>
      <w:r w:rsidRPr="00A72D20">
        <w:rPr>
          <w:i/>
          <w:iCs/>
          <w:lang w:val="fr-FR"/>
        </w:rPr>
        <w:t>d'étudier la structure actuelle de la composition de l'Union, les avantages des diverses méthodes de détermination des prix ainsi que l'application pratique des droits et des obligations et les critères actuels d'exonération des droits, de concevoir des lignes directrices et une formation à l'i</w:t>
      </w:r>
      <w:r w:rsidR="00C4562F">
        <w:rPr>
          <w:i/>
          <w:iCs/>
          <w:lang w:val="fr-FR"/>
        </w:rPr>
        <w:t>ntention des Présidents et Vice</w:t>
      </w:r>
      <w:r w:rsidR="00C4562F">
        <w:rPr>
          <w:i/>
          <w:iCs/>
          <w:lang w:val="fr-FR"/>
        </w:rPr>
        <w:noBreakHyphen/>
      </w:r>
      <w:r w:rsidRPr="00A72D20">
        <w:rPr>
          <w:i/>
          <w:iCs/>
          <w:lang w:val="fr-FR"/>
        </w:rPr>
        <w:t>Présidents et des Conseillers des commissions d'études, et d'envisager la possibilité de créer une nouvelle catégorie de participation pour les entités à but non lucratif. En vertu de cette même Résolution, le Conseil est chargé d'élaborer une stratégie globale de consultation avec tous les membres, afin que tous les points de vue soient pleinement pris en considération</w:t>
      </w:r>
      <w:r w:rsidRPr="00A72D20">
        <w:rPr>
          <w:lang w:val="fr-FR"/>
        </w:rPr>
        <w:t>.</w:t>
      </w:r>
    </w:p>
    <w:p w:rsidR="00DC38B6" w:rsidRPr="00A72D20" w:rsidRDefault="00DC38B6" w:rsidP="00DC38B6">
      <w:pPr>
        <w:rPr>
          <w:szCs w:val="24"/>
          <w:lang w:val="fr-FR"/>
        </w:rPr>
      </w:pPr>
      <w:bookmarkStart w:id="7" w:name="lt_pId029"/>
      <w:r w:rsidRPr="00A72D20">
        <w:rPr>
          <w:szCs w:val="24"/>
          <w:lang w:val="fr-FR"/>
        </w:rPr>
        <w:t>Le GTC-FHR a continué d'examiner la participation des Membres de Secteur, des Associés et des établissements universitaires et présentera un rapport à la session de 2018 du Conseil</w:t>
      </w:r>
      <w:bookmarkEnd w:id="7"/>
      <w:r w:rsidRPr="00A72D20">
        <w:rPr>
          <w:szCs w:val="24"/>
          <w:lang w:val="fr-FR"/>
        </w:rPr>
        <w:t>, notamment, sur l'application de critères pour l'exonération du paiement des contributions que versent les membres, approuvé à la session de 2017 du Conseil.</w:t>
      </w:r>
    </w:p>
    <w:p w:rsidR="00DC38B6" w:rsidRPr="00A72D20" w:rsidRDefault="00DC38B6" w:rsidP="00DC38B6">
      <w:pPr>
        <w:rPr>
          <w:lang w:val="fr-FR"/>
        </w:rPr>
      </w:pPr>
      <w:bookmarkStart w:id="8" w:name="lt_pId031"/>
      <w:r w:rsidRPr="00A72D20">
        <w:rPr>
          <w:color w:val="000000"/>
          <w:lang w:val="fr-FR"/>
        </w:rPr>
        <w:t xml:space="preserve">De plus, la </w:t>
      </w:r>
      <w:r w:rsidRPr="00A72D20">
        <w:rPr>
          <w:szCs w:val="24"/>
          <w:lang w:val="fr-FR"/>
        </w:rPr>
        <w:t xml:space="preserve">PP-14 </w:t>
      </w:r>
      <w:r w:rsidRPr="00A72D20">
        <w:rPr>
          <w:color w:val="000000"/>
          <w:lang w:val="fr-FR"/>
        </w:rPr>
        <w:t>a apporté des modifications importantes à la Résolution 169 relative aux établissements universitaires, en mettant en place un droit unique que doivent verser les établissements universitaires pour pouvoir participer aux travaux de tous les Secteurs ainsi qu'aux conférences, ateliers et activités de l'Union à l'échelle mondiale et régionale, exception faite des conférences habilitées à conclure des traités et du Conseil.</w:t>
      </w:r>
    </w:p>
    <w:p w:rsidR="00DC38B6" w:rsidRPr="00A72D20" w:rsidRDefault="00DC38B6" w:rsidP="00DC38B6">
      <w:pPr>
        <w:rPr>
          <w:lang w:val="fr-FR"/>
        </w:rPr>
      </w:pPr>
      <w:bookmarkStart w:id="9" w:name="lt_pId034"/>
      <w:bookmarkEnd w:id="8"/>
      <w:r w:rsidRPr="00A72D20">
        <w:rPr>
          <w:lang w:val="fr-FR"/>
        </w:rPr>
        <w:t>Le BDT continuera de prendre les mesures nécessaires pour mettre en oeuvre les résultats des travaux de la PP-14, de la CMDT</w:t>
      </w:r>
      <w:r w:rsidRPr="00A72D20">
        <w:rPr>
          <w:lang w:val="fr-FR"/>
        </w:rPr>
        <w:noBreakHyphen/>
        <w:t>17, du GTC-FHR et du Conseil, après consultation des instances concernées de l'</w:t>
      </w:r>
      <w:r w:rsidR="00202682">
        <w:rPr>
          <w:lang w:val="fr-FR"/>
        </w:rPr>
        <w:t>UIT</w:t>
      </w:r>
      <w:r w:rsidR="00202682">
        <w:rPr>
          <w:lang w:val="fr-FR"/>
        </w:rPr>
        <w:noBreakHyphen/>
        <w:t>D, à savoir le GCDT et les C</w:t>
      </w:r>
      <w:r w:rsidRPr="00A72D20">
        <w:rPr>
          <w:lang w:val="fr-FR"/>
        </w:rPr>
        <w:t>ommissions d'études de l'UIT</w:t>
      </w:r>
      <w:r w:rsidRPr="00A72D20">
        <w:rPr>
          <w:lang w:val="fr-FR"/>
        </w:rPr>
        <w:noBreakHyphen/>
        <w:t>D.</w:t>
      </w:r>
    </w:p>
    <w:p w:rsidR="00DC38B6" w:rsidRPr="00A72D20" w:rsidRDefault="00DC38B6" w:rsidP="00DC38B6">
      <w:pPr>
        <w:pStyle w:val="Heading1"/>
        <w:rPr>
          <w:lang w:val="fr-FR"/>
        </w:rPr>
      </w:pPr>
      <w:r w:rsidRPr="00A72D20">
        <w:rPr>
          <w:lang w:val="fr-FR"/>
        </w:rPr>
        <w:lastRenderedPageBreak/>
        <w:t>2</w:t>
      </w:r>
      <w:r w:rsidRPr="00A72D20">
        <w:rPr>
          <w:lang w:val="fr-FR"/>
        </w:rPr>
        <w:tab/>
        <w:t>Objectifs stratégiques</w:t>
      </w:r>
    </w:p>
    <w:p w:rsidR="00DC38B6" w:rsidRPr="00A72D20" w:rsidRDefault="00DC38B6" w:rsidP="00DC38B6">
      <w:pPr>
        <w:keepNext/>
        <w:keepLines/>
        <w:rPr>
          <w:lang w:val="fr-FR"/>
        </w:rPr>
      </w:pPr>
      <w:r w:rsidRPr="00A72D20">
        <w:rPr>
          <w:lang w:val="fr-FR"/>
        </w:rPr>
        <w:t>Conformément aux résultats de la CMDT-17 et de la PP-14, le BDT, en étroite coordination et en collaboration avec le Secrétariat général, les deux autres Bureaux et les bureaux régionaux/de zone, s'est efforcé d'atteindre deux objectifs essentiels:</w:t>
      </w:r>
    </w:p>
    <w:p w:rsidR="00DC38B6" w:rsidRPr="00A72D20" w:rsidRDefault="00DC38B6" w:rsidP="00DC38B6">
      <w:pPr>
        <w:pStyle w:val="enumlev1"/>
        <w:rPr>
          <w:rFonts w:eastAsia="SimSun"/>
          <w:lang w:val="fr-FR"/>
        </w:rPr>
      </w:pPr>
      <w:bookmarkStart w:id="10" w:name="lt_pId037"/>
      <w:bookmarkEnd w:id="9"/>
      <w:r w:rsidRPr="00A72D20">
        <w:rPr>
          <w:rFonts w:eastAsia="SimSun"/>
          <w:lang w:val="fr-FR"/>
        </w:rPr>
        <w:t>•</w:t>
      </w:r>
      <w:r w:rsidRPr="00A72D20">
        <w:rPr>
          <w:rFonts w:eastAsia="SimSun"/>
          <w:lang w:val="fr-FR"/>
        </w:rPr>
        <w:tab/>
        <w:t>établir des contacts avec davantage d'entités pour les inciter à participer en qualité de Membre de Secteur, d'Associé ou d'établissement universitaire;</w:t>
      </w:r>
      <w:bookmarkEnd w:id="10"/>
      <w:r w:rsidRPr="00A72D20">
        <w:rPr>
          <w:rFonts w:eastAsia="SimSun"/>
          <w:lang w:val="fr-FR"/>
        </w:rPr>
        <w:t xml:space="preserve"> et </w:t>
      </w:r>
    </w:p>
    <w:p w:rsidR="00DC38B6" w:rsidRPr="00A72D20" w:rsidRDefault="00DC38B6" w:rsidP="00DC38B6">
      <w:pPr>
        <w:pStyle w:val="enumlev1"/>
        <w:rPr>
          <w:rFonts w:eastAsia="SimSun"/>
          <w:lang w:val="fr-FR"/>
        </w:rPr>
      </w:pPr>
      <w:bookmarkStart w:id="11" w:name="lt_pId039"/>
      <w:r w:rsidRPr="00A72D20">
        <w:rPr>
          <w:rFonts w:eastAsia="SimSun"/>
          <w:lang w:val="fr-FR"/>
        </w:rPr>
        <w:t>•</w:t>
      </w:r>
      <w:r w:rsidRPr="00A72D20">
        <w:rPr>
          <w:rFonts w:eastAsia="SimSun"/>
          <w:lang w:val="fr-FR"/>
        </w:rPr>
        <w:tab/>
        <w:t xml:space="preserve">renforcer les plates-formes permettant la participation et la fidélisation des Membres et des Associés du Secteur de l'UIT-D ou des établissements universitaires actuels participant aux travaux de ce Secteur. </w:t>
      </w:r>
    </w:p>
    <w:p w:rsidR="00DC38B6" w:rsidRPr="00A72D20" w:rsidRDefault="00DC38B6" w:rsidP="00DC38B6">
      <w:pPr>
        <w:pStyle w:val="Heading1"/>
        <w:rPr>
          <w:rFonts w:eastAsia="SimHei"/>
          <w:lang w:val="fr-FR"/>
        </w:rPr>
      </w:pPr>
      <w:bookmarkStart w:id="12" w:name="lt_pId040"/>
      <w:bookmarkEnd w:id="11"/>
      <w:r w:rsidRPr="00A72D20">
        <w:rPr>
          <w:rFonts w:eastAsia="SimHei"/>
          <w:lang w:val="fr-FR"/>
        </w:rPr>
        <w:t>3</w:t>
      </w:r>
      <w:r w:rsidRPr="00A72D20">
        <w:rPr>
          <w:rFonts w:eastAsia="SimHei"/>
          <w:lang w:val="fr-FR"/>
        </w:rPr>
        <w:tab/>
        <w:t>Analyse de la situation</w:t>
      </w:r>
      <w:bookmarkEnd w:id="12"/>
    </w:p>
    <w:p w:rsidR="00DC38B6" w:rsidRPr="00A72D20" w:rsidRDefault="00DC38B6" w:rsidP="00DC38B6">
      <w:pPr>
        <w:rPr>
          <w:lang w:val="fr-FR"/>
        </w:rPr>
      </w:pPr>
      <w:bookmarkStart w:id="13" w:name="lt_pId041"/>
      <w:r w:rsidRPr="00A72D20">
        <w:rPr>
          <w:b/>
          <w:bCs/>
          <w:lang w:val="fr-FR"/>
        </w:rPr>
        <w:t>3.1</w:t>
      </w:r>
      <w:r w:rsidRPr="00A72D20">
        <w:rPr>
          <w:lang w:val="fr-FR"/>
        </w:rPr>
        <w:tab/>
        <w:t xml:space="preserve">Le </w:t>
      </w:r>
      <w:r w:rsidRPr="00A72D20">
        <w:rPr>
          <w:b/>
          <w:bCs/>
          <w:lang w:val="fr-FR"/>
        </w:rPr>
        <w:t>Graphique 1</w:t>
      </w:r>
      <w:r w:rsidRPr="00A72D20">
        <w:rPr>
          <w:lang w:val="fr-FR"/>
        </w:rPr>
        <w:t xml:space="preserve"> ci-après illustre l'augmentation du nombre de Membres du Secteur de l'UIT-D (Membres et Associés du Secteur de l'UIT</w:t>
      </w:r>
      <w:r w:rsidRPr="00A72D20">
        <w:rPr>
          <w:lang w:val="fr-FR"/>
        </w:rPr>
        <w:noBreakHyphen/>
        <w:t>D, et établissements universitaires participant aux travaux de ce secteur</w:t>
      </w:r>
      <w:r w:rsidRPr="00A72D20">
        <w:rPr>
          <w:rStyle w:val="FootnoteReference"/>
          <w:lang w:val="fr-FR"/>
        </w:rPr>
        <w:footnoteReference w:id="1"/>
      </w:r>
      <w:r w:rsidRPr="00A72D20">
        <w:rPr>
          <w:lang w:val="fr-FR"/>
        </w:rPr>
        <w:t>) entre 1994 et décembre 2017.</w:t>
      </w:r>
      <w:bookmarkEnd w:id="13"/>
    </w:p>
    <w:p w:rsidR="00DC38B6" w:rsidRPr="00A72D20" w:rsidRDefault="00DC38B6" w:rsidP="00C4562F">
      <w:pPr>
        <w:spacing w:before="240" w:after="120"/>
        <w:jc w:val="center"/>
        <w:rPr>
          <w:lang w:val="fr-FR"/>
        </w:rPr>
      </w:pPr>
      <w:bookmarkStart w:id="15" w:name="lt_pId042"/>
      <w:r w:rsidRPr="00A72D20">
        <w:rPr>
          <w:noProof/>
          <w:lang w:val="en-GB" w:eastAsia="zh-CN"/>
        </w:rPr>
        <w:drawing>
          <wp:inline distT="0" distB="0" distL="0" distR="0" wp14:anchorId="68EBA24B" wp14:editId="32BE1221">
            <wp:extent cx="6031230" cy="3051810"/>
            <wp:effectExtent l="0" t="0" r="762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C38B6" w:rsidRPr="00A72D20" w:rsidRDefault="00DC38B6" w:rsidP="00C4562F">
      <w:pPr>
        <w:tabs>
          <w:tab w:val="left" w:pos="3945"/>
        </w:tabs>
        <w:spacing w:before="240"/>
        <w:rPr>
          <w:szCs w:val="24"/>
          <w:lang w:val="fr-FR" w:eastAsia="zh-CN"/>
        </w:rPr>
      </w:pPr>
      <w:r w:rsidRPr="00A72D20">
        <w:rPr>
          <w:szCs w:val="24"/>
          <w:lang w:val="fr-FR" w:eastAsia="zh-CN"/>
        </w:rPr>
        <w:t xml:space="preserve">La baisse du nombre total de membres en 2017 est principalement due à l'achèvement d'un projet pilote destiné aux établissements universitaires participant aux travaux de l'Union, qui est en cours de renouvellement et sera réactivé au cours de l'année 2018. </w:t>
      </w:r>
    </w:p>
    <w:p w:rsidR="00DC38B6" w:rsidRPr="00A72D20" w:rsidRDefault="00DC38B6" w:rsidP="00DC38B6">
      <w:pPr>
        <w:keepNext/>
        <w:keepLines/>
        <w:spacing w:before="240" w:after="120"/>
        <w:rPr>
          <w:rFonts w:ascii="Verdana" w:eastAsia="SimHei" w:hAnsi="Verdana" w:cs="Simplified Arabic"/>
          <w:b/>
          <w:sz w:val="19"/>
          <w:szCs w:val="28"/>
          <w:lang w:val="fr-FR"/>
        </w:rPr>
      </w:pPr>
      <w:r w:rsidRPr="00A72D20">
        <w:rPr>
          <w:b/>
          <w:bCs/>
          <w:lang w:val="fr-FR"/>
        </w:rPr>
        <w:lastRenderedPageBreak/>
        <w:t>3.2</w:t>
      </w:r>
      <w:r w:rsidRPr="00A72D20">
        <w:rPr>
          <w:lang w:val="fr-FR"/>
        </w:rPr>
        <w:tab/>
        <w:t xml:space="preserve">Les </w:t>
      </w:r>
      <w:r w:rsidRPr="00A72D20">
        <w:rPr>
          <w:b/>
          <w:bCs/>
          <w:lang w:val="fr-FR"/>
        </w:rPr>
        <w:t>Graphiques 2</w:t>
      </w:r>
      <w:r w:rsidRPr="00A72D20">
        <w:rPr>
          <w:lang w:val="fr-FR"/>
        </w:rPr>
        <w:t xml:space="preserve"> </w:t>
      </w:r>
      <w:r w:rsidRPr="00202682">
        <w:rPr>
          <w:b/>
          <w:bCs/>
          <w:lang w:val="fr-FR"/>
        </w:rPr>
        <w:t>et</w:t>
      </w:r>
      <w:r w:rsidRPr="00A72D20">
        <w:rPr>
          <w:lang w:val="fr-FR"/>
        </w:rPr>
        <w:t xml:space="preserve"> </w:t>
      </w:r>
      <w:r w:rsidRPr="00A72D20">
        <w:rPr>
          <w:b/>
          <w:bCs/>
          <w:lang w:val="fr-FR"/>
        </w:rPr>
        <w:t xml:space="preserve">3 </w:t>
      </w:r>
      <w:r w:rsidRPr="00A72D20">
        <w:rPr>
          <w:lang w:val="fr-FR"/>
        </w:rPr>
        <w:t>ci-dessous indiquent la répartition des Membres de Secteur de l'UIT-D par catégorie et par région</w:t>
      </w:r>
      <w:bookmarkEnd w:id="15"/>
      <w:r w:rsidRPr="00A72D20">
        <w:rPr>
          <w:lang w:val="fr-FR"/>
        </w:rPr>
        <w:t>.</w:t>
      </w:r>
    </w:p>
    <w:bookmarkStart w:id="16" w:name="lt_pId043"/>
    <w:p w:rsidR="00DC38B6" w:rsidRPr="00A72D20" w:rsidRDefault="00DC38B6" w:rsidP="00DC38B6">
      <w:pPr>
        <w:pStyle w:val="ListParagraph"/>
        <w:keepNext/>
        <w:keepLines/>
        <w:spacing w:before="240"/>
        <w:ind w:left="0"/>
        <w:rPr>
          <w:b/>
          <w:bCs/>
          <w:szCs w:val="24"/>
          <w:lang w:val="fr-FR"/>
        </w:rPr>
      </w:pPr>
      <w:r w:rsidRPr="00A72D20">
        <w:rPr>
          <w:noProof/>
          <w:szCs w:val="24"/>
          <w:lang w:val="en-GB" w:eastAsia="zh-CN"/>
        </w:rPr>
        <mc:AlternateContent>
          <mc:Choice Requires="wpg">
            <w:drawing>
              <wp:anchor distT="0" distB="0" distL="114300" distR="114300" simplePos="0" relativeHeight="251672576" behindDoc="0" locked="0" layoutInCell="1" allowOverlap="1" wp14:anchorId="40CA51A2" wp14:editId="2CAA7EEE">
                <wp:simplePos x="0" y="0"/>
                <wp:positionH relativeFrom="column">
                  <wp:posOffset>2237740</wp:posOffset>
                </wp:positionH>
                <wp:positionV relativeFrom="paragraph">
                  <wp:posOffset>944576</wp:posOffset>
                </wp:positionV>
                <wp:extent cx="542925" cy="920906"/>
                <wp:effectExtent l="0" t="0" r="9525" b="0"/>
                <wp:wrapNone/>
                <wp:docPr id="20" name="Group 20"/>
                <wp:cNvGraphicFramePr/>
                <a:graphic xmlns:a="http://schemas.openxmlformats.org/drawingml/2006/main">
                  <a:graphicData uri="http://schemas.microsoft.com/office/word/2010/wordprocessingGroup">
                    <wpg:wgp>
                      <wpg:cNvGrpSpPr/>
                      <wpg:grpSpPr>
                        <a:xfrm>
                          <a:off x="0" y="0"/>
                          <a:ext cx="542925" cy="920906"/>
                          <a:chOff x="0" y="0"/>
                          <a:chExt cx="542925" cy="920906"/>
                        </a:xfrm>
                      </wpg:grpSpPr>
                      <wps:wsp>
                        <wps:cNvPr id="7" name="Text Box 2"/>
                        <wps:cNvSpPr txBox="1">
                          <a:spLocks noChangeArrowheads="1"/>
                        </wps:cNvSpPr>
                        <wps:spPr bwMode="auto">
                          <a:xfrm>
                            <a:off x="0" y="588397"/>
                            <a:ext cx="476250" cy="332509"/>
                          </a:xfrm>
                          <a:prstGeom prst="rect">
                            <a:avLst/>
                          </a:prstGeom>
                          <a:solidFill>
                            <a:srgbClr val="FFFFFF"/>
                          </a:solidFill>
                          <a:ln w="9525">
                            <a:noFill/>
                            <a:miter lim="800000"/>
                            <a:headEnd/>
                            <a:tailEnd/>
                          </a:ln>
                        </wps:spPr>
                        <wps:txbx>
                          <w:txbxContent>
                            <w:p w:rsidR="00DC38B6" w:rsidRPr="007E338E" w:rsidRDefault="00DC38B6" w:rsidP="00DC38B6">
                              <w:pPr>
                                <w:spacing w:before="100" w:beforeAutospacing="1" w:after="100" w:afterAutospacing="1"/>
                                <w:ind w:left="-113" w:right="-283"/>
                                <w:rPr>
                                  <w:b/>
                                  <w:bCs/>
                                  <w:sz w:val="10"/>
                                  <w:szCs w:val="6"/>
                                </w:rPr>
                              </w:pPr>
                              <w:r w:rsidRPr="007E338E">
                                <w:rPr>
                                  <w:sz w:val="12"/>
                                  <w:szCs w:val="8"/>
                                  <w:lang w:val="fr-FR"/>
                                </w:rPr>
                                <w:t>Membres de Secteur</w:t>
                              </w:r>
                            </w:p>
                          </w:txbxContent>
                        </wps:txbx>
                        <wps:bodyPr rot="0" vert="horz" wrap="square" lIns="91440" tIns="45720" rIns="91440" bIns="45720" anchor="t" anchorCtr="0">
                          <a:noAutofit/>
                        </wps:bodyPr>
                      </wps:wsp>
                      <wps:wsp>
                        <wps:cNvPr id="10" name="Text Box 2"/>
                        <wps:cNvSpPr txBox="1">
                          <a:spLocks noChangeArrowheads="1"/>
                        </wps:cNvSpPr>
                        <wps:spPr bwMode="auto">
                          <a:xfrm>
                            <a:off x="0" y="0"/>
                            <a:ext cx="542925" cy="309245"/>
                          </a:xfrm>
                          <a:prstGeom prst="rect">
                            <a:avLst/>
                          </a:prstGeom>
                          <a:solidFill>
                            <a:srgbClr val="FFFFFF"/>
                          </a:solidFill>
                          <a:ln w="9525">
                            <a:noFill/>
                            <a:miter lim="800000"/>
                            <a:headEnd/>
                            <a:tailEnd/>
                          </a:ln>
                        </wps:spPr>
                        <wps:txbx>
                          <w:txbxContent>
                            <w:p w:rsidR="00DC38B6" w:rsidRPr="007E338E" w:rsidRDefault="00DC38B6" w:rsidP="00DC38B6">
                              <w:pPr>
                                <w:spacing w:before="0"/>
                                <w:ind w:left="-113" w:right="-283"/>
                                <w:rPr>
                                  <w:b/>
                                  <w:bCs/>
                                  <w:sz w:val="12"/>
                                  <w:szCs w:val="12"/>
                                </w:rPr>
                              </w:pPr>
                              <w:r>
                                <w:rPr>
                                  <w:sz w:val="12"/>
                                  <w:szCs w:val="12"/>
                                  <w:lang w:val="fr-FR"/>
                                </w:rPr>
                                <w:t>E</w:t>
                              </w:r>
                              <w:r w:rsidRPr="007E338E">
                                <w:rPr>
                                  <w:sz w:val="12"/>
                                  <w:szCs w:val="12"/>
                                  <w:lang w:val="fr-FR"/>
                                </w:rPr>
                                <w:t>tablissements universitaires</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310101"/>
                            <a:ext cx="476250" cy="199390"/>
                          </a:xfrm>
                          <a:prstGeom prst="rect">
                            <a:avLst/>
                          </a:prstGeom>
                          <a:solidFill>
                            <a:srgbClr val="FFFFFF"/>
                          </a:solidFill>
                          <a:ln w="9525">
                            <a:noFill/>
                            <a:miter lim="800000"/>
                            <a:headEnd/>
                            <a:tailEnd/>
                          </a:ln>
                        </wps:spPr>
                        <wps:txbx>
                          <w:txbxContent>
                            <w:p w:rsidR="00DC38B6" w:rsidRPr="007E338E" w:rsidRDefault="00DC38B6" w:rsidP="00DC38B6">
                              <w:pPr>
                                <w:spacing w:before="100" w:beforeAutospacing="1" w:after="100" w:afterAutospacing="1"/>
                                <w:ind w:left="-113" w:right="-283"/>
                                <w:rPr>
                                  <w:b/>
                                  <w:bCs/>
                                  <w:sz w:val="10"/>
                                  <w:szCs w:val="6"/>
                                </w:rPr>
                              </w:pPr>
                              <w:r w:rsidRPr="007E338E">
                                <w:rPr>
                                  <w:sz w:val="12"/>
                                  <w:szCs w:val="8"/>
                                  <w:lang w:val="fr-FR"/>
                                </w:rPr>
                                <w:t>Associés</w:t>
                              </w:r>
                            </w:p>
                          </w:txbxContent>
                        </wps:txbx>
                        <wps:bodyPr rot="0" vert="horz" wrap="square" lIns="91440" tIns="45720" rIns="91440" bIns="45720" anchor="t" anchorCtr="0">
                          <a:noAutofit/>
                        </wps:bodyPr>
                      </wps:wsp>
                    </wpg:wgp>
                  </a:graphicData>
                </a:graphic>
              </wp:anchor>
            </w:drawing>
          </mc:Choice>
          <mc:Fallback>
            <w:pict>
              <v:group w14:anchorId="40CA51A2" id="Group 20" o:spid="_x0000_s1026" style="position:absolute;margin-left:176.2pt;margin-top:74.4pt;width:42.75pt;height:72.5pt;z-index:251672576" coordsize="5429,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">
                <v:shapetype id="_x0000_t202" coordsize="21600,21600" o:spt="202" path="m,l,21600r21600,l21600,xe">
                  <v:stroke joinstyle="miter"/>
                  <v:path gradientshapeok="t" o:connecttype="rect"/>
                </v:shapetype>
                <v:shape id="Text Box 2" o:spid="_x0000_s1027" type="#_x0000_t202" style="position:absolute;top:5883;width:4762;height:3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DC38B6" w:rsidRPr="007E338E" w:rsidRDefault="00DC38B6" w:rsidP="00DC38B6">
                        <w:pPr>
                          <w:spacing w:before="100" w:beforeAutospacing="1" w:after="100" w:afterAutospacing="1"/>
                          <w:ind w:left="-113" w:right="-283"/>
                          <w:rPr>
                            <w:b/>
                            <w:bCs/>
                            <w:sz w:val="10"/>
                            <w:szCs w:val="6"/>
                          </w:rPr>
                        </w:pPr>
                        <w:r w:rsidRPr="007E338E">
                          <w:rPr>
                            <w:sz w:val="12"/>
                            <w:szCs w:val="8"/>
                            <w:lang w:val="fr-FR"/>
                          </w:rPr>
                          <w:t>Membres de Secteur</w:t>
                        </w:r>
                      </w:p>
                    </w:txbxContent>
                  </v:textbox>
                </v:shape>
                <v:shape id="Text Box 2" o:spid="_x0000_s1028" type="#_x0000_t202" style="position:absolute;width:5429;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DC38B6" w:rsidRPr="007E338E" w:rsidRDefault="00DC38B6" w:rsidP="00DC38B6">
                        <w:pPr>
                          <w:spacing w:before="0"/>
                          <w:ind w:left="-113" w:right="-283"/>
                          <w:rPr>
                            <w:b/>
                            <w:bCs/>
                            <w:sz w:val="12"/>
                            <w:szCs w:val="12"/>
                          </w:rPr>
                        </w:pPr>
                        <w:r>
                          <w:rPr>
                            <w:sz w:val="12"/>
                            <w:szCs w:val="12"/>
                            <w:lang w:val="fr-FR"/>
                          </w:rPr>
                          <w:t>E</w:t>
                        </w:r>
                        <w:r w:rsidRPr="007E338E">
                          <w:rPr>
                            <w:sz w:val="12"/>
                            <w:szCs w:val="12"/>
                            <w:lang w:val="fr-FR"/>
                          </w:rPr>
                          <w:t>tablissements universitaires</w:t>
                        </w:r>
                      </w:p>
                    </w:txbxContent>
                  </v:textbox>
                </v:shape>
                <v:shape id="Text Box 2" o:spid="_x0000_s1029" type="#_x0000_t202" style="position:absolute;top:3101;width:4762;height:1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C38B6" w:rsidRPr="007E338E" w:rsidRDefault="00DC38B6" w:rsidP="00DC38B6">
                        <w:pPr>
                          <w:spacing w:before="100" w:beforeAutospacing="1" w:after="100" w:afterAutospacing="1"/>
                          <w:ind w:left="-113" w:right="-283"/>
                          <w:rPr>
                            <w:b/>
                            <w:bCs/>
                            <w:sz w:val="10"/>
                            <w:szCs w:val="6"/>
                          </w:rPr>
                        </w:pPr>
                        <w:r w:rsidRPr="007E338E">
                          <w:rPr>
                            <w:sz w:val="12"/>
                            <w:szCs w:val="8"/>
                            <w:lang w:val="fr-FR"/>
                          </w:rPr>
                          <w:t>Associés</w:t>
                        </w:r>
                      </w:p>
                    </w:txbxContent>
                  </v:textbox>
                </v:shape>
              </v:group>
            </w:pict>
          </mc:Fallback>
        </mc:AlternateContent>
      </w:r>
      <w:r w:rsidRPr="00A72D20">
        <w:rPr>
          <w:noProof/>
          <w:szCs w:val="24"/>
          <w:lang w:val="en-GB" w:eastAsia="zh-CN"/>
        </w:rPr>
        <mc:AlternateContent>
          <mc:Choice Requires="wpg">
            <w:drawing>
              <wp:anchor distT="0" distB="0" distL="114300" distR="114300" simplePos="0" relativeHeight="251673600" behindDoc="0" locked="0" layoutInCell="1" allowOverlap="1" wp14:anchorId="23D44A74" wp14:editId="2238FD63">
                <wp:simplePos x="0" y="0"/>
                <wp:positionH relativeFrom="column">
                  <wp:posOffset>5234940</wp:posOffset>
                </wp:positionH>
                <wp:positionV relativeFrom="paragraph">
                  <wp:posOffset>334452</wp:posOffset>
                </wp:positionV>
                <wp:extent cx="471170" cy="1487502"/>
                <wp:effectExtent l="0" t="0" r="5080" b="0"/>
                <wp:wrapNone/>
                <wp:docPr id="206" name="Group 206"/>
                <wp:cNvGraphicFramePr/>
                <a:graphic xmlns:a="http://schemas.openxmlformats.org/drawingml/2006/main">
                  <a:graphicData uri="http://schemas.microsoft.com/office/word/2010/wordprocessingGroup">
                    <wpg:wgp>
                      <wpg:cNvGrpSpPr/>
                      <wpg:grpSpPr>
                        <a:xfrm>
                          <a:off x="0" y="0"/>
                          <a:ext cx="471170" cy="1487502"/>
                          <a:chOff x="0" y="0"/>
                          <a:chExt cx="471170" cy="1487502"/>
                        </a:xfrm>
                      </wpg:grpSpPr>
                      <wps:wsp>
                        <wps:cNvPr id="12" name="Text Box 2"/>
                        <wps:cNvSpPr txBox="1">
                          <a:spLocks noChangeArrowheads="1"/>
                        </wps:cNvSpPr>
                        <wps:spPr bwMode="auto">
                          <a:xfrm>
                            <a:off x="0" y="0"/>
                            <a:ext cx="471170" cy="296863"/>
                          </a:xfrm>
                          <a:prstGeom prst="rect">
                            <a:avLst/>
                          </a:prstGeom>
                          <a:solidFill>
                            <a:srgbClr val="FFFFFF"/>
                          </a:solidFill>
                          <a:ln w="9525">
                            <a:noFill/>
                            <a:miter lim="800000"/>
                            <a:headEnd/>
                            <a:tailEnd/>
                          </a:ln>
                        </wps:spPr>
                        <wps:txbx>
                          <w:txbxContent>
                            <w:p w:rsidR="00DC38B6" w:rsidRPr="008E4A8D" w:rsidRDefault="00DC38B6" w:rsidP="00DC38B6">
                              <w:pPr>
                                <w:spacing w:before="100" w:beforeAutospacing="1" w:after="100" w:afterAutospacing="1"/>
                                <w:ind w:left="-113" w:right="-283"/>
                                <w:rPr>
                                  <w:b/>
                                  <w:bCs/>
                                  <w:sz w:val="12"/>
                                  <w:szCs w:val="12"/>
                                </w:rPr>
                              </w:pPr>
                              <w:r w:rsidRPr="008E4A8D">
                                <w:rPr>
                                  <w:sz w:val="12"/>
                                  <w:szCs w:val="12"/>
                                  <w:lang w:val="fr-FR"/>
                                </w:rPr>
                                <w:t>R</w:t>
                              </w:r>
                              <w:r>
                                <w:rPr>
                                  <w:sz w:val="12"/>
                                  <w:szCs w:val="12"/>
                                  <w:lang w:val="fr-FR"/>
                                </w:rPr>
                                <w:t xml:space="preserve">égional et </w:t>
                              </w:r>
                              <w:r w:rsidRPr="008E4A8D">
                                <w:rPr>
                                  <w:sz w:val="12"/>
                                  <w:szCs w:val="12"/>
                                  <w:lang w:val="fr-FR"/>
                                </w:rPr>
                                <w:t>internation</w:t>
                              </w:r>
                              <w:r>
                                <w:rPr>
                                  <w:sz w:val="12"/>
                                  <w:szCs w:val="12"/>
                                  <w:lang w:val="fr-FR"/>
                                </w:rPr>
                                <w:t>al</w:t>
                              </w:r>
                            </w:p>
                          </w:txbxContent>
                        </wps:txbx>
                        <wps:bodyPr rot="0" vert="horz" wrap="square" lIns="91440" tIns="45720" rIns="91440" bIns="45720" anchor="t" anchorCtr="0">
                          <a:noAutofit/>
                        </wps:bodyPr>
                      </wps:wsp>
                      <wps:wsp>
                        <wps:cNvPr id="13" name="Text Box 2"/>
                        <wps:cNvSpPr txBox="1">
                          <a:spLocks noChangeArrowheads="1"/>
                        </wps:cNvSpPr>
                        <wps:spPr bwMode="auto">
                          <a:xfrm>
                            <a:off x="0" y="238539"/>
                            <a:ext cx="375920" cy="276225"/>
                          </a:xfrm>
                          <a:prstGeom prst="rect">
                            <a:avLst/>
                          </a:prstGeom>
                          <a:solidFill>
                            <a:srgbClr val="FFFFFF"/>
                          </a:solidFill>
                          <a:ln w="9525">
                            <a:noFill/>
                            <a:miter lim="800000"/>
                            <a:headEnd/>
                            <a:tailEnd/>
                          </a:ln>
                        </wps:spPr>
                        <wps:txbx>
                          <w:txbxContent>
                            <w:p w:rsidR="00DC38B6" w:rsidRPr="00910951" w:rsidRDefault="00DC38B6" w:rsidP="00DC38B6">
                              <w:pPr>
                                <w:spacing w:before="100" w:beforeAutospacing="1" w:after="100" w:afterAutospacing="1"/>
                                <w:ind w:left="-113" w:right="-283"/>
                                <w:rPr>
                                  <w:b/>
                                  <w:bCs/>
                                  <w:sz w:val="12"/>
                                  <w:szCs w:val="8"/>
                                </w:rPr>
                              </w:pPr>
                              <w:r w:rsidRPr="008E4A8D">
                                <w:rPr>
                                  <w:sz w:val="12"/>
                                  <w:szCs w:val="8"/>
                                  <w:lang w:val="fr-FR"/>
                                </w:rPr>
                                <w:t>A</w:t>
                              </w:r>
                              <w:r>
                                <w:rPr>
                                  <w:sz w:val="12"/>
                                  <w:szCs w:val="8"/>
                                  <w:lang w:val="fr-FR"/>
                                </w:rPr>
                                <w:t xml:space="preserve">sie et </w:t>
                              </w:r>
                              <w:r w:rsidRPr="008E4A8D">
                                <w:rPr>
                                  <w:sz w:val="12"/>
                                  <w:szCs w:val="8"/>
                                  <w:lang w:val="fr-FR"/>
                                </w:rPr>
                                <w:t>Pacifique</w:t>
                              </w:r>
                            </w:p>
                          </w:txbxContent>
                        </wps:txbx>
                        <wps:bodyPr rot="0" vert="horz" wrap="square" lIns="91440" tIns="45720" rIns="91440" bIns="45720" anchor="t" anchorCtr="0">
                          <a:noAutofit/>
                        </wps:bodyPr>
                      </wps:wsp>
                      <wps:wsp>
                        <wps:cNvPr id="14" name="Text Box 2"/>
                        <wps:cNvSpPr txBox="1">
                          <a:spLocks noChangeArrowheads="1"/>
                        </wps:cNvSpPr>
                        <wps:spPr bwMode="auto">
                          <a:xfrm>
                            <a:off x="7951" y="461176"/>
                            <a:ext cx="428625" cy="199390"/>
                          </a:xfrm>
                          <a:prstGeom prst="rect">
                            <a:avLst/>
                          </a:prstGeom>
                          <a:solidFill>
                            <a:srgbClr val="FFFFFF"/>
                          </a:solidFill>
                          <a:ln w="9525">
                            <a:noFill/>
                            <a:miter lim="800000"/>
                            <a:headEnd/>
                            <a:tailEnd/>
                          </a:ln>
                        </wps:spPr>
                        <wps:txbx>
                          <w:txbxContent>
                            <w:p w:rsidR="00DC38B6" w:rsidRPr="00690269" w:rsidRDefault="00DC38B6" w:rsidP="00DC38B6">
                              <w:pPr>
                                <w:spacing w:before="100" w:beforeAutospacing="1" w:after="100" w:afterAutospacing="1"/>
                                <w:ind w:left="-113" w:right="-283"/>
                                <w:rPr>
                                  <w:b/>
                                  <w:bCs/>
                                  <w:sz w:val="10"/>
                                  <w:szCs w:val="6"/>
                                </w:rPr>
                              </w:pPr>
                              <w:r w:rsidRPr="00690269">
                                <w:rPr>
                                  <w:sz w:val="12"/>
                                  <w:szCs w:val="8"/>
                                  <w:lang w:val="fr-FR"/>
                                </w:rPr>
                                <w:t>Amériques</w:t>
                              </w:r>
                            </w:p>
                          </w:txbxContent>
                        </wps:txbx>
                        <wps:bodyPr rot="0" vert="horz" wrap="square" lIns="91440" tIns="45720" rIns="91440" bIns="45720" anchor="t" anchorCtr="0">
                          <a:noAutofit/>
                        </wps:bodyPr>
                      </wps:wsp>
                      <wps:wsp>
                        <wps:cNvPr id="15" name="Text Box 2"/>
                        <wps:cNvSpPr txBox="1">
                          <a:spLocks noChangeArrowheads="1"/>
                        </wps:cNvSpPr>
                        <wps:spPr bwMode="auto">
                          <a:xfrm>
                            <a:off x="7951" y="882595"/>
                            <a:ext cx="457200" cy="199390"/>
                          </a:xfrm>
                          <a:prstGeom prst="rect">
                            <a:avLst/>
                          </a:prstGeom>
                          <a:solidFill>
                            <a:srgbClr val="FFFFFF"/>
                          </a:solidFill>
                          <a:ln w="9525">
                            <a:noFill/>
                            <a:miter lim="800000"/>
                            <a:headEnd/>
                            <a:tailEnd/>
                          </a:ln>
                        </wps:spPr>
                        <wps:txbx>
                          <w:txbxContent>
                            <w:p w:rsidR="00DC38B6" w:rsidRPr="00690269" w:rsidRDefault="00DC38B6" w:rsidP="00DC38B6">
                              <w:pPr>
                                <w:spacing w:before="100" w:beforeAutospacing="1" w:after="100" w:afterAutospacing="1"/>
                                <w:ind w:left="-113" w:right="-283"/>
                                <w:rPr>
                                  <w:b/>
                                  <w:bCs/>
                                  <w:sz w:val="12"/>
                                  <w:szCs w:val="12"/>
                                </w:rPr>
                              </w:pPr>
                              <w:r w:rsidRPr="00690269">
                                <w:rPr>
                                  <w:sz w:val="12"/>
                                  <w:szCs w:val="12"/>
                                  <w:lang w:val="fr-FR"/>
                                </w:rPr>
                                <w:t>Etats arabes</w:t>
                              </w:r>
                            </w:p>
                          </w:txbxContent>
                        </wps:txbx>
                        <wps:bodyPr rot="0" vert="horz" wrap="square" lIns="91440" tIns="45720" rIns="91440" bIns="45720" anchor="t" anchorCtr="0">
                          <a:noAutofit/>
                        </wps:bodyPr>
                      </wps:wsp>
                      <wps:wsp>
                        <wps:cNvPr id="17" name="Text Box 2"/>
                        <wps:cNvSpPr txBox="1">
                          <a:spLocks noChangeArrowheads="1"/>
                        </wps:cNvSpPr>
                        <wps:spPr bwMode="auto">
                          <a:xfrm>
                            <a:off x="7951" y="1288112"/>
                            <a:ext cx="176213" cy="199390"/>
                          </a:xfrm>
                          <a:prstGeom prst="rect">
                            <a:avLst/>
                          </a:prstGeom>
                          <a:solidFill>
                            <a:srgbClr val="FFFFFF"/>
                          </a:solidFill>
                          <a:ln w="9525">
                            <a:noFill/>
                            <a:miter lim="800000"/>
                            <a:headEnd/>
                            <a:tailEnd/>
                          </a:ln>
                        </wps:spPr>
                        <wps:txbx>
                          <w:txbxContent>
                            <w:p w:rsidR="00DC38B6" w:rsidRPr="00910951" w:rsidRDefault="00DC38B6" w:rsidP="00DC38B6">
                              <w:pPr>
                                <w:spacing w:before="100" w:beforeAutospacing="1" w:after="100" w:afterAutospacing="1"/>
                                <w:ind w:left="-113" w:right="-283"/>
                                <w:rPr>
                                  <w:b/>
                                  <w:bCs/>
                                  <w:sz w:val="12"/>
                                  <w:szCs w:val="8"/>
                                </w:rPr>
                              </w:pPr>
                              <w:r w:rsidRPr="00690269">
                                <w:rPr>
                                  <w:sz w:val="12"/>
                                  <w:szCs w:val="8"/>
                                  <w:lang w:val="fr-FR"/>
                                </w:rPr>
                                <w:t>CEI</w:t>
                              </w:r>
                            </w:p>
                          </w:txbxContent>
                        </wps:txbx>
                        <wps:bodyPr rot="0" vert="horz" wrap="square" lIns="91440" tIns="45720" rIns="91440" bIns="45720" anchor="t" anchorCtr="0">
                          <a:noAutofit/>
                        </wps:bodyPr>
                      </wps:wsp>
                      <wps:wsp>
                        <wps:cNvPr id="18" name="Text Box 2"/>
                        <wps:cNvSpPr txBox="1">
                          <a:spLocks noChangeArrowheads="1"/>
                        </wps:cNvSpPr>
                        <wps:spPr bwMode="auto">
                          <a:xfrm>
                            <a:off x="7951" y="1089329"/>
                            <a:ext cx="323850" cy="199390"/>
                          </a:xfrm>
                          <a:prstGeom prst="rect">
                            <a:avLst/>
                          </a:prstGeom>
                          <a:solidFill>
                            <a:srgbClr val="FFFFFF"/>
                          </a:solidFill>
                          <a:ln w="9525">
                            <a:noFill/>
                            <a:miter lim="800000"/>
                            <a:headEnd/>
                            <a:tailEnd/>
                          </a:ln>
                        </wps:spPr>
                        <wps:txbx>
                          <w:txbxContent>
                            <w:p w:rsidR="00DC38B6" w:rsidRPr="00690269" w:rsidRDefault="00DC38B6" w:rsidP="00DC38B6">
                              <w:pPr>
                                <w:spacing w:before="100" w:beforeAutospacing="1" w:after="100" w:afterAutospacing="1"/>
                                <w:ind w:left="-113" w:right="-283"/>
                                <w:rPr>
                                  <w:b/>
                                  <w:bCs/>
                                  <w:sz w:val="10"/>
                                  <w:szCs w:val="6"/>
                                </w:rPr>
                              </w:pPr>
                              <w:r w:rsidRPr="00690269">
                                <w:rPr>
                                  <w:sz w:val="12"/>
                                  <w:szCs w:val="8"/>
                                  <w:lang w:val="fr-FR"/>
                                </w:rPr>
                                <w:t>Afrique</w:t>
                              </w:r>
                            </w:p>
                          </w:txbxContent>
                        </wps:txbx>
                        <wps:bodyPr rot="0" vert="horz" wrap="square" lIns="91440" tIns="45720" rIns="91440" bIns="45720" anchor="t" anchorCtr="0">
                          <a:noAutofit/>
                        </wps:bodyPr>
                      </wps:wsp>
                    </wpg:wgp>
                  </a:graphicData>
                </a:graphic>
              </wp:anchor>
            </w:drawing>
          </mc:Choice>
          <mc:Fallback>
            <w:pict>
              <v:group w14:anchorId="23D44A74" id="Group 206" o:spid="_x0000_s1030" style="position:absolute;margin-left:412.2pt;margin-top:26.35pt;width:37.1pt;height:117.15pt;z-index:251673600" coordsize="4711,1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">
                <v:shape id="Text Box 2" o:spid="_x0000_s1031" type="#_x0000_t202" style="position:absolute;width:4711;height:2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DC38B6" w:rsidRPr="008E4A8D" w:rsidRDefault="00DC38B6" w:rsidP="00DC38B6">
                        <w:pPr>
                          <w:spacing w:before="100" w:beforeAutospacing="1" w:after="100" w:afterAutospacing="1"/>
                          <w:ind w:left="-113" w:right="-283"/>
                          <w:rPr>
                            <w:b/>
                            <w:bCs/>
                            <w:sz w:val="12"/>
                            <w:szCs w:val="12"/>
                          </w:rPr>
                        </w:pPr>
                        <w:r w:rsidRPr="008E4A8D">
                          <w:rPr>
                            <w:sz w:val="12"/>
                            <w:szCs w:val="12"/>
                            <w:lang w:val="fr-FR"/>
                          </w:rPr>
                          <w:t>R</w:t>
                        </w:r>
                        <w:r>
                          <w:rPr>
                            <w:sz w:val="12"/>
                            <w:szCs w:val="12"/>
                            <w:lang w:val="fr-FR"/>
                          </w:rPr>
                          <w:t xml:space="preserve">égional et </w:t>
                        </w:r>
                        <w:r w:rsidRPr="008E4A8D">
                          <w:rPr>
                            <w:sz w:val="12"/>
                            <w:szCs w:val="12"/>
                            <w:lang w:val="fr-FR"/>
                          </w:rPr>
                          <w:t>internation</w:t>
                        </w:r>
                        <w:r>
                          <w:rPr>
                            <w:sz w:val="12"/>
                            <w:szCs w:val="12"/>
                            <w:lang w:val="fr-FR"/>
                          </w:rPr>
                          <w:t>al</w:t>
                        </w:r>
                      </w:p>
                    </w:txbxContent>
                  </v:textbox>
                </v:shape>
                <v:shape id="Text Box 2" o:spid="_x0000_s1032" type="#_x0000_t202" style="position:absolute;top:2385;width:375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DC38B6" w:rsidRPr="00910951" w:rsidRDefault="00DC38B6" w:rsidP="00DC38B6">
                        <w:pPr>
                          <w:spacing w:before="100" w:beforeAutospacing="1" w:after="100" w:afterAutospacing="1"/>
                          <w:ind w:left="-113" w:right="-283"/>
                          <w:rPr>
                            <w:b/>
                            <w:bCs/>
                            <w:sz w:val="12"/>
                            <w:szCs w:val="8"/>
                          </w:rPr>
                        </w:pPr>
                        <w:r w:rsidRPr="008E4A8D">
                          <w:rPr>
                            <w:sz w:val="12"/>
                            <w:szCs w:val="8"/>
                            <w:lang w:val="fr-FR"/>
                          </w:rPr>
                          <w:t>A</w:t>
                        </w:r>
                        <w:r>
                          <w:rPr>
                            <w:sz w:val="12"/>
                            <w:szCs w:val="8"/>
                            <w:lang w:val="fr-FR"/>
                          </w:rPr>
                          <w:t xml:space="preserve">sie et </w:t>
                        </w:r>
                        <w:r w:rsidRPr="008E4A8D">
                          <w:rPr>
                            <w:sz w:val="12"/>
                            <w:szCs w:val="8"/>
                            <w:lang w:val="fr-FR"/>
                          </w:rPr>
                          <w:t>Pacifique</w:t>
                        </w:r>
                      </w:p>
                    </w:txbxContent>
                  </v:textbox>
                </v:shape>
                <v:shape id="Text Box 2" o:spid="_x0000_s1033" type="#_x0000_t202" style="position:absolute;left:79;top:4611;width:4286;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DC38B6" w:rsidRPr="00690269" w:rsidRDefault="00DC38B6" w:rsidP="00DC38B6">
                        <w:pPr>
                          <w:spacing w:before="100" w:beforeAutospacing="1" w:after="100" w:afterAutospacing="1"/>
                          <w:ind w:left="-113" w:right="-283"/>
                          <w:rPr>
                            <w:b/>
                            <w:bCs/>
                            <w:sz w:val="10"/>
                            <w:szCs w:val="6"/>
                          </w:rPr>
                        </w:pPr>
                        <w:r w:rsidRPr="00690269">
                          <w:rPr>
                            <w:sz w:val="12"/>
                            <w:szCs w:val="8"/>
                            <w:lang w:val="fr-FR"/>
                          </w:rPr>
                          <w:t>Amériques</w:t>
                        </w:r>
                      </w:p>
                    </w:txbxContent>
                  </v:textbox>
                </v:shape>
                <v:shape id="Text Box 2" o:spid="_x0000_s1034" type="#_x0000_t202" style="position:absolute;left:79;top:8825;width:4572;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DC38B6" w:rsidRPr="00690269" w:rsidRDefault="00DC38B6" w:rsidP="00DC38B6">
                        <w:pPr>
                          <w:spacing w:before="100" w:beforeAutospacing="1" w:after="100" w:afterAutospacing="1"/>
                          <w:ind w:left="-113" w:right="-283"/>
                          <w:rPr>
                            <w:b/>
                            <w:bCs/>
                            <w:sz w:val="12"/>
                            <w:szCs w:val="12"/>
                          </w:rPr>
                        </w:pPr>
                        <w:r w:rsidRPr="00690269">
                          <w:rPr>
                            <w:sz w:val="12"/>
                            <w:szCs w:val="12"/>
                            <w:lang w:val="fr-FR"/>
                          </w:rPr>
                          <w:t>Etats arabes</w:t>
                        </w:r>
                      </w:p>
                    </w:txbxContent>
                  </v:textbox>
                </v:shape>
                <v:shape id="Text Box 2" o:spid="_x0000_s1035" type="#_x0000_t202" style="position:absolute;left:79;top:12881;width:1762;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DC38B6" w:rsidRPr="00910951" w:rsidRDefault="00DC38B6" w:rsidP="00DC38B6">
                        <w:pPr>
                          <w:spacing w:before="100" w:beforeAutospacing="1" w:after="100" w:afterAutospacing="1"/>
                          <w:ind w:left="-113" w:right="-283"/>
                          <w:rPr>
                            <w:b/>
                            <w:bCs/>
                            <w:sz w:val="12"/>
                            <w:szCs w:val="8"/>
                          </w:rPr>
                        </w:pPr>
                        <w:r w:rsidRPr="00690269">
                          <w:rPr>
                            <w:sz w:val="12"/>
                            <w:szCs w:val="8"/>
                            <w:lang w:val="fr-FR"/>
                          </w:rPr>
                          <w:t>CEI</w:t>
                        </w:r>
                      </w:p>
                    </w:txbxContent>
                  </v:textbox>
                </v:shape>
                <v:shape id="Text Box 2" o:spid="_x0000_s1036" type="#_x0000_t202" style="position:absolute;left:79;top:10893;width:3239;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DC38B6" w:rsidRPr="00690269" w:rsidRDefault="00DC38B6" w:rsidP="00DC38B6">
                        <w:pPr>
                          <w:spacing w:before="100" w:beforeAutospacing="1" w:after="100" w:afterAutospacing="1"/>
                          <w:ind w:left="-113" w:right="-283"/>
                          <w:rPr>
                            <w:b/>
                            <w:bCs/>
                            <w:sz w:val="10"/>
                            <w:szCs w:val="6"/>
                          </w:rPr>
                        </w:pPr>
                        <w:r w:rsidRPr="00690269">
                          <w:rPr>
                            <w:sz w:val="12"/>
                            <w:szCs w:val="8"/>
                            <w:lang w:val="fr-FR"/>
                          </w:rPr>
                          <w:t>Afrique</w:t>
                        </w:r>
                      </w:p>
                    </w:txbxContent>
                  </v:textbox>
                </v:shape>
              </v:group>
            </w:pict>
          </mc:Fallback>
        </mc:AlternateContent>
      </w:r>
      <w:r w:rsidRPr="00A72D20">
        <w:rPr>
          <w:noProof/>
          <w:szCs w:val="24"/>
          <w:lang w:val="en-GB" w:eastAsia="zh-CN"/>
        </w:rPr>
        <w:drawing>
          <wp:inline distT="0" distB="0" distL="0" distR="0" wp14:anchorId="7F5D901C" wp14:editId="436E7782">
            <wp:extent cx="2828925" cy="184785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A72D20">
        <w:rPr>
          <w:noProof/>
          <w:szCs w:val="24"/>
          <w:lang w:val="en-GB" w:eastAsia="zh-CN"/>
        </w:rPr>
        <w:drawing>
          <wp:inline distT="0" distB="0" distL="0" distR="0" wp14:anchorId="7FEBA172" wp14:editId="0D9D8FD9">
            <wp:extent cx="2952750" cy="1832610"/>
            <wp:effectExtent l="0" t="0" r="0" b="1524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C38B6" w:rsidRPr="00A72D20" w:rsidRDefault="00DC38B6" w:rsidP="00DC38B6">
      <w:pPr>
        <w:spacing w:before="240" w:after="120"/>
        <w:rPr>
          <w:rFonts w:ascii="Verdana" w:eastAsia="SimHei" w:hAnsi="Verdana" w:cs="Simplified Arabic"/>
          <w:b/>
          <w:sz w:val="19"/>
          <w:szCs w:val="28"/>
          <w:lang w:val="fr-FR"/>
        </w:rPr>
      </w:pPr>
      <w:r w:rsidRPr="00A72D20">
        <w:rPr>
          <w:b/>
          <w:bCs/>
          <w:lang w:val="fr-FR"/>
        </w:rPr>
        <w:t>3.3</w:t>
      </w:r>
      <w:r w:rsidRPr="00A72D20">
        <w:rPr>
          <w:lang w:val="fr-FR"/>
        </w:rPr>
        <w:tab/>
        <w:t xml:space="preserve">Les </w:t>
      </w:r>
      <w:r w:rsidRPr="00A72D20">
        <w:rPr>
          <w:b/>
          <w:bCs/>
          <w:lang w:val="fr-FR"/>
        </w:rPr>
        <w:t>Graphiques 4</w:t>
      </w:r>
      <w:r w:rsidRPr="00A72D20">
        <w:rPr>
          <w:lang w:val="fr-FR"/>
        </w:rPr>
        <w:t xml:space="preserve"> </w:t>
      </w:r>
      <w:r w:rsidRPr="00A72D20">
        <w:rPr>
          <w:b/>
          <w:bCs/>
          <w:lang w:val="fr-FR"/>
        </w:rPr>
        <w:t>et 5</w:t>
      </w:r>
      <w:r w:rsidRPr="00A72D20">
        <w:rPr>
          <w:lang w:val="fr-FR"/>
        </w:rPr>
        <w:t xml:space="preserve"> ci-dessous indiquent la répartition des Membres et Associés du Secteur de l'UIT</w:t>
      </w:r>
      <w:r w:rsidRPr="00A72D20">
        <w:rPr>
          <w:lang w:val="fr-FR"/>
        </w:rPr>
        <w:noBreakHyphen/>
        <w:t>D, et des établissements universitaires participant aux travaux de ce secteur par région.</w:t>
      </w:r>
      <w:r w:rsidRPr="00A72D20">
        <w:rPr>
          <w:noProof/>
          <w:szCs w:val="24"/>
          <w:lang w:val="fr-FR" w:eastAsia="zh-CN"/>
        </w:rPr>
        <w:t xml:space="preserve"> </w:t>
      </w:r>
    </w:p>
    <w:p w:rsidR="00DC38B6" w:rsidRPr="00A72D20" w:rsidRDefault="00DC38B6" w:rsidP="00DC38B6">
      <w:pPr>
        <w:jc w:val="center"/>
        <w:rPr>
          <w:szCs w:val="24"/>
          <w:lang w:val="fr-FR"/>
        </w:rPr>
      </w:pPr>
      <w:r w:rsidRPr="00A72D20">
        <w:rPr>
          <w:noProof/>
          <w:szCs w:val="24"/>
          <w:lang w:val="en-GB" w:eastAsia="zh-CN"/>
        </w:rPr>
        <mc:AlternateContent>
          <mc:Choice Requires="wpg">
            <w:drawing>
              <wp:anchor distT="0" distB="0" distL="114300" distR="114300" simplePos="0" relativeHeight="251675648" behindDoc="0" locked="0" layoutInCell="1" allowOverlap="1" wp14:anchorId="70A42E01" wp14:editId="6585C2B7">
                <wp:simplePos x="0" y="0"/>
                <wp:positionH relativeFrom="column">
                  <wp:posOffset>4319270</wp:posOffset>
                </wp:positionH>
                <wp:positionV relativeFrom="paragraph">
                  <wp:posOffset>2570149</wp:posOffset>
                </wp:positionV>
                <wp:extent cx="659765" cy="1487170"/>
                <wp:effectExtent l="0" t="0" r="6985" b="0"/>
                <wp:wrapNone/>
                <wp:docPr id="209" name="Group 209"/>
                <wp:cNvGraphicFramePr/>
                <a:graphic xmlns:a="http://schemas.openxmlformats.org/drawingml/2006/main">
                  <a:graphicData uri="http://schemas.microsoft.com/office/word/2010/wordprocessingGroup">
                    <wpg:wgp>
                      <wpg:cNvGrpSpPr/>
                      <wpg:grpSpPr>
                        <a:xfrm>
                          <a:off x="0" y="0"/>
                          <a:ext cx="659765" cy="1487170"/>
                          <a:chOff x="0" y="0"/>
                          <a:chExt cx="659958" cy="1487501"/>
                        </a:xfrm>
                      </wpg:grpSpPr>
                      <wps:wsp>
                        <wps:cNvPr id="200" name="Text Box 2"/>
                        <wps:cNvSpPr txBox="1">
                          <a:spLocks noChangeArrowheads="1"/>
                        </wps:cNvSpPr>
                        <wps:spPr bwMode="auto">
                          <a:xfrm>
                            <a:off x="0" y="0"/>
                            <a:ext cx="471170" cy="296863"/>
                          </a:xfrm>
                          <a:prstGeom prst="rect">
                            <a:avLst/>
                          </a:prstGeom>
                          <a:solidFill>
                            <a:srgbClr val="FFFFFF"/>
                          </a:solidFill>
                          <a:ln w="9525">
                            <a:noFill/>
                            <a:miter lim="800000"/>
                            <a:headEnd/>
                            <a:tailEnd/>
                          </a:ln>
                        </wps:spPr>
                        <wps:txbx>
                          <w:txbxContent>
                            <w:p w:rsidR="00DC38B6" w:rsidRPr="008E4A8D" w:rsidRDefault="00DC38B6" w:rsidP="00DC38B6">
                              <w:pPr>
                                <w:spacing w:before="100" w:beforeAutospacing="1" w:after="100" w:afterAutospacing="1"/>
                                <w:ind w:left="-113" w:right="-283"/>
                                <w:rPr>
                                  <w:b/>
                                  <w:bCs/>
                                  <w:sz w:val="12"/>
                                  <w:szCs w:val="12"/>
                                </w:rPr>
                              </w:pPr>
                              <w:r w:rsidRPr="008E4A8D">
                                <w:rPr>
                                  <w:sz w:val="12"/>
                                  <w:szCs w:val="12"/>
                                  <w:lang w:val="fr-FR"/>
                                </w:rPr>
                                <w:t>R</w:t>
                              </w:r>
                              <w:r>
                                <w:rPr>
                                  <w:sz w:val="12"/>
                                  <w:szCs w:val="12"/>
                                  <w:lang w:val="fr-FR"/>
                                </w:rPr>
                                <w:t xml:space="preserve">égional et </w:t>
                              </w:r>
                              <w:r w:rsidRPr="008E4A8D">
                                <w:rPr>
                                  <w:sz w:val="12"/>
                                  <w:szCs w:val="12"/>
                                  <w:lang w:val="fr-FR"/>
                                </w:rPr>
                                <w:t>internation</w:t>
                              </w:r>
                              <w:r>
                                <w:rPr>
                                  <w:sz w:val="12"/>
                                  <w:szCs w:val="12"/>
                                  <w:lang w:val="fr-FR"/>
                                </w:rPr>
                                <w:t>al</w:t>
                              </w:r>
                            </w:p>
                          </w:txbxContent>
                        </wps:txbx>
                        <wps:bodyPr rot="0" vert="horz" wrap="square" lIns="91440" tIns="45720" rIns="91440" bIns="45720" anchor="t" anchorCtr="0">
                          <a:noAutofit/>
                        </wps:bodyPr>
                      </wps:wsp>
                      <wps:wsp>
                        <wps:cNvPr id="201" name="Text Box 2"/>
                        <wps:cNvSpPr txBox="1">
                          <a:spLocks noChangeArrowheads="1"/>
                        </wps:cNvSpPr>
                        <wps:spPr bwMode="auto">
                          <a:xfrm>
                            <a:off x="0" y="238539"/>
                            <a:ext cx="659958" cy="222637"/>
                          </a:xfrm>
                          <a:prstGeom prst="rect">
                            <a:avLst/>
                          </a:prstGeom>
                          <a:solidFill>
                            <a:srgbClr val="FFFFFF"/>
                          </a:solidFill>
                          <a:ln w="9525">
                            <a:noFill/>
                            <a:miter lim="800000"/>
                            <a:headEnd/>
                            <a:tailEnd/>
                          </a:ln>
                        </wps:spPr>
                        <wps:txbx>
                          <w:txbxContent>
                            <w:p w:rsidR="00DC38B6" w:rsidRPr="00910951" w:rsidRDefault="00DC38B6" w:rsidP="00DC38B6">
                              <w:pPr>
                                <w:spacing w:before="100" w:beforeAutospacing="1" w:after="100" w:afterAutospacing="1"/>
                                <w:ind w:left="-113" w:right="-283"/>
                                <w:rPr>
                                  <w:b/>
                                  <w:bCs/>
                                  <w:sz w:val="12"/>
                                  <w:szCs w:val="8"/>
                                </w:rPr>
                              </w:pPr>
                              <w:r w:rsidRPr="008E4A8D">
                                <w:rPr>
                                  <w:sz w:val="12"/>
                                  <w:szCs w:val="8"/>
                                  <w:lang w:val="fr-FR"/>
                                </w:rPr>
                                <w:t>A</w:t>
                              </w:r>
                              <w:r>
                                <w:rPr>
                                  <w:sz w:val="12"/>
                                  <w:szCs w:val="8"/>
                                  <w:lang w:val="fr-FR"/>
                                </w:rPr>
                                <w:t xml:space="preserve">sie et </w:t>
                              </w:r>
                              <w:r w:rsidRPr="008E4A8D">
                                <w:rPr>
                                  <w:sz w:val="12"/>
                                  <w:szCs w:val="8"/>
                                  <w:lang w:val="fr-FR"/>
                                </w:rPr>
                                <w:t>Pacifique</w:t>
                              </w:r>
                            </w:p>
                          </w:txbxContent>
                        </wps:txbx>
                        <wps:bodyPr rot="0" vert="horz" wrap="square" lIns="91440" tIns="45720" rIns="91440" bIns="45720" anchor="t" anchorCtr="0">
                          <a:noAutofit/>
                        </wps:bodyPr>
                      </wps:wsp>
                      <wps:wsp>
                        <wps:cNvPr id="202" name="Text Box 2"/>
                        <wps:cNvSpPr txBox="1">
                          <a:spLocks noChangeArrowheads="1"/>
                        </wps:cNvSpPr>
                        <wps:spPr bwMode="auto">
                          <a:xfrm>
                            <a:off x="15902" y="461176"/>
                            <a:ext cx="428625" cy="199390"/>
                          </a:xfrm>
                          <a:prstGeom prst="rect">
                            <a:avLst/>
                          </a:prstGeom>
                          <a:solidFill>
                            <a:srgbClr val="FFFFFF"/>
                          </a:solidFill>
                          <a:ln w="9525">
                            <a:noFill/>
                            <a:miter lim="800000"/>
                            <a:headEnd/>
                            <a:tailEnd/>
                          </a:ln>
                        </wps:spPr>
                        <wps:txbx>
                          <w:txbxContent>
                            <w:p w:rsidR="00DC38B6" w:rsidRPr="00690269" w:rsidRDefault="00DC38B6" w:rsidP="00DC38B6">
                              <w:pPr>
                                <w:spacing w:before="100" w:beforeAutospacing="1" w:after="100" w:afterAutospacing="1"/>
                                <w:ind w:left="-113" w:right="-283"/>
                                <w:rPr>
                                  <w:b/>
                                  <w:bCs/>
                                  <w:sz w:val="10"/>
                                  <w:szCs w:val="6"/>
                                </w:rPr>
                              </w:pPr>
                              <w:r w:rsidRPr="00690269">
                                <w:rPr>
                                  <w:sz w:val="12"/>
                                  <w:szCs w:val="8"/>
                                  <w:lang w:val="fr-FR"/>
                                </w:rPr>
                                <w:t>Amériques</w:t>
                              </w:r>
                            </w:p>
                          </w:txbxContent>
                        </wps:txbx>
                        <wps:bodyPr rot="0" vert="horz" wrap="square" lIns="91440" tIns="45720" rIns="91440" bIns="45720" anchor="t" anchorCtr="0">
                          <a:noAutofit/>
                        </wps:bodyPr>
                      </wps:wsp>
                      <wps:wsp>
                        <wps:cNvPr id="203" name="Text Box 2"/>
                        <wps:cNvSpPr txBox="1">
                          <a:spLocks noChangeArrowheads="1"/>
                        </wps:cNvSpPr>
                        <wps:spPr bwMode="auto">
                          <a:xfrm>
                            <a:off x="15902" y="882595"/>
                            <a:ext cx="457200" cy="199390"/>
                          </a:xfrm>
                          <a:prstGeom prst="rect">
                            <a:avLst/>
                          </a:prstGeom>
                          <a:solidFill>
                            <a:srgbClr val="FFFFFF"/>
                          </a:solidFill>
                          <a:ln w="9525">
                            <a:noFill/>
                            <a:miter lim="800000"/>
                            <a:headEnd/>
                            <a:tailEnd/>
                          </a:ln>
                        </wps:spPr>
                        <wps:txbx>
                          <w:txbxContent>
                            <w:p w:rsidR="00DC38B6" w:rsidRPr="00690269" w:rsidRDefault="00DC38B6" w:rsidP="00DC38B6">
                              <w:pPr>
                                <w:spacing w:before="100" w:beforeAutospacing="1" w:after="100" w:afterAutospacing="1"/>
                                <w:ind w:left="-113" w:right="-283"/>
                                <w:rPr>
                                  <w:b/>
                                  <w:bCs/>
                                  <w:sz w:val="12"/>
                                  <w:szCs w:val="12"/>
                                </w:rPr>
                              </w:pPr>
                              <w:r w:rsidRPr="00690269">
                                <w:rPr>
                                  <w:sz w:val="12"/>
                                  <w:szCs w:val="12"/>
                                  <w:lang w:val="fr-FR"/>
                                </w:rPr>
                                <w:t>Etats arabes</w:t>
                              </w:r>
                            </w:p>
                          </w:txbxContent>
                        </wps:txbx>
                        <wps:bodyPr rot="0" vert="horz" wrap="square" lIns="91440" tIns="45720" rIns="91440" bIns="45720" anchor="t" anchorCtr="0">
                          <a:noAutofit/>
                        </wps:bodyPr>
                      </wps:wsp>
                      <wps:wsp>
                        <wps:cNvPr id="204" name="Text Box 2"/>
                        <wps:cNvSpPr txBox="1">
                          <a:spLocks noChangeArrowheads="1"/>
                        </wps:cNvSpPr>
                        <wps:spPr bwMode="auto">
                          <a:xfrm>
                            <a:off x="15902" y="1288111"/>
                            <a:ext cx="175895" cy="199390"/>
                          </a:xfrm>
                          <a:prstGeom prst="rect">
                            <a:avLst/>
                          </a:prstGeom>
                          <a:solidFill>
                            <a:srgbClr val="FFFFFF"/>
                          </a:solidFill>
                          <a:ln w="9525">
                            <a:noFill/>
                            <a:miter lim="800000"/>
                            <a:headEnd/>
                            <a:tailEnd/>
                          </a:ln>
                        </wps:spPr>
                        <wps:txbx>
                          <w:txbxContent>
                            <w:p w:rsidR="00DC38B6" w:rsidRPr="00910951" w:rsidRDefault="00DC38B6" w:rsidP="00DC38B6">
                              <w:pPr>
                                <w:spacing w:before="100" w:beforeAutospacing="1" w:after="100" w:afterAutospacing="1"/>
                                <w:ind w:left="-113" w:right="-283"/>
                                <w:rPr>
                                  <w:b/>
                                  <w:bCs/>
                                  <w:sz w:val="12"/>
                                  <w:szCs w:val="8"/>
                                </w:rPr>
                              </w:pPr>
                              <w:r w:rsidRPr="00690269">
                                <w:rPr>
                                  <w:sz w:val="12"/>
                                  <w:szCs w:val="8"/>
                                  <w:lang w:val="fr-FR"/>
                                </w:rPr>
                                <w:t>CEI</w:t>
                              </w:r>
                            </w:p>
                          </w:txbxContent>
                        </wps:txbx>
                        <wps:bodyPr rot="0" vert="horz" wrap="square" lIns="91440" tIns="45720" rIns="91440" bIns="45720" anchor="t" anchorCtr="0">
                          <a:noAutofit/>
                        </wps:bodyPr>
                      </wps:wsp>
                      <wps:wsp>
                        <wps:cNvPr id="205" name="Text Box 2"/>
                        <wps:cNvSpPr txBox="1">
                          <a:spLocks noChangeArrowheads="1"/>
                        </wps:cNvSpPr>
                        <wps:spPr bwMode="auto">
                          <a:xfrm>
                            <a:off x="15902" y="1089329"/>
                            <a:ext cx="323850" cy="199390"/>
                          </a:xfrm>
                          <a:prstGeom prst="rect">
                            <a:avLst/>
                          </a:prstGeom>
                          <a:solidFill>
                            <a:srgbClr val="FFFFFF"/>
                          </a:solidFill>
                          <a:ln w="9525">
                            <a:noFill/>
                            <a:miter lim="800000"/>
                            <a:headEnd/>
                            <a:tailEnd/>
                          </a:ln>
                        </wps:spPr>
                        <wps:txbx>
                          <w:txbxContent>
                            <w:p w:rsidR="00DC38B6" w:rsidRPr="00690269" w:rsidRDefault="00DC38B6" w:rsidP="00DC38B6">
                              <w:pPr>
                                <w:spacing w:before="100" w:beforeAutospacing="1" w:after="100" w:afterAutospacing="1"/>
                                <w:ind w:left="-113" w:right="-283"/>
                                <w:rPr>
                                  <w:b/>
                                  <w:bCs/>
                                  <w:sz w:val="10"/>
                                  <w:szCs w:val="6"/>
                                </w:rPr>
                              </w:pPr>
                              <w:r w:rsidRPr="00690269">
                                <w:rPr>
                                  <w:sz w:val="12"/>
                                  <w:szCs w:val="8"/>
                                  <w:lang w:val="fr-FR"/>
                                </w:rPr>
                                <w:t>Afrique</w:t>
                              </w:r>
                            </w:p>
                          </w:txbxContent>
                        </wps:txbx>
                        <wps:bodyPr rot="0" vert="horz" wrap="square" lIns="91440" tIns="45720" rIns="91440" bIns="45720" anchor="t" anchorCtr="0">
                          <a:noAutofit/>
                        </wps:bodyPr>
                      </wps:wsp>
                    </wpg:wgp>
                  </a:graphicData>
                </a:graphic>
              </wp:anchor>
            </w:drawing>
          </mc:Choice>
          <mc:Fallback>
            <w:pict>
              <v:group w14:anchorId="70A42E01" id="Group 209" o:spid="_x0000_s1037" style="position:absolute;left:0;text-align:left;margin-left:340.1pt;margin-top:202.35pt;width:51.95pt;height:117.1pt;z-index:251675648" coordsize="6599,1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">
                <v:shape id="Text Box 2" o:spid="_x0000_s1038" type="#_x0000_t202" style="position:absolute;width:4711;height:2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kubcIA&#10;AADcAAAADwAAAGRycy9kb3ducmV2LnhtbESP3YrCMBSE7xd8h3AEbxabKq4/1SiroHjrzwOcNse2&#10;2JyUJmvr2xtB2MthZr5hVpvOVOJBjSstKxhFMQjizOqScwXXy344B+E8ssbKMil4koPNuve1wkTb&#10;lk/0OPtcBAi7BBUU3teJlC4ryKCLbE0cvJttDPogm1zqBtsAN5Ucx/FUGiw5LBRY066g7H7+Mwpu&#10;x/b7Z9GmB3+dnSbTLZaz1D6VGvS73yUIT53/D3/aR60gEOF9Jhw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S5twgAAANwAAAAPAAAAAAAAAAAAAAAAAJgCAABkcnMvZG93&#10;bnJldi54bWxQSwUGAAAAAAQABAD1AAAAhwMAAAAA&#10;" stroked="f">
                  <v:textbox>
                    <w:txbxContent>
                      <w:p w:rsidR="00DC38B6" w:rsidRPr="008E4A8D" w:rsidRDefault="00DC38B6" w:rsidP="00DC38B6">
                        <w:pPr>
                          <w:spacing w:before="100" w:beforeAutospacing="1" w:after="100" w:afterAutospacing="1"/>
                          <w:ind w:left="-113" w:right="-283"/>
                          <w:rPr>
                            <w:b/>
                            <w:bCs/>
                            <w:sz w:val="12"/>
                            <w:szCs w:val="12"/>
                          </w:rPr>
                        </w:pPr>
                        <w:r w:rsidRPr="008E4A8D">
                          <w:rPr>
                            <w:sz w:val="12"/>
                            <w:szCs w:val="12"/>
                            <w:lang w:val="fr-FR"/>
                          </w:rPr>
                          <w:t>R</w:t>
                        </w:r>
                        <w:r>
                          <w:rPr>
                            <w:sz w:val="12"/>
                            <w:szCs w:val="12"/>
                            <w:lang w:val="fr-FR"/>
                          </w:rPr>
                          <w:t xml:space="preserve">égional et </w:t>
                        </w:r>
                        <w:r w:rsidRPr="008E4A8D">
                          <w:rPr>
                            <w:sz w:val="12"/>
                            <w:szCs w:val="12"/>
                            <w:lang w:val="fr-FR"/>
                          </w:rPr>
                          <w:t>internation</w:t>
                        </w:r>
                        <w:r>
                          <w:rPr>
                            <w:sz w:val="12"/>
                            <w:szCs w:val="12"/>
                            <w:lang w:val="fr-FR"/>
                          </w:rPr>
                          <w:t>al</w:t>
                        </w:r>
                      </w:p>
                    </w:txbxContent>
                  </v:textbox>
                </v:shape>
                <v:shape id="Text Box 2" o:spid="_x0000_s1039" type="#_x0000_t202" style="position:absolute;top:2385;width:6599;height:2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sQA&#10;AADcAAAADwAAAGRycy9kb3ducmV2LnhtbESP3WrCQBSE7wu+w3KE3hTdKPWnqZtgCxVvoz7AMXtM&#10;gtmzIbvNz9t3C4KXw8x8w+zSwdSio9ZVlhUs5hEI4tzqigsFl/PPbAvCeWSNtWVSMJKDNJm87DDW&#10;tueMupMvRICwi1FB6X0TS+nykgy6uW2Ig3ezrUEfZFtI3WIf4KaWyyhaS4MVh4USG/ouKb+ffo2C&#10;27F/W33014O/bLL39RdWm6sdlXqdDvtPEJ4G/ww/2ketYBkt4P9MO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1i/bEAAAA3AAAAA8AAAAAAAAAAAAAAAAAmAIAAGRycy9k&#10;b3ducmV2LnhtbFBLBQYAAAAABAAEAPUAAACJAwAAAAA=&#10;" stroked="f">
                  <v:textbox>
                    <w:txbxContent>
                      <w:p w:rsidR="00DC38B6" w:rsidRPr="00910951" w:rsidRDefault="00DC38B6" w:rsidP="00DC38B6">
                        <w:pPr>
                          <w:spacing w:before="100" w:beforeAutospacing="1" w:after="100" w:afterAutospacing="1"/>
                          <w:ind w:left="-113" w:right="-283"/>
                          <w:rPr>
                            <w:b/>
                            <w:bCs/>
                            <w:sz w:val="12"/>
                            <w:szCs w:val="8"/>
                          </w:rPr>
                        </w:pPr>
                        <w:r w:rsidRPr="008E4A8D">
                          <w:rPr>
                            <w:sz w:val="12"/>
                            <w:szCs w:val="8"/>
                            <w:lang w:val="fr-FR"/>
                          </w:rPr>
                          <w:t>A</w:t>
                        </w:r>
                        <w:r>
                          <w:rPr>
                            <w:sz w:val="12"/>
                            <w:szCs w:val="8"/>
                            <w:lang w:val="fr-FR"/>
                          </w:rPr>
                          <w:t xml:space="preserve">sie et </w:t>
                        </w:r>
                        <w:r w:rsidRPr="008E4A8D">
                          <w:rPr>
                            <w:sz w:val="12"/>
                            <w:szCs w:val="8"/>
                            <w:lang w:val="fr-FR"/>
                          </w:rPr>
                          <w:t>Pacifique</w:t>
                        </w:r>
                      </w:p>
                    </w:txbxContent>
                  </v:textbox>
                </v:shape>
                <v:shape id="Text Box 2" o:spid="_x0000_s1040" type="#_x0000_t202" style="position:absolute;left:159;top:4611;width:4286;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VgcQA&#10;AADcAAAADwAAAGRycy9kb3ducmV2LnhtbESPzWrDMBCE74W8g9hAL6WWY1q7daOEtJDga9I8wMZa&#10;/1BrZSw1tt8+KgR6HGbmG2a9nUwnrjS41rKCVRSDIC6tbrlWcP7eP7+BcB5ZY2eZFMzkYLtZPKwx&#10;13bkI11PvhYBwi5HBY33fS6lKxsy6CLbEwevsoNBH+RQSz3gGOCmk0kcp9Jgy2GhwZ6+Gip/Tr9G&#10;QVWMT6/v4+Xgz9nxJf3ENrvYWanH5bT7AOFp8v/he7vQCpI4gb8z4Qj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nFYHEAAAA3AAAAA8AAAAAAAAAAAAAAAAAmAIAAGRycy9k&#10;b3ducmV2LnhtbFBLBQYAAAAABAAEAPUAAACJAwAAAAA=&#10;" stroked="f">
                  <v:textbox>
                    <w:txbxContent>
                      <w:p w:rsidR="00DC38B6" w:rsidRPr="00690269" w:rsidRDefault="00DC38B6" w:rsidP="00DC38B6">
                        <w:pPr>
                          <w:spacing w:before="100" w:beforeAutospacing="1" w:after="100" w:afterAutospacing="1"/>
                          <w:ind w:left="-113" w:right="-283"/>
                          <w:rPr>
                            <w:b/>
                            <w:bCs/>
                            <w:sz w:val="10"/>
                            <w:szCs w:val="6"/>
                          </w:rPr>
                        </w:pPr>
                        <w:r w:rsidRPr="00690269">
                          <w:rPr>
                            <w:sz w:val="12"/>
                            <w:szCs w:val="8"/>
                            <w:lang w:val="fr-FR"/>
                          </w:rPr>
                          <w:t>Amériques</w:t>
                        </w:r>
                      </w:p>
                    </w:txbxContent>
                  </v:textbox>
                </v:shape>
                <v:shape id="Text Box 2" o:spid="_x0000_s1041" type="#_x0000_t202" style="position:absolute;left:159;top:8825;width:4572;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wGsQA&#10;AADcAAAADwAAAGRycy9kb3ducmV2LnhtbESP3WrCQBSE7wu+w3KE3hTdGOtfdA2t0OJtog9wzB6T&#10;YPZsyG5NfPtuoeDlMDPfMLt0MI24U+dqywpm0wgEcWF1zaWC8+lrsgbhPLLGxjIpeJCDdD962WGi&#10;bc8Z3XNfigBhl6CCyvs2kdIVFRl0U9sSB+9qO4M+yK6UusM+wE0j4yhaSoM1h4UKWzpUVNzyH6Pg&#10;euzfFpv+8u3Pq+x9+Yn16mIfSr2Oh48tCE+Df4b/20etII7m8HcmH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rsBrEAAAA3AAAAA8AAAAAAAAAAAAAAAAAmAIAAGRycy9k&#10;b3ducmV2LnhtbFBLBQYAAAAABAAEAPUAAACJAwAAAAA=&#10;" stroked="f">
                  <v:textbox>
                    <w:txbxContent>
                      <w:p w:rsidR="00DC38B6" w:rsidRPr="00690269" w:rsidRDefault="00DC38B6" w:rsidP="00DC38B6">
                        <w:pPr>
                          <w:spacing w:before="100" w:beforeAutospacing="1" w:after="100" w:afterAutospacing="1"/>
                          <w:ind w:left="-113" w:right="-283"/>
                          <w:rPr>
                            <w:b/>
                            <w:bCs/>
                            <w:sz w:val="12"/>
                            <w:szCs w:val="12"/>
                          </w:rPr>
                        </w:pPr>
                        <w:r w:rsidRPr="00690269">
                          <w:rPr>
                            <w:sz w:val="12"/>
                            <w:szCs w:val="12"/>
                            <w:lang w:val="fr-FR"/>
                          </w:rPr>
                          <w:t>Etats arabes</w:t>
                        </w:r>
                      </w:p>
                    </w:txbxContent>
                  </v:textbox>
                </v:shape>
                <v:shape id="Text Box 2" o:spid="_x0000_s1042" type="#_x0000_t202" style="position:absolute;left:159;top:12881;width:1758;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IobsMA&#10;AADcAAAADwAAAGRycy9kb3ducmV2LnhtbESP3YrCMBSE7wXfIZwFb8Smin/bNYoKK9768wCnzbEt&#10;25yUJtr69mZB8HKYmW+Y1aYzlXhQ40rLCsZRDII4s7rkXMH18jtagnAeWWNlmRQ8ycFm3e+tMNG2&#10;5RM9zj4XAcIuQQWF93UipcsKMugiWxMH72Ybgz7IJpe6wTbATSUncTyXBksOCwXWtC8o+zvfjYLb&#10;sR3Ovtv04K+L03S+w3KR2qdSg69u+wPCU+c/4Xf7qBVM4in8nw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IobsMAAADcAAAADwAAAAAAAAAAAAAAAACYAgAAZHJzL2Rv&#10;d25yZXYueG1sUEsFBgAAAAAEAAQA9QAAAIgDAAAAAA==&#10;" stroked="f">
                  <v:textbox>
                    <w:txbxContent>
                      <w:p w:rsidR="00DC38B6" w:rsidRPr="00910951" w:rsidRDefault="00DC38B6" w:rsidP="00DC38B6">
                        <w:pPr>
                          <w:spacing w:before="100" w:beforeAutospacing="1" w:after="100" w:afterAutospacing="1"/>
                          <w:ind w:left="-113" w:right="-283"/>
                          <w:rPr>
                            <w:b/>
                            <w:bCs/>
                            <w:sz w:val="12"/>
                            <w:szCs w:val="8"/>
                          </w:rPr>
                        </w:pPr>
                        <w:r w:rsidRPr="00690269">
                          <w:rPr>
                            <w:sz w:val="12"/>
                            <w:szCs w:val="8"/>
                            <w:lang w:val="fr-FR"/>
                          </w:rPr>
                          <w:t>CEI</w:t>
                        </w:r>
                      </w:p>
                    </w:txbxContent>
                  </v:textbox>
                </v:shape>
                <v:shape id="Text Box 2" o:spid="_x0000_s1043" type="#_x0000_t202" style="position:absolute;left:159;top:10893;width:3238;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N9cMA&#10;AADcAAAADwAAAGRycy9kb3ducmV2LnhtbESP3YrCMBSE7wXfIRxhb8Smir/VKO6Ci7dVH+C0ObbF&#10;5qQ00da33yws7OUwM98wu0NvavGi1lWWFUyjGARxbnXFhYLb9TRZg3AeWWNtmRS8ycFhPxzsMNG2&#10;45ReF1+IAGGXoILS+yaR0uUlGXSRbYiDd7etQR9kW0jdYhfgppazOF5KgxWHhRIb+iopf1yeRsH9&#10;3I0Xmy779rdVOl9+YrXK7Fupj1F/3ILw1Pv/8F/7rBXM4gX8ng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6N9cMAAADcAAAADwAAAAAAAAAAAAAAAACYAgAAZHJzL2Rv&#10;d25yZXYueG1sUEsFBgAAAAAEAAQA9QAAAIgDAAAAAA==&#10;" stroked="f">
                  <v:textbox>
                    <w:txbxContent>
                      <w:p w:rsidR="00DC38B6" w:rsidRPr="00690269" w:rsidRDefault="00DC38B6" w:rsidP="00DC38B6">
                        <w:pPr>
                          <w:spacing w:before="100" w:beforeAutospacing="1" w:after="100" w:afterAutospacing="1"/>
                          <w:ind w:left="-113" w:right="-283"/>
                          <w:rPr>
                            <w:b/>
                            <w:bCs/>
                            <w:sz w:val="10"/>
                            <w:szCs w:val="6"/>
                          </w:rPr>
                        </w:pPr>
                        <w:r w:rsidRPr="00690269">
                          <w:rPr>
                            <w:sz w:val="12"/>
                            <w:szCs w:val="8"/>
                            <w:lang w:val="fr-FR"/>
                          </w:rPr>
                          <w:t>Afrique</w:t>
                        </w:r>
                      </w:p>
                    </w:txbxContent>
                  </v:textbox>
                </v:shape>
              </v:group>
            </w:pict>
          </mc:Fallback>
        </mc:AlternateContent>
      </w:r>
      <w:r w:rsidRPr="00A72D20">
        <w:rPr>
          <w:noProof/>
          <w:szCs w:val="24"/>
          <w:lang w:val="en-GB" w:eastAsia="zh-CN"/>
        </w:rPr>
        <mc:AlternateContent>
          <mc:Choice Requires="wpg">
            <w:drawing>
              <wp:anchor distT="0" distB="0" distL="114300" distR="114300" simplePos="0" relativeHeight="251674624" behindDoc="0" locked="0" layoutInCell="1" allowOverlap="1" wp14:anchorId="578BC51D" wp14:editId="2815D330">
                <wp:simplePos x="0" y="0"/>
                <wp:positionH relativeFrom="column">
                  <wp:posOffset>4318635</wp:posOffset>
                </wp:positionH>
                <wp:positionV relativeFrom="paragraph">
                  <wp:posOffset>431469</wp:posOffset>
                </wp:positionV>
                <wp:extent cx="643863" cy="1487501"/>
                <wp:effectExtent l="0" t="0" r="4445" b="0"/>
                <wp:wrapNone/>
                <wp:docPr id="208" name="Group 208"/>
                <wp:cNvGraphicFramePr/>
                <a:graphic xmlns:a="http://schemas.openxmlformats.org/drawingml/2006/main">
                  <a:graphicData uri="http://schemas.microsoft.com/office/word/2010/wordprocessingGroup">
                    <wpg:wgp>
                      <wpg:cNvGrpSpPr/>
                      <wpg:grpSpPr>
                        <a:xfrm>
                          <a:off x="0" y="0"/>
                          <a:ext cx="643863" cy="1487501"/>
                          <a:chOff x="0" y="0"/>
                          <a:chExt cx="643863" cy="1487501"/>
                        </a:xfrm>
                      </wpg:grpSpPr>
                      <wps:wsp>
                        <wps:cNvPr id="194" name="Text Box 2"/>
                        <wps:cNvSpPr txBox="1">
                          <a:spLocks noChangeArrowheads="1"/>
                        </wps:cNvSpPr>
                        <wps:spPr bwMode="auto">
                          <a:xfrm>
                            <a:off x="0" y="0"/>
                            <a:ext cx="471170" cy="296545"/>
                          </a:xfrm>
                          <a:prstGeom prst="rect">
                            <a:avLst/>
                          </a:prstGeom>
                          <a:solidFill>
                            <a:srgbClr val="FFFFFF"/>
                          </a:solidFill>
                          <a:ln w="9525">
                            <a:noFill/>
                            <a:miter lim="800000"/>
                            <a:headEnd/>
                            <a:tailEnd/>
                          </a:ln>
                        </wps:spPr>
                        <wps:txbx>
                          <w:txbxContent>
                            <w:p w:rsidR="00DC38B6" w:rsidRPr="008E4A8D" w:rsidRDefault="00DC38B6" w:rsidP="00DC38B6">
                              <w:pPr>
                                <w:spacing w:before="100" w:beforeAutospacing="1" w:after="100" w:afterAutospacing="1"/>
                                <w:ind w:left="-113" w:right="-283"/>
                                <w:rPr>
                                  <w:b/>
                                  <w:bCs/>
                                  <w:sz w:val="12"/>
                                  <w:szCs w:val="12"/>
                                </w:rPr>
                              </w:pPr>
                              <w:r w:rsidRPr="008E4A8D">
                                <w:rPr>
                                  <w:sz w:val="12"/>
                                  <w:szCs w:val="12"/>
                                  <w:lang w:val="fr-FR"/>
                                </w:rPr>
                                <w:t>R</w:t>
                              </w:r>
                              <w:r>
                                <w:rPr>
                                  <w:sz w:val="12"/>
                                  <w:szCs w:val="12"/>
                                  <w:lang w:val="fr-FR"/>
                                </w:rPr>
                                <w:t xml:space="preserve">égional et </w:t>
                              </w:r>
                              <w:r w:rsidRPr="008E4A8D">
                                <w:rPr>
                                  <w:sz w:val="12"/>
                                  <w:szCs w:val="12"/>
                                  <w:lang w:val="fr-FR"/>
                                </w:rPr>
                                <w:t>internation</w:t>
                              </w:r>
                              <w:r>
                                <w:rPr>
                                  <w:sz w:val="12"/>
                                  <w:szCs w:val="12"/>
                                  <w:lang w:val="fr-FR"/>
                                </w:rPr>
                                <w:t>al</w:t>
                              </w:r>
                            </w:p>
                          </w:txbxContent>
                        </wps:txbx>
                        <wps:bodyPr rot="0" vert="horz" wrap="square" lIns="91440" tIns="45720" rIns="91440" bIns="45720" anchor="t" anchorCtr="0">
                          <a:noAutofit/>
                        </wps:bodyPr>
                      </wps:wsp>
                      <wps:wsp>
                        <wps:cNvPr id="195" name="Text Box 2"/>
                        <wps:cNvSpPr txBox="1">
                          <a:spLocks noChangeArrowheads="1"/>
                        </wps:cNvSpPr>
                        <wps:spPr bwMode="auto">
                          <a:xfrm>
                            <a:off x="0" y="238539"/>
                            <a:ext cx="643863" cy="222637"/>
                          </a:xfrm>
                          <a:prstGeom prst="rect">
                            <a:avLst/>
                          </a:prstGeom>
                          <a:solidFill>
                            <a:srgbClr val="FFFFFF"/>
                          </a:solidFill>
                          <a:ln w="9525">
                            <a:noFill/>
                            <a:miter lim="800000"/>
                            <a:headEnd/>
                            <a:tailEnd/>
                          </a:ln>
                        </wps:spPr>
                        <wps:txbx>
                          <w:txbxContent>
                            <w:p w:rsidR="00DC38B6" w:rsidRPr="00910951" w:rsidRDefault="00DC38B6" w:rsidP="00DC38B6">
                              <w:pPr>
                                <w:spacing w:before="100" w:beforeAutospacing="1" w:after="100" w:afterAutospacing="1"/>
                                <w:ind w:left="-113" w:right="-283"/>
                                <w:rPr>
                                  <w:b/>
                                  <w:bCs/>
                                  <w:sz w:val="12"/>
                                  <w:szCs w:val="8"/>
                                </w:rPr>
                              </w:pPr>
                              <w:r w:rsidRPr="008E4A8D">
                                <w:rPr>
                                  <w:sz w:val="12"/>
                                  <w:szCs w:val="8"/>
                                  <w:lang w:val="fr-FR"/>
                                </w:rPr>
                                <w:t>A</w:t>
                              </w:r>
                              <w:r>
                                <w:rPr>
                                  <w:sz w:val="12"/>
                                  <w:szCs w:val="8"/>
                                  <w:lang w:val="fr-FR"/>
                                </w:rPr>
                                <w:t>sie et</w:t>
                              </w:r>
                              <w:r w:rsidRPr="008E4A8D">
                                <w:rPr>
                                  <w:sz w:val="12"/>
                                  <w:szCs w:val="8"/>
                                  <w:lang w:val="fr-FR"/>
                                </w:rPr>
                                <w:t xml:space="preserve"> Pacifique</w:t>
                              </w:r>
                            </w:p>
                          </w:txbxContent>
                        </wps:txbx>
                        <wps:bodyPr rot="0" vert="horz" wrap="square" lIns="91440" tIns="45720" rIns="91440" bIns="45720" anchor="t" anchorCtr="0">
                          <a:noAutofit/>
                        </wps:bodyPr>
                      </wps:wsp>
                      <wps:wsp>
                        <wps:cNvPr id="196" name="Text Box 2"/>
                        <wps:cNvSpPr txBox="1">
                          <a:spLocks noChangeArrowheads="1"/>
                        </wps:cNvSpPr>
                        <wps:spPr bwMode="auto">
                          <a:xfrm>
                            <a:off x="15903" y="461176"/>
                            <a:ext cx="428625" cy="199390"/>
                          </a:xfrm>
                          <a:prstGeom prst="rect">
                            <a:avLst/>
                          </a:prstGeom>
                          <a:solidFill>
                            <a:srgbClr val="FFFFFF"/>
                          </a:solidFill>
                          <a:ln w="9525">
                            <a:noFill/>
                            <a:miter lim="800000"/>
                            <a:headEnd/>
                            <a:tailEnd/>
                          </a:ln>
                        </wps:spPr>
                        <wps:txbx>
                          <w:txbxContent>
                            <w:p w:rsidR="00DC38B6" w:rsidRPr="00690269" w:rsidRDefault="00DC38B6" w:rsidP="00DC38B6">
                              <w:pPr>
                                <w:spacing w:before="100" w:beforeAutospacing="1" w:after="100" w:afterAutospacing="1"/>
                                <w:ind w:left="-113" w:right="-283"/>
                                <w:rPr>
                                  <w:b/>
                                  <w:bCs/>
                                  <w:sz w:val="10"/>
                                  <w:szCs w:val="6"/>
                                </w:rPr>
                              </w:pPr>
                              <w:r w:rsidRPr="00690269">
                                <w:rPr>
                                  <w:sz w:val="12"/>
                                  <w:szCs w:val="8"/>
                                  <w:lang w:val="fr-FR"/>
                                </w:rPr>
                                <w:t>Amériques</w:t>
                              </w:r>
                            </w:p>
                          </w:txbxContent>
                        </wps:txbx>
                        <wps:bodyPr rot="0" vert="horz" wrap="square" lIns="91440" tIns="45720" rIns="91440" bIns="45720" anchor="t" anchorCtr="0">
                          <a:noAutofit/>
                        </wps:bodyPr>
                      </wps:wsp>
                      <wps:wsp>
                        <wps:cNvPr id="197" name="Text Box 2"/>
                        <wps:cNvSpPr txBox="1">
                          <a:spLocks noChangeArrowheads="1"/>
                        </wps:cNvSpPr>
                        <wps:spPr bwMode="auto">
                          <a:xfrm>
                            <a:off x="15903" y="882595"/>
                            <a:ext cx="457200" cy="199390"/>
                          </a:xfrm>
                          <a:prstGeom prst="rect">
                            <a:avLst/>
                          </a:prstGeom>
                          <a:solidFill>
                            <a:srgbClr val="FFFFFF"/>
                          </a:solidFill>
                          <a:ln w="9525">
                            <a:noFill/>
                            <a:miter lim="800000"/>
                            <a:headEnd/>
                            <a:tailEnd/>
                          </a:ln>
                        </wps:spPr>
                        <wps:txbx>
                          <w:txbxContent>
                            <w:p w:rsidR="00DC38B6" w:rsidRPr="00690269" w:rsidRDefault="00DC38B6" w:rsidP="00DC38B6">
                              <w:pPr>
                                <w:spacing w:before="100" w:beforeAutospacing="1" w:after="100" w:afterAutospacing="1"/>
                                <w:ind w:left="-113" w:right="-283"/>
                                <w:rPr>
                                  <w:b/>
                                  <w:bCs/>
                                  <w:sz w:val="12"/>
                                  <w:szCs w:val="12"/>
                                </w:rPr>
                              </w:pPr>
                              <w:r w:rsidRPr="00690269">
                                <w:rPr>
                                  <w:sz w:val="12"/>
                                  <w:szCs w:val="12"/>
                                  <w:lang w:val="fr-FR"/>
                                </w:rPr>
                                <w:t>Etats arabes</w:t>
                              </w:r>
                            </w:p>
                          </w:txbxContent>
                        </wps:txbx>
                        <wps:bodyPr rot="0" vert="horz" wrap="square" lIns="91440" tIns="45720" rIns="91440" bIns="45720" anchor="t" anchorCtr="0">
                          <a:noAutofit/>
                        </wps:bodyPr>
                      </wps:wsp>
                      <wps:wsp>
                        <wps:cNvPr id="198" name="Text Box 2"/>
                        <wps:cNvSpPr txBox="1">
                          <a:spLocks noChangeArrowheads="1"/>
                        </wps:cNvSpPr>
                        <wps:spPr bwMode="auto">
                          <a:xfrm>
                            <a:off x="15903" y="1288111"/>
                            <a:ext cx="175895" cy="199390"/>
                          </a:xfrm>
                          <a:prstGeom prst="rect">
                            <a:avLst/>
                          </a:prstGeom>
                          <a:solidFill>
                            <a:srgbClr val="FFFFFF"/>
                          </a:solidFill>
                          <a:ln w="9525">
                            <a:noFill/>
                            <a:miter lim="800000"/>
                            <a:headEnd/>
                            <a:tailEnd/>
                          </a:ln>
                        </wps:spPr>
                        <wps:txbx>
                          <w:txbxContent>
                            <w:p w:rsidR="00DC38B6" w:rsidRPr="00910951" w:rsidRDefault="00DC38B6" w:rsidP="00DC38B6">
                              <w:pPr>
                                <w:spacing w:before="100" w:beforeAutospacing="1" w:after="100" w:afterAutospacing="1"/>
                                <w:ind w:left="-113" w:right="-283"/>
                                <w:rPr>
                                  <w:b/>
                                  <w:bCs/>
                                  <w:sz w:val="12"/>
                                  <w:szCs w:val="8"/>
                                </w:rPr>
                              </w:pPr>
                              <w:r w:rsidRPr="00690269">
                                <w:rPr>
                                  <w:sz w:val="12"/>
                                  <w:szCs w:val="8"/>
                                  <w:lang w:val="fr-FR"/>
                                </w:rPr>
                                <w:t>CEI</w:t>
                              </w:r>
                            </w:p>
                          </w:txbxContent>
                        </wps:txbx>
                        <wps:bodyPr rot="0" vert="horz" wrap="square" lIns="91440" tIns="45720" rIns="91440" bIns="45720" anchor="t" anchorCtr="0">
                          <a:noAutofit/>
                        </wps:bodyPr>
                      </wps:wsp>
                      <wps:wsp>
                        <wps:cNvPr id="199" name="Text Box 2"/>
                        <wps:cNvSpPr txBox="1">
                          <a:spLocks noChangeArrowheads="1"/>
                        </wps:cNvSpPr>
                        <wps:spPr bwMode="auto">
                          <a:xfrm>
                            <a:off x="15903" y="1089329"/>
                            <a:ext cx="323850" cy="199390"/>
                          </a:xfrm>
                          <a:prstGeom prst="rect">
                            <a:avLst/>
                          </a:prstGeom>
                          <a:solidFill>
                            <a:srgbClr val="FFFFFF"/>
                          </a:solidFill>
                          <a:ln w="9525">
                            <a:noFill/>
                            <a:miter lim="800000"/>
                            <a:headEnd/>
                            <a:tailEnd/>
                          </a:ln>
                        </wps:spPr>
                        <wps:txbx>
                          <w:txbxContent>
                            <w:p w:rsidR="00DC38B6" w:rsidRPr="00690269" w:rsidRDefault="00DC38B6" w:rsidP="00DC38B6">
                              <w:pPr>
                                <w:spacing w:before="100" w:beforeAutospacing="1" w:after="100" w:afterAutospacing="1"/>
                                <w:ind w:left="-113" w:right="-283"/>
                                <w:rPr>
                                  <w:b/>
                                  <w:bCs/>
                                  <w:sz w:val="10"/>
                                  <w:szCs w:val="6"/>
                                </w:rPr>
                              </w:pPr>
                              <w:r w:rsidRPr="00690269">
                                <w:rPr>
                                  <w:sz w:val="12"/>
                                  <w:szCs w:val="8"/>
                                  <w:lang w:val="fr-FR"/>
                                </w:rPr>
                                <w:t>Afrique</w:t>
                              </w:r>
                            </w:p>
                          </w:txbxContent>
                        </wps:txbx>
                        <wps:bodyPr rot="0" vert="horz" wrap="square" lIns="91440" tIns="45720" rIns="91440" bIns="45720" anchor="t" anchorCtr="0">
                          <a:noAutofit/>
                        </wps:bodyPr>
                      </wps:wsp>
                    </wpg:wgp>
                  </a:graphicData>
                </a:graphic>
              </wp:anchor>
            </w:drawing>
          </mc:Choice>
          <mc:Fallback>
            <w:pict>
              <v:group w14:anchorId="578BC51D" id="Group 208" o:spid="_x0000_s1044" style="position:absolute;left:0;text-align:left;margin-left:340.05pt;margin-top:33.95pt;width:50.7pt;height:117.15pt;z-index:251674624" coordsize="6438,1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">
                <v:shape id="Text Box 2" o:spid="_x0000_s1045" type="#_x0000_t202" style="position:absolute;width:4711;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3clcEA&#10;AADcAAAADwAAAGRycy9kb3ducmV2LnhtbERP22rCQBB9F/oPyxT6IrqxxFt0DVZo8dXLB4zZMQlm&#10;Z0N2m8vfu4WCb3M419mmvalES40rLSuYTSMQxJnVJecKrpfvyQqE88gaK8ukYCAH6e5ttMVE245P&#10;1J59LkIIuwQVFN7XiZQuK8igm9qaOHB32xj0ATa51A12IdxU8jOKFtJgyaGhwJoOBWWP869RcD92&#10;4/m6u/346/IUL76wXN7soNTHe7/fgPDU+5f4333UYf46hr9nwgV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t3JXBAAAA3AAAAA8AAAAAAAAAAAAAAAAAmAIAAGRycy9kb3du&#10;cmV2LnhtbFBLBQYAAAAABAAEAPUAAACGAwAAAAA=&#10;" stroked="f">
                  <v:textbox>
                    <w:txbxContent>
                      <w:p w:rsidR="00DC38B6" w:rsidRPr="008E4A8D" w:rsidRDefault="00DC38B6" w:rsidP="00DC38B6">
                        <w:pPr>
                          <w:spacing w:before="100" w:beforeAutospacing="1" w:after="100" w:afterAutospacing="1"/>
                          <w:ind w:left="-113" w:right="-283"/>
                          <w:rPr>
                            <w:b/>
                            <w:bCs/>
                            <w:sz w:val="12"/>
                            <w:szCs w:val="12"/>
                          </w:rPr>
                        </w:pPr>
                        <w:r w:rsidRPr="008E4A8D">
                          <w:rPr>
                            <w:sz w:val="12"/>
                            <w:szCs w:val="12"/>
                            <w:lang w:val="fr-FR"/>
                          </w:rPr>
                          <w:t>R</w:t>
                        </w:r>
                        <w:r>
                          <w:rPr>
                            <w:sz w:val="12"/>
                            <w:szCs w:val="12"/>
                            <w:lang w:val="fr-FR"/>
                          </w:rPr>
                          <w:t xml:space="preserve">égional et </w:t>
                        </w:r>
                        <w:r w:rsidRPr="008E4A8D">
                          <w:rPr>
                            <w:sz w:val="12"/>
                            <w:szCs w:val="12"/>
                            <w:lang w:val="fr-FR"/>
                          </w:rPr>
                          <w:t>internation</w:t>
                        </w:r>
                        <w:r>
                          <w:rPr>
                            <w:sz w:val="12"/>
                            <w:szCs w:val="12"/>
                            <w:lang w:val="fr-FR"/>
                          </w:rPr>
                          <w:t>al</w:t>
                        </w:r>
                      </w:p>
                    </w:txbxContent>
                  </v:textbox>
                </v:shape>
                <v:shape id="Text Box 2" o:spid="_x0000_s1046" type="#_x0000_t202" style="position:absolute;top:2385;width:6438;height:2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5DsEA&#10;AADcAAAADwAAAGRycy9kb3ducmV2LnhtbERPyWrDMBC9F/oPYgq9lFhOyepGMWkhxVcn+YCxNbFN&#10;rZGxVC9/XxUKvc3jrXNIJ9OKgXrXWFawjGIQxKXVDVcKbtfzYgfCeWSNrWVSMJOD9Pj4cMBE25Fz&#10;Gi6+EiGEXYIKau+7REpX1mTQRbYjDtzd9gZ9gH0ldY9jCDetfI3jjTTYcGiosaOPmsqvy7dRcM/G&#10;l/V+LD79bZuvNu/YbAs7K/X8NJ3eQHia/L/4z53pMH+/ht9nwgX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heQ7BAAAA3AAAAA8AAAAAAAAAAAAAAAAAmAIAAGRycy9kb3du&#10;cmV2LnhtbFBLBQYAAAAABAAEAPUAAACGAwAAAAA=&#10;" stroked="f">
                  <v:textbox>
                    <w:txbxContent>
                      <w:p w:rsidR="00DC38B6" w:rsidRPr="00910951" w:rsidRDefault="00DC38B6" w:rsidP="00DC38B6">
                        <w:pPr>
                          <w:spacing w:before="100" w:beforeAutospacing="1" w:after="100" w:afterAutospacing="1"/>
                          <w:ind w:left="-113" w:right="-283"/>
                          <w:rPr>
                            <w:b/>
                            <w:bCs/>
                            <w:sz w:val="12"/>
                            <w:szCs w:val="8"/>
                          </w:rPr>
                        </w:pPr>
                        <w:r w:rsidRPr="008E4A8D">
                          <w:rPr>
                            <w:sz w:val="12"/>
                            <w:szCs w:val="8"/>
                            <w:lang w:val="fr-FR"/>
                          </w:rPr>
                          <w:t>A</w:t>
                        </w:r>
                        <w:r>
                          <w:rPr>
                            <w:sz w:val="12"/>
                            <w:szCs w:val="8"/>
                            <w:lang w:val="fr-FR"/>
                          </w:rPr>
                          <w:t>sie et</w:t>
                        </w:r>
                        <w:r w:rsidRPr="008E4A8D">
                          <w:rPr>
                            <w:sz w:val="12"/>
                            <w:szCs w:val="8"/>
                            <w:lang w:val="fr-FR"/>
                          </w:rPr>
                          <w:t xml:space="preserve"> Pacifique</w:t>
                        </w:r>
                      </w:p>
                    </w:txbxContent>
                  </v:textbox>
                </v:shape>
                <v:shape id="Text Box 2" o:spid="_x0000_s1047" type="#_x0000_t202" style="position:absolute;left:159;top:4611;width:4286;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necEA&#10;AADcAAAADwAAAGRycy9kb3ducmV2LnhtbERPzYrCMBC+L/gOYQQvyzZV3KrVKKugeNX1AabN2Bab&#10;SWmytr69EYS9zcf3O6tNb2pxp9ZVlhWMoxgEcW51xYWCy+/+aw7CeWSNtWVS8CAHm/XgY4Wpth2f&#10;6H72hQgh7FJUUHrfpFK6vCSDLrINceCutjXoA2wLqVvsQrip5SSOE2mw4tBQYkO7kvLb+c8ouB67&#10;z+9Flx38ZXaaJlusZpl9KDUa9j9LEJ56/y9+u486zF8k8HomXC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z53nBAAAA3AAAAA8AAAAAAAAAAAAAAAAAmAIAAGRycy9kb3du&#10;cmV2LnhtbFBLBQYAAAAABAAEAPUAAACGAwAAAAA=&#10;" stroked="f">
                  <v:textbox>
                    <w:txbxContent>
                      <w:p w:rsidR="00DC38B6" w:rsidRPr="00690269" w:rsidRDefault="00DC38B6" w:rsidP="00DC38B6">
                        <w:pPr>
                          <w:spacing w:before="100" w:beforeAutospacing="1" w:after="100" w:afterAutospacing="1"/>
                          <w:ind w:left="-113" w:right="-283"/>
                          <w:rPr>
                            <w:b/>
                            <w:bCs/>
                            <w:sz w:val="10"/>
                            <w:szCs w:val="6"/>
                          </w:rPr>
                        </w:pPr>
                        <w:r w:rsidRPr="00690269">
                          <w:rPr>
                            <w:sz w:val="12"/>
                            <w:szCs w:val="8"/>
                            <w:lang w:val="fr-FR"/>
                          </w:rPr>
                          <w:t>Amériques</w:t>
                        </w:r>
                      </w:p>
                    </w:txbxContent>
                  </v:textbox>
                </v:shape>
                <v:shape id="Text Box 2" o:spid="_x0000_s1048" type="#_x0000_t202" style="position:absolute;left:159;top:8825;width:4572;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C4sEA&#10;AADcAAAADwAAAGRycy9kb3ducmV2LnhtbERP24rCMBB9X/Afwgi+LGuquNZWo6yC4quuHzA20ws2&#10;k9Jkbf17Iwj7NodzndWmN7W4U+sqywom4wgEcWZ1xYWCy+/+awHCeWSNtWVS8CAHm/XgY4Wpth2f&#10;6H72hQgh7FJUUHrfpFK6rCSDbmwb4sDltjXoA2wLqVvsQrip5TSK5tJgxaGhxIZ2JWW3859RkB+7&#10;z++kux78JT7N5lus4qt9KDUa9j9LEJ56/y9+u486zE9ieD0TLp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QuLBAAAA3AAAAA8AAAAAAAAAAAAAAAAAmAIAAGRycy9kb3du&#10;cmV2LnhtbFBLBQYAAAAABAAEAPUAAACGAwAAAAA=&#10;" stroked="f">
                  <v:textbox>
                    <w:txbxContent>
                      <w:p w:rsidR="00DC38B6" w:rsidRPr="00690269" w:rsidRDefault="00DC38B6" w:rsidP="00DC38B6">
                        <w:pPr>
                          <w:spacing w:before="100" w:beforeAutospacing="1" w:after="100" w:afterAutospacing="1"/>
                          <w:ind w:left="-113" w:right="-283"/>
                          <w:rPr>
                            <w:b/>
                            <w:bCs/>
                            <w:sz w:val="12"/>
                            <w:szCs w:val="12"/>
                          </w:rPr>
                        </w:pPr>
                        <w:r w:rsidRPr="00690269">
                          <w:rPr>
                            <w:sz w:val="12"/>
                            <w:szCs w:val="12"/>
                            <w:lang w:val="fr-FR"/>
                          </w:rPr>
                          <w:t>Etats arabes</w:t>
                        </w:r>
                      </w:p>
                    </w:txbxContent>
                  </v:textbox>
                </v:shape>
                <v:shape id="Text Box 2" o:spid="_x0000_s1049" type="#_x0000_t202" style="position:absolute;left:159;top:12881;width:1758;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DWkMQA&#10;AADcAAAADwAAAGRycy9kb3ducmV2LnhtbESPzW7CQAyE75V4h5WRuFSwAbX8BBYElYq48vMAJmuS&#10;iKw3yi4kvH19QOrN1oxnPq82navUk5pQejYwHiWgiDNvS84NXM6/wzmoEJEtVp7JwIsCbNa9jxWm&#10;1rd8pOcp5kpCOKRooIixTrUOWUEOw8jXxKLdfOMwytrk2jbYSrir9CRJptphydJQYE0/BWX308MZ&#10;uB3az+9Fe93Hy+z4Nd1hObv6lzGDfrddgorUxX/z+/pgBX8ht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g1pDEAAAA3AAAAA8AAAAAAAAAAAAAAAAAmAIAAGRycy9k&#10;b3ducmV2LnhtbFBLBQYAAAAABAAEAPUAAACJAwAAAAA=&#10;" stroked="f">
                  <v:textbox>
                    <w:txbxContent>
                      <w:p w:rsidR="00DC38B6" w:rsidRPr="00910951" w:rsidRDefault="00DC38B6" w:rsidP="00DC38B6">
                        <w:pPr>
                          <w:spacing w:before="100" w:beforeAutospacing="1" w:after="100" w:afterAutospacing="1"/>
                          <w:ind w:left="-113" w:right="-283"/>
                          <w:rPr>
                            <w:b/>
                            <w:bCs/>
                            <w:sz w:val="12"/>
                            <w:szCs w:val="8"/>
                          </w:rPr>
                        </w:pPr>
                        <w:r w:rsidRPr="00690269">
                          <w:rPr>
                            <w:sz w:val="12"/>
                            <w:szCs w:val="8"/>
                            <w:lang w:val="fr-FR"/>
                          </w:rPr>
                          <w:t>CEI</w:t>
                        </w:r>
                      </w:p>
                    </w:txbxContent>
                  </v:textbox>
                </v:shape>
                <v:shape id="Text Box 2" o:spid="_x0000_s1050" type="#_x0000_t202" style="position:absolute;left:159;top:10893;width:3238;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zC8EA&#10;AADcAAAADwAAAGRycy9kb3ducmV2LnhtbERP24rCMBB9X/Afwiz4sthU8bLtGmUVFF+9fMDYTC9s&#10;MylN1ta/N4Lg2xzOdZbr3tTiRq2rLCsYRzEI4szqigsFl/Nu9A3CeWSNtWVScCcH69XgY4mpth0f&#10;6XbyhQgh7FJUUHrfpFK6rCSDLrINceBy2xr0AbaF1C12IdzUchLHc2mw4tBQYkPbkrK/079RkB+6&#10;r1nSXff+sjhO5xusFld7V2r42f/+gPDU+7f45T7oMD9J4PlMuE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scwvBAAAA3AAAAA8AAAAAAAAAAAAAAAAAmAIAAGRycy9kb3du&#10;cmV2LnhtbFBLBQYAAAAABAAEAPUAAACGAwAAAAA=&#10;" stroked="f">
                  <v:textbox>
                    <w:txbxContent>
                      <w:p w:rsidR="00DC38B6" w:rsidRPr="00690269" w:rsidRDefault="00DC38B6" w:rsidP="00DC38B6">
                        <w:pPr>
                          <w:spacing w:before="100" w:beforeAutospacing="1" w:after="100" w:afterAutospacing="1"/>
                          <w:ind w:left="-113" w:right="-283"/>
                          <w:rPr>
                            <w:b/>
                            <w:bCs/>
                            <w:sz w:val="10"/>
                            <w:szCs w:val="6"/>
                          </w:rPr>
                        </w:pPr>
                        <w:r w:rsidRPr="00690269">
                          <w:rPr>
                            <w:sz w:val="12"/>
                            <w:szCs w:val="8"/>
                            <w:lang w:val="fr-FR"/>
                          </w:rPr>
                          <w:t>Afrique</w:t>
                        </w:r>
                      </w:p>
                    </w:txbxContent>
                  </v:textbox>
                </v:shape>
              </v:group>
            </w:pict>
          </mc:Fallback>
        </mc:AlternateContent>
      </w:r>
      <w:r w:rsidRPr="00A72D20">
        <w:rPr>
          <w:noProof/>
          <w:lang w:val="en-GB" w:eastAsia="zh-CN"/>
        </w:rPr>
        <w:drawing>
          <wp:inline distT="0" distB="0" distL="0" distR="0" wp14:anchorId="68539042" wp14:editId="68D21A2D">
            <wp:extent cx="4095750" cy="215265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A72D20">
        <w:rPr>
          <w:noProof/>
          <w:lang w:val="en-GB" w:eastAsia="zh-CN"/>
        </w:rPr>
        <w:drawing>
          <wp:inline distT="0" distB="0" distL="0" distR="0" wp14:anchorId="5F432742" wp14:editId="2E45F2EF">
            <wp:extent cx="4095750" cy="21336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C38B6" w:rsidRPr="00A72D20" w:rsidRDefault="00DC38B6" w:rsidP="00DC38B6">
      <w:pPr>
        <w:pStyle w:val="Heading1"/>
        <w:rPr>
          <w:rFonts w:eastAsia="SimHei"/>
          <w:lang w:val="fr-FR"/>
        </w:rPr>
      </w:pPr>
      <w:r w:rsidRPr="00A72D20">
        <w:rPr>
          <w:rFonts w:eastAsia="SimHei"/>
          <w:lang w:val="fr-FR"/>
        </w:rPr>
        <w:t>4</w:t>
      </w:r>
      <w:r w:rsidRPr="00A72D20">
        <w:rPr>
          <w:rFonts w:eastAsia="SimHei"/>
          <w:lang w:val="fr-FR"/>
        </w:rPr>
        <w:tab/>
        <w:t>Principales actions entreprises et résultats obtenus</w:t>
      </w:r>
    </w:p>
    <w:p w:rsidR="00DC38B6" w:rsidRPr="00A72D20" w:rsidRDefault="00DC38B6" w:rsidP="00DC38B6">
      <w:pPr>
        <w:rPr>
          <w:lang w:val="fr-FR"/>
        </w:rPr>
      </w:pPr>
      <w:r w:rsidRPr="00A72D20">
        <w:rPr>
          <w:rFonts w:eastAsia="SimHei" w:cs="Simplified Arabic"/>
          <w:bCs/>
          <w:lang w:val="fr-FR"/>
        </w:rPr>
        <w:t>Le BDT a pris une série de mesures stratégiques</w:t>
      </w:r>
      <w:bookmarkStart w:id="17" w:name="lt_pId044"/>
      <w:bookmarkEnd w:id="16"/>
      <w:r w:rsidRPr="00A72D20">
        <w:rPr>
          <w:lang w:val="fr-FR"/>
        </w:rPr>
        <w:t xml:space="preserve"> et intensifiera ses efforts pour améliorer ses produits, ses services et les possibilités en matière d'engagement qu'il offre aux Membres et aux Associés du Secteur de l'UIT</w:t>
      </w:r>
      <w:r w:rsidRPr="00A72D20">
        <w:rPr>
          <w:lang w:val="fr-FR"/>
        </w:rPr>
        <w:noBreakHyphen/>
        <w:t>D, ainsi qu'aux établissements universitaires participant à ses travaux.</w:t>
      </w:r>
      <w:bookmarkEnd w:id="17"/>
      <w:r w:rsidRPr="00A72D20">
        <w:rPr>
          <w:lang w:val="fr-FR"/>
        </w:rPr>
        <w:t xml:space="preserve"> </w:t>
      </w:r>
    </w:p>
    <w:p w:rsidR="00DC38B6" w:rsidRPr="00A72D20" w:rsidRDefault="00DC38B6" w:rsidP="00DC38B6">
      <w:pPr>
        <w:pStyle w:val="Heading2"/>
        <w:rPr>
          <w:lang w:val="fr-FR"/>
        </w:rPr>
      </w:pPr>
      <w:r w:rsidRPr="00A72D20">
        <w:rPr>
          <w:lang w:val="fr-FR"/>
        </w:rPr>
        <w:lastRenderedPageBreak/>
        <w:t>4.1</w:t>
      </w:r>
      <w:r w:rsidRPr="00A72D20">
        <w:rPr>
          <w:lang w:val="fr-FR"/>
        </w:rPr>
        <w:tab/>
      </w:r>
      <w:bookmarkStart w:id="18" w:name="lt_pId048"/>
      <w:bookmarkStart w:id="19" w:name="lt_pId052"/>
      <w:r w:rsidRPr="00A72D20">
        <w:rPr>
          <w:lang w:val="fr-FR"/>
        </w:rPr>
        <w:t>Renforcer les outil</w:t>
      </w:r>
      <w:r w:rsidR="00202682">
        <w:rPr>
          <w:lang w:val="fr-FR"/>
        </w:rPr>
        <w:t>s et les services destinés aux M</w:t>
      </w:r>
      <w:r w:rsidRPr="00A72D20">
        <w:rPr>
          <w:lang w:val="fr-FR"/>
        </w:rPr>
        <w:t>embres du Secteur de l'UIT-D</w:t>
      </w:r>
      <w:bookmarkEnd w:id="18"/>
      <w:bookmarkEnd w:id="19"/>
      <w:r w:rsidRPr="00A72D20">
        <w:rPr>
          <w:lang w:val="fr-FR"/>
        </w:rPr>
        <w:t xml:space="preserve"> </w:t>
      </w:r>
      <w:bookmarkStart w:id="20" w:name="lt_pId053"/>
    </w:p>
    <w:p w:rsidR="00DC38B6" w:rsidRPr="00A72D20" w:rsidRDefault="00DC38B6" w:rsidP="00DC38B6">
      <w:pPr>
        <w:tabs>
          <w:tab w:val="left" w:pos="567"/>
        </w:tabs>
        <w:rPr>
          <w:rFonts w:ascii="Calibri" w:hAnsi="Calibri"/>
          <w:color w:val="000000" w:themeColor="text1"/>
          <w:szCs w:val="24"/>
          <w:lang w:val="fr-FR"/>
        </w:rPr>
      </w:pPr>
      <w:r w:rsidRPr="00A72D20">
        <w:rPr>
          <w:lang w:val="fr-FR"/>
        </w:rPr>
        <w:t>Les plates-formes de diffusion de l'information, comme le portail des Membres du Secteur de l'UIT-D (</w:t>
      </w:r>
      <w:hyperlink r:id="rId14" w:history="1">
        <w:r w:rsidRPr="00A72D20">
          <w:rPr>
            <w:rStyle w:val="Hyperlink"/>
            <w:rFonts w:eastAsiaTheme="majorEastAsia"/>
            <w:lang w:val="fr-FR"/>
          </w:rPr>
          <w:t>http://www.itu.int/fr/UIT-D/Membership/Pages/default.aspx</w:t>
        </w:r>
      </w:hyperlink>
      <w:r w:rsidRPr="00A72D20">
        <w:rPr>
          <w:lang w:val="fr-FR"/>
        </w:rPr>
        <w:t>)</w:t>
      </w:r>
      <w:bookmarkEnd w:id="20"/>
      <w:r w:rsidRPr="00A72D20">
        <w:rPr>
          <w:lang w:val="fr-FR"/>
        </w:rPr>
        <w:t xml:space="preserve"> et la page web ont été renforcés pour promouvoir les avantages et la visibilité des membres en lien avec les domaines d'action de l'UIT, les possibilités en matière d'implication dans des projets et de partenariats, et afin de mettre en valeur les exemples de réussite de membres. Des récapitulatifs concernant les programmes, les produits et les services de l'UIT ont aussi été rédigés et mis en oeuvre en vue de mobiliser de nouveaux membres potentiels, ainsi que les membres existants, pour consolider leur engagement. Le BDT continue de renforcer son matériel et ses outils de communication en étroite collaboration avec des initiatives déployées à l'échelle de l'Union entière telles qu'</w:t>
      </w:r>
      <w:r w:rsidRPr="00A72D20">
        <w:rPr>
          <w:color w:val="000000"/>
          <w:lang w:val="fr-FR"/>
        </w:rPr>
        <w:t>un espace en ligne réservé aux Membres de l'UIT (le projet MyITU), qui permettra l'ajout de contenu personnalisé, ainsi que l'amélioration des contacts en réseau et de la collaboration entre les Membres.</w:t>
      </w:r>
    </w:p>
    <w:p w:rsidR="00DC38B6" w:rsidRPr="00A72D20" w:rsidRDefault="00DC38B6" w:rsidP="00DC38B6">
      <w:pPr>
        <w:pStyle w:val="Heading2"/>
        <w:rPr>
          <w:lang w:val="fr-FR"/>
        </w:rPr>
      </w:pPr>
      <w:r w:rsidRPr="00A72D20">
        <w:rPr>
          <w:lang w:val="fr-FR"/>
        </w:rPr>
        <w:t>4.2</w:t>
      </w:r>
      <w:r w:rsidRPr="00A72D20">
        <w:rPr>
          <w:lang w:val="fr-FR"/>
        </w:rPr>
        <w:tab/>
        <w:t>Reconnaissance du soutien de longue dat</w:t>
      </w:r>
      <w:r w:rsidR="001E2E1C">
        <w:rPr>
          <w:lang w:val="fr-FR"/>
        </w:rPr>
        <w:t>e apporté au Secteur de l'UIT-D</w:t>
      </w:r>
    </w:p>
    <w:p w:rsidR="00DC38B6" w:rsidRPr="00A72D20" w:rsidRDefault="00DC38B6" w:rsidP="00DC38B6">
      <w:pPr>
        <w:rPr>
          <w:lang w:val="fr-FR"/>
        </w:rPr>
      </w:pPr>
      <w:r w:rsidRPr="00A72D20">
        <w:rPr>
          <w:lang w:val="fr-FR"/>
        </w:rPr>
        <w:t>A l'</w:t>
      </w:r>
      <w:r w:rsidR="00202682">
        <w:rPr>
          <w:lang w:val="fr-FR"/>
        </w:rPr>
        <w:t>occasion des célébrations du 25</w:t>
      </w:r>
      <w:r w:rsidR="00202682" w:rsidRPr="00202682">
        <w:t>ème</w:t>
      </w:r>
      <w:r w:rsidRPr="00A72D20">
        <w:rPr>
          <w:lang w:val="fr-FR"/>
        </w:rPr>
        <w:t xml:space="preserve"> anniversaire de l'UIT-D lors de la CMDT-17 organisée à Buenos Aires (Argentine), le 11 octobre 2017, les Membres de longue date du Secteur de l'UIT-D se sont vus décerner des récompenses spéciales pour chaque région. Parmi les membres récompensés figuraient ArmenTel CJSC Armenia Telephone Company, Orange, PT. </w:t>
      </w:r>
      <w:r w:rsidRPr="00C4562F">
        <w:rPr>
          <w:lang w:val="es-ES_tradnl"/>
        </w:rPr>
        <w:t xml:space="preserve">Telekomunikasi Indonesia Tbk, le Groupe Sudatel Telecom, Telecomunicaciones de México, et Telkom SA SOC Ltd. </w:t>
      </w:r>
      <w:r w:rsidRPr="00A72D20">
        <w:rPr>
          <w:lang w:val="fr-FR"/>
        </w:rPr>
        <w:t xml:space="preserve">(de plus amples renseignements à cet égard sont disponibles à l'adresse suivante: </w:t>
      </w:r>
      <w:hyperlink r:id="rId15" w:history="1">
        <w:r w:rsidRPr="00A72D20">
          <w:rPr>
            <w:rStyle w:val="Hyperlink"/>
            <w:lang w:val="fr-FR"/>
          </w:rPr>
          <w:t>https://www.itu.int/en/ITU-D/Pages/ITU-D-Anniversary-Awards.aspx</w:t>
        </w:r>
      </w:hyperlink>
      <w:r w:rsidRPr="00A72D20">
        <w:rPr>
          <w:lang w:val="fr-FR"/>
        </w:rPr>
        <w:t xml:space="preserve">). </w:t>
      </w:r>
    </w:p>
    <w:p w:rsidR="00DC38B6" w:rsidRPr="00A72D20" w:rsidRDefault="00DC38B6" w:rsidP="00DC38B6">
      <w:pPr>
        <w:rPr>
          <w:lang w:val="fr-FR"/>
        </w:rPr>
      </w:pPr>
      <w:r w:rsidRPr="00A72D20">
        <w:rPr>
          <w:lang w:val="fr-FR"/>
        </w:rPr>
        <w:t xml:space="preserve">Des prix ont également été remis à certains Membres en reconnaissance de leur contribution à des projets de l'UIT-D, au titre de différentes catégories (administration, organisation régionale/internationale, et fondation). Ont notamment été distingués dans ce cadre le </w:t>
      </w:r>
      <w:r w:rsidRPr="00A72D20">
        <w:rPr>
          <w:color w:val="000000"/>
          <w:lang w:val="fr-FR"/>
        </w:rPr>
        <w:t>Département des communications et des arts du Gouvernement de l'Australie, la Commission européenne et la Fondation Bill et Melinda Gates.</w:t>
      </w:r>
    </w:p>
    <w:p w:rsidR="00DC38B6" w:rsidRPr="00A72D20" w:rsidRDefault="00DC38B6" w:rsidP="00DC38B6">
      <w:pPr>
        <w:pStyle w:val="Heading2"/>
        <w:rPr>
          <w:lang w:val="fr-FR"/>
        </w:rPr>
      </w:pPr>
      <w:r w:rsidRPr="00A72D20">
        <w:rPr>
          <w:lang w:val="fr-FR"/>
        </w:rPr>
        <w:t>4.3</w:t>
      </w:r>
      <w:r w:rsidRPr="00A72D20">
        <w:rPr>
          <w:lang w:val="fr-FR"/>
        </w:rPr>
        <w:tab/>
      </w:r>
      <w:bookmarkStart w:id="21" w:name="lt_pId059"/>
      <w:r w:rsidRPr="00A72D20">
        <w:rPr>
          <w:lang w:val="fr-FR"/>
        </w:rPr>
        <w:t>Nouvelles plate</w:t>
      </w:r>
      <w:r w:rsidR="00D94856" w:rsidRPr="00A72D20">
        <w:rPr>
          <w:lang w:val="fr-FR"/>
        </w:rPr>
        <w:t>s-</w:t>
      </w:r>
      <w:r w:rsidRPr="00A72D20">
        <w:rPr>
          <w:lang w:val="fr-FR"/>
        </w:rPr>
        <w:t xml:space="preserve">formes pour </w:t>
      </w:r>
      <w:r w:rsidRPr="00A72D20">
        <w:rPr>
          <w:color w:val="000000"/>
          <w:lang w:val="fr-FR"/>
        </w:rPr>
        <w:t>la participation des établissements universitaires</w:t>
      </w:r>
      <w:bookmarkEnd w:id="21"/>
    </w:p>
    <w:p w:rsidR="00DC38B6" w:rsidRPr="00A72D20" w:rsidRDefault="00DC38B6" w:rsidP="00DC38B6">
      <w:pPr>
        <w:rPr>
          <w:lang w:val="fr-FR"/>
        </w:rPr>
      </w:pPr>
      <w:bookmarkStart w:id="22" w:name="lt_pId060"/>
      <w:r w:rsidRPr="00A72D20">
        <w:rPr>
          <w:lang w:val="fr-FR"/>
        </w:rPr>
        <w:t>Les établissements universitaires encouragent l'adoption de solutions innovantes et durables en offrant une tribune où le talent, la recherche et la technologie se rencontrent pour apporter des solutions aux problèmes les plus urgents au niveau mondial. Avec un portefeuille d'établissements universitaires participant à ses travaux de plus en plus étoffé, le BDT a renforcé différents types de plate</w:t>
      </w:r>
      <w:r w:rsidR="00202682">
        <w:rPr>
          <w:lang w:val="fr-FR"/>
        </w:rPr>
        <w:t>s-</w:t>
      </w:r>
      <w:r w:rsidRPr="00A72D20">
        <w:rPr>
          <w:lang w:val="fr-FR"/>
        </w:rPr>
        <w:t>formes collaboratives, en plus des plate</w:t>
      </w:r>
      <w:r w:rsidR="00202682">
        <w:rPr>
          <w:lang w:val="fr-FR"/>
        </w:rPr>
        <w:t>s-</w:t>
      </w:r>
      <w:r w:rsidRPr="00A72D20">
        <w:rPr>
          <w:lang w:val="fr-FR"/>
        </w:rPr>
        <w:t>formes existantes, telles que, notamment, l'Académie et le Journal de l'UIT.</w:t>
      </w:r>
    </w:p>
    <w:p w:rsidR="00DC38B6" w:rsidRPr="00A72D20" w:rsidRDefault="00DC38B6" w:rsidP="00D94856">
      <w:pPr>
        <w:rPr>
          <w:color w:val="000000"/>
          <w:lang w:val="fr-FR"/>
        </w:rPr>
      </w:pPr>
      <w:r w:rsidRPr="00202682">
        <w:rPr>
          <w:b/>
          <w:bCs/>
          <w:i/>
          <w:iCs/>
          <w:lang w:val="fr-FR"/>
        </w:rPr>
        <w:t>La</w:t>
      </w:r>
      <w:r w:rsidRPr="00A72D20">
        <w:rPr>
          <w:b/>
          <w:bCs/>
          <w:i/>
          <w:iCs/>
          <w:lang w:val="fr-FR"/>
        </w:rPr>
        <w:t xml:space="preserve"> réunion des partenaires universitaires de l</w:t>
      </w:r>
      <w:r w:rsidR="00D94856" w:rsidRPr="00A72D20">
        <w:rPr>
          <w:b/>
          <w:bCs/>
          <w:i/>
          <w:iCs/>
          <w:lang w:val="fr-FR"/>
        </w:rPr>
        <w:t>'</w:t>
      </w:r>
      <w:r w:rsidRPr="00A72D20">
        <w:rPr>
          <w:b/>
          <w:bCs/>
          <w:i/>
          <w:iCs/>
          <w:lang w:val="fr-FR"/>
        </w:rPr>
        <w:t>UIT</w:t>
      </w:r>
      <w:r w:rsidRPr="00A72D20">
        <w:rPr>
          <w:lang w:val="fr-FR"/>
        </w:rPr>
        <w:t>, tenu</w:t>
      </w:r>
      <w:r w:rsidR="001E2E1C">
        <w:rPr>
          <w:lang w:val="fr-FR"/>
        </w:rPr>
        <w:t>e à Budapest (Hongrie) du 19 au </w:t>
      </w:r>
      <w:r w:rsidRPr="00A72D20">
        <w:rPr>
          <w:lang w:val="fr-FR"/>
        </w:rPr>
        <w:t>21</w:t>
      </w:r>
      <w:r w:rsidR="00D94856" w:rsidRPr="00A72D20">
        <w:rPr>
          <w:lang w:val="fr-FR"/>
        </w:rPr>
        <w:t> </w:t>
      </w:r>
      <w:r w:rsidRPr="00A72D20">
        <w:rPr>
          <w:lang w:val="fr-FR"/>
        </w:rPr>
        <w:t xml:space="preserve">septembre 2017 sur le thème </w:t>
      </w:r>
      <w:r w:rsidRPr="00A72D20">
        <w:rPr>
          <w:i/>
          <w:iCs/>
          <w:color w:val="000000"/>
          <w:lang w:val="fr-FR"/>
        </w:rPr>
        <w:t xml:space="preserve">Acquérir des compétences pour l'ère numérique, </w:t>
      </w:r>
      <w:r w:rsidRPr="00A72D20">
        <w:rPr>
          <w:color w:val="000000"/>
          <w:lang w:val="fr-FR"/>
        </w:rPr>
        <w:t>a contribué au renforcement de la coopération entre l'UIT, les institutions académiques et les centres d'excellence.</w:t>
      </w:r>
      <w:bookmarkEnd w:id="22"/>
    </w:p>
    <w:p w:rsidR="00DC38B6" w:rsidRPr="00A72D20" w:rsidRDefault="00DC38B6" w:rsidP="00D94856">
      <w:pPr>
        <w:rPr>
          <w:color w:val="000000"/>
          <w:lang w:val="fr-FR"/>
        </w:rPr>
      </w:pPr>
      <w:r w:rsidRPr="00A72D20">
        <w:rPr>
          <w:color w:val="000000"/>
          <w:lang w:val="fr-FR"/>
        </w:rPr>
        <w:t xml:space="preserve">En 2017, à la suite de consultations avec les établissements universitaires existants et potentiels associés à ses travaux, le BDT a achevé une </w:t>
      </w:r>
      <w:r w:rsidRPr="00A72D20">
        <w:rPr>
          <w:b/>
          <w:bCs/>
          <w:color w:val="000000"/>
          <w:lang w:val="fr-FR"/>
        </w:rPr>
        <w:t>étude collaborative</w:t>
      </w:r>
      <w:r w:rsidRPr="00A72D20">
        <w:rPr>
          <w:color w:val="000000"/>
          <w:lang w:val="fr-FR"/>
        </w:rPr>
        <w:t xml:space="preserve"> avec des spécialistes reconnus de la communauté scientifique du monde entier visant à étudier la manière dont on aborde les problèmes que posent les TIC et les perspectives qu'elles ouvrent dans les domaines de l'innovation, de la gouvernance, de l'éducation, de la création d'emplois et de la croissance économique, dans le contexte des TIC au service du développement durable. Cette recherche </w:t>
      </w:r>
      <w:r w:rsidRPr="00A72D20">
        <w:rPr>
          <w:color w:val="000000"/>
          <w:lang w:val="fr-FR"/>
        </w:rPr>
        <w:lastRenderedPageBreak/>
        <w:t xml:space="preserve">menée par des membres du milieu universitaire a été mise en oeuvre par le biais de travaux de recherche à titre gracieux et de recherches d'auteurs influents. L'ouvrage tiré de cette étude, intitulé </w:t>
      </w:r>
      <w:r w:rsidRPr="00A72D20">
        <w:rPr>
          <w:b/>
          <w:bCs/>
          <w:i/>
          <w:iCs/>
          <w:lang w:val="fr-FR"/>
        </w:rPr>
        <w:t>"</w:t>
      </w:r>
      <w:r w:rsidRPr="00A72D20">
        <w:rPr>
          <w:b/>
          <w:bCs/>
          <w:i/>
          <w:iCs/>
          <w:color w:val="000000"/>
          <w:lang w:val="fr-FR"/>
        </w:rPr>
        <w:t>Croissance économique, innovation et création d'emplois centrées sur les TIC</w:t>
      </w:r>
      <w:r w:rsidRPr="00A72D20">
        <w:rPr>
          <w:b/>
          <w:bCs/>
          <w:i/>
          <w:iCs/>
          <w:lang w:val="fr-FR"/>
        </w:rPr>
        <w:t>"</w:t>
      </w:r>
      <w:r w:rsidRPr="00A72D20">
        <w:rPr>
          <w:lang w:val="fr-FR"/>
        </w:rPr>
        <w:t>,</w:t>
      </w:r>
      <w:r w:rsidRPr="00A72D20">
        <w:rPr>
          <w:b/>
          <w:bCs/>
          <w:lang w:val="fr-FR"/>
        </w:rPr>
        <w:t xml:space="preserve"> </w:t>
      </w:r>
      <w:r w:rsidRPr="00A72D20">
        <w:rPr>
          <w:lang w:val="fr-FR"/>
        </w:rPr>
        <w:t xml:space="preserve">disponible à l'adresse </w:t>
      </w:r>
      <w:hyperlink r:id="rId16" w:history="1">
        <w:r w:rsidRPr="00A72D20">
          <w:rPr>
            <w:rStyle w:val="Hyperlink"/>
            <w:lang w:val="fr-FR"/>
          </w:rPr>
          <w:t>https://www.itu.int/fr/ITU-D/Pages/IMPACT-STUDY.aspx</w:t>
        </w:r>
      </w:hyperlink>
      <w:r w:rsidRPr="00A72D20">
        <w:rPr>
          <w:lang w:val="fr-FR"/>
        </w:rPr>
        <w:t>,</w:t>
      </w:r>
      <w:r w:rsidRPr="00A72D20">
        <w:rPr>
          <w:b/>
          <w:bCs/>
          <w:lang w:val="fr-FR"/>
        </w:rPr>
        <w:t xml:space="preserve"> </w:t>
      </w:r>
      <w:r w:rsidRPr="00A72D20">
        <w:rPr>
          <w:color w:val="000000"/>
          <w:lang w:val="fr-FR"/>
        </w:rPr>
        <w:t>a été présenté à l'occasion de la</w:t>
      </w:r>
      <w:r w:rsidRPr="00A72D20">
        <w:rPr>
          <w:b/>
          <w:bCs/>
          <w:lang w:val="fr-FR"/>
        </w:rPr>
        <w:t xml:space="preserve"> </w:t>
      </w:r>
      <w:r w:rsidRPr="001E2E1C">
        <w:rPr>
          <w:i/>
          <w:iCs/>
          <w:color w:val="000000"/>
          <w:lang w:val="fr-FR"/>
        </w:rPr>
        <w:t>Table ron</w:t>
      </w:r>
      <w:r w:rsidR="001E2E1C" w:rsidRPr="001E2E1C">
        <w:rPr>
          <w:i/>
          <w:iCs/>
          <w:color w:val="000000"/>
          <w:lang w:val="fr-FR"/>
        </w:rPr>
        <w:t>de ministérielle sur le thème: L</w:t>
      </w:r>
      <w:r w:rsidRPr="001E2E1C">
        <w:rPr>
          <w:i/>
          <w:iCs/>
          <w:color w:val="000000"/>
          <w:lang w:val="fr-FR"/>
        </w:rPr>
        <w:t>es TIC au service des Objectifs de développement durable</w:t>
      </w:r>
      <w:r w:rsidRPr="00A72D20">
        <w:rPr>
          <w:color w:val="000000"/>
          <w:lang w:val="fr-FR"/>
        </w:rPr>
        <w:t xml:space="preserve"> organisée dans le cadre des célébrations du 25</w:t>
      </w:r>
      <w:r w:rsidR="00D94856" w:rsidRPr="00A72D20">
        <w:rPr>
          <w:lang w:val="fr-FR"/>
        </w:rPr>
        <w:t>ème</w:t>
      </w:r>
      <w:r w:rsidRPr="00A72D20">
        <w:rPr>
          <w:color w:val="000000"/>
          <w:lang w:val="fr-FR"/>
        </w:rPr>
        <w:t xml:space="preserve"> anniversaire du Secteur du développement des t</w:t>
      </w:r>
      <w:r w:rsidR="00202682">
        <w:rPr>
          <w:color w:val="000000"/>
          <w:lang w:val="fr-FR"/>
        </w:rPr>
        <w:t>élécommunications de l'UIT (UIT</w:t>
      </w:r>
      <w:r w:rsidR="00202682">
        <w:rPr>
          <w:color w:val="000000"/>
          <w:lang w:val="fr-FR"/>
        </w:rPr>
        <w:noBreakHyphen/>
      </w:r>
      <w:r w:rsidRPr="00A72D20">
        <w:rPr>
          <w:color w:val="000000"/>
          <w:lang w:val="fr-FR"/>
        </w:rPr>
        <w:t>D) au cours de la CMDT-17, le</w:t>
      </w:r>
      <w:r w:rsidR="00D94856" w:rsidRPr="00A72D20">
        <w:rPr>
          <w:color w:val="000000"/>
          <w:lang w:val="fr-FR"/>
        </w:rPr>
        <w:t> </w:t>
      </w:r>
      <w:r w:rsidRPr="00A72D20">
        <w:rPr>
          <w:color w:val="000000"/>
          <w:lang w:val="fr-FR"/>
        </w:rPr>
        <w:t>11</w:t>
      </w:r>
      <w:r w:rsidR="00D94856" w:rsidRPr="00A72D20">
        <w:rPr>
          <w:color w:val="000000"/>
          <w:lang w:val="fr-FR"/>
        </w:rPr>
        <w:t> </w:t>
      </w:r>
      <w:r w:rsidRPr="00A72D20">
        <w:rPr>
          <w:color w:val="000000"/>
          <w:lang w:val="fr-FR"/>
        </w:rPr>
        <w:t>octobre 2017.</w:t>
      </w:r>
    </w:p>
    <w:p w:rsidR="00DC38B6" w:rsidRPr="00A72D20" w:rsidRDefault="00DC38B6" w:rsidP="002A7CAA">
      <w:pPr>
        <w:rPr>
          <w:rStyle w:val="Hyperlink"/>
          <w:lang w:val="fr-FR"/>
        </w:rPr>
      </w:pPr>
      <w:r w:rsidRPr="00A72D20">
        <w:rPr>
          <w:color w:val="000000"/>
          <w:lang w:val="fr-FR"/>
        </w:rPr>
        <w:t xml:space="preserve">Au cours de la CMDT-17, l'UIT a organisé, en partenariat avec l'Argentine, la manifestation conjointe </w:t>
      </w:r>
      <w:r w:rsidR="002A7CAA" w:rsidRPr="00A72D20">
        <w:rPr>
          <w:b/>
          <w:bCs/>
          <w:lang w:val="fr-FR"/>
        </w:rPr>
        <w:t>"</w:t>
      </w:r>
      <w:r w:rsidRPr="00A72D20">
        <w:rPr>
          <w:b/>
          <w:bCs/>
          <w:i/>
          <w:iCs/>
          <w:lang w:val="fr-FR"/>
        </w:rPr>
        <w:t>Academia④SDGs: from research to innovative solutions to accelerate sustainable development</w:t>
      </w:r>
      <w:r w:rsidR="002A7CAA" w:rsidRPr="00A72D20">
        <w:rPr>
          <w:b/>
          <w:bCs/>
          <w:i/>
          <w:iCs/>
          <w:lang w:val="fr-FR"/>
        </w:rPr>
        <w:t>"</w:t>
      </w:r>
      <w:r w:rsidRPr="00A72D20">
        <w:rPr>
          <w:b/>
          <w:bCs/>
          <w:lang w:val="fr-FR"/>
        </w:rPr>
        <w:t xml:space="preserve"> </w:t>
      </w:r>
      <w:r w:rsidRPr="00A72D20">
        <w:rPr>
          <w:lang w:val="fr-FR"/>
        </w:rPr>
        <w:t>(les établissements universitaires au service des Objectifs de développement durable: de la recherche à des solutions innovantes pour accélérer l</w:t>
      </w:r>
      <w:r w:rsidR="001E2E1C">
        <w:rPr>
          <w:lang w:val="fr-FR"/>
        </w:rPr>
        <w:t>e développement durable), à </w:t>
      </w:r>
      <w:r w:rsidRPr="00A72D20">
        <w:rPr>
          <w:lang w:val="fr-FR"/>
        </w:rPr>
        <w:t>laquelle ont assisté plus de 100 participants. Les intervenants ont présenté des plate</w:t>
      </w:r>
      <w:r w:rsidR="00223534">
        <w:rPr>
          <w:lang w:val="fr-FR"/>
        </w:rPr>
        <w:t>s-</w:t>
      </w:r>
      <w:r w:rsidR="001E2E1C">
        <w:rPr>
          <w:lang w:val="fr-FR"/>
        </w:rPr>
        <w:t>formes de </w:t>
      </w:r>
      <w:r w:rsidRPr="00A72D20">
        <w:rPr>
          <w:lang w:val="fr-FR"/>
        </w:rPr>
        <w:t xml:space="preserve">l'UIT-D nouvelles et existantes destinées à la participation des établissements universitaires et ont mis en lumière des projets et des initiatives menés par des établissements universitaires dans le cadre des </w:t>
      </w:r>
      <w:r w:rsidRPr="00A72D20">
        <w:rPr>
          <w:color w:val="000000"/>
          <w:lang w:val="fr-FR"/>
        </w:rPr>
        <w:t xml:space="preserve">TIC au service du développement durable (ICT④SDGs). De plus amples renseignements à cet égard sont disponibles à l'adresse </w:t>
      </w:r>
      <w:hyperlink r:id="rId17" w:history="1">
        <w:r w:rsidR="002A7CAA" w:rsidRPr="00A72D20">
          <w:rPr>
            <w:rStyle w:val="Hyperlink"/>
            <w:lang w:val="fr-FR"/>
          </w:rPr>
          <w:t>https://www.itu.int/en/ITU</w:t>
        </w:r>
        <w:r w:rsidR="002A7CAA" w:rsidRPr="00A72D20">
          <w:rPr>
            <w:rStyle w:val="Hyperlink"/>
            <w:lang w:val="fr-FR"/>
          </w:rPr>
          <w:noBreakHyphen/>
          <w:t>D/Membership/Pages/WTDC17_Academia4SDGs.aspx</w:t>
        </w:r>
      </w:hyperlink>
      <w:r w:rsidRPr="00A72D20">
        <w:rPr>
          <w:rStyle w:val="Hyperlink"/>
          <w:lang w:val="fr-FR"/>
        </w:rPr>
        <w:t>.</w:t>
      </w:r>
    </w:p>
    <w:p w:rsidR="00DC38B6" w:rsidRPr="00A72D20" w:rsidRDefault="00DC38B6" w:rsidP="00DC38B6">
      <w:pPr>
        <w:rPr>
          <w:lang w:val="fr-FR"/>
        </w:rPr>
      </w:pPr>
      <w:r w:rsidRPr="00A72D20">
        <w:rPr>
          <w:rStyle w:val="Hyperlink"/>
          <w:color w:val="auto"/>
          <w:u w:val="none"/>
          <w:lang w:val="fr-FR"/>
        </w:rPr>
        <w:t xml:space="preserve">Le BDT a également entrepris des activités de mobilisation destinées aux établissements universitaires participant à ses travaux, par exemple un atelier de sensibilisation sur les domaines de participation académique, et le recensement de domaines éligibles pour une collaboration conjointe avec les réseaux et les programmes de la </w:t>
      </w:r>
      <w:r w:rsidRPr="00A72D20">
        <w:rPr>
          <w:color w:val="000000"/>
          <w:lang w:val="fr-FR"/>
        </w:rPr>
        <w:t>Haute école spécialisée de Suisse occidentale (HES-SO), les établissements universitaires participant aux travaux de l'UIT et d'autres instituts de recherche.</w:t>
      </w:r>
      <w:r w:rsidRPr="00A72D20">
        <w:rPr>
          <w:lang w:val="fr-FR"/>
        </w:rPr>
        <w:t xml:space="preserve"> </w:t>
      </w:r>
    </w:p>
    <w:p w:rsidR="00DC38B6" w:rsidRPr="00A72D20" w:rsidRDefault="00DC38B6" w:rsidP="00DC38B6">
      <w:pPr>
        <w:pStyle w:val="Heading2"/>
        <w:rPr>
          <w:lang w:val="fr-FR"/>
        </w:rPr>
      </w:pPr>
      <w:r w:rsidRPr="00A72D20">
        <w:rPr>
          <w:lang w:val="fr-FR"/>
        </w:rPr>
        <w:t>4.4</w:t>
      </w:r>
      <w:r w:rsidRPr="00A72D20">
        <w:rPr>
          <w:lang w:val="fr-FR"/>
        </w:rPr>
        <w:tab/>
      </w:r>
      <w:bookmarkStart w:id="23" w:name="lt_pId064"/>
      <w:r w:rsidRPr="00A72D20">
        <w:rPr>
          <w:lang w:val="fr-FR"/>
        </w:rPr>
        <w:t>Renforcer la participation du secteur privé aux travaux de l'UIT-D</w:t>
      </w:r>
      <w:bookmarkStart w:id="24" w:name="lt_pId065"/>
      <w:bookmarkEnd w:id="23"/>
    </w:p>
    <w:p w:rsidR="00DC38B6" w:rsidRPr="00A72D20" w:rsidRDefault="00DC38B6" w:rsidP="002A7CAA">
      <w:pPr>
        <w:tabs>
          <w:tab w:val="left" w:pos="567"/>
        </w:tabs>
        <w:rPr>
          <w:szCs w:val="24"/>
          <w:lang w:val="fr-FR"/>
        </w:rPr>
      </w:pPr>
      <w:r w:rsidRPr="00A72D20">
        <w:rPr>
          <w:rFonts w:eastAsia="Calibri"/>
          <w:lang w:val="fr-FR"/>
        </w:rPr>
        <w:t>Le BDT a renforcé la collaboration et les synergies avec ses membres du secteur privé dans l'écosystème des TIC postconvergence, moyennant un renforcement des partenariats avec des associations professionnelles</w:t>
      </w:r>
      <w:r w:rsidRPr="00A72D20">
        <w:rPr>
          <w:rFonts w:ascii="Calibri" w:hAnsi="Calibri"/>
          <w:lang w:val="fr-FR"/>
        </w:rPr>
        <w:t>, des organisations régionales et internationales et leurs réseaux et membres affiliés existants.</w:t>
      </w:r>
      <w:r w:rsidR="002A7CAA" w:rsidRPr="00A72D20">
        <w:rPr>
          <w:rFonts w:ascii="Calibri" w:hAnsi="Calibri"/>
          <w:lang w:val="fr-FR"/>
        </w:rPr>
        <w:t xml:space="preserve"> </w:t>
      </w:r>
      <w:r w:rsidRPr="00A72D20">
        <w:rPr>
          <w:rFonts w:ascii="Calibri" w:hAnsi="Calibri"/>
          <w:lang w:val="fr-FR"/>
        </w:rPr>
        <w:t>En plus des travaux menés par les membres au titre des programmes, projets, initiatives et actions de l'UIT-D, la plate</w:t>
      </w:r>
      <w:r w:rsidR="002A7CAA" w:rsidRPr="00A72D20">
        <w:rPr>
          <w:rFonts w:ascii="Calibri" w:hAnsi="Calibri"/>
          <w:lang w:val="fr-FR"/>
        </w:rPr>
        <w:t>-</w:t>
      </w:r>
      <w:r w:rsidRPr="00A72D20">
        <w:rPr>
          <w:rFonts w:ascii="Calibri" w:hAnsi="Calibri"/>
          <w:lang w:val="fr-FR"/>
        </w:rPr>
        <w:t xml:space="preserve">forme des </w:t>
      </w:r>
      <w:r w:rsidRPr="00A72D20">
        <w:rPr>
          <w:color w:val="000000"/>
          <w:lang w:val="fr-FR"/>
        </w:rPr>
        <w:t>Directeurs de la réglementation du secteur privé a été mise en place, qui permet aux membres du secteur privé de se mobiliser avec des organismes de réglementation par le biais de propositions et d'initiatives en vue de contribuer à la réalisation des Objectifs de développement durable, en particulier l'Objectif 17.</w:t>
      </w:r>
    </w:p>
    <w:p w:rsidR="00DC38B6" w:rsidRPr="00A72D20" w:rsidRDefault="00DC38B6" w:rsidP="00A72D20">
      <w:pPr>
        <w:tabs>
          <w:tab w:val="left" w:pos="567"/>
        </w:tabs>
        <w:rPr>
          <w:rFonts w:cs="Arial"/>
          <w:lang w:val="fr-FR"/>
        </w:rPr>
      </w:pPr>
      <w:r w:rsidRPr="00A72D20">
        <w:rPr>
          <w:szCs w:val="24"/>
          <w:lang w:val="fr-FR"/>
        </w:rPr>
        <w:t>La 8ème édition</w:t>
      </w:r>
      <w:r w:rsidRPr="00A72D20">
        <w:rPr>
          <w:rFonts w:cs="Arial"/>
          <w:lang w:val="fr-FR"/>
        </w:rPr>
        <w:t xml:space="preserve"> de la </w:t>
      </w:r>
      <w:r w:rsidRPr="00A72D20">
        <w:rPr>
          <w:rFonts w:cs="Arial"/>
          <w:b/>
          <w:bCs/>
          <w:i/>
          <w:iCs/>
          <w:lang w:val="fr-FR"/>
        </w:rPr>
        <w:t>réunion des directeurs de la réglementation (CRO) dans le secteur privé</w:t>
      </w:r>
      <w:r w:rsidRPr="00A72D20">
        <w:rPr>
          <w:szCs w:val="24"/>
          <w:lang w:val="fr-FR"/>
        </w:rPr>
        <w:t xml:space="preserve"> et du </w:t>
      </w:r>
      <w:r w:rsidRPr="00A72D20">
        <w:rPr>
          <w:color w:val="000000"/>
          <w:lang w:val="fr-FR"/>
        </w:rPr>
        <w:t xml:space="preserve">Groupe de travail CRO sur l'inclusion financière numérique (GT CRO – DFI) </w:t>
      </w:r>
      <w:r w:rsidRPr="00A72D20">
        <w:rPr>
          <w:szCs w:val="24"/>
          <w:lang w:val="fr-FR"/>
        </w:rPr>
        <w:t xml:space="preserve">a eu lieu en 2017 au cours du </w:t>
      </w:r>
      <w:r w:rsidRPr="00A72D20">
        <w:rPr>
          <w:color w:val="000000"/>
          <w:lang w:val="fr-FR"/>
        </w:rPr>
        <w:t>Colloque mondial des régulateurs</w:t>
      </w:r>
      <w:r w:rsidRPr="00A72D20">
        <w:rPr>
          <w:szCs w:val="24"/>
          <w:lang w:val="fr-FR"/>
        </w:rPr>
        <w:t xml:space="preserve"> (GSR-17). Elle a rassemblé </w:t>
      </w:r>
      <w:r w:rsidRPr="00A72D20">
        <w:rPr>
          <w:rFonts w:cs="Arial"/>
          <w:lang w:val="fr-FR"/>
        </w:rPr>
        <w:t xml:space="preserve">de hauts dirigeants du secteur </w:t>
      </w:r>
      <w:r w:rsidR="002A7CAA" w:rsidRPr="00A72D20">
        <w:rPr>
          <w:rFonts w:cs="Arial"/>
          <w:lang w:val="fr-FR"/>
        </w:rPr>
        <w:t>afin qu'ils partagent</w:t>
      </w:r>
      <w:r w:rsidRPr="00A72D20">
        <w:rPr>
          <w:rFonts w:cs="Arial"/>
          <w:lang w:val="fr-FR"/>
        </w:rPr>
        <w:t xml:space="preserve"> leur expérience et échange</w:t>
      </w:r>
      <w:r w:rsidR="002A7CAA" w:rsidRPr="00A72D20">
        <w:rPr>
          <w:rFonts w:cs="Arial"/>
          <w:lang w:val="fr-FR"/>
        </w:rPr>
        <w:t>nt</w:t>
      </w:r>
      <w:r w:rsidRPr="00A72D20">
        <w:rPr>
          <w:rFonts w:cs="Arial"/>
          <w:lang w:val="fr-FR"/>
        </w:rPr>
        <w:t xml:space="preserve"> des idées sur la façon de renforcer la participation du secteur privé et sa mobilisation au service d'initiatives à l'échelle mondiale, régionale et nationale, et pour identifier des mécanismes qui rendent l'environnement réglementaire et collaboratif plus propice au développement futur du secteur. </w:t>
      </w:r>
      <w:r w:rsidRPr="00A72D20">
        <w:rPr>
          <w:color w:val="000000"/>
          <w:lang w:val="fr-FR"/>
        </w:rPr>
        <w:t>De plus amples renseignements à cet égard sont disponibles à l'adresse</w:t>
      </w:r>
      <w:r w:rsidRPr="00A72D20">
        <w:rPr>
          <w:lang w:val="fr-FR"/>
        </w:rPr>
        <w:t xml:space="preserve"> </w:t>
      </w:r>
      <w:hyperlink r:id="rId18" w:history="1">
        <w:r w:rsidR="00A72D20" w:rsidRPr="005F4D7C">
          <w:rPr>
            <w:rStyle w:val="Hyperlink"/>
            <w:szCs w:val="24"/>
            <w:lang w:val="fr-FR"/>
          </w:rPr>
          <w:t>https://www.itu.int/en/ITU</w:t>
        </w:r>
        <w:r w:rsidR="00A72D20" w:rsidRPr="005F4D7C">
          <w:rPr>
            <w:rStyle w:val="Hyperlink"/>
            <w:szCs w:val="24"/>
            <w:lang w:val="fr-FR"/>
          </w:rPr>
          <w:noBreakHyphen/>
          <w:t>D/Conferences/CRO/Pages/CRO8.default.aspx</w:t>
        </w:r>
      </w:hyperlink>
      <w:r w:rsidRPr="00A72D20">
        <w:rPr>
          <w:rFonts w:cs="Arial"/>
          <w:lang w:val="fr-FR"/>
        </w:rPr>
        <w:t>.</w:t>
      </w:r>
      <w:bookmarkEnd w:id="24"/>
    </w:p>
    <w:p w:rsidR="00DC38B6" w:rsidRPr="00A72D20" w:rsidRDefault="00DC38B6" w:rsidP="00A72D20">
      <w:pPr>
        <w:keepNext/>
        <w:keepLines/>
        <w:tabs>
          <w:tab w:val="left" w:pos="567"/>
        </w:tabs>
        <w:rPr>
          <w:rFonts w:cs="Arial"/>
          <w:lang w:val="fr-FR"/>
        </w:rPr>
      </w:pPr>
      <w:r w:rsidRPr="00A72D20">
        <w:rPr>
          <w:rFonts w:cs="Arial"/>
          <w:lang w:val="fr-FR"/>
        </w:rPr>
        <w:lastRenderedPageBreak/>
        <w:t xml:space="preserve">Au cours du GSR-17 également, le </w:t>
      </w:r>
      <w:r w:rsidRPr="00A72D20">
        <w:rPr>
          <w:rFonts w:cs="Arial"/>
          <w:b/>
          <w:bCs/>
          <w:i/>
          <w:iCs/>
          <w:lang w:val="fr-FR"/>
        </w:rPr>
        <w:t>débat des dirigeants du secteur</w:t>
      </w:r>
      <w:r w:rsidRPr="00A72D20">
        <w:rPr>
          <w:rFonts w:cs="Arial"/>
          <w:lang w:val="fr-FR"/>
        </w:rPr>
        <w:t xml:space="preserve"> s'est articulé autour des technologies émergentes en tant que facteurs du développement socio-économique, ainsi que des approches collaboratives entre les secteurs public et privé et le rôle des partenariats stratégiques. </w:t>
      </w:r>
      <w:r w:rsidR="002A7CAA" w:rsidRPr="00A72D20">
        <w:rPr>
          <w:rFonts w:cs="Arial"/>
          <w:lang w:val="fr-FR"/>
        </w:rPr>
        <w:t xml:space="preserve">A </w:t>
      </w:r>
      <w:r w:rsidRPr="00A72D20">
        <w:rPr>
          <w:rFonts w:cs="Arial"/>
          <w:lang w:val="fr-FR"/>
        </w:rPr>
        <w:t>cette occasion, des membres du secteur ont échangé sur les incidences de ces technologies et sur les solutions proposées dans les différents secteurs concernant la transformation numérique de la société; ils ont réfléchi à des possibilités de partenariats entre le secteur privé, le secteur public et d'autres acteurs, en vue de tirer parti des avantages de la transformation numérique au profit de la société.</w:t>
      </w:r>
      <w:bookmarkStart w:id="25" w:name="lt_pId072"/>
    </w:p>
    <w:p w:rsidR="00DC38B6" w:rsidRPr="00A72D20" w:rsidRDefault="00DC38B6" w:rsidP="002A7CAA">
      <w:pPr>
        <w:tabs>
          <w:tab w:val="left" w:pos="567"/>
        </w:tabs>
        <w:rPr>
          <w:szCs w:val="24"/>
          <w:lang w:val="fr-FR"/>
        </w:rPr>
      </w:pPr>
      <w:r w:rsidRPr="00A72D20">
        <w:rPr>
          <w:rFonts w:cs="Arial"/>
          <w:lang w:val="fr-FR"/>
        </w:rPr>
        <w:t xml:space="preserve">La </w:t>
      </w:r>
      <w:r w:rsidR="00223534">
        <w:rPr>
          <w:rFonts w:cs="Arial"/>
          <w:b/>
          <w:bCs/>
          <w:i/>
          <w:iCs/>
          <w:lang w:val="fr-FR"/>
        </w:rPr>
        <w:t>T</w:t>
      </w:r>
      <w:r w:rsidRPr="00A72D20">
        <w:rPr>
          <w:rFonts w:cs="Arial"/>
          <w:b/>
          <w:bCs/>
          <w:i/>
          <w:iCs/>
          <w:lang w:val="fr-FR"/>
        </w:rPr>
        <w:t xml:space="preserve">able ronde des secteurs public et privé sur le thème </w:t>
      </w:r>
      <w:r w:rsidR="002A7CAA" w:rsidRPr="00A72D20">
        <w:rPr>
          <w:rFonts w:cs="Arial"/>
          <w:b/>
          <w:bCs/>
          <w:i/>
          <w:iCs/>
          <w:lang w:val="fr-FR"/>
        </w:rPr>
        <w:t>"</w:t>
      </w:r>
      <w:r w:rsidRPr="00A72D20">
        <w:rPr>
          <w:b/>
          <w:bCs/>
          <w:i/>
          <w:iCs/>
          <w:color w:val="000000"/>
          <w:lang w:val="fr-FR"/>
        </w:rPr>
        <w:t>Nouer des partenariats au service des Objectifs de développement durable</w:t>
      </w:r>
      <w:r w:rsidR="002A7CAA" w:rsidRPr="00A72D20">
        <w:rPr>
          <w:b/>
          <w:bCs/>
          <w:i/>
          <w:iCs/>
          <w:color w:val="000000"/>
          <w:lang w:val="fr-FR"/>
        </w:rPr>
        <w:t>"</w:t>
      </w:r>
      <w:r w:rsidRPr="00A72D20">
        <w:rPr>
          <w:color w:val="000000"/>
          <w:lang w:val="fr-FR"/>
        </w:rPr>
        <w:t xml:space="preserve"> s'est tenue le 8 octobre 2017. Cette manifestation préalable à la CMDT-17 a rassemblé plus de 100 participants. Le secteur privé joue un rôle essentiel dans la mise en oeuvre du Programme de développement durable adopté récemment. </w:t>
      </w:r>
      <w:r w:rsidRPr="00A72D20">
        <w:rPr>
          <w:bCs/>
          <w:szCs w:val="24"/>
          <w:lang w:val="fr-FR"/>
        </w:rPr>
        <w:t>Il constitue un</w:t>
      </w:r>
      <w:r w:rsidRPr="00A72D20">
        <w:rPr>
          <w:rFonts w:eastAsia="Calibri"/>
          <w:lang w:val="fr-FR"/>
        </w:rPr>
        <w:t xml:space="preserve"> moteur de l'innovation, des gains de productivité et du progrès technologique, et restera un investisseur de premier plan au service d'une croissance économique durable, de la création d'emplois et de la transition vers une société inclusive et une économie numérique. </w:t>
      </w:r>
      <w:bookmarkStart w:id="26" w:name="lt_pId081"/>
      <w:r w:rsidRPr="00A72D20">
        <w:rPr>
          <w:rFonts w:eastAsia="Calibri"/>
          <w:lang w:val="fr-FR"/>
        </w:rPr>
        <w:t xml:space="preserve">Les participants à la table ronde ont mis en lumière les progrès </w:t>
      </w:r>
      <w:r w:rsidRPr="00A72D20">
        <w:rPr>
          <w:color w:val="000000"/>
          <w:lang w:val="fr-FR"/>
        </w:rPr>
        <w:t xml:space="preserve">et les résultats réalisés </w:t>
      </w:r>
      <w:r w:rsidRPr="00A72D20">
        <w:rPr>
          <w:rFonts w:eastAsia="Calibri"/>
          <w:lang w:val="fr-FR"/>
        </w:rPr>
        <w:t xml:space="preserve">par les </w:t>
      </w:r>
      <w:r w:rsidRPr="00A72D20">
        <w:rPr>
          <w:color w:val="000000"/>
          <w:lang w:val="fr-FR"/>
        </w:rPr>
        <w:t xml:space="preserve">directeurs de la réglementation, </w:t>
      </w:r>
      <w:r w:rsidR="002A7CAA" w:rsidRPr="00A72D20">
        <w:rPr>
          <w:color w:val="000000"/>
          <w:lang w:val="fr-FR"/>
        </w:rPr>
        <w:t xml:space="preserve">et </w:t>
      </w:r>
      <w:r w:rsidRPr="00A72D20">
        <w:rPr>
          <w:color w:val="000000"/>
          <w:lang w:val="fr-FR"/>
        </w:rPr>
        <w:t>ont recueilli des contributions et des recommandations afin d'encourager plus avant le renforcement de la coopération entre les Etats Membres, les Membres des Secteurs, les Associés et les établissements universitaires participant aux travaux de l'UIT. De plus amples renseignements à cet égard sont disponibles à l'adresse</w:t>
      </w:r>
      <w:bookmarkEnd w:id="26"/>
      <w:r w:rsidRPr="00A72D20">
        <w:rPr>
          <w:rFonts w:cstheme="minorHAnsi"/>
          <w:szCs w:val="24"/>
          <w:lang w:val="fr-FR"/>
        </w:rPr>
        <w:t xml:space="preserve"> </w:t>
      </w:r>
      <w:bookmarkStart w:id="27" w:name="lt_pId082"/>
      <w:r w:rsidR="002A7CAA" w:rsidRPr="00A72D20">
        <w:rPr>
          <w:rFonts w:cstheme="minorHAnsi"/>
          <w:szCs w:val="24"/>
          <w:lang w:val="fr-FR"/>
        </w:rPr>
        <w:fldChar w:fldCharType="begin"/>
      </w:r>
      <w:r w:rsidR="002A7CAA" w:rsidRPr="00A72D20">
        <w:rPr>
          <w:rFonts w:cstheme="minorHAnsi"/>
          <w:szCs w:val="24"/>
          <w:lang w:val="fr-FR"/>
        </w:rPr>
        <w:instrText xml:space="preserve"> HYPERLINK "https://www.itu.int/en/ITU</w:instrText>
      </w:r>
      <w:r w:rsidR="002A7CAA" w:rsidRPr="00A72D20">
        <w:rPr>
          <w:rFonts w:cstheme="minorHAnsi"/>
          <w:szCs w:val="24"/>
          <w:lang w:val="fr-FR"/>
        </w:rPr>
        <w:noBreakHyphen/>
        <w:instrText xml:space="preserve">D/Conferences/CRO/Pages/CRO8.default.aspx" </w:instrText>
      </w:r>
      <w:r w:rsidR="002A7CAA" w:rsidRPr="00A72D20">
        <w:rPr>
          <w:rFonts w:cstheme="minorHAnsi"/>
          <w:szCs w:val="24"/>
          <w:lang w:val="fr-FR"/>
        </w:rPr>
        <w:fldChar w:fldCharType="separate"/>
      </w:r>
      <w:r w:rsidR="002A7CAA" w:rsidRPr="00A72D20">
        <w:rPr>
          <w:rStyle w:val="Hyperlink"/>
          <w:rFonts w:cstheme="minorHAnsi"/>
          <w:szCs w:val="24"/>
          <w:lang w:val="fr-FR"/>
        </w:rPr>
        <w:t>https://www.itu.int/en/ITU</w:t>
      </w:r>
      <w:r w:rsidR="002A7CAA" w:rsidRPr="00A72D20">
        <w:rPr>
          <w:rStyle w:val="Hyperlink"/>
          <w:rFonts w:cstheme="minorHAnsi"/>
          <w:szCs w:val="24"/>
          <w:lang w:val="fr-FR"/>
        </w:rPr>
        <w:noBreakHyphen/>
        <w:t>D/Conferences/CRO/Pages/CRO8.default.aspx</w:t>
      </w:r>
      <w:bookmarkEnd w:id="27"/>
      <w:r w:rsidR="002A7CAA" w:rsidRPr="00A72D20">
        <w:rPr>
          <w:rFonts w:cstheme="minorHAnsi"/>
          <w:szCs w:val="24"/>
          <w:lang w:val="fr-FR"/>
        </w:rPr>
        <w:fldChar w:fldCharType="end"/>
      </w:r>
      <w:r w:rsidRPr="001E2E1C">
        <w:rPr>
          <w:rStyle w:val="Hyperlink"/>
          <w:rFonts w:cstheme="minorHAnsi"/>
          <w:color w:val="auto"/>
          <w:szCs w:val="24"/>
          <w:u w:val="none"/>
          <w:lang w:val="fr-FR"/>
        </w:rPr>
        <w:t>.</w:t>
      </w:r>
    </w:p>
    <w:p w:rsidR="00DC38B6" w:rsidRPr="00A72D20" w:rsidRDefault="00DC38B6" w:rsidP="00DC38B6">
      <w:pPr>
        <w:pStyle w:val="Heading1"/>
        <w:rPr>
          <w:rFonts w:eastAsia="SimHei"/>
          <w:lang w:val="fr-FR"/>
        </w:rPr>
      </w:pPr>
      <w:bookmarkStart w:id="28" w:name="lt_pId074"/>
      <w:bookmarkEnd w:id="25"/>
      <w:r w:rsidRPr="00A72D20">
        <w:rPr>
          <w:lang w:val="fr-FR"/>
        </w:rPr>
        <w:t>5</w:t>
      </w:r>
      <w:r w:rsidR="001E2E1C">
        <w:rPr>
          <w:rFonts w:eastAsia="SimHei"/>
          <w:lang w:val="fr-FR"/>
        </w:rPr>
        <w:tab/>
        <w:t>Perspectives d'avenir</w:t>
      </w:r>
    </w:p>
    <w:p w:rsidR="00DC38B6" w:rsidRPr="00A72D20" w:rsidRDefault="00DC38B6" w:rsidP="00DC38B6">
      <w:pPr>
        <w:rPr>
          <w:rFonts w:ascii="Calibri" w:hAnsi="Calibri"/>
          <w:color w:val="000000" w:themeColor="text1"/>
          <w:szCs w:val="24"/>
          <w:lang w:val="fr-FR"/>
        </w:rPr>
      </w:pPr>
      <w:r w:rsidRPr="00A72D20">
        <w:rPr>
          <w:szCs w:val="24"/>
          <w:lang w:val="fr-FR"/>
        </w:rPr>
        <w:t>Alors que les programmes, les projets, les initiatives et les activités de l'UIT-D dans ses domaines d'activité fournissent des produits et des services aux membres de l'UIT, le BDT renforcera les produits et les outils de communication à l'intention des membres, de façon à favoriser une plus grande mobilisation des membres existants, nouveaux et potentiels, y compris les établissements universitaires participant à ses travaux, par le biais de plateformes de partenariat multi-parties prenantes innovantes et inclusives</w:t>
      </w:r>
      <w:r w:rsidRPr="00A72D20">
        <w:rPr>
          <w:rFonts w:ascii="Calibri" w:hAnsi="Calibri"/>
          <w:color w:val="000000" w:themeColor="text1"/>
          <w:szCs w:val="24"/>
          <w:lang w:val="fr-FR"/>
        </w:rPr>
        <w:t>.</w:t>
      </w:r>
      <w:bookmarkEnd w:id="28"/>
      <w:r w:rsidRPr="00A72D20">
        <w:rPr>
          <w:rFonts w:ascii="Calibri" w:hAnsi="Calibri"/>
          <w:color w:val="000000" w:themeColor="text1"/>
          <w:szCs w:val="24"/>
          <w:lang w:val="fr-FR"/>
        </w:rPr>
        <w:t xml:space="preserve"> </w:t>
      </w:r>
    </w:p>
    <w:p w:rsidR="00DC38B6" w:rsidRPr="00A72D20" w:rsidRDefault="00DC38B6" w:rsidP="00A72D20">
      <w:pPr>
        <w:rPr>
          <w:color w:val="000000"/>
          <w:lang w:val="fr-FR"/>
        </w:rPr>
      </w:pPr>
      <w:bookmarkStart w:id="29" w:name="lt_pId085"/>
      <w:r w:rsidRPr="00A72D20">
        <w:rPr>
          <w:color w:val="000000"/>
          <w:lang w:val="fr-FR"/>
        </w:rPr>
        <w:t>En application de la décision prise par le Conseil à sa session de 2017 de mener un projet pilote permettant la participation des petites et moyennes ent</w:t>
      </w:r>
      <w:r w:rsidR="00223534">
        <w:rPr>
          <w:color w:val="000000"/>
          <w:lang w:val="fr-FR"/>
        </w:rPr>
        <w:t>reprises (PME) aux travaux des C</w:t>
      </w:r>
      <w:r w:rsidRPr="00A72D20">
        <w:rPr>
          <w:color w:val="000000"/>
          <w:lang w:val="fr-FR"/>
        </w:rPr>
        <w:t xml:space="preserve">ommissions d'études de l'UIT-T et de l'UIT-D, le BDT lancera la mise en oeuvre du projet pilote concernant la participation des PME aux travaux des Commissions d'études de l'UIT-D pendant la nouvelle période d'étude à compter de 2018. Il sera fait état des progrès réalisés à cet égard lors du Conseil et de la PP-18. Le BDT encouragera également un engagement accru des établissements universitaires </w:t>
      </w:r>
      <w:r w:rsidR="00223534">
        <w:rPr>
          <w:color w:val="000000"/>
          <w:lang w:val="fr-FR"/>
        </w:rPr>
        <w:t>dans les travaux des C</w:t>
      </w:r>
      <w:r w:rsidRPr="00A72D20">
        <w:rPr>
          <w:color w:val="000000"/>
          <w:lang w:val="fr-FR"/>
        </w:rPr>
        <w:t>ommissions d'études de l'UIT-D et de l'Académie de l'UIT, en particulier.</w:t>
      </w:r>
      <w:bookmarkEnd w:id="29"/>
    </w:p>
    <w:p w:rsidR="00DC38B6" w:rsidRPr="00A72D20" w:rsidRDefault="00DC38B6" w:rsidP="00DC38B6">
      <w:pPr>
        <w:rPr>
          <w:rFonts w:cs="Arial"/>
          <w:lang w:val="fr-FR"/>
        </w:rPr>
      </w:pPr>
      <w:r w:rsidRPr="00A72D20">
        <w:rPr>
          <w:color w:val="000000"/>
          <w:lang w:val="fr-FR"/>
        </w:rPr>
        <w:t>L'application de la Résolution 71 (Rév.Buenos Aires, 2017) récemm</w:t>
      </w:r>
      <w:r w:rsidR="001E2E1C">
        <w:rPr>
          <w:color w:val="000000"/>
          <w:lang w:val="fr-FR"/>
        </w:rPr>
        <w:t>ent révisée et approuvée par la </w:t>
      </w:r>
      <w:r w:rsidRPr="00A72D20">
        <w:rPr>
          <w:color w:val="000000"/>
          <w:lang w:val="fr-FR"/>
        </w:rPr>
        <w:t xml:space="preserve">CMDT, et en particulier la création du Groupe consultatif de professionnels chargé des questions de développement (IAGDI), débutera en 2018. </w:t>
      </w:r>
      <w:r w:rsidRPr="00A72D20">
        <w:rPr>
          <w:rFonts w:cs="Arial"/>
          <w:lang w:val="fr-FR"/>
        </w:rPr>
        <w:t>Au cours de l'édition 2018 du GSR, organisé en juillet 2018 à Genève, se tiendra la première réunion du</w:t>
      </w:r>
      <w:r w:rsidRPr="00A72D20">
        <w:rPr>
          <w:rFonts w:cs="Arial"/>
          <w:b/>
          <w:bCs/>
          <w:i/>
          <w:iCs/>
          <w:lang w:val="fr-FR"/>
        </w:rPr>
        <w:t xml:space="preserve"> </w:t>
      </w:r>
      <w:r w:rsidRPr="00A72D20">
        <w:rPr>
          <w:color w:val="000000"/>
          <w:lang w:val="fr-FR"/>
        </w:rPr>
        <w:t>Groupe consultatif de professionnels chargé des questions de développement</w:t>
      </w:r>
      <w:r w:rsidRPr="00A72D20">
        <w:rPr>
          <w:rFonts w:cs="Arial"/>
          <w:lang w:val="fr-FR"/>
        </w:rPr>
        <w:t>, en parallèle de la réunion des directeurs de la réglementation</w:t>
      </w:r>
      <w:r w:rsidRPr="00A72D20">
        <w:rPr>
          <w:color w:val="000000"/>
          <w:lang w:val="fr-FR"/>
        </w:rPr>
        <w:t>.</w:t>
      </w:r>
      <w:r w:rsidRPr="00A72D20">
        <w:rPr>
          <w:szCs w:val="24"/>
          <w:lang w:val="fr-FR"/>
        </w:rPr>
        <w:t xml:space="preserve"> </w:t>
      </w:r>
      <w:r w:rsidRPr="00A72D20">
        <w:rPr>
          <w:rFonts w:ascii="Calibri" w:hAnsi="Calibri"/>
          <w:lang w:val="fr-FR"/>
        </w:rPr>
        <w:t>Le secteur privé est invité à participer activement aux activités de ce groupe et à contribuer aux travaux du Secteur de l'UIT-D pour atteindre les Objectifs de développement durable.</w:t>
      </w:r>
    </w:p>
    <w:p w:rsidR="00DC38B6" w:rsidRPr="00A72D20" w:rsidRDefault="00DC38B6" w:rsidP="002A7CAA">
      <w:pPr>
        <w:keepNext/>
        <w:keepLines/>
        <w:rPr>
          <w:rFonts w:ascii="Calibri" w:hAnsi="Calibri"/>
          <w:lang w:val="fr-FR"/>
        </w:rPr>
      </w:pPr>
      <w:r w:rsidRPr="00A72D20">
        <w:rPr>
          <w:color w:val="000000"/>
          <w:lang w:val="fr-FR"/>
        </w:rPr>
        <w:lastRenderedPageBreak/>
        <w:t>La diversité des membres (Membres de Secteur, Associés et, de plus en plus, établissements universitaires) continue d'encourager la collaboration et l'échange dans un écosystème des TIC postconvergence.</w:t>
      </w:r>
      <w:r w:rsidR="002A7CAA" w:rsidRPr="00A72D20">
        <w:rPr>
          <w:color w:val="000000"/>
          <w:lang w:val="fr-FR"/>
        </w:rPr>
        <w:t xml:space="preserve"> L</w:t>
      </w:r>
      <w:r w:rsidRPr="00A72D20">
        <w:rPr>
          <w:rFonts w:eastAsia="Calibri"/>
          <w:lang w:val="fr-FR"/>
        </w:rPr>
        <w:t>e BDT continuera à concentrer ses efforts sur des approches multi-parties prenantes en vue de renforcer la mobilisation et les partenariats avec les membres, leurs réseaux, associations professionnelles</w:t>
      </w:r>
      <w:r w:rsidRPr="00A72D20">
        <w:rPr>
          <w:rFonts w:ascii="Calibri" w:hAnsi="Calibri"/>
          <w:lang w:val="fr-FR"/>
        </w:rPr>
        <w:t xml:space="preserve"> et membres affiliés, ainsi que dan</w:t>
      </w:r>
      <w:r w:rsidR="001E2E1C">
        <w:rPr>
          <w:rFonts w:ascii="Calibri" w:hAnsi="Calibri"/>
          <w:lang w:val="fr-FR"/>
        </w:rPr>
        <w:t>s le cadre de manifestations du </w:t>
      </w:r>
      <w:r w:rsidRPr="00A72D20">
        <w:rPr>
          <w:rFonts w:ascii="Calibri" w:hAnsi="Calibri"/>
          <w:lang w:val="fr-FR"/>
        </w:rPr>
        <w:t>BDT, existantes ou nouvelles, à l'échelle mondiale ou régionale.</w:t>
      </w:r>
    </w:p>
    <w:p w:rsidR="002A7CAA" w:rsidRPr="00A72D20" w:rsidRDefault="002A7CAA" w:rsidP="0032202E">
      <w:pPr>
        <w:pStyle w:val="Reasons"/>
        <w:rPr>
          <w:lang w:val="fr-FR"/>
        </w:rPr>
      </w:pPr>
    </w:p>
    <w:p w:rsidR="002A7CAA" w:rsidRPr="00A72D20" w:rsidRDefault="002A7CAA">
      <w:pPr>
        <w:jc w:val="center"/>
        <w:rPr>
          <w:lang w:val="fr-FR"/>
        </w:rPr>
      </w:pPr>
      <w:r w:rsidRPr="00A72D20">
        <w:rPr>
          <w:lang w:val="fr-FR"/>
        </w:rPr>
        <w:t>______________</w:t>
      </w:r>
    </w:p>
    <w:sectPr w:rsidR="002A7CAA" w:rsidRPr="00A72D20" w:rsidSect="00473791">
      <w:headerReference w:type="default" r:id="rId19"/>
      <w:footerReference w:type="default" r:id="rId20"/>
      <w:footerReference w:type="first" r:id="rId2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8B6" w:rsidRDefault="00DC38B6">
      <w:r>
        <w:separator/>
      </w:r>
    </w:p>
  </w:endnote>
  <w:endnote w:type="continuationSeparator" w:id="0">
    <w:p w:rsidR="00DC38B6" w:rsidRDefault="00DC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D94856" w:rsidRDefault="00DC38B6" w:rsidP="00D94856">
    <w:pPr>
      <w:pStyle w:val="Footer"/>
      <w:rPr>
        <w:lang w:val="es-ES_tradnl"/>
      </w:rPr>
    </w:pPr>
    <w:r>
      <w:fldChar w:fldCharType="begin"/>
    </w:r>
    <w:r w:rsidRPr="00D94856">
      <w:rPr>
        <w:lang w:val="es-ES_tradnl"/>
      </w:rPr>
      <w:instrText xml:space="preserve"> FILENAME \p  \* MERGEFORMAT </w:instrText>
    </w:r>
    <w:r>
      <w:fldChar w:fldCharType="separate"/>
    </w:r>
    <w:r w:rsidR="002A25DD">
      <w:rPr>
        <w:lang w:val="es-ES_tradnl"/>
      </w:rPr>
      <w:t>P:\FRA\ITU-D\CONF-D\TDAG18\000\020F.docx</w:t>
    </w:r>
    <w:r>
      <w:fldChar w:fldCharType="end"/>
    </w:r>
    <w:r w:rsidRPr="00D94856">
      <w:rPr>
        <w:lang w:val="es-ES_tradnl"/>
      </w:rPr>
      <w:t xml:space="preserve"> (</w:t>
    </w:r>
    <w:r w:rsidR="00D94856">
      <w:rPr>
        <w:lang w:val="es-ES_tradnl"/>
      </w:rPr>
      <w:t>428713</w:t>
    </w:r>
    <w:r w:rsidRPr="00D94856">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C38B6" w:rsidRPr="004D495C" w:rsidTr="004E3CF5">
      <w:tc>
        <w:tcPr>
          <w:tcW w:w="1526" w:type="dxa"/>
          <w:tcBorders>
            <w:top w:val="single" w:sz="4" w:space="0" w:color="000000"/>
          </w:tcBorders>
          <w:shd w:val="clear" w:color="auto" w:fill="auto"/>
        </w:tcPr>
        <w:p w:rsidR="00DC38B6" w:rsidRPr="004D495C" w:rsidRDefault="00DC38B6" w:rsidP="00DC38B6">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C38B6" w:rsidRPr="004D495C" w:rsidRDefault="00DC38B6" w:rsidP="00DC38B6">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rsidR="00DC38B6" w:rsidRPr="00DE1FF6" w:rsidRDefault="00DC38B6" w:rsidP="00DC38B6">
          <w:pPr>
            <w:pStyle w:val="FirstFooter"/>
            <w:tabs>
              <w:tab w:val="left" w:pos="1201"/>
            </w:tabs>
            <w:rPr>
              <w:sz w:val="18"/>
              <w:szCs w:val="18"/>
              <w:lang w:val="fr-CH"/>
            </w:rPr>
          </w:pPr>
          <w:bookmarkStart w:id="30" w:name="OrgName"/>
          <w:bookmarkEnd w:id="30"/>
          <w:r w:rsidRPr="00DE1FF6">
            <w:rPr>
              <w:sz w:val="18"/>
              <w:szCs w:val="18"/>
              <w:lang w:val="fr-CH"/>
            </w:rPr>
            <w:t>Mme Eun-Jun Kim, Chef, Département de l'innovation et des partenariats, Bureau de développement des télécommunications</w:t>
          </w:r>
        </w:p>
      </w:tc>
    </w:tr>
    <w:tr w:rsidR="00DC38B6" w:rsidRPr="004D495C" w:rsidTr="004E3CF5">
      <w:tc>
        <w:tcPr>
          <w:tcW w:w="1526" w:type="dxa"/>
          <w:shd w:val="clear" w:color="auto" w:fill="auto"/>
        </w:tcPr>
        <w:p w:rsidR="00DC38B6" w:rsidRPr="00DC38B6" w:rsidRDefault="00DC38B6" w:rsidP="00DC38B6">
          <w:pPr>
            <w:pStyle w:val="FirstFooter"/>
            <w:tabs>
              <w:tab w:val="left" w:pos="1559"/>
              <w:tab w:val="left" w:pos="3828"/>
            </w:tabs>
            <w:rPr>
              <w:sz w:val="20"/>
              <w:lang w:val="fr-CH"/>
            </w:rPr>
          </w:pPr>
        </w:p>
      </w:tc>
      <w:tc>
        <w:tcPr>
          <w:tcW w:w="2410" w:type="dxa"/>
          <w:shd w:val="clear" w:color="auto" w:fill="auto"/>
        </w:tcPr>
        <w:p w:rsidR="00DC38B6" w:rsidRPr="004D495C" w:rsidRDefault="00DC38B6" w:rsidP="00DC38B6">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rsidR="00DC38B6" w:rsidRPr="00103886" w:rsidRDefault="00DC38B6" w:rsidP="00DC38B6">
          <w:pPr>
            <w:pStyle w:val="FirstFooter"/>
            <w:tabs>
              <w:tab w:val="left" w:pos="2302"/>
            </w:tabs>
            <w:rPr>
              <w:sz w:val="18"/>
              <w:szCs w:val="18"/>
              <w:lang w:val="en-US"/>
            </w:rPr>
          </w:pPr>
          <w:bookmarkStart w:id="31" w:name="PhoneNo"/>
          <w:bookmarkEnd w:id="31"/>
          <w:r>
            <w:rPr>
              <w:sz w:val="18"/>
              <w:szCs w:val="18"/>
              <w:lang w:val="en-US"/>
            </w:rPr>
            <w:t>+41 22 730 5900</w:t>
          </w:r>
        </w:p>
      </w:tc>
    </w:tr>
    <w:tr w:rsidR="00A454E1" w:rsidRPr="007A5375" w:rsidTr="004E3CF5">
      <w:tc>
        <w:tcPr>
          <w:tcW w:w="1526" w:type="dxa"/>
          <w:shd w:val="clear" w:color="auto" w:fill="auto"/>
        </w:tcPr>
        <w:p w:rsidR="00A454E1" w:rsidRPr="004D495C" w:rsidRDefault="00A454E1" w:rsidP="00A454E1">
          <w:pPr>
            <w:pStyle w:val="FirstFooter"/>
            <w:tabs>
              <w:tab w:val="left" w:pos="1559"/>
              <w:tab w:val="left" w:pos="3828"/>
            </w:tabs>
            <w:rPr>
              <w:sz w:val="20"/>
              <w:lang w:val="en-US"/>
            </w:rPr>
          </w:pPr>
        </w:p>
      </w:tc>
      <w:tc>
        <w:tcPr>
          <w:tcW w:w="2410" w:type="dxa"/>
          <w:shd w:val="clear" w:color="auto" w:fill="auto"/>
        </w:tcPr>
        <w:p w:rsidR="00A454E1" w:rsidRPr="004D495C" w:rsidRDefault="00A454E1" w:rsidP="00A454E1">
          <w:pPr>
            <w:pStyle w:val="FirstFooter"/>
            <w:tabs>
              <w:tab w:val="left" w:pos="2302"/>
            </w:tabs>
            <w:rPr>
              <w:sz w:val="18"/>
              <w:szCs w:val="18"/>
              <w:lang w:val="en-US"/>
            </w:rPr>
          </w:pPr>
          <w:r>
            <w:rPr>
              <w:sz w:val="18"/>
              <w:szCs w:val="18"/>
              <w:lang w:val="en-US"/>
            </w:rPr>
            <w:t>Courriel:</w:t>
          </w:r>
        </w:p>
      </w:tc>
      <w:bookmarkStart w:id="32" w:name="Email"/>
      <w:bookmarkEnd w:id="32"/>
      <w:tc>
        <w:tcPr>
          <w:tcW w:w="5987" w:type="dxa"/>
          <w:shd w:val="clear" w:color="auto" w:fill="auto"/>
        </w:tcPr>
        <w:p w:rsidR="00A454E1" w:rsidRPr="00E5653A" w:rsidRDefault="00DC38B6" w:rsidP="00A454E1">
          <w:pPr>
            <w:pStyle w:val="FirstFooter"/>
            <w:tabs>
              <w:tab w:val="left" w:pos="2302"/>
            </w:tabs>
            <w:rPr>
              <w:sz w:val="18"/>
              <w:szCs w:val="18"/>
              <w:lang w:val="en-US"/>
            </w:rPr>
          </w:pPr>
          <w:r>
            <w:fldChar w:fldCharType="begin"/>
          </w:r>
          <w:r w:rsidRPr="00E905A7">
            <w:rPr>
              <w:lang w:val="en-US"/>
            </w:rPr>
            <w:instrText xml:space="preserve"> HYPERLINK "mailto:eun-ju.kim@itu.int" </w:instrText>
          </w:r>
          <w:r>
            <w:fldChar w:fldCharType="separate"/>
          </w:r>
          <w:r w:rsidRPr="00996114">
            <w:rPr>
              <w:rStyle w:val="Hyperlink"/>
              <w:sz w:val="18"/>
              <w:szCs w:val="18"/>
              <w:lang w:val="en-US"/>
            </w:rPr>
            <w:t>eun-ju.kim@itu.int</w:t>
          </w:r>
          <w:r>
            <w:rPr>
              <w:rStyle w:val="Hyperlink"/>
              <w:sz w:val="18"/>
              <w:szCs w:val="18"/>
              <w:lang w:val="en-US"/>
            </w:rPr>
            <w:fldChar w:fldCharType="end"/>
          </w:r>
        </w:p>
      </w:tc>
    </w:tr>
  </w:tbl>
  <w:p w:rsidR="00A454E1" w:rsidRPr="00DC38B6" w:rsidRDefault="00A454E1" w:rsidP="00B80157">
    <w:pPr>
      <w:pStyle w:val="Footer"/>
      <w:jc w:val="center"/>
      <w:rPr>
        <w:lang w:val="en-US"/>
      </w:rPr>
    </w:pPr>
  </w:p>
  <w:p w:rsidR="00721657" w:rsidRPr="00C4562F" w:rsidRDefault="007A5375" w:rsidP="00B80157">
    <w:pPr>
      <w:pStyle w:val="Footer"/>
      <w:jc w:val="center"/>
      <w:rPr>
        <w:lang w:val="en-US"/>
      </w:rPr>
    </w:pPr>
    <w:hyperlink r:id="rId1" w:history="1">
      <w:r w:rsidR="00C63812" w:rsidRPr="00C4562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8B6" w:rsidRDefault="00DC38B6">
      <w:r>
        <w:t>____________________</w:t>
      </w:r>
    </w:p>
  </w:footnote>
  <w:footnote w:type="continuationSeparator" w:id="0">
    <w:p w:rsidR="00DC38B6" w:rsidRDefault="00DC38B6">
      <w:r>
        <w:continuationSeparator/>
      </w:r>
    </w:p>
  </w:footnote>
  <w:footnote w:id="1">
    <w:p w:rsidR="00DC38B6" w:rsidRPr="0077544A" w:rsidRDefault="00DC38B6" w:rsidP="00DC38B6">
      <w:pPr>
        <w:pStyle w:val="FootnoteText"/>
      </w:pPr>
      <w:r>
        <w:rPr>
          <w:rStyle w:val="FootnoteReference"/>
        </w:rPr>
        <w:footnoteRef/>
      </w:r>
      <w:bookmarkStart w:id="14" w:name="lt_pId093"/>
      <w:r w:rsidRPr="0077544A">
        <w:tab/>
        <w:t>Référence à la Résolution 169 (Guadalajara, 2010) de la PP-10, qui a permis à la nouvelle catégorie des établissements universitaires</w:t>
      </w:r>
      <w:r>
        <w:t xml:space="preserve"> de participer aux travaux de l'UIT</w:t>
      </w:r>
      <w:r w:rsidRPr="0077544A">
        <w:t>.</w:t>
      </w:r>
      <w:bookmarkEnd w:id="14"/>
      <w:r w:rsidRPr="0077544A">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7A5375" w:rsidRDefault="00A525CC" w:rsidP="00DC38B6">
    <w:pPr>
      <w:tabs>
        <w:tab w:val="clear" w:pos="794"/>
        <w:tab w:val="clear" w:pos="1191"/>
        <w:tab w:val="clear" w:pos="1588"/>
        <w:tab w:val="clear" w:pos="1985"/>
        <w:tab w:val="center" w:pos="4820"/>
        <w:tab w:val="right" w:pos="9639"/>
      </w:tabs>
      <w:ind w:right="1"/>
      <w:rPr>
        <w:smallCaps/>
        <w:spacing w:val="24"/>
        <w:sz w:val="22"/>
        <w:szCs w:val="22"/>
      </w:rPr>
    </w:pPr>
    <w:r w:rsidRPr="00972BCD">
      <w:rPr>
        <w:sz w:val="22"/>
        <w:szCs w:val="22"/>
      </w:rPr>
      <w:tab/>
    </w:r>
    <w:r w:rsidRPr="007A5375">
      <w:rPr>
        <w:sz w:val="22"/>
        <w:szCs w:val="22"/>
      </w:rPr>
      <w:t>ITU-D/TDAG1</w:t>
    </w:r>
    <w:r w:rsidR="009E2E4A" w:rsidRPr="007A5375">
      <w:rPr>
        <w:sz w:val="22"/>
        <w:szCs w:val="22"/>
      </w:rPr>
      <w:t>8</w:t>
    </w:r>
    <w:r w:rsidRPr="007A5375">
      <w:rPr>
        <w:sz w:val="22"/>
        <w:szCs w:val="22"/>
      </w:rPr>
      <w:t>-2</w:t>
    </w:r>
    <w:r w:rsidR="009E2E4A" w:rsidRPr="007A5375">
      <w:rPr>
        <w:sz w:val="22"/>
        <w:szCs w:val="22"/>
      </w:rPr>
      <w:t>3</w:t>
    </w:r>
    <w:r w:rsidRPr="007A5375">
      <w:rPr>
        <w:sz w:val="22"/>
        <w:szCs w:val="22"/>
      </w:rPr>
      <w:t>/</w:t>
    </w:r>
    <w:r w:rsidR="00DC38B6" w:rsidRPr="007A5375">
      <w:rPr>
        <w:sz w:val="22"/>
        <w:szCs w:val="22"/>
      </w:rPr>
      <w:t>20</w:t>
    </w:r>
    <w:r w:rsidRPr="007A5375">
      <w:rPr>
        <w:sz w:val="22"/>
        <w:szCs w:val="22"/>
      </w:rPr>
      <w:t>-</w:t>
    </w:r>
    <w:r w:rsidR="00B533E9" w:rsidRPr="007A5375">
      <w:rPr>
        <w:sz w:val="22"/>
        <w:szCs w:val="22"/>
      </w:rPr>
      <w:t>F</w:t>
    </w:r>
    <w:r w:rsidRPr="007A5375">
      <w:rPr>
        <w:sz w:val="22"/>
        <w:szCs w:val="22"/>
      </w:rPr>
      <w:tab/>
      <w:t xml:space="preserve">Page </w:t>
    </w:r>
    <w:r w:rsidRPr="00972BCD">
      <w:rPr>
        <w:sz w:val="22"/>
        <w:szCs w:val="22"/>
      </w:rPr>
      <w:fldChar w:fldCharType="begin"/>
    </w:r>
    <w:r w:rsidRPr="007A5375">
      <w:rPr>
        <w:sz w:val="22"/>
        <w:szCs w:val="22"/>
      </w:rPr>
      <w:instrText xml:space="preserve"> PAGE </w:instrText>
    </w:r>
    <w:r w:rsidRPr="00972BCD">
      <w:rPr>
        <w:sz w:val="22"/>
        <w:szCs w:val="22"/>
      </w:rPr>
      <w:fldChar w:fldCharType="separate"/>
    </w:r>
    <w:r w:rsidR="007A5375">
      <w:rPr>
        <w:noProof/>
        <w:sz w:val="22"/>
        <w:szCs w:val="22"/>
      </w:rPr>
      <w:t>8</w:t>
    </w:r>
    <w:r w:rsidRPr="00972BCD">
      <w:rPr>
        <w:sz w:val="22"/>
        <w:szCs w:val="22"/>
      </w:rPr>
      <w:fldChar w:fldCharType="end"/>
    </w:r>
  </w:p>
  <w:p w:rsidR="00721657" w:rsidRPr="00A525CC" w:rsidRDefault="00721657"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8B6"/>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1EE1"/>
    <w:rsid w:val="000B2352"/>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E2E1C"/>
    <w:rsid w:val="001F23E6"/>
    <w:rsid w:val="001F4238"/>
    <w:rsid w:val="00200A38"/>
    <w:rsid w:val="00200A46"/>
    <w:rsid w:val="00202682"/>
    <w:rsid w:val="00211B6F"/>
    <w:rsid w:val="0021438F"/>
    <w:rsid w:val="00217CC3"/>
    <w:rsid w:val="00220AB6"/>
    <w:rsid w:val="0022120F"/>
    <w:rsid w:val="00223534"/>
    <w:rsid w:val="0022754A"/>
    <w:rsid w:val="00236560"/>
    <w:rsid w:val="0023662E"/>
    <w:rsid w:val="00245D0F"/>
    <w:rsid w:val="002548C3"/>
    <w:rsid w:val="00257ACD"/>
    <w:rsid w:val="00262908"/>
    <w:rsid w:val="002650F4"/>
    <w:rsid w:val="002715FD"/>
    <w:rsid w:val="002770B1"/>
    <w:rsid w:val="00285B33"/>
    <w:rsid w:val="00287A3C"/>
    <w:rsid w:val="002A25DD"/>
    <w:rsid w:val="002A2FC6"/>
    <w:rsid w:val="002A7CAA"/>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6B2B"/>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A5375"/>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088B"/>
    <w:rsid w:val="00922EC1"/>
    <w:rsid w:val="009301F1"/>
    <w:rsid w:val="009307DF"/>
    <w:rsid w:val="009359B8"/>
    <w:rsid w:val="00935FF0"/>
    <w:rsid w:val="009431F8"/>
    <w:rsid w:val="00947A35"/>
    <w:rsid w:val="00962081"/>
    <w:rsid w:val="00966CB5"/>
    <w:rsid w:val="00975786"/>
    <w:rsid w:val="00981CB7"/>
    <w:rsid w:val="00983E1F"/>
    <w:rsid w:val="009870CB"/>
    <w:rsid w:val="00993F46"/>
    <w:rsid w:val="00997358"/>
    <w:rsid w:val="009A452B"/>
    <w:rsid w:val="009B050C"/>
    <w:rsid w:val="009B087F"/>
    <w:rsid w:val="009B2AF4"/>
    <w:rsid w:val="009C110B"/>
    <w:rsid w:val="009C5441"/>
    <w:rsid w:val="009D119F"/>
    <w:rsid w:val="009D49A2"/>
    <w:rsid w:val="009E2E4A"/>
    <w:rsid w:val="009F3940"/>
    <w:rsid w:val="009F3EB2"/>
    <w:rsid w:val="009F6EB1"/>
    <w:rsid w:val="00A11D05"/>
    <w:rsid w:val="00A13162"/>
    <w:rsid w:val="00A20267"/>
    <w:rsid w:val="00A3158C"/>
    <w:rsid w:val="00A32DF3"/>
    <w:rsid w:val="00A33E32"/>
    <w:rsid w:val="00A35E20"/>
    <w:rsid w:val="00A36F6D"/>
    <w:rsid w:val="00A454E1"/>
    <w:rsid w:val="00A50CA0"/>
    <w:rsid w:val="00A51A54"/>
    <w:rsid w:val="00A525CC"/>
    <w:rsid w:val="00A53E7C"/>
    <w:rsid w:val="00A60087"/>
    <w:rsid w:val="00A705E8"/>
    <w:rsid w:val="00A721F4"/>
    <w:rsid w:val="00A72D20"/>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2BDC"/>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35CA1"/>
    <w:rsid w:val="00C4038C"/>
    <w:rsid w:val="00C42BA2"/>
    <w:rsid w:val="00C44066"/>
    <w:rsid w:val="00C44E13"/>
    <w:rsid w:val="00C4562F"/>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90E76"/>
    <w:rsid w:val="00D911DE"/>
    <w:rsid w:val="00D91B97"/>
    <w:rsid w:val="00D93ACC"/>
    <w:rsid w:val="00D93C08"/>
    <w:rsid w:val="00D94856"/>
    <w:rsid w:val="00D95DAC"/>
    <w:rsid w:val="00DA0B53"/>
    <w:rsid w:val="00DB1171"/>
    <w:rsid w:val="00DB1519"/>
    <w:rsid w:val="00DB2840"/>
    <w:rsid w:val="00DC1BD3"/>
    <w:rsid w:val="00DC2C1A"/>
    <w:rsid w:val="00DC38B6"/>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4A9983B-38EC-43FA-909E-B285D4DC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character" w:customStyle="1" w:styleId="FootnoteTextChar">
    <w:name w:val="Footnote Text Char"/>
    <w:basedOn w:val="DefaultParagraphFont"/>
    <w:link w:val="FootnoteText"/>
    <w:rsid w:val="00DC38B6"/>
    <w:rPr>
      <w:rFonts w:asciiTheme="minorHAnsi" w:hAnsiTheme="minorHAnsi"/>
      <w:sz w:val="24"/>
      <w:lang w:val="fr-CH" w:eastAsia="en-US"/>
    </w:rPr>
  </w:style>
  <w:style w:type="character" w:customStyle="1" w:styleId="ListParagraphChar">
    <w:name w:val="List Paragraph Char"/>
    <w:basedOn w:val="DefaultParagraphFont"/>
    <w:link w:val="ListParagraph"/>
    <w:uiPriority w:val="34"/>
    <w:locked/>
    <w:rsid w:val="00DC38B6"/>
    <w:rPr>
      <w:rFonts w:asciiTheme="minorHAnsi" w:hAnsiTheme="minorHAnsi"/>
      <w:sz w:val="24"/>
      <w:lang w:val="fr-CH" w:eastAsia="en-US"/>
    </w:rPr>
  </w:style>
  <w:style w:type="paragraph" w:styleId="NormalWeb">
    <w:name w:val="Normal (Web)"/>
    <w:basedOn w:val="Normal"/>
    <w:uiPriority w:val="99"/>
    <w:semiHidden/>
    <w:unhideWhenUsed/>
    <w:rsid w:val="00C4562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eastAsia="zh-CN"/>
    </w:rPr>
  </w:style>
  <w:style w:type="character" w:styleId="FollowedHyperlink">
    <w:name w:val="FollowedHyperlink"/>
    <w:basedOn w:val="DefaultParagraphFont"/>
    <w:semiHidden/>
    <w:unhideWhenUsed/>
    <w:rsid w:val="001E2E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32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yperlink" Target="https://www.itu.int/en/ITUD/Conferences/CRO/Pages/CRO8.default.asp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www.itu.int/en/ITUD/Membership/Pages/WTDC17_Academia4SDGs.aspx" TargetMode="External"/><Relationship Id="rId2" Type="http://schemas.openxmlformats.org/officeDocument/2006/relationships/numbering" Target="numbering.xml"/><Relationship Id="rId16" Type="http://schemas.openxmlformats.org/officeDocument/2006/relationships/hyperlink" Target="https://www.itu.int/fr/ITU-D/Pages/IMPACT-STUDY.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www.itu.int/en/ITU-D/Pages/ITU-D-Anniversary-Awards.aspx" TargetMode="Externa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itu.int/fr/UIT-D/Membership/Pages/default.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DAG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blue\dfs\bdt\PSB\Membership\TDAG\TDAG%202018\GRAPH%20MEMBERS%20SINCE%201994.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blue\dfs\bdt\PSB\Membership\TDAG\TDAG%202018\GRAPH%20MEMBERS%20SINCE%201994.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blue\dfs\bdt\PSB\Membership\TDAG\TDAG%202018\GRAPH%20MEMBERS%20SINCE%20199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blue\dfs\bdt\PSB\Membership\TDAG\TDAG%202018\DOCUMENTS\FINAL%20DOCUMENT%20MAITE\GRAPH%20MEMBERS%20SINCE%20199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blue\dfs\bdt\PSB\Membership\TDAG\TDAG%202018\DOCUMENTS\FINAL%20DOCUMENT%20MAITE\GRAPH%20MEMBERS%20SINCE%20199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GB"/>
              <a:t>Graphique 1 – Evolution du nombre de Membres du</a:t>
            </a:r>
            <a:r>
              <a:rPr lang="en-GB" baseline="0"/>
              <a:t> Secteur de l'UIT-D</a:t>
            </a:r>
            <a:endParaRPr lang="en-GB"/>
          </a:p>
        </c:rich>
      </c:tx>
      <c:layout>
        <c:manualLayout>
          <c:xMode val="edge"/>
          <c:yMode val="edge"/>
          <c:x val="0.18742893240682246"/>
          <c:y val="4.5935035274148786E-2"/>
        </c:manualLayout>
      </c:layout>
      <c:overlay val="0"/>
      <c:spPr>
        <a:noFill/>
        <a:ln w="25400">
          <a:noFill/>
        </a:ln>
      </c:spPr>
    </c:title>
    <c:autoTitleDeleted val="0"/>
    <c:plotArea>
      <c:layout>
        <c:manualLayout>
          <c:layoutTarget val="inner"/>
          <c:xMode val="edge"/>
          <c:yMode val="edge"/>
          <c:x val="5.9722303225780198E-2"/>
          <c:y val="0.19279131528677257"/>
          <c:w val="0.92045064726190662"/>
          <c:h val="0.66775567255276524"/>
        </c:manualLayout>
      </c:layout>
      <c:lineChart>
        <c:grouping val="standard"/>
        <c:varyColors val="0"/>
        <c:ser>
          <c:idx val="0"/>
          <c:order val="0"/>
          <c:spPr>
            <a:ln w="12700">
              <a:solidFill>
                <a:srgbClr val="000080"/>
              </a:solidFill>
            </a:ln>
          </c:spPr>
          <c:marker>
            <c:symbol val="diamond"/>
            <c:size val="5"/>
            <c:spPr>
              <a:solidFill>
                <a:srgbClr val="000080"/>
              </a:solidFill>
              <a:ln>
                <a:solidFill>
                  <a:srgbClr val="000080"/>
                </a:solidFill>
              </a:ln>
            </c:spPr>
          </c:marker>
          <c:dLbls>
            <c:dLbl>
              <c:idx val="0"/>
              <c:layout>
                <c:manualLayout>
                  <c:x val="-1.2641382574338717E-3"/>
                  <c:y val="-1.0583586102473797E-3"/>
                </c:manualLayout>
              </c:layout>
              <c:spPr>
                <a:noFill/>
                <a:ln w="25400">
                  <a:noFill/>
                </a:ln>
              </c:spPr>
              <c:txPr>
                <a:bodyPr wrap="square" lIns="38100" tIns="19050" rIns="38100" bIns="19050" anchor="ctr">
                  <a:spAutoFit/>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dLbl>
              <c:idx val="22"/>
              <c:layout>
                <c:manualLayout>
                  <c:x val="-2.8177028810931738E-2"/>
                  <c:y val="-2.2097144523206467E-2"/>
                </c:manualLayout>
              </c:layout>
              <c:spPr>
                <a:noFill/>
                <a:ln w="25400">
                  <a:noFill/>
                </a:ln>
              </c:spPr>
              <c:txPr>
                <a:bodyPr wrap="square" lIns="38100" tIns="19050" rIns="38100" bIns="19050" anchor="ctr">
                  <a:spAutoFit/>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spPr>
              <a:noFill/>
              <a:ln w="25400">
                <a:noFill/>
              </a:ln>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Sheet2!$B$121:$Y$121</c:f>
              <c:numCache>
                <c:formatCode>General</c:formatCode>
                <c:ptCount val="24"/>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numCache>
            </c:numRef>
          </c:cat>
          <c:val>
            <c:numRef>
              <c:f>Sheet2!$B$121:$X$121</c:f>
              <c:numCache>
                <c:formatCode>General</c:formatCode>
                <c:ptCount val="23"/>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numCache>
            </c:numRef>
          </c:val>
          <c:smooth val="0"/>
        </c:ser>
        <c:ser>
          <c:idx val="1"/>
          <c:order val="1"/>
          <c:dLbls>
            <c:dLbl>
              <c:idx val="0"/>
              <c:layout>
                <c:manualLayout>
                  <c:x val="1.3972055888223553E-3"/>
                  <c:y val="8.9481122551986758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2"/>
              <c:layout>
                <c:manualLayout>
                  <c:x val="-2.3352036085309696E-2"/>
                  <c:y val="2.472720495736849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3"/>
              <c:layout>
                <c:manualLayout>
                  <c:x val="-2.0259533426585149E-2"/>
                  <c:y val="-3.575931706761507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Sheet2!$B$121:$Y$121</c:f>
              <c:numCache>
                <c:formatCode>General</c:formatCode>
                <c:ptCount val="24"/>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numCache>
            </c:numRef>
          </c:cat>
          <c:val>
            <c:numRef>
              <c:f>Sheet2!$B$122:$Y$122</c:f>
              <c:numCache>
                <c:formatCode>General</c:formatCode>
                <c:ptCount val="24"/>
                <c:pt idx="0">
                  <c:v>27</c:v>
                </c:pt>
                <c:pt idx="1">
                  <c:v>81</c:v>
                </c:pt>
                <c:pt idx="2">
                  <c:v>107</c:v>
                </c:pt>
                <c:pt idx="3">
                  <c:v>130</c:v>
                </c:pt>
                <c:pt idx="4">
                  <c:v>143</c:v>
                </c:pt>
                <c:pt idx="5">
                  <c:v>185</c:v>
                </c:pt>
                <c:pt idx="6">
                  <c:v>204</c:v>
                </c:pt>
                <c:pt idx="7">
                  <c:v>243</c:v>
                </c:pt>
                <c:pt idx="8">
                  <c:v>247</c:v>
                </c:pt>
                <c:pt idx="9">
                  <c:v>260</c:v>
                </c:pt>
                <c:pt idx="10">
                  <c:v>282</c:v>
                </c:pt>
                <c:pt idx="11">
                  <c:v>307</c:v>
                </c:pt>
                <c:pt idx="12">
                  <c:v>326</c:v>
                </c:pt>
                <c:pt idx="13">
                  <c:v>320</c:v>
                </c:pt>
                <c:pt idx="14">
                  <c:v>311</c:v>
                </c:pt>
                <c:pt idx="15">
                  <c:v>319</c:v>
                </c:pt>
                <c:pt idx="16">
                  <c:v>316</c:v>
                </c:pt>
                <c:pt idx="17">
                  <c:v>352</c:v>
                </c:pt>
                <c:pt idx="18">
                  <c:v>377</c:v>
                </c:pt>
                <c:pt idx="19">
                  <c:v>412</c:v>
                </c:pt>
                <c:pt idx="20">
                  <c:v>433</c:v>
                </c:pt>
                <c:pt idx="21">
                  <c:v>459</c:v>
                </c:pt>
                <c:pt idx="22">
                  <c:v>475</c:v>
                </c:pt>
                <c:pt idx="23">
                  <c:v>453</c:v>
                </c:pt>
              </c:numCache>
            </c:numRef>
          </c:val>
          <c:smooth val="0"/>
        </c:ser>
        <c:dLbls>
          <c:showLegendKey val="0"/>
          <c:showVal val="0"/>
          <c:showCatName val="0"/>
          <c:showSerName val="0"/>
          <c:showPercent val="0"/>
          <c:showBubbleSize val="0"/>
        </c:dLbls>
        <c:marker val="1"/>
        <c:smooth val="0"/>
        <c:axId val="154323120"/>
        <c:axId val="154323512"/>
      </c:lineChart>
      <c:catAx>
        <c:axId val="154323120"/>
        <c:scaling>
          <c:orientation val="minMax"/>
        </c:scaling>
        <c:delete val="0"/>
        <c:axPos val="b"/>
        <c:numFmt formatCode="General" sourceLinked="1"/>
        <c:majorTickMark val="cross"/>
        <c:minorTickMark val="none"/>
        <c:tickLblPos val="nextTo"/>
        <c:spPr>
          <a:ln w="3175">
            <a:solidFill>
              <a:srgbClr val="000000"/>
            </a:solidFill>
          </a:ln>
        </c:spPr>
        <c:txPr>
          <a:bodyPr rot="0" vert="horz"/>
          <a:lstStyle/>
          <a:p>
            <a:pPr>
              <a:defRPr sz="800" b="0" i="0" u="none" strike="noStrike" baseline="0">
                <a:solidFill>
                  <a:srgbClr val="000000"/>
                </a:solidFill>
                <a:latin typeface="Arial"/>
                <a:ea typeface="Arial"/>
                <a:cs typeface="Arial"/>
              </a:defRPr>
            </a:pPr>
            <a:endParaRPr lang="en-US"/>
          </a:p>
        </c:txPr>
        <c:crossAx val="154323512"/>
        <c:crosses val="autoZero"/>
        <c:auto val="0"/>
        <c:lblAlgn val="ctr"/>
        <c:lblOffset val="100"/>
        <c:tickLblSkip val="1"/>
        <c:tickMarkSkip val="1"/>
        <c:noMultiLvlLbl val="0"/>
      </c:catAx>
      <c:valAx>
        <c:axId val="154323512"/>
        <c:scaling>
          <c:orientation val="minMax"/>
          <c:max val="500"/>
        </c:scaling>
        <c:delete val="0"/>
        <c:axPos val="l"/>
        <c:majorGridlines>
          <c:spPr>
            <a:ln w="3175">
              <a:solidFill>
                <a:srgbClr val="000000"/>
              </a:solidFill>
              <a:prstDash val="sysDash"/>
            </a:ln>
          </c:spPr>
        </c:majorGridlines>
        <c:numFmt formatCode="General" sourceLinked="1"/>
        <c:majorTickMark val="out"/>
        <c:minorTickMark val="none"/>
        <c:tickLblPos val="nextTo"/>
        <c:spPr>
          <a:ln w="3175">
            <a:solidFill>
              <a:srgbClr val="000000"/>
            </a:solidFill>
          </a:ln>
        </c:spPr>
        <c:txPr>
          <a:bodyPr rot="0" vert="horz"/>
          <a:lstStyle/>
          <a:p>
            <a:pPr>
              <a:defRPr sz="800" b="0" i="0" u="none" strike="noStrike" baseline="0">
                <a:solidFill>
                  <a:srgbClr val="000000"/>
                </a:solidFill>
                <a:latin typeface="Arial"/>
                <a:ea typeface="Arial"/>
                <a:cs typeface="Arial"/>
              </a:defRPr>
            </a:pPr>
            <a:endParaRPr lang="en-US"/>
          </a:p>
        </c:txPr>
        <c:crossAx val="154323120"/>
        <c:crosses val="autoZero"/>
        <c:crossBetween val="midCat"/>
      </c:valAx>
      <c:spPr>
        <a:gradFill rotWithShape="0">
          <a:gsLst>
            <a:gs pos="0">
              <a:srgbClr val="CCFFCC"/>
            </a:gs>
            <a:gs pos="100000">
              <a:srgbClr val="FFFFFF"/>
            </a:gs>
          </a:gsLst>
          <a:lin ang="5400000" scaled="1"/>
        </a:gradFill>
        <a:ln w="12700">
          <a:solidFill>
            <a:srgbClr val="808080"/>
          </a:solidFill>
        </a:ln>
      </c:spPr>
    </c:plotArea>
    <c:plotVisOnly val="1"/>
    <c:dispBlanksAs val="gap"/>
    <c:showDLblsOverMax val="0"/>
  </c:chart>
  <c:spPr>
    <a:solidFill>
      <a:srgbClr val="FFFFFF"/>
    </a:solidFill>
    <a:ln w="3175">
      <a:solidFill>
        <a:srgbClr val="000000"/>
      </a:solid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ysClr val="windowText" lastClr="000000"/>
                </a:solidFill>
                <a:latin typeface="+mn-lt"/>
                <a:ea typeface="+mn-ea"/>
                <a:cs typeface="+mn-cs"/>
              </a:defRPr>
            </a:pPr>
            <a:r>
              <a:rPr lang="en-GB" sz="700" b="1" cap="none" baseline="0">
                <a:solidFill>
                  <a:sysClr val="windowText" lastClr="000000"/>
                </a:solidFill>
              </a:rPr>
              <a:t>Graphique 2</a:t>
            </a:r>
          </a:p>
          <a:p>
            <a:pPr>
              <a:defRPr>
                <a:solidFill>
                  <a:sysClr val="windowText" lastClr="000000"/>
                </a:solidFill>
              </a:defRPr>
            </a:pPr>
            <a:r>
              <a:rPr lang="en-GB" sz="700" b="1" cap="none" baseline="0">
                <a:solidFill>
                  <a:sysClr val="windowText" lastClr="000000"/>
                </a:solidFill>
              </a:rPr>
              <a:t>Répartition des Membres de l'UIT-D par catégorie – 2017</a:t>
            </a:r>
          </a:p>
        </c:rich>
      </c:tx>
      <c:layout>
        <c:manualLayout>
          <c:xMode val="edge"/>
          <c:yMode val="edge"/>
          <c:x val="0.11381637901322941"/>
          <c:y val="3.6068944990123664E-3"/>
        </c:manualLayout>
      </c:layout>
      <c:overlay val="0"/>
      <c:spPr>
        <a:noFill/>
        <a:ln>
          <a:noFill/>
        </a:ln>
        <a:effectLst/>
      </c:spPr>
      <c:txPr>
        <a:bodyPr rot="0" spcFirstLastPara="1" vertOverflow="ellipsis" vert="horz" wrap="square" anchor="ctr" anchorCtr="1"/>
        <a:lstStyle/>
        <a:p>
          <a:pPr>
            <a:defRPr sz="1800" b="1" i="0" u="none" strike="noStrike" kern="1200" cap="all"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5.9722303225780198E-2"/>
          <c:y val="0.20068093869890885"/>
          <c:w val="0.91336613771238229"/>
          <c:h val="0.65986613741675104"/>
        </c:manualLayout>
      </c:layout>
      <c:pieChart>
        <c:varyColors val="1"/>
        <c:ser>
          <c:idx val="1"/>
          <c:order val="0"/>
          <c:dPt>
            <c:idx val="0"/>
            <c:bubble3D val="0"/>
            <c:spPr>
              <a:solidFill>
                <a:schemeClr val="accent1">
                  <a:alpha val="70000"/>
                </a:schemeClr>
              </a:solidFill>
              <a:ln>
                <a:noFill/>
              </a:ln>
              <a:effectLst/>
            </c:spPr>
          </c:dPt>
          <c:dPt>
            <c:idx val="1"/>
            <c:bubble3D val="0"/>
            <c:spPr>
              <a:solidFill>
                <a:schemeClr val="accent2">
                  <a:alpha val="70000"/>
                </a:schemeClr>
              </a:solidFill>
              <a:ln>
                <a:noFill/>
              </a:ln>
              <a:effectLst/>
            </c:spPr>
          </c:dPt>
          <c:dPt>
            <c:idx val="2"/>
            <c:bubble3D val="0"/>
            <c:spPr>
              <a:solidFill>
                <a:schemeClr val="accent3">
                  <a:alpha val="70000"/>
                </a:schemeClr>
              </a:solidFill>
              <a:ln>
                <a:noFill/>
              </a:ln>
              <a:effectLst/>
            </c:spPr>
          </c:dPt>
          <c:dPt>
            <c:idx val="3"/>
            <c:bubble3D val="0"/>
            <c:spPr>
              <a:solidFill>
                <a:schemeClr val="accent4">
                  <a:alpha val="70000"/>
                </a:schemeClr>
              </a:solidFill>
              <a:ln>
                <a:noFill/>
              </a:ln>
              <a:effectLst/>
            </c:spPr>
          </c:dPt>
          <c:dPt>
            <c:idx val="4"/>
            <c:bubble3D val="0"/>
            <c:spPr>
              <a:solidFill>
                <a:schemeClr val="accent5">
                  <a:alpha val="70000"/>
                </a:schemeClr>
              </a:solidFill>
              <a:ln>
                <a:noFill/>
              </a:ln>
              <a:effectLst/>
            </c:spPr>
          </c:dPt>
          <c:dPt>
            <c:idx val="5"/>
            <c:bubble3D val="0"/>
            <c:spPr>
              <a:solidFill>
                <a:schemeClr val="accent6">
                  <a:alpha val="70000"/>
                </a:schemeClr>
              </a:solidFill>
              <a:ln>
                <a:noFill/>
              </a:ln>
              <a:effectLst/>
            </c:spPr>
          </c:dPt>
          <c:dPt>
            <c:idx val="6"/>
            <c:bubble3D val="0"/>
            <c:spPr>
              <a:solidFill>
                <a:schemeClr val="accent1">
                  <a:lumMod val="60000"/>
                  <a:alpha val="70000"/>
                </a:schemeClr>
              </a:solidFill>
              <a:ln>
                <a:noFill/>
              </a:ln>
              <a:effectLst/>
            </c:spPr>
          </c:dPt>
          <c:dLbls>
            <c:dLbl>
              <c:idx val="0"/>
              <c:spPr>
                <a:solidFill>
                  <a:schemeClr val="lt1">
                    <a:alpha val="90000"/>
                  </a:schemeClr>
                </a:solidFill>
                <a:ln w="12700">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endParaRPr lang="en-US"/>
                </a:p>
              </c:txPr>
              <c:dLblPos val="inEnd"/>
              <c:showLegendKey val="0"/>
              <c:showVal val="0"/>
              <c:showCatName val="0"/>
              <c:showSerName val="0"/>
              <c:showPercent val="1"/>
              <c:showBubbleSize val="0"/>
            </c:dLbl>
            <c:dLbl>
              <c:idx val="1"/>
              <c:spPr>
                <a:solidFill>
                  <a:schemeClr val="lt1">
                    <a:alpha val="90000"/>
                  </a:schemeClr>
                </a:solidFill>
                <a:ln w="12700">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2"/>
                      </a:solidFill>
                      <a:effectLst/>
                      <a:latin typeface="+mn-lt"/>
                      <a:ea typeface="+mn-ea"/>
                      <a:cs typeface="+mn-cs"/>
                    </a:defRPr>
                  </a:pPr>
                  <a:endParaRPr lang="en-US"/>
                </a:p>
              </c:txPr>
              <c:dLblPos val="inEnd"/>
              <c:showLegendKey val="0"/>
              <c:showVal val="0"/>
              <c:showCatName val="0"/>
              <c:showSerName val="0"/>
              <c:showPercent val="1"/>
              <c:showBubbleSize val="0"/>
            </c:dLbl>
            <c:dLbl>
              <c:idx val="2"/>
              <c:spPr>
                <a:solidFill>
                  <a:schemeClr val="lt1">
                    <a:alpha val="90000"/>
                  </a:schemeClr>
                </a:solidFill>
                <a:ln w="12700">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3"/>
                      </a:solidFill>
                      <a:effectLst/>
                      <a:latin typeface="+mn-lt"/>
                      <a:ea typeface="+mn-ea"/>
                      <a:cs typeface="+mn-cs"/>
                    </a:defRPr>
                  </a:pPr>
                  <a:endParaRPr lang="en-US"/>
                </a:p>
              </c:txPr>
              <c:dLblPos val="inEnd"/>
              <c:showLegendKey val="0"/>
              <c:showVal val="0"/>
              <c:showCatName val="0"/>
              <c:showSerName val="0"/>
              <c:showPercent val="1"/>
              <c:showBubbleSize val="0"/>
            </c:dLbl>
            <c:dLbl>
              <c:idx val="5"/>
              <c:spPr>
                <a:solidFill>
                  <a:schemeClr val="lt1">
                    <a:alpha val="90000"/>
                  </a:schemeClr>
                </a:solidFill>
                <a:ln w="12700">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6"/>
                      </a:solidFill>
                      <a:effectLst/>
                      <a:latin typeface="+mn-lt"/>
                      <a:ea typeface="+mn-ea"/>
                      <a:cs typeface="+mn-cs"/>
                    </a:defRPr>
                  </a:pPr>
                  <a:endParaRPr lang="en-US"/>
                </a:p>
              </c:txPr>
              <c:dLblPos val="inEnd"/>
              <c:showLegendKey val="0"/>
              <c:showVal val="0"/>
              <c:showCatName val="0"/>
              <c:showSerName val="0"/>
              <c:showPercent val="1"/>
              <c:showBubbleSize val="0"/>
            </c:dLbl>
            <c:spPr>
              <a:solidFill>
                <a:sysClr val="window" lastClr="FFFFFF">
                  <a:alpha val="90000"/>
                </a:sysClr>
              </a:solidFill>
              <a:ln w="12700">
                <a:solidFill>
                  <a:srgbClr val="C0504D"/>
                </a:solidFill>
                <a:round/>
              </a:ln>
              <a:effectLst>
                <a:outerShdw blurRad="50800" dist="38100" dir="2700000" algn="tl" rotWithShape="0">
                  <a:srgbClr val="C0504D">
                    <a:lumMod val="75000"/>
                    <a:alpha val="40000"/>
                  </a:srgb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2"/>
                    </a:solidFill>
                    <a:effectLst/>
                    <a:latin typeface="+mn-lt"/>
                    <a:ea typeface="+mn-ea"/>
                    <a:cs typeface="+mn-cs"/>
                  </a:defRPr>
                </a:pPr>
                <a:endParaRPr lang="en-US"/>
              </a:p>
            </c:txPr>
            <c:dLblPos val="inEnd"/>
            <c:showLegendKey val="0"/>
            <c:showVal val="0"/>
            <c:showCatName val="0"/>
            <c:showSerName val="0"/>
            <c:showPercent val="1"/>
            <c:showBubbleSize val="0"/>
            <c:showLeaderLines val="0"/>
            <c:extLst>
              <c:ext xmlns:c15="http://schemas.microsoft.com/office/drawing/2012/chart" uri="{CE6537A1-D6FC-4f65-9D91-7224C49458BB}"/>
            </c:extLst>
          </c:dLbls>
          <c:cat>
            <c:strRef>
              <c:f>Sheet2!$P$9:$R$9</c:f>
              <c:strCache>
                <c:ptCount val="3"/>
                <c:pt idx="0">
                  <c:v>Academia</c:v>
                </c:pt>
                <c:pt idx="1">
                  <c:v>Associates</c:v>
                </c:pt>
                <c:pt idx="2">
                  <c:v>Sector Members</c:v>
                </c:pt>
              </c:strCache>
            </c:strRef>
          </c:cat>
          <c:val>
            <c:numRef>
              <c:f>Sheet2!$P$10:$R$10</c:f>
              <c:numCache>
                <c:formatCode>General</c:formatCode>
                <c:ptCount val="3"/>
                <c:pt idx="0">
                  <c:v>126</c:v>
                </c:pt>
                <c:pt idx="1">
                  <c:v>12</c:v>
                </c:pt>
                <c:pt idx="2">
                  <c:v>318</c:v>
                </c:pt>
              </c:numCache>
            </c:numRef>
          </c:val>
        </c:ser>
        <c:dLbls>
          <c:dLblPos val="inEnd"/>
          <c:showLegendKey val="0"/>
          <c:showVal val="0"/>
          <c:showCatName val="1"/>
          <c:showSerName val="0"/>
          <c:showPercent val="0"/>
          <c:showBubbleSize val="0"/>
          <c:showLeaderLines val="0"/>
        </c:dLbls>
        <c:firstSliceAng val="0"/>
      </c:pieChart>
      <c:spPr>
        <a:noFill/>
        <a:ln>
          <a:noFill/>
        </a:ln>
        <a:effectLst/>
      </c:spPr>
    </c:plotArea>
    <c:legend>
      <c:legendPos val="r"/>
      <c:legendEntry>
        <c:idx val="1"/>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Entry>
      <c:layout>
        <c:manualLayout>
          <c:xMode val="edge"/>
          <c:yMode val="edge"/>
          <c:x val="0.71816188813877535"/>
          <c:y val="0.48690599158976094"/>
          <c:w val="0.28183813649433637"/>
          <c:h val="0.48412214602206988"/>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a:solidFill>
        <a:schemeClr val="bg1">
          <a:lumMod val="50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GB" sz="700">
                <a:latin typeface="+mn-lt"/>
              </a:rPr>
              <a:t>Graphique 3</a:t>
            </a:r>
          </a:p>
          <a:p>
            <a:pPr>
              <a:defRPr sz="1000" b="1" i="0" u="none" strike="noStrike" baseline="0">
                <a:solidFill>
                  <a:srgbClr val="000000"/>
                </a:solidFill>
                <a:latin typeface="Arial"/>
                <a:ea typeface="Arial"/>
                <a:cs typeface="Arial"/>
              </a:defRPr>
            </a:pPr>
            <a:r>
              <a:rPr lang="en-GB" sz="700">
                <a:latin typeface="+mn-lt"/>
              </a:rPr>
              <a:t>Répartition des Membres de l'UIT-D par région – 2017</a:t>
            </a:r>
          </a:p>
        </c:rich>
      </c:tx>
      <c:layout>
        <c:manualLayout>
          <c:xMode val="edge"/>
          <c:yMode val="edge"/>
          <c:x val="0.1099712805078369"/>
          <c:y val="1.0027180396916791E-2"/>
        </c:manualLayout>
      </c:layout>
      <c:overlay val="0"/>
      <c:spPr>
        <a:noFill/>
        <a:ln w="25400">
          <a:noFill/>
        </a:ln>
      </c:spPr>
    </c:title>
    <c:autoTitleDeleted val="0"/>
    <c:plotArea>
      <c:layout>
        <c:manualLayout>
          <c:layoutTarget val="inner"/>
          <c:xMode val="edge"/>
          <c:yMode val="edge"/>
          <c:x val="5.9722312032537313E-2"/>
          <c:y val="0.20484237223156093"/>
          <c:w val="0.91336613771238229"/>
          <c:h val="0.65986613741675104"/>
        </c:manualLayout>
      </c:layout>
      <c:pieChart>
        <c:varyColors val="1"/>
        <c:ser>
          <c:idx val="1"/>
          <c:order val="0"/>
          <c:spPr>
            <a:ln>
              <a:noFill/>
            </a:ln>
          </c:spPr>
          <c:dPt>
            <c:idx val="0"/>
            <c:bubble3D val="0"/>
          </c:dPt>
          <c:dPt>
            <c:idx val="2"/>
            <c:bubble3D val="0"/>
          </c:dPt>
          <c:dPt>
            <c:idx val="3"/>
            <c:bubble3D val="0"/>
          </c:dPt>
          <c:dPt>
            <c:idx val="4"/>
            <c:bubble3D val="0"/>
          </c:dPt>
          <c:dPt>
            <c:idx val="5"/>
            <c:bubble3D val="0"/>
          </c:dPt>
          <c:dPt>
            <c:idx val="6"/>
            <c:bubble3D val="0"/>
          </c:dPt>
          <c:dLbls>
            <c:dLbl>
              <c:idx val="0"/>
              <c:spPr>
                <a:noFill/>
                <a:ln w="25400">
                  <a:noFill/>
                </a:ln>
              </c:spPr>
              <c:txPr>
                <a:bodyPr wrap="square" lIns="38100" tIns="19050" rIns="38100" bIns="19050" anchor="ctr">
                  <a:spAutoFit/>
                </a:bodyPr>
                <a:lstStyle/>
                <a:p>
                  <a:pPr>
                    <a:defRPr/>
                  </a:pPr>
                  <a:endParaRPr lang="en-US"/>
                </a:p>
              </c:txPr>
              <c:dLblPos val="bestFit"/>
              <c:showLegendKey val="0"/>
              <c:showVal val="0"/>
              <c:showCatName val="0"/>
              <c:showSerName val="0"/>
              <c:showPercent val="1"/>
              <c:showBubbleSize val="0"/>
            </c:dLbl>
            <c:dLbl>
              <c:idx val="5"/>
              <c:spPr>
                <a:noFill/>
                <a:ln w="25400">
                  <a:noFill/>
                </a:ln>
              </c:spPr>
              <c:txPr>
                <a:bodyPr wrap="square" lIns="38100" tIns="19050" rIns="38100" bIns="19050" anchor="ctr">
                  <a:spAutoFit/>
                </a:bodyPr>
                <a:lstStyle/>
                <a:p>
                  <a:pPr>
                    <a:defRPr/>
                  </a:pPr>
                  <a:endParaRPr lang="en-US"/>
                </a:p>
              </c:txPr>
              <c:dLblPos val="bestFit"/>
              <c:showLegendKey val="0"/>
              <c:showVal val="0"/>
              <c:showCatName val="0"/>
              <c:showSerName val="0"/>
              <c:showPercent val="1"/>
              <c:showBubbleSize val="0"/>
            </c:dLbl>
            <c:dLbl>
              <c:idx val="6"/>
              <c:layout>
                <c:manualLayout>
                  <c:x val="2.1883261571155568E-2"/>
                  <c:y val="0.106163340809010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w="25400">
                <a:noFill/>
              </a:ln>
            </c:spPr>
            <c:dLblPos val="bestFit"/>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Sheet2!$C$160:$I$160</c:f>
              <c:strCache>
                <c:ptCount val="7"/>
                <c:pt idx="0">
                  <c:v>Regional &amp; International</c:v>
                </c:pt>
                <c:pt idx="1">
                  <c:v>Àsia &amp; the Pacific</c:v>
                </c:pt>
                <c:pt idx="2">
                  <c:v>Americas</c:v>
                </c:pt>
                <c:pt idx="3">
                  <c:v>Europe</c:v>
                </c:pt>
                <c:pt idx="4">
                  <c:v>Arab States</c:v>
                </c:pt>
                <c:pt idx="5">
                  <c:v>Africa</c:v>
                </c:pt>
                <c:pt idx="6">
                  <c:v>CIS</c:v>
                </c:pt>
              </c:strCache>
            </c:strRef>
          </c:cat>
          <c:val>
            <c:numRef>
              <c:f>Sheet2!$C$161:$I$161</c:f>
              <c:numCache>
                <c:formatCode>0</c:formatCode>
                <c:ptCount val="7"/>
                <c:pt idx="0">
                  <c:v>22.417582417582416</c:v>
                </c:pt>
                <c:pt idx="1">
                  <c:v>21.978021978021978</c:v>
                </c:pt>
                <c:pt idx="2">
                  <c:v>15.164835164835164</c:v>
                </c:pt>
                <c:pt idx="3">
                  <c:v>14.945054945054945</c:v>
                </c:pt>
                <c:pt idx="4">
                  <c:v>13.626373626373626</c:v>
                </c:pt>
                <c:pt idx="5">
                  <c:v>7.4725274725274726</c:v>
                </c:pt>
                <c:pt idx="6">
                  <c:v>4.395604395604396</c:v>
                </c:pt>
              </c:numCache>
            </c:numRef>
          </c:val>
        </c:ser>
        <c:dLbls>
          <c:showLegendKey val="0"/>
          <c:showVal val="0"/>
          <c:showCatName val="0"/>
          <c:showSerName val="0"/>
          <c:showPercent val="0"/>
          <c:showBubbleSize val="0"/>
          <c:showLeaderLines val="0"/>
        </c:dLbls>
        <c:firstSliceAng val="0"/>
      </c:pieChart>
    </c:plotArea>
    <c:legend>
      <c:legendPos val="r"/>
      <c:layout>
        <c:manualLayout>
          <c:xMode val="edge"/>
          <c:yMode val="edge"/>
          <c:x val="0.77005842011684023"/>
          <c:y val="0.18693066173381134"/>
          <c:w val="0.22384464864357168"/>
          <c:h val="0.81306933826618866"/>
        </c:manualLayout>
      </c:layout>
      <c:overlay val="0"/>
      <c:txPr>
        <a:bodyPr/>
        <a:lstStyle/>
        <a:p>
          <a:pPr>
            <a:defRPr sz="700">
              <a:latin typeface="+mn-lt"/>
            </a:defRPr>
          </a:pPr>
          <a:endParaRPr lang="en-US"/>
        </a:p>
      </c:txPr>
    </c:legend>
    <c:plotVisOnly val="1"/>
    <c:dispBlanksAs val="gap"/>
    <c:showDLblsOverMax val="0"/>
  </c:chart>
  <c:spPr>
    <a:noFill/>
    <a:ln>
      <a:solidFill>
        <a:schemeClr val="bg1">
          <a:lumMod val="50000"/>
        </a:schemeClr>
      </a:solid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000" b="1" i="0" u="none" strike="noStrike" baseline="0">
                <a:solidFill>
                  <a:srgbClr val="000000"/>
                </a:solidFill>
                <a:latin typeface="Arial"/>
                <a:ea typeface="Arial"/>
                <a:cs typeface="Arial"/>
              </a:defRPr>
            </a:pPr>
            <a:r>
              <a:rPr lang="en-GB" sz="900">
                <a:latin typeface="+mn-lt"/>
              </a:rPr>
              <a:t>Graphique 4 </a:t>
            </a:r>
          </a:p>
          <a:p>
            <a:pPr algn="ctr">
              <a:defRPr sz="1000" b="1" i="0" u="none" strike="noStrike" baseline="0">
                <a:solidFill>
                  <a:srgbClr val="000000"/>
                </a:solidFill>
                <a:latin typeface="Arial"/>
                <a:ea typeface="Arial"/>
                <a:cs typeface="Arial"/>
              </a:defRPr>
            </a:pPr>
            <a:r>
              <a:rPr lang="en-GB" sz="900">
                <a:latin typeface="+mn-lt"/>
              </a:rPr>
              <a:t>Membres et Associés </a:t>
            </a:r>
            <a:r>
              <a:rPr lang="en-GB" sz="900" b="1" i="0" u="none" strike="noStrike" baseline="0">
                <a:effectLst/>
                <a:latin typeface="+mn-lt"/>
              </a:rPr>
              <a:t>du Secteur de l'UIT-D </a:t>
            </a:r>
            <a:r>
              <a:rPr lang="en-GB" sz="900">
                <a:latin typeface="+mn-lt"/>
              </a:rPr>
              <a:t>par région</a:t>
            </a:r>
            <a:r>
              <a:rPr lang="en-GB" sz="900" baseline="0">
                <a:latin typeface="+mn-lt"/>
              </a:rPr>
              <a:t> – 2017</a:t>
            </a:r>
          </a:p>
        </c:rich>
      </c:tx>
      <c:layout>
        <c:manualLayout>
          <c:xMode val="edge"/>
          <c:yMode val="edge"/>
          <c:x val="0.13499374019090166"/>
          <c:y val="1.00273268310597E-2"/>
        </c:manualLayout>
      </c:layout>
      <c:overlay val="0"/>
      <c:spPr>
        <a:noFill/>
        <a:ln w="25400">
          <a:noFill/>
        </a:ln>
      </c:spPr>
    </c:title>
    <c:autoTitleDeleted val="0"/>
    <c:plotArea>
      <c:layout>
        <c:manualLayout>
          <c:layoutTarget val="inner"/>
          <c:xMode val="edge"/>
          <c:yMode val="edge"/>
          <c:x val="5.9722312032537313E-2"/>
          <c:y val="0.20484237223156093"/>
          <c:w val="0.91336613771238229"/>
          <c:h val="0.65986613741675104"/>
        </c:manualLayout>
      </c:layout>
      <c:pieChart>
        <c:varyColors val="1"/>
        <c:ser>
          <c:idx val="1"/>
          <c:order val="0"/>
          <c:spPr>
            <a:ln>
              <a:noFill/>
            </a:ln>
          </c:spPr>
          <c:dPt>
            <c:idx val="0"/>
            <c:bubble3D val="0"/>
          </c:dPt>
          <c:dPt>
            <c:idx val="2"/>
            <c:bubble3D val="0"/>
          </c:dPt>
          <c:dPt>
            <c:idx val="3"/>
            <c:bubble3D val="0"/>
          </c:dPt>
          <c:dPt>
            <c:idx val="4"/>
            <c:bubble3D val="0"/>
          </c:dPt>
          <c:dPt>
            <c:idx val="5"/>
            <c:bubble3D val="0"/>
          </c:dPt>
          <c:dPt>
            <c:idx val="6"/>
            <c:bubble3D val="0"/>
          </c:dPt>
          <c:dLbls>
            <c:dLbl>
              <c:idx val="0"/>
              <c:spPr>
                <a:noFill/>
                <a:ln w="25400">
                  <a:noFill/>
                </a:ln>
              </c:spPr>
              <c:txPr>
                <a:bodyPr wrap="square" lIns="38100" tIns="19050" rIns="38100" bIns="19050" anchor="ctr">
                  <a:spAutoFit/>
                </a:bodyPr>
                <a:lstStyle/>
                <a:p>
                  <a:pPr>
                    <a:defRPr/>
                  </a:pPr>
                  <a:endParaRPr lang="en-US"/>
                </a:p>
              </c:txPr>
              <c:dLblPos val="bestFit"/>
              <c:showLegendKey val="0"/>
              <c:showVal val="0"/>
              <c:showCatName val="0"/>
              <c:showSerName val="0"/>
              <c:showPercent val="1"/>
              <c:showBubbleSize val="0"/>
            </c:dLbl>
            <c:dLbl>
              <c:idx val="5"/>
              <c:spPr>
                <a:noFill/>
                <a:ln w="25400">
                  <a:noFill/>
                </a:ln>
              </c:spPr>
              <c:txPr>
                <a:bodyPr wrap="square" lIns="38100" tIns="19050" rIns="38100" bIns="19050" anchor="ctr">
                  <a:spAutoFit/>
                </a:bodyPr>
                <a:lstStyle/>
                <a:p>
                  <a:pPr>
                    <a:defRPr/>
                  </a:pPr>
                  <a:endParaRPr lang="en-US"/>
                </a:p>
              </c:txPr>
              <c:dLblPos val="bestFit"/>
              <c:showLegendKey val="0"/>
              <c:showVal val="0"/>
              <c:showCatName val="0"/>
              <c:showSerName val="0"/>
              <c:showPercent val="1"/>
              <c:showBubbleSize val="0"/>
            </c:dLbl>
            <c:dLbl>
              <c:idx val="6"/>
              <c:layout/>
              <c:tx>
                <c:rich>
                  <a:bodyPr/>
                  <a:lstStyle/>
                  <a:p>
                    <a:fld id="{B389CCF0-D9F1-45FB-BF99-23EEC6E3F67D}" type="VALUE">
                      <a:rPr lang="en-US" sz="600"/>
                      <a:pPr/>
                      <a:t>[VALUE]</a:t>
                    </a:fld>
                    <a:r>
                      <a:rPr lang="en-US" sz="600"/>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w="25400">
                <a:noFill/>
              </a:ln>
            </c:spPr>
            <c:dLblPos val="bestFit"/>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Sheet2!$E$184:$K$184</c:f>
              <c:strCache>
                <c:ptCount val="7"/>
                <c:pt idx="0">
                  <c:v>Regional &amp; International</c:v>
                </c:pt>
                <c:pt idx="1">
                  <c:v>Àsia &amp; the Pacific</c:v>
                </c:pt>
                <c:pt idx="2">
                  <c:v>Americas</c:v>
                </c:pt>
                <c:pt idx="3">
                  <c:v>Europe</c:v>
                </c:pt>
                <c:pt idx="4">
                  <c:v>Arab States</c:v>
                </c:pt>
                <c:pt idx="5">
                  <c:v>Africa</c:v>
                </c:pt>
                <c:pt idx="6">
                  <c:v>CIS</c:v>
                </c:pt>
              </c:strCache>
            </c:strRef>
          </c:cat>
          <c:val>
            <c:numRef>
              <c:f>Sheet2!$E$185:$K$185</c:f>
              <c:numCache>
                <c:formatCode>0</c:formatCode>
                <c:ptCount val="7"/>
                <c:pt idx="0">
                  <c:v>30.303030303030305</c:v>
                </c:pt>
                <c:pt idx="1">
                  <c:v>19.09090909090909</c:v>
                </c:pt>
                <c:pt idx="2">
                  <c:v>13.030303030303031</c:v>
                </c:pt>
                <c:pt idx="3">
                  <c:v>11.515151515151516</c:v>
                </c:pt>
                <c:pt idx="4">
                  <c:v>13.636363636363637</c:v>
                </c:pt>
                <c:pt idx="5">
                  <c:v>8.4848484848484844</c:v>
                </c:pt>
                <c:pt idx="6">
                  <c:v>3.9393939393939394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6575739270814569"/>
          <c:y val="0.22822663471413898"/>
          <c:w val="0.22384464864357168"/>
          <c:h val="0.6952591373839464"/>
        </c:manualLayout>
      </c:layout>
      <c:overlay val="0"/>
      <c:txPr>
        <a:bodyPr/>
        <a:lstStyle/>
        <a:p>
          <a:pPr>
            <a:defRPr sz="700">
              <a:latin typeface="+mn-lt"/>
            </a:defRPr>
          </a:pPr>
          <a:endParaRPr lang="en-US"/>
        </a:p>
      </c:txPr>
    </c:legend>
    <c:plotVisOnly val="1"/>
    <c:dispBlanksAs val="gap"/>
    <c:showDLblsOverMax val="0"/>
  </c:chart>
  <c:spPr>
    <a:noFill/>
    <a:ln>
      <a:solidFill>
        <a:schemeClr val="bg1">
          <a:lumMod val="50000"/>
        </a:schemeClr>
      </a:solid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000" b="1" i="0" u="none" strike="noStrike" baseline="0">
                <a:solidFill>
                  <a:srgbClr val="000000"/>
                </a:solidFill>
                <a:latin typeface="Arial"/>
                <a:ea typeface="Arial"/>
                <a:cs typeface="Arial"/>
              </a:defRPr>
            </a:pPr>
            <a:r>
              <a:rPr lang="en-GB" sz="900">
                <a:latin typeface="+mn-lt"/>
              </a:rPr>
              <a:t>Graphique 5</a:t>
            </a:r>
          </a:p>
          <a:p>
            <a:pPr algn="ctr">
              <a:defRPr sz="1000" b="1" i="0" u="none" strike="noStrike" baseline="0">
                <a:solidFill>
                  <a:srgbClr val="000000"/>
                </a:solidFill>
                <a:latin typeface="Arial"/>
                <a:ea typeface="Arial"/>
                <a:cs typeface="Arial"/>
              </a:defRPr>
            </a:pPr>
            <a:r>
              <a:rPr lang="en-US" sz="900" b="1" i="0" u="none" strike="noStrike" baseline="0">
                <a:effectLst/>
                <a:latin typeface="+mn-lt"/>
              </a:rPr>
              <a:t>Etablissements universitaires participant aux travaux </a:t>
            </a:r>
            <a:br>
              <a:rPr lang="en-US" sz="900" b="1" i="0" u="none" strike="noStrike" baseline="0">
                <a:effectLst/>
                <a:latin typeface="+mn-lt"/>
              </a:rPr>
            </a:br>
            <a:r>
              <a:rPr lang="en-US" sz="900" b="1" i="0" u="none" strike="noStrike" baseline="0">
                <a:effectLst/>
                <a:latin typeface="+mn-lt"/>
              </a:rPr>
              <a:t>de l'UIT par région </a:t>
            </a:r>
            <a:r>
              <a:rPr lang="en-GB" sz="900" baseline="0">
                <a:latin typeface="+mn-lt"/>
              </a:rPr>
              <a:t>– 2017</a:t>
            </a:r>
          </a:p>
        </c:rich>
      </c:tx>
      <c:layout>
        <c:manualLayout>
          <c:xMode val="edge"/>
          <c:yMode val="edge"/>
          <c:x val="7.4418604651163404E-4"/>
          <c:y val="4.0748031496062979E-3"/>
        </c:manualLayout>
      </c:layout>
      <c:overlay val="0"/>
      <c:spPr>
        <a:noFill/>
        <a:ln w="25400">
          <a:noFill/>
        </a:ln>
      </c:spPr>
    </c:title>
    <c:autoTitleDeleted val="0"/>
    <c:plotArea>
      <c:layout>
        <c:manualLayout>
          <c:layoutTarget val="inner"/>
          <c:xMode val="edge"/>
          <c:yMode val="edge"/>
          <c:x val="5.9722312032537313E-2"/>
          <c:y val="0.20484237223156093"/>
          <c:w val="0.91336613771238229"/>
          <c:h val="0.65986613741675104"/>
        </c:manualLayout>
      </c:layout>
      <c:pieChart>
        <c:varyColors val="1"/>
        <c:ser>
          <c:idx val="1"/>
          <c:order val="0"/>
          <c:spPr>
            <a:ln>
              <a:noFill/>
            </a:ln>
          </c:spPr>
          <c:dPt>
            <c:idx val="0"/>
            <c:bubble3D val="0"/>
          </c:dPt>
          <c:dPt>
            <c:idx val="2"/>
            <c:bubble3D val="0"/>
          </c:dPt>
          <c:dPt>
            <c:idx val="3"/>
            <c:bubble3D val="0"/>
          </c:dPt>
          <c:dPt>
            <c:idx val="4"/>
            <c:bubble3D val="0"/>
          </c:dPt>
          <c:dPt>
            <c:idx val="5"/>
            <c:bubble3D val="0"/>
          </c:dPt>
          <c:dPt>
            <c:idx val="6"/>
            <c:bubble3D val="0"/>
          </c:dPt>
          <c:dLbls>
            <c:dLbl>
              <c:idx val="0"/>
              <c:layout>
                <c:manualLayout>
                  <c:x val="0.18120553327060532"/>
                  <c:y val="2.7839332583427072E-2"/>
                </c:manualLayout>
              </c:layout>
              <c:tx>
                <c:rich>
                  <a:bodyPr/>
                  <a:lstStyle/>
                  <a:p>
                    <a:fld id="{13F723B1-9C27-4D85-A662-5C98695DF75B}"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5"/>
              <c:layout/>
              <c:tx>
                <c:rich>
                  <a:bodyPr wrap="square" lIns="38100" tIns="19050" rIns="38100" bIns="19050" anchor="ctr">
                    <a:spAutoFit/>
                  </a:bodyPr>
                  <a:lstStyle/>
                  <a:p>
                    <a:pPr>
                      <a:defRPr/>
                    </a:pPr>
                    <a:r>
                      <a:rPr lang="en-US"/>
                      <a:t>6%</a:t>
                    </a:r>
                  </a:p>
                </c:rich>
              </c:tx>
              <c:spPr>
                <a:noFill/>
                <a:ln w="25400">
                  <a:noFill/>
                </a:ln>
              </c:spPr>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tx>
                <c:rich>
                  <a:bodyPr/>
                  <a:lstStyle/>
                  <a:p>
                    <a:fld id="{AF0C7640-1607-4920-ADB6-6B7E89CFE767}"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w="25400">
                <a:noFill/>
              </a:ln>
            </c:spPr>
            <c:dLblPos val="bestFit"/>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Sheet2!$E$202:$K$202</c:f>
              <c:strCache>
                <c:ptCount val="7"/>
                <c:pt idx="0">
                  <c:v>Regional &amp; International</c:v>
                </c:pt>
                <c:pt idx="1">
                  <c:v>Àsia &amp; the Pacific</c:v>
                </c:pt>
                <c:pt idx="2">
                  <c:v>Americas</c:v>
                </c:pt>
                <c:pt idx="3">
                  <c:v>Europe</c:v>
                </c:pt>
                <c:pt idx="4">
                  <c:v>Arab States</c:v>
                </c:pt>
                <c:pt idx="5">
                  <c:v>Africa</c:v>
                </c:pt>
                <c:pt idx="6">
                  <c:v>CIS</c:v>
                </c:pt>
              </c:strCache>
            </c:strRef>
          </c:cat>
          <c:val>
            <c:numRef>
              <c:f>Sheet2!$E$203:$K$203</c:f>
              <c:numCache>
                <c:formatCode>0</c:formatCode>
                <c:ptCount val="7"/>
                <c:pt idx="0">
                  <c:v>1.5873015873015872</c:v>
                </c:pt>
                <c:pt idx="1">
                  <c:v>29.365079365079364</c:v>
                </c:pt>
                <c:pt idx="2">
                  <c:v>20.634920634920636</c:v>
                </c:pt>
                <c:pt idx="3">
                  <c:v>23.80952380952381</c:v>
                </c:pt>
                <c:pt idx="4">
                  <c:v>13.492063492063492</c:v>
                </c:pt>
                <c:pt idx="5">
                  <c:v>5.5555555555555554</c:v>
                </c:pt>
                <c:pt idx="6">
                  <c:v>5.5555555555555554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6575739270814569"/>
          <c:y val="0.22822663471413898"/>
          <c:w val="0.22384464864357168"/>
          <c:h val="0.6952591373839464"/>
        </c:manualLayout>
      </c:layout>
      <c:overlay val="0"/>
      <c:txPr>
        <a:bodyPr/>
        <a:lstStyle/>
        <a:p>
          <a:pPr>
            <a:defRPr sz="700">
              <a:latin typeface="+mn-lt"/>
            </a:defRPr>
          </a:pPr>
          <a:endParaRPr lang="en-US"/>
        </a:p>
      </c:txPr>
    </c:legend>
    <c:plotVisOnly val="1"/>
    <c:dispBlanksAs val="gap"/>
    <c:showDLblsOverMax val="0"/>
  </c:chart>
  <c:spPr>
    <a:noFill/>
    <a:ln>
      <a:solidFill>
        <a:schemeClr val="bg1">
          <a:lumMod val="50000"/>
        </a:schemeClr>
      </a:solid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47AC7-03E1-4FA0-9C49-5C9CE2754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PF_TDAG18.dotx</Template>
  <TotalTime>40</TotalTime>
  <Pages>8</Pages>
  <Words>2609</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BDT - nd</cp:lastModifiedBy>
  <cp:revision>13</cp:revision>
  <cp:lastPrinted>2018-01-31T08:21:00Z</cp:lastPrinted>
  <dcterms:created xsi:type="dcterms:W3CDTF">2018-01-31T08:13:00Z</dcterms:created>
  <dcterms:modified xsi:type="dcterms:W3CDTF">2018-02-08T09:28:00Z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