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84C7A" w:rsidRPr="00FD2F0C" w14:paraId="7AA46F0F" w14:textId="77777777" w:rsidTr="0053569C">
        <w:trPr>
          <w:cantSplit/>
        </w:trPr>
        <w:tc>
          <w:tcPr>
            <w:tcW w:w="6487" w:type="dxa"/>
            <w:vAlign w:val="center"/>
          </w:tcPr>
          <w:p w14:paraId="2FA5F1F1" w14:textId="77777777" w:rsidR="00284C7A" w:rsidRPr="00FD2F0C" w:rsidRDefault="00284C7A" w:rsidP="0053569C">
            <w:pPr>
              <w:shd w:val="solid" w:color="FFFFFF" w:fill="FFFFFF"/>
              <w:spacing w:before="0"/>
              <w:rPr>
                <w:rFonts w:asciiTheme="minorHAnsi" w:hAnsiTheme="minorHAnsi" w:cs="Times New Roman Bold"/>
                <w:b/>
                <w:bCs/>
                <w:sz w:val="26"/>
                <w:szCs w:val="26"/>
              </w:rPr>
            </w:pPr>
            <w:r w:rsidRPr="00FD2F0C">
              <w:rPr>
                <w:rFonts w:asciiTheme="minorHAnsi" w:hAnsiTheme="minorHAnsi" w:cs="Times New Roman Bold"/>
                <w:b/>
                <w:bCs/>
                <w:sz w:val="26"/>
                <w:szCs w:val="26"/>
              </w:rPr>
              <w:t>Radiocommunication Study Groups</w:t>
            </w:r>
          </w:p>
        </w:tc>
        <w:tc>
          <w:tcPr>
            <w:tcW w:w="3402" w:type="dxa"/>
          </w:tcPr>
          <w:p w14:paraId="0C3F7CD3" w14:textId="77777777" w:rsidR="00284C7A" w:rsidRPr="00FD2F0C" w:rsidRDefault="00284C7A" w:rsidP="0053569C">
            <w:pPr>
              <w:shd w:val="solid" w:color="FFFFFF" w:fill="FFFFFF"/>
              <w:spacing w:before="0" w:line="240" w:lineRule="atLeast"/>
              <w:rPr>
                <w:rFonts w:asciiTheme="minorHAnsi" w:hAnsiTheme="minorHAnsi"/>
              </w:rPr>
            </w:pPr>
            <w:bookmarkStart w:id="0" w:name="ditulogo"/>
            <w:bookmarkEnd w:id="0"/>
            <w:r w:rsidRPr="00FD2F0C">
              <w:rPr>
                <w:rFonts w:asciiTheme="minorHAnsi" w:hAnsiTheme="minorHAnsi"/>
                <w:b/>
                <w:bCs/>
                <w:noProof/>
                <w:sz w:val="20"/>
                <w:lang w:val="en-GB" w:eastAsia="zh-CN"/>
              </w:rPr>
              <w:drawing>
                <wp:inline distT="0" distB="0" distL="0" distR="0" wp14:anchorId="79183534" wp14:editId="30BE13B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84C7A" w:rsidRPr="00FD2F0C" w14:paraId="2F7EA812" w14:textId="77777777" w:rsidTr="0053569C">
        <w:trPr>
          <w:cantSplit/>
        </w:trPr>
        <w:tc>
          <w:tcPr>
            <w:tcW w:w="6487" w:type="dxa"/>
            <w:tcBorders>
              <w:bottom w:val="single" w:sz="12" w:space="0" w:color="auto"/>
            </w:tcBorders>
          </w:tcPr>
          <w:p w14:paraId="11458C70" w14:textId="77777777" w:rsidR="00284C7A" w:rsidRPr="00FD2F0C" w:rsidRDefault="00284C7A" w:rsidP="0053569C">
            <w:pPr>
              <w:shd w:val="solid" w:color="FFFFFF" w:fill="FFFFFF"/>
              <w:spacing w:before="0" w:after="48"/>
              <w:rPr>
                <w:rFonts w:asciiTheme="minorHAnsi" w:hAnsiTheme="minorHAnsi" w:cs="Times New Roman Bold"/>
                <w:b/>
                <w:sz w:val="22"/>
              </w:rPr>
            </w:pPr>
          </w:p>
        </w:tc>
        <w:tc>
          <w:tcPr>
            <w:tcW w:w="3402" w:type="dxa"/>
            <w:tcBorders>
              <w:bottom w:val="single" w:sz="12" w:space="0" w:color="auto"/>
            </w:tcBorders>
          </w:tcPr>
          <w:p w14:paraId="34294D13" w14:textId="77777777" w:rsidR="00284C7A" w:rsidRPr="00FD2F0C" w:rsidRDefault="00284C7A" w:rsidP="0053569C">
            <w:pPr>
              <w:shd w:val="solid" w:color="FFFFFF" w:fill="FFFFFF"/>
              <w:spacing w:before="0" w:after="48" w:line="240" w:lineRule="atLeast"/>
              <w:rPr>
                <w:rFonts w:asciiTheme="minorHAnsi" w:hAnsiTheme="minorHAnsi"/>
                <w:sz w:val="22"/>
                <w:lang w:val="en-US"/>
              </w:rPr>
            </w:pPr>
          </w:p>
        </w:tc>
      </w:tr>
      <w:tr w:rsidR="00284C7A" w:rsidRPr="00FD2F0C" w14:paraId="0DD1AC61" w14:textId="77777777" w:rsidTr="0053569C">
        <w:trPr>
          <w:cantSplit/>
        </w:trPr>
        <w:tc>
          <w:tcPr>
            <w:tcW w:w="6487" w:type="dxa"/>
            <w:tcBorders>
              <w:top w:val="single" w:sz="12" w:space="0" w:color="auto"/>
            </w:tcBorders>
          </w:tcPr>
          <w:p w14:paraId="29029009" w14:textId="77777777" w:rsidR="00284C7A" w:rsidRPr="00FD2F0C" w:rsidRDefault="00284C7A" w:rsidP="0053569C">
            <w:pPr>
              <w:shd w:val="solid" w:color="FFFFFF" w:fill="FFFFFF"/>
              <w:spacing w:before="0" w:after="48"/>
              <w:rPr>
                <w:rFonts w:asciiTheme="minorHAnsi" w:hAnsiTheme="minorHAnsi" w:cs="Times New Roman Bold"/>
                <w:bCs/>
                <w:sz w:val="22"/>
              </w:rPr>
            </w:pPr>
          </w:p>
        </w:tc>
        <w:tc>
          <w:tcPr>
            <w:tcW w:w="3402" w:type="dxa"/>
            <w:tcBorders>
              <w:top w:val="single" w:sz="12" w:space="0" w:color="auto"/>
            </w:tcBorders>
          </w:tcPr>
          <w:p w14:paraId="625C6669" w14:textId="77777777" w:rsidR="00284C7A" w:rsidRPr="00FD2F0C" w:rsidRDefault="00284C7A" w:rsidP="0053569C">
            <w:pPr>
              <w:shd w:val="solid" w:color="FFFFFF" w:fill="FFFFFF"/>
              <w:spacing w:before="0" w:after="48" w:line="240" w:lineRule="atLeast"/>
              <w:rPr>
                <w:rFonts w:asciiTheme="minorHAnsi" w:hAnsiTheme="minorHAnsi"/>
                <w:lang w:val="en-US"/>
              </w:rPr>
            </w:pPr>
          </w:p>
        </w:tc>
      </w:tr>
      <w:tr w:rsidR="00284C7A" w:rsidRPr="00FD2F0C" w14:paraId="4553CCC2" w14:textId="77777777" w:rsidTr="0053569C">
        <w:trPr>
          <w:cantSplit/>
        </w:trPr>
        <w:tc>
          <w:tcPr>
            <w:tcW w:w="6487" w:type="dxa"/>
            <w:vMerge w:val="restart"/>
          </w:tcPr>
          <w:p w14:paraId="3FCEBDBC" w14:textId="1512B136" w:rsidR="00284C7A" w:rsidRPr="00FD2F0C" w:rsidRDefault="00284C7A" w:rsidP="008976D4">
            <w:pPr>
              <w:shd w:val="solid" w:color="FFFFFF" w:fill="FFFFFF"/>
              <w:tabs>
                <w:tab w:val="left" w:pos="1134"/>
                <w:tab w:val="left" w:pos="1168"/>
              </w:tabs>
              <w:spacing w:before="0" w:after="240"/>
              <w:rPr>
                <w:rFonts w:asciiTheme="minorHAnsi" w:hAnsiTheme="minorHAnsi"/>
                <w:lang w:val="fr-CH"/>
              </w:rPr>
            </w:pPr>
            <w:bookmarkStart w:id="1" w:name="recibido"/>
            <w:bookmarkStart w:id="2" w:name="dnum" w:colFirst="1" w:colLast="1"/>
            <w:bookmarkEnd w:id="1"/>
            <w:r w:rsidRPr="00FD2F0C">
              <w:rPr>
                <w:rFonts w:asciiTheme="minorHAnsi" w:hAnsiTheme="minorHAnsi"/>
                <w:sz w:val="20"/>
                <w:lang w:val="fr-CH"/>
              </w:rPr>
              <w:t xml:space="preserve">Source: </w:t>
            </w:r>
            <w:r w:rsidRPr="00FD2F0C">
              <w:rPr>
                <w:rFonts w:asciiTheme="minorHAnsi" w:hAnsiTheme="minorHAnsi"/>
                <w:lang w:val="fr-CH"/>
              </w:rPr>
              <w:tab/>
            </w:r>
            <w:r w:rsidR="007420BB" w:rsidRPr="00FD2F0C">
              <w:rPr>
                <w:rFonts w:asciiTheme="minorHAnsi" w:hAnsiTheme="minorHAnsi"/>
                <w:bCs/>
                <w:sz w:val="20"/>
                <w:lang w:eastAsia="zh-CN"/>
              </w:rPr>
              <w:t>Document 1B/TEMP/69</w:t>
            </w:r>
          </w:p>
          <w:p w14:paraId="7951AD7C" w14:textId="057C7BFE" w:rsidR="00284C7A" w:rsidRPr="00FD2F0C" w:rsidRDefault="00284C7A" w:rsidP="008976D4">
            <w:pPr>
              <w:shd w:val="solid" w:color="FFFFFF" w:fill="FFFFFF"/>
              <w:tabs>
                <w:tab w:val="left" w:pos="1134"/>
                <w:tab w:val="left" w:pos="1168"/>
              </w:tabs>
              <w:spacing w:before="0" w:after="240"/>
              <w:rPr>
                <w:rFonts w:asciiTheme="minorHAnsi" w:hAnsiTheme="minorHAnsi"/>
                <w:sz w:val="20"/>
                <w:lang w:val="en-GB"/>
              </w:rPr>
            </w:pPr>
            <w:r w:rsidRPr="00FD2F0C">
              <w:rPr>
                <w:rFonts w:asciiTheme="minorHAnsi" w:hAnsiTheme="minorHAnsi"/>
                <w:lang w:val="en-US"/>
              </w:rPr>
              <w:t xml:space="preserve">Subject: </w:t>
            </w:r>
            <w:r w:rsidRPr="00FD2F0C">
              <w:rPr>
                <w:rFonts w:asciiTheme="minorHAnsi" w:hAnsiTheme="minorHAnsi"/>
                <w:lang w:val="en-US"/>
              </w:rPr>
              <w:tab/>
              <w:t>WTDC Resoluton 9 (Rev. Dubai, 2014)</w:t>
            </w:r>
          </w:p>
        </w:tc>
        <w:tc>
          <w:tcPr>
            <w:tcW w:w="3402" w:type="dxa"/>
          </w:tcPr>
          <w:p w14:paraId="4D79663B" w14:textId="3407DF73" w:rsidR="00284C7A" w:rsidRPr="00FD2F0C" w:rsidRDefault="00342472" w:rsidP="007420BB">
            <w:pPr>
              <w:shd w:val="solid" w:color="FFFFFF" w:fill="FFFFFF"/>
              <w:spacing w:before="0" w:line="240" w:lineRule="atLeast"/>
              <w:rPr>
                <w:rFonts w:asciiTheme="minorHAnsi" w:hAnsiTheme="minorHAnsi"/>
                <w:sz w:val="20"/>
                <w:lang w:val="en-GB" w:eastAsia="zh-CN"/>
              </w:rPr>
            </w:pPr>
            <w:r w:rsidRPr="00FD2F0C">
              <w:rPr>
                <w:rFonts w:asciiTheme="minorHAnsi" w:hAnsiTheme="minorHAnsi"/>
                <w:b/>
                <w:sz w:val="20"/>
                <w:lang w:val="en-GB" w:eastAsia="zh-CN"/>
              </w:rPr>
              <w:t>Revision 1 to</w:t>
            </w:r>
            <w:r w:rsidRPr="00FD2F0C">
              <w:rPr>
                <w:rFonts w:asciiTheme="minorHAnsi" w:hAnsiTheme="minorHAnsi"/>
                <w:b/>
                <w:sz w:val="20"/>
                <w:lang w:val="en-GB" w:eastAsia="zh-CN"/>
              </w:rPr>
              <w:br/>
            </w:r>
            <w:r w:rsidR="00284C7A" w:rsidRPr="00FD2F0C">
              <w:rPr>
                <w:rFonts w:asciiTheme="minorHAnsi" w:hAnsiTheme="minorHAnsi"/>
                <w:b/>
                <w:sz w:val="20"/>
                <w:lang w:val="en-GB" w:eastAsia="zh-CN"/>
              </w:rPr>
              <w:t xml:space="preserve">Document </w:t>
            </w:r>
            <w:r w:rsidR="007420BB" w:rsidRPr="00FD2F0C">
              <w:rPr>
                <w:rFonts w:asciiTheme="minorHAnsi" w:hAnsiTheme="minorHAnsi"/>
                <w:b/>
                <w:sz w:val="20"/>
                <w:lang w:val="en-GB" w:eastAsia="zh-CN"/>
              </w:rPr>
              <w:t>1/82</w:t>
            </w:r>
            <w:r w:rsidR="00284C7A" w:rsidRPr="00FD2F0C">
              <w:rPr>
                <w:rFonts w:asciiTheme="minorHAnsi" w:hAnsiTheme="minorHAnsi"/>
                <w:b/>
                <w:sz w:val="20"/>
                <w:lang w:val="en-GB" w:eastAsia="zh-CN"/>
              </w:rPr>
              <w:t>-E</w:t>
            </w:r>
          </w:p>
        </w:tc>
      </w:tr>
      <w:tr w:rsidR="00284C7A" w:rsidRPr="00FD2F0C" w14:paraId="5E990C77" w14:textId="77777777" w:rsidTr="0053569C">
        <w:trPr>
          <w:cantSplit/>
        </w:trPr>
        <w:tc>
          <w:tcPr>
            <w:tcW w:w="6487" w:type="dxa"/>
            <w:vMerge/>
          </w:tcPr>
          <w:p w14:paraId="3AE31AD3" w14:textId="77777777" w:rsidR="00284C7A" w:rsidRPr="00FD2F0C" w:rsidRDefault="00284C7A" w:rsidP="0053569C">
            <w:pPr>
              <w:spacing w:before="60"/>
              <w:jc w:val="center"/>
              <w:rPr>
                <w:rFonts w:asciiTheme="minorHAnsi" w:hAnsiTheme="minorHAnsi"/>
                <w:b/>
                <w:smallCaps/>
                <w:sz w:val="32"/>
                <w:lang w:val="en-GB" w:eastAsia="zh-CN"/>
              </w:rPr>
            </w:pPr>
            <w:bookmarkStart w:id="3" w:name="ddate" w:colFirst="1" w:colLast="1"/>
            <w:bookmarkEnd w:id="2"/>
          </w:p>
        </w:tc>
        <w:tc>
          <w:tcPr>
            <w:tcW w:w="3402" w:type="dxa"/>
          </w:tcPr>
          <w:p w14:paraId="3588DD28" w14:textId="732183AF" w:rsidR="00284C7A" w:rsidRPr="00FD2F0C" w:rsidRDefault="007420BB" w:rsidP="00342472">
            <w:pPr>
              <w:shd w:val="solid" w:color="FFFFFF" w:fill="FFFFFF"/>
              <w:spacing w:before="0" w:line="240" w:lineRule="atLeast"/>
              <w:rPr>
                <w:rFonts w:asciiTheme="minorHAnsi" w:hAnsiTheme="minorHAnsi"/>
                <w:sz w:val="20"/>
                <w:lang w:val="en-GB" w:eastAsia="zh-CN"/>
              </w:rPr>
            </w:pPr>
            <w:r w:rsidRPr="00FD2F0C">
              <w:rPr>
                <w:rFonts w:asciiTheme="minorHAnsi" w:hAnsiTheme="minorHAnsi"/>
                <w:b/>
                <w:sz w:val="20"/>
                <w:lang w:val="en-GB" w:eastAsia="zh-CN"/>
              </w:rPr>
              <w:t>2</w:t>
            </w:r>
            <w:r w:rsidR="00342472" w:rsidRPr="00FD2F0C">
              <w:rPr>
                <w:rFonts w:asciiTheme="minorHAnsi" w:hAnsiTheme="minorHAnsi"/>
                <w:b/>
                <w:sz w:val="20"/>
                <w:lang w:val="en-GB" w:eastAsia="zh-CN"/>
              </w:rPr>
              <w:t>1</w:t>
            </w:r>
            <w:r w:rsidR="00284C7A" w:rsidRPr="00FD2F0C">
              <w:rPr>
                <w:rFonts w:asciiTheme="minorHAnsi" w:hAnsiTheme="minorHAnsi"/>
                <w:b/>
                <w:sz w:val="20"/>
                <w:lang w:val="en-GB" w:eastAsia="zh-CN"/>
              </w:rPr>
              <w:t xml:space="preserve"> June 2017</w:t>
            </w:r>
          </w:p>
        </w:tc>
      </w:tr>
      <w:tr w:rsidR="00284C7A" w:rsidRPr="00FD2F0C" w14:paraId="2E5EB1E3" w14:textId="77777777" w:rsidTr="0053569C">
        <w:trPr>
          <w:cantSplit/>
        </w:trPr>
        <w:tc>
          <w:tcPr>
            <w:tcW w:w="6487" w:type="dxa"/>
            <w:vMerge/>
          </w:tcPr>
          <w:p w14:paraId="30800F44" w14:textId="77777777" w:rsidR="00284C7A" w:rsidRPr="00FD2F0C" w:rsidRDefault="00284C7A" w:rsidP="0053569C">
            <w:pPr>
              <w:spacing w:before="60"/>
              <w:jc w:val="center"/>
              <w:rPr>
                <w:rFonts w:asciiTheme="minorHAnsi" w:hAnsiTheme="minorHAnsi"/>
                <w:b/>
                <w:smallCaps/>
                <w:sz w:val="32"/>
                <w:lang w:val="en-GB" w:eastAsia="zh-CN"/>
              </w:rPr>
            </w:pPr>
            <w:bookmarkStart w:id="4" w:name="dorlang" w:colFirst="1" w:colLast="1"/>
            <w:bookmarkEnd w:id="3"/>
          </w:p>
        </w:tc>
        <w:tc>
          <w:tcPr>
            <w:tcW w:w="3402" w:type="dxa"/>
          </w:tcPr>
          <w:p w14:paraId="3BD67BF8" w14:textId="77777777" w:rsidR="00284C7A" w:rsidRPr="00FD2F0C" w:rsidRDefault="00284C7A" w:rsidP="0053569C">
            <w:pPr>
              <w:shd w:val="solid" w:color="FFFFFF" w:fill="FFFFFF"/>
              <w:spacing w:before="0" w:line="240" w:lineRule="atLeast"/>
              <w:rPr>
                <w:rFonts w:asciiTheme="minorHAnsi" w:eastAsia="SimSun" w:hAnsiTheme="minorHAnsi"/>
                <w:sz w:val="20"/>
                <w:lang w:val="en-GB" w:eastAsia="zh-CN"/>
              </w:rPr>
            </w:pPr>
            <w:r w:rsidRPr="00FD2F0C">
              <w:rPr>
                <w:rFonts w:asciiTheme="minorHAnsi" w:eastAsia="SimSun" w:hAnsiTheme="minorHAnsi"/>
                <w:b/>
                <w:sz w:val="20"/>
                <w:lang w:val="en-GB" w:eastAsia="zh-CN"/>
              </w:rPr>
              <w:t>English only</w:t>
            </w:r>
          </w:p>
        </w:tc>
      </w:tr>
      <w:tr w:rsidR="00284C7A" w:rsidRPr="00FD2F0C" w14:paraId="4BC0B30E" w14:textId="77777777" w:rsidTr="0053569C">
        <w:trPr>
          <w:cantSplit/>
        </w:trPr>
        <w:tc>
          <w:tcPr>
            <w:tcW w:w="9889" w:type="dxa"/>
            <w:gridSpan w:val="2"/>
          </w:tcPr>
          <w:p w14:paraId="01DB0E50" w14:textId="7A8F5D0D" w:rsidR="00284C7A" w:rsidRPr="00FD2F0C" w:rsidRDefault="00342472" w:rsidP="00342472">
            <w:pPr>
              <w:pStyle w:val="Source"/>
              <w:spacing w:before="840"/>
              <w:jc w:val="center"/>
              <w:rPr>
                <w:rFonts w:asciiTheme="minorHAnsi" w:hAnsiTheme="minorHAnsi" w:cstheme="majorBidi"/>
                <w:sz w:val="28"/>
                <w:szCs w:val="28"/>
                <w:lang w:val="en-GB"/>
              </w:rPr>
            </w:pPr>
            <w:bookmarkStart w:id="5" w:name="dsource" w:colFirst="0" w:colLast="0"/>
            <w:bookmarkEnd w:id="4"/>
            <w:r w:rsidRPr="00FD2F0C">
              <w:rPr>
                <w:rFonts w:asciiTheme="minorHAnsi" w:hAnsiTheme="minorHAnsi" w:cstheme="majorBidi"/>
                <w:sz w:val="28"/>
                <w:szCs w:val="28"/>
                <w:lang w:val="en-GB"/>
              </w:rPr>
              <w:t xml:space="preserve">Study Group </w:t>
            </w:r>
            <w:r w:rsidR="00284C7A" w:rsidRPr="00FD2F0C">
              <w:rPr>
                <w:rFonts w:asciiTheme="minorHAnsi" w:hAnsiTheme="minorHAnsi" w:cstheme="majorBidi"/>
                <w:sz w:val="28"/>
                <w:szCs w:val="28"/>
                <w:lang w:val="en-GB"/>
              </w:rPr>
              <w:t>1</w:t>
            </w:r>
          </w:p>
        </w:tc>
      </w:tr>
      <w:tr w:rsidR="00284C7A" w:rsidRPr="00FD2F0C" w14:paraId="7636DCA7" w14:textId="77777777" w:rsidTr="0053569C">
        <w:trPr>
          <w:cantSplit/>
        </w:trPr>
        <w:tc>
          <w:tcPr>
            <w:tcW w:w="9889" w:type="dxa"/>
            <w:gridSpan w:val="2"/>
          </w:tcPr>
          <w:p w14:paraId="3AA20F6F" w14:textId="67C5D2A6" w:rsidR="00284C7A" w:rsidRPr="00FD2F0C" w:rsidRDefault="00284C7A" w:rsidP="00284C7A">
            <w:pPr>
              <w:pStyle w:val="Title1"/>
              <w:jc w:val="center"/>
              <w:rPr>
                <w:rFonts w:asciiTheme="minorHAnsi" w:hAnsiTheme="minorHAnsi"/>
                <w:b w:val="0"/>
                <w:bCs/>
                <w:sz w:val="28"/>
                <w:szCs w:val="28"/>
                <w:lang w:val="en-GB" w:eastAsia="zh-CN"/>
              </w:rPr>
            </w:pPr>
            <w:bookmarkStart w:id="6" w:name="drec" w:colFirst="0" w:colLast="0"/>
            <w:bookmarkEnd w:id="5"/>
            <w:r w:rsidRPr="00FD2F0C">
              <w:rPr>
                <w:rFonts w:asciiTheme="minorHAnsi" w:hAnsiTheme="minorHAnsi" w:cstheme="majorBidi"/>
                <w:b w:val="0"/>
                <w:bCs/>
                <w:sz w:val="28"/>
                <w:szCs w:val="28"/>
                <w:lang w:val="en-US"/>
              </w:rPr>
              <w:t xml:space="preserve">REVISION OF THE REPORT ON </w:t>
            </w:r>
            <w:r w:rsidRPr="00FD2F0C">
              <w:rPr>
                <w:rFonts w:asciiTheme="minorHAnsi" w:hAnsiTheme="minorHAnsi" w:cstheme="majorBidi"/>
                <w:b w:val="0"/>
                <w:bCs/>
                <w:sz w:val="28"/>
                <w:szCs w:val="28"/>
                <w:lang w:val="en-US"/>
              </w:rPr>
              <w:br/>
              <w:t>WTDC-14 RESOLUTION 9 (REV. DUBAI, 2014)</w:t>
            </w:r>
          </w:p>
        </w:tc>
      </w:tr>
      <w:tr w:rsidR="00284C7A" w:rsidRPr="00FD2F0C" w14:paraId="11EE2BEF" w14:textId="77777777" w:rsidTr="0053569C">
        <w:trPr>
          <w:cantSplit/>
        </w:trPr>
        <w:tc>
          <w:tcPr>
            <w:tcW w:w="9889" w:type="dxa"/>
            <w:gridSpan w:val="2"/>
          </w:tcPr>
          <w:p w14:paraId="31BBEFE0" w14:textId="77777777" w:rsidR="00284C7A" w:rsidRPr="00FD2F0C" w:rsidRDefault="00284C7A" w:rsidP="0053569C">
            <w:pPr>
              <w:pStyle w:val="Title1"/>
              <w:rPr>
                <w:rFonts w:asciiTheme="minorHAnsi" w:hAnsiTheme="minorHAnsi"/>
                <w:lang w:val="en-GB" w:eastAsia="zh-CN"/>
              </w:rPr>
            </w:pPr>
            <w:bookmarkStart w:id="7" w:name="dtitle1" w:colFirst="0" w:colLast="0"/>
            <w:bookmarkEnd w:id="6"/>
          </w:p>
        </w:tc>
      </w:tr>
      <w:bookmarkEnd w:id="7"/>
    </w:tbl>
    <w:p w14:paraId="16681850" w14:textId="03753071" w:rsidR="00044CB3" w:rsidRPr="00FD2F0C" w:rsidRDefault="00044CB3" w:rsidP="00DB03B7">
      <w:pPr>
        <w:rPr>
          <w:rFonts w:asciiTheme="minorHAnsi" w:hAnsiTheme="minorHAnsi"/>
          <w:lang w:val="en-US" w:eastAsia="zh-CN"/>
        </w:rPr>
      </w:pPr>
    </w:p>
    <w:p w14:paraId="285DF308" w14:textId="77777777" w:rsidR="00044CB3" w:rsidRPr="00FD2F0C" w:rsidRDefault="00044CB3" w:rsidP="00DB03B7">
      <w:pPr>
        <w:rPr>
          <w:rFonts w:asciiTheme="minorHAnsi" w:hAnsiTheme="minorHAnsi"/>
          <w:lang w:val="en-US" w:eastAsia="zh-CN"/>
        </w:rPr>
      </w:pPr>
    </w:p>
    <w:p w14:paraId="37413B8B" w14:textId="77777777" w:rsidR="00044CB3" w:rsidRPr="00FD2F0C" w:rsidRDefault="00044CB3" w:rsidP="00DB03B7">
      <w:pPr>
        <w:rPr>
          <w:rFonts w:asciiTheme="minorHAnsi" w:hAnsiTheme="minorHAnsi"/>
          <w:lang w:val="en-US" w:eastAsia="zh-CN"/>
        </w:rPr>
      </w:pPr>
      <w:bookmarkStart w:id="8" w:name="_GoBack"/>
      <w:bookmarkEnd w:id="8"/>
    </w:p>
    <w:p w14:paraId="73D92A40" w14:textId="77777777" w:rsidR="00044CB3" w:rsidRPr="00FD2F0C" w:rsidRDefault="00044CB3">
      <w:pPr>
        <w:spacing w:before="0"/>
        <w:jc w:val="left"/>
        <w:rPr>
          <w:rFonts w:asciiTheme="minorHAnsi" w:hAnsiTheme="minorHAnsi"/>
          <w:lang w:val="en-US" w:eastAsia="zh-CN"/>
        </w:rPr>
      </w:pPr>
    </w:p>
    <w:p w14:paraId="23D95351" w14:textId="6DAB6E8C" w:rsidR="00044CB3" w:rsidRPr="00FD2F0C" w:rsidRDefault="00C85053">
      <w:pPr>
        <w:spacing w:before="0"/>
        <w:jc w:val="left"/>
        <w:rPr>
          <w:rFonts w:asciiTheme="minorHAnsi" w:hAnsiTheme="minorHAnsi"/>
          <w:lang w:val="en-US" w:eastAsia="zh-CN"/>
        </w:rPr>
        <w:sectPr w:rsidR="00044CB3" w:rsidRPr="00FD2F0C" w:rsidSect="00573C99">
          <w:headerReference w:type="even" r:id="rId12"/>
          <w:headerReference w:type="default" r:id="rId13"/>
          <w:footerReference w:type="even" r:id="rId14"/>
          <w:footerReference w:type="default" r:id="rId15"/>
          <w:headerReference w:type="first" r:id="rId16"/>
          <w:footerReference w:type="first" r:id="rId17"/>
          <w:pgSz w:w="11907" w:h="16834" w:code="9"/>
          <w:pgMar w:top="1985" w:right="1134" w:bottom="851" w:left="1134" w:header="720" w:footer="567" w:gutter="0"/>
          <w:paperSrc w:first="7" w:other="7"/>
          <w:cols w:space="720"/>
          <w:titlePg/>
          <w:docGrid w:linePitch="326"/>
        </w:sectPr>
      </w:pPr>
      <w:r w:rsidRPr="00FD2F0C">
        <w:rPr>
          <w:rFonts w:asciiTheme="minorHAnsi" w:hAnsiTheme="minorHAnsi"/>
          <w:lang w:val="en-US" w:eastAsia="zh-CN"/>
        </w:rPr>
        <w:t xml:space="preserve"> </w:t>
      </w:r>
    </w:p>
    <w:p w14:paraId="7EE936CE" w14:textId="77777777" w:rsidR="00652B11" w:rsidRPr="00FD2F0C" w:rsidRDefault="0056669F" w:rsidP="00DB03B7">
      <w:pPr>
        <w:pStyle w:val="AnnexNo"/>
        <w:spacing w:before="240"/>
        <w:rPr>
          <w:rFonts w:asciiTheme="minorHAnsi" w:hAnsiTheme="minorHAnsi"/>
          <w:noProof/>
          <w:lang w:val="en-GB"/>
        </w:rPr>
      </w:pPr>
      <w:r w:rsidRPr="00FD2F0C">
        <w:rPr>
          <w:rFonts w:asciiTheme="minorHAnsi" w:hAnsiTheme="minorHAnsi"/>
          <w:noProof/>
          <w:lang w:val="en-GB"/>
        </w:rPr>
        <w:lastRenderedPageBreak/>
        <w:t>Attachment</w:t>
      </w:r>
    </w:p>
    <w:p w14:paraId="33BB6FAA" w14:textId="77777777" w:rsidR="0056669F" w:rsidRPr="00FD2F0C" w:rsidRDefault="0056669F" w:rsidP="00652B11">
      <w:pPr>
        <w:spacing w:before="0"/>
        <w:jc w:val="left"/>
        <w:rPr>
          <w:rFonts w:asciiTheme="minorHAnsi" w:hAnsiTheme="minorHAnsi"/>
          <w:b/>
          <w:bCs/>
          <w:noProof/>
          <w:lang w:val="en-GB"/>
        </w:rPr>
      </w:pPr>
    </w:p>
    <w:p w14:paraId="38B790DE" w14:textId="77777777" w:rsidR="0056669F" w:rsidRPr="00FD2F0C" w:rsidRDefault="0056669F" w:rsidP="00652B11">
      <w:pPr>
        <w:spacing w:before="0"/>
        <w:jc w:val="left"/>
        <w:rPr>
          <w:rFonts w:asciiTheme="minorHAnsi" w:hAnsiTheme="minorHAnsi"/>
          <w:b/>
          <w:bCs/>
          <w:noProof/>
          <w:lang w:val="en-GB"/>
        </w:rPr>
      </w:pPr>
    </w:p>
    <w:p w14:paraId="753D72C1" w14:textId="26F747FC" w:rsidR="0056669F" w:rsidRPr="00FD2F0C" w:rsidRDefault="0056669F" w:rsidP="0056669F">
      <w:pPr>
        <w:spacing w:before="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56669F" w:rsidRPr="00573C99" w14:paraId="3D262BAC" w14:textId="77777777" w:rsidTr="00745ECC">
        <w:tc>
          <w:tcPr>
            <w:tcW w:w="9855" w:type="dxa"/>
          </w:tcPr>
          <w:p w14:paraId="51685BB6" w14:textId="77777777" w:rsidR="0056669F" w:rsidRPr="00FD2F0C" w:rsidRDefault="0056669F" w:rsidP="00745ECC">
            <w:pPr>
              <w:rPr>
                <w:rStyle w:val="Bold"/>
                <w:rFonts w:asciiTheme="minorHAnsi" w:hAnsiTheme="minorHAnsi"/>
                <w:lang w:val="en-GB"/>
              </w:rPr>
            </w:pPr>
            <w:bookmarkStart w:id="9" w:name="dbreak"/>
            <w:bookmarkEnd w:id="9"/>
            <w:r w:rsidRPr="00FD2F0C">
              <w:rPr>
                <w:rStyle w:val="Bold"/>
                <w:rFonts w:asciiTheme="minorHAnsi" w:hAnsiTheme="minorHAnsi"/>
                <w:lang w:val="en-GB"/>
              </w:rPr>
              <w:t>Abstract:</w:t>
            </w:r>
          </w:p>
          <w:p w14:paraId="47B9C778" w14:textId="4BB3D0C7" w:rsidR="0056669F" w:rsidRPr="00FD2F0C" w:rsidRDefault="0056669F">
            <w:pPr>
              <w:spacing w:after="120"/>
              <w:jc w:val="left"/>
              <w:rPr>
                <w:rFonts w:asciiTheme="minorHAnsi" w:hAnsiTheme="minorHAnsi"/>
                <w:szCs w:val="24"/>
                <w:lang w:val="en-GB" w:eastAsia="zh-CN"/>
              </w:rPr>
            </w:pPr>
            <w:r w:rsidRPr="00FD2F0C">
              <w:rPr>
                <w:rFonts w:asciiTheme="minorHAnsi" w:hAnsiTheme="minorHAnsi"/>
                <w:szCs w:val="24"/>
                <w:lang w:val="en-GB" w:eastAsia="zh-CN"/>
              </w:rPr>
              <w:t>Draft Final Report for Resolution 9: “</w:t>
            </w:r>
            <w:r w:rsidRPr="00FD2F0C">
              <w:rPr>
                <w:rFonts w:asciiTheme="minorHAnsi" w:hAnsiTheme="minorHAnsi"/>
                <w:szCs w:val="24"/>
                <w:lang w:val="en-GB"/>
              </w:rPr>
              <w:t>Participation of countries, particularly developing countries, in spectrum management”.</w:t>
            </w:r>
          </w:p>
        </w:tc>
      </w:tr>
    </w:tbl>
    <w:p w14:paraId="7C664098" w14:textId="77777777" w:rsidR="0056669F" w:rsidRPr="00FD2F0C" w:rsidRDefault="0056669F" w:rsidP="0056669F">
      <w:pPr>
        <w:rPr>
          <w:rFonts w:asciiTheme="minorHAnsi" w:hAnsiTheme="minorHAnsi"/>
          <w:lang w:val="en-GB"/>
        </w:rPr>
      </w:pPr>
    </w:p>
    <w:p w14:paraId="79C9029F" w14:textId="77777777" w:rsidR="0056669F" w:rsidRPr="00FD2F0C" w:rsidRDefault="0056669F" w:rsidP="0056669F">
      <w:pPr>
        <w:spacing w:before="0"/>
        <w:jc w:val="left"/>
        <w:rPr>
          <w:rFonts w:asciiTheme="minorHAnsi" w:hAnsiTheme="minorHAnsi"/>
          <w:lang w:val="en-GB"/>
        </w:rPr>
      </w:pPr>
      <w:r w:rsidRPr="00FD2F0C">
        <w:rPr>
          <w:rFonts w:asciiTheme="minorHAnsi" w:hAnsiTheme="minorHAnsi"/>
          <w:lang w:val="en-GB"/>
        </w:rPr>
        <w:br w:type="page"/>
      </w:r>
    </w:p>
    <w:p w14:paraId="2F769442" w14:textId="77777777" w:rsidR="0056669F" w:rsidRPr="00FD2F0C" w:rsidRDefault="0056669F" w:rsidP="00652B11">
      <w:pPr>
        <w:spacing w:before="0"/>
        <w:jc w:val="left"/>
        <w:rPr>
          <w:rFonts w:asciiTheme="minorHAnsi" w:hAnsiTheme="minorHAnsi"/>
          <w:b/>
          <w:bCs/>
          <w:noProof/>
          <w:lang w:val="en-GB"/>
        </w:rPr>
      </w:pPr>
    </w:p>
    <w:p w14:paraId="7322839C" w14:textId="77777777" w:rsidR="0056669F" w:rsidRPr="00FD2F0C" w:rsidRDefault="0056669F" w:rsidP="0056669F">
      <w:pPr>
        <w:pStyle w:val="Chapttitle"/>
        <w:rPr>
          <w:rFonts w:asciiTheme="minorHAnsi" w:hAnsiTheme="minorHAnsi"/>
          <w:lang w:val="en-GB"/>
        </w:rPr>
      </w:pPr>
      <w:bookmarkStart w:id="10" w:name="_Toc467836380"/>
      <w:bookmarkStart w:id="11" w:name="_Toc466985905"/>
      <w:bookmarkStart w:id="12" w:name="_Toc455574105"/>
      <w:bookmarkStart w:id="13" w:name="_Toc448669685"/>
      <w:bookmarkStart w:id="14" w:name="_Toc485647965"/>
      <w:r w:rsidRPr="00FD2F0C">
        <w:rPr>
          <w:rFonts w:asciiTheme="minorHAnsi" w:hAnsiTheme="minorHAnsi"/>
          <w:lang w:val="en-GB"/>
        </w:rPr>
        <w:t>Table of Contents</w:t>
      </w:r>
      <w:bookmarkEnd w:id="10"/>
      <w:bookmarkEnd w:id="11"/>
      <w:bookmarkEnd w:id="12"/>
      <w:bookmarkEnd w:id="13"/>
      <w:bookmarkEnd w:id="14"/>
    </w:p>
    <w:p w14:paraId="52491728" w14:textId="77777777" w:rsidR="000B2B3B" w:rsidRPr="00FD2F0C" w:rsidRDefault="0056669F">
      <w:pPr>
        <w:pStyle w:val="TOC1"/>
        <w:rPr>
          <w:rFonts w:asciiTheme="minorHAnsi" w:eastAsiaTheme="minorEastAsia" w:hAnsiTheme="minorHAnsi" w:cstheme="minorBidi"/>
          <w:b w:val="0"/>
          <w:bCs w:val="0"/>
          <w:sz w:val="22"/>
          <w:szCs w:val="22"/>
          <w:lang w:eastAsia="zh-CN"/>
        </w:rPr>
      </w:pPr>
      <w:r w:rsidRPr="00FD2F0C">
        <w:rPr>
          <w:rFonts w:asciiTheme="minorHAnsi" w:hAnsiTheme="minorHAnsi"/>
        </w:rPr>
        <w:fldChar w:fldCharType="begin"/>
      </w:r>
      <w:r w:rsidRPr="00FD2F0C">
        <w:rPr>
          <w:rFonts w:asciiTheme="minorHAnsi" w:hAnsiTheme="minorHAnsi"/>
        </w:rPr>
        <w:instrText xml:space="preserve"> TOC \o "1-3" \h \z \u </w:instrText>
      </w:r>
      <w:r w:rsidRPr="00FD2F0C">
        <w:rPr>
          <w:rFonts w:asciiTheme="minorHAnsi" w:hAnsiTheme="minorHAnsi"/>
        </w:rPr>
        <w:fldChar w:fldCharType="separate"/>
      </w:r>
      <w:hyperlink w:anchor="_Toc485647965" w:history="1">
        <w:r w:rsidR="000B2B3B" w:rsidRPr="00FD2F0C">
          <w:rPr>
            <w:rStyle w:val="Hyperlink"/>
            <w:rFonts w:asciiTheme="minorHAnsi" w:hAnsiTheme="minorHAnsi"/>
            <w:lang w:val="en-GB"/>
          </w:rPr>
          <w:t>Table of Contents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_Toc485647965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w:t>
        </w:r>
        <w:r w:rsidR="000B2B3B" w:rsidRPr="00FD2F0C">
          <w:rPr>
            <w:rFonts w:asciiTheme="minorHAnsi" w:hAnsiTheme="minorHAnsi"/>
            <w:webHidden/>
          </w:rPr>
          <w:fldChar w:fldCharType="end"/>
        </w:r>
      </w:hyperlink>
    </w:p>
    <w:p w14:paraId="590A2C7A" w14:textId="77777777" w:rsidR="000B2B3B" w:rsidRPr="00FD2F0C" w:rsidRDefault="00573C99">
      <w:pPr>
        <w:pStyle w:val="TOC2"/>
        <w:rPr>
          <w:rFonts w:asciiTheme="minorHAnsi" w:hAnsiTheme="minorHAnsi" w:cstheme="minorBidi"/>
          <w:bCs w:val="0"/>
          <w:sz w:val="22"/>
          <w:szCs w:val="22"/>
          <w:lang w:val="en-US" w:eastAsia="zh-CN"/>
        </w:rPr>
      </w:pPr>
      <w:hyperlink w:anchor="_Toc485647966" w:history="1">
        <w:r w:rsidR="000B2B3B" w:rsidRPr="00FD2F0C">
          <w:rPr>
            <w:rStyle w:val="Hyperlink"/>
            <w:rFonts w:asciiTheme="minorHAnsi" w:hAnsiTheme="minorHAnsi"/>
          </w:rPr>
          <w:t>i.</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Executive Summary</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_Toc485647966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w:t>
        </w:r>
        <w:r w:rsidR="000B2B3B" w:rsidRPr="00FD2F0C">
          <w:rPr>
            <w:rFonts w:asciiTheme="minorHAnsi" w:hAnsiTheme="minorHAnsi"/>
            <w:webHidden/>
          </w:rPr>
          <w:fldChar w:fldCharType="end"/>
        </w:r>
      </w:hyperlink>
    </w:p>
    <w:p w14:paraId="76592114"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7967" w:history="1">
        <w:r w:rsidR="000B2B3B" w:rsidRPr="00FD2F0C">
          <w:rPr>
            <w:rStyle w:val="Hyperlink"/>
            <w:rFonts w:asciiTheme="minorHAnsi" w:hAnsiTheme="minorHAnsi"/>
          </w:rPr>
          <w:t>1</w:t>
        </w:r>
        <w:r w:rsidR="000B2B3B" w:rsidRPr="00FD2F0C">
          <w:rPr>
            <w:rFonts w:asciiTheme="minorHAnsi" w:eastAsiaTheme="minorEastAsia" w:hAnsiTheme="minorHAnsi" w:cstheme="minorBidi"/>
            <w:b w:val="0"/>
            <w:bCs w:val="0"/>
            <w:sz w:val="22"/>
            <w:szCs w:val="22"/>
            <w:lang w:eastAsia="zh-CN"/>
          </w:rPr>
          <w:tab/>
        </w:r>
        <w:r w:rsidR="000B2B3B" w:rsidRPr="00FD2F0C">
          <w:rPr>
            <w:rStyle w:val="Hyperlink"/>
            <w:rFonts w:asciiTheme="minorHAnsi" w:hAnsiTheme="minorHAnsi"/>
          </w:rPr>
          <w:t>CHAPTER 1 – Spectrum management approaches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_Toc485647967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7</w:t>
        </w:r>
        <w:r w:rsidR="000B2B3B" w:rsidRPr="00FD2F0C">
          <w:rPr>
            <w:rFonts w:asciiTheme="minorHAnsi" w:hAnsiTheme="minorHAnsi"/>
            <w:webHidden/>
          </w:rPr>
          <w:fldChar w:fldCharType="end"/>
        </w:r>
      </w:hyperlink>
    </w:p>
    <w:p w14:paraId="5456F786" w14:textId="77777777" w:rsidR="000B2B3B" w:rsidRPr="00FD2F0C" w:rsidRDefault="00573C99">
      <w:pPr>
        <w:pStyle w:val="TOC2"/>
        <w:rPr>
          <w:rFonts w:asciiTheme="minorHAnsi" w:hAnsiTheme="minorHAnsi" w:cstheme="minorBidi"/>
          <w:bCs w:val="0"/>
          <w:sz w:val="22"/>
          <w:szCs w:val="22"/>
          <w:lang w:val="en-US" w:eastAsia="zh-CN"/>
        </w:rPr>
      </w:pPr>
      <w:hyperlink w:anchor="_Toc485647968" w:history="1">
        <w:r w:rsidR="000B2B3B" w:rsidRPr="00FD2F0C">
          <w:rPr>
            <w:rStyle w:val="Hyperlink"/>
            <w:rFonts w:asciiTheme="minorHAnsi" w:hAnsiTheme="minorHAnsi"/>
          </w:rPr>
          <w:t>1.1</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Introduction</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_Toc485647968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7</w:t>
        </w:r>
        <w:r w:rsidR="000B2B3B" w:rsidRPr="00FD2F0C">
          <w:rPr>
            <w:rFonts w:asciiTheme="minorHAnsi" w:hAnsiTheme="minorHAnsi"/>
            <w:webHidden/>
          </w:rPr>
          <w:fldChar w:fldCharType="end"/>
        </w:r>
      </w:hyperlink>
    </w:p>
    <w:p w14:paraId="2762A1E1" w14:textId="77777777" w:rsidR="000B2B3B" w:rsidRPr="00FD2F0C" w:rsidRDefault="00573C99">
      <w:pPr>
        <w:pStyle w:val="TOC2"/>
        <w:rPr>
          <w:rFonts w:asciiTheme="minorHAnsi" w:hAnsiTheme="minorHAnsi" w:cstheme="minorBidi"/>
          <w:bCs w:val="0"/>
          <w:sz w:val="22"/>
          <w:szCs w:val="22"/>
          <w:lang w:val="en-US" w:eastAsia="zh-CN"/>
        </w:rPr>
      </w:pPr>
      <w:hyperlink w:anchor="_Toc485647969" w:history="1">
        <w:r w:rsidR="000B2B3B" w:rsidRPr="00FD2F0C">
          <w:rPr>
            <w:rStyle w:val="Hyperlink"/>
            <w:rFonts w:asciiTheme="minorHAnsi" w:hAnsiTheme="minorHAnsi"/>
          </w:rPr>
          <w:t>1.2</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ITU regulatory framework for wireless broadband</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_Toc485647969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10</w:t>
        </w:r>
        <w:r w:rsidR="000B2B3B" w:rsidRPr="00FD2F0C">
          <w:rPr>
            <w:rFonts w:asciiTheme="minorHAnsi" w:hAnsiTheme="minorHAnsi"/>
            <w:webHidden/>
          </w:rPr>
          <w:fldChar w:fldCharType="end"/>
        </w:r>
      </w:hyperlink>
    </w:p>
    <w:p w14:paraId="0DE8F22F" w14:textId="77777777" w:rsidR="000B2B3B" w:rsidRPr="00FD2F0C" w:rsidRDefault="00573C99">
      <w:pPr>
        <w:pStyle w:val="TOC3"/>
        <w:rPr>
          <w:rFonts w:asciiTheme="minorHAnsi" w:hAnsiTheme="minorHAnsi" w:cstheme="minorBidi"/>
          <w:color w:val="auto"/>
          <w:sz w:val="22"/>
          <w:szCs w:val="22"/>
          <w:lang w:eastAsia="zh-CN"/>
        </w:rPr>
      </w:pPr>
      <w:hyperlink w:anchor="_Toc485647970" w:history="1">
        <w:r w:rsidR="000B2B3B" w:rsidRPr="00FD2F0C">
          <w:rPr>
            <w:rStyle w:val="Hyperlink"/>
            <w:rFonts w:asciiTheme="minorHAnsi" w:hAnsiTheme="minorHAnsi"/>
          </w:rPr>
          <w:t>1.2.1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International Mobile Telecommunications (IMT)</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_Toc485647970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10</w:t>
        </w:r>
        <w:r w:rsidR="000B2B3B" w:rsidRPr="00FD2F0C">
          <w:rPr>
            <w:rFonts w:asciiTheme="minorHAnsi" w:hAnsiTheme="minorHAnsi"/>
            <w:webHidden/>
          </w:rPr>
          <w:fldChar w:fldCharType="end"/>
        </w:r>
      </w:hyperlink>
    </w:p>
    <w:p w14:paraId="3C9FA674" w14:textId="77777777" w:rsidR="000B2B3B" w:rsidRPr="00FD2F0C" w:rsidRDefault="00573C99">
      <w:pPr>
        <w:pStyle w:val="TOC3"/>
        <w:rPr>
          <w:rFonts w:asciiTheme="minorHAnsi" w:hAnsiTheme="minorHAnsi" w:cstheme="minorBidi"/>
          <w:color w:val="auto"/>
          <w:sz w:val="22"/>
          <w:szCs w:val="22"/>
          <w:lang w:eastAsia="zh-CN"/>
        </w:rPr>
      </w:pPr>
      <w:hyperlink w:anchor="_Toc485647971" w:history="1">
        <w:r w:rsidR="000B2B3B" w:rsidRPr="00FD2F0C">
          <w:rPr>
            <w:rStyle w:val="Hyperlink"/>
            <w:rFonts w:asciiTheme="minorHAnsi" w:hAnsiTheme="minorHAnsi"/>
          </w:rPr>
          <w:t>1.2.2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Wireless Access Systems/Radio Local Area Networks (WAS/RLAN)</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_Toc485647971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11</w:t>
        </w:r>
        <w:r w:rsidR="000B2B3B" w:rsidRPr="00FD2F0C">
          <w:rPr>
            <w:rFonts w:asciiTheme="minorHAnsi" w:hAnsiTheme="minorHAnsi"/>
            <w:webHidden/>
          </w:rPr>
          <w:fldChar w:fldCharType="end"/>
        </w:r>
      </w:hyperlink>
    </w:p>
    <w:p w14:paraId="53C17E84" w14:textId="77777777" w:rsidR="000B2B3B" w:rsidRPr="00FD2F0C" w:rsidRDefault="00573C99">
      <w:pPr>
        <w:pStyle w:val="TOC3"/>
        <w:rPr>
          <w:rFonts w:asciiTheme="minorHAnsi" w:hAnsiTheme="minorHAnsi" w:cstheme="minorBidi"/>
          <w:color w:val="auto"/>
          <w:sz w:val="22"/>
          <w:szCs w:val="22"/>
          <w:lang w:eastAsia="zh-CN"/>
        </w:rPr>
      </w:pPr>
      <w:hyperlink w:anchor="_Toc485647972" w:history="1">
        <w:r w:rsidR="000B2B3B" w:rsidRPr="00FD2F0C">
          <w:rPr>
            <w:rStyle w:val="Hyperlink"/>
            <w:rFonts w:asciiTheme="minorHAnsi" w:hAnsiTheme="minorHAnsi"/>
          </w:rPr>
          <w:t>1.2.3</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High Altitude Platform Stations (HAPS)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_Toc485647972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11</w:t>
        </w:r>
        <w:r w:rsidR="000B2B3B" w:rsidRPr="00FD2F0C">
          <w:rPr>
            <w:rFonts w:asciiTheme="minorHAnsi" w:hAnsiTheme="minorHAnsi"/>
            <w:webHidden/>
          </w:rPr>
          <w:fldChar w:fldCharType="end"/>
        </w:r>
      </w:hyperlink>
    </w:p>
    <w:p w14:paraId="411F67A4" w14:textId="77777777" w:rsidR="000B2B3B" w:rsidRPr="00FD2F0C" w:rsidRDefault="00573C99">
      <w:pPr>
        <w:pStyle w:val="TOC3"/>
        <w:rPr>
          <w:rFonts w:asciiTheme="minorHAnsi" w:hAnsiTheme="minorHAnsi" w:cstheme="minorBidi"/>
          <w:color w:val="auto"/>
          <w:sz w:val="22"/>
          <w:szCs w:val="22"/>
          <w:lang w:eastAsia="zh-CN"/>
        </w:rPr>
      </w:pPr>
      <w:hyperlink w:anchor="_Toc485647973" w:history="1">
        <w:r w:rsidR="000B2B3B" w:rsidRPr="00FD2F0C">
          <w:rPr>
            <w:rStyle w:val="Hyperlink"/>
            <w:rFonts w:asciiTheme="minorHAnsi" w:hAnsiTheme="minorHAnsi"/>
          </w:rPr>
          <w:t>1.2.4</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Satellite systems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_Toc485647973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12</w:t>
        </w:r>
        <w:r w:rsidR="000B2B3B" w:rsidRPr="00FD2F0C">
          <w:rPr>
            <w:rFonts w:asciiTheme="minorHAnsi" w:hAnsiTheme="minorHAnsi"/>
            <w:webHidden/>
          </w:rPr>
          <w:fldChar w:fldCharType="end"/>
        </w:r>
      </w:hyperlink>
    </w:p>
    <w:p w14:paraId="6CD7E8AD" w14:textId="77777777" w:rsidR="000B2B3B" w:rsidRPr="00FD2F0C" w:rsidRDefault="00573C99">
      <w:pPr>
        <w:pStyle w:val="TOC2"/>
        <w:rPr>
          <w:rFonts w:asciiTheme="minorHAnsi" w:hAnsiTheme="minorHAnsi" w:cstheme="minorBidi"/>
          <w:bCs w:val="0"/>
          <w:sz w:val="22"/>
          <w:szCs w:val="22"/>
          <w:lang w:val="en-US" w:eastAsia="zh-CN"/>
        </w:rPr>
      </w:pPr>
      <w:hyperlink w:anchor="_Toc485647974" w:history="1">
        <w:r w:rsidR="000B2B3B" w:rsidRPr="00FD2F0C">
          <w:rPr>
            <w:rStyle w:val="Hyperlink"/>
            <w:rFonts w:asciiTheme="minorHAnsi" w:hAnsiTheme="minorHAnsi"/>
          </w:rPr>
          <w:t>1.3</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Spectrum management under the licensed approach</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_Toc485647974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15</w:t>
        </w:r>
        <w:r w:rsidR="000B2B3B" w:rsidRPr="00FD2F0C">
          <w:rPr>
            <w:rFonts w:asciiTheme="minorHAnsi" w:hAnsiTheme="minorHAnsi"/>
            <w:webHidden/>
          </w:rPr>
          <w:fldChar w:fldCharType="end"/>
        </w:r>
      </w:hyperlink>
    </w:p>
    <w:p w14:paraId="3206167B" w14:textId="77777777" w:rsidR="000B2B3B" w:rsidRPr="00FD2F0C" w:rsidRDefault="00573C99">
      <w:pPr>
        <w:pStyle w:val="TOC3"/>
        <w:rPr>
          <w:rFonts w:asciiTheme="minorHAnsi" w:hAnsiTheme="minorHAnsi" w:cstheme="minorBidi"/>
          <w:color w:val="auto"/>
          <w:sz w:val="22"/>
          <w:szCs w:val="22"/>
          <w:lang w:eastAsia="zh-CN"/>
        </w:rPr>
      </w:pPr>
      <w:hyperlink w:anchor="_Toc485647975" w:history="1">
        <w:r w:rsidR="000B2B3B" w:rsidRPr="00FD2F0C">
          <w:rPr>
            <w:rStyle w:val="Hyperlink"/>
            <w:rFonts w:asciiTheme="minorHAnsi" w:hAnsiTheme="minorHAnsi"/>
            <w:lang w:eastAsia="zh-CN"/>
          </w:rPr>
          <w:t>1.3.1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lang w:eastAsia="zh-CN"/>
          </w:rPr>
          <w:t>Spectrum management for mobile broadband</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15</w:t>
        </w:r>
        <w:r w:rsidR="000B2B3B" w:rsidRPr="00FD2F0C">
          <w:rPr>
            <w:rFonts w:asciiTheme="minorHAnsi" w:hAnsiTheme="minorHAnsi"/>
            <w:webHidden/>
          </w:rPr>
          <w:fldChar w:fldCharType="end"/>
        </w:r>
      </w:hyperlink>
    </w:p>
    <w:p w14:paraId="2E993A3C" w14:textId="77777777" w:rsidR="000B2B3B" w:rsidRPr="00FD2F0C" w:rsidRDefault="00573C99">
      <w:pPr>
        <w:pStyle w:val="TOC3"/>
        <w:rPr>
          <w:rFonts w:asciiTheme="minorHAnsi" w:hAnsiTheme="minorHAnsi" w:cstheme="minorBidi"/>
          <w:color w:val="auto"/>
          <w:sz w:val="22"/>
          <w:szCs w:val="22"/>
          <w:lang w:eastAsia="zh-CN"/>
        </w:rPr>
      </w:pPr>
      <w:hyperlink w:anchor="_Toc485647976" w:history="1">
        <w:r w:rsidR="000B2B3B" w:rsidRPr="00FD2F0C">
          <w:rPr>
            <w:rStyle w:val="Hyperlink"/>
            <w:rFonts w:asciiTheme="minorHAnsi" w:hAnsiTheme="minorHAnsi"/>
          </w:rPr>
          <w:t>1.3.2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Transition to digital terrestrial television broadcasting</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16</w:t>
        </w:r>
        <w:r w:rsidR="000B2B3B" w:rsidRPr="00FD2F0C">
          <w:rPr>
            <w:rFonts w:asciiTheme="minorHAnsi" w:hAnsiTheme="minorHAnsi"/>
            <w:webHidden/>
          </w:rPr>
          <w:fldChar w:fldCharType="end"/>
        </w:r>
      </w:hyperlink>
    </w:p>
    <w:p w14:paraId="475BE990" w14:textId="77777777" w:rsidR="000B2B3B" w:rsidRPr="00FD2F0C" w:rsidRDefault="00573C99">
      <w:pPr>
        <w:pStyle w:val="TOC3"/>
        <w:rPr>
          <w:rFonts w:asciiTheme="minorHAnsi" w:hAnsiTheme="minorHAnsi" w:cstheme="minorBidi"/>
          <w:color w:val="auto"/>
          <w:sz w:val="22"/>
          <w:szCs w:val="22"/>
          <w:lang w:eastAsia="zh-CN"/>
        </w:rPr>
      </w:pPr>
      <w:hyperlink w:anchor="_Toc485647977" w:history="1">
        <w:r w:rsidR="000B2B3B" w:rsidRPr="00FD2F0C">
          <w:rPr>
            <w:rStyle w:val="Hyperlink"/>
            <w:rFonts w:asciiTheme="minorHAnsi" w:hAnsiTheme="minorHAnsi"/>
            <w:lang w:val="en-GB"/>
          </w:rPr>
          <w:t>1.3.3</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lang w:val="en-GB"/>
          </w:rPr>
          <w:t xml:space="preserve"> </w:t>
        </w:r>
        <w:r w:rsidR="000B2B3B" w:rsidRPr="00FD2F0C">
          <w:rPr>
            <w:rStyle w:val="Hyperlink"/>
            <w:rFonts w:asciiTheme="minorHAnsi" w:hAnsiTheme="minorHAnsi"/>
          </w:rPr>
          <w:t>Strategies and methods of migration from analogue to digital terrestrial broadcasting and implementation of new services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17</w:t>
        </w:r>
        <w:r w:rsidR="000B2B3B" w:rsidRPr="00FD2F0C">
          <w:rPr>
            <w:rFonts w:asciiTheme="minorHAnsi" w:hAnsiTheme="minorHAnsi"/>
            <w:webHidden/>
          </w:rPr>
          <w:fldChar w:fldCharType="end"/>
        </w:r>
      </w:hyperlink>
    </w:p>
    <w:p w14:paraId="2C1C0404" w14:textId="77777777" w:rsidR="000B2B3B" w:rsidRPr="00FD2F0C" w:rsidRDefault="00573C99">
      <w:pPr>
        <w:pStyle w:val="TOC3"/>
        <w:rPr>
          <w:rFonts w:asciiTheme="minorHAnsi" w:hAnsiTheme="minorHAnsi" w:cstheme="minorBidi"/>
          <w:color w:val="auto"/>
          <w:sz w:val="22"/>
          <w:szCs w:val="22"/>
          <w:lang w:eastAsia="zh-CN"/>
        </w:rPr>
      </w:pPr>
      <w:hyperlink w:anchor="_Toc485647978" w:history="1">
        <w:r w:rsidR="000B2B3B" w:rsidRPr="00FD2F0C">
          <w:rPr>
            <w:rStyle w:val="Hyperlink"/>
            <w:rFonts w:asciiTheme="minorHAnsi" w:hAnsiTheme="minorHAnsi"/>
          </w:rPr>
          <w:t>1.3.4</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Recent trends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_Toc485647978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20</w:t>
        </w:r>
        <w:r w:rsidR="000B2B3B" w:rsidRPr="00FD2F0C">
          <w:rPr>
            <w:rFonts w:asciiTheme="minorHAnsi" w:hAnsiTheme="minorHAnsi"/>
            <w:webHidden/>
          </w:rPr>
          <w:fldChar w:fldCharType="end"/>
        </w:r>
      </w:hyperlink>
    </w:p>
    <w:p w14:paraId="49D2EAF7" w14:textId="77777777" w:rsidR="000B2B3B" w:rsidRPr="00FD2F0C" w:rsidRDefault="00573C99">
      <w:pPr>
        <w:pStyle w:val="TOC2"/>
        <w:rPr>
          <w:rFonts w:asciiTheme="minorHAnsi" w:hAnsiTheme="minorHAnsi" w:cstheme="minorBidi"/>
          <w:bCs w:val="0"/>
          <w:sz w:val="22"/>
          <w:szCs w:val="22"/>
          <w:lang w:val="en-US" w:eastAsia="zh-CN"/>
        </w:rPr>
      </w:pPr>
      <w:hyperlink w:anchor="_Toc485647979" w:history="1">
        <w:r w:rsidR="000B2B3B" w:rsidRPr="00FD2F0C">
          <w:rPr>
            <w:rStyle w:val="Hyperlink"/>
            <w:rFonts w:asciiTheme="minorHAnsi" w:hAnsiTheme="minorHAnsi"/>
          </w:rPr>
          <w:t>1.4</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Spectrum Sharing</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_Toc485647979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20</w:t>
        </w:r>
        <w:r w:rsidR="000B2B3B" w:rsidRPr="00FD2F0C">
          <w:rPr>
            <w:rFonts w:asciiTheme="minorHAnsi" w:hAnsiTheme="minorHAnsi"/>
            <w:webHidden/>
          </w:rPr>
          <w:fldChar w:fldCharType="end"/>
        </w:r>
      </w:hyperlink>
    </w:p>
    <w:p w14:paraId="3B8CD395" w14:textId="77777777" w:rsidR="000B2B3B" w:rsidRPr="00FD2F0C" w:rsidRDefault="00573C99">
      <w:pPr>
        <w:pStyle w:val="TOC3"/>
        <w:rPr>
          <w:rFonts w:asciiTheme="minorHAnsi" w:hAnsiTheme="minorHAnsi" w:cstheme="minorBidi"/>
          <w:color w:val="auto"/>
          <w:sz w:val="22"/>
          <w:szCs w:val="22"/>
          <w:lang w:eastAsia="zh-CN"/>
        </w:rPr>
      </w:pPr>
      <w:hyperlink w:anchor="_Toc485647980" w:history="1">
        <w:r w:rsidR="000B2B3B" w:rsidRPr="00FD2F0C">
          <w:rPr>
            <w:rStyle w:val="Hyperlink"/>
            <w:rFonts w:asciiTheme="minorHAnsi" w:hAnsiTheme="minorHAnsi"/>
          </w:rPr>
          <w:t>1.4.1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Spectrum sharing under the license-exempt approach</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_Toc485647980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20</w:t>
        </w:r>
        <w:r w:rsidR="000B2B3B" w:rsidRPr="00FD2F0C">
          <w:rPr>
            <w:rFonts w:asciiTheme="minorHAnsi" w:hAnsiTheme="minorHAnsi"/>
            <w:webHidden/>
          </w:rPr>
          <w:fldChar w:fldCharType="end"/>
        </w:r>
      </w:hyperlink>
    </w:p>
    <w:p w14:paraId="249DCA68" w14:textId="77777777" w:rsidR="000B2B3B" w:rsidRPr="00FD2F0C" w:rsidRDefault="00573C99">
      <w:pPr>
        <w:pStyle w:val="TOC3"/>
        <w:rPr>
          <w:rFonts w:asciiTheme="minorHAnsi" w:hAnsiTheme="minorHAnsi" w:cstheme="minorBidi"/>
          <w:color w:val="auto"/>
          <w:sz w:val="22"/>
          <w:szCs w:val="22"/>
          <w:lang w:eastAsia="zh-CN"/>
        </w:rPr>
      </w:pPr>
      <w:hyperlink w:anchor="_Toc485647981" w:history="1">
        <w:r w:rsidR="000B2B3B" w:rsidRPr="00FD2F0C">
          <w:rPr>
            <w:rStyle w:val="Hyperlink"/>
            <w:rFonts w:asciiTheme="minorHAnsi" w:hAnsiTheme="minorHAnsi"/>
          </w:rPr>
          <w:t>1.4.2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Dynamic spectrum sharing</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_Toc485647981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21</w:t>
        </w:r>
        <w:r w:rsidR="000B2B3B" w:rsidRPr="00FD2F0C">
          <w:rPr>
            <w:rFonts w:asciiTheme="minorHAnsi" w:hAnsiTheme="minorHAnsi"/>
            <w:webHidden/>
          </w:rPr>
          <w:fldChar w:fldCharType="end"/>
        </w:r>
      </w:hyperlink>
    </w:p>
    <w:p w14:paraId="546AB200" w14:textId="77777777" w:rsidR="000B2B3B" w:rsidRPr="00FD2F0C" w:rsidRDefault="00573C99">
      <w:pPr>
        <w:pStyle w:val="TOC3"/>
        <w:rPr>
          <w:rFonts w:asciiTheme="minorHAnsi" w:hAnsiTheme="minorHAnsi" w:cstheme="minorBidi"/>
          <w:color w:val="auto"/>
          <w:sz w:val="22"/>
          <w:szCs w:val="22"/>
          <w:lang w:eastAsia="zh-CN"/>
        </w:rPr>
      </w:pPr>
      <w:hyperlink w:anchor="_Toc485647982" w:history="1">
        <w:r w:rsidR="000B2B3B" w:rsidRPr="00FD2F0C">
          <w:rPr>
            <w:rStyle w:val="Hyperlink"/>
            <w:rFonts w:asciiTheme="minorHAnsi" w:hAnsiTheme="minorHAnsi"/>
          </w:rPr>
          <w:t>1.4.3</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ITU regulatory framework for spectrum sharing</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_Toc485647982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23</w:t>
        </w:r>
        <w:r w:rsidR="000B2B3B" w:rsidRPr="00FD2F0C">
          <w:rPr>
            <w:rFonts w:asciiTheme="minorHAnsi" w:hAnsiTheme="minorHAnsi"/>
            <w:webHidden/>
          </w:rPr>
          <w:fldChar w:fldCharType="end"/>
        </w:r>
      </w:hyperlink>
    </w:p>
    <w:p w14:paraId="1C3B8903" w14:textId="77777777" w:rsidR="000B2B3B" w:rsidRPr="00FD2F0C" w:rsidRDefault="00573C99">
      <w:pPr>
        <w:pStyle w:val="TOC3"/>
        <w:rPr>
          <w:rFonts w:asciiTheme="minorHAnsi" w:hAnsiTheme="minorHAnsi" w:cstheme="minorBidi"/>
          <w:color w:val="auto"/>
          <w:sz w:val="22"/>
          <w:szCs w:val="22"/>
          <w:lang w:eastAsia="zh-CN"/>
        </w:rPr>
      </w:pPr>
      <w:hyperlink w:anchor="_Toc485647983" w:history="1">
        <w:r w:rsidR="000B2B3B" w:rsidRPr="00FD2F0C">
          <w:rPr>
            <w:rStyle w:val="Hyperlink"/>
            <w:rFonts w:asciiTheme="minorHAnsi" w:hAnsiTheme="minorHAnsi"/>
          </w:rPr>
          <w:t>1.4.4</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Licensed Shared Access (LSA)</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_Toc485647983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25</w:t>
        </w:r>
        <w:r w:rsidR="000B2B3B" w:rsidRPr="00FD2F0C">
          <w:rPr>
            <w:rFonts w:asciiTheme="minorHAnsi" w:hAnsiTheme="minorHAnsi"/>
            <w:webHidden/>
          </w:rPr>
          <w:fldChar w:fldCharType="end"/>
        </w:r>
      </w:hyperlink>
    </w:p>
    <w:p w14:paraId="3303F7DB" w14:textId="77777777" w:rsidR="000B2B3B" w:rsidRPr="00FD2F0C" w:rsidRDefault="00573C99">
      <w:pPr>
        <w:pStyle w:val="TOC3"/>
        <w:rPr>
          <w:rFonts w:asciiTheme="minorHAnsi" w:hAnsiTheme="minorHAnsi" w:cstheme="minorBidi"/>
          <w:color w:val="auto"/>
          <w:sz w:val="22"/>
          <w:szCs w:val="22"/>
          <w:lang w:eastAsia="zh-CN"/>
        </w:rPr>
      </w:pPr>
      <w:hyperlink w:anchor="_Toc485647984" w:history="1">
        <w:r w:rsidR="000B2B3B" w:rsidRPr="00FD2F0C">
          <w:rPr>
            <w:rStyle w:val="Hyperlink"/>
            <w:rFonts w:asciiTheme="minorHAnsi" w:hAnsiTheme="minorHAnsi"/>
          </w:rPr>
          <w:t>1.4.5</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Tiered access to spectrum</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_Toc485647984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25</w:t>
        </w:r>
        <w:r w:rsidR="000B2B3B" w:rsidRPr="00FD2F0C">
          <w:rPr>
            <w:rFonts w:asciiTheme="minorHAnsi" w:hAnsiTheme="minorHAnsi"/>
            <w:webHidden/>
          </w:rPr>
          <w:fldChar w:fldCharType="end"/>
        </w:r>
      </w:hyperlink>
    </w:p>
    <w:p w14:paraId="3A485624" w14:textId="77777777" w:rsidR="000B2B3B" w:rsidRPr="00FD2F0C" w:rsidRDefault="00573C99">
      <w:pPr>
        <w:pStyle w:val="TOC3"/>
        <w:rPr>
          <w:rFonts w:asciiTheme="minorHAnsi" w:hAnsiTheme="minorHAnsi" w:cstheme="minorBidi"/>
          <w:color w:val="auto"/>
          <w:sz w:val="22"/>
          <w:szCs w:val="22"/>
          <w:lang w:eastAsia="zh-CN"/>
        </w:rPr>
      </w:pPr>
      <w:hyperlink w:anchor="_Toc485647985" w:history="1">
        <w:r w:rsidR="000B2B3B" w:rsidRPr="00FD2F0C">
          <w:rPr>
            <w:rStyle w:val="Hyperlink"/>
            <w:rFonts w:asciiTheme="minorHAnsi" w:hAnsiTheme="minorHAnsi"/>
          </w:rPr>
          <w:t>1.4.6</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TV White Spaces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26</w:t>
        </w:r>
        <w:r w:rsidR="000B2B3B" w:rsidRPr="00FD2F0C">
          <w:rPr>
            <w:rFonts w:asciiTheme="minorHAnsi" w:hAnsiTheme="minorHAnsi"/>
            <w:webHidden/>
          </w:rPr>
          <w:fldChar w:fldCharType="end"/>
        </w:r>
      </w:hyperlink>
    </w:p>
    <w:p w14:paraId="041D64CB" w14:textId="77777777" w:rsidR="000B2B3B" w:rsidRPr="00FD2F0C" w:rsidRDefault="00573C99">
      <w:pPr>
        <w:pStyle w:val="TOC3"/>
        <w:rPr>
          <w:rFonts w:asciiTheme="minorHAnsi" w:hAnsiTheme="minorHAnsi" w:cstheme="minorBidi"/>
          <w:color w:val="auto"/>
          <w:sz w:val="22"/>
          <w:szCs w:val="22"/>
          <w:lang w:eastAsia="zh-CN"/>
        </w:rPr>
      </w:pPr>
      <w:hyperlink w:anchor="_Toc485647986" w:history="1">
        <w:r w:rsidR="000B2B3B" w:rsidRPr="00FD2F0C">
          <w:rPr>
            <w:rStyle w:val="Hyperlink"/>
            <w:rFonts w:asciiTheme="minorHAnsi" w:hAnsiTheme="minorHAnsi"/>
          </w:rPr>
          <w:t>1.4.7 Case studies of broadband access in the TVWS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28</w:t>
        </w:r>
        <w:r w:rsidR="000B2B3B" w:rsidRPr="00FD2F0C">
          <w:rPr>
            <w:rFonts w:asciiTheme="minorHAnsi" w:hAnsiTheme="minorHAnsi"/>
            <w:webHidden/>
          </w:rPr>
          <w:fldChar w:fldCharType="end"/>
        </w:r>
      </w:hyperlink>
    </w:p>
    <w:p w14:paraId="76B07EAF" w14:textId="77777777" w:rsidR="000B2B3B" w:rsidRPr="00FD2F0C" w:rsidRDefault="00573C99">
      <w:pPr>
        <w:pStyle w:val="TOC3"/>
        <w:rPr>
          <w:rFonts w:asciiTheme="minorHAnsi" w:hAnsiTheme="minorHAnsi" w:cstheme="minorBidi"/>
          <w:color w:val="auto"/>
          <w:sz w:val="22"/>
          <w:szCs w:val="22"/>
          <w:lang w:eastAsia="zh-CN"/>
        </w:rPr>
      </w:pPr>
      <w:hyperlink w:anchor="_Toc485647987" w:history="1">
        <w:r w:rsidR="000B2B3B" w:rsidRPr="00FD2F0C">
          <w:rPr>
            <w:rStyle w:val="Hyperlink"/>
            <w:rFonts w:asciiTheme="minorHAnsi" w:eastAsia="SimSun" w:hAnsiTheme="minorHAnsi"/>
          </w:rPr>
          <w:t>1.4.8</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 xml:space="preserve"> Benefits and challenges associated with the use of TV white spaces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28</w:t>
        </w:r>
        <w:r w:rsidR="000B2B3B" w:rsidRPr="00FD2F0C">
          <w:rPr>
            <w:rFonts w:asciiTheme="minorHAnsi" w:hAnsiTheme="minorHAnsi"/>
            <w:webHidden/>
          </w:rPr>
          <w:fldChar w:fldCharType="end"/>
        </w:r>
      </w:hyperlink>
    </w:p>
    <w:p w14:paraId="6BF8EF97" w14:textId="77777777" w:rsidR="000B2B3B" w:rsidRPr="00FD2F0C" w:rsidRDefault="00573C99">
      <w:pPr>
        <w:pStyle w:val="TOC2"/>
        <w:rPr>
          <w:rFonts w:asciiTheme="minorHAnsi" w:hAnsiTheme="minorHAnsi" w:cstheme="minorBidi"/>
          <w:bCs w:val="0"/>
          <w:sz w:val="22"/>
          <w:szCs w:val="22"/>
          <w:lang w:val="en-US" w:eastAsia="zh-CN"/>
        </w:rPr>
      </w:pPr>
      <w:hyperlink w:anchor="_Toc485647988" w:history="1">
        <w:r w:rsidR="000B2B3B" w:rsidRPr="00FD2F0C">
          <w:rPr>
            <w:rStyle w:val="Hyperlink"/>
            <w:rFonts w:asciiTheme="minorHAnsi" w:hAnsiTheme="minorHAnsi"/>
          </w:rPr>
          <w:t>1.5</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Current ITU-R studies and investigations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_Toc485647988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29</w:t>
        </w:r>
        <w:r w:rsidR="000B2B3B" w:rsidRPr="00FD2F0C">
          <w:rPr>
            <w:rFonts w:asciiTheme="minorHAnsi" w:hAnsiTheme="minorHAnsi"/>
            <w:webHidden/>
          </w:rPr>
          <w:fldChar w:fldCharType="end"/>
        </w:r>
      </w:hyperlink>
    </w:p>
    <w:p w14:paraId="480C62F9"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7989" w:history="1">
        <w:r w:rsidR="000B2B3B" w:rsidRPr="00FD2F0C">
          <w:rPr>
            <w:rStyle w:val="Hyperlink"/>
            <w:rFonts w:asciiTheme="minorHAnsi" w:hAnsiTheme="minorHAnsi"/>
          </w:rPr>
          <w:t>2</w:t>
        </w:r>
        <w:r w:rsidR="000B2B3B" w:rsidRPr="00FD2F0C">
          <w:rPr>
            <w:rFonts w:asciiTheme="minorHAnsi" w:eastAsiaTheme="minorEastAsia" w:hAnsiTheme="minorHAnsi" w:cstheme="minorBidi"/>
            <w:b w:val="0"/>
            <w:bCs w:val="0"/>
            <w:sz w:val="22"/>
            <w:szCs w:val="22"/>
            <w:lang w:eastAsia="zh-CN"/>
          </w:rPr>
          <w:tab/>
        </w:r>
        <w:r w:rsidR="000B2B3B" w:rsidRPr="00FD2F0C">
          <w:rPr>
            <w:rStyle w:val="Hyperlink"/>
            <w:rFonts w:asciiTheme="minorHAnsi" w:hAnsiTheme="minorHAnsi"/>
          </w:rPr>
          <w:t>CHAPTER 2 – Spectrum economics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_Toc485647989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30</w:t>
        </w:r>
        <w:r w:rsidR="000B2B3B" w:rsidRPr="00FD2F0C">
          <w:rPr>
            <w:rFonts w:asciiTheme="minorHAnsi" w:hAnsiTheme="minorHAnsi"/>
            <w:webHidden/>
          </w:rPr>
          <w:fldChar w:fldCharType="end"/>
        </w:r>
      </w:hyperlink>
    </w:p>
    <w:p w14:paraId="1E3DD2AF" w14:textId="77777777" w:rsidR="000B2B3B" w:rsidRPr="00FD2F0C" w:rsidRDefault="00573C99">
      <w:pPr>
        <w:pStyle w:val="TOC2"/>
        <w:rPr>
          <w:rFonts w:asciiTheme="minorHAnsi" w:hAnsiTheme="minorHAnsi" w:cstheme="minorBidi"/>
          <w:bCs w:val="0"/>
          <w:sz w:val="22"/>
          <w:szCs w:val="22"/>
          <w:lang w:val="en-US" w:eastAsia="zh-CN"/>
        </w:rPr>
      </w:pPr>
      <w:hyperlink w:anchor="_Toc485647990" w:history="1">
        <w:r w:rsidR="000B2B3B" w:rsidRPr="00FD2F0C">
          <w:rPr>
            <w:rStyle w:val="Hyperlink"/>
            <w:rFonts w:asciiTheme="minorHAnsi" w:hAnsiTheme="minorHAnsi"/>
            <w:lang w:val="en-GB"/>
          </w:rPr>
          <w:t>2.1</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lang w:val="en-GB"/>
          </w:rPr>
          <w:t>Introduction</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_Toc485647990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30</w:t>
        </w:r>
        <w:r w:rsidR="000B2B3B" w:rsidRPr="00FD2F0C">
          <w:rPr>
            <w:rFonts w:asciiTheme="minorHAnsi" w:hAnsiTheme="minorHAnsi"/>
            <w:webHidden/>
          </w:rPr>
          <w:fldChar w:fldCharType="end"/>
        </w:r>
      </w:hyperlink>
    </w:p>
    <w:p w14:paraId="44C85073" w14:textId="77777777" w:rsidR="000B2B3B" w:rsidRPr="00FD2F0C" w:rsidRDefault="00573C99">
      <w:pPr>
        <w:pStyle w:val="TOC2"/>
        <w:rPr>
          <w:rFonts w:asciiTheme="minorHAnsi" w:hAnsiTheme="minorHAnsi" w:cstheme="minorBidi"/>
          <w:bCs w:val="0"/>
          <w:sz w:val="22"/>
          <w:szCs w:val="22"/>
          <w:lang w:val="en-US" w:eastAsia="zh-CN"/>
        </w:rPr>
      </w:pPr>
      <w:hyperlink w:anchor="_Toc485647991" w:history="1">
        <w:r w:rsidR="000B2B3B" w:rsidRPr="00FD2F0C">
          <w:rPr>
            <w:rStyle w:val="Hyperlink"/>
            <w:rFonts w:asciiTheme="minorHAnsi" w:hAnsiTheme="minorHAnsi"/>
          </w:rPr>
          <w:t>2.2</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Spectrum pricing, licensing fees and auctions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_Toc485647991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30</w:t>
        </w:r>
        <w:r w:rsidR="000B2B3B" w:rsidRPr="00FD2F0C">
          <w:rPr>
            <w:rFonts w:asciiTheme="minorHAnsi" w:hAnsiTheme="minorHAnsi"/>
            <w:webHidden/>
          </w:rPr>
          <w:fldChar w:fldCharType="end"/>
        </w:r>
      </w:hyperlink>
    </w:p>
    <w:p w14:paraId="53C3338D" w14:textId="77777777" w:rsidR="000B2B3B" w:rsidRPr="00FD2F0C" w:rsidRDefault="00573C99">
      <w:pPr>
        <w:pStyle w:val="TOC2"/>
        <w:rPr>
          <w:rFonts w:asciiTheme="minorHAnsi" w:hAnsiTheme="minorHAnsi" w:cstheme="minorBidi"/>
          <w:bCs w:val="0"/>
          <w:sz w:val="22"/>
          <w:szCs w:val="22"/>
          <w:lang w:val="en-US" w:eastAsia="zh-CN"/>
        </w:rPr>
      </w:pPr>
      <w:hyperlink w:anchor="_Toc485647992" w:history="1">
        <w:r w:rsidR="000B2B3B" w:rsidRPr="00FD2F0C">
          <w:rPr>
            <w:rStyle w:val="Hyperlink"/>
            <w:rFonts w:asciiTheme="minorHAnsi" w:hAnsiTheme="minorHAnsi"/>
          </w:rPr>
          <w:t>2.3</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 xml:space="preserve">Economic aspects related to </w:t>
        </w:r>
        <w:r w:rsidR="000B2B3B" w:rsidRPr="00FD2F0C">
          <w:rPr>
            <w:rStyle w:val="Hyperlink"/>
            <w:rFonts w:asciiTheme="minorHAnsi" w:hAnsiTheme="minorHAnsi"/>
            <w:lang w:val="en-GB"/>
          </w:rPr>
          <w:t>improving broadband access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_Toc485647992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31</w:t>
        </w:r>
        <w:r w:rsidR="000B2B3B" w:rsidRPr="00FD2F0C">
          <w:rPr>
            <w:rFonts w:asciiTheme="minorHAnsi" w:hAnsiTheme="minorHAnsi"/>
            <w:webHidden/>
          </w:rPr>
          <w:fldChar w:fldCharType="end"/>
        </w:r>
      </w:hyperlink>
    </w:p>
    <w:p w14:paraId="029D9805" w14:textId="77777777" w:rsidR="000B2B3B" w:rsidRPr="00FD2F0C" w:rsidRDefault="00573C99">
      <w:pPr>
        <w:pStyle w:val="TOC2"/>
        <w:rPr>
          <w:rFonts w:asciiTheme="minorHAnsi" w:hAnsiTheme="minorHAnsi" w:cstheme="minorBidi"/>
          <w:bCs w:val="0"/>
          <w:sz w:val="22"/>
          <w:szCs w:val="22"/>
          <w:lang w:val="en-US" w:eastAsia="zh-CN"/>
        </w:rPr>
      </w:pPr>
      <w:hyperlink w:anchor="_Toc485647993" w:history="1">
        <w:r w:rsidR="000B2B3B" w:rsidRPr="00FD2F0C">
          <w:rPr>
            <w:rStyle w:val="Hyperlink"/>
            <w:rFonts w:asciiTheme="minorHAnsi" w:hAnsiTheme="minorHAnsi"/>
          </w:rPr>
          <w:t>2.4</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Assessing the economic benefits of using spectrum</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_Toc485647993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32</w:t>
        </w:r>
        <w:r w:rsidR="000B2B3B" w:rsidRPr="00FD2F0C">
          <w:rPr>
            <w:rFonts w:asciiTheme="minorHAnsi" w:hAnsiTheme="minorHAnsi"/>
            <w:webHidden/>
          </w:rPr>
          <w:fldChar w:fldCharType="end"/>
        </w:r>
      </w:hyperlink>
    </w:p>
    <w:p w14:paraId="72DDAB97" w14:textId="77777777" w:rsidR="000B2B3B" w:rsidRPr="00FD2F0C" w:rsidRDefault="00573C99">
      <w:pPr>
        <w:pStyle w:val="TOC3"/>
        <w:rPr>
          <w:rFonts w:asciiTheme="minorHAnsi" w:hAnsiTheme="minorHAnsi" w:cstheme="minorBidi"/>
          <w:color w:val="auto"/>
          <w:sz w:val="22"/>
          <w:szCs w:val="22"/>
          <w:lang w:eastAsia="zh-CN"/>
        </w:rPr>
      </w:pPr>
      <w:hyperlink w:anchor="_Toc485647994" w:history="1">
        <w:r w:rsidR="000B2B3B" w:rsidRPr="00FD2F0C">
          <w:rPr>
            <w:rStyle w:val="Hyperlink"/>
            <w:rFonts w:asciiTheme="minorHAnsi" w:eastAsia="SimSun" w:hAnsiTheme="minorHAnsi"/>
          </w:rPr>
          <w:t>2.4.1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Economic benefits of licensed spectrum</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_Toc485647994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32</w:t>
        </w:r>
        <w:r w:rsidR="000B2B3B" w:rsidRPr="00FD2F0C">
          <w:rPr>
            <w:rFonts w:asciiTheme="minorHAnsi" w:hAnsiTheme="minorHAnsi"/>
            <w:webHidden/>
          </w:rPr>
          <w:fldChar w:fldCharType="end"/>
        </w:r>
      </w:hyperlink>
    </w:p>
    <w:p w14:paraId="3D0CAD67" w14:textId="77777777" w:rsidR="000B2B3B" w:rsidRPr="00FD2F0C" w:rsidRDefault="00573C99">
      <w:pPr>
        <w:pStyle w:val="TOC3"/>
        <w:rPr>
          <w:rFonts w:asciiTheme="minorHAnsi" w:hAnsiTheme="minorHAnsi" w:cstheme="minorBidi"/>
          <w:color w:val="auto"/>
          <w:sz w:val="22"/>
          <w:szCs w:val="22"/>
          <w:lang w:eastAsia="zh-CN"/>
        </w:rPr>
      </w:pPr>
      <w:hyperlink w:anchor="_Toc485647995" w:history="1">
        <w:r w:rsidR="000B2B3B" w:rsidRPr="00FD2F0C">
          <w:rPr>
            <w:rStyle w:val="Hyperlink"/>
            <w:rFonts w:asciiTheme="minorHAnsi" w:eastAsia="SimSun" w:hAnsiTheme="minorHAnsi"/>
          </w:rPr>
          <w:t>2.4.2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Economic benefits of license-exempt spectrum</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32</w:t>
        </w:r>
        <w:r w:rsidR="000B2B3B" w:rsidRPr="00FD2F0C">
          <w:rPr>
            <w:rFonts w:asciiTheme="minorHAnsi" w:hAnsiTheme="minorHAnsi"/>
            <w:webHidden/>
          </w:rPr>
          <w:fldChar w:fldCharType="end"/>
        </w:r>
      </w:hyperlink>
    </w:p>
    <w:p w14:paraId="2A652867" w14:textId="77777777" w:rsidR="000B2B3B" w:rsidRPr="00FD2F0C" w:rsidRDefault="00573C99">
      <w:pPr>
        <w:pStyle w:val="TOC3"/>
        <w:rPr>
          <w:rFonts w:asciiTheme="minorHAnsi" w:hAnsiTheme="minorHAnsi" w:cstheme="minorBidi"/>
          <w:color w:val="auto"/>
          <w:sz w:val="22"/>
          <w:szCs w:val="22"/>
          <w:lang w:eastAsia="zh-CN"/>
        </w:rPr>
      </w:pPr>
      <w:hyperlink w:anchor="_Toc485647996" w:history="1">
        <w:r w:rsidR="000B2B3B" w:rsidRPr="00FD2F0C">
          <w:rPr>
            <w:rStyle w:val="Hyperlink"/>
            <w:rFonts w:asciiTheme="minorHAnsi" w:hAnsiTheme="minorHAnsi"/>
          </w:rPr>
          <w:t>2.4.3</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Potential costs and economic benefits associated with shared use of spectrum</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33</w:t>
        </w:r>
        <w:r w:rsidR="000B2B3B" w:rsidRPr="00FD2F0C">
          <w:rPr>
            <w:rFonts w:asciiTheme="minorHAnsi" w:hAnsiTheme="minorHAnsi"/>
            <w:webHidden/>
          </w:rPr>
          <w:fldChar w:fldCharType="end"/>
        </w:r>
      </w:hyperlink>
    </w:p>
    <w:p w14:paraId="05CBC50C"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7997" w:history="1">
        <w:r w:rsidR="000B2B3B" w:rsidRPr="00FD2F0C">
          <w:rPr>
            <w:rStyle w:val="Hyperlink"/>
            <w:rFonts w:asciiTheme="minorHAnsi" w:hAnsiTheme="minorHAnsi"/>
          </w:rPr>
          <w:t>3</w:t>
        </w:r>
        <w:r w:rsidR="000B2B3B" w:rsidRPr="00FD2F0C">
          <w:rPr>
            <w:rFonts w:asciiTheme="minorHAnsi" w:eastAsiaTheme="minorEastAsia" w:hAnsiTheme="minorHAnsi" w:cstheme="minorBidi"/>
            <w:b w:val="0"/>
            <w:bCs w:val="0"/>
            <w:sz w:val="22"/>
            <w:szCs w:val="22"/>
            <w:lang w:eastAsia="zh-CN"/>
          </w:rPr>
          <w:tab/>
        </w:r>
        <w:r w:rsidR="000B2B3B" w:rsidRPr="00FD2F0C">
          <w:rPr>
            <w:rStyle w:val="Hyperlink"/>
            <w:rFonts w:asciiTheme="minorHAnsi" w:hAnsiTheme="minorHAnsi"/>
          </w:rPr>
          <w:t>CHAPTER 3 – Spectrum management activities and resources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34</w:t>
        </w:r>
        <w:r w:rsidR="000B2B3B" w:rsidRPr="00FD2F0C">
          <w:rPr>
            <w:rFonts w:asciiTheme="minorHAnsi" w:hAnsiTheme="minorHAnsi"/>
            <w:webHidden/>
          </w:rPr>
          <w:fldChar w:fldCharType="end"/>
        </w:r>
      </w:hyperlink>
    </w:p>
    <w:p w14:paraId="755317BA" w14:textId="77777777" w:rsidR="000B2B3B" w:rsidRPr="00FD2F0C" w:rsidRDefault="00573C99">
      <w:pPr>
        <w:pStyle w:val="TOC2"/>
        <w:rPr>
          <w:rFonts w:asciiTheme="minorHAnsi" w:hAnsiTheme="minorHAnsi" w:cstheme="minorBidi"/>
          <w:bCs w:val="0"/>
          <w:sz w:val="22"/>
          <w:szCs w:val="22"/>
          <w:lang w:val="en-US" w:eastAsia="zh-CN"/>
        </w:rPr>
      </w:pPr>
      <w:hyperlink w:anchor="_Toc485647998" w:history="1">
        <w:r w:rsidR="000B2B3B" w:rsidRPr="00FD2F0C">
          <w:rPr>
            <w:rStyle w:val="Hyperlink"/>
            <w:rFonts w:asciiTheme="minorHAnsi" w:hAnsiTheme="minorHAnsi"/>
          </w:rPr>
          <w:t>3.1</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lang w:val="en-GB"/>
          </w:rPr>
          <w:t xml:space="preserve">National Table of Frequency Allocations (NTFA) </w:t>
        </w:r>
        <w:r w:rsidR="000B2B3B" w:rsidRPr="00FD2F0C">
          <w:rPr>
            <w:rStyle w:val="Hyperlink"/>
            <w:rFonts w:asciiTheme="minorHAnsi" w:hAnsiTheme="minorHAnsi"/>
          </w:rPr>
          <w:t>guidelines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_Toc485647998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34</w:t>
        </w:r>
        <w:r w:rsidR="000B2B3B" w:rsidRPr="00FD2F0C">
          <w:rPr>
            <w:rFonts w:asciiTheme="minorHAnsi" w:hAnsiTheme="minorHAnsi"/>
            <w:webHidden/>
          </w:rPr>
          <w:fldChar w:fldCharType="end"/>
        </w:r>
      </w:hyperlink>
    </w:p>
    <w:p w14:paraId="0FC22785" w14:textId="77777777" w:rsidR="000B2B3B" w:rsidRPr="00FD2F0C" w:rsidRDefault="00573C99">
      <w:pPr>
        <w:pStyle w:val="TOC3"/>
        <w:rPr>
          <w:rFonts w:asciiTheme="minorHAnsi" w:hAnsiTheme="minorHAnsi" w:cstheme="minorBidi"/>
          <w:color w:val="auto"/>
          <w:sz w:val="22"/>
          <w:szCs w:val="22"/>
          <w:lang w:eastAsia="zh-CN"/>
        </w:rPr>
      </w:pPr>
      <w:hyperlink w:anchor="_Toc485647999" w:history="1">
        <w:r w:rsidR="000B2B3B" w:rsidRPr="00FD2F0C">
          <w:rPr>
            <w:rStyle w:val="Hyperlink"/>
            <w:rFonts w:asciiTheme="minorHAnsi" w:hAnsiTheme="minorHAnsi"/>
          </w:rPr>
          <w:t>3.1.1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NTFA</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_Toc485647999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34</w:t>
        </w:r>
        <w:r w:rsidR="000B2B3B" w:rsidRPr="00FD2F0C">
          <w:rPr>
            <w:rFonts w:asciiTheme="minorHAnsi" w:hAnsiTheme="minorHAnsi"/>
            <w:webHidden/>
          </w:rPr>
          <w:fldChar w:fldCharType="end"/>
        </w:r>
      </w:hyperlink>
    </w:p>
    <w:p w14:paraId="2672D0FD" w14:textId="77777777" w:rsidR="000B2B3B" w:rsidRPr="00FD2F0C" w:rsidRDefault="00573C99">
      <w:pPr>
        <w:pStyle w:val="TOC3"/>
        <w:rPr>
          <w:rFonts w:asciiTheme="minorHAnsi" w:hAnsiTheme="minorHAnsi" w:cstheme="minorBidi"/>
          <w:color w:val="auto"/>
          <w:sz w:val="22"/>
          <w:szCs w:val="22"/>
          <w:lang w:eastAsia="zh-CN"/>
        </w:rPr>
      </w:pPr>
      <w:hyperlink w:anchor="_Toc485648000" w:history="1">
        <w:r w:rsidR="000B2B3B" w:rsidRPr="00FD2F0C">
          <w:rPr>
            <w:rStyle w:val="Hyperlink"/>
            <w:rFonts w:asciiTheme="minorHAnsi" w:hAnsiTheme="minorHAnsi"/>
          </w:rPr>
          <w:t>3.1.2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Assessing countries’ needs for spectrum management and IT tools/systems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_Toc485648000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34</w:t>
        </w:r>
        <w:r w:rsidR="000B2B3B" w:rsidRPr="00FD2F0C">
          <w:rPr>
            <w:rFonts w:asciiTheme="minorHAnsi" w:hAnsiTheme="minorHAnsi"/>
            <w:webHidden/>
          </w:rPr>
          <w:fldChar w:fldCharType="end"/>
        </w:r>
      </w:hyperlink>
    </w:p>
    <w:p w14:paraId="1DC8522E" w14:textId="77777777" w:rsidR="000B2B3B" w:rsidRPr="00FD2F0C" w:rsidRDefault="00573C99">
      <w:pPr>
        <w:pStyle w:val="TOC2"/>
        <w:rPr>
          <w:rFonts w:asciiTheme="minorHAnsi" w:hAnsiTheme="minorHAnsi" w:cstheme="minorBidi"/>
          <w:bCs w:val="0"/>
          <w:sz w:val="22"/>
          <w:szCs w:val="22"/>
          <w:lang w:val="en-US" w:eastAsia="zh-CN"/>
        </w:rPr>
      </w:pPr>
      <w:hyperlink w:anchor="_Toc485648001" w:history="1">
        <w:r w:rsidR="000B2B3B" w:rsidRPr="00FD2F0C">
          <w:rPr>
            <w:rStyle w:val="Hyperlink"/>
            <w:rFonts w:asciiTheme="minorHAnsi" w:hAnsiTheme="minorHAnsi"/>
          </w:rPr>
          <w:t>3.2</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Results and preparations of World Radiocommunication Conferences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_Toc485648001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35</w:t>
        </w:r>
        <w:r w:rsidR="000B2B3B" w:rsidRPr="00FD2F0C">
          <w:rPr>
            <w:rFonts w:asciiTheme="minorHAnsi" w:hAnsiTheme="minorHAnsi"/>
            <w:webHidden/>
          </w:rPr>
          <w:fldChar w:fldCharType="end"/>
        </w:r>
      </w:hyperlink>
    </w:p>
    <w:p w14:paraId="29056124" w14:textId="77777777" w:rsidR="000B2B3B" w:rsidRPr="00FD2F0C" w:rsidRDefault="00573C99">
      <w:pPr>
        <w:pStyle w:val="TOC3"/>
        <w:rPr>
          <w:rFonts w:asciiTheme="minorHAnsi" w:hAnsiTheme="minorHAnsi" w:cstheme="minorBidi"/>
          <w:color w:val="auto"/>
          <w:sz w:val="22"/>
          <w:szCs w:val="22"/>
          <w:lang w:eastAsia="zh-CN"/>
        </w:rPr>
      </w:pPr>
      <w:hyperlink w:anchor="_Toc485648002" w:history="1">
        <w:r w:rsidR="000B2B3B" w:rsidRPr="00FD2F0C">
          <w:rPr>
            <w:rStyle w:val="Hyperlink"/>
            <w:rFonts w:asciiTheme="minorHAnsi" w:hAnsiTheme="minorHAnsi"/>
          </w:rPr>
          <w:t>3.2.1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WRC cycle and WRC process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_Toc485648002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35</w:t>
        </w:r>
        <w:r w:rsidR="000B2B3B" w:rsidRPr="00FD2F0C">
          <w:rPr>
            <w:rFonts w:asciiTheme="minorHAnsi" w:hAnsiTheme="minorHAnsi"/>
            <w:webHidden/>
          </w:rPr>
          <w:fldChar w:fldCharType="end"/>
        </w:r>
      </w:hyperlink>
    </w:p>
    <w:p w14:paraId="4E6C5EEB" w14:textId="77777777" w:rsidR="000B2B3B" w:rsidRPr="00FD2F0C" w:rsidRDefault="00573C99">
      <w:pPr>
        <w:pStyle w:val="TOC3"/>
        <w:rPr>
          <w:rFonts w:asciiTheme="minorHAnsi" w:hAnsiTheme="minorHAnsi" w:cstheme="minorBidi"/>
          <w:color w:val="auto"/>
          <w:sz w:val="22"/>
          <w:szCs w:val="22"/>
          <w:lang w:eastAsia="zh-CN"/>
        </w:rPr>
      </w:pPr>
      <w:hyperlink w:anchor="_Toc485648003" w:history="1">
        <w:r w:rsidR="000B2B3B" w:rsidRPr="00FD2F0C">
          <w:rPr>
            <w:rStyle w:val="Hyperlink"/>
            <w:rFonts w:asciiTheme="minorHAnsi" w:hAnsiTheme="minorHAnsi"/>
          </w:rPr>
          <w:t>3.2.2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WRC-15</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_Toc485648003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35</w:t>
        </w:r>
        <w:r w:rsidR="000B2B3B" w:rsidRPr="00FD2F0C">
          <w:rPr>
            <w:rFonts w:asciiTheme="minorHAnsi" w:hAnsiTheme="minorHAnsi"/>
            <w:webHidden/>
          </w:rPr>
          <w:fldChar w:fldCharType="end"/>
        </w:r>
      </w:hyperlink>
    </w:p>
    <w:p w14:paraId="2E824A18" w14:textId="77777777" w:rsidR="000B2B3B" w:rsidRPr="00FD2F0C" w:rsidRDefault="00573C99">
      <w:pPr>
        <w:pStyle w:val="TOC3"/>
        <w:rPr>
          <w:rFonts w:asciiTheme="minorHAnsi" w:hAnsiTheme="minorHAnsi" w:cstheme="minorBidi"/>
          <w:color w:val="auto"/>
          <w:sz w:val="22"/>
          <w:szCs w:val="22"/>
          <w:lang w:eastAsia="zh-CN"/>
        </w:rPr>
      </w:pPr>
      <w:hyperlink w:anchor="_Toc485648004" w:history="1">
        <w:r w:rsidR="000B2B3B" w:rsidRPr="00FD2F0C">
          <w:rPr>
            <w:rStyle w:val="Hyperlink"/>
            <w:rFonts w:asciiTheme="minorHAnsi" w:hAnsiTheme="minorHAnsi"/>
          </w:rPr>
          <w:t>3.2.3</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Preparation for WRC-19 and WRC-23</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_Toc485648004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36</w:t>
        </w:r>
        <w:r w:rsidR="000B2B3B" w:rsidRPr="00FD2F0C">
          <w:rPr>
            <w:rFonts w:asciiTheme="minorHAnsi" w:hAnsiTheme="minorHAnsi"/>
            <w:webHidden/>
          </w:rPr>
          <w:fldChar w:fldCharType="end"/>
        </w:r>
      </w:hyperlink>
    </w:p>
    <w:p w14:paraId="576143B3"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05" w:history="1">
        <w:r w:rsidR="000B2B3B" w:rsidRPr="00FD2F0C">
          <w:rPr>
            <w:rStyle w:val="Hyperlink"/>
            <w:rFonts w:asciiTheme="minorHAnsi" w:hAnsiTheme="minorHAnsi"/>
          </w:rPr>
          <w:t>4</w:t>
        </w:r>
        <w:r w:rsidR="000B2B3B" w:rsidRPr="00FD2F0C">
          <w:rPr>
            <w:rFonts w:asciiTheme="minorHAnsi" w:eastAsiaTheme="minorEastAsia" w:hAnsiTheme="minorHAnsi" w:cstheme="minorBidi"/>
            <w:b w:val="0"/>
            <w:bCs w:val="0"/>
            <w:sz w:val="22"/>
            <w:szCs w:val="22"/>
            <w:lang w:eastAsia="zh-CN"/>
          </w:rPr>
          <w:tab/>
        </w:r>
        <w:r w:rsidR="000B2B3B" w:rsidRPr="00FD2F0C">
          <w:rPr>
            <w:rStyle w:val="Hyperlink"/>
            <w:rFonts w:asciiTheme="minorHAnsi" w:hAnsiTheme="minorHAnsi"/>
          </w:rPr>
          <w:t>CHAPTER 4 – Spectrum monitoring</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38</w:t>
        </w:r>
        <w:r w:rsidR="000B2B3B" w:rsidRPr="00FD2F0C">
          <w:rPr>
            <w:rFonts w:asciiTheme="minorHAnsi" w:hAnsiTheme="minorHAnsi"/>
            <w:webHidden/>
          </w:rPr>
          <w:fldChar w:fldCharType="end"/>
        </w:r>
      </w:hyperlink>
    </w:p>
    <w:p w14:paraId="496F00B8" w14:textId="77777777" w:rsidR="000B2B3B" w:rsidRPr="00FD2F0C" w:rsidRDefault="00573C99">
      <w:pPr>
        <w:pStyle w:val="TOC2"/>
        <w:rPr>
          <w:rFonts w:asciiTheme="minorHAnsi" w:hAnsiTheme="minorHAnsi" w:cstheme="minorBidi"/>
          <w:bCs w:val="0"/>
          <w:sz w:val="22"/>
          <w:szCs w:val="22"/>
          <w:lang w:val="en-US" w:eastAsia="zh-CN"/>
        </w:rPr>
      </w:pPr>
      <w:hyperlink w:anchor="_Toc485648006" w:history="1">
        <w:r w:rsidR="000B2B3B" w:rsidRPr="00FD2F0C">
          <w:rPr>
            <w:rStyle w:val="Hyperlink"/>
            <w:rFonts w:asciiTheme="minorHAnsi" w:hAnsiTheme="minorHAnsi"/>
            <w:lang w:val="en-GB"/>
          </w:rPr>
          <w:t>4.1</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lang w:val="en-GB"/>
          </w:rPr>
          <w:t>Identification of methodologies on setting up a spectrum monitoring network</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39</w:t>
        </w:r>
        <w:r w:rsidR="000B2B3B" w:rsidRPr="00FD2F0C">
          <w:rPr>
            <w:rFonts w:asciiTheme="minorHAnsi" w:hAnsiTheme="minorHAnsi"/>
            <w:webHidden/>
          </w:rPr>
          <w:fldChar w:fldCharType="end"/>
        </w:r>
      </w:hyperlink>
    </w:p>
    <w:p w14:paraId="427B72C1" w14:textId="77777777" w:rsidR="000B2B3B" w:rsidRPr="00FD2F0C" w:rsidRDefault="00573C99">
      <w:pPr>
        <w:pStyle w:val="TOC3"/>
        <w:rPr>
          <w:rFonts w:asciiTheme="minorHAnsi" w:hAnsiTheme="minorHAnsi" w:cstheme="minorBidi"/>
          <w:color w:val="auto"/>
          <w:sz w:val="22"/>
          <w:szCs w:val="22"/>
          <w:lang w:eastAsia="zh-CN"/>
        </w:rPr>
      </w:pPr>
      <w:hyperlink w:anchor="_Toc485648007" w:history="1">
        <w:r w:rsidR="000B2B3B" w:rsidRPr="00FD2F0C">
          <w:rPr>
            <w:rStyle w:val="Hyperlink"/>
            <w:rFonts w:asciiTheme="minorHAnsi" w:hAnsiTheme="minorHAnsi"/>
          </w:rPr>
          <w:t>4.1.1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Setting up tenders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39</w:t>
        </w:r>
        <w:r w:rsidR="000B2B3B" w:rsidRPr="00FD2F0C">
          <w:rPr>
            <w:rFonts w:asciiTheme="minorHAnsi" w:hAnsiTheme="minorHAnsi"/>
            <w:webHidden/>
          </w:rPr>
          <w:fldChar w:fldCharType="end"/>
        </w:r>
      </w:hyperlink>
    </w:p>
    <w:p w14:paraId="14EE1CC6" w14:textId="77777777" w:rsidR="000B2B3B" w:rsidRPr="00FD2F0C" w:rsidRDefault="00573C99">
      <w:pPr>
        <w:pStyle w:val="TOC3"/>
        <w:rPr>
          <w:rFonts w:asciiTheme="minorHAnsi" w:hAnsiTheme="minorHAnsi" w:cstheme="minorBidi"/>
          <w:color w:val="auto"/>
          <w:sz w:val="22"/>
          <w:szCs w:val="22"/>
          <w:lang w:eastAsia="zh-CN"/>
        </w:rPr>
      </w:pPr>
      <w:hyperlink w:anchor="_Toc485648008" w:history="1">
        <w:r w:rsidR="000B2B3B" w:rsidRPr="00FD2F0C">
          <w:rPr>
            <w:rStyle w:val="Hyperlink"/>
            <w:rFonts w:asciiTheme="minorHAnsi" w:hAnsiTheme="minorHAnsi"/>
          </w:rPr>
          <w:t>4.1.2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Planning a spectrum monitoring network</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_Toc485648008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40</w:t>
        </w:r>
        <w:r w:rsidR="000B2B3B" w:rsidRPr="00FD2F0C">
          <w:rPr>
            <w:rFonts w:asciiTheme="minorHAnsi" w:hAnsiTheme="minorHAnsi"/>
            <w:webHidden/>
          </w:rPr>
          <w:fldChar w:fldCharType="end"/>
        </w:r>
      </w:hyperlink>
    </w:p>
    <w:p w14:paraId="0DD2966C" w14:textId="77777777" w:rsidR="000B2B3B" w:rsidRPr="00FD2F0C" w:rsidRDefault="00573C99">
      <w:pPr>
        <w:pStyle w:val="TOC2"/>
        <w:rPr>
          <w:rFonts w:asciiTheme="minorHAnsi" w:hAnsiTheme="minorHAnsi" w:cstheme="minorBidi"/>
          <w:bCs w:val="0"/>
          <w:sz w:val="22"/>
          <w:szCs w:val="22"/>
          <w:lang w:val="en-US" w:eastAsia="zh-CN"/>
        </w:rPr>
      </w:pPr>
      <w:hyperlink w:anchor="_Toc485648009" w:history="1">
        <w:r w:rsidR="000B2B3B" w:rsidRPr="00FD2F0C">
          <w:rPr>
            <w:rStyle w:val="Hyperlink"/>
            <w:rFonts w:asciiTheme="minorHAnsi" w:hAnsiTheme="minorHAnsi"/>
          </w:rPr>
          <w:t>4.2</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rPr>
          <w:t>Challenges of detecting weak signals and solutions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_Toc485648009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41</w:t>
        </w:r>
        <w:r w:rsidR="000B2B3B" w:rsidRPr="00FD2F0C">
          <w:rPr>
            <w:rFonts w:asciiTheme="minorHAnsi" w:hAnsiTheme="minorHAnsi"/>
            <w:webHidden/>
          </w:rPr>
          <w:fldChar w:fldCharType="end"/>
        </w:r>
      </w:hyperlink>
    </w:p>
    <w:p w14:paraId="62E17371"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10" w:history="1">
        <w:r w:rsidR="000B2B3B" w:rsidRPr="00FD2F0C">
          <w:rPr>
            <w:rStyle w:val="Hyperlink"/>
            <w:rFonts w:asciiTheme="minorHAnsi" w:hAnsiTheme="minorHAnsi"/>
          </w:rPr>
          <w:t>Glossary</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_Toc485648010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43</w:t>
        </w:r>
        <w:r w:rsidR="000B2B3B" w:rsidRPr="00FD2F0C">
          <w:rPr>
            <w:rFonts w:asciiTheme="minorHAnsi" w:hAnsiTheme="minorHAnsi"/>
            <w:webHidden/>
          </w:rPr>
          <w:fldChar w:fldCharType="end"/>
        </w:r>
      </w:hyperlink>
    </w:p>
    <w:p w14:paraId="7E169774"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11" w:history="1">
        <w:r w:rsidR="000B2B3B" w:rsidRPr="00FD2F0C">
          <w:rPr>
            <w:rStyle w:val="Hyperlink"/>
            <w:rFonts w:asciiTheme="minorHAnsi" w:hAnsiTheme="minorHAnsi"/>
          </w:rPr>
          <w:t>Abbreviations and acronyms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_Toc485648011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44</w:t>
        </w:r>
        <w:r w:rsidR="000B2B3B" w:rsidRPr="00FD2F0C">
          <w:rPr>
            <w:rFonts w:asciiTheme="minorHAnsi" w:hAnsiTheme="minorHAnsi"/>
            <w:webHidden/>
          </w:rPr>
          <w:fldChar w:fldCharType="end"/>
        </w:r>
      </w:hyperlink>
    </w:p>
    <w:p w14:paraId="43BD4270"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12" w:history="1">
        <w:r w:rsidR="000B2B3B" w:rsidRPr="00FD2F0C">
          <w:rPr>
            <w:rStyle w:val="Hyperlink"/>
            <w:rFonts w:asciiTheme="minorHAnsi" w:hAnsiTheme="minorHAnsi"/>
            <w:lang w:val="en-GB"/>
          </w:rPr>
          <w:t>ITU-R References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_Toc485648012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47</w:t>
        </w:r>
        <w:r w:rsidR="000B2B3B" w:rsidRPr="00FD2F0C">
          <w:rPr>
            <w:rFonts w:asciiTheme="minorHAnsi" w:hAnsiTheme="minorHAnsi"/>
            <w:webHidden/>
          </w:rPr>
          <w:fldChar w:fldCharType="end"/>
        </w:r>
      </w:hyperlink>
    </w:p>
    <w:p w14:paraId="4EAAA1EC"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13" w:history="1">
        <w:r w:rsidR="000B2B3B" w:rsidRPr="00FD2F0C">
          <w:rPr>
            <w:rStyle w:val="Hyperlink"/>
            <w:rFonts w:asciiTheme="minorHAnsi" w:hAnsiTheme="minorHAnsi"/>
          </w:rPr>
          <w:t>Other references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_Toc485648013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50</w:t>
        </w:r>
        <w:r w:rsidR="000B2B3B" w:rsidRPr="00FD2F0C">
          <w:rPr>
            <w:rFonts w:asciiTheme="minorHAnsi" w:hAnsiTheme="minorHAnsi"/>
            <w:webHidden/>
          </w:rPr>
          <w:fldChar w:fldCharType="end"/>
        </w:r>
      </w:hyperlink>
    </w:p>
    <w:p w14:paraId="0312AF68"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14" w:history="1">
        <w:r w:rsidR="000B2B3B" w:rsidRPr="00FD2F0C">
          <w:rPr>
            <w:rStyle w:val="Hyperlink"/>
            <w:rFonts w:asciiTheme="minorHAnsi" w:hAnsiTheme="minorHAnsi"/>
            <w:lang w:val="en-GB"/>
          </w:rPr>
          <w:t>Annexes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_Toc485648014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51</w:t>
        </w:r>
        <w:r w:rsidR="000B2B3B" w:rsidRPr="00FD2F0C">
          <w:rPr>
            <w:rFonts w:asciiTheme="minorHAnsi" w:hAnsiTheme="minorHAnsi"/>
            <w:webHidden/>
          </w:rPr>
          <w:fldChar w:fldCharType="end"/>
        </w:r>
      </w:hyperlink>
    </w:p>
    <w:p w14:paraId="7EDFE5FF"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15" w:history="1">
        <w:r w:rsidR="000B2B3B" w:rsidRPr="00FD2F0C">
          <w:rPr>
            <w:rStyle w:val="Hyperlink"/>
            <w:rFonts w:asciiTheme="minorHAnsi" w:hAnsiTheme="minorHAnsi"/>
          </w:rPr>
          <w:t>Annex 1: Existing regulations on TV white space</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52</w:t>
        </w:r>
        <w:r w:rsidR="000B2B3B" w:rsidRPr="00FD2F0C">
          <w:rPr>
            <w:rFonts w:asciiTheme="minorHAnsi" w:hAnsiTheme="minorHAnsi"/>
            <w:webHidden/>
          </w:rPr>
          <w:fldChar w:fldCharType="end"/>
        </w:r>
      </w:hyperlink>
    </w:p>
    <w:p w14:paraId="6E8750D6"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16" w:history="1">
        <w:r w:rsidR="000B2B3B" w:rsidRPr="00FD2F0C">
          <w:rPr>
            <w:rStyle w:val="Hyperlink"/>
            <w:rFonts w:asciiTheme="minorHAnsi" w:hAnsiTheme="minorHAnsi"/>
          </w:rPr>
          <w:t>Annex 2: Case studies and countries experiences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53</w:t>
        </w:r>
        <w:r w:rsidR="000B2B3B" w:rsidRPr="00FD2F0C">
          <w:rPr>
            <w:rFonts w:asciiTheme="minorHAnsi" w:hAnsiTheme="minorHAnsi"/>
            <w:webHidden/>
          </w:rPr>
          <w:fldChar w:fldCharType="end"/>
        </w:r>
      </w:hyperlink>
    </w:p>
    <w:p w14:paraId="5835138F" w14:textId="77777777" w:rsidR="000B2B3B" w:rsidRPr="00FD2F0C" w:rsidRDefault="00573C99">
      <w:pPr>
        <w:pStyle w:val="TOC2"/>
        <w:rPr>
          <w:rFonts w:asciiTheme="minorHAnsi" w:hAnsiTheme="minorHAnsi" w:cstheme="minorBidi"/>
          <w:bCs w:val="0"/>
          <w:sz w:val="22"/>
          <w:szCs w:val="22"/>
          <w:lang w:val="en-US" w:eastAsia="zh-CN"/>
        </w:rPr>
      </w:pPr>
      <w:hyperlink w:anchor="_Toc485648017" w:history="1">
        <w:r w:rsidR="000B2B3B" w:rsidRPr="00FD2F0C">
          <w:rPr>
            <w:rStyle w:val="Hyperlink"/>
            <w:rFonts w:asciiTheme="minorHAnsi" w:hAnsiTheme="minorHAnsi"/>
            <w:b/>
            <w:lang w:val="en-GB"/>
          </w:rPr>
          <w:t>A2-1.</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b/>
            <w:lang w:val="en-GB"/>
          </w:rPr>
          <w:t>Digital Dividend</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53</w:t>
        </w:r>
        <w:r w:rsidR="000B2B3B" w:rsidRPr="00FD2F0C">
          <w:rPr>
            <w:rFonts w:asciiTheme="minorHAnsi" w:hAnsiTheme="minorHAnsi"/>
            <w:webHidden/>
          </w:rPr>
          <w:fldChar w:fldCharType="end"/>
        </w:r>
      </w:hyperlink>
    </w:p>
    <w:p w14:paraId="073C2B7F" w14:textId="77777777" w:rsidR="000B2B3B" w:rsidRPr="00FD2F0C" w:rsidRDefault="00573C99">
      <w:pPr>
        <w:pStyle w:val="TOC2"/>
        <w:rPr>
          <w:rFonts w:asciiTheme="minorHAnsi" w:hAnsiTheme="minorHAnsi" w:cstheme="minorBidi"/>
          <w:bCs w:val="0"/>
          <w:sz w:val="22"/>
          <w:szCs w:val="22"/>
          <w:lang w:val="en-US" w:eastAsia="zh-CN"/>
        </w:rPr>
      </w:pPr>
      <w:hyperlink w:anchor="_Toc485648018" w:history="1">
        <w:r w:rsidR="000B2B3B" w:rsidRPr="00FD2F0C">
          <w:rPr>
            <w:rStyle w:val="Hyperlink"/>
            <w:rFonts w:asciiTheme="minorHAnsi" w:hAnsiTheme="minorHAnsi"/>
            <w:b/>
            <w:lang w:val="en-GB"/>
          </w:rPr>
          <w:t>A2-2.</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b/>
            <w:lang w:val="en-GB"/>
          </w:rPr>
          <w:t>National regulations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_Toc485648018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59</w:t>
        </w:r>
        <w:r w:rsidR="000B2B3B" w:rsidRPr="00FD2F0C">
          <w:rPr>
            <w:rFonts w:asciiTheme="minorHAnsi" w:hAnsiTheme="minorHAnsi"/>
            <w:webHidden/>
          </w:rPr>
          <w:fldChar w:fldCharType="end"/>
        </w:r>
      </w:hyperlink>
    </w:p>
    <w:p w14:paraId="2A5D52BF" w14:textId="77777777" w:rsidR="000B2B3B" w:rsidRPr="00FD2F0C" w:rsidRDefault="00573C99">
      <w:pPr>
        <w:pStyle w:val="TOC2"/>
        <w:rPr>
          <w:rFonts w:asciiTheme="minorHAnsi" w:hAnsiTheme="minorHAnsi" w:cstheme="minorBidi"/>
          <w:bCs w:val="0"/>
          <w:sz w:val="22"/>
          <w:szCs w:val="22"/>
          <w:lang w:val="en-US" w:eastAsia="zh-CN"/>
        </w:rPr>
      </w:pPr>
      <w:hyperlink w:anchor="_Toc485648019" w:history="1">
        <w:r w:rsidR="000B2B3B" w:rsidRPr="00FD2F0C">
          <w:rPr>
            <w:rStyle w:val="Hyperlink"/>
            <w:rFonts w:asciiTheme="minorHAnsi" w:hAnsiTheme="minorHAnsi"/>
            <w:b/>
            <w:lang w:val="en-GB"/>
          </w:rPr>
          <w:t>A2-3.</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b/>
            <w:lang w:val="en-GB"/>
          </w:rPr>
          <w:t>Case studies of broadband access in the TVWS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_Toc485648019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60</w:t>
        </w:r>
        <w:r w:rsidR="000B2B3B" w:rsidRPr="00FD2F0C">
          <w:rPr>
            <w:rFonts w:asciiTheme="minorHAnsi" w:hAnsiTheme="minorHAnsi"/>
            <w:webHidden/>
          </w:rPr>
          <w:fldChar w:fldCharType="end"/>
        </w:r>
      </w:hyperlink>
    </w:p>
    <w:p w14:paraId="593C3849" w14:textId="77777777" w:rsidR="000B2B3B" w:rsidRPr="00FD2F0C" w:rsidRDefault="00573C99">
      <w:pPr>
        <w:pStyle w:val="TOC3"/>
        <w:rPr>
          <w:rFonts w:asciiTheme="minorHAnsi" w:hAnsiTheme="minorHAnsi" w:cstheme="minorBidi"/>
          <w:color w:val="auto"/>
          <w:sz w:val="22"/>
          <w:szCs w:val="22"/>
          <w:lang w:eastAsia="zh-CN"/>
        </w:rPr>
      </w:pPr>
      <w:hyperlink w:anchor="_Toc485648020" w:history="1">
        <w:r w:rsidR="000B2B3B" w:rsidRPr="00FD2F0C">
          <w:rPr>
            <w:rStyle w:val="Hyperlink"/>
            <w:rFonts w:asciiTheme="minorHAnsi" w:hAnsiTheme="minorHAnsi"/>
          </w:rPr>
          <w:t>A2-3.1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Bhutan</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_Toc485648020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60</w:t>
        </w:r>
        <w:r w:rsidR="000B2B3B" w:rsidRPr="00FD2F0C">
          <w:rPr>
            <w:rFonts w:asciiTheme="minorHAnsi" w:hAnsiTheme="minorHAnsi"/>
            <w:webHidden/>
          </w:rPr>
          <w:fldChar w:fldCharType="end"/>
        </w:r>
      </w:hyperlink>
    </w:p>
    <w:p w14:paraId="76482C9F" w14:textId="77777777" w:rsidR="000B2B3B" w:rsidRPr="00FD2F0C" w:rsidRDefault="00573C99">
      <w:pPr>
        <w:pStyle w:val="TOC3"/>
        <w:rPr>
          <w:rFonts w:asciiTheme="minorHAnsi" w:hAnsiTheme="minorHAnsi" w:cstheme="minorBidi"/>
          <w:color w:val="auto"/>
          <w:sz w:val="22"/>
          <w:szCs w:val="22"/>
          <w:lang w:eastAsia="zh-CN"/>
        </w:rPr>
      </w:pPr>
      <w:hyperlink w:anchor="_Toc485648021" w:history="1">
        <w:r w:rsidR="000B2B3B" w:rsidRPr="00FD2F0C">
          <w:rPr>
            <w:rStyle w:val="Hyperlink"/>
            <w:rFonts w:asciiTheme="minorHAnsi" w:hAnsiTheme="minorHAnsi"/>
          </w:rPr>
          <w:t>A2-3.2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Botswana</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_Toc485648021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60</w:t>
        </w:r>
        <w:r w:rsidR="000B2B3B" w:rsidRPr="00FD2F0C">
          <w:rPr>
            <w:rFonts w:asciiTheme="minorHAnsi" w:hAnsiTheme="minorHAnsi"/>
            <w:webHidden/>
          </w:rPr>
          <w:fldChar w:fldCharType="end"/>
        </w:r>
      </w:hyperlink>
    </w:p>
    <w:p w14:paraId="49E4C360" w14:textId="77777777" w:rsidR="000B2B3B" w:rsidRPr="00FD2F0C" w:rsidRDefault="00573C99">
      <w:pPr>
        <w:pStyle w:val="TOC3"/>
        <w:rPr>
          <w:rFonts w:asciiTheme="minorHAnsi" w:hAnsiTheme="minorHAnsi" w:cstheme="minorBidi"/>
          <w:color w:val="auto"/>
          <w:sz w:val="22"/>
          <w:szCs w:val="22"/>
          <w:lang w:eastAsia="zh-CN"/>
        </w:rPr>
      </w:pPr>
      <w:hyperlink w:anchor="_Toc485648022" w:history="1">
        <w:r w:rsidR="000B2B3B" w:rsidRPr="00FD2F0C">
          <w:rPr>
            <w:rStyle w:val="Hyperlink"/>
            <w:rFonts w:asciiTheme="minorHAnsi" w:hAnsiTheme="minorHAnsi"/>
          </w:rPr>
          <w:t>A2-3.3</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Republic of Korea</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_Toc485648022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61</w:t>
        </w:r>
        <w:r w:rsidR="000B2B3B" w:rsidRPr="00FD2F0C">
          <w:rPr>
            <w:rFonts w:asciiTheme="minorHAnsi" w:hAnsiTheme="minorHAnsi"/>
            <w:webHidden/>
          </w:rPr>
          <w:fldChar w:fldCharType="end"/>
        </w:r>
      </w:hyperlink>
    </w:p>
    <w:p w14:paraId="68281E34" w14:textId="77777777" w:rsidR="000B2B3B" w:rsidRPr="00FD2F0C" w:rsidRDefault="00573C99">
      <w:pPr>
        <w:pStyle w:val="TOC3"/>
        <w:rPr>
          <w:rFonts w:asciiTheme="minorHAnsi" w:hAnsiTheme="minorHAnsi" w:cstheme="minorBidi"/>
          <w:color w:val="auto"/>
          <w:sz w:val="22"/>
          <w:szCs w:val="22"/>
          <w:lang w:eastAsia="zh-CN"/>
        </w:rPr>
      </w:pPr>
      <w:hyperlink w:anchor="_Toc485648023" w:history="1">
        <w:r w:rsidR="000B2B3B" w:rsidRPr="00FD2F0C">
          <w:rPr>
            <w:rStyle w:val="Hyperlink"/>
            <w:rFonts w:asciiTheme="minorHAnsi" w:hAnsiTheme="minorHAnsi"/>
          </w:rPr>
          <w:t>A2-3.4</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Malawi</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_Toc485648023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61</w:t>
        </w:r>
        <w:r w:rsidR="000B2B3B" w:rsidRPr="00FD2F0C">
          <w:rPr>
            <w:rFonts w:asciiTheme="minorHAnsi" w:hAnsiTheme="minorHAnsi"/>
            <w:webHidden/>
          </w:rPr>
          <w:fldChar w:fldCharType="end"/>
        </w:r>
      </w:hyperlink>
    </w:p>
    <w:p w14:paraId="661B930B" w14:textId="77777777" w:rsidR="000B2B3B" w:rsidRPr="00FD2F0C" w:rsidRDefault="00573C99">
      <w:pPr>
        <w:pStyle w:val="TOC3"/>
        <w:rPr>
          <w:rFonts w:asciiTheme="minorHAnsi" w:hAnsiTheme="minorHAnsi" w:cstheme="minorBidi"/>
          <w:color w:val="auto"/>
          <w:sz w:val="22"/>
          <w:szCs w:val="22"/>
          <w:lang w:eastAsia="zh-CN"/>
        </w:rPr>
      </w:pPr>
      <w:hyperlink w:anchor="_Toc485648024" w:history="1">
        <w:r w:rsidR="000B2B3B" w:rsidRPr="00FD2F0C">
          <w:rPr>
            <w:rStyle w:val="Hyperlink"/>
            <w:rFonts w:asciiTheme="minorHAnsi" w:hAnsiTheme="minorHAnsi"/>
          </w:rPr>
          <w:t>A2-3.5</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The Philippines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_Toc485648024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61</w:t>
        </w:r>
        <w:r w:rsidR="000B2B3B" w:rsidRPr="00FD2F0C">
          <w:rPr>
            <w:rFonts w:asciiTheme="minorHAnsi" w:hAnsiTheme="minorHAnsi"/>
            <w:webHidden/>
          </w:rPr>
          <w:fldChar w:fldCharType="end"/>
        </w:r>
      </w:hyperlink>
    </w:p>
    <w:p w14:paraId="4AE50B40" w14:textId="77777777" w:rsidR="000B2B3B" w:rsidRPr="00FD2F0C" w:rsidRDefault="00573C99">
      <w:pPr>
        <w:pStyle w:val="TOC3"/>
        <w:rPr>
          <w:rFonts w:asciiTheme="minorHAnsi" w:hAnsiTheme="minorHAnsi" w:cstheme="minorBidi"/>
          <w:color w:val="auto"/>
          <w:sz w:val="22"/>
          <w:szCs w:val="22"/>
          <w:lang w:eastAsia="zh-CN"/>
        </w:rPr>
      </w:pPr>
      <w:hyperlink w:anchor="_Toc485648025" w:history="1">
        <w:r w:rsidR="000B2B3B" w:rsidRPr="00FD2F0C">
          <w:rPr>
            <w:rStyle w:val="Hyperlink"/>
            <w:rFonts w:asciiTheme="minorHAnsi" w:hAnsiTheme="minorHAnsi"/>
          </w:rPr>
          <w:t>A2-3.6</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United States of America</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62</w:t>
        </w:r>
        <w:r w:rsidR="000B2B3B" w:rsidRPr="00FD2F0C">
          <w:rPr>
            <w:rFonts w:asciiTheme="minorHAnsi" w:hAnsiTheme="minorHAnsi"/>
            <w:webHidden/>
          </w:rPr>
          <w:fldChar w:fldCharType="end"/>
        </w:r>
      </w:hyperlink>
    </w:p>
    <w:p w14:paraId="4FED7290" w14:textId="77777777" w:rsidR="000B2B3B" w:rsidRPr="00FD2F0C" w:rsidRDefault="00573C99">
      <w:pPr>
        <w:pStyle w:val="TOC3"/>
        <w:rPr>
          <w:rFonts w:asciiTheme="minorHAnsi" w:hAnsiTheme="minorHAnsi" w:cstheme="minorBidi"/>
          <w:color w:val="auto"/>
          <w:sz w:val="22"/>
          <w:szCs w:val="22"/>
          <w:lang w:eastAsia="zh-CN"/>
        </w:rPr>
      </w:pPr>
      <w:hyperlink w:anchor="_Toc485648026" w:history="1">
        <w:r w:rsidR="000B2B3B" w:rsidRPr="00FD2F0C">
          <w:rPr>
            <w:rStyle w:val="Hyperlink"/>
            <w:rFonts w:asciiTheme="minorHAnsi" w:hAnsiTheme="minorHAnsi"/>
          </w:rPr>
          <w:t>A2-3.7</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Ghana</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63</w:t>
        </w:r>
        <w:r w:rsidR="000B2B3B" w:rsidRPr="00FD2F0C">
          <w:rPr>
            <w:rFonts w:asciiTheme="minorHAnsi" w:hAnsiTheme="minorHAnsi"/>
            <w:webHidden/>
          </w:rPr>
          <w:fldChar w:fldCharType="end"/>
        </w:r>
      </w:hyperlink>
    </w:p>
    <w:p w14:paraId="6350CFC2" w14:textId="77777777" w:rsidR="000B2B3B" w:rsidRPr="00FD2F0C" w:rsidRDefault="00573C99">
      <w:pPr>
        <w:pStyle w:val="TOC2"/>
        <w:rPr>
          <w:rFonts w:asciiTheme="minorHAnsi" w:hAnsiTheme="minorHAnsi" w:cstheme="minorBidi"/>
          <w:bCs w:val="0"/>
          <w:sz w:val="22"/>
          <w:szCs w:val="22"/>
          <w:lang w:val="en-US" w:eastAsia="zh-CN"/>
        </w:rPr>
      </w:pPr>
      <w:hyperlink w:anchor="_Toc485648027" w:history="1">
        <w:r w:rsidR="000B2B3B" w:rsidRPr="00FD2F0C">
          <w:rPr>
            <w:rStyle w:val="Hyperlink"/>
            <w:rFonts w:asciiTheme="minorHAnsi" w:hAnsiTheme="minorHAnsi"/>
            <w:b/>
            <w:lang w:val="en-GB"/>
          </w:rPr>
          <w:t>A2-4.</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b/>
            <w:lang w:val="en-GB"/>
          </w:rPr>
          <w:t>Countries experiences in relation to spectrum pricing, licensing fees and auctions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63</w:t>
        </w:r>
        <w:r w:rsidR="000B2B3B" w:rsidRPr="00FD2F0C">
          <w:rPr>
            <w:rFonts w:asciiTheme="minorHAnsi" w:hAnsiTheme="minorHAnsi"/>
            <w:webHidden/>
          </w:rPr>
          <w:fldChar w:fldCharType="end"/>
        </w:r>
      </w:hyperlink>
    </w:p>
    <w:p w14:paraId="2E3F3053" w14:textId="77777777" w:rsidR="000B2B3B" w:rsidRPr="00FD2F0C" w:rsidRDefault="00573C99">
      <w:pPr>
        <w:pStyle w:val="TOC3"/>
        <w:rPr>
          <w:rFonts w:asciiTheme="minorHAnsi" w:hAnsiTheme="minorHAnsi" w:cstheme="minorBidi"/>
          <w:color w:val="auto"/>
          <w:sz w:val="22"/>
          <w:szCs w:val="22"/>
          <w:lang w:eastAsia="zh-CN"/>
        </w:rPr>
      </w:pPr>
      <w:hyperlink w:anchor="_Toc485648028" w:history="1">
        <w:r w:rsidR="000B2B3B" w:rsidRPr="00FD2F0C">
          <w:rPr>
            <w:rStyle w:val="Hyperlink"/>
            <w:rFonts w:asciiTheme="minorHAnsi" w:eastAsia="SimSun" w:hAnsiTheme="minorHAnsi"/>
          </w:rPr>
          <w:t>A2-4.1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eastAsia="SimSun" w:hAnsiTheme="minorHAnsi"/>
          </w:rPr>
          <w:t>Côte d’Ivoire – Estimating costs of licenses and frequencies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_Toc485648028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63</w:t>
        </w:r>
        <w:r w:rsidR="000B2B3B" w:rsidRPr="00FD2F0C">
          <w:rPr>
            <w:rFonts w:asciiTheme="minorHAnsi" w:hAnsiTheme="minorHAnsi"/>
            <w:webHidden/>
          </w:rPr>
          <w:fldChar w:fldCharType="end"/>
        </w:r>
      </w:hyperlink>
    </w:p>
    <w:p w14:paraId="492DBABE" w14:textId="77777777" w:rsidR="000B2B3B" w:rsidRPr="00FD2F0C" w:rsidRDefault="00573C99">
      <w:pPr>
        <w:pStyle w:val="TOC3"/>
        <w:rPr>
          <w:rFonts w:asciiTheme="minorHAnsi" w:hAnsiTheme="minorHAnsi" w:cstheme="minorBidi"/>
          <w:color w:val="auto"/>
          <w:sz w:val="22"/>
          <w:szCs w:val="22"/>
          <w:lang w:eastAsia="zh-CN"/>
        </w:rPr>
      </w:pPr>
      <w:hyperlink w:anchor="_Toc485648029" w:history="1">
        <w:r w:rsidR="000B2B3B" w:rsidRPr="00FD2F0C">
          <w:rPr>
            <w:rStyle w:val="Hyperlink"/>
            <w:rFonts w:asciiTheme="minorHAnsi" w:hAnsiTheme="minorHAnsi"/>
          </w:rPr>
          <w:t>A2-4.2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Republic of Niger – Method to determine the frequency fees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_Toc485648029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64</w:t>
        </w:r>
        <w:r w:rsidR="000B2B3B" w:rsidRPr="00FD2F0C">
          <w:rPr>
            <w:rFonts w:asciiTheme="minorHAnsi" w:hAnsiTheme="minorHAnsi"/>
            <w:webHidden/>
          </w:rPr>
          <w:fldChar w:fldCharType="end"/>
        </w:r>
      </w:hyperlink>
    </w:p>
    <w:p w14:paraId="7A61D5A6" w14:textId="77777777" w:rsidR="000B2B3B" w:rsidRPr="00FD2F0C" w:rsidRDefault="00573C99">
      <w:pPr>
        <w:pStyle w:val="TOC3"/>
        <w:rPr>
          <w:rFonts w:asciiTheme="minorHAnsi" w:hAnsiTheme="minorHAnsi" w:cstheme="minorBidi"/>
          <w:color w:val="auto"/>
          <w:sz w:val="22"/>
          <w:szCs w:val="22"/>
          <w:lang w:eastAsia="zh-CN"/>
        </w:rPr>
      </w:pPr>
      <w:hyperlink w:anchor="_Toc485648030" w:history="1">
        <w:r w:rsidR="000B2B3B" w:rsidRPr="00FD2F0C">
          <w:rPr>
            <w:rStyle w:val="Hyperlink"/>
            <w:rFonts w:asciiTheme="minorHAnsi" w:hAnsiTheme="minorHAnsi"/>
          </w:rPr>
          <w:t>A2-4.3</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Russian Federation – Experience of Russian Federation in the field of spectrum fees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_Toc485648030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65</w:t>
        </w:r>
        <w:r w:rsidR="000B2B3B" w:rsidRPr="00FD2F0C">
          <w:rPr>
            <w:rFonts w:asciiTheme="minorHAnsi" w:hAnsiTheme="minorHAnsi"/>
            <w:webHidden/>
          </w:rPr>
          <w:fldChar w:fldCharType="end"/>
        </w:r>
      </w:hyperlink>
    </w:p>
    <w:p w14:paraId="164E3E37" w14:textId="77777777" w:rsidR="000B2B3B" w:rsidRPr="00FD2F0C" w:rsidRDefault="00573C99">
      <w:pPr>
        <w:pStyle w:val="TOC3"/>
        <w:rPr>
          <w:rFonts w:asciiTheme="minorHAnsi" w:hAnsiTheme="minorHAnsi" w:cstheme="minorBidi"/>
          <w:color w:val="auto"/>
          <w:sz w:val="22"/>
          <w:szCs w:val="22"/>
          <w:lang w:eastAsia="zh-CN"/>
        </w:rPr>
      </w:pPr>
      <w:hyperlink w:anchor="_Toc485648031" w:history="1">
        <w:r w:rsidR="000B2B3B" w:rsidRPr="00FD2F0C">
          <w:rPr>
            <w:rStyle w:val="Hyperlink"/>
            <w:rFonts w:asciiTheme="minorHAnsi" w:hAnsiTheme="minorHAnsi"/>
          </w:rPr>
          <w:t>A2-4.4</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Republic of Korea –Beauty contest and auction in spectrum management</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_Toc485648031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67</w:t>
        </w:r>
        <w:r w:rsidR="000B2B3B" w:rsidRPr="00FD2F0C">
          <w:rPr>
            <w:rFonts w:asciiTheme="minorHAnsi" w:hAnsiTheme="minorHAnsi"/>
            <w:webHidden/>
          </w:rPr>
          <w:fldChar w:fldCharType="end"/>
        </w:r>
      </w:hyperlink>
    </w:p>
    <w:p w14:paraId="52B56FAA" w14:textId="77777777" w:rsidR="000B2B3B" w:rsidRPr="00FD2F0C" w:rsidRDefault="00573C99">
      <w:pPr>
        <w:pStyle w:val="TOC2"/>
        <w:rPr>
          <w:rFonts w:asciiTheme="minorHAnsi" w:hAnsiTheme="minorHAnsi" w:cstheme="minorBidi"/>
          <w:bCs w:val="0"/>
          <w:sz w:val="22"/>
          <w:szCs w:val="22"/>
          <w:lang w:val="en-US" w:eastAsia="zh-CN"/>
        </w:rPr>
      </w:pPr>
      <w:hyperlink w:anchor="_Toc485648032" w:history="1">
        <w:r w:rsidR="000B2B3B" w:rsidRPr="00FD2F0C">
          <w:rPr>
            <w:rStyle w:val="Hyperlink"/>
            <w:rFonts w:asciiTheme="minorHAnsi" w:hAnsiTheme="minorHAnsi"/>
            <w:b/>
            <w:lang w:val="en-GB"/>
          </w:rPr>
          <w:t>A2-5.</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b/>
            <w:lang w:val="en-GB"/>
          </w:rPr>
          <w:t>Countries experiences in relation to Spectrum Management Systems</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_Toc485648032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67</w:t>
        </w:r>
        <w:r w:rsidR="000B2B3B" w:rsidRPr="00FD2F0C">
          <w:rPr>
            <w:rFonts w:asciiTheme="minorHAnsi" w:hAnsiTheme="minorHAnsi"/>
            <w:webHidden/>
          </w:rPr>
          <w:fldChar w:fldCharType="end"/>
        </w:r>
      </w:hyperlink>
    </w:p>
    <w:p w14:paraId="1589A2A1" w14:textId="77777777" w:rsidR="000B2B3B" w:rsidRPr="00FD2F0C" w:rsidRDefault="00573C99">
      <w:pPr>
        <w:pStyle w:val="TOC3"/>
        <w:rPr>
          <w:rFonts w:asciiTheme="minorHAnsi" w:hAnsiTheme="minorHAnsi" w:cstheme="minorBidi"/>
          <w:color w:val="auto"/>
          <w:sz w:val="22"/>
          <w:szCs w:val="22"/>
          <w:lang w:eastAsia="zh-CN"/>
        </w:rPr>
      </w:pPr>
      <w:hyperlink w:anchor="_Toc485648033" w:history="1">
        <w:r w:rsidR="000B2B3B" w:rsidRPr="00FD2F0C">
          <w:rPr>
            <w:rStyle w:val="Hyperlink"/>
            <w:rFonts w:asciiTheme="minorHAnsi" w:hAnsiTheme="minorHAnsi"/>
          </w:rPr>
          <w:t>A2-5.1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Hungary – Spectrum Management IT System (STIR)</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_Toc485648033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67</w:t>
        </w:r>
        <w:r w:rsidR="000B2B3B" w:rsidRPr="00FD2F0C">
          <w:rPr>
            <w:rFonts w:asciiTheme="minorHAnsi" w:hAnsiTheme="minorHAnsi"/>
            <w:webHidden/>
          </w:rPr>
          <w:fldChar w:fldCharType="end"/>
        </w:r>
      </w:hyperlink>
    </w:p>
    <w:p w14:paraId="5C30B41B" w14:textId="77777777" w:rsidR="000B2B3B" w:rsidRPr="00FD2F0C" w:rsidRDefault="00573C99">
      <w:pPr>
        <w:pStyle w:val="TOC2"/>
        <w:rPr>
          <w:rFonts w:asciiTheme="minorHAnsi" w:hAnsiTheme="minorHAnsi" w:cstheme="minorBidi"/>
          <w:bCs w:val="0"/>
          <w:sz w:val="22"/>
          <w:szCs w:val="22"/>
          <w:lang w:val="en-US" w:eastAsia="zh-CN"/>
        </w:rPr>
      </w:pPr>
      <w:hyperlink w:anchor="_Toc485648034" w:history="1">
        <w:r w:rsidR="000B2B3B" w:rsidRPr="00FD2F0C">
          <w:rPr>
            <w:rStyle w:val="Hyperlink"/>
            <w:rFonts w:asciiTheme="minorHAnsi" w:hAnsiTheme="minorHAnsi"/>
            <w:b/>
            <w:lang w:val="en-GB"/>
          </w:rPr>
          <w:t>A2-6.</w:t>
        </w:r>
        <w:r w:rsidR="000B2B3B" w:rsidRPr="00FD2F0C">
          <w:rPr>
            <w:rFonts w:asciiTheme="minorHAnsi" w:hAnsiTheme="minorHAnsi" w:cstheme="minorBidi"/>
            <w:bCs w:val="0"/>
            <w:sz w:val="22"/>
            <w:szCs w:val="22"/>
            <w:lang w:val="en-US" w:eastAsia="zh-CN"/>
          </w:rPr>
          <w:tab/>
        </w:r>
        <w:r w:rsidR="000B2B3B" w:rsidRPr="00FD2F0C">
          <w:rPr>
            <w:rStyle w:val="Hyperlink"/>
            <w:rFonts w:asciiTheme="minorHAnsi" w:hAnsiTheme="minorHAnsi"/>
            <w:b/>
            <w:lang w:val="en-GB"/>
          </w:rPr>
          <w:t>Countries experiences in relation to Spectrum Management</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_Toc485648034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67</w:t>
        </w:r>
        <w:r w:rsidR="000B2B3B" w:rsidRPr="00FD2F0C">
          <w:rPr>
            <w:rFonts w:asciiTheme="minorHAnsi" w:hAnsiTheme="minorHAnsi"/>
            <w:webHidden/>
          </w:rPr>
          <w:fldChar w:fldCharType="end"/>
        </w:r>
      </w:hyperlink>
    </w:p>
    <w:p w14:paraId="537A63CC" w14:textId="77777777" w:rsidR="000B2B3B" w:rsidRPr="00FD2F0C" w:rsidRDefault="00573C99">
      <w:pPr>
        <w:pStyle w:val="TOC3"/>
        <w:rPr>
          <w:rFonts w:asciiTheme="minorHAnsi" w:hAnsiTheme="minorHAnsi" w:cstheme="minorBidi"/>
          <w:color w:val="auto"/>
          <w:sz w:val="22"/>
          <w:szCs w:val="22"/>
          <w:lang w:eastAsia="zh-CN"/>
        </w:rPr>
      </w:pPr>
      <w:hyperlink w:anchor="_Toc485648035" w:history="1">
        <w:r w:rsidR="000B2B3B" w:rsidRPr="00FD2F0C">
          <w:rPr>
            <w:rStyle w:val="Hyperlink"/>
            <w:rFonts w:asciiTheme="minorHAnsi" w:hAnsiTheme="minorHAnsi"/>
          </w:rPr>
          <w:t>A2-6.1</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People’s Republic of China – The improvement of spectral efficiency based on LTE technology</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_Toc485648035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67</w:t>
        </w:r>
        <w:r w:rsidR="000B2B3B" w:rsidRPr="00FD2F0C">
          <w:rPr>
            <w:rFonts w:asciiTheme="minorHAnsi" w:hAnsiTheme="minorHAnsi"/>
            <w:webHidden/>
          </w:rPr>
          <w:fldChar w:fldCharType="end"/>
        </w:r>
      </w:hyperlink>
    </w:p>
    <w:p w14:paraId="195369D8" w14:textId="77777777" w:rsidR="000B2B3B" w:rsidRPr="00FD2F0C" w:rsidRDefault="00573C99">
      <w:pPr>
        <w:pStyle w:val="TOC3"/>
        <w:rPr>
          <w:rFonts w:asciiTheme="minorHAnsi" w:hAnsiTheme="minorHAnsi" w:cstheme="minorBidi"/>
          <w:color w:val="auto"/>
          <w:sz w:val="22"/>
          <w:szCs w:val="22"/>
          <w:lang w:eastAsia="zh-CN"/>
        </w:rPr>
      </w:pPr>
      <w:hyperlink w:anchor="_Toc485648036" w:history="1">
        <w:r w:rsidR="000B2B3B" w:rsidRPr="00FD2F0C">
          <w:rPr>
            <w:rStyle w:val="Hyperlink"/>
            <w:rFonts w:asciiTheme="minorHAnsi" w:hAnsiTheme="minorHAnsi"/>
          </w:rPr>
          <w:t>A2-6.2</w:t>
        </w:r>
        <w:r w:rsidR="000B2B3B" w:rsidRPr="00FD2F0C">
          <w:rPr>
            <w:rFonts w:asciiTheme="minorHAnsi" w:hAnsiTheme="minorHAnsi" w:cstheme="minorBidi"/>
            <w:color w:val="auto"/>
            <w:sz w:val="22"/>
            <w:szCs w:val="22"/>
            <w:lang w:eastAsia="zh-CN"/>
          </w:rPr>
          <w:tab/>
        </w:r>
        <w:r w:rsidR="000B2B3B" w:rsidRPr="00FD2F0C">
          <w:rPr>
            <w:rStyle w:val="Hyperlink"/>
            <w:rFonts w:asciiTheme="minorHAnsi" w:hAnsiTheme="minorHAnsi"/>
          </w:rPr>
          <w:t>Tanzania − The legal framework on Spectrum Management in Tanzania</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_Toc485648036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68</w:t>
        </w:r>
        <w:r w:rsidR="000B2B3B" w:rsidRPr="00FD2F0C">
          <w:rPr>
            <w:rFonts w:asciiTheme="minorHAnsi" w:hAnsiTheme="minorHAnsi"/>
            <w:webHidden/>
          </w:rPr>
          <w:fldChar w:fldCharType="end"/>
        </w:r>
      </w:hyperlink>
    </w:p>
    <w:p w14:paraId="30104A0D" w14:textId="77777777" w:rsidR="000B2B3B" w:rsidRPr="00FD2F0C" w:rsidRDefault="00573C99">
      <w:pPr>
        <w:pStyle w:val="TOC1"/>
        <w:rPr>
          <w:rFonts w:asciiTheme="minorHAnsi" w:eastAsiaTheme="minorEastAsia" w:hAnsiTheme="minorHAnsi" w:cstheme="minorBidi"/>
          <w:b w:val="0"/>
          <w:bCs w:val="0"/>
          <w:sz w:val="22"/>
          <w:szCs w:val="22"/>
          <w:lang w:eastAsia="zh-CN"/>
        </w:rPr>
      </w:pPr>
      <w:hyperlink w:anchor="_Toc485648037" w:history="1">
        <w:r w:rsidR="000B2B3B" w:rsidRPr="00FD2F0C">
          <w:rPr>
            <w:rStyle w:val="Hyperlink"/>
            <w:rFonts w:asciiTheme="minorHAnsi" w:hAnsiTheme="minorHAnsi"/>
          </w:rPr>
          <w:t>Annex 3: Contribution received for WTDC Resolution 9</w:t>
        </w:r>
        <w:r w:rsidR="000B2B3B" w:rsidRPr="00FD2F0C">
          <w:rPr>
            <w:rFonts w:asciiTheme="minorHAnsi" w:hAnsiTheme="minorHAnsi"/>
            <w:webHidden/>
          </w:rPr>
          <w:tab/>
        </w:r>
        <w:r w:rsidR="000B2B3B" w:rsidRPr="00FD2F0C">
          <w:rPr>
            <w:rFonts w:asciiTheme="minorHAnsi" w:hAnsiTheme="minorHAnsi"/>
            <w:webHidden/>
          </w:rPr>
          <w:fldChar w:fldCharType="begin"/>
        </w:r>
        <w:r w:rsidR="000B2B3B" w:rsidRPr="00FD2F0C">
          <w:rPr>
            <w:rFonts w:asciiTheme="minorHAnsi" w:hAnsiTheme="minorHAnsi"/>
            <w:webHidden/>
          </w:rPr>
          <w:instrText xml:space="preserve"> PAGEREF _Toc485648037 \h </w:instrText>
        </w:r>
        <w:r w:rsidR="000B2B3B" w:rsidRPr="00FD2F0C">
          <w:rPr>
            <w:rFonts w:asciiTheme="minorHAnsi" w:hAnsiTheme="minorHAnsi"/>
            <w:webHidden/>
          </w:rPr>
        </w:r>
        <w:r w:rsidR="000B2B3B" w:rsidRPr="00FD2F0C">
          <w:rPr>
            <w:rFonts w:asciiTheme="minorHAnsi" w:hAnsiTheme="minorHAnsi"/>
            <w:webHidden/>
          </w:rPr>
          <w:fldChar w:fldCharType="separate"/>
        </w:r>
        <w:r w:rsidR="00E15A64" w:rsidRPr="00FD2F0C">
          <w:rPr>
            <w:rFonts w:asciiTheme="minorHAnsi" w:hAnsiTheme="minorHAnsi"/>
            <w:webHidden/>
          </w:rPr>
          <w:t>70</w:t>
        </w:r>
        <w:r w:rsidR="000B2B3B" w:rsidRPr="00FD2F0C">
          <w:rPr>
            <w:rFonts w:asciiTheme="minorHAnsi" w:hAnsiTheme="minorHAnsi"/>
            <w:webHidden/>
          </w:rPr>
          <w:fldChar w:fldCharType="end"/>
        </w:r>
      </w:hyperlink>
    </w:p>
    <w:p w14:paraId="495F1086" w14:textId="77777777" w:rsidR="0056669F" w:rsidRPr="00FD2F0C" w:rsidRDefault="0056669F" w:rsidP="0056669F">
      <w:pPr>
        <w:spacing w:before="0"/>
        <w:jc w:val="left"/>
        <w:rPr>
          <w:rFonts w:asciiTheme="minorHAnsi" w:hAnsiTheme="minorHAnsi"/>
          <w:b/>
          <w:bCs/>
          <w:noProof/>
        </w:rPr>
      </w:pPr>
      <w:r w:rsidRPr="00FD2F0C">
        <w:rPr>
          <w:rFonts w:asciiTheme="minorHAnsi" w:hAnsiTheme="minorHAnsi"/>
          <w:b/>
          <w:bCs/>
          <w:noProof/>
        </w:rPr>
        <w:fldChar w:fldCharType="end"/>
      </w:r>
    </w:p>
    <w:p w14:paraId="5F09B6B9" w14:textId="77777777" w:rsidR="00973635" w:rsidRPr="00FD2F0C" w:rsidRDefault="00973635" w:rsidP="00973635">
      <w:pPr>
        <w:rPr>
          <w:rFonts w:asciiTheme="minorHAnsi" w:hAnsiTheme="minorHAnsi"/>
          <w:b/>
          <w:bCs/>
          <w:noProof/>
          <w:lang w:val="en-US"/>
        </w:rPr>
      </w:pPr>
      <w:r w:rsidRPr="00FD2F0C">
        <w:rPr>
          <w:rFonts w:asciiTheme="minorHAnsi" w:hAnsiTheme="minorHAnsi"/>
          <w:b/>
          <w:bCs/>
          <w:noProof/>
          <w:lang w:val="en-US"/>
        </w:rPr>
        <w:t>Figures</w:t>
      </w:r>
    </w:p>
    <w:p w14:paraId="76192534" w14:textId="77777777" w:rsidR="00357BF4" w:rsidRPr="00FD2F0C" w:rsidRDefault="00573C99" w:rsidP="00357BF4">
      <w:pPr>
        <w:pStyle w:val="TableofFigures"/>
        <w:tabs>
          <w:tab w:val="right" w:leader="dot" w:pos="9629"/>
        </w:tabs>
        <w:rPr>
          <w:rFonts w:asciiTheme="minorHAnsi" w:hAnsiTheme="minorHAnsi" w:cstheme="minorBidi"/>
          <w:noProof/>
          <w:sz w:val="22"/>
          <w:lang w:val="en-US"/>
        </w:rPr>
      </w:pPr>
      <w:hyperlink w:anchor="_Toc485216164" w:history="1">
        <w:r w:rsidR="00357BF4" w:rsidRPr="00FD2F0C">
          <w:rPr>
            <w:rStyle w:val="Hyperlink"/>
            <w:rFonts w:asciiTheme="minorHAnsi" w:hAnsiTheme="minorHAnsi"/>
            <w:noProof/>
            <w:lang w:val="en-US" w:eastAsia="en-US"/>
          </w:rPr>
          <w:t>Figure 1: Spectrum pricing factors</w:t>
        </w:r>
        <w:r w:rsidR="00357BF4" w:rsidRPr="00FD2F0C">
          <w:rPr>
            <w:rFonts w:asciiTheme="minorHAnsi" w:hAnsiTheme="minorHAnsi"/>
            <w:noProof/>
            <w:webHidden/>
            <w:lang w:val="en-US"/>
          </w:rPr>
          <w:tab/>
        </w:r>
        <w:r w:rsidR="00357BF4" w:rsidRPr="00FD2F0C">
          <w:rPr>
            <w:rFonts w:asciiTheme="minorHAnsi" w:hAnsiTheme="minorHAnsi"/>
            <w:noProof/>
            <w:webHidden/>
          </w:rPr>
          <w:fldChar w:fldCharType="begin"/>
        </w:r>
        <w:r w:rsidR="00357BF4" w:rsidRPr="00FD2F0C">
          <w:rPr>
            <w:rFonts w:asciiTheme="minorHAnsi" w:hAnsiTheme="minorHAnsi"/>
            <w:noProof/>
            <w:webHidden/>
            <w:lang w:val="en-US"/>
          </w:rPr>
          <w:instrText xml:space="preserve"> PAGEREF _Toc485216164 \h </w:instrText>
        </w:r>
        <w:r w:rsidR="00357BF4" w:rsidRPr="00FD2F0C">
          <w:rPr>
            <w:rFonts w:asciiTheme="minorHAnsi" w:hAnsiTheme="minorHAnsi"/>
            <w:noProof/>
            <w:webHidden/>
          </w:rPr>
        </w:r>
        <w:r w:rsidR="00357BF4" w:rsidRPr="00FD2F0C">
          <w:rPr>
            <w:rFonts w:asciiTheme="minorHAnsi" w:hAnsiTheme="minorHAnsi"/>
            <w:noProof/>
            <w:webHidden/>
          </w:rPr>
          <w:fldChar w:fldCharType="separate"/>
        </w:r>
        <w:r w:rsidR="008976D4" w:rsidRPr="00FD2F0C">
          <w:rPr>
            <w:rFonts w:asciiTheme="minorHAnsi" w:hAnsiTheme="minorHAnsi"/>
            <w:noProof/>
            <w:webHidden/>
            <w:lang w:val="en-US"/>
          </w:rPr>
          <w:t>30</w:t>
        </w:r>
        <w:r w:rsidR="00357BF4" w:rsidRPr="00FD2F0C">
          <w:rPr>
            <w:rFonts w:asciiTheme="minorHAnsi" w:hAnsiTheme="minorHAnsi"/>
            <w:noProof/>
            <w:webHidden/>
          </w:rPr>
          <w:fldChar w:fldCharType="end"/>
        </w:r>
      </w:hyperlink>
    </w:p>
    <w:p w14:paraId="6B1A4A1F" w14:textId="77777777" w:rsidR="00357BF4" w:rsidRPr="00FD2F0C" w:rsidRDefault="00573C99" w:rsidP="00357BF4">
      <w:pPr>
        <w:pStyle w:val="TableofFigures"/>
        <w:tabs>
          <w:tab w:val="right" w:leader="dot" w:pos="9629"/>
        </w:tabs>
        <w:rPr>
          <w:rFonts w:asciiTheme="minorHAnsi" w:hAnsiTheme="minorHAnsi" w:cstheme="minorBidi"/>
          <w:noProof/>
          <w:sz w:val="22"/>
          <w:lang w:val="en-US"/>
        </w:rPr>
      </w:pPr>
      <w:hyperlink w:anchor="_Toc485216165" w:history="1">
        <w:r w:rsidR="00357BF4" w:rsidRPr="00FD2F0C">
          <w:rPr>
            <w:rStyle w:val="Hyperlink"/>
            <w:rFonts w:asciiTheme="minorHAnsi" w:hAnsiTheme="minorHAnsi"/>
            <w:noProof/>
            <w:lang w:val="en-US"/>
          </w:rPr>
          <w:t>Figure 2: Setting up tenders</w:t>
        </w:r>
        <w:r w:rsidR="00357BF4" w:rsidRPr="00FD2F0C">
          <w:rPr>
            <w:rFonts w:asciiTheme="minorHAnsi" w:hAnsiTheme="minorHAnsi"/>
            <w:noProof/>
            <w:webHidden/>
            <w:lang w:val="en-US"/>
          </w:rPr>
          <w:tab/>
        </w:r>
        <w:r w:rsidR="00357BF4" w:rsidRPr="00FD2F0C">
          <w:rPr>
            <w:rFonts w:asciiTheme="minorHAnsi" w:hAnsiTheme="minorHAnsi"/>
            <w:noProof/>
            <w:webHidden/>
          </w:rPr>
          <w:fldChar w:fldCharType="begin"/>
        </w:r>
        <w:r w:rsidR="00357BF4" w:rsidRPr="00FD2F0C">
          <w:rPr>
            <w:rFonts w:asciiTheme="minorHAnsi" w:hAnsiTheme="minorHAnsi"/>
            <w:noProof/>
            <w:webHidden/>
            <w:lang w:val="en-US"/>
          </w:rPr>
          <w:instrText xml:space="preserve"> PAGEREF _Toc485216165 \h </w:instrText>
        </w:r>
        <w:r w:rsidR="00357BF4" w:rsidRPr="00FD2F0C">
          <w:rPr>
            <w:rFonts w:asciiTheme="minorHAnsi" w:hAnsiTheme="minorHAnsi"/>
            <w:noProof/>
            <w:webHidden/>
          </w:rPr>
        </w:r>
        <w:r w:rsidR="00357BF4" w:rsidRPr="00FD2F0C">
          <w:rPr>
            <w:rFonts w:asciiTheme="minorHAnsi" w:hAnsiTheme="minorHAnsi"/>
            <w:noProof/>
            <w:webHidden/>
          </w:rPr>
          <w:fldChar w:fldCharType="separate"/>
        </w:r>
        <w:r w:rsidR="008976D4" w:rsidRPr="00FD2F0C">
          <w:rPr>
            <w:rFonts w:asciiTheme="minorHAnsi" w:hAnsiTheme="minorHAnsi"/>
            <w:noProof/>
            <w:webHidden/>
            <w:lang w:val="en-US"/>
          </w:rPr>
          <w:t>40</w:t>
        </w:r>
        <w:r w:rsidR="00357BF4" w:rsidRPr="00FD2F0C">
          <w:rPr>
            <w:rFonts w:asciiTheme="minorHAnsi" w:hAnsiTheme="minorHAnsi"/>
            <w:noProof/>
            <w:webHidden/>
          </w:rPr>
          <w:fldChar w:fldCharType="end"/>
        </w:r>
      </w:hyperlink>
    </w:p>
    <w:p w14:paraId="4268F34A" w14:textId="77777777" w:rsidR="00357BF4" w:rsidRPr="00FD2F0C" w:rsidRDefault="00573C99" w:rsidP="00357BF4">
      <w:pPr>
        <w:pStyle w:val="TableofFigures"/>
        <w:tabs>
          <w:tab w:val="right" w:leader="dot" w:pos="9629"/>
        </w:tabs>
        <w:rPr>
          <w:rFonts w:asciiTheme="minorHAnsi" w:hAnsiTheme="minorHAnsi" w:cstheme="minorBidi"/>
          <w:noProof/>
          <w:sz w:val="22"/>
          <w:lang w:val="en-US"/>
        </w:rPr>
      </w:pPr>
      <w:hyperlink w:anchor="_Toc485216163" w:history="1">
        <w:r w:rsidR="00357BF4" w:rsidRPr="00FD2F0C">
          <w:rPr>
            <w:rStyle w:val="Hyperlink"/>
            <w:rFonts w:asciiTheme="minorHAnsi" w:hAnsiTheme="minorHAnsi"/>
            <w:noProof/>
            <w:lang w:val="en-GB"/>
          </w:rPr>
          <w:t xml:space="preserve">Figure 3: </w:t>
        </w:r>
        <w:r w:rsidR="00357BF4" w:rsidRPr="00FD2F0C">
          <w:rPr>
            <w:rStyle w:val="Hyperlink"/>
            <w:rFonts w:asciiTheme="minorHAnsi" w:hAnsiTheme="minorHAnsi"/>
            <w:noProof/>
            <w:kern w:val="24"/>
            <w:lang w:val="en-GB"/>
          </w:rPr>
          <w:t>Talibon, Tubigon and Ubay TV White Space area coverage</w:t>
        </w:r>
        <w:r w:rsidR="00357BF4" w:rsidRPr="00FD2F0C">
          <w:rPr>
            <w:rFonts w:asciiTheme="minorHAnsi" w:hAnsiTheme="minorHAnsi"/>
            <w:noProof/>
            <w:webHidden/>
            <w:lang w:val="en-US"/>
          </w:rPr>
          <w:tab/>
        </w:r>
        <w:r w:rsidR="00357BF4" w:rsidRPr="00FD2F0C">
          <w:rPr>
            <w:rFonts w:asciiTheme="minorHAnsi" w:hAnsiTheme="minorHAnsi"/>
            <w:noProof/>
            <w:webHidden/>
          </w:rPr>
          <w:fldChar w:fldCharType="begin"/>
        </w:r>
        <w:r w:rsidR="00357BF4" w:rsidRPr="00FD2F0C">
          <w:rPr>
            <w:rFonts w:asciiTheme="minorHAnsi" w:hAnsiTheme="minorHAnsi"/>
            <w:noProof/>
            <w:webHidden/>
            <w:lang w:val="en-US"/>
          </w:rPr>
          <w:instrText xml:space="preserve"> PAGEREF _Toc485216163 \h </w:instrText>
        </w:r>
        <w:r w:rsidR="00357BF4" w:rsidRPr="00FD2F0C">
          <w:rPr>
            <w:rFonts w:asciiTheme="minorHAnsi" w:hAnsiTheme="minorHAnsi"/>
            <w:noProof/>
            <w:webHidden/>
          </w:rPr>
        </w:r>
        <w:r w:rsidR="00357BF4" w:rsidRPr="00FD2F0C">
          <w:rPr>
            <w:rFonts w:asciiTheme="minorHAnsi" w:hAnsiTheme="minorHAnsi"/>
            <w:noProof/>
            <w:webHidden/>
          </w:rPr>
          <w:fldChar w:fldCharType="separate"/>
        </w:r>
        <w:r w:rsidR="008976D4" w:rsidRPr="00FD2F0C">
          <w:rPr>
            <w:rFonts w:asciiTheme="minorHAnsi" w:hAnsiTheme="minorHAnsi"/>
            <w:noProof/>
            <w:webHidden/>
            <w:lang w:val="en-US"/>
          </w:rPr>
          <w:t>62</w:t>
        </w:r>
        <w:r w:rsidR="00357BF4" w:rsidRPr="00FD2F0C">
          <w:rPr>
            <w:rFonts w:asciiTheme="minorHAnsi" w:hAnsiTheme="minorHAnsi"/>
            <w:noProof/>
            <w:webHidden/>
          </w:rPr>
          <w:fldChar w:fldCharType="end"/>
        </w:r>
      </w:hyperlink>
    </w:p>
    <w:p w14:paraId="5D64329D" w14:textId="4F4A3626" w:rsidR="00933D41" w:rsidRPr="00FD2F0C" w:rsidRDefault="00973635" w:rsidP="00973635">
      <w:pPr>
        <w:rPr>
          <w:rFonts w:asciiTheme="minorHAnsi" w:hAnsiTheme="minorHAnsi"/>
          <w:noProof/>
          <w:lang w:val="en-US"/>
        </w:rPr>
      </w:pPr>
      <w:r w:rsidRPr="00FD2F0C">
        <w:rPr>
          <w:rFonts w:asciiTheme="minorHAnsi" w:hAnsiTheme="minorHAnsi"/>
          <w:sz w:val="22"/>
          <w:szCs w:val="20"/>
        </w:rPr>
        <w:fldChar w:fldCharType="begin"/>
      </w:r>
      <w:r w:rsidRPr="00FD2F0C">
        <w:rPr>
          <w:rFonts w:asciiTheme="minorHAnsi" w:hAnsiTheme="minorHAnsi"/>
          <w:sz w:val="22"/>
          <w:szCs w:val="20"/>
          <w:lang w:val="en-US"/>
        </w:rPr>
        <w:instrText xml:space="preserve"> TOC \h \z \c "Figure 1A" </w:instrText>
      </w:r>
      <w:r w:rsidRPr="00FD2F0C">
        <w:rPr>
          <w:rFonts w:asciiTheme="minorHAnsi" w:hAnsiTheme="minorHAnsi"/>
          <w:sz w:val="22"/>
          <w:szCs w:val="20"/>
        </w:rPr>
        <w:fldChar w:fldCharType="separate"/>
      </w:r>
    </w:p>
    <w:p w14:paraId="04C3E296" w14:textId="574EA6A2" w:rsidR="00973635" w:rsidRPr="00FD2F0C" w:rsidRDefault="00973635" w:rsidP="00357BF4">
      <w:pPr>
        <w:rPr>
          <w:rFonts w:asciiTheme="minorHAnsi" w:hAnsiTheme="minorHAnsi"/>
          <w:b/>
          <w:bCs/>
          <w:lang w:val="en-US"/>
        </w:rPr>
      </w:pPr>
      <w:r w:rsidRPr="00FD2F0C">
        <w:rPr>
          <w:rFonts w:asciiTheme="minorHAnsi" w:hAnsiTheme="minorHAnsi"/>
          <w:sz w:val="22"/>
          <w:szCs w:val="20"/>
        </w:rPr>
        <w:fldChar w:fldCharType="end"/>
      </w:r>
      <w:r w:rsidRPr="00FD2F0C">
        <w:rPr>
          <w:rFonts w:asciiTheme="minorHAnsi" w:hAnsiTheme="minorHAnsi"/>
          <w:b/>
          <w:bCs/>
          <w:lang w:val="en-US"/>
        </w:rPr>
        <w:t>Tables</w:t>
      </w:r>
    </w:p>
    <w:p w14:paraId="3E01FA08" w14:textId="77777777" w:rsidR="00357BF4" w:rsidRPr="00FD2F0C" w:rsidRDefault="00573C99" w:rsidP="00357BF4">
      <w:pPr>
        <w:pStyle w:val="TableofFigures"/>
        <w:tabs>
          <w:tab w:val="right" w:leader="dot" w:pos="9629"/>
        </w:tabs>
        <w:rPr>
          <w:rFonts w:asciiTheme="minorHAnsi" w:hAnsiTheme="minorHAnsi" w:cstheme="minorBidi"/>
          <w:noProof/>
          <w:sz w:val="22"/>
          <w:lang w:val="en-US"/>
        </w:rPr>
      </w:pPr>
      <w:hyperlink w:anchor="_Toc485216169" w:history="1">
        <w:r w:rsidR="00357BF4" w:rsidRPr="00FD2F0C">
          <w:rPr>
            <w:rStyle w:val="Hyperlink"/>
            <w:rFonts w:asciiTheme="minorHAnsi" w:hAnsiTheme="minorHAnsi"/>
            <w:noProof/>
            <w:lang w:val="en-GB"/>
          </w:rPr>
          <w:t>Table 1: The Digital Divide in 2016</w:t>
        </w:r>
        <w:r w:rsidR="00357BF4" w:rsidRPr="00FD2F0C">
          <w:rPr>
            <w:rFonts w:asciiTheme="minorHAnsi" w:hAnsiTheme="minorHAnsi"/>
            <w:noProof/>
            <w:webHidden/>
            <w:lang w:val="en-US"/>
          </w:rPr>
          <w:tab/>
        </w:r>
        <w:r w:rsidR="00357BF4" w:rsidRPr="00FD2F0C">
          <w:rPr>
            <w:rFonts w:asciiTheme="minorHAnsi" w:hAnsiTheme="minorHAnsi"/>
            <w:noProof/>
            <w:webHidden/>
          </w:rPr>
          <w:fldChar w:fldCharType="begin"/>
        </w:r>
        <w:r w:rsidR="00357BF4" w:rsidRPr="00FD2F0C">
          <w:rPr>
            <w:rFonts w:asciiTheme="minorHAnsi" w:hAnsiTheme="minorHAnsi"/>
            <w:noProof/>
            <w:webHidden/>
            <w:lang w:val="en-US"/>
          </w:rPr>
          <w:instrText xml:space="preserve"> PAGEREF _Toc485216169 \h </w:instrText>
        </w:r>
        <w:r w:rsidR="00357BF4" w:rsidRPr="00FD2F0C">
          <w:rPr>
            <w:rFonts w:asciiTheme="minorHAnsi" w:hAnsiTheme="minorHAnsi"/>
            <w:noProof/>
            <w:webHidden/>
          </w:rPr>
        </w:r>
        <w:r w:rsidR="00357BF4" w:rsidRPr="00FD2F0C">
          <w:rPr>
            <w:rFonts w:asciiTheme="minorHAnsi" w:hAnsiTheme="minorHAnsi"/>
            <w:noProof/>
            <w:webHidden/>
          </w:rPr>
          <w:fldChar w:fldCharType="separate"/>
        </w:r>
        <w:r w:rsidR="008976D4" w:rsidRPr="00FD2F0C">
          <w:rPr>
            <w:rFonts w:asciiTheme="minorHAnsi" w:hAnsiTheme="minorHAnsi"/>
            <w:noProof/>
            <w:webHidden/>
            <w:lang w:val="en-US"/>
          </w:rPr>
          <w:t>31</w:t>
        </w:r>
        <w:r w:rsidR="00357BF4" w:rsidRPr="00FD2F0C">
          <w:rPr>
            <w:rFonts w:asciiTheme="minorHAnsi" w:hAnsiTheme="minorHAnsi"/>
            <w:noProof/>
            <w:webHidden/>
          </w:rPr>
          <w:fldChar w:fldCharType="end"/>
        </w:r>
      </w:hyperlink>
    </w:p>
    <w:p w14:paraId="2CF7DBEB" w14:textId="782E54C1" w:rsidR="00357BF4" w:rsidRPr="00FD2F0C" w:rsidRDefault="00573C99" w:rsidP="007420BB">
      <w:pPr>
        <w:pStyle w:val="TableofFigures"/>
        <w:tabs>
          <w:tab w:val="right" w:leader="dot" w:pos="9629"/>
        </w:tabs>
        <w:rPr>
          <w:rFonts w:asciiTheme="minorHAnsi" w:hAnsiTheme="minorHAnsi" w:cstheme="minorBidi"/>
          <w:noProof/>
          <w:sz w:val="22"/>
          <w:lang w:val="en-US"/>
        </w:rPr>
      </w:pPr>
      <w:hyperlink w:anchor="_Toc485216167" w:history="1">
        <w:r w:rsidR="00357BF4" w:rsidRPr="00FD2F0C">
          <w:rPr>
            <w:rStyle w:val="Hyperlink"/>
            <w:rFonts w:asciiTheme="minorHAnsi" w:hAnsiTheme="minorHAnsi"/>
            <w:noProof/>
            <w:lang w:val="en-US"/>
          </w:rPr>
          <w:t>Table 2: Interference protection experiences</w:t>
        </w:r>
        <w:r w:rsidR="00357BF4" w:rsidRPr="00FD2F0C">
          <w:rPr>
            <w:rFonts w:asciiTheme="minorHAnsi" w:hAnsiTheme="minorHAnsi"/>
            <w:noProof/>
            <w:webHidden/>
            <w:lang w:val="en-US"/>
          </w:rPr>
          <w:tab/>
        </w:r>
      </w:hyperlink>
      <w:r w:rsidR="007420BB" w:rsidRPr="00FD2F0C">
        <w:rPr>
          <w:rFonts w:asciiTheme="minorHAnsi" w:hAnsiTheme="minorHAnsi"/>
          <w:noProof/>
          <w:lang w:val="en-GB"/>
        </w:rPr>
        <w:t>59</w:t>
      </w:r>
    </w:p>
    <w:p w14:paraId="6918EE51" w14:textId="689C5CF5" w:rsidR="00357BF4" w:rsidRPr="00FD2F0C" w:rsidRDefault="00573C99" w:rsidP="00357BF4">
      <w:pPr>
        <w:pStyle w:val="TableofFigures"/>
        <w:tabs>
          <w:tab w:val="right" w:leader="dot" w:pos="9629"/>
        </w:tabs>
        <w:rPr>
          <w:rFonts w:asciiTheme="minorHAnsi" w:hAnsiTheme="minorHAnsi" w:cstheme="minorBidi"/>
          <w:noProof/>
          <w:sz w:val="22"/>
          <w:lang w:val="en-US"/>
        </w:rPr>
      </w:pPr>
      <w:hyperlink w:anchor="_Toc485216171" w:history="1">
        <w:r w:rsidR="00357BF4" w:rsidRPr="00FD2F0C">
          <w:rPr>
            <w:rStyle w:val="Hyperlink"/>
            <w:rFonts w:asciiTheme="minorHAnsi" w:hAnsiTheme="minorHAnsi"/>
            <w:noProof/>
            <w:lang w:val="en-US"/>
          </w:rPr>
          <w:t>Table 3: Interference avoidance methods</w:t>
        </w:r>
        <w:r w:rsidR="00357BF4" w:rsidRPr="00FD2F0C">
          <w:rPr>
            <w:rFonts w:asciiTheme="minorHAnsi" w:hAnsiTheme="minorHAnsi"/>
            <w:noProof/>
            <w:webHidden/>
            <w:lang w:val="en-US"/>
          </w:rPr>
          <w:tab/>
        </w:r>
        <w:r w:rsidR="00357BF4" w:rsidRPr="00FD2F0C">
          <w:rPr>
            <w:rFonts w:asciiTheme="minorHAnsi" w:hAnsiTheme="minorHAnsi"/>
            <w:noProof/>
            <w:webHidden/>
          </w:rPr>
          <w:fldChar w:fldCharType="begin"/>
        </w:r>
        <w:r w:rsidR="00357BF4" w:rsidRPr="00FD2F0C">
          <w:rPr>
            <w:rFonts w:asciiTheme="minorHAnsi" w:hAnsiTheme="minorHAnsi"/>
            <w:noProof/>
            <w:webHidden/>
            <w:lang w:val="en-US"/>
          </w:rPr>
          <w:instrText xml:space="preserve"> PAGEREF _Toc485216171 \h </w:instrText>
        </w:r>
        <w:r w:rsidR="00357BF4" w:rsidRPr="00FD2F0C">
          <w:rPr>
            <w:rFonts w:asciiTheme="minorHAnsi" w:hAnsiTheme="minorHAnsi"/>
            <w:noProof/>
            <w:webHidden/>
          </w:rPr>
        </w:r>
        <w:r w:rsidR="00357BF4" w:rsidRPr="00FD2F0C">
          <w:rPr>
            <w:rFonts w:asciiTheme="minorHAnsi" w:hAnsiTheme="minorHAnsi"/>
            <w:noProof/>
            <w:webHidden/>
          </w:rPr>
          <w:fldChar w:fldCharType="separate"/>
        </w:r>
        <w:r w:rsidR="008976D4" w:rsidRPr="00FD2F0C">
          <w:rPr>
            <w:rFonts w:asciiTheme="minorHAnsi" w:hAnsiTheme="minorHAnsi"/>
            <w:noProof/>
            <w:webHidden/>
            <w:lang w:val="en-US"/>
          </w:rPr>
          <w:t>59</w:t>
        </w:r>
        <w:r w:rsidR="00357BF4" w:rsidRPr="00FD2F0C">
          <w:rPr>
            <w:rFonts w:asciiTheme="minorHAnsi" w:hAnsiTheme="minorHAnsi"/>
            <w:noProof/>
            <w:webHidden/>
          </w:rPr>
          <w:fldChar w:fldCharType="end"/>
        </w:r>
      </w:hyperlink>
    </w:p>
    <w:p w14:paraId="3F33472D" w14:textId="51A7048F" w:rsidR="00973635" w:rsidRPr="00FD2F0C" w:rsidRDefault="00973635" w:rsidP="00973635">
      <w:pPr>
        <w:rPr>
          <w:rFonts w:asciiTheme="minorHAnsi" w:hAnsiTheme="minorHAnsi"/>
          <w:noProof/>
          <w:lang w:val="en-US"/>
        </w:rPr>
      </w:pPr>
    </w:p>
    <w:p w14:paraId="2D3E66A3" w14:textId="77777777" w:rsidR="007366D4" w:rsidRPr="00FD2F0C" w:rsidRDefault="009D47B7" w:rsidP="0032197B">
      <w:pPr>
        <w:pStyle w:val="Heading2"/>
        <w:numPr>
          <w:ilvl w:val="0"/>
          <w:numId w:val="12"/>
        </w:numPr>
        <w:spacing w:before="400"/>
        <w:ind w:left="709"/>
        <w:rPr>
          <w:rFonts w:asciiTheme="minorHAnsi" w:hAnsiTheme="minorHAnsi"/>
          <w:noProof/>
        </w:rPr>
      </w:pPr>
      <w:r w:rsidRPr="00FD2F0C">
        <w:rPr>
          <w:rFonts w:asciiTheme="minorHAnsi" w:hAnsiTheme="minorHAnsi"/>
          <w:noProof/>
        </w:rPr>
        <w:br w:type="page"/>
      </w:r>
    </w:p>
    <w:p w14:paraId="4DF43429" w14:textId="77777777" w:rsidR="007366D4" w:rsidRPr="00FD2F0C" w:rsidRDefault="007366D4" w:rsidP="00742216">
      <w:pPr>
        <w:pStyle w:val="Heading2"/>
        <w:numPr>
          <w:ilvl w:val="0"/>
          <w:numId w:val="0"/>
        </w:numPr>
        <w:rPr>
          <w:rFonts w:asciiTheme="minorHAnsi" w:hAnsiTheme="minorHAnsi"/>
        </w:rPr>
      </w:pPr>
      <w:bookmarkStart w:id="15" w:name="_Toc485647966"/>
      <w:r w:rsidRPr="00FD2F0C">
        <w:rPr>
          <w:rFonts w:asciiTheme="minorHAnsi" w:hAnsiTheme="minorHAnsi"/>
        </w:rPr>
        <w:lastRenderedPageBreak/>
        <w:t>i.</w:t>
      </w:r>
      <w:r w:rsidRPr="00FD2F0C">
        <w:rPr>
          <w:rFonts w:asciiTheme="minorHAnsi" w:hAnsiTheme="minorHAnsi"/>
        </w:rPr>
        <w:tab/>
        <w:t>Executive Summary</w:t>
      </w:r>
      <w:bookmarkEnd w:id="15"/>
    </w:p>
    <w:p w14:paraId="4FF13530" w14:textId="6D36528F" w:rsidR="00F43CF0" w:rsidRPr="00FD2F0C" w:rsidRDefault="00AF08B8" w:rsidP="00CC51E4">
      <w:pPr>
        <w:rPr>
          <w:rFonts w:asciiTheme="minorHAnsi" w:hAnsiTheme="minorHAnsi"/>
          <w:szCs w:val="24"/>
          <w:lang w:val="en-GB"/>
        </w:rPr>
      </w:pPr>
      <w:r w:rsidRPr="00FD2F0C">
        <w:rPr>
          <w:rFonts w:asciiTheme="minorHAnsi" w:hAnsiTheme="minorHAnsi"/>
          <w:szCs w:val="24"/>
          <w:lang w:val="en-GB"/>
        </w:rPr>
        <w:t>T</w:t>
      </w:r>
      <w:r w:rsidR="00F43CF0" w:rsidRPr="00FD2F0C">
        <w:rPr>
          <w:rFonts w:asciiTheme="minorHAnsi" w:hAnsiTheme="minorHAnsi"/>
          <w:szCs w:val="24"/>
          <w:lang w:val="en-GB"/>
        </w:rPr>
        <w:t>h</w:t>
      </w:r>
      <w:r w:rsidRPr="00FD2F0C">
        <w:rPr>
          <w:rFonts w:asciiTheme="minorHAnsi" w:hAnsiTheme="minorHAnsi"/>
          <w:szCs w:val="24"/>
          <w:lang w:val="en-GB"/>
        </w:rPr>
        <w:t>is</w:t>
      </w:r>
      <w:r w:rsidR="00F43CF0" w:rsidRPr="00FD2F0C">
        <w:rPr>
          <w:rFonts w:asciiTheme="minorHAnsi" w:hAnsiTheme="minorHAnsi"/>
          <w:szCs w:val="24"/>
          <w:lang w:val="en-GB"/>
        </w:rPr>
        <w:t xml:space="preserve"> Report to WTDC</w:t>
      </w:r>
      <w:r w:rsidRPr="00FD2F0C">
        <w:rPr>
          <w:rFonts w:asciiTheme="minorHAnsi" w:hAnsiTheme="minorHAnsi"/>
          <w:szCs w:val="24"/>
          <w:lang w:val="en-GB"/>
        </w:rPr>
        <w:t>-17,</w:t>
      </w:r>
      <w:r w:rsidR="00F43CF0" w:rsidRPr="00FD2F0C">
        <w:rPr>
          <w:rFonts w:asciiTheme="minorHAnsi" w:hAnsiTheme="minorHAnsi"/>
          <w:szCs w:val="24"/>
          <w:lang w:val="en-GB"/>
        </w:rPr>
        <w:t xml:space="preserve"> in response to Resolution 9 (Participation of countries, particularly developing countries, in spectrum management) (Rev. Dubai</w:t>
      </w:r>
      <w:r w:rsidRPr="00FD2F0C">
        <w:rPr>
          <w:rFonts w:asciiTheme="minorHAnsi" w:hAnsiTheme="minorHAnsi"/>
          <w:szCs w:val="24"/>
          <w:lang w:val="en-GB"/>
        </w:rPr>
        <w:t>,</w:t>
      </w:r>
      <w:r w:rsidR="00F43CF0" w:rsidRPr="00FD2F0C">
        <w:rPr>
          <w:rFonts w:asciiTheme="minorHAnsi" w:hAnsiTheme="minorHAnsi"/>
          <w:szCs w:val="24"/>
          <w:lang w:val="en-GB"/>
        </w:rPr>
        <w:t xml:space="preserve"> 2014), addresses </w:t>
      </w:r>
      <w:r w:rsidR="00F43CF0" w:rsidRPr="00FD2F0C">
        <w:rPr>
          <w:rFonts w:asciiTheme="minorHAnsi" w:hAnsiTheme="minorHAnsi"/>
          <w:lang w:val="en-US"/>
        </w:rPr>
        <w:t>national technical, economic and financial approaches to, and challenges of, spectrum management and spectrum monitoring, taking into consideration development trends in spectrum management, case studies on spectrum redeployment, licensing processes and best practices implemented in spectrum monitoring around the world, including consideration of new spectrum</w:t>
      </w:r>
      <w:r w:rsidR="00F43CF0" w:rsidRPr="00FD2F0C">
        <w:rPr>
          <w:rFonts w:asciiTheme="minorHAnsi" w:eastAsia="Calibri" w:hAnsiTheme="minorHAnsi" w:cs="Calibri"/>
          <w:lang w:val="en-US"/>
        </w:rPr>
        <w:t>‐</w:t>
      </w:r>
      <w:r w:rsidR="00F43CF0" w:rsidRPr="00FD2F0C">
        <w:rPr>
          <w:rFonts w:asciiTheme="minorHAnsi" w:hAnsiTheme="minorHAnsi"/>
          <w:lang w:val="en-US"/>
        </w:rPr>
        <w:t>sharing</w:t>
      </w:r>
      <w:r w:rsidR="00F43CF0" w:rsidRPr="00FD2F0C">
        <w:rPr>
          <w:rFonts w:asciiTheme="minorHAnsi" w:hAnsiTheme="minorHAnsi"/>
          <w:szCs w:val="24"/>
          <w:lang w:val="en-GB"/>
        </w:rPr>
        <w:t xml:space="preserve">. </w:t>
      </w:r>
      <w:r w:rsidR="00F43CF0" w:rsidRPr="00FD2F0C">
        <w:rPr>
          <w:rFonts w:asciiTheme="minorHAnsi" w:hAnsiTheme="minorHAnsi" w:cs="Calibri"/>
          <w:szCs w:val="24"/>
          <w:lang w:val="en-GB"/>
        </w:rPr>
        <w:t>This report has been developed through close collaboration between the ITU Radiocommunication Sector (ITU</w:t>
      </w:r>
      <w:r w:rsidR="00F43CF0" w:rsidRPr="00FD2F0C">
        <w:rPr>
          <w:rFonts w:asciiTheme="minorHAnsi" w:hAnsiTheme="minorHAnsi" w:cs="Calibri"/>
          <w:szCs w:val="24"/>
          <w:lang w:val="en-GB"/>
        </w:rPr>
        <w:noBreakHyphen/>
        <w:t>R) and the ITU Telecommunication Development Sector (ITU-D). Such joint inter-sectoral collaboration has fulfilled the target of raising awareness of and matching the ongoing radiocommunication activities and technical studies with the special and growing needs of the developing countries. Contributions made to this report encompass case studies and system level descriptions submitted by Member States and private sector members, as well as ITU-R and ITU-D activities and publications.</w:t>
      </w:r>
    </w:p>
    <w:p w14:paraId="739257D0" w14:textId="10BDD14C" w:rsidR="00F43CF0" w:rsidRPr="00FD2F0C" w:rsidRDefault="00F43CF0" w:rsidP="00F43CF0">
      <w:pPr>
        <w:rPr>
          <w:rFonts w:asciiTheme="minorHAnsi" w:hAnsiTheme="minorHAnsi"/>
          <w:lang w:val="en-GB"/>
        </w:rPr>
      </w:pPr>
      <w:r w:rsidRPr="00FD2F0C">
        <w:rPr>
          <w:rFonts w:asciiTheme="minorHAnsi" w:hAnsiTheme="minorHAnsi"/>
          <w:b/>
          <w:bCs/>
          <w:lang w:val="en-GB"/>
        </w:rPr>
        <w:t>Chapter 1</w:t>
      </w:r>
      <w:r w:rsidRPr="00FD2F0C">
        <w:rPr>
          <w:rFonts w:asciiTheme="minorHAnsi" w:hAnsiTheme="minorHAnsi"/>
          <w:lang w:val="en-GB"/>
        </w:rPr>
        <w:t xml:space="preserve"> addresses current and emerging spectrum management approaches. The mainstream approach currently, in particular for mobile broadband, is to allocate spectrum on the basis of exclusive licenses and leave operators full flexibility to deploy their networks over the national territory, subject to the license conditions. Due to imbalance between increased demand for different services and the supply of spectrum resource, spectrum sharing is an effective way in improving spectrum utilization and accommodating increased demand given available spectrum. Chapter 1 therefore provides also background on different spectrum sharing schemes.</w:t>
      </w:r>
    </w:p>
    <w:p w14:paraId="503FBD8C" w14:textId="297CE7B6" w:rsidR="00F43CF0" w:rsidRPr="00FD2F0C" w:rsidRDefault="00F43CF0" w:rsidP="00867B54">
      <w:pPr>
        <w:rPr>
          <w:rFonts w:asciiTheme="minorHAnsi" w:hAnsiTheme="minorHAnsi"/>
          <w:lang w:val="en-GB"/>
        </w:rPr>
      </w:pPr>
      <w:r w:rsidRPr="00FD2F0C">
        <w:rPr>
          <w:rFonts w:asciiTheme="minorHAnsi" w:hAnsiTheme="minorHAnsi"/>
          <w:b/>
          <w:bCs/>
          <w:lang w:val="en-GB"/>
        </w:rPr>
        <w:t>Chapter 2</w:t>
      </w:r>
      <w:r w:rsidRPr="00FD2F0C">
        <w:rPr>
          <w:rFonts w:asciiTheme="minorHAnsi" w:hAnsiTheme="minorHAnsi"/>
          <w:lang w:val="en-GB"/>
        </w:rPr>
        <w:t xml:space="preserve"> examines various economic aspects of spectrum management. This chapter also considers some of the economic benefits of using spectrum whether under the licensed or the license-exempt model use, as well as regulatory costs under spectrum sharing.</w:t>
      </w:r>
    </w:p>
    <w:p w14:paraId="38578EC8" w14:textId="77777777" w:rsidR="00F43CF0" w:rsidRPr="00FD2F0C" w:rsidRDefault="00F43CF0" w:rsidP="00F43CF0">
      <w:pPr>
        <w:rPr>
          <w:rFonts w:asciiTheme="minorHAnsi" w:hAnsiTheme="minorHAnsi"/>
          <w:lang w:val="en-GB"/>
        </w:rPr>
      </w:pPr>
      <w:r w:rsidRPr="00FD2F0C">
        <w:rPr>
          <w:rFonts w:asciiTheme="minorHAnsi" w:hAnsiTheme="minorHAnsi"/>
          <w:b/>
          <w:bCs/>
          <w:lang w:val="en-GB"/>
        </w:rPr>
        <w:t>Chapter 3</w:t>
      </w:r>
      <w:r w:rsidRPr="00FD2F0C">
        <w:rPr>
          <w:rFonts w:asciiTheme="minorHAnsi" w:hAnsiTheme="minorHAnsi"/>
          <w:lang w:val="en-GB"/>
        </w:rPr>
        <w:t xml:space="preserve"> addresses spectrum management activities. It considers assessment tools and guidelines to help developing countries prepare/update their National Table of Frequency Allocations (NTFA). It also considers results and preparation of World Radiocommunication Conferences (WRCs).</w:t>
      </w:r>
    </w:p>
    <w:p w14:paraId="3728453A" w14:textId="37D20962" w:rsidR="00744A0B" w:rsidRPr="00FD2F0C" w:rsidRDefault="00F43CF0" w:rsidP="00F43CF0">
      <w:pPr>
        <w:rPr>
          <w:rFonts w:asciiTheme="minorHAnsi" w:hAnsiTheme="minorHAnsi"/>
          <w:szCs w:val="24"/>
          <w:lang w:val="en-GB" w:bidi="ar-EG"/>
        </w:rPr>
      </w:pPr>
      <w:r w:rsidRPr="00FD2F0C">
        <w:rPr>
          <w:rFonts w:asciiTheme="minorHAnsi" w:hAnsiTheme="minorHAnsi" w:cstheme="minorHAnsi"/>
          <w:szCs w:val="24"/>
          <w:lang w:val="en-GB"/>
        </w:rPr>
        <w:t xml:space="preserve">Spectrum monitoring is essential in order to ensure that spectrum management policies are properly implemented: </w:t>
      </w:r>
      <w:r w:rsidRPr="00FD2F0C">
        <w:rPr>
          <w:rFonts w:asciiTheme="minorHAnsi" w:hAnsiTheme="minorHAnsi" w:cstheme="minorHAnsi"/>
          <w:b/>
          <w:bCs/>
          <w:szCs w:val="24"/>
          <w:lang w:val="en-GB"/>
        </w:rPr>
        <w:t>Chapter 4</w:t>
      </w:r>
      <w:r w:rsidRPr="00FD2F0C">
        <w:rPr>
          <w:rFonts w:asciiTheme="minorHAnsi" w:hAnsiTheme="minorHAnsi" w:cstheme="minorHAnsi"/>
          <w:szCs w:val="24"/>
          <w:lang w:val="en-GB"/>
        </w:rPr>
        <w:t xml:space="preserve"> </w:t>
      </w:r>
      <w:r w:rsidRPr="00FD2F0C">
        <w:rPr>
          <w:rFonts w:asciiTheme="minorHAnsi" w:hAnsiTheme="minorHAnsi"/>
          <w:szCs w:val="24"/>
          <w:lang w:val="en-GB"/>
        </w:rPr>
        <w:t xml:space="preserve">describes various aspects of spectrum monitoring that may be useful for developing countries, </w:t>
      </w:r>
      <w:r w:rsidRPr="00FD2F0C">
        <w:rPr>
          <w:rFonts w:asciiTheme="minorHAnsi" w:hAnsiTheme="minorHAnsi"/>
          <w:szCs w:val="24"/>
          <w:lang w:val="en-GB" w:bidi="ar-EG"/>
        </w:rPr>
        <w:t>including methodologies of setting up a monitoring system.</w:t>
      </w:r>
    </w:p>
    <w:p w14:paraId="3258F050" w14:textId="4C5D3BD5" w:rsidR="007366D4" w:rsidRPr="00FD2F0C" w:rsidRDefault="007366D4">
      <w:pPr>
        <w:pStyle w:val="Heading1nextpage"/>
        <w:keepNext/>
        <w:keepLines/>
        <w:pageBreakBefore/>
        <w:jc w:val="both"/>
        <w:outlineLvl w:val="0"/>
        <w:rPr>
          <w:b/>
          <w:bCs/>
          <w:color w:val="1F9DD9"/>
          <w:sz w:val="28"/>
          <w:szCs w:val="28"/>
        </w:rPr>
      </w:pPr>
      <w:bookmarkStart w:id="16" w:name="_Toc474920749"/>
      <w:bookmarkStart w:id="17" w:name="_Toc474934626"/>
      <w:bookmarkStart w:id="18" w:name="_Toc474920750"/>
      <w:bookmarkStart w:id="19" w:name="_Toc474934627"/>
      <w:bookmarkStart w:id="20" w:name="_Toc474920751"/>
      <w:bookmarkStart w:id="21" w:name="_Toc474934628"/>
      <w:bookmarkStart w:id="22" w:name="_Toc458779231"/>
      <w:bookmarkStart w:id="23" w:name="_Toc467836382"/>
      <w:bookmarkStart w:id="24" w:name="_Toc485647967"/>
      <w:bookmarkEnd w:id="16"/>
      <w:bookmarkEnd w:id="17"/>
      <w:bookmarkEnd w:id="18"/>
      <w:bookmarkEnd w:id="19"/>
      <w:bookmarkEnd w:id="20"/>
      <w:bookmarkEnd w:id="21"/>
      <w:r w:rsidRPr="00FD2F0C">
        <w:rPr>
          <w:b/>
          <w:bCs/>
          <w:color w:val="1F9DD9"/>
          <w:sz w:val="28"/>
          <w:szCs w:val="28"/>
        </w:rPr>
        <w:lastRenderedPageBreak/>
        <w:t>1</w:t>
      </w:r>
      <w:r w:rsidRPr="00FD2F0C">
        <w:rPr>
          <w:b/>
          <w:bCs/>
          <w:color w:val="1F9DD9"/>
          <w:sz w:val="28"/>
          <w:szCs w:val="28"/>
        </w:rPr>
        <w:tab/>
        <w:t xml:space="preserve">CHAPTER 1 – </w:t>
      </w:r>
      <w:r w:rsidR="00330C16" w:rsidRPr="00FD2F0C">
        <w:rPr>
          <w:b/>
          <w:bCs/>
          <w:color w:val="1F9DD9"/>
          <w:sz w:val="28"/>
          <w:szCs w:val="28"/>
        </w:rPr>
        <w:t>S</w:t>
      </w:r>
      <w:r w:rsidRPr="00FD2F0C">
        <w:rPr>
          <w:b/>
          <w:bCs/>
          <w:color w:val="1F9DD9"/>
          <w:sz w:val="28"/>
          <w:szCs w:val="28"/>
        </w:rPr>
        <w:t>pectrum management approaches</w:t>
      </w:r>
      <w:bookmarkEnd w:id="22"/>
      <w:bookmarkEnd w:id="23"/>
      <w:bookmarkEnd w:id="24"/>
    </w:p>
    <w:p w14:paraId="190800FC" w14:textId="77777777" w:rsidR="007366D4" w:rsidRPr="00FD2F0C" w:rsidRDefault="007366D4" w:rsidP="00456C96">
      <w:pPr>
        <w:pStyle w:val="Heading2"/>
        <w:numPr>
          <w:ilvl w:val="0"/>
          <w:numId w:val="0"/>
        </w:numPr>
        <w:rPr>
          <w:rFonts w:asciiTheme="minorHAnsi" w:hAnsiTheme="minorHAnsi"/>
        </w:rPr>
      </w:pPr>
      <w:bookmarkStart w:id="25" w:name="_Toc458779232"/>
      <w:bookmarkStart w:id="26" w:name="_Toc467836383"/>
      <w:bookmarkStart w:id="27" w:name="_Toc485647968"/>
      <w:r w:rsidRPr="00FD2F0C">
        <w:rPr>
          <w:rFonts w:asciiTheme="minorHAnsi" w:hAnsiTheme="minorHAnsi"/>
        </w:rPr>
        <w:t>1.1</w:t>
      </w:r>
      <w:r w:rsidRPr="00FD2F0C">
        <w:rPr>
          <w:rFonts w:asciiTheme="minorHAnsi" w:hAnsiTheme="minorHAnsi"/>
        </w:rPr>
        <w:tab/>
        <w:t>Introduction</w:t>
      </w:r>
      <w:bookmarkEnd w:id="25"/>
      <w:bookmarkEnd w:id="26"/>
      <w:bookmarkEnd w:id="27"/>
    </w:p>
    <w:p w14:paraId="631A87CE" w14:textId="77777777" w:rsidR="007366D4" w:rsidRPr="00FD2F0C" w:rsidRDefault="007366D4" w:rsidP="007366D4">
      <w:pPr>
        <w:spacing w:after="120"/>
        <w:rPr>
          <w:rFonts w:asciiTheme="minorHAnsi" w:hAnsiTheme="minorHAnsi"/>
          <w:szCs w:val="24"/>
          <w:lang w:val="en-GB"/>
        </w:rPr>
      </w:pPr>
      <w:r w:rsidRPr="00FD2F0C">
        <w:rPr>
          <w:rFonts w:asciiTheme="minorHAnsi" w:hAnsiTheme="minorHAnsi" w:cs="Calibri"/>
          <w:bCs/>
          <w:szCs w:val="24"/>
          <w:lang w:val="en-GB"/>
        </w:rPr>
        <w:t>Access to broadband drives economic growth, creates opportunities, and improves the quality of life of people everywhere.</w:t>
      </w:r>
      <w:r w:rsidRPr="00FD2F0C">
        <w:rPr>
          <w:rStyle w:val="FootnoteReference"/>
          <w:rFonts w:asciiTheme="minorHAnsi" w:hAnsiTheme="minorHAnsi"/>
        </w:rPr>
        <w:footnoteReference w:id="1"/>
      </w:r>
      <w:r w:rsidRPr="00FD2F0C">
        <w:rPr>
          <w:rFonts w:asciiTheme="minorHAnsi" w:hAnsiTheme="minorHAnsi" w:cs="Calibri"/>
          <w:bCs/>
          <w:szCs w:val="24"/>
          <w:vertAlign w:val="superscript"/>
          <w:lang w:val="en-GB"/>
        </w:rPr>
        <w:t xml:space="preserve"> </w:t>
      </w:r>
      <w:r w:rsidRPr="00FD2F0C">
        <w:rPr>
          <w:rFonts w:asciiTheme="minorHAnsi" w:hAnsiTheme="minorHAnsi" w:cs="Calibri"/>
          <w:bCs/>
          <w:szCs w:val="24"/>
          <w:lang w:val="en-GB"/>
        </w:rPr>
        <w:t xml:space="preserve">However, these benefits have yet to reach many communities that are unserved by Internet access or are severely underserved due to the limitations of the available Internet access. </w:t>
      </w:r>
      <w:r w:rsidRPr="00FD2F0C">
        <w:rPr>
          <w:rFonts w:asciiTheme="minorHAnsi" w:hAnsiTheme="minorHAnsi"/>
          <w:szCs w:val="24"/>
          <w:lang w:val="en-GB"/>
        </w:rPr>
        <w:t>It is estimated that the Internet is currently accessible to only 35 per cent of people in developing countries.</w:t>
      </w:r>
      <w:r w:rsidRPr="00FD2F0C">
        <w:rPr>
          <w:rStyle w:val="FootnoteReference"/>
          <w:rFonts w:asciiTheme="minorHAnsi" w:hAnsiTheme="minorHAnsi"/>
        </w:rPr>
        <w:footnoteReference w:id="2"/>
      </w:r>
      <w:r w:rsidRPr="00FD2F0C">
        <w:rPr>
          <w:rStyle w:val="FootnoteReference"/>
          <w:rFonts w:asciiTheme="minorHAnsi" w:hAnsiTheme="minorHAnsi"/>
          <w:lang w:val="en-GB"/>
        </w:rPr>
        <w:t xml:space="preserve"> </w:t>
      </w:r>
      <w:r w:rsidRPr="00FD2F0C">
        <w:rPr>
          <w:rFonts w:asciiTheme="minorHAnsi" w:hAnsiTheme="minorHAnsi"/>
          <w:szCs w:val="24"/>
          <w:lang w:val="en-GB"/>
        </w:rPr>
        <w:t>The situation in the 48 UN-designated Least Developed Countries (LDCs) is particularly critical, where less than 10 per cent of the population have any kind of Internet connectivity.</w:t>
      </w:r>
      <w:r w:rsidRPr="00FD2F0C">
        <w:rPr>
          <w:rStyle w:val="FootnoteReference"/>
          <w:rFonts w:asciiTheme="minorHAnsi" w:hAnsiTheme="minorHAnsi"/>
          <w:szCs w:val="18"/>
        </w:rPr>
        <w:footnoteReference w:id="3"/>
      </w:r>
      <w:r w:rsidRPr="00FD2F0C">
        <w:rPr>
          <w:rFonts w:asciiTheme="minorHAnsi" w:hAnsiTheme="minorHAnsi"/>
          <w:sz w:val="18"/>
          <w:szCs w:val="18"/>
          <w:lang w:val="en-GB"/>
        </w:rPr>
        <w:t xml:space="preserve"> </w:t>
      </w:r>
      <w:r w:rsidRPr="00FD2F0C">
        <w:rPr>
          <w:rFonts w:asciiTheme="minorHAnsi" w:hAnsiTheme="minorHAnsi"/>
          <w:szCs w:val="24"/>
          <w:lang w:val="en-GB"/>
        </w:rPr>
        <w:t>The availability of ubiquitous, affordable, reliable, and robust broadband connectivity in communities across LDCs, in developing and emerging economies, and in less developed regions of developed economies would support a number of the sustainable development goals and targets in the United Nations’ 2030 Agenda for Sustainable Development.</w:t>
      </w:r>
      <w:r w:rsidRPr="00FD2F0C">
        <w:rPr>
          <w:rStyle w:val="FootnoteReference"/>
          <w:rFonts w:asciiTheme="minorHAnsi" w:hAnsiTheme="minorHAnsi"/>
          <w:szCs w:val="24"/>
        </w:rPr>
        <w:footnoteReference w:id="4"/>
      </w:r>
    </w:p>
    <w:p w14:paraId="0BD8D5E3" w14:textId="5ABCC31A" w:rsidR="007366D4" w:rsidRPr="00FD2F0C" w:rsidRDefault="007366D4">
      <w:pPr>
        <w:rPr>
          <w:rFonts w:asciiTheme="minorHAnsi" w:hAnsiTheme="minorHAnsi"/>
          <w:lang w:val="en-GB"/>
        </w:rPr>
      </w:pPr>
      <w:r w:rsidRPr="00FD2F0C">
        <w:rPr>
          <w:rFonts w:asciiTheme="minorHAnsi" w:hAnsiTheme="minorHAnsi"/>
          <w:lang w:val="en-GB"/>
        </w:rPr>
        <w:t xml:space="preserve">Often these communities must overcome varying geographical challenges, the lack of adequate infrastructure, and seemingly unfavourable economics to gain access to broadband Internet service. Extending fixed-line fiber connections to unconnected populations is a formidable task, both because of the difficulty of undertaking and financing such projects as well as the challenge of rendering the resultant service economical for the target population. Fixed, mobile, and satellite wireless networks are all intended to provide broadband coverage across a defined geographic area. Due to the relatively less demanding infrastructure requirements, wireless technologies, </w:t>
      </w:r>
      <w:r w:rsidR="004B1037" w:rsidRPr="00FD2F0C">
        <w:rPr>
          <w:rFonts w:asciiTheme="minorHAnsi" w:hAnsiTheme="minorHAnsi"/>
          <w:lang w:val="en-GB"/>
        </w:rPr>
        <w:t xml:space="preserve">may be used to </w:t>
      </w:r>
      <w:r w:rsidRPr="00FD2F0C">
        <w:rPr>
          <w:rFonts w:asciiTheme="minorHAnsi" w:hAnsiTheme="minorHAnsi"/>
          <w:lang w:val="en-GB"/>
        </w:rPr>
        <w:t xml:space="preserve">provide </w:t>
      </w:r>
      <w:r w:rsidR="004B1037" w:rsidRPr="00FD2F0C">
        <w:rPr>
          <w:rFonts w:asciiTheme="minorHAnsi" w:hAnsiTheme="minorHAnsi"/>
          <w:lang w:val="en-GB"/>
        </w:rPr>
        <w:t xml:space="preserve">backhaul and </w:t>
      </w:r>
      <w:r w:rsidRPr="00FD2F0C">
        <w:rPr>
          <w:rFonts w:asciiTheme="minorHAnsi" w:hAnsiTheme="minorHAnsi"/>
          <w:lang w:val="en-GB"/>
        </w:rPr>
        <w:t xml:space="preserve">last mile Internet access in less densely populated areas at lower cost than fixed wireline networks. Nevertheless, it is important to note that regardless of the radio </w:t>
      </w:r>
      <w:r w:rsidR="004B1037" w:rsidRPr="00FD2F0C">
        <w:rPr>
          <w:rFonts w:asciiTheme="minorHAnsi" w:hAnsiTheme="minorHAnsi"/>
          <w:lang w:val="en-GB"/>
        </w:rPr>
        <w:t xml:space="preserve">technology </w:t>
      </w:r>
      <w:r w:rsidRPr="00FD2F0C">
        <w:rPr>
          <w:rFonts w:asciiTheme="minorHAnsi" w:hAnsiTheme="minorHAnsi"/>
          <w:lang w:val="en-GB"/>
        </w:rPr>
        <w:t>used to provide the last mile connectivity, the local endpoint must be able to interconnect seamlessly back to the Internet backbone for there to be broadband coverage.</w:t>
      </w:r>
    </w:p>
    <w:p w14:paraId="3979D0AB" w14:textId="77777777" w:rsidR="00770357" w:rsidRPr="00FD2F0C" w:rsidRDefault="007366D4" w:rsidP="00770357">
      <w:pPr>
        <w:rPr>
          <w:rFonts w:asciiTheme="minorHAnsi" w:hAnsiTheme="minorHAnsi"/>
          <w:color w:val="000000"/>
          <w:lang w:val="en-GB"/>
        </w:rPr>
      </w:pPr>
      <w:r w:rsidRPr="00FD2F0C">
        <w:rPr>
          <w:rFonts w:asciiTheme="minorHAnsi" w:hAnsiTheme="minorHAnsi"/>
          <w:lang w:val="en-GB"/>
        </w:rPr>
        <w:t xml:space="preserve">Where </w:t>
      </w:r>
      <w:r w:rsidRPr="00FD2F0C">
        <w:rPr>
          <w:rFonts w:asciiTheme="minorHAnsi" w:hAnsiTheme="minorHAnsi"/>
          <w:color w:val="000000"/>
          <w:lang w:val="en-GB"/>
        </w:rPr>
        <w:t>wireless networks exist in developing countries, they may suffer from both gaps in coverage and congested nodes that drive up costs and reduce service quality. And even in the most developed economies there are gaps in wireless coverage, access points and base stations become overloaded in busy areas, and pricing presents an affordability barrier for many.</w:t>
      </w:r>
    </w:p>
    <w:p w14:paraId="51D3189A" w14:textId="4ED6F083" w:rsidR="007366D4" w:rsidRPr="00FD2F0C" w:rsidRDefault="007366D4">
      <w:pPr>
        <w:spacing w:after="120"/>
        <w:rPr>
          <w:rFonts w:asciiTheme="minorHAnsi" w:hAnsiTheme="minorHAnsi" w:cs="Calibri"/>
          <w:bCs/>
          <w:szCs w:val="24"/>
          <w:lang w:val="en-GB"/>
        </w:rPr>
      </w:pPr>
      <w:r w:rsidRPr="00FD2F0C">
        <w:rPr>
          <w:rFonts w:asciiTheme="minorHAnsi" w:hAnsiTheme="minorHAnsi" w:cs="Calibri"/>
          <w:bCs/>
          <w:szCs w:val="24"/>
          <w:lang w:val="en-GB"/>
        </w:rPr>
        <w:t>As a result, spectrum managers in developing countries face challenges of making available spectrum in, typically, lower frequency bands to provide</w:t>
      </w:r>
      <w:r w:rsidR="00524E12" w:rsidRPr="00FD2F0C">
        <w:rPr>
          <w:rFonts w:asciiTheme="minorHAnsi" w:hAnsiTheme="minorHAnsi" w:cs="Calibri"/>
          <w:bCs/>
          <w:szCs w:val="24"/>
          <w:lang w:val="en-GB"/>
        </w:rPr>
        <w:t>, at a lower cost,</w:t>
      </w:r>
      <w:r w:rsidRPr="00FD2F0C">
        <w:rPr>
          <w:rFonts w:asciiTheme="minorHAnsi" w:hAnsiTheme="minorHAnsi" w:cs="Calibri"/>
          <w:bCs/>
          <w:szCs w:val="24"/>
          <w:lang w:val="en-GB"/>
        </w:rPr>
        <w:t xml:space="preserve"> wide-area broadband coverage in unserved and underserved areas, as well as making available additional spectrum in mid- and high frequency bands to add broadband capacity where there is already wireless broadband access.</w:t>
      </w:r>
    </w:p>
    <w:p w14:paraId="3AA2DF72" w14:textId="358358B6" w:rsidR="00AA1B8C" w:rsidRPr="00FD2F0C" w:rsidRDefault="00B23380">
      <w:pPr>
        <w:rPr>
          <w:rFonts w:asciiTheme="minorHAnsi" w:hAnsiTheme="minorHAnsi"/>
          <w:lang w:val="en-US"/>
        </w:rPr>
      </w:pPr>
      <w:r w:rsidRPr="00FD2F0C">
        <w:rPr>
          <w:rFonts w:asciiTheme="minorHAnsi" w:hAnsiTheme="minorHAnsi"/>
          <w:lang w:val="en-GB"/>
        </w:rPr>
        <w:t xml:space="preserve">When </w:t>
      </w:r>
      <w:r w:rsidR="0068180C" w:rsidRPr="00FD2F0C">
        <w:rPr>
          <w:rFonts w:asciiTheme="minorHAnsi" w:hAnsiTheme="minorHAnsi"/>
          <w:lang w:val="en-US"/>
        </w:rPr>
        <w:t xml:space="preserve">making </w:t>
      </w:r>
      <w:r w:rsidRPr="00FD2F0C">
        <w:rPr>
          <w:rFonts w:asciiTheme="minorHAnsi" w:hAnsiTheme="minorHAnsi"/>
          <w:lang w:val="en-GB"/>
        </w:rPr>
        <w:t>spectrum</w:t>
      </w:r>
      <w:r w:rsidRPr="00FD2F0C">
        <w:rPr>
          <w:rFonts w:asciiTheme="minorHAnsi" w:hAnsiTheme="minorHAnsi"/>
          <w:lang w:val="en-US"/>
        </w:rPr>
        <w:t xml:space="preserve"> </w:t>
      </w:r>
      <w:r w:rsidR="0068180C" w:rsidRPr="00FD2F0C">
        <w:rPr>
          <w:rFonts w:asciiTheme="minorHAnsi" w:hAnsiTheme="minorHAnsi"/>
          <w:lang w:val="en-US"/>
        </w:rPr>
        <w:t>management decisions</w:t>
      </w:r>
      <w:r w:rsidRPr="00FD2F0C">
        <w:rPr>
          <w:rFonts w:asciiTheme="minorHAnsi" w:hAnsiTheme="minorHAnsi"/>
          <w:lang w:val="en-US"/>
        </w:rPr>
        <w:t>, administrations</w:t>
      </w:r>
      <w:r w:rsidRPr="00FD2F0C">
        <w:rPr>
          <w:rFonts w:asciiTheme="minorHAnsi" w:hAnsiTheme="minorHAnsi"/>
          <w:lang w:val="en-GB"/>
        </w:rPr>
        <w:t xml:space="preserve"> should</w:t>
      </w:r>
      <w:r w:rsidRPr="00FD2F0C">
        <w:rPr>
          <w:rFonts w:asciiTheme="minorHAnsi" w:hAnsiTheme="minorHAnsi"/>
          <w:lang w:val="en-US"/>
        </w:rPr>
        <w:t xml:space="preserve"> first</w:t>
      </w:r>
      <w:r w:rsidRPr="00FD2F0C">
        <w:rPr>
          <w:rFonts w:asciiTheme="minorHAnsi" w:hAnsiTheme="minorHAnsi"/>
          <w:lang w:val="en-GB"/>
        </w:rPr>
        <w:t xml:space="preserve"> attempt</w:t>
      </w:r>
      <w:r w:rsidRPr="00FD2F0C">
        <w:rPr>
          <w:rFonts w:asciiTheme="minorHAnsi" w:hAnsiTheme="minorHAnsi"/>
          <w:lang w:val="en-US"/>
        </w:rPr>
        <w:t xml:space="preserve"> to</w:t>
      </w:r>
      <w:r w:rsidRPr="00FD2F0C">
        <w:rPr>
          <w:rFonts w:asciiTheme="minorHAnsi" w:hAnsiTheme="minorHAnsi"/>
          <w:lang w:val="en-GB"/>
        </w:rPr>
        <w:t xml:space="preserve"> introduce</w:t>
      </w:r>
      <w:r w:rsidRPr="00FD2F0C">
        <w:rPr>
          <w:rFonts w:asciiTheme="minorHAnsi" w:hAnsiTheme="minorHAnsi"/>
          <w:lang w:val="en-US"/>
        </w:rPr>
        <w:t xml:space="preserve"> services</w:t>
      </w:r>
      <w:r w:rsidRPr="00FD2F0C">
        <w:rPr>
          <w:rFonts w:asciiTheme="minorHAnsi" w:hAnsiTheme="minorHAnsi"/>
          <w:lang w:val="en-GB"/>
        </w:rPr>
        <w:t xml:space="preserve"> using</w:t>
      </w:r>
      <w:r w:rsidRPr="00FD2F0C">
        <w:rPr>
          <w:rFonts w:asciiTheme="minorHAnsi" w:hAnsiTheme="minorHAnsi"/>
          <w:lang w:val="en-US"/>
        </w:rPr>
        <w:t xml:space="preserve"> </w:t>
      </w:r>
      <w:r w:rsidR="00234706" w:rsidRPr="00FD2F0C">
        <w:rPr>
          <w:rFonts w:asciiTheme="minorHAnsi" w:hAnsiTheme="minorHAnsi"/>
          <w:lang w:val="en-US"/>
        </w:rPr>
        <w:t xml:space="preserve">ITU-R Recommendations </w:t>
      </w:r>
      <w:r w:rsidRPr="00FD2F0C">
        <w:rPr>
          <w:rFonts w:asciiTheme="minorHAnsi" w:hAnsiTheme="minorHAnsi"/>
          <w:lang w:val="en-US"/>
        </w:rPr>
        <w:t>in the allocations</w:t>
      </w:r>
      <w:r w:rsidR="00234706" w:rsidRPr="00FD2F0C">
        <w:rPr>
          <w:rFonts w:asciiTheme="minorHAnsi" w:hAnsiTheme="minorHAnsi"/>
          <w:lang w:val="en-US"/>
        </w:rPr>
        <w:t xml:space="preserve"> defined by the Radio Regulations</w:t>
      </w:r>
      <w:r w:rsidRPr="00FD2F0C">
        <w:rPr>
          <w:rFonts w:asciiTheme="minorHAnsi" w:hAnsiTheme="minorHAnsi"/>
          <w:lang w:val="en-US"/>
        </w:rPr>
        <w:t>. This</w:t>
      </w:r>
      <w:r w:rsidRPr="00FD2F0C">
        <w:rPr>
          <w:rFonts w:asciiTheme="minorHAnsi" w:hAnsiTheme="minorHAnsi"/>
          <w:lang w:val="en-GB"/>
        </w:rPr>
        <w:t xml:space="preserve"> is likely</w:t>
      </w:r>
      <w:r w:rsidRPr="00FD2F0C">
        <w:rPr>
          <w:rFonts w:asciiTheme="minorHAnsi" w:hAnsiTheme="minorHAnsi"/>
          <w:lang w:val="en-US"/>
        </w:rPr>
        <w:t xml:space="preserve"> to</w:t>
      </w:r>
      <w:r w:rsidRPr="00FD2F0C">
        <w:rPr>
          <w:rFonts w:asciiTheme="minorHAnsi" w:hAnsiTheme="minorHAnsi"/>
          <w:lang w:val="en-GB"/>
        </w:rPr>
        <w:t xml:space="preserve"> provide</w:t>
      </w:r>
      <w:r w:rsidRPr="00FD2F0C">
        <w:rPr>
          <w:rFonts w:asciiTheme="minorHAnsi" w:hAnsiTheme="minorHAnsi"/>
          <w:lang w:val="en-US"/>
        </w:rPr>
        <w:t xml:space="preserve"> the</w:t>
      </w:r>
      <w:r w:rsidRPr="00FD2F0C">
        <w:rPr>
          <w:rFonts w:asciiTheme="minorHAnsi" w:hAnsiTheme="minorHAnsi"/>
          <w:lang w:val="en-GB"/>
        </w:rPr>
        <w:t xml:space="preserve"> most benefit </w:t>
      </w:r>
      <w:r w:rsidR="002D7DB1" w:rsidRPr="00FD2F0C">
        <w:rPr>
          <w:rFonts w:asciiTheme="minorHAnsi" w:hAnsiTheme="minorHAnsi"/>
          <w:lang w:val="en-GB"/>
        </w:rPr>
        <w:t xml:space="preserve">in terms of economies of scale, roaming, interoperability and </w:t>
      </w:r>
      <w:r w:rsidRPr="00FD2F0C">
        <w:rPr>
          <w:rFonts w:asciiTheme="minorHAnsi" w:hAnsiTheme="minorHAnsi"/>
          <w:lang w:val="en-GB"/>
        </w:rPr>
        <w:t>wide</w:t>
      </w:r>
      <w:r w:rsidR="002D7DB1" w:rsidRPr="00FD2F0C">
        <w:rPr>
          <w:rFonts w:asciiTheme="minorHAnsi" w:hAnsiTheme="minorHAnsi"/>
          <w:lang w:val="en-GB"/>
        </w:rPr>
        <w:t>r</w:t>
      </w:r>
      <w:r w:rsidRPr="00FD2F0C">
        <w:rPr>
          <w:rFonts w:asciiTheme="minorHAnsi" w:hAnsiTheme="minorHAnsi"/>
          <w:lang w:val="en-US"/>
        </w:rPr>
        <w:t xml:space="preserve"> </w:t>
      </w:r>
      <w:r w:rsidRPr="00FD2F0C">
        <w:rPr>
          <w:rFonts w:asciiTheme="minorHAnsi" w:hAnsiTheme="minorHAnsi"/>
          <w:lang w:val="en-GB"/>
        </w:rPr>
        <w:t>choice</w:t>
      </w:r>
      <w:r w:rsidRPr="00FD2F0C">
        <w:rPr>
          <w:rFonts w:asciiTheme="minorHAnsi" w:hAnsiTheme="minorHAnsi"/>
          <w:lang w:val="en-US"/>
        </w:rPr>
        <w:t xml:space="preserve"> of</w:t>
      </w:r>
      <w:r w:rsidRPr="00FD2F0C">
        <w:rPr>
          <w:rFonts w:asciiTheme="minorHAnsi" w:hAnsiTheme="minorHAnsi"/>
          <w:lang w:val="en-GB"/>
        </w:rPr>
        <w:t xml:space="preserve"> equipment</w:t>
      </w:r>
      <w:r w:rsidRPr="00FD2F0C">
        <w:rPr>
          <w:rFonts w:asciiTheme="minorHAnsi" w:hAnsiTheme="minorHAnsi"/>
          <w:lang w:val="en-US"/>
        </w:rPr>
        <w:t xml:space="preserve">. </w:t>
      </w:r>
      <w:r w:rsidR="00AA1B8C" w:rsidRPr="00FD2F0C">
        <w:rPr>
          <w:rFonts w:asciiTheme="minorHAnsi" w:hAnsiTheme="minorHAnsi"/>
          <w:lang w:val="en-US"/>
        </w:rPr>
        <w:t xml:space="preserve">Administrations should take into account that it may take several years </w:t>
      </w:r>
      <w:r w:rsidR="00AA1B8C" w:rsidRPr="00FD2F0C">
        <w:rPr>
          <w:rFonts w:asciiTheme="minorHAnsi" w:hAnsiTheme="minorHAnsi"/>
          <w:lang w:val="en-US"/>
        </w:rPr>
        <w:lastRenderedPageBreak/>
        <w:t xml:space="preserve">between the adoption of a standard and the availability of equipment and devices at a cost which is affordable for </w:t>
      </w:r>
      <w:r w:rsidR="00AA1B8C" w:rsidRPr="00FD2F0C">
        <w:rPr>
          <w:rFonts w:asciiTheme="minorHAnsi" w:hAnsiTheme="minorHAnsi"/>
          <w:lang w:val="en-GB"/>
        </w:rPr>
        <w:t>consumers</w:t>
      </w:r>
      <w:r w:rsidR="00AA1B8C" w:rsidRPr="00FD2F0C">
        <w:rPr>
          <w:rFonts w:asciiTheme="minorHAnsi" w:hAnsiTheme="minorHAnsi"/>
          <w:lang w:val="en-US"/>
        </w:rPr>
        <w:t xml:space="preserve"> and </w:t>
      </w:r>
      <w:r w:rsidR="00AA1B8C" w:rsidRPr="00FD2F0C">
        <w:rPr>
          <w:rFonts w:asciiTheme="minorHAnsi" w:hAnsiTheme="minorHAnsi"/>
          <w:lang w:val="en-GB"/>
        </w:rPr>
        <w:t>citizens</w:t>
      </w:r>
      <w:r w:rsidR="00AA1B8C" w:rsidRPr="00FD2F0C">
        <w:rPr>
          <w:rFonts w:asciiTheme="minorHAnsi" w:hAnsiTheme="minorHAnsi"/>
          <w:lang w:val="en-US"/>
        </w:rPr>
        <w:t xml:space="preserve"> of developing countries.</w:t>
      </w:r>
      <w:r w:rsidR="009950AE" w:rsidRPr="00FD2F0C">
        <w:rPr>
          <w:rFonts w:asciiTheme="minorHAnsi" w:hAnsiTheme="minorHAnsi"/>
          <w:lang w:val="en-US"/>
        </w:rPr>
        <w:t xml:space="preserve"> </w:t>
      </w:r>
    </w:p>
    <w:p w14:paraId="03B8938F" w14:textId="70987C00" w:rsidR="00B23380" w:rsidRPr="00FD2F0C" w:rsidRDefault="009950AE" w:rsidP="007D5573">
      <w:pPr>
        <w:rPr>
          <w:rFonts w:asciiTheme="minorHAnsi" w:hAnsiTheme="minorHAnsi"/>
          <w:lang w:val="en-US"/>
        </w:rPr>
      </w:pPr>
      <w:r w:rsidRPr="00FD2F0C">
        <w:rPr>
          <w:rFonts w:asciiTheme="minorHAnsi" w:hAnsiTheme="minorHAnsi"/>
          <w:lang w:val="en-US"/>
        </w:rPr>
        <w:t xml:space="preserve">If the above approach is not followed, </w:t>
      </w:r>
      <w:r w:rsidRPr="00FD2F0C">
        <w:rPr>
          <w:rFonts w:asciiTheme="minorHAnsi" w:hAnsiTheme="minorHAnsi"/>
          <w:lang w:val="en-GB"/>
        </w:rPr>
        <w:t xml:space="preserve">it would </w:t>
      </w:r>
      <w:r w:rsidR="00AA1B8C" w:rsidRPr="00FD2F0C">
        <w:rPr>
          <w:rFonts w:asciiTheme="minorHAnsi" w:hAnsiTheme="minorHAnsi"/>
          <w:lang w:val="en-GB"/>
        </w:rPr>
        <w:t xml:space="preserve">typically </w:t>
      </w:r>
      <w:r w:rsidR="00B23380" w:rsidRPr="00FD2F0C">
        <w:rPr>
          <w:rFonts w:asciiTheme="minorHAnsi" w:hAnsiTheme="minorHAnsi"/>
          <w:lang w:val="en-GB"/>
        </w:rPr>
        <w:t xml:space="preserve">require special equipment </w:t>
      </w:r>
      <w:r w:rsidR="00AA1B8C" w:rsidRPr="00FD2F0C">
        <w:rPr>
          <w:rFonts w:asciiTheme="minorHAnsi" w:hAnsiTheme="minorHAnsi"/>
          <w:lang w:val="en-GB"/>
        </w:rPr>
        <w:t xml:space="preserve">that </w:t>
      </w:r>
      <w:r w:rsidR="00B23380" w:rsidRPr="00FD2F0C">
        <w:rPr>
          <w:rFonts w:asciiTheme="minorHAnsi" w:hAnsiTheme="minorHAnsi"/>
          <w:lang w:val="en-GB"/>
        </w:rPr>
        <w:t>may</w:t>
      </w:r>
      <w:r w:rsidR="00B23380" w:rsidRPr="00FD2F0C">
        <w:rPr>
          <w:rFonts w:asciiTheme="minorHAnsi" w:hAnsiTheme="minorHAnsi"/>
          <w:lang w:val="en-US"/>
        </w:rPr>
        <w:t xml:space="preserve"> </w:t>
      </w:r>
      <w:r w:rsidRPr="00FD2F0C">
        <w:rPr>
          <w:rFonts w:asciiTheme="minorHAnsi" w:hAnsiTheme="minorHAnsi"/>
          <w:lang w:val="en-US"/>
        </w:rPr>
        <w:t xml:space="preserve">increase network and equipment costs, </w:t>
      </w:r>
      <w:r w:rsidR="00B23380" w:rsidRPr="00FD2F0C">
        <w:rPr>
          <w:rFonts w:asciiTheme="minorHAnsi" w:hAnsiTheme="minorHAnsi"/>
          <w:lang w:val="en-US"/>
        </w:rPr>
        <w:t>lead to</w:t>
      </w:r>
      <w:r w:rsidR="00B23380" w:rsidRPr="00FD2F0C">
        <w:rPr>
          <w:rFonts w:asciiTheme="minorHAnsi" w:hAnsiTheme="minorHAnsi"/>
          <w:lang w:val="en-GB"/>
        </w:rPr>
        <w:t xml:space="preserve"> difficulties</w:t>
      </w:r>
      <w:r w:rsidR="00B23380" w:rsidRPr="00FD2F0C">
        <w:rPr>
          <w:rFonts w:asciiTheme="minorHAnsi" w:hAnsiTheme="minorHAnsi"/>
          <w:lang w:val="en-US"/>
        </w:rPr>
        <w:t xml:space="preserve"> in</w:t>
      </w:r>
      <w:r w:rsidR="00B23380" w:rsidRPr="00FD2F0C">
        <w:rPr>
          <w:rFonts w:asciiTheme="minorHAnsi" w:hAnsiTheme="minorHAnsi"/>
          <w:lang w:val="en-GB"/>
        </w:rPr>
        <w:t xml:space="preserve"> product availability</w:t>
      </w:r>
      <w:r w:rsidR="00B23380" w:rsidRPr="00FD2F0C">
        <w:rPr>
          <w:rFonts w:asciiTheme="minorHAnsi" w:hAnsiTheme="minorHAnsi"/>
          <w:lang w:val="en-US"/>
        </w:rPr>
        <w:t xml:space="preserve"> and </w:t>
      </w:r>
      <w:r w:rsidRPr="00FD2F0C">
        <w:rPr>
          <w:rFonts w:asciiTheme="minorHAnsi" w:hAnsiTheme="minorHAnsi"/>
          <w:lang w:val="en-US"/>
        </w:rPr>
        <w:t xml:space="preserve">create challenges for </w:t>
      </w:r>
      <w:r w:rsidR="00B23380" w:rsidRPr="00FD2F0C">
        <w:rPr>
          <w:rFonts w:asciiTheme="minorHAnsi" w:hAnsiTheme="minorHAnsi"/>
          <w:lang w:val="en-US"/>
        </w:rPr>
        <w:t>long</w:t>
      </w:r>
      <w:r w:rsidR="00B23380" w:rsidRPr="00FD2F0C">
        <w:rPr>
          <w:rFonts w:asciiTheme="minorHAnsi" w:hAnsiTheme="minorHAnsi"/>
          <w:lang w:val="en-GB"/>
        </w:rPr>
        <w:t xml:space="preserve"> term</w:t>
      </w:r>
      <w:r w:rsidR="00B23380" w:rsidRPr="00FD2F0C">
        <w:rPr>
          <w:rFonts w:asciiTheme="minorHAnsi" w:hAnsiTheme="minorHAnsi"/>
          <w:lang w:val="en-US"/>
        </w:rPr>
        <w:t xml:space="preserve"> support.</w:t>
      </w:r>
    </w:p>
    <w:p w14:paraId="67638D80" w14:textId="24D9F43A" w:rsidR="00524E12" w:rsidRPr="00FD2F0C" w:rsidRDefault="00524E12" w:rsidP="00234706">
      <w:pPr>
        <w:rPr>
          <w:rFonts w:asciiTheme="minorHAnsi" w:hAnsiTheme="minorHAnsi"/>
          <w:lang w:val="en-GB"/>
        </w:rPr>
      </w:pPr>
      <w:r w:rsidRPr="00FD2F0C">
        <w:rPr>
          <w:rFonts w:asciiTheme="minorHAnsi" w:hAnsiTheme="minorHAnsi"/>
          <w:lang w:val="en-GB"/>
        </w:rPr>
        <w:t xml:space="preserve">One approach to </w:t>
      </w:r>
      <w:r w:rsidR="007366D4" w:rsidRPr="00FD2F0C">
        <w:rPr>
          <w:rFonts w:asciiTheme="minorHAnsi" w:hAnsiTheme="minorHAnsi"/>
          <w:lang w:val="en-GB"/>
        </w:rPr>
        <w:t xml:space="preserve">address these challenges is to </w:t>
      </w:r>
      <w:r w:rsidRPr="00FD2F0C">
        <w:rPr>
          <w:rFonts w:asciiTheme="minorHAnsi" w:hAnsiTheme="minorHAnsi"/>
          <w:lang w:val="en-GB"/>
        </w:rPr>
        <w:t xml:space="preserve">redeploy </w:t>
      </w:r>
      <w:r w:rsidR="007366D4" w:rsidRPr="00FD2F0C">
        <w:rPr>
          <w:rFonts w:asciiTheme="minorHAnsi" w:hAnsiTheme="minorHAnsi"/>
          <w:lang w:val="en-GB"/>
        </w:rPr>
        <w:t>spectrum for licensed mobile services that can be used for broadband.</w:t>
      </w:r>
      <w:r w:rsidR="007366D4" w:rsidRPr="00FD2F0C">
        <w:rPr>
          <w:rStyle w:val="FootnoteReference"/>
          <w:rFonts w:asciiTheme="minorHAnsi" w:hAnsiTheme="minorHAnsi"/>
        </w:rPr>
        <w:footnoteReference w:id="5"/>
      </w:r>
      <w:r w:rsidR="007366D4" w:rsidRPr="00FD2F0C">
        <w:rPr>
          <w:rFonts w:asciiTheme="minorHAnsi" w:hAnsiTheme="minorHAnsi"/>
          <w:lang w:val="en-GB"/>
        </w:rPr>
        <w:t xml:space="preserve"> </w:t>
      </w:r>
      <w:r w:rsidR="006F2563" w:rsidRPr="00FD2F0C">
        <w:rPr>
          <w:rFonts w:asciiTheme="minorHAnsi" w:hAnsiTheme="minorHAnsi"/>
          <w:lang w:val="en-GB"/>
        </w:rPr>
        <w:t>L</w:t>
      </w:r>
      <w:r w:rsidR="00651528" w:rsidRPr="00FD2F0C">
        <w:rPr>
          <w:rFonts w:asciiTheme="minorHAnsi" w:hAnsiTheme="minorHAnsi"/>
          <w:lang w:val="en-GB"/>
        </w:rPr>
        <w:t xml:space="preserve">icensing is </w:t>
      </w:r>
      <w:r w:rsidR="006F2563" w:rsidRPr="00FD2F0C">
        <w:rPr>
          <w:rFonts w:asciiTheme="minorHAnsi" w:hAnsiTheme="minorHAnsi"/>
          <w:lang w:val="en-GB"/>
        </w:rPr>
        <w:t xml:space="preserve">currently </w:t>
      </w:r>
      <w:r w:rsidR="00651528" w:rsidRPr="00FD2F0C">
        <w:rPr>
          <w:rFonts w:asciiTheme="minorHAnsi" w:hAnsiTheme="minorHAnsi"/>
          <w:lang w:val="en-GB"/>
        </w:rPr>
        <w:t>the mainstream spectrum management approach for mobile broadband, providing the certainty of dedicated spectrum to support over 8.1 billion connections and almost 5 billion unique subscribers.</w:t>
      </w:r>
      <w:r w:rsidR="00651528" w:rsidRPr="00FD2F0C">
        <w:rPr>
          <w:rStyle w:val="FootnoteReference"/>
          <w:rFonts w:asciiTheme="minorHAnsi" w:hAnsiTheme="minorHAnsi"/>
        </w:rPr>
        <w:footnoteReference w:id="6"/>
      </w:r>
    </w:p>
    <w:p w14:paraId="71385E69" w14:textId="35B6419F" w:rsidR="00651528" w:rsidRPr="00FD2F0C" w:rsidRDefault="00651528" w:rsidP="00652537">
      <w:pPr>
        <w:rPr>
          <w:rFonts w:asciiTheme="minorHAnsi" w:hAnsiTheme="minorHAnsi"/>
          <w:lang w:val="en-GB"/>
        </w:rPr>
      </w:pPr>
      <w:r w:rsidRPr="00FD2F0C">
        <w:rPr>
          <w:rFonts w:asciiTheme="minorHAnsi" w:hAnsiTheme="minorHAnsi"/>
          <w:lang w:val="en-GB"/>
        </w:rPr>
        <w:t>Exclusive licensed spectrum allow</w:t>
      </w:r>
      <w:r w:rsidR="00234706" w:rsidRPr="00FD2F0C">
        <w:rPr>
          <w:rFonts w:asciiTheme="minorHAnsi" w:hAnsiTheme="minorHAnsi"/>
          <w:lang w:val="en-GB"/>
        </w:rPr>
        <w:t>s</w:t>
      </w:r>
      <w:r w:rsidRPr="00FD2F0C">
        <w:rPr>
          <w:rFonts w:asciiTheme="minorHAnsi" w:hAnsiTheme="minorHAnsi"/>
          <w:lang w:val="en-GB"/>
        </w:rPr>
        <w:t xml:space="preserve"> for better interference protection guarantees and enable</w:t>
      </w:r>
      <w:r w:rsidR="00234706" w:rsidRPr="00FD2F0C">
        <w:rPr>
          <w:rFonts w:asciiTheme="minorHAnsi" w:hAnsiTheme="minorHAnsi"/>
          <w:lang w:val="en-GB"/>
        </w:rPr>
        <w:t>s</w:t>
      </w:r>
      <w:r w:rsidRPr="00FD2F0C">
        <w:rPr>
          <w:rFonts w:asciiTheme="minorHAnsi" w:hAnsiTheme="minorHAnsi"/>
          <w:lang w:val="en-GB"/>
        </w:rPr>
        <w:t xml:space="preserve"> higher power output, both of which help improve coverage and incentivise network investment. The amount of spectrum that has been licensed to mobile operators – including the type of bands that are licensed – can have a major impact on the cost, quality and coverage of mobile broadband services.</w:t>
      </w:r>
    </w:p>
    <w:p w14:paraId="1A8AC61A" w14:textId="77777777" w:rsidR="00651528" w:rsidRPr="00FD2F0C" w:rsidRDefault="00651528" w:rsidP="00651528">
      <w:pPr>
        <w:rPr>
          <w:rFonts w:asciiTheme="minorHAnsi" w:hAnsiTheme="minorHAnsi"/>
          <w:lang w:val="en-US"/>
        </w:rPr>
      </w:pPr>
      <w:r w:rsidRPr="00FD2F0C">
        <w:rPr>
          <w:rFonts w:asciiTheme="minorHAnsi" w:hAnsiTheme="minorHAnsi"/>
          <w:lang w:val="en-US"/>
        </w:rPr>
        <w:t>The amount of spectrum that has been exclusively licensed to mobile operators varies widely around the world – this ranges from 150 MHz in numerous developing countries to over 700 MHz in more advanced mobile markets</w:t>
      </w:r>
      <w:r w:rsidRPr="00FD2F0C">
        <w:rPr>
          <w:rStyle w:val="FootnoteReference"/>
          <w:rFonts w:asciiTheme="minorHAnsi" w:hAnsiTheme="minorHAnsi"/>
        </w:rPr>
        <w:footnoteReference w:id="7"/>
      </w:r>
      <w:r w:rsidRPr="00FD2F0C">
        <w:rPr>
          <w:rFonts w:asciiTheme="minorHAnsi" w:hAnsiTheme="minorHAnsi"/>
          <w:lang w:val="en-US"/>
        </w:rPr>
        <w:t>. Those countries with less spectrum licensed may struggle to support fast mobile broadband speeds and growing amounts of data traffic.</w:t>
      </w:r>
    </w:p>
    <w:p w14:paraId="58DE92E9" w14:textId="77777777" w:rsidR="00651528" w:rsidRPr="00FD2F0C" w:rsidRDefault="00651528" w:rsidP="00651528">
      <w:pPr>
        <w:rPr>
          <w:rFonts w:asciiTheme="minorHAnsi" w:hAnsiTheme="minorHAnsi"/>
          <w:lang w:val="en-US"/>
        </w:rPr>
      </w:pPr>
      <w:r w:rsidRPr="00FD2F0C">
        <w:rPr>
          <w:rFonts w:asciiTheme="minorHAnsi" w:hAnsiTheme="minorHAnsi"/>
          <w:lang w:val="en-GB"/>
        </w:rPr>
        <w:t>The type of spectrum that is licensed can also have a significant impact on the cost and reach of mobile broadband services. Coverage bands (ie. below 1GHz) can cover wide areas with less infrastructure than spectrum in higher bands, so can play an important role in connecting rural populations in a cost-effective manner, while also helping to improve quality of service through improved in-building penetration.</w:t>
      </w:r>
    </w:p>
    <w:p w14:paraId="6DB6C8B6" w14:textId="77777777" w:rsidR="00524E12" w:rsidRPr="00FD2F0C" w:rsidRDefault="00524E12">
      <w:pPr>
        <w:rPr>
          <w:rFonts w:asciiTheme="minorHAnsi" w:hAnsiTheme="minorHAnsi"/>
          <w:lang w:val="en-GB"/>
        </w:rPr>
      </w:pPr>
      <w:r w:rsidRPr="00FD2F0C">
        <w:rPr>
          <w:rFonts w:asciiTheme="minorHAnsi" w:hAnsiTheme="minorHAnsi"/>
          <w:lang w:val="en-GB"/>
        </w:rPr>
        <w:t>An example of the effectiveness of this approach is the reallocation of the “Digital Dividend” spectrum to the mobile service, as a result of the spectrum efficiencies gained by the transition of analogue television services to digital terrestrial television. Re-farming of that spectrum avoided onerous requirements on radio equipment, and mobile services could be deployed without restrictions on power or coverage. This is particularly crucial in disadvantaged economic areas where the viability of a service, or the subsequent cost of service to subscribers,  is often determined by the population served by each point of presence on the landscape.</w:t>
      </w:r>
    </w:p>
    <w:p w14:paraId="183EE6AE" w14:textId="2C004B47" w:rsidR="00651528" w:rsidRPr="00FD2F0C" w:rsidRDefault="00651528" w:rsidP="00CF157E">
      <w:pPr>
        <w:rPr>
          <w:rFonts w:asciiTheme="minorHAnsi" w:hAnsiTheme="minorHAnsi"/>
          <w:lang w:val="en-GB"/>
        </w:rPr>
      </w:pPr>
      <w:r w:rsidRPr="00FD2F0C">
        <w:rPr>
          <w:rFonts w:asciiTheme="minorHAnsi" w:hAnsiTheme="minorHAnsi"/>
          <w:lang w:val="en-GB"/>
        </w:rPr>
        <w:t xml:space="preserve">Capacity </w:t>
      </w:r>
      <w:r w:rsidR="00CF157E" w:rsidRPr="00FD2F0C">
        <w:rPr>
          <w:rFonts w:asciiTheme="minorHAnsi" w:hAnsiTheme="minorHAnsi"/>
          <w:lang w:val="en-GB"/>
        </w:rPr>
        <w:t xml:space="preserve">of frequency </w:t>
      </w:r>
      <w:r w:rsidRPr="00FD2F0C">
        <w:rPr>
          <w:rFonts w:asciiTheme="minorHAnsi" w:hAnsiTheme="minorHAnsi"/>
          <w:lang w:val="en-GB"/>
        </w:rPr>
        <w:t xml:space="preserve">bands (i.e. above 1 GHz) </w:t>
      </w:r>
      <w:r w:rsidR="00CF157E" w:rsidRPr="00FD2F0C">
        <w:rPr>
          <w:rFonts w:asciiTheme="minorHAnsi" w:hAnsiTheme="minorHAnsi"/>
          <w:lang w:val="en-GB"/>
        </w:rPr>
        <w:t xml:space="preserve">is </w:t>
      </w:r>
      <w:r w:rsidRPr="00FD2F0C">
        <w:rPr>
          <w:rFonts w:asciiTheme="minorHAnsi" w:hAnsiTheme="minorHAnsi"/>
          <w:lang w:val="en-GB"/>
        </w:rPr>
        <w:t xml:space="preserve">important for delivering the rich, data-intensive services </w:t>
      </w:r>
      <w:r w:rsidR="00EF6CE3" w:rsidRPr="00FD2F0C">
        <w:rPr>
          <w:rFonts w:asciiTheme="minorHAnsi" w:hAnsiTheme="minorHAnsi"/>
          <w:lang w:val="en-GB"/>
        </w:rPr>
        <w:t xml:space="preserve">that </w:t>
      </w:r>
      <w:r w:rsidRPr="00FD2F0C">
        <w:rPr>
          <w:rFonts w:asciiTheme="minorHAnsi" w:hAnsiTheme="minorHAnsi"/>
          <w:lang w:val="en-GB"/>
        </w:rPr>
        <w:t>consumers are increasingly using.</w:t>
      </w:r>
    </w:p>
    <w:p w14:paraId="5697B67F" w14:textId="4BF1BD21" w:rsidR="00D703E3" w:rsidRPr="00FD2F0C" w:rsidRDefault="003B6115" w:rsidP="003B314C">
      <w:pPr>
        <w:rPr>
          <w:rFonts w:asciiTheme="minorHAnsi" w:hAnsiTheme="minorHAnsi"/>
          <w:lang w:val="en-GB"/>
        </w:rPr>
      </w:pPr>
      <w:r w:rsidRPr="00FD2F0C">
        <w:rPr>
          <w:rFonts w:asciiTheme="minorHAnsi" w:hAnsiTheme="minorHAnsi"/>
          <w:lang w:val="en-GB"/>
        </w:rPr>
        <w:t xml:space="preserve">License-exemption of spectrum bands is now an important spectrum management tool. </w:t>
      </w:r>
      <w:r w:rsidR="00CF157E" w:rsidRPr="00FD2F0C">
        <w:rPr>
          <w:rFonts w:asciiTheme="minorHAnsi" w:hAnsiTheme="minorHAnsi"/>
          <w:lang w:val="en-GB"/>
        </w:rPr>
        <w:t xml:space="preserve">Administrations </w:t>
      </w:r>
      <w:r w:rsidRPr="00FD2F0C">
        <w:rPr>
          <w:rFonts w:asciiTheme="minorHAnsi" w:hAnsiTheme="minorHAnsi"/>
          <w:lang w:val="en-GB"/>
        </w:rPr>
        <w:t xml:space="preserve">have found that </w:t>
      </w:r>
      <w:r w:rsidR="003B3320" w:rsidRPr="00FD2F0C">
        <w:rPr>
          <w:rFonts w:asciiTheme="minorHAnsi" w:hAnsiTheme="minorHAnsi"/>
          <w:lang w:val="en-GB"/>
        </w:rPr>
        <w:t>license-</w:t>
      </w:r>
      <w:r w:rsidRPr="00FD2F0C">
        <w:rPr>
          <w:rFonts w:asciiTheme="minorHAnsi" w:hAnsiTheme="minorHAnsi"/>
          <w:lang w:val="en-GB"/>
        </w:rPr>
        <w:t xml:space="preserve">exemption can generate benefit for citizens and consumers. </w:t>
      </w:r>
      <w:r w:rsidR="003B3320" w:rsidRPr="00FD2F0C">
        <w:rPr>
          <w:rFonts w:asciiTheme="minorHAnsi" w:hAnsiTheme="minorHAnsi"/>
          <w:lang w:val="en-GB"/>
        </w:rPr>
        <w:t>License-</w:t>
      </w:r>
      <w:r w:rsidRPr="00FD2F0C">
        <w:rPr>
          <w:rFonts w:asciiTheme="minorHAnsi" w:hAnsiTheme="minorHAnsi"/>
          <w:lang w:val="en-GB"/>
        </w:rPr>
        <w:t xml:space="preserve">exemption is generally used where the equipment has a low capacity to cause harmful interference. A wide range of economic equipment is often available in </w:t>
      </w:r>
      <w:r w:rsidR="003B3320" w:rsidRPr="00FD2F0C">
        <w:rPr>
          <w:rFonts w:asciiTheme="minorHAnsi" w:hAnsiTheme="minorHAnsi"/>
          <w:lang w:val="en-GB"/>
        </w:rPr>
        <w:t>license-</w:t>
      </w:r>
      <w:r w:rsidRPr="00FD2F0C">
        <w:rPr>
          <w:rFonts w:asciiTheme="minorHAnsi" w:hAnsiTheme="minorHAnsi"/>
          <w:lang w:val="en-GB"/>
        </w:rPr>
        <w:t xml:space="preserve">exempt bands and it can be rapidly deployed without the need of a </w:t>
      </w:r>
      <w:r w:rsidR="003B3320" w:rsidRPr="00FD2F0C">
        <w:rPr>
          <w:rFonts w:asciiTheme="minorHAnsi" w:hAnsiTheme="minorHAnsi"/>
          <w:lang w:val="en-GB"/>
        </w:rPr>
        <w:t>license</w:t>
      </w:r>
      <w:r w:rsidRPr="00FD2F0C">
        <w:rPr>
          <w:rFonts w:asciiTheme="minorHAnsi" w:hAnsiTheme="minorHAnsi"/>
          <w:lang w:val="en-GB"/>
        </w:rPr>
        <w:t xml:space="preserve"> from the administration with associated costs. For example, the </w:t>
      </w:r>
      <w:r w:rsidR="003B3320" w:rsidRPr="00FD2F0C">
        <w:rPr>
          <w:rFonts w:asciiTheme="minorHAnsi" w:hAnsiTheme="minorHAnsi"/>
          <w:lang w:val="en-GB"/>
        </w:rPr>
        <w:t>license-</w:t>
      </w:r>
      <w:r w:rsidRPr="00FD2F0C">
        <w:rPr>
          <w:rFonts w:asciiTheme="minorHAnsi" w:hAnsiTheme="minorHAnsi"/>
          <w:lang w:val="en-GB"/>
        </w:rPr>
        <w:t>exemption of the 2.4 GHz ISM and 5 GHz bands has delivered significant benefits with a wide range of equipment being available including Wi-Fi</w:t>
      </w:r>
      <w:r w:rsidR="00CF157E" w:rsidRPr="00FD2F0C">
        <w:rPr>
          <w:rFonts w:asciiTheme="minorHAnsi" w:hAnsiTheme="minorHAnsi"/>
          <w:lang w:val="en-GB"/>
        </w:rPr>
        <w:t>, as a</w:t>
      </w:r>
      <w:r w:rsidR="00D64844" w:rsidRPr="00FD2F0C">
        <w:rPr>
          <w:rFonts w:asciiTheme="minorHAnsi" w:hAnsiTheme="minorHAnsi"/>
          <w:lang w:val="en-GB"/>
        </w:rPr>
        <w:t>n</w:t>
      </w:r>
      <w:r w:rsidR="00CF157E" w:rsidRPr="00FD2F0C">
        <w:rPr>
          <w:rFonts w:asciiTheme="minorHAnsi" w:hAnsiTheme="minorHAnsi"/>
          <w:lang w:val="en-GB"/>
        </w:rPr>
        <w:t xml:space="preserve"> </w:t>
      </w:r>
      <w:r w:rsidR="00D64844" w:rsidRPr="00FD2F0C">
        <w:rPr>
          <w:rFonts w:asciiTheme="minorHAnsi" w:hAnsiTheme="minorHAnsi"/>
          <w:lang w:val="en-GB"/>
        </w:rPr>
        <w:t xml:space="preserve">extension </w:t>
      </w:r>
      <w:r w:rsidR="00CF157E" w:rsidRPr="00FD2F0C">
        <w:rPr>
          <w:rFonts w:asciiTheme="minorHAnsi" w:hAnsiTheme="minorHAnsi"/>
          <w:lang w:val="en-GB"/>
        </w:rPr>
        <w:t>of the fixed</w:t>
      </w:r>
      <w:r w:rsidR="003B314C" w:rsidRPr="00FD2F0C">
        <w:rPr>
          <w:rFonts w:asciiTheme="minorHAnsi" w:hAnsiTheme="minorHAnsi"/>
          <w:lang w:val="en-GB"/>
        </w:rPr>
        <w:t xml:space="preserve"> </w:t>
      </w:r>
      <w:r w:rsidR="00CF157E" w:rsidRPr="00FD2F0C">
        <w:rPr>
          <w:rFonts w:asciiTheme="minorHAnsi" w:hAnsiTheme="minorHAnsi"/>
          <w:lang w:val="en-GB"/>
        </w:rPr>
        <w:t>network</w:t>
      </w:r>
      <w:r w:rsidRPr="00FD2F0C">
        <w:rPr>
          <w:rFonts w:asciiTheme="minorHAnsi" w:hAnsiTheme="minorHAnsi"/>
          <w:lang w:val="en-GB"/>
        </w:rPr>
        <w:t>.</w:t>
      </w:r>
    </w:p>
    <w:p w14:paraId="5D0C6869" w14:textId="213E52F3" w:rsidR="007366D4" w:rsidRPr="00FD2F0C" w:rsidRDefault="00524E12" w:rsidP="00CD4A96">
      <w:pPr>
        <w:rPr>
          <w:rFonts w:asciiTheme="minorHAnsi" w:hAnsiTheme="minorHAnsi"/>
          <w:lang w:val="en-GB"/>
        </w:rPr>
      </w:pPr>
      <w:r w:rsidRPr="00FD2F0C">
        <w:rPr>
          <w:rFonts w:asciiTheme="minorHAnsi" w:hAnsiTheme="minorHAnsi"/>
          <w:lang w:val="en-GB"/>
        </w:rPr>
        <w:lastRenderedPageBreak/>
        <w:t xml:space="preserve">Another </w:t>
      </w:r>
      <w:r w:rsidR="007366D4" w:rsidRPr="00FD2F0C">
        <w:rPr>
          <w:rFonts w:asciiTheme="minorHAnsi" w:hAnsiTheme="minorHAnsi"/>
          <w:lang w:val="en-GB"/>
        </w:rPr>
        <w:t xml:space="preserve">complementary </w:t>
      </w:r>
      <w:r w:rsidRPr="00FD2F0C">
        <w:rPr>
          <w:rFonts w:asciiTheme="minorHAnsi" w:hAnsiTheme="minorHAnsi"/>
          <w:lang w:val="en-GB"/>
        </w:rPr>
        <w:t xml:space="preserve">approach is </w:t>
      </w:r>
      <w:r w:rsidR="007366D4" w:rsidRPr="00FD2F0C">
        <w:rPr>
          <w:rFonts w:asciiTheme="minorHAnsi" w:hAnsiTheme="minorHAnsi"/>
          <w:lang w:val="en-GB"/>
        </w:rPr>
        <w:t xml:space="preserve">to make more efficient use of existing spectrum resources through application of </w:t>
      </w:r>
      <w:r w:rsidRPr="00FD2F0C">
        <w:rPr>
          <w:rFonts w:asciiTheme="minorHAnsi" w:hAnsiTheme="minorHAnsi"/>
          <w:lang w:val="en-GB"/>
        </w:rPr>
        <w:t xml:space="preserve">various </w:t>
      </w:r>
      <w:r w:rsidR="007366D4" w:rsidRPr="00FD2F0C">
        <w:rPr>
          <w:rFonts w:asciiTheme="minorHAnsi" w:hAnsiTheme="minorHAnsi"/>
          <w:lang w:val="en-GB"/>
        </w:rPr>
        <w:t xml:space="preserve">techniques for inter-service sharing of spectrum, as well as sharing of spectrum by primary and secondary users, where feasible. According to the </w:t>
      </w:r>
      <w:hyperlink r:id="rId18" w:history="1">
        <w:r w:rsidR="007366D4" w:rsidRPr="00FD2F0C">
          <w:rPr>
            <w:rStyle w:val="Hyperlink"/>
            <w:rFonts w:asciiTheme="minorHAnsi" w:hAnsiTheme="minorHAnsi"/>
            <w:lang w:val="en-US"/>
          </w:rPr>
          <w:t>ITU-R Handbook</w:t>
        </w:r>
        <w:r w:rsidR="00D64844" w:rsidRPr="00FD2F0C">
          <w:rPr>
            <w:rStyle w:val="Hyperlink"/>
            <w:rFonts w:asciiTheme="minorHAnsi" w:hAnsiTheme="minorHAnsi"/>
            <w:lang w:val="en-US"/>
          </w:rPr>
          <w:t xml:space="preserve"> on National Spectrum Management</w:t>
        </w:r>
      </w:hyperlink>
      <w:r w:rsidR="007366D4" w:rsidRPr="00FD2F0C">
        <w:rPr>
          <w:rFonts w:asciiTheme="minorHAnsi" w:hAnsiTheme="minorHAnsi"/>
          <w:lang w:val="en-GB"/>
        </w:rPr>
        <w:t>, “Frequency sharing is an effective way in improving the utilization of the spectrum. The possibility of sharing existing frequencies should be considered before a new frequency is assigned”.</w:t>
      </w:r>
      <w:r w:rsidR="007366D4" w:rsidRPr="00FD2F0C">
        <w:rPr>
          <w:rStyle w:val="FootnoteReference"/>
          <w:rFonts w:asciiTheme="minorHAnsi" w:hAnsiTheme="minorHAnsi"/>
        </w:rPr>
        <w:footnoteReference w:id="8"/>
      </w:r>
      <w:r w:rsidR="007366D4" w:rsidRPr="00FD2F0C">
        <w:rPr>
          <w:rStyle w:val="FootnoteReference"/>
          <w:rFonts w:asciiTheme="minorHAnsi" w:hAnsiTheme="minorHAnsi"/>
          <w:lang w:val="en-GB"/>
        </w:rPr>
        <w:t xml:space="preserve"> </w:t>
      </w:r>
    </w:p>
    <w:p w14:paraId="7160A28D" w14:textId="278BC638" w:rsidR="00B75FFA" w:rsidRPr="00FD2F0C" w:rsidRDefault="00B75FFA" w:rsidP="007D5573">
      <w:pPr>
        <w:rPr>
          <w:rFonts w:asciiTheme="minorHAnsi" w:hAnsiTheme="minorHAnsi"/>
          <w:lang w:val="en-GB"/>
        </w:rPr>
      </w:pPr>
      <w:r w:rsidRPr="00FD2F0C">
        <w:rPr>
          <w:rFonts w:asciiTheme="minorHAnsi" w:hAnsiTheme="minorHAnsi"/>
          <w:lang w:val="en-GB"/>
        </w:rPr>
        <w:t xml:space="preserve">Spectrum sharing among different services is a </w:t>
      </w:r>
      <w:r w:rsidR="00495F27" w:rsidRPr="00FD2F0C">
        <w:rPr>
          <w:rFonts w:asciiTheme="minorHAnsi" w:hAnsiTheme="minorHAnsi"/>
          <w:lang w:val="en-GB"/>
        </w:rPr>
        <w:t xml:space="preserve">common </w:t>
      </w:r>
      <w:r w:rsidRPr="00FD2F0C">
        <w:rPr>
          <w:rFonts w:asciiTheme="minorHAnsi" w:hAnsiTheme="minorHAnsi"/>
          <w:lang w:val="en-GB"/>
        </w:rPr>
        <w:t xml:space="preserve">practice and can </w:t>
      </w:r>
      <w:r w:rsidR="00495F27" w:rsidRPr="00FD2F0C">
        <w:rPr>
          <w:rFonts w:asciiTheme="minorHAnsi" w:hAnsiTheme="minorHAnsi"/>
          <w:lang w:val="en-GB"/>
        </w:rPr>
        <w:t xml:space="preserve">be implemented </w:t>
      </w:r>
      <w:r w:rsidRPr="00FD2F0C">
        <w:rPr>
          <w:rFonts w:asciiTheme="minorHAnsi" w:hAnsiTheme="minorHAnsi"/>
          <w:lang w:val="en-GB"/>
        </w:rPr>
        <w:t xml:space="preserve">by </w:t>
      </w:r>
      <w:r w:rsidR="00495F27" w:rsidRPr="00FD2F0C">
        <w:rPr>
          <w:rFonts w:asciiTheme="minorHAnsi" w:hAnsiTheme="minorHAnsi"/>
          <w:lang w:val="en-GB"/>
        </w:rPr>
        <w:t xml:space="preserve">national </w:t>
      </w:r>
      <w:r w:rsidRPr="00FD2F0C">
        <w:rPr>
          <w:rFonts w:asciiTheme="minorHAnsi" w:hAnsiTheme="minorHAnsi"/>
          <w:lang w:val="en-GB"/>
        </w:rPr>
        <w:t>administrations</w:t>
      </w:r>
      <w:r w:rsidR="00495F27" w:rsidRPr="00FD2F0C">
        <w:rPr>
          <w:rFonts w:asciiTheme="minorHAnsi" w:hAnsiTheme="minorHAnsi"/>
          <w:lang w:val="en-GB"/>
        </w:rPr>
        <w:t xml:space="preserve"> by adopting regulations consistent with ITU Radio Regulations</w:t>
      </w:r>
      <w:r w:rsidR="00A013F0" w:rsidRPr="00FD2F0C">
        <w:rPr>
          <w:rFonts w:asciiTheme="minorHAnsi" w:hAnsiTheme="minorHAnsi"/>
          <w:lang w:val="en-GB"/>
        </w:rPr>
        <w:t xml:space="preserve"> and</w:t>
      </w:r>
      <w:r w:rsidR="00495F27" w:rsidRPr="00FD2F0C">
        <w:rPr>
          <w:rFonts w:asciiTheme="minorHAnsi" w:hAnsiTheme="minorHAnsi"/>
          <w:lang w:val="en-GB"/>
        </w:rPr>
        <w:t xml:space="preserve"> ITU-R Recommendations and </w:t>
      </w:r>
      <w:r w:rsidR="00A013F0" w:rsidRPr="00FD2F0C">
        <w:rPr>
          <w:rFonts w:asciiTheme="minorHAnsi" w:hAnsiTheme="minorHAnsi"/>
          <w:lang w:val="en-GB"/>
        </w:rPr>
        <w:t xml:space="preserve">implemented through </w:t>
      </w:r>
      <w:r w:rsidR="00495F27" w:rsidRPr="00FD2F0C">
        <w:rPr>
          <w:rFonts w:asciiTheme="minorHAnsi" w:hAnsiTheme="minorHAnsi"/>
          <w:lang w:val="en-GB"/>
        </w:rPr>
        <w:t xml:space="preserve">technical solutions developed </w:t>
      </w:r>
      <w:r w:rsidRPr="00FD2F0C">
        <w:rPr>
          <w:rFonts w:asciiTheme="minorHAnsi" w:hAnsiTheme="minorHAnsi"/>
          <w:lang w:val="en-GB"/>
        </w:rPr>
        <w:t>in partnership with industry and international standards organizations. It can take place at different levels:</w:t>
      </w:r>
    </w:p>
    <w:p w14:paraId="2348E6D2" w14:textId="7BE382B8" w:rsidR="00B75FFA" w:rsidRPr="00FD2F0C" w:rsidRDefault="00B75FFA" w:rsidP="00B74C8B">
      <w:pPr>
        <w:pStyle w:val="Bulletlist1"/>
        <w:numPr>
          <w:ilvl w:val="0"/>
          <w:numId w:val="20"/>
        </w:numPr>
        <w:ind w:left="714" w:hanging="357"/>
        <w:jc w:val="both"/>
        <w:rPr>
          <w:rFonts w:asciiTheme="minorHAnsi" w:hAnsiTheme="minorHAnsi"/>
          <w:lang w:val="en-GB"/>
        </w:rPr>
      </w:pPr>
      <w:r w:rsidRPr="00FD2F0C">
        <w:rPr>
          <w:rFonts w:asciiTheme="minorHAnsi" w:hAnsiTheme="minorHAnsi"/>
          <w:lang w:val="en-GB"/>
        </w:rPr>
        <w:t>Between different radiocommunication services or applications in accordance with the ITU Radio Regulations, or national  level regulatory framework;</w:t>
      </w:r>
    </w:p>
    <w:p w14:paraId="3ECBD9D6" w14:textId="77777777" w:rsidR="00B75FFA" w:rsidRPr="00FD2F0C" w:rsidRDefault="00B75FFA" w:rsidP="0032197B">
      <w:pPr>
        <w:pStyle w:val="Bulletlist1"/>
        <w:numPr>
          <w:ilvl w:val="0"/>
          <w:numId w:val="20"/>
        </w:numPr>
        <w:ind w:left="714" w:hanging="357"/>
        <w:jc w:val="both"/>
        <w:rPr>
          <w:rFonts w:asciiTheme="minorHAnsi" w:hAnsiTheme="minorHAnsi"/>
          <w:lang w:val="en-GB"/>
        </w:rPr>
      </w:pPr>
      <w:r w:rsidRPr="00FD2F0C">
        <w:rPr>
          <w:rFonts w:asciiTheme="minorHAnsi" w:hAnsiTheme="minorHAnsi"/>
          <w:lang w:val="en-GB"/>
        </w:rPr>
        <w:t>Between different entities or type of users (e.g. governmental vs commercial use);</w:t>
      </w:r>
    </w:p>
    <w:p w14:paraId="2D70AE86" w14:textId="621AC4CD" w:rsidR="00B75FFA" w:rsidRPr="00FD2F0C" w:rsidRDefault="00B75FFA" w:rsidP="00B74C8B">
      <w:pPr>
        <w:pStyle w:val="Bulletlist1"/>
        <w:numPr>
          <w:ilvl w:val="0"/>
          <w:numId w:val="20"/>
        </w:numPr>
        <w:ind w:left="714" w:hanging="357"/>
        <w:jc w:val="both"/>
        <w:rPr>
          <w:rFonts w:asciiTheme="minorHAnsi" w:hAnsiTheme="minorHAnsi"/>
          <w:lang w:val="en-GB"/>
        </w:rPr>
      </w:pPr>
      <w:r w:rsidRPr="00FD2F0C">
        <w:rPr>
          <w:rFonts w:asciiTheme="minorHAnsi" w:hAnsiTheme="minorHAnsi"/>
          <w:lang w:val="en-GB"/>
        </w:rPr>
        <w:t>Between different licensed users of the same application (e.g. PMR services, Point to point links);</w:t>
      </w:r>
    </w:p>
    <w:p w14:paraId="7F020597" w14:textId="0CC04F94" w:rsidR="00B75FFA" w:rsidRPr="00FD2F0C" w:rsidRDefault="00B75FFA" w:rsidP="006D2A5E">
      <w:pPr>
        <w:pStyle w:val="Bulletlist1"/>
        <w:numPr>
          <w:ilvl w:val="0"/>
          <w:numId w:val="20"/>
        </w:numPr>
        <w:ind w:left="714" w:hanging="357"/>
        <w:jc w:val="both"/>
        <w:rPr>
          <w:rFonts w:asciiTheme="minorHAnsi" w:hAnsiTheme="minorHAnsi"/>
          <w:lang w:val="en-GB"/>
        </w:rPr>
      </w:pPr>
      <w:r w:rsidRPr="00FD2F0C">
        <w:rPr>
          <w:rFonts w:asciiTheme="minorHAnsi" w:hAnsiTheme="minorHAnsi"/>
          <w:lang w:val="en-GB"/>
        </w:rPr>
        <w:t>Between protected primary users and license-exempt users (e.g.</w:t>
      </w:r>
      <w:r w:rsidR="006D2A5E" w:rsidRPr="00FD2F0C">
        <w:rPr>
          <w:rFonts w:asciiTheme="minorHAnsi" w:hAnsiTheme="minorHAnsi"/>
          <w:lang w:val="en-GB"/>
        </w:rPr>
        <w:t xml:space="preserve"> radars and Earth exploration-satellite service (EESS) stations vs 5 GHz R</w:t>
      </w:r>
      <w:r w:rsidR="00145458" w:rsidRPr="00FD2F0C">
        <w:rPr>
          <w:rFonts w:asciiTheme="minorHAnsi" w:hAnsiTheme="minorHAnsi"/>
          <w:lang w:val="en-GB"/>
        </w:rPr>
        <w:t xml:space="preserve">adio </w:t>
      </w:r>
      <w:r w:rsidR="006D2A5E" w:rsidRPr="00FD2F0C">
        <w:rPr>
          <w:rFonts w:asciiTheme="minorHAnsi" w:hAnsiTheme="minorHAnsi"/>
          <w:lang w:val="en-GB"/>
        </w:rPr>
        <w:t>L</w:t>
      </w:r>
      <w:r w:rsidR="00145458" w:rsidRPr="00FD2F0C">
        <w:rPr>
          <w:rFonts w:asciiTheme="minorHAnsi" w:hAnsiTheme="minorHAnsi"/>
          <w:lang w:val="en-GB"/>
        </w:rPr>
        <w:t xml:space="preserve">ocal </w:t>
      </w:r>
      <w:r w:rsidR="006D2A5E" w:rsidRPr="00FD2F0C">
        <w:rPr>
          <w:rFonts w:asciiTheme="minorHAnsi" w:hAnsiTheme="minorHAnsi"/>
          <w:lang w:val="en-GB"/>
        </w:rPr>
        <w:t>A</w:t>
      </w:r>
      <w:r w:rsidR="00145458" w:rsidRPr="00FD2F0C">
        <w:rPr>
          <w:rFonts w:asciiTheme="minorHAnsi" w:hAnsiTheme="minorHAnsi"/>
          <w:lang w:val="en-GB"/>
        </w:rPr>
        <w:t xml:space="preserve">rea </w:t>
      </w:r>
      <w:r w:rsidR="006D2A5E" w:rsidRPr="00FD2F0C">
        <w:rPr>
          <w:rFonts w:asciiTheme="minorHAnsi" w:hAnsiTheme="minorHAnsi"/>
          <w:lang w:val="en-GB"/>
        </w:rPr>
        <w:t>N</w:t>
      </w:r>
      <w:r w:rsidR="00145458" w:rsidRPr="00FD2F0C">
        <w:rPr>
          <w:rFonts w:asciiTheme="minorHAnsi" w:hAnsiTheme="minorHAnsi"/>
          <w:lang w:val="en-GB"/>
        </w:rPr>
        <w:t>etwork</w:t>
      </w:r>
      <w:r w:rsidR="006D2A5E" w:rsidRPr="00FD2F0C">
        <w:rPr>
          <w:rFonts w:asciiTheme="minorHAnsi" w:hAnsiTheme="minorHAnsi"/>
          <w:lang w:val="en-GB"/>
        </w:rPr>
        <w:t>s</w:t>
      </w:r>
      <w:r w:rsidR="00145458" w:rsidRPr="00FD2F0C">
        <w:rPr>
          <w:rFonts w:asciiTheme="minorHAnsi" w:hAnsiTheme="minorHAnsi"/>
          <w:lang w:val="en-GB"/>
        </w:rPr>
        <w:t xml:space="preserve"> (RLANs)</w:t>
      </w:r>
      <w:r w:rsidRPr="00FD2F0C">
        <w:rPr>
          <w:rFonts w:asciiTheme="minorHAnsi" w:hAnsiTheme="minorHAnsi"/>
          <w:lang w:val="en-GB"/>
        </w:rPr>
        <w:t>);</w:t>
      </w:r>
    </w:p>
    <w:p w14:paraId="06834B86" w14:textId="0B9D7249" w:rsidR="00255C2F" w:rsidRPr="00FD2F0C" w:rsidRDefault="00B75FFA" w:rsidP="0032197B">
      <w:pPr>
        <w:pStyle w:val="Bulletlist1"/>
        <w:numPr>
          <w:ilvl w:val="0"/>
          <w:numId w:val="20"/>
        </w:numPr>
        <w:ind w:left="714" w:hanging="357"/>
        <w:jc w:val="both"/>
        <w:rPr>
          <w:rFonts w:asciiTheme="minorHAnsi" w:hAnsiTheme="minorHAnsi"/>
          <w:lang w:val="en-GB"/>
        </w:rPr>
      </w:pPr>
      <w:r w:rsidRPr="00FD2F0C">
        <w:rPr>
          <w:rFonts w:asciiTheme="minorHAnsi" w:hAnsiTheme="minorHAnsi"/>
          <w:lang w:val="en-GB"/>
        </w:rPr>
        <w:t>Between different license-exempt users (e.g. short-range devices and Wi-Fi).</w:t>
      </w:r>
    </w:p>
    <w:p w14:paraId="6D3232C0" w14:textId="23405AE8" w:rsidR="00524E12" w:rsidRPr="00FD2F0C" w:rsidRDefault="00524E12" w:rsidP="007D5573">
      <w:pPr>
        <w:rPr>
          <w:rFonts w:asciiTheme="minorHAnsi" w:hAnsiTheme="minorHAnsi"/>
          <w:lang w:val="en-GB"/>
        </w:rPr>
      </w:pPr>
      <w:r w:rsidRPr="00FD2F0C">
        <w:rPr>
          <w:rFonts w:asciiTheme="minorHAnsi" w:hAnsiTheme="minorHAnsi"/>
          <w:lang w:val="en-GB"/>
        </w:rPr>
        <w:t xml:space="preserve">Spectrum sharing </w:t>
      </w:r>
      <w:r w:rsidR="003D2545" w:rsidRPr="00FD2F0C">
        <w:rPr>
          <w:rFonts w:asciiTheme="minorHAnsi" w:hAnsiTheme="minorHAnsi"/>
          <w:lang w:val="en-GB"/>
        </w:rPr>
        <w:t xml:space="preserve">assumes </w:t>
      </w:r>
      <w:r w:rsidRPr="00FD2F0C">
        <w:rPr>
          <w:rFonts w:asciiTheme="minorHAnsi" w:hAnsiTheme="minorHAnsi"/>
          <w:lang w:val="en-GB"/>
        </w:rPr>
        <w:t xml:space="preserve">that there are </w:t>
      </w:r>
      <w:r w:rsidR="00512C00" w:rsidRPr="00FD2F0C">
        <w:rPr>
          <w:rFonts w:asciiTheme="minorHAnsi" w:hAnsiTheme="minorHAnsi"/>
          <w:lang w:val="en-GB"/>
        </w:rPr>
        <w:t xml:space="preserve">several </w:t>
      </w:r>
      <w:r w:rsidRPr="00FD2F0C">
        <w:rPr>
          <w:rFonts w:asciiTheme="minorHAnsi" w:hAnsiTheme="minorHAnsi"/>
          <w:lang w:val="en-GB"/>
        </w:rPr>
        <w:t xml:space="preserve">entities </w:t>
      </w:r>
      <w:r w:rsidR="003D2545" w:rsidRPr="00FD2F0C">
        <w:rPr>
          <w:rFonts w:asciiTheme="minorHAnsi" w:hAnsiTheme="minorHAnsi"/>
          <w:lang w:val="en-GB"/>
        </w:rPr>
        <w:t xml:space="preserve">seeking to use </w:t>
      </w:r>
      <w:r w:rsidRPr="00FD2F0C">
        <w:rPr>
          <w:rFonts w:asciiTheme="minorHAnsi" w:hAnsiTheme="minorHAnsi"/>
          <w:lang w:val="en-GB"/>
        </w:rPr>
        <w:t xml:space="preserve">the same spectrum bands. </w:t>
      </w:r>
      <w:r w:rsidR="003D2545" w:rsidRPr="00FD2F0C">
        <w:rPr>
          <w:rFonts w:asciiTheme="minorHAnsi" w:hAnsiTheme="minorHAnsi"/>
          <w:lang w:val="en-GB"/>
        </w:rPr>
        <w:t>T</w:t>
      </w:r>
      <w:r w:rsidRPr="00FD2F0C">
        <w:rPr>
          <w:rFonts w:asciiTheme="minorHAnsi" w:hAnsiTheme="minorHAnsi"/>
          <w:lang w:val="en-GB"/>
        </w:rPr>
        <w:t xml:space="preserve">his may be </w:t>
      </w:r>
      <w:r w:rsidR="003D2545" w:rsidRPr="00FD2F0C">
        <w:rPr>
          <w:rFonts w:asciiTheme="minorHAnsi" w:hAnsiTheme="minorHAnsi"/>
          <w:lang w:val="en-GB"/>
        </w:rPr>
        <w:t xml:space="preserve">a more common scenario </w:t>
      </w:r>
      <w:r w:rsidRPr="00FD2F0C">
        <w:rPr>
          <w:rFonts w:asciiTheme="minorHAnsi" w:hAnsiTheme="minorHAnsi"/>
          <w:lang w:val="en-GB"/>
        </w:rPr>
        <w:t>in areas with high population density</w:t>
      </w:r>
      <w:r w:rsidR="003D2545" w:rsidRPr="00FD2F0C">
        <w:rPr>
          <w:rFonts w:asciiTheme="minorHAnsi" w:hAnsiTheme="minorHAnsi"/>
          <w:lang w:val="en-GB"/>
        </w:rPr>
        <w:t>.</w:t>
      </w:r>
      <w:r w:rsidRPr="00FD2F0C">
        <w:rPr>
          <w:rFonts w:asciiTheme="minorHAnsi" w:hAnsiTheme="minorHAnsi"/>
          <w:lang w:val="en-GB"/>
        </w:rPr>
        <w:t xml:space="preserve"> </w:t>
      </w:r>
      <w:r w:rsidR="00765CC4" w:rsidRPr="00FD2F0C">
        <w:rPr>
          <w:rFonts w:asciiTheme="minorHAnsi" w:hAnsiTheme="minorHAnsi"/>
          <w:lang w:val="en-GB"/>
        </w:rPr>
        <w:t>I</w:t>
      </w:r>
      <w:r w:rsidRPr="00FD2F0C">
        <w:rPr>
          <w:rFonts w:asciiTheme="minorHAnsi" w:hAnsiTheme="minorHAnsi"/>
          <w:lang w:val="en-GB"/>
        </w:rPr>
        <w:t xml:space="preserve">t is </w:t>
      </w:r>
      <w:r w:rsidR="003D2545" w:rsidRPr="00FD2F0C">
        <w:rPr>
          <w:rFonts w:asciiTheme="minorHAnsi" w:hAnsiTheme="minorHAnsi"/>
          <w:lang w:val="en-GB"/>
        </w:rPr>
        <w:t xml:space="preserve">unlikely to be the case </w:t>
      </w:r>
      <w:r w:rsidRPr="00FD2F0C">
        <w:rPr>
          <w:rFonts w:asciiTheme="minorHAnsi" w:hAnsiTheme="minorHAnsi"/>
          <w:lang w:val="en-GB"/>
        </w:rPr>
        <w:t xml:space="preserve">in </w:t>
      </w:r>
      <w:r w:rsidR="003D2545" w:rsidRPr="00FD2F0C">
        <w:rPr>
          <w:rFonts w:asciiTheme="minorHAnsi" w:hAnsiTheme="minorHAnsi"/>
          <w:lang w:val="en-GB"/>
        </w:rPr>
        <w:t xml:space="preserve">rural scarcely populated and perhaps </w:t>
      </w:r>
      <w:r w:rsidRPr="00FD2F0C">
        <w:rPr>
          <w:rFonts w:asciiTheme="minorHAnsi" w:hAnsiTheme="minorHAnsi"/>
          <w:lang w:val="en-GB"/>
        </w:rPr>
        <w:t xml:space="preserve">underserved areas.  </w:t>
      </w:r>
    </w:p>
    <w:p w14:paraId="39D1DC2C" w14:textId="32D88A16" w:rsidR="00524E12" w:rsidRPr="00FD2F0C" w:rsidRDefault="006D2A5E" w:rsidP="007D5573">
      <w:pPr>
        <w:rPr>
          <w:rFonts w:asciiTheme="minorHAnsi" w:hAnsiTheme="minorHAnsi"/>
          <w:lang w:val="en-GB"/>
        </w:rPr>
      </w:pPr>
      <w:r w:rsidRPr="00FD2F0C">
        <w:rPr>
          <w:rFonts w:asciiTheme="minorHAnsi" w:hAnsiTheme="minorHAnsi"/>
          <w:lang w:val="en-GB"/>
        </w:rPr>
        <w:t>T</w:t>
      </w:r>
      <w:r w:rsidR="00524E12" w:rsidRPr="00FD2F0C">
        <w:rPr>
          <w:rFonts w:asciiTheme="minorHAnsi" w:hAnsiTheme="minorHAnsi"/>
          <w:lang w:val="en-GB"/>
        </w:rPr>
        <w:t xml:space="preserve">he choice of policy for a proposed </w:t>
      </w:r>
      <w:r w:rsidRPr="00FD2F0C">
        <w:rPr>
          <w:rFonts w:asciiTheme="minorHAnsi" w:hAnsiTheme="minorHAnsi"/>
          <w:lang w:val="en-GB"/>
        </w:rPr>
        <w:t xml:space="preserve">frequency </w:t>
      </w:r>
      <w:r w:rsidR="00524E12" w:rsidRPr="00FD2F0C">
        <w:rPr>
          <w:rFonts w:asciiTheme="minorHAnsi" w:hAnsiTheme="minorHAnsi"/>
          <w:lang w:val="en-GB"/>
        </w:rPr>
        <w:t>band depends on the expectation on quality of services in that band. For example, a licensed allocation serves bands where the economic value of re-farming is palpable, and where the commercialization of a new generation of services demands a foundational certainty of rights to use spectrum, while sharing with military or public safety bands is more suited for licensed shared allocations</w:t>
      </w:r>
      <w:r w:rsidR="00065EA3" w:rsidRPr="00FD2F0C">
        <w:rPr>
          <w:rFonts w:asciiTheme="minorHAnsi" w:hAnsiTheme="minorHAnsi"/>
          <w:lang w:val="en-GB"/>
        </w:rPr>
        <w:t>.</w:t>
      </w:r>
      <w:r w:rsidR="00524E12" w:rsidRPr="00FD2F0C">
        <w:rPr>
          <w:rFonts w:asciiTheme="minorHAnsi" w:hAnsiTheme="minorHAnsi"/>
          <w:lang w:val="en-GB"/>
        </w:rPr>
        <w:t xml:space="preserve"> </w:t>
      </w:r>
      <w:r w:rsidR="00065EA3" w:rsidRPr="00FD2F0C">
        <w:rPr>
          <w:rFonts w:asciiTheme="minorHAnsi" w:hAnsiTheme="minorHAnsi"/>
          <w:lang w:val="en-GB"/>
        </w:rPr>
        <w:t>U</w:t>
      </w:r>
      <w:r w:rsidR="00524E12" w:rsidRPr="00FD2F0C">
        <w:rPr>
          <w:rFonts w:asciiTheme="minorHAnsi" w:hAnsiTheme="minorHAnsi"/>
          <w:lang w:val="en-GB"/>
        </w:rPr>
        <w:t xml:space="preserve">nlicensed use </w:t>
      </w:r>
      <w:r w:rsidR="00C945E9" w:rsidRPr="00FD2F0C">
        <w:rPr>
          <w:rFonts w:asciiTheme="minorHAnsi" w:hAnsiTheme="minorHAnsi"/>
          <w:lang w:val="en-GB"/>
        </w:rPr>
        <w:t xml:space="preserve">of bands </w:t>
      </w:r>
      <w:r w:rsidR="00524E12" w:rsidRPr="00FD2F0C">
        <w:rPr>
          <w:rFonts w:asciiTheme="minorHAnsi" w:hAnsiTheme="minorHAnsi"/>
          <w:lang w:val="en-GB"/>
        </w:rPr>
        <w:t xml:space="preserve">is particularly suitable for </w:t>
      </w:r>
      <w:r w:rsidR="00C945E9" w:rsidRPr="00FD2F0C">
        <w:rPr>
          <w:rFonts w:asciiTheme="minorHAnsi" w:hAnsiTheme="minorHAnsi"/>
          <w:lang w:val="en-GB"/>
        </w:rPr>
        <w:t xml:space="preserve">applications </w:t>
      </w:r>
      <w:r w:rsidR="00524E12" w:rsidRPr="00FD2F0C">
        <w:rPr>
          <w:rFonts w:asciiTheme="minorHAnsi" w:hAnsiTheme="minorHAnsi"/>
          <w:lang w:val="en-GB"/>
        </w:rPr>
        <w:t xml:space="preserve">where </w:t>
      </w:r>
      <w:r w:rsidR="00C945E9" w:rsidRPr="00FD2F0C">
        <w:rPr>
          <w:rFonts w:asciiTheme="minorHAnsi" w:hAnsiTheme="minorHAnsi"/>
          <w:lang w:val="en-GB"/>
        </w:rPr>
        <w:t xml:space="preserve">quality of service is </w:t>
      </w:r>
      <w:r w:rsidR="00ED7D34" w:rsidRPr="00FD2F0C">
        <w:rPr>
          <w:rFonts w:asciiTheme="minorHAnsi" w:hAnsiTheme="minorHAnsi"/>
          <w:lang w:val="en-GB"/>
        </w:rPr>
        <w:t xml:space="preserve">less of a </w:t>
      </w:r>
      <w:r w:rsidR="00C945E9" w:rsidRPr="00FD2F0C">
        <w:rPr>
          <w:rFonts w:asciiTheme="minorHAnsi" w:hAnsiTheme="minorHAnsi"/>
          <w:lang w:val="en-GB"/>
        </w:rPr>
        <w:t>concern</w:t>
      </w:r>
      <w:r w:rsidR="00ED7D34" w:rsidRPr="00FD2F0C">
        <w:rPr>
          <w:rFonts w:asciiTheme="minorHAnsi" w:hAnsiTheme="minorHAnsi"/>
          <w:lang w:val="en-GB"/>
        </w:rPr>
        <w:t xml:space="preserve"> and where </w:t>
      </w:r>
      <w:r w:rsidR="004432CA" w:rsidRPr="00FD2F0C">
        <w:rPr>
          <w:rFonts w:asciiTheme="minorHAnsi" w:hAnsiTheme="minorHAnsi"/>
          <w:lang w:val="en-GB"/>
        </w:rPr>
        <w:t>the incumbent services can be protected</w:t>
      </w:r>
      <w:r w:rsidR="00524E12" w:rsidRPr="00FD2F0C">
        <w:rPr>
          <w:rFonts w:asciiTheme="minorHAnsi" w:hAnsiTheme="minorHAnsi"/>
          <w:lang w:val="en-GB"/>
        </w:rPr>
        <w:t>.</w:t>
      </w:r>
    </w:p>
    <w:p w14:paraId="42F85788" w14:textId="77777777" w:rsidR="007366D4" w:rsidRPr="00FD2F0C" w:rsidRDefault="007366D4" w:rsidP="007366D4">
      <w:pPr>
        <w:rPr>
          <w:rFonts w:asciiTheme="minorHAnsi" w:hAnsiTheme="minorHAnsi"/>
          <w:lang w:val="en-GB"/>
        </w:rPr>
      </w:pPr>
      <w:r w:rsidRPr="00FD2F0C">
        <w:rPr>
          <w:rFonts w:asciiTheme="minorHAnsi" w:hAnsiTheme="minorHAnsi"/>
          <w:lang w:val="en-GB"/>
        </w:rPr>
        <w:t>Qualifying properly “spectrum sharing” from a regulatory perspective requires distinguishing the two key steps in a national regulatory process to enable access to spectrum at national level: 1) Frequency allocation, and 2) Frequency authorization.</w:t>
      </w:r>
    </w:p>
    <w:p w14:paraId="4C42C430" w14:textId="7C50DE99" w:rsidR="007366D4" w:rsidRPr="00FD2F0C" w:rsidRDefault="007366D4">
      <w:pPr>
        <w:rPr>
          <w:rFonts w:asciiTheme="minorHAnsi" w:hAnsiTheme="minorHAnsi"/>
          <w:lang w:val="en-GB"/>
        </w:rPr>
      </w:pPr>
      <w:r w:rsidRPr="00FD2F0C">
        <w:rPr>
          <w:rFonts w:asciiTheme="minorHAnsi" w:hAnsiTheme="minorHAnsi"/>
          <w:lang w:val="en-GB"/>
        </w:rPr>
        <w:t xml:space="preserve">“Frequency allocation” refers here in a broad sense to defining at national level the services and/or applications that have access to a frequency band while “frequency authorization” refers to </w:t>
      </w:r>
      <w:r w:rsidR="00F723E2" w:rsidRPr="00FD2F0C">
        <w:rPr>
          <w:rFonts w:asciiTheme="minorHAnsi" w:hAnsiTheme="minorHAnsi"/>
          <w:lang w:val="en-GB"/>
        </w:rPr>
        <w:t xml:space="preserve">the </w:t>
      </w:r>
      <w:r w:rsidRPr="00FD2F0C">
        <w:rPr>
          <w:rFonts w:asciiTheme="minorHAnsi" w:hAnsiTheme="minorHAnsi"/>
          <w:lang w:val="en-GB"/>
        </w:rPr>
        <w:t xml:space="preserve">procedures for assigning spectrum to users </w:t>
      </w:r>
      <w:r w:rsidR="00F723E2" w:rsidRPr="00FD2F0C">
        <w:rPr>
          <w:rFonts w:asciiTheme="minorHAnsi" w:hAnsiTheme="minorHAnsi"/>
          <w:lang w:val="en-GB"/>
        </w:rPr>
        <w:t xml:space="preserve">for the allocated services and/or applications, </w:t>
      </w:r>
      <w:r w:rsidR="00524E12" w:rsidRPr="00FD2F0C">
        <w:rPr>
          <w:rFonts w:asciiTheme="minorHAnsi" w:hAnsiTheme="minorHAnsi"/>
          <w:lang w:val="en-GB"/>
        </w:rPr>
        <w:t xml:space="preserve">as well as </w:t>
      </w:r>
      <w:r w:rsidRPr="00FD2F0C">
        <w:rPr>
          <w:rFonts w:asciiTheme="minorHAnsi" w:hAnsiTheme="minorHAnsi"/>
          <w:lang w:val="en-GB"/>
        </w:rPr>
        <w:t>market regulation.</w:t>
      </w:r>
    </w:p>
    <w:p w14:paraId="386D3FBA" w14:textId="6E7E325F" w:rsidR="007366D4" w:rsidRPr="00FD2F0C" w:rsidRDefault="007366D4" w:rsidP="00DB187A">
      <w:pPr>
        <w:rPr>
          <w:rFonts w:asciiTheme="minorHAnsi" w:hAnsiTheme="minorHAnsi"/>
          <w:lang w:val="en-GB"/>
        </w:rPr>
      </w:pPr>
      <w:r w:rsidRPr="00FD2F0C">
        <w:rPr>
          <w:rFonts w:asciiTheme="minorHAnsi" w:hAnsiTheme="minorHAnsi"/>
          <w:lang w:val="en-GB"/>
        </w:rPr>
        <w:t xml:space="preserve">Spectrum managers in National Regulatory </w:t>
      </w:r>
      <w:r w:rsidR="00DB187A" w:rsidRPr="00FD2F0C">
        <w:rPr>
          <w:rFonts w:asciiTheme="minorHAnsi" w:hAnsiTheme="minorHAnsi"/>
          <w:lang w:val="en-GB"/>
        </w:rPr>
        <w:t xml:space="preserve">Authorities </w:t>
      </w:r>
      <w:r w:rsidRPr="00FD2F0C">
        <w:rPr>
          <w:rFonts w:asciiTheme="minorHAnsi" w:hAnsiTheme="minorHAnsi"/>
          <w:lang w:val="en-GB"/>
        </w:rPr>
        <w:t xml:space="preserve">(NRAs) can implement a range of spectrum sharing schemes incorporating various mitigation techniques that enable access to shared spectrum as long as any National rule conforms to the Radio Regulations. Spectrum sharing can be applied through </w:t>
      </w:r>
      <w:r w:rsidR="00DB187A" w:rsidRPr="00FD2F0C">
        <w:rPr>
          <w:rFonts w:asciiTheme="minorHAnsi" w:hAnsiTheme="minorHAnsi"/>
          <w:lang w:val="en-GB"/>
        </w:rPr>
        <w:t xml:space="preserve">a variety of </w:t>
      </w:r>
      <w:r w:rsidRPr="00FD2F0C">
        <w:rPr>
          <w:rFonts w:asciiTheme="minorHAnsi" w:hAnsiTheme="minorHAnsi"/>
          <w:lang w:val="en-GB"/>
        </w:rPr>
        <w:t>regulatory frameworks.</w:t>
      </w:r>
    </w:p>
    <w:p w14:paraId="523297B0" w14:textId="7A5F4FDC" w:rsidR="007366D4" w:rsidRPr="00FD2F0C" w:rsidRDefault="00F723E2" w:rsidP="003A3054">
      <w:pPr>
        <w:rPr>
          <w:rFonts w:asciiTheme="minorHAnsi" w:hAnsiTheme="minorHAnsi"/>
          <w:lang w:val="en-GB"/>
        </w:rPr>
      </w:pPr>
      <w:r w:rsidRPr="00FD2F0C">
        <w:rPr>
          <w:rFonts w:asciiTheme="minorHAnsi" w:hAnsiTheme="minorHAnsi"/>
          <w:lang w:val="en-GB"/>
        </w:rPr>
        <w:t>N</w:t>
      </w:r>
      <w:r w:rsidR="007366D4" w:rsidRPr="00FD2F0C">
        <w:rPr>
          <w:rFonts w:asciiTheme="minorHAnsi" w:hAnsiTheme="minorHAnsi"/>
          <w:lang w:val="en-GB"/>
        </w:rPr>
        <w:t xml:space="preserve">ot all </w:t>
      </w:r>
      <w:r w:rsidR="003A3054" w:rsidRPr="00FD2F0C">
        <w:rPr>
          <w:rFonts w:asciiTheme="minorHAnsi" w:hAnsiTheme="minorHAnsi"/>
          <w:lang w:val="en-GB"/>
        </w:rPr>
        <w:t xml:space="preserve">frequency </w:t>
      </w:r>
      <w:r w:rsidR="007366D4" w:rsidRPr="00FD2F0C">
        <w:rPr>
          <w:rFonts w:asciiTheme="minorHAnsi" w:hAnsiTheme="minorHAnsi"/>
          <w:lang w:val="en-GB"/>
        </w:rPr>
        <w:t>bands are equally suited for spectrum sharing due to the nature of the services already occupying a given band and the technical feasibility of protecting these services from interference through the necessary technical rules. Spectrum managers need to evaluate the potential for spectrum sharing on a band-by-band basis.</w:t>
      </w:r>
    </w:p>
    <w:p w14:paraId="79F221F6" w14:textId="48B98AF3" w:rsidR="007366D4" w:rsidRPr="00FD2F0C" w:rsidRDefault="007366D4" w:rsidP="00BA4A44">
      <w:pPr>
        <w:rPr>
          <w:rFonts w:asciiTheme="minorHAnsi" w:hAnsiTheme="minorHAnsi"/>
          <w:lang w:val="en-GB"/>
        </w:rPr>
      </w:pPr>
      <w:r w:rsidRPr="00FD2F0C">
        <w:rPr>
          <w:rFonts w:asciiTheme="minorHAnsi" w:hAnsiTheme="minorHAnsi"/>
          <w:lang w:val="en-GB"/>
        </w:rPr>
        <w:lastRenderedPageBreak/>
        <w:t xml:space="preserve">Over time, the notion of spectrum management at NRAs in both developed and developing countries has broadened from exclusively preventing harmful interference to primary users to one that also includes maximizing a given band’s spectrum utilization efficiency </w:t>
      </w:r>
      <w:r w:rsidR="00F723E2" w:rsidRPr="00FD2F0C">
        <w:rPr>
          <w:rFonts w:asciiTheme="minorHAnsi" w:hAnsiTheme="minorHAnsi"/>
          <w:lang w:val="en-GB"/>
        </w:rPr>
        <w:t xml:space="preserve">, as well as </w:t>
      </w:r>
      <w:r w:rsidRPr="00FD2F0C">
        <w:rPr>
          <w:rFonts w:asciiTheme="minorHAnsi" w:hAnsiTheme="minorHAnsi"/>
          <w:lang w:val="en-GB"/>
        </w:rPr>
        <w:t xml:space="preserve">economic </w:t>
      </w:r>
      <w:r w:rsidR="00F723E2" w:rsidRPr="00FD2F0C">
        <w:rPr>
          <w:rFonts w:asciiTheme="minorHAnsi" w:hAnsiTheme="minorHAnsi"/>
          <w:lang w:val="en-GB"/>
        </w:rPr>
        <w:t xml:space="preserve">and social </w:t>
      </w:r>
      <w:r w:rsidRPr="00FD2F0C">
        <w:rPr>
          <w:rFonts w:asciiTheme="minorHAnsi" w:hAnsiTheme="minorHAnsi"/>
          <w:lang w:val="en-GB"/>
        </w:rPr>
        <w:t xml:space="preserve">efficiency in order to increase connectivity </w:t>
      </w:r>
      <w:r w:rsidRPr="00FD2F0C">
        <w:rPr>
          <w:rFonts w:asciiTheme="minorHAnsi" w:hAnsiTheme="minorHAnsi"/>
          <w:lang w:val="en-US"/>
        </w:rPr>
        <w:t>–</w:t>
      </w:r>
      <w:r w:rsidR="00F723E2" w:rsidRPr="00FD2F0C">
        <w:rPr>
          <w:rFonts w:asciiTheme="minorHAnsi" w:hAnsiTheme="minorHAnsi"/>
          <w:lang w:val="en-GB"/>
        </w:rPr>
        <w:t xml:space="preserve">in line with </w:t>
      </w:r>
      <w:r w:rsidRPr="00FD2F0C">
        <w:rPr>
          <w:rFonts w:asciiTheme="minorHAnsi" w:hAnsiTheme="minorHAnsi"/>
          <w:lang w:val="en-GB"/>
        </w:rPr>
        <w:t>public policy objectives.</w:t>
      </w:r>
      <w:r w:rsidRPr="00FD2F0C">
        <w:rPr>
          <w:rStyle w:val="FootnoteReference"/>
          <w:rFonts w:asciiTheme="minorHAnsi" w:hAnsiTheme="minorHAnsi"/>
        </w:rPr>
        <w:footnoteReference w:id="9"/>
      </w:r>
      <w:r w:rsidRPr="00FD2F0C">
        <w:rPr>
          <w:rFonts w:asciiTheme="minorHAnsi" w:hAnsiTheme="minorHAnsi"/>
          <w:lang w:val="en-GB"/>
        </w:rPr>
        <w:t xml:space="preserve"> Maximizing the economic efficiency of a spectrum band ensures that spectrum is allocated and assigned to uses that derive the highest economic value. Maximizing the spectral utilization efficiency of a band enables the spectrum manager to achieve the most intensive use possible within the interference limits for the </w:t>
      </w:r>
      <w:r w:rsidR="00F723E2" w:rsidRPr="00FD2F0C">
        <w:rPr>
          <w:rFonts w:asciiTheme="minorHAnsi" w:hAnsiTheme="minorHAnsi"/>
          <w:lang w:val="en-GB"/>
        </w:rPr>
        <w:t xml:space="preserve">protection of </w:t>
      </w:r>
      <w:r w:rsidRPr="00FD2F0C">
        <w:rPr>
          <w:rFonts w:asciiTheme="minorHAnsi" w:hAnsiTheme="minorHAnsi"/>
          <w:lang w:val="en-GB"/>
        </w:rPr>
        <w:t>licensed services</w:t>
      </w:r>
      <w:r w:rsidR="00F723E2" w:rsidRPr="00FD2F0C">
        <w:rPr>
          <w:rFonts w:asciiTheme="minorHAnsi" w:hAnsiTheme="minorHAnsi"/>
          <w:lang w:val="en-GB"/>
        </w:rPr>
        <w:t xml:space="preserve"> in the country and in neighbouring countries</w:t>
      </w:r>
      <w:r w:rsidR="00BA4A44" w:rsidRPr="00FD2F0C">
        <w:rPr>
          <w:rFonts w:asciiTheme="minorHAnsi" w:hAnsiTheme="minorHAnsi"/>
          <w:lang w:val="en-GB"/>
        </w:rPr>
        <w:t xml:space="preserve">. In order to ensure that both economic efficiency of a spectrum band and spectrum utilisation efficiency remain high over time, NRAs are </w:t>
      </w:r>
      <w:r w:rsidR="00B87FDC" w:rsidRPr="00FD2F0C">
        <w:rPr>
          <w:rFonts w:asciiTheme="minorHAnsi" w:hAnsiTheme="minorHAnsi"/>
          <w:lang w:val="en-GB"/>
        </w:rPr>
        <w:t>e</w:t>
      </w:r>
      <w:r w:rsidR="00BA4A44" w:rsidRPr="00FD2F0C">
        <w:rPr>
          <w:rFonts w:asciiTheme="minorHAnsi" w:hAnsiTheme="minorHAnsi"/>
          <w:lang w:val="en-GB"/>
        </w:rPr>
        <w:t>ncouraged to carry out periodical review of their adopted regulatory measures and respond to the possible needs of amendment of the relevant regulatory framework, accordingly.</w:t>
      </w:r>
    </w:p>
    <w:p w14:paraId="4933615B" w14:textId="358793BF" w:rsidR="00906606" w:rsidRPr="00FD2F0C" w:rsidRDefault="00D703E3" w:rsidP="00456C96">
      <w:pPr>
        <w:pStyle w:val="Heading2"/>
        <w:numPr>
          <w:ilvl w:val="0"/>
          <w:numId w:val="0"/>
        </w:numPr>
        <w:rPr>
          <w:rFonts w:asciiTheme="minorHAnsi" w:hAnsiTheme="minorHAnsi"/>
        </w:rPr>
      </w:pPr>
      <w:bookmarkStart w:id="28" w:name="_Toc474920754"/>
      <w:bookmarkStart w:id="29" w:name="_Toc474934631"/>
      <w:bookmarkStart w:id="30" w:name="_Toc485647969"/>
      <w:bookmarkStart w:id="31" w:name="_Toc467836384"/>
      <w:bookmarkEnd w:id="28"/>
      <w:bookmarkEnd w:id="29"/>
      <w:r w:rsidRPr="00FD2F0C">
        <w:rPr>
          <w:rFonts w:asciiTheme="minorHAnsi" w:hAnsiTheme="minorHAnsi"/>
        </w:rPr>
        <w:t>1.2</w:t>
      </w:r>
      <w:r w:rsidR="00906606" w:rsidRPr="00FD2F0C">
        <w:rPr>
          <w:rFonts w:asciiTheme="minorHAnsi" w:hAnsiTheme="minorHAnsi"/>
        </w:rPr>
        <w:tab/>
        <w:t>ITU regulatory framework for wireless broadband</w:t>
      </w:r>
      <w:bookmarkEnd w:id="30"/>
      <w:r w:rsidR="00906606" w:rsidRPr="00FD2F0C">
        <w:rPr>
          <w:rFonts w:asciiTheme="minorHAnsi" w:hAnsiTheme="minorHAnsi"/>
        </w:rPr>
        <w:t xml:space="preserve"> </w:t>
      </w:r>
    </w:p>
    <w:p w14:paraId="532AB9AC" w14:textId="369917A4" w:rsidR="005E6274" w:rsidRPr="00FD2F0C" w:rsidDel="00443FA6" w:rsidRDefault="00D703E3" w:rsidP="00E73393">
      <w:pPr>
        <w:pStyle w:val="Heading3"/>
        <w:numPr>
          <w:ilvl w:val="0"/>
          <w:numId w:val="0"/>
        </w:numPr>
        <w:ind w:left="720" w:hanging="720"/>
        <w:rPr>
          <w:rFonts w:asciiTheme="minorHAnsi" w:hAnsiTheme="minorHAnsi"/>
        </w:rPr>
      </w:pPr>
      <w:bookmarkStart w:id="32" w:name="_Toc485647970"/>
      <w:r w:rsidRPr="00FD2F0C">
        <w:rPr>
          <w:rFonts w:asciiTheme="minorHAnsi" w:hAnsiTheme="minorHAnsi"/>
        </w:rPr>
        <w:t>1.2</w:t>
      </w:r>
      <w:r w:rsidR="005E6274" w:rsidRPr="00FD2F0C">
        <w:rPr>
          <w:rFonts w:asciiTheme="minorHAnsi" w:hAnsiTheme="minorHAnsi"/>
        </w:rPr>
        <w:t>.1</w:t>
      </w:r>
      <w:r w:rsidR="005E6274" w:rsidRPr="00FD2F0C">
        <w:rPr>
          <w:rFonts w:asciiTheme="minorHAnsi" w:hAnsiTheme="minorHAnsi"/>
        </w:rPr>
        <w:tab/>
        <w:t>International Mobile Telecommunications (IMT)</w:t>
      </w:r>
      <w:bookmarkEnd w:id="32"/>
    </w:p>
    <w:p w14:paraId="2921DE9E" w14:textId="77777777" w:rsidR="00095583" w:rsidRPr="00FD2F0C" w:rsidRDefault="00095583" w:rsidP="00095583">
      <w:pPr>
        <w:tabs>
          <w:tab w:val="left" w:pos="0"/>
        </w:tabs>
        <w:rPr>
          <w:rFonts w:asciiTheme="minorHAnsi" w:hAnsiTheme="minorHAnsi"/>
          <w:lang w:val="en-GB"/>
        </w:rPr>
      </w:pPr>
      <w:r w:rsidRPr="00FD2F0C">
        <w:rPr>
          <w:rFonts w:asciiTheme="minorHAnsi" w:hAnsiTheme="minorHAnsi"/>
          <w:lang w:val="en-GB"/>
        </w:rPr>
        <w:t>The framework for the development of the third generation of mobile systems (3G) was established in 1992 at ITU’s World Administrative Radio Conference (WARC</w:t>
      </w:r>
      <w:r w:rsidRPr="00FD2F0C">
        <w:rPr>
          <w:rFonts w:asciiTheme="minorHAnsi" w:hAnsiTheme="minorHAnsi"/>
          <w:lang w:val="en-GB"/>
        </w:rPr>
        <w:noBreakHyphen/>
        <w:t xml:space="preserve">92), where, among other regulatory provisions, the radio-frequency spectrum bands were identified on a global basis for use by countries when deploying International Mobile Telecommunications (IMT) systems. </w:t>
      </w:r>
    </w:p>
    <w:p w14:paraId="136612CA" w14:textId="77777777" w:rsidR="00724AAA" w:rsidRPr="00FD2F0C" w:rsidRDefault="00095583" w:rsidP="00E73393">
      <w:pPr>
        <w:tabs>
          <w:tab w:val="left" w:pos="0"/>
        </w:tabs>
        <w:rPr>
          <w:rFonts w:asciiTheme="minorHAnsi" w:hAnsiTheme="minorHAnsi"/>
          <w:lang w:val="en-GB"/>
        </w:rPr>
      </w:pPr>
      <w:r w:rsidRPr="00FD2F0C">
        <w:rPr>
          <w:rFonts w:asciiTheme="minorHAnsi" w:hAnsiTheme="minorHAnsi"/>
          <w:lang w:val="en-GB"/>
        </w:rPr>
        <w:t>WRC</w:t>
      </w:r>
      <w:r w:rsidRPr="00FD2F0C">
        <w:rPr>
          <w:rFonts w:asciiTheme="minorHAnsi" w:hAnsiTheme="minorHAnsi"/>
          <w:lang w:val="en-GB"/>
        </w:rPr>
        <w:noBreakHyphen/>
        <w:t>2000 and WRC</w:t>
      </w:r>
      <w:r w:rsidRPr="00FD2F0C">
        <w:rPr>
          <w:rFonts w:asciiTheme="minorHAnsi" w:hAnsiTheme="minorHAnsi"/>
          <w:lang w:val="en-GB"/>
        </w:rPr>
        <w:noBreakHyphen/>
        <w:t>07 provided the framework for 4G by opening up the 1.8 GHz and 2.6 GHz bands and the “first digital dividend” bands (700 MHz in Regions 2 and 3 and 800 MHz in Region 1) respectively.</w:t>
      </w:r>
    </w:p>
    <w:p w14:paraId="4DEB9C7C" w14:textId="6DC25AFB" w:rsidR="00724AAA" w:rsidRPr="00FD2F0C" w:rsidRDefault="00095583">
      <w:pPr>
        <w:tabs>
          <w:tab w:val="left" w:pos="0"/>
        </w:tabs>
        <w:rPr>
          <w:rFonts w:asciiTheme="minorHAnsi" w:hAnsiTheme="minorHAnsi"/>
          <w:lang w:val="en-GB"/>
        </w:rPr>
      </w:pPr>
      <w:r w:rsidRPr="00FD2F0C">
        <w:rPr>
          <w:rFonts w:asciiTheme="minorHAnsi" w:hAnsiTheme="minorHAnsi"/>
          <w:lang w:val="en-GB"/>
        </w:rPr>
        <w:t>WRC-15 opened up the “second digital dividend” band (700 MHz) in Region 1 and the 3.4-3.6 GHz band world-wide to the mobile service (IMT), to be used for 4G and 5G</w:t>
      </w:r>
      <w:r w:rsidR="0010654D" w:rsidRPr="00FD2F0C">
        <w:rPr>
          <w:rStyle w:val="FootnoteReference"/>
          <w:rFonts w:asciiTheme="minorHAnsi" w:hAnsiTheme="minorHAnsi"/>
          <w:lang w:val="en-US"/>
        </w:rPr>
        <w:footnoteReference w:customMarkFollows="1" w:id="10"/>
        <w:t>*</w:t>
      </w:r>
      <w:r w:rsidR="00D8157E" w:rsidRPr="00FD2F0C">
        <w:rPr>
          <w:rFonts w:asciiTheme="minorHAnsi" w:hAnsiTheme="minorHAnsi"/>
          <w:lang w:val="en-GB"/>
        </w:rPr>
        <w:t xml:space="preserve"> (IMT-2020</w:t>
      </w:r>
      <w:r w:rsidR="00102B42" w:rsidRPr="00FD2F0C">
        <w:rPr>
          <w:rFonts w:asciiTheme="minorHAnsi" w:hAnsiTheme="minorHAnsi"/>
          <w:lang w:val="en-GB"/>
        </w:rPr>
        <w:t>)</w:t>
      </w:r>
      <w:r w:rsidRPr="00FD2F0C">
        <w:rPr>
          <w:rFonts w:asciiTheme="minorHAnsi" w:hAnsiTheme="minorHAnsi"/>
          <w:lang w:val="en-GB"/>
        </w:rPr>
        <w:t xml:space="preserve"> mobile</w:t>
      </w:r>
      <w:r w:rsidR="00102B42" w:rsidRPr="00FD2F0C">
        <w:rPr>
          <w:rFonts w:asciiTheme="minorHAnsi" w:hAnsiTheme="minorHAnsi"/>
          <w:lang w:val="en-GB"/>
        </w:rPr>
        <w:t>systems</w:t>
      </w:r>
      <w:r w:rsidRPr="00FD2F0C">
        <w:rPr>
          <w:rFonts w:asciiTheme="minorHAnsi" w:hAnsiTheme="minorHAnsi"/>
          <w:lang w:val="en-GB"/>
        </w:rPr>
        <w:t>. WRC</w:t>
      </w:r>
      <w:r w:rsidRPr="00FD2F0C">
        <w:rPr>
          <w:rFonts w:asciiTheme="minorHAnsi" w:hAnsiTheme="minorHAnsi"/>
          <w:lang w:val="en-GB"/>
        </w:rPr>
        <w:noBreakHyphen/>
        <w:t xml:space="preserve">19 is expected to </w:t>
      </w:r>
      <w:r w:rsidR="00102B42" w:rsidRPr="00FD2F0C">
        <w:rPr>
          <w:rFonts w:asciiTheme="minorHAnsi" w:hAnsiTheme="minorHAnsi"/>
          <w:lang w:val="en-GB"/>
        </w:rPr>
        <w:t xml:space="preserve">identify </w:t>
      </w:r>
      <w:r w:rsidRPr="00FD2F0C">
        <w:rPr>
          <w:rFonts w:asciiTheme="minorHAnsi" w:hAnsiTheme="minorHAnsi"/>
          <w:lang w:val="en-GB"/>
        </w:rPr>
        <w:t xml:space="preserve">more spectrum in the bands above 24 GHz for 5G mobile services. 5G is expected to accelerate the digital transformation by </w:t>
      </w:r>
      <w:r w:rsidRPr="00FD2F0C">
        <w:rPr>
          <w:rFonts w:asciiTheme="minorHAnsi" w:hAnsiTheme="minorHAnsi"/>
          <w:lang w:val="en-GB" w:eastAsia="zh-CN"/>
        </w:rPr>
        <w:t>providing the enhanced mobile broadband capability and by</w:t>
      </w:r>
      <w:r w:rsidRPr="00FD2F0C">
        <w:rPr>
          <w:rFonts w:asciiTheme="minorHAnsi" w:hAnsiTheme="minorHAnsi"/>
          <w:lang w:val="en-GB"/>
        </w:rPr>
        <w:t xml:space="preserve"> integrating the Internet of Things (IoT), and vertical activities like health, transportation and retail.</w:t>
      </w:r>
      <w:r w:rsidR="00724AAA" w:rsidRPr="00FD2F0C">
        <w:rPr>
          <w:rFonts w:asciiTheme="minorHAnsi" w:hAnsiTheme="minorHAnsi"/>
          <w:lang w:val="en-GB"/>
        </w:rPr>
        <w:t xml:space="preserve"> (See Recommendation </w:t>
      </w:r>
      <w:r w:rsidR="00724AAA" w:rsidRPr="00FD2F0C" w:rsidDel="00217533">
        <w:rPr>
          <w:rFonts w:asciiTheme="minorHAnsi" w:hAnsiTheme="minorHAnsi"/>
          <w:lang w:val="en-GB"/>
        </w:rPr>
        <w:t xml:space="preserve">ITU-R </w:t>
      </w:r>
      <w:hyperlink r:id="rId19" w:history="1">
        <w:r w:rsidR="00724AAA" w:rsidRPr="00FD2F0C" w:rsidDel="00217533">
          <w:rPr>
            <w:rStyle w:val="Hyperlink"/>
            <w:rFonts w:asciiTheme="minorHAnsi" w:hAnsiTheme="minorHAnsi"/>
            <w:b/>
            <w:bCs/>
            <w:lang w:val="en-GB"/>
          </w:rPr>
          <w:t>M.2083</w:t>
        </w:r>
      </w:hyperlink>
      <w:r w:rsidR="00724AAA" w:rsidRPr="00FD2F0C" w:rsidDel="00217533">
        <w:rPr>
          <w:rFonts w:asciiTheme="minorHAnsi" w:hAnsiTheme="minorHAnsi"/>
          <w:lang w:val="en-GB"/>
        </w:rPr>
        <w:t>: IMT Vision – “Framework and overall objectives of the future development of IMT for 2020 and beyond”.</w:t>
      </w:r>
      <w:r w:rsidR="00724AAA" w:rsidRPr="00FD2F0C">
        <w:rPr>
          <w:rFonts w:asciiTheme="minorHAnsi" w:hAnsiTheme="minorHAnsi"/>
          <w:lang w:val="en-GB"/>
        </w:rPr>
        <w:t>)</w:t>
      </w:r>
    </w:p>
    <w:p w14:paraId="62DF175D" w14:textId="61A39660" w:rsidR="00651528" w:rsidRPr="00FD2F0C" w:rsidRDefault="00651528" w:rsidP="00012654">
      <w:pPr>
        <w:rPr>
          <w:rFonts w:asciiTheme="minorHAnsi" w:hAnsiTheme="minorHAnsi"/>
          <w:lang w:val="en-US"/>
        </w:rPr>
      </w:pPr>
      <w:r w:rsidRPr="00FD2F0C">
        <w:rPr>
          <w:rFonts w:asciiTheme="minorHAnsi" w:hAnsiTheme="minorHAnsi"/>
          <w:lang w:val="en-GB"/>
        </w:rPr>
        <w:t xml:space="preserve">The work on making </w:t>
      </w:r>
      <w:r w:rsidR="004A7352" w:rsidRPr="00FD2F0C">
        <w:rPr>
          <w:rFonts w:asciiTheme="minorHAnsi" w:hAnsiTheme="minorHAnsi"/>
          <w:lang w:val="en-GB"/>
        </w:rPr>
        <w:t xml:space="preserve">the </w:t>
      </w:r>
      <w:r w:rsidRPr="00FD2F0C">
        <w:rPr>
          <w:rFonts w:asciiTheme="minorHAnsi" w:hAnsiTheme="minorHAnsi"/>
          <w:lang w:val="en-GB"/>
        </w:rPr>
        <w:t xml:space="preserve">600 MHz </w:t>
      </w:r>
      <w:r w:rsidR="004A7352" w:rsidRPr="00FD2F0C">
        <w:rPr>
          <w:rFonts w:asciiTheme="minorHAnsi" w:hAnsiTheme="minorHAnsi"/>
          <w:lang w:val="en-GB"/>
        </w:rPr>
        <w:t xml:space="preserve">frequency band </w:t>
      </w:r>
      <w:r w:rsidRPr="00FD2F0C">
        <w:rPr>
          <w:rFonts w:asciiTheme="minorHAnsi" w:hAnsiTheme="minorHAnsi"/>
          <w:lang w:val="en-GB"/>
        </w:rPr>
        <w:t>available for mobile broadband has also started</w:t>
      </w:r>
      <w:r w:rsidR="00012654" w:rsidRPr="00FD2F0C">
        <w:rPr>
          <w:rFonts w:asciiTheme="minorHAnsi" w:hAnsiTheme="minorHAnsi"/>
          <w:lang w:val="en-GB"/>
        </w:rPr>
        <w:t xml:space="preserve"> in countries for which t</w:t>
      </w:r>
      <w:r w:rsidRPr="00FD2F0C">
        <w:rPr>
          <w:rFonts w:asciiTheme="minorHAnsi" w:hAnsiTheme="minorHAnsi"/>
          <w:lang w:val="en-GB"/>
        </w:rPr>
        <w:t xml:space="preserve">here is a footnote </w:t>
      </w:r>
      <w:r w:rsidR="00012654" w:rsidRPr="00FD2F0C">
        <w:rPr>
          <w:rFonts w:asciiTheme="minorHAnsi" w:hAnsiTheme="minorHAnsi"/>
          <w:lang w:val="en-GB"/>
        </w:rPr>
        <w:t xml:space="preserve">in Article 5 of the Radio Regulations concerning this </w:t>
      </w:r>
      <w:r w:rsidRPr="00FD2F0C">
        <w:rPr>
          <w:rFonts w:asciiTheme="minorHAnsi" w:hAnsiTheme="minorHAnsi"/>
          <w:lang w:val="en-GB"/>
        </w:rPr>
        <w:t>band</w:t>
      </w:r>
      <w:r w:rsidR="00012654" w:rsidRPr="00FD2F0C">
        <w:rPr>
          <w:rFonts w:asciiTheme="minorHAnsi" w:hAnsiTheme="minorHAnsi"/>
          <w:lang w:val="en-GB"/>
        </w:rPr>
        <w:t>,</w:t>
      </w:r>
      <w:r w:rsidRPr="00FD2F0C">
        <w:rPr>
          <w:rFonts w:asciiTheme="minorHAnsi" w:hAnsiTheme="minorHAnsi"/>
          <w:lang w:val="en-GB"/>
        </w:rPr>
        <w:t xml:space="preserve"> </w:t>
      </w:r>
      <w:r w:rsidR="00012654" w:rsidRPr="00FD2F0C">
        <w:rPr>
          <w:rFonts w:asciiTheme="minorHAnsi" w:hAnsiTheme="minorHAnsi"/>
          <w:lang w:val="en-GB"/>
        </w:rPr>
        <w:t xml:space="preserve">based on </w:t>
      </w:r>
      <w:r w:rsidRPr="00FD2F0C">
        <w:rPr>
          <w:rFonts w:asciiTheme="minorHAnsi" w:hAnsiTheme="minorHAnsi"/>
          <w:lang w:val="en-GB"/>
        </w:rPr>
        <w:t>a</w:t>
      </w:r>
      <w:r w:rsidRPr="00FD2F0C">
        <w:rPr>
          <w:rFonts w:asciiTheme="minorHAnsi" w:hAnsiTheme="minorHAnsi"/>
          <w:lang w:val="en-US"/>
        </w:rPr>
        <w:t xml:space="preserve"> frequency arrangement </w:t>
      </w:r>
      <w:r w:rsidR="00012654" w:rsidRPr="00FD2F0C">
        <w:rPr>
          <w:rFonts w:asciiTheme="minorHAnsi" w:hAnsiTheme="minorHAnsi"/>
          <w:lang w:val="en-US"/>
        </w:rPr>
        <w:t xml:space="preserve">which </w:t>
      </w:r>
      <w:r w:rsidRPr="00FD2F0C">
        <w:rPr>
          <w:rFonts w:asciiTheme="minorHAnsi" w:hAnsiTheme="minorHAnsi"/>
          <w:lang w:val="en-US"/>
        </w:rPr>
        <w:t xml:space="preserve">has been proposed in the ITU-R </w:t>
      </w:r>
      <w:r w:rsidR="004A7352" w:rsidRPr="00FD2F0C">
        <w:rPr>
          <w:rFonts w:asciiTheme="minorHAnsi" w:hAnsiTheme="minorHAnsi"/>
          <w:lang w:val="en-US"/>
        </w:rPr>
        <w:t xml:space="preserve">Study Group </w:t>
      </w:r>
      <w:r w:rsidRPr="00FD2F0C">
        <w:rPr>
          <w:rFonts w:asciiTheme="minorHAnsi" w:hAnsiTheme="minorHAnsi"/>
          <w:lang w:val="en-US"/>
        </w:rPr>
        <w:t xml:space="preserve">5. </w:t>
      </w:r>
    </w:p>
    <w:p w14:paraId="23902E38" w14:textId="77777777" w:rsidR="00095583" w:rsidRPr="00FD2F0C" w:rsidRDefault="00095583" w:rsidP="00095583">
      <w:pPr>
        <w:rPr>
          <w:rFonts w:asciiTheme="minorHAnsi" w:hAnsiTheme="minorHAnsi"/>
          <w:lang w:val="en-GB"/>
        </w:rPr>
      </w:pPr>
      <w:r w:rsidRPr="00FD2F0C">
        <w:rPr>
          <w:rFonts w:asciiTheme="minorHAnsi" w:hAnsiTheme="minorHAnsi"/>
          <w:lang w:val="en-GB"/>
        </w:rPr>
        <w:t>WRC resolutions highlight important aspects related to IMT, as per:</w:t>
      </w:r>
    </w:p>
    <w:p w14:paraId="6D49CF3E" w14:textId="3CA60B66" w:rsidR="00095583" w:rsidRPr="00FD2F0C" w:rsidRDefault="00095583" w:rsidP="00095583">
      <w:pPr>
        <w:tabs>
          <w:tab w:val="left" w:pos="0"/>
        </w:tabs>
        <w:rPr>
          <w:rFonts w:asciiTheme="minorHAnsi" w:hAnsiTheme="minorHAnsi"/>
          <w:lang w:val="en-GB"/>
        </w:rPr>
      </w:pPr>
      <w:r w:rsidRPr="00FD2F0C">
        <w:rPr>
          <w:rFonts w:asciiTheme="minorHAnsi" w:hAnsiTheme="minorHAnsi"/>
          <w:b/>
          <w:bCs/>
          <w:lang w:val="en-GB"/>
        </w:rPr>
        <w:t>Resolution 223 (</w:t>
      </w:r>
      <w:r w:rsidR="00D040A2" w:rsidRPr="00FD2F0C">
        <w:rPr>
          <w:rFonts w:asciiTheme="minorHAnsi" w:hAnsiTheme="minorHAnsi"/>
          <w:b/>
          <w:bCs/>
          <w:lang w:val="en-GB"/>
        </w:rPr>
        <w:t>Rev.</w:t>
      </w:r>
      <w:r w:rsidRPr="00FD2F0C">
        <w:rPr>
          <w:rFonts w:asciiTheme="minorHAnsi" w:hAnsiTheme="minorHAnsi"/>
          <w:b/>
          <w:bCs/>
          <w:lang w:val="en-GB"/>
        </w:rPr>
        <w:t xml:space="preserve">WRC-15), </w:t>
      </w:r>
      <w:r w:rsidRPr="00FD2F0C">
        <w:rPr>
          <w:rFonts w:asciiTheme="minorHAnsi" w:hAnsiTheme="minorHAnsi"/>
          <w:lang w:val="en-GB"/>
        </w:rPr>
        <w:t xml:space="preserve">states that International Mobile Telecommunications (IMT) systems provide telecommunication services on a worldwide scale regardless of location, network or terminal used. It also notes that since WARC-92 there has been a tremendous growth in mobile communications including an increasing demand for broadband multimedia capability; and that harmonized worldwide bands for IMT are desirable in order to achieve global roaming and the benefits of economies of scale. </w:t>
      </w:r>
    </w:p>
    <w:p w14:paraId="43A06081" w14:textId="1E4DAB8A" w:rsidR="00095583" w:rsidRPr="00FD2F0C" w:rsidRDefault="00095583" w:rsidP="00095583">
      <w:pPr>
        <w:pStyle w:val="CEOIndenti-ii-iii"/>
        <w:numPr>
          <w:ilvl w:val="0"/>
          <w:numId w:val="0"/>
        </w:numPr>
        <w:tabs>
          <w:tab w:val="left" w:pos="720"/>
        </w:tabs>
        <w:rPr>
          <w:rFonts w:asciiTheme="minorHAnsi" w:hAnsiTheme="minorHAnsi" w:cs="Calibri"/>
          <w:bCs/>
          <w:sz w:val="24"/>
          <w:szCs w:val="24"/>
        </w:rPr>
      </w:pPr>
      <w:r w:rsidRPr="00FD2F0C">
        <w:rPr>
          <w:rFonts w:asciiTheme="minorHAnsi" w:hAnsiTheme="minorHAnsi"/>
          <w:b/>
          <w:bCs/>
          <w:sz w:val="24"/>
          <w:szCs w:val="24"/>
          <w:lang w:val="en-GB"/>
        </w:rPr>
        <w:t>Resolution 224 (</w:t>
      </w:r>
      <w:r w:rsidR="00D040A2" w:rsidRPr="00FD2F0C">
        <w:rPr>
          <w:rFonts w:asciiTheme="minorHAnsi" w:hAnsiTheme="minorHAnsi"/>
          <w:b/>
          <w:bCs/>
          <w:lang w:val="en-GB"/>
        </w:rPr>
        <w:t>Rev.</w:t>
      </w:r>
      <w:r w:rsidRPr="00FD2F0C">
        <w:rPr>
          <w:rFonts w:asciiTheme="minorHAnsi" w:hAnsiTheme="minorHAnsi"/>
          <w:b/>
          <w:bCs/>
          <w:sz w:val="24"/>
          <w:szCs w:val="24"/>
          <w:lang w:val="en-GB"/>
        </w:rPr>
        <w:t>WRC-15)</w:t>
      </w:r>
      <w:r w:rsidRPr="00FD2F0C">
        <w:rPr>
          <w:rFonts w:asciiTheme="minorHAnsi" w:hAnsiTheme="minorHAnsi"/>
          <w:sz w:val="24"/>
          <w:szCs w:val="24"/>
          <w:lang w:val="en-GB"/>
        </w:rPr>
        <w:t xml:space="preserve">, states that </w:t>
      </w:r>
      <w:r w:rsidRPr="00FD2F0C">
        <w:rPr>
          <w:rFonts w:asciiTheme="minorHAnsi" w:eastAsiaTheme="minorEastAsia" w:hAnsiTheme="minorHAnsi"/>
          <w:sz w:val="24"/>
          <w:szCs w:val="24"/>
          <w:lang w:val="en-GB"/>
        </w:rPr>
        <w:t>frequency bands below 1 GHz are important, especially for some developing</w:t>
      </w:r>
      <w:r w:rsidRPr="00FD2F0C">
        <w:rPr>
          <w:rFonts w:asciiTheme="minorHAnsi" w:hAnsiTheme="minorHAnsi"/>
          <w:sz w:val="24"/>
          <w:szCs w:val="24"/>
          <w:lang w:val="en-GB"/>
        </w:rPr>
        <w:t xml:space="preserve"> </w:t>
      </w:r>
      <w:r w:rsidRPr="00FD2F0C">
        <w:rPr>
          <w:rFonts w:asciiTheme="minorHAnsi" w:eastAsiaTheme="minorEastAsia" w:hAnsiTheme="minorHAnsi"/>
          <w:sz w:val="24"/>
          <w:szCs w:val="24"/>
          <w:lang w:val="en-GB"/>
        </w:rPr>
        <w:t>countries and countries with large areas where economic solutions for low population density areas</w:t>
      </w:r>
      <w:r w:rsidRPr="00FD2F0C">
        <w:rPr>
          <w:rFonts w:asciiTheme="minorHAnsi" w:hAnsiTheme="minorHAnsi"/>
          <w:sz w:val="24"/>
          <w:szCs w:val="24"/>
          <w:lang w:val="en-GB"/>
        </w:rPr>
        <w:t xml:space="preserve"> are necessary;  moreover it recognizes that </w:t>
      </w:r>
      <w:r w:rsidRPr="00FD2F0C">
        <w:rPr>
          <w:rFonts w:asciiTheme="minorHAnsi" w:eastAsiaTheme="minorEastAsia" w:hAnsiTheme="minorHAnsi"/>
          <w:sz w:val="24"/>
          <w:szCs w:val="24"/>
          <w:lang w:val="en-GB"/>
        </w:rPr>
        <w:t>there is a need</w:t>
      </w:r>
      <w:r w:rsidRPr="00FD2F0C">
        <w:rPr>
          <w:rFonts w:asciiTheme="minorHAnsi" w:hAnsiTheme="minorHAnsi"/>
          <w:sz w:val="24"/>
          <w:szCs w:val="24"/>
          <w:lang w:val="en-GB"/>
        </w:rPr>
        <w:t xml:space="preserve"> </w:t>
      </w:r>
      <w:r w:rsidRPr="00FD2F0C">
        <w:rPr>
          <w:rFonts w:asciiTheme="minorHAnsi" w:eastAsiaTheme="minorEastAsia" w:hAnsiTheme="minorHAnsi"/>
          <w:sz w:val="24"/>
          <w:szCs w:val="24"/>
          <w:lang w:val="en-GB"/>
        </w:rPr>
        <w:t xml:space="preserve">, in many </w:t>
      </w:r>
      <w:r w:rsidRPr="00FD2F0C">
        <w:rPr>
          <w:rFonts w:asciiTheme="minorHAnsi" w:eastAsiaTheme="minorEastAsia" w:hAnsiTheme="minorHAnsi"/>
          <w:sz w:val="24"/>
          <w:szCs w:val="24"/>
          <w:lang w:val="en-GB"/>
        </w:rPr>
        <w:lastRenderedPageBreak/>
        <w:t>developing countries and countries with large areas of low</w:t>
      </w:r>
      <w:r w:rsidRPr="00FD2F0C">
        <w:rPr>
          <w:rFonts w:asciiTheme="minorHAnsi" w:hAnsiTheme="minorHAnsi"/>
          <w:sz w:val="24"/>
          <w:szCs w:val="24"/>
          <w:lang w:val="en-GB"/>
        </w:rPr>
        <w:t xml:space="preserve"> </w:t>
      </w:r>
      <w:r w:rsidRPr="00FD2F0C">
        <w:rPr>
          <w:rFonts w:asciiTheme="minorHAnsi" w:eastAsiaTheme="minorEastAsia" w:hAnsiTheme="minorHAnsi"/>
          <w:sz w:val="24"/>
          <w:szCs w:val="24"/>
          <w:lang w:val="en-GB"/>
        </w:rPr>
        <w:t>population density, for the cost-effective implementation of IMT, and that the propagation</w:t>
      </w:r>
      <w:r w:rsidRPr="00FD2F0C">
        <w:rPr>
          <w:rFonts w:asciiTheme="minorHAnsi" w:hAnsiTheme="minorHAnsi"/>
          <w:sz w:val="24"/>
          <w:szCs w:val="24"/>
          <w:lang w:val="en-GB"/>
        </w:rPr>
        <w:t xml:space="preserve"> </w:t>
      </w:r>
      <w:r w:rsidRPr="00FD2F0C">
        <w:rPr>
          <w:rFonts w:asciiTheme="minorHAnsi" w:eastAsiaTheme="minorEastAsia" w:hAnsiTheme="minorHAnsi"/>
          <w:sz w:val="24"/>
          <w:szCs w:val="24"/>
          <w:lang w:val="en-GB"/>
        </w:rPr>
        <w:t>characteristics of frequency bands below 1 GHz result in larger cells</w:t>
      </w:r>
      <w:r w:rsidRPr="00FD2F0C">
        <w:rPr>
          <w:rFonts w:asciiTheme="minorHAnsi" w:hAnsiTheme="minorHAnsi"/>
          <w:sz w:val="24"/>
          <w:szCs w:val="24"/>
          <w:lang w:val="en-GB"/>
        </w:rPr>
        <w:t>.</w:t>
      </w:r>
    </w:p>
    <w:p w14:paraId="7AA30CC0" w14:textId="202260C7" w:rsidR="007C6897" w:rsidRPr="00FD2F0C" w:rsidDel="00443FA6" w:rsidRDefault="00D703E3" w:rsidP="00E73393">
      <w:pPr>
        <w:pStyle w:val="Heading3"/>
        <w:numPr>
          <w:ilvl w:val="0"/>
          <w:numId w:val="0"/>
        </w:numPr>
        <w:ind w:left="720" w:hanging="720"/>
        <w:rPr>
          <w:rFonts w:asciiTheme="minorHAnsi" w:hAnsiTheme="minorHAnsi"/>
        </w:rPr>
      </w:pPr>
      <w:bookmarkStart w:id="33" w:name="_Toc485647971"/>
      <w:r w:rsidRPr="00FD2F0C">
        <w:rPr>
          <w:rFonts w:asciiTheme="minorHAnsi" w:hAnsiTheme="minorHAnsi"/>
        </w:rPr>
        <w:t>1.2</w:t>
      </w:r>
      <w:r w:rsidR="007C6897" w:rsidRPr="00FD2F0C">
        <w:rPr>
          <w:rFonts w:asciiTheme="minorHAnsi" w:hAnsiTheme="minorHAnsi"/>
        </w:rPr>
        <w:t>.2</w:t>
      </w:r>
      <w:r w:rsidR="007C6897" w:rsidRPr="00FD2F0C">
        <w:rPr>
          <w:rFonts w:asciiTheme="minorHAnsi" w:hAnsiTheme="minorHAnsi"/>
        </w:rPr>
        <w:tab/>
        <w:t>Wireless Access Systems/Radio Local Area Networks (WAS/RLAN)</w:t>
      </w:r>
      <w:bookmarkEnd w:id="33"/>
    </w:p>
    <w:p w14:paraId="5C2D246C" w14:textId="5BCCD9E2" w:rsidR="007C6897" w:rsidRPr="00FD2F0C" w:rsidRDefault="007C6897" w:rsidP="009C0B08">
      <w:pPr>
        <w:rPr>
          <w:rFonts w:asciiTheme="minorHAnsi" w:hAnsiTheme="minorHAnsi"/>
          <w:lang w:val="en-GB"/>
        </w:rPr>
      </w:pPr>
      <w:r w:rsidRPr="00FD2F0C">
        <w:rPr>
          <w:rFonts w:asciiTheme="minorHAnsi" w:hAnsiTheme="minorHAnsi"/>
          <w:lang w:val="en-GB"/>
        </w:rPr>
        <w:t xml:space="preserve">WRC-03 opened parts of the 5 GHz </w:t>
      </w:r>
      <w:r w:rsidR="009C0B08" w:rsidRPr="00FD2F0C">
        <w:rPr>
          <w:rFonts w:asciiTheme="minorHAnsi" w:hAnsiTheme="minorHAnsi"/>
          <w:lang w:val="en-GB"/>
        </w:rPr>
        <w:t xml:space="preserve">frequency band </w:t>
      </w:r>
      <w:r w:rsidRPr="00FD2F0C">
        <w:rPr>
          <w:rFonts w:asciiTheme="minorHAnsi" w:hAnsiTheme="minorHAnsi"/>
          <w:lang w:val="en-GB"/>
        </w:rPr>
        <w:t>for RLANs subject to the use of Dynamic Frequency Selection (DFS) by RLAN devices in order to protect radars. DFS is a mitigation technique based on sensing technology.</w:t>
      </w:r>
    </w:p>
    <w:p w14:paraId="4ADB3B0B" w14:textId="0FBECD65" w:rsidR="007C6897" w:rsidRPr="00FD2F0C" w:rsidRDefault="007C6897" w:rsidP="00012654">
      <w:pPr>
        <w:tabs>
          <w:tab w:val="left" w:pos="0"/>
        </w:tabs>
        <w:rPr>
          <w:rFonts w:asciiTheme="minorHAnsi" w:hAnsiTheme="minorHAnsi"/>
          <w:lang w:val="en-GB"/>
        </w:rPr>
      </w:pPr>
      <w:r w:rsidRPr="00FD2F0C">
        <w:rPr>
          <w:rFonts w:asciiTheme="minorHAnsi" w:hAnsiTheme="minorHAnsi"/>
          <w:lang w:val="en-GB"/>
        </w:rPr>
        <w:t xml:space="preserve">Unlike the use of the 2.4 GHz ISM </w:t>
      </w:r>
      <w:r w:rsidR="00012654" w:rsidRPr="00FD2F0C">
        <w:rPr>
          <w:rFonts w:asciiTheme="minorHAnsi" w:hAnsiTheme="minorHAnsi"/>
          <w:lang w:val="en-GB"/>
        </w:rPr>
        <w:t xml:space="preserve">frequency </w:t>
      </w:r>
      <w:r w:rsidRPr="00FD2F0C">
        <w:rPr>
          <w:rFonts w:asciiTheme="minorHAnsi" w:hAnsiTheme="minorHAnsi"/>
          <w:lang w:val="en-GB"/>
        </w:rPr>
        <w:t>band for Wi-Fi, the use of a portion of the 5GHz band by WAS/RLANs requires the implementation of mitigation techniques towards spectrum sharing between license-exempt and licensed services. While there has been a considerable growth in the demand for WAS/RLAN applications in the last years, the enforcement of the regulations and mitigation techniques and harmful interference to radars (in particular meteorological radars) are challenging.</w:t>
      </w:r>
    </w:p>
    <w:p w14:paraId="5774FFD8" w14:textId="25DA5889" w:rsidR="007C6897" w:rsidRPr="00FD2F0C" w:rsidDel="00443FA6" w:rsidRDefault="005D1C44" w:rsidP="00753A8D">
      <w:pPr>
        <w:spacing w:afterLines="50" w:after="120"/>
        <w:rPr>
          <w:rFonts w:asciiTheme="minorHAnsi" w:hAnsiTheme="minorHAnsi"/>
          <w:lang w:val="en-GB" w:eastAsia="zh-CN"/>
        </w:rPr>
      </w:pPr>
      <w:r w:rsidRPr="00FD2F0C">
        <w:rPr>
          <w:rFonts w:asciiTheme="minorHAnsi" w:hAnsiTheme="minorHAnsi"/>
          <w:lang w:val="en-GB"/>
        </w:rPr>
        <w:t xml:space="preserve">WRC-03 </w:t>
      </w:r>
      <w:r w:rsidR="007C6897" w:rsidRPr="00FD2F0C" w:rsidDel="00E70784">
        <w:rPr>
          <w:rFonts w:asciiTheme="minorHAnsi" w:hAnsiTheme="minorHAnsi"/>
          <w:lang w:val="en-GB"/>
        </w:rPr>
        <w:t xml:space="preserve">allocated the spectrum between 5150 and 5350 MHz and between 5470 and 5725 MHz on a co-primary basis to </w:t>
      </w:r>
      <w:r w:rsidRPr="00FD2F0C">
        <w:rPr>
          <w:rFonts w:asciiTheme="minorHAnsi" w:hAnsiTheme="minorHAnsi"/>
          <w:lang w:val="en-GB"/>
        </w:rPr>
        <w:t xml:space="preserve">the mobile service for </w:t>
      </w:r>
      <w:r w:rsidR="007C6897" w:rsidRPr="00FD2F0C" w:rsidDel="00E70784">
        <w:rPr>
          <w:rFonts w:asciiTheme="minorHAnsi" w:hAnsiTheme="minorHAnsi"/>
          <w:lang w:val="en-GB"/>
        </w:rPr>
        <w:t>“Wireless Access Systems including Radio Local Area Networks (RLAN)s”</w:t>
      </w:r>
      <w:r w:rsidRPr="00FD2F0C">
        <w:rPr>
          <w:rFonts w:asciiTheme="minorHAnsi" w:hAnsiTheme="minorHAnsi"/>
          <w:lang w:val="en-GB"/>
        </w:rPr>
        <w:t xml:space="preserve">. </w:t>
      </w:r>
      <w:r w:rsidRPr="00FD2F0C" w:rsidDel="00E70784">
        <w:rPr>
          <w:rFonts w:asciiTheme="minorHAnsi" w:hAnsiTheme="minorHAnsi"/>
          <w:b/>
          <w:bCs/>
          <w:lang w:val="en-GB"/>
        </w:rPr>
        <w:t>Resolution 229 (</w:t>
      </w:r>
      <w:r w:rsidRPr="00FD2F0C">
        <w:rPr>
          <w:rFonts w:asciiTheme="minorHAnsi" w:hAnsiTheme="minorHAnsi"/>
          <w:b/>
          <w:bCs/>
          <w:lang w:val="en-GB"/>
        </w:rPr>
        <w:t>Rev.</w:t>
      </w:r>
      <w:r w:rsidRPr="00FD2F0C" w:rsidDel="00E70784">
        <w:rPr>
          <w:rFonts w:asciiTheme="minorHAnsi" w:hAnsiTheme="minorHAnsi"/>
          <w:b/>
          <w:bCs/>
          <w:lang w:val="en-GB"/>
        </w:rPr>
        <w:t>WRC-</w:t>
      </w:r>
      <w:r w:rsidRPr="00FD2F0C">
        <w:rPr>
          <w:rFonts w:asciiTheme="minorHAnsi" w:hAnsiTheme="minorHAnsi"/>
          <w:b/>
          <w:bCs/>
          <w:lang w:val="en-GB"/>
        </w:rPr>
        <w:t>12</w:t>
      </w:r>
      <w:r w:rsidRPr="00FD2F0C" w:rsidDel="00E70784">
        <w:rPr>
          <w:rFonts w:asciiTheme="minorHAnsi" w:hAnsiTheme="minorHAnsi"/>
          <w:b/>
          <w:bCs/>
          <w:lang w:val="en-GB"/>
        </w:rPr>
        <w:t>)</w:t>
      </w:r>
      <w:r w:rsidRPr="00FD2F0C">
        <w:rPr>
          <w:rFonts w:asciiTheme="minorHAnsi" w:hAnsiTheme="minorHAnsi"/>
          <w:lang w:val="en-GB"/>
        </w:rPr>
        <w:t xml:space="preserve"> specifies </w:t>
      </w:r>
      <w:r w:rsidR="007C6897" w:rsidRPr="00FD2F0C" w:rsidDel="00E70784">
        <w:rPr>
          <w:rFonts w:asciiTheme="minorHAnsi" w:hAnsiTheme="minorHAnsi"/>
          <w:lang w:val="en-GB"/>
        </w:rPr>
        <w:t>the condition</w:t>
      </w:r>
      <w:r w:rsidR="00223D23" w:rsidRPr="00FD2F0C">
        <w:rPr>
          <w:rFonts w:asciiTheme="minorHAnsi" w:hAnsiTheme="minorHAnsi"/>
          <w:lang w:val="en-GB"/>
        </w:rPr>
        <w:t xml:space="preserve"> so</w:t>
      </w:r>
      <w:r w:rsidR="007C6897" w:rsidRPr="00FD2F0C" w:rsidDel="00E70784">
        <w:rPr>
          <w:rFonts w:asciiTheme="minorHAnsi" w:hAnsiTheme="minorHAnsi"/>
          <w:lang w:val="en-GB"/>
        </w:rPr>
        <w:t xml:space="preserve"> that RLANs could not cause interference to other primary users of these frequencies - radar systems deployed on satellite, terrestrial, and maritime platforms. </w:t>
      </w:r>
      <w:r w:rsidR="007C6897" w:rsidRPr="00FD2F0C">
        <w:rPr>
          <w:rFonts w:asciiTheme="minorHAnsi" w:hAnsiTheme="minorHAnsi"/>
          <w:lang w:val="en-GB"/>
        </w:rPr>
        <w:t xml:space="preserve">An </w:t>
      </w:r>
      <w:r w:rsidR="007C6897" w:rsidRPr="00FD2F0C" w:rsidDel="00E70784">
        <w:rPr>
          <w:rFonts w:asciiTheme="minorHAnsi" w:hAnsiTheme="minorHAnsi"/>
          <w:lang w:val="en-GB"/>
        </w:rPr>
        <w:t xml:space="preserve">RLAN </w:t>
      </w:r>
      <w:r w:rsidR="007C6897" w:rsidRPr="00FD2F0C">
        <w:rPr>
          <w:rFonts w:asciiTheme="minorHAnsi" w:hAnsiTheme="minorHAnsi"/>
          <w:lang w:val="en-GB"/>
        </w:rPr>
        <w:t xml:space="preserve">seeking to access these frequencies is </w:t>
      </w:r>
      <w:r w:rsidR="007C6897" w:rsidRPr="00FD2F0C" w:rsidDel="00E70784">
        <w:rPr>
          <w:rFonts w:asciiTheme="minorHAnsi" w:hAnsiTheme="minorHAnsi"/>
          <w:lang w:val="en-GB"/>
        </w:rPr>
        <w:t xml:space="preserve">required to implement a mechanism called Dynamic Frequency Selection (DFS) to detect </w:t>
      </w:r>
      <w:r w:rsidR="007C6897" w:rsidRPr="00FD2F0C">
        <w:rPr>
          <w:rFonts w:asciiTheme="minorHAnsi" w:hAnsiTheme="minorHAnsi"/>
          <w:lang w:val="en-GB"/>
        </w:rPr>
        <w:t xml:space="preserve">emissions from these radars </w:t>
      </w:r>
      <w:r w:rsidR="007C6897" w:rsidRPr="00FD2F0C" w:rsidDel="00E70784">
        <w:rPr>
          <w:rFonts w:asciiTheme="minorHAnsi" w:hAnsiTheme="minorHAnsi"/>
          <w:lang w:val="en-GB"/>
        </w:rPr>
        <w:t xml:space="preserve">and avoid causing co-channel interference </w:t>
      </w:r>
      <w:r w:rsidR="007C6897" w:rsidRPr="00FD2F0C">
        <w:rPr>
          <w:rFonts w:asciiTheme="minorHAnsi" w:hAnsiTheme="minorHAnsi"/>
          <w:lang w:val="en-GB"/>
        </w:rPr>
        <w:t>into them</w:t>
      </w:r>
      <w:r w:rsidR="00AE7A58" w:rsidRPr="00FD2F0C">
        <w:rPr>
          <w:rFonts w:asciiTheme="minorHAnsi" w:hAnsiTheme="minorHAnsi"/>
          <w:lang w:val="en-GB"/>
        </w:rPr>
        <w:t xml:space="preserve"> (see also Section 1.</w:t>
      </w:r>
      <w:r w:rsidR="00753A8D" w:rsidRPr="00FD2F0C">
        <w:rPr>
          <w:rFonts w:asciiTheme="minorHAnsi" w:hAnsiTheme="minorHAnsi"/>
          <w:lang w:val="en-GB"/>
        </w:rPr>
        <w:t>4</w:t>
      </w:r>
      <w:r w:rsidR="00AE7A58" w:rsidRPr="00FD2F0C">
        <w:rPr>
          <w:rFonts w:asciiTheme="minorHAnsi" w:hAnsiTheme="minorHAnsi"/>
          <w:lang w:val="en-GB"/>
        </w:rPr>
        <w:t>.3.1)</w:t>
      </w:r>
      <w:r w:rsidR="007C6897" w:rsidRPr="00FD2F0C" w:rsidDel="00E70784">
        <w:rPr>
          <w:rFonts w:asciiTheme="minorHAnsi" w:hAnsiTheme="minorHAnsi"/>
          <w:lang w:val="en-GB"/>
        </w:rPr>
        <w:t xml:space="preserve">. </w:t>
      </w:r>
    </w:p>
    <w:p w14:paraId="5BF1E88F" w14:textId="01FE88CA" w:rsidR="00223D23" w:rsidRPr="00FD2F0C" w:rsidRDefault="007C6897" w:rsidP="00223D23">
      <w:pPr>
        <w:tabs>
          <w:tab w:val="left" w:pos="0"/>
        </w:tabs>
        <w:spacing w:afterLines="50" w:after="120"/>
        <w:rPr>
          <w:rFonts w:asciiTheme="minorHAnsi" w:hAnsiTheme="minorHAnsi"/>
          <w:lang w:val="en-GB" w:eastAsia="zh-CN"/>
        </w:rPr>
      </w:pPr>
      <w:r w:rsidRPr="00FD2F0C">
        <w:rPr>
          <w:rFonts w:asciiTheme="minorHAnsi" w:hAnsiTheme="minorHAnsi"/>
          <w:lang w:val="en-GB"/>
        </w:rPr>
        <w:t xml:space="preserve">WRC-15, through </w:t>
      </w:r>
      <w:r w:rsidRPr="00FD2F0C">
        <w:rPr>
          <w:rFonts w:asciiTheme="minorHAnsi" w:hAnsiTheme="minorHAnsi"/>
          <w:b/>
          <w:bCs/>
          <w:lang w:val="en-GB"/>
        </w:rPr>
        <w:t>Resolution 239 (WRC-15)</w:t>
      </w:r>
      <w:r w:rsidRPr="00FD2F0C">
        <w:rPr>
          <w:rFonts w:asciiTheme="minorHAnsi" w:hAnsiTheme="minorHAnsi"/>
          <w:lang w:val="en-GB"/>
        </w:rPr>
        <w:t>, invited ITU-R to conduct studies concerning Wireless Access Systems including radio local area networks (WAS/RLAN) in the frequency band</w:t>
      </w:r>
      <w:r w:rsidR="00223D23" w:rsidRPr="00FD2F0C">
        <w:rPr>
          <w:rFonts w:asciiTheme="minorHAnsi" w:hAnsiTheme="minorHAnsi"/>
          <w:lang w:val="en-GB"/>
        </w:rPr>
        <w:t>s</w:t>
      </w:r>
      <w:r w:rsidRPr="00FD2F0C">
        <w:rPr>
          <w:rFonts w:asciiTheme="minorHAnsi" w:hAnsiTheme="minorHAnsi"/>
          <w:lang w:val="en-GB"/>
        </w:rPr>
        <w:t xml:space="preserve"> </w:t>
      </w:r>
      <w:r w:rsidR="00223D23" w:rsidRPr="00FD2F0C">
        <w:rPr>
          <w:rFonts w:asciiTheme="minorHAnsi" w:hAnsiTheme="minorHAnsi"/>
          <w:lang w:val="en-GB"/>
        </w:rPr>
        <w:t>between 5 150 MHz and 5 925 MHz,</w:t>
      </w:r>
      <w:r w:rsidRPr="00FD2F0C">
        <w:rPr>
          <w:rFonts w:asciiTheme="minorHAnsi" w:hAnsiTheme="minorHAnsi"/>
          <w:lang w:val="en-GB"/>
        </w:rPr>
        <w:t xml:space="preserve"> </w:t>
      </w:r>
      <w:r w:rsidR="00223D23" w:rsidRPr="00FD2F0C">
        <w:rPr>
          <w:rFonts w:asciiTheme="minorHAnsi" w:hAnsiTheme="minorHAnsi"/>
          <w:lang w:val="en-GB"/>
        </w:rPr>
        <w:t>c</w:t>
      </w:r>
      <w:r w:rsidRPr="00FD2F0C">
        <w:rPr>
          <w:rFonts w:asciiTheme="minorHAnsi" w:hAnsiTheme="minorHAnsi"/>
          <w:lang w:val="en-GB"/>
        </w:rPr>
        <w:t>onsidering the contribution of WAS/RLAN applications to global economic and social development, the need for additional spectrum and the need to continually take advantage of technological developments in order to increase the efficient use of spectrum and facilitate spectrum access.</w:t>
      </w:r>
    </w:p>
    <w:p w14:paraId="7D11F613" w14:textId="3D45BCBC" w:rsidR="00FB5C00" w:rsidRPr="00FD2F0C" w:rsidDel="00443FA6" w:rsidRDefault="00D703E3" w:rsidP="00E73393">
      <w:pPr>
        <w:pStyle w:val="Heading3"/>
        <w:numPr>
          <w:ilvl w:val="0"/>
          <w:numId w:val="0"/>
        </w:numPr>
        <w:ind w:left="720" w:hanging="720"/>
        <w:rPr>
          <w:rFonts w:asciiTheme="minorHAnsi" w:hAnsiTheme="minorHAnsi"/>
        </w:rPr>
      </w:pPr>
      <w:bookmarkStart w:id="34" w:name="_Toc485647972"/>
      <w:r w:rsidRPr="00FD2F0C">
        <w:rPr>
          <w:rFonts w:asciiTheme="minorHAnsi" w:hAnsiTheme="minorHAnsi"/>
        </w:rPr>
        <w:t>1.2</w:t>
      </w:r>
      <w:r w:rsidR="00FB5C00" w:rsidRPr="00FD2F0C">
        <w:rPr>
          <w:rFonts w:asciiTheme="minorHAnsi" w:hAnsiTheme="minorHAnsi"/>
        </w:rPr>
        <w:t>.3</w:t>
      </w:r>
      <w:r w:rsidR="00FB5C00" w:rsidRPr="00FD2F0C">
        <w:rPr>
          <w:rFonts w:asciiTheme="minorHAnsi" w:hAnsiTheme="minorHAnsi"/>
        </w:rPr>
        <w:tab/>
        <w:t>High Altitude Platform Stations (HAPS)</w:t>
      </w:r>
      <w:bookmarkEnd w:id="34"/>
    </w:p>
    <w:p w14:paraId="351A33CF" w14:textId="4F8C18C8" w:rsidR="00FB5C00" w:rsidRPr="00FD2F0C" w:rsidRDefault="00FB5C00" w:rsidP="009A0957">
      <w:pPr>
        <w:tabs>
          <w:tab w:val="left" w:pos="0"/>
        </w:tabs>
        <w:spacing w:afterLines="50" w:after="120"/>
        <w:rPr>
          <w:rFonts w:asciiTheme="minorHAnsi" w:hAnsiTheme="minorHAnsi"/>
          <w:lang w:val="en-GB" w:eastAsia="zh-CN"/>
        </w:rPr>
      </w:pPr>
      <w:r w:rsidRPr="00FD2F0C">
        <w:rPr>
          <w:rFonts w:asciiTheme="minorHAnsi" w:hAnsiTheme="minorHAnsi"/>
          <w:lang w:val="en-GB"/>
        </w:rPr>
        <w:t>HAPS are defined in No. </w:t>
      </w:r>
      <w:r w:rsidRPr="00FD2F0C">
        <w:rPr>
          <w:rFonts w:asciiTheme="minorHAnsi" w:hAnsiTheme="minorHAnsi"/>
          <w:b/>
          <w:bCs/>
          <w:lang w:val="en-GB"/>
        </w:rPr>
        <w:t>1.66A</w:t>
      </w:r>
      <w:r w:rsidRPr="00FD2F0C">
        <w:rPr>
          <w:rFonts w:asciiTheme="minorHAnsi" w:hAnsiTheme="minorHAnsi"/>
          <w:lang w:val="en-GB"/>
        </w:rPr>
        <w:t xml:space="preserve"> of the Radio Regulations as “</w:t>
      </w:r>
      <w:r w:rsidRPr="00FD2F0C">
        <w:rPr>
          <w:rFonts w:asciiTheme="minorHAnsi" w:hAnsiTheme="minorHAnsi"/>
          <w:i/>
          <w:lang w:val="en-GB"/>
        </w:rPr>
        <w:t xml:space="preserve"> station located on an object at an altitude of 20 to 50 km and at a specified, nominal, fixed point relative to the Earth.</w:t>
      </w:r>
      <w:r w:rsidRPr="00FD2F0C">
        <w:rPr>
          <w:rFonts w:asciiTheme="minorHAnsi" w:hAnsiTheme="minorHAnsi"/>
          <w:lang w:val="en-GB"/>
        </w:rPr>
        <w:t xml:space="preserve">” HAPS </w:t>
      </w:r>
      <w:r w:rsidRPr="00FD2F0C">
        <w:rPr>
          <w:rFonts w:asciiTheme="minorHAnsi" w:hAnsiTheme="minorHAnsi"/>
          <w:lang w:val="en-GB" w:eastAsia="zh-CN"/>
        </w:rPr>
        <w:t>is</w:t>
      </w:r>
      <w:r w:rsidRPr="00FD2F0C">
        <w:rPr>
          <w:rFonts w:asciiTheme="minorHAnsi" w:hAnsiTheme="minorHAnsi"/>
          <w:lang w:val="en-GB"/>
        </w:rPr>
        <w:t xml:space="preserve"> a type of radiocommunication station which operate under </w:t>
      </w:r>
      <w:r w:rsidR="000904B8" w:rsidRPr="00FD2F0C">
        <w:rPr>
          <w:rFonts w:asciiTheme="minorHAnsi" w:hAnsiTheme="minorHAnsi"/>
          <w:lang w:val="en-GB"/>
        </w:rPr>
        <w:t>f</w:t>
      </w:r>
      <w:r w:rsidRPr="00FD2F0C">
        <w:rPr>
          <w:rFonts w:asciiTheme="minorHAnsi" w:hAnsiTheme="minorHAnsi"/>
          <w:lang w:val="en-GB"/>
        </w:rPr>
        <w:t xml:space="preserve">ixed </w:t>
      </w:r>
      <w:r w:rsidR="000904B8" w:rsidRPr="00FD2F0C">
        <w:rPr>
          <w:rFonts w:asciiTheme="minorHAnsi" w:hAnsiTheme="minorHAnsi"/>
          <w:lang w:val="en-GB"/>
        </w:rPr>
        <w:t>s</w:t>
      </w:r>
      <w:r w:rsidRPr="00FD2F0C">
        <w:rPr>
          <w:rFonts w:asciiTheme="minorHAnsi" w:hAnsiTheme="minorHAnsi"/>
          <w:lang w:val="en-GB"/>
        </w:rPr>
        <w:t>ervice</w:t>
      </w:r>
      <w:r w:rsidR="000904B8" w:rsidRPr="00FD2F0C">
        <w:rPr>
          <w:rFonts w:asciiTheme="minorHAnsi" w:hAnsiTheme="minorHAnsi"/>
          <w:lang w:val="en-GB"/>
        </w:rPr>
        <w:t xml:space="preserve"> allocation</w:t>
      </w:r>
      <w:r w:rsidRPr="00FD2F0C">
        <w:rPr>
          <w:rFonts w:asciiTheme="minorHAnsi" w:hAnsiTheme="minorHAnsi"/>
          <w:lang w:val="en-GB"/>
        </w:rPr>
        <w:t>, not a type of service.</w:t>
      </w:r>
      <w:r w:rsidRPr="00FD2F0C">
        <w:rPr>
          <w:rFonts w:asciiTheme="minorHAnsi" w:hAnsiTheme="minorHAnsi"/>
          <w:szCs w:val="24"/>
          <w:lang w:val="en-GB"/>
        </w:rPr>
        <w:t xml:space="preserve"> </w:t>
      </w:r>
      <w:r w:rsidR="006559EE" w:rsidRPr="00FD2F0C">
        <w:rPr>
          <w:rFonts w:asciiTheme="minorHAnsi" w:hAnsiTheme="minorHAnsi"/>
          <w:szCs w:val="24"/>
          <w:lang w:val="en-GB"/>
        </w:rPr>
        <w:t>T</w:t>
      </w:r>
      <w:r w:rsidRPr="00FD2F0C">
        <w:rPr>
          <w:rFonts w:asciiTheme="minorHAnsi" w:hAnsiTheme="minorHAnsi"/>
          <w:szCs w:val="24"/>
          <w:lang w:val="en-GB"/>
        </w:rPr>
        <w:t>he ITU</w:t>
      </w:r>
      <w:r w:rsidR="009A0957" w:rsidRPr="00FD2F0C">
        <w:rPr>
          <w:rFonts w:asciiTheme="minorHAnsi" w:hAnsiTheme="minorHAnsi"/>
          <w:szCs w:val="24"/>
          <w:lang w:val="en-GB"/>
        </w:rPr>
        <w:t xml:space="preserve"> </w:t>
      </w:r>
      <w:r w:rsidRPr="00FD2F0C">
        <w:rPr>
          <w:rFonts w:asciiTheme="minorHAnsi" w:hAnsiTheme="minorHAnsi"/>
          <w:szCs w:val="24"/>
          <w:lang w:val="en-GB"/>
        </w:rPr>
        <w:t>R</w:t>
      </w:r>
      <w:r w:rsidR="009A0957" w:rsidRPr="00FD2F0C">
        <w:rPr>
          <w:rFonts w:asciiTheme="minorHAnsi" w:hAnsiTheme="minorHAnsi"/>
          <w:szCs w:val="24"/>
          <w:lang w:val="en-GB"/>
        </w:rPr>
        <w:t>adio Regulations</w:t>
      </w:r>
      <w:r w:rsidRPr="00FD2F0C">
        <w:rPr>
          <w:rFonts w:asciiTheme="minorHAnsi" w:hAnsiTheme="minorHAnsi"/>
          <w:szCs w:val="24"/>
          <w:lang w:val="en-GB"/>
        </w:rPr>
        <w:t xml:space="preserve"> identif</w:t>
      </w:r>
      <w:r w:rsidR="009A0957" w:rsidRPr="00FD2F0C">
        <w:rPr>
          <w:rFonts w:asciiTheme="minorHAnsi" w:hAnsiTheme="minorHAnsi"/>
          <w:szCs w:val="24"/>
          <w:lang w:val="en-GB"/>
        </w:rPr>
        <w:t>y</w:t>
      </w:r>
      <w:r w:rsidRPr="00FD2F0C">
        <w:rPr>
          <w:rFonts w:asciiTheme="minorHAnsi" w:hAnsiTheme="minorHAnsi"/>
          <w:szCs w:val="24"/>
          <w:lang w:val="en-GB"/>
        </w:rPr>
        <w:t xml:space="preserve"> fixed service allocations for HAPS </w:t>
      </w:r>
      <w:r w:rsidR="009A0957" w:rsidRPr="00FD2F0C">
        <w:rPr>
          <w:rFonts w:asciiTheme="minorHAnsi" w:hAnsiTheme="minorHAnsi"/>
          <w:szCs w:val="24"/>
          <w:lang w:val="en-GB"/>
        </w:rPr>
        <w:t>in several frequency bands</w:t>
      </w:r>
      <w:r w:rsidRPr="00FD2F0C">
        <w:rPr>
          <w:rFonts w:asciiTheme="minorHAnsi" w:hAnsiTheme="minorHAnsi"/>
          <w:szCs w:val="24"/>
          <w:lang w:val="en-GB" w:eastAsia="zh-CN"/>
        </w:rPr>
        <w:t>:</w:t>
      </w:r>
    </w:p>
    <w:p w14:paraId="49425E3F" w14:textId="77777777" w:rsidR="00FB5C00" w:rsidRPr="00FD2F0C" w:rsidRDefault="00FB5C00" w:rsidP="00FB5C00">
      <w:pPr>
        <w:tabs>
          <w:tab w:val="left" w:pos="0"/>
        </w:tabs>
        <w:spacing w:afterLines="50" w:after="120"/>
        <w:rPr>
          <w:rFonts w:asciiTheme="minorHAnsi" w:hAnsiTheme="minorHAnsi"/>
          <w:lang w:val="en-GB" w:eastAsia="zh-CN"/>
        </w:rPr>
      </w:pPr>
      <w:r w:rsidRPr="00FD2F0C">
        <w:rPr>
          <w:rFonts w:asciiTheme="minorHAnsi" w:hAnsiTheme="minorHAnsi"/>
          <w:b/>
          <w:lang w:val="en-GB"/>
        </w:rPr>
        <w:t>47.2–47.5 GHz and 47.9</w:t>
      </w:r>
      <w:r w:rsidRPr="00FD2F0C">
        <w:rPr>
          <w:rFonts w:asciiTheme="minorHAnsi" w:hAnsiTheme="minorHAnsi"/>
          <w:b/>
          <w:lang w:val="en-GB"/>
        </w:rPr>
        <w:noBreakHyphen/>
        <w:t>48.2 GHz bands</w:t>
      </w:r>
    </w:p>
    <w:p w14:paraId="12266CC2" w14:textId="77777777" w:rsidR="00FB5C00" w:rsidRPr="00FD2F0C" w:rsidRDefault="00FB5C00" w:rsidP="00FB5C00">
      <w:pPr>
        <w:tabs>
          <w:tab w:val="left" w:pos="142"/>
        </w:tabs>
        <w:adjustRightInd w:val="0"/>
        <w:spacing w:afterLines="50" w:after="120"/>
        <w:rPr>
          <w:rFonts w:asciiTheme="minorHAnsi" w:hAnsiTheme="minorHAnsi"/>
          <w:lang w:val="en-GB" w:eastAsia="zh-CN"/>
        </w:rPr>
      </w:pPr>
      <w:r w:rsidRPr="00FD2F0C">
        <w:rPr>
          <w:rFonts w:asciiTheme="minorHAnsi" w:hAnsiTheme="minorHAnsi"/>
          <w:lang w:val="en-GB"/>
        </w:rPr>
        <w:t xml:space="preserve">Today, there is only one globally harmonized fixed service identification for HAPS, in a band that presents challenges for broadband delivery in tropical rainy zones where many of the world’s 4 billion un-connected people live. RR </w:t>
      </w:r>
      <w:r w:rsidRPr="00FD2F0C">
        <w:rPr>
          <w:rFonts w:asciiTheme="minorHAnsi" w:hAnsiTheme="minorHAnsi"/>
          <w:bCs/>
          <w:lang w:val="en-GB"/>
        </w:rPr>
        <w:t>No.</w:t>
      </w:r>
      <w:r w:rsidRPr="00FD2F0C">
        <w:rPr>
          <w:rFonts w:asciiTheme="minorHAnsi" w:hAnsiTheme="minorHAnsi"/>
          <w:b/>
          <w:lang w:val="en-GB"/>
        </w:rPr>
        <w:t xml:space="preserve"> 5.552A</w:t>
      </w:r>
      <w:r w:rsidRPr="00FD2F0C">
        <w:rPr>
          <w:rFonts w:asciiTheme="minorHAnsi" w:hAnsiTheme="minorHAnsi"/>
          <w:lang w:val="en-GB"/>
        </w:rPr>
        <w:t xml:space="preserve"> states that the allocation to the fixed service in the bands 47.2-47.5 GHz and 47.9-48.2 GHz is designated for use by high altitude platform stations. The use of the bands 47.2-47.5 GHz and 47.9</w:t>
      </w:r>
      <w:r w:rsidRPr="00FD2F0C">
        <w:rPr>
          <w:rFonts w:asciiTheme="minorHAnsi" w:hAnsiTheme="minorHAnsi"/>
          <w:lang w:val="en-GB"/>
        </w:rPr>
        <w:noBreakHyphen/>
        <w:t xml:space="preserve">48.2 GHz is subject to the provisions of Resolution </w:t>
      </w:r>
      <w:r w:rsidRPr="00FD2F0C">
        <w:rPr>
          <w:rFonts w:asciiTheme="minorHAnsi" w:hAnsiTheme="minorHAnsi"/>
          <w:b/>
          <w:lang w:val="en-GB"/>
        </w:rPr>
        <w:t>122</w:t>
      </w:r>
      <w:r w:rsidRPr="00FD2F0C">
        <w:rPr>
          <w:rFonts w:asciiTheme="minorHAnsi" w:hAnsiTheme="minorHAnsi"/>
          <w:lang w:val="en-GB"/>
        </w:rPr>
        <w:t xml:space="preserve"> </w:t>
      </w:r>
      <w:r w:rsidRPr="00FD2F0C">
        <w:rPr>
          <w:rFonts w:asciiTheme="minorHAnsi" w:hAnsiTheme="minorHAnsi"/>
          <w:b/>
          <w:bCs/>
          <w:lang w:val="en-GB"/>
        </w:rPr>
        <w:t>(Rev.WRC-07)</w:t>
      </w:r>
      <w:r w:rsidRPr="00FD2F0C">
        <w:rPr>
          <w:rFonts w:asciiTheme="minorHAnsi" w:hAnsiTheme="minorHAnsi"/>
          <w:lang w:val="en-GB"/>
        </w:rPr>
        <w:t>, which establishes maximum transmit e.i.r.p. levels, antenna beam patterns and pfd levels for HAPS operations.</w:t>
      </w:r>
    </w:p>
    <w:p w14:paraId="67270818" w14:textId="77777777" w:rsidR="00FB5C00" w:rsidRPr="00FD2F0C" w:rsidRDefault="00FB5C00" w:rsidP="00FB5C00">
      <w:pPr>
        <w:tabs>
          <w:tab w:val="left" w:pos="142"/>
        </w:tabs>
        <w:adjustRightInd w:val="0"/>
        <w:spacing w:afterLines="50" w:after="120"/>
        <w:rPr>
          <w:rFonts w:asciiTheme="minorHAnsi" w:hAnsiTheme="minorHAnsi"/>
          <w:lang w:val="en-GB" w:eastAsia="zh-CN"/>
        </w:rPr>
      </w:pPr>
      <w:r w:rsidRPr="00FD2F0C">
        <w:rPr>
          <w:rFonts w:asciiTheme="minorHAnsi" w:hAnsiTheme="minorHAnsi"/>
          <w:b/>
          <w:lang w:val="en-GB"/>
        </w:rPr>
        <w:t>27.9-28.2 GHz and 31.0-31.3 GHz bands</w:t>
      </w:r>
    </w:p>
    <w:p w14:paraId="5F6E74B5" w14:textId="77777777" w:rsidR="00FB5C00" w:rsidRPr="00FD2F0C" w:rsidRDefault="00FB5C00" w:rsidP="00FB5C00">
      <w:pPr>
        <w:tabs>
          <w:tab w:val="left" w:pos="142"/>
        </w:tabs>
        <w:adjustRightInd w:val="0"/>
        <w:spacing w:afterLines="50" w:after="120"/>
        <w:rPr>
          <w:rFonts w:asciiTheme="minorHAnsi" w:hAnsiTheme="minorHAnsi"/>
          <w:lang w:val="en-GB" w:eastAsia="zh-CN"/>
        </w:rPr>
      </w:pPr>
      <w:r w:rsidRPr="00FD2F0C">
        <w:rPr>
          <w:rFonts w:asciiTheme="minorHAnsi" w:hAnsiTheme="minorHAnsi"/>
          <w:lang w:val="en-GB" w:eastAsia="zh-CN"/>
        </w:rPr>
        <w:t>A</w:t>
      </w:r>
      <w:r w:rsidRPr="00FD2F0C">
        <w:rPr>
          <w:rFonts w:asciiTheme="minorHAnsi" w:hAnsiTheme="minorHAnsi"/>
          <w:lang w:val="en-GB"/>
        </w:rPr>
        <w:t>t 27.9-28.2 GHz</w:t>
      </w:r>
      <w:r w:rsidRPr="00FD2F0C">
        <w:rPr>
          <w:rFonts w:asciiTheme="minorHAnsi" w:hAnsiTheme="minorHAnsi"/>
          <w:lang w:val="en-GB" w:eastAsia="zh-CN"/>
        </w:rPr>
        <w:t>,t</w:t>
      </w:r>
      <w:r w:rsidRPr="00FD2F0C">
        <w:rPr>
          <w:rFonts w:asciiTheme="minorHAnsi" w:hAnsiTheme="minorHAnsi"/>
          <w:lang w:val="en-GB"/>
        </w:rPr>
        <w:t xml:space="preserve">he HAPS identification in RR </w:t>
      </w:r>
      <w:r w:rsidRPr="00FD2F0C">
        <w:rPr>
          <w:rFonts w:asciiTheme="minorHAnsi" w:hAnsiTheme="minorHAnsi"/>
          <w:b/>
          <w:lang w:val="en-GB"/>
        </w:rPr>
        <w:t>No. 5.537A</w:t>
      </w:r>
      <w:r w:rsidRPr="00FD2F0C">
        <w:rPr>
          <w:rFonts w:asciiTheme="minorHAnsi" w:hAnsiTheme="minorHAnsi"/>
          <w:b/>
          <w:lang w:val="en-GB" w:eastAsia="zh-CN"/>
        </w:rPr>
        <w:t xml:space="preserve"> </w:t>
      </w:r>
      <w:r w:rsidRPr="00FD2F0C">
        <w:rPr>
          <w:rFonts w:asciiTheme="minorHAnsi" w:hAnsiTheme="minorHAnsi"/>
          <w:lang w:val="en-GB"/>
        </w:rPr>
        <w:t>permits use within the territory of a number of countries. Such use is limited to operation in the HAPS-to-ground direction and requires HAPS systems to avoid causing harmful interference to, and precludes HAPS systems from claiming protection from, other fixed service systems or co-primary services.</w:t>
      </w:r>
      <w:r w:rsidRPr="00FD2F0C">
        <w:rPr>
          <w:rFonts w:asciiTheme="minorHAnsi" w:hAnsiTheme="minorHAnsi"/>
          <w:lang w:val="en-GB" w:eastAsia="zh-CN"/>
        </w:rPr>
        <w:t>At 31.0-31.3GHz,</w:t>
      </w:r>
      <w:r w:rsidRPr="00FD2F0C">
        <w:rPr>
          <w:rFonts w:asciiTheme="minorHAnsi" w:hAnsiTheme="minorHAnsi"/>
          <w:lang w:val="en-GB"/>
        </w:rPr>
        <w:t xml:space="preserve"> </w:t>
      </w:r>
      <w:r w:rsidRPr="00FD2F0C">
        <w:rPr>
          <w:rFonts w:asciiTheme="minorHAnsi" w:hAnsiTheme="minorHAnsi"/>
          <w:lang w:val="en-GB" w:eastAsia="zh-CN"/>
        </w:rPr>
        <w:t>p</w:t>
      </w:r>
      <w:r w:rsidRPr="00FD2F0C">
        <w:rPr>
          <w:rFonts w:asciiTheme="minorHAnsi" w:hAnsiTheme="minorHAnsi"/>
          <w:lang w:val="en-GB"/>
        </w:rPr>
        <w:t xml:space="preserve">ursuant to RR </w:t>
      </w:r>
      <w:r w:rsidRPr="00FD2F0C">
        <w:rPr>
          <w:rFonts w:asciiTheme="minorHAnsi" w:hAnsiTheme="minorHAnsi"/>
          <w:bCs/>
          <w:lang w:val="en-GB"/>
        </w:rPr>
        <w:lastRenderedPageBreak/>
        <w:t>No.</w:t>
      </w:r>
      <w:r w:rsidRPr="00FD2F0C">
        <w:rPr>
          <w:rFonts w:asciiTheme="minorHAnsi" w:hAnsiTheme="minorHAnsi"/>
          <w:b/>
          <w:lang w:val="en-GB"/>
        </w:rPr>
        <w:t xml:space="preserve"> 5.543A</w:t>
      </w:r>
      <w:r w:rsidRPr="00FD2F0C">
        <w:rPr>
          <w:rFonts w:asciiTheme="minorHAnsi" w:hAnsiTheme="minorHAnsi"/>
          <w:lang w:val="en-GB"/>
        </w:rPr>
        <w:t>, the same countries mentioned above are permitted to use this band for HAPS in the ground-to-HAPS direction. Such use may not cause harmful interference to, nor claim protection from, other types of fixed service systems or mobile service systems</w:t>
      </w:r>
      <w:r w:rsidRPr="00FD2F0C">
        <w:rPr>
          <w:rFonts w:asciiTheme="minorHAnsi" w:hAnsiTheme="minorHAnsi"/>
          <w:lang w:val="en-GB" w:eastAsia="zh-CN"/>
        </w:rPr>
        <w:t>.</w:t>
      </w:r>
      <w:r w:rsidRPr="00FD2F0C">
        <w:rPr>
          <w:rFonts w:asciiTheme="minorHAnsi" w:hAnsiTheme="minorHAnsi"/>
          <w:lang w:val="en-GB"/>
        </w:rPr>
        <w:t xml:space="preserve"> Resolution </w:t>
      </w:r>
      <w:r w:rsidRPr="00FD2F0C">
        <w:rPr>
          <w:rFonts w:asciiTheme="minorHAnsi" w:hAnsiTheme="minorHAnsi"/>
          <w:b/>
          <w:lang w:val="en-GB"/>
        </w:rPr>
        <w:t>145 (Rev.WRC-12)</w:t>
      </w:r>
      <w:r w:rsidRPr="00FD2F0C">
        <w:rPr>
          <w:rFonts w:asciiTheme="minorHAnsi" w:hAnsiTheme="minorHAnsi"/>
          <w:lang w:val="en-GB"/>
        </w:rPr>
        <w:t xml:space="preserve"> ensures protection of the adjacent radio astronomy service by placing a pfd limit on the HAPS ground station antenna, while adding mandatory coordination and agreement with considered neighbouring administrations.</w:t>
      </w:r>
    </w:p>
    <w:p w14:paraId="2B80247D" w14:textId="77777777" w:rsidR="00FB5C00" w:rsidRPr="00FD2F0C" w:rsidRDefault="00FB5C00" w:rsidP="00FB5C00">
      <w:pPr>
        <w:tabs>
          <w:tab w:val="left" w:pos="142"/>
        </w:tabs>
        <w:adjustRightInd w:val="0"/>
        <w:spacing w:afterLines="50" w:after="120"/>
        <w:rPr>
          <w:rFonts w:asciiTheme="minorHAnsi" w:hAnsiTheme="minorHAnsi"/>
          <w:lang w:val="en-GB" w:eastAsia="zh-CN"/>
        </w:rPr>
      </w:pPr>
      <w:r w:rsidRPr="00FD2F0C">
        <w:rPr>
          <w:rFonts w:asciiTheme="minorHAnsi" w:hAnsiTheme="minorHAnsi"/>
          <w:b/>
          <w:lang w:val="en-GB"/>
        </w:rPr>
        <w:t>6</w:t>
      </w:r>
      <w:r w:rsidRPr="00FD2F0C">
        <w:rPr>
          <w:rFonts w:asciiTheme="minorHAnsi" w:eastAsia="Calibri" w:hAnsiTheme="minorHAnsi" w:cs="Calibri"/>
          <w:b/>
          <w:lang w:val="en-GB"/>
        </w:rPr>
        <w:t xml:space="preserve"> </w:t>
      </w:r>
      <w:r w:rsidRPr="00FD2F0C">
        <w:rPr>
          <w:rFonts w:asciiTheme="minorHAnsi" w:hAnsiTheme="minorHAnsi"/>
          <w:b/>
          <w:lang w:val="en-GB"/>
        </w:rPr>
        <w:t>440–6 520 MHz (HAPS-ground) and 6 560-6 640 MHz (ground-HAPS)</w:t>
      </w:r>
    </w:p>
    <w:p w14:paraId="6E0495FD" w14:textId="4C9FA0F9" w:rsidR="00FB5C00" w:rsidRPr="00FD2F0C" w:rsidRDefault="00FB5C00" w:rsidP="00B86538">
      <w:pPr>
        <w:adjustRightInd w:val="0"/>
        <w:spacing w:afterLines="50" w:after="120"/>
        <w:rPr>
          <w:rFonts w:asciiTheme="minorHAnsi" w:hAnsiTheme="minorHAnsi"/>
          <w:lang w:val="en-US" w:eastAsia="zh-CN"/>
        </w:rPr>
      </w:pPr>
      <w:r w:rsidRPr="00FD2F0C">
        <w:rPr>
          <w:rFonts w:asciiTheme="minorHAnsi" w:hAnsiTheme="minorHAnsi"/>
          <w:lang w:val="en-GB"/>
        </w:rPr>
        <w:t xml:space="preserve">The 6 440-6 520 MHz and 6 560-6 640 MHz bands are allocated to the fixed, </w:t>
      </w:r>
      <w:r w:rsidR="00B86538" w:rsidRPr="00FD2F0C">
        <w:rPr>
          <w:rFonts w:asciiTheme="minorHAnsi" w:hAnsiTheme="minorHAnsi"/>
          <w:lang w:val="en-GB"/>
        </w:rPr>
        <w:t>fixed-</w:t>
      </w:r>
      <w:r w:rsidRPr="00FD2F0C">
        <w:rPr>
          <w:rFonts w:asciiTheme="minorHAnsi" w:hAnsiTheme="minorHAnsi"/>
          <w:lang w:val="en-GB"/>
        </w:rPr>
        <w:t>satellite (Earth</w:t>
      </w:r>
      <w:r w:rsidRPr="00FD2F0C">
        <w:rPr>
          <w:rFonts w:asciiTheme="minorHAnsi" w:hAnsiTheme="minorHAnsi"/>
          <w:lang w:val="en-GB"/>
        </w:rPr>
        <w:noBreakHyphen/>
        <w:t xml:space="preserve">to-space) and mobile services on a primary basis. RR </w:t>
      </w:r>
      <w:r w:rsidRPr="00FD2F0C">
        <w:rPr>
          <w:rFonts w:asciiTheme="minorHAnsi" w:hAnsiTheme="minorHAnsi"/>
          <w:bCs/>
          <w:lang w:val="en-GB"/>
        </w:rPr>
        <w:t>No.</w:t>
      </w:r>
      <w:r w:rsidRPr="00FD2F0C">
        <w:rPr>
          <w:rFonts w:asciiTheme="minorHAnsi" w:hAnsiTheme="minorHAnsi"/>
          <w:b/>
          <w:lang w:val="en-GB"/>
        </w:rPr>
        <w:t xml:space="preserve"> 5.457</w:t>
      </w:r>
      <w:r w:rsidRPr="00FD2F0C">
        <w:rPr>
          <w:rFonts w:asciiTheme="minorHAnsi" w:hAnsiTheme="minorHAnsi"/>
          <w:lang w:val="en-GB"/>
        </w:rPr>
        <w:t xml:space="preserve"> identifies these bands in Australia, Burkina Faso, Cote d’Ivoire, Mali and Nigeria for HAPS use within each countries’ territory. Such use is limited to operation in HAPS gateway links and may not cause harmful interference to, and may not claim protection from, existing services. HAPS use must comply with Resolution </w:t>
      </w:r>
      <w:r w:rsidRPr="00FD2F0C">
        <w:rPr>
          <w:rFonts w:asciiTheme="minorHAnsi" w:hAnsiTheme="minorHAnsi"/>
          <w:b/>
          <w:lang w:val="en-GB"/>
        </w:rPr>
        <w:t>150</w:t>
      </w:r>
      <w:r w:rsidRPr="00FD2F0C">
        <w:rPr>
          <w:rFonts w:asciiTheme="minorHAnsi" w:hAnsiTheme="minorHAnsi"/>
          <w:lang w:val="en-GB"/>
        </w:rPr>
        <w:t xml:space="preserve"> (</w:t>
      </w:r>
      <w:r w:rsidRPr="00FD2F0C">
        <w:rPr>
          <w:rFonts w:asciiTheme="minorHAnsi" w:hAnsiTheme="minorHAnsi"/>
          <w:b/>
          <w:lang w:val="en-GB"/>
        </w:rPr>
        <w:t>WRC-12</w:t>
      </w:r>
      <w:r w:rsidRPr="00FD2F0C">
        <w:rPr>
          <w:rFonts w:asciiTheme="minorHAnsi" w:hAnsiTheme="minorHAnsi"/>
          <w:lang w:val="en-GB"/>
        </w:rPr>
        <w:t>).</w:t>
      </w:r>
    </w:p>
    <w:p w14:paraId="40FB0F29" w14:textId="77777777" w:rsidR="00FB5C00" w:rsidRPr="00FD2F0C" w:rsidRDefault="00FB5C00" w:rsidP="00FB5C00">
      <w:pPr>
        <w:pStyle w:val="FootnoteText"/>
        <w:spacing w:afterLines="50" w:after="120"/>
        <w:rPr>
          <w:rFonts w:asciiTheme="minorHAnsi" w:hAnsiTheme="minorHAnsi"/>
          <w:lang w:eastAsia="zh-CN"/>
        </w:rPr>
      </w:pPr>
      <w:r w:rsidRPr="00FD2F0C">
        <w:rPr>
          <w:rFonts w:asciiTheme="minorHAnsi" w:hAnsiTheme="minorHAnsi"/>
          <w:sz w:val="24"/>
          <w:szCs w:val="22"/>
          <w:lang w:val="en-GB"/>
        </w:rPr>
        <w:t xml:space="preserve">In addition to the fixed service identifications as above, the bands </w:t>
      </w:r>
      <w:r w:rsidRPr="00FD2F0C">
        <w:rPr>
          <w:rFonts w:asciiTheme="minorHAnsi" w:hAnsiTheme="minorHAnsi"/>
          <w:b/>
          <w:sz w:val="24"/>
          <w:szCs w:val="22"/>
          <w:lang w:val="en-GB"/>
        </w:rPr>
        <w:t>1 885</w:t>
      </w:r>
      <w:r w:rsidRPr="00FD2F0C">
        <w:rPr>
          <w:rFonts w:asciiTheme="minorHAnsi" w:hAnsiTheme="minorHAnsi"/>
          <w:b/>
          <w:sz w:val="24"/>
          <w:szCs w:val="22"/>
          <w:lang w:val="en-GB"/>
        </w:rPr>
        <w:noBreakHyphen/>
        <w:t>1 980 MHz, 2 010</w:t>
      </w:r>
      <w:r w:rsidRPr="00FD2F0C">
        <w:rPr>
          <w:rFonts w:asciiTheme="minorHAnsi" w:hAnsiTheme="minorHAnsi"/>
          <w:b/>
          <w:sz w:val="24"/>
          <w:szCs w:val="22"/>
          <w:lang w:val="en-GB"/>
        </w:rPr>
        <w:noBreakHyphen/>
        <w:t>2 025</w:t>
      </w:r>
      <w:r w:rsidRPr="00FD2F0C">
        <w:rPr>
          <w:rFonts w:asciiTheme="minorHAnsi" w:hAnsiTheme="minorHAnsi"/>
          <w:sz w:val="24"/>
          <w:szCs w:val="22"/>
          <w:lang w:val="en-GB"/>
        </w:rPr>
        <w:t xml:space="preserve"> </w:t>
      </w:r>
      <w:r w:rsidRPr="00FD2F0C">
        <w:rPr>
          <w:rFonts w:asciiTheme="minorHAnsi" w:hAnsiTheme="minorHAnsi"/>
          <w:b/>
          <w:sz w:val="24"/>
          <w:szCs w:val="22"/>
          <w:lang w:val="en-GB"/>
        </w:rPr>
        <w:t>MHz</w:t>
      </w:r>
      <w:r w:rsidRPr="00FD2F0C">
        <w:rPr>
          <w:rFonts w:asciiTheme="minorHAnsi" w:hAnsiTheme="minorHAnsi"/>
          <w:sz w:val="24"/>
          <w:szCs w:val="22"/>
          <w:lang w:val="en-GB"/>
        </w:rPr>
        <w:t xml:space="preserve"> and </w:t>
      </w:r>
      <w:r w:rsidRPr="00FD2F0C">
        <w:rPr>
          <w:rFonts w:asciiTheme="minorHAnsi" w:hAnsiTheme="minorHAnsi"/>
          <w:b/>
          <w:sz w:val="24"/>
          <w:szCs w:val="22"/>
          <w:lang w:val="en-GB"/>
        </w:rPr>
        <w:t>2 110</w:t>
      </w:r>
      <w:r w:rsidRPr="00FD2F0C">
        <w:rPr>
          <w:rFonts w:asciiTheme="minorHAnsi" w:hAnsiTheme="minorHAnsi"/>
          <w:b/>
          <w:sz w:val="24"/>
          <w:szCs w:val="22"/>
          <w:lang w:val="en-GB"/>
        </w:rPr>
        <w:noBreakHyphen/>
        <w:t>2 170 MHz</w:t>
      </w:r>
      <w:r w:rsidRPr="00FD2F0C">
        <w:rPr>
          <w:rFonts w:asciiTheme="minorHAnsi" w:hAnsiTheme="minorHAnsi"/>
          <w:sz w:val="24"/>
          <w:szCs w:val="22"/>
          <w:lang w:val="en-GB"/>
        </w:rPr>
        <w:t xml:space="preserve"> were identified for HAPS operating in the mobile service as IMT base stations at WRC-2000.</w:t>
      </w:r>
    </w:p>
    <w:p w14:paraId="7A81624C" w14:textId="77777777" w:rsidR="00FB5C00" w:rsidRPr="00FD2F0C" w:rsidRDefault="00CA4882" w:rsidP="00FB5C00">
      <w:pPr>
        <w:spacing w:afterLines="50" w:after="120"/>
        <w:rPr>
          <w:rFonts w:asciiTheme="minorHAnsi" w:hAnsiTheme="minorHAnsi"/>
          <w:szCs w:val="24"/>
          <w:lang w:val="en-GB" w:eastAsia="zh-CN"/>
        </w:rPr>
      </w:pPr>
      <w:r w:rsidRPr="00FD2F0C">
        <w:rPr>
          <w:rFonts w:asciiTheme="minorHAnsi" w:hAnsiTheme="minorHAnsi"/>
          <w:bCs/>
          <w:szCs w:val="24"/>
          <w:lang w:val="en-GB"/>
        </w:rPr>
        <w:t xml:space="preserve">No. </w:t>
      </w:r>
      <w:r w:rsidR="00FB5C00" w:rsidRPr="00FD2F0C">
        <w:rPr>
          <w:rFonts w:asciiTheme="minorHAnsi" w:hAnsiTheme="minorHAnsi"/>
          <w:b/>
          <w:szCs w:val="24"/>
          <w:lang w:val="en-GB"/>
        </w:rPr>
        <w:t>4.23</w:t>
      </w:r>
      <w:r w:rsidR="00FB5C00" w:rsidRPr="00FD2F0C">
        <w:rPr>
          <w:rFonts w:asciiTheme="minorHAnsi" w:hAnsiTheme="minorHAnsi"/>
          <w:szCs w:val="24"/>
          <w:lang w:val="en-GB"/>
        </w:rPr>
        <w:t xml:space="preserve"> of the Radio Regulations states “Transmissions to or from high altitude platform stations shall be limited to bands specifically identified in Article </w:t>
      </w:r>
      <w:r w:rsidR="00FB5C00" w:rsidRPr="00FD2F0C">
        <w:rPr>
          <w:rFonts w:asciiTheme="minorHAnsi" w:hAnsiTheme="minorHAnsi"/>
          <w:b/>
          <w:szCs w:val="24"/>
          <w:lang w:val="en-GB"/>
        </w:rPr>
        <w:t>5</w:t>
      </w:r>
      <w:r w:rsidR="00FB5C00" w:rsidRPr="00FD2F0C">
        <w:rPr>
          <w:rFonts w:asciiTheme="minorHAnsi" w:hAnsiTheme="minorHAnsi"/>
          <w:szCs w:val="24"/>
          <w:lang w:val="en-GB"/>
        </w:rPr>
        <w:t>. (WRC-12)”.</w:t>
      </w:r>
    </w:p>
    <w:p w14:paraId="50A4E59C" w14:textId="77777777" w:rsidR="00FB5C00" w:rsidRPr="00FD2F0C" w:rsidRDefault="00FB5C00" w:rsidP="00FB5C00">
      <w:pPr>
        <w:tabs>
          <w:tab w:val="left" w:pos="1134"/>
          <w:tab w:val="left" w:pos="1871"/>
          <w:tab w:val="left" w:pos="2268"/>
        </w:tabs>
        <w:overflowPunct w:val="0"/>
        <w:autoSpaceDE w:val="0"/>
        <w:autoSpaceDN w:val="0"/>
        <w:adjustRightInd w:val="0"/>
        <w:spacing w:before="0" w:afterLines="50" w:after="120"/>
        <w:textAlignment w:val="baseline"/>
        <w:rPr>
          <w:rFonts w:asciiTheme="minorHAnsi" w:hAnsiTheme="minorHAnsi"/>
          <w:szCs w:val="24"/>
          <w:lang w:val="en-GB"/>
        </w:rPr>
      </w:pPr>
      <w:r w:rsidRPr="00FD2F0C">
        <w:rPr>
          <w:rFonts w:asciiTheme="minorHAnsi" w:hAnsiTheme="minorHAnsi"/>
          <w:szCs w:val="24"/>
          <w:lang w:val="en-GB"/>
        </w:rPr>
        <w:t>The technological innovations and the growing urgency to expand the availability of broadband has led to a review of the current regulatory environment for HAPS. Stations operating in the stratosphere are high enough to provide service to a large footprint. Recent test deployments of stations delivering broadband from approximately 20 km above ground have demonstrated the potential of such stations for providing connectivity to underserved communities with minimal ground-level infrastructure and maintenance.</w:t>
      </w:r>
    </w:p>
    <w:p w14:paraId="61097001" w14:textId="77777777" w:rsidR="00FB5C00" w:rsidRPr="00FD2F0C" w:rsidRDefault="00FB5C00" w:rsidP="00FB5C00">
      <w:pPr>
        <w:tabs>
          <w:tab w:val="left" w:pos="1134"/>
          <w:tab w:val="left" w:pos="1871"/>
          <w:tab w:val="left" w:pos="2268"/>
        </w:tabs>
        <w:overflowPunct w:val="0"/>
        <w:autoSpaceDE w:val="0"/>
        <w:autoSpaceDN w:val="0"/>
        <w:adjustRightInd w:val="0"/>
        <w:spacing w:afterLines="50" w:after="120"/>
        <w:textAlignment w:val="baseline"/>
        <w:rPr>
          <w:rFonts w:asciiTheme="minorHAnsi" w:hAnsiTheme="minorHAnsi"/>
          <w:szCs w:val="24"/>
          <w:lang w:val="en-GB"/>
        </w:rPr>
      </w:pPr>
      <w:r w:rsidRPr="00FD2F0C">
        <w:rPr>
          <w:rFonts w:asciiTheme="minorHAnsi" w:hAnsiTheme="minorHAnsi"/>
          <w:szCs w:val="24"/>
          <w:lang w:val="en-GB"/>
        </w:rPr>
        <w:t>HAPS are flexible platforms that could one day be deployed rurally, utilizing a fleet of HAPS to backhaul data to an Internet point of presence where ground -based backhaul is not available.</w:t>
      </w:r>
    </w:p>
    <w:p w14:paraId="421ACA81" w14:textId="77777777" w:rsidR="00FB5C00" w:rsidRPr="00FD2F0C" w:rsidRDefault="00FB5C00" w:rsidP="00FB5C00">
      <w:pPr>
        <w:pStyle w:val="CEOIndenti-ii-iii"/>
        <w:numPr>
          <w:ilvl w:val="0"/>
          <w:numId w:val="0"/>
        </w:numPr>
        <w:tabs>
          <w:tab w:val="left" w:pos="720"/>
        </w:tabs>
        <w:spacing w:afterLines="50"/>
        <w:rPr>
          <w:rFonts w:asciiTheme="minorHAnsi" w:eastAsiaTheme="minorEastAsia" w:hAnsiTheme="minorHAnsi"/>
          <w:sz w:val="24"/>
          <w:szCs w:val="24"/>
          <w:lang w:val="en-GB" w:eastAsia="zh-CN"/>
        </w:rPr>
      </w:pPr>
      <w:r w:rsidRPr="00FD2F0C">
        <w:rPr>
          <w:rFonts w:asciiTheme="minorHAnsi" w:eastAsiaTheme="minorEastAsia" w:hAnsiTheme="minorHAnsi"/>
          <w:sz w:val="24"/>
          <w:szCs w:val="24"/>
          <w:lang w:val="en-GB"/>
        </w:rPr>
        <w:t>Given recent innovation in antenna and other technologies, multi-gigabit broadband capacity might be achieved using HAPS. With the average coverage diameter of HAPS ranging from 40</w:t>
      </w:r>
      <w:r w:rsidRPr="00FD2F0C">
        <w:rPr>
          <w:rFonts w:asciiTheme="minorHAnsi" w:eastAsiaTheme="minorEastAsia" w:hAnsiTheme="minorHAnsi"/>
          <w:sz w:val="24"/>
          <w:szCs w:val="24"/>
          <w:lang w:val="en-GB"/>
        </w:rPr>
        <w:noBreakHyphen/>
        <w:t>100 km, operators using HAPS to supply backhaul could target a typical population density at 60 per square km. A provider using HAPS may architect its network to either optimize capacity or coverage. For instance, a fleet of HAPS may be deployed to either efficiently cover a broad area, or to provide more capacity to a medium population density area.</w:t>
      </w:r>
    </w:p>
    <w:p w14:paraId="18D77F2C" w14:textId="77777777" w:rsidR="00FB5C00" w:rsidRPr="00FD2F0C" w:rsidRDefault="00FB5C00" w:rsidP="00FB5C00">
      <w:pPr>
        <w:pStyle w:val="CEOIndenti-ii-iii"/>
        <w:numPr>
          <w:ilvl w:val="0"/>
          <w:numId w:val="0"/>
        </w:numPr>
        <w:tabs>
          <w:tab w:val="left" w:pos="720"/>
        </w:tabs>
        <w:spacing w:afterLines="50"/>
        <w:rPr>
          <w:rFonts w:asciiTheme="minorHAnsi" w:eastAsiaTheme="minorEastAsia" w:hAnsiTheme="minorHAnsi"/>
          <w:sz w:val="24"/>
          <w:szCs w:val="24"/>
          <w:lang w:val="en-GB" w:eastAsia="zh-CN"/>
        </w:rPr>
      </w:pPr>
      <w:r w:rsidRPr="00FD2F0C">
        <w:rPr>
          <w:rFonts w:asciiTheme="minorHAnsi" w:eastAsiaTheme="minorEastAsia" w:hAnsiTheme="minorHAnsi"/>
          <w:sz w:val="24"/>
          <w:szCs w:val="24"/>
          <w:lang w:val="en-GB" w:eastAsia="zh-CN"/>
        </w:rPr>
        <w:t xml:space="preserve">WRC 19 agenda item 1.14 aiming at facilitating access to broadband applications delivered by HAPS, pursuant to Resolution </w:t>
      </w:r>
      <w:r w:rsidRPr="00FD2F0C">
        <w:rPr>
          <w:rFonts w:asciiTheme="minorHAnsi" w:eastAsiaTheme="minorEastAsia" w:hAnsiTheme="minorHAnsi"/>
          <w:b/>
          <w:bCs/>
          <w:sz w:val="24"/>
          <w:szCs w:val="24"/>
          <w:lang w:val="en-GB" w:eastAsia="zh-CN"/>
        </w:rPr>
        <w:t>160 (WRC-15)</w:t>
      </w:r>
      <w:r w:rsidR="00332779" w:rsidRPr="00FD2F0C">
        <w:rPr>
          <w:rFonts w:asciiTheme="minorHAnsi" w:eastAsiaTheme="minorEastAsia" w:hAnsiTheme="minorHAnsi"/>
          <w:sz w:val="24"/>
          <w:szCs w:val="24"/>
          <w:lang w:val="en-GB" w:eastAsia="zh-CN"/>
        </w:rPr>
        <w:t>.</w:t>
      </w:r>
    </w:p>
    <w:p w14:paraId="56F2B567" w14:textId="22EF5503" w:rsidR="00012F1F" w:rsidRPr="00FD2F0C" w:rsidRDefault="00D703E3" w:rsidP="007B525E">
      <w:pPr>
        <w:pStyle w:val="Heading3"/>
        <w:numPr>
          <w:ilvl w:val="0"/>
          <w:numId w:val="0"/>
        </w:numPr>
        <w:ind w:left="720" w:hanging="720"/>
        <w:rPr>
          <w:rFonts w:asciiTheme="minorHAnsi" w:hAnsiTheme="minorHAnsi"/>
        </w:rPr>
      </w:pPr>
      <w:bookmarkStart w:id="35" w:name="_Toc485647973"/>
      <w:r w:rsidRPr="00FD2F0C">
        <w:rPr>
          <w:rFonts w:asciiTheme="minorHAnsi" w:hAnsiTheme="minorHAnsi"/>
        </w:rPr>
        <w:t>1.2</w:t>
      </w:r>
      <w:r w:rsidR="004C3D78" w:rsidRPr="00FD2F0C">
        <w:rPr>
          <w:rFonts w:asciiTheme="minorHAnsi" w:hAnsiTheme="minorHAnsi"/>
        </w:rPr>
        <w:t>.4</w:t>
      </w:r>
      <w:r w:rsidR="00012F1F" w:rsidRPr="00FD2F0C">
        <w:rPr>
          <w:rFonts w:asciiTheme="minorHAnsi" w:hAnsiTheme="minorHAnsi"/>
        </w:rPr>
        <w:tab/>
      </w:r>
      <w:r w:rsidR="008E2F4E" w:rsidRPr="00FD2F0C">
        <w:rPr>
          <w:rFonts w:asciiTheme="minorHAnsi" w:hAnsiTheme="minorHAnsi"/>
        </w:rPr>
        <w:t>S</w:t>
      </w:r>
      <w:r w:rsidR="00012F1F" w:rsidRPr="00FD2F0C">
        <w:rPr>
          <w:rFonts w:asciiTheme="minorHAnsi" w:hAnsiTheme="minorHAnsi"/>
        </w:rPr>
        <w:t>atellite</w:t>
      </w:r>
      <w:r w:rsidR="008E2F4E" w:rsidRPr="00FD2F0C">
        <w:rPr>
          <w:rFonts w:asciiTheme="minorHAnsi" w:hAnsiTheme="minorHAnsi"/>
        </w:rPr>
        <w:t xml:space="preserve"> system</w:t>
      </w:r>
      <w:r w:rsidR="00012F1F" w:rsidRPr="00FD2F0C">
        <w:rPr>
          <w:rFonts w:asciiTheme="minorHAnsi" w:hAnsiTheme="minorHAnsi"/>
        </w:rPr>
        <w:t>s</w:t>
      </w:r>
      <w:bookmarkEnd w:id="35"/>
    </w:p>
    <w:p w14:paraId="38262695" w14:textId="529D24C9" w:rsidR="00012F1F" w:rsidRPr="00FD2F0C" w:rsidRDefault="00012F1F" w:rsidP="00B86538">
      <w:pPr>
        <w:rPr>
          <w:rFonts w:asciiTheme="minorHAnsi" w:hAnsiTheme="minorHAnsi"/>
          <w:lang w:val="en-GB"/>
        </w:rPr>
      </w:pPr>
      <w:r w:rsidRPr="00FD2F0C">
        <w:rPr>
          <w:rFonts w:asciiTheme="minorHAnsi" w:hAnsiTheme="minorHAnsi"/>
          <w:lang w:val="en-GB"/>
        </w:rPr>
        <w:t xml:space="preserve">Satellites, with their inherent ability to provide ubiquitous, wide-area coverage, are key to </w:t>
      </w:r>
      <w:r w:rsidR="00B86538" w:rsidRPr="00FD2F0C">
        <w:rPr>
          <w:rFonts w:asciiTheme="minorHAnsi" w:hAnsiTheme="minorHAnsi"/>
          <w:lang w:val="en-GB"/>
        </w:rPr>
        <w:t xml:space="preserve">deliver </w:t>
      </w:r>
      <w:r w:rsidRPr="00FD2F0C">
        <w:rPr>
          <w:rFonts w:asciiTheme="minorHAnsi" w:hAnsiTheme="minorHAnsi"/>
          <w:lang w:val="en-GB"/>
        </w:rPr>
        <w:t>broadband connectivity including in remote and underserved areas.  Recent years have seen the deployment of numerous High Throughput Satellite (HTS) systems operating in Ka-band frequencies</w:t>
      </w:r>
      <w:r w:rsidRPr="00FD2F0C">
        <w:rPr>
          <w:rStyle w:val="FootnoteReference"/>
          <w:rFonts w:asciiTheme="minorHAnsi" w:hAnsiTheme="minorHAnsi"/>
        </w:rPr>
        <w:footnoteReference w:id="11"/>
      </w:r>
      <w:r w:rsidRPr="00FD2F0C">
        <w:rPr>
          <w:rFonts w:asciiTheme="minorHAnsi" w:hAnsiTheme="minorHAnsi"/>
          <w:lang w:val="en-GB"/>
        </w:rPr>
        <w:t xml:space="preserve"> in the fixed-satellite service (FSS) to provide broadband connectivity directly to end-users over small satellite user terminals.  To provide high capacity and high spectrum efficiency, HTS systems implement large numbers of satellite spot beams which allows for high multiples of frequency re-use.</w:t>
      </w:r>
    </w:p>
    <w:p w14:paraId="2AA2E6C4" w14:textId="719924E8" w:rsidR="00012F1F" w:rsidRPr="00FD2F0C" w:rsidRDefault="00012F1F" w:rsidP="00012F1F">
      <w:pPr>
        <w:rPr>
          <w:rFonts w:asciiTheme="minorHAnsi" w:hAnsiTheme="minorHAnsi"/>
          <w:lang w:val="en-GB"/>
        </w:rPr>
      </w:pPr>
      <w:r w:rsidRPr="00FD2F0C">
        <w:rPr>
          <w:rFonts w:asciiTheme="minorHAnsi" w:hAnsiTheme="minorHAnsi"/>
          <w:lang w:val="en-GB"/>
        </w:rPr>
        <w:lastRenderedPageBreak/>
        <w:t>Within the range of Ka-band FSS frequencies in which HTS systems are generally deployed, there is 500 MHz of spectrum</w:t>
      </w:r>
      <w:r w:rsidRPr="00FD2F0C">
        <w:rPr>
          <w:rStyle w:val="FootnoteReference"/>
          <w:rFonts w:asciiTheme="minorHAnsi" w:hAnsiTheme="minorHAnsi"/>
        </w:rPr>
        <w:footnoteReference w:id="12"/>
      </w:r>
      <w:r w:rsidRPr="00FD2F0C">
        <w:rPr>
          <w:rFonts w:asciiTheme="minorHAnsi" w:hAnsiTheme="minorHAnsi"/>
          <w:lang w:val="en-GB"/>
        </w:rPr>
        <w:t xml:space="preserve">  for which satellite services do not share with other primary services in the ITU table of frequency allocations. User terminals operating in these bands can generally be deployed ubiquitously without need for individual coordination of the satellite earth stations.</w:t>
      </w:r>
    </w:p>
    <w:p w14:paraId="467BAF5D" w14:textId="77777777" w:rsidR="00012F1F" w:rsidRPr="00FD2F0C" w:rsidRDefault="00012F1F" w:rsidP="00012F1F">
      <w:pPr>
        <w:rPr>
          <w:rFonts w:asciiTheme="minorHAnsi" w:hAnsiTheme="minorHAnsi"/>
          <w:lang w:val="en-GB"/>
        </w:rPr>
      </w:pPr>
      <w:r w:rsidRPr="00FD2F0C">
        <w:rPr>
          <w:rFonts w:asciiTheme="minorHAnsi" w:hAnsiTheme="minorHAnsi"/>
          <w:lang w:val="en-GB"/>
        </w:rPr>
        <w:t>However, meeting the ever increasing capacity requirements for broadband connectivity requires that HTS systems deploy ubiquitous end-user terminals in FSS frequencies also in the parts of the Ka-band where satellite services do not have an exclusive primary allocation.</w:t>
      </w:r>
    </w:p>
    <w:p w14:paraId="28413E10" w14:textId="76730231" w:rsidR="00012F1F" w:rsidRPr="00FD2F0C" w:rsidRDefault="00012F1F" w:rsidP="00012F1F">
      <w:pPr>
        <w:rPr>
          <w:rFonts w:asciiTheme="minorHAnsi" w:hAnsiTheme="minorHAnsi"/>
          <w:lang w:val="en-GB"/>
        </w:rPr>
      </w:pPr>
      <w:r w:rsidRPr="00FD2F0C">
        <w:rPr>
          <w:rFonts w:asciiTheme="minorHAnsi" w:hAnsiTheme="minorHAnsi"/>
          <w:lang w:val="en-GB"/>
        </w:rPr>
        <w:t xml:space="preserve">Within the CEPT, </w:t>
      </w:r>
      <w:r w:rsidR="008E2F4E" w:rsidRPr="00FD2F0C">
        <w:rPr>
          <w:rFonts w:asciiTheme="minorHAnsi" w:hAnsiTheme="minorHAnsi"/>
          <w:lang w:val="en-GB"/>
        </w:rPr>
        <w:t xml:space="preserve">for instance, </w:t>
      </w:r>
      <w:r w:rsidRPr="00FD2F0C">
        <w:rPr>
          <w:rFonts w:asciiTheme="minorHAnsi" w:hAnsiTheme="minorHAnsi"/>
          <w:lang w:val="en-GB"/>
        </w:rPr>
        <w:t>significant progress has been made towards opening the FSS Ka-band for the ubiquitous deployment of uncoordinated satellite earth stations.  This is reflected in a number of ECC Decisions which have been adopted and amended over the past years, including:</w:t>
      </w:r>
    </w:p>
    <w:p w14:paraId="69F6B6BD" w14:textId="77777777" w:rsidR="00012F1F" w:rsidRPr="00FD2F0C" w:rsidRDefault="00012F1F" w:rsidP="00012F1F">
      <w:pPr>
        <w:rPr>
          <w:rFonts w:asciiTheme="minorHAnsi" w:hAnsiTheme="minorHAnsi"/>
          <w:lang w:val="en-GB"/>
        </w:rPr>
      </w:pPr>
      <w:r w:rsidRPr="00FD2F0C">
        <w:rPr>
          <w:rFonts w:asciiTheme="minorHAnsi" w:hAnsiTheme="minorHAnsi"/>
          <w:lang w:val="en-GB"/>
        </w:rPr>
        <w:t>Decision ECC/DEC/(00)07, “</w:t>
      </w:r>
      <w:r w:rsidRPr="00FD2F0C">
        <w:rPr>
          <w:rFonts w:asciiTheme="minorHAnsi" w:hAnsiTheme="minorHAnsi"/>
          <w:i/>
          <w:lang w:val="en-GB"/>
        </w:rPr>
        <w:t>The shared use of the band 17.7-19.7 GHz by the fixed service and earth stations of the fixed-satellite service (space-to-Earth)”,</w:t>
      </w:r>
      <w:r w:rsidRPr="00FD2F0C">
        <w:rPr>
          <w:rFonts w:asciiTheme="minorHAnsi" w:hAnsiTheme="minorHAnsi"/>
          <w:lang w:val="en-GB"/>
        </w:rPr>
        <w:t xml:space="preserve"> which has provisions to enable the deployment of FS stations, coordinated FSS (space-to-Earth) earth stations and </w:t>
      </w:r>
      <w:r w:rsidRPr="00FD2F0C">
        <w:rPr>
          <w:rFonts w:asciiTheme="minorHAnsi" w:hAnsiTheme="minorHAnsi"/>
          <w:i/>
          <w:lang w:val="en-GB"/>
        </w:rPr>
        <w:t>uncoordinated</w:t>
      </w:r>
      <w:r w:rsidRPr="00FD2F0C">
        <w:rPr>
          <w:rFonts w:asciiTheme="minorHAnsi" w:hAnsiTheme="minorHAnsi"/>
          <w:lang w:val="en-GB"/>
        </w:rPr>
        <w:t xml:space="preserve"> FSS (space-to-Earth) earth stations in the band 17.7-19.7 GHz.  To facilitate the sharing between these types of stations, the Decision includes in its annexes descriptions of technical and regulatory mitigation approaches to be taken and/or considered by Administrations.</w:t>
      </w:r>
    </w:p>
    <w:p w14:paraId="38CD6314" w14:textId="54DEBF35" w:rsidR="00012F1F" w:rsidRPr="00FD2F0C" w:rsidRDefault="00012F1F" w:rsidP="00012F1F">
      <w:pPr>
        <w:rPr>
          <w:rFonts w:asciiTheme="minorHAnsi" w:hAnsiTheme="minorHAnsi"/>
          <w:lang w:val="en-GB"/>
        </w:rPr>
      </w:pPr>
      <w:r w:rsidRPr="00FD2F0C">
        <w:rPr>
          <w:rFonts w:asciiTheme="minorHAnsi" w:hAnsiTheme="minorHAnsi"/>
          <w:lang w:val="en-GB"/>
        </w:rPr>
        <w:t>Decision ECC/DEC/(05)01,  “</w:t>
      </w:r>
      <w:r w:rsidRPr="00FD2F0C">
        <w:rPr>
          <w:rFonts w:asciiTheme="minorHAnsi" w:hAnsiTheme="minorHAnsi"/>
          <w:i/>
          <w:lang w:val="en-GB"/>
        </w:rPr>
        <w:t xml:space="preserve">The use of the band 27.5-29.5 GHz by the Fixed Service and uncoordinated Earth stations of the Fixed-Satellite Service (Earth-to-space)”, </w:t>
      </w:r>
      <w:r w:rsidRPr="00FD2F0C">
        <w:rPr>
          <w:rFonts w:asciiTheme="minorHAnsi" w:hAnsiTheme="minorHAnsi"/>
          <w:lang w:val="en-GB"/>
        </w:rPr>
        <w:t>which</w:t>
      </w:r>
      <w:r w:rsidRPr="00FD2F0C">
        <w:rPr>
          <w:rFonts w:asciiTheme="minorHAnsi" w:hAnsiTheme="minorHAnsi"/>
          <w:i/>
          <w:lang w:val="en-GB"/>
        </w:rPr>
        <w:t xml:space="preserve"> </w:t>
      </w:r>
      <w:r w:rsidRPr="00FD2F0C">
        <w:rPr>
          <w:rFonts w:asciiTheme="minorHAnsi" w:hAnsiTheme="minorHAnsi"/>
          <w:lang w:val="en-GB"/>
        </w:rPr>
        <w:t xml:space="preserve">designates parts of the band 27.5-29.5 GHz also for </w:t>
      </w:r>
      <w:r w:rsidRPr="00FD2F0C">
        <w:rPr>
          <w:rFonts w:asciiTheme="minorHAnsi" w:hAnsiTheme="minorHAnsi"/>
          <w:i/>
          <w:lang w:val="en-GB"/>
        </w:rPr>
        <w:t>uncoordinated</w:t>
      </w:r>
      <w:r w:rsidRPr="00FD2F0C">
        <w:rPr>
          <w:rFonts w:asciiTheme="minorHAnsi" w:hAnsiTheme="minorHAnsi"/>
          <w:lang w:val="en-GB"/>
        </w:rPr>
        <w:t xml:space="preserve"> FSS earth stations.  This Decision was amended in 2013 to include provisions for license</w:t>
      </w:r>
      <w:r w:rsidR="003B3320" w:rsidRPr="00FD2F0C">
        <w:rPr>
          <w:rFonts w:asciiTheme="minorHAnsi" w:hAnsiTheme="minorHAnsi"/>
          <w:lang w:val="en-GB"/>
        </w:rPr>
        <w:t>-</w:t>
      </w:r>
      <w:r w:rsidRPr="00FD2F0C">
        <w:rPr>
          <w:rFonts w:asciiTheme="minorHAnsi" w:hAnsiTheme="minorHAnsi"/>
          <w:lang w:val="en-GB"/>
        </w:rPr>
        <w:t>exemption and free circulation of these uncoordinated FSS earth stations.</w:t>
      </w:r>
    </w:p>
    <w:p w14:paraId="3A5EB7C1" w14:textId="528CA1D9" w:rsidR="00012F1F" w:rsidRPr="00FD2F0C" w:rsidRDefault="00D703E3" w:rsidP="007B525E">
      <w:pPr>
        <w:pStyle w:val="Heading4"/>
        <w:numPr>
          <w:ilvl w:val="0"/>
          <w:numId w:val="0"/>
        </w:numPr>
        <w:ind w:left="864" w:hanging="864"/>
        <w:rPr>
          <w:rFonts w:asciiTheme="minorHAnsi" w:hAnsiTheme="minorHAnsi"/>
        </w:rPr>
      </w:pPr>
      <w:r w:rsidRPr="00FD2F0C">
        <w:rPr>
          <w:rFonts w:asciiTheme="minorHAnsi" w:hAnsiTheme="minorHAnsi"/>
        </w:rPr>
        <w:t>1.2</w:t>
      </w:r>
      <w:r w:rsidR="008255A6" w:rsidRPr="00FD2F0C">
        <w:rPr>
          <w:rFonts w:asciiTheme="minorHAnsi" w:hAnsiTheme="minorHAnsi"/>
        </w:rPr>
        <w:t>.4</w:t>
      </w:r>
      <w:r w:rsidR="00012F1F" w:rsidRPr="00FD2F0C">
        <w:rPr>
          <w:rFonts w:asciiTheme="minorHAnsi" w:hAnsiTheme="minorHAnsi"/>
        </w:rPr>
        <w:t>.</w:t>
      </w:r>
      <w:r w:rsidR="008E2F4E" w:rsidRPr="00FD2F0C">
        <w:rPr>
          <w:rFonts w:asciiTheme="minorHAnsi" w:hAnsiTheme="minorHAnsi"/>
        </w:rPr>
        <w:t>1</w:t>
      </w:r>
      <w:r w:rsidR="00012F1F" w:rsidRPr="00FD2F0C">
        <w:rPr>
          <w:rFonts w:asciiTheme="minorHAnsi" w:hAnsiTheme="minorHAnsi"/>
        </w:rPr>
        <w:tab/>
      </w:r>
      <w:r w:rsidR="008E2F4E" w:rsidRPr="00FD2F0C">
        <w:rPr>
          <w:rFonts w:asciiTheme="minorHAnsi" w:hAnsiTheme="minorHAnsi"/>
        </w:rPr>
        <w:t>High-Density Fixed-Satellite Service (</w:t>
      </w:r>
      <w:r w:rsidR="00012F1F" w:rsidRPr="00FD2F0C">
        <w:rPr>
          <w:rFonts w:asciiTheme="minorHAnsi" w:hAnsiTheme="minorHAnsi"/>
        </w:rPr>
        <w:t>HDFSS</w:t>
      </w:r>
      <w:r w:rsidR="008E2F4E" w:rsidRPr="00FD2F0C">
        <w:rPr>
          <w:rFonts w:asciiTheme="minorHAnsi" w:hAnsiTheme="minorHAnsi"/>
        </w:rPr>
        <w:t>)</w:t>
      </w:r>
      <w:r w:rsidR="00012F1F" w:rsidRPr="00FD2F0C">
        <w:rPr>
          <w:rFonts w:asciiTheme="minorHAnsi" w:hAnsiTheme="minorHAnsi"/>
        </w:rPr>
        <w:t xml:space="preserve"> </w:t>
      </w:r>
      <w:r w:rsidR="008E2F4E" w:rsidRPr="00FD2F0C">
        <w:rPr>
          <w:rFonts w:asciiTheme="minorHAnsi" w:hAnsiTheme="minorHAnsi"/>
        </w:rPr>
        <w:t xml:space="preserve">systems </w:t>
      </w:r>
    </w:p>
    <w:p w14:paraId="5EBC3783" w14:textId="77777777" w:rsidR="00012F1F" w:rsidRPr="00FD2F0C" w:rsidRDefault="00012F1F" w:rsidP="00012F1F">
      <w:pPr>
        <w:rPr>
          <w:rFonts w:asciiTheme="minorHAnsi" w:hAnsiTheme="minorHAnsi"/>
          <w:i/>
          <w:lang w:val="en-GB"/>
        </w:rPr>
      </w:pPr>
      <w:r w:rsidRPr="00FD2F0C">
        <w:rPr>
          <w:rFonts w:asciiTheme="minorHAnsi" w:hAnsiTheme="minorHAnsi"/>
          <w:lang w:val="en-GB"/>
        </w:rPr>
        <w:t>WRC-03 identified portions in the above frequency bands for high-density applications in the fixed satellite service (HDFSS) through RR No.</w:t>
      </w:r>
      <w:r w:rsidRPr="00FD2F0C">
        <w:rPr>
          <w:rFonts w:asciiTheme="minorHAnsi" w:hAnsiTheme="minorHAnsi"/>
          <w:b/>
          <w:lang w:val="en-GB"/>
        </w:rPr>
        <w:t xml:space="preserve"> 5.516B</w:t>
      </w:r>
      <w:r w:rsidRPr="00FD2F0C">
        <w:rPr>
          <w:rFonts w:asciiTheme="minorHAnsi" w:hAnsiTheme="minorHAnsi"/>
          <w:lang w:val="en-GB"/>
        </w:rPr>
        <w:t xml:space="preserve">, indicating that </w:t>
      </w:r>
      <w:r w:rsidRPr="00FD2F0C">
        <w:rPr>
          <w:rFonts w:asciiTheme="minorHAnsi" w:hAnsiTheme="minorHAnsi"/>
          <w:i/>
          <w:lang w:val="en-GB"/>
        </w:rPr>
        <w:t xml:space="preserve">“Administrations should take this into account when considering regulatory provisions in relation to these bands.”  </w:t>
      </w:r>
    </w:p>
    <w:p w14:paraId="75AA729B" w14:textId="77777777" w:rsidR="00012F1F" w:rsidRPr="00FD2F0C" w:rsidRDefault="00012F1F" w:rsidP="00012F1F">
      <w:pPr>
        <w:rPr>
          <w:rFonts w:asciiTheme="minorHAnsi" w:hAnsiTheme="minorHAnsi"/>
          <w:i/>
          <w:lang w:val="en-GB"/>
        </w:rPr>
      </w:pPr>
      <w:r w:rsidRPr="00FD2F0C">
        <w:rPr>
          <w:rFonts w:asciiTheme="minorHAnsi" w:hAnsiTheme="minorHAnsi"/>
          <w:lang w:val="en-GB"/>
        </w:rPr>
        <w:t>Resolution 143 (WRC-03) was also adopted at the Conference, providing “</w:t>
      </w:r>
      <w:r w:rsidRPr="00FD2F0C">
        <w:rPr>
          <w:rFonts w:asciiTheme="minorHAnsi" w:hAnsiTheme="minorHAnsi"/>
          <w:i/>
          <w:lang w:val="en-GB"/>
        </w:rPr>
        <w:t>Guidelines for the implementation of high-density applications in the fixed-satellite service in frequency bands identified for these applications.”</w:t>
      </w:r>
    </w:p>
    <w:p w14:paraId="6B52F58F" w14:textId="3FAA843E" w:rsidR="003B314C" w:rsidRPr="00FD2F0C" w:rsidRDefault="003B314C" w:rsidP="003B314C">
      <w:pPr>
        <w:pStyle w:val="Heading4"/>
        <w:numPr>
          <w:ilvl w:val="0"/>
          <w:numId w:val="0"/>
        </w:numPr>
        <w:ind w:left="864" w:hanging="864"/>
        <w:rPr>
          <w:rFonts w:asciiTheme="minorHAnsi" w:hAnsiTheme="minorHAnsi"/>
        </w:rPr>
      </w:pPr>
      <w:r w:rsidRPr="00FD2F0C">
        <w:rPr>
          <w:rFonts w:asciiTheme="minorHAnsi" w:hAnsiTheme="minorHAnsi"/>
        </w:rPr>
        <w:t>1.2.4.2</w:t>
      </w:r>
      <w:r w:rsidRPr="00FD2F0C">
        <w:rPr>
          <w:rFonts w:asciiTheme="minorHAnsi" w:hAnsiTheme="minorHAnsi"/>
        </w:rPr>
        <w:tab/>
        <w:t>Earth Stations In Motion (ESIMs)</w:t>
      </w:r>
    </w:p>
    <w:p w14:paraId="191593BA" w14:textId="7B4F3443" w:rsidR="0010471A" w:rsidRPr="00FD2F0C" w:rsidRDefault="0010471A" w:rsidP="003F0EB2">
      <w:pPr>
        <w:rPr>
          <w:rFonts w:asciiTheme="minorHAnsi" w:hAnsiTheme="minorHAnsi"/>
          <w:lang w:val="en-US"/>
        </w:rPr>
      </w:pPr>
      <w:r w:rsidRPr="00FD2F0C">
        <w:rPr>
          <w:rFonts w:asciiTheme="minorHAnsi" w:hAnsiTheme="minorHAnsi"/>
          <w:lang w:val="en-US"/>
        </w:rPr>
        <w:t>The increasing need for broadband communications is not location specific and includes requirements on vessels, aircraft and land vehicles that operate at fixed locations and while in motion, both in developed and developing administrations, and often in very remote parts of the globe.</w:t>
      </w:r>
      <w:r w:rsidR="003F0EB2" w:rsidRPr="00FD2F0C">
        <w:rPr>
          <w:rStyle w:val="FootnoteReference"/>
          <w:rFonts w:asciiTheme="minorHAnsi" w:hAnsiTheme="minorHAnsi"/>
          <w:lang w:val="en-US"/>
        </w:rPr>
        <w:t xml:space="preserve"> </w:t>
      </w:r>
      <w:r w:rsidR="003F0EB2" w:rsidRPr="00FD2F0C">
        <w:rPr>
          <w:rStyle w:val="FootnoteReference"/>
          <w:rFonts w:asciiTheme="minorHAnsi" w:hAnsiTheme="minorHAnsi"/>
        </w:rPr>
        <w:footnoteReference w:id="13"/>
      </w:r>
      <w:r w:rsidRPr="00FD2F0C">
        <w:rPr>
          <w:rFonts w:asciiTheme="minorHAnsi" w:hAnsiTheme="minorHAnsi"/>
          <w:lang w:val="en-US"/>
        </w:rPr>
        <w:t xml:space="preserve"> Earth Stations in Motion (ESIM), that communicate with geostationary (GSO) Fixed-Satellite Service (FSS) networks can meet this need.</w:t>
      </w:r>
      <w:r w:rsidR="003F0EB2" w:rsidRPr="00FD2F0C">
        <w:rPr>
          <w:rStyle w:val="FootnoteReference"/>
          <w:rFonts w:asciiTheme="minorHAnsi" w:hAnsiTheme="minorHAnsi"/>
          <w:lang w:val="en-US"/>
        </w:rPr>
        <w:t xml:space="preserve"> </w:t>
      </w:r>
      <w:r w:rsidR="003F0EB2" w:rsidRPr="00FD2F0C">
        <w:rPr>
          <w:rStyle w:val="FootnoteReference"/>
          <w:rFonts w:asciiTheme="minorHAnsi" w:hAnsiTheme="minorHAnsi"/>
        </w:rPr>
        <w:footnoteReference w:id="14"/>
      </w:r>
    </w:p>
    <w:p w14:paraId="4F5F7EA1" w14:textId="2673BA27" w:rsidR="0010471A" w:rsidRPr="00FD2F0C" w:rsidRDefault="0010471A" w:rsidP="003F0EB2">
      <w:pPr>
        <w:rPr>
          <w:rFonts w:asciiTheme="minorHAnsi" w:hAnsiTheme="minorHAnsi"/>
          <w:lang w:val="en-US"/>
        </w:rPr>
      </w:pPr>
      <w:r w:rsidRPr="00FD2F0C">
        <w:rPr>
          <w:rFonts w:asciiTheme="minorHAnsi" w:hAnsiTheme="minorHAnsi"/>
          <w:lang w:val="en-US"/>
        </w:rPr>
        <w:t>In 2013, CEPT adopted a regional regulatory approach for harmonized use of ESIMs.</w:t>
      </w:r>
      <w:r w:rsidR="003F0EB2" w:rsidRPr="00FD2F0C">
        <w:rPr>
          <w:rStyle w:val="FootnoteReference"/>
          <w:rFonts w:asciiTheme="minorHAnsi" w:hAnsiTheme="minorHAnsi"/>
          <w:lang w:val="en-US"/>
        </w:rPr>
        <w:t xml:space="preserve"> </w:t>
      </w:r>
      <w:r w:rsidR="003F0EB2" w:rsidRPr="00FD2F0C">
        <w:rPr>
          <w:rStyle w:val="FootnoteReference"/>
          <w:rFonts w:asciiTheme="minorHAnsi" w:hAnsiTheme="minorHAnsi"/>
        </w:rPr>
        <w:footnoteReference w:id="15"/>
      </w:r>
      <w:r w:rsidRPr="00FD2F0C">
        <w:rPr>
          <w:rFonts w:asciiTheme="minorHAnsi" w:hAnsiTheme="minorHAnsi"/>
          <w:lang w:val="en-US"/>
        </w:rPr>
        <w:t xml:space="preserve"> Under the “Decision”, administrations within CEPT are supposed to designate the frequency bands 19.7-20.2 GHz (space-to-earth) and 29.5-30.0 GHz (earth-to-space) for ESIMs operation that satisfy the </w:t>
      </w:r>
      <w:r w:rsidRPr="00FD2F0C">
        <w:rPr>
          <w:rFonts w:asciiTheme="minorHAnsi" w:hAnsiTheme="minorHAnsi"/>
          <w:lang w:val="en-US"/>
        </w:rPr>
        <w:lastRenderedPageBreak/>
        <w:t>provisions. The two main principles embodied in the Decision are: (1) Free circulation (e.g. authorization for foreign visiting terminals with the country boundaries); and (2) Domestic terminal exemption from individual licensing (e.g. ‘blanket license’). Individual CEPT administrations may have additional national requirements for authorization of ESIM operations as part of their spectrum management activities.</w:t>
      </w:r>
    </w:p>
    <w:p w14:paraId="485F2B4B" w14:textId="3D622871" w:rsidR="0010471A" w:rsidRPr="00FD2F0C" w:rsidRDefault="0010471A" w:rsidP="00C20E11">
      <w:pPr>
        <w:rPr>
          <w:rFonts w:asciiTheme="minorHAnsi" w:hAnsiTheme="minorHAnsi"/>
          <w:lang w:val="en-US"/>
        </w:rPr>
      </w:pPr>
      <w:r w:rsidRPr="00FD2F0C">
        <w:rPr>
          <w:rFonts w:asciiTheme="minorHAnsi" w:hAnsiTheme="minorHAnsi"/>
          <w:lang w:val="en-US"/>
        </w:rPr>
        <w:t>WRC-15 agreed to facilitate the global deployment of ESIM in the 19.7-20.2 and 29.5-30.0 GHz frequency bands in the FSS</w:t>
      </w:r>
      <w:r w:rsidR="00C20E11" w:rsidRPr="00FD2F0C">
        <w:rPr>
          <w:rStyle w:val="FootnoteReference"/>
          <w:rFonts w:asciiTheme="minorHAnsi" w:hAnsiTheme="minorHAnsi"/>
        </w:rPr>
        <w:footnoteReference w:id="16"/>
      </w:r>
      <w:r w:rsidRPr="00FD2F0C">
        <w:rPr>
          <w:rFonts w:asciiTheme="minorHAnsi" w:hAnsiTheme="minorHAnsi"/>
          <w:lang w:val="en-US"/>
        </w:rPr>
        <w:t>, paving the way for satellite systems to provide global broadband connectivity for the transportation community. Earth stations on-board moving platforms, such as ships, trains and aircraft, will be able to communicate with high power multiple spot beam satellites, allowing transmission rates in the order of 10-50 Mbits/s.</w:t>
      </w:r>
      <w:r w:rsidR="00C20E11" w:rsidRPr="00FD2F0C">
        <w:rPr>
          <w:rStyle w:val="FootnoteReference"/>
          <w:rFonts w:asciiTheme="minorHAnsi" w:hAnsiTheme="minorHAnsi"/>
          <w:lang w:val="en-US"/>
        </w:rPr>
        <w:t xml:space="preserve"> </w:t>
      </w:r>
      <w:r w:rsidR="00C20E11" w:rsidRPr="00FD2F0C">
        <w:rPr>
          <w:rStyle w:val="FootnoteReference"/>
          <w:rFonts w:asciiTheme="minorHAnsi" w:hAnsiTheme="minorHAnsi"/>
        </w:rPr>
        <w:footnoteReference w:id="17"/>
      </w:r>
      <w:r w:rsidRPr="00FD2F0C">
        <w:rPr>
          <w:rFonts w:asciiTheme="minorHAnsi" w:hAnsiTheme="minorHAnsi"/>
          <w:lang w:val="en-US"/>
        </w:rPr>
        <w:t xml:space="preserve"> WRC-19 will consider the use of frequency bands 17.7-19.7 GHz (space-to-Earth) and 27.5-29.5 GHz (Earth-to-space) by ESIMs communicating with geostationary space stations in the FSS.</w:t>
      </w:r>
    </w:p>
    <w:p w14:paraId="2E341860" w14:textId="77777777" w:rsidR="0010471A" w:rsidRPr="00FD2F0C" w:rsidRDefault="0010471A" w:rsidP="0010471A">
      <w:pPr>
        <w:rPr>
          <w:rFonts w:asciiTheme="minorHAnsi" w:hAnsiTheme="minorHAnsi"/>
          <w:lang w:val="en-US"/>
        </w:rPr>
      </w:pPr>
      <w:r w:rsidRPr="00FD2F0C">
        <w:rPr>
          <w:rFonts w:asciiTheme="minorHAnsi" w:hAnsiTheme="minorHAnsi"/>
          <w:lang w:val="en-US"/>
        </w:rPr>
        <w:t>Outside the CEPT, the national regulatory framework for domestic ESIMs varies greatly from administration to administration, and there is currently a lack of harmonised regulations at regional level. Some administrations authorize class/blanket licenses covering the entire family of terminals, while other administrations require individual terminal-by-terminal licenses. In administrations where the authorisation process is not entirely defined, uncertainty is created for the satellite operators, the local and multinational service providers and, ultimately, the potential end users.</w:t>
      </w:r>
    </w:p>
    <w:p w14:paraId="22A26D05" w14:textId="799AE830" w:rsidR="0010471A" w:rsidRPr="00FD2F0C" w:rsidRDefault="0010471A" w:rsidP="0010471A">
      <w:pPr>
        <w:rPr>
          <w:rFonts w:asciiTheme="minorHAnsi" w:hAnsiTheme="minorHAnsi"/>
          <w:lang w:val="en-US"/>
        </w:rPr>
      </w:pPr>
      <w:r w:rsidRPr="00FD2F0C" w:rsidDel="00AE530E">
        <w:rPr>
          <w:rFonts w:asciiTheme="minorHAnsi" w:hAnsiTheme="minorHAnsi"/>
          <w:lang w:val="en-US"/>
        </w:rPr>
        <w:t>Resolution 156 (WRC-15)</w:t>
      </w:r>
      <w:r w:rsidRPr="00FD2F0C">
        <w:rPr>
          <w:rFonts w:asciiTheme="minorHAnsi" w:hAnsiTheme="minorHAnsi"/>
          <w:lang w:val="en-US"/>
        </w:rPr>
        <w:t xml:space="preserve"> provides the conditions under which ESIMs may be operated in the frequency bands 19.7-20.2 GHz (space-to-Earth) and 29.5-30.0 GHz (Earth-to-space). This</w:t>
      </w:r>
      <w:r w:rsidRPr="00FD2F0C" w:rsidDel="00AE530E">
        <w:rPr>
          <w:rFonts w:asciiTheme="minorHAnsi" w:hAnsiTheme="minorHAnsi"/>
          <w:lang w:val="en-US"/>
        </w:rPr>
        <w:t xml:space="preserve"> may lead to an increase in the growth of ESIM deployments in both developed and developing administrations. A consequence is that spectrum managers should not only consider the development and adoption of national regulatory frameworks for ESIM licensing and authorization, but also if and how to approach matters of regional harmonization. Options for spectrum managers are to consider: (1) Type-approved mark; (2) Harmonised regional regulatory framework; (3) National-level exemptions; (4) National-level “blanket” licenses; and (5) Spectrum authorization.</w:t>
      </w:r>
    </w:p>
    <w:p w14:paraId="26FB923B" w14:textId="62B187D8" w:rsidR="00012F1F" w:rsidRPr="00FD2F0C" w:rsidRDefault="00D703E3" w:rsidP="007B525E">
      <w:pPr>
        <w:pStyle w:val="Heading4"/>
        <w:numPr>
          <w:ilvl w:val="0"/>
          <w:numId w:val="0"/>
        </w:numPr>
        <w:ind w:left="864" w:hanging="864"/>
        <w:rPr>
          <w:rFonts w:asciiTheme="minorHAnsi" w:hAnsiTheme="minorHAnsi"/>
        </w:rPr>
      </w:pPr>
      <w:r w:rsidRPr="00FD2F0C">
        <w:rPr>
          <w:rFonts w:asciiTheme="minorHAnsi" w:hAnsiTheme="minorHAnsi"/>
        </w:rPr>
        <w:t>1.2</w:t>
      </w:r>
      <w:r w:rsidR="008255A6" w:rsidRPr="00FD2F0C">
        <w:rPr>
          <w:rFonts w:asciiTheme="minorHAnsi" w:hAnsiTheme="minorHAnsi"/>
        </w:rPr>
        <w:t>.4</w:t>
      </w:r>
      <w:r w:rsidR="00012F1F" w:rsidRPr="00FD2F0C">
        <w:rPr>
          <w:rFonts w:asciiTheme="minorHAnsi" w:hAnsiTheme="minorHAnsi"/>
        </w:rPr>
        <w:t>.3</w:t>
      </w:r>
      <w:r w:rsidR="00012F1F" w:rsidRPr="00FD2F0C">
        <w:rPr>
          <w:rFonts w:asciiTheme="minorHAnsi" w:hAnsiTheme="minorHAnsi"/>
        </w:rPr>
        <w:tab/>
        <w:t>Non-</w:t>
      </w:r>
      <w:r w:rsidR="00BC4CB9" w:rsidRPr="00FD2F0C">
        <w:rPr>
          <w:rFonts w:asciiTheme="minorHAnsi" w:hAnsiTheme="minorHAnsi"/>
        </w:rPr>
        <w:t xml:space="preserve">GSO </w:t>
      </w:r>
      <w:r w:rsidR="00012F1F" w:rsidRPr="00FD2F0C">
        <w:rPr>
          <w:rFonts w:asciiTheme="minorHAnsi" w:hAnsiTheme="minorHAnsi"/>
        </w:rPr>
        <w:t>systems</w:t>
      </w:r>
    </w:p>
    <w:p w14:paraId="1C25A6E5" w14:textId="789BF717" w:rsidR="00012F1F" w:rsidRPr="00FD2F0C" w:rsidRDefault="00012F1F" w:rsidP="005F13D6">
      <w:pPr>
        <w:rPr>
          <w:rFonts w:asciiTheme="minorHAnsi" w:hAnsiTheme="minorHAnsi"/>
          <w:lang w:val="en-US"/>
        </w:rPr>
      </w:pPr>
      <w:r w:rsidRPr="00FD2F0C">
        <w:rPr>
          <w:rFonts w:asciiTheme="minorHAnsi" w:hAnsiTheme="minorHAnsi"/>
          <w:lang w:val="en-US"/>
        </w:rPr>
        <w:t xml:space="preserve">Due to their orbital characteristics, non-geostationary satellite systems </w:t>
      </w:r>
      <w:r w:rsidR="00BC4CB9" w:rsidRPr="00FD2F0C">
        <w:rPr>
          <w:rFonts w:asciiTheme="minorHAnsi" w:hAnsiTheme="minorHAnsi"/>
          <w:lang w:val="en-US"/>
        </w:rPr>
        <w:t xml:space="preserve">(non-GSO) </w:t>
      </w:r>
      <w:r w:rsidRPr="00FD2F0C">
        <w:rPr>
          <w:rFonts w:asciiTheme="minorHAnsi" w:hAnsiTheme="minorHAnsi"/>
          <w:lang w:val="en-US"/>
        </w:rPr>
        <w:t xml:space="preserve">in the </w:t>
      </w:r>
      <w:r w:rsidR="005F13D6" w:rsidRPr="00FD2F0C">
        <w:rPr>
          <w:rFonts w:asciiTheme="minorHAnsi" w:hAnsiTheme="minorHAnsi"/>
          <w:lang w:val="en-US"/>
        </w:rPr>
        <w:t>f</w:t>
      </w:r>
      <w:r w:rsidRPr="00FD2F0C">
        <w:rPr>
          <w:rFonts w:asciiTheme="minorHAnsi" w:hAnsiTheme="minorHAnsi"/>
          <w:lang w:val="en-US"/>
        </w:rPr>
        <w:t xml:space="preserve">ixed-satellite service (NGSO-FSS) may provide broadband connectivity to any area of the world, with a much shorter propagation delay that geostationary satellite systems in the </w:t>
      </w:r>
      <w:r w:rsidR="005F13D6" w:rsidRPr="00FD2F0C">
        <w:rPr>
          <w:rFonts w:asciiTheme="minorHAnsi" w:hAnsiTheme="minorHAnsi"/>
          <w:lang w:val="en-US"/>
        </w:rPr>
        <w:t>f</w:t>
      </w:r>
      <w:r w:rsidRPr="00FD2F0C">
        <w:rPr>
          <w:rFonts w:asciiTheme="minorHAnsi" w:hAnsiTheme="minorHAnsi"/>
          <w:lang w:val="en-US"/>
        </w:rPr>
        <w:t>ixed-satellite service (GSO FSS).</w:t>
      </w:r>
    </w:p>
    <w:p w14:paraId="6B806147" w14:textId="027E5133" w:rsidR="00012F1F" w:rsidRPr="00FD2F0C" w:rsidRDefault="00012F1F" w:rsidP="00012F1F">
      <w:pPr>
        <w:rPr>
          <w:rFonts w:asciiTheme="minorHAnsi" w:hAnsiTheme="minorHAnsi"/>
          <w:lang w:val="en-US"/>
        </w:rPr>
      </w:pPr>
      <w:r w:rsidRPr="00FD2F0C">
        <w:rPr>
          <w:rFonts w:asciiTheme="minorHAnsi" w:hAnsiTheme="minorHAnsi"/>
          <w:lang w:val="en-US"/>
        </w:rPr>
        <w:t xml:space="preserve">Several </w:t>
      </w:r>
      <w:r w:rsidR="009B4690" w:rsidRPr="00FD2F0C">
        <w:rPr>
          <w:rFonts w:asciiTheme="minorHAnsi" w:hAnsiTheme="minorHAnsi"/>
          <w:lang w:val="en-US"/>
        </w:rPr>
        <w:t>non-</w:t>
      </w:r>
      <w:r w:rsidRPr="00FD2F0C">
        <w:rPr>
          <w:rFonts w:asciiTheme="minorHAnsi" w:hAnsiTheme="minorHAnsi"/>
          <w:lang w:val="en-US"/>
        </w:rPr>
        <w:t xml:space="preserve">GSO FSS systems were at the state of projects in the 1995-2003 timeframe, which led ITU World Radiocommunication conferences in that period to open to </w:t>
      </w:r>
      <w:r w:rsidR="009B4690" w:rsidRPr="00FD2F0C">
        <w:rPr>
          <w:rFonts w:asciiTheme="minorHAnsi" w:hAnsiTheme="minorHAnsi"/>
          <w:lang w:val="en-US"/>
        </w:rPr>
        <w:t xml:space="preserve"> non-</w:t>
      </w:r>
      <w:r w:rsidRPr="00FD2F0C">
        <w:rPr>
          <w:rFonts w:asciiTheme="minorHAnsi" w:hAnsiTheme="minorHAnsi"/>
          <w:lang w:val="en-US"/>
        </w:rPr>
        <w:t>GSO FSS various frequency bands already allocated to the FSS, on a shared basis with GSO FSS systems and terrestrial services, for a total of 8.6 GHz in the following frequency bands: in the space-to-Earth direction: 3.4-4.2 GHz, 10.7-12.7 GHz, 17.8-18.6 GHz and 19.7-20.2 in all Regions, and 12.5-12.75 GHz in Regions 1 and 3; in the Earth-to-space direction:  5 925-6 925 MHz, 12.5-13.25 GHz, 13.75-14.25 GHz, 17.8-18.1 GHz, 27.5-28.6 GHz and 29.5-30 GHz in all Regions and 17.3-17.8 GHz in Regions 1 and 3.</w:t>
      </w:r>
    </w:p>
    <w:p w14:paraId="3720C293" w14:textId="42FDC2AE" w:rsidR="00012F1F" w:rsidRPr="00FD2F0C" w:rsidRDefault="00012F1F" w:rsidP="00012F1F">
      <w:pPr>
        <w:rPr>
          <w:rFonts w:asciiTheme="minorHAnsi" w:hAnsiTheme="minorHAnsi"/>
          <w:lang w:val="en-US"/>
        </w:rPr>
      </w:pPr>
      <w:r w:rsidRPr="00FD2F0C">
        <w:rPr>
          <w:rFonts w:asciiTheme="minorHAnsi" w:hAnsiTheme="minorHAnsi"/>
          <w:lang w:val="en-US"/>
        </w:rPr>
        <w:t xml:space="preserve">The sharing conditions imposed to </w:t>
      </w:r>
      <w:r w:rsidR="009B4690" w:rsidRPr="00FD2F0C">
        <w:rPr>
          <w:rFonts w:asciiTheme="minorHAnsi" w:hAnsiTheme="minorHAnsi"/>
          <w:lang w:val="en-US"/>
        </w:rPr>
        <w:t>non-</w:t>
      </w:r>
      <w:r w:rsidRPr="00FD2F0C">
        <w:rPr>
          <w:rFonts w:asciiTheme="minorHAnsi" w:hAnsiTheme="minorHAnsi"/>
          <w:lang w:val="en-US"/>
        </w:rPr>
        <w:t>GSO FSS systems are:</w:t>
      </w:r>
    </w:p>
    <w:p w14:paraId="7ED55CE3" w14:textId="1C226D0D" w:rsidR="00012F1F" w:rsidRPr="00FD2F0C" w:rsidRDefault="00012F1F" w:rsidP="00012F1F">
      <w:pPr>
        <w:ind w:left="708"/>
        <w:rPr>
          <w:rFonts w:asciiTheme="minorHAnsi" w:hAnsiTheme="minorHAnsi"/>
          <w:lang w:val="en-US"/>
        </w:rPr>
      </w:pPr>
      <w:r w:rsidRPr="00FD2F0C">
        <w:rPr>
          <w:rFonts w:asciiTheme="minorHAnsi" w:hAnsiTheme="minorHAnsi"/>
          <w:lang w:val="en-US"/>
        </w:rPr>
        <w:t xml:space="preserve">- power flux density limits (pfd), specified in Article 21 of the Radio Regulations, to protect terrestrial services from interference caused by </w:t>
      </w:r>
      <w:r w:rsidR="009B4690" w:rsidRPr="00FD2F0C">
        <w:rPr>
          <w:rFonts w:asciiTheme="minorHAnsi" w:hAnsiTheme="minorHAnsi"/>
          <w:lang w:val="en-US"/>
        </w:rPr>
        <w:t>non-</w:t>
      </w:r>
      <w:r w:rsidRPr="00FD2F0C">
        <w:rPr>
          <w:rFonts w:asciiTheme="minorHAnsi" w:hAnsiTheme="minorHAnsi"/>
          <w:lang w:val="en-US"/>
        </w:rPr>
        <w:t>GSO FSS space stations,</w:t>
      </w:r>
    </w:p>
    <w:p w14:paraId="5A596859" w14:textId="77777777" w:rsidR="00012F1F" w:rsidRPr="00FD2F0C" w:rsidRDefault="00012F1F" w:rsidP="00012F1F">
      <w:pPr>
        <w:ind w:left="708"/>
        <w:rPr>
          <w:rFonts w:asciiTheme="minorHAnsi" w:hAnsiTheme="minorHAnsi"/>
          <w:lang w:val="en-US"/>
        </w:rPr>
      </w:pPr>
      <w:r w:rsidRPr="00FD2F0C">
        <w:rPr>
          <w:rFonts w:asciiTheme="minorHAnsi" w:hAnsiTheme="minorHAnsi"/>
          <w:lang w:val="en-US"/>
        </w:rPr>
        <w:lastRenderedPageBreak/>
        <w:t>- equivalent power flux density limits (epfd), specified in Article 22 of the Radio Regulations in order to protect GSO FSS in both the space-to-Earth and Earth-to-space directions, as well as GSO systems in the Broadcasting-satellite service.</w:t>
      </w:r>
    </w:p>
    <w:p w14:paraId="33051026" w14:textId="6FBE3C0C" w:rsidR="00012F1F" w:rsidRPr="00FD2F0C" w:rsidRDefault="00012F1F" w:rsidP="00012F1F">
      <w:pPr>
        <w:ind w:left="708"/>
        <w:rPr>
          <w:rFonts w:asciiTheme="minorHAnsi" w:hAnsiTheme="minorHAnsi"/>
          <w:lang w:val="en-US"/>
        </w:rPr>
      </w:pPr>
      <w:r w:rsidRPr="00FD2F0C">
        <w:rPr>
          <w:rFonts w:asciiTheme="minorHAnsi" w:hAnsiTheme="minorHAnsi"/>
          <w:lang w:val="en-US"/>
        </w:rPr>
        <w:t xml:space="preserve">- coordination of </w:t>
      </w:r>
      <w:r w:rsidR="009B4690" w:rsidRPr="00FD2F0C">
        <w:rPr>
          <w:rFonts w:asciiTheme="minorHAnsi" w:hAnsiTheme="minorHAnsi"/>
          <w:lang w:val="en-US"/>
        </w:rPr>
        <w:t>non-</w:t>
      </w:r>
      <w:r w:rsidRPr="00FD2F0C">
        <w:rPr>
          <w:rFonts w:asciiTheme="minorHAnsi" w:hAnsiTheme="minorHAnsi"/>
          <w:lang w:val="en-US"/>
        </w:rPr>
        <w:t>GSO FSS earth stations with terrestrial services, on a first-come-first-served basis, as in the case of GSO FSS, as specified in Article 9 of the Radio Regulations.</w:t>
      </w:r>
    </w:p>
    <w:p w14:paraId="64495845" w14:textId="70129EA1" w:rsidR="00012F1F" w:rsidRPr="00FD2F0C" w:rsidRDefault="00012F1F" w:rsidP="00012F1F">
      <w:pPr>
        <w:rPr>
          <w:rFonts w:asciiTheme="minorHAnsi" w:hAnsiTheme="minorHAnsi"/>
          <w:lang w:val="en-US"/>
        </w:rPr>
      </w:pPr>
      <w:r w:rsidRPr="00FD2F0C">
        <w:rPr>
          <w:rFonts w:asciiTheme="minorHAnsi" w:hAnsiTheme="minorHAnsi"/>
          <w:lang w:val="en-US"/>
        </w:rPr>
        <w:t xml:space="preserve">Recent progress in space technologies have enabled several new projects to emerge in the last two years, which include several hundreds to several thousands of </w:t>
      </w:r>
      <w:r w:rsidR="009B4690" w:rsidRPr="00FD2F0C">
        <w:rPr>
          <w:rFonts w:asciiTheme="minorHAnsi" w:hAnsiTheme="minorHAnsi"/>
          <w:lang w:val="en-US"/>
        </w:rPr>
        <w:t>non-</w:t>
      </w:r>
      <w:r w:rsidRPr="00FD2F0C">
        <w:rPr>
          <w:rFonts w:asciiTheme="minorHAnsi" w:hAnsiTheme="minorHAnsi"/>
          <w:lang w:val="en-US"/>
        </w:rPr>
        <w:t>GSO FSS satellites. The proponents of these projects have committed that the above limits will be complied with and the ITU Radiocommunication Bureau is in the process of verifying this compliance, as foreseen by Articles 21 and 22. The first deployments of these systems are foreseen in 2018, with full commercial service from 2020. They are intended to provide backhaul for broadband mobile and fixed connections.</w:t>
      </w:r>
    </w:p>
    <w:p w14:paraId="6CCC406E" w14:textId="77777777" w:rsidR="00012F1F" w:rsidRPr="00FD2F0C" w:rsidRDefault="00012F1F" w:rsidP="00012F1F">
      <w:pPr>
        <w:snapToGrid w:val="0"/>
        <w:rPr>
          <w:rFonts w:asciiTheme="minorHAnsi" w:hAnsiTheme="minorHAnsi"/>
          <w:lang w:val="en-US"/>
        </w:rPr>
      </w:pPr>
      <w:r w:rsidRPr="00FD2F0C">
        <w:rPr>
          <w:rFonts w:asciiTheme="minorHAnsi" w:hAnsiTheme="minorHAnsi"/>
          <w:lang w:val="en-US"/>
        </w:rPr>
        <w:t xml:space="preserve">WRC-19 will consider the regulatory framework for non-GSO FSS satellite systems to operate in additional frequency bands, totaling 9 GHz of spectrum: 37.5-39.5 GHz (space-to-Earth), 39.5-42.5 GHz (space-to-Earth), 47.2-50.2 GHz (Earth-to-space) and 50.4-51.4 GHz (Earth-to-space).  </w:t>
      </w:r>
    </w:p>
    <w:p w14:paraId="4BC9D4B3" w14:textId="77777777" w:rsidR="00012F1F" w:rsidRPr="00FD2F0C" w:rsidRDefault="00012F1F" w:rsidP="00C83120">
      <w:pPr>
        <w:rPr>
          <w:rFonts w:asciiTheme="minorHAnsi" w:hAnsiTheme="minorHAnsi"/>
          <w:lang w:val="en-GB"/>
        </w:rPr>
      </w:pPr>
      <w:r w:rsidRPr="00FD2F0C">
        <w:rPr>
          <w:rFonts w:asciiTheme="minorHAnsi" w:hAnsiTheme="minorHAnsi"/>
          <w:lang w:val="en-GB"/>
        </w:rPr>
        <w:t>In view of the above discussion, in the development of their applicable national regulatory frameworks, spectrum managers may wish to take into consideration the role that current and future geostationary and non-geostationary satellite systems could play in complementing other telecommunications systems to provide broadband connectivity and helping to bridge the digital divide.</w:t>
      </w:r>
    </w:p>
    <w:p w14:paraId="1E367954" w14:textId="1792F6B6" w:rsidR="001627F3" w:rsidRPr="00FD2F0C" w:rsidRDefault="00D703E3" w:rsidP="0088752B">
      <w:pPr>
        <w:pStyle w:val="Heading2"/>
        <w:numPr>
          <w:ilvl w:val="0"/>
          <w:numId w:val="0"/>
        </w:numPr>
        <w:rPr>
          <w:rFonts w:asciiTheme="minorHAnsi" w:hAnsiTheme="minorHAnsi"/>
        </w:rPr>
      </w:pPr>
      <w:bookmarkStart w:id="36" w:name="_Toc485647974"/>
      <w:r w:rsidRPr="00FD2F0C">
        <w:rPr>
          <w:rFonts w:asciiTheme="minorHAnsi" w:hAnsiTheme="minorHAnsi"/>
        </w:rPr>
        <w:t>1.3</w:t>
      </w:r>
      <w:r w:rsidR="001627F3" w:rsidRPr="00FD2F0C">
        <w:rPr>
          <w:rFonts w:asciiTheme="minorHAnsi" w:hAnsiTheme="minorHAnsi"/>
        </w:rPr>
        <w:tab/>
      </w:r>
      <w:r w:rsidR="009B623B" w:rsidRPr="00FD2F0C">
        <w:rPr>
          <w:rFonts w:asciiTheme="minorHAnsi" w:hAnsiTheme="minorHAnsi"/>
        </w:rPr>
        <w:t>S</w:t>
      </w:r>
      <w:r w:rsidR="001627F3" w:rsidRPr="00FD2F0C">
        <w:rPr>
          <w:rFonts w:asciiTheme="minorHAnsi" w:hAnsiTheme="minorHAnsi"/>
        </w:rPr>
        <w:t>pectrum management under the licensed approach</w:t>
      </w:r>
      <w:bookmarkEnd w:id="36"/>
    </w:p>
    <w:p w14:paraId="2AD943CA" w14:textId="717434D0" w:rsidR="00B62368" w:rsidRPr="00FD2F0C" w:rsidRDefault="00B62368" w:rsidP="00105D9A">
      <w:pPr>
        <w:tabs>
          <w:tab w:val="left" w:pos="0"/>
        </w:tabs>
        <w:spacing w:afterLines="50" w:after="120"/>
        <w:rPr>
          <w:rFonts w:asciiTheme="minorHAnsi" w:hAnsiTheme="minorHAnsi"/>
          <w:lang w:val="en-GB" w:eastAsia="zh-CN"/>
        </w:rPr>
      </w:pPr>
      <w:r w:rsidRPr="00FD2F0C">
        <w:rPr>
          <w:rFonts w:asciiTheme="minorHAnsi" w:hAnsiTheme="minorHAnsi"/>
          <w:lang w:val="en-GB" w:eastAsia="zh-CN"/>
        </w:rPr>
        <w:t>From a regulatory perspective, a “</w:t>
      </w:r>
      <w:r w:rsidR="003B3320" w:rsidRPr="00FD2F0C">
        <w:rPr>
          <w:rFonts w:asciiTheme="minorHAnsi" w:hAnsiTheme="minorHAnsi"/>
          <w:lang w:val="en-GB" w:eastAsia="zh-CN"/>
        </w:rPr>
        <w:t>license</w:t>
      </w:r>
      <w:r w:rsidRPr="00FD2F0C">
        <w:rPr>
          <w:rFonts w:asciiTheme="minorHAnsi" w:hAnsiTheme="minorHAnsi"/>
          <w:lang w:val="en-GB" w:eastAsia="zh-CN"/>
        </w:rPr>
        <w:t xml:space="preserve">” </w:t>
      </w:r>
      <w:r w:rsidR="00105D9A" w:rsidRPr="00FD2F0C">
        <w:rPr>
          <w:rFonts w:asciiTheme="minorHAnsi" w:hAnsiTheme="minorHAnsi"/>
          <w:lang w:val="en-GB" w:eastAsia="zh-CN"/>
        </w:rPr>
        <w:t xml:space="preserve">may be given </w:t>
      </w:r>
      <w:r w:rsidRPr="00FD2F0C">
        <w:rPr>
          <w:rFonts w:asciiTheme="minorHAnsi" w:hAnsiTheme="minorHAnsi"/>
          <w:lang w:val="en-GB" w:eastAsia="zh-CN"/>
        </w:rPr>
        <w:t xml:space="preserve">to an operator </w:t>
      </w:r>
      <w:r w:rsidR="00105D9A" w:rsidRPr="00FD2F0C">
        <w:rPr>
          <w:rFonts w:asciiTheme="minorHAnsi" w:hAnsiTheme="minorHAnsi"/>
          <w:lang w:val="en-GB" w:eastAsia="zh-CN"/>
        </w:rPr>
        <w:t xml:space="preserve">at particular location or for defined geographical area(s) (local, regional, or national), authorizing the operation of station(s) in this(ese) location or area(s). The </w:t>
      </w:r>
      <w:r w:rsidR="003B3320" w:rsidRPr="00FD2F0C">
        <w:rPr>
          <w:rFonts w:asciiTheme="minorHAnsi" w:hAnsiTheme="minorHAnsi"/>
          <w:lang w:val="en-GB" w:eastAsia="zh-CN"/>
        </w:rPr>
        <w:t>license</w:t>
      </w:r>
      <w:r w:rsidR="00105D9A" w:rsidRPr="00FD2F0C">
        <w:rPr>
          <w:rFonts w:asciiTheme="minorHAnsi" w:hAnsiTheme="minorHAnsi"/>
          <w:lang w:val="en-GB" w:eastAsia="zh-CN"/>
        </w:rPr>
        <w:t xml:space="preserve"> secures rights for the transmission of signals and for the protection of their reception from interference, for a specified period of time.</w:t>
      </w:r>
      <w:r w:rsidRPr="00FD2F0C">
        <w:rPr>
          <w:rFonts w:asciiTheme="minorHAnsi" w:hAnsiTheme="minorHAnsi"/>
          <w:lang w:val="en-GB" w:eastAsia="zh-CN"/>
        </w:rPr>
        <w:t xml:space="preserve"> </w:t>
      </w:r>
      <w:r w:rsidR="00105D9A" w:rsidRPr="00FD2F0C">
        <w:rPr>
          <w:rFonts w:asciiTheme="minorHAnsi" w:hAnsiTheme="minorHAnsi"/>
          <w:lang w:val="en-GB" w:eastAsia="zh-CN"/>
        </w:rPr>
        <w:t xml:space="preserve">This is </w:t>
      </w:r>
      <w:r w:rsidRPr="00FD2F0C">
        <w:rPr>
          <w:rFonts w:asciiTheme="minorHAnsi" w:hAnsiTheme="minorHAnsi"/>
          <w:lang w:val="en-GB" w:eastAsia="zh-CN"/>
        </w:rPr>
        <w:t>typically illustrated by mobile services from 2G systems to IMT systems deployed in bands below 3 GHz.</w:t>
      </w:r>
    </w:p>
    <w:p w14:paraId="6C0A5FAB" w14:textId="121AF099" w:rsidR="00B62368" w:rsidRPr="00FD2F0C" w:rsidRDefault="00B62368" w:rsidP="00B62368">
      <w:pPr>
        <w:tabs>
          <w:tab w:val="left" w:pos="0"/>
        </w:tabs>
        <w:spacing w:afterLines="50" w:after="120"/>
        <w:rPr>
          <w:rFonts w:asciiTheme="minorHAnsi" w:hAnsiTheme="minorHAnsi"/>
          <w:lang w:val="en-GB" w:eastAsia="zh-CN"/>
        </w:rPr>
      </w:pPr>
      <w:r w:rsidRPr="00FD2F0C">
        <w:rPr>
          <w:rFonts w:asciiTheme="minorHAnsi" w:hAnsiTheme="minorHAnsi"/>
          <w:lang w:val="en-GB" w:eastAsia="zh-CN"/>
        </w:rPr>
        <w:t>A “</w:t>
      </w:r>
      <w:r w:rsidR="003B3320" w:rsidRPr="00FD2F0C">
        <w:rPr>
          <w:rFonts w:asciiTheme="minorHAnsi" w:hAnsiTheme="minorHAnsi"/>
          <w:lang w:val="en-GB" w:eastAsia="zh-CN"/>
        </w:rPr>
        <w:t>license</w:t>
      </w:r>
      <w:r w:rsidRPr="00FD2F0C">
        <w:rPr>
          <w:rFonts w:asciiTheme="minorHAnsi" w:hAnsiTheme="minorHAnsi"/>
          <w:lang w:val="en-GB" w:eastAsia="zh-CN"/>
        </w:rPr>
        <w:t>” includes rights and obligation</w:t>
      </w:r>
      <w:r w:rsidR="00C71E8B" w:rsidRPr="00FD2F0C">
        <w:rPr>
          <w:rFonts w:asciiTheme="minorHAnsi" w:hAnsiTheme="minorHAnsi"/>
          <w:lang w:val="en-GB" w:eastAsia="zh-CN"/>
        </w:rPr>
        <w:t>s</w:t>
      </w:r>
      <w:r w:rsidRPr="00FD2F0C">
        <w:rPr>
          <w:rFonts w:asciiTheme="minorHAnsi" w:hAnsiTheme="minorHAnsi"/>
          <w:lang w:val="en-GB" w:eastAsia="zh-CN"/>
        </w:rPr>
        <w:t xml:space="preserve"> for the licensee. For example, authorisations delivered to mobile operators may include obligations to meet public policy objectives, in particular coverage obligations (e.g. mobile broadband service for indoor reception delivered to a minimum percentage of the population in a country).</w:t>
      </w:r>
    </w:p>
    <w:p w14:paraId="6505014E" w14:textId="037CED67" w:rsidR="00B62368" w:rsidRPr="00FD2F0C" w:rsidRDefault="00B62368" w:rsidP="0045210D">
      <w:pPr>
        <w:tabs>
          <w:tab w:val="left" w:pos="0"/>
        </w:tabs>
        <w:spacing w:afterLines="50" w:after="120"/>
        <w:rPr>
          <w:rFonts w:asciiTheme="minorHAnsi" w:hAnsiTheme="minorHAnsi"/>
          <w:lang w:val="en-GB" w:eastAsia="zh-CN"/>
        </w:rPr>
      </w:pPr>
      <w:r w:rsidRPr="00FD2F0C">
        <w:rPr>
          <w:rFonts w:asciiTheme="minorHAnsi" w:hAnsiTheme="minorHAnsi"/>
          <w:lang w:val="en-GB" w:eastAsia="zh-CN"/>
        </w:rPr>
        <w:t xml:space="preserve">Licenses should as far as possible be “technology neutral”. Frequency assignment coordination enables to optimise the use of spectrum between several licensees. </w:t>
      </w:r>
      <w:r w:rsidR="00190A5F" w:rsidRPr="00FD2F0C">
        <w:rPr>
          <w:rFonts w:asciiTheme="minorHAnsi" w:hAnsiTheme="minorHAnsi"/>
          <w:lang w:val="en-GB" w:eastAsia="zh-CN"/>
        </w:rPr>
        <w:t xml:space="preserve">It also enables spectrum sharing between different licensed services (e.g. radio relays and earth stations). </w:t>
      </w:r>
    </w:p>
    <w:p w14:paraId="5B01A58D" w14:textId="4F9D2B63" w:rsidR="007654F2" w:rsidRPr="00FD2F0C" w:rsidRDefault="00D703E3" w:rsidP="00B9358E">
      <w:pPr>
        <w:pStyle w:val="Heading3"/>
        <w:numPr>
          <w:ilvl w:val="0"/>
          <w:numId w:val="0"/>
        </w:numPr>
        <w:ind w:left="720" w:hanging="720"/>
        <w:rPr>
          <w:rFonts w:asciiTheme="minorHAnsi" w:hAnsiTheme="minorHAnsi"/>
          <w:lang w:eastAsia="zh-CN"/>
        </w:rPr>
      </w:pPr>
      <w:bookmarkStart w:id="37" w:name="_Toc485647975"/>
      <w:r w:rsidRPr="00FD2F0C">
        <w:rPr>
          <w:rFonts w:asciiTheme="minorHAnsi" w:hAnsiTheme="minorHAnsi"/>
          <w:lang w:eastAsia="zh-CN"/>
        </w:rPr>
        <w:t>1.3</w:t>
      </w:r>
      <w:r w:rsidR="007654F2" w:rsidRPr="00FD2F0C">
        <w:rPr>
          <w:rFonts w:asciiTheme="minorHAnsi" w:hAnsiTheme="minorHAnsi"/>
          <w:lang w:eastAsia="zh-CN"/>
        </w:rPr>
        <w:t>.1</w:t>
      </w:r>
      <w:r w:rsidR="007654F2" w:rsidRPr="00FD2F0C">
        <w:rPr>
          <w:rFonts w:asciiTheme="minorHAnsi" w:hAnsiTheme="minorHAnsi"/>
          <w:lang w:eastAsia="zh-CN"/>
        </w:rPr>
        <w:tab/>
        <w:t xml:space="preserve">Spectrum management for </w:t>
      </w:r>
      <w:r w:rsidR="00B9358E" w:rsidRPr="00FD2F0C">
        <w:rPr>
          <w:rFonts w:asciiTheme="minorHAnsi" w:hAnsiTheme="minorHAnsi"/>
          <w:lang w:eastAsia="zh-CN"/>
        </w:rPr>
        <w:t xml:space="preserve">mobile </w:t>
      </w:r>
      <w:r w:rsidR="007654F2" w:rsidRPr="00FD2F0C">
        <w:rPr>
          <w:rFonts w:asciiTheme="minorHAnsi" w:hAnsiTheme="minorHAnsi"/>
          <w:lang w:eastAsia="zh-CN"/>
        </w:rPr>
        <w:t>broadband</w:t>
      </w:r>
      <w:bookmarkEnd w:id="37"/>
    </w:p>
    <w:p w14:paraId="62FA4A8E" w14:textId="4F29D809" w:rsidR="00E868E2" w:rsidRPr="00FD2F0C" w:rsidRDefault="00E868E2" w:rsidP="00190A5F">
      <w:pPr>
        <w:tabs>
          <w:tab w:val="left" w:pos="0"/>
        </w:tabs>
        <w:spacing w:afterLines="50" w:after="120"/>
        <w:rPr>
          <w:rFonts w:asciiTheme="minorHAnsi" w:hAnsiTheme="minorHAnsi"/>
          <w:lang w:val="en-GB" w:eastAsia="zh-CN"/>
        </w:rPr>
      </w:pPr>
      <w:r w:rsidRPr="00FD2F0C">
        <w:rPr>
          <w:rFonts w:asciiTheme="minorHAnsi" w:hAnsiTheme="minorHAnsi"/>
          <w:lang w:val="en-GB" w:eastAsia="zh-CN"/>
        </w:rPr>
        <w:t>For 30 years, the cellular mobile development has been a major revolution of our societies. This development has taken place under a licensed approach. From 2000, the development of mobile broadband has relied on 3G and, since 2007, on 4G, on the basis of IMT-2000 specifications, followed by IMT-Advanced from 2012. 5G is now being developed on the basis of IMT-2020 specifications, which are expected to be approved by 2020, with large scale commercial deployment of 5G networks starting at that time.</w:t>
      </w:r>
    </w:p>
    <w:p w14:paraId="6938F20E" w14:textId="58C356BF" w:rsidR="007654F2" w:rsidRPr="00FD2F0C" w:rsidRDefault="007654F2" w:rsidP="007654F2">
      <w:pPr>
        <w:rPr>
          <w:rFonts w:asciiTheme="minorHAnsi" w:hAnsiTheme="minorHAnsi"/>
          <w:szCs w:val="24"/>
          <w:lang w:val="en-GB"/>
        </w:rPr>
      </w:pPr>
      <w:r w:rsidRPr="00FD2F0C">
        <w:rPr>
          <w:rFonts w:asciiTheme="minorHAnsi" w:hAnsiTheme="minorHAnsi"/>
          <w:szCs w:val="24"/>
          <w:lang w:val="en-GB"/>
        </w:rPr>
        <w:t xml:space="preserve">There are currently: </w:t>
      </w:r>
    </w:p>
    <w:p w14:paraId="48AAE923" w14:textId="77777777" w:rsidR="007654F2" w:rsidRPr="00FD2F0C" w:rsidRDefault="007654F2" w:rsidP="00081C72">
      <w:pPr>
        <w:pStyle w:val="ListParagraph"/>
        <w:numPr>
          <w:ilvl w:val="0"/>
          <w:numId w:val="17"/>
        </w:numPr>
        <w:autoSpaceDE w:val="0"/>
        <w:autoSpaceDN w:val="0"/>
        <w:rPr>
          <w:rFonts w:asciiTheme="minorHAnsi" w:hAnsiTheme="minorHAnsi"/>
          <w:szCs w:val="24"/>
          <w:lang w:val="en-GB"/>
        </w:rPr>
      </w:pPr>
      <w:r w:rsidRPr="00FD2F0C">
        <w:rPr>
          <w:rFonts w:asciiTheme="minorHAnsi" w:hAnsiTheme="minorHAnsi"/>
          <w:szCs w:val="24"/>
          <w:lang w:val="en-GB"/>
        </w:rPr>
        <w:t xml:space="preserve">591 commercially launched LTE networks in 189 countries. Of these, 195 networks in 95 countries employ LTE-Advanced technology. Over 4 in 5 commercially launched LTE </w:t>
      </w:r>
      <w:r w:rsidRPr="00FD2F0C">
        <w:rPr>
          <w:rFonts w:asciiTheme="minorHAnsi" w:hAnsiTheme="minorHAnsi"/>
          <w:szCs w:val="24"/>
          <w:lang w:val="en-GB"/>
        </w:rPr>
        <w:lastRenderedPageBreak/>
        <w:t>operators (81%) use 700 MHz, 800 MHz, 1800 MHz or 2600 MHz spectrum in their LTE networks.</w:t>
      </w:r>
      <w:r w:rsidRPr="00FD2F0C">
        <w:rPr>
          <w:rStyle w:val="FootnoteReference"/>
          <w:rFonts w:asciiTheme="minorHAnsi" w:hAnsiTheme="minorHAnsi"/>
          <w:szCs w:val="24"/>
        </w:rPr>
        <w:footnoteReference w:id="18"/>
      </w:r>
    </w:p>
    <w:p w14:paraId="5FBECCB0" w14:textId="5B9646B6" w:rsidR="007654F2" w:rsidRPr="00FD2F0C" w:rsidRDefault="007654F2" w:rsidP="0088752B">
      <w:pPr>
        <w:pStyle w:val="ListParagraph"/>
        <w:numPr>
          <w:ilvl w:val="0"/>
          <w:numId w:val="17"/>
        </w:numPr>
        <w:rPr>
          <w:rFonts w:asciiTheme="minorHAnsi" w:hAnsiTheme="minorHAnsi"/>
          <w:szCs w:val="24"/>
          <w:lang w:val="en-GB"/>
        </w:rPr>
      </w:pPr>
      <w:r w:rsidRPr="00FD2F0C">
        <w:rPr>
          <w:rFonts w:asciiTheme="minorHAnsi" w:hAnsiTheme="minorHAnsi"/>
          <w:szCs w:val="24"/>
          <w:lang w:val="en-GB"/>
        </w:rPr>
        <w:t xml:space="preserve">At least 18 operators have now made public commitments to deployment of pre-standards ‘5G’ networks in 13 countries. Deployments are likely to employ existing IMT bands (e.g. 600 MHz, 700 MHz, 3.5 GHz and other refarmed IMT bands) as well as potential new IMT bands which will be considered at WRC-19 under </w:t>
      </w:r>
      <w:r w:rsidR="006C3637" w:rsidRPr="00FD2F0C">
        <w:rPr>
          <w:rFonts w:asciiTheme="minorHAnsi" w:hAnsiTheme="minorHAnsi"/>
          <w:szCs w:val="24"/>
          <w:lang w:val="en-GB"/>
        </w:rPr>
        <w:t>a</w:t>
      </w:r>
      <w:r w:rsidRPr="00FD2F0C">
        <w:rPr>
          <w:rFonts w:asciiTheme="minorHAnsi" w:hAnsiTheme="minorHAnsi"/>
          <w:szCs w:val="24"/>
          <w:lang w:val="en-GB"/>
        </w:rPr>
        <w:t>genda Item 1.13</w:t>
      </w:r>
      <w:r w:rsidR="006C3637" w:rsidRPr="00FD2F0C">
        <w:rPr>
          <w:rFonts w:asciiTheme="minorHAnsi" w:hAnsiTheme="minorHAnsi"/>
          <w:szCs w:val="24"/>
          <w:lang w:val="en-GB"/>
        </w:rPr>
        <w:t>.</w:t>
      </w:r>
    </w:p>
    <w:p w14:paraId="35BF6823" w14:textId="0303D66E" w:rsidR="007654F2" w:rsidRPr="00FD2F0C" w:rsidRDefault="007654F2" w:rsidP="00B9358E">
      <w:pPr>
        <w:rPr>
          <w:rFonts w:asciiTheme="minorHAnsi" w:hAnsiTheme="minorHAnsi"/>
          <w:lang w:val="en-GB"/>
        </w:rPr>
      </w:pPr>
      <w:r w:rsidRPr="00FD2F0C">
        <w:rPr>
          <w:rFonts w:asciiTheme="minorHAnsi" w:hAnsiTheme="minorHAnsi"/>
          <w:lang w:val="en-GB"/>
        </w:rPr>
        <w:t>The exclusive licensed approach provides certainty to operators – in terms of quality of service and guaranteed access to spectrum – which helps provide security for heavy investment in mobile networks. If operators had no guarantees of spectrum access, and were vulnerable to interference, then investments would be significantly riskier.</w:t>
      </w:r>
    </w:p>
    <w:p w14:paraId="0B0AC549" w14:textId="57C9ACE7" w:rsidR="007654F2" w:rsidRPr="00FD2F0C" w:rsidRDefault="007654F2" w:rsidP="007654F2">
      <w:pPr>
        <w:rPr>
          <w:rFonts w:asciiTheme="minorHAnsi" w:hAnsiTheme="minorHAnsi"/>
          <w:lang w:val="en-GB"/>
        </w:rPr>
      </w:pPr>
      <w:r w:rsidRPr="00FD2F0C">
        <w:rPr>
          <w:rFonts w:asciiTheme="minorHAnsi" w:hAnsiTheme="minorHAnsi"/>
          <w:lang w:val="en-GB"/>
        </w:rPr>
        <w:t>One trend in modern spectrum management is establishing a regulatory environment that provides long-term predictability for licensees to help incen</w:t>
      </w:r>
      <w:r w:rsidR="00B9358E" w:rsidRPr="00FD2F0C">
        <w:rPr>
          <w:rFonts w:asciiTheme="minorHAnsi" w:hAnsiTheme="minorHAnsi"/>
          <w:lang w:val="en-GB"/>
        </w:rPr>
        <w:t>t</w:t>
      </w:r>
      <w:r w:rsidRPr="00FD2F0C">
        <w:rPr>
          <w:rFonts w:asciiTheme="minorHAnsi" w:hAnsiTheme="minorHAnsi"/>
          <w:lang w:val="en-GB"/>
        </w:rPr>
        <w:t>ivise the large investment necessary for network roll out. This can be especially important to enable mobile broadband coverage in rural areas where the business case for service provision can be challenging due to sparse populations.</w:t>
      </w:r>
    </w:p>
    <w:p w14:paraId="373F2855" w14:textId="77777777" w:rsidR="007654F2" w:rsidRPr="00FD2F0C" w:rsidRDefault="007654F2" w:rsidP="007654F2">
      <w:pPr>
        <w:rPr>
          <w:rFonts w:asciiTheme="minorHAnsi" w:hAnsiTheme="minorHAnsi"/>
          <w:lang w:val="en-GB"/>
        </w:rPr>
      </w:pPr>
      <w:r w:rsidRPr="00FD2F0C">
        <w:rPr>
          <w:rFonts w:asciiTheme="minorHAnsi" w:hAnsiTheme="minorHAnsi"/>
          <w:lang w:val="en-GB"/>
        </w:rPr>
        <w:t>NRAs can help provide long-term predictability by consulting on and publishing a spectrum roadmap. This provides existing operators, and potential new entrants, with information about future spectrum availability so future deployment options can be considered. These roadmaps can form part of a national broadband plan which sets out future targets (e.g. for broadband adoption, speed, quality, reach and affordability), including timelines, and the policy and investment plans required to meet them.</w:t>
      </w:r>
    </w:p>
    <w:p w14:paraId="0CFB222B" w14:textId="7AEE04D4" w:rsidR="007654F2" w:rsidRPr="00FD2F0C" w:rsidRDefault="007654F2" w:rsidP="007654F2">
      <w:pPr>
        <w:rPr>
          <w:rFonts w:asciiTheme="minorHAnsi" w:hAnsiTheme="minorHAnsi"/>
          <w:lang w:val="en-GB"/>
        </w:rPr>
      </w:pPr>
      <w:r w:rsidRPr="00FD2F0C">
        <w:rPr>
          <w:rFonts w:asciiTheme="minorHAnsi" w:hAnsiTheme="minorHAnsi"/>
          <w:lang w:val="en-GB"/>
        </w:rPr>
        <w:t xml:space="preserve">Long-term predictability can also be supported through spectrum </w:t>
      </w:r>
      <w:r w:rsidR="003B3320" w:rsidRPr="00FD2F0C">
        <w:rPr>
          <w:rFonts w:asciiTheme="minorHAnsi" w:hAnsiTheme="minorHAnsi"/>
          <w:lang w:val="en-GB"/>
        </w:rPr>
        <w:t>license</w:t>
      </w:r>
      <w:r w:rsidRPr="00FD2F0C">
        <w:rPr>
          <w:rFonts w:asciiTheme="minorHAnsi" w:hAnsiTheme="minorHAnsi"/>
          <w:lang w:val="en-GB"/>
        </w:rPr>
        <w:t xml:space="preserve"> terms and conditions – especially through </w:t>
      </w:r>
      <w:r w:rsidR="003B3320" w:rsidRPr="00FD2F0C">
        <w:rPr>
          <w:rFonts w:asciiTheme="minorHAnsi" w:hAnsiTheme="minorHAnsi"/>
          <w:lang w:val="en-GB"/>
        </w:rPr>
        <w:t>license</w:t>
      </w:r>
      <w:r w:rsidRPr="00FD2F0C">
        <w:rPr>
          <w:rFonts w:asciiTheme="minorHAnsi" w:hAnsiTheme="minorHAnsi"/>
          <w:lang w:val="en-GB"/>
        </w:rPr>
        <w:t xml:space="preserve"> duration and renewal procedures. When </w:t>
      </w:r>
      <w:r w:rsidR="003B3320" w:rsidRPr="00FD2F0C">
        <w:rPr>
          <w:rFonts w:asciiTheme="minorHAnsi" w:hAnsiTheme="minorHAnsi"/>
          <w:lang w:val="en-GB"/>
        </w:rPr>
        <w:t>license</w:t>
      </w:r>
      <w:r w:rsidRPr="00FD2F0C">
        <w:rPr>
          <w:rFonts w:asciiTheme="minorHAnsi" w:hAnsiTheme="minorHAnsi"/>
          <w:lang w:val="en-GB"/>
        </w:rPr>
        <w:t xml:space="preserve">s are close to expiry and/or where there is uncertainty surrounding </w:t>
      </w:r>
      <w:r w:rsidR="003B3320" w:rsidRPr="00FD2F0C">
        <w:rPr>
          <w:rFonts w:asciiTheme="minorHAnsi" w:hAnsiTheme="minorHAnsi"/>
          <w:lang w:val="en-GB"/>
        </w:rPr>
        <w:t>license</w:t>
      </w:r>
      <w:r w:rsidRPr="00FD2F0C">
        <w:rPr>
          <w:rFonts w:asciiTheme="minorHAnsi" w:hAnsiTheme="minorHAnsi"/>
          <w:lang w:val="en-GB"/>
        </w:rPr>
        <w:t xml:space="preserve"> renewal, mobile operators may be less likely to invest in networks, which in turn may impact the cost and reach of services. As such, NRAs may consider longer </w:t>
      </w:r>
      <w:r w:rsidR="003B3320" w:rsidRPr="00FD2F0C">
        <w:rPr>
          <w:rFonts w:asciiTheme="minorHAnsi" w:hAnsiTheme="minorHAnsi"/>
          <w:lang w:val="en-GB"/>
        </w:rPr>
        <w:t>license</w:t>
      </w:r>
      <w:r w:rsidRPr="00FD2F0C">
        <w:rPr>
          <w:rFonts w:asciiTheme="minorHAnsi" w:hAnsiTheme="minorHAnsi"/>
          <w:lang w:val="en-GB"/>
        </w:rPr>
        <w:t xml:space="preserve"> durations – for example the European Commission proposed 25 year </w:t>
      </w:r>
      <w:r w:rsidR="003B3320" w:rsidRPr="00FD2F0C">
        <w:rPr>
          <w:rFonts w:asciiTheme="minorHAnsi" w:hAnsiTheme="minorHAnsi"/>
          <w:lang w:val="en-GB"/>
        </w:rPr>
        <w:t>license</w:t>
      </w:r>
      <w:r w:rsidRPr="00FD2F0C">
        <w:rPr>
          <w:rFonts w:asciiTheme="minorHAnsi" w:hAnsiTheme="minorHAnsi"/>
          <w:lang w:val="en-GB"/>
        </w:rPr>
        <w:t xml:space="preserve">s. Regrading </w:t>
      </w:r>
      <w:r w:rsidR="003B3320" w:rsidRPr="00FD2F0C">
        <w:rPr>
          <w:rFonts w:asciiTheme="minorHAnsi" w:hAnsiTheme="minorHAnsi"/>
          <w:lang w:val="en-GB"/>
        </w:rPr>
        <w:t>license</w:t>
      </w:r>
      <w:r w:rsidRPr="00FD2F0C">
        <w:rPr>
          <w:rFonts w:asciiTheme="minorHAnsi" w:hAnsiTheme="minorHAnsi"/>
          <w:lang w:val="en-GB"/>
        </w:rPr>
        <w:t xml:space="preserve">s renewal, in the US the FCC supports an ‘expectation of renewal’ to provide predictability to licensees. </w:t>
      </w:r>
    </w:p>
    <w:p w14:paraId="195A8492" w14:textId="38E78BFD" w:rsidR="007654F2" w:rsidRPr="00FD2F0C" w:rsidRDefault="00D703E3" w:rsidP="00E73393">
      <w:pPr>
        <w:pStyle w:val="Heading3"/>
        <w:numPr>
          <w:ilvl w:val="0"/>
          <w:numId w:val="0"/>
        </w:numPr>
        <w:ind w:left="720" w:hanging="720"/>
        <w:rPr>
          <w:rFonts w:asciiTheme="minorHAnsi" w:hAnsiTheme="minorHAnsi"/>
        </w:rPr>
      </w:pPr>
      <w:bookmarkStart w:id="38" w:name="_Toc485647976"/>
      <w:r w:rsidRPr="00FD2F0C">
        <w:rPr>
          <w:rFonts w:asciiTheme="minorHAnsi" w:hAnsiTheme="minorHAnsi"/>
        </w:rPr>
        <w:t>1.3</w:t>
      </w:r>
      <w:r w:rsidR="007654F2" w:rsidRPr="00FD2F0C">
        <w:rPr>
          <w:rFonts w:asciiTheme="minorHAnsi" w:hAnsiTheme="minorHAnsi"/>
        </w:rPr>
        <w:t>.2</w:t>
      </w:r>
      <w:r w:rsidR="007654F2" w:rsidRPr="00FD2F0C">
        <w:rPr>
          <w:rFonts w:asciiTheme="minorHAnsi" w:hAnsiTheme="minorHAnsi"/>
        </w:rPr>
        <w:tab/>
        <w:t>Transition to digital terrestrial television broadcasting</w:t>
      </w:r>
      <w:bookmarkEnd w:id="38"/>
    </w:p>
    <w:p w14:paraId="409C8A50" w14:textId="04196A76" w:rsidR="007654F2" w:rsidRPr="00FD2F0C" w:rsidRDefault="007654F2" w:rsidP="007654F2">
      <w:pPr>
        <w:rPr>
          <w:rFonts w:asciiTheme="minorHAnsi" w:hAnsiTheme="minorHAnsi"/>
          <w:lang w:val="en-US"/>
        </w:rPr>
      </w:pPr>
      <w:r w:rsidRPr="00FD2F0C">
        <w:rPr>
          <w:rFonts w:asciiTheme="minorHAnsi" w:hAnsiTheme="minorHAnsi"/>
          <w:lang w:val="en-US"/>
        </w:rPr>
        <w:t xml:space="preserve">The transition from analogue television broadcasting to digital television broadcasting is one of the major undertakings in spectrum management currently taking place in all regions of the world to provide improved broadcasting services to populations. </w:t>
      </w:r>
    </w:p>
    <w:p w14:paraId="5072FE85" w14:textId="77777777" w:rsidR="007654F2" w:rsidRPr="00FD2F0C" w:rsidRDefault="007654F2" w:rsidP="007654F2">
      <w:pPr>
        <w:rPr>
          <w:rFonts w:asciiTheme="minorHAnsi" w:hAnsiTheme="minorHAnsi"/>
          <w:lang w:val="en-US"/>
        </w:rPr>
      </w:pPr>
      <w:r w:rsidRPr="00FD2F0C">
        <w:rPr>
          <w:rFonts w:asciiTheme="minorHAnsi" w:hAnsiTheme="minorHAnsi"/>
          <w:lang w:val="en-US"/>
        </w:rPr>
        <w:t xml:space="preserve">Once completed, this transition has enabled the release of the 700/800 MHz frequency bands as part of the digital dividend and their reallocation to the mobile service. </w:t>
      </w:r>
    </w:p>
    <w:p w14:paraId="669B1DE3" w14:textId="77777777" w:rsidR="007654F2" w:rsidRPr="00FD2F0C" w:rsidRDefault="007654F2" w:rsidP="007654F2">
      <w:pPr>
        <w:rPr>
          <w:rFonts w:asciiTheme="minorHAnsi" w:hAnsiTheme="minorHAnsi"/>
          <w:lang w:val="en-US"/>
        </w:rPr>
      </w:pPr>
      <w:r w:rsidRPr="00FD2F0C">
        <w:rPr>
          <w:rFonts w:asciiTheme="minorHAnsi" w:hAnsiTheme="minorHAnsi"/>
          <w:lang w:val="en-US"/>
        </w:rPr>
        <w:t xml:space="preserve">As of May 2017, out of 198 administrations, 56 completed the Digital Switch Over (DSO), 14 launched the process and are still going through it, 68 did not start it and the remaining ones did not communicate the information to ITU. This data is constantly updated at </w:t>
      </w:r>
      <w:hyperlink r:id="rId20" w:history="1">
        <w:r w:rsidRPr="00FD2F0C">
          <w:rPr>
            <w:rStyle w:val="Hyperlink"/>
            <w:rFonts w:asciiTheme="minorHAnsi" w:hAnsiTheme="minorHAnsi"/>
            <w:lang w:val="en-US"/>
          </w:rPr>
          <w:t>https://www.itu.int/en/ITU-D/Spectrum-Broadcasting/Pages/DSO/Default.aspx</w:t>
        </w:r>
      </w:hyperlink>
      <w:r w:rsidRPr="00FD2F0C">
        <w:rPr>
          <w:rFonts w:asciiTheme="minorHAnsi" w:hAnsiTheme="minorHAnsi"/>
          <w:lang w:val="en-US"/>
        </w:rPr>
        <w:t>.</w:t>
      </w:r>
    </w:p>
    <w:p w14:paraId="67D68B0B" w14:textId="4B9F19FD" w:rsidR="007654F2" w:rsidRPr="00FD2F0C" w:rsidRDefault="007654F2" w:rsidP="007654F2">
      <w:pPr>
        <w:rPr>
          <w:rFonts w:asciiTheme="minorHAnsi" w:hAnsiTheme="minorHAnsi"/>
          <w:lang w:val="en-US"/>
        </w:rPr>
      </w:pPr>
      <w:r w:rsidRPr="00FD2F0C">
        <w:rPr>
          <w:rFonts w:asciiTheme="minorHAnsi" w:hAnsiTheme="minorHAnsi"/>
          <w:lang w:val="en-US"/>
        </w:rPr>
        <w:t>More details and status o</w:t>
      </w:r>
      <w:r w:rsidR="00C71E8B" w:rsidRPr="00FD2F0C">
        <w:rPr>
          <w:rFonts w:asciiTheme="minorHAnsi" w:hAnsiTheme="minorHAnsi"/>
          <w:lang w:val="en-US"/>
        </w:rPr>
        <w:t>f</w:t>
      </w:r>
      <w:r w:rsidRPr="00FD2F0C">
        <w:rPr>
          <w:rFonts w:asciiTheme="minorHAnsi" w:hAnsiTheme="minorHAnsi"/>
          <w:lang w:val="en-US"/>
        </w:rPr>
        <w:t xml:space="preserve"> the DSO and Digital Dividend can be found in ITU-R and ITU-D Reports and Handbooks, such as:</w:t>
      </w:r>
    </w:p>
    <w:p w14:paraId="2CA10F52" w14:textId="77777777" w:rsidR="007654F2" w:rsidRPr="00FD2F0C" w:rsidRDefault="00573C99" w:rsidP="0032197B">
      <w:pPr>
        <w:pStyle w:val="ListParagraph"/>
        <w:numPr>
          <w:ilvl w:val="0"/>
          <w:numId w:val="17"/>
        </w:numPr>
        <w:rPr>
          <w:rFonts w:asciiTheme="minorHAnsi" w:hAnsiTheme="minorHAnsi" w:cs="Segoe UI"/>
          <w:color w:val="000000"/>
          <w:sz w:val="22"/>
          <w:lang w:val="en-US" w:eastAsia="en-US"/>
        </w:rPr>
      </w:pPr>
      <w:hyperlink r:id="rId21" w:history="1">
        <w:r w:rsidR="007654F2" w:rsidRPr="00FD2F0C">
          <w:rPr>
            <w:rStyle w:val="Hyperlink"/>
            <w:rFonts w:asciiTheme="minorHAnsi" w:hAnsiTheme="minorHAnsi"/>
            <w:bCs/>
            <w:sz w:val="22"/>
            <w:lang w:val="en-US"/>
          </w:rPr>
          <w:t>Report ITU-R BT.2140</w:t>
        </w:r>
      </w:hyperlink>
      <w:r w:rsidR="007654F2" w:rsidRPr="00FD2F0C">
        <w:rPr>
          <w:rFonts w:asciiTheme="minorHAnsi" w:hAnsiTheme="minorHAnsi"/>
          <w:color w:val="0000FF"/>
          <w:sz w:val="22"/>
          <w:lang w:val="en-US"/>
        </w:rPr>
        <w:t xml:space="preserve">:  </w:t>
      </w:r>
      <w:r w:rsidR="007654F2" w:rsidRPr="00FD2F0C">
        <w:rPr>
          <w:rFonts w:asciiTheme="minorHAnsi" w:hAnsiTheme="minorHAnsi" w:cs="Segoe UI"/>
          <w:color w:val="000000"/>
          <w:sz w:val="22"/>
          <w:lang w:val="en-US"/>
        </w:rPr>
        <w:t xml:space="preserve">Transition from analogue to digital terrestrial broadcasting, </w:t>
      </w:r>
    </w:p>
    <w:p w14:paraId="39D58CF7" w14:textId="77777777" w:rsidR="00510C65" w:rsidRPr="00FD2F0C" w:rsidRDefault="00510C65">
      <w:pPr>
        <w:pStyle w:val="ListParagraph"/>
        <w:rPr>
          <w:rFonts w:asciiTheme="minorHAnsi" w:hAnsiTheme="minorHAnsi"/>
          <w:sz w:val="22"/>
          <w:lang w:val="en-US"/>
        </w:rPr>
      </w:pPr>
      <w:r w:rsidRPr="00FD2F0C">
        <w:rPr>
          <w:rFonts w:asciiTheme="minorHAnsi" w:hAnsiTheme="minorHAnsi"/>
          <w:sz w:val="22"/>
          <w:lang w:val="en-US"/>
        </w:rPr>
        <w:t xml:space="preserve">The purpose of this Report is to help the Countries that are in the process of migrating from analogue to digital terrestrial broadcasting. It provides an overview of digital terrestrial sound and television </w:t>
      </w:r>
      <w:r w:rsidRPr="00FD2F0C">
        <w:rPr>
          <w:rFonts w:asciiTheme="minorHAnsi" w:hAnsiTheme="minorHAnsi"/>
          <w:sz w:val="22"/>
          <w:lang w:val="en-US"/>
        </w:rPr>
        <w:lastRenderedPageBreak/>
        <w:t>broadcasting technologies and system migration and outlines the available options for making that transition and the route to be followed.</w:t>
      </w:r>
    </w:p>
    <w:p w14:paraId="508DA0D8" w14:textId="77777777" w:rsidR="007654F2" w:rsidRPr="00FD2F0C" w:rsidRDefault="00573C99" w:rsidP="0032197B">
      <w:pPr>
        <w:pStyle w:val="ListParagraph"/>
        <w:numPr>
          <w:ilvl w:val="0"/>
          <w:numId w:val="17"/>
        </w:numPr>
        <w:tabs>
          <w:tab w:val="left" w:pos="8647"/>
        </w:tabs>
        <w:rPr>
          <w:rFonts w:asciiTheme="minorHAnsi" w:hAnsiTheme="minorHAnsi"/>
          <w:sz w:val="22"/>
          <w:lang w:val="en-US"/>
        </w:rPr>
      </w:pPr>
      <w:hyperlink r:id="rId22" w:history="1">
        <w:r w:rsidR="007654F2" w:rsidRPr="00FD2F0C">
          <w:rPr>
            <w:rStyle w:val="Hyperlink"/>
            <w:rFonts w:asciiTheme="minorHAnsi" w:hAnsiTheme="minorHAnsi"/>
            <w:sz w:val="22"/>
            <w:lang w:val="en-US"/>
          </w:rPr>
          <w:t>DIGITAL DIVIDEND Insights for Spectrum Decisions</w:t>
        </w:r>
      </w:hyperlink>
      <w:r w:rsidR="007654F2" w:rsidRPr="00FD2F0C">
        <w:rPr>
          <w:rFonts w:asciiTheme="minorHAnsi" w:hAnsiTheme="minorHAnsi"/>
          <w:b/>
          <w:bCs/>
          <w:color w:val="0000FF"/>
          <w:sz w:val="22"/>
          <w:lang w:val="en-US"/>
        </w:rPr>
        <w:t>,</w:t>
      </w:r>
    </w:p>
    <w:p w14:paraId="64605263" w14:textId="77777777" w:rsidR="007654F2" w:rsidRPr="00FD2F0C" w:rsidRDefault="007654F2">
      <w:pPr>
        <w:pStyle w:val="ListParagraph"/>
        <w:rPr>
          <w:rFonts w:asciiTheme="minorHAnsi" w:hAnsiTheme="minorHAnsi"/>
          <w:sz w:val="22"/>
          <w:lang w:val="en-US"/>
        </w:rPr>
      </w:pPr>
      <w:r w:rsidRPr="00FD2F0C">
        <w:rPr>
          <w:rFonts w:asciiTheme="minorHAnsi" w:hAnsiTheme="minorHAnsi"/>
          <w:sz w:val="22"/>
          <w:lang w:val="en-US"/>
        </w:rPr>
        <w:t xml:space="preserve">This </w:t>
      </w:r>
      <w:r w:rsidR="00D31D0D" w:rsidRPr="00FD2F0C">
        <w:rPr>
          <w:rFonts w:asciiTheme="minorHAnsi" w:hAnsiTheme="minorHAnsi"/>
          <w:sz w:val="22"/>
          <w:lang w:val="en-US"/>
        </w:rPr>
        <w:t xml:space="preserve">document </w:t>
      </w:r>
      <w:r w:rsidRPr="00FD2F0C">
        <w:rPr>
          <w:rFonts w:asciiTheme="minorHAnsi" w:hAnsiTheme="minorHAnsi"/>
          <w:sz w:val="22"/>
          <w:lang w:val="en-US"/>
        </w:rPr>
        <w:t>provides a detailed insight into what the digital dividend process entails and to help national and internal spectrum decision makers to allocate and manage the digital dividend process.</w:t>
      </w:r>
    </w:p>
    <w:p w14:paraId="5E458A96" w14:textId="77777777" w:rsidR="007654F2" w:rsidRPr="00FD2F0C" w:rsidRDefault="00573C99" w:rsidP="0032197B">
      <w:pPr>
        <w:pStyle w:val="ListParagraph"/>
        <w:numPr>
          <w:ilvl w:val="0"/>
          <w:numId w:val="17"/>
        </w:numPr>
        <w:ind w:left="714" w:hanging="357"/>
        <w:rPr>
          <w:rFonts w:asciiTheme="minorHAnsi" w:hAnsiTheme="minorHAnsi"/>
          <w:sz w:val="22"/>
          <w:lang w:val="en-US"/>
        </w:rPr>
      </w:pPr>
      <w:hyperlink r:id="rId23" w:history="1">
        <w:r w:rsidR="007654F2" w:rsidRPr="00FD2F0C">
          <w:rPr>
            <w:rStyle w:val="Hyperlink"/>
            <w:rFonts w:asciiTheme="minorHAnsi" w:hAnsiTheme="minorHAnsi"/>
            <w:bCs/>
            <w:sz w:val="22"/>
          </w:rPr>
          <w:t>REPORT ITU-R SM.2353</w:t>
        </w:r>
      </w:hyperlink>
      <w:r w:rsidR="0075072F" w:rsidRPr="00FD2F0C">
        <w:rPr>
          <w:rFonts w:asciiTheme="minorHAnsi" w:hAnsiTheme="minorHAnsi"/>
          <w:color w:val="0000FF"/>
          <w:sz w:val="22"/>
          <w:lang w:val="en-US"/>
        </w:rPr>
        <w:t>:</w:t>
      </w:r>
    </w:p>
    <w:p w14:paraId="2CE2888A" w14:textId="4545DFBA" w:rsidR="007654F2" w:rsidRPr="00FD2F0C" w:rsidRDefault="007654F2" w:rsidP="00D37AC7">
      <w:pPr>
        <w:pStyle w:val="ListParagraph"/>
        <w:rPr>
          <w:rFonts w:asciiTheme="minorHAnsi" w:hAnsiTheme="minorHAnsi"/>
          <w:sz w:val="22"/>
          <w:lang w:val="en-US"/>
        </w:rPr>
      </w:pPr>
      <w:r w:rsidRPr="00FD2F0C">
        <w:rPr>
          <w:rFonts w:asciiTheme="minorHAnsi" w:hAnsiTheme="minorHAnsi"/>
          <w:sz w:val="22"/>
          <w:lang w:val="en-US"/>
        </w:rPr>
        <w:t xml:space="preserve">This </w:t>
      </w:r>
      <w:r w:rsidR="002A3D04" w:rsidRPr="00FD2F0C">
        <w:rPr>
          <w:rFonts w:asciiTheme="minorHAnsi" w:hAnsiTheme="minorHAnsi"/>
          <w:sz w:val="22"/>
          <w:lang w:val="en-US"/>
        </w:rPr>
        <w:t>R</w:t>
      </w:r>
      <w:r w:rsidRPr="00FD2F0C">
        <w:rPr>
          <w:rFonts w:asciiTheme="minorHAnsi" w:hAnsiTheme="minorHAnsi"/>
          <w:sz w:val="22"/>
          <w:lang w:val="en-US"/>
        </w:rPr>
        <w:t xml:space="preserve">eport, </w:t>
      </w:r>
      <w:r w:rsidR="00D37AC7" w:rsidRPr="00FD2F0C">
        <w:rPr>
          <w:rFonts w:asciiTheme="minorHAnsi" w:hAnsiTheme="minorHAnsi"/>
          <w:sz w:val="22"/>
          <w:lang w:val="en-US"/>
        </w:rPr>
        <w:t xml:space="preserve">approved </w:t>
      </w:r>
      <w:r w:rsidRPr="00FD2F0C">
        <w:rPr>
          <w:rFonts w:asciiTheme="minorHAnsi" w:hAnsiTheme="minorHAnsi"/>
          <w:sz w:val="22"/>
          <w:lang w:val="en-US"/>
        </w:rPr>
        <w:t>in 2015, provides information agreed within ITU-R on the challenges and opportunities for spectrum management resulting from the transition to digital terrestrial television in the UHF bands, and appearance of the digital dividend, including amongst others expectations, definition of digital dividend, technical, regulatory, economic and societal aspects in the area of spectrum management.</w:t>
      </w:r>
    </w:p>
    <w:p w14:paraId="099CED21" w14:textId="24A4AB08" w:rsidR="007654F2" w:rsidRPr="00FD2F0C" w:rsidRDefault="007654F2" w:rsidP="00D37AC7">
      <w:pPr>
        <w:pStyle w:val="ListParagraph"/>
        <w:numPr>
          <w:ilvl w:val="0"/>
          <w:numId w:val="17"/>
        </w:numPr>
        <w:rPr>
          <w:rStyle w:val="Hyperlink"/>
          <w:rFonts w:asciiTheme="minorHAnsi" w:hAnsiTheme="minorHAnsi"/>
          <w:b/>
          <w:bCs/>
          <w:sz w:val="22"/>
          <w:lang w:val="en-US"/>
        </w:rPr>
      </w:pPr>
      <w:r w:rsidRPr="00FD2F0C">
        <w:rPr>
          <w:rStyle w:val="Hyperlink"/>
          <w:rFonts w:asciiTheme="minorHAnsi" w:hAnsiTheme="minorHAnsi"/>
          <w:sz w:val="22"/>
          <w:lang w:val="en-US"/>
        </w:rPr>
        <w:t xml:space="preserve">GUIDELINES for </w:t>
      </w:r>
      <w:hyperlink r:id="rId24" w:history="1">
        <w:r w:rsidRPr="00FD2F0C">
          <w:rPr>
            <w:rStyle w:val="Hyperlink"/>
            <w:rFonts w:asciiTheme="minorHAnsi" w:hAnsiTheme="minorHAnsi"/>
            <w:sz w:val="22"/>
            <w:lang w:val="en-US"/>
          </w:rPr>
          <w:t>transition</w:t>
        </w:r>
      </w:hyperlink>
      <w:r w:rsidRPr="00FD2F0C">
        <w:rPr>
          <w:rStyle w:val="Hyperlink"/>
          <w:rFonts w:asciiTheme="minorHAnsi" w:hAnsiTheme="minorHAnsi"/>
          <w:sz w:val="22"/>
          <w:lang w:val="en-US"/>
        </w:rPr>
        <w:t xml:space="preserve"> from analogue to digital broadcasting </w:t>
      </w:r>
      <w:r w:rsidRPr="00FD2F0C">
        <w:rPr>
          <w:rStyle w:val="Hyperlink"/>
          <w:rFonts w:asciiTheme="minorHAnsi" w:hAnsiTheme="minorHAnsi"/>
          <w:b/>
          <w:bCs/>
          <w:sz w:val="22"/>
          <w:lang w:val="en-US"/>
        </w:rPr>
        <w:t>(edition of 201</w:t>
      </w:r>
      <w:r w:rsidR="00D37AC7" w:rsidRPr="00FD2F0C">
        <w:rPr>
          <w:rStyle w:val="Hyperlink"/>
          <w:rFonts w:asciiTheme="minorHAnsi" w:hAnsiTheme="minorHAnsi"/>
          <w:b/>
          <w:bCs/>
          <w:sz w:val="22"/>
          <w:lang w:val="en-US"/>
        </w:rPr>
        <w:t>4</w:t>
      </w:r>
      <w:r w:rsidRPr="00FD2F0C">
        <w:rPr>
          <w:rStyle w:val="Hyperlink"/>
          <w:rFonts w:asciiTheme="minorHAnsi" w:hAnsiTheme="minorHAnsi"/>
          <w:b/>
          <w:bCs/>
          <w:sz w:val="22"/>
          <w:lang w:val="en-US"/>
        </w:rPr>
        <w:t>)</w:t>
      </w:r>
      <w:r w:rsidR="0075072F" w:rsidRPr="00FD2F0C">
        <w:rPr>
          <w:rFonts w:asciiTheme="minorHAnsi" w:hAnsiTheme="minorHAnsi"/>
          <w:color w:val="0000FF"/>
          <w:sz w:val="22"/>
          <w:lang w:val="en-US"/>
        </w:rPr>
        <w:t>:</w:t>
      </w:r>
    </w:p>
    <w:p w14:paraId="6441BA0B" w14:textId="77777777" w:rsidR="007654F2" w:rsidRPr="00FD2F0C" w:rsidRDefault="007654F2" w:rsidP="007654F2">
      <w:pPr>
        <w:pStyle w:val="ListParagraph"/>
        <w:rPr>
          <w:rStyle w:val="Hyperlink"/>
          <w:rFonts w:asciiTheme="minorHAnsi" w:hAnsiTheme="minorHAnsi"/>
          <w:b/>
          <w:bCs/>
          <w:sz w:val="22"/>
          <w:lang w:val="en-US"/>
        </w:rPr>
      </w:pPr>
      <w:r w:rsidRPr="00FD2F0C">
        <w:rPr>
          <w:rFonts w:asciiTheme="minorHAnsi" w:hAnsiTheme="minorHAnsi"/>
          <w:sz w:val="22"/>
          <w:lang w:val="en-US"/>
        </w:rPr>
        <w:t>The guidelines are intended to provide information and recommendations on policy, regulation, technologies, network planning, customer awareness and business planning for the smooth transition to Digital Terrestrial Television Broadcasting (DTTB) and introduction of Mobile Television Broadcasting (MTV). They will help develop a well-defined roadmap for transition covering national goals, strategies and key activities, helping to reach consensus on requirements and solutions, providing a mechanism to help forecast the key miles stones and a framework to help plan and coordinate the steps for the transition. The Guidelines have been prepared for Africa, taking into account the provisions of the GE06 Agreement. However they could also be applied in countries outside the GE06 planning area, but provisions of other applicable regulations, instead of GE06, should be taken into account in that case.</w:t>
      </w:r>
    </w:p>
    <w:p w14:paraId="488B1488" w14:textId="77777777" w:rsidR="007654F2" w:rsidRPr="00FD2F0C" w:rsidRDefault="007654F2" w:rsidP="0032197B">
      <w:pPr>
        <w:pStyle w:val="ListParagraph"/>
        <w:numPr>
          <w:ilvl w:val="0"/>
          <w:numId w:val="17"/>
        </w:numPr>
        <w:ind w:left="714" w:hanging="357"/>
        <w:rPr>
          <w:rFonts w:asciiTheme="minorHAnsi" w:hAnsiTheme="minorHAnsi"/>
          <w:bCs/>
          <w:color w:val="0000FF"/>
          <w:sz w:val="22"/>
          <w:u w:val="single"/>
          <w:lang w:val="en-US"/>
        </w:rPr>
      </w:pPr>
      <w:r w:rsidRPr="00FD2F0C">
        <w:rPr>
          <w:rFonts w:asciiTheme="minorHAnsi" w:hAnsiTheme="minorHAnsi"/>
          <w:bCs/>
          <w:sz w:val="22"/>
          <w:lang w:val="en-GB"/>
        </w:rPr>
        <w:t>ITU-R “</w:t>
      </w:r>
      <w:hyperlink r:id="rId25" w:history="1">
        <w:r w:rsidRPr="00FD2F0C">
          <w:rPr>
            <w:rStyle w:val="Hyperlink"/>
            <w:rFonts w:asciiTheme="minorHAnsi" w:hAnsiTheme="minorHAnsi"/>
            <w:bCs/>
            <w:sz w:val="22"/>
            <w:lang w:val="en-GB"/>
          </w:rPr>
          <w:t>Handbook on Digital Terrestrial Television Broadcasting Networks and Systems Implementation</w:t>
        </w:r>
      </w:hyperlink>
      <w:r w:rsidRPr="00FD2F0C">
        <w:rPr>
          <w:rFonts w:asciiTheme="minorHAnsi" w:hAnsiTheme="minorHAnsi"/>
          <w:sz w:val="22"/>
          <w:lang w:val="en-GB"/>
        </w:rPr>
        <w:t>”</w:t>
      </w:r>
      <w:r w:rsidR="000635A5" w:rsidRPr="00FD2F0C">
        <w:rPr>
          <w:rFonts w:asciiTheme="minorHAnsi" w:hAnsiTheme="minorHAnsi"/>
          <w:sz w:val="22"/>
          <w:lang w:val="en-GB"/>
        </w:rPr>
        <w:t>,</w:t>
      </w:r>
    </w:p>
    <w:p w14:paraId="38AEE4A7" w14:textId="26493FFD" w:rsidR="0077164D" w:rsidRPr="00FD2F0C" w:rsidRDefault="007654F2" w:rsidP="0088752B">
      <w:pPr>
        <w:spacing w:before="0"/>
        <w:ind w:left="720"/>
        <w:contextualSpacing/>
        <w:rPr>
          <w:rFonts w:asciiTheme="minorHAnsi" w:hAnsiTheme="minorHAnsi"/>
          <w:sz w:val="22"/>
          <w:lang w:val="en-GB"/>
        </w:rPr>
      </w:pPr>
      <w:r w:rsidRPr="00FD2F0C">
        <w:rPr>
          <w:rFonts w:asciiTheme="minorHAnsi" w:hAnsiTheme="minorHAnsi"/>
          <w:sz w:val="22"/>
          <w:lang w:val="en-GB"/>
        </w:rPr>
        <w:t xml:space="preserve">This </w:t>
      </w:r>
      <w:r w:rsidR="002A3D04" w:rsidRPr="00FD2F0C">
        <w:rPr>
          <w:rFonts w:asciiTheme="minorHAnsi" w:hAnsiTheme="minorHAnsi"/>
          <w:sz w:val="22"/>
          <w:lang w:val="en-GB"/>
        </w:rPr>
        <w:t>Handbook</w:t>
      </w:r>
      <w:r w:rsidRPr="00FD2F0C">
        <w:rPr>
          <w:rFonts w:asciiTheme="minorHAnsi" w:hAnsiTheme="minorHAnsi"/>
          <w:sz w:val="22"/>
          <w:lang w:val="en-GB"/>
        </w:rPr>
        <w:t>, in addition to  the broadcasting technologies and standards, concentrates on the new developments during the last 15 years, including the transition from analogue to digital broadcasting and the Digital D</w:t>
      </w:r>
      <w:r w:rsidR="0088752B" w:rsidRPr="00FD2F0C">
        <w:rPr>
          <w:rFonts w:asciiTheme="minorHAnsi" w:hAnsiTheme="minorHAnsi"/>
          <w:sz w:val="22"/>
          <w:lang w:val="en-GB"/>
        </w:rPr>
        <w:t>i</w:t>
      </w:r>
      <w:r w:rsidRPr="00FD2F0C">
        <w:rPr>
          <w:rFonts w:asciiTheme="minorHAnsi" w:hAnsiTheme="minorHAnsi"/>
          <w:sz w:val="22"/>
          <w:lang w:val="en-GB"/>
        </w:rPr>
        <w:t xml:space="preserve">vidend.   </w:t>
      </w:r>
    </w:p>
    <w:p w14:paraId="2A434006" w14:textId="01F7255F" w:rsidR="0077164D" w:rsidRPr="00FD2F0C" w:rsidRDefault="00D703E3" w:rsidP="00F96D8B">
      <w:pPr>
        <w:pStyle w:val="Heading3"/>
        <w:numPr>
          <w:ilvl w:val="0"/>
          <w:numId w:val="0"/>
        </w:numPr>
        <w:ind w:hanging="11"/>
        <w:rPr>
          <w:rFonts w:asciiTheme="minorHAnsi" w:hAnsiTheme="minorHAnsi"/>
        </w:rPr>
      </w:pPr>
      <w:bookmarkStart w:id="39" w:name="_Toc482880496"/>
      <w:bookmarkStart w:id="40" w:name="_Toc485647977"/>
      <w:r w:rsidRPr="00FD2F0C">
        <w:rPr>
          <w:rFonts w:asciiTheme="minorHAnsi" w:hAnsiTheme="minorHAnsi"/>
          <w:lang w:val="en-GB"/>
        </w:rPr>
        <w:t>1.3</w:t>
      </w:r>
      <w:r w:rsidR="00044DB2" w:rsidRPr="00FD2F0C">
        <w:rPr>
          <w:rFonts w:asciiTheme="minorHAnsi" w:hAnsiTheme="minorHAnsi"/>
          <w:lang w:val="en-GB"/>
        </w:rPr>
        <w:t>.</w:t>
      </w:r>
      <w:r w:rsidR="003A0B50" w:rsidRPr="00FD2F0C">
        <w:rPr>
          <w:rFonts w:asciiTheme="minorHAnsi" w:hAnsiTheme="minorHAnsi"/>
          <w:lang w:val="en-GB"/>
        </w:rPr>
        <w:t>3</w:t>
      </w:r>
      <w:r w:rsidR="00044DB2" w:rsidRPr="00FD2F0C">
        <w:rPr>
          <w:rFonts w:asciiTheme="minorHAnsi" w:hAnsiTheme="minorHAnsi"/>
          <w:lang w:val="en-GB"/>
        </w:rPr>
        <w:tab/>
      </w:r>
      <w:r w:rsidR="00F96D8B" w:rsidRPr="00FD2F0C">
        <w:rPr>
          <w:rFonts w:asciiTheme="minorHAnsi" w:hAnsiTheme="minorHAnsi"/>
          <w:lang w:val="en-GB"/>
        </w:rPr>
        <w:t xml:space="preserve"> </w:t>
      </w:r>
      <w:r w:rsidR="0077164D" w:rsidRPr="00FD2F0C">
        <w:rPr>
          <w:rFonts w:asciiTheme="minorHAnsi" w:hAnsiTheme="minorHAnsi"/>
        </w:rPr>
        <w:t>Strategies and methods of migration from analogue to digital terrestrial broadcasting and implementation of new services</w:t>
      </w:r>
      <w:bookmarkEnd w:id="39"/>
      <w:bookmarkEnd w:id="40"/>
    </w:p>
    <w:p w14:paraId="67CCEEF5" w14:textId="1C1A2AB3" w:rsidR="00E413A1" w:rsidRPr="00FD2F0C" w:rsidRDefault="00E413A1" w:rsidP="00E413A1">
      <w:pPr>
        <w:rPr>
          <w:rFonts w:asciiTheme="minorHAnsi" w:hAnsiTheme="minorHAnsi"/>
          <w:lang w:val="en-GB"/>
        </w:rPr>
      </w:pPr>
      <w:r w:rsidRPr="00FD2F0C">
        <w:rPr>
          <w:rFonts w:asciiTheme="minorHAnsi" w:hAnsiTheme="minorHAnsi"/>
          <w:lang w:val="en-GB"/>
        </w:rPr>
        <w:t xml:space="preserve">As new technologies, services and applications are being developed that allow for more rational and efficient use of spectrum, NRAs need to periodically adjust the regulatory framework on the use of this scarce resource to benefit from this evolution. </w:t>
      </w:r>
    </w:p>
    <w:p w14:paraId="3BF8124F" w14:textId="6D3F81FA" w:rsidR="00E413A1" w:rsidRPr="00FD2F0C" w:rsidRDefault="00E413A1" w:rsidP="00D37AC7">
      <w:pPr>
        <w:rPr>
          <w:rFonts w:asciiTheme="minorHAnsi" w:hAnsiTheme="minorHAnsi"/>
          <w:lang w:val="en-GB"/>
        </w:rPr>
      </w:pPr>
      <w:r w:rsidRPr="00FD2F0C">
        <w:rPr>
          <w:rFonts w:asciiTheme="minorHAnsi" w:hAnsiTheme="minorHAnsi"/>
          <w:lang w:val="en-GB"/>
        </w:rPr>
        <w:t xml:space="preserve">In this context, spectrum redeployment (refarming) </w:t>
      </w:r>
      <w:r w:rsidR="00D37AC7" w:rsidRPr="00FD2F0C">
        <w:rPr>
          <w:rFonts w:asciiTheme="minorHAnsi" w:hAnsiTheme="minorHAnsi"/>
          <w:lang w:val="en-GB"/>
        </w:rPr>
        <w:t xml:space="preserve">is an </w:t>
      </w:r>
      <w:r w:rsidRPr="00FD2F0C">
        <w:rPr>
          <w:rFonts w:asciiTheme="minorHAnsi" w:hAnsiTheme="minorHAnsi"/>
          <w:lang w:val="en-GB"/>
        </w:rPr>
        <w:t>important activit</w:t>
      </w:r>
      <w:r w:rsidR="00D37AC7" w:rsidRPr="00FD2F0C">
        <w:rPr>
          <w:rFonts w:asciiTheme="minorHAnsi" w:hAnsiTheme="minorHAnsi"/>
          <w:lang w:val="en-GB"/>
        </w:rPr>
        <w:t>y</w:t>
      </w:r>
      <w:r w:rsidRPr="00FD2F0C">
        <w:rPr>
          <w:rFonts w:asciiTheme="minorHAnsi" w:hAnsiTheme="minorHAnsi"/>
          <w:lang w:val="en-GB"/>
        </w:rPr>
        <w:t xml:space="preserve"> carried out at national level by NRAs and at international level by regional organisations such as APT, ASMG, ATU, CEPT, CITEL and RCC and by the ITU at global level.</w:t>
      </w:r>
    </w:p>
    <w:p w14:paraId="36E32A5B" w14:textId="2902CB18" w:rsidR="00E413A1" w:rsidRPr="00FD2F0C" w:rsidRDefault="00E413A1" w:rsidP="00E413A1">
      <w:pPr>
        <w:rPr>
          <w:rFonts w:asciiTheme="minorHAnsi" w:hAnsiTheme="minorHAnsi"/>
          <w:lang w:val="en-GB"/>
        </w:rPr>
      </w:pPr>
      <w:r w:rsidRPr="00FD2F0C">
        <w:rPr>
          <w:rFonts w:asciiTheme="minorHAnsi" w:hAnsiTheme="minorHAnsi"/>
          <w:lang w:val="en-GB"/>
        </w:rPr>
        <w:t>The recent activities undertaken at regional and national levels in the UHF band (470-862 MHz) in conjunction with the transition of analogue to digital terrestrial television broadcasting provide a relevant example of the importance of spectrum refarming, redeployment and thorough re-planning of the usage and purpose of spectrum for the evolution of services and deployment of new services and applications in the same frequency band.</w:t>
      </w:r>
    </w:p>
    <w:p w14:paraId="43DCADBD" w14:textId="08A08E37" w:rsidR="00E413A1" w:rsidRPr="00FD2F0C" w:rsidRDefault="00E413A1" w:rsidP="00E413A1">
      <w:pPr>
        <w:rPr>
          <w:rFonts w:asciiTheme="minorHAnsi" w:hAnsiTheme="minorHAnsi"/>
          <w:lang w:val="en-GB"/>
        </w:rPr>
      </w:pPr>
      <w:r w:rsidRPr="00FD2F0C">
        <w:rPr>
          <w:rFonts w:asciiTheme="minorHAnsi" w:hAnsiTheme="minorHAnsi"/>
          <w:lang w:val="en-GB"/>
        </w:rPr>
        <w:t>This refarming effort involved, among several activities, modifications of the allotment and assignment plans previously agreed, in order to allow the use by the mobile service of the digital dividend spectrum released by the transition to digital terrestrial television broadcasting.</w:t>
      </w:r>
    </w:p>
    <w:p w14:paraId="04020CD9" w14:textId="03C5D50C" w:rsidR="00E413A1" w:rsidRPr="00FD2F0C" w:rsidRDefault="00E413A1" w:rsidP="00E413A1">
      <w:pPr>
        <w:rPr>
          <w:rFonts w:asciiTheme="minorHAnsi" w:hAnsiTheme="minorHAnsi"/>
          <w:lang w:val="en-GB"/>
        </w:rPr>
      </w:pPr>
      <w:r w:rsidRPr="00FD2F0C">
        <w:rPr>
          <w:rFonts w:asciiTheme="minorHAnsi" w:hAnsiTheme="minorHAnsi"/>
          <w:lang w:val="en-GB"/>
        </w:rPr>
        <w:t>It is also relevant to point out that this refarming effort involved negotiations between broadcasters inside each country and between neighbouring administrations, to modify the characteristics (frequency, e.r.p., antenna diagram, tilt, etc.) of planned and operational broadcasting networks to avoid harmful interference and to allow for equal access to spectrum.</w:t>
      </w:r>
    </w:p>
    <w:p w14:paraId="5DB3847F" w14:textId="05E60329" w:rsidR="00E413A1" w:rsidRPr="00FD2F0C" w:rsidRDefault="00E413A1" w:rsidP="00E413A1">
      <w:pPr>
        <w:rPr>
          <w:rFonts w:asciiTheme="minorHAnsi" w:hAnsiTheme="minorHAnsi"/>
          <w:lang w:val="en-GB"/>
        </w:rPr>
      </w:pPr>
      <w:r w:rsidRPr="00FD2F0C">
        <w:rPr>
          <w:rFonts w:asciiTheme="minorHAnsi" w:hAnsiTheme="minorHAnsi"/>
          <w:lang w:val="en-GB"/>
        </w:rPr>
        <w:lastRenderedPageBreak/>
        <w:t xml:space="preserve">This issue was addressed in response to ITU-D Study Question 8/1 – “Examination of strategies and methods of migration from analogue to digital terrestrial broadcasting and implementation of new services” that produced relevant case studies and grouped some best practice on refarming and redeployment for the purposes of allowing the implementation of digital broadcasting throughout the world and also for the usage of the released spectrum after the transition to digital broadcasting. The result of the discussion is reflected in </w:t>
      </w:r>
      <w:r w:rsidRPr="00FD2F0C">
        <w:rPr>
          <w:rFonts w:asciiTheme="minorHAnsi" w:hAnsiTheme="minorHAnsi"/>
          <w:b/>
          <w:bCs/>
          <w:lang w:val="en-GB"/>
        </w:rPr>
        <w:t>Chapter 3</w:t>
      </w:r>
      <w:r w:rsidRPr="00FD2F0C">
        <w:rPr>
          <w:rFonts w:asciiTheme="minorHAnsi" w:hAnsiTheme="minorHAnsi"/>
          <w:lang w:val="en-GB"/>
        </w:rPr>
        <w:t xml:space="preserve"> “Spectrum Issues related to the Analogue Switch off Process” and </w:t>
      </w:r>
      <w:r w:rsidRPr="00FD2F0C">
        <w:rPr>
          <w:rFonts w:asciiTheme="minorHAnsi" w:hAnsiTheme="minorHAnsi"/>
          <w:b/>
          <w:bCs/>
          <w:lang w:val="en-GB"/>
        </w:rPr>
        <w:t>Chapter 4</w:t>
      </w:r>
      <w:r w:rsidRPr="00FD2F0C">
        <w:rPr>
          <w:rFonts w:asciiTheme="minorHAnsi" w:hAnsiTheme="minorHAnsi"/>
          <w:lang w:val="en-GB"/>
        </w:rPr>
        <w:t xml:space="preserve"> “Use of released spectrum to implement new services and applications” of the Final Report of Question 8/1.</w:t>
      </w:r>
    </w:p>
    <w:p w14:paraId="4AEEE7A9" w14:textId="355901BB" w:rsidR="00E413A1" w:rsidRPr="00FD2F0C" w:rsidRDefault="006D0FBA" w:rsidP="006D0FBA">
      <w:pPr>
        <w:rPr>
          <w:rFonts w:asciiTheme="minorHAnsi" w:hAnsiTheme="minorHAnsi"/>
          <w:lang w:val="en-GB"/>
        </w:rPr>
      </w:pPr>
      <w:r w:rsidRPr="00FD2F0C">
        <w:rPr>
          <w:rFonts w:asciiTheme="minorHAnsi" w:hAnsiTheme="minorHAnsi"/>
          <w:lang w:val="en-GB"/>
        </w:rPr>
        <w:t xml:space="preserve">The </w:t>
      </w:r>
      <w:hyperlink r:id="rId26" w:history="1">
        <w:r w:rsidRPr="00FD2F0C">
          <w:rPr>
            <w:rStyle w:val="Hyperlink"/>
            <w:rFonts w:asciiTheme="minorHAnsi" w:hAnsiTheme="minorHAnsi"/>
            <w:lang w:val="en-US"/>
          </w:rPr>
          <w:t>ITU-R Handbook on “Digital Terrestrial Television Broadcasting Networks and Systems Implementation”</w:t>
        </w:r>
      </w:hyperlink>
      <w:r w:rsidRPr="00FD2F0C">
        <w:rPr>
          <w:rFonts w:asciiTheme="minorHAnsi" w:hAnsiTheme="minorHAnsi"/>
          <w:lang w:val="en-GB"/>
        </w:rPr>
        <w:t xml:space="preserve"> contains </w:t>
      </w:r>
      <w:r w:rsidR="00E413A1" w:rsidRPr="00FD2F0C">
        <w:rPr>
          <w:rFonts w:asciiTheme="minorHAnsi" w:hAnsiTheme="minorHAnsi"/>
          <w:lang w:val="en-GB"/>
        </w:rPr>
        <w:t>some examples of Regional Groups activities on that matter.</w:t>
      </w:r>
    </w:p>
    <w:p w14:paraId="4A3A0AF9" w14:textId="6F36869A" w:rsidR="00E413A1" w:rsidRPr="00FD2F0C" w:rsidRDefault="00E413A1" w:rsidP="00E413A1">
      <w:pPr>
        <w:rPr>
          <w:rFonts w:asciiTheme="minorHAnsi" w:hAnsiTheme="minorHAnsi"/>
          <w:lang w:val="en-GB"/>
        </w:rPr>
      </w:pPr>
      <w:r w:rsidRPr="00FD2F0C">
        <w:rPr>
          <w:rFonts w:asciiTheme="minorHAnsi" w:hAnsiTheme="minorHAnsi"/>
          <w:lang w:val="en-GB"/>
        </w:rPr>
        <w:t>From the discussion held in ITU on this subject, it can be highlighted that the GE06 spectrum re-planning efforts, which involved 120 countries, have enabled the implementation of digital terrestrial television broadcasting and the use of the digital dividend by the mobile service on an equal access basis and avoiding harmful interference, in Region 1. Additionally, some other case studies from countries of Asia and the Americas, such as Thailand and Brazil, can also be highlighted, the first for their approach on spectrum re-planning and the latter for their experience on performing both the digital television switchover and the release of spectrum for other services, in the re-planning and refarming effort.</w:t>
      </w:r>
    </w:p>
    <w:p w14:paraId="036AA957" w14:textId="4917326C" w:rsidR="00E413A1" w:rsidRPr="00FD2F0C" w:rsidRDefault="00E413A1" w:rsidP="00191D09">
      <w:pPr>
        <w:rPr>
          <w:rFonts w:asciiTheme="minorHAnsi" w:hAnsiTheme="minorHAnsi"/>
          <w:szCs w:val="20"/>
          <w:lang w:val="en-US" w:eastAsia="en-US"/>
        </w:rPr>
      </w:pPr>
      <w:r w:rsidRPr="00FD2F0C">
        <w:rPr>
          <w:rFonts w:asciiTheme="minorHAnsi" w:hAnsiTheme="minorHAnsi"/>
          <w:lang w:val="en-GB"/>
        </w:rPr>
        <w:t>Report ITU-R SM.2353-0 “The challenges</w:t>
      </w:r>
      <w:r w:rsidRPr="00FD2F0C">
        <w:rPr>
          <w:rFonts w:asciiTheme="minorHAnsi" w:hAnsiTheme="minorHAnsi"/>
          <w:lang w:val="en-US" w:eastAsia="zh-CN"/>
        </w:rPr>
        <w:t xml:space="preserve"> and opportunities for spectrum management resulting from the transition to digital terrestrial television in the UHF bands”</w:t>
      </w:r>
      <w:r w:rsidRPr="00FD2F0C">
        <w:rPr>
          <w:rFonts w:asciiTheme="minorHAnsi" w:hAnsiTheme="minorHAnsi"/>
          <w:szCs w:val="20"/>
          <w:lang w:val="en-US" w:eastAsia="en-US"/>
        </w:rPr>
        <w:t xml:space="preserve"> </w:t>
      </w:r>
      <w:r w:rsidRPr="00FD2F0C">
        <w:rPr>
          <w:rFonts w:asciiTheme="minorHAnsi" w:hAnsiTheme="minorHAnsi"/>
          <w:lang w:val="en-GB"/>
        </w:rPr>
        <w:t xml:space="preserve">contains information on the transition to digital terrestrial television in UHF bands and appearance of the digital dividend, including amongst others expectations, definition of digital dividend, technical, regulatory, economic and societal aspects in the area of spectrum management. Also, national and regional experiences and practices in the spectrum management area with regard to these items are presented in </w:t>
      </w:r>
      <w:r w:rsidRPr="00FD2F0C">
        <w:rPr>
          <w:rFonts w:asciiTheme="minorHAnsi" w:hAnsiTheme="minorHAnsi"/>
          <w:b/>
          <w:bCs/>
          <w:lang w:val="en-GB"/>
        </w:rPr>
        <w:t xml:space="preserve">Annex </w:t>
      </w:r>
      <w:r w:rsidR="00191D09" w:rsidRPr="00FD2F0C">
        <w:rPr>
          <w:rFonts w:asciiTheme="minorHAnsi" w:hAnsiTheme="minorHAnsi"/>
          <w:b/>
          <w:bCs/>
          <w:lang w:val="en-GB"/>
        </w:rPr>
        <w:t>2</w:t>
      </w:r>
      <w:r w:rsidRPr="00FD2F0C">
        <w:rPr>
          <w:rFonts w:asciiTheme="minorHAnsi" w:hAnsiTheme="minorHAnsi"/>
          <w:lang w:val="en-GB"/>
        </w:rPr>
        <w:t xml:space="preserve">. </w:t>
      </w:r>
    </w:p>
    <w:p w14:paraId="6504321C" w14:textId="7604ADCA" w:rsidR="00E413A1" w:rsidRPr="00FD2F0C" w:rsidRDefault="00E413A1" w:rsidP="00191D09">
      <w:pPr>
        <w:rPr>
          <w:rFonts w:asciiTheme="minorHAnsi" w:hAnsiTheme="minorHAnsi"/>
          <w:lang w:val="en-GB"/>
        </w:rPr>
      </w:pPr>
      <w:r w:rsidRPr="00FD2F0C">
        <w:rPr>
          <w:rFonts w:asciiTheme="minorHAnsi" w:hAnsiTheme="minorHAnsi"/>
          <w:lang w:val="en-GB"/>
        </w:rPr>
        <w:t>The ITU</w:t>
      </w:r>
      <w:r w:rsidR="009B6F12" w:rsidRPr="00FD2F0C">
        <w:rPr>
          <w:rFonts w:asciiTheme="minorHAnsi" w:hAnsiTheme="minorHAnsi"/>
          <w:lang w:val="en-GB"/>
        </w:rPr>
        <w:t>-D</w:t>
      </w:r>
      <w:r w:rsidRPr="00FD2F0C">
        <w:rPr>
          <w:rFonts w:asciiTheme="minorHAnsi" w:hAnsiTheme="minorHAnsi"/>
          <w:lang w:val="en-GB"/>
        </w:rPr>
        <w:t xml:space="preserve"> Report </w:t>
      </w:r>
      <w:r w:rsidR="009B6F12" w:rsidRPr="00FD2F0C">
        <w:rPr>
          <w:rFonts w:asciiTheme="minorHAnsi" w:hAnsiTheme="minorHAnsi"/>
          <w:lang w:val="en-GB"/>
        </w:rPr>
        <w:t>(2012)</w:t>
      </w:r>
      <w:r w:rsidRPr="00FD2F0C">
        <w:rPr>
          <w:rFonts w:asciiTheme="minorHAnsi" w:hAnsiTheme="minorHAnsi"/>
          <w:lang w:val="en-GB"/>
        </w:rPr>
        <w:t xml:space="preserve"> “Digital Dividend: Insights for spectrum decisions” provides a detailed insight into what the digital dividend process entails and helps national and international spectrum decision makers to manage the digital dividend process.</w:t>
      </w:r>
      <w:r w:rsidR="009B6F12" w:rsidRPr="00FD2F0C">
        <w:rPr>
          <w:rFonts w:asciiTheme="minorHAnsi" w:hAnsiTheme="minorHAnsi"/>
          <w:lang w:val="en-GB"/>
        </w:rPr>
        <w:t xml:space="preserve"> </w:t>
      </w:r>
      <w:r w:rsidRPr="00FD2F0C">
        <w:rPr>
          <w:rFonts w:asciiTheme="minorHAnsi" w:hAnsiTheme="minorHAnsi"/>
          <w:lang w:val="en-GB"/>
        </w:rPr>
        <w:t xml:space="preserve">It also provides information on spectrum auctions in the digital dividend bands for mobile services. Beyond the amounts raised by the auctions, Administrations have included coverage obligations to extend the mobile coverage to underserved or uncovered areas. </w:t>
      </w:r>
      <w:r w:rsidRPr="00FD2F0C">
        <w:rPr>
          <w:rFonts w:asciiTheme="minorHAnsi" w:hAnsiTheme="minorHAnsi"/>
          <w:b/>
          <w:bCs/>
          <w:lang w:val="en-GB"/>
        </w:rPr>
        <w:t xml:space="preserve">Annex </w:t>
      </w:r>
      <w:r w:rsidR="00191D09" w:rsidRPr="00FD2F0C">
        <w:rPr>
          <w:rFonts w:asciiTheme="minorHAnsi" w:hAnsiTheme="minorHAnsi"/>
          <w:b/>
          <w:bCs/>
          <w:lang w:val="en-GB"/>
        </w:rPr>
        <w:t>2</w:t>
      </w:r>
      <w:r w:rsidRPr="00FD2F0C">
        <w:rPr>
          <w:rFonts w:asciiTheme="minorHAnsi" w:hAnsiTheme="minorHAnsi"/>
          <w:lang w:val="en-GB"/>
        </w:rPr>
        <w:t xml:space="preserve"> includes information on the auctions in relation to the use of the Digital Dividend.</w:t>
      </w:r>
      <w:r w:rsidR="009B6F12" w:rsidRPr="00FD2F0C">
        <w:rPr>
          <w:rFonts w:asciiTheme="minorHAnsi" w:hAnsiTheme="minorHAnsi"/>
          <w:lang w:val="en-GB"/>
        </w:rPr>
        <w:t xml:space="preserve"> </w:t>
      </w:r>
      <w:r w:rsidRPr="00FD2F0C">
        <w:rPr>
          <w:rFonts w:asciiTheme="minorHAnsi" w:hAnsiTheme="minorHAnsi"/>
          <w:lang w:val="en-GB"/>
        </w:rPr>
        <w:t>It also concludes that national spectrum decision makers have an opportunity to contribute to bridge the digital divide by allocating part of the digital dividend to the mobile service. International harmonization is already well advanced in this regard and should quickly ensure the availability of low cost equipment for broadband mobile access in the corresponding parts of the UHF bands</w:t>
      </w:r>
      <w:r w:rsidR="007961AD" w:rsidRPr="00FD2F0C">
        <w:rPr>
          <w:rFonts w:asciiTheme="minorHAnsi" w:hAnsiTheme="minorHAnsi"/>
          <w:lang w:val="en-GB"/>
        </w:rPr>
        <w:t>.</w:t>
      </w:r>
    </w:p>
    <w:p w14:paraId="79A7C004" w14:textId="14C0A636" w:rsidR="00E413A1" w:rsidRPr="00FD2F0C" w:rsidRDefault="00E413A1" w:rsidP="005E246C">
      <w:pPr>
        <w:rPr>
          <w:rFonts w:asciiTheme="minorHAnsi" w:hAnsiTheme="minorHAnsi"/>
          <w:lang w:val="en-GB"/>
        </w:rPr>
      </w:pPr>
      <w:r w:rsidRPr="00FD2F0C">
        <w:rPr>
          <w:rFonts w:asciiTheme="minorHAnsi" w:hAnsiTheme="minorHAnsi"/>
          <w:lang w:val="en-GB"/>
        </w:rPr>
        <w:t>The bands made available for mobile broadband through the digital dividend (i</w:t>
      </w:r>
      <w:r w:rsidR="007961AD" w:rsidRPr="00FD2F0C">
        <w:rPr>
          <w:rFonts w:asciiTheme="minorHAnsi" w:hAnsiTheme="minorHAnsi"/>
          <w:lang w:val="en-GB"/>
        </w:rPr>
        <w:t>.</w:t>
      </w:r>
      <w:r w:rsidRPr="00FD2F0C">
        <w:rPr>
          <w:rFonts w:asciiTheme="minorHAnsi" w:hAnsiTheme="minorHAnsi"/>
          <w:lang w:val="en-GB"/>
        </w:rPr>
        <w:t xml:space="preserve">e. </w:t>
      </w:r>
      <w:r w:rsidR="005E246C" w:rsidRPr="00FD2F0C">
        <w:rPr>
          <w:rFonts w:asciiTheme="minorHAnsi" w:hAnsiTheme="minorHAnsi"/>
          <w:lang w:val="en-GB"/>
        </w:rPr>
        <w:t xml:space="preserve">in some countries in the </w:t>
      </w:r>
      <w:r w:rsidRPr="00FD2F0C">
        <w:rPr>
          <w:rFonts w:asciiTheme="minorHAnsi" w:hAnsiTheme="minorHAnsi"/>
          <w:lang w:val="en-GB"/>
        </w:rPr>
        <w:t>600 MHz</w:t>
      </w:r>
      <w:r w:rsidR="005E246C" w:rsidRPr="00FD2F0C">
        <w:rPr>
          <w:rFonts w:asciiTheme="minorHAnsi" w:hAnsiTheme="minorHAnsi"/>
          <w:lang w:val="en-GB"/>
        </w:rPr>
        <w:t xml:space="preserve"> and in all regions in the</w:t>
      </w:r>
      <w:r w:rsidRPr="00FD2F0C">
        <w:rPr>
          <w:rFonts w:asciiTheme="minorHAnsi" w:hAnsiTheme="minorHAnsi"/>
          <w:lang w:val="en-GB"/>
        </w:rPr>
        <w:t xml:space="preserve"> 700 MHz and 800 MHz) are the principal bands</w:t>
      </w:r>
      <w:r w:rsidR="009B6F12" w:rsidRPr="00FD2F0C">
        <w:rPr>
          <w:rFonts w:asciiTheme="minorHAnsi" w:hAnsiTheme="minorHAnsi"/>
          <w:lang w:val="en-GB"/>
        </w:rPr>
        <w:t xml:space="preserve"> to provide coverage for mobile broadband</w:t>
      </w:r>
      <w:r w:rsidRPr="00FD2F0C">
        <w:rPr>
          <w:rFonts w:asciiTheme="minorHAnsi" w:hAnsiTheme="minorHAnsi"/>
          <w:lang w:val="en-GB"/>
        </w:rPr>
        <w:t>. Other harmonised mobile coverage bands – generally found below 1 GHz – are typically used for 2G, or in some cases 3G services (e.g. the 900 MHz band and, normally in different areas, the 850 MHz band). As such, it is normally only through the assignment of spectrum in the digital dividend bands that NRAs can enable widespread affordable access to LTE services in their country. It should be noted that the 700 MHz band enables the deployment of base stations with 7x the coverage area of the 2.6 GHz band (the original LTE band) and over 2.5x the coverage area of the 1800 MHz band (the most common LTE band worldwide)</w:t>
      </w:r>
      <w:r w:rsidRPr="00FD2F0C">
        <w:rPr>
          <w:rStyle w:val="FootnoteReference"/>
          <w:rFonts w:asciiTheme="minorHAnsi" w:hAnsiTheme="minorHAnsi"/>
        </w:rPr>
        <w:footnoteReference w:id="19"/>
      </w:r>
      <w:r w:rsidRPr="00FD2F0C">
        <w:rPr>
          <w:rFonts w:asciiTheme="minorHAnsi" w:hAnsiTheme="minorHAnsi"/>
          <w:lang w:val="en-GB"/>
        </w:rPr>
        <w:t xml:space="preserve">. These large cell </w:t>
      </w:r>
      <w:r w:rsidRPr="00FD2F0C">
        <w:rPr>
          <w:rFonts w:asciiTheme="minorHAnsi" w:hAnsiTheme="minorHAnsi"/>
          <w:lang w:val="en-GB"/>
        </w:rPr>
        <w:lastRenderedPageBreak/>
        <w:t>sizes can allow more people to be covered with a single base station. This can help bring down the cost of mobile services while also allowing 4G services to viably extend beyond city centres, into suburban and rural areas.</w:t>
      </w:r>
    </w:p>
    <w:p w14:paraId="337E49B2" w14:textId="77777777" w:rsidR="00E413A1" w:rsidRPr="00FD2F0C" w:rsidRDefault="00E413A1" w:rsidP="00E413A1">
      <w:pPr>
        <w:rPr>
          <w:rFonts w:asciiTheme="minorHAnsi" w:hAnsiTheme="minorHAnsi"/>
          <w:lang w:val="en-GB"/>
        </w:rPr>
      </w:pPr>
      <w:r w:rsidRPr="00FD2F0C">
        <w:rPr>
          <w:rFonts w:asciiTheme="minorHAnsi" w:hAnsiTheme="minorHAnsi"/>
          <w:lang w:val="en-GB"/>
        </w:rPr>
        <w:t>There are currently 104 countries with live LTE services using the 700 MHz and 800 MHz mobile bands</w:t>
      </w:r>
      <w:r w:rsidRPr="00FD2F0C">
        <w:rPr>
          <w:rStyle w:val="FootnoteReference"/>
          <w:rFonts w:asciiTheme="minorHAnsi" w:hAnsiTheme="minorHAnsi"/>
        </w:rPr>
        <w:footnoteReference w:id="20"/>
      </w:r>
      <w:r w:rsidRPr="00FD2F0C">
        <w:rPr>
          <w:rFonts w:asciiTheme="minorHAnsi" w:hAnsiTheme="minorHAnsi"/>
          <w:lang w:val="en-GB"/>
        </w:rPr>
        <w:t xml:space="preserve">. This number is expected to increase significantly as a further 51 countries have committed to making the band available for mobile services. The scale of these deployments mean the equipment ecosystem for compatible mobile devices is significant and growing rapidly. </w:t>
      </w:r>
    </w:p>
    <w:p w14:paraId="0EDE0F67" w14:textId="77777777" w:rsidR="00E413A1" w:rsidRPr="00FD2F0C" w:rsidRDefault="00E413A1" w:rsidP="00E413A1">
      <w:pPr>
        <w:rPr>
          <w:rFonts w:asciiTheme="minorHAnsi" w:hAnsiTheme="minorHAnsi"/>
          <w:lang w:val="en-GB"/>
        </w:rPr>
      </w:pPr>
      <w:r w:rsidRPr="00FD2F0C">
        <w:rPr>
          <w:rFonts w:asciiTheme="minorHAnsi" w:hAnsiTheme="minorHAnsi"/>
          <w:lang w:val="en-GB"/>
        </w:rPr>
        <w:t>The 800 MHz band (3GPP band 20) is currently the second-most deployed LTE band globally and is supported in 2,784 compatible devices</w:t>
      </w:r>
      <w:r w:rsidRPr="00FD2F0C">
        <w:rPr>
          <w:rStyle w:val="FootnoteReference"/>
          <w:rFonts w:asciiTheme="minorHAnsi" w:hAnsiTheme="minorHAnsi"/>
        </w:rPr>
        <w:footnoteReference w:id="21"/>
      </w:r>
      <w:r w:rsidRPr="00FD2F0C">
        <w:rPr>
          <w:rFonts w:asciiTheme="minorHAnsi" w:hAnsiTheme="minorHAnsi"/>
          <w:lang w:val="en-GB"/>
        </w:rPr>
        <w:t xml:space="preserve">. Although the 700 MHz LTE band (3GPP band 28) is live in fewer countries, the number of deployments are now increasing more quickly than the 800 MHz band. There are currently 639 devices for the 700 MHz band (3GPP band 28) - more than double the number from one year earlier. </w:t>
      </w:r>
    </w:p>
    <w:p w14:paraId="78019ECF" w14:textId="77777777" w:rsidR="00E413A1" w:rsidRPr="00FD2F0C" w:rsidRDefault="00E413A1" w:rsidP="00E413A1">
      <w:pPr>
        <w:rPr>
          <w:rFonts w:asciiTheme="minorHAnsi" w:hAnsiTheme="minorHAnsi"/>
          <w:lang w:val="en-GB"/>
        </w:rPr>
      </w:pPr>
      <w:r w:rsidRPr="00FD2F0C">
        <w:rPr>
          <w:rFonts w:asciiTheme="minorHAnsi" w:hAnsiTheme="minorHAnsi"/>
          <w:lang w:val="en-GB"/>
        </w:rPr>
        <w:t xml:space="preserve">The scale of digital dividend deployments can support the economies of scale in the LTE equipment ecosystem that are important for giving consumers a wide choice of affordable mobile devices. </w:t>
      </w:r>
    </w:p>
    <w:p w14:paraId="71365479" w14:textId="77777777" w:rsidR="00E413A1" w:rsidRPr="00FD2F0C" w:rsidRDefault="00E413A1" w:rsidP="00E413A1">
      <w:pPr>
        <w:rPr>
          <w:rFonts w:asciiTheme="minorHAnsi" w:hAnsiTheme="minorHAnsi"/>
          <w:lang w:val="en-GB"/>
        </w:rPr>
      </w:pPr>
      <w:r w:rsidRPr="00FD2F0C">
        <w:rPr>
          <w:rFonts w:asciiTheme="minorHAnsi" w:hAnsiTheme="minorHAnsi"/>
          <w:lang w:val="en-GB"/>
        </w:rPr>
        <w:t>However, it should be noted that many developing countries have not yet licensed the digital dividend bands thus limiting the ability of operators to expand mobile broadband coverage. The benefits of licensing the digital divedend can be significant. For example, Sweden had only 30% LTE population coverage before the digital dividend band was used – it now has 99% LTE population coverage. In Ghana, LTE population coverage almost doubled in just one year – from 21% to 40% - once services went live in the digital dividend band</w:t>
      </w:r>
      <w:r w:rsidRPr="00FD2F0C">
        <w:rPr>
          <w:rStyle w:val="FootnoteReference"/>
          <w:rFonts w:asciiTheme="minorHAnsi" w:hAnsiTheme="minorHAnsi"/>
        </w:rPr>
        <w:footnoteReference w:id="22"/>
      </w:r>
      <w:r w:rsidRPr="00FD2F0C">
        <w:rPr>
          <w:rFonts w:asciiTheme="minorHAnsi" w:hAnsiTheme="minorHAnsi"/>
          <w:lang w:val="en-GB"/>
        </w:rPr>
        <w:t xml:space="preserve">. </w:t>
      </w:r>
    </w:p>
    <w:p w14:paraId="228DDCA5" w14:textId="6328A16D" w:rsidR="003A0B50" w:rsidRPr="00FD2F0C" w:rsidRDefault="003A0B50" w:rsidP="003A0B50">
      <w:pPr>
        <w:rPr>
          <w:rFonts w:asciiTheme="minorHAnsi" w:hAnsiTheme="minorHAnsi"/>
          <w:lang w:val="en-US"/>
        </w:rPr>
      </w:pPr>
      <w:r w:rsidRPr="00FD2F0C">
        <w:rPr>
          <w:rFonts w:asciiTheme="minorHAnsi" w:hAnsiTheme="minorHAnsi"/>
          <w:lang w:val="en-US"/>
        </w:rPr>
        <w:t>It should be noted that spectrum reallocation at national level may also need to rely on harmonization efforts at regional level, in order to facilitate spectrum planning and avoid cross-border interference. The process of transition from analogue to digital terrestrial television (DTT) and the regional harmonization processes to enable the release of the 700 and 800 MHz for the mobile service, provide two examples of such a need.</w:t>
      </w:r>
    </w:p>
    <w:p w14:paraId="375664CF" w14:textId="3DB53198" w:rsidR="003A0B50" w:rsidRPr="00FD2F0C" w:rsidRDefault="003A0B50" w:rsidP="000C2B54">
      <w:pPr>
        <w:rPr>
          <w:rFonts w:asciiTheme="minorHAnsi" w:hAnsiTheme="minorHAnsi"/>
          <w:lang w:val="en-US"/>
        </w:rPr>
      </w:pPr>
      <w:r w:rsidRPr="00FD2F0C">
        <w:rPr>
          <w:rFonts w:asciiTheme="minorHAnsi" w:hAnsiTheme="minorHAnsi"/>
          <w:lang w:val="en-US"/>
        </w:rPr>
        <w:t>Concerning the transition from analogue to digital terrestrial television broadcasting, 120 countries in Europe, Africa, Middle East and Central Asia concluded, in 2006, the GE06 Agreement which provides for an equitable frequency Plan to effectively share the UHF band with priority to analogue service until 17 June 2015 and to digital service afterwards. This agreement, developed under the auspices of the ITU, has greatly facilitated the transition to DTT by ensuring stable rights to operate DTT in each country party to this agreement.</w:t>
      </w:r>
    </w:p>
    <w:p w14:paraId="08661BE4" w14:textId="04173B51" w:rsidR="003A0B50" w:rsidRPr="00FD2F0C" w:rsidRDefault="003A0B50" w:rsidP="003A0B50">
      <w:pPr>
        <w:rPr>
          <w:rFonts w:asciiTheme="minorHAnsi" w:hAnsiTheme="minorHAnsi"/>
          <w:lang w:val="en-US"/>
        </w:rPr>
      </w:pPr>
      <w:r w:rsidRPr="00FD2F0C">
        <w:rPr>
          <w:rFonts w:asciiTheme="minorHAnsi" w:hAnsiTheme="minorHAnsi"/>
          <w:lang w:val="en-US"/>
        </w:rPr>
        <w:t>After WRC-07, which opened the possibility of allocating the 800 MHz band in Region 1 and the 700 MHz band in Regions 2 and 3 (“fi</w:t>
      </w:r>
      <w:r w:rsidR="00C71E8B" w:rsidRPr="00FD2F0C">
        <w:rPr>
          <w:rFonts w:asciiTheme="minorHAnsi" w:hAnsiTheme="minorHAnsi"/>
          <w:lang w:val="en-US"/>
        </w:rPr>
        <w:t>rst digital dividend”). This le</w:t>
      </w:r>
      <w:r w:rsidRPr="00FD2F0C">
        <w:rPr>
          <w:rFonts w:asciiTheme="minorHAnsi" w:hAnsiTheme="minorHAnsi"/>
          <w:lang w:val="en-US"/>
        </w:rPr>
        <w:t>d European countries to a series of negotiations to modify the GE06 Plan in order to relocate DTT below 790 MHz, thus harmonizing the use of the 800 MHz band for the mobile service in Europe.</w:t>
      </w:r>
    </w:p>
    <w:p w14:paraId="5048A044" w14:textId="77777777" w:rsidR="003A0B50" w:rsidRPr="00FD2F0C" w:rsidRDefault="003A0B50" w:rsidP="003A0B50">
      <w:pPr>
        <w:rPr>
          <w:rFonts w:asciiTheme="minorHAnsi" w:hAnsiTheme="minorHAnsi"/>
          <w:lang w:val="en-US"/>
        </w:rPr>
      </w:pPr>
      <w:r w:rsidRPr="00FD2F0C">
        <w:rPr>
          <w:rFonts w:asciiTheme="minorHAnsi" w:hAnsiTheme="minorHAnsi"/>
          <w:lang w:val="en-US"/>
        </w:rPr>
        <w:t xml:space="preserve">After WRC-12, which opened the possibility of allocating the 700 MHz band in Region 1 (“second digital dividend”), which was confirmed by WRC-15, Regional organizations in Region 1 (ATU for sub-Sahara Africa, and ASMG for the Arab States) and in Region 2 (CITEL, COMTELCA and CTU for Central America and Caribbean) and smaller regional groups in Europe, have initiated, with the technical support of the ITU, similar negotiations to modify the GE06 Plan (in Region 1) or to conclude coordination agreements (in Region 2) in order to relocate DTT below 694 MHz, thus harmonizing the use of the 700 MHz band for the mobile service in these countries. </w:t>
      </w:r>
    </w:p>
    <w:p w14:paraId="2886BEEC" w14:textId="28C5CE9B" w:rsidR="0077164D" w:rsidRPr="00FD2F0C" w:rsidRDefault="003A0B50" w:rsidP="0088752B">
      <w:pPr>
        <w:rPr>
          <w:rFonts w:asciiTheme="minorHAnsi" w:hAnsiTheme="minorHAnsi"/>
          <w:lang w:val="en-US"/>
        </w:rPr>
      </w:pPr>
      <w:r w:rsidRPr="00FD2F0C">
        <w:rPr>
          <w:rFonts w:asciiTheme="minorHAnsi" w:hAnsiTheme="minorHAnsi"/>
          <w:lang w:val="en-US"/>
        </w:rPr>
        <w:lastRenderedPageBreak/>
        <w:t>For Sub-Saharan African countries, the process, completed in 2013, involved 47 countries and resulted, after 33 iterations to match the spectrum requirement of these countries, in the satisfaction of 97.4 % of the requirements. For Arab States, the process, completed in 2015, involved 17 countries and resulted in the satisfaction of 76.9 % of the requirements. In both cases, the degree of satisfaction was higher than achieved at the GE06 Conference. For the Central American and Caribbean countries, the process has started in July 2016 and is expected to be completed in 2017.</w:t>
      </w:r>
    </w:p>
    <w:p w14:paraId="75C16FF5" w14:textId="4CA33539" w:rsidR="007654F2" w:rsidRPr="00FD2F0C" w:rsidRDefault="00D703E3" w:rsidP="00E73393">
      <w:pPr>
        <w:pStyle w:val="Heading3"/>
        <w:numPr>
          <w:ilvl w:val="0"/>
          <w:numId w:val="0"/>
        </w:numPr>
        <w:ind w:left="720" w:hanging="720"/>
        <w:rPr>
          <w:rFonts w:asciiTheme="minorHAnsi" w:hAnsiTheme="minorHAnsi"/>
        </w:rPr>
      </w:pPr>
      <w:bookmarkStart w:id="41" w:name="_Toc485647978"/>
      <w:r w:rsidRPr="00FD2F0C">
        <w:rPr>
          <w:rFonts w:asciiTheme="minorHAnsi" w:hAnsiTheme="minorHAnsi"/>
        </w:rPr>
        <w:t>1.3</w:t>
      </w:r>
      <w:r w:rsidR="007654F2" w:rsidRPr="00FD2F0C">
        <w:rPr>
          <w:rFonts w:asciiTheme="minorHAnsi" w:hAnsiTheme="minorHAnsi"/>
        </w:rPr>
        <w:t>.</w:t>
      </w:r>
      <w:r w:rsidR="00D74BD1" w:rsidRPr="00FD2F0C">
        <w:rPr>
          <w:rFonts w:asciiTheme="minorHAnsi" w:hAnsiTheme="minorHAnsi"/>
        </w:rPr>
        <w:t>4</w:t>
      </w:r>
      <w:r w:rsidR="007654F2" w:rsidRPr="00FD2F0C">
        <w:rPr>
          <w:rFonts w:asciiTheme="minorHAnsi" w:hAnsiTheme="minorHAnsi"/>
        </w:rPr>
        <w:tab/>
        <w:t>Recent trends</w:t>
      </w:r>
      <w:bookmarkEnd w:id="41"/>
    </w:p>
    <w:p w14:paraId="18F10C15" w14:textId="3393C6E8" w:rsidR="007654F2" w:rsidRPr="00FD2F0C" w:rsidRDefault="007654F2" w:rsidP="007654F2">
      <w:pPr>
        <w:tabs>
          <w:tab w:val="left" w:pos="0"/>
        </w:tabs>
        <w:spacing w:afterLines="50" w:after="120"/>
        <w:rPr>
          <w:rFonts w:asciiTheme="minorHAnsi" w:hAnsiTheme="minorHAnsi"/>
          <w:lang w:val="en-GB" w:eastAsia="zh-CN"/>
        </w:rPr>
      </w:pPr>
      <w:r w:rsidRPr="00FD2F0C">
        <w:rPr>
          <w:rFonts w:asciiTheme="minorHAnsi" w:hAnsiTheme="minorHAnsi"/>
          <w:lang w:val="en-GB"/>
        </w:rPr>
        <w:t xml:space="preserve">Existing 4G networks and </w:t>
      </w:r>
      <w:r w:rsidR="00C71E8B" w:rsidRPr="00FD2F0C">
        <w:rPr>
          <w:rFonts w:asciiTheme="minorHAnsi" w:hAnsiTheme="minorHAnsi"/>
          <w:lang w:val="en-GB"/>
        </w:rPr>
        <w:t xml:space="preserve">future </w:t>
      </w:r>
      <w:r w:rsidRPr="00FD2F0C">
        <w:rPr>
          <w:rFonts w:asciiTheme="minorHAnsi" w:hAnsiTheme="minorHAnsi"/>
          <w:lang w:val="en-GB"/>
        </w:rPr>
        <w:t>5G networks will offer much greater spectrum efficiency and utility to the societal needs of a nation.</w:t>
      </w:r>
    </w:p>
    <w:p w14:paraId="726941B1" w14:textId="32707666" w:rsidR="007654F2" w:rsidRPr="00FD2F0C" w:rsidRDefault="00EF480D" w:rsidP="00EF480D">
      <w:pPr>
        <w:tabs>
          <w:tab w:val="left" w:pos="0"/>
        </w:tabs>
        <w:spacing w:afterLines="50" w:after="120"/>
        <w:rPr>
          <w:rFonts w:asciiTheme="minorHAnsi" w:hAnsiTheme="minorHAnsi"/>
          <w:lang w:val="en-GB" w:eastAsia="zh-CN"/>
        </w:rPr>
      </w:pPr>
      <w:r w:rsidRPr="00FD2F0C">
        <w:rPr>
          <w:rFonts w:asciiTheme="minorHAnsi" w:hAnsiTheme="minorHAnsi"/>
          <w:lang w:val="en-US"/>
        </w:rPr>
        <w:t>T</w:t>
      </w:r>
      <w:r w:rsidR="007654F2" w:rsidRPr="00FD2F0C">
        <w:rPr>
          <w:rFonts w:asciiTheme="minorHAnsi" w:hAnsiTheme="minorHAnsi"/>
          <w:lang w:val="en-US"/>
        </w:rPr>
        <w:t xml:space="preserve">he requirement </w:t>
      </w:r>
      <w:r w:rsidRPr="00FD2F0C">
        <w:rPr>
          <w:rFonts w:asciiTheme="minorHAnsi" w:hAnsiTheme="minorHAnsi"/>
          <w:lang w:val="en-US"/>
        </w:rPr>
        <w:t xml:space="preserve">for </w:t>
      </w:r>
      <w:r w:rsidR="007654F2" w:rsidRPr="00FD2F0C">
        <w:rPr>
          <w:rFonts w:asciiTheme="minorHAnsi" w:hAnsiTheme="minorHAnsi"/>
          <w:lang w:val="en-US"/>
        </w:rPr>
        <w:t>the development of the Internet of Things</w:t>
      </w:r>
      <w:r w:rsidRPr="00FD2F0C">
        <w:rPr>
          <w:rFonts w:asciiTheme="minorHAnsi" w:hAnsiTheme="minorHAnsi"/>
          <w:lang w:val="en-US"/>
        </w:rPr>
        <w:t xml:space="preserve"> may be addressed under the licensed regime</w:t>
      </w:r>
      <w:r w:rsidR="007654F2" w:rsidRPr="00FD2F0C">
        <w:rPr>
          <w:rFonts w:asciiTheme="minorHAnsi" w:hAnsiTheme="minorHAnsi"/>
          <w:lang w:val="en-US"/>
        </w:rPr>
        <w:t xml:space="preserve">. It is expected that by year 2020 the Internet of Things (IoT) ecosystem will consist of billions of connections between various </w:t>
      </w:r>
      <w:r w:rsidRPr="00FD2F0C">
        <w:rPr>
          <w:rFonts w:asciiTheme="minorHAnsi" w:hAnsiTheme="minorHAnsi"/>
          <w:lang w:val="en-US"/>
        </w:rPr>
        <w:t>Machine-to-Machine (</w:t>
      </w:r>
      <w:r w:rsidR="007654F2" w:rsidRPr="00FD2F0C">
        <w:rPr>
          <w:rFonts w:asciiTheme="minorHAnsi" w:hAnsiTheme="minorHAnsi"/>
          <w:lang w:val="en-US"/>
        </w:rPr>
        <w:t>M2M</w:t>
      </w:r>
      <w:r w:rsidRPr="00FD2F0C">
        <w:rPr>
          <w:rFonts w:asciiTheme="minorHAnsi" w:hAnsiTheme="minorHAnsi"/>
          <w:lang w:val="en-US"/>
        </w:rPr>
        <w:t>)</w:t>
      </w:r>
      <w:r w:rsidR="007654F2" w:rsidRPr="00FD2F0C">
        <w:rPr>
          <w:rFonts w:asciiTheme="minorHAnsi" w:hAnsiTheme="minorHAnsi"/>
          <w:lang w:val="en-US"/>
        </w:rPr>
        <w:t xml:space="preserve"> terminals. IoT can provide significant socio-economic benefits and revolutionize a wide range of industries.</w:t>
      </w:r>
    </w:p>
    <w:p w14:paraId="06E4DBED" w14:textId="77777777" w:rsidR="00EF480D" w:rsidRPr="00FD2F0C" w:rsidRDefault="007654F2" w:rsidP="007654F2">
      <w:pPr>
        <w:tabs>
          <w:tab w:val="left" w:pos="0"/>
        </w:tabs>
        <w:spacing w:afterLines="50" w:after="120"/>
        <w:rPr>
          <w:rFonts w:asciiTheme="minorHAnsi" w:hAnsiTheme="minorHAnsi"/>
          <w:lang w:val="en-US"/>
        </w:rPr>
      </w:pPr>
      <w:r w:rsidRPr="00FD2F0C">
        <w:rPr>
          <w:rFonts w:asciiTheme="minorHAnsi" w:hAnsiTheme="minorHAnsi"/>
          <w:lang w:val="en-US"/>
        </w:rPr>
        <w:t>Under the licensed model, Mobile Network Operators (MNOs) offer IoT services using in particular 2G and 4G technologies. Standardisation activities allow new releases to address specific IoT requirements. The IoT market segment is also a key target for future 5G technologies. Spectrum regulations for Private Mobile Radio (PMR) in the 400 MHz range offer regulatory options that may enable specific network deployment to match specific requirements and satellite providers may also provide IoT applications such as worldwide tracking or sensor monitoring in remote areas.</w:t>
      </w:r>
    </w:p>
    <w:p w14:paraId="4B0A08C1" w14:textId="12CC292A" w:rsidR="007654F2" w:rsidRPr="00FD2F0C" w:rsidRDefault="00EF480D" w:rsidP="009D7BF7">
      <w:pPr>
        <w:tabs>
          <w:tab w:val="left" w:pos="0"/>
        </w:tabs>
        <w:spacing w:afterLines="50" w:after="120"/>
        <w:rPr>
          <w:rFonts w:asciiTheme="minorHAnsi" w:hAnsiTheme="minorHAnsi"/>
          <w:lang w:val="en-GB" w:eastAsia="zh-CN"/>
        </w:rPr>
      </w:pPr>
      <w:r w:rsidRPr="00FD2F0C">
        <w:rPr>
          <w:rFonts w:asciiTheme="minorHAnsi" w:hAnsiTheme="minorHAnsi"/>
          <w:lang w:val="en-US"/>
        </w:rPr>
        <w:t xml:space="preserve">IoT applications may also be addressed under the unlicensed regime (see Section </w:t>
      </w:r>
      <w:r w:rsidR="000C2B54" w:rsidRPr="00FD2F0C">
        <w:rPr>
          <w:rFonts w:asciiTheme="minorHAnsi" w:hAnsiTheme="minorHAnsi"/>
          <w:lang w:val="en-US"/>
        </w:rPr>
        <w:t>1.4.1</w:t>
      </w:r>
      <w:r w:rsidRPr="00FD2F0C">
        <w:rPr>
          <w:rFonts w:asciiTheme="minorHAnsi" w:hAnsiTheme="minorHAnsi"/>
          <w:lang w:val="en-US"/>
        </w:rPr>
        <w:t>).</w:t>
      </w:r>
    </w:p>
    <w:p w14:paraId="476CABF2" w14:textId="683385E4" w:rsidR="00331730" w:rsidRPr="00FD2F0C" w:rsidRDefault="00D703E3" w:rsidP="00456C96">
      <w:pPr>
        <w:pStyle w:val="Heading2"/>
        <w:numPr>
          <w:ilvl w:val="0"/>
          <w:numId w:val="0"/>
        </w:numPr>
        <w:rPr>
          <w:rFonts w:asciiTheme="minorHAnsi" w:hAnsiTheme="minorHAnsi"/>
        </w:rPr>
      </w:pPr>
      <w:bookmarkStart w:id="42" w:name="_Toc485647979"/>
      <w:bookmarkEnd w:id="31"/>
      <w:r w:rsidRPr="00FD2F0C">
        <w:rPr>
          <w:rFonts w:asciiTheme="minorHAnsi" w:hAnsiTheme="minorHAnsi"/>
        </w:rPr>
        <w:t>1.4</w:t>
      </w:r>
      <w:r w:rsidR="00331730" w:rsidRPr="00FD2F0C">
        <w:rPr>
          <w:rFonts w:asciiTheme="minorHAnsi" w:hAnsiTheme="minorHAnsi"/>
        </w:rPr>
        <w:tab/>
        <w:t>Spectrum Sharing</w:t>
      </w:r>
      <w:bookmarkEnd w:id="42"/>
    </w:p>
    <w:p w14:paraId="2F0D2B72" w14:textId="7B596D45" w:rsidR="00331730" w:rsidRPr="00FD2F0C" w:rsidRDefault="00331730" w:rsidP="0094195F">
      <w:pPr>
        <w:tabs>
          <w:tab w:val="left" w:pos="0"/>
        </w:tabs>
        <w:spacing w:afterLines="50" w:after="120"/>
        <w:rPr>
          <w:rFonts w:asciiTheme="minorHAnsi" w:hAnsiTheme="minorHAnsi"/>
          <w:lang w:val="en-GB" w:eastAsia="zh-CN"/>
        </w:rPr>
      </w:pPr>
      <w:r w:rsidRPr="00FD2F0C">
        <w:rPr>
          <w:rFonts w:asciiTheme="minorHAnsi" w:hAnsiTheme="minorHAnsi"/>
          <w:lang w:val="en-GB" w:eastAsia="zh-CN"/>
        </w:rPr>
        <w:t xml:space="preserve">Spectrum sharing can be applied through a range of schemes that include: license-exempt, ‘lightly-licensed’, </w:t>
      </w:r>
      <w:r w:rsidR="00246E81" w:rsidRPr="00FD2F0C">
        <w:rPr>
          <w:rFonts w:asciiTheme="minorHAnsi" w:hAnsiTheme="minorHAnsi"/>
          <w:lang w:val="en-GB" w:eastAsia="zh-CN"/>
        </w:rPr>
        <w:t>L</w:t>
      </w:r>
      <w:r w:rsidRPr="00FD2F0C">
        <w:rPr>
          <w:rFonts w:asciiTheme="minorHAnsi" w:hAnsiTheme="minorHAnsi"/>
          <w:lang w:val="en-GB" w:eastAsia="zh-CN"/>
        </w:rPr>
        <w:t xml:space="preserve">icensed </w:t>
      </w:r>
      <w:r w:rsidR="00246E81" w:rsidRPr="00FD2F0C">
        <w:rPr>
          <w:rFonts w:asciiTheme="minorHAnsi" w:hAnsiTheme="minorHAnsi"/>
          <w:lang w:val="en-GB" w:eastAsia="zh-CN"/>
        </w:rPr>
        <w:t>S</w:t>
      </w:r>
      <w:r w:rsidRPr="00FD2F0C">
        <w:rPr>
          <w:rFonts w:asciiTheme="minorHAnsi" w:hAnsiTheme="minorHAnsi"/>
          <w:lang w:val="en-GB" w:eastAsia="zh-CN"/>
        </w:rPr>
        <w:t xml:space="preserve">hared </w:t>
      </w:r>
      <w:r w:rsidR="00246E81" w:rsidRPr="00FD2F0C">
        <w:rPr>
          <w:rFonts w:asciiTheme="minorHAnsi" w:hAnsiTheme="minorHAnsi"/>
          <w:lang w:val="en-GB" w:eastAsia="zh-CN"/>
        </w:rPr>
        <w:t>A</w:t>
      </w:r>
      <w:r w:rsidRPr="00FD2F0C">
        <w:rPr>
          <w:rFonts w:asciiTheme="minorHAnsi" w:hAnsiTheme="minorHAnsi"/>
          <w:lang w:val="en-GB" w:eastAsia="zh-CN"/>
        </w:rPr>
        <w:t>ccess (LSA), or licensed regulatory frameworks.</w:t>
      </w:r>
    </w:p>
    <w:p w14:paraId="274887A9" w14:textId="77777777" w:rsidR="00DE709C" w:rsidRPr="00FD2F0C" w:rsidRDefault="00DE709C">
      <w:pPr>
        <w:rPr>
          <w:rFonts w:asciiTheme="minorHAnsi" w:hAnsiTheme="minorHAnsi"/>
          <w:lang w:val="en-GB"/>
        </w:rPr>
      </w:pPr>
      <w:r w:rsidRPr="00FD2F0C">
        <w:rPr>
          <w:rFonts w:asciiTheme="minorHAnsi" w:hAnsiTheme="minorHAnsi"/>
          <w:lang w:val="en-GB"/>
        </w:rPr>
        <w:t xml:space="preserve">Article 1 of the Radio Regulations (RR), Nos. </w:t>
      </w:r>
      <w:r w:rsidRPr="00FD2F0C">
        <w:rPr>
          <w:rFonts w:asciiTheme="minorHAnsi" w:hAnsiTheme="minorHAnsi"/>
          <w:b/>
          <w:bCs/>
          <w:lang w:val="en-GB"/>
        </w:rPr>
        <w:t>1.166</w:t>
      </w:r>
      <w:r w:rsidRPr="00FD2F0C">
        <w:rPr>
          <w:rFonts w:asciiTheme="minorHAnsi" w:hAnsiTheme="minorHAnsi"/>
          <w:lang w:val="en-GB"/>
        </w:rPr>
        <w:t xml:space="preserve"> to </w:t>
      </w:r>
      <w:r w:rsidRPr="00FD2F0C">
        <w:rPr>
          <w:rFonts w:asciiTheme="minorHAnsi" w:hAnsiTheme="minorHAnsi"/>
          <w:b/>
          <w:bCs/>
          <w:lang w:val="en-GB"/>
        </w:rPr>
        <w:t>1.176</w:t>
      </w:r>
      <w:r w:rsidRPr="00FD2F0C">
        <w:rPr>
          <w:rFonts w:asciiTheme="minorHAnsi" w:hAnsiTheme="minorHAnsi"/>
          <w:lang w:val="en-GB"/>
        </w:rPr>
        <w:t>, defines the parameters to be taken into account in frequency sharing. Spectrum sharing is facilitated by application of technical methods that are considered on a general basis but which also can be used in the assignment of frequencies on a station-by-station basis. Some of these approaches may involve regulatory actions.</w:t>
      </w:r>
    </w:p>
    <w:p w14:paraId="248930AB" w14:textId="5CEF9C2F" w:rsidR="00331730" w:rsidRPr="00FD2F0C" w:rsidRDefault="007366D4">
      <w:pPr>
        <w:rPr>
          <w:rFonts w:asciiTheme="minorHAnsi" w:hAnsiTheme="minorHAnsi"/>
          <w:lang w:val="en-GB"/>
        </w:rPr>
      </w:pPr>
      <w:r w:rsidRPr="00FD2F0C">
        <w:rPr>
          <w:rFonts w:asciiTheme="minorHAnsi" w:hAnsiTheme="minorHAnsi"/>
          <w:lang w:val="en-GB"/>
        </w:rPr>
        <w:t xml:space="preserve">Some techniques for allowing shared access to spectrum are static, such as channelling plans and band segmentation (frequency separation), site separation and geographically shared allocation (spatial separation), and signal coding and processing (signal separation). </w:t>
      </w:r>
    </w:p>
    <w:p w14:paraId="3E1CD488" w14:textId="3D66D85B" w:rsidR="007366D4" w:rsidRPr="00FD2F0C" w:rsidRDefault="007366D4" w:rsidP="00123E17">
      <w:pPr>
        <w:rPr>
          <w:rFonts w:asciiTheme="minorHAnsi" w:hAnsiTheme="minorHAnsi"/>
          <w:lang w:val="en-GB"/>
        </w:rPr>
      </w:pPr>
      <w:r w:rsidRPr="00FD2F0C">
        <w:rPr>
          <w:rFonts w:asciiTheme="minorHAnsi" w:hAnsiTheme="minorHAnsi"/>
          <w:lang w:val="en-GB"/>
        </w:rPr>
        <w:t xml:space="preserve">Other techniques are dynamic </w:t>
      </w:r>
      <w:r w:rsidRPr="00FD2F0C">
        <w:rPr>
          <w:rFonts w:asciiTheme="minorHAnsi" w:hAnsiTheme="minorHAnsi"/>
          <w:lang w:val="en-US"/>
        </w:rPr>
        <w:t>–</w:t>
      </w:r>
      <w:r w:rsidRPr="00FD2F0C">
        <w:rPr>
          <w:rFonts w:asciiTheme="minorHAnsi" w:hAnsiTheme="minorHAnsi"/>
          <w:lang w:val="en-GB"/>
        </w:rPr>
        <w:t xml:space="preserve"> that is they allow enabled devices sharing the same spectrum band to dynamically select a frequency and/or time slot to use to avoid causing interference to other nearby devices.</w:t>
      </w:r>
      <w:r w:rsidRPr="00FD2F0C">
        <w:rPr>
          <w:rStyle w:val="FootnoteReference"/>
          <w:rFonts w:asciiTheme="minorHAnsi" w:hAnsiTheme="minorHAnsi"/>
        </w:rPr>
        <w:footnoteReference w:id="23"/>
      </w:r>
      <w:r w:rsidRPr="00FD2F0C">
        <w:rPr>
          <w:rStyle w:val="FootnoteReference"/>
          <w:rFonts w:asciiTheme="minorHAnsi" w:hAnsiTheme="minorHAnsi"/>
          <w:lang w:val="en-GB"/>
        </w:rPr>
        <w:t xml:space="preserve"> </w:t>
      </w:r>
      <w:r w:rsidRPr="00FD2F0C">
        <w:rPr>
          <w:rFonts w:asciiTheme="minorHAnsi" w:hAnsiTheme="minorHAnsi"/>
          <w:lang w:val="en-GB"/>
        </w:rPr>
        <w:t>There are several methods available to facilitate the dynamic sharing of spectrum</w:t>
      </w:r>
      <w:r w:rsidR="004E3A1E" w:rsidRPr="00FD2F0C">
        <w:rPr>
          <w:rFonts w:asciiTheme="minorHAnsi" w:hAnsiTheme="minorHAnsi"/>
          <w:lang w:val="en-GB"/>
        </w:rPr>
        <w:t>.</w:t>
      </w:r>
      <w:r w:rsidRPr="00FD2F0C">
        <w:rPr>
          <w:rFonts w:asciiTheme="minorHAnsi" w:hAnsiTheme="minorHAnsi"/>
          <w:lang w:val="en-GB"/>
        </w:rPr>
        <w:t xml:space="preserve"> These include </w:t>
      </w:r>
      <w:r w:rsidR="00331730" w:rsidRPr="00FD2F0C">
        <w:rPr>
          <w:rFonts w:asciiTheme="minorHAnsi" w:hAnsiTheme="minorHAnsi"/>
          <w:lang w:val="en-GB"/>
        </w:rPr>
        <w:t xml:space="preserve">listen before talk (LBT), dynamic frequency selection (DFS), agile systems, </w:t>
      </w:r>
      <w:r w:rsidRPr="00FD2F0C">
        <w:rPr>
          <w:rFonts w:asciiTheme="minorHAnsi" w:hAnsiTheme="minorHAnsi"/>
          <w:lang w:val="en-GB"/>
        </w:rPr>
        <w:t>spectrum database, spectrum access controller, geo-location database, beacon, sensing, and licensed shared access.</w:t>
      </w:r>
      <w:r w:rsidRPr="00FD2F0C">
        <w:rPr>
          <w:rStyle w:val="FootnoteReference"/>
          <w:rFonts w:asciiTheme="minorHAnsi" w:hAnsiTheme="minorHAnsi"/>
        </w:rPr>
        <w:footnoteReference w:id="24"/>
      </w:r>
    </w:p>
    <w:p w14:paraId="73123906" w14:textId="1E339AB6" w:rsidR="00BB1D9C" w:rsidRPr="00FD2F0C" w:rsidDel="00443FA6" w:rsidRDefault="00D703E3" w:rsidP="00E73393">
      <w:pPr>
        <w:pStyle w:val="Heading3"/>
        <w:numPr>
          <w:ilvl w:val="0"/>
          <w:numId w:val="0"/>
        </w:numPr>
        <w:ind w:left="720" w:hanging="720"/>
        <w:rPr>
          <w:rFonts w:asciiTheme="minorHAnsi" w:hAnsiTheme="minorHAnsi"/>
        </w:rPr>
      </w:pPr>
      <w:bookmarkStart w:id="43" w:name="_Toc485647980"/>
      <w:r w:rsidRPr="00FD2F0C">
        <w:rPr>
          <w:rFonts w:asciiTheme="minorHAnsi" w:hAnsiTheme="minorHAnsi"/>
        </w:rPr>
        <w:t>1.4</w:t>
      </w:r>
      <w:r w:rsidR="00BB1D9C" w:rsidRPr="00FD2F0C">
        <w:rPr>
          <w:rFonts w:asciiTheme="minorHAnsi" w:hAnsiTheme="minorHAnsi"/>
        </w:rPr>
        <w:t>.1</w:t>
      </w:r>
      <w:r w:rsidR="00BB1D9C" w:rsidRPr="00FD2F0C">
        <w:rPr>
          <w:rFonts w:asciiTheme="minorHAnsi" w:hAnsiTheme="minorHAnsi"/>
        </w:rPr>
        <w:tab/>
        <w:t>Spectrum sharing under the license-exempt approach</w:t>
      </w:r>
      <w:bookmarkEnd w:id="43"/>
    </w:p>
    <w:p w14:paraId="1D22904C" w14:textId="47428F0B" w:rsidR="00BB1D9C" w:rsidRPr="00FD2F0C" w:rsidRDefault="00BB1D9C" w:rsidP="007366D4">
      <w:pPr>
        <w:spacing w:after="120"/>
        <w:rPr>
          <w:rFonts w:asciiTheme="minorHAnsi" w:hAnsiTheme="minorHAnsi"/>
          <w:lang w:val="en-GB"/>
        </w:rPr>
      </w:pPr>
      <w:r w:rsidRPr="00FD2F0C">
        <w:rPr>
          <w:rFonts w:asciiTheme="minorHAnsi" w:hAnsiTheme="minorHAnsi"/>
          <w:lang w:val="en-GB"/>
        </w:rPr>
        <w:t xml:space="preserve">License-exempt bands are inherently based on spectrum sharing among the various </w:t>
      </w:r>
      <w:r w:rsidR="003B3320" w:rsidRPr="00FD2F0C">
        <w:rPr>
          <w:rFonts w:asciiTheme="minorHAnsi" w:hAnsiTheme="minorHAnsi"/>
          <w:lang w:val="en-GB"/>
        </w:rPr>
        <w:t>license</w:t>
      </w:r>
      <w:r w:rsidRPr="00FD2F0C">
        <w:rPr>
          <w:rFonts w:asciiTheme="minorHAnsi" w:hAnsiTheme="minorHAnsi"/>
          <w:lang w:val="en-GB"/>
        </w:rPr>
        <w:t>-exempt users of the bands.</w:t>
      </w:r>
    </w:p>
    <w:p w14:paraId="5206637D" w14:textId="5F766DE3" w:rsidR="00BB1D9C" w:rsidRPr="00FD2F0C" w:rsidRDefault="00BB1D9C" w:rsidP="007366D4">
      <w:pPr>
        <w:spacing w:after="120"/>
        <w:rPr>
          <w:rFonts w:asciiTheme="minorHAnsi" w:hAnsiTheme="minorHAnsi"/>
          <w:lang w:val="en-GB"/>
        </w:rPr>
      </w:pPr>
      <w:r w:rsidRPr="00FD2F0C">
        <w:rPr>
          <w:rFonts w:asciiTheme="minorHAnsi" w:hAnsiTheme="minorHAnsi"/>
          <w:lang w:val="en-GB"/>
        </w:rPr>
        <w:lastRenderedPageBreak/>
        <w:t xml:space="preserve">“License-exempt” spectrum refers to spectrum which access is permitted on the basis of “general </w:t>
      </w:r>
      <w:r w:rsidR="003B3320" w:rsidRPr="00FD2F0C">
        <w:rPr>
          <w:rFonts w:asciiTheme="minorHAnsi" w:hAnsiTheme="minorHAnsi"/>
          <w:lang w:val="en-GB"/>
        </w:rPr>
        <w:t>license</w:t>
      </w:r>
      <w:r w:rsidRPr="00FD2F0C">
        <w:rPr>
          <w:rFonts w:asciiTheme="minorHAnsi" w:hAnsiTheme="minorHAnsi"/>
          <w:lang w:val="en-GB"/>
        </w:rPr>
        <w:t>”: under this approach any radio device that complies with a predefined set of regulatory parameters is permitted to operate.</w:t>
      </w:r>
    </w:p>
    <w:p w14:paraId="5A238EDF" w14:textId="77777777" w:rsidR="00BB1D9C" w:rsidRPr="00FD2F0C" w:rsidRDefault="00BB1D9C" w:rsidP="007366D4">
      <w:pPr>
        <w:spacing w:after="120"/>
        <w:rPr>
          <w:rFonts w:asciiTheme="minorHAnsi" w:hAnsiTheme="minorHAnsi"/>
          <w:lang w:val="en-GB"/>
        </w:rPr>
      </w:pPr>
      <w:r w:rsidRPr="00FD2F0C">
        <w:rPr>
          <w:rFonts w:asciiTheme="minorHAnsi" w:hAnsiTheme="minorHAnsi"/>
          <w:lang w:val="en-GB"/>
        </w:rPr>
        <w:t>These regulatory parameters are defined to ensure protection of radio services (vertical sharing) and also in view of ensuring an equitable access between “license-exempt” radio devices (horizontal sharing).</w:t>
      </w:r>
    </w:p>
    <w:p w14:paraId="212CE066" w14:textId="54BCD47C" w:rsidR="00BB1D9C" w:rsidRPr="00FD2F0C" w:rsidRDefault="00BB1D9C" w:rsidP="007366D4">
      <w:pPr>
        <w:spacing w:after="120"/>
        <w:rPr>
          <w:rFonts w:asciiTheme="minorHAnsi" w:hAnsiTheme="minorHAnsi"/>
          <w:lang w:val="en-GB"/>
        </w:rPr>
      </w:pPr>
      <w:r w:rsidRPr="00FD2F0C">
        <w:rPr>
          <w:rFonts w:asciiTheme="minorHAnsi" w:hAnsiTheme="minorHAnsi"/>
          <w:lang w:val="en-GB"/>
        </w:rPr>
        <w:t>“Short range devices”</w:t>
      </w:r>
      <w:r w:rsidR="00B252B3" w:rsidRPr="00FD2F0C">
        <w:rPr>
          <w:rFonts w:asciiTheme="minorHAnsi" w:hAnsiTheme="minorHAnsi"/>
          <w:lang w:val="en-GB"/>
        </w:rPr>
        <w:t xml:space="preserve"> (SRD)</w:t>
      </w:r>
      <w:r w:rsidRPr="00FD2F0C">
        <w:rPr>
          <w:rFonts w:asciiTheme="minorHAnsi" w:hAnsiTheme="minorHAnsi"/>
          <w:lang w:val="en-GB"/>
        </w:rPr>
        <w:t xml:space="preserve"> commonly fall into this category. The term “SRD” allows actually labelling a family of spectrum regulations that belongs to the broader concept of “collective use of spectrum”, as opposed to “exclusive use of spectrum”. They are now  encompassing wide range of innovative applications.</w:t>
      </w:r>
    </w:p>
    <w:p w14:paraId="51A9654C" w14:textId="6B306AF1" w:rsidR="00BB1D9C" w:rsidRPr="00FD2F0C" w:rsidRDefault="006437B3" w:rsidP="007366D4">
      <w:pPr>
        <w:spacing w:after="120"/>
        <w:rPr>
          <w:rFonts w:asciiTheme="minorHAnsi" w:hAnsiTheme="minorHAnsi"/>
          <w:lang w:val="en-GB"/>
        </w:rPr>
      </w:pPr>
      <w:r w:rsidRPr="00FD2F0C">
        <w:rPr>
          <w:rFonts w:asciiTheme="minorHAnsi" w:hAnsiTheme="minorHAnsi"/>
          <w:lang w:val="en-GB"/>
        </w:rPr>
        <w:t xml:space="preserve">Effective access to spectrum by SRDs heavily relies on the principle of “frequency re-use” that is enabled by the low power operation, cluttered environment, and spectrum access mechanisms such </w:t>
      </w:r>
      <w:r w:rsidR="00B252B3" w:rsidRPr="00FD2F0C">
        <w:rPr>
          <w:rFonts w:asciiTheme="minorHAnsi" w:hAnsiTheme="minorHAnsi"/>
          <w:lang w:val="en-GB"/>
        </w:rPr>
        <w:t xml:space="preserve">as </w:t>
      </w:r>
      <w:r w:rsidRPr="00FD2F0C">
        <w:rPr>
          <w:rFonts w:asciiTheme="minorHAnsi" w:hAnsiTheme="minorHAnsi"/>
          <w:lang w:val="en-GB"/>
        </w:rPr>
        <w:t>duty cycle limitation.</w:t>
      </w:r>
    </w:p>
    <w:p w14:paraId="6A9FEFF2" w14:textId="77777777" w:rsidR="006437B3" w:rsidRPr="00FD2F0C" w:rsidRDefault="006437B3" w:rsidP="007366D4">
      <w:pPr>
        <w:spacing w:after="120"/>
        <w:rPr>
          <w:rFonts w:asciiTheme="minorHAnsi" w:hAnsiTheme="minorHAnsi"/>
          <w:lang w:val="en-GB"/>
        </w:rPr>
      </w:pPr>
      <w:r w:rsidRPr="00FD2F0C">
        <w:rPr>
          <w:rFonts w:asciiTheme="minorHAnsi" w:hAnsiTheme="minorHAnsi"/>
          <w:lang w:val="en-GB"/>
        </w:rPr>
        <w:t>While spectrum access cannot be guaranteed in the case of “license-exempt spectrum”, it should be noted that the specified regulatory parameters define a predictable sharing environment. Administrations have a responsibility in ensuring sustainable access to SRD bands: the impact of a change in spectrum regulations have to be duly assessed prior to decision making.</w:t>
      </w:r>
    </w:p>
    <w:p w14:paraId="14C500DE" w14:textId="77777777" w:rsidR="006437B3" w:rsidRPr="00FD2F0C" w:rsidRDefault="006437B3">
      <w:pPr>
        <w:spacing w:after="120"/>
        <w:rPr>
          <w:rFonts w:asciiTheme="minorHAnsi" w:hAnsiTheme="minorHAnsi"/>
          <w:lang w:val="en-GB"/>
        </w:rPr>
      </w:pPr>
      <w:r w:rsidRPr="00FD2F0C">
        <w:rPr>
          <w:rFonts w:asciiTheme="minorHAnsi" w:hAnsiTheme="minorHAnsi"/>
          <w:lang w:val="en-GB"/>
        </w:rPr>
        <w:t>With respect to the market, license-exempt approach allows to address multiple segment including that of Broadband connectivity (e.g. WiFi)  and of the Internet of Things (IoT).</w:t>
      </w:r>
    </w:p>
    <w:p w14:paraId="309ABF23" w14:textId="5D6295F3" w:rsidR="00F62265" w:rsidRPr="00FD2F0C" w:rsidRDefault="00F62265">
      <w:pPr>
        <w:tabs>
          <w:tab w:val="left" w:pos="720"/>
        </w:tabs>
        <w:spacing w:after="120"/>
        <w:rPr>
          <w:rFonts w:asciiTheme="minorHAnsi" w:eastAsia="Calibri" w:hAnsiTheme="minorHAnsi" w:cs="Arial"/>
          <w:color w:val="000000"/>
          <w:szCs w:val="24"/>
          <w:lang w:val="en-GB"/>
        </w:rPr>
      </w:pPr>
      <w:r w:rsidRPr="00FD2F0C">
        <w:rPr>
          <w:rFonts w:asciiTheme="minorHAnsi" w:eastAsia="Calibri" w:hAnsiTheme="minorHAnsi" w:cs="Arial"/>
          <w:color w:val="000000"/>
          <w:szCs w:val="24"/>
          <w:lang w:val="en-GB"/>
        </w:rPr>
        <w:t xml:space="preserve">Concerning the IoT, many solutions are deployed or investigated to address the IoT market under license-exempt rules. In particular, Low power Wide Area Network (LPWAN) systems have already been deployed worldwide in </w:t>
      </w:r>
      <w:r w:rsidR="003B3320" w:rsidRPr="00FD2F0C">
        <w:rPr>
          <w:rFonts w:asciiTheme="minorHAnsi" w:eastAsia="Calibri" w:hAnsiTheme="minorHAnsi" w:cs="Arial"/>
          <w:color w:val="000000"/>
          <w:szCs w:val="24"/>
          <w:lang w:val="en-GB"/>
        </w:rPr>
        <w:t>license</w:t>
      </w:r>
      <w:r w:rsidRPr="00FD2F0C">
        <w:rPr>
          <w:rFonts w:asciiTheme="minorHAnsi" w:eastAsia="Calibri" w:hAnsiTheme="minorHAnsi" w:cs="Arial"/>
          <w:color w:val="000000"/>
          <w:szCs w:val="24"/>
          <w:lang w:val="en-GB"/>
        </w:rPr>
        <w:t>-exempt spectrum, notably in the 800/900 MHz range. LPWAN systems seek longer range operation compare</w:t>
      </w:r>
      <w:r w:rsidR="00187666" w:rsidRPr="00FD2F0C">
        <w:rPr>
          <w:rFonts w:asciiTheme="minorHAnsi" w:eastAsia="Calibri" w:hAnsiTheme="minorHAnsi" w:cs="Arial"/>
          <w:color w:val="000000"/>
          <w:szCs w:val="24"/>
          <w:lang w:val="en-GB"/>
        </w:rPr>
        <w:t>d</w:t>
      </w:r>
      <w:r w:rsidRPr="00FD2F0C">
        <w:rPr>
          <w:rFonts w:asciiTheme="minorHAnsi" w:eastAsia="Calibri" w:hAnsiTheme="minorHAnsi" w:cs="Arial"/>
          <w:color w:val="000000"/>
          <w:szCs w:val="24"/>
          <w:lang w:val="en-GB"/>
        </w:rPr>
        <w:t xml:space="preserve"> with conventional SRDs</w:t>
      </w:r>
      <w:r w:rsidR="00187666" w:rsidRPr="00FD2F0C">
        <w:rPr>
          <w:rFonts w:asciiTheme="minorHAnsi" w:eastAsia="Calibri" w:hAnsiTheme="minorHAnsi" w:cs="Arial"/>
          <w:color w:val="000000"/>
          <w:szCs w:val="24"/>
          <w:lang w:val="en-GB"/>
        </w:rPr>
        <w:t>,</w:t>
      </w:r>
      <w:r w:rsidRPr="00FD2F0C">
        <w:rPr>
          <w:rFonts w:asciiTheme="minorHAnsi" w:eastAsia="Calibri" w:hAnsiTheme="minorHAnsi" w:cs="Arial"/>
          <w:color w:val="000000"/>
          <w:szCs w:val="24"/>
          <w:lang w:val="en-GB"/>
        </w:rPr>
        <w:t xml:space="preserve"> with relatively low throughput.</w:t>
      </w:r>
      <w:r w:rsidR="0007602A" w:rsidRPr="00FD2F0C">
        <w:rPr>
          <w:rFonts w:asciiTheme="minorHAnsi" w:eastAsia="Calibri" w:hAnsiTheme="minorHAnsi" w:cs="Arial"/>
          <w:color w:val="000000"/>
          <w:szCs w:val="24"/>
          <w:lang w:val="en-GB"/>
        </w:rPr>
        <w:t xml:space="preserve"> </w:t>
      </w:r>
      <w:r w:rsidR="00DC789F" w:rsidRPr="00FD2F0C">
        <w:rPr>
          <w:rFonts w:asciiTheme="minorHAnsi" w:eastAsia="Calibri" w:hAnsiTheme="minorHAnsi" w:cs="Arial"/>
          <w:color w:val="000000"/>
          <w:szCs w:val="24"/>
          <w:lang w:val="en-GB"/>
        </w:rPr>
        <w:t>IoT applications can be offered using LPWAN</w:t>
      </w:r>
      <w:r w:rsidR="0007602A" w:rsidRPr="00FD2F0C">
        <w:rPr>
          <w:rFonts w:asciiTheme="minorHAnsi" w:eastAsia="Calibri" w:hAnsiTheme="minorHAnsi" w:cs="Arial"/>
          <w:color w:val="000000"/>
          <w:szCs w:val="24"/>
          <w:lang w:val="en-GB"/>
        </w:rPr>
        <w:t xml:space="preserve"> systems</w:t>
      </w:r>
      <w:r w:rsidR="00DC789F" w:rsidRPr="00FD2F0C">
        <w:rPr>
          <w:rFonts w:asciiTheme="minorHAnsi" w:eastAsia="Calibri" w:hAnsiTheme="minorHAnsi" w:cs="Arial"/>
          <w:color w:val="000000"/>
          <w:szCs w:val="24"/>
          <w:lang w:val="en-GB"/>
        </w:rPr>
        <w:t xml:space="preserve"> or</w:t>
      </w:r>
      <w:r w:rsidR="0007602A" w:rsidRPr="00FD2F0C">
        <w:rPr>
          <w:rFonts w:asciiTheme="minorHAnsi" w:eastAsia="Calibri" w:hAnsiTheme="minorHAnsi" w:cs="Arial"/>
          <w:color w:val="000000"/>
          <w:szCs w:val="24"/>
          <w:lang w:val="en-GB"/>
        </w:rPr>
        <w:t xml:space="preserve"> conventional</w:t>
      </w:r>
      <w:r w:rsidR="00DC789F" w:rsidRPr="00FD2F0C">
        <w:rPr>
          <w:rFonts w:asciiTheme="minorHAnsi" w:eastAsia="Calibri" w:hAnsiTheme="minorHAnsi" w:cs="Arial"/>
          <w:color w:val="000000"/>
          <w:szCs w:val="24"/>
          <w:lang w:val="en-GB"/>
        </w:rPr>
        <w:t xml:space="preserve"> SRDs based on the target capacity/coverage trade off.</w:t>
      </w:r>
    </w:p>
    <w:p w14:paraId="64BEF1FA" w14:textId="07D5C3FD" w:rsidR="007366D4" w:rsidRPr="00FD2F0C" w:rsidRDefault="007366D4">
      <w:pPr>
        <w:spacing w:after="120"/>
        <w:rPr>
          <w:rFonts w:asciiTheme="minorHAnsi" w:hAnsiTheme="minorHAnsi"/>
          <w:lang w:val="en-GB"/>
        </w:rPr>
      </w:pPr>
      <w:r w:rsidRPr="00FD2F0C">
        <w:rPr>
          <w:rFonts w:asciiTheme="minorHAnsi" w:hAnsiTheme="minorHAnsi"/>
          <w:lang w:val="en-GB"/>
        </w:rPr>
        <w:t xml:space="preserve">A well-known example of </w:t>
      </w:r>
      <w:r w:rsidR="00DE22B3" w:rsidRPr="00FD2F0C">
        <w:rPr>
          <w:rFonts w:asciiTheme="minorHAnsi" w:hAnsiTheme="minorHAnsi"/>
          <w:lang w:val="en-GB"/>
        </w:rPr>
        <w:t xml:space="preserve">spectrum </w:t>
      </w:r>
      <w:r w:rsidRPr="00FD2F0C">
        <w:rPr>
          <w:rFonts w:asciiTheme="minorHAnsi" w:hAnsiTheme="minorHAnsi"/>
          <w:lang w:val="en-GB"/>
        </w:rPr>
        <w:t>sharing through time separation is Wi-Fi operations in the license-exempt 2.4 GHz ISM band, where multiple license-exempt devices operating in a Wireless Local Area Network (WLAN) combine a collision-based mechanism called listen-before-talk with exponential back-off to allow for sharing in time of the same spectrum within a localized area.</w:t>
      </w:r>
    </w:p>
    <w:p w14:paraId="0C55FFE8" w14:textId="77777777" w:rsidR="005441C8" w:rsidRPr="00FD2F0C" w:rsidRDefault="005441C8" w:rsidP="007366D4">
      <w:pPr>
        <w:tabs>
          <w:tab w:val="left" w:pos="720"/>
        </w:tabs>
        <w:spacing w:after="120"/>
        <w:rPr>
          <w:rFonts w:asciiTheme="minorHAnsi" w:eastAsia="Calibri" w:hAnsiTheme="minorHAnsi" w:cs="Arial"/>
          <w:color w:val="000000"/>
          <w:szCs w:val="24"/>
          <w:lang w:val="en-GB"/>
        </w:rPr>
      </w:pPr>
      <w:r w:rsidRPr="00FD2F0C">
        <w:rPr>
          <w:rFonts w:asciiTheme="minorHAnsi" w:eastAsia="Calibri" w:hAnsiTheme="minorHAnsi" w:cs="Arial"/>
          <w:color w:val="000000"/>
          <w:szCs w:val="24"/>
          <w:lang w:val="en-GB"/>
        </w:rPr>
        <w:t>At present, in several countries, mobile network operators utilize Wi-Fi offload of the downlink data over license-exempt spectrum in the 2.4 GHz ISM band to improve network operations and the user experience, and are laying the groundwork for supplemental downlink in segments of the 5 GHz band .</w:t>
      </w:r>
    </w:p>
    <w:p w14:paraId="2A8CC491" w14:textId="4A208B09" w:rsidR="00580EA5" w:rsidRPr="00FD2F0C" w:rsidRDefault="00580EA5" w:rsidP="00123E17">
      <w:pPr>
        <w:pStyle w:val="Heading3"/>
        <w:numPr>
          <w:ilvl w:val="0"/>
          <w:numId w:val="0"/>
        </w:numPr>
        <w:ind w:left="720" w:hanging="720"/>
        <w:rPr>
          <w:rFonts w:asciiTheme="minorHAnsi" w:hAnsiTheme="minorHAnsi"/>
        </w:rPr>
      </w:pPr>
      <w:bookmarkStart w:id="44" w:name="_Toc485647981"/>
      <w:r w:rsidRPr="00FD2F0C">
        <w:rPr>
          <w:rFonts w:asciiTheme="minorHAnsi" w:hAnsiTheme="minorHAnsi"/>
        </w:rPr>
        <w:t>1.</w:t>
      </w:r>
      <w:r w:rsidR="00D703E3" w:rsidRPr="00FD2F0C">
        <w:rPr>
          <w:rFonts w:asciiTheme="minorHAnsi" w:hAnsiTheme="minorHAnsi"/>
        </w:rPr>
        <w:t>4</w:t>
      </w:r>
      <w:r w:rsidRPr="00FD2F0C">
        <w:rPr>
          <w:rFonts w:asciiTheme="minorHAnsi" w:hAnsiTheme="minorHAnsi"/>
        </w:rPr>
        <w:t>.2</w:t>
      </w:r>
      <w:r w:rsidRPr="00FD2F0C">
        <w:rPr>
          <w:rFonts w:asciiTheme="minorHAnsi" w:hAnsiTheme="minorHAnsi"/>
        </w:rPr>
        <w:tab/>
        <w:t xml:space="preserve">Dynamic </w:t>
      </w:r>
      <w:r w:rsidR="00871240" w:rsidRPr="00FD2F0C">
        <w:rPr>
          <w:rFonts w:asciiTheme="minorHAnsi" w:hAnsiTheme="minorHAnsi"/>
        </w:rPr>
        <w:t>s</w:t>
      </w:r>
      <w:r w:rsidRPr="00FD2F0C">
        <w:rPr>
          <w:rFonts w:asciiTheme="minorHAnsi" w:hAnsiTheme="minorHAnsi"/>
        </w:rPr>
        <w:t xml:space="preserve">pectrum </w:t>
      </w:r>
      <w:r w:rsidR="00871240" w:rsidRPr="00FD2F0C">
        <w:rPr>
          <w:rFonts w:asciiTheme="minorHAnsi" w:hAnsiTheme="minorHAnsi"/>
        </w:rPr>
        <w:t>s</w:t>
      </w:r>
      <w:r w:rsidR="004B35BE" w:rsidRPr="00FD2F0C">
        <w:rPr>
          <w:rFonts w:asciiTheme="minorHAnsi" w:hAnsiTheme="minorHAnsi"/>
        </w:rPr>
        <w:t>haring</w:t>
      </w:r>
      <w:bookmarkEnd w:id="44"/>
      <w:r w:rsidR="004B35BE" w:rsidRPr="00FD2F0C">
        <w:rPr>
          <w:rFonts w:asciiTheme="minorHAnsi" w:hAnsiTheme="minorHAnsi"/>
        </w:rPr>
        <w:t xml:space="preserve"> </w:t>
      </w:r>
    </w:p>
    <w:p w14:paraId="755DBC60" w14:textId="36C684A7" w:rsidR="004B35BE" w:rsidRPr="00FD2F0C" w:rsidRDefault="00580EA5">
      <w:pPr>
        <w:tabs>
          <w:tab w:val="left" w:pos="720"/>
        </w:tabs>
        <w:spacing w:after="120"/>
        <w:rPr>
          <w:rFonts w:asciiTheme="minorHAnsi" w:eastAsia="Calibri" w:hAnsiTheme="minorHAnsi"/>
          <w:szCs w:val="24"/>
          <w:lang w:val="en-GB"/>
        </w:rPr>
      </w:pPr>
      <w:r w:rsidRPr="00FD2F0C">
        <w:rPr>
          <w:rFonts w:asciiTheme="minorHAnsi" w:eastAsia="Calibri" w:hAnsiTheme="minorHAnsi"/>
          <w:szCs w:val="24"/>
          <w:lang w:val="en-GB"/>
        </w:rPr>
        <w:t xml:space="preserve">In the context of this Report, temporarily unused / unoccupied spectrum is a portion of spectrum in a band designated for use by one of several applications operating under the provisions of the Radio Regulations and that is not being used at a given time and within a given geographic area. Dynamic </w:t>
      </w:r>
      <w:r w:rsidR="00751E23" w:rsidRPr="00FD2F0C">
        <w:rPr>
          <w:rFonts w:asciiTheme="minorHAnsi" w:eastAsia="Calibri" w:hAnsiTheme="minorHAnsi"/>
          <w:szCs w:val="24"/>
          <w:lang w:val="en-GB"/>
        </w:rPr>
        <w:t>s</w:t>
      </w:r>
      <w:r w:rsidRPr="00FD2F0C">
        <w:rPr>
          <w:rFonts w:asciiTheme="minorHAnsi" w:eastAsia="Calibri" w:hAnsiTheme="minorHAnsi"/>
          <w:szCs w:val="24"/>
          <w:lang w:val="en-GB"/>
        </w:rPr>
        <w:t xml:space="preserve">pectrum </w:t>
      </w:r>
      <w:r w:rsidR="00751E23" w:rsidRPr="00FD2F0C">
        <w:rPr>
          <w:rFonts w:asciiTheme="minorHAnsi" w:hAnsiTheme="minorHAnsi"/>
          <w:lang w:val="en-GB"/>
        </w:rPr>
        <w:t>s</w:t>
      </w:r>
      <w:r w:rsidR="00B42E32" w:rsidRPr="00FD2F0C">
        <w:rPr>
          <w:rFonts w:asciiTheme="minorHAnsi" w:hAnsiTheme="minorHAnsi"/>
          <w:lang w:val="en-GB"/>
        </w:rPr>
        <w:t xml:space="preserve">haring </w:t>
      </w:r>
      <w:r w:rsidRPr="00FD2F0C">
        <w:rPr>
          <w:rFonts w:asciiTheme="minorHAnsi" w:eastAsia="Calibri" w:hAnsiTheme="minorHAnsi"/>
          <w:szCs w:val="24"/>
          <w:lang w:val="en-GB"/>
        </w:rPr>
        <w:t xml:space="preserve">stands for the ability of a radio (possibly via implementing cognitive capabilities) to operate on temporarily unused / unoccupied spectrum and to adapt or cease the use of such spectrum in response to other users of the band. </w:t>
      </w:r>
    </w:p>
    <w:p w14:paraId="28109694" w14:textId="4EC51B9C" w:rsidR="004B35BE" w:rsidRPr="00FD2F0C" w:rsidRDefault="004B35BE">
      <w:pPr>
        <w:tabs>
          <w:tab w:val="left" w:pos="720"/>
        </w:tabs>
        <w:spacing w:after="120"/>
        <w:rPr>
          <w:rFonts w:asciiTheme="minorHAnsi" w:eastAsia="Calibri" w:hAnsiTheme="minorHAnsi"/>
          <w:szCs w:val="24"/>
          <w:lang w:val="en-GB"/>
        </w:rPr>
      </w:pPr>
      <w:r w:rsidRPr="00FD2F0C">
        <w:rPr>
          <w:rFonts w:asciiTheme="minorHAnsi" w:eastAsia="Calibri" w:hAnsiTheme="minorHAnsi"/>
          <w:szCs w:val="24"/>
          <w:lang w:val="en-GB"/>
        </w:rPr>
        <w:t xml:space="preserve">The identification of the portions of spectrum available for dynamic spectrum </w:t>
      </w:r>
      <w:r w:rsidR="00751E23" w:rsidRPr="00FD2F0C">
        <w:rPr>
          <w:rFonts w:asciiTheme="minorHAnsi" w:eastAsia="Calibri" w:hAnsiTheme="minorHAnsi"/>
          <w:szCs w:val="24"/>
          <w:lang w:val="en-GB"/>
        </w:rPr>
        <w:t xml:space="preserve">sharing </w:t>
      </w:r>
      <w:r w:rsidRPr="00FD2F0C">
        <w:rPr>
          <w:rFonts w:asciiTheme="minorHAnsi" w:eastAsia="Calibri" w:hAnsiTheme="minorHAnsi"/>
          <w:szCs w:val="24"/>
          <w:lang w:val="en-GB"/>
        </w:rPr>
        <w:t xml:space="preserve">is under the purview of the Administrations and conditions vary on case-by-case basis. Administrations must ensure that systems applying dynamic spectrum </w:t>
      </w:r>
      <w:r w:rsidR="00751E23" w:rsidRPr="00FD2F0C">
        <w:rPr>
          <w:rFonts w:asciiTheme="minorHAnsi" w:eastAsia="Calibri" w:hAnsiTheme="minorHAnsi"/>
          <w:szCs w:val="24"/>
          <w:lang w:val="en-GB"/>
        </w:rPr>
        <w:t xml:space="preserve">sharing </w:t>
      </w:r>
      <w:r w:rsidRPr="00FD2F0C">
        <w:rPr>
          <w:rFonts w:asciiTheme="minorHAnsi" w:eastAsia="Calibri" w:hAnsiTheme="minorHAnsi"/>
          <w:szCs w:val="24"/>
          <w:lang w:val="en-GB"/>
        </w:rPr>
        <w:t>operate in accordance with the R</w:t>
      </w:r>
      <w:r w:rsidR="00532F77" w:rsidRPr="00FD2F0C">
        <w:rPr>
          <w:rFonts w:asciiTheme="minorHAnsi" w:eastAsia="Calibri" w:hAnsiTheme="minorHAnsi"/>
          <w:szCs w:val="24"/>
          <w:lang w:val="en-GB"/>
        </w:rPr>
        <w:t xml:space="preserve">adio </w:t>
      </w:r>
      <w:r w:rsidRPr="00FD2F0C">
        <w:rPr>
          <w:rFonts w:asciiTheme="minorHAnsi" w:eastAsia="Calibri" w:hAnsiTheme="minorHAnsi"/>
          <w:szCs w:val="24"/>
          <w:lang w:val="en-GB"/>
        </w:rPr>
        <w:t>R</w:t>
      </w:r>
      <w:r w:rsidR="00532F77" w:rsidRPr="00FD2F0C">
        <w:rPr>
          <w:rFonts w:asciiTheme="minorHAnsi" w:eastAsia="Calibri" w:hAnsiTheme="minorHAnsi"/>
          <w:szCs w:val="24"/>
          <w:lang w:val="en-GB"/>
        </w:rPr>
        <w:t>egulation</w:t>
      </w:r>
      <w:r w:rsidRPr="00FD2F0C">
        <w:rPr>
          <w:rFonts w:asciiTheme="minorHAnsi" w:eastAsia="Calibri" w:hAnsiTheme="minorHAnsi"/>
          <w:szCs w:val="24"/>
          <w:lang w:val="en-GB"/>
        </w:rPr>
        <w:t>s.</w:t>
      </w:r>
    </w:p>
    <w:p w14:paraId="1F6D6E3B" w14:textId="4E802D4A" w:rsidR="00580EA5" w:rsidRPr="00FD2F0C" w:rsidRDefault="008572C1" w:rsidP="007B6CE6">
      <w:pPr>
        <w:tabs>
          <w:tab w:val="left" w:pos="720"/>
        </w:tabs>
        <w:spacing w:after="120"/>
        <w:rPr>
          <w:rFonts w:asciiTheme="minorHAnsi" w:eastAsia="Calibri" w:hAnsiTheme="minorHAnsi" w:cs="Arial"/>
          <w:color w:val="000000"/>
          <w:szCs w:val="24"/>
          <w:lang w:val="en-GB"/>
        </w:rPr>
      </w:pPr>
      <w:r w:rsidRPr="00FD2F0C">
        <w:rPr>
          <w:rFonts w:asciiTheme="minorHAnsi" w:eastAsia="Calibri" w:hAnsiTheme="minorHAnsi"/>
          <w:szCs w:val="24"/>
          <w:lang w:val="en-GB"/>
        </w:rPr>
        <w:lastRenderedPageBreak/>
        <w:t xml:space="preserve">Dynamic </w:t>
      </w:r>
      <w:r w:rsidR="00CA3060" w:rsidRPr="00FD2F0C">
        <w:rPr>
          <w:rFonts w:asciiTheme="minorHAnsi" w:eastAsia="Calibri" w:hAnsiTheme="minorHAnsi"/>
          <w:szCs w:val="24"/>
          <w:lang w:val="en-GB"/>
        </w:rPr>
        <w:t>s</w:t>
      </w:r>
      <w:r w:rsidRPr="00FD2F0C">
        <w:rPr>
          <w:rFonts w:asciiTheme="minorHAnsi" w:eastAsia="Calibri" w:hAnsiTheme="minorHAnsi"/>
          <w:szCs w:val="24"/>
          <w:lang w:val="en-GB"/>
        </w:rPr>
        <w:t xml:space="preserve">pectrum </w:t>
      </w:r>
      <w:r w:rsidR="00CA3060" w:rsidRPr="00FD2F0C">
        <w:rPr>
          <w:rFonts w:asciiTheme="minorHAnsi" w:eastAsia="Calibri" w:hAnsiTheme="minorHAnsi"/>
          <w:szCs w:val="24"/>
          <w:lang w:val="en-GB"/>
        </w:rPr>
        <w:t>s</w:t>
      </w:r>
      <w:r w:rsidRPr="00FD2F0C">
        <w:rPr>
          <w:rFonts w:asciiTheme="minorHAnsi" w:eastAsia="Calibri" w:hAnsiTheme="minorHAnsi"/>
          <w:szCs w:val="24"/>
          <w:lang w:val="en-GB"/>
        </w:rPr>
        <w:t xml:space="preserve">haring </w:t>
      </w:r>
      <w:r w:rsidR="00580EA5" w:rsidRPr="00FD2F0C">
        <w:rPr>
          <w:rFonts w:asciiTheme="minorHAnsi" w:eastAsia="Calibri" w:hAnsiTheme="minorHAnsi"/>
          <w:szCs w:val="24"/>
          <w:lang w:val="en-GB"/>
        </w:rPr>
        <w:t xml:space="preserve">allows for </w:t>
      </w:r>
      <w:r w:rsidR="00580EA5" w:rsidRPr="00FD2F0C">
        <w:rPr>
          <w:rFonts w:asciiTheme="minorHAnsi" w:hAnsiTheme="minorHAnsi"/>
          <w:lang w:val="en-GB"/>
        </w:rPr>
        <w:t>real-time adjustment of spectrum use in response to changing environment</w:t>
      </w:r>
      <w:r w:rsidRPr="00FD2F0C">
        <w:rPr>
          <w:rFonts w:asciiTheme="minorHAnsi" w:hAnsiTheme="minorHAnsi"/>
          <w:lang w:val="en-GB"/>
        </w:rPr>
        <w:t>,</w:t>
      </w:r>
      <w:r w:rsidR="00580EA5" w:rsidRPr="00FD2F0C">
        <w:rPr>
          <w:rFonts w:asciiTheme="minorHAnsi" w:hAnsiTheme="minorHAnsi"/>
          <w:lang w:val="en-GB"/>
        </w:rPr>
        <w:t xml:space="preserve"> circumstance</w:t>
      </w:r>
      <w:r w:rsidRPr="00FD2F0C">
        <w:rPr>
          <w:rFonts w:asciiTheme="minorHAnsi" w:hAnsiTheme="minorHAnsi"/>
          <w:lang w:val="en-GB"/>
        </w:rPr>
        <w:t>s</w:t>
      </w:r>
      <w:r w:rsidR="00580EA5" w:rsidRPr="00FD2F0C">
        <w:rPr>
          <w:rFonts w:asciiTheme="minorHAnsi" w:hAnsiTheme="minorHAnsi"/>
          <w:lang w:val="en-GB"/>
        </w:rPr>
        <w:t xml:space="preserve"> and objectives.</w:t>
      </w:r>
      <w:r w:rsidR="00580EA5" w:rsidRPr="00FD2F0C">
        <w:rPr>
          <w:rStyle w:val="FootnoteReference"/>
          <w:rFonts w:asciiTheme="minorHAnsi" w:hAnsiTheme="minorHAnsi"/>
        </w:rPr>
        <w:footnoteReference w:id="25"/>
      </w:r>
      <w:r w:rsidR="00580EA5" w:rsidRPr="00FD2F0C">
        <w:rPr>
          <w:rFonts w:asciiTheme="minorHAnsi" w:eastAsia="Calibri" w:hAnsiTheme="minorHAnsi"/>
          <w:szCs w:val="24"/>
          <w:lang w:val="en-GB"/>
        </w:rPr>
        <w:t xml:space="preserve"> </w:t>
      </w:r>
      <w:r w:rsidR="00580EA5" w:rsidRPr="00FD2F0C">
        <w:rPr>
          <w:rFonts w:asciiTheme="minorHAnsi" w:eastAsia="Calibri" w:hAnsiTheme="minorHAnsi" w:cs="Arial"/>
          <w:color w:val="000000"/>
          <w:szCs w:val="24"/>
          <w:lang w:val="en-GB"/>
        </w:rPr>
        <w:t xml:space="preserve">More concretely, </w:t>
      </w:r>
      <w:r w:rsidR="007B6CE6" w:rsidRPr="00FD2F0C">
        <w:rPr>
          <w:rFonts w:asciiTheme="minorHAnsi" w:eastAsia="Calibri" w:hAnsiTheme="minorHAnsi" w:cs="Arial"/>
          <w:color w:val="000000"/>
          <w:szCs w:val="24"/>
          <w:lang w:val="en-GB"/>
        </w:rPr>
        <w:t>d</w:t>
      </w:r>
      <w:r w:rsidRPr="00FD2F0C">
        <w:rPr>
          <w:rFonts w:asciiTheme="minorHAnsi" w:eastAsia="Calibri" w:hAnsiTheme="minorHAnsi" w:cs="Arial"/>
          <w:color w:val="000000"/>
          <w:szCs w:val="24"/>
          <w:lang w:val="en-GB"/>
        </w:rPr>
        <w:t xml:space="preserve">ynamic </w:t>
      </w:r>
      <w:r w:rsidR="00CA3060" w:rsidRPr="00FD2F0C">
        <w:rPr>
          <w:rFonts w:asciiTheme="minorHAnsi" w:eastAsia="Calibri" w:hAnsiTheme="minorHAnsi" w:cs="Arial"/>
          <w:color w:val="000000"/>
          <w:szCs w:val="24"/>
          <w:lang w:val="en-GB"/>
        </w:rPr>
        <w:t>s</w:t>
      </w:r>
      <w:r w:rsidRPr="00FD2F0C">
        <w:rPr>
          <w:rFonts w:asciiTheme="minorHAnsi" w:eastAsia="Calibri" w:hAnsiTheme="minorHAnsi" w:cs="Arial"/>
          <w:color w:val="000000"/>
          <w:szCs w:val="24"/>
          <w:lang w:val="en-GB"/>
        </w:rPr>
        <w:t xml:space="preserve">pectrum </w:t>
      </w:r>
      <w:r w:rsidR="00CA3060" w:rsidRPr="00FD2F0C">
        <w:rPr>
          <w:rFonts w:asciiTheme="minorHAnsi" w:eastAsia="Calibri" w:hAnsiTheme="minorHAnsi" w:cs="Arial"/>
          <w:color w:val="000000"/>
          <w:szCs w:val="24"/>
          <w:lang w:val="en-GB"/>
        </w:rPr>
        <w:t>s</w:t>
      </w:r>
      <w:r w:rsidRPr="00FD2F0C">
        <w:rPr>
          <w:rFonts w:asciiTheme="minorHAnsi" w:eastAsia="Calibri" w:hAnsiTheme="minorHAnsi" w:cs="Arial"/>
          <w:color w:val="000000"/>
          <w:szCs w:val="24"/>
          <w:lang w:val="en-GB"/>
        </w:rPr>
        <w:t xml:space="preserve">haring </w:t>
      </w:r>
      <w:r w:rsidR="00580EA5" w:rsidRPr="00FD2F0C">
        <w:rPr>
          <w:rFonts w:asciiTheme="minorHAnsi" w:eastAsia="Calibri" w:hAnsiTheme="minorHAnsi" w:cs="Arial"/>
          <w:color w:val="000000"/>
          <w:szCs w:val="24"/>
          <w:lang w:val="en-GB"/>
        </w:rPr>
        <w:t xml:space="preserve">techniques </w:t>
      </w:r>
      <w:r w:rsidRPr="00FD2F0C">
        <w:rPr>
          <w:rFonts w:asciiTheme="minorHAnsi" w:eastAsia="Calibri" w:hAnsiTheme="minorHAnsi" w:cs="Arial"/>
          <w:color w:val="000000"/>
          <w:szCs w:val="24"/>
          <w:lang w:val="en-GB"/>
        </w:rPr>
        <w:t xml:space="preserve">enable </w:t>
      </w:r>
      <w:r w:rsidR="00580EA5" w:rsidRPr="00FD2F0C">
        <w:rPr>
          <w:rFonts w:asciiTheme="minorHAnsi" w:eastAsia="Calibri" w:hAnsiTheme="minorHAnsi" w:cs="Arial"/>
          <w:color w:val="000000"/>
          <w:szCs w:val="24"/>
          <w:lang w:val="en-GB"/>
        </w:rPr>
        <w:t>a radio device to:</w:t>
      </w:r>
    </w:p>
    <w:p w14:paraId="2E49D4B0" w14:textId="77777777" w:rsidR="00580EA5" w:rsidRPr="00FD2F0C" w:rsidRDefault="00580EA5" w:rsidP="0032197B">
      <w:pPr>
        <w:pStyle w:val="Bulletlist1"/>
        <w:numPr>
          <w:ilvl w:val="0"/>
          <w:numId w:val="20"/>
        </w:numPr>
        <w:jc w:val="both"/>
        <w:rPr>
          <w:rFonts w:asciiTheme="minorHAnsi" w:hAnsiTheme="minorHAnsi"/>
        </w:rPr>
      </w:pPr>
      <w:r w:rsidRPr="00FD2F0C">
        <w:rPr>
          <w:rFonts w:asciiTheme="minorHAnsi" w:hAnsiTheme="minorHAnsi"/>
        </w:rPr>
        <w:t xml:space="preserve">Determine </w:t>
      </w:r>
      <w:r w:rsidR="008572C1" w:rsidRPr="00FD2F0C">
        <w:rPr>
          <w:rFonts w:asciiTheme="minorHAnsi" w:hAnsiTheme="minorHAnsi"/>
        </w:rPr>
        <w:t xml:space="preserve">or be informed of </w:t>
      </w:r>
      <w:r w:rsidRPr="00FD2F0C">
        <w:rPr>
          <w:rFonts w:asciiTheme="minorHAnsi" w:hAnsiTheme="minorHAnsi"/>
        </w:rPr>
        <w:t>which frequencies are available for use on a non-interference basis;</w:t>
      </w:r>
    </w:p>
    <w:p w14:paraId="6171305D" w14:textId="1A480FAC" w:rsidR="00580EA5" w:rsidRPr="00FD2F0C" w:rsidRDefault="00580EA5" w:rsidP="0032197B">
      <w:pPr>
        <w:pStyle w:val="Bulletlist1"/>
        <w:numPr>
          <w:ilvl w:val="0"/>
          <w:numId w:val="20"/>
        </w:numPr>
        <w:ind w:left="714" w:hanging="357"/>
        <w:jc w:val="both"/>
        <w:rPr>
          <w:rFonts w:asciiTheme="minorHAnsi" w:hAnsiTheme="minorHAnsi"/>
        </w:rPr>
      </w:pPr>
      <w:r w:rsidRPr="00FD2F0C">
        <w:rPr>
          <w:rFonts w:asciiTheme="minorHAnsi" w:hAnsiTheme="minorHAnsi"/>
        </w:rPr>
        <w:t>Operate on th</w:t>
      </w:r>
      <w:r w:rsidR="008572C1" w:rsidRPr="00FD2F0C">
        <w:rPr>
          <w:rFonts w:asciiTheme="minorHAnsi" w:hAnsiTheme="minorHAnsi"/>
        </w:rPr>
        <w:t>e</w:t>
      </w:r>
      <w:r w:rsidRPr="00FD2F0C">
        <w:rPr>
          <w:rFonts w:asciiTheme="minorHAnsi" w:hAnsiTheme="minorHAnsi"/>
        </w:rPr>
        <w:t>se frequencies; and</w:t>
      </w:r>
    </w:p>
    <w:p w14:paraId="4E59441D" w14:textId="598DF98C" w:rsidR="00580EA5" w:rsidRPr="00FD2F0C" w:rsidRDefault="00580EA5" w:rsidP="0032197B">
      <w:pPr>
        <w:pStyle w:val="Bulletlist1"/>
        <w:numPr>
          <w:ilvl w:val="0"/>
          <w:numId w:val="20"/>
        </w:numPr>
        <w:ind w:left="714" w:hanging="357"/>
        <w:jc w:val="both"/>
        <w:rPr>
          <w:rFonts w:asciiTheme="minorHAnsi" w:hAnsiTheme="minorHAnsi"/>
        </w:rPr>
      </w:pPr>
      <w:r w:rsidRPr="00FD2F0C">
        <w:rPr>
          <w:rFonts w:asciiTheme="minorHAnsi" w:hAnsiTheme="minorHAnsi"/>
        </w:rPr>
        <w:t>Vacate th</w:t>
      </w:r>
      <w:r w:rsidR="008572C1" w:rsidRPr="00FD2F0C">
        <w:rPr>
          <w:rFonts w:asciiTheme="minorHAnsi" w:hAnsiTheme="minorHAnsi"/>
        </w:rPr>
        <w:t>e</w:t>
      </w:r>
      <w:r w:rsidRPr="00FD2F0C">
        <w:rPr>
          <w:rFonts w:asciiTheme="minorHAnsi" w:hAnsiTheme="minorHAnsi"/>
        </w:rPr>
        <w:t>se frequencies when required.</w:t>
      </w:r>
    </w:p>
    <w:p w14:paraId="44066822" w14:textId="699D43B9" w:rsidR="000B32A0" w:rsidRPr="00FD2F0C" w:rsidRDefault="007366D4" w:rsidP="007B6CE6">
      <w:pPr>
        <w:tabs>
          <w:tab w:val="left" w:pos="720"/>
        </w:tabs>
        <w:spacing w:after="120"/>
        <w:rPr>
          <w:rFonts w:asciiTheme="minorHAnsi" w:eastAsia="Calibri" w:hAnsiTheme="minorHAnsi" w:cs="Arial"/>
          <w:color w:val="000000"/>
          <w:szCs w:val="24"/>
          <w:lang w:val="en-GB"/>
        </w:rPr>
      </w:pPr>
      <w:r w:rsidRPr="00FD2F0C">
        <w:rPr>
          <w:rFonts w:asciiTheme="minorHAnsi" w:eastAsia="Calibri" w:hAnsiTheme="minorHAnsi" w:cs="Arial"/>
          <w:color w:val="000000"/>
          <w:szCs w:val="24"/>
          <w:lang w:val="en-GB"/>
        </w:rPr>
        <w:t xml:space="preserve">Radiocommunication systems relying on </w:t>
      </w:r>
      <w:r w:rsidR="007B6CE6" w:rsidRPr="00FD2F0C">
        <w:rPr>
          <w:rFonts w:asciiTheme="minorHAnsi" w:hAnsiTheme="minorHAnsi"/>
          <w:lang w:val="en-GB"/>
        </w:rPr>
        <w:t>d</w:t>
      </w:r>
      <w:r w:rsidR="00B42E32" w:rsidRPr="00FD2F0C">
        <w:rPr>
          <w:rFonts w:asciiTheme="minorHAnsi" w:hAnsiTheme="minorHAnsi"/>
          <w:lang w:val="en-GB"/>
        </w:rPr>
        <w:t xml:space="preserve">ynamic </w:t>
      </w:r>
      <w:r w:rsidR="00CA3060" w:rsidRPr="00FD2F0C">
        <w:rPr>
          <w:rFonts w:asciiTheme="minorHAnsi" w:hAnsiTheme="minorHAnsi"/>
          <w:lang w:val="en-GB"/>
        </w:rPr>
        <w:t>s</w:t>
      </w:r>
      <w:r w:rsidR="00B42E32" w:rsidRPr="00FD2F0C">
        <w:rPr>
          <w:rFonts w:asciiTheme="minorHAnsi" w:hAnsiTheme="minorHAnsi"/>
          <w:lang w:val="en-GB"/>
        </w:rPr>
        <w:t xml:space="preserve">pectrum </w:t>
      </w:r>
      <w:r w:rsidR="00CA3060" w:rsidRPr="00FD2F0C">
        <w:rPr>
          <w:rFonts w:asciiTheme="minorHAnsi" w:hAnsiTheme="minorHAnsi"/>
          <w:lang w:val="en-GB"/>
        </w:rPr>
        <w:t>s</w:t>
      </w:r>
      <w:r w:rsidR="00B42E32" w:rsidRPr="00FD2F0C">
        <w:rPr>
          <w:rFonts w:asciiTheme="minorHAnsi" w:hAnsiTheme="minorHAnsi"/>
          <w:lang w:val="en-GB"/>
        </w:rPr>
        <w:t xml:space="preserve">haring </w:t>
      </w:r>
      <w:r w:rsidR="00CF2906" w:rsidRPr="00FD2F0C">
        <w:rPr>
          <w:rFonts w:asciiTheme="minorHAnsi" w:eastAsia="Calibri" w:hAnsiTheme="minorHAnsi" w:cs="Arial"/>
          <w:color w:val="000000"/>
          <w:szCs w:val="24"/>
          <w:lang w:val="en-GB"/>
        </w:rPr>
        <w:t xml:space="preserve">is intented to </w:t>
      </w:r>
      <w:r w:rsidRPr="00FD2F0C">
        <w:rPr>
          <w:rFonts w:asciiTheme="minorHAnsi" w:eastAsia="Calibri" w:hAnsiTheme="minorHAnsi" w:cs="Arial"/>
          <w:color w:val="000000"/>
          <w:szCs w:val="24"/>
          <w:lang w:val="en-GB"/>
        </w:rPr>
        <w:t>use spectrum when and where it is available under the technical rules in bands for which such sharing is authorized by the NRA</w:t>
      </w:r>
      <w:r w:rsidR="000B32A0" w:rsidRPr="00FD2F0C">
        <w:rPr>
          <w:rFonts w:asciiTheme="minorHAnsi" w:eastAsia="Calibri" w:hAnsiTheme="minorHAnsi" w:cs="Arial"/>
          <w:color w:val="000000"/>
          <w:szCs w:val="24"/>
          <w:lang w:val="en-GB"/>
        </w:rPr>
        <w:t>.</w:t>
      </w:r>
    </w:p>
    <w:p w14:paraId="6D4C7EE2" w14:textId="38D325C0" w:rsidR="000B32A0" w:rsidRPr="00FD2F0C" w:rsidRDefault="000A0434" w:rsidP="00354892">
      <w:pPr>
        <w:tabs>
          <w:tab w:val="left" w:pos="720"/>
        </w:tabs>
        <w:spacing w:after="120"/>
        <w:rPr>
          <w:rFonts w:asciiTheme="minorHAnsi" w:eastAsia="Calibri" w:hAnsiTheme="minorHAnsi" w:cs="Arial"/>
          <w:color w:val="000000"/>
          <w:szCs w:val="24"/>
          <w:lang w:val="en-GB"/>
        </w:rPr>
      </w:pPr>
      <w:r w:rsidRPr="00FD2F0C">
        <w:rPr>
          <w:rFonts w:asciiTheme="minorHAnsi" w:eastAsia="Calibri" w:hAnsiTheme="minorHAnsi" w:cs="Arial"/>
          <w:color w:val="000000"/>
          <w:szCs w:val="24"/>
          <w:lang w:val="en-GB"/>
        </w:rPr>
        <w:t xml:space="preserve">Dynamic spectrum sharing may be implemented </w:t>
      </w:r>
      <w:r w:rsidR="00870097" w:rsidRPr="00FD2F0C">
        <w:rPr>
          <w:rFonts w:asciiTheme="minorHAnsi" w:eastAsia="Calibri" w:hAnsiTheme="minorHAnsi" w:cs="Arial"/>
          <w:color w:val="000000"/>
          <w:szCs w:val="24"/>
          <w:lang w:val="en-GB"/>
        </w:rPr>
        <w:t>betwee</w:t>
      </w:r>
      <w:r w:rsidRPr="00FD2F0C">
        <w:rPr>
          <w:rFonts w:asciiTheme="minorHAnsi" w:eastAsia="Calibri" w:hAnsiTheme="minorHAnsi" w:cs="Arial"/>
          <w:color w:val="000000"/>
          <w:szCs w:val="24"/>
          <w:lang w:val="en-GB"/>
        </w:rPr>
        <w:t xml:space="preserve">n the services operating with equal rights. </w:t>
      </w:r>
      <w:r w:rsidR="007E33F0" w:rsidRPr="00FD2F0C">
        <w:rPr>
          <w:rFonts w:asciiTheme="minorHAnsi" w:eastAsia="Calibri" w:hAnsiTheme="minorHAnsi" w:cs="Arial"/>
          <w:color w:val="000000"/>
          <w:szCs w:val="24"/>
          <w:lang w:val="en-GB"/>
        </w:rPr>
        <w:t>It m</w:t>
      </w:r>
      <w:r w:rsidR="00870097" w:rsidRPr="00FD2F0C">
        <w:rPr>
          <w:rFonts w:asciiTheme="minorHAnsi" w:eastAsia="Calibri" w:hAnsiTheme="minorHAnsi" w:cs="Arial"/>
          <w:color w:val="000000"/>
          <w:szCs w:val="24"/>
          <w:lang w:val="en-GB"/>
        </w:rPr>
        <w:t>ay also</w:t>
      </w:r>
      <w:r w:rsidRPr="00FD2F0C">
        <w:rPr>
          <w:rFonts w:asciiTheme="minorHAnsi" w:eastAsia="Calibri" w:hAnsiTheme="minorHAnsi" w:cs="Arial"/>
          <w:color w:val="000000"/>
          <w:szCs w:val="24"/>
          <w:lang w:val="en-GB"/>
        </w:rPr>
        <w:t xml:space="preserve"> be implemented by opportunistic access to spectrum already allocated to a</w:t>
      </w:r>
      <w:r w:rsidR="00870097" w:rsidRPr="00FD2F0C">
        <w:rPr>
          <w:rFonts w:asciiTheme="minorHAnsi" w:eastAsia="Calibri" w:hAnsiTheme="minorHAnsi" w:cs="Arial"/>
          <w:color w:val="000000"/>
          <w:szCs w:val="24"/>
          <w:lang w:val="en-GB"/>
        </w:rPr>
        <w:t xml:space="preserve"> service of higher category subject to</w:t>
      </w:r>
      <w:r w:rsidRPr="00FD2F0C">
        <w:rPr>
          <w:rFonts w:asciiTheme="minorHAnsi" w:eastAsia="Calibri" w:hAnsiTheme="minorHAnsi" w:cs="Arial"/>
          <w:color w:val="000000"/>
          <w:szCs w:val="24"/>
          <w:lang w:val="en-GB"/>
        </w:rPr>
        <w:t xml:space="preserve"> </w:t>
      </w:r>
      <w:r w:rsidR="00870097" w:rsidRPr="00FD2F0C">
        <w:rPr>
          <w:rFonts w:asciiTheme="minorHAnsi" w:eastAsia="Calibri" w:hAnsiTheme="minorHAnsi" w:cs="Arial"/>
          <w:color w:val="000000"/>
          <w:szCs w:val="24"/>
          <w:lang w:val="en-GB"/>
        </w:rPr>
        <w:t xml:space="preserve">not causing harmful interference to </w:t>
      </w:r>
      <w:r w:rsidR="00847C5B" w:rsidRPr="00FD2F0C">
        <w:rPr>
          <w:rFonts w:asciiTheme="minorHAnsi" w:eastAsia="Calibri" w:hAnsiTheme="minorHAnsi" w:cs="Arial"/>
          <w:color w:val="000000"/>
          <w:szCs w:val="24"/>
          <w:lang w:val="en-GB"/>
        </w:rPr>
        <w:t xml:space="preserve">nor claiming </w:t>
      </w:r>
      <w:r w:rsidR="00870097" w:rsidRPr="00FD2F0C">
        <w:rPr>
          <w:rFonts w:asciiTheme="minorHAnsi" w:eastAsia="Calibri" w:hAnsiTheme="minorHAnsi" w:cs="Arial"/>
          <w:color w:val="000000"/>
          <w:szCs w:val="24"/>
          <w:lang w:val="en-GB"/>
        </w:rPr>
        <w:t>protection from this service</w:t>
      </w:r>
      <w:r w:rsidR="00847C5B" w:rsidRPr="00FD2F0C">
        <w:rPr>
          <w:rFonts w:asciiTheme="minorHAnsi" w:eastAsia="Calibri" w:hAnsiTheme="minorHAnsi" w:cs="Arial"/>
          <w:color w:val="000000"/>
          <w:szCs w:val="24"/>
          <w:lang w:val="en-GB"/>
        </w:rPr>
        <w:t>. This may require the opportunistic device to vacate the band at a given time.</w:t>
      </w:r>
    </w:p>
    <w:p w14:paraId="264FD432" w14:textId="6D224521" w:rsidR="007366D4" w:rsidRPr="00FD2F0C" w:rsidRDefault="007366D4" w:rsidP="007B6CE6">
      <w:pPr>
        <w:tabs>
          <w:tab w:val="left" w:pos="720"/>
        </w:tabs>
        <w:spacing w:after="120"/>
        <w:rPr>
          <w:rFonts w:asciiTheme="minorHAnsi" w:eastAsia="Calibri" w:hAnsiTheme="minorHAnsi"/>
          <w:szCs w:val="24"/>
          <w:lang w:val="en-GB"/>
        </w:rPr>
      </w:pPr>
      <w:r w:rsidRPr="00FD2F0C">
        <w:rPr>
          <w:rFonts w:asciiTheme="minorHAnsi" w:eastAsia="Calibri" w:hAnsiTheme="minorHAnsi"/>
          <w:szCs w:val="24"/>
          <w:lang w:val="en-GB"/>
        </w:rPr>
        <w:t xml:space="preserve">There are many variants of the </w:t>
      </w:r>
      <w:r w:rsidR="007B6CE6" w:rsidRPr="00FD2F0C">
        <w:rPr>
          <w:rFonts w:asciiTheme="minorHAnsi" w:hAnsiTheme="minorHAnsi"/>
          <w:lang w:val="en-GB"/>
        </w:rPr>
        <w:t>d</w:t>
      </w:r>
      <w:r w:rsidR="00B42E32" w:rsidRPr="00FD2F0C">
        <w:rPr>
          <w:rFonts w:asciiTheme="minorHAnsi" w:hAnsiTheme="minorHAnsi"/>
          <w:lang w:val="en-GB"/>
        </w:rPr>
        <w:t xml:space="preserve">ynamic </w:t>
      </w:r>
      <w:r w:rsidR="00CA3060" w:rsidRPr="00FD2F0C">
        <w:rPr>
          <w:rFonts w:asciiTheme="minorHAnsi" w:hAnsiTheme="minorHAnsi"/>
          <w:lang w:val="en-GB"/>
        </w:rPr>
        <w:t>s</w:t>
      </w:r>
      <w:r w:rsidR="00B42E32" w:rsidRPr="00FD2F0C">
        <w:rPr>
          <w:rFonts w:asciiTheme="minorHAnsi" w:hAnsiTheme="minorHAnsi"/>
          <w:lang w:val="en-GB"/>
        </w:rPr>
        <w:t xml:space="preserve">pectrum </w:t>
      </w:r>
      <w:r w:rsidR="00CA3060" w:rsidRPr="00FD2F0C">
        <w:rPr>
          <w:rFonts w:asciiTheme="minorHAnsi" w:hAnsiTheme="minorHAnsi"/>
          <w:lang w:val="en-GB"/>
        </w:rPr>
        <w:t>s</w:t>
      </w:r>
      <w:r w:rsidR="00B42E32" w:rsidRPr="00FD2F0C">
        <w:rPr>
          <w:rFonts w:asciiTheme="minorHAnsi" w:hAnsiTheme="minorHAnsi"/>
          <w:lang w:val="en-GB"/>
        </w:rPr>
        <w:t xml:space="preserve">haring </w:t>
      </w:r>
      <w:r w:rsidRPr="00FD2F0C">
        <w:rPr>
          <w:rFonts w:asciiTheme="minorHAnsi" w:eastAsia="Calibri" w:hAnsiTheme="minorHAnsi"/>
          <w:szCs w:val="24"/>
          <w:lang w:val="en-GB"/>
        </w:rPr>
        <w:t>techniques</w:t>
      </w:r>
      <w:r w:rsidR="008555CB" w:rsidRPr="00FD2F0C">
        <w:rPr>
          <w:rFonts w:asciiTheme="minorHAnsi" w:eastAsia="Calibri" w:hAnsiTheme="minorHAnsi"/>
          <w:szCs w:val="24"/>
          <w:lang w:val="en-GB"/>
        </w:rPr>
        <w:t>/mechanisms</w:t>
      </w:r>
      <w:r w:rsidRPr="00FD2F0C">
        <w:rPr>
          <w:rFonts w:asciiTheme="minorHAnsi" w:eastAsia="Calibri" w:hAnsiTheme="minorHAnsi"/>
          <w:szCs w:val="24"/>
          <w:lang w:val="en-GB"/>
        </w:rPr>
        <w:t xml:space="preserve"> that can be implemented, with each having its own strengths and weaknesses for application in a given band based on the requirements of the services that need to be protected. Therefore, it is important for </w:t>
      </w:r>
      <w:r w:rsidRPr="00FD2F0C">
        <w:rPr>
          <w:rFonts w:asciiTheme="minorHAnsi" w:eastAsia="Calibri" w:hAnsiTheme="minorHAnsi" w:cs="Calibri"/>
          <w:bCs/>
          <w:szCs w:val="24"/>
          <w:lang w:val="en-GB"/>
        </w:rPr>
        <w:t xml:space="preserve">spectrum managers to consider the applicability of various </w:t>
      </w:r>
      <w:r w:rsidR="007B6CE6" w:rsidRPr="00FD2F0C">
        <w:rPr>
          <w:rFonts w:asciiTheme="minorHAnsi" w:hAnsiTheme="minorHAnsi"/>
          <w:lang w:val="en-GB"/>
        </w:rPr>
        <w:t>d</w:t>
      </w:r>
      <w:r w:rsidR="00B42E32" w:rsidRPr="00FD2F0C">
        <w:rPr>
          <w:rFonts w:asciiTheme="minorHAnsi" w:hAnsiTheme="minorHAnsi"/>
          <w:lang w:val="en-GB"/>
        </w:rPr>
        <w:t xml:space="preserve">ynamic </w:t>
      </w:r>
      <w:r w:rsidR="00CA3060" w:rsidRPr="00FD2F0C">
        <w:rPr>
          <w:rFonts w:asciiTheme="minorHAnsi" w:hAnsiTheme="minorHAnsi"/>
          <w:lang w:val="en-GB"/>
        </w:rPr>
        <w:t>s</w:t>
      </w:r>
      <w:r w:rsidR="00B42E32" w:rsidRPr="00FD2F0C">
        <w:rPr>
          <w:rFonts w:asciiTheme="minorHAnsi" w:hAnsiTheme="minorHAnsi"/>
          <w:lang w:val="en-GB"/>
        </w:rPr>
        <w:t xml:space="preserve">pectrum </w:t>
      </w:r>
      <w:r w:rsidR="00CA3060" w:rsidRPr="00FD2F0C">
        <w:rPr>
          <w:rFonts w:asciiTheme="minorHAnsi" w:hAnsiTheme="minorHAnsi"/>
          <w:lang w:val="en-GB"/>
        </w:rPr>
        <w:t>s</w:t>
      </w:r>
      <w:r w:rsidR="00B42E32" w:rsidRPr="00FD2F0C">
        <w:rPr>
          <w:rFonts w:asciiTheme="minorHAnsi" w:hAnsiTheme="minorHAnsi"/>
          <w:lang w:val="en-GB"/>
        </w:rPr>
        <w:t xml:space="preserve">haring </w:t>
      </w:r>
      <w:r w:rsidRPr="00FD2F0C">
        <w:rPr>
          <w:rFonts w:asciiTheme="minorHAnsi" w:eastAsia="Calibri" w:hAnsiTheme="minorHAnsi" w:cs="Calibri"/>
          <w:bCs/>
          <w:szCs w:val="24"/>
          <w:lang w:val="en-GB"/>
        </w:rPr>
        <w:t>techniques on a band-by-band basis.</w:t>
      </w:r>
    </w:p>
    <w:p w14:paraId="4C9CD8C4" w14:textId="2A8813AD" w:rsidR="007366D4" w:rsidRPr="00FD2F0C" w:rsidRDefault="005E225E" w:rsidP="00C933C9">
      <w:pPr>
        <w:pStyle w:val="CEOIndenti-ii-iii"/>
        <w:numPr>
          <w:ilvl w:val="0"/>
          <w:numId w:val="0"/>
        </w:numPr>
        <w:tabs>
          <w:tab w:val="left" w:pos="720"/>
        </w:tabs>
        <w:rPr>
          <w:rFonts w:asciiTheme="minorHAnsi" w:hAnsiTheme="minorHAnsi" w:cs="Calibri"/>
          <w:bCs/>
          <w:sz w:val="24"/>
          <w:szCs w:val="24"/>
          <w:lang w:val="en-GB"/>
        </w:rPr>
      </w:pPr>
      <w:r w:rsidRPr="00FD2F0C">
        <w:rPr>
          <w:rFonts w:asciiTheme="minorHAnsi" w:hAnsiTheme="minorHAnsi"/>
          <w:sz w:val="24"/>
          <w:szCs w:val="24"/>
          <w:lang w:val="en-GB"/>
        </w:rPr>
        <w:t>The a</w:t>
      </w:r>
      <w:r w:rsidR="007366D4" w:rsidRPr="00FD2F0C">
        <w:rPr>
          <w:rFonts w:asciiTheme="minorHAnsi" w:hAnsiTheme="minorHAnsi"/>
          <w:sz w:val="24"/>
          <w:szCs w:val="24"/>
          <w:lang w:val="en-GB"/>
        </w:rPr>
        <w:t xml:space="preserve">pplication of </w:t>
      </w:r>
      <w:r w:rsidRPr="00FD2F0C">
        <w:rPr>
          <w:rFonts w:asciiTheme="minorHAnsi" w:hAnsiTheme="minorHAnsi"/>
          <w:sz w:val="24"/>
          <w:szCs w:val="24"/>
          <w:lang w:val="en-GB"/>
        </w:rPr>
        <w:t xml:space="preserve">appropriate </w:t>
      </w:r>
      <w:r w:rsidR="007B6CE6" w:rsidRPr="00FD2F0C">
        <w:rPr>
          <w:rFonts w:asciiTheme="minorHAnsi" w:hAnsiTheme="minorHAnsi" w:cs="Calibri"/>
          <w:bCs/>
          <w:sz w:val="24"/>
          <w:szCs w:val="24"/>
          <w:lang w:val="en-GB"/>
        </w:rPr>
        <w:t>d</w:t>
      </w:r>
      <w:r w:rsidR="00B42E32" w:rsidRPr="00FD2F0C">
        <w:rPr>
          <w:rFonts w:asciiTheme="minorHAnsi" w:hAnsiTheme="minorHAnsi" w:cs="Calibri"/>
          <w:bCs/>
          <w:sz w:val="24"/>
          <w:szCs w:val="24"/>
          <w:lang w:val="en-GB"/>
        </w:rPr>
        <w:t xml:space="preserve">ynamic </w:t>
      </w:r>
      <w:r w:rsidR="007B6CE6" w:rsidRPr="00FD2F0C">
        <w:rPr>
          <w:rFonts w:asciiTheme="minorHAnsi" w:hAnsiTheme="minorHAnsi" w:cs="Calibri"/>
          <w:bCs/>
          <w:sz w:val="24"/>
          <w:szCs w:val="24"/>
          <w:lang w:val="en-GB"/>
        </w:rPr>
        <w:t>s</w:t>
      </w:r>
      <w:r w:rsidR="00B42E32" w:rsidRPr="00FD2F0C">
        <w:rPr>
          <w:rFonts w:asciiTheme="minorHAnsi" w:hAnsiTheme="minorHAnsi" w:cs="Calibri"/>
          <w:bCs/>
          <w:sz w:val="24"/>
          <w:szCs w:val="24"/>
          <w:lang w:val="en-GB"/>
        </w:rPr>
        <w:t xml:space="preserve">pectrum </w:t>
      </w:r>
      <w:r w:rsidR="007B6CE6" w:rsidRPr="00FD2F0C">
        <w:rPr>
          <w:rFonts w:asciiTheme="minorHAnsi" w:hAnsiTheme="minorHAnsi" w:cs="Calibri"/>
          <w:bCs/>
          <w:sz w:val="24"/>
          <w:szCs w:val="24"/>
          <w:lang w:val="en-GB"/>
        </w:rPr>
        <w:t>s</w:t>
      </w:r>
      <w:r w:rsidR="00B42E32" w:rsidRPr="00FD2F0C">
        <w:rPr>
          <w:rFonts w:asciiTheme="minorHAnsi" w:hAnsiTheme="minorHAnsi" w:cs="Calibri"/>
          <w:bCs/>
          <w:sz w:val="24"/>
          <w:szCs w:val="24"/>
          <w:lang w:val="en-GB"/>
        </w:rPr>
        <w:t>haring</w:t>
      </w:r>
      <w:r w:rsidR="00B42E32" w:rsidRPr="00FD2F0C">
        <w:rPr>
          <w:rFonts w:asciiTheme="minorHAnsi" w:hAnsiTheme="minorHAnsi"/>
          <w:lang w:val="en-GB"/>
        </w:rPr>
        <w:t xml:space="preserve"> </w:t>
      </w:r>
      <w:r w:rsidR="007366D4" w:rsidRPr="00FD2F0C">
        <w:rPr>
          <w:rFonts w:asciiTheme="minorHAnsi" w:hAnsiTheme="minorHAnsi"/>
          <w:sz w:val="24"/>
          <w:szCs w:val="24"/>
          <w:lang w:val="en-GB"/>
        </w:rPr>
        <w:t>techniques</w:t>
      </w:r>
      <w:r w:rsidRPr="00FD2F0C">
        <w:rPr>
          <w:rFonts w:asciiTheme="minorHAnsi" w:hAnsiTheme="minorHAnsi"/>
          <w:sz w:val="24"/>
          <w:szCs w:val="24"/>
          <w:lang w:val="en-GB"/>
        </w:rPr>
        <w:t>/mechanisms</w:t>
      </w:r>
      <w:r w:rsidR="007366D4" w:rsidRPr="00FD2F0C">
        <w:rPr>
          <w:rFonts w:asciiTheme="minorHAnsi" w:hAnsiTheme="minorHAnsi"/>
          <w:sz w:val="24"/>
          <w:szCs w:val="24"/>
          <w:lang w:val="en-GB"/>
        </w:rPr>
        <w:t xml:space="preserve"> </w:t>
      </w:r>
      <w:r w:rsidRPr="00FD2F0C">
        <w:rPr>
          <w:rFonts w:asciiTheme="minorHAnsi" w:hAnsiTheme="minorHAnsi"/>
          <w:sz w:val="24"/>
          <w:szCs w:val="24"/>
          <w:lang w:val="en-GB"/>
        </w:rPr>
        <w:t xml:space="preserve">could be </w:t>
      </w:r>
      <w:r w:rsidR="007366D4" w:rsidRPr="00FD2F0C">
        <w:rPr>
          <w:rFonts w:asciiTheme="minorHAnsi" w:hAnsiTheme="minorHAnsi"/>
          <w:sz w:val="24"/>
          <w:szCs w:val="24"/>
          <w:lang w:val="en-GB"/>
        </w:rPr>
        <w:t xml:space="preserve">one solution among several other existing solutions, which can assist spectrum managers in developing countries make more efficient use of their spectrum resources. </w:t>
      </w:r>
      <w:r w:rsidR="007366D4" w:rsidRPr="00FD2F0C">
        <w:rPr>
          <w:rFonts w:asciiTheme="minorHAnsi" w:hAnsiTheme="minorHAnsi" w:cs="Calibri"/>
          <w:bCs/>
          <w:sz w:val="24"/>
          <w:szCs w:val="24"/>
          <w:lang w:val="en-GB"/>
        </w:rPr>
        <w:t>Each sharing solution has its own strengths and weaknesses in relation to the incumbent service(s) that need to be protected</w:t>
      </w:r>
      <w:r w:rsidRPr="00FD2F0C">
        <w:rPr>
          <w:rFonts w:asciiTheme="minorHAnsi" w:hAnsiTheme="minorHAnsi" w:cs="Calibri"/>
          <w:bCs/>
          <w:sz w:val="24"/>
          <w:szCs w:val="24"/>
          <w:lang w:val="en-GB"/>
        </w:rPr>
        <w:t>, to the benefits that may be derived in terms of innovation and to the associated costs</w:t>
      </w:r>
      <w:r w:rsidR="007366D4" w:rsidRPr="00FD2F0C">
        <w:rPr>
          <w:rFonts w:asciiTheme="minorHAnsi" w:hAnsiTheme="minorHAnsi" w:cs="Calibri"/>
          <w:bCs/>
          <w:sz w:val="24"/>
          <w:szCs w:val="24"/>
          <w:lang w:val="en-GB"/>
        </w:rPr>
        <w:t xml:space="preserve">. Therefore, spectrum managers may want to take this into account when considering application of </w:t>
      </w:r>
      <w:r w:rsidR="007B6CE6" w:rsidRPr="00FD2F0C">
        <w:rPr>
          <w:rFonts w:asciiTheme="minorHAnsi" w:hAnsiTheme="minorHAnsi" w:cs="Calibri"/>
          <w:bCs/>
          <w:sz w:val="24"/>
          <w:szCs w:val="24"/>
          <w:lang w:val="en-GB"/>
        </w:rPr>
        <w:t>d</w:t>
      </w:r>
      <w:r w:rsidR="00B42E32" w:rsidRPr="00FD2F0C">
        <w:rPr>
          <w:rFonts w:asciiTheme="minorHAnsi" w:hAnsiTheme="minorHAnsi" w:cs="Calibri"/>
          <w:bCs/>
          <w:sz w:val="24"/>
          <w:szCs w:val="24"/>
          <w:lang w:val="en-GB"/>
        </w:rPr>
        <w:t xml:space="preserve">ynamic </w:t>
      </w:r>
      <w:r w:rsidR="007B6CE6" w:rsidRPr="00FD2F0C">
        <w:rPr>
          <w:rFonts w:asciiTheme="minorHAnsi" w:hAnsiTheme="minorHAnsi" w:cs="Calibri"/>
          <w:bCs/>
          <w:sz w:val="24"/>
          <w:szCs w:val="24"/>
          <w:lang w:val="en-GB"/>
        </w:rPr>
        <w:t>s</w:t>
      </w:r>
      <w:r w:rsidR="00B42E32" w:rsidRPr="00FD2F0C">
        <w:rPr>
          <w:rFonts w:asciiTheme="minorHAnsi" w:hAnsiTheme="minorHAnsi" w:cs="Calibri"/>
          <w:bCs/>
          <w:sz w:val="24"/>
          <w:szCs w:val="24"/>
          <w:lang w:val="en-GB"/>
        </w:rPr>
        <w:t xml:space="preserve">pectrum </w:t>
      </w:r>
      <w:r w:rsidR="00C933C9" w:rsidRPr="00FD2F0C">
        <w:rPr>
          <w:rFonts w:asciiTheme="minorHAnsi" w:hAnsiTheme="minorHAnsi" w:cs="Calibri"/>
          <w:bCs/>
          <w:sz w:val="24"/>
          <w:szCs w:val="24"/>
          <w:lang w:val="en-GB"/>
        </w:rPr>
        <w:t>s</w:t>
      </w:r>
      <w:r w:rsidR="00B42E32" w:rsidRPr="00FD2F0C">
        <w:rPr>
          <w:rFonts w:asciiTheme="minorHAnsi" w:hAnsiTheme="minorHAnsi" w:cs="Calibri"/>
          <w:bCs/>
          <w:sz w:val="24"/>
          <w:szCs w:val="24"/>
          <w:lang w:val="en-GB"/>
        </w:rPr>
        <w:t>haring</w:t>
      </w:r>
      <w:r w:rsidR="00B42E32" w:rsidRPr="00FD2F0C">
        <w:rPr>
          <w:rFonts w:asciiTheme="minorHAnsi" w:hAnsiTheme="minorHAnsi"/>
          <w:lang w:val="en-GB"/>
        </w:rPr>
        <w:t xml:space="preserve"> </w:t>
      </w:r>
      <w:r w:rsidR="007366D4" w:rsidRPr="00FD2F0C">
        <w:rPr>
          <w:rFonts w:asciiTheme="minorHAnsi" w:hAnsiTheme="minorHAnsi" w:cs="Calibri"/>
          <w:bCs/>
          <w:sz w:val="24"/>
          <w:szCs w:val="24"/>
          <w:lang w:val="en-GB"/>
        </w:rPr>
        <w:t>techniques</w:t>
      </w:r>
      <w:r w:rsidR="00F71646" w:rsidRPr="00FD2F0C">
        <w:rPr>
          <w:rFonts w:asciiTheme="minorHAnsi" w:hAnsiTheme="minorHAnsi"/>
          <w:sz w:val="24"/>
          <w:szCs w:val="24"/>
          <w:lang w:val="en-GB"/>
        </w:rPr>
        <w:t>/mechanisms</w:t>
      </w:r>
      <w:r w:rsidR="007366D4" w:rsidRPr="00FD2F0C">
        <w:rPr>
          <w:rFonts w:asciiTheme="minorHAnsi" w:hAnsiTheme="minorHAnsi" w:cs="Calibri"/>
          <w:bCs/>
          <w:sz w:val="24"/>
          <w:szCs w:val="24"/>
          <w:lang w:val="en-GB"/>
        </w:rPr>
        <w:t xml:space="preserve"> in a given spectrum band</w:t>
      </w:r>
      <w:r w:rsidR="00F71646" w:rsidRPr="00FD2F0C">
        <w:rPr>
          <w:rFonts w:asciiTheme="minorHAnsi" w:hAnsiTheme="minorHAnsi" w:cs="Calibri"/>
          <w:bCs/>
          <w:sz w:val="24"/>
          <w:szCs w:val="24"/>
          <w:lang w:val="en-GB"/>
        </w:rPr>
        <w:t xml:space="preserve"> where this could be possible</w:t>
      </w:r>
      <w:r w:rsidR="007366D4" w:rsidRPr="00FD2F0C">
        <w:rPr>
          <w:rFonts w:asciiTheme="minorHAnsi" w:hAnsiTheme="minorHAnsi" w:cs="Calibri"/>
          <w:bCs/>
          <w:sz w:val="24"/>
          <w:szCs w:val="24"/>
          <w:lang w:val="en-GB"/>
        </w:rPr>
        <w:t>.</w:t>
      </w:r>
    </w:p>
    <w:p w14:paraId="3834ADBF" w14:textId="7FD28514" w:rsidR="00EE517C" w:rsidRPr="00FD2F0C" w:rsidRDefault="00EE517C">
      <w:pPr>
        <w:pStyle w:val="CEOIndenti-ii-iii"/>
        <w:numPr>
          <w:ilvl w:val="0"/>
          <w:numId w:val="0"/>
        </w:numPr>
        <w:tabs>
          <w:tab w:val="left" w:pos="720"/>
        </w:tabs>
        <w:rPr>
          <w:rFonts w:asciiTheme="minorHAnsi" w:hAnsiTheme="minorHAnsi" w:cs="Calibri"/>
          <w:bCs/>
          <w:sz w:val="24"/>
          <w:szCs w:val="24"/>
          <w:lang w:val="en-GB"/>
        </w:rPr>
      </w:pPr>
      <w:bookmarkStart w:id="45" w:name="_Toc474920762"/>
      <w:bookmarkStart w:id="46" w:name="_Toc474934639"/>
      <w:bookmarkStart w:id="47" w:name="_Toc458779233"/>
      <w:bookmarkStart w:id="48" w:name="_Toc467836385"/>
      <w:bookmarkEnd w:id="45"/>
      <w:bookmarkEnd w:id="46"/>
      <w:r w:rsidRPr="00FD2F0C">
        <w:rPr>
          <w:rFonts w:asciiTheme="minorHAnsi" w:hAnsiTheme="minorHAnsi" w:cs="Calibri"/>
          <w:bCs/>
          <w:sz w:val="24"/>
          <w:szCs w:val="24"/>
          <w:lang w:val="en-GB"/>
        </w:rPr>
        <w:t xml:space="preserve">Finally, spectrum management issues for consideration with respect to the implementation of </w:t>
      </w:r>
      <w:r w:rsidR="00E93B26" w:rsidRPr="00FD2F0C">
        <w:rPr>
          <w:rFonts w:asciiTheme="minorHAnsi" w:hAnsiTheme="minorHAnsi" w:cs="Calibri"/>
          <w:bCs/>
          <w:sz w:val="24"/>
          <w:szCs w:val="24"/>
          <w:lang w:val="en-GB"/>
        </w:rPr>
        <w:t>d</w:t>
      </w:r>
      <w:r w:rsidR="00B42E32" w:rsidRPr="00FD2F0C">
        <w:rPr>
          <w:rFonts w:asciiTheme="minorHAnsi" w:hAnsiTheme="minorHAnsi" w:cs="Calibri"/>
          <w:bCs/>
          <w:sz w:val="24"/>
          <w:szCs w:val="24"/>
          <w:lang w:val="en-GB"/>
        </w:rPr>
        <w:t xml:space="preserve">ynamic </w:t>
      </w:r>
      <w:r w:rsidR="00E93B26" w:rsidRPr="00FD2F0C">
        <w:rPr>
          <w:rFonts w:asciiTheme="minorHAnsi" w:hAnsiTheme="minorHAnsi" w:cs="Calibri"/>
          <w:bCs/>
          <w:sz w:val="24"/>
          <w:szCs w:val="24"/>
          <w:lang w:val="en-GB"/>
        </w:rPr>
        <w:t>s</w:t>
      </w:r>
      <w:r w:rsidR="00B42E32" w:rsidRPr="00FD2F0C">
        <w:rPr>
          <w:rFonts w:asciiTheme="minorHAnsi" w:hAnsiTheme="minorHAnsi" w:cs="Calibri"/>
          <w:bCs/>
          <w:sz w:val="24"/>
          <w:szCs w:val="24"/>
          <w:lang w:val="en-GB"/>
        </w:rPr>
        <w:t>pectrum Sharing</w:t>
      </w:r>
      <w:r w:rsidRPr="00FD2F0C">
        <w:rPr>
          <w:rFonts w:asciiTheme="minorHAnsi" w:hAnsiTheme="minorHAnsi" w:cs="Calibri"/>
          <w:bCs/>
          <w:sz w:val="24"/>
          <w:szCs w:val="24"/>
          <w:lang w:val="en-GB"/>
        </w:rPr>
        <w:t>-based application include:</w:t>
      </w:r>
    </w:p>
    <w:p w14:paraId="57FA4A5B" w14:textId="214EA5C9" w:rsidR="00EE517C" w:rsidRPr="00FD2F0C" w:rsidRDefault="00EE517C">
      <w:pPr>
        <w:pStyle w:val="Bulletlist1"/>
        <w:numPr>
          <w:ilvl w:val="0"/>
          <w:numId w:val="16"/>
        </w:numPr>
        <w:jc w:val="both"/>
        <w:rPr>
          <w:rFonts w:asciiTheme="minorHAnsi" w:hAnsiTheme="minorHAnsi"/>
        </w:rPr>
      </w:pPr>
      <w:r w:rsidRPr="00FD2F0C">
        <w:rPr>
          <w:rFonts w:asciiTheme="minorHAnsi" w:hAnsiTheme="minorHAnsi"/>
        </w:rPr>
        <w:t xml:space="preserve">the need for detailed sharing and compatibility studies to be performed within ITU-R </w:t>
      </w:r>
      <w:r w:rsidR="00C60B36" w:rsidRPr="00FD2F0C">
        <w:rPr>
          <w:rFonts w:asciiTheme="minorHAnsi" w:hAnsiTheme="minorHAnsi"/>
        </w:rPr>
        <w:t>study</w:t>
      </w:r>
      <w:r w:rsidRPr="00FD2F0C">
        <w:rPr>
          <w:rFonts w:asciiTheme="minorHAnsi" w:hAnsiTheme="minorHAnsi"/>
        </w:rPr>
        <w:t xml:space="preserve"> groups of the service to be protected in both co and adjacent channels</w:t>
      </w:r>
      <w:r w:rsidR="00C60B36" w:rsidRPr="00FD2F0C">
        <w:rPr>
          <w:rFonts w:asciiTheme="minorHAnsi" w:hAnsiTheme="minorHAnsi"/>
        </w:rPr>
        <w:t>. O</w:t>
      </w:r>
      <w:r w:rsidRPr="00FD2F0C">
        <w:rPr>
          <w:rFonts w:asciiTheme="minorHAnsi" w:hAnsiTheme="minorHAnsi"/>
        </w:rPr>
        <w:t>ne example of such studies was for the development of dynamic frequency selection (DFS) as a sensing method by radio local area network (RLAN) in the 5 GHz spectrum, in accordance with Recommendation ITU-R M.1652, to avoid interference to the radar systems;</w:t>
      </w:r>
    </w:p>
    <w:p w14:paraId="38037A52" w14:textId="41871974" w:rsidR="00EE517C" w:rsidRPr="00FD2F0C" w:rsidRDefault="00EE517C" w:rsidP="0032197B">
      <w:pPr>
        <w:pStyle w:val="Bulletlist1"/>
        <w:numPr>
          <w:ilvl w:val="0"/>
          <w:numId w:val="16"/>
        </w:numPr>
        <w:jc w:val="both"/>
        <w:rPr>
          <w:rFonts w:asciiTheme="minorHAnsi" w:hAnsiTheme="minorHAnsi"/>
          <w:lang w:val="en-CA"/>
        </w:rPr>
      </w:pPr>
      <w:r w:rsidRPr="00FD2F0C">
        <w:rPr>
          <w:rFonts w:asciiTheme="minorHAnsi" w:hAnsiTheme="minorHAnsi"/>
        </w:rPr>
        <w:t xml:space="preserve">the need to take into account </w:t>
      </w:r>
      <w:r w:rsidRPr="00FD2F0C">
        <w:rPr>
          <w:rFonts w:asciiTheme="minorHAnsi" w:hAnsiTheme="minorHAnsi"/>
          <w:lang w:val="en-CA"/>
        </w:rPr>
        <w:t>cross-border coordination in accordance with the R</w:t>
      </w:r>
      <w:r w:rsidR="00C60B36" w:rsidRPr="00FD2F0C">
        <w:rPr>
          <w:rFonts w:asciiTheme="minorHAnsi" w:hAnsiTheme="minorHAnsi"/>
          <w:lang w:val="en-CA"/>
        </w:rPr>
        <w:t xml:space="preserve">adio </w:t>
      </w:r>
      <w:r w:rsidRPr="00FD2F0C">
        <w:rPr>
          <w:rFonts w:asciiTheme="minorHAnsi" w:hAnsiTheme="minorHAnsi"/>
          <w:lang w:val="en-CA"/>
        </w:rPr>
        <w:t>R</w:t>
      </w:r>
      <w:r w:rsidR="00C60B36" w:rsidRPr="00FD2F0C">
        <w:rPr>
          <w:rFonts w:asciiTheme="minorHAnsi" w:hAnsiTheme="minorHAnsi"/>
          <w:lang w:val="en-CA"/>
        </w:rPr>
        <w:t>egulations</w:t>
      </w:r>
      <w:r w:rsidRPr="00FD2F0C">
        <w:rPr>
          <w:rFonts w:asciiTheme="minorHAnsi" w:hAnsiTheme="minorHAnsi"/>
          <w:lang w:val="en-CA"/>
        </w:rPr>
        <w:t>;</w:t>
      </w:r>
    </w:p>
    <w:p w14:paraId="78787FE4" w14:textId="78AAE92A" w:rsidR="00EE517C" w:rsidRPr="00FD2F0C" w:rsidRDefault="00EE517C" w:rsidP="0032197B">
      <w:pPr>
        <w:pStyle w:val="Bulletlist1"/>
        <w:numPr>
          <w:ilvl w:val="0"/>
          <w:numId w:val="16"/>
        </w:numPr>
        <w:jc w:val="both"/>
        <w:rPr>
          <w:rFonts w:asciiTheme="minorHAnsi" w:hAnsiTheme="minorHAnsi"/>
          <w:lang w:val="en-CA"/>
        </w:rPr>
      </w:pPr>
      <w:r w:rsidRPr="00FD2F0C">
        <w:rPr>
          <w:rFonts w:asciiTheme="minorHAnsi" w:hAnsiTheme="minorHAnsi"/>
          <w:lang w:val="en-CA"/>
        </w:rPr>
        <w:t>the need for</w:t>
      </w:r>
      <w:r w:rsidR="00C60B36" w:rsidRPr="00FD2F0C">
        <w:rPr>
          <w:rFonts w:asciiTheme="minorHAnsi" w:hAnsiTheme="minorHAnsi"/>
          <w:lang w:val="en-CA"/>
        </w:rPr>
        <w:t xml:space="preserve"> mature</w:t>
      </w:r>
      <w:r w:rsidRPr="00FD2F0C">
        <w:rPr>
          <w:rFonts w:asciiTheme="minorHAnsi" w:hAnsiTheme="minorHAnsi"/>
          <w:lang w:val="en-CA"/>
        </w:rPr>
        <w:t xml:space="preserve"> sensing technology</w:t>
      </w:r>
      <w:r w:rsidR="00D949F9" w:rsidRPr="00FD2F0C">
        <w:rPr>
          <w:rFonts w:asciiTheme="minorHAnsi" w:hAnsiTheme="minorHAnsi"/>
          <w:lang w:val="en-CA"/>
        </w:rPr>
        <w:t>, if applicable,</w:t>
      </w:r>
      <w:r w:rsidRPr="00FD2F0C">
        <w:rPr>
          <w:rFonts w:asciiTheme="minorHAnsi" w:hAnsiTheme="minorHAnsi"/>
          <w:lang w:val="en-CA"/>
        </w:rPr>
        <w:t xml:space="preserve"> to be able to measure accurately the spectrum occupancy;</w:t>
      </w:r>
    </w:p>
    <w:p w14:paraId="295A51C2" w14:textId="57866F12" w:rsidR="00C83D18" w:rsidRPr="00FD2F0C" w:rsidRDefault="00EE517C" w:rsidP="00541A70">
      <w:pPr>
        <w:pStyle w:val="Bulletlist1"/>
        <w:numPr>
          <w:ilvl w:val="0"/>
          <w:numId w:val="16"/>
        </w:numPr>
        <w:jc w:val="both"/>
        <w:rPr>
          <w:rFonts w:asciiTheme="minorHAnsi" w:hAnsiTheme="minorHAnsi"/>
          <w:lang w:val="en-CA"/>
        </w:rPr>
      </w:pPr>
      <w:r w:rsidRPr="00FD2F0C">
        <w:rPr>
          <w:rFonts w:asciiTheme="minorHAnsi" w:hAnsiTheme="minorHAnsi"/>
          <w:lang w:val="en-CA"/>
        </w:rPr>
        <w:t>the risk</w:t>
      </w:r>
      <w:r w:rsidR="00902FAA" w:rsidRPr="00FD2F0C">
        <w:rPr>
          <w:rFonts w:asciiTheme="minorHAnsi" w:hAnsiTheme="minorHAnsi"/>
          <w:lang w:val="en-CA"/>
        </w:rPr>
        <w:t xml:space="preserve"> for </w:t>
      </w:r>
      <w:r w:rsidR="00C83D18" w:rsidRPr="00FD2F0C">
        <w:rPr>
          <w:rFonts w:asciiTheme="minorHAnsi" w:hAnsiTheme="minorHAnsi"/>
          <w:lang w:val="en-CA"/>
        </w:rPr>
        <w:t>investments in</w:t>
      </w:r>
      <w:r w:rsidR="00C518A7" w:rsidRPr="00FD2F0C">
        <w:rPr>
          <w:rFonts w:asciiTheme="minorHAnsi" w:hAnsiTheme="minorHAnsi"/>
          <w:lang w:val="en-CA"/>
        </w:rPr>
        <w:t xml:space="preserve"> opportunistic uses</w:t>
      </w:r>
      <w:r w:rsidRPr="00FD2F0C">
        <w:rPr>
          <w:rFonts w:asciiTheme="minorHAnsi" w:hAnsiTheme="minorHAnsi"/>
          <w:lang w:val="en-CA"/>
        </w:rPr>
        <w:t xml:space="preserve">, associated with </w:t>
      </w:r>
      <w:r w:rsidR="00C83D18" w:rsidRPr="00FD2F0C">
        <w:rPr>
          <w:rFonts w:asciiTheme="minorHAnsi" w:hAnsiTheme="minorHAnsi"/>
          <w:lang w:val="en-CA"/>
        </w:rPr>
        <w:t xml:space="preserve">the </w:t>
      </w:r>
      <w:r w:rsidRPr="00FD2F0C">
        <w:rPr>
          <w:rFonts w:asciiTheme="minorHAnsi" w:hAnsiTheme="minorHAnsi"/>
          <w:lang w:val="en-CA"/>
        </w:rPr>
        <w:t xml:space="preserve">uncertainties on the </w:t>
      </w:r>
      <w:r w:rsidR="00C83D18" w:rsidRPr="00FD2F0C">
        <w:rPr>
          <w:rFonts w:asciiTheme="minorHAnsi" w:hAnsiTheme="minorHAnsi"/>
          <w:lang w:val="en-CA"/>
        </w:rPr>
        <w:t xml:space="preserve">medium and long term </w:t>
      </w:r>
      <w:r w:rsidRPr="00FD2F0C">
        <w:rPr>
          <w:rFonts w:asciiTheme="minorHAnsi" w:hAnsiTheme="minorHAnsi"/>
          <w:lang w:val="en-CA"/>
        </w:rPr>
        <w:t>availability of spectrum</w:t>
      </w:r>
      <w:r w:rsidR="00272B9A" w:rsidRPr="00FD2F0C">
        <w:rPr>
          <w:rFonts w:asciiTheme="minorHAnsi" w:hAnsiTheme="minorHAnsi"/>
          <w:lang w:val="en-CA"/>
        </w:rPr>
        <w:t>, either as a result of changes in the spectrum requirements</w:t>
      </w:r>
      <w:r w:rsidR="0027192D" w:rsidRPr="00FD2F0C">
        <w:rPr>
          <w:rFonts w:asciiTheme="minorHAnsi" w:hAnsiTheme="minorHAnsi"/>
          <w:lang w:val="en-CA"/>
        </w:rPr>
        <w:t xml:space="preserve"> </w:t>
      </w:r>
      <w:r w:rsidR="00685AD9" w:rsidRPr="00FD2F0C">
        <w:rPr>
          <w:rFonts w:asciiTheme="minorHAnsi" w:hAnsiTheme="minorHAnsi"/>
          <w:lang w:val="en-CA"/>
        </w:rPr>
        <w:t xml:space="preserve">of higher priority users </w:t>
      </w:r>
      <w:r w:rsidR="0027192D" w:rsidRPr="00FD2F0C">
        <w:rPr>
          <w:rFonts w:asciiTheme="minorHAnsi" w:hAnsiTheme="minorHAnsi"/>
          <w:lang w:val="en-CA"/>
        </w:rPr>
        <w:t>or as a result of a change in higher priority allocations</w:t>
      </w:r>
      <w:r w:rsidR="00C83D18" w:rsidRPr="00FD2F0C">
        <w:rPr>
          <w:rFonts w:asciiTheme="minorHAnsi" w:hAnsiTheme="minorHAnsi"/>
          <w:lang w:val="en-CA"/>
        </w:rPr>
        <w:t>.</w:t>
      </w:r>
    </w:p>
    <w:p w14:paraId="527A5CB8" w14:textId="1CD26701" w:rsidR="003120C7" w:rsidRPr="00FD2F0C" w:rsidRDefault="00C83D18">
      <w:pPr>
        <w:pStyle w:val="Bulletlist1"/>
        <w:numPr>
          <w:ilvl w:val="0"/>
          <w:numId w:val="16"/>
        </w:numPr>
        <w:jc w:val="both"/>
        <w:rPr>
          <w:rFonts w:asciiTheme="minorHAnsi" w:hAnsiTheme="minorHAnsi"/>
          <w:lang w:val="en-CA"/>
        </w:rPr>
      </w:pPr>
      <w:r w:rsidRPr="00FD2F0C">
        <w:rPr>
          <w:rFonts w:asciiTheme="minorHAnsi" w:hAnsiTheme="minorHAnsi"/>
          <w:lang w:val="en-CA"/>
        </w:rPr>
        <w:lastRenderedPageBreak/>
        <w:t xml:space="preserve">the </w:t>
      </w:r>
      <w:r w:rsidR="009D4169" w:rsidRPr="00FD2F0C">
        <w:rPr>
          <w:rFonts w:asciiTheme="minorHAnsi" w:hAnsiTheme="minorHAnsi"/>
          <w:lang w:val="en-CA"/>
        </w:rPr>
        <w:t xml:space="preserve">challenge </w:t>
      </w:r>
      <w:r w:rsidR="00C0430C" w:rsidRPr="00FD2F0C">
        <w:rPr>
          <w:rFonts w:asciiTheme="minorHAnsi" w:hAnsiTheme="minorHAnsi"/>
          <w:lang w:val="en-CA"/>
        </w:rPr>
        <w:t>for the regulator</w:t>
      </w:r>
      <w:r w:rsidR="009D4169" w:rsidRPr="00FD2F0C">
        <w:rPr>
          <w:rFonts w:asciiTheme="minorHAnsi" w:hAnsiTheme="minorHAnsi"/>
          <w:lang w:val="en-CA"/>
        </w:rPr>
        <w:t>’s</w:t>
      </w:r>
      <w:r w:rsidR="00C0430C" w:rsidRPr="00FD2F0C">
        <w:rPr>
          <w:rFonts w:asciiTheme="minorHAnsi" w:hAnsiTheme="minorHAnsi"/>
          <w:lang w:val="en-CA"/>
        </w:rPr>
        <w:t xml:space="preserve"> ability to </w:t>
      </w:r>
      <w:r w:rsidR="00EE517C" w:rsidRPr="00FD2F0C">
        <w:rPr>
          <w:rFonts w:asciiTheme="minorHAnsi" w:hAnsiTheme="minorHAnsi"/>
          <w:lang w:val="en-CA"/>
        </w:rPr>
        <w:t xml:space="preserve">change </w:t>
      </w:r>
      <w:r w:rsidR="009D4169" w:rsidRPr="00FD2F0C">
        <w:rPr>
          <w:rFonts w:asciiTheme="minorHAnsi" w:hAnsiTheme="minorHAnsi"/>
          <w:lang w:val="en-CA"/>
        </w:rPr>
        <w:t>the p</w:t>
      </w:r>
      <w:r w:rsidR="00EE517C" w:rsidRPr="00FD2F0C">
        <w:rPr>
          <w:rFonts w:asciiTheme="minorHAnsi" w:hAnsiTheme="minorHAnsi"/>
          <w:lang w:val="en-CA"/>
        </w:rPr>
        <w:t>ri</w:t>
      </w:r>
      <w:r w:rsidR="009D4169" w:rsidRPr="00FD2F0C">
        <w:rPr>
          <w:rFonts w:asciiTheme="minorHAnsi" w:hAnsiTheme="minorHAnsi"/>
          <w:lang w:val="en-CA"/>
        </w:rPr>
        <w:t xml:space="preserve">ority </w:t>
      </w:r>
      <w:r w:rsidR="00EE517C" w:rsidRPr="00FD2F0C">
        <w:rPr>
          <w:rFonts w:asciiTheme="minorHAnsi" w:hAnsiTheme="minorHAnsi"/>
          <w:lang w:val="en-CA"/>
        </w:rPr>
        <w:t>users’ spectrum allocation</w:t>
      </w:r>
      <w:r w:rsidR="009D4169" w:rsidRPr="00FD2F0C">
        <w:rPr>
          <w:rFonts w:asciiTheme="minorHAnsi" w:hAnsiTheme="minorHAnsi"/>
          <w:lang w:val="en-CA"/>
        </w:rPr>
        <w:t xml:space="preserve"> at a future stage</w:t>
      </w:r>
      <w:r w:rsidR="00EE517C" w:rsidRPr="00FD2F0C">
        <w:rPr>
          <w:rFonts w:asciiTheme="minorHAnsi" w:hAnsiTheme="minorHAnsi"/>
          <w:lang w:val="en-CA"/>
        </w:rPr>
        <w:t xml:space="preserve">, noting that </w:t>
      </w:r>
      <w:r w:rsidR="00EE517C" w:rsidRPr="00FD2F0C">
        <w:rPr>
          <w:rFonts w:asciiTheme="minorHAnsi" w:hAnsiTheme="minorHAnsi"/>
        </w:rPr>
        <w:t xml:space="preserve">the identification of a frequency band for “license-exempt” applications </w:t>
      </w:r>
      <w:r w:rsidR="00C6786B" w:rsidRPr="00FD2F0C">
        <w:rPr>
          <w:rFonts w:asciiTheme="minorHAnsi" w:hAnsiTheme="minorHAnsi"/>
        </w:rPr>
        <w:t xml:space="preserve">may be </w:t>
      </w:r>
      <w:r w:rsidR="00EE517C" w:rsidRPr="00FD2F0C">
        <w:rPr>
          <w:rFonts w:asciiTheme="minorHAnsi" w:hAnsiTheme="minorHAnsi"/>
        </w:rPr>
        <w:t>seen as irreversible</w:t>
      </w:r>
      <w:r w:rsidR="002807F6" w:rsidRPr="00FD2F0C">
        <w:rPr>
          <w:rFonts w:asciiTheme="minorHAnsi" w:hAnsiTheme="minorHAnsi"/>
        </w:rPr>
        <w:t>, or if feas</w:t>
      </w:r>
      <w:r w:rsidR="003B0184" w:rsidRPr="00FD2F0C">
        <w:rPr>
          <w:rFonts w:asciiTheme="minorHAnsi" w:hAnsiTheme="minorHAnsi"/>
        </w:rPr>
        <w:t>ible,</w:t>
      </w:r>
      <w:r w:rsidR="00F9058D" w:rsidRPr="00FD2F0C">
        <w:rPr>
          <w:rFonts w:asciiTheme="minorHAnsi" w:hAnsiTheme="minorHAnsi"/>
        </w:rPr>
        <w:t xml:space="preserve"> </w:t>
      </w:r>
      <w:r w:rsidR="003B0184" w:rsidRPr="00FD2F0C">
        <w:rPr>
          <w:rFonts w:asciiTheme="minorHAnsi" w:hAnsiTheme="minorHAnsi"/>
        </w:rPr>
        <w:t xml:space="preserve">may take a very long period </w:t>
      </w:r>
      <w:r w:rsidR="00F9058D" w:rsidRPr="00FD2F0C">
        <w:rPr>
          <w:rFonts w:asciiTheme="minorHAnsi" w:hAnsiTheme="minorHAnsi"/>
        </w:rPr>
        <w:t xml:space="preserve">of time </w:t>
      </w:r>
      <w:r w:rsidR="003B0184" w:rsidRPr="00FD2F0C">
        <w:rPr>
          <w:rFonts w:asciiTheme="minorHAnsi" w:hAnsiTheme="minorHAnsi"/>
        </w:rPr>
        <w:t>to be changed to an alternative purpose.</w:t>
      </w:r>
      <w:r w:rsidR="0053653F" w:rsidRPr="00FD2F0C">
        <w:rPr>
          <w:rFonts w:asciiTheme="minorHAnsi" w:hAnsiTheme="minorHAnsi"/>
        </w:rPr>
        <w:t xml:space="preserve"> As a consequence, administrations should, in the context of their decision making-process</w:t>
      </w:r>
      <w:r w:rsidR="00D90792" w:rsidRPr="00FD2F0C">
        <w:rPr>
          <w:rFonts w:asciiTheme="minorHAnsi" w:hAnsiTheme="minorHAnsi"/>
        </w:rPr>
        <w:t>,</w:t>
      </w:r>
      <w:r w:rsidR="0053653F" w:rsidRPr="00FD2F0C">
        <w:rPr>
          <w:rFonts w:asciiTheme="minorHAnsi" w:hAnsiTheme="minorHAnsi"/>
        </w:rPr>
        <w:t xml:space="preserve"> evaluate their long-term strategy with respect to the future of the subject frequency band</w:t>
      </w:r>
      <w:r w:rsidR="00C6786B" w:rsidRPr="00FD2F0C">
        <w:rPr>
          <w:rFonts w:asciiTheme="minorHAnsi" w:hAnsiTheme="minorHAnsi"/>
        </w:rPr>
        <w:t xml:space="preserve"> prior to authorizing license-exempt opportunistic access</w:t>
      </w:r>
      <w:r w:rsidR="00A85708" w:rsidRPr="00FD2F0C">
        <w:rPr>
          <w:rFonts w:asciiTheme="minorHAnsi" w:hAnsiTheme="minorHAnsi"/>
        </w:rPr>
        <w:t>. They should also ensure</w:t>
      </w:r>
      <w:r w:rsidR="002E3A7C" w:rsidRPr="00FD2F0C">
        <w:rPr>
          <w:rFonts w:asciiTheme="minorHAnsi" w:hAnsiTheme="minorHAnsi"/>
        </w:rPr>
        <w:t>, through the terms on their regulatory decision authorizing opportunistic access,</w:t>
      </w:r>
      <w:r w:rsidR="00A85708" w:rsidRPr="00FD2F0C">
        <w:rPr>
          <w:rFonts w:asciiTheme="minorHAnsi" w:hAnsiTheme="minorHAnsi"/>
        </w:rPr>
        <w:t xml:space="preserve"> that </w:t>
      </w:r>
      <w:r w:rsidR="00EE517C" w:rsidRPr="00FD2F0C">
        <w:rPr>
          <w:rFonts w:asciiTheme="minorHAnsi" w:hAnsiTheme="minorHAnsi"/>
        </w:rPr>
        <w:t>future decisions in terms of spectrum planning can be enforced;</w:t>
      </w:r>
    </w:p>
    <w:p w14:paraId="74C1BBD4" w14:textId="1B87215D" w:rsidR="003120C7" w:rsidRPr="00FD2F0C" w:rsidRDefault="003120C7" w:rsidP="0049069C">
      <w:pPr>
        <w:pStyle w:val="ListParagraph"/>
        <w:numPr>
          <w:ilvl w:val="0"/>
          <w:numId w:val="16"/>
        </w:numPr>
        <w:rPr>
          <w:rFonts w:asciiTheme="minorHAnsi" w:hAnsiTheme="minorHAnsi"/>
          <w:lang w:val="en-GB"/>
        </w:rPr>
      </w:pPr>
      <w:r w:rsidRPr="00FD2F0C">
        <w:rPr>
          <w:rFonts w:asciiTheme="minorHAnsi" w:hAnsiTheme="minorHAnsi"/>
          <w:lang w:val="en-GB"/>
        </w:rPr>
        <w:t xml:space="preserve">the challenge </w:t>
      </w:r>
      <w:r w:rsidR="00780C4B" w:rsidRPr="00FD2F0C">
        <w:rPr>
          <w:rFonts w:asciiTheme="minorHAnsi" w:hAnsiTheme="minorHAnsi"/>
          <w:lang w:val="en-GB"/>
        </w:rPr>
        <w:t>of</w:t>
      </w:r>
      <w:r w:rsidRPr="00FD2F0C">
        <w:rPr>
          <w:rFonts w:asciiTheme="minorHAnsi" w:hAnsiTheme="minorHAnsi"/>
          <w:lang w:val="en-GB"/>
        </w:rPr>
        <w:t xml:space="preserve"> </w:t>
      </w:r>
      <w:r w:rsidR="00780C4B" w:rsidRPr="00FD2F0C">
        <w:rPr>
          <w:rFonts w:asciiTheme="minorHAnsi" w:hAnsiTheme="minorHAnsi"/>
          <w:lang w:val="en-GB"/>
        </w:rPr>
        <w:t xml:space="preserve">ensuring </w:t>
      </w:r>
      <w:r w:rsidRPr="00FD2F0C">
        <w:rPr>
          <w:rFonts w:asciiTheme="minorHAnsi" w:hAnsiTheme="minorHAnsi"/>
          <w:lang w:val="en-GB"/>
        </w:rPr>
        <w:t xml:space="preserve">the </w:t>
      </w:r>
      <w:r w:rsidR="00780C4B" w:rsidRPr="00FD2F0C">
        <w:rPr>
          <w:rFonts w:asciiTheme="minorHAnsi" w:hAnsiTheme="minorHAnsi"/>
          <w:lang w:val="en-GB"/>
        </w:rPr>
        <w:t xml:space="preserve">compliance </w:t>
      </w:r>
      <w:r w:rsidRPr="00FD2F0C">
        <w:rPr>
          <w:rFonts w:asciiTheme="minorHAnsi" w:hAnsiTheme="minorHAnsi"/>
          <w:lang w:val="en-GB"/>
        </w:rPr>
        <w:t xml:space="preserve">of the devices with </w:t>
      </w:r>
      <w:r w:rsidR="00780C4B" w:rsidRPr="00FD2F0C">
        <w:rPr>
          <w:rFonts w:asciiTheme="minorHAnsi" w:hAnsiTheme="minorHAnsi"/>
          <w:lang w:val="en-GB"/>
        </w:rPr>
        <w:t xml:space="preserve">national and international </w:t>
      </w:r>
      <w:r w:rsidRPr="00FD2F0C">
        <w:rPr>
          <w:rFonts w:asciiTheme="minorHAnsi" w:hAnsiTheme="minorHAnsi"/>
          <w:lang w:val="en-GB"/>
        </w:rPr>
        <w:t>regulations and the enforcement of these regulations. Th</w:t>
      </w:r>
      <w:r w:rsidR="000D402B" w:rsidRPr="00FD2F0C">
        <w:rPr>
          <w:rFonts w:asciiTheme="minorHAnsi" w:hAnsiTheme="minorHAnsi"/>
          <w:lang w:val="en-GB"/>
        </w:rPr>
        <w:t>ese</w:t>
      </w:r>
      <w:r w:rsidRPr="00FD2F0C">
        <w:rPr>
          <w:rFonts w:asciiTheme="minorHAnsi" w:hAnsiTheme="minorHAnsi"/>
          <w:lang w:val="en-GB"/>
        </w:rPr>
        <w:t xml:space="preserve"> </w:t>
      </w:r>
      <w:r w:rsidR="00541A70" w:rsidRPr="00FD2F0C">
        <w:rPr>
          <w:rFonts w:asciiTheme="minorHAnsi" w:hAnsiTheme="minorHAnsi"/>
          <w:lang w:val="en-GB"/>
        </w:rPr>
        <w:t xml:space="preserve">compliance </w:t>
      </w:r>
      <w:r w:rsidR="000D402B" w:rsidRPr="00FD2F0C">
        <w:rPr>
          <w:rFonts w:asciiTheme="minorHAnsi" w:hAnsiTheme="minorHAnsi"/>
          <w:lang w:val="en-GB"/>
        </w:rPr>
        <w:t xml:space="preserve">and </w:t>
      </w:r>
      <w:r w:rsidRPr="00FD2F0C">
        <w:rPr>
          <w:rFonts w:asciiTheme="minorHAnsi" w:hAnsiTheme="minorHAnsi"/>
          <w:lang w:val="en-GB"/>
        </w:rPr>
        <w:t>enforcement aspect</w:t>
      </w:r>
      <w:r w:rsidR="000D402B" w:rsidRPr="00FD2F0C">
        <w:rPr>
          <w:rFonts w:asciiTheme="minorHAnsi" w:hAnsiTheme="minorHAnsi"/>
          <w:lang w:val="en-GB"/>
        </w:rPr>
        <w:t>s</w:t>
      </w:r>
      <w:r w:rsidRPr="00FD2F0C">
        <w:rPr>
          <w:rFonts w:asciiTheme="minorHAnsi" w:hAnsiTheme="minorHAnsi"/>
          <w:lang w:val="en-GB"/>
        </w:rPr>
        <w:t xml:space="preserve"> will need to be </w:t>
      </w:r>
      <w:r w:rsidR="00541A70" w:rsidRPr="00FD2F0C">
        <w:rPr>
          <w:rFonts w:asciiTheme="minorHAnsi" w:hAnsiTheme="minorHAnsi"/>
          <w:lang w:val="en-GB"/>
        </w:rPr>
        <w:t>addressed</w:t>
      </w:r>
      <w:r w:rsidR="00122A69" w:rsidRPr="00FD2F0C">
        <w:rPr>
          <w:rFonts w:asciiTheme="minorHAnsi" w:hAnsiTheme="minorHAnsi"/>
          <w:lang w:val="en-GB"/>
        </w:rPr>
        <w:t xml:space="preserve"> in a satisfactory way </w:t>
      </w:r>
      <w:r w:rsidRPr="00FD2F0C">
        <w:rPr>
          <w:rFonts w:asciiTheme="minorHAnsi" w:hAnsiTheme="minorHAnsi"/>
          <w:lang w:val="en-GB"/>
        </w:rPr>
        <w:t xml:space="preserve"> if such spectrum sharing technologies are to be implemented in the future.</w:t>
      </w:r>
    </w:p>
    <w:p w14:paraId="08F9C996" w14:textId="4EC65EFE" w:rsidR="0009005A" w:rsidRPr="00FD2F0C" w:rsidRDefault="0009005A" w:rsidP="0049069C">
      <w:pPr>
        <w:pStyle w:val="Bulletlist1"/>
        <w:numPr>
          <w:ilvl w:val="0"/>
          <w:numId w:val="16"/>
        </w:numPr>
        <w:jc w:val="both"/>
        <w:rPr>
          <w:rFonts w:asciiTheme="minorHAnsi" w:hAnsiTheme="minorHAnsi"/>
        </w:rPr>
      </w:pPr>
      <w:r w:rsidRPr="00FD2F0C">
        <w:rPr>
          <w:rFonts w:asciiTheme="minorHAnsi" w:hAnsiTheme="minorHAnsi"/>
          <w:lang w:val="en-CA"/>
        </w:rPr>
        <w:t>the database</w:t>
      </w:r>
      <w:r w:rsidR="00192E71" w:rsidRPr="00FD2F0C">
        <w:rPr>
          <w:rFonts w:asciiTheme="minorHAnsi" w:hAnsiTheme="minorHAnsi"/>
          <w:lang w:val="en-CA"/>
        </w:rPr>
        <w:t xml:space="preserve"> related issues including</w:t>
      </w:r>
      <w:r w:rsidRPr="00FD2F0C">
        <w:rPr>
          <w:rFonts w:asciiTheme="minorHAnsi" w:hAnsiTheme="minorHAnsi"/>
          <w:lang w:val="en-CA"/>
        </w:rPr>
        <w:t xml:space="preserve"> complexity reliability and management</w:t>
      </w:r>
      <w:r w:rsidR="00D949F9" w:rsidRPr="00FD2F0C">
        <w:rPr>
          <w:rFonts w:asciiTheme="minorHAnsi" w:hAnsiTheme="minorHAnsi"/>
          <w:lang w:val="en-CA"/>
        </w:rPr>
        <w:t xml:space="preserve"> if applicable</w:t>
      </w:r>
      <w:r w:rsidRPr="00FD2F0C">
        <w:rPr>
          <w:rFonts w:asciiTheme="minorHAnsi" w:hAnsiTheme="minorHAnsi"/>
        </w:rPr>
        <w:t>.</w:t>
      </w:r>
    </w:p>
    <w:p w14:paraId="67CA1FDF" w14:textId="6F61F280" w:rsidR="00322973" w:rsidRPr="00FD2F0C" w:rsidRDefault="00AE7C4C">
      <w:pPr>
        <w:pStyle w:val="Bulletlist1"/>
        <w:numPr>
          <w:ilvl w:val="0"/>
          <w:numId w:val="16"/>
        </w:numPr>
        <w:jc w:val="both"/>
        <w:rPr>
          <w:rFonts w:asciiTheme="minorHAnsi" w:hAnsiTheme="minorHAnsi"/>
        </w:rPr>
      </w:pPr>
      <w:r w:rsidRPr="00FD2F0C">
        <w:rPr>
          <w:rFonts w:asciiTheme="minorHAnsi" w:hAnsiTheme="minorHAnsi"/>
        </w:rPr>
        <w:t xml:space="preserve">the technical challenge of developing devices </w:t>
      </w:r>
      <w:r w:rsidR="00B65E05" w:rsidRPr="00FD2F0C">
        <w:rPr>
          <w:rFonts w:asciiTheme="minorHAnsi" w:hAnsiTheme="minorHAnsi"/>
        </w:rPr>
        <w:t xml:space="preserve">that </w:t>
      </w:r>
      <w:r w:rsidR="00B92FBD" w:rsidRPr="00FD2F0C">
        <w:rPr>
          <w:rFonts w:asciiTheme="minorHAnsi" w:hAnsiTheme="minorHAnsi"/>
        </w:rPr>
        <w:t>are able to operate in any channel ove</w:t>
      </w:r>
      <w:r w:rsidR="00B65E05" w:rsidRPr="00FD2F0C">
        <w:rPr>
          <w:rFonts w:asciiTheme="minorHAnsi" w:hAnsiTheme="minorHAnsi"/>
        </w:rPr>
        <w:t xml:space="preserve">r a wide frequency range while </w:t>
      </w:r>
      <w:r w:rsidR="002D0CC4" w:rsidRPr="00FD2F0C">
        <w:rPr>
          <w:rFonts w:asciiTheme="minorHAnsi" w:hAnsiTheme="minorHAnsi"/>
        </w:rPr>
        <w:t xml:space="preserve">having </w:t>
      </w:r>
      <w:r w:rsidR="00B92FBD" w:rsidRPr="00FD2F0C">
        <w:rPr>
          <w:rFonts w:asciiTheme="minorHAnsi" w:hAnsiTheme="minorHAnsi"/>
        </w:rPr>
        <w:t xml:space="preserve">to </w:t>
      </w:r>
      <w:r w:rsidR="00B65E05" w:rsidRPr="00FD2F0C">
        <w:rPr>
          <w:rFonts w:asciiTheme="minorHAnsi" w:hAnsiTheme="minorHAnsi"/>
        </w:rPr>
        <w:t>avoid adjacent channel interference into higher priority services.</w:t>
      </w:r>
    </w:p>
    <w:p w14:paraId="71B73570" w14:textId="49469971" w:rsidR="007366D4" w:rsidRPr="00FD2F0C" w:rsidDel="00443FA6" w:rsidRDefault="00D703E3" w:rsidP="00E73393">
      <w:pPr>
        <w:pStyle w:val="Heading3"/>
        <w:numPr>
          <w:ilvl w:val="0"/>
          <w:numId w:val="0"/>
        </w:numPr>
        <w:ind w:left="720" w:hanging="720"/>
        <w:rPr>
          <w:rFonts w:asciiTheme="minorHAnsi" w:hAnsiTheme="minorHAnsi"/>
        </w:rPr>
      </w:pPr>
      <w:bookmarkStart w:id="49" w:name="_Toc485647982"/>
      <w:r w:rsidRPr="00FD2F0C">
        <w:rPr>
          <w:rFonts w:asciiTheme="minorHAnsi" w:hAnsiTheme="minorHAnsi"/>
        </w:rPr>
        <w:t>1.4</w:t>
      </w:r>
      <w:r w:rsidR="008C0254" w:rsidRPr="00FD2F0C">
        <w:rPr>
          <w:rFonts w:asciiTheme="minorHAnsi" w:hAnsiTheme="minorHAnsi"/>
        </w:rPr>
        <w:t>.3</w:t>
      </w:r>
      <w:r w:rsidR="007366D4" w:rsidRPr="00FD2F0C">
        <w:rPr>
          <w:rFonts w:asciiTheme="minorHAnsi" w:hAnsiTheme="minorHAnsi"/>
        </w:rPr>
        <w:tab/>
        <w:t>ITU regulatory framework</w:t>
      </w:r>
      <w:bookmarkEnd w:id="47"/>
      <w:bookmarkEnd w:id="48"/>
      <w:r w:rsidR="00E73393" w:rsidRPr="00FD2F0C">
        <w:rPr>
          <w:rFonts w:asciiTheme="minorHAnsi" w:hAnsiTheme="minorHAnsi"/>
        </w:rPr>
        <w:t xml:space="preserve"> </w:t>
      </w:r>
      <w:r w:rsidR="00B26EF6" w:rsidRPr="00FD2F0C">
        <w:rPr>
          <w:rFonts w:asciiTheme="minorHAnsi" w:hAnsiTheme="minorHAnsi"/>
        </w:rPr>
        <w:t>for spectrum sharing</w:t>
      </w:r>
      <w:bookmarkEnd w:id="49"/>
    </w:p>
    <w:p w14:paraId="1C8A0180" w14:textId="7D3C1CE5" w:rsidR="007366D4" w:rsidRPr="00FD2F0C" w:rsidDel="00443FA6" w:rsidRDefault="0085510B" w:rsidP="00EC43E0">
      <w:pPr>
        <w:rPr>
          <w:rFonts w:asciiTheme="minorHAnsi" w:hAnsiTheme="minorHAnsi"/>
          <w:lang w:val="en-GB"/>
        </w:rPr>
      </w:pPr>
      <w:r w:rsidRPr="00FD2F0C">
        <w:rPr>
          <w:rFonts w:asciiTheme="minorHAnsi" w:hAnsiTheme="minorHAnsi"/>
          <w:lang w:val="en-GB"/>
        </w:rPr>
        <w:t xml:space="preserve">Since the 1960’s, </w:t>
      </w:r>
      <w:r w:rsidR="007366D4" w:rsidRPr="00FD2F0C">
        <w:rPr>
          <w:rFonts w:asciiTheme="minorHAnsi" w:hAnsiTheme="minorHAnsi"/>
          <w:lang w:val="en-GB"/>
        </w:rPr>
        <w:t>t</w:t>
      </w:r>
      <w:r w:rsidR="007366D4" w:rsidRPr="00FD2F0C" w:rsidDel="00443FA6">
        <w:rPr>
          <w:rFonts w:asciiTheme="minorHAnsi" w:hAnsiTheme="minorHAnsi"/>
          <w:lang w:val="en-GB"/>
        </w:rPr>
        <w:t xml:space="preserve">he ITU </w:t>
      </w:r>
      <w:r w:rsidR="00FA7716" w:rsidRPr="00FD2F0C">
        <w:rPr>
          <w:rFonts w:asciiTheme="minorHAnsi" w:hAnsiTheme="minorHAnsi"/>
          <w:lang w:val="en-GB"/>
        </w:rPr>
        <w:t xml:space="preserve">has been </w:t>
      </w:r>
      <w:r w:rsidR="002B2326" w:rsidRPr="00FD2F0C">
        <w:rPr>
          <w:rFonts w:asciiTheme="minorHAnsi" w:hAnsiTheme="minorHAnsi"/>
          <w:lang w:val="en-GB"/>
        </w:rPr>
        <w:t xml:space="preserve">developing </w:t>
      </w:r>
      <w:r w:rsidR="00404DC3" w:rsidRPr="00FD2F0C">
        <w:rPr>
          <w:rFonts w:asciiTheme="minorHAnsi" w:hAnsiTheme="minorHAnsi"/>
          <w:lang w:val="en-GB"/>
        </w:rPr>
        <w:t xml:space="preserve">and implementing </w:t>
      </w:r>
      <w:r w:rsidR="007366D4" w:rsidRPr="00FD2F0C" w:rsidDel="00443FA6">
        <w:rPr>
          <w:rFonts w:asciiTheme="minorHAnsi" w:hAnsiTheme="minorHAnsi"/>
          <w:lang w:val="en-GB"/>
        </w:rPr>
        <w:t xml:space="preserve">spectrum sharing technologies and techniques as a management </w:t>
      </w:r>
      <w:r w:rsidR="007366D4" w:rsidRPr="00FD2F0C">
        <w:rPr>
          <w:rFonts w:asciiTheme="minorHAnsi" w:hAnsiTheme="minorHAnsi"/>
          <w:lang w:val="en-GB"/>
        </w:rPr>
        <w:t xml:space="preserve">method </w:t>
      </w:r>
      <w:r w:rsidR="007366D4" w:rsidRPr="00FD2F0C" w:rsidDel="00443FA6">
        <w:rPr>
          <w:rFonts w:asciiTheme="minorHAnsi" w:hAnsiTheme="minorHAnsi"/>
          <w:lang w:val="en-GB"/>
        </w:rPr>
        <w:t xml:space="preserve">for increasing spectrum utilization efficiency. In principle, these technologies </w:t>
      </w:r>
      <w:r w:rsidR="002B2326" w:rsidRPr="00FD2F0C">
        <w:rPr>
          <w:rFonts w:asciiTheme="minorHAnsi" w:hAnsiTheme="minorHAnsi"/>
          <w:lang w:val="en-GB"/>
        </w:rPr>
        <w:t xml:space="preserve">may now </w:t>
      </w:r>
      <w:r w:rsidR="007366D4" w:rsidRPr="00FD2F0C" w:rsidDel="00443FA6">
        <w:rPr>
          <w:rFonts w:asciiTheme="minorHAnsi" w:hAnsiTheme="minorHAnsi"/>
          <w:lang w:val="en-GB"/>
        </w:rPr>
        <w:t xml:space="preserve">enable </w:t>
      </w:r>
      <w:r w:rsidR="00EC43E0" w:rsidRPr="00FD2F0C">
        <w:rPr>
          <w:rFonts w:asciiTheme="minorHAnsi" w:hAnsiTheme="minorHAnsi"/>
          <w:lang w:val="en-GB"/>
        </w:rPr>
        <w:t xml:space="preserve">dynamic spectrum sharing </w:t>
      </w:r>
      <w:r w:rsidR="007366D4" w:rsidRPr="00FD2F0C" w:rsidDel="00443FA6">
        <w:rPr>
          <w:rFonts w:asciiTheme="minorHAnsi" w:hAnsiTheme="minorHAnsi"/>
          <w:lang w:val="en-GB"/>
        </w:rPr>
        <w:t>b</w:t>
      </w:r>
      <w:r w:rsidR="007366D4" w:rsidRPr="00FD2F0C">
        <w:rPr>
          <w:rFonts w:asciiTheme="minorHAnsi" w:hAnsiTheme="minorHAnsi"/>
          <w:lang w:val="en-GB"/>
        </w:rPr>
        <w:t xml:space="preserve">ased on dimensions of </w:t>
      </w:r>
      <w:r w:rsidR="007366D4" w:rsidRPr="00FD2F0C" w:rsidDel="00443FA6">
        <w:rPr>
          <w:rFonts w:asciiTheme="minorHAnsi" w:hAnsiTheme="minorHAnsi"/>
          <w:lang w:val="en-GB"/>
        </w:rPr>
        <w:t>time</w:t>
      </w:r>
      <w:r w:rsidR="007366D4" w:rsidRPr="00FD2F0C">
        <w:rPr>
          <w:rFonts w:asciiTheme="minorHAnsi" w:hAnsiTheme="minorHAnsi"/>
          <w:lang w:val="en-GB"/>
        </w:rPr>
        <w:t xml:space="preserve">, frequency, spatial </w:t>
      </w:r>
      <w:r w:rsidR="007366D4" w:rsidRPr="00FD2F0C" w:rsidDel="00443FA6">
        <w:rPr>
          <w:rFonts w:asciiTheme="minorHAnsi" w:hAnsiTheme="minorHAnsi"/>
          <w:lang w:val="en-GB"/>
        </w:rPr>
        <w:t>location</w:t>
      </w:r>
      <w:r w:rsidR="007366D4" w:rsidRPr="00FD2F0C">
        <w:rPr>
          <w:rFonts w:asciiTheme="minorHAnsi" w:hAnsiTheme="minorHAnsi"/>
          <w:lang w:val="en-GB"/>
        </w:rPr>
        <w:t>, and/or signal separation.</w:t>
      </w:r>
    </w:p>
    <w:p w14:paraId="7568500E" w14:textId="60E639A6" w:rsidR="00B63257" w:rsidRPr="00FD2F0C" w:rsidRDefault="00D703E3" w:rsidP="00E73393">
      <w:pPr>
        <w:pStyle w:val="Heading4"/>
        <w:numPr>
          <w:ilvl w:val="0"/>
          <w:numId w:val="0"/>
        </w:numPr>
        <w:ind w:left="864" w:hanging="864"/>
        <w:rPr>
          <w:rFonts w:asciiTheme="minorHAnsi" w:eastAsia="SimSun" w:hAnsiTheme="minorHAnsi"/>
        </w:rPr>
      </w:pPr>
      <w:r w:rsidRPr="00FD2F0C">
        <w:rPr>
          <w:rFonts w:asciiTheme="minorHAnsi" w:eastAsia="SimSun" w:hAnsiTheme="minorHAnsi"/>
        </w:rPr>
        <w:t>1.4</w:t>
      </w:r>
      <w:r w:rsidR="00B63257" w:rsidRPr="00FD2F0C">
        <w:rPr>
          <w:rFonts w:asciiTheme="minorHAnsi" w:eastAsia="SimSun" w:hAnsiTheme="minorHAnsi"/>
        </w:rPr>
        <w:t>.</w:t>
      </w:r>
      <w:r w:rsidR="00540AD4" w:rsidRPr="00FD2F0C">
        <w:rPr>
          <w:rFonts w:asciiTheme="minorHAnsi" w:eastAsia="SimSun" w:hAnsiTheme="minorHAnsi"/>
        </w:rPr>
        <w:t>3</w:t>
      </w:r>
      <w:r w:rsidR="00B63257" w:rsidRPr="00FD2F0C">
        <w:rPr>
          <w:rFonts w:asciiTheme="minorHAnsi" w:eastAsia="SimSun" w:hAnsiTheme="minorHAnsi"/>
        </w:rPr>
        <w:t>.1</w:t>
      </w:r>
      <w:r w:rsidR="00132D27" w:rsidRPr="00FD2F0C">
        <w:rPr>
          <w:rFonts w:asciiTheme="minorHAnsi" w:eastAsia="SimSun" w:hAnsiTheme="minorHAnsi"/>
        </w:rPr>
        <w:tab/>
      </w:r>
      <w:r w:rsidR="00B63257" w:rsidRPr="00FD2F0C">
        <w:rPr>
          <w:rFonts w:asciiTheme="minorHAnsi" w:eastAsia="SimSun" w:hAnsiTheme="minorHAnsi"/>
        </w:rPr>
        <w:t>Adaptive System or Dynamic Frequency Selection</w:t>
      </w:r>
      <w:r w:rsidR="00E73393" w:rsidRPr="00FD2F0C">
        <w:rPr>
          <w:rFonts w:asciiTheme="minorHAnsi" w:eastAsia="SimSun" w:hAnsiTheme="minorHAnsi"/>
        </w:rPr>
        <w:t xml:space="preserve"> </w:t>
      </w:r>
      <w:r w:rsidR="00B63257" w:rsidRPr="00FD2F0C">
        <w:rPr>
          <w:rFonts w:asciiTheme="minorHAnsi" w:eastAsia="SimSun" w:hAnsiTheme="minorHAnsi"/>
        </w:rPr>
        <w:t>(DFS)</w:t>
      </w:r>
    </w:p>
    <w:p w14:paraId="3DD43102" w14:textId="7E34CFDF" w:rsidR="007366D4" w:rsidRPr="00FD2F0C" w:rsidDel="00443FA6" w:rsidRDefault="007366D4" w:rsidP="008F3E73">
      <w:pPr>
        <w:rPr>
          <w:rFonts w:asciiTheme="minorHAnsi" w:hAnsiTheme="minorHAnsi"/>
          <w:lang w:val="en-GB"/>
        </w:rPr>
      </w:pPr>
      <w:r w:rsidRPr="00FD2F0C" w:rsidDel="00443FA6">
        <w:rPr>
          <w:rFonts w:asciiTheme="minorHAnsi" w:hAnsiTheme="minorHAnsi"/>
          <w:b/>
          <w:bCs/>
          <w:lang w:val="en-GB"/>
        </w:rPr>
        <w:t xml:space="preserve">Resolution 729 </w:t>
      </w:r>
      <w:r w:rsidRPr="00FD2F0C">
        <w:rPr>
          <w:rFonts w:asciiTheme="minorHAnsi" w:hAnsiTheme="minorHAnsi"/>
          <w:b/>
          <w:bCs/>
          <w:lang w:val="en-GB"/>
        </w:rPr>
        <w:t>(</w:t>
      </w:r>
      <w:r w:rsidR="002B2326" w:rsidRPr="00FD2F0C">
        <w:rPr>
          <w:rFonts w:asciiTheme="minorHAnsi" w:hAnsiTheme="minorHAnsi"/>
          <w:b/>
          <w:bCs/>
          <w:lang w:val="en-GB"/>
        </w:rPr>
        <w:t>Rev.</w:t>
      </w:r>
      <w:r w:rsidRPr="00FD2F0C">
        <w:rPr>
          <w:rFonts w:asciiTheme="minorHAnsi" w:hAnsiTheme="minorHAnsi"/>
          <w:b/>
          <w:bCs/>
          <w:lang w:val="en-GB"/>
        </w:rPr>
        <w:t>WRC-97)</w:t>
      </w:r>
      <w:r w:rsidRPr="00FD2F0C">
        <w:rPr>
          <w:rFonts w:asciiTheme="minorHAnsi" w:hAnsiTheme="minorHAnsi"/>
          <w:lang w:val="en-GB"/>
        </w:rPr>
        <w:t xml:space="preserve"> </w:t>
      </w:r>
      <w:r w:rsidR="008F3E73" w:rsidRPr="00FD2F0C">
        <w:rPr>
          <w:rFonts w:asciiTheme="minorHAnsi" w:hAnsiTheme="minorHAnsi"/>
          <w:lang w:val="en-GB"/>
        </w:rPr>
        <w:t xml:space="preserve">invited </w:t>
      </w:r>
      <w:r w:rsidRPr="00FD2F0C" w:rsidDel="00443FA6">
        <w:rPr>
          <w:rFonts w:asciiTheme="minorHAnsi" w:hAnsiTheme="minorHAnsi"/>
          <w:lang w:val="en-GB"/>
        </w:rPr>
        <w:t xml:space="preserve">the ITU </w:t>
      </w:r>
      <w:r w:rsidR="002B2326" w:rsidRPr="00FD2F0C">
        <w:rPr>
          <w:rFonts w:asciiTheme="minorHAnsi" w:hAnsiTheme="minorHAnsi"/>
          <w:lang w:val="en-GB"/>
        </w:rPr>
        <w:t xml:space="preserve">membership to use </w:t>
      </w:r>
      <w:r w:rsidRPr="00FD2F0C" w:rsidDel="00443FA6">
        <w:rPr>
          <w:rFonts w:asciiTheme="minorHAnsi" w:hAnsiTheme="minorHAnsi"/>
          <w:lang w:val="en-GB"/>
        </w:rPr>
        <w:t>frequency adaptive systems for MF (300 to 300 kHz) and HF (3 to 30 MHz) spectrum bands</w:t>
      </w:r>
      <w:r w:rsidRPr="00FD2F0C">
        <w:rPr>
          <w:rFonts w:asciiTheme="minorHAnsi" w:hAnsiTheme="minorHAnsi"/>
          <w:lang w:val="en-GB"/>
        </w:rPr>
        <w:t>.</w:t>
      </w:r>
      <w:r w:rsidRPr="00FD2F0C" w:rsidDel="00443FA6">
        <w:rPr>
          <w:rStyle w:val="FootnoteReference"/>
          <w:rFonts w:asciiTheme="minorHAnsi" w:hAnsiTheme="minorHAnsi"/>
        </w:rPr>
        <w:footnoteReference w:id="26"/>
      </w:r>
    </w:p>
    <w:p w14:paraId="1068E063" w14:textId="2A1F681D" w:rsidR="007366D4" w:rsidRPr="00FD2F0C" w:rsidDel="00443FA6" w:rsidRDefault="007366D4" w:rsidP="0075210E">
      <w:pPr>
        <w:rPr>
          <w:rFonts w:asciiTheme="minorHAnsi" w:hAnsiTheme="minorHAnsi"/>
          <w:lang w:val="en-GB"/>
        </w:rPr>
      </w:pPr>
      <w:r w:rsidRPr="00FD2F0C" w:rsidDel="00443FA6">
        <w:rPr>
          <w:rFonts w:asciiTheme="minorHAnsi" w:hAnsiTheme="minorHAnsi"/>
          <w:b/>
          <w:bCs/>
          <w:lang w:val="en-GB"/>
        </w:rPr>
        <w:t xml:space="preserve">Resolution 229 </w:t>
      </w:r>
      <w:r w:rsidRPr="00FD2F0C">
        <w:rPr>
          <w:rFonts w:asciiTheme="minorHAnsi" w:hAnsiTheme="minorHAnsi"/>
          <w:b/>
          <w:bCs/>
          <w:lang w:val="en-GB"/>
        </w:rPr>
        <w:t>(</w:t>
      </w:r>
      <w:r w:rsidR="0002557F" w:rsidRPr="00FD2F0C">
        <w:rPr>
          <w:rFonts w:asciiTheme="minorHAnsi" w:hAnsiTheme="minorHAnsi"/>
          <w:b/>
          <w:bCs/>
          <w:lang w:val="en-GB"/>
        </w:rPr>
        <w:t>Rev.</w:t>
      </w:r>
      <w:r w:rsidRPr="00FD2F0C">
        <w:rPr>
          <w:rFonts w:asciiTheme="minorHAnsi" w:hAnsiTheme="minorHAnsi"/>
          <w:b/>
          <w:bCs/>
          <w:lang w:val="en-GB"/>
        </w:rPr>
        <w:t>WRC-</w:t>
      </w:r>
      <w:r w:rsidR="0002557F" w:rsidRPr="00FD2F0C">
        <w:rPr>
          <w:rFonts w:asciiTheme="minorHAnsi" w:hAnsiTheme="minorHAnsi"/>
          <w:b/>
          <w:bCs/>
          <w:lang w:val="en-GB"/>
        </w:rPr>
        <w:t>12</w:t>
      </w:r>
      <w:r w:rsidRPr="00FD2F0C">
        <w:rPr>
          <w:rFonts w:asciiTheme="minorHAnsi" w:hAnsiTheme="minorHAnsi"/>
          <w:b/>
          <w:bCs/>
          <w:lang w:val="en-GB"/>
        </w:rPr>
        <w:t>)</w:t>
      </w:r>
      <w:r w:rsidRPr="00FD2F0C">
        <w:rPr>
          <w:rFonts w:asciiTheme="minorHAnsi" w:hAnsiTheme="minorHAnsi"/>
          <w:lang w:val="en-GB"/>
        </w:rPr>
        <w:t xml:space="preserve"> </w:t>
      </w:r>
      <w:r w:rsidR="0075210E" w:rsidRPr="00FD2F0C">
        <w:rPr>
          <w:rFonts w:asciiTheme="minorHAnsi" w:hAnsiTheme="minorHAnsi"/>
          <w:lang w:val="en-GB"/>
        </w:rPr>
        <w:t xml:space="preserve">specifies the conditions of </w:t>
      </w:r>
      <w:r w:rsidR="008F3E73" w:rsidRPr="00FD2F0C">
        <w:rPr>
          <w:rFonts w:asciiTheme="minorHAnsi" w:hAnsiTheme="minorHAnsi"/>
          <w:lang w:val="en-GB"/>
        </w:rPr>
        <w:t xml:space="preserve">use </w:t>
      </w:r>
      <w:r w:rsidR="0075210E" w:rsidRPr="00FD2F0C">
        <w:rPr>
          <w:rFonts w:asciiTheme="minorHAnsi" w:hAnsiTheme="minorHAnsi"/>
          <w:lang w:val="en-GB"/>
        </w:rPr>
        <w:t xml:space="preserve">of </w:t>
      </w:r>
      <w:r w:rsidR="008F3E73" w:rsidRPr="00FD2F0C">
        <w:rPr>
          <w:rFonts w:asciiTheme="minorHAnsi" w:hAnsiTheme="minorHAnsi"/>
          <w:lang w:val="en-GB"/>
        </w:rPr>
        <w:t>the bands 5 150-5 250 MH</w:t>
      </w:r>
      <w:r w:rsidR="00055FD0" w:rsidRPr="00FD2F0C">
        <w:rPr>
          <w:rFonts w:asciiTheme="minorHAnsi" w:hAnsiTheme="minorHAnsi"/>
          <w:lang w:val="en-GB"/>
        </w:rPr>
        <w:t>z</w:t>
      </w:r>
      <w:r w:rsidR="008F3E73" w:rsidRPr="00FD2F0C">
        <w:rPr>
          <w:rFonts w:asciiTheme="minorHAnsi" w:hAnsiTheme="minorHAnsi"/>
          <w:lang w:val="en-GB"/>
        </w:rPr>
        <w:t xml:space="preserve">, 5 250-5 350 MHz and 5 470-5 725 MHz </w:t>
      </w:r>
      <w:r w:rsidR="0075210E" w:rsidRPr="00FD2F0C">
        <w:rPr>
          <w:rFonts w:asciiTheme="minorHAnsi" w:hAnsiTheme="minorHAnsi"/>
          <w:lang w:val="en-GB"/>
        </w:rPr>
        <w:t xml:space="preserve">by </w:t>
      </w:r>
      <w:r w:rsidR="008F3E73" w:rsidRPr="00FD2F0C">
        <w:rPr>
          <w:rFonts w:asciiTheme="minorHAnsi" w:hAnsiTheme="minorHAnsi"/>
          <w:lang w:val="en-GB"/>
        </w:rPr>
        <w:t>the mobile service for the implementation of wireless access systems including radio local area networks (RLAN)</w:t>
      </w:r>
      <w:r w:rsidRPr="00FD2F0C" w:rsidDel="00443FA6">
        <w:rPr>
          <w:rFonts w:asciiTheme="minorHAnsi" w:hAnsiTheme="minorHAnsi"/>
          <w:lang w:val="en-GB"/>
        </w:rPr>
        <w:t xml:space="preserve"> under the condition that RLANs </w:t>
      </w:r>
      <w:r w:rsidR="008F3E73" w:rsidRPr="00FD2F0C">
        <w:rPr>
          <w:rFonts w:asciiTheme="minorHAnsi" w:hAnsiTheme="minorHAnsi"/>
          <w:lang w:val="en-GB"/>
        </w:rPr>
        <w:t>sh</w:t>
      </w:r>
      <w:r w:rsidRPr="00FD2F0C" w:rsidDel="00443FA6">
        <w:rPr>
          <w:rFonts w:asciiTheme="minorHAnsi" w:hAnsiTheme="minorHAnsi"/>
          <w:lang w:val="en-GB"/>
        </w:rPr>
        <w:t xml:space="preserve">ould not cause interference to </w:t>
      </w:r>
      <w:r w:rsidR="008F3E73" w:rsidRPr="00FD2F0C">
        <w:rPr>
          <w:rFonts w:asciiTheme="minorHAnsi" w:hAnsiTheme="minorHAnsi"/>
          <w:lang w:val="en-GB"/>
        </w:rPr>
        <w:t xml:space="preserve">systems of </w:t>
      </w:r>
      <w:r w:rsidRPr="00FD2F0C" w:rsidDel="00443FA6">
        <w:rPr>
          <w:rFonts w:asciiTheme="minorHAnsi" w:hAnsiTheme="minorHAnsi"/>
          <w:lang w:val="en-GB"/>
        </w:rPr>
        <w:t xml:space="preserve">other primary </w:t>
      </w:r>
      <w:r w:rsidR="008F3E73" w:rsidRPr="00FD2F0C">
        <w:rPr>
          <w:rFonts w:asciiTheme="minorHAnsi" w:hAnsiTheme="minorHAnsi"/>
          <w:lang w:val="en-GB"/>
        </w:rPr>
        <w:t xml:space="preserve">services at </w:t>
      </w:r>
      <w:r w:rsidRPr="00FD2F0C" w:rsidDel="00443FA6">
        <w:rPr>
          <w:rFonts w:asciiTheme="minorHAnsi" w:hAnsiTheme="minorHAnsi"/>
          <w:lang w:val="en-GB"/>
        </w:rPr>
        <w:t xml:space="preserve">these frequencies </w:t>
      </w:r>
      <w:r w:rsidRPr="00FD2F0C">
        <w:rPr>
          <w:rFonts w:asciiTheme="minorHAnsi" w:hAnsiTheme="minorHAnsi"/>
          <w:lang w:val="en-US"/>
        </w:rPr>
        <w:t>–</w:t>
      </w:r>
      <w:r w:rsidRPr="00FD2F0C" w:rsidDel="00443FA6">
        <w:rPr>
          <w:rFonts w:asciiTheme="minorHAnsi" w:hAnsiTheme="minorHAnsi"/>
          <w:lang w:val="en-GB"/>
        </w:rPr>
        <w:t xml:space="preserve"> radar systems </w:t>
      </w:r>
      <w:r w:rsidR="008F3E73" w:rsidRPr="00FD2F0C">
        <w:rPr>
          <w:rFonts w:asciiTheme="minorHAnsi" w:hAnsiTheme="minorHAnsi"/>
          <w:lang w:val="en-GB"/>
        </w:rPr>
        <w:t xml:space="preserve">installed </w:t>
      </w:r>
      <w:r w:rsidRPr="00FD2F0C" w:rsidDel="00443FA6">
        <w:rPr>
          <w:rFonts w:asciiTheme="minorHAnsi" w:hAnsiTheme="minorHAnsi"/>
          <w:lang w:val="en-GB"/>
        </w:rPr>
        <w:t xml:space="preserve">on satellite, terrestrial, and maritime platforms. An RLAN seeking to access these frequencies </w:t>
      </w:r>
      <w:r w:rsidR="00031715" w:rsidRPr="00FD2F0C">
        <w:rPr>
          <w:rFonts w:asciiTheme="minorHAnsi" w:hAnsiTheme="minorHAnsi"/>
          <w:lang w:val="en-GB"/>
        </w:rPr>
        <w:t xml:space="preserve">is </w:t>
      </w:r>
      <w:r w:rsidRPr="00FD2F0C" w:rsidDel="00443FA6">
        <w:rPr>
          <w:rFonts w:asciiTheme="minorHAnsi" w:hAnsiTheme="minorHAnsi"/>
          <w:lang w:val="en-GB"/>
        </w:rPr>
        <w:t xml:space="preserve">required to implement a mechanism called Dynamic Frequency Selection (DFS) to detect </w:t>
      </w:r>
      <w:r w:rsidR="00031715" w:rsidRPr="00FD2F0C">
        <w:rPr>
          <w:rFonts w:asciiTheme="minorHAnsi" w:hAnsiTheme="minorHAnsi"/>
          <w:lang w:val="en-GB"/>
        </w:rPr>
        <w:t xml:space="preserve">emissions from these radars </w:t>
      </w:r>
      <w:r w:rsidRPr="00FD2F0C" w:rsidDel="00443FA6">
        <w:rPr>
          <w:rFonts w:asciiTheme="minorHAnsi" w:hAnsiTheme="minorHAnsi"/>
          <w:lang w:val="en-GB"/>
        </w:rPr>
        <w:t xml:space="preserve">and avoid causing co-channel interference </w:t>
      </w:r>
      <w:r w:rsidR="00031715" w:rsidRPr="00FD2F0C">
        <w:rPr>
          <w:rFonts w:asciiTheme="minorHAnsi" w:hAnsiTheme="minorHAnsi"/>
          <w:lang w:val="en-GB"/>
        </w:rPr>
        <w:t>into them</w:t>
      </w:r>
      <w:r w:rsidRPr="00FD2F0C" w:rsidDel="00443FA6">
        <w:rPr>
          <w:rFonts w:asciiTheme="minorHAnsi" w:hAnsiTheme="minorHAnsi"/>
          <w:lang w:val="en-GB"/>
        </w:rPr>
        <w:t>. DFS performance criteria w</w:t>
      </w:r>
      <w:r w:rsidR="00031715" w:rsidRPr="00FD2F0C">
        <w:rPr>
          <w:rFonts w:asciiTheme="minorHAnsi" w:hAnsiTheme="minorHAnsi"/>
          <w:lang w:val="en-GB"/>
        </w:rPr>
        <w:t>ere</w:t>
      </w:r>
      <w:r w:rsidRPr="00FD2F0C" w:rsidDel="00443FA6">
        <w:rPr>
          <w:rFonts w:asciiTheme="minorHAnsi" w:hAnsiTheme="minorHAnsi"/>
          <w:lang w:val="en-GB"/>
        </w:rPr>
        <w:t xml:space="preserve"> defined separately by Recommendation </w:t>
      </w:r>
      <w:r w:rsidR="000D7C11" w:rsidRPr="00FD2F0C" w:rsidDel="00443FA6">
        <w:rPr>
          <w:rFonts w:asciiTheme="minorHAnsi" w:hAnsiTheme="minorHAnsi"/>
          <w:lang w:val="en-GB"/>
        </w:rPr>
        <w:t xml:space="preserve">ITU-R </w:t>
      </w:r>
      <w:r w:rsidRPr="00FD2F0C" w:rsidDel="00443FA6">
        <w:rPr>
          <w:rFonts w:asciiTheme="minorHAnsi" w:hAnsiTheme="minorHAnsi"/>
          <w:lang w:val="en-GB"/>
        </w:rPr>
        <w:t>M.1652.</w:t>
      </w:r>
    </w:p>
    <w:p w14:paraId="2274F475" w14:textId="77777777" w:rsidR="00031715" w:rsidRPr="00FD2F0C" w:rsidRDefault="00031715" w:rsidP="00031715">
      <w:pPr>
        <w:spacing w:afterLines="50" w:after="120"/>
        <w:rPr>
          <w:rFonts w:asciiTheme="minorHAnsi" w:hAnsiTheme="minorHAnsi"/>
          <w:lang w:val="en-GB" w:eastAsia="zh-CN"/>
        </w:rPr>
      </w:pPr>
      <w:r w:rsidRPr="00FD2F0C">
        <w:rPr>
          <w:rFonts w:asciiTheme="minorHAnsi" w:hAnsiTheme="minorHAnsi"/>
          <w:lang w:val="en-GB" w:eastAsia="zh-CN"/>
        </w:rPr>
        <w:t>Other Recommendations:</w:t>
      </w:r>
    </w:p>
    <w:p w14:paraId="66B61186" w14:textId="77777777" w:rsidR="00A23181" w:rsidRPr="00FD2F0C" w:rsidRDefault="00A23181" w:rsidP="0032197B">
      <w:pPr>
        <w:pStyle w:val="Bulletlist1"/>
        <w:numPr>
          <w:ilvl w:val="0"/>
          <w:numId w:val="8"/>
        </w:numPr>
        <w:jc w:val="both"/>
        <w:rPr>
          <w:rFonts w:asciiTheme="minorHAnsi" w:hAnsiTheme="minorHAnsi"/>
        </w:rPr>
      </w:pPr>
      <w:r w:rsidRPr="00FD2F0C" w:rsidDel="00217533">
        <w:rPr>
          <w:rFonts w:asciiTheme="minorHAnsi" w:hAnsiTheme="minorHAnsi"/>
        </w:rPr>
        <w:t>ITU-R</w:t>
      </w:r>
      <w:r w:rsidRPr="00FD2F0C" w:rsidDel="00217533">
        <w:rPr>
          <w:rStyle w:val="Hyperlink"/>
          <w:rFonts w:asciiTheme="minorHAnsi" w:hAnsiTheme="minorHAnsi"/>
          <w:szCs w:val="24"/>
          <w:lang w:val="en-GB"/>
        </w:rPr>
        <w:t xml:space="preserve"> </w:t>
      </w:r>
      <w:hyperlink r:id="rId27" w:history="1">
        <w:r w:rsidRPr="00FD2F0C" w:rsidDel="00217533">
          <w:rPr>
            <w:rStyle w:val="Hyperlink"/>
            <w:rFonts w:asciiTheme="minorHAnsi" w:hAnsiTheme="minorHAnsi"/>
            <w:b/>
            <w:bCs/>
            <w:szCs w:val="24"/>
            <w:lang w:val="en-GB"/>
          </w:rPr>
          <w:t>F.1110</w:t>
        </w:r>
      </w:hyperlink>
      <w:r w:rsidRPr="00FD2F0C" w:rsidDel="00217533">
        <w:rPr>
          <w:rFonts w:asciiTheme="minorHAnsi" w:hAnsiTheme="minorHAnsi"/>
        </w:rPr>
        <w:t xml:space="preserve"> Adaptive radio systems for frequencies below about 30 MHz.</w:t>
      </w:r>
    </w:p>
    <w:p w14:paraId="71CB209C" w14:textId="28962C9C" w:rsidR="00184577" w:rsidRPr="00FD2F0C" w:rsidRDefault="00184577" w:rsidP="0032197B">
      <w:pPr>
        <w:pStyle w:val="Bulletlist1"/>
        <w:numPr>
          <w:ilvl w:val="0"/>
          <w:numId w:val="8"/>
        </w:numPr>
        <w:jc w:val="both"/>
        <w:rPr>
          <w:rFonts w:asciiTheme="minorHAnsi" w:hAnsiTheme="minorHAnsi"/>
        </w:rPr>
      </w:pPr>
      <w:r w:rsidRPr="00FD2F0C">
        <w:rPr>
          <w:rFonts w:asciiTheme="minorHAnsi" w:hAnsiTheme="minorHAnsi"/>
        </w:rPr>
        <w:t xml:space="preserve">ITU-R  </w:t>
      </w:r>
      <w:r w:rsidRPr="00FD2F0C">
        <w:rPr>
          <w:rStyle w:val="Hyperlink"/>
          <w:rFonts w:asciiTheme="minorHAnsi" w:hAnsiTheme="minorHAnsi"/>
          <w:b/>
          <w:bCs/>
          <w:szCs w:val="24"/>
          <w:lang w:val="en-GB"/>
        </w:rPr>
        <w:t xml:space="preserve">SM.1266 </w:t>
      </w:r>
      <w:r w:rsidRPr="00FD2F0C" w:rsidDel="00217533">
        <w:rPr>
          <w:rFonts w:asciiTheme="minorHAnsi" w:hAnsiTheme="minorHAnsi"/>
        </w:rPr>
        <w:t xml:space="preserve">Adaptive </w:t>
      </w:r>
      <w:r w:rsidRPr="00FD2F0C">
        <w:rPr>
          <w:rFonts w:asciiTheme="minorHAnsi" w:hAnsiTheme="minorHAnsi"/>
        </w:rPr>
        <w:t>MF/HF Systems</w:t>
      </w:r>
    </w:p>
    <w:p w14:paraId="18AF0632" w14:textId="39FC16F7" w:rsidR="00D02795" w:rsidRPr="00FD2F0C" w:rsidRDefault="00D703E3" w:rsidP="0017106E">
      <w:pPr>
        <w:pStyle w:val="Heading4"/>
        <w:numPr>
          <w:ilvl w:val="0"/>
          <w:numId w:val="0"/>
        </w:numPr>
        <w:ind w:left="864" w:hanging="864"/>
        <w:rPr>
          <w:rFonts w:asciiTheme="minorHAnsi" w:eastAsia="SimSun" w:hAnsiTheme="minorHAnsi"/>
        </w:rPr>
      </w:pPr>
      <w:r w:rsidRPr="00FD2F0C">
        <w:rPr>
          <w:rFonts w:asciiTheme="minorHAnsi" w:eastAsia="SimSun" w:hAnsiTheme="minorHAnsi"/>
        </w:rPr>
        <w:t>1.4</w:t>
      </w:r>
      <w:r w:rsidR="00D02795" w:rsidRPr="00FD2F0C">
        <w:rPr>
          <w:rFonts w:asciiTheme="minorHAnsi" w:eastAsia="SimSun" w:hAnsiTheme="minorHAnsi"/>
        </w:rPr>
        <w:t>.</w:t>
      </w:r>
      <w:r w:rsidR="00540AD4" w:rsidRPr="00FD2F0C">
        <w:rPr>
          <w:rFonts w:asciiTheme="minorHAnsi" w:eastAsia="SimSun" w:hAnsiTheme="minorHAnsi"/>
        </w:rPr>
        <w:t>3</w:t>
      </w:r>
      <w:r w:rsidR="00D02795" w:rsidRPr="00FD2F0C">
        <w:rPr>
          <w:rFonts w:asciiTheme="minorHAnsi" w:eastAsia="SimSun" w:hAnsiTheme="minorHAnsi"/>
        </w:rPr>
        <w:t>.2</w:t>
      </w:r>
      <w:r w:rsidR="00132D27" w:rsidRPr="00FD2F0C">
        <w:rPr>
          <w:rFonts w:asciiTheme="minorHAnsi" w:hAnsiTheme="minorHAnsi"/>
        </w:rPr>
        <w:tab/>
      </w:r>
      <w:r w:rsidR="00D02795" w:rsidRPr="00FD2F0C">
        <w:rPr>
          <w:rFonts w:asciiTheme="minorHAnsi" w:eastAsia="SimSun" w:hAnsiTheme="minorHAnsi"/>
        </w:rPr>
        <w:t>Software Defined Radio</w:t>
      </w:r>
      <w:r w:rsidR="0017106E" w:rsidRPr="00FD2F0C">
        <w:rPr>
          <w:rFonts w:asciiTheme="minorHAnsi" w:eastAsia="SimSun" w:hAnsiTheme="minorHAnsi"/>
        </w:rPr>
        <w:t xml:space="preserve"> and Cognitive Radio System</w:t>
      </w:r>
    </w:p>
    <w:p w14:paraId="0D8D7A05" w14:textId="4635624D" w:rsidR="007366D4" w:rsidRPr="00FD2F0C" w:rsidRDefault="0017106E" w:rsidP="0017106E">
      <w:pPr>
        <w:rPr>
          <w:rFonts w:asciiTheme="minorHAnsi" w:hAnsiTheme="minorHAnsi"/>
          <w:lang w:val="en-GB"/>
        </w:rPr>
      </w:pPr>
      <w:r w:rsidRPr="00FD2F0C">
        <w:rPr>
          <w:rFonts w:asciiTheme="minorHAnsi" w:hAnsiTheme="minorHAnsi"/>
          <w:lang w:val="en-GB"/>
        </w:rPr>
        <w:t xml:space="preserve">In preparation for WRC-12, </w:t>
      </w:r>
      <w:r w:rsidR="003F0C45" w:rsidRPr="00FD2F0C">
        <w:rPr>
          <w:rFonts w:asciiTheme="minorHAnsi" w:hAnsiTheme="minorHAnsi"/>
          <w:lang w:val="en-GB"/>
        </w:rPr>
        <w:t xml:space="preserve">ITU-R </w:t>
      </w:r>
      <w:r w:rsidRPr="00FD2F0C">
        <w:rPr>
          <w:rFonts w:asciiTheme="minorHAnsi" w:hAnsiTheme="minorHAnsi"/>
          <w:lang w:val="en-GB"/>
        </w:rPr>
        <w:t xml:space="preserve">studied the </w:t>
      </w:r>
      <w:r w:rsidR="007366D4" w:rsidRPr="00FD2F0C" w:rsidDel="00443FA6">
        <w:rPr>
          <w:rFonts w:asciiTheme="minorHAnsi" w:hAnsiTheme="minorHAnsi"/>
          <w:lang w:val="en-GB"/>
        </w:rPr>
        <w:t xml:space="preserve">question whether </w:t>
      </w:r>
      <w:r w:rsidRPr="00FD2F0C" w:rsidDel="00443FA6">
        <w:rPr>
          <w:rFonts w:asciiTheme="minorHAnsi" w:hAnsiTheme="minorHAnsi"/>
          <w:lang w:val="en-GB"/>
        </w:rPr>
        <w:t>software defined radio and cognitive radio</w:t>
      </w:r>
      <w:r w:rsidRPr="00FD2F0C">
        <w:rPr>
          <w:rFonts w:asciiTheme="minorHAnsi" w:hAnsiTheme="minorHAnsi"/>
          <w:lang w:val="en-GB"/>
        </w:rPr>
        <w:t xml:space="preserve"> systems</w:t>
      </w:r>
      <w:r w:rsidR="007366D4" w:rsidRPr="00FD2F0C" w:rsidDel="00443FA6">
        <w:rPr>
          <w:rFonts w:asciiTheme="minorHAnsi" w:hAnsiTheme="minorHAnsi"/>
          <w:lang w:val="en-GB"/>
        </w:rPr>
        <w:t xml:space="preserve"> could operate under the existing international regulatory framework,</w:t>
      </w:r>
      <w:r w:rsidR="007366D4" w:rsidRPr="00FD2F0C">
        <w:rPr>
          <w:rFonts w:asciiTheme="minorHAnsi" w:hAnsiTheme="minorHAnsi"/>
          <w:lang w:val="en-GB"/>
        </w:rPr>
        <w:t xml:space="preserve"> i.e. </w:t>
      </w:r>
      <w:r w:rsidR="007366D4" w:rsidRPr="00FD2F0C" w:rsidDel="00443FA6">
        <w:rPr>
          <w:rFonts w:asciiTheme="minorHAnsi" w:hAnsiTheme="minorHAnsi"/>
          <w:lang w:val="en-GB"/>
        </w:rPr>
        <w:t>the Radio Regulations.</w:t>
      </w:r>
    </w:p>
    <w:p w14:paraId="078EBABB" w14:textId="4E0CC6BB" w:rsidR="007366D4" w:rsidRPr="00FD2F0C" w:rsidDel="00443FA6" w:rsidRDefault="0017106E">
      <w:pPr>
        <w:spacing w:after="120"/>
        <w:rPr>
          <w:rFonts w:asciiTheme="minorHAnsi" w:hAnsiTheme="minorHAnsi"/>
          <w:lang w:val="en-GB"/>
        </w:rPr>
      </w:pPr>
      <w:r w:rsidRPr="00FD2F0C">
        <w:rPr>
          <w:rFonts w:asciiTheme="minorHAnsi" w:hAnsiTheme="minorHAnsi"/>
          <w:lang w:val="en-GB"/>
        </w:rPr>
        <w:lastRenderedPageBreak/>
        <w:t xml:space="preserve">ITU-R </w:t>
      </w:r>
      <w:r w:rsidR="008B00FC" w:rsidRPr="00FD2F0C">
        <w:rPr>
          <w:rFonts w:asciiTheme="minorHAnsi" w:hAnsiTheme="minorHAnsi"/>
          <w:lang w:val="en-GB"/>
        </w:rPr>
        <w:t xml:space="preserve">studies resulted in the following definitions: </w:t>
      </w:r>
    </w:p>
    <w:p w14:paraId="099E5228" w14:textId="37A48C8E" w:rsidR="007366D4" w:rsidRPr="00FD2F0C" w:rsidDel="00443FA6" w:rsidRDefault="007366D4" w:rsidP="0032197B">
      <w:pPr>
        <w:pStyle w:val="Bulletlist1"/>
        <w:numPr>
          <w:ilvl w:val="0"/>
          <w:numId w:val="20"/>
        </w:numPr>
        <w:ind w:left="714" w:hanging="357"/>
        <w:jc w:val="both"/>
        <w:rPr>
          <w:rFonts w:asciiTheme="minorHAnsi" w:hAnsiTheme="minorHAnsi"/>
        </w:rPr>
      </w:pPr>
      <w:r w:rsidRPr="00FD2F0C" w:rsidDel="00443FA6">
        <w:rPr>
          <w:rFonts w:asciiTheme="minorHAnsi" w:hAnsiTheme="minorHAnsi"/>
          <w:i/>
        </w:rPr>
        <w:t xml:space="preserve">Software </w:t>
      </w:r>
      <w:r w:rsidRPr="00FD2F0C">
        <w:rPr>
          <w:rFonts w:asciiTheme="minorHAnsi" w:hAnsiTheme="minorHAnsi"/>
          <w:i/>
        </w:rPr>
        <w:t>D</w:t>
      </w:r>
      <w:r w:rsidRPr="00FD2F0C" w:rsidDel="00443FA6">
        <w:rPr>
          <w:rFonts w:asciiTheme="minorHAnsi" w:hAnsiTheme="minorHAnsi"/>
          <w:i/>
        </w:rPr>
        <w:t xml:space="preserve">efined </w:t>
      </w:r>
      <w:r w:rsidRPr="00FD2F0C">
        <w:rPr>
          <w:rFonts w:asciiTheme="minorHAnsi" w:hAnsiTheme="minorHAnsi"/>
          <w:i/>
        </w:rPr>
        <w:t>R</w:t>
      </w:r>
      <w:r w:rsidRPr="00FD2F0C" w:rsidDel="00443FA6">
        <w:rPr>
          <w:rFonts w:asciiTheme="minorHAnsi" w:hAnsiTheme="minorHAnsi"/>
          <w:i/>
        </w:rPr>
        <w:t>adio</w:t>
      </w:r>
      <w:r w:rsidRPr="00FD2F0C">
        <w:rPr>
          <w:rFonts w:asciiTheme="minorHAnsi" w:hAnsiTheme="minorHAnsi"/>
          <w:i/>
        </w:rPr>
        <w:t xml:space="preserve"> (SDR)</w:t>
      </w:r>
      <w:r w:rsidRPr="00FD2F0C" w:rsidDel="00443FA6">
        <w:rPr>
          <w:rFonts w:asciiTheme="minorHAnsi" w:hAnsiTheme="minorHAnsi"/>
        </w:rPr>
        <w:t>: ‘A radio transmitter and/or receiver employing a technology that allows the RF operating parameters including, but not limited to, frequency range, modulation type, or output power to be set or altered by software, excluding changes to operating parameters which occur during the normal pre-installed and predetermined operation of a radio according to a system specification or standard</w:t>
      </w:r>
      <w:r w:rsidRPr="00FD2F0C" w:rsidDel="00443FA6">
        <w:rPr>
          <w:rStyle w:val="FootnoteReference"/>
          <w:rFonts w:asciiTheme="minorHAnsi" w:hAnsiTheme="minorHAnsi"/>
        </w:rPr>
        <w:footnoteReference w:id="27"/>
      </w:r>
      <w:r w:rsidRPr="00FD2F0C" w:rsidDel="00443FA6">
        <w:rPr>
          <w:rFonts w:asciiTheme="minorHAnsi" w:hAnsiTheme="minorHAnsi"/>
        </w:rPr>
        <w:t xml:space="preserve">. </w:t>
      </w:r>
    </w:p>
    <w:p w14:paraId="19C2812E" w14:textId="150B89CF" w:rsidR="007366D4" w:rsidRPr="00FD2F0C" w:rsidDel="00443FA6" w:rsidRDefault="007366D4" w:rsidP="0032197B">
      <w:pPr>
        <w:pStyle w:val="Bulletlist1"/>
        <w:numPr>
          <w:ilvl w:val="0"/>
          <w:numId w:val="20"/>
        </w:numPr>
        <w:ind w:left="714" w:hanging="357"/>
        <w:jc w:val="both"/>
        <w:rPr>
          <w:rFonts w:asciiTheme="minorHAnsi" w:hAnsiTheme="minorHAnsi"/>
        </w:rPr>
      </w:pPr>
      <w:r w:rsidRPr="00FD2F0C" w:rsidDel="00443FA6">
        <w:rPr>
          <w:rFonts w:asciiTheme="minorHAnsi" w:hAnsiTheme="minorHAnsi"/>
          <w:i/>
          <w:iCs/>
        </w:rPr>
        <w:t xml:space="preserve">Cognitive </w:t>
      </w:r>
      <w:r w:rsidRPr="00FD2F0C">
        <w:rPr>
          <w:rFonts w:asciiTheme="minorHAnsi" w:hAnsiTheme="minorHAnsi"/>
          <w:i/>
          <w:iCs/>
        </w:rPr>
        <w:t>R</w:t>
      </w:r>
      <w:r w:rsidRPr="00FD2F0C" w:rsidDel="00443FA6">
        <w:rPr>
          <w:rFonts w:asciiTheme="minorHAnsi" w:hAnsiTheme="minorHAnsi"/>
          <w:i/>
          <w:iCs/>
        </w:rPr>
        <w:t>adio</w:t>
      </w:r>
      <w:r w:rsidRPr="00FD2F0C">
        <w:rPr>
          <w:rFonts w:asciiTheme="minorHAnsi" w:hAnsiTheme="minorHAnsi"/>
          <w:i/>
          <w:iCs/>
        </w:rPr>
        <w:t xml:space="preserve"> </w:t>
      </w:r>
      <w:r w:rsidR="0017106E" w:rsidRPr="00FD2F0C">
        <w:rPr>
          <w:rFonts w:asciiTheme="minorHAnsi" w:hAnsiTheme="minorHAnsi"/>
          <w:i/>
          <w:iCs/>
        </w:rPr>
        <w:t xml:space="preserve">System </w:t>
      </w:r>
      <w:r w:rsidRPr="00FD2F0C">
        <w:rPr>
          <w:rFonts w:asciiTheme="minorHAnsi" w:hAnsiTheme="minorHAnsi"/>
          <w:i/>
          <w:iCs/>
        </w:rPr>
        <w:t>(CR</w:t>
      </w:r>
      <w:r w:rsidR="0017106E" w:rsidRPr="00FD2F0C">
        <w:rPr>
          <w:rFonts w:asciiTheme="minorHAnsi" w:hAnsiTheme="minorHAnsi"/>
          <w:i/>
          <w:iCs/>
        </w:rPr>
        <w:t>S</w:t>
      </w:r>
      <w:r w:rsidRPr="00FD2F0C">
        <w:rPr>
          <w:rFonts w:asciiTheme="minorHAnsi" w:hAnsiTheme="minorHAnsi"/>
          <w:i/>
          <w:iCs/>
        </w:rPr>
        <w:t>)</w:t>
      </w:r>
      <w:r w:rsidRPr="00FD2F0C" w:rsidDel="00443FA6">
        <w:rPr>
          <w:rFonts w:asciiTheme="minorHAnsi" w:hAnsiTheme="minorHAnsi"/>
        </w:rPr>
        <w:t>: ‘A radio system employing technology that allows the system to obtain knowledge of its operational and geographical environment, established policies and its internal state; to dynamically and autonomously adjust its operational parameters and protocols according to its obtained knowledge in order to achieve predefined objectives; and to learn from the results obtained</w:t>
      </w:r>
      <w:r w:rsidRPr="00FD2F0C" w:rsidDel="00443FA6">
        <w:rPr>
          <w:rStyle w:val="FootnoteReference"/>
          <w:rFonts w:asciiTheme="minorHAnsi" w:hAnsiTheme="minorHAnsi"/>
        </w:rPr>
        <w:footnoteReference w:id="28"/>
      </w:r>
      <w:r w:rsidRPr="00FD2F0C" w:rsidDel="00443FA6">
        <w:rPr>
          <w:rFonts w:asciiTheme="minorHAnsi" w:hAnsiTheme="minorHAnsi"/>
        </w:rPr>
        <w:t xml:space="preserve">. </w:t>
      </w:r>
    </w:p>
    <w:p w14:paraId="55E28179" w14:textId="55B9D837" w:rsidR="007366D4" w:rsidRPr="00FD2F0C" w:rsidRDefault="007366D4" w:rsidP="0017106E">
      <w:pPr>
        <w:rPr>
          <w:rFonts w:asciiTheme="minorHAnsi" w:hAnsiTheme="minorHAnsi"/>
          <w:lang w:val="en-GB"/>
        </w:rPr>
      </w:pPr>
      <w:r w:rsidRPr="00FD2F0C" w:rsidDel="00443FA6">
        <w:rPr>
          <w:rFonts w:asciiTheme="minorHAnsi" w:hAnsiTheme="minorHAnsi"/>
          <w:lang w:val="en-GB"/>
        </w:rPr>
        <w:t>Recommendation 76</w:t>
      </w:r>
      <w:r w:rsidRPr="00FD2F0C">
        <w:rPr>
          <w:rFonts w:asciiTheme="minorHAnsi" w:hAnsiTheme="minorHAnsi"/>
          <w:lang w:val="en-GB"/>
        </w:rPr>
        <w:t xml:space="preserve"> (WRC-12)</w:t>
      </w:r>
      <w:r w:rsidRPr="00FD2F0C" w:rsidDel="00443FA6">
        <w:rPr>
          <w:rStyle w:val="FootnoteReference"/>
          <w:rFonts w:asciiTheme="minorHAnsi" w:hAnsiTheme="minorHAnsi"/>
        </w:rPr>
        <w:footnoteReference w:id="29"/>
      </w:r>
      <w:r w:rsidRPr="00FD2F0C" w:rsidDel="00443FA6">
        <w:rPr>
          <w:rFonts w:asciiTheme="minorHAnsi" w:hAnsiTheme="minorHAnsi"/>
          <w:lang w:val="en-GB"/>
        </w:rPr>
        <w:t xml:space="preserve"> </w:t>
      </w:r>
      <w:r w:rsidR="00266A38" w:rsidRPr="00FD2F0C">
        <w:rPr>
          <w:rFonts w:asciiTheme="minorHAnsi" w:hAnsiTheme="minorHAnsi"/>
          <w:lang w:val="en-GB"/>
        </w:rPr>
        <w:t xml:space="preserve">and Resolution ITU-R 58 </w:t>
      </w:r>
      <w:r w:rsidRPr="00FD2F0C" w:rsidDel="00443FA6">
        <w:rPr>
          <w:rFonts w:asciiTheme="minorHAnsi" w:hAnsiTheme="minorHAnsi"/>
          <w:lang w:val="en-GB"/>
        </w:rPr>
        <w:t xml:space="preserve">state that services incorporating these spectrum sharing technologies </w:t>
      </w:r>
      <w:r w:rsidR="0017106E" w:rsidRPr="00FD2F0C">
        <w:rPr>
          <w:rFonts w:asciiTheme="minorHAnsi" w:hAnsiTheme="minorHAnsi"/>
          <w:lang w:val="en-GB"/>
        </w:rPr>
        <w:t xml:space="preserve">shall </w:t>
      </w:r>
      <w:r w:rsidRPr="00FD2F0C" w:rsidDel="00443FA6">
        <w:rPr>
          <w:rFonts w:asciiTheme="minorHAnsi" w:hAnsiTheme="minorHAnsi"/>
          <w:lang w:val="en-GB"/>
        </w:rPr>
        <w:t xml:space="preserve">operate </w:t>
      </w:r>
      <w:r w:rsidR="0017106E" w:rsidRPr="00FD2F0C">
        <w:rPr>
          <w:rFonts w:asciiTheme="minorHAnsi" w:hAnsiTheme="minorHAnsi"/>
          <w:lang w:val="en-GB"/>
        </w:rPr>
        <w:t xml:space="preserve">in </w:t>
      </w:r>
      <w:r w:rsidRPr="00FD2F0C" w:rsidDel="00443FA6">
        <w:rPr>
          <w:rFonts w:asciiTheme="minorHAnsi" w:hAnsiTheme="minorHAnsi"/>
          <w:lang w:val="en-GB"/>
        </w:rPr>
        <w:t>accord</w:t>
      </w:r>
      <w:r w:rsidR="0017106E" w:rsidRPr="00FD2F0C">
        <w:rPr>
          <w:rFonts w:asciiTheme="minorHAnsi" w:hAnsiTheme="minorHAnsi"/>
          <w:lang w:val="en-GB"/>
        </w:rPr>
        <w:t xml:space="preserve">ance with </w:t>
      </w:r>
      <w:r w:rsidRPr="00FD2F0C" w:rsidDel="00443FA6">
        <w:rPr>
          <w:rFonts w:asciiTheme="minorHAnsi" w:hAnsiTheme="minorHAnsi"/>
          <w:lang w:val="en-GB"/>
        </w:rPr>
        <w:t>the Radio Regulations and protect stations operating according to the Radio Regulations.</w:t>
      </w:r>
    </w:p>
    <w:p w14:paraId="7912D5A0" w14:textId="2D875867" w:rsidR="005B7A86" w:rsidRPr="00FD2F0C" w:rsidRDefault="00DF12AB" w:rsidP="006431CF">
      <w:pPr>
        <w:rPr>
          <w:rFonts w:asciiTheme="minorHAnsi" w:hAnsiTheme="minorHAnsi"/>
          <w:lang w:val="en-GB"/>
        </w:rPr>
      </w:pPr>
      <w:r w:rsidRPr="00FD2F0C">
        <w:rPr>
          <w:rFonts w:asciiTheme="minorHAnsi" w:hAnsiTheme="minorHAnsi"/>
          <w:lang w:val="en-GB"/>
        </w:rPr>
        <w:t xml:space="preserve">ITU-R Study Group 1 has approved in 2017 a </w:t>
      </w:r>
      <w:r w:rsidRPr="00FD2F0C" w:rsidDel="00217533">
        <w:rPr>
          <w:rFonts w:asciiTheme="minorHAnsi" w:hAnsiTheme="minorHAnsi"/>
          <w:lang w:val="en-US"/>
        </w:rPr>
        <w:t xml:space="preserve">new </w:t>
      </w:r>
      <w:hyperlink r:id="rId28" w:history="1">
        <w:r w:rsidRPr="00FD2F0C" w:rsidDel="00217533">
          <w:rPr>
            <w:rStyle w:val="Hyperlink"/>
            <w:rFonts w:asciiTheme="minorHAnsi" w:hAnsiTheme="minorHAnsi"/>
            <w:lang w:val="en-US"/>
          </w:rPr>
          <w:t xml:space="preserve">Report </w:t>
        </w:r>
        <w:r w:rsidRPr="00FD2F0C" w:rsidDel="00217533">
          <w:rPr>
            <w:rStyle w:val="Hyperlink"/>
            <w:rFonts w:asciiTheme="minorHAnsi" w:hAnsiTheme="minorHAnsi"/>
            <w:b/>
            <w:bCs/>
            <w:lang w:val="en-US"/>
          </w:rPr>
          <w:t>ITU-R</w:t>
        </w:r>
        <w:r w:rsidRPr="00FD2F0C" w:rsidDel="00217533">
          <w:rPr>
            <w:rStyle w:val="Hyperlink"/>
            <w:rFonts w:asciiTheme="minorHAnsi" w:hAnsiTheme="minorHAnsi"/>
            <w:lang w:val="en-US"/>
          </w:rPr>
          <w:t xml:space="preserve"> </w:t>
        </w:r>
        <w:r w:rsidRPr="00FD2F0C" w:rsidDel="00217533">
          <w:rPr>
            <w:rStyle w:val="Hyperlink"/>
            <w:rFonts w:asciiTheme="minorHAnsi" w:hAnsiTheme="minorHAnsi"/>
            <w:b/>
            <w:bCs/>
            <w:lang w:val="en-GB"/>
          </w:rPr>
          <w:t>SM</w:t>
        </w:r>
        <w:r w:rsidR="006431CF" w:rsidRPr="00FD2F0C">
          <w:rPr>
            <w:rStyle w:val="Hyperlink"/>
            <w:rFonts w:asciiTheme="minorHAnsi" w:hAnsiTheme="minorHAnsi"/>
            <w:b/>
            <w:bCs/>
            <w:lang w:val="en-GB"/>
          </w:rPr>
          <w:t>.2405-0</w:t>
        </w:r>
      </w:hyperlink>
      <w:r w:rsidRPr="00FD2F0C" w:rsidDel="00217533">
        <w:rPr>
          <w:rFonts w:asciiTheme="minorHAnsi" w:hAnsiTheme="minorHAnsi"/>
          <w:lang w:val="en-US"/>
        </w:rPr>
        <w:t xml:space="preserve"> </w:t>
      </w:r>
      <w:r w:rsidRPr="00FD2F0C">
        <w:rPr>
          <w:rFonts w:asciiTheme="minorHAnsi" w:hAnsiTheme="minorHAnsi"/>
          <w:lang w:val="en-GB"/>
        </w:rPr>
        <w:t>- Spectrum management principles, challenges and issues related to dynamic access to frequency bands by means of radio systems employing cognitive capabilities</w:t>
      </w:r>
      <w:r w:rsidRPr="00FD2F0C" w:rsidDel="00217533">
        <w:rPr>
          <w:rFonts w:asciiTheme="minorHAnsi" w:hAnsiTheme="minorHAnsi"/>
          <w:lang w:val="en-GB"/>
        </w:rPr>
        <w:t xml:space="preserve"> </w:t>
      </w:r>
      <w:r w:rsidRPr="00FD2F0C" w:rsidDel="00217533">
        <w:rPr>
          <w:rFonts w:asciiTheme="minorHAnsi" w:hAnsiTheme="minorHAnsi"/>
          <w:lang w:val="en-US"/>
        </w:rPr>
        <w:t xml:space="preserve">(see </w:t>
      </w:r>
      <w:hyperlink r:id="rId29" w:history="1">
        <w:r w:rsidRPr="00FD2F0C" w:rsidDel="00217533">
          <w:rPr>
            <w:rStyle w:val="Hyperlink"/>
            <w:rFonts w:asciiTheme="minorHAnsi" w:hAnsiTheme="minorHAnsi"/>
            <w:lang w:val="en-US"/>
          </w:rPr>
          <w:t>Doc</w:t>
        </w:r>
        <w:r w:rsidRPr="00FD2F0C">
          <w:rPr>
            <w:rStyle w:val="Hyperlink"/>
            <w:rFonts w:asciiTheme="minorHAnsi" w:hAnsiTheme="minorHAnsi"/>
            <w:lang w:val="en-US"/>
          </w:rPr>
          <w:t>ument</w:t>
        </w:r>
        <w:r w:rsidRPr="00FD2F0C" w:rsidDel="00217533">
          <w:rPr>
            <w:rStyle w:val="Hyperlink"/>
            <w:rFonts w:asciiTheme="minorHAnsi" w:hAnsiTheme="minorHAnsi"/>
            <w:lang w:val="en-US"/>
          </w:rPr>
          <w:t xml:space="preserve"> 1</w:t>
        </w:r>
        <w:r w:rsidRPr="00FD2F0C">
          <w:rPr>
            <w:rStyle w:val="Hyperlink"/>
            <w:rFonts w:asciiTheme="minorHAnsi" w:hAnsiTheme="minorHAnsi"/>
            <w:lang w:val="en-US"/>
          </w:rPr>
          <w:t>/7</w:t>
        </w:r>
        <w:r w:rsidR="00A10191" w:rsidRPr="00FD2F0C">
          <w:rPr>
            <w:rStyle w:val="Hyperlink"/>
            <w:rFonts w:asciiTheme="minorHAnsi" w:hAnsiTheme="minorHAnsi"/>
            <w:lang w:val="en-US"/>
          </w:rPr>
          <w:t>5 (Rev.1)</w:t>
        </w:r>
      </w:hyperlink>
      <w:r w:rsidRPr="00FD2F0C" w:rsidDel="00217533">
        <w:rPr>
          <w:rFonts w:asciiTheme="minorHAnsi" w:hAnsiTheme="minorHAnsi"/>
          <w:lang w:val="en-US"/>
        </w:rPr>
        <w:t>)</w:t>
      </w:r>
      <w:r w:rsidR="00C23F53" w:rsidRPr="00FD2F0C">
        <w:rPr>
          <w:rFonts w:asciiTheme="minorHAnsi" w:hAnsiTheme="minorHAnsi"/>
          <w:lang w:val="en-GB"/>
        </w:rPr>
        <w:t xml:space="preserve">, which highlights </w:t>
      </w:r>
      <w:r w:rsidR="005B7A86" w:rsidRPr="00FD2F0C">
        <w:rPr>
          <w:rFonts w:asciiTheme="minorHAnsi" w:hAnsiTheme="minorHAnsi"/>
          <w:lang w:val="en-GB"/>
        </w:rPr>
        <w:t xml:space="preserve">situations where the coexistence scenario may be more difficult </w:t>
      </w:r>
      <w:r w:rsidR="005B7A86" w:rsidRPr="00FD2F0C">
        <w:rPr>
          <w:rFonts w:asciiTheme="minorHAnsi" w:hAnsiTheme="minorHAnsi"/>
          <w:lang w:val="en-CA"/>
        </w:rPr>
        <w:t xml:space="preserve">to manage and/or may require more attention include the </w:t>
      </w:r>
      <w:r w:rsidR="005B7A86" w:rsidRPr="00FD2F0C">
        <w:rPr>
          <w:rFonts w:asciiTheme="minorHAnsi" w:hAnsiTheme="minorHAnsi"/>
          <w:lang w:val="en-GB"/>
        </w:rPr>
        <w:t>implementation of dynamic spectrum access in the frequency allocations used for:</w:t>
      </w:r>
    </w:p>
    <w:p w14:paraId="629A66DD" w14:textId="77777777" w:rsidR="00652840" w:rsidRPr="00FD2F0C" w:rsidRDefault="00652840" w:rsidP="0032197B">
      <w:pPr>
        <w:pStyle w:val="ListParagraph"/>
        <w:numPr>
          <w:ilvl w:val="0"/>
          <w:numId w:val="19"/>
        </w:numPr>
        <w:spacing w:before="0"/>
        <w:rPr>
          <w:rFonts w:asciiTheme="minorHAnsi" w:hAnsiTheme="minorHAnsi"/>
          <w:lang w:val="en-GB"/>
        </w:rPr>
      </w:pPr>
      <w:r w:rsidRPr="00FD2F0C">
        <w:rPr>
          <w:rFonts w:asciiTheme="minorHAnsi" w:hAnsiTheme="minorHAnsi"/>
          <w:lang w:val="en-GB"/>
        </w:rPr>
        <w:t xml:space="preserve">safety of life applications, this would pose a major risk to the safe and efficient usage of aviation and maritime services which could not be easily corrected once the devices are in general use; </w:t>
      </w:r>
    </w:p>
    <w:p w14:paraId="58692358" w14:textId="77777777" w:rsidR="00652840" w:rsidRPr="00FD2F0C" w:rsidRDefault="00652840" w:rsidP="0032197B">
      <w:pPr>
        <w:pStyle w:val="ListParagraph"/>
        <w:numPr>
          <w:ilvl w:val="0"/>
          <w:numId w:val="19"/>
        </w:numPr>
        <w:spacing w:before="0"/>
        <w:rPr>
          <w:rFonts w:asciiTheme="minorHAnsi" w:hAnsiTheme="minorHAnsi"/>
          <w:lang w:val="en-GB"/>
        </w:rPr>
      </w:pPr>
      <w:r w:rsidRPr="00FD2F0C">
        <w:rPr>
          <w:rFonts w:asciiTheme="minorHAnsi" w:hAnsiTheme="minorHAnsi"/>
          <w:lang w:val="en-GB"/>
        </w:rPr>
        <w:t xml:space="preserve">mobile satellite services and radiodetermination-satellite services, as the mobile nature of stations makes the practical implementation of databases difficult; </w:t>
      </w:r>
    </w:p>
    <w:p w14:paraId="547DD8DC" w14:textId="1A12F270" w:rsidR="00652840" w:rsidRPr="00FD2F0C" w:rsidRDefault="00652840" w:rsidP="000D7C11">
      <w:pPr>
        <w:pStyle w:val="ListParagraph"/>
        <w:numPr>
          <w:ilvl w:val="0"/>
          <w:numId w:val="19"/>
        </w:numPr>
        <w:spacing w:before="0"/>
        <w:rPr>
          <w:rFonts w:asciiTheme="minorHAnsi" w:hAnsiTheme="minorHAnsi"/>
          <w:lang w:val="en-GB"/>
        </w:rPr>
      </w:pPr>
      <w:r w:rsidRPr="00FD2F0C">
        <w:rPr>
          <w:rFonts w:asciiTheme="minorHAnsi" w:hAnsiTheme="minorHAnsi"/>
          <w:lang w:val="en-GB"/>
        </w:rPr>
        <w:t>earth exploration satellite services and space research services, as passive services cannot be detected by spectrum sensing etc.</w:t>
      </w:r>
    </w:p>
    <w:p w14:paraId="7AF54D5B" w14:textId="77777777" w:rsidR="005B7A86" w:rsidRPr="00FD2F0C" w:rsidRDefault="00341E23">
      <w:pPr>
        <w:rPr>
          <w:rFonts w:asciiTheme="minorHAnsi" w:hAnsiTheme="minorHAnsi"/>
          <w:lang w:val="en-GB"/>
        </w:rPr>
      </w:pPr>
      <w:r w:rsidRPr="00FD2F0C">
        <w:rPr>
          <w:rFonts w:asciiTheme="minorHAnsi" w:hAnsiTheme="minorHAnsi"/>
          <w:lang w:val="en-GB"/>
        </w:rPr>
        <w:t>Some other more technical issues related to the use of CRS technologies have also to be considered, as explained in detail in Reports ITU-R M.2330 and ITU-R M.2242, such as the implementation complexity, reliability of different methods for obtaining knowledge and interference avoidance; the need for a timely availability and good quality of service; the need for sufficient degree of protection against malicious behavior which may arise due to any CRS operation; etc.</w:t>
      </w:r>
    </w:p>
    <w:p w14:paraId="6CA5CDE1" w14:textId="24B57819" w:rsidR="00556DEF" w:rsidRPr="00FD2F0C" w:rsidRDefault="00556DEF" w:rsidP="00383BA5">
      <w:pPr>
        <w:rPr>
          <w:rFonts w:asciiTheme="minorHAnsi" w:hAnsiTheme="minorHAnsi"/>
          <w:lang w:val="en-US" w:eastAsia="zh-CN"/>
        </w:rPr>
      </w:pPr>
      <w:r w:rsidRPr="00FD2F0C">
        <w:rPr>
          <w:rFonts w:asciiTheme="minorHAnsi" w:hAnsiTheme="minorHAnsi"/>
          <w:lang w:val="en-US" w:eastAsia="zh-CN"/>
        </w:rPr>
        <w:t xml:space="preserve">As for all radio applications, a regulatory framework for </w:t>
      </w:r>
      <w:r w:rsidR="00383BA5" w:rsidRPr="00FD2F0C">
        <w:rPr>
          <w:rFonts w:asciiTheme="minorHAnsi" w:hAnsiTheme="minorHAnsi" w:cs="Calibri"/>
          <w:bCs/>
          <w:szCs w:val="24"/>
          <w:lang w:val="en-GB"/>
        </w:rPr>
        <w:t>d</w:t>
      </w:r>
      <w:r w:rsidR="00B42E32" w:rsidRPr="00FD2F0C">
        <w:rPr>
          <w:rFonts w:asciiTheme="minorHAnsi" w:hAnsiTheme="minorHAnsi" w:cs="Calibri"/>
          <w:bCs/>
          <w:szCs w:val="24"/>
          <w:lang w:val="en-GB"/>
        </w:rPr>
        <w:t xml:space="preserve">ynamic </w:t>
      </w:r>
      <w:r w:rsidR="00E93B26" w:rsidRPr="00FD2F0C">
        <w:rPr>
          <w:rFonts w:asciiTheme="minorHAnsi" w:hAnsiTheme="minorHAnsi" w:cs="Calibri"/>
          <w:bCs/>
          <w:szCs w:val="24"/>
          <w:lang w:val="en-GB"/>
        </w:rPr>
        <w:t>s</w:t>
      </w:r>
      <w:r w:rsidR="00B42E32" w:rsidRPr="00FD2F0C">
        <w:rPr>
          <w:rFonts w:asciiTheme="minorHAnsi" w:hAnsiTheme="minorHAnsi" w:cs="Calibri"/>
          <w:bCs/>
          <w:szCs w:val="24"/>
          <w:lang w:val="en-GB"/>
        </w:rPr>
        <w:t xml:space="preserve">pectrum </w:t>
      </w:r>
      <w:r w:rsidR="00E93B26" w:rsidRPr="00FD2F0C">
        <w:rPr>
          <w:rFonts w:asciiTheme="minorHAnsi" w:hAnsiTheme="minorHAnsi" w:cs="Calibri"/>
          <w:bCs/>
          <w:szCs w:val="24"/>
          <w:lang w:val="en-GB"/>
        </w:rPr>
        <w:t>s</w:t>
      </w:r>
      <w:r w:rsidR="00B42E32" w:rsidRPr="00FD2F0C">
        <w:rPr>
          <w:rFonts w:asciiTheme="minorHAnsi" w:hAnsiTheme="minorHAnsi" w:cs="Calibri"/>
          <w:bCs/>
          <w:szCs w:val="24"/>
          <w:lang w:val="en-GB"/>
        </w:rPr>
        <w:t>haring</w:t>
      </w:r>
      <w:r w:rsidRPr="00FD2F0C">
        <w:rPr>
          <w:rFonts w:asciiTheme="minorHAnsi" w:hAnsiTheme="minorHAnsi"/>
          <w:lang w:val="en-US" w:eastAsia="zh-CN"/>
        </w:rPr>
        <w:t xml:space="preserve">-based applications must be defined in accordance with the provisions of the Radio Regulations. Noting that </w:t>
      </w:r>
      <w:r w:rsidR="00383BA5" w:rsidRPr="00FD2F0C">
        <w:rPr>
          <w:rFonts w:asciiTheme="minorHAnsi" w:hAnsiTheme="minorHAnsi" w:cs="Calibri"/>
          <w:bCs/>
          <w:szCs w:val="24"/>
          <w:lang w:val="en-GB"/>
        </w:rPr>
        <w:t>d</w:t>
      </w:r>
      <w:r w:rsidR="00B42E32" w:rsidRPr="00FD2F0C">
        <w:rPr>
          <w:rFonts w:asciiTheme="minorHAnsi" w:hAnsiTheme="minorHAnsi" w:cs="Calibri"/>
          <w:bCs/>
          <w:szCs w:val="24"/>
          <w:lang w:val="en-GB"/>
        </w:rPr>
        <w:t xml:space="preserve">ynamic </w:t>
      </w:r>
      <w:r w:rsidR="00E93B26" w:rsidRPr="00FD2F0C">
        <w:rPr>
          <w:rFonts w:asciiTheme="minorHAnsi" w:hAnsiTheme="minorHAnsi" w:cs="Calibri"/>
          <w:bCs/>
          <w:szCs w:val="24"/>
          <w:lang w:val="en-GB"/>
        </w:rPr>
        <w:t>s</w:t>
      </w:r>
      <w:r w:rsidR="00B42E32" w:rsidRPr="00FD2F0C">
        <w:rPr>
          <w:rFonts w:asciiTheme="minorHAnsi" w:hAnsiTheme="minorHAnsi" w:cs="Calibri"/>
          <w:bCs/>
          <w:szCs w:val="24"/>
          <w:lang w:val="en-GB"/>
        </w:rPr>
        <w:t xml:space="preserve">pectrum </w:t>
      </w:r>
      <w:r w:rsidR="00E93B26" w:rsidRPr="00FD2F0C">
        <w:rPr>
          <w:rFonts w:asciiTheme="minorHAnsi" w:hAnsiTheme="minorHAnsi" w:cs="Calibri"/>
          <w:bCs/>
          <w:szCs w:val="24"/>
          <w:lang w:val="en-GB"/>
        </w:rPr>
        <w:t>s</w:t>
      </w:r>
      <w:r w:rsidR="00B42E32" w:rsidRPr="00FD2F0C">
        <w:rPr>
          <w:rFonts w:asciiTheme="minorHAnsi" w:hAnsiTheme="minorHAnsi" w:cs="Calibri"/>
          <w:bCs/>
          <w:szCs w:val="24"/>
          <w:lang w:val="en-GB"/>
        </w:rPr>
        <w:t>haring</w:t>
      </w:r>
      <w:r w:rsidR="00B42E32" w:rsidRPr="00FD2F0C">
        <w:rPr>
          <w:rFonts w:asciiTheme="minorHAnsi" w:hAnsiTheme="minorHAnsi"/>
          <w:lang w:val="en-US" w:eastAsia="zh-CN"/>
        </w:rPr>
        <w:t xml:space="preserve"> </w:t>
      </w:r>
      <w:r w:rsidRPr="00FD2F0C">
        <w:rPr>
          <w:rFonts w:asciiTheme="minorHAnsi" w:hAnsiTheme="minorHAnsi"/>
          <w:lang w:val="en-US" w:eastAsia="zh-CN"/>
        </w:rPr>
        <w:t xml:space="preserve">is a spectrum access mechanism to facilitate the shared use of the spectrum, </w:t>
      </w:r>
      <w:r w:rsidR="000252F0" w:rsidRPr="00FD2F0C">
        <w:rPr>
          <w:rFonts w:asciiTheme="minorHAnsi" w:hAnsiTheme="minorHAnsi"/>
          <w:lang w:val="en-US" w:eastAsia="zh-CN"/>
        </w:rPr>
        <w:t xml:space="preserve">a </w:t>
      </w:r>
      <w:r w:rsidR="00383BA5" w:rsidRPr="00FD2F0C">
        <w:rPr>
          <w:rFonts w:asciiTheme="minorHAnsi" w:hAnsiTheme="minorHAnsi" w:cs="Calibri"/>
          <w:bCs/>
          <w:szCs w:val="24"/>
          <w:lang w:val="en-GB"/>
        </w:rPr>
        <w:t>d</w:t>
      </w:r>
      <w:r w:rsidR="00B42E32" w:rsidRPr="00FD2F0C">
        <w:rPr>
          <w:rFonts w:asciiTheme="minorHAnsi" w:hAnsiTheme="minorHAnsi" w:cs="Calibri"/>
          <w:bCs/>
          <w:szCs w:val="24"/>
          <w:lang w:val="en-GB"/>
        </w:rPr>
        <w:t xml:space="preserve">ynamic </w:t>
      </w:r>
      <w:r w:rsidR="00E93B26" w:rsidRPr="00FD2F0C">
        <w:rPr>
          <w:rFonts w:asciiTheme="minorHAnsi" w:hAnsiTheme="minorHAnsi" w:cs="Calibri"/>
          <w:bCs/>
          <w:szCs w:val="24"/>
          <w:lang w:val="en-GB"/>
        </w:rPr>
        <w:t>s</w:t>
      </w:r>
      <w:r w:rsidR="00B42E32" w:rsidRPr="00FD2F0C">
        <w:rPr>
          <w:rFonts w:asciiTheme="minorHAnsi" w:hAnsiTheme="minorHAnsi" w:cs="Calibri"/>
          <w:bCs/>
          <w:szCs w:val="24"/>
          <w:lang w:val="en-GB"/>
        </w:rPr>
        <w:t xml:space="preserve">pectrum </w:t>
      </w:r>
      <w:r w:rsidR="00E93B26" w:rsidRPr="00FD2F0C">
        <w:rPr>
          <w:rFonts w:asciiTheme="minorHAnsi" w:hAnsiTheme="minorHAnsi" w:cs="Calibri"/>
          <w:bCs/>
          <w:szCs w:val="24"/>
          <w:lang w:val="en-GB"/>
        </w:rPr>
        <w:t>s</w:t>
      </w:r>
      <w:r w:rsidR="00B42E32" w:rsidRPr="00FD2F0C">
        <w:rPr>
          <w:rFonts w:asciiTheme="minorHAnsi" w:hAnsiTheme="minorHAnsi" w:cs="Calibri"/>
          <w:bCs/>
          <w:szCs w:val="24"/>
          <w:lang w:val="en-GB"/>
        </w:rPr>
        <w:t>haring</w:t>
      </w:r>
      <w:r w:rsidR="00B42E32" w:rsidRPr="00FD2F0C">
        <w:rPr>
          <w:rFonts w:asciiTheme="minorHAnsi" w:hAnsiTheme="minorHAnsi"/>
          <w:lang w:val="en-US" w:eastAsia="zh-CN"/>
        </w:rPr>
        <w:t xml:space="preserve"> </w:t>
      </w:r>
      <w:r w:rsidRPr="00FD2F0C">
        <w:rPr>
          <w:rFonts w:asciiTheme="minorHAnsi" w:hAnsiTheme="minorHAnsi"/>
          <w:lang w:val="en-US" w:eastAsia="zh-CN"/>
        </w:rPr>
        <w:t xml:space="preserve">based application is supposed to </w:t>
      </w:r>
      <w:r w:rsidRPr="00FD2F0C">
        <w:rPr>
          <w:rStyle w:val="hps"/>
          <w:rFonts w:asciiTheme="minorHAnsi" w:hAnsiTheme="minorHAnsi"/>
          <w:color w:val="222222"/>
          <w:szCs w:val="24"/>
          <w:lang w:val="en-GB"/>
        </w:rPr>
        <w:t>operate within the allocated radiocommunication services and therefore the procedures of Article </w:t>
      </w:r>
      <w:r w:rsidRPr="00FD2F0C">
        <w:rPr>
          <w:rStyle w:val="hps"/>
          <w:rFonts w:asciiTheme="minorHAnsi" w:hAnsiTheme="minorHAnsi"/>
          <w:b/>
          <w:bCs/>
          <w:color w:val="222222"/>
          <w:szCs w:val="24"/>
          <w:lang w:val="en-GB"/>
        </w:rPr>
        <w:t>15</w:t>
      </w:r>
      <w:r w:rsidRPr="00FD2F0C">
        <w:rPr>
          <w:rStyle w:val="hps"/>
          <w:rFonts w:asciiTheme="minorHAnsi" w:hAnsiTheme="minorHAnsi"/>
          <w:color w:val="222222"/>
          <w:szCs w:val="24"/>
          <w:lang w:val="en-GB"/>
        </w:rPr>
        <w:t xml:space="preserve"> (Interferences) apply</w:t>
      </w:r>
      <w:r w:rsidRPr="00FD2F0C">
        <w:rPr>
          <w:rFonts w:asciiTheme="minorHAnsi" w:hAnsiTheme="minorHAnsi"/>
          <w:lang w:val="en-US" w:eastAsia="zh-CN"/>
        </w:rPr>
        <w:t>.</w:t>
      </w:r>
    </w:p>
    <w:p w14:paraId="2FD8318B" w14:textId="41F98452" w:rsidR="00DE3B7C" w:rsidRPr="00FD2F0C" w:rsidRDefault="00DE3B7C" w:rsidP="007E6ED0">
      <w:pPr>
        <w:rPr>
          <w:rFonts w:asciiTheme="minorHAnsi" w:hAnsiTheme="minorHAnsi"/>
          <w:lang w:val="en-GB"/>
        </w:rPr>
      </w:pPr>
      <w:r w:rsidRPr="00FD2F0C">
        <w:rPr>
          <w:rFonts w:asciiTheme="minorHAnsi" w:hAnsiTheme="minorHAnsi"/>
          <w:lang w:val="en-GB"/>
        </w:rPr>
        <w:t>ITU-R has undertaken a number of studies in recent years in particular in response to Resolution ITU-R 58-1, which are relevant to cognitive radio and dynamic spectrum solutions</w:t>
      </w:r>
      <w:r w:rsidR="00383BA5" w:rsidRPr="00FD2F0C">
        <w:rPr>
          <w:rFonts w:asciiTheme="minorHAnsi" w:hAnsiTheme="minorHAnsi"/>
          <w:lang w:val="en-GB"/>
        </w:rPr>
        <w:t xml:space="preserve"> (see </w:t>
      </w:r>
      <w:r w:rsidR="007E6ED0" w:rsidRPr="00FD2F0C">
        <w:rPr>
          <w:rFonts w:asciiTheme="minorHAnsi" w:hAnsiTheme="minorHAnsi"/>
          <w:lang w:val="en-GB"/>
        </w:rPr>
        <w:t xml:space="preserve">ITU-R References </w:t>
      </w:r>
      <w:r w:rsidR="00704DBB" w:rsidRPr="00FD2F0C">
        <w:rPr>
          <w:rFonts w:asciiTheme="minorHAnsi" w:hAnsiTheme="minorHAnsi"/>
          <w:lang w:val="en-GB"/>
        </w:rPr>
        <w:t xml:space="preserve">provided </w:t>
      </w:r>
      <w:r w:rsidR="007E6ED0" w:rsidRPr="00FD2F0C">
        <w:rPr>
          <w:rFonts w:asciiTheme="minorHAnsi" w:hAnsiTheme="minorHAnsi"/>
          <w:lang w:val="en-GB"/>
        </w:rPr>
        <w:t>before the Annexes of this report</w:t>
      </w:r>
      <w:r w:rsidR="00383BA5" w:rsidRPr="00FD2F0C">
        <w:rPr>
          <w:rFonts w:asciiTheme="minorHAnsi" w:hAnsiTheme="minorHAnsi"/>
          <w:lang w:val="en-GB"/>
        </w:rPr>
        <w:t>)</w:t>
      </w:r>
      <w:r w:rsidR="00B97F6F" w:rsidRPr="00FD2F0C">
        <w:rPr>
          <w:rFonts w:asciiTheme="minorHAnsi" w:hAnsiTheme="minorHAnsi"/>
          <w:lang w:val="en-GB"/>
        </w:rPr>
        <w:t>.</w:t>
      </w:r>
    </w:p>
    <w:p w14:paraId="2AAF9733" w14:textId="6078CB82" w:rsidR="00E13366" w:rsidRPr="00FD2F0C" w:rsidRDefault="00D703E3" w:rsidP="00E73393">
      <w:pPr>
        <w:pStyle w:val="Heading3"/>
        <w:numPr>
          <w:ilvl w:val="0"/>
          <w:numId w:val="0"/>
        </w:numPr>
        <w:ind w:left="720" w:hanging="720"/>
        <w:rPr>
          <w:rFonts w:asciiTheme="minorHAnsi" w:hAnsiTheme="minorHAnsi"/>
        </w:rPr>
      </w:pPr>
      <w:bookmarkStart w:id="50" w:name="_Toc485647983"/>
      <w:r w:rsidRPr="00FD2F0C">
        <w:rPr>
          <w:rFonts w:asciiTheme="minorHAnsi" w:hAnsiTheme="minorHAnsi"/>
        </w:rPr>
        <w:lastRenderedPageBreak/>
        <w:t>1.4</w:t>
      </w:r>
      <w:r w:rsidR="00E13366" w:rsidRPr="00FD2F0C">
        <w:rPr>
          <w:rFonts w:asciiTheme="minorHAnsi" w:hAnsiTheme="minorHAnsi"/>
        </w:rPr>
        <w:t>.</w:t>
      </w:r>
      <w:r w:rsidR="00091D5F" w:rsidRPr="00FD2F0C">
        <w:rPr>
          <w:rFonts w:asciiTheme="minorHAnsi" w:hAnsiTheme="minorHAnsi"/>
        </w:rPr>
        <w:t>4</w:t>
      </w:r>
      <w:r w:rsidR="00E13366" w:rsidRPr="00FD2F0C">
        <w:rPr>
          <w:rFonts w:asciiTheme="minorHAnsi" w:hAnsiTheme="minorHAnsi"/>
        </w:rPr>
        <w:tab/>
        <w:t>Licensed Shared Access (LSA)</w:t>
      </w:r>
      <w:bookmarkEnd w:id="50"/>
    </w:p>
    <w:p w14:paraId="2D483A33" w14:textId="13F30A79" w:rsidR="007366D4" w:rsidRPr="00FD2F0C" w:rsidRDefault="007366D4">
      <w:pPr>
        <w:rPr>
          <w:rFonts w:asciiTheme="minorHAnsi" w:hAnsiTheme="minorHAnsi"/>
          <w:lang w:val="en-GB"/>
        </w:rPr>
      </w:pPr>
      <w:r w:rsidRPr="00FD2F0C">
        <w:rPr>
          <w:rFonts w:asciiTheme="minorHAnsi" w:hAnsiTheme="minorHAnsi"/>
          <w:lang w:val="en-GB"/>
        </w:rPr>
        <w:t>“Licensed Shared Access”</w:t>
      </w:r>
      <w:r w:rsidR="006B5A75" w:rsidRPr="00FD2F0C">
        <w:rPr>
          <w:rFonts w:asciiTheme="minorHAnsi" w:hAnsiTheme="minorHAnsi"/>
          <w:lang w:val="en-GB"/>
        </w:rPr>
        <w:t xml:space="preserve"> was</w:t>
      </w:r>
      <w:r w:rsidRPr="00FD2F0C">
        <w:rPr>
          <w:rFonts w:asciiTheme="minorHAnsi" w:hAnsiTheme="minorHAnsi"/>
          <w:lang w:val="en-GB"/>
        </w:rPr>
        <w:t xml:space="preserve"> </w:t>
      </w:r>
      <w:r w:rsidR="00BD7FE0" w:rsidRPr="00FD2F0C">
        <w:rPr>
          <w:rFonts w:asciiTheme="minorHAnsi" w:hAnsiTheme="minorHAnsi"/>
          <w:lang w:val="en-GB"/>
        </w:rPr>
        <w:t xml:space="preserve">initially introduced as an enabler to unlock access to additional frequency bands for mobile broadband under individual licensed regime while maintaining incumbent uses, </w:t>
      </w:r>
      <w:r w:rsidRPr="00FD2F0C">
        <w:rPr>
          <w:rFonts w:asciiTheme="minorHAnsi" w:hAnsiTheme="minorHAnsi"/>
          <w:lang w:val="en-GB"/>
        </w:rPr>
        <w:t>has been develop</w:t>
      </w:r>
      <w:r w:rsidR="00BD7FE0" w:rsidRPr="00FD2F0C">
        <w:rPr>
          <w:rFonts w:asciiTheme="minorHAnsi" w:hAnsiTheme="minorHAnsi"/>
          <w:lang w:val="en-GB"/>
        </w:rPr>
        <w:t>ed</w:t>
      </w:r>
      <w:r w:rsidRPr="00FD2F0C">
        <w:rPr>
          <w:rFonts w:asciiTheme="minorHAnsi" w:hAnsiTheme="minorHAnsi"/>
          <w:lang w:val="en-GB"/>
        </w:rPr>
        <w:t xml:space="preserve"> in the</w:t>
      </w:r>
      <w:r w:rsidR="00BD7FE0" w:rsidRPr="00FD2F0C">
        <w:rPr>
          <w:rFonts w:asciiTheme="minorHAnsi" w:hAnsiTheme="minorHAnsi"/>
          <w:lang w:val="en-GB"/>
        </w:rPr>
        <w:t xml:space="preserve"> CEPT</w:t>
      </w:r>
      <w:r w:rsidRPr="00FD2F0C">
        <w:rPr>
          <w:rFonts w:asciiTheme="minorHAnsi" w:hAnsiTheme="minorHAnsi"/>
          <w:lang w:val="en-GB"/>
        </w:rPr>
        <w:t>. LSA is defined as “A regulatory approach aiming to facilitate the introduction of radiocommunication systems operated by a limited number of licensees under an individual licensing regime in a frequency band already assigned or expected to be assigned to one or more incumbent users. Under the Licensed Shared Access (LSA) approach, the additional users are authorised to use the spectrum (or part of the spectrum) in accordance with sharing rules included in their rights of use of spectrum, thereby allowing all the authorised users, including incumbents, to provide a certain Quality of Service (QoS)”.</w:t>
      </w:r>
      <w:r w:rsidRPr="00FD2F0C">
        <w:rPr>
          <w:rStyle w:val="FootnoteReference"/>
          <w:rFonts w:asciiTheme="minorHAnsi" w:hAnsiTheme="minorHAnsi"/>
        </w:rPr>
        <w:footnoteReference w:id="30"/>
      </w:r>
      <w:r w:rsidRPr="00FD2F0C">
        <w:rPr>
          <w:rFonts w:asciiTheme="minorHAnsi" w:hAnsiTheme="minorHAnsi"/>
          <w:lang w:val="en-GB"/>
        </w:rPr>
        <w:t xml:space="preserve"> </w:t>
      </w:r>
      <w:r w:rsidR="00BD7FE0" w:rsidRPr="00FD2F0C">
        <w:rPr>
          <w:rFonts w:asciiTheme="minorHAnsi" w:hAnsiTheme="minorHAnsi"/>
          <w:lang w:val="en-US"/>
        </w:rPr>
        <w:t xml:space="preserve">LSA aims to ensure a certain level of guarantee in terms of spectrum access and protection against harmful interference for both the incumbent(s) and LSA licensees, thus allowing them to provide a predictable quality of service. Incumbent(s) and LSA licensees each have exclusive access to spectrum at a given location at a given time. </w:t>
      </w:r>
      <w:r w:rsidRPr="00FD2F0C">
        <w:rPr>
          <w:rFonts w:asciiTheme="minorHAnsi" w:hAnsiTheme="minorHAnsi"/>
          <w:lang w:val="en-GB"/>
        </w:rPr>
        <w:t>LSA excludes concepts such as “opportunistic spectrum access”, “secondary use” or “secondary service” where the applicant has no protection from the primary user.</w:t>
      </w:r>
      <w:r w:rsidRPr="00FD2F0C">
        <w:rPr>
          <w:rStyle w:val="FootnoteReference"/>
          <w:rFonts w:asciiTheme="minorHAnsi" w:hAnsiTheme="minorHAnsi"/>
        </w:rPr>
        <w:footnoteReference w:id="31"/>
      </w:r>
      <w:r w:rsidR="009F5EE4" w:rsidRPr="00FD2F0C">
        <w:rPr>
          <w:rFonts w:asciiTheme="minorHAnsi" w:hAnsiTheme="minorHAnsi"/>
          <w:lang w:val="en-GB"/>
        </w:rPr>
        <w:t xml:space="preserve"> LSA has been used successfully, for example to deploy GSM or 3G networks in spectrum previously allocated to military services. It is being implemented within CEPT at 2.3 GHz, based on ETSI and 3GPP standards, through coexistence rules applying between the newcomers and the incumbents, under the control of the spectrum regulator.</w:t>
      </w:r>
    </w:p>
    <w:p w14:paraId="46ED729F" w14:textId="77777777" w:rsidR="00E13366" w:rsidRPr="00FD2F0C" w:rsidRDefault="005F1C33" w:rsidP="00E13366">
      <w:pPr>
        <w:rPr>
          <w:rFonts w:asciiTheme="minorHAnsi" w:hAnsiTheme="minorHAnsi"/>
          <w:lang w:val="en-GB"/>
        </w:rPr>
      </w:pPr>
      <w:bookmarkStart w:id="51" w:name="_Toc458779234"/>
      <w:bookmarkStart w:id="52" w:name="_Toc467836387"/>
      <w:r w:rsidRPr="00FD2F0C">
        <w:rPr>
          <w:rFonts w:asciiTheme="minorHAnsi" w:hAnsiTheme="minorHAnsi"/>
          <w:lang w:val="en-GB"/>
        </w:rPr>
        <w:t>In the broadest sense, LSA is nothing new: introducing new services compatible with existing ones has been the spectrum manager’s practice for decades.  However, smarter tools such as dynamic databases are offering new opportunities to share with incumbent users which have limited time of geographical use of the band.  The LSA approach allows addressing the market demand for introduction of new applications or networks, operated under an individual license regime, in specific bands,  allowing for more efficient spectrum use and security for investment.</w:t>
      </w:r>
    </w:p>
    <w:p w14:paraId="05A33CBD" w14:textId="66CA1887" w:rsidR="00943A40" w:rsidRPr="00FD2F0C" w:rsidRDefault="00943A40" w:rsidP="00806D9A">
      <w:pPr>
        <w:rPr>
          <w:rFonts w:asciiTheme="minorHAnsi" w:hAnsiTheme="minorHAnsi"/>
          <w:lang w:val="en-GB"/>
        </w:rPr>
      </w:pPr>
      <w:r w:rsidRPr="00FD2F0C">
        <w:rPr>
          <w:rFonts w:asciiTheme="minorHAnsi" w:hAnsiTheme="minorHAnsi"/>
          <w:lang w:val="en-GB"/>
        </w:rPr>
        <w:t xml:space="preserve">In addition, ITU-R Study Group 1 has approved in 2017 a </w:t>
      </w:r>
      <w:r w:rsidRPr="00FD2F0C" w:rsidDel="00217533">
        <w:rPr>
          <w:rFonts w:asciiTheme="minorHAnsi" w:hAnsiTheme="minorHAnsi"/>
          <w:lang w:val="en-US"/>
        </w:rPr>
        <w:t xml:space="preserve">new </w:t>
      </w:r>
      <w:hyperlink r:id="rId30" w:history="1">
        <w:r w:rsidR="00806D9A" w:rsidRPr="00FD2F0C" w:rsidDel="00217533">
          <w:rPr>
            <w:rStyle w:val="Hyperlink"/>
            <w:rFonts w:asciiTheme="minorHAnsi" w:hAnsiTheme="minorHAnsi"/>
            <w:lang w:val="en-US"/>
          </w:rPr>
          <w:t xml:space="preserve">Report </w:t>
        </w:r>
        <w:r w:rsidR="00806D9A" w:rsidRPr="00FD2F0C" w:rsidDel="00217533">
          <w:rPr>
            <w:rStyle w:val="Hyperlink"/>
            <w:rFonts w:asciiTheme="minorHAnsi" w:hAnsiTheme="minorHAnsi"/>
            <w:b/>
            <w:bCs/>
            <w:lang w:val="en-US"/>
          </w:rPr>
          <w:t>ITU-R</w:t>
        </w:r>
        <w:r w:rsidR="00806D9A" w:rsidRPr="00FD2F0C" w:rsidDel="00217533">
          <w:rPr>
            <w:rStyle w:val="Hyperlink"/>
            <w:rFonts w:asciiTheme="minorHAnsi" w:hAnsiTheme="minorHAnsi"/>
            <w:lang w:val="en-US"/>
          </w:rPr>
          <w:t xml:space="preserve"> </w:t>
        </w:r>
        <w:r w:rsidR="00806D9A" w:rsidRPr="00FD2F0C" w:rsidDel="00217533">
          <w:rPr>
            <w:rStyle w:val="Hyperlink"/>
            <w:rFonts w:asciiTheme="minorHAnsi" w:hAnsiTheme="minorHAnsi"/>
            <w:b/>
            <w:bCs/>
            <w:lang w:val="en-GB"/>
          </w:rPr>
          <w:t>SM</w:t>
        </w:r>
        <w:r w:rsidR="00806D9A" w:rsidRPr="00FD2F0C">
          <w:rPr>
            <w:rStyle w:val="Hyperlink"/>
            <w:rFonts w:asciiTheme="minorHAnsi" w:hAnsiTheme="minorHAnsi"/>
            <w:b/>
            <w:bCs/>
            <w:lang w:val="en-GB"/>
          </w:rPr>
          <w:t>.2404-0</w:t>
        </w:r>
      </w:hyperlink>
      <w:r w:rsidR="00806D9A" w:rsidRPr="00FD2F0C">
        <w:rPr>
          <w:rFonts w:asciiTheme="minorHAnsi" w:hAnsiTheme="minorHAnsi"/>
          <w:lang w:val="en-GB"/>
        </w:rPr>
        <w:t xml:space="preserve"> </w:t>
      </w:r>
      <w:r w:rsidR="0013474E" w:rsidRPr="00FD2F0C">
        <w:rPr>
          <w:rFonts w:asciiTheme="minorHAnsi" w:hAnsiTheme="minorHAnsi"/>
          <w:lang w:val="en-GB"/>
        </w:rPr>
        <w:t>-</w:t>
      </w:r>
      <w:r w:rsidRPr="00FD2F0C">
        <w:rPr>
          <w:rFonts w:asciiTheme="minorHAnsi" w:hAnsiTheme="minorHAnsi"/>
          <w:lang w:val="en-GB"/>
        </w:rPr>
        <w:t xml:space="preserve"> Regulatory Tools to support enhanced shared use of spectrum</w:t>
      </w:r>
      <w:r w:rsidRPr="00FD2F0C" w:rsidDel="00217533">
        <w:rPr>
          <w:rFonts w:asciiTheme="minorHAnsi" w:hAnsiTheme="minorHAnsi"/>
          <w:lang w:val="en-GB"/>
        </w:rPr>
        <w:t xml:space="preserve"> </w:t>
      </w:r>
      <w:r w:rsidRPr="00FD2F0C" w:rsidDel="00217533">
        <w:rPr>
          <w:rFonts w:asciiTheme="minorHAnsi" w:hAnsiTheme="minorHAnsi"/>
          <w:lang w:val="en-US"/>
        </w:rPr>
        <w:t xml:space="preserve">(see </w:t>
      </w:r>
      <w:hyperlink r:id="rId31" w:history="1">
        <w:r w:rsidRPr="00FD2F0C" w:rsidDel="00217533">
          <w:rPr>
            <w:rStyle w:val="Hyperlink"/>
            <w:rFonts w:asciiTheme="minorHAnsi" w:hAnsiTheme="minorHAnsi"/>
            <w:lang w:val="en-US"/>
          </w:rPr>
          <w:t>Doc</w:t>
        </w:r>
        <w:r w:rsidRPr="00FD2F0C">
          <w:rPr>
            <w:rStyle w:val="Hyperlink"/>
            <w:rFonts w:asciiTheme="minorHAnsi" w:hAnsiTheme="minorHAnsi"/>
            <w:lang w:val="en-US"/>
          </w:rPr>
          <w:t>ument</w:t>
        </w:r>
        <w:r w:rsidRPr="00FD2F0C" w:rsidDel="00217533">
          <w:rPr>
            <w:rStyle w:val="Hyperlink"/>
            <w:rFonts w:asciiTheme="minorHAnsi" w:hAnsiTheme="minorHAnsi"/>
            <w:lang w:val="en-US"/>
          </w:rPr>
          <w:t xml:space="preserve"> 1</w:t>
        </w:r>
        <w:r w:rsidRPr="00FD2F0C">
          <w:rPr>
            <w:rStyle w:val="Hyperlink"/>
            <w:rFonts w:asciiTheme="minorHAnsi" w:hAnsiTheme="minorHAnsi"/>
            <w:lang w:val="en-US"/>
          </w:rPr>
          <w:t>/</w:t>
        </w:r>
        <w:r w:rsidR="00B82A56" w:rsidRPr="00FD2F0C">
          <w:rPr>
            <w:rStyle w:val="Hyperlink"/>
            <w:rFonts w:asciiTheme="minorHAnsi" w:hAnsiTheme="minorHAnsi"/>
            <w:lang w:val="en-US"/>
          </w:rPr>
          <w:t>7</w:t>
        </w:r>
        <w:r w:rsidR="00A10191" w:rsidRPr="00FD2F0C">
          <w:rPr>
            <w:rStyle w:val="Hyperlink"/>
            <w:rFonts w:asciiTheme="minorHAnsi" w:hAnsiTheme="minorHAnsi"/>
            <w:lang w:val="en-US"/>
          </w:rPr>
          <w:t>4(Rev.1)</w:t>
        </w:r>
      </w:hyperlink>
      <w:r w:rsidRPr="00FD2F0C" w:rsidDel="00217533">
        <w:rPr>
          <w:rFonts w:asciiTheme="minorHAnsi" w:hAnsiTheme="minorHAnsi"/>
          <w:lang w:val="en-US"/>
        </w:rPr>
        <w:t>).</w:t>
      </w:r>
    </w:p>
    <w:p w14:paraId="3C720720" w14:textId="1CE8E4D8" w:rsidR="000252F0" w:rsidRPr="00FD2F0C" w:rsidRDefault="000252F0" w:rsidP="008C2FAA">
      <w:pPr>
        <w:pStyle w:val="Heading3"/>
        <w:numPr>
          <w:ilvl w:val="0"/>
          <w:numId w:val="0"/>
        </w:numPr>
        <w:ind w:left="720" w:hanging="720"/>
        <w:rPr>
          <w:rFonts w:asciiTheme="minorHAnsi" w:hAnsiTheme="minorHAnsi"/>
        </w:rPr>
      </w:pPr>
      <w:bookmarkStart w:id="53" w:name="_Toc485647984"/>
      <w:r w:rsidRPr="00FD2F0C">
        <w:rPr>
          <w:rFonts w:asciiTheme="minorHAnsi" w:hAnsiTheme="minorHAnsi"/>
        </w:rPr>
        <w:t>1.4.</w:t>
      </w:r>
      <w:r w:rsidR="008C2FAA" w:rsidRPr="00FD2F0C">
        <w:rPr>
          <w:rFonts w:asciiTheme="minorHAnsi" w:hAnsiTheme="minorHAnsi"/>
        </w:rPr>
        <w:t>5</w:t>
      </w:r>
      <w:r w:rsidRPr="00FD2F0C">
        <w:rPr>
          <w:rFonts w:asciiTheme="minorHAnsi" w:hAnsiTheme="minorHAnsi"/>
        </w:rPr>
        <w:tab/>
        <w:t>Tiered access to spectrum</w:t>
      </w:r>
      <w:bookmarkEnd w:id="53"/>
    </w:p>
    <w:p w14:paraId="7D883B8D" w14:textId="0EB1F2BD" w:rsidR="000252F0" w:rsidRPr="00FD2F0C" w:rsidRDefault="000252F0" w:rsidP="000252F0">
      <w:pPr>
        <w:spacing w:after="120"/>
        <w:rPr>
          <w:rFonts w:asciiTheme="minorHAnsi" w:hAnsiTheme="minorHAnsi"/>
          <w:szCs w:val="24"/>
          <w:lang w:val="en-GB"/>
        </w:rPr>
      </w:pPr>
      <w:r w:rsidRPr="00FD2F0C">
        <w:rPr>
          <w:rFonts w:asciiTheme="minorHAnsi" w:hAnsiTheme="minorHAnsi"/>
          <w:szCs w:val="24"/>
          <w:lang w:val="en-GB"/>
        </w:rPr>
        <w:t xml:space="preserve">Access to spectrum can be authorized under tiered access models, whereby different classes of users with different rights and obligations access the same sections of spectrum. These models generally designate a primary incumbent (usually the current license holder or government agency) who maintains unfettered access to that portion of spectrum, while also allowing additional secondary and tertiary levels of users, each of which is accorded a lower level of interference protection, and who must halt transmitting if a higher tier user accesses the spectrum. Several countries have begun to develop and implement these tiered access models for spectrum bands. In fact, the standard three-tier model of primary, secondary and </w:t>
      </w:r>
      <w:r w:rsidR="003B3320" w:rsidRPr="00FD2F0C">
        <w:rPr>
          <w:rFonts w:asciiTheme="minorHAnsi" w:hAnsiTheme="minorHAnsi"/>
          <w:szCs w:val="24"/>
          <w:lang w:val="en-GB"/>
        </w:rPr>
        <w:t>license</w:t>
      </w:r>
      <w:r w:rsidR="00055FD0" w:rsidRPr="00FD2F0C">
        <w:rPr>
          <w:rFonts w:asciiTheme="minorHAnsi" w:hAnsiTheme="minorHAnsi"/>
          <w:szCs w:val="24"/>
          <w:lang w:val="en-GB"/>
        </w:rPr>
        <w:t>-</w:t>
      </w:r>
      <w:r w:rsidRPr="00FD2F0C">
        <w:rPr>
          <w:rFonts w:asciiTheme="minorHAnsi" w:hAnsiTheme="minorHAnsi"/>
          <w:szCs w:val="24"/>
          <w:lang w:val="en-GB"/>
        </w:rPr>
        <w:t>exempt use of spectrum has been practiced in many countries for several years.</w:t>
      </w:r>
    </w:p>
    <w:p w14:paraId="6E6183C2" w14:textId="68316CBC" w:rsidR="000252F0" w:rsidRPr="00FD2F0C" w:rsidRDefault="000252F0">
      <w:pPr>
        <w:spacing w:after="120"/>
        <w:rPr>
          <w:rFonts w:asciiTheme="minorHAnsi" w:hAnsiTheme="minorHAnsi"/>
          <w:szCs w:val="24"/>
          <w:lang w:val="en-GB"/>
        </w:rPr>
      </w:pPr>
      <w:r w:rsidRPr="00FD2F0C">
        <w:rPr>
          <w:rFonts w:asciiTheme="minorHAnsi" w:hAnsiTheme="minorHAnsi"/>
          <w:szCs w:val="24"/>
          <w:lang w:val="en-GB"/>
        </w:rPr>
        <w:t>The United States has adopted initial rules  to permit the development of a three-tier access model for spectrum between 3550-3700 MHz, with the intent to allow one or more commercially provided “Spectrum Access Systems” (SAS) to manage access to the spectrum in almost real time.</w:t>
      </w:r>
      <w:r w:rsidRPr="00FD2F0C">
        <w:rPr>
          <w:rStyle w:val="FootnoteReference"/>
          <w:rFonts w:asciiTheme="minorHAnsi" w:hAnsiTheme="minorHAnsi"/>
          <w:szCs w:val="18"/>
          <w:lang w:val="en-GB"/>
        </w:rPr>
        <w:footnoteReference w:id="32"/>
      </w:r>
      <w:r w:rsidRPr="00FD2F0C">
        <w:rPr>
          <w:rFonts w:asciiTheme="minorHAnsi" w:hAnsiTheme="minorHAnsi"/>
          <w:szCs w:val="24"/>
          <w:lang w:val="en-GB"/>
        </w:rPr>
        <w:t>. Implementation of the rules is in its early stages, with protocols still under development.</w:t>
      </w:r>
    </w:p>
    <w:p w14:paraId="2E08AD47" w14:textId="77777777" w:rsidR="000252F0" w:rsidRPr="00FD2F0C" w:rsidRDefault="000252F0" w:rsidP="000252F0">
      <w:pPr>
        <w:spacing w:after="120"/>
        <w:rPr>
          <w:rFonts w:asciiTheme="minorHAnsi" w:hAnsiTheme="minorHAnsi"/>
          <w:szCs w:val="24"/>
          <w:lang w:val="en-GB"/>
        </w:rPr>
      </w:pPr>
      <w:r w:rsidRPr="00FD2F0C">
        <w:rPr>
          <w:rFonts w:asciiTheme="minorHAnsi" w:hAnsiTheme="minorHAnsi"/>
          <w:szCs w:val="24"/>
          <w:lang w:val="en-GB"/>
        </w:rPr>
        <w:lastRenderedPageBreak/>
        <w:t>The uppermost tier consists of “Incumbent Access” users that include authorized federal (government) and grandfathered fixed-satellite service users currently operating in the 3.5 GHz band. These users will be protected from harmful interference caused by all other users of the band.</w:t>
      </w:r>
      <w:r w:rsidRPr="00FD2F0C">
        <w:rPr>
          <w:rStyle w:val="FootnoteReference"/>
          <w:rFonts w:asciiTheme="minorHAnsi" w:hAnsiTheme="minorHAnsi"/>
          <w:szCs w:val="24"/>
          <w:lang w:val="en-GB"/>
        </w:rPr>
        <w:footnoteReference w:id="33"/>
      </w:r>
    </w:p>
    <w:p w14:paraId="1DEC43C1" w14:textId="77777777" w:rsidR="000252F0" w:rsidRPr="00FD2F0C" w:rsidRDefault="000252F0" w:rsidP="000252F0">
      <w:pPr>
        <w:rPr>
          <w:rFonts w:asciiTheme="minorHAnsi" w:hAnsiTheme="minorHAnsi"/>
          <w:lang w:val="en-GB"/>
        </w:rPr>
      </w:pPr>
      <w:r w:rsidRPr="00FD2F0C">
        <w:rPr>
          <w:rFonts w:asciiTheme="minorHAnsi" w:hAnsiTheme="minorHAnsi"/>
          <w:lang w:val="en-GB"/>
        </w:rPr>
        <w:t>The second tier consists of licensed users in a “Priority Access” tier. Priority Access Licenses (PALs) will be assigned using competitive bidding within the 3550-3650 MHz portion of the band. Each PAL is defined as a non-renewable authorization to use a 10 MHz channel in a single census tract for three-years. Up to seven total PALs may be assigned in any given census tract with up to four PALs licensed by any single applicant. Applicants may acquire up to two-consecutive PAL terms in any given license area during the first auction.</w:t>
      </w:r>
    </w:p>
    <w:p w14:paraId="180BCFA1" w14:textId="6039448E" w:rsidR="000252F0" w:rsidRPr="00FD2F0C" w:rsidRDefault="000252F0">
      <w:pPr>
        <w:rPr>
          <w:rFonts w:asciiTheme="minorHAnsi" w:hAnsiTheme="minorHAnsi"/>
          <w:lang w:val="en-GB"/>
        </w:rPr>
      </w:pPr>
      <w:r w:rsidRPr="00FD2F0C">
        <w:rPr>
          <w:rFonts w:asciiTheme="minorHAnsi" w:hAnsiTheme="minorHAnsi"/>
          <w:lang w:val="en-GB"/>
        </w:rPr>
        <w:t xml:space="preserve">The third tier or General Authorized Access tier will be licensed-by-rule to permit open, flexible access to the band for the widest possible group of potential users. General Authorized Access users will be permitted to use any portion of the 3550-3700 MHz band not assigned to a higher tier user and may also operate opportunistically on unused Priority Access channels. </w:t>
      </w:r>
      <w:r w:rsidRPr="00FD2F0C" w:rsidDel="00F04104">
        <w:rPr>
          <w:rFonts w:asciiTheme="minorHAnsi" w:hAnsiTheme="minorHAnsi"/>
          <w:lang w:val="en-GB"/>
        </w:rPr>
        <w:t>Users within each tier cannot cause interference to users in the above tier(s) and cannot claim protection from users in the higher tiers.</w:t>
      </w:r>
    </w:p>
    <w:p w14:paraId="19BC1CF1" w14:textId="3126A44A" w:rsidR="007366D4" w:rsidRPr="00FD2F0C" w:rsidRDefault="007366D4" w:rsidP="008C2FAA">
      <w:pPr>
        <w:pStyle w:val="Heading3"/>
        <w:numPr>
          <w:ilvl w:val="0"/>
          <w:numId w:val="0"/>
        </w:numPr>
        <w:ind w:left="720" w:hanging="720"/>
        <w:rPr>
          <w:rFonts w:asciiTheme="minorHAnsi" w:hAnsiTheme="minorHAnsi"/>
        </w:rPr>
      </w:pPr>
      <w:bookmarkStart w:id="54" w:name="_Toc485647985"/>
      <w:r w:rsidRPr="00FD2F0C">
        <w:rPr>
          <w:rFonts w:asciiTheme="minorHAnsi" w:hAnsiTheme="minorHAnsi"/>
        </w:rPr>
        <w:t>1.</w:t>
      </w:r>
      <w:r w:rsidR="00D703E3" w:rsidRPr="00FD2F0C">
        <w:rPr>
          <w:rFonts w:asciiTheme="minorHAnsi" w:hAnsiTheme="minorHAnsi"/>
        </w:rPr>
        <w:t>4</w:t>
      </w:r>
      <w:r w:rsidR="008D3F0D" w:rsidRPr="00FD2F0C">
        <w:rPr>
          <w:rFonts w:asciiTheme="minorHAnsi" w:hAnsiTheme="minorHAnsi"/>
        </w:rPr>
        <w:t>.</w:t>
      </w:r>
      <w:r w:rsidR="008C2FAA" w:rsidRPr="00FD2F0C">
        <w:rPr>
          <w:rFonts w:asciiTheme="minorHAnsi" w:hAnsiTheme="minorHAnsi"/>
        </w:rPr>
        <w:t>6</w:t>
      </w:r>
      <w:r w:rsidRPr="00FD2F0C">
        <w:rPr>
          <w:rFonts w:asciiTheme="minorHAnsi" w:hAnsiTheme="minorHAnsi"/>
        </w:rPr>
        <w:tab/>
        <w:t>TV White Space</w:t>
      </w:r>
      <w:r w:rsidR="008D3F0D" w:rsidRPr="00FD2F0C">
        <w:rPr>
          <w:rFonts w:asciiTheme="minorHAnsi" w:hAnsiTheme="minorHAnsi"/>
        </w:rPr>
        <w:t>s</w:t>
      </w:r>
      <w:bookmarkEnd w:id="54"/>
      <w:r w:rsidR="008D3F0D" w:rsidRPr="00FD2F0C">
        <w:rPr>
          <w:rFonts w:asciiTheme="minorHAnsi" w:hAnsiTheme="minorHAnsi"/>
        </w:rPr>
        <w:t xml:space="preserve"> </w:t>
      </w:r>
      <w:bookmarkEnd w:id="51"/>
      <w:bookmarkEnd w:id="52"/>
    </w:p>
    <w:p w14:paraId="0951A23E" w14:textId="631A1641" w:rsidR="002228F8" w:rsidRPr="00FD2F0C" w:rsidRDefault="003E5E1E" w:rsidP="002228F8">
      <w:pPr>
        <w:rPr>
          <w:rFonts w:asciiTheme="minorHAnsi" w:hAnsiTheme="minorHAnsi"/>
          <w:lang w:val="en-GB"/>
        </w:rPr>
      </w:pPr>
      <w:r w:rsidRPr="00FD2F0C">
        <w:rPr>
          <w:rFonts w:asciiTheme="minorHAnsi" w:hAnsiTheme="minorHAnsi"/>
          <w:lang w:val="en-GB"/>
        </w:rPr>
        <w:t xml:space="preserve">Some </w:t>
      </w:r>
      <w:r w:rsidR="002228F8" w:rsidRPr="00FD2F0C">
        <w:rPr>
          <w:rFonts w:asciiTheme="minorHAnsi" w:hAnsiTheme="minorHAnsi"/>
          <w:lang w:val="en-GB"/>
        </w:rPr>
        <w:t xml:space="preserve">Administrations have implemented technical and service rules or have granted temporary authorizations for license-exempt devices to opportunistically access the so-called Television White Spaces (TVWS).  </w:t>
      </w:r>
    </w:p>
    <w:p w14:paraId="29B82671" w14:textId="4CEED43C" w:rsidR="002228F8" w:rsidRPr="00FD2F0C" w:rsidRDefault="002228F8" w:rsidP="002228F8">
      <w:pPr>
        <w:rPr>
          <w:rFonts w:asciiTheme="minorHAnsi" w:hAnsiTheme="minorHAnsi"/>
          <w:lang w:val="en-GB"/>
        </w:rPr>
      </w:pPr>
      <w:r w:rsidRPr="00FD2F0C">
        <w:rPr>
          <w:rFonts w:asciiTheme="minorHAnsi" w:hAnsiTheme="minorHAnsi"/>
          <w:lang w:val="en-GB"/>
        </w:rPr>
        <w:t>The TVWS is defined as “A portion of spectrum in a band allocated to the broadcasting service and used for television broadcasting that is identified by an administration as available for wireless communications at a given time in a given geographic area on a non-interfering and non-protected basis with regard to other services with a higher priority on a national basis</w:t>
      </w:r>
      <w:r w:rsidR="00A57A4E" w:rsidRPr="00FD2F0C">
        <w:rPr>
          <w:rFonts w:asciiTheme="minorHAnsi" w:hAnsiTheme="minorHAnsi"/>
          <w:lang w:val="en-GB"/>
        </w:rPr>
        <w:t>”</w:t>
      </w:r>
      <w:r w:rsidRPr="00FD2F0C">
        <w:rPr>
          <w:rFonts w:asciiTheme="minorHAnsi" w:hAnsiTheme="minorHAnsi"/>
          <w:lang w:val="en-GB"/>
        </w:rPr>
        <w:t>.</w:t>
      </w:r>
      <w:r w:rsidRPr="00FD2F0C">
        <w:rPr>
          <w:rStyle w:val="FootnoteReference"/>
          <w:rFonts w:asciiTheme="minorHAnsi" w:hAnsiTheme="minorHAnsi"/>
        </w:rPr>
        <w:footnoteReference w:id="34"/>
      </w:r>
      <w:r w:rsidRPr="00FD2F0C">
        <w:rPr>
          <w:rFonts w:asciiTheme="minorHAnsi" w:hAnsiTheme="minorHAnsi"/>
          <w:lang w:val="en-GB"/>
        </w:rPr>
        <w:t xml:space="preserve"> License-exempt access to the TVWS is subject to the Radio Regulations and applicable national regulations.</w:t>
      </w:r>
    </w:p>
    <w:p w14:paraId="18A77C25" w14:textId="7FE8B9CB" w:rsidR="002228F8" w:rsidRPr="00FD2F0C" w:rsidRDefault="002228F8" w:rsidP="00B175F8">
      <w:pPr>
        <w:rPr>
          <w:rFonts w:asciiTheme="minorHAnsi" w:hAnsiTheme="minorHAnsi" w:cs="Arial"/>
          <w:szCs w:val="24"/>
          <w:lang w:val="en-GB"/>
        </w:rPr>
      </w:pPr>
      <w:r w:rsidRPr="00FD2F0C">
        <w:rPr>
          <w:rFonts w:asciiTheme="minorHAnsi" w:hAnsiTheme="minorHAnsi"/>
          <w:lang w:val="en-GB"/>
        </w:rPr>
        <w:t xml:space="preserve">Spectrum in the UHF and VHF television bands experience lower path loss and have better penetration through more common building materials and foliage than do radio waves at high frequencies. Additionally, line-of-sight operation is not required in order to achieve quality reception. To date, there have been deployments of fixed point-to-point and point-to-multipoint access points and customer premise equipment in the TVWS that can serve areas that were previously difficult to reach with traditional terrestrial infrastructure and accelerate the process of bringing high speed Internet the “last mile” to rural and remote populations. </w:t>
      </w:r>
      <w:r w:rsidR="00B175F8" w:rsidRPr="00FD2F0C">
        <w:rPr>
          <w:rFonts w:asciiTheme="minorHAnsi" w:hAnsiTheme="minorHAnsi"/>
          <w:b/>
          <w:bCs/>
          <w:lang w:val="en-GB"/>
        </w:rPr>
        <w:t>Annex 2</w:t>
      </w:r>
      <w:r w:rsidR="00B175F8" w:rsidRPr="00FD2F0C">
        <w:rPr>
          <w:rFonts w:asciiTheme="minorHAnsi" w:hAnsiTheme="minorHAnsi"/>
          <w:lang w:val="en-GB"/>
        </w:rPr>
        <w:t xml:space="preserve"> </w:t>
      </w:r>
      <w:r w:rsidRPr="00FD2F0C">
        <w:rPr>
          <w:rFonts w:asciiTheme="minorHAnsi" w:hAnsiTheme="minorHAnsi"/>
          <w:lang w:val="en-GB"/>
        </w:rPr>
        <w:t>summarizes the contributions from several Administrations where there have been pilot projects, technical trials, and commercial use of the TVWS.</w:t>
      </w:r>
    </w:p>
    <w:p w14:paraId="03D38570" w14:textId="02E7263D" w:rsidR="002228F8" w:rsidRPr="00FD2F0C" w:rsidRDefault="002228F8" w:rsidP="00CA6AF4">
      <w:pPr>
        <w:rPr>
          <w:rFonts w:asciiTheme="minorHAnsi" w:hAnsiTheme="minorHAnsi"/>
          <w:lang w:val="en-GB"/>
        </w:rPr>
      </w:pPr>
      <w:bookmarkStart w:id="55" w:name="_Toc474920766"/>
      <w:bookmarkStart w:id="56" w:name="_Toc474934643"/>
      <w:bookmarkEnd w:id="55"/>
      <w:bookmarkEnd w:id="56"/>
      <w:r w:rsidRPr="00FD2F0C">
        <w:rPr>
          <w:rFonts w:asciiTheme="minorHAnsi" w:hAnsiTheme="minorHAnsi"/>
          <w:lang w:val="en-GB"/>
        </w:rPr>
        <w:t>To date, Canada, Singapore, the United Kingdom and the United States of America</w:t>
      </w:r>
      <w:r w:rsidRPr="00FD2F0C">
        <w:rPr>
          <w:rStyle w:val="FootnoteReference"/>
          <w:rFonts w:asciiTheme="minorHAnsi" w:hAnsiTheme="minorHAnsi" w:cs="Arial"/>
          <w:lang w:val="en-GB"/>
        </w:rPr>
        <w:footnoteReference w:id="35"/>
      </w:r>
      <w:r w:rsidRPr="00FD2F0C">
        <w:rPr>
          <w:rFonts w:asciiTheme="minorHAnsi" w:hAnsiTheme="minorHAnsi"/>
          <w:lang w:val="en-GB"/>
        </w:rPr>
        <w:t xml:space="preserve"> have adopted technical and service rules allowing for TVWS access to the VHF and/or UHF-band television </w:t>
      </w:r>
      <w:r w:rsidRPr="00FD2F0C">
        <w:rPr>
          <w:rFonts w:asciiTheme="minorHAnsi" w:hAnsiTheme="minorHAnsi"/>
          <w:lang w:val="en-GB"/>
        </w:rPr>
        <w:lastRenderedPageBreak/>
        <w:t>broadcast spectrum. Each of these countries have authorized the use of geolocation databases to enable access to unused/unoccupied channels while protecting incumbent users in the broadcast television bands.</w:t>
      </w:r>
      <w:r w:rsidR="002F1383" w:rsidRPr="00FD2F0C">
        <w:rPr>
          <w:rFonts w:asciiTheme="minorHAnsi" w:hAnsiTheme="minorHAnsi"/>
          <w:lang w:val="en-GB"/>
        </w:rPr>
        <w:t xml:space="preserve"> </w:t>
      </w:r>
      <w:r w:rsidRPr="00FD2F0C">
        <w:rPr>
          <w:rFonts w:asciiTheme="minorHAnsi" w:hAnsiTheme="minorHAnsi"/>
          <w:lang w:val="en-GB"/>
        </w:rPr>
        <w:t>As sensing technologies for TVWS application are not sufficiently mature,</w:t>
      </w:r>
      <w:r w:rsidR="002F1383" w:rsidRPr="00FD2F0C">
        <w:rPr>
          <w:rFonts w:asciiTheme="minorHAnsi" w:hAnsiTheme="minorHAnsi"/>
          <w:lang w:val="en-GB"/>
        </w:rPr>
        <w:t xml:space="preserve"> and have not yet been certified,</w:t>
      </w:r>
      <w:r w:rsidRPr="00FD2F0C">
        <w:rPr>
          <w:rFonts w:asciiTheme="minorHAnsi" w:hAnsiTheme="minorHAnsi"/>
          <w:lang w:val="en-GB"/>
        </w:rPr>
        <w:t xml:space="preserve"> geolocation databases have emerged as the means to protect incumbent services. For more detailed technical information on the implementation of TVWS</w:t>
      </w:r>
      <w:r w:rsidR="0094195F" w:rsidRPr="00FD2F0C">
        <w:rPr>
          <w:rFonts w:asciiTheme="minorHAnsi" w:hAnsiTheme="minorHAnsi"/>
          <w:lang w:val="en-GB"/>
        </w:rPr>
        <w:t>,</w:t>
      </w:r>
      <w:r w:rsidRPr="00FD2F0C">
        <w:rPr>
          <w:rFonts w:asciiTheme="minorHAnsi" w:hAnsiTheme="minorHAnsi"/>
          <w:lang w:val="en-GB"/>
        </w:rPr>
        <w:t xml:space="preserve"> see </w:t>
      </w:r>
      <w:r w:rsidR="0094195F" w:rsidRPr="00FD2F0C">
        <w:rPr>
          <w:rFonts w:asciiTheme="minorHAnsi" w:hAnsiTheme="minorHAnsi"/>
          <w:b/>
          <w:bCs/>
          <w:lang w:val="en-GB"/>
        </w:rPr>
        <w:t>Annex 2</w:t>
      </w:r>
      <w:r w:rsidR="00CA6AF4" w:rsidRPr="00FD2F0C">
        <w:rPr>
          <w:rFonts w:asciiTheme="minorHAnsi" w:hAnsiTheme="minorHAnsi"/>
          <w:lang w:val="en-GB"/>
        </w:rPr>
        <w:t xml:space="preserve">, which </w:t>
      </w:r>
      <w:r w:rsidRPr="00FD2F0C">
        <w:rPr>
          <w:rFonts w:asciiTheme="minorHAnsi" w:hAnsiTheme="minorHAnsi"/>
          <w:lang w:val="en-GB"/>
        </w:rPr>
        <w:t>provides a summary of different country experie</w:t>
      </w:r>
      <w:r w:rsidR="00CA6AF4" w:rsidRPr="00FD2F0C">
        <w:rPr>
          <w:rFonts w:asciiTheme="minorHAnsi" w:hAnsiTheme="minorHAnsi"/>
          <w:lang w:val="en-GB"/>
        </w:rPr>
        <w:t>nces with TVWS implementation.</w:t>
      </w:r>
    </w:p>
    <w:p w14:paraId="64B2C3A5" w14:textId="77777777" w:rsidR="002228F8" w:rsidRPr="00FD2F0C" w:rsidRDefault="002228F8" w:rsidP="002228F8">
      <w:pPr>
        <w:rPr>
          <w:rFonts w:asciiTheme="minorHAnsi" w:hAnsiTheme="minorHAnsi"/>
          <w:lang w:val="en-GB"/>
        </w:rPr>
      </w:pPr>
      <w:r w:rsidRPr="00FD2F0C">
        <w:rPr>
          <w:rFonts w:asciiTheme="minorHAnsi" w:hAnsiTheme="minorHAnsi"/>
          <w:lang w:val="en-GB"/>
        </w:rPr>
        <w:t>Based upon the experiences of these countries, a few key regulatory components can be identified.</w:t>
      </w:r>
    </w:p>
    <w:p w14:paraId="3908865B" w14:textId="32797909" w:rsidR="002228F8" w:rsidRPr="00FD2F0C" w:rsidRDefault="00D703E3" w:rsidP="008C2FAA">
      <w:pPr>
        <w:pStyle w:val="Heading4"/>
        <w:numPr>
          <w:ilvl w:val="0"/>
          <w:numId w:val="0"/>
        </w:numPr>
        <w:ind w:left="864" w:hanging="864"/>
        <w:rPr>
          <w:rFonts w:asciiTheme="minorHAnsi" w:hAnsiTheme="minorHAnsi"/>
        </w:rPr>
      </w:pPr>
      <w:bookmarkStart w:id="57" w:name="_Toc467836389"/>
      <w:bookmarkStart w:id="58" w:name="_Toc482880462"/>
      <w:r w:rsidRPr="00FD2F0C">
        <w:rPr>
          <w:rFonts w:asciiTheme="minorHAnsi" w:eastAsia="SimSun" w:hAnsiTheme="minorHAnsi"/>
        </w:rPr>
        <w:t>1.4</w:t>
      </w:r>
      <w:r w:rsidR="003E5E1E" w:rsidRPr="00FD2F0C">
        <w:rPr>
          <w:rFonts w:asciiTheme="minorHAnsi" w:eastAsia="SimSun" w:hAnsiTheme="minorHAnsi"/>
        </w:rPr>
        <w:t>.</w:t>
      </w:r>
      <w:r w:rsidR="008C2FAA" w:rsidRPr="00FD2F0C">
        <w:rPr>
          <w:rFonts w:asciiTheme="minorHAnsi" w:eastAsia="SimSun" w:hAnsiTheme="minorHAnsi"/>
        </w:rPr>
        <w:t>6</w:t>
      </w:r>
      <w:r w:rsidR="003E5E1E" w:rsidRPr="00FD2F0C">
        <w:rPr>
          <w:rFonts w:asciiTheme="minorHAnsi" w:eastAsia="SimSun" w:hAnsiTheme="minorHAnsi"/>
        </w:rPr>
        <w:t xml:space="preserve">.1 </w:t>
      </w:r>
      <w:r w:rsidR="002228F8" w:rsidRPr="00FD2F0C">
        <w:rPr>
          <w:rFonts w:asciiTheme="minorHAnsi" w:eastAsia="SimSun" w:hAnsiTheme="minorHAnsi"/>
        </w:rPr>
        <w:t xml:space="preserve">Interference protection </w:t>
      </w:r>
      <w:r w:rsidR="002228F8" w:rsidRPr="00FD2F0C">
        <w:rPr>
          <w:rFonts w:asciiTheme="minorHAnsi" w:hAnsiTheme="minorHAnsi"/>
        </w:rPr>
        <w:t>experiences</w:t>
      </w:r>
      <w:bookmarkEnd w:id="57"/>
      <w:bookmarkEnd w:id="58"/>
      <w:r w:rsidR="002228F8" w:rsidRPr="00FD2F0C">
        <w:rPr>
          <w:rFonts w:asciiTheme="minorHAnsi" w:hAnsiTheme="minorHAnsi"/>
        </w:rPr>
        <w:t xml:space="preserve"> </w:t>
      </w:r>
    </w:p>
    <w:p w14:paraId="17171CBD" w14:textId="0BADB4BC" w:rsidR="002228F8" w:rsidRPr="00FD2F0C" w:rsidRDefault="002228F8" w:rsidP="002228F8">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sz w:val="24"/>
          <w:szCs w:val="24"/>
          <w:lang w:val="en-GB"/>
        </w:rPr>
        <w:t xml:space="preserve">National regulations are necessary to provide for the protection of incumbent services. These commonly make use of recognised standards to describe the level of protection afforded to a given radio service and/or technology. </w:t>
      </w:r>
    </w:p>
    <w:p w14:paraId="6CB643AB" w14:textId="77777777" w:rsidR="002228F8" w:rsidRPr="00FD2F0C" w:rsidRDefault="002228F8" w:rsidP="002228F8">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sz w:val="24"/>
          <w:szCs w:val="24"/>
          <w:lang w:val="en-GB"/>
        </w:rPr>
        <w:t>Having established the protection requirements, it is then necessary to calculate the potential severity and probability of interference to incumbent services. To do this, the location of the incumbent service receivers and the TVWS transmitters is required, along with an agreed set of parameters and an appropriate propagation model for determining the level of interference.</w:t>
      </w:r>
    </w:p>
    <w:p w14:paraId="274EDC20" w14:textId="77777777" w:rsidR="002228F8" w:rsidRPr="00FD2F0C" w:rsidRDefault="002228F8" w:rsidP="002228F8">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sz w:val="24"/>
          <w:szCs w:val="24"/>
          <w:lang w:val="en-GB"/>
        </w:rPr>
        <w:t>Protection requirements may evolve with time, considering that the capabilities of incumbent service and user requirements are also evolving. This may have an impact on the necessary parameters to allow access for opportunistic services.</w:t>
      </w:r>
    </w:p>
    <w:p w14:paraId="175F8BC6" w14:textId="77777777" w:rsidR="002228F8" w:rsidRPr="00FD2F0C" w:rsidRDefault="002228F8" w:rsidP="002228F8">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sz w:val="24"/>
          <w:szCs w:val="24"/>
          <w:lang w:val="en-GB"/>
        </w:rPr>
        <w:t>Existing TVWS regulations incorporate various propagation models which are used to calculate channel availability at a given location. These propagation models include signal contours, free space, FCC TM 91</w:t>
      </w:r>
      <w:r w:rsidRPr="00FD2F0C">
        <w:rPr>
          <w:rFonts w:asciiTheme="minorHAnsi" w:hAnsiTheme="minorHAnsi" w:cs="Arial"/>
          <w:sz w:val="24"/>
          <w:szCs w:val="24"/>
          <w:lang w:val="en-GB"/>
        </w:rPr>
        <w:noBreakHyphen/>
        <w:t>1, Longly-Rice, Okamura-Hata, and the Ofcom-developed model. These models have different characteristics and use different technical means which may affect the manner in which protection criteria are calculated and specified.  Setting interference protection requirements may also involve defining protected service areas and receiver protection requirements.</w:t>
      </w:r>
    </w:p>
    <w:p w14:paraId="792DDA97" w14:textId="07EB1380" w:rsidR="004A3F66" w:rsidRPr="00FD2F0C" w:rsidRDefault="004A3F66" w:rsidP="00983953">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b/>
          <w:bCs/>
          <w:sz w:val="24"/>
          <w:szCs w:val="24"/>
          <w:lang w:val="en-GB"/>
        </w:rPr>
        <w:t xml:space="preserve">Annex </w:t>
      </w:r>
      <w:r w:rsidR="00983953" w:rsidRPr="00FD2F0C">
        <w:rPr>
          <w:rFonts w:asciiTheme="minorHAnsi" w:hAnsiTheme="minorHAnsi" w:cs="Arial"/>
          <w:b/>
          <w:bCs/>
          <w:sz w:val="24"/>
          <w:szCs w:val="24"/>
          <w:lang w:val="en-GB"/>
        </w:rPr>
        <w:t>2</w:t>
      </w:r>
      <w:r w:rsidRPr="00FD2F0C">
        <w:rPr>
          <w:rFonts w:asciiTheme="minorHAnsi" w:hAnsiTheme="minorHAnsi" w:cs="Arial"/>
          <w:sz w:val="24"/>
          <w:szCs w:val="24"/>
          <w:lang w:val="en-GB"/>
        </w:rPr>
        <w:t xml:space="preserve">, </w:t>
      </w:r>
      <w:r w:rsidR="00983953" w:rsidRPr="00FD2F0C">
        <w:rPr>
          <w:rFonts w:asciiTheme="minorHAnsi" w:hAnsiTheme="minorHAnsi" w:cs="Arial"/>
          <w:sz w:val="24"/>
          <w:szCs w:val="24"/>
          <w:lang w:val="en-GB"/>
        </w:rPr>
        <w:t>S</w:t>
      </w:r>
      <w:r w:rsidRPr="00FD2F0C">
        <w:rPr>
          <w:rFonts w:asciiTheme="minorHAnsi" w:hAnsiTheme="minorHAnsi" w:cs="Arial"/>
          <w:sz w:val="24"/>
          <w:szCs w:val="24"/>
          <w:lang w:val="en-GB"/>
        </w:rPr>
        <w:t>ection A</w:t>
      </w:r>
      <w:r w:rsidR="00983953" w:rsidRPr="00FD2F0C">
        <w:rPr>
          <w:rFonts w:asciiTheme="minorHAnsi" w:hAnsiTheme="minorHAnsi" w:cs="Arial"/>
          <w:sz w:val="24"/>
          <w:szCs w:val="24"/>
          <w:lang w:val="en-GB"/>
        </w:rPr>
        <w:t>2</w:t>
      </w:r>
      <w:r w:rsidRPr="00FD2F0C">
        <w:rPr>
          <w:rFonts w:asciiTheme="minorHAnsi" w:hAnsiTheme="minorHAnsi" w:cs="Arial"/>
          <w:sz w:val="24"/>
          <w:szCs w:val="24"/>
          <w:lang w:val="en-GB"/>
        </w:rPr>
        <w:t>-2, includes information on national experiences relating to interference protection.</w:t>
      </w:r>
    </w:p>
    <w:p w14:paraId="3F612D03" w14:textId="7925130D" w:rsidR="002228F8" w:rsidRPr="00FD2F0C" w:rsidRDefault="00D703E3" w:rsidP="008C2FAA">
      <w:pPr>
        <w:pStyle w:val="Heading4"/>
        <w:numPr>
          <w:ilvl w:val="0"/>
          <w:numId w:val="0"/>
        </w:numPr>
        <w:ind w:left="864" w:hanging="864"/>
        <w:rPr>
          <w:rFonts w:asciiTheme="minorHAnsi" w:eastAsia="SimSun" w:hAnsiTheme="minorHAnsi"/>
        </w:rPr>
      </w:pPr>
      <w:bookmarkStart w:id="59" w:name="_Toc467836390"/>
      <w:bookmarkStart w:id="60" w:name="_Toc482880463"/>
      <w:r w:rsidRPr="00FD2F0C">
        <w:rPr>
          <w:rFonts w:asciiTheme="minorHAnsi" w:eastAsia="SimSun" w:hAnsiTheme="minorHAnsi"/>
        </w:rPr>
        <w:t>1.4</w:t>
      </w:r>
      <w:r w:rsidR="003E5E1E" w:rsidRPr="00FD2F0C">
        <w:rPr>
          <w:rFonts w:asciiTheme="minorHAnsi" w:eastAsia="SimSun" w:hAnsiTheme="minorHAnsi"/>
        </w:rPr>
        <w:t>.</w:t>
      </w:r>
      <w:r w:rsidR="008C2FAA" w:rsidRPr="00FD2F0C">
        <w:rPr>
          <w:rFonts w:asciiTheme="minorHAnsi" w:eastAsia="SimSun" w:hAnsiTheme="minorHAnsi"/>
        </w:rPr>
        <w:t>6</w:t>
      </w:r>
      <w:r w:rsidR="003E5E1E" w:rsidRPr="00FD2F0C">
        <w:rPr>
          <w:rFonts w:asciiTheme="minorHAnsi" w:eastAsia="SimSun" w:hAnsiTheme="minorHAnsi"/>
        </w:rPr>
        <w:t xml:space="preserve">.2 </w:t>
      </w:r>
      <w:r w:rsidR="002228F8" w:rsidRPr="00FD2F0C">
        <w:rPr>
          <w:rFonts w:asciiTheme="minorHAnsi" w:eastAsia="SimSun" w:hAnsiTheme="minorHAnsi"/>
        </w:rPr>
        <w:t>Interference avoidance methods</w:t>
      </w:r>
      <w:bookmarkEnd w:id="59"/>
      <w:bookmarkEnd w:id="60"/>
    </w:p>
    <w:p w14:paraId="619CDB82" w14:textId="09DA2410" w:rsidR="003E5E1E" w:rsidRPr="00FD2F0C" w:rsidRDefault="003E5E1E" w:rsidP="006E4CFB">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sz w:val="24"/>
          <w:szCs w:val="24"/>
          <w:lang w:val="en-GB"/>
        </w:rPr>
        <w:t xml:space="preserve">Once the frequency of operation and the protection requirements have been established, a system must be devised to allow </w:t>
      </w:r>
      <w:r w:rsidR="00FE51BF" w:rsidRPr="00FD2F0C">
        <w:rPr>
          <w:rFonts w:asciiTheme="minorHAnsi" w:hAnsiTheme="minorHAnsi" w:cs="Arial"/>
          <w:sz w:val="24"/>
          <w:szCs w:val="24"/>
          <w:lang w:val="en-GB"/>
        </w:rPr>
        <w:t>White Space Devices (</w:t>
      </w:r>
      <w:r w:rsidRPr="00FD2F0C">
        <w:rPr>
          <w:rFonts w:asciiTheme="minorHAnsi" w:hAnsiTheme="minorHAnsi" w:cs="Arial"/>
          <w:sz w:val="24"/>
          <w:szCs w:val="24"/>
          <w:lang w:val="en-GB"/>
        </w:rPr>
        <w:t>WSDs</w:t>
      </w:r>
      <w:r w:rsidR="00FE51BF" w:rsidRPr="00FD2F0C">
        <w:rPr>
          <w:rFonts w:asciiTheme="minorHAnsi" w:hAnsiTheme="minorHAnsi" w:cs="Arial"/>
          <w:sz w:val="24"/>
          <w:szCs w:val="24"/>
          <w:lang w:val="en-GB"/>
        </w:rPr>
        <w:t>)</w:t>
      </w:r>
      <w:r w:rsidRPr="00FD2F0C">
        <w:rPr>
          <w:rFonts w:asciiTheme="minorHAnsi" w:hAnsiTheme="minorHAnsi" w:cs="Arial"/>
          <w:sz w:val="24"/>
          <w:szCs w:val="24"/>
          <w:lang w:val="en-GB"/>
        </w:rPr>
        <w:t xml:space="preserve"> to meet these requirements. As discussed above, </w:t>
      </w:r>
      <w:r w:rsidR="006E4CFB" w:rsidRPr="00FD2F0C">
        <w:rPr>
          <w:rFonts w:asciiTheme="minorHAnsi" w:hAnsiTheme="minorHAnsi" w:cs="Arial"/>
          <w:sz w:val="24"/>
          <w:szCs w:val="24"/>
          <w:lang w:val="en-GB"/>
        </w:rPr>
        <w:t xml:space="preserve">authorizations have been given in some countries for implementing geolocation databases as a means to avoid interference. </w:t>
      </w:r>
    </w:p>
    <w:p w14:paraId="599DF047" w14:textId="0F9AC6BF" w:rsidR="003E5E1E" w:rsidRPr="00FD2F0C" w:rsidRDefault="003E5E1E" w:rsidP="006E4CFB">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sz w:val="24"/>
          <w:szCs w:val="24"/>
          <w:lang w:val="en-GB"/>
        </w:rPr>
        <w:t xml:space="preserve">These databases </w:t>
      </w:r>
      <w:r w:rsidR="006E4CFB" w:rsidRPr="00FD2F0C">
        <w:rPr>
          <w:rFonts w:asciiTheme="minorHAnsi" w:hAnsiTheme="minorHAnsi" w:cs="Arial"/>
          <w:sz w:val="24"/>
          <w:szCs w:val="24"/>
          <w:lang w:val="en-GB"/>
        </w:rPr>
        <w:t xml:space="preserve">may </w:t>
      </w:r>
      <w:r w:rsidRPr="00FD2F0C">
        <w:rPr>
          <w:rFonts w:asciiTheme="minorHAnsi" w:hAnsiTheme="minorHAnsi" w:cs="Arial"/>
          <w:sz w:val="24"/>
          <w:szCs w:val="24"/>
          <w:lang w:val="en-GB"/>
        </w:rPr>
        <w:t>be managed by either the regulator or by private sector companies. In the latter case, the regulator is responsible for providing certain accurate data about incumbent services</w:t>
      </w:r>
      <w:r w:rsidR="000331D6" w:rsidRPr="00FD2F0C">
        <w:rPr>
          <w:rFonts w:asciiTheme="minorHAnsi" w:hAnsiTheme="minorHAnsi" w:cs="Arial"/>
          <w:sz w:val="24"/>
          <w:szCs w:val="24"/>
          <w:lang w:val="en-GB"/>
        </w:rPr>
        <w:t xml:space="preserve">, and those necessary to ensure the protection of radio systems </w:t>
      </w:r>
      <w:r w:rsidRPr="00FD2F0C">
        <w:rPr>
          <w:rFonts w:asciiTheme="minorHAnsi" w:hAnsiTheme="minorHAnsi" w:cs="Arial"/>
          <w:sz w:val="24"/>
          <w:szCs w:val="24"/>
          <w:lang w:val="en-GB"/>
        </w:rPr>
        <w:t xml:space="preserve">in neighbouring countries if applicable, and defining what criteria are sufficient for certification of a database. These criteria must ensure that </w:t>
      </w:r>
      <w:r w:rsidR="00D92DDC" w:rsidRPr="00FD2F0C">
        <w:rPr>
          <w:rFonts w:asciiTheme="minorHAnsi" w:hAnsiTheme="minorHAnsi" w:cs="Arial"/>
          <w:sz w:val="24"/>
          <w:szCs w:val="24"/>
          <w:lang w:val="en-GB"/>
        </w:rPr>
        <w:t>White Space Devices Databases (</w:t>
      </w:r>
      <w:r w:rsidRPr="00FD2F0C">
        <w:rPr>
          <w:rFonts w:asciiTheme="minorHAnsi" w:hAnsiTheme="minorHAnsi" w:cs="Arial"/>
          <w:sz w:val="24"/>
          <w:szCs w:val="24"/>
          <w:lang w:val="en-GB"/>
        </w:rPr>
        <w:t>WSDBs</w:t>
      </w:r>
      <w:r w:rsidR="00D92DDC" w:rsidRPr="00FD2F0C">
        <w:rPr>
          <w:rFonts w:asciiTheme="minorHAnsi" w:hAnsiTheme="minorHAnsi" w:cs="Arial"/>
          <w:sz w:val="24"/>
          <w:szCs w:val="24"/>
          <w:lang w:val="en-GB"/>
        </w:rPr>
        <w:t>)</w:t>
      </w:r>
      <w:r w:rsidRPr="00FD2F0C">
        <w:rPr>
          <w:rFonts w:asciiTheme="minorHAnsi" w:hAnsiTheme="minorHAnsi" w:cs="Arial"/>
          <w:sz w:val="24"/>
          <w:szCs w:val="24"/>
          <w:lang w:val="en-GB"/>
        </w:rPr>
        <w:t xml:space="preserve"> contain and provide sufficient and reliable information so that WSDs connected to the database can avoid causing harmful interference.</w:t>
      </w:r>
    </w:p>
    <w:p w14:paraId="68DF1B89" w14:textId="47EB4027" w:rsidR="002228F8" w:rsidRPr="00FD2F0C" w:rsidRDefault="003E5E1E" w:rsidP="002228F8">
      <w:pPr>
        <w:rPr>
          <w:rFonts w:asciiTheme="minorHAnsi" w:hAnsiTheme="minorHAnsi"/>
          <w:lang w:val="en-GB"/>
        </w:rPr>
      </w:pPr>
      <w:r w:rsidRPr="00FD2F0C">
        <w:rPr>
          <w:rFonts w:asciiTheme="minorHAnsi" w:hAnsiTheme="minorHAnsi"/>
          <w:lang w:val="en-GB"/>
        </w:rPr>
        <w:t xml:space="preserve">National regulatory frameworks for TVWS, where they exist, are intended to ensure no harmful interference for the continued operation of protected incumbent services. Limiting access to spectrum for WSDs under the control of geo-location database(s) reduces the possibility of interference events caused by “unknown” devices. </w:t>
      </w:r>
      <w:r w:rsidR="002228F8" w:rsidRPr="00FD2F0C">
        <w:rPr>
          <w:rFonts w:asciiTheme="minorHAnsi" w:hAnsiTheme="minorHAnsi"/>
          <w:lang w:val="en-GB"/>
        </w:rPr>
        <w:t xml:space="preserve">This requires that regulations are in place to </w:t>
      </w:r>
      <w:r w:rsidR="002228F8" w:rsidRPr="00FD2F0C">
        <w:rPr>
          <w:rFonts w:asciiTheme="minorHAnsi" w:hAnsiTheme="minorHAnsi"/>
          <w:lang w:val="en-GB"/>
        </w:rPr>
        <w:lastRenderedPageBreak/>
        <w:t xml:space="preserve">ensure that the communications between the WSDB and the WSD are secure, and that only certified WSDBs and authorized WSDs can communications. </w:t>
      </w:r>
    </w:p>
    <w:p w14:paraId="6F256849" w14:textId="4FAF6648" w:rsidR="00AE04DE" w:rsidRPr="00FD2F0C" w:rsidRDefault="00AE04DE" w:rsidP="00794C16">
      <w:pPr>
        <w:pStyle w:val="CEOIndenti-ii-iii"/>
        <w:numPr>
          <w:ilvl w:val="0"/>
          <w:numId w:val="0"/>
        </w:numPr>
        <w:tabs>
          <w:tab w:val="left" w:pos="720"/>
        </w:tabs>
        <w:rPr>
          <w:rFonts w:asciiTheme="minorHAnsi" w:hAnsiTheme="minorHAnsi" w:cs="Arial"/>
          <w:sz w:val="24"/>
          <w:szCs w:val="24"/>
          <w:lang w:val="en-GB"/>
        </w:rPr>
      </w:pPr>
      <w:r w:rsidRPr="00FD2F0C">
        <w:rPr>
          <w:rFonts w:asciiTheme="minorHAnsi" w:hAnsiTheme="minorHAnsi" w:cs="Arial"/>
          <w:b/>
          <w:bCs/>
          <w:sz w:val="24"/>
          <w:szCs w:val="24"/>
          <w:lang w:val="en-GB"/>
        </w:rPr>
        <w:t xml:space="preserve">Annex </w:t>
      </w:r>
      <w:r w:rsidR="00794C16" w:rsidRPr="00FD2F0C">
        <w:rPr>
          <w:rFonts w:asciiTheme="minorHAnsi" w:hAnsiTheme="minorHAnsi" w:cs="Arial"/>
          <w:b/>
          <w:bCs/>
          <w:sz w:val="24"/>
          <w:szCs w:val="24"/>
          <w:lang w:val="en-GB"/>
        </w:rPr>
        <w:t>2</w:t>
      </w:r>
      <w:r w:rsidRPr="00FD2F0C">
        <w:rPr>
          <w:rFonts w:asciiTheme="minorHAnsi" w:hAnsiTheme="minorHAnsi" w:cs="Arial"/>
          <w:sz w:val="24"/>
          <w:szCs w:val="24"/>
          <w:lang w:val="en-GB"/>
        </w:rPr>
        <w:t xml:space="preserve">, </w:t>
      </w:r>
      <w:r w:rsidR="00794C16" w:rsidRPr="00FD2F0C">
        <w:rPr>
          <w:rFonts w:asciiTheme="minorHAnsi" w:hAnsiTheme="minorHAnsi" w:cs="Arial"/>
          <w:sz w:val="24"/>
          <w:szCs w:val="24"/>
          <w:lang w:val="en-GB"/>
        </w:rPr>
        <w:t>S</w:t>
      </w:r>
      <w:r w:rsidRPr="00FD2F0C">
        <w:rPr>
          <w:rFonts w:asciiTheme="minorHAnsi" w:hAnsiTheme="minorHAnsi" w:cs="Arial"/>
          <w:sz w:val="24"/>
          <w:szCs w:val="24"/>
          <w:lang w:val="en-GB"/>
        </w:rPr>
        <w:t>ection A</w:t>
      </w:r>
      <w:r w:rsidR="00794C16" w:rsidRPr="00FD2F0C">
        <w:rPr>
          <w:rFonts w:asciiTheme="minorHAnsi" w:hAnsiTheme="minorHAnsi" w:cs="Arial"/>
          <w:sz w:val="24"/>
          <w:szCs w:val="24"/>
          <w:lang w:val="en-GB"/>
        </w:rPr>
        <w:t>2</w:t>
      </w:r>
      <w:r w:rsidRPr="00FD2F0C">
        <w:rPr>
          <w:rFonts w:asciiTheme="minorHAnsi" w:hAnsiTheme="minorHAnsi" w:cs="Arial"/>
          <w:sz w:val="24"/>
          <w:szCs w:val="24"/>
          <w:lang w:val="en-GB"/>
        </w:rPr>
        <w:t>-2, includes information on national experiences relating to interference avoidance methods.</w:t>
      </w:r>
    </w:p>
    <w:p w14:paraId="68E3E96D" w14:textId="2F305295" w:rsidR="006C48C2" w:rsidRPr="00FD2F0C" w:rsidRDefault="00D703E3" w:rsidP="00B175F8">
      <w:pPr>
        <w:pStyle w:val="Heading3"/>
        <w:numPr>
          <w:ilvl w:val="0"/>
          <w:numId w:val="0"/>
        </w:numPr>
        <w:ind w:left="720" w:hanging="720"/>
        <w:rPr>
          <w:rFonts w:asciiTheme="minorHAnsi" w:hAnsiTheme="minorHAnsi"/>
        </w:rPr>
      </w:pPr>
      <w:bookmarkStart w:id="61" w:name="_Toc467836395"/>
      <w:bookmarkStart w:id="62" w:name="_Toc482880467"/>
      <w:bookmarkStart w:id="63" w:name="_Toc485647986"/>
      <w:r w:rsidRPr="00FD2F0C">
        <w:rPr>
          <w:rFonts w:asciiTheme="minorHAnsi" w:hAnsiTheme="minorHAnsi"/>
        </w:rPr>
        <w:t>1.4</w:t>
      </w:r>
      <w:r w:rsidR="00CA0D02" w:rsidRPr="00FD2F0C">
        <w:rPr>
          <w:rFonts w:asciiTheme="minorHAnsi" w:hAnsiTheme="minorHAnsi"/>
        </w:rPr>
        <w:t>.</w:t>
      </w:r>
      <w:r w:rsidR="008C2FAA" w:rsidRPr="00FD2F0C">
        <w:rPr>
          <w:rFonts w:asciiTheme="minorHAnsi" w:hAnsiTheme="minorHAnsi"/>
        </w:rPr>
        <w:t>7</w:t>
      </w:r>
      <w:r w:rsidR="00CA0D02" w:rsidRPr="00FD2F0C">
        <w:rPr>
          <w:rFonts w:asciiTheme="minorHAnsi" w:hAnsiTheme="minorHAnsi"/>
        </w:rPr>
        <w:t xml:space="preserve"> </w:t>
      </w:r>
      <w:r w:rsidR="006C48C2" w:rsidRPr="00FD2F0C">
        <w:rPr>
          <w:rFonts w:asciiTheme="minorHAnsi" w:hAnsiTheme="minorHAnsi"/>
        </w:rPr>
        <w:t>Case studies of broadband access in the TVWS</w:t>
      </w:r>
      <w:bookmarkEnd w:id="61"/>
      <w:bookmarkEnd w:id="62"/>
      <w:bookmarkEnd w:id="63"/>
    </w:p>
    <w:p w14:paraId="6BD87F70" w14:textId="3997C9D4" w:rsidR="00132F4A" w:rsidRPr="00FD2F0C" w:rsidRDefault="00132F4A" w:rsidP="00132F4A">
      <w:pPr>
        <w:rPr>
          <w:rFonts w:asciiTheme="minorHAnsi" w:hAnsiTheme="minorHAnsi"/>
          <w:lang w:val="en-GB"/>
        </w:rPr>
      </w:pPr>
      <w:bookmarkStart w:id="64" w:name="_Toc482880468"/>
      <w:r w:rsidRPr="00FD2F0C">
        <w:rPr>
          <w:rFonts w:asciiTheme="minorHAnsi" w:hAnsiTheme="minorHAnsi"/>
          <w:lang w:val="en-GB"/>
        </w:rPr>
        <w:t>Contributions have been received from several Administrations in the framework of the development of this report, which provides information on pilot projects, technical trials, and commercial use of the TVWS, as follows:</w:t>
      </w:r>
    </w:p>
    <w:p w14:paraId="6B9DD376" w14:textId="6814E9B8" w:rsidR="00132F4A" w:rsidRPr="00FD2F0C" w:rsidRDefault="00573C99" w:rsidP="00132F4A">
      <w:pPr>
        <w:pStyle w:val="ListParagraph"/>
        <w:numPr>
          <w:ilvl w:val="0"/>
          <w:numId w:val="41"/>
        </w:numPr>
        <w:spacing w:before="0"/>
        <w:jc w:val="left"/>
        <w:rPr>
          <w:rFonts w:asciiTheme="minorHAnsi" w:hAnsiTheme="minorHAnsi"/>
          <w:lang w:val="en-GB"/>
        </w:rPr>
      </w:pPr>
      <w:hyperlink r:id="rId32" w:history="1">
        <w:r w:rsidR="00132F4A" w:rsidRPr="00FD2F0C">
          <w:rPr>
            <w:rStyle w:val="Hyperlink"/>
            <w:rFonts w:asciiTheme="minorHAnsi" w:hAnsiTheme="minorHAnsi"/>
            <w:lang w:val="en-GB"/>
          </w:rPr>
          <w:t>Bhutan</w:t>
        </w:r>
      </w:hyperlink>
      <w:r w:rsidR="00132F4A" w:rsidRPr="00FD2F0C">
        <w:rPr>
          <w:rFonts w:asciiTheme="minorHAnsi" w:hAnsiTheme="minorHAnsi"/>
          <w:lang w:val="en-GB"/>
        </w:rPr>
        <w:t xml:space="preserve"> implemented a pilot project to design an eHealth service delivery platform piloting the TVWS technology. The project links rural health clinics with a central reference hospital, utilising TVWS technology for last mile connectivity.</w:t>
      </w:r>
    </w:p>
    <w:p w14:paraId="20C645BD" w14:textId="4BFFCB75" w:rsidR="00132F4A" w:rsidRPr="00FD2F0C" w:rsidRDefault="00573C99" w:rsidP="00132F4A">
      <w:pPr>
        <w:pStyle w:val="ListParagraph"/>
        <w:numPr>
          <w:ilvl w:val="0"/>
          <w:numId w:val="41"/>
        </w:numPr>
        <w:spacing w:before="0"/>
        <w:jc w:val="left"/>
        <w:rPr>
          <w:rFonts w:asciiTheme="minorHAnsi" w:hAnsiTheme="minorHAnsi"/>
          <w:lang w:val="en-GB"/>
        </w:rPr>
      </w:pPr>
      <w:hyperlink r:id="rId33" w:history="1">
        <w:r w:rsidR="00132F4A" w:rsidRPr="00FD2F0C">
          <w:rPr>
            <w:rStyle w:val="Hyperlink"/>
            <w:rFonts w:asciiTheme="minorHAnsi" w:hAnsiTheme="minorHAnsi"/>
            <w:lang w:val="en-GB"/>
          </w:rPr>
          <w:t>Botswana</w:t>
        </w:r>
      </w:hyperlink>
      <w:r w:rsidR="00132F4A" w:rsidRPr="00FD2F0C">
        <w:rPr>
          <w:rFonts w:asciiTheme="minorHAnsi" w:hAnsiTheme="minorHAnsi"/>
          <w:lang w:val="en-GB"/>
        </w:rPr>
        <w:t xml:space="preserve"> launched a TVWS pilot project to bring specialised health services to local Botswana hospitals and clinics and to overcome some rural health challenges.</w:t>
      </w:r>
    </w:p>
    <w:p w14:paraId="716E1E7A" w14:textId="2ABDA36D" w:rsidR="00132F4A" w:rsidRPr="00FD2F0C" w:rsidRDefault="00132F4A" w:rsidP="00E80A2A">
      <w:pPr>
        <w:pStyle w:val="ListParagraph"/>
        <w:numPr>
          <w:ilvl w:val="0"/>
          <w:numId w:val="41"/>
        </w:numPr>
        <w:spacing w:before="0"/>
        <w:jc w:val="left"/>
        <w:rPr>
          <w:rFonts w:asciiTheme="minorHAnsi" w:hAnsiTheme="minorHAnsi"/>
          <w:lang w:val="en-GB"/>
        </w:rPr>
      </w:pPr>
      <w:r w:rsidRPr="00FD2F0C">
        <w:rPr>
          <w:rFonts w:asciiTheme="minorHAnsi" w:hAnsiTheme="minorHAnsi"/>
          <w:color w:val="0000FF"/>
          <w:lang w:val="en-GB"/>
        </w:rPr>
        <w:t>Ghana</w:t>
      </w:r>
      <w:r w:rsidR="00644BFA" w:rsidRPr="00FD2F0C">
        <w:rPr>
          <w:rFonts w:asciiTheme="minorHAnsi" w:hAnsiTheme="minorHAnsi"/>
          <w:szCs w:val="24"/>
          <w:lang w:val="en-US"/>
        </w:rPr>
        <w:t xml:space="preserve"> started commercial deployment of TV White Space enabled services with one company</w:t>
      </w:r>
      <w:r w:rsidR="00644BFA" w:rsidRPr="00FD2F0C">
        <w:rPr>
          <w:rFonts w:asciiTheme="minorHAnsi" w:eastAsia="Times New Roman" w:hAnsiTheme="minorHAnsi"/>
          <w:color w:val="000000"/>
          <w:shd w:val="clear" w:color="auto" w:fill="FFFFFF"/>
          <w:lang w:val="en-US"/>
        </w:rPr>
        <w:t xml:space="preserve"> to provide internet connectivity to two educational institutions. This has given students access to affordable broadband internet around the campuses and their environs.</w:t>
      </w:r>
    </w:p>
    <w:p w14:paraId="28941EB7" w14:textId="410A803D" w:rsidR="00132F4A" w:rsidRPr="00FD2F0C" w:rsidRDefault="00573C99" w:rsidP="00132F4A">
      <w:pPr>
        <w:pStyle w:val="ListParagraph"/>
        <w:numPr>
          <w:ilvl w:val="0"/>
          <w:numId w:val="41"/>
        </w:numPr>
        <w:spacing w:before="0"/>
        <w:jc w:val="left"/>
        <w:rPr>
          <w:rFonts w:asciiTheme="minorHAnsi" w:hAnsiTheme="minorHAnsi"/>
          <w:lang w:val="en-GB"/>
        </w:rPr>
      </w:pPr>
      <w:hyperlink r:id="rId34" w:history="1">
        <w:r w:rsidR="00132F4A" w:rsidRPr="00FD2F0C">
          <w:rPr>
            <w:rStyle w:val="Hyperlink"/>
            <w:rFonts w:asciiTheme="minorHAnsi" w:hAnsiTheme="minorHAnsi"/>
            <w:lang w:val="en-GB"/>
          </w:rPr>
          <w:t>Malawi</w:t>
        </w:r>
      </w:hyperlink>
      <w:r w:rsidR="00132F4A" w:rsidRPr="00FD2F0C">
        <w:rPr>
          <w:rFonts w:asciiTheme="minorHAnsi" w:hAnsiTheme="minorHAnsi"/>
          <w:lang w:val="en-GB"/>
        </w:rPr>
        <w:t xml:space="preserve"> conducted projects extending Internet connectivity to two schools and a rural hospital. TVWS devices were also deployed to enhance national seismic early warning systems and to connect runways and bases of the Air Wing Unit of the Malawi Defense Force to the Internet.</w:t>
      </w:r>
    </w:p>
    <w:p w14:paraId="556B17A3" w14:textId="509095CE" w:rsidR="00132F4A" w:rsidRPr="00FD2F0C" w:rsidRDefault="00573C99" w:rsidP="00132F4A">
      <w:pPr>
        <w:pStyle w:val="ListParagraph"/>
        <w:numPr>
          <w:ilvl w:val="0"/>
          <w:numId w:val="41"/>
        </w:numPr>
        <w:spacing w:before="0"/>
        <w:jc w:val="left"/>
        <w:rPr>
          <w:rFonts w:asciiTheme="minorHAnsi" w:hAnsiTheme="minorHAnsi"/>
          <w:lang w:val="en-GB"/>
        </w:rPr>
      </w:pPr>
      <w:hyperlink r:id="rId35" w:history="1">
        <w:r w:rsidR="00132F4A" w:rsidRPr="00FD2F0C">
          <w:rPr>
            <w:rStyle w:val="Hyperlink"/>
            <w:rFonts w:asciiTheme="minorHAnsi" w:hAnsiTheme="minorHAnsi"/>
            <w:lang w:val="en-GB"/>
          </w:rPr>
          <w:t>The Philippines</w:t>
        </w:r>
      </w:hyperlink>
      <w:r w:rsidR="00132F4A" w:rsidRPr="00FD2F0C">
        <w:rPr>
          <w:rFonts w:asciiTheme="minorHAnsi" w:hAnsiTheme="minorHAnsi"/>
          <w:lang w:val="en-GB"/>
        </w:rPr>
        <w:t xml:space="preserve"> implemented a TVWS pilot project  to support community connectivity, sustainable resource management, educational access, and disaster resilient communications in a remote province</w:t>
      </w:r>
    </w:p>
    <w:p w14:paraId="0876BB29" w14:textId="453F598B" w:rsidR="00132F4A" w:rsidRPr="00FD2F0C" w:rsidRDefault="00573C99" w:rsidP="00132F4A">
      <w:pPr>
        <w:pStyle w:val="ListParagraph"/>
        <w:numPr>
          <w:ilvl w:val="0"/>
          <w:numId w:val="41"/>
        </w:numPr>
        <w:spacing w:before="0"/>
        <w:jc w:val="left"/>
        <w:rPr>
          <w:rFonts w:asciiTheme="minorHAnsi" w:hAnsiTheme="minorHAnsi"/>
          <w:lang w:val="en-GB"/>
        </w:rPr>
      </w:pPr>
      <w:hyperlink r:id="rId36" w:history="1">
        <w:r w:rsidR="00132F4A" w:rsidRPr="00FD2F0C">
          <w:rPr>
            <w:rStyle w:val="Hyperlink"/>
            <w:rFonts w:asciiTheme="minorHAnsi" w:hAnsiTheme="minorHAnsi"/>
            <w:lang w:val="en-GB"/>
          </w:rPr>
          <w:t>Republic of Korea</w:t>
        </w:r>
      </w:hyperlink>
      <w:r w:rsidR="00132F4A" w:rsidRPr="00FD2F0C">
        <w:rPr>
          <w:rFonts w:asciiTheme="minorHAnsi" w:hAnsiTheme="minorHAnsi"/>
          <w:lang w:val="en-GB"/>
        </w:rPr>
        <w:t xml:space="preserve"> set a regulatory framework for the TVWS and allowed for TVWS commercial services in April 2017.</w:t>
      </w:r>
    </w:p>
    <w:p w14:paraId="4DF6B96F" w14:textId="16DCE017" w:rsidR="00132F4A" w:rsidRPr="00FD2F0C" w:rsidRDefault="00573C99" w:rsidP="00DE49C7">
      <w:pPr>
        <w:pStyle w:val="ListParagraph"/>
        <w:numPr>
          <w:ilvl w:val="0"/>
          <w:numId w:val="41"/>
        </w:numPr>
        <w:spacing w:before="0"/>
        <w:jc w:val="left"/>
        <w:rPr>
          <w:rFonts w:asciiTheme="minorHAnsi" w:hAnsiTheme="minorHAnsi"/>
          <w:lang w:val="en-US"/>
        </w:rPr>
      </w:pPr>
      <w:hyperlink r:id="rId37" w:history="1">
        <w:r w:rsidR="00132F4A" w:rsidRPr="00FD2F0C">
          <w:rPr>
            <w:rStyle w:val="Hyperlink"/>
            <w:rFonts w:asciiTheme="minorHAnsi" w:hAnsiTheme="minorHAnsi"/>
            <w:lang w:val="en-GB"/>
          </w:rPr>
          <w:t>The United States of America (USA)</w:t>
        </w:r>
      </w:hyperlink>
      <w:r w:rsidR="00132F4A" w:rsidRPr="00FD2F0C">
        <w:rPr>
          <w:rFonts w:asciiTheme="minorHAnsi" w:hAnsiTheme="minorHAnsi"/>
          <w:lang w:val="en-GB"/>
        </w:rPr>
        <w:t xml:space="preserve"> has pioneered </w:t>
      </w:r>
      <w:r w:rsidR="00DE49C7" w:rsidRPr="00FD2F0C">
        <w:rPr>
          <w:rFonts w:asciiTheme="minorHAnsi" w:hAnsiTheme="minorHAnsi"/>
          <w:lang w:val="en-GB"/>
        </w:rPr>
        <w:t xml:space="preserve">the </w:t>
      </w:r>
      <w:r w:rsidR="00132F4A" w:rsidRPr="00FD2F0C">
        <w:rPr>
          <w:rFonts w:asciiTheme="minorHAnsi" w:hAnsiTheme="minorHAnsi"/>
          <w:lang w:val="en-GB"/>
        </w:rPr>
        <w:t>use of license-exempt spectrum</w:t>
      </w:r>
      <w:r w:rsidR="00DE49C7" w:rsidRPr="00FD2F0C">
        <w:rPr>
          <w:rFonts w:asciiTheme="minorHAnsi" w:hAnsiTheme="minorHAnsi"/>
          <w:lang w:val="en-GB"/>
        </w:rPr>
        <w:t xml:space="preserve"> in TVWS</w:t>
      </w:r>
      <w:r w:rsidR="00132F4A" w:rsidRPr="00FD2F0C">
        <w:rPr>
          <w:rFonts w:asciiTheme="minorHAnsi" w:hAnsiTheme="minorHAnsi"/>
          <w:lang w:val="en-GB"/>
        </w:rPr>
        <w:t>, and three case studies in the USA are</w:t>
      </w:r>
      <w:r w:rsidR="000816E6" w:rsidRPr="00FD2F0C">
        <w:rPr>
          <w:rFonts w:asciiTheme="minorHAnsi" w:hAnsiTheme="minorHAnsi"/>
          <w:lang w:val="en-GB"/>
        </w:rPr>
        <w:t xml:space="preserve"> addressing</w:t>
      </w:r>
      <w:r w:rsidR="00132F4A" w:rsidRPr="00FD2F0C">
        <w:rPr>
          <w:rFonts w:asciiTheme="minorHAnsi" w:hAnsiTheme="minorHAnsi"/>
          <w:lang w:val="en-GB"/>
        </w:rPr>
        <w:t xml:space="preserve"> the deployment of commercial wireless Internet service in rural areas, the extension of the service area of libraries into communities, and the provision of university campus-wide broadband.</w:t>
      </w:r>
    </w:p>
    <w:p w14:paraId="0D8F7C8E" w14:textId="14C2C107" w:rsidR="009F5CD9" w:rsidRPr="00FD2F0C" w:rsidRDefault="009F5CD9" w:rsidP="00D06C3F">
      <w:pPr>
        <w:rPr>
          <w:rFonts w:asciiTheme="minorHAnsi" w:hAnsiTheme="minorHAnsi"/>
          <w:lang w:val="en-GB"/>
        </w:rPr>
      </w:pPr>
      <w:r w:rsidRPr="00FD2F0C">
        <w:rPr>
          <w:rFonts w:asciiTheme="minorHAnsi" w:hAnsiTheme="minorHAnsi"/>
          <w:lang w:val="en-GB"/>
        </w:rPr>
        <w:t xml:space="preserve">More information on these case studies can be found in </w:t>
      </w:r>
      <w:r w:rsidRPr="00FD2F0C">
        <w:rPr>
          <w:rFonts w:asciiTheme="minorHAnsi" w:hAnsiTheme="minorHAnsi"/>
          <w:b/>
          <w:lang w:val="en-GB"/>
        </w:rPr>
        <w:t xml:space="preserve">Annex </w:t>
      </w:r>
      <w:r w:rsidR="00D06C3F" w:rsidRPr="00FD2F0C">
        <w:rPr>
          <w:rFonts w:asciiTheme="minorHAnsi" w:hAnsiTheme="minorHAnsi"/>
          <w:b/>
          <w:lang w:val="en-GB"/>
        </w:rPr>
        <w:t>2</w:t>
      </w:r>
      <w:r w:rsidRPr="00FD2F0C">
        <w:rPr>
          <w:rFonts w:asciiTheme="minorHAnsi" w:hAnsiTheme="minorHAnsi"/>
          <w:lang w:val="en-GB"/>
        </w:rPr>
        <w:t>.</w:t>
      </w:r>
    </w:p>
    <w:p w14:paraId="3DECF491" w14:textId="77777777" w:rsidR="009862BA" w:rsidRPr="00FD2F0C" w:rsidRDefault="009862BA" w:rsidP="0013474E">
      <w:pPr>
        <w:pStyle w:val="Heading3"/>
        <w:numPr>
          <w:ilvl w:val="0"/>
          <w:numId w:val="0"/>
        </w:numPr>
        <w:ind w:left="720" w:hanging="720"/>
        <w:rPr>
          <w:rFonts w:asciiTheme="minorHAnsi" w:eastAsia="SimSun" w:hAnsiTheme="minorHAnsi"/>
        </w:rPr>
      </w:pPr>
      <w:bookmarkStart w:id="65" w:name="_Toc485647987"/>
      <w:bookmarkStart w:id="66" w:name="_Toc458779249"/>
      <w:bookmarkStart w:id="67" w:name="_Toc467836405"/>
      <w:bookmarkEnd w:id="64"/>
      <w:r w:rsidRPr="00FD2F0C">
        <w:rPr>
          <w:rFonts w:asciiTheme="minorHAnsi" w:eastAsia="SimSun" w:hAnsiTheme="minorHAnsi"/>
        </w:rPr>
        <w:t>1.4.8</w:t>
      </w:r>
      <w:r w:rsidRPr="00FD2F0C">
        <w:rPr>
          <w:rFonts w:asciiTheme="minorHAnsi" w:eastAsia="SimSun" w:hAnsiTheme="minorHAnsi"/>
        </w:rPr>
        <w:tab/>
      </w:r>
      <w:r w:rsidRPr="00FD2F0C">
        <w:rPr>
          <w:rFonts w:asciiTheme="minorHAnsi" w:eastAsia="SimSun" w:hAnsiTheme="minorHAnsi"/>
        </w:rPr>
        <w:tab/>
        <w:t>Benefits and challenges associated with the use of TV white spaces</w:t>
      </w:r>
      <w:bookmarkEnd w:id="65"/>
    </w:p>
    <w:p w14:paraId="466F233C" w14:textId="77777777" w:rsidR="009862BA" w:rsidRPr="00FD2F0C" w:rsidRDefault="009862BA" w:rsidP="009862BA">
      <w:pPr>
        <w:rPr>
          <w:rFonts w:asciiTheme="minorHAnsi" w:hAnsiTheme="minorHAnsi"/>
          <w:lang w:val="en-GB"/>
        </w:rPr>
      </w:pPr>
      <w:r w:rsidRPr="00FD2F0C">
        <w:rPr>
          <w:rFonts w:asciiTheme="minorHAnsi" w:hAnsiTheme="minorHAnsi"/>
          <w:lang w:val="en-GB"/>
        </w:rPr>
        <w:t>The considerations mentioned in Section 1.4.2 above in the general case of dynamic spectrum sharing in terms of requirements for studies, risks and challenges, also apply to TVWS.</w:t>
      </w:r>
    </w:p>
    <w:p w14:paraId="30A7965B" w14:textId="483359B3" w:rsidR="009862BA" w:rsidRPr="00FD2F0C" w:rsidRDefault="009862BA" w:rsidP="009862BA">
      <w:pPr>
        <w:rPr>
          <w:rFonts w:asciiTheme="minorHAnsi" w:hAnsiTheme="minorHAnsi"/>
          <w:lang w:val="en-GB"/>
        </w:rPr>
      </w:pPr>
      <w:r w:rsidRPr="00FD2F0C" w:rsidDel="008004CA">
        <w:rPr>
          <w:rFonts w:asciiTheme="minorHAnsi" w:hAnsiTheme="minorHAnsi"/>
          <w:lang w:val="en-GB"/>
        </w:rPr>
        <w:t xml:space="preserve">TVWS may be used to provide Internet service </w:t>
      </w:r>
      <w:r w:rsidRPr="00FD2F0C">
        <w:rPr>
          <w:rFonts w:asciiTheme="minorHAnsi" w:hAnsiTheme="minorHAnsi"/>
          <w:lang w:val="en-GB"/>
        </w:rPr>
        <w:t>to underserved areas under certain conditions</w:t>
      </w:r>
      <w:r w:rsidRPr="00FD2F0C" w:rsidDel="008004CA">
        <w:rPr>
          <w:rFonts w:asciiTheme="minorHAnsi" w:hAnsiTheme="minorHAnsi"/>
          <w:lang w:val="en-GB"/>
        </w:rPr>
        <w:t>.</w:t>
      </w:r>
      <w:r w:rsidR="00F81EC7" w:rsidRPr="00FD2F0C">
        <w:rPr>
          <w:rFonts w:asciiTheme="minorHAnsi" w:hAnsiTheme="minorHAnsi"/>
          <w:lang w:val="en-GB"/>
        </w:rPr>
        <w:t xml:space="preserve"> </w:t>
      </w:r>
      <w:r w:rsidRPr="00FD2F0C">
        <w:rPr>
          <w:rFonts w:asciiTheme="minorHAnsi" w:hAnsiTheme="minorHAnsi"/>
          <w:lang w:val="en-GB"/>
        </w:rPr>
        <w:t xml:space="preserve">In this context, TVWS may be used to provide a lower cost backhaul to broadband internet access. However, the UHF spectrum does not allow the use of highly directional antennas and the use of a </w:t>
      </w:r>
      <w:r w:rsidR="003B3320" w:rsidRPr="00FD2F0C">
        <w:rPr>
          <w:rFonts w:asciiTheme="minorHAnsi" w:hAnsiTheme="minorHAnsi"/>
          <w:lang w:val="en-GB"/>
        </w:rPr>
        <w:t>license</w:t>
      </w:r>
      <w:r w:rsidR="00F81EC7" w:rsidRPr="00FD2F0C">
        <w:rPr>
          <w:rFonts w:asciiTheme="minorHAnsi" w:hAnsiTheme="minorHAnsi"/>
          <w:lang w:val="en-GB"/>
        </w:rPr>
        <w:t>-</w:t>
      </w:r>
      <w:r w:rsidRPr="00FD2F0C">
        <w:rPr>
          <w:rFonts w:asciiTheme="minorHAnsi" w:hAnsiTheme="minorHAnsi"/>
          <w:lang w:val="en-GB"/>
        </w:rPr>
        <w:t>exempt model for TVWS limits the power available. For these reasons, and due to the limited bandwidth available in the UHF band, TVWS may be unable to provide the type of capacity suitable for backhauling of broadband internet access.</w:t>
      </w:r>
    </w:p>
    <w:p w14:paraId="283FE791" w14:textId="7504FE58" w:rsidR="009862BA" w:rsidRPr="00FD2F0C" w:rsidRDefault="009862BA" w:rsidP="009862BA">
      <w:pPr>
        <w:rPr>
          <w:rFonts w:asciiTheme="minorHAnsi" w:hAnsiTheme="minorHAnsi"/>
          <w:lang w:val="en-US"/>
        </w:rPr>
      </w:pPr>
      <w:r w:rsidRPr="00FD2F0C">
        <w:rPr>
          <w:rFonts w:asciiTheme="minorHAnsi" w:hAnsiTheme="minorHAnsi"/>
          <w:lang w:val="en-GB"/>
        </w:rPr>
        <w:t>TVWS may also be used as exten</w:t>
      </w:r>
      <w:r w:rsidR="00981B30" w:rsidRPr="00FD2F0C">
        <w:rPr>
          <w:rFonts w:asciiTheme="minorHAnsi" w:hAnsiTheme="minorHAnsi"/>
          <w:lang w:val="en-GB"/>
        </w:rPr>
        <w:t>s</w:t>
      </w:r>
      <w:r w:rsidRPr="00FD2F0C">
        <w:rPr>
          <w:rFonts w:asciiTheme="minorHAnsi" w:hAnsiTheme="minorHAnsi"/>
          <w:lang w:val="en-GB"/>
        </w:rPr>
        <w:t xml:space="preserve">ion of fixed or fixed-satellite networks to directly provide broadband internet access to customers in underserved areas, taking advantage of favourable propagation conditions of the UHF band. However, </w:t>
      </w:r>
      <w:r w:rsidRPr="00FD2F0C">
        <w:rPr>
          <w:rFonts w:asciiTheme="minorHAnsi" w:hAnsiTheme="minorHAnsi"/>
          <w:lang w:val="en-US"/>
        </w:rPr>
        <w:t xml:space="preserve">efficient frequency reuse requires a careful network planning among all access points, which may be difficult under a </w:t>
      </w:r>
      <w:r w:rsidR="003B3320" w:rsidRPr="00FD2F0C">
        <w:rPr>
          <w:rFonts w:asciiTheme="minorHAnsi" w:hAnsiTheme="minorHAnsi"/>
          <w:lang w:val="en-US"/>
        </w:rPr>
        <w:t>license</w:t>
      </w:r>
      <w:r w:rsidRPr="00FD2F0C">
        <w:rPr>
          <w:rFonts w:asciiTheme="minorHAnsi" w:hAnsiTheme="minorHAnsi"/>
          <w:lang w:val="en-US"/>
        </w:rPr>
        <w:t>-exempt regime, thus limiting the capacity offered by the network.</w:t>
      </w:r>
    </w:p>
    <w:p w14:paraId="36A37C98" w14:textId="5CFB4279" w:rsidR="009862BA" w:rsidRPr="00FD2F0C" w:rsidRDefault="009862BA" w:rsidP="009862BA">
      <w:pPr>
        <w:pStyle w:val="Bulletlist1"/>
        <w:jc w:val="both"/>
        <w:rPr>
          <w:rFonts w:asciiTheme="minorHAnsi" w:hAnsiTheme="minorHAnsi"/>
        </w:rPr>
      </w:pPr>
      <w:r w:rsidRPr="00FD2F0C">
        <w:rPr>
          <w:rFonts w:asciiTheme="minorHAnsi" w:hAnsiTheme="minorHAnsi"/>
        </w:rPr>
        <w:lastRenderedPageBreak/>
        <w:t xml:space="preserve">Also, rules applicable to </w:t>
      </w:r>
      <w:r w:rsidR="003B3320" w:rsidRPr="00FD2F0C">
        <w:rPr>
          <w:rFonts w:asciiTheme="minorHAnsi" w:hAnsiTheme="minorHAnsi"/>
        </w:rPr>
        <w:t>license</w:t>
      </w:r>
      <w:r w:rsidRPr="00FD2F0C">
        <w:rPr>
          <w:rFonts w:asciiTheme="minorHAnsi" w:hAnsiTheme="minorHAnsi"/>
        </w:rPr>
        <w:t>-exempt devices restrict the maximum power level of wireless broadband radios, which limits the advantage of the UHF band in providing larger coverage area.</w:t>
      </w:r>
    </w:p>
    <w:p w14:paraId="38EFA1AB" w14:textId="77777777" w:rsidR="009862BA" w:rsidRPr="00FD2F0C" w:rsidRDefault="009862BA" w:rsidP="009862BA">
      <w:pPr>
        <w:rPr>
          <w:rFonts w:asciiTheme="minorHAnsi" w:hAnsiTheme="minorHAnsi"/>
          <w:lang w:val="en-GB"/>
        </w:rPr>
      </w:pPr>
      <w:r w:rsidRPr="00FD2F0C">
        <w:rPr>
          <w:rFonts w:asciiTheme="minorHAnsi" w:hAnsiTheme="minorHAnsi"/>
          <w:lang w:val="en-GB"/>
        </w:rPr>
        <w:t>As a result of WRC-07 and WRC-15 decisions regarding the introduction of IMT in large portions of the 470-862 MHz frequency range, many administrations intend to deploy broadband mobile networks in this range. Also, WRC-23 may consider further introduction of IMT in this frequency range. This results in uncertainty as to the future availability of TVWS in this range.</w:t>
      </w:r>
    </w:p>
    <w:p w14:paraId="5C19FDC7" w14:textId="1165594F" w:rsidR="009862BA" w:rsidRPr="00FD2F0C" w:rsidRDefault="009862BA" w:rsidP="005A247F">
      <w:pPr>
        <w:rPr>
          <w:rFonts w:asciiTheme="minorHAnsi" w:hAnsiTheme="minorHAnsi"/>
          <w:lang w:val="en-GB"/>
        </w:rPr>
      </w:pPr>
      <w:r w:rsidRPr="00FD2F0C">
        <w:rPr>
          <w:rFonts w:asciiTheme="minorHAnsi" w:hAnsiTheme="minorHAnsi"/>
          <w:lang w:val="en-GB"/>
        </w:rPr>
        <w:t xml:space="preserve">The experiences of countries having developed TV white space regulations, as shown in </w:t>
      </w:r>
      <w:r w:rsidR="005A247F" w:rsidRPr="00FD2F0C">
        <w:rPr>
          <w:rFonts w:asciiTheme="minorHAnsi" w:hAnsiTheme="minorHAnsi"/>
          <w:b/>
          <w:bCs/>
          <w:lang w:val="en-GB"/>
        </w:rPr>
        <w:t>Annex 2</w:t>
      </w:r>
      <w:r w:rsidRPr="00FD2F0C">
        <w:rPr>
          <w:rFonts w:asciiTheme="minorHAnsi" w:hAnsiTheme="minorHAnsi"/>
          <w:lang w:val="en-GB"/>
        </w:rPr>
        <w:t xml:space="preserve">, demonstrates the complexity of the process carried out by these administrations to put in place a satisfying regulations with all the necessary rules to protect incumbent services, the framework for selection and operation of database and the enforcement issues. </w:t>
      </w:r>
    </w:p>
    <w:p w14:paraId="6C29A145" w14:textId="77777777" w:rsidR="009862BA" w:rsidRPr="00FD2F0C" w:rsidRDefault="009862BA" w:rsidP="009862BA">
      <w:pPr>
        <w:rPr>
          <w:rFonts w:asciiTheme="minorHAnsi" w:hAnsiTheme="minorHAnsi"/>
          <w:lang w:val="en-US"/>
        </w:rPr>
      </w:pPr>
      <w:r w:rsidRPr="00FD2F0C">
        <w:rPr>
          <w:rFonts w:asciiTheme="minorHAnsi" w:hAnsiTheme="minorHAnsi"/>
          <w:lang w:val="en-US"/>
        </w:rPr>
        <w:t>Overall, as a result of the limited number of countries having developed regulations for the use of TV white space, as well as the limited deployment in these countries , there is a low number of vendors and device models on the market and the ecosystem has not reached the level of maturity of other commercial systems, which impacts the equipment pricing.</w:t>
      </w:r>
    </w:p>
    <w:p w14:paraId="11E19D51" w14:textId="624C6576" w:rsidR="007366D4" w:rsidRPr="00FD2F0C" w:rsidDel="00217533" w:rsidRDefault="007366D4" w:rsidP="00456C96">
      <w:pPr>
        <w:pStyle w:val="Heading2"/>
        <w:numPr>
          <w:ilvl w:val="0"/>
          <w:numId w:val="0"/>
        </w:numPr>
        <w:rPr>
          <w:rFonts w:asciiTheme="minorHAnsi" w:hAnsiTheme="minorHAnsi"/>
        </w:rPr>
      </w:pPr>
      <w:bookmarkStart w:id="68" w:name="_Toc485647988"/>
      <w:r w:rsidRPr="00FD2F0C">
        <w:rPr>
          <w:rFonts w:asciiTheme="minorHAnsi" w:hAnsiTheme="minorHAnsi"/>
        </w:rPr>
        <w:t>1.</w:t>
      </w:r>
      <w:r w:rsidR="00D703E3" w:rsidRPr="00FD2F0C">
        <w:rPr>
          <w:rFonts w:asciiTheme="minorHAnsi" w:hAnsiTheme="minorHAnsi"/>
        </w:rPr>
        <w:t>5</w:t>
      </w:r>
      <w:r w:rsidRPr="00FD2F0C">
        <w:rPr>
          <w:rFonts w:asciiTheme="minorHAnsi" w:hAnsiTheme="minorHAnsi"/>
        </w:rPr>
        <w:tab/>
      </w:r>
      <w:r w:rsidRPr="00FD2F0C" w:rsidDel="00217533">
        <w:rPr>
          <w:rFonts w:asciiTheme="minorHAnsi" w:hAnsiTheme="minorHAnsi"/>
        </w:rPr>
        <w:t xml:space="preserve">Current ITU-R </w:t>
      </w:r>
      <w:r w:rsidRPr="00FD2F0C">
        <w:rPr>
          <w:rFonts w:asciiTheme="minorHAnsi" w:hAnsiTheme="minorHAnsi"/>
        </w:rPr>
        <w:t>s</w:t>
      </w:r>
      <w:r w:rsidRPr="00FD2F0C" w:rsidDel="00217533">
        <w:rPr>
          <w:rFonts w:asciiTheme="minorHAnsi" w:hAnsiTheme="minorHAnsi"/>
        </w:rPr>
        <w:t xml:space="preserve">tudies and </w:t>
      </w:r>
      <w:r w:rsidRPr="00FD2F0C">
        <w:rPr>
          <w:rFonts w:asciiTheme="minorHAnsi" w:hAnsiTheme="minorHAnsi"/>
        </w:rPr>
        <w:t>i</w:t>
      </w:r>
      <w:r w:rsidRPr="00FD2F0C" w:rsidDel="00217533">
        <w:rPr>
          <w:rFonts w:asciiTheme="minorHAnsi" w:hAnsiTheme="minorHAnsi"/>
        </w:rPr>
        <w:t>nvestigations</w:t>
      </w:r>
      <w:bookmarkEnd w:id="66"/>
      <w:bookmarkEnd w:id="67"/>
      <w:bookmarkEnd w:id="68"/>
    </w:p>
    <w:p w14:paraId="6F372913" w14:textId="7230D917" w:rsidR="007366D4" w:rsidRPr="00FD2F0C" w:rsidRDefault="007366D4">
      <w:pPr>
        <w:rPr>
          <w:rFonts w:asciiTheme="minorHAnsi" w:hAnsiTheme="minorHAnsi"/>
          <w:lang w:val="en-GB"/>
        </w:rPr>
      </w:pPr>
      <w:r w:rsidRPr="00FD2F0C" w:rsidDel="00217533">
        <w:rPr>
          <w:rFonts w:asciiTheme="minorHAnsi" w:hAnsiTheme="minorHAnsi"/>
          <w:lang w:val="en-GB"/>
        </w:rPr>
        <w:t>Upon the request of the Radiocommunication Assemblies, ITU-R Study Groups are currently performing the following additional studies:</w:t>
      </w:r>
    </w:p>
    <w:p w14:paraId="588A2C49" w14:textId="77777777" w:rsidR="007366D4" w:rsidRPr="00FD2F0C" w:rsidDel="00217533" w:rsidRDefault="007366D4" w:rsidP="0032197B">
      <w:pPr>
        <w:pStyle w:val="Bulletlist1"/>
        <w:numPr>
          <w:ilvl w:val="0"/>
          <w:numId w:val="20"/>
        </w:numPr>
        <w:ind w:left="714" w:hanging="357"/>
        <w:jc w:val="both"/>
        <w:rPr>
          <w:rFonts w:asciiTheme="minorHAnsi" w:hAnsiTheme="minorHAnsi"/>
        </w:rPr>
      </w:pPr>
      <w:r w:rsidRPr="00FD2F0C" w:rsidDel="00217533">
        <w:rPr>
          <w:rFonts w:asciiTheme="minorHAnsi" w:hAnsiTheme="minorHAnsi"/>
        </w:rPr>
        <w:t>Additional studies within Study Groups 1 and 5 in response to Resolution ITU-R 58-1 “Studies on the implementation and use of cognitive radio systems”.</w:t>
      </w:r>
    </w:p>
    <w:p w14:paraId="55744BF0" w14:textId="77777777" w:rsidR="007366D4" w:rsidRPr="00FD2F0C" w:rsidDel="00217533" w:rsidRDefault="007366D4" w:rsidP="0032197B">
      <w:pPr>
        <w:pStyle w:val="Bulletlist1"/>
        <w:numPr>
          <w:ilvl w:val="0"/>
          <w:numId w:val="20"/>
        </w:numPr>
        <w:ind w:left="714" w:hanging="357"/>
        <w:jc w:val="both"/>
        <w:rPr>
          <w:rFonts w:asciiTheme="minorHAnsi" w:hAnsiTheme="minorHAnsi"/>
        </w:rPr>
      </w:pPr>
      <w:r w:rsidRPr="00FD2F0C" w:rsidDel="00217533">
        <w:rPr>
          <w:rFonts w:asciiTheme="minorHAnsi" w:hAnsiTheme="minorHAnsi"/>
        </w:rPr>
        <w:t xml:space="preserve">Additional studies within WP 1B in response to Question </w:t>
      </w:r>
      <w:hyperlink r:id="rId38" w:history="1">
        <w:r w:rsidRPr="00FD2F0C" w:rsidDel="00217533">
          <w:rPr>
            <w:rStyle w:val="Hyperlink"/>
            <w:rFonts w:asciiTheme="minorHAnsi" w:hAnsiTheme="minorHAnsi"/>
            <w:b/>
            <w:bCs/>
            <w:szCs w:val="24"/>
          </w:rPr>
          <w:t>ITU-R 208-1/1</w:t>
        </w:r>
      </w:hyperlink>
      <w:r w:rsidRPr="00FD2F0C" w:rsidDel="00217533">
        <w:rPr>
          <w:rFonts w:asciiTheme="minorHAnsi" w:hAnsiTheme="minorHAnsi"/>
          <w:b/>
          <w:bCs/>
        </w:rPr>
        <w:t xml:space="preserve"> </w:t>
      </w:r>
      <w:r w:rsidRPr="00FD2F0C" w:rsidDel="00217533">
        <w:rPr>
          <w:rFonts w:asciiTheme="minorHAnsi" w:hAnsiTheme="minorHAnsi"/>
        </w:rPr>
        <w:t>“Alternative methods of national spectrum management”.</w:t>
      </w:r>
    </w:p>
    <w:p w14:paraId="69921D83" w14:textId="77777777" w:rsidR="007366D4" w:rsidRPr="00FD2F0C" w:rsidDel="00217533" w:rsidRDefault="007366D4" w:rsidP="0032197B">
      <w:pPr>
        <w:pStyle w:val="Bulletlist1"/>
        <w:numPr>
          <w:ilvl w:val="0"/>
          <w:numId w:val="20"/>
        </w:numPr>
        <w:ind w:left="714" w:hanging="357"/>
        <w:jc w:val="both"/>
        <w:rPr>
          <w:rFonts w:asciiTheme="minorHAnsi" w:hAnsiTheme="minorHAnsi"/>
        </w:rPr>
      </w:pPr>
      <w:r w:rsidRPr="00FD2F0C" w:rsidDel="00217533">
        <w:rPr>
          <w:rFonts w:asciiTheme="minorHAnsi" w:hAnsiTheme="minorHAnsi"/>
        </w:rPr>
        <w:t xml:space="preserve">Additional studies within WP 1C in response to Question </w:t>
      </w:r>
      <w:hyperlink r:id="rId39" w:history="1">
        <w:r w:rsidRPr="00FD2F0C" w:rsidDel="00217533">
          <w:rPr>
            <w:rStyle w:val="Hyperlink"/>
            <w:rFonts w:asciiTheme="minorHAnsi" w:hAnsiTheme="minorHAnsi"/>
            <w:b/>
            <w:bCs/>
            <w:szCs w:val="24"/>
          </w:rPr>
          <w:t>ITU-R 235/1</w:t>
        </w:r>
      </w:hyperlink>
      <w:r w:rsidRPr="00FD2F0C" w:rsidDel="00217533">
        <w:rPr>
          <w:rFonts w:asciiTheme="minorHAnsi" w:hAnsiTheme="minorHAnsi"/>
        </w:rPr>
        <w:t xml:space="preserve"> “Spectrum monitoring evolution”.</w:t>
      </w:r>
    </w:p>
    <w:p w14:paraId="258316F0"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sidDel="00217533">
        <w:rPr>
          <w:rFonts w:asciiTheme="minorHAnsi" w:hAnsiTheme="minorHAnsi"/>
        </w:rPr>
        <w:t xml:space="preserve">Additional studies within WPs 5A and 5D in response to Question </w:t>
      </w:r>
      <w:hyperlink r:id="rId40" w:history="1">
        <w:r w:rsidRPr="00FD2F0C" w:rsidDel="00217533">
          <w:rPr>
            <w:rStyle w:val="Hyperlink"/>
            <w:rFonts w:asciiTheme="minorHAnsi" w:hAnsiTheme="minorHAnsi"/>
            <w:b/>
            <w:bCs/>
            <w:szCs w:val="24"/>
          </w:rPr>
          <w:t>ITU-R 241-3/5</w:t>
        </w:r>
      </w:hyperlink>
      <w:r w:rsidRPr="00FD2F0C" w:rsidDel="00217533">
        <w:rPr>
          <w:rFonts w:asciiTheme="minorHAnsi" w:hAnsiTheme="minorHAnsi"/>
        </w:rPr>
        <w:t xml:space="preserve"> “Cognitive radio systems in the mobile service Cognitive radio systems in the mobile service”.</w:t>
      </w:r>
      <w:r w:rsidRPr="00FD2F0C">
        <w:rPr>
          <w:rFonts w:asciiTheme="minorHAnsi" w:hAnsiTheme="minorHAnsi"/>
        </w:rPr>
        <w:t xml:space="preserve"> </w:t>
      </w:r>
      <w:r w:rsidRPr="00FD2F0C" w:rsidDel="00217533">
        <w:rPr>
          <w:rFonts w:asciiTheme="minorHAnsi" w:hAnsiTheme="minorHAnsi"/>
        </w:rPr>
        <w:t>Additional studies by WP 5D on the revision of Recommendation ITU-R M.1036 on frequency arrangements for new IMT bands identified at WRC-15.</w:t>
      </w:r>
    </w:p>
    <w:p w14:paraId="3113C1B1" w14:textId="77777777" w:rsidR="007366D4" w:rsidRPr="00FD2F0C" w:rsidRDefault="007366D4" w:rsidP="0022598E">
      <w:pPr>
        <w:pStyle w:val="Heading1nextpage"/>
        <w:keepNext/>
        <w:keepLines/>
        <w:pageBreakBefore/>
        <w:jc w:val="both"/>
        <w:outlineLvl w:val="0"/>
        <w:rPr>
          <w:b/>
          <w:bCs/>
          <w:color w:val="1F9DD9"/>
          <w:sz w:val="28"/>
          <w:szCs w:val="28"/>
        </w:rPr>
      </w:pPr>
      <w:bookmarkStart w:id="69" w:name="_Toc467836406"/>
      <w:bookmarkStart w:id="70" w:name="_Toc485647989"/>
      <w:bookmarkStart w:id="71" w:name="_Toc458779273"/>
      <w:r w:rsidRPr="00FD2F0C">
        <w:rPr>
          <w:b/>
          <w:bCs/>
          <w:color w:val="1F9DD9"/>
          <w:sz w:val="28"/>
          <w:szCs w:val="28"/>
        </w:rPr>
        <w:lastRenderedPageBreak/>
        <w:t>2</w:t>
      </w:r>
      <w:r w:rsidRPr="00FD2F0C">
        <w:rPr>
          <w:b/>
          <w:bCs/>
          <w:color w:val="1F9DD9"/>
          <w:sz w:val="28"/>
          <w:szCs w:val="28"/>
        </w:rPr>
        <w:tab/>
        <w:t>CHAPTER 2 – Spectrum economics</w:t>
      </w:r>
      <w:bookmarkEnd w:id="69"/>
      <w:bookmarkEnd w:id="70"/>
    </w:p>
    <w:p w14:paraId="5DE76AFD" w14:textId="2E780C6B" w:rsidR="00523DA6" w:rsidRPr="00FD2F0C" w:rsidRDefault="0032197B" w:rsidP="0032197B">
      <w:pPr>
        <w:pStyle w:val="Heading2"/>
        <w:numPr>
          <w:ilvl w:val="0"/>
          <w:numId w:val="0"/>
        </w:numPr>
        <w:rPr>
          <w:rFonts w:asciiTheme="minorHAnsi" w:hAnsiTheme="minorHAnsi"/>
          <w:lang w:val="en-GB"/>
        </w:rPr>
      </w:pPr>
      <w:bookmarkStart w:id="72" w:name="_Toc467836407"/>
      <w:bookmarkStart w:id="73" w:name="_Toc482880478"/>
      <w:bookmarkStart w:id="74" w:name="_Toc485647990"/>
      <w:bookmarkStart w:id="75" w:name="_Toc467836409"/>
      <w:r w:rsidRPr="00FD2F0C">
        <w:rPr>
          <w:rFonts w:asciiTheme="minorHAnsi" w:hAnsiTheme="minorHAnsi"/>
          <w:lang w:val="en-GB"/>
        </w:rPr>
        <w:t>2.1</w:t>
      </w:r>
      <w:r w:rsidRPr="00FD2F0C">
        <w:rPr>
          <w:rFonts w:asciiTheme="minorHAnsi" w:hAnsiTheme="minorHAnsi"/>
          <w:lang w:val="en-GB"/>
        </w:rPr>
        <w:tab/>
      </w:r>
      <w:r w:rsidR="00523DA6" w:rsidRPr="00FD2F0C">
        <w:rPr>
          <w:rFonts w:asciiTheme="minorHAnsi" w:hAnsiTheme="minorHAnsi"/>
          <w:lang w:val="en-GB"/>
        </w:rPr>
        <w:t>Introduction</w:t>
      </w:r>
      <w:bookmarkEnd w:id="72"/>
      <w:bookmarkEnd w:id="73"/>
      <w:bookmarkEnd w:id="74"/>
    </w:p>
    <w:p w14:paraId="18F2F1ED" w14:textId="77777777" w:rsidR="00867B54" w:rsidRPr="00FD2F0C" w:rsidRDefault="00523DA6" w:rsidP="00867B54">
      <w:pPr>
        <w:rPr>
          <w:rFonts w:asciiTheme="minorHAnsi" w:hAnsiTheme="minorHAnsi" w:cstheme="minorHAnsi"/>
          <w:lang w:val="en-GB"/>
        </w:rPr>
      </w:pPr>
      <w:r w:rsidRPr="00FD2F0C">
        <w:rPr>
          <w:rFonts w:asciiTheme="minorHAnsi" w:hAnsiTheme="minorHAnsi" w:cstheme="minorHAnsi"/>
          <w:b/>
          <w:bCs/>
          <w:lang w:val="en-GB"/>
        </w:rPr>
        <w:t>Chapter 2</w:t>
      </w:r>
      <w:r w:rsidRPr="00FD2F0C">
        <w:rPr>
          <w:rFonts w:asciiTheme="minorHAnsi" w:hAnsiTheme="minorHAnsi" w:cstheme="minorHAnsi"/>
          <w:lang w:val="en-GB"/>
        </w:rPr>
        <w:t xml:space="preserve"> highlights the experiences of several administrations with respect to spectrum pricing, licensing fees, and auctions. Readers are encouraged to consult </w:t>
      </w:r>
      <w:hyperlink r:id="rId41" w:history="1">
        <w:r w:rsidRPr="00FD2F0C">
          <w:rPr>
            <w:rStyle w:val="Hyperlink"/>
            <w:rFonts w:asciiTheme="minorHAnsi" w:hAnsiTheme="minorHAnsi" w:cstheme="minorHAnsi"/>
            <w:lang w:val="en-GB"/>
          </w:rPr>
          <w:t>Report ITU-R SM.2012</w:t>
        </w:r>
      </w:hyperlink>
      <w:r w:rsidRPr="00FD2F0C">
        <w:rPr>
          <w:rFonts w:asciiTheme="minorHAnsi" w:hAnsiTheme="minorHAnsi" w:cstheme="minorHAnsi"/>
          <w:lang w:val="en-GB"/>
        </w:rPr>
        <w:t>, “Economic aspects of spectrum management” for detailed guidance.  The Chapter also examines some of the economic aspects associated with license-exempt use and specifically license-exempt use of the TV White Spaces to provide spectrum managers information on some of the potential costs and benefits when considering such a sharing approach.</w:t>
      </w:r>
    </w:p>
    <w:p w14:paraId="30DB9CB2" w14:textId="5B9E5966" w:rsidR="007366D4" w:rsidRPr="00FD2F0C" w:rsidRDefault="007366D4">
      <w:pPr>
        <w:pStyle w:val="Heading2"/>
        <w:numPr>
          <w:ilvl w:val="0"/>
          <w:numId w:val="0"/>
        </w:numPr>
        <w:ind w:left="709" w:hanging="709"/>
        <w:rPr>
          <w:rFonts w:asciiTheme="minorHAnsi" w:hAnsiTheme="minorHAnsi"/>
        </w:rPr>
      </w:pPr>
      <w:bookmarkStart w:id="76" w:name="_Toc485647991"/>
      <w:r w:rsidRPr="00FD2F0C">
        <w:rPr>
          <w:rFonts w:asciiTheme="minorHAnsi" w:hAnsiTheme="minorHAnsi"/>
        </w:rPr>
        <w:t>2.</w:t>
      </w:r>
      <w:r w:rsidR="00CD3D44" w:rsidRPr="00FD2F0C">
        <w:rPr>
          <w:rFonts w:asciiTheme="minorHAnsi" w:hAnsiTheme="minorHAnsi"/>
        </w:rPr>
        <w:t>2</w:t>
      </w:r>
      <w:r w:rsidRPr="00FD2F0C">
        <w:rPr>
          <w:rFonts w:asciiTheme="minorHAnsi" w:hAnsiTheme="minorHAnsi"/>
        </w:rPr>
        <w:tab/>
      </w:r>
      <w:r w:rsidR="00DC0D3D" w:rsidRPr="00FD2F0C">
        <w:rPr>
          <w:rFonts w:asciiTheme="minorHAnsi" w:hAnsiTheme="minorHAnsi"/>
        </w:rPr>
        <w:t>S</w:t>
      </w:r>
      <w:r w:rsidRPr="00FD2F0C">
        <w:rPr>
          <w:rFonts w:asciiTheme="minorHAnsi" w:hAnsiTheme="minorHAnsi"/>
        </w:rPr>
        <w:t>pectrum pricing, licensing fees and auctions</w:t>
      </w:r>
      <w:bookmarkEnd w:id="75"/>
      <w:bookmarkEnd w:id="76"/>
    </w:p>
    <w:p w14:paraId="74171341" w14:textId="4AF7CE2E" w:rsidR="007366D4" w:rsidRPr="00FD2F0C" w:rsidRDefault="00523DA6" w:rsidP="00685360">
      <w:pPr>
        <w:rPr>
          <w:rFonts w:asciiTheme="minorHAnsi" w:hAnsiTheme="minorHAnsi"/>
          <w:lang w:val="en-GB"/>
        </w:rPr>
      </w:pPr>
      <w:r w:rsidRPr="00FD2F0C">
        <w:rPr>
          <w:rFonts w:asciiTheme="minorHAnsi" w:hAnsiTheme="minorHAnsi"/>
          <w:lang w:val="en-GB"/>
        </w:rPr>
        <w:t>This section addresses</w:t>
      </w:r>
      <w:r w:rsidR="007366D4" w:rsidRPr="00FD2F0C">
        <w:rPr>
          <w:rFonts w:asciiTheme="minorHAnsi" w:hAnsiTheme="minorHAnsi"/>
          <w:lang w:val="en-GB"/>
        </w:rPr>
        <w:t xml:space="preserve"> methodologies </w:t>
      </w:r>
      <w:r w:rsidR="00685360" w:rsidRPr="00FD2F0C">
        <w:rPr>
          <w:rFonts w:asciiTheme="minorHAnsi" w:hAnsiTheme="minorHAnsi"/>
          <w:lang w:val="en-GB" w:bidi="ar-EG"/>
        </w:rPr>
        <w:t>to e</w:t>
      </w:r>
      <w:r w:rsidR="007366D4" w:rsidRPr="00FD2F0C">
        <w:rPr>
          <w:rFonts w:asciiTheme="minorHAnsi" w:hAnsiTheme="minorHAnsi"/>
          <w:lang w:val="en-GB" w:bidi="ar-EG"/>
        </w:rPr>
        <w:t>valu</w:t>
      </w:r>
      <w:r w:rsidR="00685360" w:rsidRPr="00FD2F0C">
        <w:rPr>
          <w:rFonts w:asciiTheme="minorHAnsi" w:hAnsiTheme="minorHAnsi"/>
          <w:lang w:val="en-GB" w:bidi="ar-EG"/>
        </w:rPr>
        <w:t>ate</w:t>
      </w:r>
      <w:r w:rsidR="007366D4" w:rsidRPr="00FD2F0C">
        <w:rPr>
          <w:rFonts w:asciiTheme="minorHAnsi" w:hAnsiTheme="minorHAnsi"/>
          <w:lang w:val="en-GB" w:bidi="ar-EG"/>
        </w:rPr>
        <w:t xml:space="preserve"> spectrum fees. </w:t>
      </w:r>
      <w:r w:rsidR="007366D4" w:rsidRPr="00FD2F0C">
        <w:rPr>
          <w:rFonts w:asciiTheme="minorHAnsi" w:hAnsiTheme="minorHAnsi"/>
          <w:lang w:val="en-GB"/>
        </w:rPr>
        <w:t xml:space="preserve">There exist three types of spectrum fees </w:t>
      </w:r>
      <w:r w:rsidR="007366D4" w:rsidRPr="00FD2F0C">
        <w:rPr>
          <w:rFonts w:asciiTheme="minorHAnsi" w:hAnsiTheme="minorHAnsi"/>
          <w:lang w:val="en-US"/>
        </w:rPr>
        <w:t>–</w:t>
      </w:r>
      <w:r w:rsidR="007366D4" w:rsidRPr="00FD2F0C">
        <w:rPr>
          <w:rFonts w:asciiTheme="minorHAnsi" w:hAnsiTheme="minorHAnsi"/>
          <w:lang w:val="en-GB"/>
        </w:rPr>
        <w:t xml:space="preserve"> a one-time spectrum auction fee, annual spectrum use fees, and a non-recurring use fee (e.g. license amendment and renewal).</w:t>
      </w:r>
      <w:r w:rsidRPr="00FD2F0C">
        <w:rPr>
          <w:rFonts w:asciiTheme="minorHAnsi" w:hAnsiTheme="minorHAnsi"/>
          <w:lang w:val="en-GB"/>
        </w:rPr>
        <w:t xml:space="preserve"> A National Regulatory Authority (NRA)</w:t>
      </w:r>
      <w:r w:rsidR="007366D4" w:rsidRPr="00FD2F0C">
        <w:rPr>
          <w:rFonts w:asciiTheme="minorHAnsi" w:hAnsiTheme="minorHAnsi"/>
          <w:lang w:val="en-GB"/>
        </w:rPr>
        <w:t xml:space="preserve"> determines the specific spectrum fee by:</w:t>
      </w:r>
    </w:p>
    <w:p w14:paraId="344AA677" w14:textId="77777777" w:rsidR="007366D4" w:rsidRPr="00FD2F0C" w:rsidRDefault="007366D4" w:rsidP="0032197B">
      <w:pPr>
        <w:pStyle w:val="Bulletlist1"/>
        <w:numPr>
          <w:ilvl w:val="0"/>
          <w:numId w:val="14"/>
        </w:numPr>
        <w:jc w:val="both"/>
        <w:rPr>
          <w:rFonts w:asciiTheme="minorHAnsi" w:hAnsiTheme="minorHAnsi"/>
        </w:rPr>
      </w:pPr>
      <w:r w:rsidRPr="00FD2F0C">
        <w:rPr>
          <w:rFonts w:asciiTheme="minorHAnsi" w:hAnsiTheme="minorHAnsi"/>
          <w:b/>
          <w:bCs/>
        </w:rPr>
        <w:t>Setting general rules</w:t>
      </w:r>
      <w:r w:rsidRPr="00FD2F0C">
        <w:rPr>
          <w:rFonts w:asciiTheme="minorHAnsi" w:hAnsiTheme="minorHAnsi"/>
        </w:rPr>
        <w:t xml:space="preserve"> as a function of the type of application (commercial/non-commercial, civilian/non-civilian, exclusive/shared-use, etc.);</w:t>
      </w:r>
    </w:p>
    <w:p w14:paraId="2EE0F4D4" w14:textId="77777777" w:rsidR="007366D4" w:rsidRPr="00FD2F0C" w:rsidRDefault="007366D4" w:rsidP="0032197B">
      <w:pPr>
        <w:pStyle w:val="Bulletlist1"/>
        <w:numPr>
          <w:ilvl w:val="0"/>
          <w:numId w:val="14"/>
        </w:numPr>
        <w:jc w:val="both"/>
        <w:rPr>
          <w:rFonts w:asciiTheme="minorHAnsi" w:hAnsiTheme="minorHAnsi"/>
        </w:rPr>
      </w:pPr>
      <w:r w:rsidRPr="00FD2F0C">
        <w:rPr>
          <w:rFonts w:asciiTheme="minorHAnsi" w:hAnsiTheme="minorHAnsi"/>
          <w:b/>
          <w:bCs/>
        </w:rPr>
        <w:t xml:space="preserve">Identifying pricing factors: </w:t>
      </w:r>
      <w:r w:rsidRPr="00FD2F0C">
        <w:rPr>
          <w:rFonts w:asciiTheme="minorHAnsi" w:hAnsiTheme="minorHAnsi"/>
        </w:rPr>
        <w:t>The pricing factors an NRA uses to establish the auction reserve price and associated annual royalties for mobile licensees include both intrinsic and extrinsic characteristics associated with each spectrum band. Intrinsic factors relate to the type and characteristics of the band under consideration, such as propagation characteristics. Extrinsic factors cover aspects including physical (e.g., geography), socio-economic (GDP per capita, population density, etc.), and regulatory (competition policy, etc.) ones.</w:t>
      </w:r>
    </w:p>
    <w:p w14:paraId="071D3B71" w14:textId="0A88EE55" w:rsidR="007366D4" w:rsidRPr="00FD2F0C" w:rsidRDefault="007366D4" w:rsidP="00A51E9F">
      <w:pPr>
        <w:pStyle w:val="Figuretitle0"/>
        <w:rPr>
          <w:rFonts w:asciiTheme="minorHAnsi" w:hAnsiTheme="minorHAnsi"/>
          <w:lang w:eastAsia="en-US"/>
        </w:rPr>
      </w:pPr>
      <w:bookmarkStart w:id="77" w:name="_Toc485216164"/>
      <w:r w:rsidRPr="00FD2F0C">
        <w:rPr>
          <w:rFonts w:asciiTheme="minorHAnsi" w:hAnsiTheme="minorHAnsi"/>
          <w:lang w:eastAsia="en-US"/>
        </w:rPr>
        <w:t xml:space="preserve">Figure </w:t>
      </w:r>
      <w:r w:rsidR="00A51E9F" w:rsidRPr="00FD2F0C">
        <w:rPr>
          <w:rFonts w:asciiTheme="minorHAnsi" w:hAnsiTheme="minorHAnsi"/>
          <w:lang w:eastAsia="en-US"/>
        </w:rPr>
        <w:t>1</w:t>
      </w:r>
      <w:r w:rsidRPr="00FD2F0C">
        <w:rPr>
          <w:rFonts w:asciiTheme="minorHAnsi" w:hAnsiTheme="minorHAnsi"/>
          <w:lang w:eastAsia="en-US"/>
        </w:rPr>
        <w:t>: Spectrum pricing factors</w:t>
      </w:r>
      <w:bookmarkEnd w:id="77"/>
    </w:p>
    <w:p w14:paraId="077E0A0A" w14:textId="77777777" w:rsidR="007366D4" w:rsidRPr="00FD2F0C" w:rsidRDefault="007366D4" w:rsidP="007366D4">
      <w:pPr>
        <w:pStyle w:val="Figure"/>
        <w:rPr>
          <w:rFonts w:asciiTheme="minorHAnsi" w:hAnsiTheme="minorHAnsi"/>
          <w:lang w:eastAsia="en-US"/>
        </w:rPr>
      </w:pPr>
      <w:r w:rsidRPr="00FD2F0C">
        <w:rPr>
          <w:rFonts w:asciiTheme="minorHAnsi" w:hAnsiTheme="minorHAnsi"/>
          <w:noProof/>
          <w:lang w:val="en-GB" w:eastAsia="zh-CN"/>
        </w:rPr>
        <w:drawing>
          <wp:inline distT="0" distB="0" distL="0" distR="0" wp14:anchorId="7D81303E" wp14:editId="6024A79E">
            <wp:extent cx="4095750" cy="28860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95750" cy="2886075"/>
                    </a:xfrm>
                    <a:prstGeom prst="rect">
                      <a:avLst/>
                    </a:prstGeom>
                  </pic:spPr>
                </pic:pic>
              </a:graphicData>
            </a:graphic>
          </wp:inline>
        </w:drawing>
      </w:r>
    </w:p>
    <w:p w14:paraId="0953C6A7" w14:textId="77777777" w:rsidR="007366D4" w:rsidRPr="00FD2F0C" w:rsidRDefault="007366D4" w:rsidP="007366D4">
      <w:pPr>
        <w:pStyle w:val="Alternativetext"/>
        <w:rPr>
          <w:rFonts w:asciiTheme="minorHAnsi" w:hAnsiTheme="minorHAnsi"/>
          <w:lang w:val="en-GB" w:eastAsia="en-US"/>
        </w:rPr>
      </w:pPr>
      <w:r w:rsidRPr="00FD2F0C">
        <w:rPr>
          <w:rFonts w:asciiTheme="minorHAnsi" w:hAnsiTheme="minorHAnsi"/>
          <w:lang w:val="en-GB" w:eastAsia="en-US"/>
        </w:rPr>
        <w:t>Figure 4: Spectrum pricing factors</w:t>
      </w:r>
    </w:p>
    <w:p w14:paraId="6DF89DCD" w14:textId="77777777" w:rsidR="007366D4" w:rsidRPr="00FD2F0C" w:rsidRDefault="007366D4" w:rsidP="0032197B">
      <w:pPr>
        <w:pStyle w:val="Bulletlist1"/>
        <w:numPr>
          <w:ilvl w:val="0"/>
          <w:numId w:val="14"/>
        </w:numPr>
        <w:jc w:val="both"/>
        <w:rPr>
          <w:rFonts w:asciiTheme="minorHAnsi" w:hAnsiTheme="minorHAnsi"/>
          <w:b/>
          <w:bCs/>
          <w:lang w:bidi="ar-EG"/>
        </w:rPr>
      </w:pPr>
      <w:r w:rsidRPr="00FD2F0C">
        <w:rPr>
          <w:rFonts w:asciiTheme="minorHAnsi" w:hAnsiTheme="minorHAnsi"/>
          <w:b/>
          <w:bCs/>
          <w:lang w:bidi="ar-EG"/>
        </w:rPr>
        <w:t>Applying spectrum pricing methodologies:</w:t>
      </w:r>
    </w:p>
    <w:p w14:paraId="75CAB6F5"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b/>
          <w:bCs/>
        </w:rPr>
        <w:t>Administrative Fees Recovery (Cost based):</w:t>
      </w:r>
      <w:r w:rsidRPr="00FD2F0C">
        <w:rPr>
          <w:rFonts w:asciiTheme="minorHAnsi" w:hAnsiTheme="minorHAnsi"/>
        </w:rPr>
        <w:t xml:space="preserve"> Fees are calculated to recover different administrative costs including cost of issuing, processing and renewing licenses, spectrum planning, spectrum monitoring, international coordination, personnel, training and overheads</w:t>
      </w:r>
    </w:p>
    <w:p w14:paraId="7CD9CE02" w14:textId="5F14EED1" w:rsidR="007366D4" w:rsidRPr="00FD2F0C" w:rsidRDefault="007366D4" w:rsidP="00E8310C">
      <w:pPr>
        <w:pStyle w:val="Bulletlist2"/>
        <w:numPr>
          <w:ilvl w:val="0"/>
          <w:numId w:val="21"/>
        </w:numPr>
        <w:ind w:hanging="357"/>
        <w:jc w:val="both"/>
        <w:rPr>
          <w:rFonts w:asciiTheme="minorHAnsi" w:hAnsiTheme="minorHAnsi"/>
        </w:rPr>
      </w:pPr>
      <w:r w:rsidRPr="00FD2F0C">
        <w:rPr>
          <w:rFonts w:asciiTheme="minorHAnsi" w:hAnsiTheme="minorHAnsi"/>
          <w:b/>
          <w:bCs/>
        </w:rPr>
        <w:lastRenderedPageBreak/>
        <w:t>Market-based:</w:t>
      </w:r>
      <w:r w:rsidRPr="00FD2F0C">
        <w:rPr>
          <w:rFonts w:asciiTheme="minorHAnsi" w:hAnsiTheme="minorHAnsi"/>
        </w:rPr>
        <w:t xml:space="preserve"> Spectrum valuation is based on market needs and demands. Auctioning is </w:t>
      </w:r>
      <w:r w:rsidR="00E8310C" w:rsidRPr="00FD2F0C">
        <w:rPr>
          <w:rFonts w:asciiTheme="minorHAnsi" w:hAnsiTheme="minorHAnsi"/>
        </w:rPr>
        <w:t xml:space="preserve">one of the </w:t>
      </w:r>
      <w:r w:rsidRPr="00FD2F0C">
        <w:rPr>
          <w:rFonts w:asciiTheme="minorHAnsi" w:hAnsiTheme="minorHAnsi"/>
        </w:rPr>
        <w:t>method</w:t>
      </w:r>
      <w:r w:rsidR="00E8310C" w:rsidRPr="00FD2F0C">
        <w:rPr>
          <w:rFonts w:asciiTheme="minorHAnsi" w:hAnsiTheme="minorHAnsi"/>
        </w:rPr>
        <w:t>s</w:t>
      </w:r>
      <w:r w:rsidRPr="00FD2F0C">
        <w:rPr>
          <w:rFonts w:asciiTheme="minorHAnsi" w:hAnsiTheme="minorHAnsi"/>
        </w:rPr>
        <w:t xml:space="preserve"> </w:t>
      </w:r>
      <w:r w:rsidR="00E8310C" w:rsidRPr="00FD2F0C">
        <w:rPr>
          <w:rFonts w:asciiTheme="minorHAnsi" w:hAnsiTheme="minorHAnsi"/>
        </w:rPr>
        <w:t>used</w:t>
      </w:r>
      <w:r w:rsidR="00C12326" w:rsidRPr="00FD2F0C">
        <w:rPr>
          <w:rFonts w:asciiTheme="minorHAnsi" w:hAnsiTheme="minorHAnsi"/>
        </w:rPr>
        <w:t xml:space="preserve"> in this context</w:t>
      </w:r>
      <w:r w:rsidR="00E8310C" w:rsidRPr="00FD2F0C">
        <w:rPr>
          <w:rFonts w:asciiTheme="minorHAnsi" w:hAnsiTheme="minorHAnsi"/>
        </w:rPr>
        <w:t xml:space="preserve"> when the demand of spectrum is greater than the spectrum available.</w:t>
      </w:r>
      <w:r w:rsidRPr="00FD2F0C">
        <w:rPr>
          <w:rFonts w:asciiTheme="minorHAnsi" w:hAnsiTheme="minorHAnsi"/>
        </w:rPr>
        <w:t xml:space="preserve"> </w:t>
      </w:r>
    </w:p>
    <w:p w14:paraId="4AC1306A"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b/>
          <w:bCs/>
        </w:rPr>
        <w:t>Formulas:</w:t>
      </w:r>
      <w:r w:rsidRPr="00FD2F0C">
        <w:rPr>
          <w:rFonts w:asciiTheme="minorHAnsi" w:hAnsiTheme="minorHAnsi"/>
        </w:rPr>
        <w:t xml:space="preserve"> An administration can use certain formulas to approximate the market value of the spectrum. To do so, many parameters and factors need be incorporated and carefully assigned numerical values. Examples of such parameters include amount of spectrum (BW), type of band (Band Factor), band congestion factor (related to the opportunity cost), population density, coverage area, technology used, financial coefficient, and a socio-economic benefit coefficient. For example:</w:t>
      </w:r>
    </w:p>
    <w:p w14:paraId="706B3EED" w14:textId="77777777" w:rsidR="007366D4" w:rsidRPr="00FD2F0C" w:rsidRDefault="007366D4" w:rsidP="007366D4">
      <w:pPr>
        <w:ind w:left="1287"/>
        <w:rPr>
          <w:rFonts w:asciiTheme="minorHAnsi" w:eastAsia="Calibri" w:hAnsiTheme="minorHAnsi" w:cs="Calibri"/>
          <w:i/>
          <w:szCs w:val="24"/>
          <w:lang w:val="en-GB" w:eastAsia="en-US"/>
        </w:rPr>
      </w:pPr>
      <w:r w:rsidRPr="00FD2F0C">
        <w:rPr>
          <w:rFonts w:asciiTheme="minorHAnsi" w:eastAsia="Calibri" w:hAnsiTheme="minorHAnsi" w:cs="Calibri"/>
          <w:i/>
          <w:szCs w:val="24"/>
          <w:lang w:val="en-GB" w:eastAsia="en-US"/>
        </w:rPr>
        <w:t>Price = (Price per MHz) x BW x Band Factor x Coverage Factor x Congestion Factor / Social Benefit Factor</w:t>
      </w:r>
    </w:p>
    <w:p w14:paraId="63950B9B" w14:textId="64D87964" w:rsidR="00C71E8B" w:rsidRPr="00FD2F0C" w:rsidRDefault="00C71E8B" w:rsidP="00410109">
      <w:pPr>
        <w:rPr>
          <w:rFonts w:asciiTheme="minorHAnsi" w:hAnsiTheme="minorHAnsi"/>
          <w:lang w:val="en-US"/>
        </w:rPr>
      </w:pPr>
      <w:r w:rsidRPr="00FD2F0C">
        <w:rPr>
          <w:rFonts w:asciiTheme="minorHAnsi" w:hAnsiTheme="minorHAnsi"/>
          <w:b/>
          <w:lang w:val="en-US"/>
        </w:rPr>
        <w:t>Annex</w:t>
      </w:r>
      <w:r w:rsidR="00055FD0" w:rsidRPr="00FD2F0C">
        <w:rPr>
          <w:rFonts w:asciiTheme="minorHAnsi" w:hAnsiTheme="minorHAnsi"/>
          <w:b/>
          <w:lang w:val="en-US"/>
        </w:rPr>
        <w:t xml:space="preserve"> </w:t>
      </w:r>
      <w:r w:rsidR="00410109" w:rsidRPr="00FD2F0C">
        <w:rPr>
          <w:rFonts w:asciiTheme="minorHAnsi" w:hAnsiTheme="minorHAnsi"/>
          <w:b/>
          <w:lang w:val="en-US"/>
        </w:rPr>
        <w:t>2</w:t>
      </w:r>
      <w:r w:rsidR="00055FD0" w:rsidRPr="00FD2F0C">
        <w:rPr>
          <w:rFonts w:asciiTheme="minorHAnsi" w:hAnsiTheme="minorHAnsi"/>
          <w:lang w:val="en-US"/>
        </w:rPr>
        <w:t xml:space="preserve">, </w:t>
      </w:r>
      <w:r w:rsidR="00837FD7" w:rsidRPr="00FD2F0C">
        <w:rPr>
          <w:rFonts w:asciiTheme="minorHAnsi" w:hAnsiTheme="minorHAnsi"/>
          <w:lang w:val="en-US"/>
        </w:rPr>
        <w:t>S</w:t>
      </w:r>
      <w:r w:rsidR="00055FD0" w:rsidRPr="00FD2F0C">
        <w:rPr>
          <w:rFonts w:asciiTheme="minorHAnsi" w:hAnsiTheme="minorHAnsi"/>
          <w:lang w:val="en-US"/>
        </w:rPr>
        <w:t>ection</w:t>
      </w:r>
      <w:r w:rsidRPr="00FD2F0C">
        <w:rPr>
          <w:rFonts w:asciiTheme="minorHAnsi" w:hAnsiTheme="minorHAnsi"/>
          <w:lang w:val="en-US"/>
        </w:rPr>
        <w:t xml:space="preserve"> </w:t>
      </w:r>
      <w:r w:rsidR="00410109" w:rsidRPr="00FD2F0C">
        <w:rPr>
          <w:rFonts w:asciiTheme="minorHAnsi" w:hAnsiTheme="minorHAnsi" w:cstheme="minorHAnsi"/>
          <w:lang w:val="en-GB"/>
        </w:rPr>
        <w:t xml:space="preserve">A2-4 </w:t>
      </w:r>
      <w:r w:rsidRPr="00FD2F0C">
        <w:rPr>
          <w:rFonts w:asciiTheme="minorHAnsi" w:hAnsiTheme="minorHAnsi"/>
          <w:lang w:val="en-US"/>
        </w:rPr>
        <w:t>provides case studies</w:t>
      </w:r>
      <w:r w:rsidRPr="00FD2F0C">
        <w:rPr>
          <w:rFonts w:asciiTheme="minorHAnsi" w:hAnsiTheme="minorHAnsi"/>
          <w:lang w:val="en-GB"/>
        </w:rPr>
        <w:t xml:space="preserve"> from </w:t>
      </w:r>
      <w:r w:rsidR="008275BC" w:rsidRPr="00FD2F0C">
        <w:rPr>
          <w:rFonts w:asciiTheme="minorHAnsi" w:hAnsiTheme="minorHAnsi"/>
          <w:lang w:val="en-GB"/>
        </w:rPr>
        <w:t>Côte d’Ivoire</w:t>
      </w:r>
      <w:r w:rsidRPr="00FD2F0C">
        <w:rPr>
          <w:rFonts w:asciiTheme="minorHAnsi" w:hAnsiTheme="minorHAnsi"/>
          <w:lang w:val="en-GB"/>
        </w:rPr>
        <w:t xml:space="preserve"> </w:t>
      </w:r>
      <w:r w:rsidR="008275BC" w:rsidRPr="00FD2F0C">
        <w:rPr>
          <w:rFonts w:asciiTheme="minorHAnsi" w:hAnsiTheme="minorHAnsi"/>
          <w:lang w:val="en-GB"/>
        </w:rPr>
        <w:t xml:space="preserve">on Estimating costs of licenses and frequencies, </w:t>
      </w:r>
      <w:r w:rsidRPr="00FD2F0C">
        <w:rPr>
          <w:rFonts w:asciiTheme="minorHAnsi" w:hAnsiTheme="minorHAnsi"/>
          <w:lang w:val="en-US"/>
        </w:rPr>
        <w:t>Republic of Niger on Method to</w:t>
      </w:r>
      <w:r w:rsidR="00410109" w:rsidRPr="00FD2F0C">
        <w:rPr>
          <w:rFonts w:asciiTheme="minorHAnsi" w:hAnsiTheme="minorHAnsi"/>
          <w:lang w:val="en-US"/>
        </w:rPr>
        <w:t xml:space="preserve"> determine the frequency fees, the </w:t>
      </w:r>
      <w:r w:rsidRPr="00FD2F0C">
        <w:rPr>
          <w:rFonts w:asciiTheme="minorHAnsi" w:hAnsiTheme="minorHAnsi"/>
          <w:lang w:val="en-US"/>
        </w:rPr>
        <w:t xml:space="preserve">Russian Federation on Experience of </w:t>
      </w:r>
      <w:r w:rsidR="00410109" w:rsidRPr="00FD2F0C">
        <w:rPr>
          <w:rFonts w:asciiTheme="minorHAnsi" w:hAnsiTheme="minorHAnsi"/>
          <w:lang w:val="en-US"/>
        </w:rPr>
        <w:t xml:space="preserve">the </w:t>
      </w:r>
      <w:r w:rsidRPr="00FD2F0C">
        <w:rPr>
          <w:rFonts w:asciiTheme="minorHAnsi" w:hAnsiTheme="minorHAnsi"/>
          <w:lang w:val="en-US"/>
        </w:rPr>
        <w:t>Russian Federation in the field of spectrum fees, and Republic of Korea on Beauty contest and auction in spectrum management.</w:t>
      </w:r>
    </w:p>
    <w:p w14:paraId="0BAB2A62" w14:textId="2130E933" w:rsidR="00523DA6" w:rsidRPr="00FD2F0C" w:rsidRDefault="007366D4" w:rsidP="00A24E2C">
      <w:pPr>
        <w:pStyle w:val="Heading2"/>
        <w:numPr>
          <w:ilvl w:val="0"/>
          <w:numId w:val="0"/>
        </w:numPr>
        <w:rPr>
          <w:rFonts w:asciiTheme="minorHAnsi" w:hAnsiTheme="minorHAnsi"/>
        </w:rPr>
      </w:pPr>
      <w:bookmarkStart w:id="78" w:name="_Toc467836414"/>
      <w:bookmarkStart w:id="79" w:name="_Toc485647992"/>
      <w:r w:rsidRPr="00FD2F0C">
        <w:rPr>
          <w:rFonts w:asciiTheme="minorHAnsi" w:hAnsiTheme="minorHAnsi"/>
        </w:rPr>
        <w:t>2.</w:t>
      </w:r>
      <w:r w:rsidR="00CD3D44" w:rsidRPr="00FD2F0C">
        <w:rPr>
          <w:rFonts w:asciiTheme="minorHAnsi" w:hAnsiTheme="minorHAnsi"/>
        </w:rPr>
        <w:t>3</w:t>
      </w:r>
      <w:r w:rsidRPr="00FD2F0C">
        <w:rPr>
          <w:rFonts w:asciiTheme="minorHAnsi" w:hAnsiTheme="minorHAnsi"/>
        </w:rPr>
        <w:tab/>
      </w:r>
      <w:bookmarkStart w:id="80" w:name="_Toc482880485"/>
      <w:bookmarkEnd w:id="78"/>
      <w:r w:rsidR="00523DA6" w:rsidRPr="00FD2F0C">
        <w:rPr>
          <w:rFonts w:asciiTheme="minorHAnsi" w:hAnsiTheme="minorHAnsi"/>
        </w:rPr>
        <w:t xml:space="preserve">Economic aspects related to </w:t>
      </w:r>
      <w:r w:rsidR="00523DA6" w:rsidRPr="00FD2F0C">
        <w:rPr>
          <w:rFonts w:asciiTheme="minorHAnsi" w:hAnsiTheme="minorHAnsi"/>
          <w:lang w:val="en-GB"/>
        </w:rPr>
        <w:t xml:space="preserve">improving </w:t>
      </w:r>
      <w:bookmarkEnd w:id="80"/>
      <w:r w:rsidR="00523DA6" w:rsidRPr="00FD2F0C">
        <w:rPr>
          <w:rFonts w:asciiTheme="minorHAnsi" w:hAnsiTheme="minorHAnsi"/>
          <w:lang w:val="en-GB"/>
        </w:rPr>
        <w:t>broadband access</w:t>
      </w:r>
      <w:bookmarkEnd w:id="79"/>
    </w:p>
    <w:p w14:paraId="0C2044B8" w14:textId="77777777" w:rsidR="007366D4" w:rsidRPr="00FD2F0C" w:rsidRDefault="007366D4" w:rsidP="007366D4">
      <w:pPr>
        <w:rPr>
          <w:rFonts w:asciiTheme="minorHAnsi" w:hAnsiTheme="minorHAnsi" w:cstheme="minorHAnsi"/>
          <w:lang w:val="en-GB"/>
        </w:rPr>
      </w:pPr>
      <w:r w:rsidRPr="00FD2F0C">
        <w:rPr>
          <w:rFonts w:asciiTheme="minorHAnsi" w:hAnsiTheme="minorHAnsi" w:cstheme="minorHAnsi"/>
          <w:lang w:val="en-GB"/>
        </w:rPr>
        <w:t>While there continues to be improvement, broadband access remains unaffordable in the majority of the world’s poorest countries”.</w:t>
      </w:r>
      <w:r w:rsidRPr="00FD2F0C">
        <w:rPr>
          <w:rStyle w:val="FootnoteReference"/>
          <w:rFonts w:asciiTheme="minorHAnsi" w:hAnsiTheme="minorHAnsi"/>
        </w:rPr>
        <w:footnoteReference w:id="36"/>
      </w:r>
      <w:r w:rsidRPr="00FD2F0C">
        <w:rPr>
          <w:rFonts w:asciiTheme="minorHAnsi" w:hAnsiTheme="minorHAnsi" w:cstheme="minorHAnsi"/>
          <w:sz w:val="21"/>
          <w:szCs w:val="21"/>
          <w:lang w:val="en-GB"/>
        </w:rPr>
        <w:t xml:space="preserve"> </w:t>
      </w:r>
      <w:r w:rsidRPr="00FD2F0C">
        <w:rPr>
          <w:rFonts w:asciiTheme="minorHAnsi" w:hAnsiTheme="minorHAnsi" w:cstheme="minorHAnsi"/>
          <w:lang w:val="en-GB"/>
        </w:rPr>
        <w:t>Based on ITU estimates, the global ‘digital divide’ in calendar year 2016 can be characterized by:</w:t>
      </w:r>
    </w:p>
    <w:p w14:paraId="4CF8ECAF" w14:textId="4FC89EB2" w:rsidR="007366D4" w:rsidRPr="00FD2F0C" w:rsidRDefault="007366D4" w:rsidP="00E472D5">
      <w:pPr>
        <w:pStyle w:val="Tabletitle0"/>
        <w:keepNext/>
        <w:tabs>
          <w:tab w:val="left" w:pos="851"/>
        </w:tabs>
        <w:rPr>
          <w:rFonts w:asciiTheme="minorHAnsi" w:hAnsiTheme="minorHAnsi"/>
          <w:lang w:val="en-GB"/>
        </w:rPr>
      </w:pPr>
      <w:bookmarkStart w:id="81" w:name="_Toc485216169"/>
      <w:r w:rsidRPr="00FD2F0C">
        <w:rPr>
          <w:rFonts w:asciiTheme="minorHAnsi" w:hAnsiTheme="minorHAnsi"/>
          <w:lang w:val="en-GB"/>
        </w:rPr>
        <w:t xml:space="preserve">Table </w:t>
      </w:r>
      <w:r w:rsidR="00E472D5" w:rsidRPr="00FD2F0C">
        <w:rPr>
          <w:rFonts w:asciiTheme="minorHAnsi" w:hAnsiTheme="minorHAnsi"/>
          <w:lang w:val="en-GB"/>
        </w:rPr>
        <w:t>1</w:t>
      </w:r>
      <w:r w:rsidRPr="00FD2F0C">
        <w:rPr>
          <w:rFonts w:asciiTheme="minorHAnsi" w:hAnsiTheme="minorHAnsi"/>
          <w:lang w:val="en-GB"/>
        </w:rPr>
        <w:t>: The Digital Divide in 2016</w:t>
      </w:r>
      <w:bookmarkEnd w:id="81"/>
    </w:p>
    <w:tbl>
      <w:tblPr>
        <w:tblStyle w:val="TableGrid"/>
        <w:tblW w:w="5000" w:type="pct"/>
        <w:tblLook w:val="04A0" w:firstRow="1" w:lastRow="0" w:firstColumn="1" w:lastColumn="0" w:noHBand="0" w:noVBand="1"/>
      </w:tblPr>
      <w:tblGrid>
        <w:gridCol w:w="4628"/>
        <w:gridCol w:w="1576"/>
        <w:gridCol w:w="1576"/>
        <w:gridCol w:w="1849"/>
      </w:tblGrid>
      <w:tr w:rsidR="007366D4" w:rsidRPr="00FD2F0C" w14:paraId="5C96458B" w14:textId="77777777" w:rsidTr="00745ECC">
        <w:tc>
          <w:tcPr>
            <w:tcW w:w="4495" w:type="dxa"/>
          </w:tcPr>
          <w:p w14:paraId="049CDBFF" w14:textId="77777777" w:rsidR="007366D4" w:rsidRPr="00FD2F0C" w:rsidRDefault="007366D4" w:rsidP="00745ECC">
            <w:pPr>
              <w:pStyle w:val="Tableheadwhitecentred"/>
            </w:pPr>
          </w:p>
        </w:tc>
        <w:tc>
          <w:tcPr>
            <w:tcW w:w="4855" w:type="dxa"/>
            <w:gridSpan w:val="3"/>
          </w:tcPr>
          <w:p w14:paraId="10B07572" w14:textId="77777777" w:rsidR="007366D4" w:rsidRPr="00FD2F0C" w:rsidRDefault="007366D4" w:rsidP="00745ECC">
            <w:pPr>
              <w:pStyle w:val="Tableheadwhitecentred"/>
            </w:pPr>
            <w:r w:rsidRPr="00FD2F0C">
              <w:t>Country Classification</w:t>
            </w:r>
          </w:p>
        </w:tc>
      </w:tr>
      <w:tr w:rsidR="007366D4" w:rsidRPr="00FD2F0C" w14:paraId="288EA483" w14:textId="77777777" w:rsidTr="00745ECC">
        <w:tc>
          <w:tcPr>
            <w:tcW w:w="4495" w:type="dxa"/>
          </w:tcPr>
          <w:p w14:paraId="0BF6C901" w14:textId="77777777" w:rsidR="007366D4" w:rsidRPr="00FD2F0C" w:rsidRDefault="007366D4" w:rsidP="00745ECC">
            <w:pPr>
              <w:pStyle w:val="Tableheadwhitecentred"/>
            </w:pPr>
            <w:r w:rsidRPr="00FD2F0C">
              <w:t>Select Metrics</w:t>
            </w:r>
          </w:p>
        </w:tc>
        <w:tc>
          <w:tcPr>
            <w:tcW w:w="1530" w:type="dxa"/>
          </w:tcPr>
          <w:p w14:paraId="1589E73C" w14:textId="77777777" w:rsidR="007366D4" w:rsidRPr="00FD2F0C" w:rsidRDefault="007366D4" w:rsidP="00745ECC">
            <w:pPr>
              <w:pStyle w:val="Tableheadwhitecentred"/>
            </w:pPr>
            <w:r w:rsidRPr="00FD2F0C">
              <w:t>Developed</w:t>
            </w:r>
          </w:p>
        </w:tc>
        <w:tc>
          <w:tcPr>
            <w:tcW w:w="1530" w:type="dxa"/>
          </w:tcPr>
          <w:p w14:paraId="6678A14A" w14:textId="77777777" w:rsidR="007366D4" w:rsidRPr="00FD2F0C" w:rsidRDefault="007366D4" w:rsidP="00745ECC">
            <w:pPr>
              <w:pStyle w:val="Tableheadwhitecentred"/>
            </w:pPr>
            <w:r w:rsidRPr="00FD2F0C">
              <w:t>Developing</w:t>
            </w:r>
          </w:p>
        </w:tc>
        <w:tc>
          <w:tcPr>
            <w:tcW w:w="1795" w:type="dxa"/>
          </w:tcPr>
          <w:p w14:paraId="3CD09270" w14:textId="77777777" w:rsidR="007366D4" w:rsidRPr="00FD2F0C" w:rsidRDefault="007366D4" w:rsidP="00745ECC">
            <w:pPr>
              <w:pStyle w:val="Tableheadwhitecentred"/>
            </w:pPr>
            <w:r w:rsidRPr="00FD2F0C">
              <w:t>Less-Developed</w:t>
            </w:r>
          </w:p>
        </w:tc>
      </w:tr>
      <w:tr w:rsidR="007366D4" w:rsidRPr="00FD2F0C" w14:paraId="7B9B534A" w14:textId="77777777" w:rsidTr="00745ECC">
        <w:tc>
          <w:tcPr>
            <w:tcW w:w="4495" w:type="dxa"/>
          </w:tcPr>
          <w:p w14:paraId="0349F68F" w14:textId="77777777" w:rsidR="007366D4" w:rsidRPr="00FD2F0C" w:rsidRDefault="007366D4" w:rsidP="00745ECC">
            <w:pPr>
              <w:pStyle w:val="Tabletext0"/>
              <w:rPr>
                <w:lang w:val="en-GB"/>
              </w:rPr>
            </w:pPr>
            <w:r w:rsidRPr="00FD2F0C">
              <w:rPr>
                <w:lang w:val="en-GB"/>
              </w:rPr>
              <w:t>Percentage of individuals using the Internet</w:t>
            </w:r>
          </w:p>
        </w:tc>
        <w:tc>
          <w:tcPr>
            <w:tcW w:w="1530" w:type="dxa"/>
            <w:vAlign w:val="center"/>
          </w:tcPr>
          <w:p w14:paraId="47846B92" w14:textId="77777777" w:rsidR="007366D4" w:rsidRPr="00FD2F0C" w:rsidRDefault="007366D4" w:rsidP="00745ECC">
            <w:pPr>
              <w:pStyle w:val="Tabletextcentred"/>
            </w:pPr>
            <w:r w:rsidRPr="00FD2F0C">
              <w:t>81.0</w:t>
            </w:r>
          </w:p>
        </w:tc>
        <w:tc>
          <w:tcPr>
            <w:tcW w:w="1530" w:type="dxa"/>
            <w:vAlign w:val="center"/>
          </w:tcPr>
          <w:p w14:paraId="3E1F8C8B" w14:textId="77777777" w:rsidR="007366D4" w:rsidRPr="00FD2F0C" w:rsidRDefault="007366D4" w:rsidP="00745ECC">
            <w:pPr>
              <w:pStyle w:val="Tabletextcentred"/>
            </w:pPr>
            <w:r w:rsidRPr="00FD2F0C">
              <w:t>40.1</w:t>
            </w:r>
          </w:p>
        </w:tc>
        <w:tc>
          <w:tcPr>
            <w:tcW w:w="1795" w:type="dxa"/>
            <w:vAlign w:val="center"/>
          </w:tcPr>
          <w:p w14:paraId="5B5F8C6F" w14:textId="77777777" w:rsidR="007366D4" w:rsidRPr="00FD2F0C" w:rsidRDefault="007366D4" w:rsidP="00745ECC">
            <w:pPr>
              <w:pStyle w:val="Tabletextcentred"/>
            </w:pPr>
            <w:r w:rsidRPr="00FD2F0C">
              <w:t>15.2</w:t>
            </w:r>
          </w:p>
        </w:tc>
      </w:tr>
      <w:tr w:rsidR="007366D4" w:rsidRPr="00FD2F0C" w14:paraId="18CCBF2D" w14:textId="77777777" w:rsidTr="00745ECC">
        <w:tc>
          <w:tcPr>
            <w:tcW w:w="4495" w:type="dxa"/>
          </w:tcPr>
          <w:p w14:paraId="10D73D57" w14:textId="77777777" w:rsidR="007366D4" w:rsidRPr="00FD2F0C" w:rsidRDefault="007366D4" w:rsidP="00745ECC">
            <w:pPr>
              <w:pStyle w:val="Tabletext0"/>
              <w:rPr>
                <w:lang w:val="en-GB"/>
              </w:rPr>
            </w:pPr>
            <w:r w:rsidRPr="00FD2F0C">
              <w:rPr>
                <w:lang w:val="en-GB"/>
              </w:rPr>
              <w:t>Percentage of households with Internet access</w:t>
            </w:r>
          </w:p>
        </w:tc>
        <w:tc>
          <w:tcPr>
            <w:tcW w:w="1530" w:type="dxa"/>
            <w:vAlign w:val="center"/>
          </w:tcPr>
          <w:p w14:paraId="2C58E509" w14:textId="77777777" w:rsidR="007366D4" w:rsidRPr="00FD2F0C" w:rsidRDefault="007366D4" w:rsidP="00745ECC">
            <w:pPr>
              <w:pStyle w:val="Tabletextcentred"/>
            </w:pPr>
            <w:r w:rsidRPr="00FD2F0C">
              <w:t>83.8</w:t>
            </w:r>
          </w:p>
        </w:tc>
        <w:tc>
          <w:tcPr>
            <w:tcW w:w="1530" w:type="dxa"/>
            <w:vAlign w:val="center"/>
          </w:tcPr>
          <w:p w14:paraId="6957471C" w14:textId="77777777" w:rsidR="007366D4" w:rsidRPr="00FD2F0C" w:rsidRDefault="007366D4" w:rsidP="00745ECC">
            <w:pPr>
              <w:pStyle w:val="Tabletextcentred"/>
            </w:pPr>
            <w:r w:rsidRPr="00FD2F0C">
              <w:t>41.1</w:t>
            </w:r>
          </w:p>
        </w:tc>
        <w:tc>
          <w:tcPr>
            <w:tcW w:w="1795" w:type="dxa"/>
            <w:vAlign w:val="center"/>
          </w:tcPr>
          <w:p w14:paraId="544FE9E4" w14:textId="77777777" w:rsidR="007366D4" w:rsidRPr="00FD2F0C" w:rsidRDefault="007366D4" w:rsidP="00745ECC">
            <w:pPr>
              <w:pStyle w:val="Tabletextcentred"/>
            </w:pPr>
            <w:r w:rsidRPr="00FD2F0C">
              <w:t>11.1</w:t>
            </w:r>
          </w:p>
        </w:tc>
      </w:tr>
      <w:tr w:rsidR="007366D4" w:rsidRPr="00FD2F0C" w14:paraId="0AC016C3" w14:textId="77777777" w:rsidTr="00745ECC">
        <w:tc>
          <w:tcPr>
            <w:tcW w:w="4495" w:type="dxa"/>
          </w:tcPr>
          <w:p w14:paraId="01CED1AE" w14:textId="77777777" w:rsidR="007366D4" w:rsidRPr="00FD2F0C" w:rsidRDefault="007366D4" w:rsidP="00745ECC">
            <w:pPr>
              <w:pStyle w:val="Tabletext0"/>
            </w:pPr>
            <w:r w:rsidRPr="00FD2F0C">
              <w:t>Mobile broadband subscriptions per 100 inhabitants</w:t>
            </w:r>
          </w:p>
        </w:tc>
        <w:tc>
          <w:tcPr>
            <w:tcW w:w="1530" w:type="dxa"/>
            <w:vAlign w:val="center"/>
          </w:tcPr>
          <w:p w14:paraId="764EB9C1" w14:textId="77777777" w:rsidR="007366D4" w:rsidRPr="00FD2F0C" w:rsidRDefault="007366D4" w:rsidP="00745ECC">
            <w:pPr>
              <w:pStyle w:val="Tabletextcentred"/>
            </w:pPr>
            <w:r w:rsidRPr="00FD2F0C">
              <w:t>90.3</w:t>
            </w:r>
          </w:p>
        </w:tc>
        <w:tc>
          <w:tcPr>
            <w:tcW w:w="1530" w:type="dxa"/>
            <w:vAlign w:val="center"/>
          </w:tcPr>
          <w:p w14:paraId="45390E23" w14:textId="77777777" w:rsidR="007366D4" w:rsidRPr="00FD2F0C" w:rsidRDefault="007366D4" w:rsidP="00745ECC">
            <w:pPr>
              <w:pStyle w:val="Tabletextcentred"/>
            </w:pPr>
            <w:r w:rsidRPr="00FD2F0C">
              <w:t>40.9</w:t>
            </w:r>
          </w:p>
        </w:tc>
        <w:tc>
          <w:tcPr>
            <w:tcW w:w="1795" w:type="dxa"/>
            <w:vAlign w:val="center"/>
          </w:tcPr>
          <w:p w14:paraId="38E02A35" w14:textId="77777777" w:rsidR="007366D4" w:rsidRPr="00FD2F0C" w:rsidRDefault="007366D4" w:rsidP="00745ECC">
            <w:pPr>
              <w:pStyle w:val="Tabletextcentred"/>
            </w:pPr>
            <w:r w:rsidRPr="00FD2F0C">
              <w:t>19.4</w:t>
            </w:r>
          </w:p>
        </w:tc>
      </w:tr>
      <w:tr w:rsidR="007366D4" w:rsidRPr="00FD2F0C" w14:paraId="549D6B27" w14:textId="77777777" w:rsidTr="00745ECC">
        <w:tc>
          <w:tcPr>
            <w:tcW w:w="4495" w:type="dxa"/>
          </w:tcPr>
          <w:p w14:paraId="0635F2B6" w14:textId="77777777" w:rsidR="007366D4" w:rsidRPr="00FD2F0C" w:rsidRDefault="007366D4" w:rsidP="00745ECC">
            <w:pPr>
              <w:pStyle w:val="Tabletext0"/>
              <w:rPr>
                <w:lang w:val="en-GB"/>
              </w:rPr>
            </w:pPr>
            <w:r w:rsidRPr="00FD2F0C">
              <w:rPr>
                <w:lang w:val="en-GB"/>
              </w:rPr>
              <w:t>Fixed broadband subscriptions per 100 inhabitants</w:t>
            </w:r>
          </w:p>
        </w:tc>
        <w:tc>
          <w:tcPr>
            <w:tcW w:w="1530" w:type="dxa"/>
            <w:vAlign w:val="center"/>
          </w:tcPr>
          <w:p w14:paraId="5EACE89D" w14:textId="77777777" w:rsidR="007366D4" w:rsidRPr="00FD2F0C" w:rsidRDefault="007366D4" w:rsidP="00745ECC">
            <w:pPr>
              <w:pStyle w:val="Tabletextcentred"/>
            </w:pPr>
            <w:r w:rsidRPr="00FD2F0C">
              <w:t>30.1</w:t>
            </w:r>
          </w:p>
        </w:tc>
        <w:tc>
          <w:tcPr>
            <w:tcW w:w="1530" w:type="dxa"/>
            <w:vAlign w:val="center"/>
          </w:tcPr>
          <w:p w14:paraId="2A64A73A" w14:textId="77777777" w:rsidR="007366D4" w:rsidRPr="00FD2F0C" w:rsidRDefault="007366D4" w:rsidP="00745ECC">
            <w:pPr>
              <w:pStyle w:val="Tabletextcentred"/>
            </w:pPr>
            <w:r w:rsidRPr="00FD2F0C">
              <w:t>8.2</w:t>
            </w:r>
          </w:p>
        </w:tc>
        <w:tc>
          <w:tcPr>
            <w:tcW w:w="1795" w:type="dxa"/>
            <w:vAlign w:val="center"/>
          </w:tcPr>
          <w:p w14:paraId="72702DE4" w14:textId="77777777" w:rsidR="007366D4" w:rsidRPr="00FD2F0C" w:rsidRDefault="007366D4" w:rsidP="00745ECC">
            <w:pPr>
              <w:pStyle w:val="Tabletextcentred"/>
            </w:pPr>
            <w:r w:rsidRPr="00FD2F0C">
              <w:t>0.8</w:t>
            </w:r>
          </w:p>
        </w:tc>
      </w:tr>
      <w:tr w:rsidR="007366D4" w:rsidRPr="00FD2F0C" w14:paraId="479722D7" w14:textId="77777777" w:rsidTr="00745ECC">
        <w:tc>
          <w:tcPr>
            <w:tcW w:w="4495" w:type="dxa"/>
          </w:tcPr>
          <w:p w14:paraId="3624A397" w14:textId="77777777" w:rsidR="007366D4" w:rsidRPr="00FD2F0C" w:rsidRDefault="007366D4" w:rsidP="00745ECC">
            <w:pPr>
              <w:pStyle w:val="Tabletext0"/>
              <w:rPr>
                <w:lang w:val="en-GB"/>
              </w:rPr>
            </w:pPr>
            <w:r w:rsidRPr="00FD2F0C">
              <w:rPr>
                <w:lang w:val="en-GB"/>
              </w:rPr>
              <w:t>Broadband affordability – Price for the basic service less than five per cent of average monthly gross national income</w:t>
            </w:r>
          </w:p>
        </w:tc>
        <w:tc>
          <w:tcPr>
            <w:tcW w:w="1530" w:type="dxa"/>
            <w:vAlign w:val="center"/>
          </w:tcPr>
          <w:p w14:paraId="36A4AB54" w14:textId="77777777" w:rsidR="007366D4" w:rsidRPr="00FD2F0C" w:rsidRDefault="007366D4" w:rsidP="00745ECC">
            <w:pPr>
              <w:pStyle w:val="Tabletextcentred"/>
            </w:pPr>
            <w:r w:rsidRPr="00FD2F0C">
              <w:t>45 of 45</w:t>
            </w:r>
          </w:p>
        </w:tc>
        <w:tc>
          <w:tcPr>
            <w:tcW w:w="1530" w:type="dxa"/>
            <w:vAlign w:val="center"/>
          </w:tcPr>
          <w:p w14:paraId="664D7654" w14:textId="77777777" w:rsidR="007366D4" w:rsidRPr="00FD2F0C" w:rsidRDefault="007366D4" w:rsidP="00745ECC">
            <w:pPr>
              <w:pStyle w:val="Tabletextcentred"/>
            </w:pPr>
            <w:r w:rsidRPr="00FD2F0C">
              <w:t>88 of 106</w:t>
            </w:r>
          </w:p>
        </w:tc>
        <w:tc>
          <w:tcPr>
            <w:tcW w:w="1795" w:type="dxa"/>
            <w:vAlign w:val="center"/>
          </w:tcPr>
          <w:p w14:paraId="44C152ED" w14:textId="77777777" w:rsidR="007366D4" w:rsidRPr="00FD2F0C" w:rsidRDefault="007366D4" w:rsidP="00745ECC">
            <w:pPr>
              <w:pStyle w:val="Tabletextcentred"/>
            </w:pPr>
            <w:r w:rsidRPr="00FD2F0C">
              <w:t>5 of 43</w:t>
            </w:r>
          </w:p>
        </w:tc>
      </w:tr>
    </w:tbl>
    <w:p w14:paraId="0C207CA8" w14:textId="0C3F0779" w:rsidR="007366D4" w:rsidRPr="00FD2F0C" w:rsidRDefault="007366D4">
      <w:pPr>
        <w:rPr>
          <w:rFonts w:asciiTheme="minorHAnsi" w:hAnsiTheme="minorHAnsi"/>
          <w:lang w:val="en-GB"/>
        </w:rPr>
      </w:pPr>
      <w:r w:rsidRPr="00FD2F0C">
        <w:rPr>
          <w:rFonts w:asciiTheme="minorHAnsi" w:hAnsiTheme="minorHAnsi"/>
          <w:lang w:val="en-GB"/>
        </w:rPr>
        <w:t xml:space="preserve">At the end of 2015, 88 developing countries had achieved the Broadband Commission’s affordability target set in 2011 </w:t>
      </w:r>
      <w:r w:rsidRPr="00FD2F0C">
        <w:rPr>
          <w:rFonts w:asciiTheme="minorHAnsi" w:hAnsiTheme="minorHAnsi"/>
          <w:lang w:val="en-US"/>
        </w:rPr>
        <w:t>–</w:t>
      </w:r>
      <w:r w:rsidRPr="00FD2F0C">
        <w:rPr>
          <w:rFonts w:asciiTheme="minorHAnsi" w:hAnsiTheme="minorHAnsi"/>
          <w:lang w:val="en-GB"/>
        </w:rPr>
        <w:t xml:space="preserve"> “By 2015, entry-level broadband services, should be made affordable in developing countries through adequate regulation and market forces (amounting to less than 5 per cent of average monthly income)”.</w:t>
      </w:r>
      <w:r w:rsidRPr="00FD2F0C">
        <w:rPr>
          <w:rStyle w:val="FootnoteReference"/>
          <w:rFonts w:asciiTheme="minorHAnsi" w:hAnsiTheme="minorHAnsi" w:cstheme="minorHAnsi"/>
          <w:lang w:val="en-GB"/>
        </w:rPr>
        <w:t xml:space="preserve"> </w:t>
      </w:r>
      <w:r w:rsidRPr="00FD2F0C">
        <w:rPr>
          <w:rStyle w:val="FootnoteReference"/>
          <w:rFonts w:asciiTheme="minorHAnsi" w:hAnsiTheme="minorHAnsi" w:cstheme="minorHAnsi"/>
        </w:rPr>
        <w:footnoteReference w:id="37"/>
      </w:r>
      <w:r w:rsidRPr="00FD2F0C">
        <w:rPr>
          <w:rFonts w:asciiTheme="minorHAnsi" w:hAnsiTheme="minorHAnsi"/>
          <w:lang w:val="en-GB"/>
        </w:rPr>
        <w:t xml:space="preserve"> Broadband in 18 developing countries (excluding LDCs) and 38 LDC countries, where available, is still considered unaffordable vis-à-vis the Broadband Commission’s target. Even in these administrations where entry-level broadband prices, on average, is considered affordable, there are populations within, often in the less densely populated areas, where entry-level service remains unaffordable.</w:t>
      </w:r>
    </w:p>
    <w:p w14:paraId="555AF7BF" w14:textId="77777777" w:rsidR="007366D4" w:rsidRPr="00FD2F0C" w:rsidRDefault="007366D4" w:rsidP="007366D4">
      <w:pPr>
        <w:rPr>
          <w:rFonts w:asciiTheme="minorHAnsi" w:hAnsiTheme="minorHAnsi"/>
          <w:lang w:val="en-GB"/>
        </w:rPr>
      </w:pPr>
      <w:r w:rsidRPr="00FD2F0C">
        <w:rPr>
          <w:rFonts w:asciiTheme="minorHAnsi" w:hAnsiTheme="minorHAnsi"/>
          <w:lang w:val="en-GB"/>
        </w:rPr>
        <w:lastRenderedPageBreak/>
        <w:t>The most recent ITU statistics indicate that: (1) Mobile broadband services have become more affordable than fixed-broadband services; (2) The average price of a basic fixed-broadband plan is more than twice as high as the average prices of a comparable mobile broadband plan, and (3) In LDC’s, fixed-broadband services are on average more than three times as expensive as mobile-broadband services.</w:t>
      </w:r>
    </w:p>
    <w:p w14:paraId="1DDF3580" w14:textId="6AA9F08F" w:rsidR="007366D4" w:rsidRPr="00FD2F0C" w:rsidRDefault="007366D4">
      <w:pPr>
        <w:rPr>
          <w:rFonts w:asciiTheme="minorHAnsi" w:hAnsiTheme="minorHAnsi"/>
          <w:lang w:val="en-GB"/>
        </w:rPr>
      </w:pPr>
      <w:r w:rsidRPr="00FD2F0C">
        <w:rPr>
          <w:rFonts w:asciiTheme="minorHAnsi" w:hAnsiTheme="minorHAnsi"/>
          <w:lang w:val="en-GB"/>
        </w:rPr>
        <w:t xml:space="preserve">Administrations in developing countries, including LDCs, are pursuing strategies to ensure basic broadband service is available and affordable for all its residents. Without the available broadband service being affordable, for many it has the same net effect as if there were no broadband coverage at all. </w:t>
      </w:r>
    </w:p>
    <w:p w14:paraId="1714448C" w14:textId="55F6AD53" w:rsidR="007366D4" w:rsidRPr="00FD2F0C" w:rsidRDefault="004B3BE9" w:rsidP="00E73393">
      <w:pPr>
        <w:pStyle w:val="Heading2"/>
        <w:numPr>
          <w:ilvl w:val="0"/>
          <w:numId w:val="0"/>
        </w:numPr>
        <w:rPr>
          <w:rFonts w:asciiTheme="minorHAnsi" w:hAnsiTheme="minorHAnsi"/>
        </w:rPr>
      </w:pPr>
      <w:bookmarkStart w:id="82" w:name="_Toc467836415"/>
      <w:bookmarkStart w:id="83" w:name="_Toc485647993"/>
      <w:r w:rsidRPr="00FD2F0C">
        <w:rPr>
          <w:rFonts w:asciiTheme="minorHAnsi" w:hAnsiTheme="minorHAnsi"/>
        </w:rPr>
        <w:t>2.</w:t>
      </w:r>
      <w:r w:rsidR="001B4E2F" w:rsidRPr="00FD2F0C">
        <w:rPr>
          <w:rFonts w:asciiTheme="minorHAnsi" w:hAnsiTheme="minorHAnsi"/>
        </w:rPr>
        <w:t>4</w:t>
      </w:r>
      <w:r w:rsidRPr="00FD2F0C">
        <w:rPr>
          <w:rFonts w:asciiTheme="minorHAnsi" w:hAnsiTheme="minorHAnsi"/>
        </w:rPr>
        <w:tab/>
      </w:r>
      <w:r w:rsidR="007366D4" w:rsidRPr="00FD2F0C">
        <w:rPr>
          <w:rFonts w:asciiTheme="minorHAnsi" w:hAnsiTheme="minorHAnsi"/>
        </w:rPr>
        <w:t>Assessing the economic benefits of using spectrum</w:t>
      </w:r>
      <w:bookmarkEnd w:id="82"/>
      <w:bookmarkEnd w:id="83"/>
      <w:r w:rsidR="007366D4" w:rsidRPr="00FD2F0C">
        <w:rPr>
          <w:rFonts w:asciiTheme="minorHAnsi" w:hAnsiTheme="minorHAnsi"/>
        </w:rPr>
        <w:t xml:space="preserve"> </w:t>
      </w:r>
    </w:p>
    <w:p w14:paraId="7F96688D" w14:textId="66754D68" w:rsidR="007366D4" w:rsidRPr="00FD2F0C" w:rsidRDefault="004B3BE9">
      <w:pPr>
        <w:rPr>
          <w:rFonts w:asciiTheme="minorHAnsi" w:hAnsiTheme="minorHAnsi" w:cstheme="minorHAnsi"/>
          <w:lang w:val="en-GB"/>
        </w:rPr>
      </w:pPr>
      <w:r w:rsidRPr="00FD2F0C">
        <w:rPr>
          <w:rFonts w:asciiTheme="minorHAnsi" w:hAnsiTheme="minorHAnsi" w:cstheme="minorHAnsi"/>
          <w:lang w:val="en-GB"/>
        </w:rPr>
        <w:t xml:space="preserve">The ITU-R Report on the Economic aspects of spectrum management, cites two methods used for quantifying economic benefits by </w:t>
      </w:r>
      <w:r w:rsidR="007366D4" w:rsidRPr="00FD2F0C">
        <w:rPr>
          <w:rFonts w:asciiTheme="minorHAnsi" w:hAnsiTheme="minorHAnsi" w:cstheme="minorHAnsi"/>
          <w:lang w:val="en-GB"/>
        </w:rPr>
        <w:t>calculat</w:t>
      </w:r>
      <w:r w:rsidRPr="00FD2F0C">
        <w:rPr>
          <w:rFonts w:asciiTheme="minorHAnsi" w:hAnsiTheme="minorHAnsi" w:cstheme="minorHAnsi"/>
          <w:lang w:val="en-GB"/>
        </w:rPr>
        <w:t>ing</w:t>
      </w:r>
      <w:r w:rsidR="007366D4" w:rsidRPr="00FD2F0C">
        <w:rPr>
          <w:rFonts w:asciiTheme="minorHAnsi" w:hAnsiTheme="minorHAnsi" w:cstheme="minorHAnsi"/>
          <w:lang w:val="en-GB"/>
        </w:rPr>
        <w:t xml:space="preserve"> the contribution of radio use to the economy</w:t>
      </w:r>
      <w:r w:rsidRPr="00FD2F0C">
        <w:rPr>
          <w:rFonts w:asciiTheme="minorHAnsi" w:hAnsiTheme="minorHAnsi" w:cstheme="minorHAnsi"/>
          <w:lang w:val="en-GB"/>
        </w:rPr>
        <w:t xml:space="preserve"> using</w:t>
      </w:r>
      <w:r w:rsidR="007366D4" w:rsidRPr="00FD2F0C">
        <w:rPr>
          <w:rFonts w:asciiTheme="minorHAnsi" w:hAnsiTheme="minorHAnsi" w:cstheme="minorHAnsi"/>
          <w:lang w:val="en-GB"/>
        </w:rPr>
        <w:t>: (1) Gross Domestic Product (GDP) and employment and (2) Consumer and producer surplus.</w:t>
      </w:r>
      <w:r w:rsidR="007366D4" w:rsidRPr="00FD2F0C">
        <w:rPr>
          <w:rStyle w:val="FootnoteReference"/>
          <w:rFonts w:asciiTheme="minorHAnsi" w:hAnsiTheme="minorHAnsi"/>
        </w:rPr>
        <w:footnoteReference w:id="38"/>
      </w:r>
      <w:r w:rsidR="007366D4" w:rsidRPr="00FD2F0C">
        <w:rPr>
          <w:rFonts w:asciiTheme="minorHAnsi" w:hAnsiTheme="minorHAnsi" w:cstheme="minorHAnsi"/>
          <w:lang w:val="en-GB"/>
        </w:rPr>
        <w:t xml:space="preserve"> Each method has its associated advantages and disadvantages.</w:t>
      </w:r>
      <w:r w:rsidR="007366D4" w:rsidRPr="00FD2F0C">
        <w:rPr>
          <w:rStyle w:val="FootnoteReference"/>
          <w:rFonts w:asciiTheme="minorHAnsi" w:hAnsiTheme="minorHAnsi" w:cstheme="minorHAnsi"/>
          <w:szCs w:val="21"/>
        </w:rPr>
        <w:footnoteReference w:id="39"/>
      </w:r>
    </w:p>
    <w:p w14:paraId="4835E42E" w14:textId="3D276C71" w:rsidR="004B3BE9" w:rsidRPr="00FD2F0C" w:rsidRDefault="004B3BE9" w:rsidP="00E73393">
      <w:pPr>
        <w:pStyle w:val="Heading3"/>
        <w:numPr>
          <w:ilvl w:val="0"/>
          <w:numId w:val="0"/>
        </w:numPr>
        <w:ind w:left="720" w:hanging="720"/>
        <w:rPr>
          <w:rFonts w:asciiTheme="minorHAnsi" w:eastAsia="SimSun" w:hAnsiTheme="minorHAnsi"/>
        </w:rPr>
      </w:pPr>
      <w:bookmarkStart w:id="84" w:name="_Toc485647994"/>
      <w:r w:rsidRPr="00FD2F0C">
        <w:rPr>
          <w:rFonts w:asciiTheme="minorHAnsi" w:eastAsia="SimSun" w:hAnsiTheme="minorHAnsi"/>
        </w:rPr>
        <w:t>2.</w:t>
      </w:r>
      <w:r w:rsidR="001B4E2F" w:rsidRPr="00FD2F0C">
        <w:rPr>
          <w:rFonts w:asciiTheme="minorHAnsi" w:eastAsia="SimSun" w:hAnsiTheme="minorHAnsi"/>
        </w:rPr>
        <w:t>4</w:t>
      </w:r>
      <w:r w:rsidRPr="00FD2F0C">
        <w:rPr>
          <w:rFonts w:asciiTheme="minorHAnsi" w:eastAsia="SimSun" w:hAnsiTheme="minorHAnsi"/>
        </w:rPr>
        <w:t>.1</w:t>
      </w:r>
      <w:r w:rsidRPr="00FD2F0C">
        <w:rPr>
          <w:rFonts w:asciiTheme="minorHAnsi" w:eastAsia="SimSun" w:hAnsiTheme="minorHAnsi"/>
        </w:rPr>
        <w:tab/>
        <w:t>Economic benefits of licensed spectrum</w:t>
      </w:r>
      <w:bookmarkEnd w:id="84"/>
    </w:p>
    <w:p w14:paraId="567F9565" w14:textId="531DE86E" w:rsidR="007366D4" w:rsidRPr="00FD2F0C" w:rsidRDefault="007366D4">
      <w:pPr>
        <w:rPr>
          <w:rFonts w:asciiTheme="minorHAnsi" w:hAnsiTheme="minorHAnsi" w:cstheme="minorHAnsi"/>
          <w:lang w:val="en-GB"/>
        </w:rPr>
      </w:pPr>
      <w:r w:rsidRPr="00FD2F0C">
        <w:rPr>
          <w:rFonts w:asciiTheme="minorHAnsi" w:hAnsiTheme="minorHAnsi" w:cstheme="minorHAnsi"/>
          <w:lang w:val="en-GB"/>
        </w:rPr>
        <w:t>The benefits derived by a telecommunications operator from its spectrum occupancy may be evaluated by considering</w:t>
      </w:r>
      <w:r w:rsidR="001B2628" w:rsidRPr="00FD2F0C">
        <w:rPr>
          <w:rFonts w:asciiTheme="minorHAnsi" w:hAnsiTheme="minorHAnsi" w:cstheme="minorHAnsi"/>
          <w:lang w:val="en-GB"/>
        </w:rPr>
        <w:t>, among other things,</w:t>
      </w:r>
      <w:r w:rsidRPr="00FD2F0C">
        <w:rPr>
          <w:rFonts w:asciiTheme="minorHAnsi" w:hAnsiTheme="minorHAnsi" w:cstheme="minorHAnsi"/>
          <w:lang w:val="en-GB"/>
        </w:rPr>
        <w:t xml:space="preserve"> its net operating results. From the economic and accounting standpoint, </w:t>
      </w:r>
      <w:r w:rsidR="001B2628" w:rsidRPr="00FD2F0C">
        <w:rPr>
          <w:rFonts w:asciiTheme="minorHAnsi" w:hAnsiTheme="minorHAnsi" w:cstheme="minorHAnsi"/>
          <w:lang w:val="en-GB"/>
        </w:rPr>
        <w:t xml:space="preserve">the </w:t>
      </w:r>
      <w:r w:rsidRPr="00FD2F0C">
        <w:rPr>
          <w:rFonts w:asciiTheme="minorHAnsi" w:hAnsiTheme="minorHAnsi" w:cstheme="minorHAnsi"/>
          <w:lang w:val="en-GB"/>
        </w:rPr>
        <w:t xml:space="preserve">fees </w:t>
      </w:r>
      <w:r w:rsidR="001B2628" w:rsidRPr="00FD2F0C">
        <w:rPr>
          <w:rFonts w:asciiTheme="minorHAnsi" w:hAnsiTheme="minorHAnsi" w:cstheme="minorHAnsi"/>
          <w:lang w:val="en-GB"/>
        </w:rPr>
        <w:t xml:space="preserve">associated with frequency usage and applied to an operator should be in relation to its </w:t>
      </w:r>
      <w:r w:rsidRPr="00FD2F0C">
        <w:rPr>
          <w:rFonts w:asciiTheme="minorHAnsi" w:hAnsiTheme="minorHAnsi" w:cstheme="minorHAnsi"/>
          <w:lang w:val="en-GB"/>
        </w:rPr>
        <w:t xml:space="preserve">net operating result. </w:t>
      </w:r>
    </w:p>
    <w:p w14:paraId="779337FA" w14:textId="3D6AB7A7" w:rsidR="001B2628" w:rsidRPr="00FD2F0C" w:rsidRDefault="007366D4" w:rsidP="007366D4">
      <w:pPr>
        <w:rPr>
          <w:rFonts w:asciiTheme="minorHAnsi" w:hAnsiTheme="minorHAnsi" w:cstheme="minorHAnsi"/>
          <w:lang w:val="en-GB"/>
        </w:rPr>
      </w:pPr>
      <w:r w:rsidRPr="00FD2F0C">
        <w:rPr>
          <w:rFonts w:asciiTheme="minorHAnsi" w:hAnsiTheme="minorHAnsi" w:cstheme="minorHAnsi"/>
          <w:lang w:val="en-GB"/>
        </w:rPr>
        <w:t>Some of the economic condition surrounding licensed operations include the following factors: socio-economic factors, characteristics of authorizations or licenses allocated, terms of reference of authorized operators, comparison/transportation of fee levels.</w:t>
      </w:r>
      <w:r w:rsidRPr="00FD2F0C">
        <w:rPr>
          <w:rStyle w:val="FootnoteReference"/>
          <w:rFonts w:asciiTheme="minorHAnsi" w:hAnsiTheme="minorHAnsi" w:cstheme="minorHAnsi"/>
        </w:rPr>
        <w:footnoteReference w:id="40"/>
      </w:r>
      <w:r w:rsidRPr="00FD2F0C">
        <w:rPr>
          <w:rFonts w:asciiTheme="minorHAnsi" w:hAnsiTheme="minorHAnsi" w:cstheme="minorHAnsi"/>
          <w:lang w:val="en-GB"/>
        </w:rPr>
        <w:t xml:space="preserve"> </w:t>
      </w:r>
    </w:p>
    <w:p w14:paraId="65D76E6D" w14:textId="72598E8E" w:rsidR="001B2628" w:rsidRPr="00FD2F0C" w:rsidRDefault="007366D4">
      <w:pPr>
        <w:rPr>
          <w:rFonts w:asciiTheme="minorHAnsi" w:hAnsiTheme="minorHAnsi" w:cstheme="minorHAnsi"/>
          <w:lang w:val="en-GB"/>
        </w:rPr>
      </w:pPr>
      <w:r w:rsidRPr="00FD2F0C">
        <w:rPr>
          <w:rFonts w:asciiTheme="minorHAnsi" w:hAnsiTheme="minorHAnsi" w:cstheme="minorHAnsi"/>
          <w:lang w:val="en-GB"/>
        </w:rPr>
        <w:t xml:space="preserve">Additional factors affecting the value of the economic benefits that arise from the use of licensed radio spectrum include: (1) frequency availability; (2) suitability; (3) demand; and (4) country geography that incorporates regional variations and spectrum congestion. </w:t>
      </w:r>
    </w:p>
    <w:p w14:paraId="14B42823" w14:textId="70BEDC5D" w:rsidR="007366D4" w:rsidRPr="00FD2F0C" w:rsidRDefault="001B2628">
      <w:pPr>
        <w:rPr>
          <w:rFonts w:asciiTheme="minorHAnsi" w:hAnsiTheme="minorHAnsi" w:cstheme="minorHAnsi"/>
          <w:lang w:val="en-GB"/>
        </w:rPr>
      </w:pPr>
      <w:r w:rsidRPr="00FD2F0C">
        <w:rPr>
          <w:rFonts w:asciiTheme="minorHAnsi" w:hAnsiTheme="minorHAnsi" w:cstheme="minorHAnsi"/>
          <w:lang w:val="en-GB"/>
        </w:rPr>
        <w:t xml:space="preserve">Although the application of </w:t>
      </w:r>
      <w:r w:rsidR="007366D4" w:rsidRPr="00FD2F0C">
        <w:rPr>
          <w:rFonts w:asciiTheme="minorHAnsi" w:hAnsiTheme="minorHAnsi" w:cstheme="minorHAnsi"/>
          <w:lang w:val="en-GB"/>
        </w:rPr>
        <w:t xml:space="preserve">frequency usage fees </w:t>
      </w:r>
      <w:r w:rsidRPr="00FD2F0C">
        <w:rPr>
          <w:rFonts w:asciiTheme="minorHAnsi" w:hAnsiTheme="minorHAnsi" w:cstheme="minorHAnsi"/>
          <w:lang w:val="en-GB"/>
        </w:rPr>
        <w:t xml:space="preserve">is a legitimate approach, those fees </w:t>
      </w:r>
      <w:r w:rsidR="007366D4" w:rsidRPr="00FD2F0C">
        <w:rPr>
          <w:rFonts w:asciiTheme="minorHAnsi" w:hAnsiTheme="minorHAnsi" w:cstheme="minorHAnsi"/>
          <w:lang w:val="en-GB"/>
        </w:rPr>
        <w:t>must not be set too high in order not to discourage initiatives and hamper the development of new services. In any event, the level of the fees cannot exceed the operator’s propensity to pay.</w:t>
      </w:r>
      <w:r w:rsidR="007366D4" w:rsidRPr="00FD2F0C">
        <w:rPr>
          <w:rStyle w:val="FootnoteReference"/>
          <w:rFonts w:asciiTheme="minorHAnsi" w:hAnsiTheme="minorHAnsi" w:cstheme="minorHAnsi"/>
        </w:rPr>
        <w:footnoteReference w:id="41"/>
      </w:r>
    </w:p>
    <w:p w14:paraId="5E7486B4" w14:textId="5FB5DB46" w:rsidR="00F96777" w:rsidRPr="00FD2F0C" w:rsidRDefault="00F96777" w:rsidP="00742216">
      <w:pPr>
        <w:pStyle w:val="Heading3"/>
        <w:numPr>
          <w:ilvl w:val="0"/>
          <w:numId w:val="0"/>
        </w:numPr>
        <w:ind w:left="720" w:hanging="720"/>
        <w:rPr>
          <w:rFonts w:asciiTheme="minorHAnsi" w:eastAsia="SimSun" w:hAnsiTheme="minorHAnsi"/>
        </w:rPr>
      </w:pPr>
      <w:bookmarkStart w:id="85" w:name="_Toc485647995"/>
      <w:r w:rsidRPr="00FD2F0C">
        <w:rPr>
          <w:rFonts w:asciiTheme="minorHAnsi" w:eastAsia="SimSun" w:hAnsiTheme="minorHAnsi"/>
        </w:rPr>
        <w:t>2.</w:t>
      </w:r>
      <w:r w:rsidR="001B4E2F" w:rsidRPr="00FD2F0C">
        <w:rPr>
          <w:rFonts w:asciiTheme="minorHAnsi" w:eastAsia="SimSun" w:hAnsiTheme="minorHAnsi"/>
        </w:rPr>
        <w:t>4</w:t>
      </w:r>
      <w:r w:rsidRPr="00FD2F0C">
        <w:rPr>
          <w:rFonts w:asciiTheme="minorHAnsi" w:eastAsia="SimSun" w:hAnsiTheme="minorHAnsi"/>
        </w:rPr>
        <w:t>.2</w:t>
      </w:r>
      <w:r w:rsidRPr="00FD2F0C">
        <w:rPr>
          <w:rFonts w:asciiTheme="minorHAnsi" w:eastAsia="SimSun" w:hAnsiTheme="minorHAnsi"/>
        </w:rPr>
        <w:tab/>
        <w:t>Economic benefits of license-exempt spectrum</w:t>
      </w:r>
      <w:bookmarkEnd w:id="85"/>
    </w:p>
    <w:p w14:paraId="376085E0" w14:textId="6C6F1880" w:rsidR="007366D4" w:rsidRPr="00FD2F0C" w:rsidRDefault="00A16772" w:rsidP="00C12326">
      <w:pPr>
        <w:rPr>
          <w:rFonts w:asciiTheme="minorHAnsi" w:hAnsiTheme="minorHAnsi" w:cstheme="minorHAnsi"/>
          <w:lang w:val="en-GB"/>
        </w:rPr>
      </w:pPr>
      <w:r w:rsidRPr="00FD2F0C">
        <w:rPr>
          <w:rFonts w:asciiTheme="minorHAnsi" w:hAnsiTheme="minorHAnsi" w:cstheme="minorHAnsi"/>
          <w:lang w:val="en-GB"/>
        </w:rPr>
        <w:t>L</w:t>
      </w:r>
      <w:r w:rsidR="007366D4" w:rsidRPr="00FD2F0C">
        <w:rPr>
          <w:rFonts w:asciiTheme="minorHAnsi" w:hAnsiTheme="minorHAnsi" w:cstheme="minorHAnsi"/>
          <w:lang w:val="en-GB"/>
        </w:rPr>
        <w:t xml:space="preserve">icense-exempt spectrum </w:t>
      </w:r>
      <w:r w:rsidRPr="00FD2F0C">
        <w:rPr>
          <w:rFonts w:asciiTheme="minorHAnsi" w:hAnsiTheme="minorHAnsi" w:cstheme="minorHAnsi"/>
          <w:lang w:val="en-GB"/>
        </w:rPr>
        <w:t xml:space="preserve">can </w:t>
      </w:r>
      <w:r w:rsidR="007366D4" w:rsidRPr="00FD2F0C">
        <w:rPr>
          <w:rFonts w:asciiTheme="minorHAnsi" w:hAnsiTheme="minorHAnsi" w:cstheme="minorHAnsi"/>
          <w:lang w:val="en-GB"/>
        </w:rPr>
        <w:t>be considered a production factor that generates value:</w:t>
      </w:r>
    </w:p>
    <w:p w14:paraId="0CFCBE17"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Complementing wireless and cellular technologies, thereby enhancing their effectiveness;</w:t>
      </w:r>
    </w:p>
    <w:p w14:paraId="5715386B" w14:textId="77777777" w:rsidR="007366D4" w:rsidRPr="00FD2F0C" w:rsidRDefault="007366D4" w:rsidP="0032197B">
      <w:pPr>
        <w:pStyle w:val="Bulletlist1"/>
        <w:numPr>
          <w:ilvl w:val="0"/>
          <w:numId w:val="20"/>
        </w:numPr>
        <w:jc w:val="both"/>
        <w:rPr>
          <w:rFonts w:asciiTheme="minorHAnsi" w:hAnsiTheme="minorHAnsi"/>
        </w:rPr>
      </w:pPr>
      <w:r w:rsidRPr="00FD2F0C">
        <w:rPr>
          <w:rFonts w:asciiTheme="minorHAnsi" w:hAnsiTheme="minorHAnsi"/>
        </w:rPr>
        <w:t xml:space="preserve">Developing alternative </w:t>
      </w:r>
      <w:r w:rsidR="00A16772" w:rsidRPr="00FD2F0C">
        <w:rPr>
          <w:rFonts w:asciiTheme="minorHAnsi" w:hAnsiTheme="minorHAnsi"/>
        </w:rPr>
        <w:t xml:space="preserve">innovative </w:t>
      </w:r>
      <w:r w:rsidRPr="00FD2F0C">
        <w:rPr>
          <w:rFonts w:asciiTheme="minorHAnsi" w:hAnsiTheme="minorHAnsi"/>
        </w:rPr>
        <w:t>technologies, thus expanding consumer choice;</w:t>
      </w:r>
    </w:p>
    <w:p w14:paraId="11F0B5BF" w14:textId="33B9FEA6"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Expanding access to communications services beyond what is economically optimal by technologies operating in licensed bands.</w:t>
      </w:r>
    </w:p>
    <w:p w14:paraId="73ED2095" w14:textId="2B53DA94" w:rsidR="007366D4" w:rsidRPr="00FD2F0C" w:rsidRDefault="007366D4" w:rsidP="00E33287">
      <w:pPr>
        <w:rPr>
          <w:rFonts w:asciiTheme="minorHAnsi" w:hAnsiTheme="minorHAnsi"/>
          <w:lang w:val="en-GB"/>
        </w:rPr>
      </w:pPr>
      <w:r w:rsidRPr="00FD2F0C">
        <w:rPr>
          <w:rFonts w:asciiTheme="minorHAnsi" w:hAnsiTheme="minorHAnsi"/>
          <w:lang w:val="en-GB"/>
        </w:rPr>
        <w:t>It prove</w:t>
      </w:r>
      <w:r w:rsidR="006D576A" w:rsidRPr="00FD2F0C">
        <w:rPr>
          <w:rFonts w:asciiTheme="minorHAnsi" w:hAnsiTheme="minorHAnsi"/>
          <w:lang w:val="en-GB"/>
        </w:rPr>
        <w:t>s</w:t>
      </w:r>
      <w:r w:rsidRPr="00FD2F0C">
        <w:rPr>
          <w:rFonts w:asciiTheme="minorHAnsi" w:hAnsiTheme="minorHAnsi"/>
          <w:lang w:val="en-GB"/>
        </w:rPr>
        <w:t xml:space="preserve"> somewhat more challenging to capture and quantify the full economic benefits of license-exempt spectrum as: (1) it is accessed by numerous heterogeneous devices and services (which makes calculating impacts on GDP and producer surplus more challenging), (2) it is difficult to estimate the consumers’ willingness to pay as it has been done in the case of licensed spectrum</w:t>
      </w:r>
      <w:r w:rsidR="00E33287" w:rsidRPr="00FD2F0C">
        <w:rPr>
          <w:rFonts w:asciiTheme="minorHAnsi" w:hAnsiTheme="minorHAnsi"/>
          <w:lang w:val="en-GB"/>
        </w:rPr>
        <w:t xml:space="preserve"> </w:t>
      </w:r>
      <w:r w:rsidRPr="00FD2F0C">
        <w:rPr>
          <w:rFonts w:asciiTheme="minorHAnsi" w:hAnsiTheme="minorHAnsi"/>
          <w:lang w:val="en-GB"/>
        </w:rPr>
        <w:lastRenderedPageBreak/>
        <w:t>(which makes calculating the consumer surplus more challenging) and (3) it is hard to establish a baseline as license-exempt spectrum is being used by technologies and services that are growing at a rate that renders obsolete any research completed even a few years ago.</w:t>
      </w:r>
    </w:p>
    <w:p w14:paraId="6B07DD7A" w14:textId="5EAA067C" w:rsidR="007366D4" w:rsidRPr="00FD2F0C" w:rsidRDefault="006D576A" w:rsidP="00953704">
      <w:pPr>
        <w:rPr>
          <w:rFonts w:asciiTheme="minorHAnsi" w:hAnsiTheme="minorHAnsi"/>
          <w:lang w:val="en-GB"/>
        </w:rPr>
      </w:pPr>
      <w:r w:rsidRPr="00FD2F0C">
        <w:rPr>
          <w:rFonts w:asciiTheme="minorHAnsi" w:hAnsiTheme="minorHAnsi"/>
          <w:lang w:val="en-GB"/>
        </w:rPr>
        <w:t xml:space="preserve">Taking into account </w:t>
      </w:r>
      <w:r w:rsidR="007366D4" w:rsidRPr="00FD2F0C">
        <w:rPr>
          <w:rFonts w:asciiTheme="minorHAnsi" w:hAnsiTheme="minorHAnsi"/>
          <w:lang w:val="en-GB"/>
        </w:rPr>
        <w:t xml:space="preserve">these caveats, spectrum managers </w:t>
      </w:r>
      <w:r w:rsidRPr="00FD2F0C">
        <w:rPr>
          <w:rFonts w:asciiTheme="minorHAnsi" w:hAnsiTheme="minorHAnsi"/>
          <w:lang w:val="en-GB"/>
        </w:rPr>
        <w:t xml:space="preserve">may </w:t>
      </w:r>
      <w:r w:rsidR="007366D4" w:rsidRPr="00FD2F0C">
        <w:rPr>
          <w:rFonts w:asciiTheme="minorHAnsi" w:hAnsiTheme="minorHAnsi"/>
          <w:lang w:val="en-GB"/>
        </w:rPr>
        <w:t xml:space="preserve">apply the </w:t>
      </w:r>
      <w:r w:rsidRPr="00FD2F0C">
        <w:rPr>
          <w:rFonts w:asciiTheme="minorHAnsi" w:hAnsiTheme="minorHAnsi"/>
          <w:lang w:val="en-GB"/>
        </w:rPr>
        <w:t xml:space="preserve">two </w:t>
      </w:r>
      <w:r w:rsidR="007366D4" w:rsidRPr="00FD2F0C">
        <w:rPr>
          <w:rFonts w:asciiTheme="minorHAnsi" w:hAnsiTheme="minorHAnsi"/>
          <w:lang w:val="en-GB"/>
        </w:rPr>
        <w:t>method</w:t>
      </w:r>
      <w:r w:rsidRPr="00FD2F0C">
        <w:rPr>
          <w:rFonts w:asciiTheme="minorHAnsi" w:hAnsiTheme="minorHAnsi"/>
          <w:lang w:val="en-GB"/>
        </w:rPr>
        <w:t>s</w:t>
      </w:r>
      <w:r w:rsidR="007366D4" w:rsidRPr="00FD2F0C">
        <w:rPr>
          <w:rFonts w:asciiTheme="minorHAnsi" w:hAnsiTheme="minorHAnsi"/>
          <w:lang w:val="en-GB"/>
        </w:rPr>
        <w:t xml:space="preserve"> </w:t>
      </w:r>
      <w:r w:rsidRPr="00FD2F0C">
        <w:rPr>
          <w:rFonts w:asciiTheme="minorHAnsi" w:hAnsiTheme="minorHAnsi" w:cstheme="minorHAnsi"/>
          <w:lang w:val="en-GB"/>
        </w:rPr>
        <w:t>typically used to calculate the contribution of radio use to the economy</w:t>
      </w:r>
      <w:r w:rsidRPr="00FD2F0C">
        <w:rPr>
          <w:rFonts w:asciiTheme="minorHAnsi" w:hAnsiTheme="minorHAnsi"/>
          <w:lang w:val="en-GB"/>
        </w:rPr>
        <w:t xml:space="preserve"> </w:t>
      </w:r>
      <w:r w:rsidR="007366D4" w:rsidRPr="00FD2F0C">
        <w:rPr>
          <w:rFonts w:asciiTheme="minorHAnsi" w:hAnsiTheme="minorHAnsi"/>
          <w:lang w:val="en-GB"/>
        </w:rPr>
        <w:t>to license-exempt spectrum. Ultimately, if the NRA decides to go forward with some fee based on its analysis, it needs to keep in mind the same consideration as with licensed operators </w:t>
      </w:r>
      <w:r w:rsidR="007366D4" w:rsidRPr="00FD2F0C">
        <w:rPr>
          <w:rFonts w:asciiTheme="minorHAnsi" w:hAnsiTheme="minorHAnsi"/>
          <w:lang w:val="en-US"/>
        </w:rPr>
        <w:t>–</w:t>
      </w:r>
      <w:r w:rsidR="007366D4" w:rsidRPr="00FD2F0C">
        <w:rPr>
          <w:rFonts w:asciiTheme="minorHAnsi" w:hAnsiTheme="minorHAnsi"/>
          <w:lang w:val="en-GB"/>
        </w:rPr>
        <w:t xml:space="preserve"> the level of the fees cannot exceed the operator’s propensity to pay – especially to the extent where the objective is the provision of affordable entry-level broadband access.</w:t>
      </w:r>
    </w:p>
    <w:p w14:paraId="27C87A26" w14:textId="05811421" w:rsidR="007366D4" w:rsidRPr="00FD2F0C" w:rsidRDefault="00691026" w:rsidP="00BE1794">
      <w:pPr>
        <w:pStyle w:val="Heading3"/>
        <w:numPr>
          <w:ilvl w:val="0"/>
          <w:numId w:val="0"/>
        </w:numPr>
        <w:ind w:left="720" w:hanging="720"/>
        <w:rPr>
          <w:rFonts w:asciiTheme="minorHAnsi" w:hAnsiTheme="minorHAnsi"/>
        </w:rPr>
      </w:pPr>
      <w:bookmarkStart w:id="86" w:name="_Toc467836416"/>
      <w:bookmarkStart w:id="87" w:name="_Toc485647996"/>
      <w:r w:rsidRPr="00FD2F0C">
        <w:rPr>
          <w:rFonts w:asciiTheme="minorHAnsi" w:hAnsiTheme="minorHAnsi"/>
        </w:rPr>
        <w:t>2.</w:t>
      </w:r>
      <w:r w:rsidR="001B4E2F" w:rsidRPr="00FD2F0C">
        <w:rPr>
          <w:rFonts w:asciiTheme="minorHAnsi" w:hAnsiTheme="minorHAnsi"/>
        </w:rPr>
        <w:t>4</w:t>
      </w:r>
      <w:r w:rsidR="00517AF8" w:rsidRPr="00FD2F0C">
        <w:rPr>
          <w:rFonts w:asciiTheme="minorHAnsi" w:hAnsiTheme="minorHAnsi"/>
        </w:rPr>
        <w:t>.3</w:t>
      </w:r>
      <w:r w:rsidR="007366D4" w:rsidRPr="00FD2F0C">
        <w:rPr>
          <w:rFonts w:asciiTheme="minorHAnsi" w:hAnsiTheme="minorHAnsi"/>
        </w:rPr>
        <w:tab/>
        <w:t xml:space="preserve">Potential </w:t>
      </w:r>
      <w:r w:rsidR="00517AF8" w:rsidRPr="00FD2F0C">
        <w:rPr>
          <w:rFonts w:asciiTheme="minorHAnsi" w:hAnsiTheme="minorHAnsi"/>
        </w:rPr>
        <w:t xml:space="preserve">costs </w:t>
      </w:r>
      <w:r w:rsidR="00427E1E" w:rsidRPr="00FD2F0C">
        <w:rPr>
          <w:rFonts w:asciiTheme="minorHAnsi" w:hAnsiTheme="minorHAnsi"/>
        </w:rPr>
        <w:t xml:space="preserve">and </w:t>
      </w:r>
      <w:r w:rsidR="00C97E90" w:rsidRPr="00FD2F0C">
        <w:rPr>
          <w:rFonts w:asciiTheme="minorHAnsi" w:hAnsiTheme="minorHAnsi"/>
        </w:rPr>
        <w:t xml:space="preserve">economic </w:t>
      </w:r>
      <w:r w:rsidR="007366D4" w:rsidRPr="00FD2F0C">
        <w:rPr>
          <w:rFonts w:asciiTheme="minorHAnsi" w:hAnsiTheme="minorHAnsi"/>
        </w:rPr>
        <w:t>benefit</w:t>
      </w:r>
      <w:r w:rsidR="001D5A43" w:rsidRPr="00FD2F0C">
        <w:rPr>
          <w:rFonts w:asciiTheme="minorHAnsi" w:hAnsiTheme="minorHAnsi"/>
        </w:rPr>
        <w:t>s</w:t>
      </w:r>
      <w:r w:rsidR="007366D4" w:rsidRPr="00FD2F0C">
        <w:rPr>
          <w:rFonts w:asciiTheme="minorHAnsi" w:hAnsiTheme="minorHAnsi"/>
        </w:rPr>
        <w:t xml:space="preserve"> associated with shared use of </w:t>
      </w:r>
      <w:bookmarkEnd w:id="86"/>
      <w:r w:rsidR="00BE1794" w:rsidRPr="00FD2F0C">
        <w:rPr>
          <w:rFonts w:asciiTheme="minorHAnsi" w:hAnsiTheme="minorHAnsi"/>
        </w:rPr>
        <w:t>s</w:t>
      </w:r>
      <w:r w:rsidR="004718BF" w:rsidRPr="00FD2F0C">
        <w:rPr>
          <w:rFonts w:asciiTheme="minorHAnsi" w:hAnsiTheme="minorHAnsi"/>
        </w:rPr>
        <w:t>pectrum</w:t>
      </w:r>
      <w:bookmarkEnd w:id="87"/>
    </w:p>
    <w:p w14:paraId="23521D46" w14:textId="7E8F9A31" w:rsidR="007366D4" w:rsidRPr="00FD2F0C" w:rsidRDefault="00AC7670" w:rsidP="00D90767">
      <w:pPr>
        <w:rPr>
          <w:rFonts w:asciiTheme="minorHAnsi" w:hAnsiTheme="minorHAnsi"/>
          <w:lang w:val="en-GB"/>
        </w:rPr>
      </w:pPr>
      <w:r w:rsidRPr="00FD2F0C">
        <w:rPr>
          <w:rFonts w:asciiTheme="minorHAnsi" w:hAnsiTheme="minorHAnsi"/>
          <w:lang w:val="en-GB"/>
        </w:rPr>
        <w:t>Sharing enables the use of spectrum in situations where it might otherwise remain unused, which may improve spectrum efficiency. This may increase consumer surplus as well as increase GDP.</w:t>
      </w:r>
      <w:r w:rsidR="009C4403" w:rsidRPr="00FD2F0C">
        <w:rPr>
          <w:rFonts w:asciiTheme="minorHAnsi" w:hAnsiTheme="minorHAnsi"/>
          <w:lang w:val="en-GB"/>
        </w:rPr>
        <w:t xml:space="preserve"> </w:t>
      </w:r>
      <w:r w:rsidR="007366D4" w:rsidRPr="00FD2F0C">
        <w:rPr>
          <w:rFonts w:asciiTheme="minorHAnsi" w:hAnsiTheme="minorHAnsi"/>
          <w:lang w:val="en-GB"/>
        </w:rPr>
        <w:t xml:space="preserve">This may </w:t>
      </w:r>
      <w:r w:rsidR="000321AF" w:rsidRPr="00FD2F0C">
        <w:rPr>
          <w:rFonts w:asciiTheme="minorHAnsi" w:hAnsiTheme="minorHAnsi"/>
          <w:lang w:val="en-GB"/>
        </w:rPr>
        <w:t xml:space="preserve">also </w:t>
      </w:r>
      <w:r w:rsidR="007366D4" w:rsidRPr="00FD2F0C">
        <w:rPr>
          <w:rFonts w:asciiTheme="minorHAnsi" w:hAnsiTheme="minorHAnsi"/>
          <w:lang w:val="en-GB"/>
        </w:rPr>
        <w:t>low</w:t>
      </w:r>
      <w:r w:rsidR="00BE1794" w:rsidRPr="00FD2F0C">
        <w:rPr>
          <w:rFonts w:asciiTheme="minorHAnsi" w:hAnsiTheme="minorHAnsi"/>
          <w:lang w:val="en-GB"/>
        </w:rPr>
        <w:t>er barriers to spectrum access.</w:t>
      </w:r>
      <w:r w:rsidR="00D90767" w:rsidRPr="00FD2F0C">
        <w:rPr>
          <w:rFonts w:asciiTheme="minorHAnsi" w:hAnsiTheme="minorHAnsi"/>
          <w:lang w:val="en-GB"/>
        </w:rPr>
        <w:t xml:space="preserve"> </w:t>
      </w:r>
      <w:r w:rsidR="00EB0A7B" w:rsidRPr="00FD2F0C">
        <w:rPr>
          <w:rFonts w:asciiTheme="minorHAnsi" w:hAnsiTheme="minorHAnsi"/>
          <w:lang w:val="en-GB"/>
        </w:rPr>
        <w:t xml:space="preserve">This </w:t>
      </w:r>
      <w:r w:rsidR="007366D4" w:rsidRPr="00FD2F0C">
        <w:rPr>
          <w:rFonts w:asciiTheme="minorHAnsi" w:hAnsiTheme="minorHAnsi"/>
          <w:lang w:val="en-GB"/>
        </w:rPr>
        <w:t xml:space="preserve">may </w:t>
      </w:r>
      <w:r w:rsidR="00EB0A7B" w:rsidRPr="00FD2F0C">
        <w:rPr>
          <w:rFonts w:asciiTheme="minorHAnsi" w:hAnsiTheme="minorHAnsi"/>
          <w:lang w:val="en-GB"/>
        </w:rPr>
        <w:t xml:space="preserve">facilitate </w:t>
      </w:r>
      <w:r w:rsidR="007366D4" w:rsidRPr="00FD2F0C">
        <w:rPr>
          <w:rFonts w:asciiTheme="minorHAnsi" w:hAnsiTheme="minorHAnsi"/>
          <w:lang w:val="en-GB"/>
        </w:rPr>
        <w:t>new entrants, resulting in stronger competition</w:t>
      </w:r>
      <w:r w:rsidR="00EB0A7B" w:rsidRPr="00FD2F0C">
        <w:rPr>
          <w:rFonts w:asciiTheme="minorHAnsi" w:hAnsiTheme="minorHAnsi"/>
          <w:lang w:val="en-GB"/>
        </w:rPr>
        <w:t xml:space="preserve">, </w:t>
      </w:r>
      <w:r w:rsidR="00FF5016" w:rsidRPr="00FD2F0C">
        <w:rPr>
          <w:rFonts w:asciiTheme="minorHAnsi" w:hAnsiTheme="minorHAnsi"/>
          <w:lang w:val="en-GB"/>
        </w:rPr>
        <w:t xml:space="preserve">which </w:t>
      </w:r>
      <w:r w:rsidR="00EB0A7B" w:rsidRPr="00FD2F0C">
        <w:rPr>
          <w:rFonts w:asciiTheme="minorHAnsi" w:hAnsiTheme="minorHAnsi"/>
          <w:lang w:val="en-GB"/>
        </w:rPr>
        <w:t xml:space="preserve">may </w:t>
      </w:r>
      <w:r w:rsidR="00FF5016" w:rsidRPr="00FD2F0C">
        <w:rPr>
          <w:rFonts w:asciiTheme="minorHAnsi" w:hAnsiTheme="minorHAnsi"/>
          <w:lang w:val="en-GB"/>
        </w:rPr>
        <w:t xml:space="preserve">lead to a reduction </w:t>
      </w:r>
      <w:r w:rsidR="00EB0A7B" w:rsidRPr="00FD2F0C">
        <w:rPr>
          <w:rFonts w:asciiTheme="minorHAnsi" w:hAnsiTheme="minorHAnsi"/>
          <w:lang w:val="en-GB"/>
        </w:rPr>
        <w:t xml:space="preserve">of </w:t>
      </w:r>
      <w:r w:rsidR="00FF5016" w:rsidRPr="00FD2F0C">
        <w:rPr>
          <w:rFonts w:asciiTheme="minorHAnsi" w:hAnsiTheme="minorHAnsi"/>
          <w:lang w:val="en-GB"/>
        </w:rPr>
        <w:t>costs</w:t>
      </w:r>
      <w:r w:rsidR="007366D4" w:rsidRPr="00FD2F0C">
        <w:rPr>
          <w:rFonts w:asciiTheme="minorHAnsi" w:hAnsiTheme="minorHAnsi"/>
          <w:lang w:val="en-GB"/>
        </w:rPr>
        <w:t>. Secondly, the increase in availability of spectrum may improve the quality of existing services. Citizens and consumers may also benefit from a reduction in congestion in other spectrum bands.</w:t>
      </w:r>
    </w:p>
    <w:p w14:paraId="196D14D4" w14:textId="3BC7BF21" w:rsidR="00D30427" w:rsidRPr="00FD2F0C" w:rsidRDefault="00D30427" w:rsidP="00D30427">
      <w:pPr>
        <w:rPr>
          <w:rFonts w:asciiTheme="minorHAnsi" w:hAnsiTheme="minorHAnsi"/>
          <w:lang w:val="en-GB"/>
        </w:rPr>
      </w:pPr>
      <w:r w:rsidRPr="00FD2F0C">
        <w:rPr>
          <w:rFonts w:asciiTheme="minorHAnsi" w:hAnsiTheme="minorHAnsi"/>
          <w:lang w:val="en-GB"/>
        </w:rPr>
        <w:t>Opening access to any spectrum band incurs administrative costs on NRAs, whether on an exclusive or shared basis, licensed or license-exempt model. These costs arise from the required efforts to establish national policy and regulatory frameworks for how access to that spectrum is implemented and managed.</w:t>
      </w:r>
    </w:p>
    <w:p w14:paraId="08C4C3FD" w14:textId="7C725A22" w:rsidR="00D30427" w:rsidRPr="00FD2F0C" w:rsidRDefault="00D30427" w:rsidP="005A247F">
      <w:pPr>
        <w:rPr>
          <w:rFonts w:asciiTheme="minorHAnsi" w:hAnsiTheme="minorHAnsi"/>
          <w:lang w:val="en-GB"/>
        </w:rPr>
      </w:pPr>
      <w:r w:rsidRPr="00FD2F0C">
        <w:rPr>
          <w:rFonts w:asciiTheme="minorHAnsi" w:hAnsiTheme="minorHAnsi"/>
          <w:lang w:val="en-GB"/>
        </w:rPr>
        <w:t xml:space="preserve">These processes are necessary to ensure compliance with the Radio Regulations, initiate cross-border coordination, and protect licensed incumbents from harmful interference. </w:t>
      </w:r>
      <w:r w:rsidR="00FF5016" w:rsidRPr="00FD2F0C">
        <w:rPr>
          <w:rFonts w:asciiTheme="minorHAnsi" w:hAnsiTheme="minorHAnsi"/>
          <w:lang w:val="en-GB"/>
        </w:rPr>
        <w:t>T</w:t>
      </w:r>
      <w:r w:rsidRPr="00FD2F0C">
        <w:rPr>
          <w:rFonts w:asciiTheme="minorHAnsi" w:hAnsiTheme="minorHAnsi"/>
          <w:lang w:val="en-GB"/>
        </w:rPr>
        <w:t>hese costs may be largely one-time or one-off, but offset in part by the increased costs of monitoring capability when it is necessary to identify situations involving harmful interference. More sophisticated spectrum sharing regimes</w:t>
      </w:r>
      <w:r w:rsidR="00782D5B" w:rsidRPr="00FD2F0C">
        <w:rPr>
          <w:rFonts w:asciiTheme="minorHAnsi" w:hAnsiTheme="minorHAnsi"/>
          <w:lang w:val="en-GB"/>
        </w:rPr>
        <w:t xml:space="preserve">, e.g. </w:t>
      </w:r>
      <w:r w:rsidR="00462910" w:rsidRPr="00FD2F0C">
        <w:rPr>
          <w:rFonts w:asciiTheme="minorHAnsi" w:hAnsiTheme="minorHAnsi"/>
          <w:lang w:val="en-GB"/>
        </w:rPr>
        <w:t xml:space="preserve">when it is necessary to develop and maintain </w:t>
      </w:r>
      <w:r w:rsidR="00782D5B" w:rsidRPr="00FD2F0C">
        <w:rPr>
          <w:rFonts w:asciiTheme="minorHAnsi" w:hAnsiTheme="minorHAnsi"/>
          <w:lang w:val="en-GB"/>
        </w:rPr>
        <w:t xml:space="preserve">accurate and reliable information on the actual </w:t>
      </w:r>
      <w:r w:rsidR="00462910" w:rsidRPr="00FD2F0C">
        <w:rPr>
          <w:rFonts w:asciiTheme="minorHAnsi" w:hAnsiTheme="minorHAnsi"/>
          <w:lang w:val="en-GB"/>
        </w:rPr>
        <w:t xml:space="preserve">spectrum </w:t>
      </w:r>
      <w:r w:rsidR="00782D5B" w:rsidRPr="00FD2F0C">
        <w:rPr>
          <w:rFonts w:asciiTheme="minorHAnsi" w:hAnsiTheme="minorHAnsi"/>
          <w:lang w:val="en-GB"/>
        </w:rPr>
        <w:t xml:space="preserve">use, </w:t>
      </w:r>
      <w:r w:rsidRPr="00FD2F0C">
        <w:rPr>
          <w:rFonts w:asciiTheme="minorHAnsi" w:hAnsiTheme="minorHAnsi"/>
          <w:lang w:val="en-GB"/>
        </w:rPr>
        <w:t>may require dedicated resources</w:t>
      </w:r>
      <w:r w:rsidR="00782D5B" w:rsidRPr="00FD2F0C">
        <w:rPr>
          <w:rFonts w:asciiTheme="minorHAnsi" w:hAnsiTheme="minorHAnsi"/>
          <w:lang w:val="en-GB"/>
        </w:rPr>
        <w:t xml:space="preserve"> (see </w:t>
      </w:r>
      <w:r w:rsidR="005A247F" w:rsidRPr="00FD2F0C">
        <w:rPr>
          <w:rFonts w:asciiTheme="minorHAnsi" w:hAnsiTheme="minorHAnsi"/>
          <w:lang w:val="en-GB"/>
        </w:rPr>
        <w:t>S</w:t>
      </w:r>
      <w:r w:rsidR="00782D5B" w:rsidRPr="00FD2F0C">
        <w:rPr>
          <w:rFonts w:asciiTheme="minorHAnsi" w:hAnsiTheme="minorHAnsi"/>
          <w:lang w:val="en-GB"/>
        </w:rPr>
        <w:t xml:space="preserve">ection </w:t>
      </w:r>
      <w:r w:rsidR="005A247F" w:rsidRPr="00FD2F0C">
        <w:rPr>
          <w:rFonts w:asciiTheme="minorHAnsi" w:hAnsiTheme="minorHAnsi"/>
          <w:lang w:val="en-GB"/>
        </w:rPr>
        <w:t>1.4 of Chapter 1</w:t>
      </w:r>
      <w:r w:rsidR="00782D5B" w:rsidRPr="00FD2F0C">
        <w:rPr>
          <w:rFonts w:asciiTheme="minorHAnsi" w:hAnsiTheme="minorHAnsi"/>
          <w:lang w:val="en-GB"/>
        </w:rPr>
        <w:t>)</w:t>
      </w:r>
      <w:r w:rsidRPr="00FD2F0C">
        <w:rPr>
          <w:rFonts w:asciiTheme="minorHAnsi" w:hAnsiTheme="minorHAnsi"/>
          <w:lang w:val="en-GB"/>
        </w:rPr>
        <w:t xml:space="preserve">. </w:t>
      </w:r>
    </w:p>
    <w:p w14:paraId="0225BB74" w14:textId="77777777" w:rsidR="007366D4" w:rsidRPr="00FD2F0C" w:rsidRDefault="007366D4" w:rsidP="007F2CD5">
      <w:pPr>
        <w:pStyle w:val="Heading1nextpage"/>
        <w:keepNext/>
        <w:keepLines/>
        <w:pageBreakBefore/>
        <w:jc w:val="both"/>
        <w:outlineLvl w:val="0"/>
        <w:rPr>
          <w:b/>
          <w:bCs/>
          <w:color w:val="1F9DD9"/>
          <w:sz w:val="28"/>
          <w:szCs w:val="28"/>
        </w:rPr>
      </w:pPr>
      <w:bookmarkStart w:id="88" w:name="_Toc467836418"/>
      <w:bookmarkStart w:id="89" w:name="_Toc485647997"/>
      <w:bookmarkEnd w:id="71"/>
      <w:r w:rsidRPr="00FD2F0C">
        <w:rPr>
          <w:b/>
          <w:bCs/>
          <w:color w:val="1F9DD9"/>
          <w:sz w:val="28"/>
          <w:szCs w:val="28"/>
        </w:rPr>
        <w:lastRenderedPageBreak/>
        <w:t>3</w:t>
      </w:r>
      <w:r w:rsidRPr="00FD2F0C">
        <w:rPr>
          <w:b/>
          <w:bCs/>
          <w:color w:val="1F9DD9"/>
          <w:sz w:val="28"/>
          <w:szCs w:val="28"/>
        </w:rPr>
        <w:tab/>
        <w:t>CHAPTER 3 – Spectrum management activities and resources</w:t>
      </w:r>
      <w:bookmarkEnd w:id="88"/>
      <w:bookmarkEnd w:id="89"/>
    </w:p>
    <w:p w14:paraId="7C9505A9" w14:textId="4742DD7A" w:rsidR="007366D4" w:rsidRPr="00FD2F0C" w:rsidRDefault="007366D4" w:rsidP="007366D4">
      <w:pPr>
        <w:pStyle w:val="Heading2"/>
        <w:numPr>
          <w:ilvl w:val="0"/>
          <w:numId w:val="0"/>
        </w:numPr>
        <w:rPr>
          <w:rFonts w:asciiTheme="minorHAnsi" w:hAnsiTheme="minorHAnsi"/>
        </w:rPr>
      </w:pPr>
      <w:bookmarkStart w:id="90" w:name="_Toc467836419"/>
      <w:bookmarkStart w:id="91" w:name="_Toc485647998"/>
      <w:r w:rsidRPr="00FD2F0C">
        <w:rPr>
          <w:rFonts w:asciiTheme="minorHAnsi" w:hAnsiTheme="minorHAnsi"/>
        </w:rPr>
        <w:t>3.1</w:t>
      </w:r>
      <w:r w:rsidRPr="00FD2F0C">
        <w:rPr>
          <w:rFonts w:asciiTheme="minorHAnsi" w:hAnsiTheme="minorHAnsi"/>
        </w:rPr>
        <w:tab/>
      </w:r>
      <w:r w:rsidR="001F5F3C" w:rsidRPr="00FD2F0C">
        <w:rPr>
          <w:rFonts w:asciiTheme="minorHAnsi" w:hAnsiTheme="minorHAnsi"/>
          <w:lang w:val="en-GB"/>
        </w:rPr>
        <w:t xml:space="preserve">National Table of Frequency Allocations (NTFA) </w:t>
      </w:r>
      <w:r w:rsidRPr="00FD2F0C">
        <w:rPr>
          <w:rFonts w:asciiTheme="minorHAnsi" w:hAnsiTheme="minorHAnsi"/>
        </w:rPr>
        <w:t>guidelines</w:t>
      </w:r>
      <w:bookmarkEnd w:id="90"/>
      <w:bookmarkEnd w:id="91"/>
    </w:p>
    <w:p w14:paraId="7C073142" w14:textId="42E61416" w:rsidR="007366D4" w:rsidRPr="00FD2F0C" w:rsidRDefault="007366D4" w:rsidP="007366D4">
      <w:pPr>
        <w:pStyle w:val="Heading3"/>
        <w:numPr>
          <w:ilvl w:val="0"/>
          <w:numId w:val="0"/>
        </w:numPr>
        <w:ind w:left="720" w:hanging="720"/>
        <w:rPr>
          <w:rFonts w:asciiTheme="minorHAnsi" w:hAnsiTheme="minorHAnsi"/>
        </w:rPr>
      </w:pPr>
      <w:bookmarkStart w:id="92" w:name="_Toc467836420"/>
      <w:bookmarkStart w:id="93" w:name="_Toc485647999"/>
      <w:r w:rsidRPr="00FD2F0C">
        <w:rPr>
          <w:rFonts w:asciiTheme="minorHAnsi" w:hAnsiTheme="minorHAnsi"/>
        </w:rPr>
        <w:t>3.1.1</w:t>
      </w:r>
      <w:r w:rsidRPr="00FD2F0C">
        <w:rPr>
          <w:rFonts w:asciiTheme="minorHAnsi" w:hAnsiTheme="minorHAnsi"/>
        </w:rPr>
        <w:tab/>
        <w:t>NTFA</w:t>
      </w:r>
      <w:bookmarkEnd w:id="92"/>
      <w:bookmarkEnd w:id="93"/>
    </w:p>
    <w:p w14:paraId="3AF9B47A" w14:textId="171E4441" w:rsidR="007366D4" w:rsidRPr="00FD2F0C" w:rsidRDefault="007366D4" w:rsidP="005B650E">
      <w:pPr>
        <w:rPr>
          <w:rFonts w:asciiTheme="minorHAnsi" w:hAnsiTheme="minorHAnsi"/>
          <w:lang w:val="en-GB"/>
        </w:rPr>
      </w:pPr>
      <w:r w:rsidRPr="00FD2F0C">
        <w:rPr>
          <w:rFonts w:asciiTheme="minorHAnsi" w:hAnsiTheme="minorHAnsi"/>
          <w:lang w:val="en-GB"/>
        </w:rPr>
        <w:t>In all countries and regional as well as international organizations, there are many competing demands to use valuable spectrum resource for different radio services, from government, public and private users to international systems such as maritime and aeronautical services, global or regional terrestrial and satellite telecommunications systems that require a degree of frequency harmonisation for cross-border interoperability. One of the most important tools to address the competing demands is a carefully prepared National Table of Frequency Allocations (NTFA). The NTFA will have several levels of detail. The top level should define clearly how frequency bands have been allocated in conformity with the Radio Regulations to radiocommunications services in the country concerned. The next level should define how these “service bands” are divided or shared between major uses, in particular government and non-government uses. ITU has developed guidelines which focus on the detailed preparation of an NTFA</w:t>
      </w:r>
      <w:r w:rsidRPr="00FD2F0C">
        <w:rPr>
          <w:rStyle w:val="FootnoteReference"/>
          <w:rFonts w:asciiTheme="minorHAnsi" w:hAnsiTheme="minorHAnsi"/>
        </w:rPr>
        <w:footnoteReference w:id="42"/>
      </w:r>
      <w:r w:rsidRPr="00FD2F0C">
        <w:rPr>
          <w:rFonts w:asciiTheme="minorHAnsi" w:hAnsiTheme="minorHAnsi"/>
          <w:lang w:val="en-GB"/>
        </w:rPr>
        <w:t xml:space="preserve"> (</w:t>
      </w:r>
      <w:r w:rsidRPr="00FD2F0C">
        <w:rPr>
          <w:rFonts w:asciiTheme="minorHAnsi" w:hAnsiTheme="minorHAnsi"/>
          <w:szCs w:val="20"/>
          <w:lang w:val="en-GB"/>
        </w:rPr>
        <w:t xml:space="preserve">see also document </w:t>
      </w:r>
      <w:hyperlink r:id="rId43" w:history="1">
        <w:r w:rsidRPr="00FD2F0C">
          <w:rPr>
            <w:rStyle w:val="Hyperlink"/>
            <w:rFonts w:asciiTheme="minorHAnsi" w:hAnsiTheme="minorHAnsi"/>
            <w:szCs w:val="20"/>
            <w:lang w:val="en-GB"/>
          </w:rPr>
          <w:t>1/56</w:t>
        </w:r>
      </w:hyperlink>
      <w:r w:rsidRPr="00FD2F0C">
        <w:rPr>
          <w:rStyle w:val="Hyperlink"/>
          <w:rFonts w:asciiTheme="minorHAnsi" w:hAnsiTheme="minorHAnsi"/>
          <w:color w:val="auto"/>
          <w:szCs w:val="20"/>
          <w:u w:val="none"/>
          <w:lang w:val="en-GB"/>
        </w:rPr>
        <w:t>, “</w:t>
      </w:r>
      <w:r w:rsidRPr="00FD2F0C">
        <w:rPr>
          <w:rFonts w:asciiTheme="minorHAnsi" w:hAnsiTheme="minorHAnsi"/>
          <w:lang w:val="en-GB"/>
        </w:rPr>
        <w:t>Guidelines for the preparation of a National Table of Frequency Allocations (NTFA)”</w:t>
      </w:r>
      <w:r w:rsidRPr="00FD2F0C">
        <w:rPr>
          <w:rFonts w:asciiTheme="minorHAnsi" w:hAnsiTheme="minorHAnsi"/>
          <w:szCs w:val="20"/>
          <w:lang w:val="en-GB"/>
        </w:rPr>
        <w:t xml:space="preserve"> and </w:t>
      </w:r>
      <w:r w:rsidRPr="00FD2F0C">
        <w:rPr>
          <w:rFonts w:asciiTheme="minorHAnsi" w:hAnsiTheme="minorHAnsi"/>
          <w:b/>
          <w:bCs/>
          <w:szCs w:val="20"/>
          <w:lang w:val="en-GB"/>
        </w:rPr>
        <w:t xml:space="preserve">Annex </w:t>
      </w:r>
      <w:r w:rsidR="005B650E" w:rsidRPr="00FD2F0C">
        <w:rPr>
          <w:rFonts w:asciiTheme="minorHAnsi" w:hAnsiTheme="minorHAnsi"/>
          <w:b/>
          <w:bCs/>
          <w:szCs w:val="20"/>
          <w:lang w:val="en-GB"/>
        </w:rPr>
        <w:t>3</w:t>
      </w:r>
      <w:r w:rsidRPr="00FD2F0C">
        <w:rPr>
          <w:rFonts w:asciiTheme="minorHAnsi" w:hAnsiTheme="minorHAnsi"/>
          <w:lang w:val="en-GB"/>
        </w:rPr>
        <w:t>).</w:t>
      </w:r>
      <w:r w:rsidR="000E2997" w:rsidRPr="00FD2F0C">
        <w:rPr>
          <w:rFonts w:asciiTheme="minorHAnsi" w:hAnsiTheme="minorHAnsi"/>
          <w:lang w:val="en-GB"/>
        </w:rPr>
        <w:t xml:space="preserve"> Recommendation ITU R  SM.1265-1 ‘’National alternative allocation methods’’  examines alternate allocation structures with the aim of using the radio spectrum more efficiently and providing flexible access to the spectrum by new technologies.</w:t>
      </w:r>
    </w:p>
    <w:p w14:paraId="188D7DC5" w14:textId="77777777" w:rsidR="007366D4" w:rsidRPr="00FD2F0C" w:rsidRDefault="007366D4" w:rsidP="007366D4">
      <w:pPr>
        <w:pStyle w:val="Heading3"/>
        <w:numPr>
          <w:ilvl w:val="0"/>
          <w:numId w:val="0"/>
        </w:numPr>
        <w:ind w:left="720" w:hanging="720"/>
        <w:rPr>
          <w:rFonts w:asciiTheme="minorHAnsi" w:hAnsiTheme="minorHAnsi"/>
        </w:rPr>
      </w:pPr>
      <w:bookmarkStart w:id="94" w:name="_Toc467836421"/>
      <w:bookmarkStart w:id="95" w:name="_Toc485648000"/>
      <w:r w:rsidRPr="00FD2F0C">
        <w:rPr>
          <w:rFonts w:asciiTheme="minorHAnsi" w:hAnsiTheme="minorHAnsi"/>
        </w:rPr>
        <w:t>3.1.2</w:t>
      </w:r>
      <w:r w:rsidRPr="00FD2F0C">
        <w:rPr>
          <w:rFonts w:asciiTheme="minorHAnsi" w:hAnsiTheme="minorHAnsi"/>
        </w:rPr>
        <w:tab/>
        <w:t>Assessing countries’ needs for spectrum management and IT tools/systems</w:t>
      </w:r>
      <w:bookmarkEnd w:id="94"/>
      <w:bookmarkEnd w:id="95"/>
    </w:p>
    <w:p w14:paraId="1F89311E" w14:textId="763A4DB2" w:rsidR="007366D4" w:rsidRPr="00FD2F0C" w:rsidRDefault="007366D4" w:rsidP="00AB65ED">
      <w:pPr>
        <w:rPr>
          <w:rFonts w:asciiTheme="minorHAnsi" w:hAnsiTheme="minorHAnsi"/>
          <w:lang w:val="en-GB"/>
        </w:rPr>
      </w:pPr>
      <w:r w:rsidRPr="00FD2F0C">
        <w:rPr>
          <w:rFonts w:asciiTheme="minorHAnsi" w:hAnsiTheme="minorHAnsi"/>
          <w:lang w:val="en-GB"/>
        </w:rPr>
        <w:t>ITU developed guidelines (SM Assessment Guideline) provide a standard approach for national governments to self-assess national spectrum management development needs.</w:t>
      </w:r>
      <w:r w:rsidRPr="00FD2F0C">
        <w:rPr>
          <w:rStyle w:val="FootnoteReference"/>
          <w:rFonts w:asciiTheme="minorHAnsi" w:hAnsiTheme="minorHAnsi"/>
        </w:rPr>
        <w:footnoteReference w:id="43"/>
      </w:r>
      <w:r w:rsidRPr="00FD2F0C">
        <w:rPr>
          <w:rFonts w:asciiTheme="minorHAnsi" w:hAnsiTheme="minorHAnsi"/>
          <w:lang w:val="en-GB"/>
        </w:rPr>
        <w:t xml:space="preserve"> The International Telecommunication Union Telecommunication Development Bureau (ITU-BDT) can supply a computer program to assist the administrations of developing countries to perform their spectrum management responsibilities more effectively. This program is known as the Spectrum Management System for Developing Countries (SMS4DC).</w:t>
      </w:r>
      <w:r w:rsidRPr="00FD2F0C">
        <w:rPr>
          <w:rStyle w:val="FootnoteReference"/>
          <w:rFonts w:asciiTheme="minorHAnsi" w:hAnsiTheme="minorHAnsi"/>
        </w:rPr>
        <w:footnoteReference w:id="44"/>
      </w:r>
      <w:r w:rsidRPr="00FD2F0C">
        <w:rPr>
          <w:rFonts w:asciiTheme="minorHAnsi" w:hAnsiTheme="minorHAnsi"/>
          <w:lang w:val="en-GB"/>
        </w:rPr>
        <w:t xml:space="preserve"> Prior to the installation and operation of SMS4DC, the Administration should have in place existing legal, regulatory and technical mechanisms for national spectrum management. SMS4DC software has been designed to manage frequency assignments to the </w:t>
      </w:r>
      <w:r w:rsidR="00AB65ED" w:rsidRPr="00FD2F0C">
        <w:rPr>
          <w:rFonts w:asciiTheme="minorHAnsi" w:hAnsiTheme="minorHAnsi"/>
          <w:lang w:val="en-GB"/>
        </w:rPr>
        <w:t>l</w:t>
      </w:r>
      <w:r w:rsidRPr="00FD2F0C">
        <w:rPr>
          <w:rFonts w:asciiTheme="minorHAnsi" w:hAnsiTheme="minorHAnsi"/>
          <w:lang w:val="en-GB"/>
        </w:rPr>
        <w:t xml:space="preserve">and </w:t>
      </w:r>
      <w:r w:rsidR="00AB65ED" w:rsidRPr="00FD2F0C">
        <w:rPr>
          <w:rFonts w:asciiTheme="minorHAnsi" w:hAnsiTheme="minorHAnsi"/>
          <w:lang w:val="en-GB"/>
        </w:rPr>
        <w:t>m</w:t>
      </w:r>
      <w:r w:rsidRPr="00FD2F0C">
        <w:rPr>
          <w:rFonts w:asciiTheme="minorHAnsi" w:hAnsiTheme="minorHAnsi"/>
          <w:lang w:val="en-GB"/>
        </w:rPr>
        <w:t xml:space="preserve">obile, </w:t>
      </w:r>
      <w:r w:rsidR="00AB65ED" w:rsidRPr="00FD2F0C">
        <w:rPr>
          <w:rFonts w:asciiTheme="minorHAnsi" w:hAnsiTheme="minorHAnsi"/>
          <w:lang w:val="en-GB"/>
        </w:rPr>
        <w:t>f</w:t>
      </w:r>
      <w:r w:rsidRPr="00FD2F0C">
        <w:rPr>
          <w:rFonts w:asciiTheme="minorHAnsi" w:hAnsiTheme="minorHAnsi"/>
          <w:lang w:val="en-GB"/>
        </w:rPr>
        <w:t xml:space="preserve">ixed and </w:t>
      </w:r>
      <w:r w:rsidR="00AB65ED" w:rsidRPr="00FD2F0C">
        <w:rPr>
          <w:rFonts w:asciiTheme="minorHAnsi" w:hAnsiTheme="minorHAnsi"/>
          <w:lang w:val="en-GB"/>
        </w:rPr>
        <w:t>b</w:t>
      </w:r>
      <w:r w:rsidRPr="00FD2F0C">
        <w:rPr>
          <w:rFonts w:asciiTheme="minorHAnsi" w:hAnsiTheme="minorHAnsi"/>
          <w:lang w:val="en-GB"/>
        </w:rPr>
        <w:t>roadcasting services and for frequency coordination of Earth stations (RR Appendix 7 procedures). Though the system automates most of the technical assessment procedures and displays the results, the final spectrum management decision must be made by a suitably qualified radio engineer who fully understands the assignment procedures and is able to correctly interpret the results displayed. The ITU-R Handbook: Computer-aided Techniques for Spectrum Management (CAT) (2015) contains more detailed information on spectrum management tools.</w:t>
      </w:r>
      <w:r w:rsidRPr="00FD2F0C">
        <w:rPr>
          <w:rStyle w:val="FootnoteReference"/>
          <w:rFonts w:asciiTheme="minorHAnsi" w:hAnsiTheme="minorHAnsi"/>
        </w:rPr>
        <w:footnoteReference w:id="45"/>
      </w:r>
    </w:p>
    <w:p w14:paraId="3A3E413D" w14:textId="2A6C2DAD" w:rsidR="00AB65ED" w:rsidRPr="00FD2F0C" w:rsidDel="000E01F0" w:rsidRDefault="00AB65ED" w:rsidP="008E5853">
      <w:pPr>
        <w:rPr>
          <w:rFonts w:asciiTheme="minorHAnsi" w:hAnsiTheme="minorHAnsi"/>
          <w:lang w:val="en-GB"/>
        </w:rPr>
      </w:pPr>
      <w:r w:rsidRPr="00FD2F0C">
        <w:rPr>
          <w:rFonts w:asciiTheme="minorHAnsi" w:hAnsiTheme="minorHAnsi"/>
          <w:b/>
          <w:bCs/>
          <w:lang w:val="en-GB"/>
        </w:rPr>
        <w:t xml:space="preserve">Annex </w:t>
      </w:r>
      <w:r w:rsidR="008E5853" w:rsidRPr="00FD2F0C">
        <w:rPr>
          <w:rFonts w:asciiTheme="minorHAnsi" w:hAnsiTheme="minorHAnsi"/>
          <w:b/>
          <w:bCs/>
          <w:lang w:val="en-GB"/>
        </w:rPr>
        <w:t>2</w:t>
      </w:r>
      <w:r w:rsidRPr="00FD2F0C">
        <w:rPr>
          <w:rFonts w:asciiTheme="minorHAnsi" w:hAnsiTheme="minorHAnsi"/>
          <w:lang w:val="en-GB"/>
        </w:rPr>
        <w:t xml:space="preserve"> provides examples</w:t>
      </w:r>
      <w:r w:rsidR="00215D6E" w:rsidRPr="00FD2F0C">
        <w:rPr>
          <w:rFonts w:asciiTheme="minorHAnsi" w:hAnsiTheme="minorHAnsi"/>
          <w:lang w:val="en-GB"/>
        </w:rPr>
        <w:t>/experiences</w:t>
      </w:r>
      <w:r w:rsidRPr="00FD2F0C">
        <w:rPr>
          <w:rFonts w:asciiTheme="minorHAnsi" w:hAnsiTheme="minorHAnsi"/>
          <w:lang w:val="en-GB"/>
        </w:rPr>
        <w:t xml:space="preserve"> of case study in Hungary</w:t>
      </w:r>
      <w:r w:rsidR="00215D6E" w:rsidRPr="00FD2F0C">
        <w:rPr>
          <w:rFonts w:asciiTheme="minorHAnsi" w:hAnsiTheme="minorHAnsi"/>
          <w:lang w:val="en-GB"/>
        </w:rPr>
        <w:t xml:space="preserve">, </w:t>
      </w:r>
      <w:r w:rsidRPr="00FD2F0C">
        <w:rPr>
          <w:rFonts w:asciiTheme="minorHAnsi" w:hAnsiTheme="minorHAnsi"/>
          <w:lang w:val="en-GB"/>
        </w:rPr>
        <w:t>China (People Rep. of) and Tanzania on spectrum management activities</w:t>
      </w:r>
      <w:r w:rsidR="00215D6E" w:rsidRPr="00FD2F0C">
        <w:rPr>
          <w:rFonts w:asciiTheme="minorHAnsi" w:hAnsiTheme="minorHAnsi"/>
          <w:lang w:val="en-GB"/>
        </w:rPr>
        <w:t xml:space="preserve">, related respectively to </w:t>
      </w:r>
      <w:r w:rsidR="00CD4648" w:rsidRPr="00FD2F0C">
        <w:rPr>
          <w:rFonts w:asciiTheme="minorHAnsi" w:hAnsiTheme="minorHAnsi"/>
          <w:lang w:val="en-GB"/>
        </w:rPr>
        <w:t>“Spectrum Management IT System (STIR)”</w:t>
      </w:r>
      <w:r w:rsidR="00215D6E" w:rsidRPr="00FD2F0C">
        <w:rPr>
          <w:rFonts w:asciiTheme="minorHAnsi" w:hAnsiTheme="minorHAnsi"/>
          <w:lang w:val="en-GB"/>
        </w:rPr>
        <w:t xml:space="preserve">, </w:t>
      </w:r>
      <w:r w:rsidR="00CD4648" w:rsidRPr="00FD2F0C">
        <w:rPr>
          <w:rFonts w:asciiTheme="minorHAnsi" w:hAnsiTheme="minorHAnsi"/>
          <w:lang w:val="en-GB"/>
        </w:rPr>
        <w:t xml:space="preserve">“The improvement of spectral efficiency based on LTE technology” </w:t>
      </w:r>
      <w:r w:rsidR="00215D6E" w:rsidRPr="00FD2F0C">
        <w:rPr>
          <w:rFonts w:asciiTheme="minorHAnsi" w:hAnsiTheme="minorHAnsi"/>
          <w:lang w:val="en-GB"/>
        </w:rPr>
        <w:t xml:space="preserve">and </w:t>
      </w:r>
      <w:r w:rsidR="00CD4648" w:rsidRPr="00FD2F0C">
        <w:rPr>
          <w:rFonts w:asciiTheme="minorHAnsi" w:hAnsiTheme="minorHAnsi"/>
          <w:lang w:val="en-GB"/>
        </w:rPr>
        <w:t>“The legal framework on Spectrum Management in Tanzania”</w:t>
      </w:r>
      <w:r w:rsidRPr="00FD2F0C">
        <w:rPr>
          <w:rFonts w:asciiTheme="minorHAnsi" w:hAnsiTheme="minorHAnsi"/>
          <w:lang w:val="en-GB"/>
        </w:rPr>
        <w:t>.</w:t>
      </w:r>
    </w:p>
    <w:p w14:paraId="550061EE" w14:textId="334936AD" w:rsidR="007366D4" w:rsidRPr="00FD2F0C" w:rsidRDefault="007366D4">
      <w:pPr>
        <w:pStyle w:val="Heading2"/>
        <w:numPr>
          <w:ilvl w:val="0"/>
          <w:numId w:val="0"/>
        </w:numPr>
        <w:rPr>
          <w:rFonts w:asciiTheme="minorHAnsi" w:hAnsiTheme="minorHAnsi"/>
        </w:rPr>
      </w:pPr>
      <w:bookmarkStart w:id="96" w:name="_Toc458779280"/>
      <w:bookmarkStart w:id="97" w:name="_Toc467836432"/>
      <w:bookmarkStart w:id="98" w:name="_Toc485648001"/>
      <w:r w:rsidRPr="00FD2F0C">
        <w:rPr>
          <w:rFonts w:asciiTheme="minorHAnsi" w:hAnsiTheme="minorHAnsi"/>
        </w:rPr>
        <w:lastRenderedPageBreak/>
        <w:t>3.</w:t>
      </w:r>
      <w:r w:rsidR="00D703E3" w:rsidRPr="00FD2F0C">
        <w:rPr>
          <w:rFonts w:asciiTheme="minorHAnsi" w:hAnsiTheme="minorHAnsi"/>
        </w:rPr>
        <w:t>2</w:t>
      </w:r>
      <w:r w:rsidRPr="00FD2F0C">
        <w:rPr>
          <w:rFonts w:asciiTheme="minorHAnsi" w:hAnsiTheme="minorHAnsi"/>
        </w:rPr>
        <w:tab/>
        <w:t>Results and preparations of World Radiocommunication Conferences</w:t>
      </w:r>
      <w:bookmarkEnd w:id="96"/>
      <w:bookmarkEnd w:id="97"/>
      <w:bookmarkEnd w:id="98"/>
    </w:p>
    <w:p w14:paraId="0AB9BF6E" w14:textId="52AD401F" w:rsidR="007366D4" w:rsidRPr="00FD2F0C" w:rsidRDefault="007366D4" w:rsidP="00E73393">
      <w:pPr>
        <w:pStyle w:val="Heading3"/>
        <w:numPr>
          <w:ilvl w:val="0"/>
          <w:numId w:val="0"/>
        </w:numPr>
        <w:ind w:left="720" w:hanging="720"/>
        <w:rPr>
          <w:rFonts w:asciiTheme="minorHAnsi" w:hAnsiTheme="minorHAnsi"/>
        </w:rPr>
      </w:pPr>
      <w:bookmarkStart w:id="99" w:name="_Toc467836433"/>
      <w:bookmarkStart w:id="100" w:name="_Toc485648002"/>
      <w:r w:rsidRPr="00FD2F0C">
        <w:rPr>
          <w:rFonts w:asciiTheme="minorHAnsi" w:hAnsiTheme="minorHAnsi"/>
        </w:rPr>
        <w:t>3.</w:t>
      </w:r>
      <w:r w:rsidR="00D703E3" w:rsidRPr="00FD2F0C">
        <w:rPr>
          <w:rFonts w:asciiTheme="minorHAnsi" w:hAnsiTheme="minorHAnsi"/>
        </w:rPr>
        <w:t>2</w:t>
      </w:r>
      <w:r w:rsidRPr="00FD2F0C">
        <w:rPr>
          <w:rFonts w:asciiTheme="minorHAnsi" w:hAnsiTheme="minorHAnsi"/>
        </w:rPr>
        <w:t>.1</w:t>
      </w:r>
      <w:r w:rsidRPr="00FD2F0C">
        <w:rPr>
          <w:rFonts w:asciiTheme="minorHAnsi" w:hAnsiTheme="minorHAnsi"/>
        </w:rPr>
        <w:tab/>
        <w:t>WRC cycle and WRC process</w:t>
      </w:r>
      <w:bookmarkEnd w:id="99"/>
      <w:bookmarkEnd w:id="100"/>
    </w:p>
    <w:p w14:paraId="0B4C1757" w14:textId="0BDF2E0A" w:rsidR="00031AF9" w:rsidRPr="00FD2F0C" w:rsidRDefault="007366D4" w:rsidP="00571A4B">
      <w:pPr>
        <w:spacing w:after="120"/>
        <w:rPr>
          <w:rFonts w:asciiTheme="minorHAnsi" w:hAnsiTheme="minorHAnsi"/>
          <w:bCs/>
          <w:color w:val="000000"/>
          <w:szCs w:val="24"/>
          <w:shd w:val="clear" w:color="auto" w:fill="FFFFFF"/>
          <w:lang w:val="en-GB"/>
        </w:rPr>
      </w:pPr>
      <w:r w:rsidRPr="00FD2F0C">
        <w:rPr>
          <w:rFonts w:asciiTheme="minorHAnsi" w:hAnsiTheme="minorHAnsi"/>
          <w:bCs/>
          <w:color w:val="000000"/>
          <w:szCs w:val="24"/>
          <w:shd w:val="clear" w:color="auto" w:fill="FFFFFF"/>
          <w:lang w:val="en-GB"/>
        </w:rPr>
        <w:t>World Radiocommunication Conference</w:t>
      </w:r>
      <w:r w:rsidR="00A15A88" w:rsidRPr="00FD2F0C">
        <w:rPr>
          <w:rFonts w:asciiTheme="minorHAnsi" w:hAnsiTheme="minorHAnsi"/>
          <w:bCs/>
          <w:color w:val="000000"/>
          <w:szCs w:val="24"/>
          <w:shd w:val="clear" w:color="auto" w:fill="FFFFFF"/>
          <w:lang w:val="en-GB"/>
        </w:rPr>
        <w:t>s</w:t>
      </w:r>
      <w:r w:rsidRPr="00FD2F0C">
        <w:rPr>
          <w:rFonts w:asciiTheme="minorHAnsi" w:hAnsiTheme="minorHAnsi"/>
          <w:bCs/>
          <w:color w:val="000000"/>
          <w:szCs w:val="24"/>
          <w:shd w:val="clear" w:color="auto" w:fill="FFFFFF"/>
          <w:lang w:val="en-GB"/>
        </w:rPr>
        <w:t xml:space="preserve"> (WRC</w:t>
      </w:r>
      <w:r w:rsidR="00A15A88" w:rsidRPr="00FD2F0C">
        <w:rPr>
          <w:rFonts w:asciiTheme="minorHAnsi" w:hAnsiTheme="minorHAnsi"/>
          <w:bCs/>
          <w:color w:val="000000"/>
          <w:szCs w:val="24"/>
          <w:shd w:val="clear" w:color="auto" w:fill="FFFFFF"/>
          <w:lang w:val="en-GB"/>
        </w:rPr>
        <w:t>s</w:t>
      </w:r>
      <w:r w:rsidRPr="00FD2F0C">
        <w:rPr>
          <w:rFonts w:asciiTheme="minorHAnsi" w:hAnsiTheme="minorHAnsi"/>
          <w:bCs/>
          <w:color w:val="000000"/>
          <w:szCs w:val="24"/>
          <w:shd w:val="clear" w:color="auto" w:fill="FFFFFF"/>
          <w:lang w:val="en-GB"/>
        </w:rPr>
        <w:t xml:space="preserve">) </w:t>
      </w:r>
      <w:r w:rsidR="00A15A88" w:rsidRPr="00FD2F0C">
        <w:rPr>
          <w:rFonts w:asciiTheme="minorHAnsi" w:hAnsiTheme="minorHAnsi"/>
          <w:bCs/>
          <w:color w:val="000000"/>
          <w:szCs w:val="24"/>
          <w:shd w:val="clear" w:color="auto" w:fill="FFFFFF"/>
          <w:lang w:val="en-GB"/>
        </w:rPr>
        <w:t xml:space="preserve">are </w:t>
      </w:r>
      <w:r w:rsidRPr="00FD2F0C">
        <w:rPr>
          <w:rFonts w:asciiTheme="minorHAnsi" w:hAnsiTheme="minorHAnsi"/>
          <w:bCs/>
          <w:color w:val="000000"/>
          <w:szCs w:val="24"/>
          <w:shd w:val="clear" w:color="auto" w:fill="FFFFFF"/>
          <w:lang w:val="en-GB"/>
        </w:rPr>
        <w:t xml:space="preserve">normally convened every three to four years to </w:t>
      </w:r>
      <w:r w:rsidR="00A15A88" w:rsidRPr="00FD2F0C">
        <w:rPr>
          <w:rFonts w:asciiTheme="minorHAnsi" w:hAnsiTheme="minorHAnsi"/>
          <w:bCs/>
          <w:color w:val="000000"/>
          <w:szCs w:val="24"/>
          <w:shd w:val="clear" w:color="auto" w:fill="FFFFFF"/>
          <w:lang w:val="en-GB"/>
        </w:rPr>
        <w:t xml:space="preserve">update </w:t>
      </w:r>
      <w:r w:rsidRPr="00FD2F0C">
        <w:rPr>
          <w:rFonts w:asciiTheme="minorHAnsi" w:hAnsiTheme="minorHAnsi"/>
          <w:bCs/>
          <w:color w:val="000000"/>
          <w:szCs w:val="24"/>
          <w:shd w:val="clear" w:color="auto" w:fill="FFFFFF"/>
          <w:lang w:val="en-GB"/>
        </w:rPr>
        <w:t>the Radio Regulations (RR) and deal with any question of a worldwide character within its competence and related to its agenda. The results of a WRC are included in its Final Acts which are signed by the ITU Member States</w:t>
      </w:r>
      <w:r w:rsidR="00A15A88" w:rsidRPr="00FD2F0C">
        <w:rPr>
          <w:rFonts w:asciiTheme="minorHAnsi" w:hAnsiTheme="minorHAnsi"/>
          <w:bCs/>
          <w:color w:val="000000"/>
          <w:szCs w:val="24"/>
          <w:shd w:val="clear" w:color="auto" w:fill="FFFFFF"/>
          <w:lang w:val="en-GB"/>
        </w:rPr>
        <w:t xml:space="preserve">, becomes international law for inclusion in national regulations. These final acts are incorporated in the subsequent edition of the Radio Regulations that is generally published within a year after the WRC. The Radio Regulations are complemented with the Rules of Procedure approved by the Radio Regulations Board (RRB) </w:t>
      </w:r>
      <w:r w:rsidR="00031AF9" w:rsidRPr="00FD2F0C">
        <w:rPr>
          <w:rFonts w:asciiTheme="minorHAnsi" w:hAnsiTheme="minorHAnsi"/>
          <w:bCs/>
          <w:color w:val="000000"/>
          <w:szCs w:val="24"/>
          <w:shd w:val="clear" w:color="auto" w:fill="FFFFFF"/>
          <w:lang w:val="en-GB"/>
        </w:rPr>
        <w:t>in order to clarify any difficulty arising from the implemnentation of the provisions in the Radio Regulations.</w:t>
      </w:r>
    </w:p>
    <w:p w14:paraId="12F19BE1" w14:textId="012816A9" w:rsidR="007366D4" w:rsidRPr="00FD2F0C" w:rsidRDefault="007366D4" w:rsidP="00A15A88">
      <w:pPr>
        <w:spacing w:after="120"/>
        <w:rPr>
          <w:rFonts w:asciiTheme="minorHAnsi" w:hAnsiTheme="minorHAnsi"/>
          <w:bCs/>
          <w:color w:val="000000"/>
          <w:szCs w:val="24"/>
          <w:shd w:val="clear" w:color="auto" w:fill="FFFFFF"/>
          <w:lang w:val="en-GB"/>
        </w:rPr>
      </w:pPr>
      <w:r w:rsidRPr="00FD2F0C">
        <w:rPr>
          <w:rFonts w:asciiTheme="minorHAnsi" w:hAnsiTheme="minorHAnsi"/>
          <w:bCs/>
          <w:color w:val="000000"/>
          <w:szCs w:val="24"/>
          <w:shd w:val="clear" w:color="auto" w:fill="FFFFFF"/>
          <w:lang w:val="en-GB"/>
        </w:rPr>
        <w:t>During the preparatory process of a WRC, draft items to be put on the agenda and preliminary agenda of the next and subsequent WRCs respectively are proposed and approved at the end of this WRC. Immediately after the WRC, the ITU-R Conference Preparatory Meeting (CPM) holds its first session to organize the ITU-R preparatory studies for the next and subsequent WRCs (see </w:t>
      </w:r>
      <w:hyperlink r:id="rId44" w:history="1">
        <w:r w:rsidRPr="00FD2F0C">
          <w:rPr>
            <w:rStyle w:val="Hyperlink"/>
            <w:rFonts w:asciiTheme="minorHAnsi" w:hAnsiTheme="minorHAnsi"/>
            <w:bCs/>
            <w:szCs w:val="24"/>
            <w:shd w:val="clear" w:color="auto" w:fill="FFFFFF"/>
            <w:lang w:val="en-GB"/>
          </w:rPr>
          <w:t>Resolution ITU-R 2</w:t>
        </w:r>
      </w:hyperlink>
      <w:r w:rsidRPr="00FD2F0C">
        <w:rPr>
          <w:rFonts w:asciiTheme="minorHAnsi" w:hAnsiTheme="minorHAnsi"/>
          <w:bCs/>
          <w:color w:val="000000"/>
          <w:szCs w:val="24"/>
          <w:shd w:val="clear" w:color="auto" w:fill="FFFFFF"/>
          <w:lang w:val="en-GB"/>
        </w:rPr>
        <w:t>).</w:t>
      </w:r>
    </w:p>
    <w:p w14:paraId="59F5D410" w14:textId="77777777" w:rsidR="007366D4" w:rsidRPr="00FD2F0C" w:rsidRDefault="007366D4" w:rsidP="007366D4">
      <w:pPr>
        <w:spacing w:after="120"/>
        <w:rPr>
          <w:rFonts w:asciiTheme="minorHAnsi" w:hAnsiTheme="minorHAnsi"/>
          <w:bCs/>
          <w:color w:val="000000"/>
          <w:szCs w:val="24"/>
          <w:shd w:val="clear" w:color="auto" w:fill="FFFFFF"/>
          <w:lang w:val="en-GB"/>
        </w:rPr>
      </w:pPr>
      <w:r w:rsidRPr="00FD2F0C">
        <w:rPr>
          <w:rFonts w:asciiTheme="minorHAnsi" w:hAnsiTheme="minorHAnsi"/>
          <w:bCs/>
          <w:color w:val="000000"/>
          <w:szCs w:val="24"/>
          <w:shd w:val="clear" w:color="auto" w:fill="FFFFFF"/>
          <w:lang w:val="en-GB"/>
        </w:rPr>
        <w:t xml:space="preserve">The results of the ITU-R preparatory studies (e.g., sharing conditions, protection limits, transitional regulatory measures, etc.) are included in new or revised </w:t>
      </w:r>
      <w:hyperlink r:id="rId45" w:history="1">
        <w:r w:rsidRPr="00FD2F0C">
          <w:rPr>
            <w:rStyle w:val="Hyperlink"/>
            <w:rFonts w:asciiTheme="minorHAnsi" w:hAnsiTheme="minorHAnsi"/>
            <w:bCs/>
            <w:szCs w:val="24"/>
            <w:shd w:val="clear" w:color="auto" w:fill="FFFFFF"/>
            <w:lang w:val="en-GB"/>
          </w:rPr>
          <w:t>ITU-R Recommendations</w:t>
        </w:r>
      </w:hyperlink>
      <w:r w:rsidRPr="00FD2F0C">
        <w:rPr>
          <w:rFonts w:asciiTheme="minorHAnsi" w:hAnsiTheme="minorHAnsi"/>
          <w:bCs/>
          <w:color w:val="000000"/>
          <w:szCs w:val="24"/>
          <w:shd w:val="clear" w:color="auto" w:fill="FFFFFF"/>
          <w:lang w:val="en-GB"/>
        </w:rPr>
        <w:t xml:space="preserve"> and/or draft WRC Resolutions, which can become mandatory if incorporated by reference in the RR by the WRC. The assumptions made, calculations performed or other detailed information used to derived those sharing conditions or protection limits are usually described in new or revised </w:t>
      </w:r>
      <w:hyperlink r:id="rId46" w:history="1">
        <w:r w:rsidRPr="00FD2F0C">
          <w:rPr>
            <w:rStyle w:val="Hyperlink"/>
            <w:rFonts w:asciiTheme="minorHAnsi" w:hAnsiTheme="minorHAnsi"/>
            <w:bCs/>
            <w:szCs w:val="24"/>
            <w:shd w:val="clear" w:color="auto" w:fill="FFFFFF"/>
            <w:lang w:val="en-GB"/>
          </w:rPr>
          <w:t>ITU-R Reports</w:t>
        </w:r>
      </w:hyperlink>
      <w:r w:rsidRPr="00FD2F0C">
        <w:rPr>
          <w:rFonts w:asciiTheme="minorHAnsi" w:hAnsiTheme="minorHAnsi"/>
          <w:bCs/>
          <w:color w:val="000000"/>
          <w:szCs w:val="24"/>
          <w:shd w:val="clear" w:color="auto" w:fill="FFFFFF"/>
          <w:lang w:val="en-GB"/>
        </w:rPr>
        <w:t xml:space="preserve"> and/or other ITU-R relevant publications.</w:t>
      </w:r>
    </w:p>
    <w:p w14:paraId="46D55509" w14:textId="77777777" w:rsidR="007366D4" w:rsidRPr="00FD2F0C" w:rsidRDefault="007366D4" w:rsidP="007366D4">
      <w:pPr>
        <w:spacing w:after="120"/>
        <w:rPr>
          <w:rFonts w:asciiTheme="minorHAnsi" w:hAnsiTheme="minorHAnsi"/>
          <w:bCs/>
          <w:color w:val="000000"/>
          <w:szCs w:val="24"/>
          <w:shd w:val="clear" w:color="auto" w:fill="FFFFFF"/>
          <w:lang w:val="en-GB"/>
        </w:rPr>
      </w:pPr>
      <w:r w:rsidRPr="00FD2F0C">
        <w:rPr>
          <w:rFonts w:asciiTheme="minorHAnsi" w:hAnsiTheme="minorHAnsi"/>
          <w:bCs/>
          <w:color w:val="000000"/>
          <w:szCs w:val="24"/>
          <w:shd w:val="clear" w:color="auto" w:fill="FFFFFF"/>
          <w:lang w:val="en-GB"/>
        </w:rPr>
        <w:t>For each item and issue on the agenda of the WRC, background information, a summary and analysis of the studies, and methods to satisfy the agenda item/issue, accompanied if necessary by draft modifications to the RR, are consolidated during the second session of the CPM and included in the CPM Report to the WRC.</w:t>
      </w:r>
    </w:p>
    <w:p w14:paraId="012C1157" w14:textId="77777777" w:rsidR="007366D4" w:rsidRPr="00FD2F0C" w:rsidRDefault="007366D4" w:rsidP="007366D4">
      <w:pPr>
        <w:rPr>
          <w:rFonts w:asciiTheme="minorHAnsi" w:hAnsiTheme="minorHAnsi"/>
          <w:shd w:val="clear" w:color="auto" w:fill="FFFFFF"/>
          <w:lang w:val="en-GB"/>
        </w:rPr>
      </w:pPr>
      <w:r w:rsidRPr="00FD2F0C">
        <w:rPr>
          <w:rFonts w:asciiTheme="minorHAnsi" w:hAnsiTheme="minorHAnsi"/>
          <w:shd w:val="clear" w:color="auto" w:fill="FFFFFF"/>
          <w:lang w:val="en-GB"/>
        </w:rPr>
        <w:t>The information contained in the CPM Report is of primary important for the ITU Member States to better understand the issues on the WRC agenda, understand also the positions and views of the other Member States and prepare proposals to the WRC. It is important to note that, during all the study cycle, the ITU-R Sector Members are able to contribute directly to the studies, while only the Member States can submit proposals to the WRC.</w:t>
      </w:r>
    </w:p>
    <w:p w14:paraId="70747A78" w14:textId="35AB1A5F" w:rsidR="00373A90" w:rsidRPr="00FD2F0C" w:rsidRDefault="007366D4" w:rsidP="00031AF9">
      <w:pPr>
        <w:rPr>
          <w:rFonts w:asciiTheme="minorHAnsi" w:hAnsiTheme="minorHAnsi"/>
          <w:shd w:val="clear" w:color="auto" w:fill="FFFFFF"/>
          <w:lang w:val="en-GB"/>
        </w:rPr>
      </w:pPr>
      <w:r w:rsidRPr="00FD2F0C">
        <w:rPr>
          <w:rFonts w:asciiTheme="minorHAnsi" w:hAnsiTheme="minorHAnsi"/>
          <w:shd w:val="clear" w:color="auto" w:fill="FFFFFF"/>
          <w:lang w:val="en-GB"/>
        </w:rPr>
        <w:t>The regional preparations for the WRC described in</w:t>
      </w:r>
      <w:r w:rsidRPr="00FD2F0C">
        <w:rPr>
          <w:rFonts w:asciiTheme="minorHAnsi" w:hAnsiTheme="minorHAnsi"/>
          <w:lang w:val="en-GB"/>
        </w:rPr>
        <w:t xml:space="preserve"> </w:t>
      </w:r>
      <w:hyperlink r:id="rId47" w:tgtFrame="_blank" w:history="1">
        <w:r w:rsidRPr="00FD2F0C">
          <w:rPr>
            <w:rFonts w:asciiTheme="minorHAnsi" w:hAnsiTheme="minorHAnsi"/>
            <w:lang w:val="en-GB"/>
          </w:rPr>
          <w:t>Resolution 72 (Rev.WRC-07)</w:t>
        </w:r>
      </w:hyperlink>
      <w:r w:rsidRPr="00FD2F0C">
        <w:rPr>
          <w:rFonts w:asciiTheme="minorHAnsi" w:hAnsiTheme="minorHAnsi"/>
          <w:lang w:val="en-GB"/>
        </w:rPr>
        <w:t> </w:t>
      </w:r>
      <w:r w:rsidRPr="00FD2F0C">
        <w:rPr>
          <w:rFonts w:asciiTheme="minorHAnsi" w:hAnsiTheme="minorHAnsi"/>
          <w:shd w:val="clear" w:color="auto" w:fill="FFFFFF"/>
          <w:lang w:val="en-GB"/>
        </w:rPr>
        <w:t>as well as the ITU inter-regional Workshops on WRC Preparation are also a key element of the success of the WRCs, in particular in order to coordinate and develop as many common or multi-countries proposals as possible.</w:t>
      </w:r>
    </w:p>
    <w:p w14:paraId="68FFB4E7" w14:textId="1B9B7979" w:rsidR="007366D4" w:rsidRPr="00FD2F0C" w:rsidRDefault="007366D4" w:rsidP="00E73393">
      <w:pPr>
        <w:pStyle w:val="Heading3"/>
        <w:numPr>
          <w:ilvl w:val="0"/>
          <w:numId w:val="0"/>
        </w:numPr>
        <w:ind w:left="720" w:hanging="720"/>
        <w:rPr>
          <w:rFonts w:asciiTheme="minorHAnsi" w:hAnsiTheme="minorHAnsi"/>
        </w:rPr>
      </w:pPr>
      <w:bookmarkStart w:id="101" w:name="_Toc467836434"/>
      <w:bookmarkStart w:id="102" w:name="_Toc485648003"/>
      <w:r w:rsidRPr="00FD2F0C">
        <w:rPr>
          <w:rFonts w:asciiTheme="minorHAnsi" w:hAnsiTheme="minorHAnsi"/>
        </w:rPr>
        <w:t>3.</w:t>
      </w:r>
      <w:r w:rsidR="00D703E3" w:rsidRPr="00FD2F0C">
        <w:rPr>
          <w:rFonts w:asciiTheme="minorHAnsi" w:hAnsiTheme="minorHAnsi"/>
        </w:rPr>
        <w:t>2</w:t>
      </w:r>
      <w:r w:rsidRPr="00FD2F0C">
        <w:rPr>
          <w:rFonts w:asciiTheme="minorHAnsi" w:hAnsiTheme="minorHAnsi"/>
        </w:rPr>
        <w:t>.2</w:t>
      </w:r>
      <w:r w:rsidRPr="00FD2F0C">
        <w:rPr>
          <w:rFonts w:asciiTheme="minorHAnsi" w:hAnsiTheme="minorHAnsi"/>
        </w:rPr>
        <w:tab/>
        <w:t>WRC-15</w:t>
      </w:r>
      <w:bookmarkEnd w:id="101"/>
      <w:bookmarkEnd w:id="102"/>
    </w:p>
    <w:p w14:paraId="34CBF426" w14:textId="77777777" w:rsidR="007366D4" w:rsidRPr="00FD2F0C" w:rsidRDefault="007366D4" w:rsidP="007366D4">
      <w:pPr>
        <w:spacing w:after="120"/>
        <w:rPr>
          <w:rFonts w:asciiTheme="minorHAnsi" w:hAnsiTheme="minorHAnsi"/>
          <w:bCs/>
          <w:color w:val="000000"/>
          <w:szCs w:val="24"/>
          <w:shd w:val="clear" w:color="auto" w:fill="FFFFFF"/>
          <w:lang w:val="en-GB"/>
        </w:rPr>
      </w:pPr>
      <w:r w:rsidRPr="00FD2F0C">
        <w:rPr>
          <w:rFonts w:asciiTheme="minorHAnsi" w:hAnsiTheme="minorHAnsi"/>
          <w:bCs/>
          <w:color w:val="000000"/>
          <w:szCs w:val="24"/>
          <w:shd w:val="clear" w:color="auto" w:fill="FFFFFF"/>
          <w:lang w:val="en-GB"/>
        </w:rPr>
        <w:t xml:space="preserve">The most recent WRC (WRC-15) was held </w:t>
      </w:r>
      <w:r w:rsidRPr="00FD2F0C">
        <w:rPr>
          <w:rFonts w:asciiTheme="minorHAnsi" w:hAnsiTheme="minorHAnsi"/>
          <w:szCs w:val="24"/>
          <w:lang w:val="en-GB"/>
        </w:rPr>
        <w:t>in Geneva</w:t>
      </w:r>
      <w:r w:rsidRPr="00FD2F0C">
        <w:rPr>
          <w:rFonts w:asciiTheme="minorHAnsi" w:hAnsiTheme="minorHAnsi" w:cstheme="minorHAnsi"/>
          <w:szCs w:val="24"/>
          <w:lang w:val="en-GB"/>
        </w:rPr>
        <w:t xml:space="preserve"> from 2 to 27 </w:t>
      </w:r>
      <w:r w:rsidRPr="00FD2F0C">
        <w:rPr>
          <w:rFonts w:asciiTheme="minorHAnsi" w:hAnsiTheme="minorHAnsi"/>
          <w:bCs/>
          <w:color w:val="000000"/>
          <w:szCs w:val="24"/>
          <w:shd w:val="clear" w:color="auto" w:fill="FFFFFF"/>
          <w:lang w:val="en-GB"/>
        </w:rPr>
        <w:t xml:space="preserve">November 2015. </w:t>
      </w:r>
      <w:r w:rsidRPr="00FD2F0C">
        <w:rPr>
          <w:rFonts w:asciiTheme="minorHAnsi" w:hAnsiTheme="minorHAnsi" w:cstheme="minorHAnsi"/>
          <w:color w:val="000000"/>
          <w:szCs w:val="24"/>
          <w:lang w:val="en-GB"/>
        </w:rPr>
        <w:t xml:space="preserve">A total of 3,275 participants representing 162 Member States and 130 observer organizations attended WRC-15. </w:t>
      </w:r>
      <w:r w:rsidRPr="00FD2F0C">
        <w:rPr>
          <w:rFonts w:asciiTheme="minorHAnsi" w:hAnsiTheme="minorHAnsi" w:cstheme="minorHAnsi"/>
          <w:szCs w:val="24"/>
          <w:lang w:val="en-GB"/>
        </w:rPr>
        <w:t xml:space="preserve">Mr Festus </w:t>
      </w:r>
      <w:r w:rsidRPr="00FD2F0C">
        <w:rPr>
          <w:rFonts w:asciiTheme="minorHAnsi" w:hAnsiTheme="minorHAnsi"/>
          <w:szCs w:val="24"/>
          <w:lang w:val="en-GB"/>
        </w:rPr>
        <w:t xml:space="preserve">Yusufu Narai Daudu </w:t>
      </w:r>
      <w:r w:rsidRPr="00FD2F0C">
        <w:rPr>
          <w:rFonts w:asciiTheme="minorHAnsi" w:hAnsiTheme="minorHAnsi" w:cstheme="minorHAnsi"/>
          <w:szCs w:val="24"/>
          <w:lang w:val="en-GB"/>
        </w:rPr>
        <w:t>(Nigeria) was elected as Chairman of the WRC-15.</w:t>
      </w:r>
    </w:p>
    <w:p w14:paraId="0F621918" w14:textId="77777777" w:rsidR="007366D4" w:rsidRPr="00FD2F0C" w:rsidRDefault="007366D4" w:rsidP="007366D4">
      <w:pPr>
        <w:spacing w:after="120"/>
        <w:rPr>
          <w:rFonts w:asciiTheme="minorHAnsi" w:eastAsia="Arial Unicode MS" w:hAnsiTheme="minorHAnsi" w:cstheme="minorHAnsi"/>
          <w:szCs w:val="24"/>
          <w:lang w:val="en-GB"/>
        </w:rPr>
      </w:pPr>
      <w:r w:rsidRPr="00FD2F0C">
        <w:rPr>
          <w:rFonts w:asciiTheme="minorHAnsi" w:eastAsia="Arial Unicode MS" w:hAnsiTheme="minorHAnsi" w:cstheme="minorHAnsi"/>
          <w:szCs w:val="24"/>
          <w:lang w:val="en-GB"/>
        </w:rPr>
        <w:t xml:space="preserve">WRC-15 addressed over 40 topics related to frequency allocation and frequency sharing for the efficient use of spectrum and orbital resources. WRC-15 fielded outcomes in: mobile broadband communications, amateur radio service, emergency communications and disaster relief, search and rescue, earth observation satellites for environmental monitoring, unmanned aircraft and wireless avionics systems, global flight tracking for civil aviation, enhanced maritime communications </w:t>
      </w:r>
      <w:r w:rsidRPr="00FD2F0C">
        <w:rPr>
          <w:rFonts w:asciiTheme="minorHAnsi" w:eastAsia="Arial Unicode MS" w:hAnsiTheme="minorHAnsi" w:cstheme="minorHAnsi"/>
          <w:szCs w:val="24"/>
          <w:lang w:val="en-GB"/>
        </w:rPr>
        <w:lastRenderedPageBreak/>
        <w:t>systems, road safety, operation of broadband satellite systems (earth stations in motion), universal time, fixed satellite services, maritime-mobile satellite services, and satellite procedures.</w:t>
      </w:r>
    </w:p>
    <w:p w14:paraId="4169658A" w14:textId="6CA11D4A" w:rsidR="00D33564" w:rsidRPr="00FD2F0C" w:rsidRDefault="007366D4">
      <w:pPr>
        <w:rPr>
          <w:rFonts w:asciiTheme="minorHAnsi" w:hAnsiTheme="minorHAnsi"/>
          <w:lang w:val="en-GB"/>
        </w:rPr>
      </w:pPr>
      <w:r w:rsidRPr="00FD2F0C">
        <w:rPr>
          <w:rFonts w:asciiTheme="minorHAnsi" w:hAnsiTheme="minorHAnsi"/>
          <w:lang w:val="en-GB"/>
        </w:rPr>
        <w:t xml:space="preserve">In particular regarding mobile broadband communications, WRC-15 agreed on additional allocations to the mobile service and identification for International Mobile Telecommunications (IMT) of frequency bands in the L-band (1427-1518 MHz) and C-band (3.4 -3.6 GHz), paving the way for the availability of globally harmonized spectrum for mobile broadband services in these bands. WRC-15 also achieved agreement on some additional bands or portions thereof that were also allocated to the mobile service and identified for IMT in some countries (470-698 MHz, 3.3-3.4 GHz, 3.6-3.7 GHz and 4.8-4.99 GHz). </w:t>
      </w:r>
    </w:p>
    <w:p w14:paraId="03694557" w14:textId="7DDD5DE1" w:rsidR="00D33564" w:rsidRPr="00FD2F0C" w:rsidRDefault="00D33564" w:rsidP="008E5853">
      <w:pPr>
        <w:rPr>
          <w:rFonts w:asciiTheme="minorHAnsi" w:hAnsiTheme="minorHAnsi"/>
          <w:lang w:val="en-CA"/>
        </w:rPr>
      </w:pPr>
      <w:r w:rsidRPr="00FD2F0C">
        <w:rPr>
          <w:rFonts w:asciiTheme="minorHAnsi" w:hAnsiTheme="minorHAnsi"/>
          <w:lang w:val="en-CA"/>
        </w:rPr>
        <w:t xml:space="preserve">Studies are on-going for the revision of Recommendation ITU-R M.1036 on frequency arrangements for new International Mobile Telecommunications (IMT) bands identified at WRC-15. The implementation of IMT in these additional bands is expected to facilitate the deployment of mobile broadband in developing countries. </w:t>
      </w:r>
      <w:r w:rsidR="00316F34" w:rsidRPr="00FD2F0C">
        <w:rPr>
          <w:rFonts w:asciiTheme="minorHAnsi" w:hAnsiTheme="minorHAnsi"/>
          <w:lang w:val="en-CA"/>
        </w:rPr>
        <w:t>It should also be noted that p</w:t>
      </w:r>
      <w:r w:rsidRPr="00FD2F0C">
        <w:rPr>
          <w:rFonts w:asciiTheme="minorHAnsi" w:hAnsiTheme="minorHAnsi"/>
          <w:lang w:val="en-CA"/>
        </w:rPr>
        <w:t xml:space="preserve">ortions of bands below 1 GHz </w:t>
      </w:r>
      <w:r w:rsidR="00316F34" w:rsidRPr="00FD2F0C">
        <w:rPr>
          <w:rFonts w:asciiTheme="minorHAnsi" w:hAnsiTheme="minorHAnsi"/>
          <w:lang w:val="en-CA"/>
        </w:rPr>
        <w:t xml:space="preserve">are </w:t>
      </w:r>
      <w:r w:rsidRPr="00FD2F0C">
        <w:rPr>
          <w:rFonts w:asciiTheme="minorHAnsi" w:hAnsiTheme="minorHAnsi"/>
          <w:lang w:val="en-CA"/>
        </w:rPr>
        <w:t xml:space="preserve">identified for IMT. This should be taken into account when considering options with respect to </w:t>
      </w:r>
      <w:r w:rsidR="008E5853" w:rsidRPr="00FD2F0C">
        <w:rPr>
          <w:rFonts w:asciiTheme="minorHAnsi" w:hAnsiTheme="minorHAnsi"/>
          <w:lang w:val="en-GB"/>
        </w:rPr>
        <w:t>d</w:t>
      </w:r>
      <w:r w:rsidR="00B42E32" w:rsidRPr="00FD2F0C">
        <w:rPr>
          <w:rFonts w:asciiTheme="minorHAnsi" w:hAnsiTheme="minorHAnsi"/>
          <w:lang w:val="en-GB"/>
        </w:rPr>
        <w:t xml:space="preserve">ynamic </w:t>
      </w:r>
      <w:r w:rsidR="00E93B26" w:rsidRPr="00FD2F0C">
        <w:rPr>
          <w:rFonts w:asciiTheme="minorHAnsi" w:hAnsiTheme="minorHAnsi"/>
          <w:lang w:val="en-GB"/>
        </w:rPr>
        <w:t>s</w:t>
      </w:r>
      <w:r w:rsidR="00B42E32" w:rsidRPr="00FD2F0C">
        <w:rPr>
          <w:rFonts w:asciiTheme="minorHAnsi" w:hAnsiTheme="minorHAnsi"/>
          <w:lang w:val="en-GB"/>
        </w:rPr>
        <w:t xml:space="preserve">pectrum </w:t>
      </w:r>
      <w:r w:rsidR="008E5853" w:rsidRPr="00FD2F0C">
        <w:rPr>
          <w:rFonts w:asciiTheme="minorHAnsi" w:hAnsiTheme="minorHAnsi"/>
          <w:lang w:val="en-GB"/>
        </w:rPr>
        <w:t>s</w:t>
      </w:r>
      <w:r w:rsidR="00B42E32" w:rsidRPr="00FD2F0C">
        <w:rPr>
          <w:rFonts w:asciiTheme="minorHAnsi" w:hAnsiTheme="minorHAnsi"/>
          <w:lang w:val="en-GB"/>
        </w:rPr>
        <w:t xml:space="preserve">haring </w:t>
      </w:r>
      <w:r w:rsidRPr="00FD2F0C">
        <w:rPr>
          <w:rFonts w:asciiTheme="minorHAnsi" w:hAnsiTheme="minorHAnsi"/>
          <w:lang w:val="en-CA"/>
        </w:rPr>
        <w:t>and the deployment of TVWS (TV White Space).</w:t>
      </w:r>
    </w:p>
    <w:p w14:paraId="7895C4C9" w14:textId="77777777" w:rsidR="00D33564" w:rsidRPr="00FD2F0C" w:rsidRDefault="007366D4">
      <w:pPr>
        <w:rPr>
          <w:rFonts w:asciiTheme="minorHAnsi" w:hAnsiTheme="minorHAnsi"/>
          <w:lang w:val="en-GB"/>
        </w:rPr>
      </w:pPr>
      <w:r w:rsidRPr="00FD2F0C">
        <w:rPr>
          <w:rFonts w:asciiTheme="minorHAnsi" w:hAnsiTheme="minorHAnsi"/>
          <w:lang w:val="en-GB"/>
        </w:rPr>
        <w:t>WRC-15 also decided to include studies in the agenda for the next WRC in 2019 for the identification of bands between 24 and 86 GHz in order to meet demand for greater capacity, notably through the implementation of </w:t>
      </w:r>
      <w:hyperlink r:id="rId48" w:tgtFrame="_blank" w:history="1">
        <w:r w:rsidRPr="00FD2F0C">
          <w:rPr>
            <w:rFonts w:asciiTheme="minorHAnsi" w:hAnsiTheme="minorHAnsi"/>
            <w:lang w:val="en-GB"/>
          </w:rPr>
          <w:t>IMT-2020</w:t>
        </w:r>
      </w:hyperlink>
      <w:r w:rsidRPr="00FD2F0C">
        <w:rPr>
          <w:rFonts w:asciiTheme="minorHAnsi" w:hAnsiTheme="minorHAnsi"/>
          <w:lang w:val="en-GB"/>
        </w:rPr>
        <w:t xml:space="preserve">. In addition, studies for WRC-19 will cover frequency related matters of WAS/RLAN in 5 GHz and regulatory actions for High-Altitude Platform Stations (HAPS), which could further facilitate access to mobile broadband applications. </w:t>
      </w:r>
    </w:p>
    <w:p w14:paraId="24AB5D57" w14:textId="77777777" w:rsidR="007366D4" w:rsidRPr="00FD2F0C" w:rsidRDefault="007366D4">
      <w:pPr>
        <w:rPr>
          <w:rFonts w:asciiTheme="minorHAnsi" w:hAnsiTheme="minorHAnsi"/>
          <w:lang w:val="en-GB"/>
        </w:rPr>
      </w:pPr>
      <w:r w:rsidRPr="00FD2F0C">
        <w:rPr>
          <w:rFonts w:asciiTheme="minorHAnsi" w:hAnsiTheme="minorHAnsi"/>
          <w:lang w:val="en-GB"/>
        </w:rPr>
        <w:t xml:space="preserve">WRC-15 also took a decision that will provide enhanced capacity for </w:t>
      </w:r>
      <w:hyperlink r:id="rId49" w:tgtFrame="_blank" w:history="1">
        <w:r w:rsidRPr="00FD2F0C">
          <w:rPr>
            <w:rFonts w:asciiTheme="minorHAnsi" w:hAnsiTheme="minorHAnsi"/>
            <w:lang w:val="en-GB"/>
          </w:rPr>
          <w:t>mobile broadband in the 694-790 MHz frequency band in ITU Region 1</w:t>
        </w:r>
      </w:hyperlink>
      <w:r w:rsidRPr="00FD2F0C">
        <w:rPr>
          <w:rFonts w:asciiTheme="minorHAnsi" w:hAnsiTheme="minorHAnsi"/>
          <w:lang w:val="en-GB"/>
        </w:rPr>
        <w:t> (Europe, Africa, the Middle East and Central Asia) and a globally harmonized solution for the implementation of the digital dividend, while providing full protection to television broadcasting and aeronautical radio navigation services in this band.</w:t>
      </w:r>
    </w:p>
    <w:p w14:paraId="5D289211" w14:textId="3534D5A6" w:rsidR="00D33564" w:rsidRPr="00FD2F0C" w:rsidRDefault="00D33564" w:rsidP="008E6AD2">
      <w:pPr>
        <w:spacing w:after="120"/>
        <w:rPr>
          <w:rFonts w:asciiTheme="minorHAnsi" w:hAnsiTheme="minorHAnsi"/>
          <w:color w:val="000000"/>
          <w:szCs w:val="24"/>
          <w:lang w:val="en-GB"/>
        </w:rPr>
      </w:pPr>
      <w:r w:rsidRPr="00FD2F0C">
        <w:rPr>
          <w:rFonts w:asciiTheme="minorHAnsi" w:hAnsiTheme="minorHAnsi"/>
          <w:color w:val="000000"/>
          <w:szCs w:val="24"/>
          <w:lang w:val="en-GB"/>
        </w:rPr>
        <w:t>Thus, prior to authorizing a “license-exempt” application, the decisions made by WRC-12 and WRC-15 in allocating large parts of the UHF band to the mobile service and identifying them for IMT need to be factored in the national long-term strategy regarding the UHF band. Resol</w:t>
      </w:r>
      <w:r w:rsidR="008C0D96" w:rsidRPr="00FD2F0C">
        <w:rPr>
          <w:rFonts w:asciiTheme="minorHAnsi" w:hAnsiTheme="minorHAnsi"/>
          <w:color w:val="000000"/>
          <w:szCs w:val="24"/>
          <w:lang w:val="en-GB"/>
        </w:rPr>
        <w:t>u</w:t>
      </w:r>
      <w:r w:rsidRPr="00FD2F0C">
        <w:rPr>
          <w:rFonts w:asciiTheme="minorHAnsi" w:hAnsiTheme="minorHAnsi"/>
          <w:color w:val="000000"/>
          <w:szCs w:val="24"/>
          <w:lang w:val="en-GB"/>
        </w:rPr>
        <w:t xml:space="preserve">tion </w:t>
      </w:r>
      <w:r w:rsidRPr="00FD2F0C">
        <w:rPr>
          <w:rFonts w:asciiTheme="minorHAnsi" w:hAnsiTheme="minorHAnsi"/>
          <w:b/>
          <w:bCs/>
          <w:color w:val="000000"/>
          <w:szCs w:val="24"/>
          <w:lang w:val="en-GB"/>
        </w:rPr>
        <w:t>235 (WRC-15)</w:t>
      </w:r>
      <w:r w:rsidRPr="00FD2F0C">
        <w:rPr>
          <w:rFonts w:asciiTheme="minorHAnsi" w:hAnsiTheme="minorHAnsi"/>
          <w:color w:val="000000"/>
          <w:szCs w:val="24"/>
          <w:lang w:val="en-GB"/>
        </w:rPr>
        <w:t xml:space="preserve"> must also be taken into account when making decisions on depl</w:t>
      </w:r>
      <w:r w:rsidR="008C0D96" w:rsidRPr="00FD2F0C">
        <w:rPr>
          <w:rFonts w:asciiTheme="minorHAnsi" w:hAnsiTheme="minorHAnsi"/>
          <w:color w:val="000000"/>
          <w:szCs w:val="24"/>
          <w:lang w:val="en-GB"/>
        </w:rPr>
        <w:t>o</w:t>
      </w:r>
      <w:r w:rsidRPr="00FD2F0C">
        <w:rPr>
          <w:rFonts w:asciiTheme="minorHAnsi" w:hAnsiTheme="minorHAnsi"/>
          <w:color w:val="000000"/>
          <w:szCs w:val="24"/>
          <w:lang w:val="en-GB"/>
        </w:rPr>
        <w:t xml:space="preserve">yment of WSD in TVWS. This is addressed further in </w:t>
      </w:r>
      <w:r w:rsidR="008E6AD2" w:rsidRPr="00FD2F0C">
        <w:rPr>
          <w:rFonts w:asciiTheme="minorHAnsi" w:hAnsiTheme="minorHAnsi"/>
          <w:color w:val="000000"/>
          <w:szCs w:val="24"/>
          <w:lang w:val="en-GB"/>
        </w:rPr>
        <w:t>S</w:t>
      </w:r>
      <w:r w:rsidRPr="00FD2F0C">
        <w:rPr>
          <w:rFonts w:asciiTheme="minorHAnsi" w:hAnsiTheme="minorHAnsi"/>
          <w:color w:val="000000"/>
          <w:szCs w:val="24"/>
          <w:lang w:val="en-GB"/>
        </w:rPr>
        <w:t>ection 3.</w:t>
      </w:r>
      <w:r w:rsidR="00680B6D" w:rsidRPr="00FD2F0C">
        <w:rPr>
          <w:rFonts w:asciiTheme="minorHAnsi" w:hAnsiTheme="minorHAnsi"/>
          <w:color w:val="000000"/>
          <w:szCs w:val="24"/>
          <w:lang w:val="en-GB"/>
        </w:rPr>
        <w:t>2</w:t>
      </w:r>
      <w:r w:rsidRPr="00FD2F0C">
        <w:rPr>
          <w:rFonts w:asciiTheme="minorHAnsi" w:hAnsiTheme="minorHAnsi"/>
          <w:color w:val="000000"/>
          <w:szCs w:val="24"/>
          <w:lang w:val="en-GB"/>
        </w:rPr>
        <w:t>.3 below.</w:t>
      </w:r>
    </w:p>
    <w:p w14:paraId="35334A52" w14:textId="77777777" w:rsidR="00031AF9" w:rsidRPr="00FD2F0C" w:rsidRDefault="007366D4" w:rsidP="00520C82">
      <w:pPr>
        <w:spacing w:after="120"/>
        <w:rPr>
          <w:rFonts w:asciiTheme="minorHAnsi" w:hAnsiTheme="minorHAnsi"/>
          <w:szCs w:val="24"/>
          <w:lang w:val="en-GB"/>
        </w:rPr>
      </w:pPr>
      <w:r w:rsidRPr="00FD2F0C">
        <w:rPr>
          <w:rFonts w:asciiTheme="minorHAnsi" w:hAnsiTheme="minorHAnsi"/>
          <w:color w:val="000000"/>
          <w:szCs w:val="24"/>
          <w:lang w:val="en-GB"/>
        </w:rPr>
        <w:t>The modifications made to the Radio Regulations at WRC-15, including the new or revised WRC Resolutions and Recommendations as well as the ITU-R Recommendations incorporated by reference in the RR, have been included in the 2016 Edition of the Radio Regulations which is available at:</w:t>
      </w:r>
      <w:r w:rsidR="003B6115" w:rsidRPr="00FD2F0C">
        <w:rPr>
          <w:rFonts w:asciiTheme="minorHAnsi" w:hAnsiTheme="minorHAnsi"/>
          <w:color w:val="000000"/>
          <w:szCs w:val="24"/>
          <w:lang w:val="en-GB"/>
        </w:rPr>
        <w:t xml:space="preserve"> </w:t>
      </w:r>
      <w:hyperlink r:id="rId50" w:history="1">
        <w:r w:rsidR="003B6115" w:rsidRPr="00FD2F0C">
          <w:rPr>
            <w:rStyle w:val="Hyperlink"/>
            <w:rFonts w:asciiTheme="minorHAnsi" w:hAnsiTheme="minorHAnsi"/>
            <w:szCs w:val="24"/>
            <w:lang w:val="en-GB"/>
          </w:rPr>
          <w:t>www.itu.int/pub/R-REG-RR</w:t>
        </w:r>
      </w:hyperlink>
      <w:r w:rsidR="003B6115" w:rsidRPr="00FD2F0C">
        <w:rPr>
          <w:rFonts w:asciiTheme="minorHAnsi" w:hAnsiTheme="minorHAnsi"/>
          <w:szCs w:val="24"/>
          <w:lang w:val="en-GB"/>
        </w:rPr>
        <w:t>.</w:t>
      </w:r>
    </w:p>
    <w:p w14:paraId="7878909B" w14:textId="6323A9BE" w:rsidR="007366D4" w:rsidRPr="00FD2F0C" w:rsidRDefault="00031AF9" w:rsidP="00571A4B">
      <w:pPr>
        <w:spacing w:after="120"/>
        <w:rPr>
          <w:rFonts w:asciiTheme="minorHAnsi" w:hAnsiTheme="minorHAnsi"/>
          <w:szCs w:val="24"/>
          <w:lang w:val="en-GB"/>
        </w:rPr>
      </w:pPr>
      <w:r w:rsidRPr="00FD2F0C">
        <w:rPr>
          <w:rFonts w:asciiTheme="minorHAnsi" w:hAnsiTheme="minorHAnsi"/>
          <w:szCs w:val="24"/>
          <w:lang w:val="en-GB"/>
        </w:rPr>
        <w:t xml:space="preserve">The most recent edition of the Rules of Procedure, which reflect the WRC-15 decisions, are available at: </w:t>
      </w:r>
      <w:hyperlink r:id="rId51" w:history="1">
        <w:r w:rsidR="00571A4B" w:rsidRPr="00FD2F0C">
          <w:rPr>
            <w:rStyle w:val="Hyperlink"/>
            <w:rFonts w:asciiTheme="minorHAnsi" w:hAnsiTheme="minorHAnsi"/>
            <w:szCs w:val="24"/>
            <w:lang w:val="en-GB"/>
          </w:rPr>
          <w:t>www.itu.int/pub/R-REG-ROP/en</w:t>
        </w:r>
      </w:hyperlink>
      <w:r w:rsidRPr="00FD2F0C">
        <w:rPr>
          <w:rFonts w:asciiTheme="minorHAnsi" w:hAnsiTheme="minorHAnsi"/>
          <w:szCs w:val="24"/>
          <w:lang w:val="en-GB"/>
        </w:rPr>
        <w:t>.</w:t>
      </w:r>
    </w:p>
    <w:p w14:paraId="445082DE" w14:textId="13DC4128" w:rsidR="007366D4" w:rsidRPr="00FD2F0C" w:rsidRDefault="007366D4" w:rsidP="00E73393">
      <w:pPr>
        <w:pStyle w:val="Heading3"/>
        <w:numPr>
          <w:ilvl w:val="0"/>
          <w:numId w:val="0"/>
        </w:numPr>
        <w:ind w:left="720" w:hanging="720"/>
        <w:rPr>
          <w:rFonts w:asciiTheme="minorHAnsi" w:hAnsiTheme="minorHAnsi"/>
        </w:rPr>
      </w:pPr>
      <w:bookmarkStart w:id="103" w:name="_Toc467836435"/>
      <w:bookmarkStart w:id="104" w:name="_Toc485648004"/>
      <w:r w:rsidRPr="00FD2F0C">
        <w:rPr>
          <w:rFonts w:asciiTheme="minorHAnsi" w:hAnsiTheme="minorHAnsi"/>
        </w:rPr>
        <w:t>3.</w:t>
      </w:r>
      <w:r w:rsidR="00D703E3" w:rsidRPr="00FD2F0C">
        <w:rPr>
          <w:rFonts w:asciiTheme="minorHAnsi" w:hAnsiTheme="minorHAnsi"/>
        </w:rPr>
        <w:t>2</w:t>
      </w:r>
      <w:r w:rsidRPr="00FD2F0C">
        <w:rPr>
          <w:rFonts w:asciiTheme="minorHAnsi" w:hAnsiTheme="minorHAnsi"/>
        </w:rPr>
        <w:t>.3</w:t>
      </w:r>
      <w:r w:rsidRPr="00FD2F0C">
        <w:rPr>
          <w:rFonts w:asciiTheme="minorHAnsi" w:hAnsiTheme="minorHAnsi"/>
        </w:rPr>
        <w:tab/>
        <w:t>Preparation for WRC-19 and WRC-23</w:t>
      </w:r>
      <w:bookmarkEnd w:id="103"/>
      <w:bookmarkEnd w:id="104"/>
    </w:p>
    <w:p w14:paraId="5FB96287" w14:textId="4907A9AD" w:rsidR="007366D4" w:rsidRPr="00FD2F0C" w:rsidRDefault="007366D4" w:rsidP="00520C82">
      <w:pPr>
        <w:spacing w:after="120"/>
        <w:rPr>
          <w:rFonts w:asciiTheme="minorHAnsi" w:hAnsiTheme="minorHAnsi"/>
          <w:bCs/>
          <w:color w:val="000000"/>
          <w:szCs w:val="24"/>
          <w:shd w:val="clear" w:color="auto" w:fill="FFFFFF"/>
          <w:lang w:val="en-GB"/>
        </w:rPr>
      </w:pPr>
      <w:r w:rsidRPr="00FD2F0C">
        <w:rPr>
          <w:rFonts w:asciiTheme="minorHAnsi" w:hAnsiTheme="minorHAnsi"/>
          <w:bCs/>
          <w:color w:val="000000"/>
          <w:szCs w:val="24"/>
          <w:shd w:val="clear" w:color="auto" w:fill="FFFFFF"/>
          <w:lang w:val="en-GB"/>
        </w:rPr>
        <w:t xml:space="preserve">The next WRC has been scheduled in November 2019 and the subsequent one in 2023. The Agenda of WRC-19 can be found in </w:t>
      </w:r>
      <w:hyperlink r:id="rId52" w:history="1">
        <w:r w:rsidRPr="00FD2F0C">
          <w:rPr>
            <w:rStyle w:val="Hyperlink"/>
            <w:rFonts w:asciiTheme="minorHAnsi" w:hAnsiTheme="minorHAnsi"/>
            <w:bCs/>
            <w:szCs w:val="24"/>
            <w:shd w:val="clear" w:color="auto" w:fill="FFFFFF"/>
            <w:lang w:val="en-GB"/>
          </w:rPr>
          <w:t>Council Resolution 1380 (</w:t>
        </w:r>
        <w:r w:rsidR="00520C82" w:rsidRPr="00FD2F0C">
          <w:rPr>
            <w:rStyle w:val="Hyperlink"/>
            <w:rFonts w:asciiTheme="minorHAnsi" w:hAnsiTheme="minorHAnsi"/>
            <w:bCs/>
            <w:szCs w:val="24"/>
            <w:shd w:val="clear" w:color="auto" w:fill="FFFFFF"/>
            <w:lang w:val="en-GB"/>
          </w:rPr>
          <w:t xml:space="preserve">MOD </w:t>
        </w:r>
        <w:r w:rsidRPr="00FD2F0C">
          <w:rPr>
            <w:rStyle w:val="Hyperlink"/>
            <w:rFonts w:asciiTheme="minorHAnsi" w:hAnsiTheme="minorHAnsi"/>
            <w:bCs/>
            <w:szCs w:val="24"/>
            <w:shd w:val="clear" w:color="auto" w:fill="FFFFFF"/>
            <w:lang w:val="en-GB"/>
          </w:rPr>
          <w:t>C-1</w:t>
        </w:r>
        <w:r w:rsidR="00520C82" w:rsidRPr="00FD2F0C">
          <w:rPr>
            <w:rStyle w:val="Hyperlink"/>
            <w:rFonts w:asciiTheme="minorHAnsi" w:hAnsiTheme="minorHAnsi"/>
            <w:bCs/>
            <w:szCs w:val="24"/>
            <w:shd w:val="clear" w:color="auto" w:fill="FFFFFF"/>
            <w:lang w:val="en-GB"/>
          </w:rPr>
          <w:t>7</w:t>
        </w:r>
        <w:r w:rsidRPr="00FD2F0C">
          <w:rPr>
            <w:rStyle w:val="Hyperlink"/>
            <w:rFonts w:asciiTheme="minorHAnsi" w:hAnsiTheme="minorHAnsi"/>
            <w:bCs/>
            <w:szCs w:val="24"/>
            <w:shd w:val="clear" w:color="auto" w:fill="FFFFFF"/>
            <w:lang w:val="en-GB"/>
          </w:rPr>
          <w:t>)</w:t>
        </w:r>
      </w:hyperlink>
      <w:r w:rsidRPr="00FD2F0C">
        <w:rPr>
          <w:rFonts w:asciiTheme="minorHAnsi" w:hAnsiTheme="minorHAnsi"/>
          <w:bCs/>
          <w:color w:val="000000"/>
          <w:szCs w:val="24"/>
          <w:shd w:val="clear" w:color="auto" w:fill="FFFFFF"/>
          <w:lang w:val="en-GB"/>
        </w:rPr>
        <w:t xml:space="preserve"> derived from </w:t>
      </w:r>
      <w:hyperlink r:id="rId53" w:history="1">
        <w:r w:rsidRPr="00FD2F0C">
          <w:rPr>
            <w:rStyle w:val="Hyperlink"/>
            <w:rFonts w:asciiTheme="minorHAnsi" w:hAnsiTheme="minorHAnsi"/>
            <w:bCs/>
            <w:szCs w:val="24"/>
            <w:shd w:val="clear" w:color="auto" w:fill="FFFFFF"/>
            <w:lang w:val="en-GB"/>
          </w:rPr>
          <w:t>Resolution 809 (WRC-15)</w:t>
        </w:r>
      </w:hyperlink>
      <w:r w:rsidRPr="00FD2F0C">
        <w:rPr>
          <w:rFonts w:asciiTheme="minorHAnsi" w:hAnsiTheme="minorHAnsi"/>
          <w:bCs/>
          <w:color w:val="000000"/>
          <w:szCs w:val="24"/>
          <w:shd w:val="clear" w:color="auto" w:fill="FFFFFF"/>
          <w:lang w:val="en-GB"/>
        </w:rPr>
        <w:t xml:space="preserve"> and the Preliminary Agenda for WRC-23 in </w:t>
      </w:r>
      <w:hyperlink r:id="rId54" w:history="1">
        <w:r w:rsidRPr="00FD2F0C">
          <w:rPr>
            <w:rStyle w:val="Hyperlink"/>
            <w:rFonts w:asciiTheme="minorHAnsi" w:hAnsiTheme="minorHAnsi"/>
            <w:bCs/>
            <w:szCs w:val="24"/>
            <w:shd w:val="clear" w:color="auto" w:fill="FFFFFF"/>
            <w:lang w:val="en-GB"/>
          </w:rPr>
          <w:t>Resolution 810 (WRC-15)</w:t>
        </w:r>
      </w:hyperlink>
      <w:r w:rsidRPr="00FD2F0C">
        <w:rPr>
          <w:rFonts w:asciiTheme="minorHAnsi" w:hAnsiTheme="minorHAnsi"/>
          <w:bCs/>
          <w:color w:val="000000"/>
          <w:szCs w:val="24"/>
          <w:shd w:val="clear" w:color="auto" w:fill="FFFFFF"/>
          <w:lang w:val="en-GB"/>
        </w:rPr>
        <w:t xml:space="preserve">. ITU-R preparatory studies have been organized during CPM19-1 (see the results in </w:t>
      </w:r>
      <w:hyperlink r:id="rId55" w:history="1">
        <w:r w:rsidRPr="00FD2F0C">
          <w:rPr>
            <w:rStyle w:val="Hyperlink"/>
            <w:rFonts w:asciiTheme="minorHAnsi" w:hAnsiTheme="minorHAnsi"/>
            <w:bCs/>
            <w:szCs w:val="24"/>
            <w:shd w:val="clear" w:color="auto" w:fill="FFFFFF"/>
            <w:lang w:val="en-GB"/>
          </w:rPr>
          <w:t>BR Administrative Circular CA/226</w:t>
        </w:r>
      </w:hyperlink>
      <w:r w:rsidRPr="00FD2F0C">
        <w:rPr>
          <w:rFonts w:asciiTheme="minorHAnsi" w:hAnsiTheme="minorHAnsi"/>
          <w:bCs/>
          <w:color w:val="000000"/>
          <w:szCs w:val="24"/>
          <w:shd w:val="clear" w:color="auto" w:fill="FFFFFF"/>
          <w:lang w:val="en-GB"/>
        </w:rPr>
        <w:t xml:space="preserve"> and its Corrigendum 1) and the latest information on these studies can be found at: </w:t>
      </w:r>
      <w:hyperlink r:id="rId56" w:history="1">
        <w:r w:rsidRPr="00FD2F0C">
          <w:rPr>
            <w:rStyle w:val="Hyperlink"/>
            <w:rFonts w:asciiTheme="minorHAnsi" w:hAnsiTheme="minorHAnsi"/>
            <w:bCs/>
            <w:szCs w:val="24"/>
            <w:shd w:val="clear" w:color="auto" w:fill="FFFFFF"/>
            <w:lang w:val="en-GB"/>
          </w:rPr>
          <w:t>www.itu.int/go/rcpm-wrc-19-studies</w:t>
        </w:r>
      </w:hyperlink>
      <w:r w:rsidRPr="00FD2F0C">
        <w:rPr>
          <w:rFonts w:asciiTheme="minorHAnsi" w:hAnsiTheme="minorHAnsi"/>
          <w:bCs/>
          <w:color w:val="000000"/>
          <w:szCs w:val="24"/>
          <w:shd w:val="clear" w:color="auto" w:fill="FFFFFF"/>
          <w:lang w:val="en-GB"/>
        </w:rPr>
        <w:t xml:space="preserve">. Activities related to the regional preparation for WRC-19 can be found at: </w:t>
      </w:r>
      <w:hyperlink r:id="rId57" w:history="1">
        <w:r w:rsidRPr="00FD2F0C">
          <w:rPr>
            <w:rStyle w:val="Hyperlink"/>
            <w:rFonts w:asciiTheme="minorHAnsi" w:hAnsiTheme="minorHAnsi"/>
            <w:bCs/>
            <w:szCs w:val="24"/>
            <w:shd w:val="clear" w:color="auto" w:fill="FFFFFF"/>
            <w:lang w:val="en-GB"/>
          </w:rPr>
          <w:t>www.itu.int/go/wrc-19-regional</w:t>
        </w:r>
      </w:hyperlink>
      <w:r w:rsidRPr="00FD2F0C">
        <w:rPr>
          <w:rFonts w:asciiTheme="minorHAnsi" w:hAnsiTheme="minorHAnsi"/>
          <w:bCs/>
          <w:color w:val="000000"/>
          <w:szCs w:val="24"/>
          <w:shd w:val="clear" w:color="auto" w:fill="FFFFFF"/>
          <w:lang w:val="en-GB"/>
        </w:rPr>
        <w:t xml:space="preserve">, and additional information can be found on the WRC-19 webpage at: </w:t>
      </w:r>
      <w:hyperlink r:id="rId58" w:history="1">
        <w:r w:rsidRPr="00FD2F0C">
          <w:rPr>
            <w:rStyle w:val="Hyperlink"/>
            <w:rFonts w:asciiTheme="minorHAnsi" w:hAnsiTheme="minorHAnsi"/>
            <w:bCs/>
            <w:szCs w:val="24"/>
            <w:shd w:val="clear" w:color="auto" w:fill="FFFFFF"/>
            <w:lang w:val="en-GB"/>
          </w:rPr>
          <w:t>www.itu.int/go/wrc-19</w:t>
        </w:r>
      </w:hyperlink>
      <w:r w:rsidRPr="00FD2F0C">
        <w:rPr>
          <w:rFonts w:asciiTheme="minorHAnsi" w:hAnsiTheme="minorHAnsi"/>
          <w:bCs/>
          <w:color w:val="000000"/>
          <w:szCs w:val="24"/>
          <w:shd w:val="clear" w:color="auto" w:fill="FFFFFF"/>
          <w:lang w:val="en-GB"/>
        </w:rPr>
        <w:t xml:space="preserve">. A brief presentation on the above-mentioned topics was provided </w:t>
      </w:r>
      <w:r w:rsidRPr="00FD2F0C">
        <w:rPr>
          <w:rFonts w:asciiTheme="minorHAnsi" w:hAnsiTheme="minorHAnsi"/>
          <w:bCs/>
          <w:color w:val="000000"/>
          <w:szCs w:val="24"/>
          <w:shd w:val="clear" w:color="auto" w:fill="FFFFFF"/>
          <w:lang w:val="en-GB"/>
        </w:rPr>
        <w:lastRenderedPageBreak/>
        <w:t xml:space="preserve">during a WTDC Res.9 Group meeting and can be found in document </w:t>
      </w:r>
      <w:hyperlink r:id="rId59" w:history="1">
        <w:r w:rsidRPr="00FD2F0C">
          <w:rPr>
            <w:rStyle w:val="Hyperlink"/>
            <w:rFonts w:asciiTheme="minorHAnsi" w:hAnsiTheme="minorHAnsi"/>
            <w:bCs/>
            <w:szCs w:val="24"/>
            <w:shd w:val="clear" w:color="auto" w:fill="FFFFFF"/>
            <w:lang w:val="en-GB"/>
          </w:rPr>
          <w:t>1/240</w:t>
        </w:r>
      </w:hyperlink>
      <w:r w:rsidRPr="00FD2F0C">
        <w:rPr>
          <w:rStyle w:val="Hyperlink"/>
          <w:rFonts w:asciiTheme="minorHAnsi" w:hAnsiTheme="minorHAnsi"/>
          <w:bCs/>
          <w:color w:val="auto"/>
          <w:szCs w:val="24"/>
          <w:u w:val="none"/>
          <w:shd w:val="clear" w:color="auto" w:fill="FFFFFF"/>
          <w:lang w:val="en-GB"/>
        </w:rPr>
        <w:t>, “</w:t>
      </w:r>
      <w:r w:rsidRPr="00FD2F0C">
        <w:rPr>
          <w:rFonts w:asciiTheme="minorHAnsi" w:hAnsiTheme="minorHAnsi"/>
          <w:lang w:val="en-GB"/>
        </w:rPr>
        <w:t>Outcome of World Radiocommunication Conference (WRC) 2015”</w:t>
      </w:r>
      <w:r w:rsidRPr="00FD2F0C">
        <w:rPr>
          <w:rFonts w:asciiTheme="minorHAnsi" w:hAnsiTheme="minorHAnsi"/>
          <w:bCs/>
          <w:color w:val="000000"/>
          <w:szCs w:val="24"/>
          <w:shd w:val="clear" w:color="auto" w:fill="FFFFFF"/>
          <w:lang w:val="en-GB"/>
        </w:rPr>
        <w:t>.</w:t>
      </w:r>
    </w:p>
    <w:p w14:paraId="46CBC287" w14:textId="0BB419E6" w:rsidR="00C13A1D" w:rsidRPr="00FD2F0C" w:rsidRDefault="00C13A1D" w:rsidP="00C13A1D">
      <w:pPr>
        <w:rPr>
          <w:rFonts w:asciiTheme="minorHAnsi" w:hAnsiTheme="minorHAnsi" w:cs="Times New Roman Bold"/>
          <w:b/>
          <w:bCs/>
          <w:u w:val="single"/>
          <w:lang w:val="en-GB"/>
        </w:rPr>
      </w:pPr>
      <w:r w:rsidRPr="00FD2F0C" w:rsidDel="00AF7734">
        <w:rPr>
          <w:rFonts w:asciiTheme="minorHAnsi" w:hAnsiTheme="minorHAnsi" w:cs="Times New Roman Bold"/>
          <w:b/>
          <w:bCs/>
          <w:u w:val="single"/>
          <w:lang w:val="en-GB"/>
        </w:rPr>
        <w:t>Resolution 23</w:t>
      </w:r>
      <w:r w:rsidRPr="00FD2F0C">
        <w:rPr>
          <w:rFonts w:asciiTheme="minorHAnsi" w:hAnsiTheme="minorHAnsi" w:cs="Times New Roman Bold"/>
          <w:b/>
          <w:bCs/>
          <w:u w:val="single"/>
          <w:lang w:val="en-GB"/>
        </w:rPr>
        <w:t>8</w:t>
      </w:r>
      <w:r w:rsidRPr="00FD2F0C" w:rsidDel="00AF7734">
        <w:rPr>
          <w:rFonts w:asciiTheme="minorHAnsi" w:hAnsiTheme="minorHAnsi" w:cs="Times New Roman Bold"/>
          <w:b/>
          <w:bCs/>
          <w:u w:val="single"/>
          <w:lang w:val="en-GB"/>
        </w:rPr>
        <w:t xml:space="preserve"> (WRC-15)</w:t>
      </w:r>
    </w:p>
    <w:p w14:paraId="674FDCF2" w14:textId="4C07064F" w:rsidR="00C13A1D" w:rsidRPr="00FD2F0C" w:rsidRDefault="00803C8C" w:rsidP="00803C8C">
      <w:pPr>
        <w:spacing w:after="120"/>
        <w:rPr>
          <w:rFonts w:asciiTheme="minorHAnsi" w:hAnsiTheme="minorHAnsi"/>
          <w:bCs/>
          <w:color w:val="000000"/>
          <w:szCs w:val="24"/>
          <w:shd w:val="clear" w:color="auto" w:fill="FFFFFF"/>
          <w:lang w:val="en-GB"/>
        </w:rPr>
      </w:pPr>
      <w:r w:rsidRPr="00FD2F0C">
        <w:rPr>
          <w:rFonts w:asciiTheme="minorHAnsi" w:hAnsiTheme="minorHAnsi"/>
          <w:lang w:val="en-US"/>
        </w:rPr>
        <w:t xml:space="preserve">In preparation for WRC-19 consideration under agenda item 1.13, </w:t>
      </w:r>
      <w:r w:rsidR="00C13A1D" w:rsidRPr="00FD2F0C">
        <w:rPr>
          <w:rFonts w:asciiTheme="minorHAnsi" w:hAnsiTheme="minorHAnsi"/>
          <w:lang w:val="en-US"/>
        </w:rPr>
        <w:t xml:space="preserve">Resolution </w:t>
      </w:r>
      <w:r w:rsidR="00C13A1D" w:rsidRPr="00FD2F0C">
        <w:rPr>
          <w:rFonts w:asciiTheme="minorHAnsi" w:hAnsiTheme="minorHAnsi" w:cs="Times New Roman Bold"/>
          <w:b/>
          <w:bCs/>
          <w:lang w:val="en-US"/>
        </w:rPr>
        <w:t xml:space="preserve">238 </w:t>
      </w:r>
      <w:r w:rsidR="00C13A1D" w:rsidRPr="00FD2F0C">
        <w:rPr>
          <w:rFonts w:asciiTheme="minorHAnsi" w:hAnsiTheme="minorHAnsi"/>
          <w:b/>
          <w:bCs/>
          <w:lang w:val="en-US"/>
        </w:rPr>
        <w:t>(WRC</w:t>
      </w:r>
      <w:r w:rsidR="00C13A1D" w:rsidRPr="00FD2F0C">
        <w:rPr>
          <w:rFonts w:asciiTheme="minorHAnsi" w:hAnsiTheme="minorHAnsi"/>
          <w:b/>
          <w:bCs/>
          <w:lang w:val="en-US"/>
        </w:rPr>
        <w:noBreakHyphen/>
        <w:t>15)</w:t>
      </w:r>
      <w:r w:rsidR="00C13A1D" w:rsidRPr="00FD2F0C">
        <w:rPr>
          <w:rFonts w:asciiTheme="minorHAnsi" w:hAnsiTheme="minorHAnsi"/>
          <w:lang w:val="en-US"/>
        </w:rPr>
        <w:t xml:space="preserve"> invites ITU-R to conduct s</w:t>
      </w:r>
      <w:r w:rsidR="00C13A1D" w:rsidRPr="00FD2F0C">
        <w:rPr>
          <w:rFonts w:asciiTheme="minorHAnsi" w:eastAsia="SimSun" w:hAnsiTheme="minorHAnsi"/>
          <w:iCs/>
          <w:lang w:val="en-US"/>
        </w:rPr>
        <w:t>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 This activity will include sharing and compatibility studies, taking into account the protection of services to which the band is allocated on a primary basis, for the frequency bands:</w:t>
      </w:r>
      <w:r w:rsidR="00C13A1D" w:rsidRPr="00FD2F0C">
        <w:rPr>
          <w:rFonts w:asciiTheme="minorHAnsi" w:hAnsiTheme="minorHAnsi"/>
          <w:lang w:val="en-US"/>
        </w:rPr>
        <w:t xml:space="preserve"> </w:t>
      </w:r>
      <w:r w:rsidR="00C13A1D" w:rsidRPr="00FD2F0C">
        <w:rPr>
          <w:rFonts w:asciiTheme="minorHAnsi" w:eastAsia="SimSun" w:hAnsiTheme="minorHAnsi"/>
          <w:iCs/>
          <w:lang w:val="en-US"/>
        </w:rPr>
        <w:t xml:space="preserve">24.25-27.5 GHz2, 31.8-33.4 GHz, 37-40.5 GHz, </w:t>
      </w:r>
      <w:r w:rsidR="00C13A1D" w:rsidRPr="00FD2F0C">
        <w:rPr>
          <w:rFonts w:asciiTheme="minorHAnsi" w:hAnsiTheme="minorHAnsi"/>
          <w:lang w:val="en-US"/>
        </w:rPr>
        <w:t xml:space="preserve">40.5-42.5 GHz, </w:t>
      </w:r>
      <w:r w:rsidR="00C13A1D" w:rsidRPr="00FD2F0C">
        <w:rPr>
          <w:rFonts w:asciiTheme="minorHAnsi" w:eastAsia="SimSun" w:hAnsiTheme="minorHAnsi"/>
          <w:iCs/>
          <w:lang w:val="en-US"/>
        </w:rPr>
        <w:t>42.5-43.5 GHz, 45.5-47 GHz, 47.2-50.2 GHz, 50.4-52.6 GHz, 66-76 GHz and 81-86 GHz.</w:t>
      </w:r>
    </w:p>
    <w:p w14:paraId="03CDBD5F" w14:textId="77777777" w:rsidR="0037578C" w:rsidRPr="00FD2F0C" w:rsidRDefault="0037578C" w:rsidP="0037578C">
      <w:pPr>
        <w:rPr>
          <w:rFonts w:asciiTheme="minorHAnsi" w:hAnsiTheme="minorHAnsi" w:cs="Times New Roman Bold"/>
          <w:b/>
          <w:bCs/>
          <w:u w:val="single"/>
          <w:lang w:val="en-GB"/>
        </w:rPr>
      </w:pPr>
      <w:r w:rsidRPr="00FD2F0C" w:rsidDel="00AF7734">
        <w:rPr>
          <w:rFonts w:asciiTheme="minorHAnsi" w:hAnsiTheme="minorHAnsi" w:cs="Times New Roman Bold"/>
          <w:b/>
          <w:bCs/>
          <w:u w:val="single"/>
          <w:lang w:val="en-GB"/>
        </w:rPr>
        <w:t>Resolution 235 (WRC-15)</w:t>
      </w:r>
    </w:p>
    <w:p w14:paraId="06E69937" w14:textId="77777777" w:rsidR="0037578C" w:rsidRPr="00FD2F0C" w:rsidRDefault="0037578C" w:rsidP="0037578C">
      <w:pPr>
        <w:rPr>
          <w:rFonts w:asciiTheme="minorHAnsi" w:hAnsiTheme="minorHAnsi"/>
          <w:lang w:val="en-GB"/>
        </w:rPr>
      </w:pPr>
      <w:r w:rsidRPr="00FD2F0C" w:rsidDel="00AF7734">
        <w:rPr>
          <w:rFonts w:asciiTheme="minorHAnsi" w:hAnsiTheme="minorHAnsi"/>
          <w:lang w:val="en-GB"/>
        </w:rPr>
        <w:t>Resolution 235 (WRC-15) resolves to invite ITU-R, after the 2019 World Radiocommunication Conference and in time for the 2023 World Radiocommunication Conference to review the spectrum use and study the spectrum needs of existing services with the frequency band 470-960 MHz in Region 1, in particular the spectrum requirements of the broadcasting and mobile, except aeronautical mobile, services, as well as to carry out sharing and compatibility studies, as appropriate, in the frequency band 470-694 MHz in Region 1 between the broadcasting and mobile, except aeronautical mobile, services, taking into account relevant ITU-R studies, Recommendations and Reports.</w:t>
      </w:r>
    </w:p>
    <w:p w14:paraId="57909331" w14:textId="57227B4B" w:rsidR="0037578C" w:rsidRPr="00FD2F0C" w:rsidRDefault="0037578C">
      <w:pPr>
        <w:rPr>
          <w:rFonts w:asciiTheme="minorHAnsi" w:hAnsiTheme="minorHAnsi"/>
          <w:lang w:val="en-GB"/>
        </w:rPr>
      </w:pPr>
      <w:r w:rsidRPr="00FD2F0C" w:rsidDel="00AF7734">
        <w:rPr>
          <w:rFonts w:asciiTheme="minorHAnsi" w:hAnsiTheme="minorHAnsi"/>
          <w:lang w:val="en-GB"/>
        </w:rPr>
        <w:t xml:space="preserve">The preliminary agenda of the 2023 World Radiocommunication Conference includes an item “to review the spectrum use and spectrum needs of existing services in the frequency band 470-960 MHz in Region 1 and consider possible regulatory actions in the frequency band 470-694 MHz in Region 1 on the basis of the review in accordance with Resolution 235 (WRC-15). Therefore, </w:t>
      </w:r>
      <w:r w:rsidRPr="00FD2F0C" w:rsidDel="00AF7734">
        <w:rPr>
          <w:rFonts w:asciiTheme="minorHAnsi" w:hAnsiTheme="minorHAnsi"/>
          <w:bCs/>
          <w:lang w:val="en-GB"/>
        </w:rPr>
        <w:t>Resolution 235 (WRC 15)</w:t>
      </w:r>
      <w:r w:rsidRPr="00FD2F0C" w:rsidDel="00AF7734">
        <w:rPr>
          <w:rFonts w:asciiTheme="minorHAnsi" w:hAnsiTheme="minorHAnsi"/>
          <w:lang w:val="en-GB"/>
        </w:rPr>
        <w:t xml:space="preserve"> has the potential to impact the amount of TVWS spectrum available in Region 1</w:t>
      </w:r>
      <w:r w:rsidRPr="00FD2F0C">
        <w:rPr>
          <w:rFonts w:asciiTheme="minorHAnsi" w:hAnsiTheme="minorHAnsi"/>
          <w:lang w:val="en-GB"/>
        </w:rPr>
        <w:t>.</w:t>
      </w:r>
    </w:p>
    <w:p w14:paraId="606BB230" w14:textId="77777777" w:rsidR="0037578C" w:rsidRPr="00FD2F0C" w:rsidRDefault="0037578C" w:rsidP="0037578C">
      <w:pPr>
        <w:rPr>
          <w:rFonts w:asciiTheme="minorHAnsi" w:hAnsiTheme="minorHAnsi"/>
          <w:lang w:val="en-GB"/>
        </w:rPr>
      </w:pPr>
      <w:r w:rsidRPr="00FD2F0C">
        <w:rPr>
          <w:rFonts w:asciiTheme="minorHAnsi" w:hAnsiTheme="minorHAnsi"/>
          <w:lang w:val="en-GB"/>
        </w:rPr>
        <w:t xml:space="preserve">Therefore the decisions made by previous conferences and the prospects of future conferences are the basis for a long-term sustainable radiocommunications ecosystem that allows for significant investments and worldwide economies of scale. </w:t>
      </w:r>
    </w:p>
    <w:p w14:paraId="2B5A2BF3" w14:textId="77777777" w:rsidR="009F29F1" w:rsidRPr="00FD2F0C" w:rsidRDefault="00EE23B7" w:rsidP="004113DB">
      <w:pPr>
        <w:rPr>
          <w:rFonts w:asciiTheme="minorHAnsi" w:hAnsiTheme="minorHAnsi" w:cs="Times New Roman Bold"/>
          <w:bCs/>
          <w:color w:val="000000"/>
          <w:szCs w:val="24"/>
          <w:u w:val="single"/>
          <w:shd w:val="clear" w:color="auto" w:fill="FFFFFF"/>
          <w:lang w:val="en-US"/>
        </w:rPr>
      </w:pPr>
      <w:r w:rsidRPr="00FD2F0C" w:rsidDel="00217533">
        <w:rPr>
          <w:rFonts w:asciiTheme="minorHAnsi" w:hAnsiTheme="minorHAnsi" w:cs="Times New Roman Bold"/>
          <w:b/>
          <w:bCs/>
          <w:u w:val="single"/>
          <w:lang w:val="en-GB"/>
        </w:rPr>
        <w:t>Resolution</w:t>
      </w:r>
      <w:r w:rsidRPr="00FD2F0C" w:rsidDel="00217533">
        <w:rPr>
          <w:rFonts w:asciiTheme="minorHAnsi" w:hAnsiTheme="minorHAnsi" w:cs="Times New Roman Bold"/>
          <w:u w:val="single"/>
          <w:lang w:val="en-GB"/>
        </w:rPr>
        <w:t xml:space="preserve"> </w:t>
      </w:r>
      <w:r w:rsidRPr="00FD2F0C" w:rsidDel="00217533">
        <w:rPr>
          <w:rFonts w:asciiTheme="minorHAnsi" w:hAnsiTheme="minorHAnsi" w:cs="Times New Roman Bold"/>
          <w:b/>
          <w:bCs/>
          <w:u w:val="single"/>
          <w:lang w:val="en-GB"/>
        </w:rPr>
        <w:t>239 (WRC-15)</w:t>
      </w:r>
    </w:p>
    <w:p w14:paraId="3D54C97E" w14:textId="49F8D0D9" w:rsidR="00EE23B7" w:rsidRPr="00FD2F0C" w:rsidDel="00217533" w:rsidRDefault="00EE23B7">
      <w:pPr>
        <w:pStyle w:val="Bulletlist1"/>
        <w:jc w:val="both"/>
        <w:rPr>
          <w:rFonts w:asciiTheme="minorHAnsi" w:hAnsiTheme="minorHAnsi"/>
        </w:rPr>
      </w:pPr>
      <w:r w:rsidRPr="00FD2F0C" w:rsidDel="00217533">
        <w:rPr>
          <w:rFonts w:asciiTheme="minorHAnsi" w:hAnsiTheme="minorHAnsi"/>
        </w:rPr>
        <w:t xml:space="preserve">WRC-15 adopted </w:t>
      </w:r>
      <w:r w:rsidRPr="00FD2F0C" w:rsidDel="00217533">
        <w:rPr>
          <w:rFonts w:asciiTheme="minorHAnsi" w:hAnsiTheme="minorHAnsi"/>
          <w:b/>
          <w:bCs/>
        </w:rPr>
        <w:t>Resolution</w:t>
      </w:r>
      <w:r w:rsidRPr="00FD2F0C" w:rsidDel="00217533">
        <w:rPr>
          <w:rFonts w:asciiTheme="minorHAnsi" w:hAnsiTheme="minorHAnsi"/>
        </w:rPr>
        <w:t xml:space="preserve"> </w:t>
      </w:r>
      <w:r w:rsidRPr="00FD2F0C" w:rsidDel="00217533">
        <w:rPr>
          <w:rFonts w:asciiTheme="minorHAnsi" w:hAnsiTheme="minorHAnsi"/>
          <w:b/>
          <w:bCs/>
        </w:rPr>
        <w:t>239 (WRC-15)</w:t>
      </w:r>
      <w:r w:rsidRPr="00FD2F0C" w:rsidDel="00217533">
        <w:rPr>
          <w:rFonts w:asciiTheme="minorHAnsi" w:hAnsiTheme="minorHAnsi"/>
        </w:rPr>
        <w:t xml:space="preserve">: </w:t>
      </w:r>
      <w:r w:rsidRPr="00FD2F0C">
        <w:rPr>
          <w:rFonts w:asciiTheme="minorHAnsi" w:hAnsiTheme="minorHAnsi"/>
        </w:rPr>
        <w:t>“</w:t>
      </w:r>
      <w:r w:rsidRPr="00FD2F0C" w:rsidDel="00217533">
        <w:rPr>
          <w:rFonts w:asciiTheme="minorHAnsi" w:hAnsiTheme="minorHAnsi"/>
        </w:rPr>
        <w:t>Studies concerning Wireless Access Systems including radio local area networks in the frequency bands between 5 150 MHz and 5 925 MHz</w:t>
      </w:r>
      <w:r w:rsidRPr="00FD2F0C">
        <w:rPr>
          <w:rFonts w:asciiTheme="minorHAnsi" w:hAnsiTheme="minorHAnsi"/>
        </w:rPr>
        <w:t>”</w:t>
      </w:r>
      <w:r w:rsidRPr="00FD2F0C" w:rsidDel="00217533">
        <w:rPr>
          <w:rFonts w:asciiTheme="minorHAnsi" w:hAnsiTheme="minorHAnsi"/>
        </w:rPr>
        <w:t xml:space="preserve"> </w:t>
      </w:r>
      <w:r w:rsidR="00FA590B" w:rsidRPr="00FD2F0C">
        <w:rPr>
          <w:rFonts w:asciiTheme="minorHAnsi" w:hAnsiTheme="minorHAnsi"/>
        </w:rPr>
        <w:t xml:space="preserve">which </w:t>
      </w:r>
      <w:r w:rsidRPr="00FD2F0C" w:rsidDel="00217533">
        <w:rPr>
          <w:rFonts w:asciiTheme="minorHAnsi" w:hAnsiTheme="minorHAnsi"/>
        </w:rPr>
        <w:t xml:space="preserve">requested </w:t>
      </w:r>
      <w:r w:rsidR="00FA590B" w:rsidRPr="00FD2F0C">
        <w:rPr>
          <w:rFonts w:asciiTheme="minorHAnsi" w:hAnsiTheme="minorHAnsi"/>
        </w:rPr>
        <w:t xml:space="preserve">studies to </w:t>
      </w:r>
      <w:r w:rsidRPr="00FD2F0C" w:rsidDel="00217533">
        <w:rPr>
          <w:rFonts w:asciiTheme="minorHAnsi" w:hAnsiTheme="minorHAnsi"/>
        </w:rPr>
        <w:t xml:space="preserve">be carried out in preparation for WRC-19 and to enable that Conference to take appropriate decision on its </w:t>
      </w:r>
      <w:r w:rsidRPr="00FD2F0C">
        <w:rPr>
          <w:rFonts w:asciiTheme="minorHAnsi" w:hAnsiTheme="minorHAnsi"/>
        </w:rPr>
        <w:t xml:space="preserve">agenda item </w:t>
      </w:r>
      <w:r w:rsidRPr="00FD2F0C" w:rsidDel="00217533">
        <w:rPr>
          <w:rFonts w:asciiTheme="minorHAnsi" w:hAnsiTheme="minorHAnsi"/>
        </w:rPr>
        <w:t xml:space="preserve">1.16 (see </w:t>
      </w:r>
      <w:r w:rsidRPr="00FD2F0C" w:rsidDel="00217533">
        <w:rPr>
          <w:rFonts w:asciiTheme="minorHAnsi" w:hAnsiTheme="minorHAnsi"/>
          <w:b/>
          <w:bCs/>
        </w:rPr>
        <w:t>Resolution</w:t>
      </w:r>
      <w:r w:rsidRPr="00FD2F0C" w:rsidDel="00217533">
        <w:rPr>
          <w:rFonts w:asciiTheme="minorHAnsi" w:hAnsiTheme="minorHAnsi"/>
        </w:rPr>
        <w:t xml:space="preserve"> </w:t>
      </w:r>
      <w:r w:rsidRPr="00FD2F0C" w:rsidDel="00217533">
        <w:rPr>
          <w:rFonts w:asciiTheme="minorHAnsi" w:hAnsiTheme="minorHAnsi"/>
          <w:b/>
          <w:bCs/>
        </w:rPr>
        <w:t>809 (WRC-15)</w:t>
      </w:r>
      <w:r w:rsidRPr="00FD2F0C" w:rsidDel="00217533">
        <w:rPr>
          <w:rFonts w:asciiTheme="minorHAnsi" w:hAnsiTheme="minorHAnsi"/>
        </w:rPr>
        <w:t xml:space="preserve">): “to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w:t>
      </w:r>
      <w:r w:rsidRPr="00FD2F0C" w:rsidDel="00217533">
        <w:rPr>
          <w:rFonts w:asciiTheme="minorHAnsi" w:hAnsiTheme="minorHAnsi"/>
          <w:b/>
          <w:bCs/>
        </w:rPr>
        <w:t>Resolution</w:t>
      </w:r>
      <w:r w:rsidRPr="00FD2F0C" w:rsidDel="00217533">
        <w:rPr>
          <w:rFonts w:asciiTheme="minorHAnsi" w:hAnsiTheme="minorHAnsi"/>
        </w:rPr>
        <w:t> </w:t>
      </w:r>
      <w:r w:rsidRPr="00FD2F0C" w:rsidDel="00217533">
        <w:rPr>
          <w:rFonts w:asciiTheme="minorHAnsi" w:hAnsiTheme="minorHAnsi"/>
          <w:b/>
          <w:bCs/>
        </w:rPr>
        <w:t>239 (WRC</w:t>
      </w:r>
      <w:r w:rsidRPr="00FD2F0C" w:rsidDel="00217533">
        <w:rPr>
          <w:rFonts w:asciiTheme="minorHAnsi" w:hAnsiTheme="minorHAnsi"/>
          <w:b/>
          <w:bCs/>
        </w:rPr>
        <w:noBreakHyphen/>
        <w:t>15)</w:t>
      </w:r>
      <w:r w:rsidRPr="00FD2F0C">
        <w:rPr>
          <w:rFonts w:asciiTheme="minorHAnsi" w:hAnsiTheme="minorHAnsi"/>
        </w:rPr>
        <w:t>;”</w:t>
      </w:r>
      <w:r w:rsidRPr="00FD2F0C" w:rsidDel="00217533">
        <w:rPr>
          <w:rFonts w:asciiTheme="minorHAnsi" w:hAnsiTheme="minorHAnsi"/>
        </w:rPr>
        <w:t xml:space="preserve">. The studies will be conducted under the responsibility of ITU-R Working Party (WP) 5A, in collaboration with </w:t>
      </w:r>
      <w:r w:rsidRPr="00FD2F0C">
        <w:rPr>
          <w:rFonts w:asciiTheme="minorHAnsi" w:hAnsiTheme="minorHAnsi"/>
        </w:rPr>
        <w:t xml:space="preserve">contributing </w:t>
      </w:r>
      <w:r w:rsidRPr="00FD2F0C" w:rsidDel="00217533">
        <w:rPr>
          <w:rFonts w:asciiTheme="minorHAnsi" w:hAnsiTheme="minorHAnsi"/>
        </w:rPr>
        <w:t>ITU-R WPs 4A, 4C, 5B, 5C and 7C for the concerned satellite, terrestrial and science services, as well as with other interested ITU-R WPs.</w:t>
      </w:r>
    </w:p>
    <w:p w14:paraId="60788ED2" w14:textId="77777777" w:rsidR="007366D4" w:rsidRPr="00FD2F0C" w:rsidRDefault="007366D4" w:rsidP="007F2CD5">
      <w:pPr>
        <w:pStyle w:val="Heading1nextpage"/>
        <w:keepNext/>
        <w:keepLines/>
        <w:pageBreakBefore/>
        <w:jc w:val="both"/>
        <w:outlineLvl w:val="0"/>
        <w:rPr>
          <w:b/>
          <w:bCs/>
          <w:color w:val="1F9DD9"/>
          <w:sz w:val="28"/>
          <w:szCs w:val="28"/>
        </w:rPr>
      </w:pPr>
      <w:bookmarkStart w:id="105" w:name="_Toc467233654"/>
      <w:bookmarkStart w:id="106" w:name="_Toc467235234"/>
      <w:bookmarkStart w:id="107" w:name="_Toc458779281"/>
      <w:bookmarkStart w:id="108" w:name="_Toc467836436"/>
      <w:bookmarkStart w:id="109" w:name="_Toc485648005"/>
      <w:bookmarkEnd w:id="105"/>
      <w:bookmarkEnd w:id="106"/>
      <w:r w:rsidRPr="00FD2F0C">
        <w:rPr>
          <w:b/>
          <w:bCs/>
          <w:color w:val="1F9DD9"/>
          <w:sz w:val="28"/>
          <w:szCs w:val="28"/>
        </w:rPr>
        <w:lastRenderedPageBreak/>
        <w:t>4</w:t>
      </w:r>
      <w:r w:rsidRPr="00FD2F0C">
        <w:rPr>
          <w:b/>
          <w:bCs/>
          <w:color w:val="1F9DD9"/>
          <w:sz w:val="28"/>
          <w:szCs w:val="28"/>
        </w:rPr>
        <w:tab/>
        <w:t>CHAPTER 4 – Spectrum monitoring</w:t>
      </w:r>
      <w:bookmarkEnd w:id="107"/>
      <w:bookmarkEnd w:id="108"/>
      <w:bookmarkEnd w:id="109"/>
    </w:p>
    <w:p w14:paraId="2B58D5D0" w14:textId="2D08C17E" w:rsidR="001030C2" w:rsidRPr="00FD2F0C" w:rsidRDefault="001030C2" w:rsidP="008E5853">
      <w:pPr>
        <w:spacing w:after="120"/>
        <w:rPr>
          <w:rFonts w:asciiTheme="minorHAnsi" w:hAnsiTheme="minorHAnsi"/>
          <w:lang w:val="en-GB"/>
        </w:rPr>
      </w:pPr>
      <w:r w:rsidRPr="00FD2F0C">
        <w:rPr>
          <w:rFonts w:asciiTheme="minorHAnsi" w:hAnsiTheme="minorHAnsi"/>
          <w:lang w:val="en-GB"/>
        </w:rPr>
        <w:t xml:space="preserve">This Chapter presents highlights about spectrum monitoring. As noted earlier, spectrum monitoring </w:t>
      </w:r>
      <w:r w:rsidR="0005465D" w:rsidRPr="00FD2F0C">
        <w:rPr>
          <w:rFonts w:asciiTheme="minorHAnsi" w:hAnsiTheme="minorHAnsi"/>
          <w:lang w:val="en-GB"/>
        </w:rPr>
        <w:t xml:space="preserve">is an essential </w:t>
      </w:r>
      <w:r w:rsidRPr="00FD2F0C">
        <w:rPr>
          <w:rFonts w:asciiTheme="minorHAnsi" w:hAnsiTheme="minorHAnsi"/>
          <w:lang w:val="en-GB"/>
        </w:rPr>
        <w:t xml:space="preserve">tool for spectrum management because of its ability to: monitor and take measurements of signals; detect and identify unauthorized stations; determine station locations for further enforcement actions; and identify </w:t>
      </w:r>
      <w:r w:rsidR="0005465D" w:rsidRPr="00FD2F0C">
        <w:rPr>
          <w:rFonts w:asciiTheme="minorHAnsi" w:hAnsiTheme="minorHAnsi"/>
          <w:lang w:val="en-GB"/>
        </w:rPr>
        <w:t xml:space="preserve">the source of </w:t>
      </w:r>
      <w:r w:rsidRPr="00FD2F0C">
        <w:rPr>
          <w:rFonts w:asciiTheme="minorHAnsi" w:hAnsiTheme="minorHAnsi"/>
          <w:lang w:val="en-GB"/>
        </w:rPr>
        <w:t xml:space="preserve">harmful interference. Administrations interested in establishing spectrum monitoring </w:t>
      </w:r>
      <w:r w:rsidR="0005465D" w:rsidRPr="00FD2F0C">
        <w:rPr>
          <w:rFonts w:asciiTheme="minorHAnsi" w:hAnsiTheme="minorHAnsi"/>
          <w:lang w:val="en-GB"/>
        </w:rPr>
        <w:t xml:space="preserve">facilities </w:t>
      </w:r>
      <w:r w:rsidRPr="00FD2F0C">
        <w:rPr>
          <w:rFonts w:asciiTheme="minorHAnsi" w:hAnsiTheme="minorHAnsi"/>
          <w:lang w:val="en-GB"/>
        </w:rPr>
        <w:t>are encouraged to read the ITU-R Handbook</w:t>
      </w:r>
      <w:r w:rsidR="0005465D" w:rsidRPr="00FD2F0C">
        <w:rPr>
          <w:rFonts w:asciiTheme="minorHAnsi" w:hAnsiTheme="minorHAnsi"/>
          <w:lang w:val="en-GB"/>
        </w:rPr>
        <w:t xml:space="preserve"> on Spectrum Monitoring</w:t>
      </w:r>
      <w:r w:rsidRPr="00FD2F0C">
        <w:rPr>
          <w:rFonts w:asciiTheme="minorHAnsi" w:hAnsiTheme="minorHAnsi"/>
          <w:lang w:val="en-GB"/>
        </w:rPr>
        <w:t xml:space="preserve">, ITU-R Recommendations and ITU-R Reports identified in the </w:t>
      </w:r>
      <w:r w:rsidR="00C6412A" w:rsidRPr="00FD2F0C">
        <w:rPr>
          <w:rFonts w:asciiTheme="minorHAnsi" w:hAnsiTheme="minorHAnsi"/>
          <w:lang w:val="en-GB"/>
        </w:rPr>
        <w:t>r</w:t>
      </w:r>
      <w:r w:rsidRPr="00FD2F0C">
        <w:rPr>
          <w:rFonts w:asciiTheme="minorHAnsi" w:hAnsiTheme="minorHAnsi"/>
          <w:lang w:val="en-GB"/>
        </w:rPr>
        <w:t>elevant ITU</w:t>
      </w:r>
      <w:r w:rsidR="008E5853" w:rsidRPr="00FD2F0C">
        <w:rPr>
          <w:rFonts w:asciiTheme="minorHAnsi" w:hAnsiTheme="minorHAnsi"/>
          <w:lang w:val="en-GB"/>
        </w:rPr>
        <w:noBreakHyphen/>
      </w:r>
      <w:r w:rsidRPr="00FD2F0C">
        <w:rPr>
          <w:rFonts w:asciiTheme="minorHAnsi" w:hAnsiTheme="minorHAnsi"/>
          <w:lang w:val="en-GB"/>
        </w:rPr>
        <w:t>R Reference</w:t>
      </w:r>
      <w:r w:rsidR="008D47F9" w:rsidRPr="00FD2F0C">
        <w:rPr>
          <w:rFonts w:asciiTheme="minorHAnsi" w:hAnsiTheme="minorHAnsi"/>
          <w:lang w:val="en-GB"/>
        </w:rPr>
        <w:t>s</w:t>
      </w:r>
      <w:r w:rsidR="008E5853" w:rsidRPr="00FD2F0C">
        <w:rPr>
          <w:rFonts w:asciiTheme="minorHAnsi" w:hAnsiTheme="minorHAnsi"/>
          <w:lang w:val="en-GB"/>
        </w:rPr>
        <w:t xml:space="preserve"> provided before the annexes of this report,</w:t>
      </w:r>
      <w:r w:rsidRPr="00FD2F0C">
        <w:rPr>
          <w:rFonts w:asciiTheme="minorHAnsi" w:hAnsiTheme="minorHAnsi"/>
          <w:lang w:val="en-GB"/>
        </w:rPr>
        <w:t xml:space="preserve"> for additional details. Furthermore, the reader is advised that the ITU Academy provides training in spectrum monitoring.</w:t>
      </w:r>
      <w:r w:rsidRPr="00FD2F0C">
        <w:rPr>
          <w:rStyle w:val="FootnoteReference"/>
          <w:rFonts w:asciiTheme="minorHAnsi" w:hAnsiTheme="minorHAnsi"/>
          <w:lang w:val="en-GB"/>
        </w:rPr>
        <w:footnoteReference w:id="46"/>
      </w:r>
    </w:p>
    <w:p w14:paraId="0C0BF5EB" w14:textId="76D193D7" w:rsidR="007366D4" w:rsidRPr="00FD2F0C" w:rsidRDefault="00E851BC" w:rsidP="00212F33">
      <w:pPr>
        <w:rPr>
          <w:rFonts w:asciiTheme="minorHAnsi" w:hAnsiTheme="minorHAnsi"/>
          <w:lang w:val="en-GB"/>
        </w:rPr>
      </w:pPr>
      <w:r w:rsidRPr="00FD2F0C">
        <w:rPr>
          <w:rFonts w:asciiTheme="minorHAnsi" w:hAnsiTheme="minorHAnsi"/>
          <w:lang w:val="en-GB"/>
        </w:rPr>
        <w:t>T</w:t>
      </w:r>
      <w:r w:rsidR="007366D4" w:rsidRPr="00FD2F0C">
        <w:rPr>
          <w:rFonts w:asciiTheme="minorHAnsi" w:hAnsiTheme="minorHAnsi"/>
          <w:lang w:val="en-GB"/>
        </w:rPr>
        <w:t xml:space="preserve">he international framework for the </w:t>
      </w:r>
      <w:r w:rsidR="0005465D" w:rsidRPr="00FD2F0C">
        <w:rPr>
          <w:rFonts w:asciiTheme="minorHAnsi" w:hAnsiTheme="minorHAnsi"/>
          <w:lang w:val="en-GB"/>
        </w:rPr>
        <w:t xml:space="preserve">use </w:t>
      </w:r>
      <w:r w:rsidR="007366D4" w:rsidRPr="00FD2F0C">
        <w:rPr>
          <w:rFonts w:asciiTheme="minorHAnsi" w:hAnsiTheme="minorHAnsi"/>
          <w:lang w:val="en-GB"/>
        </w:rPr>
        <w:t>of the radio frequency spectrum is set out in the ITU Radio Regulations</w:t>
      </w:r>
      <w:r w:rsidR="00D1789D" w:rsidRPr="00FD2F0C">
        <w:rPr>
          <w:rFonts w:asciiTheme="minorHAnsi" w:hAnsiTheme="minorHAnsi"/>
          <w:lang w:val="en-GB"/>
        </w:rPr>
        <w:t xml:space="preserve"> </w:t>
      </w:r>
      <w:r w:rsidR="00212F33" w:rsidRPr="00FD2F0C">
        <w:rPr>
          <w:rFonts w:asciiTheme="minorHAnsi" w:hAnsiTheme="minorHAnsi"/>
          <w:lang w:val="en-GB"/>
        </w:rPr>
        <w:t xml:space="preserve">and provides some flexibility </w:t>
      </w:r>
      <w:r w:rsidR="007366D4" w:rsidRPr="00FD2F0C">
        <w:rPr>
          <w:rFonts w:asciiTheme="minorHAnsi" w:hAnsiTheme="minorHAnsi"/>
          <w:lang w:val="en-GB"/>
        </w:rPr>
        <w:t xml:space="preserve">to organise national spectrum management, as each country must develop its own system to meet political and legislative regimes and regional situations. ITU </w:t>
      </w:r>
      <w:hyperlink r:id="rId60" w:history="1">
        <w:r w:rsidR="007366D4" w:rsidRPr="00FD2F0C">
          <w:rPr>
            <w:rStyle w:val="Hyperlink"/>
            <w:rFonts w:asciiTheme="minorHAnsi" w:hAnsiTheme="minorHAnsi"/>
            <w:lang w:val="en-GB"/>
          </w:rPr>
          <w:t>Recommendation ITU-R SM.1047</w:t>
        </w:r>
      </w:hyperlink>
      <w:r w:rsidR="007366D4" w:rsidRPr="00FD2F0C">
        <w:rPr>
          <w:rStyle w:val="FootnoteReference"/>
          <w:rFonts w:asciiTheme="minorHAnsi" w:hAnsiTheme="minorHAnsi"/>
        </w:rPr>
        <w:footnoteReference w:id="47"/>
      </w:r>
      <w:r w:rsidR="007366D4" w:rsidRPr="00FD2F0C">
        <w:rPr>
          <w:rFonts w:asciiTheme="minorHAnsi" w:hAnsiTheme="minorHAnsi"/>
          <w:lang w:val="en-GB"/>
        </w:rPr>
        <w:t xml:space="preserve"> (national spectrum management) specifies the topics to be addressed for the development of national spectrum management programmes.</w:t>
      </w:r>
    </w:p>
    <w:p w14:paraId="41E5F3DD" w14:textId="6238F501" w:rsidR="007366D4" w:rsidRPr="00FD2F0C" w:rsidRDefault="007366D4" w:rsidP="00212F33">
      <w:pPr>
        <w:rPr>
          <w:rFonts w:asciiTheme="minorHAnsi" w:hAnsiTheme="minorHAnsi"/>
          <w:lang w:val="en-GB"/>
        </w:rPr>
      </w:pPr>
      <w:r w:rsidRPr="00FD2F0C">
        <w:rPr>
          <w:rFonts w:asciiTheme="minorHAnsi" w:hAnsiTheme="minorHAnsi"/>
          <w:lang w:val="en-GB"/>
        </w:rPr>
        <w:t>In this complicated task of national spectrum management, spectrum monitoring provid</w:t>
      </w:r>
      <w:r w:rsidR="00212F33" w:rsidRPr="00FD2F0C">
        <w:rPr>
          <w:rFonts w:asciiTheme="minorHAnsi" w:hAnsiTheme="minorHAnsi"/>
          <w:lang w:val="en-GB"/>
        </w:rPr>
        <w:t>es</w:t>
      </w:r>
      <w:r w:rsidRPr="00FD2F0C">
        <w:rPr>
          <w:rFonts w:asciiTheme="minorHAnsi" w:hAnsiTheme="minorHAnsi"/>
          <w:lang w:val="en-GB"/>
        </w:rPr>
        <w:t xml:space="preserve"> information on the actual use of the spectrum and to realise a usable spectrum that is as much as possible free of interference.</w:t>
      </w:r>
    </w:p>
    <w:p w14:paraId="1DCF318E" w14:textId="53897802" w:rsidR="007366D4" w:rsidRPr="00FD2F0C" w:rsidRDefault="007366D4" w:rsidP="008C1C26">
      <w:pPr>
        <w:rPr>
          <w:rFonts w:asciiTheme="minorHAnsi" w:hAnsiTheme="minorHAnsi"/>
          <w:lang w:val="en-GB"/>
        </w:rPr>
      </w:pPr>
      <w:r w:rsidRPr="00FD2F0C">
        <w:rPr>
          <w:rFonts w:asciiTheme="minorHAnsi" w:hAnsiTheme="minorHAnsi"/>
          <w:lang w:val="en-GB"/>
        </w:rPr>
        <w:t>ITU developed guidelines to provide a standard approach to set up a new or update an existing spectrum monitoring network.</w:t>
      </w:r>
      <w:r w:rsidRPr="00FD2F0C">
        <w:rPr>
          <w:rStyle w:val="FootnoteReference"/>
          <w:rFonts w:asciiTheme="minorHAnsi" w:hAnsiTheme="minorHAnsi"/>
        </w:rPr>
        <w:footnoteReference w:id="48"/>
      </w:r>
      <w:r w:rsidRPr="00FD2F0C">
        <w:rPr>
          <w:rFonts w:asciiTheme="minorHAnsi" w:hAnsiTheme="minorHAnsi"/>
          <w:lang w:val="en-GB"/>
        </w:rPr>
        <w:t xml:space="preserve"> These guidelines do not include monitoring equipment tender documentation specifications. Such specifications will depend on the need and type of national monitoring and on the national laws and regulations.</w:t>
      </w:r>
      <w:r w:rsidR="00E66697" w:rsidRPr="00FD2F0C">
        <w:rPr>
          <w:rFonts w:asciiTheme="minorHAnsi" w:hAnsiTheme="minorHAnsi"/>
          <w:lang w:val="en-GB"/>
        </w:rPr>
        <w:t xml:space="preserve"> </w:t>
      </w:r>
      <w:r w:rsidRPr="00FD2F0C">
        <w:rPr>
          <w:rFonts w:asciiTheme="minorHAnsi" w:hAnsiTheme="minorHAnsi"/>
          <w:lang w:val="en-GB"/>
        </w:rPr>
        <w:t xml:space="preserve">These guidelines are based on the </w:t>
      </w:r>
      <w:hyperlink r:id="rId61" w:history="1">
        <w:r w:rsidRPr="00FD2F0C">
          <w:rPr>
            <w:rStyle w:val="Hyperlink"/>
            <w:rFonts w:asciiTheme="minorHAnsi" w:hAnsiTheme="minorHAnsi"/>
            <w:lang w:val="en-GB"/>
          </w:rPr>
          <w:t>ITU</w:t>
        </w:r>
        <w:r w:rsidR="0005465D" w:rsidRPr="00FD2F0C">
          <w:rPr>
            <w:rStyle w:val="Hyperlink"/>
            <w:rFonts w:asciiTheme="minorHAnsi" w:hAnsiTheme="minorHAnsi"/>
            <w:lang w:val="en-GB"/>
          </w:rPr>
          <w:t>-R</w:t>
        </w:r>
        <w:r w:rsidRPr="00FD2F0C">
          <w:rPr>
            <w:rStyle w:val="Hyperlink"/>
            <w:rFonts w:asciiTheme="minorHAnsi" w:hAnsiTheme="minorHAnsi"/>
            <w:lang w:val="en-GB"/>
          </w:rPr>
          <w:t xml:space="preserve"> Handbook on Spectrum Monitoring</w:t>
        </w:r>
      </w:hyperlink>
      <w:r w:rsidRPr="00FD2F0C">
        <w:rPr>
          <w:rFonts w:asciiTheme="minorHAnsi" w:hAnsiTheme="minorHAnsi"/>
          <w:lang w:val="en-GB"/>
        </w:rPr>
        <w:t>,</w:t>
      </w:r>
      <w:r w:rsidRPr="00FD2F0C">
        <w:rPr>
          <w:rStyle w:val="FootnoteReference"/>
          <w:rFonts w:asciiTheme="minorHAnsi" w:hAnsiTheme="minorHAnsi"/>
        </w:rPr>
        <w:footnoteReference w:id="49"/>
      </w:r>
      <w:r w:rsidRPr="00FD2F0C">
        <w:rPr>
          <w:rFonts w:asciiTheme="minorHAnsi" w:hAnsiTheme="minorHAnsi"/>
          <w:lang w:val="en-GB"/>
        </w:rPr>
        <w:t xml:space="preserve"> which contains detailed information on monitoring system planning and tenders. Valuable information can also be found in the following ITU</w:t>
      </w:r>
      <w:r w:rsidR="00863131" w:rsidRPr="00FD2F0C">
        <w:rPr>
          <w:rFonts w:asciiTheme="minorHAnsi" w:hAnsiTheme="minorHAnsi"/>
          <w:lang w:val="en-GB"/>
        </w:rPr>
        <w:t>-R</w:t>
      </w:r>
      <w:r w:rsidR="008C1C26" w:rsidRPr="00FD2F0C">
        <w:rPr>
          <w:rFonts w:asciiTheme="minorHAnsi" w:hAnsiTheme="minorHAnsi"/>
          <w:lang w:val="en-GB"/>
        </w:rPr>
        <w:t xml:space="preserve"> Handbooks on</w:t>
      </w:r>
      <w:r w:rsidRPr="00FD2F0C">
        <w:rPr>
          <w:rFonts w:asciiTheme="minorHAnsi" w:hAnsiTheme="minorHAnsi"/>
          <w:lang w:val="en-GB"/>
        </w:rPr>
        <w:t>:</w:t>
      </w:r>
    </w:p>
    <w:p w14:paraId="30ACE489" w14:textId="57FE085B" w:rsidR="007366D4" w:rsidRPr="00FD2F0C" w:rsidRDefault="00573C99" w:rsidP="00804B10">
      <w:pPr>
        <w:pStyle w:val="Bulletlist1"/>
        <w:numPr>
          <w:ilvl w:val="0"/>
          <w:numId w:val="10"/>
        </w:numPr>
        <w:jc w:val="both"/>
        <w:rPr>
          <w:rFonts w:asciiTheme="minorHAnsi" w:hAnsiTheme="minorHAnsi"/>
        </w:rPr>
      </w:pPr>
      <w:hyperlink r:id="rId62" w:history="1">
        <w:r w:rsidR="007366D4" w:rsidRPr="00FD2F0C">
          <w:rPr>
            <w:rStyle w:val="Hyperlink"/>
            <w:rFonts w:asciiTheme="minorHAnsi" w:hAnsiTheme="minorHAnsi"/>
          </w:rPr>
          <w:t>National Spectrum Management</w:t>
        </w:r>
      </w:hyperlink>
      <w:r w:rsidR="007366D4" w:rsidRPr="00FD2F0C">
        <w:rPr>
          <w:rFonts w:asciiTheme="minorHAnsi" w:hAnsiTheme="minorHAnsi"/>
        </w:rPr>
        <w:t>;</w:t>
      </w:r>
      <w:r w:rsidR="007366D4" w:rsidRPr="00FD2F0C">
        <w:rPr>
          <w:rStyle w:val="FootnoteReference"/>
          <w:rFonts w:asciiTheme="minorHAnsi" w:hAnsiTheme="minorHAnsi" w:cs="Times New Roman"/>
          <w:lang w:eastAsia="fr-FR"/>
        </w:rPr>
        <w:footnoteReference w:id="50"/>
      </w:r>
      <w:r w:rsidR="007366D4" w:rsidRPr="00FD2F0C">
        <w:rPr>
          <w:rFonts w:asciiTheme="minorHAnsi" w:hAnsiTheme="minorHAnsi"/>
        </w:rPr>
        <w:t xml:space="preserve"> and</w:t>
      </w:r>
    </w:p>
    <w:p w14:paraId="73C82E56" w14:textId="65C5352E" w:rsidR="007366D4" w:rsidRPr="00FD2F0C" w:rsidRDefault="00573C99" w:rsidP="00804B10">
      <w:pPr>
        <w:pStyle w:val="Bulletlist1"/>
        <w:numPr>
          <w:ilvl w:val="0"/>
          <w:numId w:val="10"/>
        </w:numPr>
        <w:jc w:val="both"/>
        <w:rPr>
          <w:rFonts w:asciiTheme="minorHAnsi" w:hAnsiTheme="minorHAnsi"/>
        </w:rPr>
      </w:pPr>
      <w:hyperlink r:id="rId63" w:history="1">
        <w:r w:rsidR="007366D4" w:rsidRPr="00FD2F0C">
          <w:rPr>
            <w:rStyle w:val="Hyperlink"/>
            <w:rFonts w:asciiTheme="minorHAnsi" w:hAnsiTheme="minorHAnsi"/>
          </w:rPr>
          <w:t>Computer-Aided-Techniques for Spectrum Management</w:t>
        </w:r>
      </w:hyperlink>
      <w:r w:rsidR="007366D4" w:rsidRPr="00FD2F0C">
        <w:rPr>
          <w:rFonts w:asciiTheme="minorHAnsi" w:hAnsiTheme="minorHAnsi"/>
        </w:rPr>
        <w:t>.</w:t>
      </w:r>
      <w:r w:rsidR="007366D4" w:rsidRPr="00FD2F0C">
        <w:rPr>
          <w:rStyle w:val="FootnoteReference"/>
          <w:rFonts w:asciiTheme="minorHAnsi" w:hAnsiTheme="minorHAnsi" w:cs="Times New Roman"/>
          <w:lang w:eastAsia="fr-FR"/>
        </w:rPr>
        <w:footnoteReference w:id="51"/>
      </w:r>
      <w:r w:rsidR="007366D4" w:rsidRPr="00FD2F0C">
        <w:rPr>
          <w:rStyle w:val="FootnoteReference"/>
          <w:rFonts w:asciiTheme="minorHAnsi" w:hAnsiTheme="minorHAnsi" w:cs="Times New Roman"/>
          <w:lang w:eastAsia="fr-FR"/>
        </w:rPr>
        <w:t>.</w:t>
      </w:r>
    </w:p>
    <w:p w14:paraId="5050B10A" w14:textId="09B74E95" w:rsidR="007366D4" w:rsidRPr="00FD2F0C" w:rsidRDefault="007366D4" w:rsidP="00E66697">
      <w:pPr>
        <w:rPr>
          <w:rFonts w:asciiTheme="minorHAnsi" w:hAnsiTheme="minorHAnsi"/>
          <w:lang w:val="en-GB"/>
        </w:rPr>
      </w:pPr>
      <w:r w:rsidRPr="00FD2F0C">
        <w:rPr>
          <w:rFonts w:asciiTheme="minorHAnsi" w:hAnsiTheme="minorHAnsi"/>
          <w:lang w:val="en-GB"/>
        </w:rPr>
        <w:t>These three handbooks have been developed by ITU-R Study Group 1</w:t>
      </w:r>
      <w:r w:rsidRPr="00FD2F0C">
        <w:rPr>
          <w:rStyle w:val="FootnoteReference"/>
          <w:rFonts w:asciiTheme="minorHAnsi" w:hAnsiTheme="minorHAnsi"/>
        </w:rPr>
        <w:footnoteReference w:id="52"/>
      </w:r>
      <w:r w:rsidRPr="00FD2F0C">
        <w:rPr>
          <w:rFonts w:asciiTheme="minorHAnsi" w:hAnsiTheme="minorHAnsi"/>
          <w:lang w:val="en-GB"/>
        </w:rPr>
        <w:t xml:space="preserve"> on spectrum management. ITU-R Working Party 1C</w:t>
      </w:r>
      <w:r w:rsidRPr="00FD2F0C">
        <w:rPr>
          <w:rStyle w:val="FootnoteReference"/>
          <w:rFonts w:asciiTheme="minorHAnsi" w:hAnsiTheme="minorHAnsi"/>
        </w:rPr>
        <w:footnoteReference w:id="53"/>
      </w:r>
      <w:r w:rsidRPr="00FD2F0C">
        <w:rPr>
          <w:rFonts w:asciiTheme="minorHAnsi" w:hAnsiTheme="minorHAnsi"/>
          <w:lang w:val="en-GB"/>
        </w:rPr>
        <w:t xml:space="preserve"> includes international experts on spectrum monitoring related studies, including the development of techniques for observing the use of the spectrum, measurement techniques, inspection of radio stations, identification of emissions, and location of interference sources.</w:t>
      </w:r>
    </w:p>
    <w:p w14:paraId="412EA628" w14:textId="2B019FF0" w:rsidR="007366D4" w:rsidRPr="00FD2F0C" w:rsidRDefault="00734188" w:rsidP="00CE3182">
      <w:pPr>
        <w:rPr>
          <w:rFonts w:asciiTheme="minorHAnsi" w:hAnsiTheme="minorHAnsi"/>
          <w:lang w:val="en-GB"/>
        </w:rPr>
      </w:pPr>
      <w:r w:rsidRPr="00FD2F0C">
        <w:rPr>
          <w:rFonts w:asciiTheme="minorHAnsi" w:hAnsiTheme="minorHAnsi"/>
          <w:lang w:val="en-GB"/>
        </w:rPr>
        <w:t>ITU-D has also developed “Guidelines for the preparation of a tender to set up or update a spectrum mon</w:t>
      </w:r>
      <w:r w:rsidR="00A85AAD" w:rsidRPr="00FD2F0C">
        <w:rPr>
          <w:rFonts w:asciiTheme="minorHAnsi" w:hAnsiTheme="minorHAnsi"/>
          <w:lang w:val="en-GB"/>
        </w:rPr>
        <w:t>i</w:t>
      </w:r>
      <w:r w:rsidRPr="00FD2F0C">
        <w:rPr>
          <w:rFonts w:asciiTheme="minorHAnsi" w:hAnsiTheme="minorHAnsi"/>
          <w:lang w:val="en-GB"/>
        </w:rPr>
        <w:t xml:space="preserve">toring network". </w:t>
      </w:r>
      <w:r w:rsidR="007366D4" w:rsidRPr="00FD2F0C">
        <w:rPr>
          <w:rFonts w:asciiTheme="minorHAnsi" w:hAnsiTheme="minorHAnsi"/>
          <w:lang w:val="en-GB"/>
        </w:rPr>
        <w:t>Chapter 2 of these guidelines</w:t>
      </w:r>
      <w:r w:rsidR="007366D4" w:rsidRPr="00FD2F0C">
        <w:rPr>
          <w:rStyle w:val="FootnoteReference"/>
          <w:rFonts w:asciiTheme="minorHAnsi" w:hAnsiTheme="minorHAnsi"/>
        </w:rPr>
        <w:footnoteReference w:id="54"/>
      </w:r>
      <w:r w:rsidR="007366D4" w:rsidRPr="00FD2F0C">
        <w:rPr>
          <w:rFonts w:asciiTheme="minorHAnsi" w:hAnsiTheme="minorHAnsi"/>
          <w:lang w:val="en-GB"/>
        </w:rPr>
        <w:t xml:space="preserve"> provides a short introduction to the need for spectrum management, whilst Chapter 3 includes the role spectrum monitoring has in spectrum management. Chapters 4-13 further describe and discuss aspects to be considered and implemented when setting up a new spectrum monitoring network. Especially, Chapter 6 is dealing with the development of a tender document.</w:t>
      </w:r>
    </w:p>
    <w:p w14:paraId="4F6311FA" w14:textId="61219138" w:rsidR="00CE3182" w:rsidRPr="00FD2F0C" w:rsidRDefault="00CE3182" w:rsidP="00246475">
      <w:pPr>
        <w:rPr>
          <w:rFonts w:asciiTheme="minorHAnsi" w:hAnsiTheme="minorHAnsi"/>
          <w:lang w:val="en-GB"/>
        </w:rPr>
      </w:pPr>
      <w:r w:rsidRPr="00FD2F0C">
        <w:rPr>
          <w:rFonts w:asciiTheme="minorHAnsi" w:hAnsiTheme="minorHAnsi"/>
          <w:lang w:val="en-GB"/>
        </w:rPr>
        <w:lastRenderedPageBreak/>
        <w:t>Current technology allows most spectrum monitoring functions, and indeed entire monitoring</w:t>
      </w:r>
      <w:r w:rsidR="00D1789D" w:rsidRPr="00FD2F0C">
        <w:rPr>
          <w:rFonts w:asciiTheme="minorHAnsi" w:hAnsiTheme="minorHAnsi"/>
          <w:lang w:val="en-GB"/>
        </w:rPr>
        <w:t xml:space="preserve"> </w:t>
      </w:r>
      <w:r w:rsidR="00871A4D" w:rsidRPr="00FD2F0C">
        <w:rPr>
          <w:rFonts w:asciiTheme="minorHAnsi" w:hAnsiTheme="minorHAnsi"/>
          <w:lang w:val="en-GB"/>
        </w:rPr>
        <w:t>networks</w:t>
      </w:r>
      <w:r w:rsidRPr="00FD2F0C">
        <w:rPr>
          <w:rFonts w:asciiTheme="minorHAnsi" w:hAnsiTheme="minorHAnsi"/>
          <w:lang w:val="en-GB"/>
        </w:rPr>
        <w:t>, to be highly automated, and allows spectrum monitoring systems to be highly integrated with automated spectrum management. Many activities of an automated national spectrum management system will benefit from integration with automated spectrum monitoring stations, as is described in Recommendation ITU-R SM.1537-1.</w:t>
      </w:r>
      <w:r w:rsidR="001030C2" w:rsidRPr="00FD2F0C">
        <w:rPr>
          <w:rFonts w:asciiTheme="minorHAnsi" w:hAnsiTheme="minorHAnsi"/>
          <w:lang w:val="en-GB"/>
        </w:rPr>
        <w:t xml:space="preserve"> </w:t>
      </w:r>
      <w:r w:rsidRPr="00FD2F0C">
        <w:rPr>
          <w:rFonts w:asciiTheme="minorHAnsi" w:hAnsiTheme="minorHAnsi"/>
          <w:lang w:val="en-GB"/>
        </w:rPr>
        <w:t>Spectrum monitoring is one of the essential tools of spectrum management. Spectrum monitoring techniques are developed to ensure adherence to technical parameters and standards for radiocommunication systems. In addition, spectrum monitoring can assist in assessing the efficient utilisation of the radio frequency spectrum. These systems can also be very useful to administrations for enforcing regulations of licensed stations, identifying illegal operations, and detecting and mitigating harmful interference. Spectrum monitoring techniques are different from those of a radiocommunication network in that they are carried out in non-optimal situations and, in some cases, in an unknown environment. ITU-R Handbook on Spectrum Monitoring covers all essential features of spectrum monitoring techniques and activities, including the establishment of monitoring facilities (</w:t>
      </w:r>
      <w:r w:rsidRPr="00FD2F0C">
        <w:rPr>
          <w:rFonts w:asciiTheme="minorHAnsi" w:hAnsiTheme="minorHAnsi"/>
          <w:szCs w:val="20"/>
          <w:lang w:val="en-GB"/>
        </w:rPr>
        <w:t>refer to its Annex 1 on “Monitoring system planning and tenders”.</w:t>
      </w:r>
      <w:r w:rsidRPr="00FD2F0C">
        <w:rPr>
          <w:rFonts w:asciiTheme="minorHAnsi" w:hAnsiTheme="minorHAnsi"/>
          <w:lang w:val="en-GB"/>
        </w:rPr>
        <w:t>).</w:t>
      </w:r>
    </w:p>
    <w:p w14:paraId="35A91CB5" w14:textId="77777777" w:rsidR="007366D4" w:rsidRPr="00FD2F0C" w:rsidRDefault="007366D4" w:rsidP="007366D4">
      <w:pPr>
        <w:pStyle w:val="Heading2"/>
        <w:numPr>
          <w:ilvl w:val="0"/>
          <w:numId w:val="0"/>
        </w:numPr>
        <w:rPr>
          <w:rFonts w:asciiTheme="minorHAnsi" w:hAnsiTheme="minorHAnsi"/>
        </w:rPr>
      </w:pPr>
      <w:bookmarkStart w:id="110" w:name="_Toc482794168"/>
      <w:bookmarkStart w:id="111" w:name="_Toc482794431"/>
      <w:bookmarkStart w:id="112" w:name="_Toc482794169"/>
      <w:bookmarkStart w:id="113" w:name="_Toc482794432"/>
      <w:bookmarkStart w:id="114" w:name="_Toc485648006"/>
      <w:bookmarkEnd w:id="110"/>
      <w:bookmarkEnd w:id="111"/>
      <w:bookmarkEnd w:id="112"/>
      <w:bookmarkEnd w:id="113"/>
      <w:r w:rsidRPr="00FD2F0C">
        <w:rPr>
          <w:rFonts w:asciiTheme="minorHAnsi" w:hAnsiTheme="minorHAnsi"/>
          <w:lang w:val="en-GB"/>
        </w:rPr>
        <w:t>4.1</w:t>
      </w:r>
      <w:r w:rsidRPr="00FD2F0C">
        <w:rPr>
          <w:rFonts w:asciiTheme="minorHAnsi" w:hAnsiTheme="minorHAnsi"/>
          <w:lang w:val="en-GB"/>
        </w:rPr>
        <w:tab/>
        <w:t>Identification of methodologies on setting up a spectrum monitoring network</w:t>
      </w:r>
      <w:bookmarkEnd w:id="114"/>
      <w:r w:rsidRPr="00FD2F0C">
        <w:rPr>
          <w:rFonts w:asciiTheme="minorHAnsi" w:hAnsiTheme="minorHAnsi"/>
        </w:rPr>
        <w:t xml:space="preserve"> </w:t>
      </w:r>
    </w:p>
    <w:p w14:paraId="33BF0CDE" w14:textId="77777777" w:rsidR="007366D4" w:rsidRPr="00FD2F0C" w:rsidRDefault="007366D4" w:rsidP="007366D4">
      <w:pPr>
        <w:pStyle w:val="Heading3"/>
        <w:numPr>
          <w:ilvl w:val="0"/>
          <w:numId w:val="0"/>
        </w:numPr>
        <w:ind w:left="720" w:hanging="720"/>
        <w:rPr>
          <w:rFonts w:asciiTheme="minorHAnsi" w:hAnsiTheme="minorHAnsi"/>
        </w:rPr>
      </w:pPr>
      <w:bookmarkStart w:id="115" w:name="_Toc485648007"/>
      <w:r w:rsidRPr="00FD2F0C">
        <w:rPr>
          <w:rFonts w:asciiTheme="minorHAnsi" w:hAnsiTheme="minorHAnsi"/>
        </w:rPr>
        <w:t>4.1.1</w:t>
      </w:r>
      <w:r w:rsidRPr="00FD2F0C">
        <w:rPr>
          <w:rFonts w:asciiTheme="minorHAnsi" w:hAnsiTheme="minorHAnsi"/>
        </w:rPr>
        <w:tab/>
        <w:t>Setting up tenders</w:t>
      </w:r>
      <w:bookmarkEnd w:id="115"/>
    </w:p>
    <w:p w14:paraId="435D7491" w14:textId="277376C7" w:rsidR="007366D4" w:rsidRPr="00FD2F0C" w:rsidRDefault="007366D4" w:rsidP="00A51E9F">
      <w:pPr>
        <w:rPr>
          <w:rFonts w:asciiTheme="minorHAnsi" w:hAnsiTheme="minorHAnsi"/>
          <w:lang w:val="en-GB"/>
        </w:rPr>
      </w:pPr>
      <w:r w:rsidRPr="00FD2F0C">
        <w:rPr>
          <w:rFonts w:asciiTheme="minorHAnsi" w:hAnsiTheme="minorHAnsi"/>
          <w:lang w:val="en-GB"/>
        </w:rPr>
        <w:t xml:space="preserve">When a national administration decides to create its nationwide spectrum monitoring network, to add a new local monitoring station, or just to make a single mobile measuring study, the work is generally divisible into three stages (see </w:t>
      </w:r>
      <w:r w:rsidRPr="00FD2F0C">
        <w:rPr>
          <w:rFonts w:asciiTheme="minorHAnsi" w:hAnsiTheme="minorHAnsi"/>
          <w:b/>
          <w:bCs/>
          <w:lang w:val="en-GB"/>
        </w:rPr>
        <w:t xml:space="preserve">Figure </w:t>
      </w:r>
      <w:r w:rsidR="00A51E9F" w:rsidRPr="00FD2F0C">
        <w:rPr>
          <w:rFonts w:asciiTheme="minorHAnsi" w:hAnsiTheme="minorHAnsi"/>
          <w:b/>
          <w:bCs/>
          <w:lang w:val="en-GB"/>
        </w:rPr>
        <w:t>2</w:t>
      </w:r>
      <w:r w:rsidRPr="00FD2F0C">
        <w:rPr>
          <w:rFonts w:asciiTheme="minorHAnsi" w:hAnsiTheme="minorHAnsi"/>
          <w:lang w:val="en-GB"/>
        </w:rPr>
        <w:t>):</w:t>
      </w:r>
    </w:p>
    <w:p w14:paraId="734DC94C" w14:textId="77777777" w:rsidR="007366D4" w:rsidRPr="00FD2F0C" w:rsidRDefault="007366D4" w:rsidP="0032197B">
      <w:pPr>
        <w:pStyle w:val="Bulletlist1"/>
        <w:numPr>
          <w:ilvl w:val="0"/>
          <w:numId w:val="20"/>
        </w:numPr>
        <w:ind w:left="714" w:hanging="357"/>
        <w:jc w:val="both"/>
        <w:rPr>
          <w:rFonts w:asciiTheme="minorHAnsi" w:hAnsiTheme="minorHAnsi"/>
          <w:b/>
          <w:bCs/>
        </w:rPr>
      </w:pPr>
      <w:r w:rsidRPr="00FD2F0C">
        <w:rPr>
          <w:rFonts w:asciiTheme="minorHAnsi" w:hAnsiTheme="minorHAnsi"/>
          <w:b/>
          <w:bCs/>
        </w:rPr>
        <w:t>Preparation stage – Planning:</w:t>
      </w:r>
    </w:p>
    <w:p w14:paraId="0A3054A9"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Concept and objectives for a radio monitoring system;</w:t>
      </w:r>
    </w:p>
    <w:p w14:paraId="7B2C882B"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Feasibility study;</w:t>
      </w:r>
    </w:p>
    <w:p w14:paraId="7670E356"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Business Plan;</w:t>
      </w:r>
    </w:p>
    <w:p w14:paraId="63CE550C"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System planning;</w:t>
      </w:r>
    </w:p>
    <w:p w14:paraId="7DA1A278"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Specifications for the systems.</w:t>
      </w:r>
    </w:p>
    <w:p w14:paraId="3CE2D220" w14:textId="77777777" w:rsidR="007366D4" w:rsidRPr="00FD2F0C" w:rsidRDefault="007366D4" w:rsidP="0032197B">
      <w:pPr>
        <w:pStyle w:val="Bulletlist1"/>
        <w:numPr>
          <w:ilvl w:val="0"/>
          <w:numId w:val="20"/>
        </w:numPr>
        <w:ind w:left="714" w:hanging="357"/>
        <w:jc w:val="both"/>
        <w:rPr>
          <w:rFonts w:asciiTheme="minorHAnsi" w:hAnsiTheme="minorHAnsi"/>
          <w:b/>
          <w:bCs/>
        </w:rPr>
      </w:pPr>
      <w:r w:rsidRPr="00FD2F0C">
        <w:rPr>
          <w:rFonts w:asciiTheme="minorHAnsi" w:hAnsiTheme="minorHAnsi"/>
          <w:b/>
          <w:bCs/>
        </w:rPr>
        <w:t>Implementation stage – Tender process:</w:t>
      </w:r>
    </w:p>
    <w:p w14:paraId="64A3EB44"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Invitation to start public purchase tender (consideration of the competence of the bidders, viewpoints of the disqualification for fulfilment of contract);</w:t>
      </w:r>
    </w:p>
    <w:p w14:paraId="7F858124"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Invitation for bids (including clarification to the bidders);</w:t>
      </w:r>
    </w:p>
    <w:p w14:paraId="3FB8426E"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Submission of proposals by the bidders;</w:t>
      </w:r>
    </w:p>
    <w:p w14:paraId="1AD955A6"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Evaluation of received proposals (request for clarifications inclusive);</w:t>
      </w:r>
    </w:p>
    <w:p w14:paraId="1EB7730F"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Decision for award of contract;</w:t>
      </w:r>
    </w:p>
    <w:p w14:paraId="7EC5D14D"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Signature and entry into force of the contract.</w:t>
      </w:r>
    </w:p>
    <w:p w14:paraId="05FB626C" w14:textId="77777777" w:rsidR="007366D4" w:rsidRPr="00FD2F0C" w:rsidRDefault="007366D4" w:rsidP="0032197B">
      <w:pPr>
        <w:pStyle w:val="Bulletlist1"/>
        <w:numPr>
          <w:ilvl w:val="0"/>
          <w:numId w:val="20"/>
        </w:numPr>
        <w:ind w:left="714" w:hanging="357"/>
        <w:jc w:val="both"/>
        <w:rPr>
          <w:rFonts w:asciiTheme="minorHAnsi" w:hAnsiTheme="minorHAnsi"/>
          <w:b/>
          <w:bCs/>
        </w:rPr>
      </w:pPr>
      <w:r w:rsidRPr="00FD2F0C">
        <w:rPr>
          <w:rFonts w:asciiTheme="minorHAnsi" w:hAnsiTheme="minorHAnsi"/>
          <w:b/>
          <w:bCs/>
        </w:rPr>
        <w:t>Final (termination) stage – Acceptance procedure, operation:</w:t>
      </w:r>
    </w:p>
    <w:p w14:paraId="17FB8EFF"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Factory, provisional and final acceptance procedures;</w:t>
      </w:r>
    </w:p>
    <w:p w14:paraId="28A9843C"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Training, maintenance and spare parts supply;</w:t>
      </w:r>
    </w:p>
    <w:p w14:paraId="0A42C319" w14:textId="77777777" w:rsidR="007366D4" w:rsidRPr="00FD2F0C" w:rsidRDefault="007366D4" w:rsidP="0032197B">
      <w:pPr>
        <w:pStyle w:val="Bulletlist2"/>
        <w:numPr>
          <w:ilvl w:val="0"/>
          <w:numId w:val="21"/>
        </w:numPr>
        <w:ind w:hanging="357"/>
        <w:jc w:val="both"/>
        <w:rPr>
          <w:rFonts w:asciiTheme="minorHAnsi" w:hAnsiTheme="minorHAnsi"/>
        </w:rPr>
      </w:pPr>
      <w:r w:rsidRPr="00FD2F0C">
        <w:rPr>
          <w:rFonts w:asciiTheme="minorHAnsi" w:hAnsiTheme="minorHAnsi"/>
        </w:rPr>
        <w:t>Starting up of the operation.</w:t>
      </w:r>
    </w:p>
    <w:p w14:paraId="3E434CA1" w14:textId="78FD1F30" w:rsidR="007366D4" w:rsidRPr="00FD2F0C" w:rsidRDefault="007366D4" w:rsidP="00A51E9F">
      <w:pPr>
        <w:pStyle w:val="Figuretitle0"/>
        <w:tabs>
          <w:tab w:val="left" w:pos="851"/>
        </w:tabs>
        <w:rPr>
          <w:rFonts w:asciiTheme="minorHAnsi" w:hAnsiTheme="minorHAnsi"/>
          <w:lang w:val="fr-CH"/>
        </w:rPr>
      </w:pPr>
      <w:bookmarkStart w:id="116" w:name="_Toc485216165"/>
      <w:r w:rsidRPr="00FD2F0C">
        <w:rPr>
          <w:rFonts w:asciiTheme="minorHAnsi" w:hAnsiTheme="minorHAnsi"/>
          <w:lang w:val="fr-CH"/>
        </w:rPr>
        <w:lastRenderedPageBreak/>
        <w:t xml:space="preserve">Figure </w:t>
      </w:r>
      <w:r w:rsidR="00A51E9F" w:rsidRPr="00FD2F0C">
        <w:rPr>
          <w:rFonts w:asciiTheme="minorHAnsi" w:hAnsiTheme="minorHAnsi"/>
          <w:lang w:val="fr-CH"/>
        </w:rPr>
        <w:t>2</w:t>
      </w:r>
      <w:r w:rsidRPr="00FD2F0C">
        <w:rPr>
          <w:rFonts w:asciiTheme="minorHAnsi" w:hAnsiTheme="minorHAnsi"/>
          <w:lang w:val="fr-CH"/>
        </w:rPr>
        <w:t>: Setting up tenders</w:t>
      </w:r>
      <w:bookmarkEnd w:id="116"/>
    </w:p>
    <w:p w14:paraId="36DF9F52" w14:textId="77777777" w:rsidR="007366D4" w:rsidRPr="00FD2F0C" w:rsidRDefault="007366D4" w:rsidP="007366D4">
      <w:pPr>
        <w:pStyle w:val="Figure"/>
        <w:rPr>
          <w:rFonts w:asciiTheme="minorHAnsi" w:hAnsiTheme="minorHAnsi"/>
          <w:b/>
        </w:rPr>
      </w:pPr>
      <w:r w:rsidRPr="00FD2F0C">
        <w:rPr>
          <w:rFonts w:asciiTheme="minorHAnsi" w:hAnsiTheme="minorHAnsi"/>
          <w:noProof/>
          <w:lang w:val="en-GB" w:eastAsia="zh-CN"/>
        </w:rPr>
        <w:drawing>
          <wp:inline distT="0" distB="0" distL="0" distR="0" wp14:anchorId="3B9999D7" wp14:editId="0EAF9D82">
            <wp:extent cx="3305175" cy="20085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1.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305175" cy="2008531"/>
                    </a:xfrm>
                    <a:prstGeom prst="rect">
                      <a:avLst/>
                    </a:prstGeom>
                  </pic:spPr>
                </pic:pic>
              </a:graphicData>
            </a:graphic>
          </wp:inline>
        </w:drawing>
      </w:r>
    </w:p>
    <w:p w14:paraId="3BEFD6AB" w14:textId="77777777" w:rsidR="007366D4" w:rsidRPr="00FD2F0C" w:rsidRDefault="007366D4" w:rsidP="007366D4">
      <w:pPr>
        <w:pStyle w:val="Alternativetext"/>
        <w:tabs>
          <w:tab w:val="left" w:pos="851"/>
        </w:tabs>
        <w:rPr>
          <w:rFonts w:asciiTheme="minorHAnsi" w:hAnsiTheme="minorHAnsi"/>
          <w:lang w:val="en-GB"/>
        </w:rPr>
      </w:pPr>
      <w:r w:rsidRPr="00FD2F0C">
        <w:rPr>
          <w:rFonts w:asciiTheme="minorHAnsi" w:hAnsiTheme="minorHAnsi"/>
          <w:lang w:val="en-GB"/>
        </w:rPr>
        <w:t xml:space="preserve">Figure </w:t>
      </w:r>
      <w:r w:rsidRPr="00FD2F0C">
        <w:rPr>
          <w:rFonts w:asciiTheme="minorHAnsi" w:hAnsiTheme="minorHAnsi"/>
          <w:highlight w:val="yellow"/>
          <w:lang w:val="en-GB"/>
        </w:rPr>
        <w:t>6</w:t>
      </w:r>
      <w:r w:rsidRPr="00FD2F0C">
        <w:rPr>
          <w:rFonts w:asciiTheme="minorHAnsi" w:hAnsiTheme="minorHAnsi"/>
          <w:lang w:val="en-GB"/>
        </w:rPr>
        <w:t>: Setting up tenders</w:t>
      </w:r>
    </w:p>
    <w:p w14:paraId="7B0B3BB4" w14:textId="380BF9EF" w:rsidR="007366D4" w:rsidRPr="00FD2F0C" w:rsidRDefault="007366D4" w:rsidP="00A973DE">
      <w:pPr>
        <w:rPr>
          <w:rFonts w:asciiTheme="minorHAnsi" w:hAnsiTheme="minorHAnsi"/>
          <w:lang w:val="en-GB"/>
        </w:rPr>
      </w:pPr>
      <w:r w:rsidRPr="00FD2F0C">
        <w:rPr>
          <w:rFonts w:asciiTheme="minorHAnsi" w:hAnsiTheme="minorHAnsi"/>
          <w:lang w:val="en-GB"/>
        </w:rPr>
        <w:t>Annex 1 to the ITU</w:t>
      </w:r>
      <w:r w:rsidR="00246475" w:rsidRPr="00FD2F0C">
        <w:rPr>
          <w:rFonts w:asciiTheme="minorHAnsi" w:hAnsiTheme="minorHAnsi"/>
          <w:lang w:val="en-GB"/>
        </w:rPr>
        <w:t>-R</w:t>
      </w:r>
      <w:r w:rsidRPr="00FD2F0C">
        <w:rPr>
          <w:rFonts w:asciiTheme="minorHAnsi" w:hAnsiTheme="minorHAnsi"/>
          <w:lang w:val="en-GB"/>
        </w:rPr>
        <w:t xml:space="preserve"> Handbook on Spectrum Monitoring describes in depth the steps for the tender process. It discusses both procedures defined by ITU and those by the World Bank. </w:t>
      </w:r>
    </w:p>
    <w:p w14:paraId="78FE6392" w14:textId="77777777" w:rsidR="007366D4" w:rsidRPr="00FD2F0C" w:rsidRDefault="007366D4" w:rsidP="007366D4">
      <w:pPr>
        <w:pStyle w:val="Heading3"/>
        <w:numPr>
          <w:ilvl w:val="0"/>
          <w:numId w:val="0"/>
        </w:numPr>
        <w:ind w:left="720" w:hanging="720"/>
        <w:rPr>
          <w:rFonts w:asciiTheme="minorHAnsi" w:hAnsiTheme="minorHAnsi"/>
        </w:rPr>
      </w:pPr>
      <w:bookmarkStart w:id="117" w:name="_Toc485648008"/>
      <w:bookmarkStart w:id="118" w:name="_Toc467836439"/>
      <w:r w:rsidRPr="00FD2F0C">
        <w:rPr>
          <w:rFonts w:asciiTheme="minorHAnsi" w:hAnsiTheme="minorHAnsi"/>
        </w:rPr>
        <w:t>4.1.2</w:t>
      </w:r>
      <w:r w:rsidRPr="00FD2F0C">
        <w:rPr>
          <w:rFonts w:asciiTheme="minorHAnsi" w:hAnsiTheme="minorHAnsi"/>
        </w:rPr>
        <w:tab/>
        <w:t>Planning a spectrum monitoring network</w:t>
      </w:r>
      <w:bookmarkEnd w:id="117"/>
      <w:r w:rsidRPr="00FD2F0C">
        <w:rPr>
          <w:rFonts w:asciiTheme="minorHAnsi" w:hAnsiTheme="minorHAnsi"/>
        </w:rPr>
        <w:t xml:space="preserve"> </w:t>
      </w:r>
      <w:bookmarkEnd w:id="118"/>
    </w:p>
    <w:p w14:paraId="523EC98E" w14:textId="714837F4" w:rsidR="007366D4" w:rsidRPr="00FD2F0C" w:rsidRDefault="007366D4" w:rsidP="00407F48">
      <w:pPr>
        <w:rPr>
          <w:rFonts w:asciiTheme="minorHAnsi" w:hAnsiTheme="minorHAnsi"/>
          <w:lang w:val="en-GB"/>
        </w:rPr>
      </w:pPr>
      <w:r w:rsidRPr="00FD2F0C">
        <w:rPr>
          <w:rFonts w:asciiTheme="minorHAnsi" w:hAnsiTheme="minorHAnsi"/>
          <w:lang w:val="en-GB"/>
        </w:rPr>
        <w:t xml:space="preserve">The goal of Spectrum Monitoring Network (SMN) planning and optimization is to enable required monitoring functions across territories containing the highest density of transmitters with the minimum number of monitoring </w:t>
      </w:r>
      <w:r w:rsidR="00407F48" w:rsidRPr="00FD2F0C">
        <w:rPr>
          <w:rFonts w:asciiTheme="minorHAnsi" w:hAnsiTheme="minorHAnsi"/>
          <w:lang w:val="en-GB"/>
        </w:rPr>
        <w:t xml:space="preserve">fixed </w:t>
      </w:r>
      <w:r w:rsidRPr="00FD2F0C">
        <w:rPr>
          <w:rFonts w:asciiTheme="minorHAnsi" w:hAnsiTheme="minorHAnsi"/>
          <w:lang w:val="en-GB"/>
        </w:rPr>
        <w:t>stations. This is to be achieved using the lowest possible antenna tower heights while maintaining high quality RF measurements. The territory of interest may be centres of high population or industrial development.</w:t>
      </w:r>
    </w:p>
    <w:p w14:paraId="4DC72D9E" w14:textId="1C70A8D6" w:rsidR="007366D4" w:rsidRPr="00FD2F0C" w:rsidRDefault="007366D4" w:rsidP="008E6AD2">
      <w:pPr>
        <w:rPr>
          <w:rFonts w:asciiTheme="minorHAnsi" w:hAnsiTheme="minorHAnsi"/>
          <w:lang w:val="en-GB"/>
        </w:rPr>
      </w:pPr>
      <w:r w:rsidRPr="00FD2F0C">
        <w:rPr>
          <w:rFonts w:asciiTheme="minorHAnsi" w:hAnsiTheme="minorHAnsi"/>
          <w:lang w:val="en-GB"/>
        </w:rPr>
        <w:t xml:space="preserve">A computerized methodology for such planning and optimization in the VHF/UHF frequency ranges (based on angle of arrival (AOA) principals) has been developed and is set out in </w:t>
      </w:r>
      <w:r w:rsidR="008E6AD2" w:rsidRPr="00FD2F0C">
        <w:rPr>
          <w:rFonts w:asciiTheme="minorHAnsi" w:hAnsiTheme="minorHAnsi"/>
          <w:lang w:val="en-GB"/>
        </w:rPr>
        <w:t>S</w:t>
      </w:r>
      <w:r w:rsidRPr="00FD2F0C">
        <w:rPr>
          <w:rFonts w:asciiTheme="minorHAnsi" w:hAnsiTheme="minorHAnsi"/>
          <w:lang w:val="en-GB"/>
        </w:rPr>
        <w:t>ection 6.8 of the ITU</w:t>
      </w:r>
      <w:r w:rsidR="00A973DE" w:rsidRPr="00FD2F0C">
        <w:rPr>
          <w:rFonts w:asciiTheme="minorHAnsi" w:hAnsiTheme="minorHAnsi"/>
          <w:lang w:val="en-GB"/>
        </w:rPr>
        <w:t>-R</w:t>
      </w:r>
      <w:r w:rsidRPr="00FD2F0C">
        <w:rPr>
          <w:rFonts w:asciiTheme="minorHAnsi" w:hAnsiTheme="minorHAnsi"/>
          <w:lang w:val="en-GB"/>
        </w:rPr>
        <w:t xml:space="preserve"> Handbook on Spectrum Monitoring. Recommendation ITU R SM.1392-2 references </w:t>
      </w:r>
      <w:r w:rsidR="008E6AD2" w:rsidRPr="00FD2F0C">
        <w:rPr>
          <w:rFonts w:asciiTheme="minorHAnsi" w:hAnsiTheme="minorHAnsi"/>
          <w:lang w:val="en-GB"/>
        </w:rPr>
        <w:t>S</w:t>
      </w:r>
      <w:r w:rsidRPr="00FD2F0C">
        <w:rPr>
          <w:rFonts w:asciiTheme="minorHAnsi" w:hAnsiTheme="minorHAnsi"/>
          <w:lang w:val="en-GB"/>
        </w:rPr>
        <w:t>ection 6.8, and emphasizes the potential technical and economic benefits of effective planning and optimization of SMNs in developing countries. These benefits can only be achieved using computer-aided methods and apply in full measure to both developed and developing countries.</w:t>
      </w:r>
    </w:p>
    <w:p w14:paraId="6D2DE8DA" w14:textId="341AB03B" w:rsidR="007366D4" w:rsidRPr="00FD2F0C" w:rsidRDefault="007366D4" w:rsidP="007366D4">
      <w:pPr>
        <w:rPr>
          <w:rFonts w:asciiTheme="minorHAnsi" w:hAnsiTheme="minorHAnsi"/>
          <w:lang w:val="en-GB"/>
        </w:rPr>
      </w:pPr>
      <w:r w:rsidRPr="00FD2F0C">
        <w:rPr>
          <w:rFonts w:asciiTheme="minorHAnsi" w:hAnsiTheme="minorHAnsi"/>
          <w:lang w:val="en-GB"/>
        </w:rPr>
        <w:t>Practical experience has shown that, with the right computer models and calculations, it is possible to reduce the number of fixed monitoring stations required for coverage of a given region in comparison with SMNs planned on the basis of assessments by human experts. On the other hand, the planning and optimization process is rather complex. It comprises many different steps and is determined by the primary requirements of the planned SMN, which have to be defined in advance. In addition, it will be necessary during the planning stage itself to tackle a number of administrative decisions to optimize the process. Annex 1 of the ITU</w:t>
      </w:r>
      <w:r w:rsidR="00A973DE" w:rsidRPr="00FD2F0C">
        <w:rPr>
          <w:rFonts w:asciiTheme="minorHAnsi" w:hAnsiTheme="minorHAnsi"/>
          <w:lang w:val="en-GB"/>
        </w:rPr>
        <w:t>-R</w:t>
      </w:r>
      <w:r w:rsidRPr="00FD2F0C">
        <w:rPr>
          <w:rFonts w:asciiTheme="minorHAnsi" w:hAnsiTheme="minorHAnsi"/>
          <w:lang w:val="en-GB"/>
        </w:rPr>
        <w:t xml:space="preserve"> Handbook on Spectrum Monitoring provides a detailed guideline and step-by-step implementation to make the entire process more effective, while minimizing the work involved.</w:t>
      </w:r>
    </w:p>
    <w:p w14:paraId="154AE6F6" w14:textId="53967694" w:rsidR="007366D4" w:rsidRPr="00FD2F0C" w:rsidRDefault="00E32759" w:rsidP="00276B1F">
      <w:pPr>
        <w:rPr>
          <w:rFonts w:asciiTheme="minorHAnsi" w:hAnsiTheme="minorHAnsi"/>
          <w:lang w:val="en-GB"/>
        </w:rPr>
      </w:pPr>
      <w:r w:rsidRPr="00FD2F0C">
        <w:rPr>
          <w:rFonts w:asciiTheme="minorHAnsi" w:hAnsiTheme="minorHAnsi"/>
          <w:lang w:val="en-GB"/>
        </w:rPr>
        <w:t xml:space="preserve">There </w:t>
      </w:r>
      <w:r w:rsidR="00276B1F" w:rsidRPr="00FD2F0C">
        <w:rPr>
          <w:rFonts w:asciiTheme="minorHAnsi" w:hAnsiTheme="minorHAnsi"/>
          <w:lang w:val="en-GB"/>
        </w:rPr>
        <w:t xml:space="preserve">is </w:t>
      </w:r>
      <w:r w:rsidRPr="00FD2F0C">
        <w:rPr>
          <w:rFonts w:asciiTheme="minorHAnsi" w:hAnsiTheme="minorHAnsi"/>
          <w:lang w:val="en-GB"/>
        </w:rPr>
        <w:t xml:space="preserve">a number of different methods available for geolocation processing and three methods are described in Report </w:t>
      </w:r>
      <w:r w:rsidR="00276B1F" w:rsidRPr="00FD2F0C">
        <w:rPr>
          <w:rFonts w:asciiTheme="minorHAnsi" w:hAnsiTheme="minorHAnsi"/>
          <w:lang w:val="en-GB"/>
        </w:rPr>
        <w:t xml:space="preserve">ITU-R </w:t>
      </w:r>
      <w:r w:rsidRPr="00FD2F0C">
        <w:rPr>
          <w:rFonts w:asciiTheme="minorHAnsi" w:hAnsiTheme="minorHAnsi"/>
          <w:lang w:val="en-GB"/>
        </w:rPr>
        <w:t xml:space="preserve">SM.2356 (2015). The first combines Angle of Arrival (AOA) measurements from multiple sites using direction-finding antenna arrays to determine the emitter location. The second combines Time Difference of Arrival (TDOA) measurements from a minimum of three sites (two pairs of TDOA measurements between the three sites are required for geolocation). The third method, Hybrid AOA/TDOA combines both AOA and TDOA measurements to perform geolocation processing. Additional cost and type of environment (rural, urban or suburban) make the selection of a combination (hybrid) system an option. In urban cores where there is a lot of multipath and limited space for big antennas, TDOA nodes can be more cost effective and efficient. But as the cost </w:t>
      </w:r>
      <w:r w:rsidRPr="00FD2F0C">
        <w:rPr>
          <w:rFonts w:asciiTheme="minorHAnsi" w:hAnsiTheme="minorHAnsi"/>
          <w:lang w:val="en-GB"/>
        </w:rPr>
        <w:lastRenderedPageBreak/>
        <w:t>is dependent on infrastructure, planned coverage area, environs, etc., such an approach must be considered case-by-case, to ensure that it is the most effective and efficient solution.</w:t>
      </w:r>
    </w:p>
    <w:p w14:paraId="758B3744" w14:textId="77777777" w:rsidR="007366D4" w:rsidRPr="00FD2F0C" w:rsidRDefault="007366D4" w:rsidP="007366D4">
      <w:pPr>
        <w:rPr>
          <w:rFonts w:asciiTheme="minorHAnsi" w:hAnsiTheme="minorHAnsi"/>
          <w:lang w:val="en-GB"/>
        </w:rPr>
      </w:pPr>
      <w:r w:rsidRPr="00FD2F0C">
        <w:rPr>
          <w:rFonts w:asciiTheme="minorHAnsi" w:hAnsiTheme="minorHAnsi"/>
          <w:lang w:val="en-GB"/>
        </w:rPr>
        <w:t>The first step in SMN planning requires basic decisions concerning the system objectives, configuration and performance in light of the available and projected financial resources. Apart from the points identified in Recommendation ITU R SM.1392-2,</w:t>
      </w:r>
      <w:r w:rsidRPr="00FD2F0C">
        <w:rPr>
          <w:rStyle w:val="FootnoteReference"/>
          <w:rFonts w:asciiTheme="minorHAnsi" w:hAnsiTheme="minorHAnsi"/>
        </w:rPr>
        <w:footnoteReference w:id="55"/>
      </w:r>
      <w:r w:rsidRPr="00FD2F0C">
        <w:rPr>
          <w:rFonts w:asciiTheme="minorHAnsi" w:hAnsiTheme="minorHAnsi"/>
          <w:lang w:val="en-GB"/>
        </w:rPr>
        <w:t xml:space="preserve"> these decisions include:</w:t>
      </w:r>
    </w:p>
    <w:p w14:paraId="78D42BFA"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The size of the territory to be monitored;</w:t>
      </w:r>
    </w:p>
    <w:p w14:paraId="7EA814D2"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Blanket vs. local coverage of territory by fixed stations;</w:t>
      </w:r>
    </w:p>
    <w:p w14:paraId="1133B800"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AOA vs. TDOA vs. Hybrid AOA/TDOA technology;</w:t>
      </w:r>
    </w:p>
    <w:p w14:paraId="08268749"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Categories of test transmitters and the core monitoring tasks: listening, measurement of emission characteristics, Direction Finding (DF), and estimation of emitter location;</w:t>
      </w:r>
    </w:p>
    <w:p w14:paraId="4920A03C" w14:textId="77777777" w:rsidR="007366D4" w:rsidRPr="00FD2F0C" w:rsidRDefault="007366D4" w:rsidP="0032197B">
      <w:pPr>
        <w:pStyle w:val="Bulletlist1"/>
        <w:numPr>
          <w:ilvl w:val="0"/>
          <w:numId w:val="11"/>
        </w:numPr>
        <w:jc w:val="both"/>
        <w:rPr>
          <w:rFonts w:asciiTheme="minorHAnsi" w:hAnsiTheme="minorHAnsi"/>
        </w:rPr>
      </w:pPr>
      <w:r w:rsidRPr="00FD2F0C">
        <w:rPr>
          <w:rFonts w:asciiTheme="minorHAnsi" w:hAnsiTheme="minorHAnsi"/>
        </w:rPr>
        <w:t>Relative proportions of fixed and mobile station numbers.</w:t>
      </w:r>
    </w:p>
    <w:p w14:paraId="03AFF7CA" w14:textId="77777777" w:rsidR="007366D4" w:rsidRPr="00FD2F0C" w:rsidRDefault="007366D4" w:rsidP="007366D4">
      <w:pPr>
        <w:rPr>
          <w:rFonts w:asciiTheme="minorHAnsi" w:hAnsiTheme="minorHAnsi"/>
          <w:lang w:val="en-GB"/>
        </w:rPr>
      </w:pPr>
      <w:r w:rsidRPr="00FD2F0C">
        <w:rPr>
          <w:rFonts w:asciiTheme="minorHAnsi" w:hAnsiTheme="minorHAnsi"/>
          <w:lang w:val="en-GB"/>
        </w:rPr>
        <w:t>In the initial phase of planning, it is also important to gather as much information as possible about the region of interest. It is also important to make decisions concerning the following:</w:t>
      </w:r>
    </w:p>
    <w:p w14:paraId="10C1B9A2"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Determining the performance requirements for radio monitoring equipment;</w:t>
      </w:r>
    </w:p>
    <w:p w14:paraId="72FB26A2"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The choice of radio-wave propagation model (different models are optimized for quasi-plane relief or for hilly and mountainous terrain and others for urban settings);</w:t>
      </w:r>
    </w:p>
    <w:p w14:paraId="28060A31"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Determining avoidance areas for monitoring stations (closed or secure locations, or areas with high field strength);</w:t>
      </w:r>
    </w:p>
    <w:p w14:paraId="0AC1BEAA" w14:textId="77777777" w:rsidR="007366D4" w:rsidRPr="00FD2F0C" w:rsidRDefault="007366D4" w:rsidP="0032197B">
      <w:pPr>
        <w:pStyle w:val="Bulletlist1"/>
        <w:numPr>
          <w:ilvl w:val="0"/>
          <w:numId w:val="20"/>
        </w:numPr>
        <w:ind w:left="714" w:hanging="357"/>
        <w:jc w:val="both"/>
        <w:rPr>
          <w:rFonts w:asciiTheme="minorHAnsi" w:hAnsiTheme="minorHAnsi"/>
        </w:rPr>
      </w:pPr>
      <w:r w:rsidRPr="00FD2F0C">
        <w:rPr>
          <w:rFonts w:asciiTheme="minorHAnsi" w:hAnsiTheme="minorHAnsi"/>
        </w:rPr>
        <w:t>Location uncertainty (for AOA/TDOA SMNs).</w:t>
      </w:r>
    </w:p>
    <w:p w14:paraId="45BC3076" w14:textId="77777777" w:rsidR="007366D4" w:rsidRPr="00FD2F0C" w:rsidRDefault="007366D4" w:rsidP="007366D4">
      <w:pPr>
        <w:pStyle w:val="Heading2"/>
        <w:numPr>
          <w:ilvl w:val="0"/>
          <w:numId w:val="0"/>
        </w:numPr>
        <w:rPr>
          <w:rFonts w:asciiTheme="minorHAnsi" w:hAnsiTheme="minorHAnsi"/>
        </w:rPr>
      </w:pPr>
      <w:bookmarkStart w:id="119" w:name="_Toc467836440"/>
      <w:bookmarkStart w:id="120" w:name="_Toc485648009"/>
      <w:r w:rsidRPr="00FD2F0C">
        <w:rPr>
          <w:rFonts w:asciiTheme="minorHAnsi" w:hAnsiTheme="minorHAnsi"/>
        </w:rPr>
        <w:t>4.2</w:t>
      </w:r>
      <w:r w:rsidRPr="00FD2F0C">
        <w:rPr>
          <w:rFonts w:asciiTheme="minorHAnsi" w:hAnsiTheme="minorHAnsi"/>
        </w:rPr>
        <w:tab/>
        <w:t>Challenges of detecting weak signals and solutions</w:t>
      </w:r>
      <w:bookmarkEnd w:id="119"/>
      <w:bookmarkEnd w:id="120"/>
    </w:p>
    <w:p w14:paraId="5F9BFB41" w14:textId="77777777" w:rsidR="007366D4" w:rsidRPr="00FD2F0C" w:rsidRDefault="007366D4" w:rsidP="007366D4">
      <w:pPr>
        <w:rPr>
          <w:rFonts w:asciiTheme="minorHAnsi" w:hAnsiTheme="minorHAnsi"/>
          <w:lang w:val="en-GB"/>
        </w:rPr>
      </w:pPr>
      <w:r w:rsidRPr="00FD2F0C">
        <w:rPr>
          <w:rFonts w:asciiTheme="minorHAnsi" w:hAnsiTheme="minorHAnsi"/>
          <w:lang w:val="en-GB"/>
        </w:rPr>
        <w:t>Signals of modern devices operate with bandwidths that have been steadily increasing, reaching 20 MHz or wider. In order to effectively analyse these signals, most modern spectrum monitoring systems use wideband receivers. With the increase in receiver bandwidths required for these signals, an unintended side effect is that it is more likely to have both strong and weak signals present within the receiver bandwidth. The likelihood of the monitoring system being installed in the vicinity of strong nearby signals is a real-world problem driven by the fact that the number of emitters within radio reach is constantly increasing.</w:t>
      </w:r>
    </w:p>
    <w:p w14:paraId="7E02C506" w14:textId="77777777" w:rsidR="007366D4" w:rsidRPr="00FD2F0C" w:rsidRDefault="007366D4" w:rsidP="007366D4">
      <w:pPr>
        <w:rPr>
          <w:rFonts w:asciiTheme="minorHAnsi" w:hAnsiTheme="minorHAnsi"/>
          <w:lang w:val="en-GB"/>
        </w:rPr>
      </w:pPr>
      <w:r w:rsidRPr="00FD2F0C">
        <w:rPr>
          <w:rFonts w:asciiTheme="minorHAnsi" w:hAnsiTheme="minorHAnsi"/>
          <w:lang w:val="en-GB"/>
        </w:rPr>
        <w:t>In order to receive a weak signal in the presence of strong signals the wideband receiver must be able to process signals with powers that can vary from weak to strong (that is, in technical terms, the receiver must have high in-band dynamic range). Note that the effects of strong nearby signals can be further reduced by using receivers that have dual receiver bandwidths, wide and narrow, where the narrow bandwidth (typically 1/10th of wide bandwidth) is used in the presence of extremely strong nearby signals.</w:t>
      </w:r>
    </w:p>
    <w:p w14:paraId="4B4D8445" w14:textId="77777777" w:rsidR="007366D4" w:rsidRPr="00FD2F0C" w:rsidRDefault="007366D4" w:rsidP="007366D4">
      <w:pPr>
        <w:rPr>
          <w:rFonts w:asciiTheme="minorHAnsi" w:hAnsiTheme="minorHAnsi"/>
          <w:lang w:val="en-GB"/>
        </w:rPr>
      </w:pPr>
      <w:r w:rsidRPr="00FD2F0C">
        <w:rPr>
          <w:rFonts w:asciiTheme="minorHAnsi" w:hAnsiTheme="minorHAnsi"/>
          <w:lang w:val="en-GB"/>
        </w:rPr>
        <w:t>A receiver’s local oscillator is designed to produce as pure a mixing signal as possible, but in practice the achievable purity can vary widely depending on the design. The purity is measured in dB below carrier (dBc) at several offset frequencies. The problem is that local oscillator phase noise, through receiver reciprocal mixing, can mask weak signals in the presence of strong signals. The effect of the reciprocal mixing is again equivalent to increasing the receiver’s effective noise figure. In order to minimize the effects of the reciprocal mixing, receiver phase noise must be low. The phase noise specification of a modern receiver in monitoring equipment should not be less than –100 dBc/Hz at 10 kHz offset from the carrier.</w:t>
      </w:r>
    </w:p>
    <w:p w14:paraId="1080D62F" w14:textId="7AE42E8D" w:rsidR="00E32759" w:rsidRPr="00FD2F0C" w:rsidRDefault="007366D4" w:rsidP="008E6AD2">
      <w:pPr>
        <w:rPr>
          <w:rFonts w:asciiTheme="minorHAnsi" w:hAnsiTheme="minorHAnsi"/>
          <w:lang w:val="en-GB"/>
        </w:rPr>
      </w:pPr>
      <w:r w:rsidRPr="00FD2F0C">
        <w:rPr>
          <w:rFonts w:asciiTheme="minorHAnsi" w:hAnsiTheme="minorHAnsi"/>
          <w:lang w:val="en-GB"/>
        </w:rPr>
        <w:lastRenderedPageBreak/>
        <w:t xml:space="preserve">More information concerning monitoring receivers is given in </w:t>
      </w:r>
      <w:r w:rsidR="008E6AD2" w:rsidRPr="00FD2F0C">
        <w:rPr>
          <w:rFonts w:asciiTheme="minorHAnsi" w:hAnsiTheme="minorHAnsi"/>
          <w:lang w:val="en-GB"/>
        </w:rPr>
        <w:t>S</w:t>
      </w:r>
      <w:r w:rsidRPr="00FD2F0C">
        <w:rPr>
          <w:rFonts w:asciiTheme="minorHAnsi" w:hAnsiTheme="minorHAnsi"/>
          <w:lang w:val="en-GB"/>
        </w:rPr>
        <w:t>ection 3.3 of ITU</w:t>
      </w:r>
      <w:r w:rsidR="00636696" w:rsidRPr="00FD2F0C">
        <w:rPr>
          <w:rFonts w:asciiTheme="minorHAnsi" w:hAnsiTheme="minorHAnsi"/>
          <w:lang w:val="en-GB"/>
        </w:rPr>
        <w:t>-R</w:t>
      </w:r>
      <w:r w:rsidRPr="00FD2F0C">
        <w:rPr>
          <w:rFonts w:asciiTheme="minorHAnsi" w:hAnsiTheme="minorHAnsi"/>
          <w:lang w:val="en-GB"/>
        </w:rPr>
        <w:t xml:space="preserve"> Handbook on Spectrum Monitoring.</w:t>
      </w:r>
    </w:p>
    <w:p w14:paraId="6CCD30B0" w14:textId="580FC89B" w:rsidR="00E32759" w:rsidRPr="00FD2F0C" w:rsidRDefault="00E32759" w:rsidP="00E32759">
      <w:pPr>
        <w:pStyle w:val="Tabletitle0"/>
        <w:keepNext/>
        <w:rPr>
          <w:rFonts w:asciiTheme="minorHAnsi" w:hAnsiTheme="minorHAnsi"/>
          <w:lang w:val="en-GB"/>
        </w:rPr>
      </w:pPr>
      <w:bookmarkStart w:id="121" w:name="_Toc474920866"/>
      <w:bookmarkStart w:id="122" w:name="_Toc474934743"/>
      <w:bookmarkEnd w:id="121"/>
      <w:bookmarkEnd w:id="122"/>
    </w:p>
    <w:p w14:paraId="154168B2" w14:textId="77777777" w:rsidR="007366D4" w:rsidRPr="00FD2F0C" w:rsidRDefault="007366D4" w:rsidP="007366D4">
      <w:pPr>
        <w:pStyle w:val="APXchaptertitle"/>
        <w:numPr>
          <w:ilvl w:val="0"/>
          <w:numId w:val="0"/>
        </w:numPr>
        <w:ind w:left="432" w:hanging="432"/>
        <w:rPr>
          <w:rFonts w:asciiTheme="minorHAnsi" w:hAnsiTheme="minorHAnsi"/>
        </w:rPr>
      </w:pPr>
      <w:bookmarkStart w:id="123" w:name="_Toc485648010"/>
      <w:r w:rsidRPr="00FD2F0C">
        <w:rPr>
          <w:rFonts w:asciiTheme="minorHAnsi" w:hAnsiTheme="minorHAnsi"/>
        </w:rPr>
        <w:lastRenderedPageBreak/>
        <w:t>Glossary</w:t>
      </w:r>
      <w:bookmarkEnd w:id="123"/>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830"/>
        <w:gridCol w:w="6799"/>
      </w:tblGrid>
      <w:tr w:rsidR="007366D4" w:rsidRPr="00573C99" w14:paraId="495E99F5" w14:textId="77777777" w:rsidTr="00745ECC">
        <w:tc>
          <w:tcPr>
            <w:tcW w:w="2830" w:type="dxa"/>
            <w:tcBorders>
              <w:bottom w:val="single" w:sz="4" w:space="0" w:color="548DD4" w:themeColor="text2" w:themeTint="99"/>
            </w:tcBorders>
          </w:tcPr>
          <w:p w14:paraId="4729651D" w14:textId="77777777" w:rsidR="007366D4" w:rsidRPr="00FD2F0C" w:rsidRDefault="007366D4" w:rsidP="00745ECC">
            <w:pPr>
              <w:rPr>
                <w:rFonts w:asciiTheme="minorHAnsi" w:hAnsiTheme="minorHAnsi"/>
                <w:b/>
                <w:lang w:val="en-GB"/>
              </w:rPr>
            </w:pPr>
            <w:r w:rsidRPr="00FD2F0C">
              <w:rPr>
                <w:rFonts w:asciiTheme="minorHAnsi" w:hAnsiTheme="minorHAnsi"/>
                <w:b/>
                <w:lang w:val="en-GB"/>
              </w:rPr>
              <w:t>License by Rule:</w:t>
            </w:r>
          </w:p>
        </w:tc>
        <w:tc>
          <w:tcPr>
            <w:tcW w:w="6799" w:type="dxa"/>
            <w:tcBorders>
              <w:bottom w:val="single" w:sz="4" w:space="0" w:color="548DD4" w:themeColor="text2" w:themeTint="99"/>
            </w:tcBorders>
          </w:tcPr>
          <w:p w14:paraId="1A18ED91" w14:textId="77777777" w:rsidR="007366D4" w:rsidRPr="00FD2F0C" w:rsidDel="00836377" w:rsidRDefault="007366D4" w:rsidP="00745ECC">
            <w:pPr>
              <w:rPr>
                <w:rFonts w:asciiTheme="minorHAnsi" w:hAnsiTheme="minorHAnsi"/>
                <w:b/>
                <w:lang w:val="en-GB"/>
              </w:rPr>
            </w:pPr>
            <w:r w:rsidRPr="00FD2F0C">
              <w:rPr>
                <w:rFonts w:asciiTheme="minorHAnsi" w:hAnsiTheme="minorHAnsi"/>
                <w:bCs/>
                <w:lang w:val="en-GB"/>
              </w:rPr>
              <w:t xml:space="preserve">It </w:t>
            </w:r>
            <w:r w:rsidRPr="00FD2F0C">
              <w:rPr>
                <w:rFonts w:asciiTheme="minorHAnsi" w:hAnsiTheme="minorHAnsi"/>
                <w:lang w:val="en-GB"/>
              </w:rPr>
              <w:t xml:space="preserve">refers to a regulatory framework in which the user is not required to obtain an individual license to operate within a particular frequency band, but the user is required to obtain a general permit from the local administrator, and it must agree to comply with rules governing the use of the frequency band. (Adapted from: FCC. “Family Radio Service (FRS)”: </w:t>
            </w:r>
            <w:hyperlink r:id="rId65" w:history="1">
              <w:r w:rsidRPr="00FD2F0C">
                <w:rPr>
                  <w:rStyle w:val="Hyperlink"/>
                  <w:rFonts w:asciiTheme="minorHAnsi" w:hAnsiTheme="minorHAnsi"/>
                  <w:lang w:val="en-GB"/>
                </w:rPr>
                <w:t>https://www.fcc.gov/general/family-radio-service-frs</w:t>
              </w:r>
            </w:hyperlink>
            <w:r w:rsidRPr="00FD2F0C">
              <w:rPr>
                <w:rFonts w:asciiTheme="minorHAnsi" w:hAnsiTheme="minorHAnsi"/>
                <w:lang w:val="en-GB"/>
              </w:rPr>
              <w:t>).</w:t>
            </w:r>
          </w:p>
        </w:tc>
      </w:tr>
      <w:tr w:rsidR="007366D4" w:rsidRPr="00573C99" w14:paraId="1393FA42" w14:textId="77777777" w:rsidTr="00745ECC">
        <w:tc>
          <w:tcPr>
            <w:tcW w:w="2830" w:type="dxa"/>
            <w:shd w:val="clear" w:color="auto" w:fill="C6D9F1" w:themeFill="text2" w:themeFillTint="33"/>
          </w:tcPr>
          <w:p w14:paraId="4D453461" w14:textId="77777777" w:rsidR="007366D4" w:rsidRPr="00FD2F0C" w:rsidRDefault="007366D4" w:rsidP="00745ECC">
            <w:pPr>
              <w:rPr>
                <w:rFonts w:asciiTheme="minorHAnsi" w:hAnsiTheme="minorHAnsi"/>
                <w:b/>
                <w:lang w:val="en-GB"/>
              </w:rPr>
            </w:pPr>
            <w:r w:rsidRPr="00FD2F0C">
              <w:rPr>
                <w:rFonts w:asciiTheme="minorHAnsi" w:hAnsiTheme="minorHAnsi"/>
                <w:b/>
                <w:lang w:val="en-GB"/>
              </w:rPr>
              <w:t>License-Exempt:</w:t>
            </w:r>
          </w:p>
        </w:tc>
        <w:tc>
          <w:tcPr>
            <w:tcW w:w="6799" w:type="dxa"/>
            <w:shd w:val="clear" w:color="auto" w:fill="C6D9F1" w:themeFill="text2" w:themeFillTint="33"/>
          </w:tcPr>
          <w:p w14:paraId="72F7480C" w14:textId="77777777" w:rsidR="007366D4" w:rsidRPr="00FD2F0C" w:rsidRDefault="007366D4" w:rsidP="00745ECC">
            <w:pPr>
              <w:rPr>
                <w:rFonts w:asciiTheme="minorHAnsi" w:hAnsiTheme="minorHAnsi"/>
                <w:lang w:val="en-GB"/>
              </w:rPr>
            </w:pPr>
            <w:r w:rsidRPr="00FD2F0C">
              <w:rPr>
                <w:rFonts w:asciiTheme="minorHAnsi" w:hAnsiTheme="minorHAnsi"/>
                <w:bCs/>
                <w:lang w:val="en-GB"/>
              </w:rPr>
              <w:t xml:space="preserve">It </w:t>
            </w:r>
            <w:r w:rsidRPr="00FD2F0C">
              <w:rPr>
                <w:rFonts w:asciiTheme="minorHAnsi" w:hAnsiTheme="minorHAnsi"/>
                <w:lang w:val="en-GB"/>
              </w:rPr>
              <w:t xml:space="preserve">refers to a regulatory framework in which the user is not required to obtain a formal license from the local administrator to operate within a particular frequency band. Users must still comply with pre-defined technical performance requirements, </w:t>
            </w:r>
            <w:r w:rsidR="00734188" w:rsidRPr="00FD2F0C">
              <w:rPr>
                <w:rFonts w:asciiTheme="minorHAnsi" w:hAnsiTheme="minorHAnsi"/>
                <w:lang w:val="en-GB"/>
              </w:rPr>
              <w:t xml:space="preserve">as well as regulatory and operational limits </w:t>
            </w:r>
            <w:r w:rsidRPr="00FD2F0C">
              <w:rPr>
                <w:rFonts w:asciiTheme="minorHAnsi" w:hAnsiTheme="minorHAnsi"/>
                <w:lang w:val="en-GB"/>
              </w:rPr>
              <w:t>and their use of the spectrum is non-exclusive.</w:t>
            </w:r>
          </w:p>
        </w:tc>
      </w:tr>
      <w:tr w:rsidR="007366D4" w:rsidRPr="00573C99" w14:paraId="0ABFBBB8" w14:textId="77777777" w:rsidTr="00745ECC">
        <w:tc>
          <w:tcPr>
            <w:tcW w:w="2830" w:type="dxa"/>
            <w:tcBorders>
              <w:bottom w:val="single" w:sz="4" w:space="0" w:color="548DD4" w:themeColor="text2" w:themeTint="99"/>
            </w:tcBorders>
          </w:tcPr>
          <w:p w14:paraId="2EF4803B" w14:textId="77777777" w:rsidR="007366D4" w:rsidRPr="00FD2F0C" w:rsidRDefault="007366D4" w:rsidP="00745ECC">
            <w:pPr>
              <w:rPr>
                <w:rFonts w:asciiTheme="minorHAnsi" w:hAnsiTheme="minorHAnsi"/>
                <w:b/>
                <w:lang w:val="en-GB"/>
              </w:rPr>
            </w:pPr>
            <w:r w:rsidRPr="00FD2F0C">
              <w:rPr>
                <w:rFonts w:asciiTheme="minorHAnsi" w:hAnsiTheme="minorHAnsi"/>
                <w:b/>
                <w:lang w:val="en-GB"/>
              </w:rPr>
              <w:t>Lightly Licensed:</w:t>
            </w:r>
          </w:p>
        </w:tc>
        <w:tc>
          <w:tcPr>
            <w:tcW w:w="6799" w:type="dxa"/>
            <w:tcBorders>
              <w:bottom w:val="single" w:sz="4" w:space="0" w:color="548DD4" w:themeColor="text2" w:themeTint="99"/>
            </w:tcBorders>
          </w:tcPr>
          <w:p w14:paraId="74E8317F" w14:textId="2E2D4EBC" w:rsidR="007366D4" w:rsidRPr="00FD2F0C" w:rsidDel="00836377" w:rsidRDefault="007366D4" w:rsidP="00745ECC">
            <w:pPr>
              <w:rPr>
                <w:rFonts w:asciiTheme="minorHAnsi" w:hAnsiTheme="minorHAnsi"/>
                <w:b/>
                <w:lang w:val="en-GB"/>
              </w:rPr>
            </w:pPr>
            <w:r w:rsidRPr="00FD2F0C">
              <w:rPr>
                <w:rFonts w:asciiTheme="minorHAnsi" w:hAnsiTheme="minorHAnsi"/>
                <w:bCs/>
                <w:lang w:val="en-GB"/>
              </w:rPr>
              <w:t xml:space="preserve">It </w:t>
            </w:r>
            <w:r w:rsidRPr="00FD2F0C">
              <w:rPr>
                <w:rFonts w:asciiTheme="minorHAnsi" w:hAnsiTheme="minorHAnsi"/>
                <w:lang w:val="en-GB"/>
              </w:rPr>
              <w:t>refers to a regulatory framework in which the user is required to obtain a license to operate in a particular frequency band, but the license is non-exclusive. With this approach, interference is typically mediated by technical solution rather than by the local administrator. In contrast to a license</w:t>
            </w:r>
            <w:r w:rsidR="00C90A8B" w:rsidRPr="00FD2F0C">
              <w:rPr>
                <w:rFonts w:asciiTheme="minorHAnsi" w:hAnsiTheme="minorHAnsi"/>
                <w:lang w:val="en-GB"/>
              </w:rPr>
              <w:t>d</w:t>
            </w:r>
            <w:r w:rsidRPr="00FD2F0C">
              <w:rPr>
                <w:rFonts w:asciiTheme="minorHAnsi" w:hAnsiTheme="minorHAnsi"/>
                <w:lang w:val="en-GB"/>
              </w:rPr>
              <w:t xml:space="preserve"> shared access framework, licensees are not required to share specific frequency bands</w:t>
            </w:r>
            <w:r w:rsidRPr="00FD2F0C">
              <w:rPr>
                <w:rFonts w:asciiTheme="minorHAnsi" w:hAnsiTheme="minorHAnsi"/>
                <w:szCs w:val="24"/>
                <w:lang w:val="en-GB"/>
              </w:rPr>
              <w:t>. (Adapted from: GSMA. “</w:t>
            </w:r>
            <w:hyperlink r:id="rId66" w:history="1">
              <w:r w:rsidRPr="00FD2F0C">
                <w:rPr>
                  <w:rStyle w:val="Hyperlink"/>
                  <w:rFonts w:asciiTheme="minorHAnsi" w:hAnsiTheme="minorHAnsi"/>
                  <w:szCs w:val="24"/>
                  <w:lang w:val="en-GB"/>
                </w:rPr>
                <w:t>Wireless Backhaul Spectrum Policy Recommendations &amp; Analysis</w:t>
              </w:r>
            </w:hyperlink>
            <w:r w:rsidRPr="00FD2F0C">
              <w:rPr>
                <w:rFonts w:asciiTheme="minorHAnsi" w:hAnsiTheme="minorHAnsi"/>
                <w:szCs w:val="24"/>
                <w:lang w:val="en-GB"/>
              </w:rPr>
              <w:t>”, October 2014).</w:t>
            </w:r>
          </w:p>
        </w:tc>
      </w:tr>
      <w:tr w:rsidR="007366D4" w:rsidRPr="00FD2F0C" w14:paraId="5BA0A2D8" w14:textId="77777777" w:rsidTr="00745ECC">
        <w:tc>
          <w:tcPr>
            <w:tcW w:w="2830" w:type="dxa"/>
            <w:shd w:val="clear" w:color="auto" w:fill="C6D9F1" w:themeFill="text2" w:themeFillTint="33"/>
          </w:tcPr>
          <w:p w14:paraId="78912894" w14:textId="1B324330" w:rsidR="007366D4" w:rsidRPr="00FD2F0C" w:rsidRDefault="007366D4" w:rsidP="00745ECC">
            <w:pPr>
              <w:rPr>
                <w:rFonts w:asciiTheme="minorHAnsi" w:hAnsiTheme="minorHAnsi"/>
                <w:b/>
                <w:lang w:val="en-GB"/>
              </w:rPr>
            </w:pPr>
            <w:r w:rsidRPr="00FD2F0C">
              <w:rPr>
                <w:rFonts w:asciiTheme="minorHAnsi" w:hAnsiTheme="minorHAnsi"/>
                <w:b/>
                <w:lang w:val="en-GB"/>
              </w:rPr>
              <w:t>License</w:t>
            </w:r>
            <w:r w:rsidR="00C90A8B" w:rsidRPr="00FD2F0C">
              <w:rPr>
                <w:rFonts w:asciiTheme="minorHAnsi" w:hAnsiTheme="minorHAnsi"/>
                <w:b/>
                <w:lang w:val="en-GB"/>
              </w:rPr>
              <w:t>d</w:t>
            </w:r>
            <w:r w:rsidRPr="00FD2F0C">
              <w:rPr>
                <w:rFonts w:asciiTheme="minorHAnsi" w:hAnsiTheme="minorHAnsi"/>
                <w:b/>
                <w:lang w:val="en-GB"/>
              </w:rPr>
              <w:t xml:space="preserve"> Shared Access:</w:t>
            </w:r>
          </w:p>
        </w:tc>
        <w:tc>
          <w:tcPr>
            <w:tcW w:w="6799" w:type="dxa"/>
            <w:shd w:val="clear" w:color="auto" w:fill="C6D9F1" w:themeFill="text2" w:themeFillTint="33"/>
          </w:tcPr>
          <w:p w14:paraId="73CEB272" w14:textId="77777777" w:rsidR="007366D4" w:rsidRPr="00FD2F0C" w:rsidRDefault="007366D4" w:rsidP="00745ECC">
            <w:pPr>
              <w:rPr>
                <w:rFonts w:asciiTheme="minorHAnsi" w:hAnsiTheme="minorHAnsi"/>
                <w:lang w:val="en-GB"/>
              </w:rPr>
            </w:pPr>
            <w:r w:rsidRPr="00FD2F0C">
              <w:rPr>
                <w:rFonts w:asciiTheme="minorHAnsi" w:hAnsiTheme="minorHAnsi"/>
                <w:bCs/>
                <w:lang w:val="en-GB"/>
              </w:rPr>
              <w:t xml:space="preserve">It </w:t>
            </w:r>
            <w:r w:rsidRPr="00FD2F0C">
              <w:rPr>
                <w:rFonts w:asciiTheme="minorHAnsi" w:hAnsiTheme="minorHAnsi"/>
                <w:lang w:val="en-GB"/>
              </w:rPr>
              <w:t>refers to a regulatory framework in which multiple users share access to spectrum. With this approach, new users are allowed to obtain individual licenses to operate within a particular frequency band that is already assigned to one or more incumbent users or other LSA licensees. (Adapted from: Faussurier, Emmanuel. “</w:t>
            </w:r>
            <w:hyperlink r:id="rId67" w:history="1">
              <w:r w:rsidRPr="00FD2F0C">
                <w:rPr>
                  <w:rStyle w:val="Hyperlink"/>
                  <w:rFonts w:asciiTheme="minorHAnsi" w:hAnsiTheme="minorHAnsi"/>
                  <w:lang w:val="en-GB"/>
                </w:rPr>
                <w:t>Introduction of new spectrum sharing concepts: LSA and WSD</w:t>
              </w:r>
            </w:hyperlink>
            <w:r w:rsidRPr="00FD2F0C">
              <w:rPr>
                <w:rFonts w:asciiTheme="minorHAnsi" w:hAnsiTheme="minorHAnsi"/>
                <w:lang w:val="en-GB"/>
              </w:rPr>
              <w:t>”. ITU-R SG 1/WP 1B Workshop, 20 January 2014, pg. 16).</w:t>
            </w:r>
          </w:p>
        </w:tc>
      </w:tr>
      <w:tr w:rsidR="007366D4" w:rsidRPr="00573C99" w14:paraId="090C85B8" w14:textId="77777777" w:rsidTr="00745ECC">
        <w:tc>
          <w:tcPr>
            <w:tcW w:w="2830" w:type="dxa"/>
          </w:tcPr>
          <w:p w14:paraId="3C9413CF" w14:textId="77777777" w:rsidR="007366D4" w:rsidRPr="00FD2F0C" w:rsidRDefault="007366D4" w:rsidP="00745ECC">
            <w:pPr>
              <w:rPr>
                <w:rFonts w:asciiTheme="minorHAnsi" w:hAnsiTheme="minorHAnsi"/>
                <w:b/>
                <w:lang w:val="en-GB"/>
              </w:rPr>
            </w:pPr>
            <w:r w:rsidRPr="00FD2F0C">
              <w:rPr>
                <w:rFonts w:asciiTheme="minorHAnsi" w:hAnsiTheme="minorHAnsi"/>
                <w:b/>
                <w:lang w:val="en-GB"/>
              </w:rPr>
              <w:t>Tiered Access:</w:t>
            </w:r>
          </w:p>
        </w:tc>
        <w:tc>
          <w:tcPr>
            <w:tcW w:w="6799" w:type="dxa"/>
          </w:tcPr>
          <w:p w14:paraId="17C8AFCA" w14:textId="77777777" w:rsidR="007366D4" w:rsidRPr="00FD2F0C" w:rsidRDefault="007366D4" w:rsidP="00745ECC">
            <w:pPr>
              <w:rPr>
                <w:rFonts w:asciiTheme="minorHAnsi" w:hAnsiTheme="minorHAnsi"/>
                <w:lang w:val="en-GB"/>
              </w:rPr>
            </w:pPr>
            <w:r w:rsidRPr="00FD2F0C">
              <w:rPr>
                <w:rFonts w:asciiTheme="minorHAnsi" w:hAnsiTheme="minorHAnsi"/>
                <w:bCs/>
                <w:lang w:val="en-GB"/>
              </w:rPr>
              <w:t xml:space="preserve">It </w:t>
            </w:r>
            <w:r w:rsidRPr="00FD2F0C">
              <w:rPr>
                <w:rFonts w:asciiTheme="minorHAnsi" w:hAnsiTheme="minorHAnsi"/>
                <w:lang w:val="en-GB"/>
              </w:rPr>
              <w:t xml:space="preserve">refers to a regulatory framework in which different classes (i.e. tiers) of users with different rights and obligations access the same sections of spectrum. The different tiers typically consist of a primary incumbent </w:t>
            </w:r>
            <w:r w:rsidRPr="00FD2F0C">
              <w:rPr>
                <w:rFonts w:asciiTheme="minorHAnsi" w:hAnsiTheme="minorHAnsi"/>
                <w:szCs w:val="24"/>
                <w:lang w:val="en-GB"/>
              </w:rPr>
              <w:t>(usually the current license holder or government agency) who maintains unfettered access to that portion of spectrum, while also allowing additional secondary and tertiary levels of users, each of which is accorded a lower level of interference protection, and who must halt transmitting if a higher level user requires use of the spectrum.</w:t>
            </w:r>
          </w:p>
        </w:tc>
      </w:tr>
    </w:tbl>
    <w:p w14:paraId="40729333" w14:textId="77777777" w:rsidR="007366D4" w:rsidRPr="00FD2F0C" w:rsidRDefault="007366D4" w:rsidP="007366D4">
      <w:pPr>
        <w:pStyle w:val="APXchaptertitle"/>
        <w:numPr>
          <w:ilvl w:val="0"/>
          <w:numId w:val="0"/>
        </w:numPr>
        <w:ind w:left="432" w:hanging="432"/>
        <w:rPr>
          <w:rFonts w:asciiTheme="minorHAnsi" w:hAnsiTheme="minorHAnsi"/>
        </w:rPr>
      </w:pPr>
      <w:bookmarkStart w:id="124" w:name="_Toc480287077"/>
      <w:bookmarkStart w:id="125" w:name="_Toc480552534"/>
      <w:bookmarkStart w:id="126" w:name="_Toc481174849"/>
      <w:bookmarkStart w:id="127" w:name="_Toc485648011"/>
      <w:r w:rsidRPr="00FD2F0C">
        <w:rPr>
          <w:rFonts w:asciiTheme="minorHAnsi" w:hAnsiTheme="minorHAnsi"/>
        </w:rPr>
        <w:lastRenderedPageBreak/>
        <w:t>Abbreviations and acronyms</w:t>
      </w:r>
      <w:bookmarkEnd w:id="124"/>
      <w:bookmarkEnd w:id="125"/>
      <w:bookmarkEnd w:id="126"/>
      <w:bookmarkEnd w:id="127"/>
    </w:p>
    <w:p w14:paraId="0685DD94" w14:textId="77777777" w:rsidR="007366D4" w:rsidRPr="00FD2F0C" w:rsidRDefault="007366D4" w:rsidP="007366D4">
      <w:pPr>
        <w:spacing w:after="120"/>
        <w:rPr>
          <w:rFonts w:asciiTheme="minorHAnsi" w:hAnsiTheme="minorHAnsi"/>
          <w:lang w:val="en-US"/>
        </w:rPr>
      </w:pPr>
      <w:r w:rsidRPr="00FD2F0C">
        <w:rPr>
          <w:rFonts w:asciiTheme="minorHAnsi" w:hAnsiTheme="minorHAnsi"/>
          <w:lang w:val="en-US"/>
        </w:rPr>
        <w:t>Various abbreviations and acronyms are used through the document, they are provided here.</w:t>
      </w:r>
    </w:p>
    <w:tbl>
      <w:tblPr>
        <w:tblStyle w:val="TableGrid"/>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423"/>
        <w:gridCol w:w="7206"/>
      </w:tblGrid>
      <w:tr w:rsidR="007366D4" w:rsidRPr="00FD2F0C" w14:paraId="2F75915A" w14:textId="77777777" w:rsidTr="00745ECC">
        <w:tc>
          <w:tcPr>
            <w:tcW w:w="2423" w:type="dxa"/>
          </w:tcPr>
          <w:p w14:paraId="58922645" w14:textId="77777777" w:rsidR="007366D4" w:rsidRPr="00FD2F0C" w:rsidRDefault="007366D4" w:rsidP="00745ECC">
            <w:pPr>
              <w:pStyle w:val="Tableheadwhite"/>
              <w:rPr>
                <w:rStyle w:val="Bold"/>
                <w:rFonts w:asciiTheme="minorHAnsi" w:hAnsiTheme="minorHAnsi"/>
                <w:szCs w:val="28"/>
              </w:rPr>
            </w:pPr>
            <w:r w:rsidRPr="00FD2F0C">
              <w:rPr>
                <w:rStyle w:val="Bold"/>
                <w:rFonts w:asciiTheme="minorHAnsi" w:hAnsiTheme="minorHAnsi"/>
                <w:szCs w:val="28"/>
              </w:rPr>
              <w:t>Abbreviation/acronym</w:t>
            </w:r>
          </w:p>
        </w:tc>
        <w:tc>
          <w:tcPr>
            <w:tcW w:w="7206" w:type="dxa"/>
          </w:tcPr>
          <w:p w14:paraId="79D3050C" w14:textId="77777777" w:rsidR="007366D4" w:rsidRPr="00FD2F0C" w:rsidRDefault="007366D4" w:rsidP="00745ECC">
            <w:pPr>
              <w:pStyle w:val="Tableheadwhite"/>
              <w:rPr>
                <w:rStyle w:val="Bold"/>
                <w:rFonts w:asciiTheme="minorHAnsi" w:hAnsiTheme="minorHAnsi"/>
                <w:szCs w:val="28"/>
              </w:rPr>
            </w:pPr>
            <w:r w:rsidRPr="00FD2F0C">
              <w:rPr>
                <w:rStyle w:val="Bold"/>
                <w:rFonts w:asciiTheme="minorHAnsi" w:hAnsiTheme="minorHAnsi"/>
                <w:szCs w:val="28"/>
              </w:rPr>
              <w:t>Description</w:t>
            </w:r>
          </w:p>
        </w:tc>
      </w:tr>
      <w:tr w:rsidR="007366D4" w:rsidRPr="00FD2F0C" w14:paraId="2AAABE5D" w14:textId="77777777" w:rsidTr="006620C5">
        <w:tc>
          <w:tcPr>
            <w:tcW w:w="2423" w:type="dxa"/>
            <w:shd w:val="clear" w:color="auto" w:fill="auto"/>
          </w:tcPr>
          <w:p w14:paraId="4C55E410" w14:textId="77777777" w:rsidR="007366D4" w:rsidRPr="00FD2F0C" w:rsidRDefault="007366D4" w:rsidP="00745ECC">
            <w:pPr>
              <w:rPr>
                <w:rFonts w:asciiTheme="minorHAnsi" w:hAnsiTheme="minorHAnsi"/>
              </w:rPr>
            </w:pPr>
            <w:r w:rsidRPr="00FD2F0C">
              <w:rPr>
                <w:rFonts w:asciiTheme="minorHAnsi" w:hAnsiTheme="minorHAnsi"/>
              </w:rPr>
              <w:t>AOA</w:t>
            </w:r>
          </w:p>
        </w:tc>
        <w:tc>
          <w:tcPr>
            <w:tcW w:w="7206" w:type="dxa"/>
            <w:shd w:val="clear" w:color="auto" w:fill="auto"/>
          </w:tcPr>
          <w:p w14:paraId="161B26C3" w14:textId="77777777" w:rsidR="007366D4" w:rsidRPr="00FD2F0C" w:rsidRDefault="007366D4" w:rsidP="00745ECC">
            <w:pPr>
              <w:rPr>
                <w:rFonts w:asciiTheme="minorHAnsi" w:hAnsiTheme="minorHAnsi"/>
              </w:rPr>
            </w:pPr>
            <w:r w:rsidRPr="00FD2F0C">
              <w:rPr>
                <w:rFonts w:asciiTheme="minorHAnsi" w:hAnsiTheme="minorHAnsi"/>
                <w:lang w:val="en-GB"/>
              </w:rPr>
              <w:t>Angle of Arrival</w:t>
            </w:r>
          </w:p>
        </w:tc>
      </w:tr>
      <w:tr w:rsidR="007366D4" w:rsidRPr="00FD2F0C" w14:paraId="5FA2E2B3" w14:textId="77777777" w:rsidTr="00745ECC">
        <w:tc>
          <w:tcPr>
            <w:tcW w:w="2423" w:type="dxa"/>
            <w:shd w:val="clear" w:color="auto" w:fill="C6D9F1" w:themeFill="text2" w:themeFillTint="33"/>
          </w:tcPr>
          <w:p w14:paraId="173D4FA0" w14:textId="77777777" w:rsidR="007366D4" w:rsidRPr="00FD2F0C" w:rsidRDefault="007366D4" w:rsidP="00745ECC">
            <w:pPr>
              <w:rPr>
                <w:rFonts w:asciiTheme="minorHAnsi" w:hAnsiTheme="minorHAnsi"/>
              </w:rPr>
            </w:pPr>
            <w:r w:rsidRPr="00FD2F0C">
              <w:rPr>
                <w:rFonts w:asciiTheme="minorHAnsi" w:hAnsiTheme="minorHAnsi"/>
              </w:rPr>
              <w:t>BDT</w:t>
            </w:r>
          </w:p>
        </w:tc>
        <w:tc>
          <w:tcPr>
            <w:tcW w:w="7206" w:type="dxa"/>
            <w:shd w:val="clear" w:color="auto" w:fill="C6D9F1" w:themeFill="text2" w:themeFillTint="33"/>
          </w:tcPr>
          <w:p w14:paraId="262474D5" w14:textId="77777777" w:rsidR="007366D4" w:rsidRPr="00FD2F0C" w:rsidRDefault="007366D4" w:rsidP="00745ECC">
            <w:pPr>
              <w:rPr>
                <w:rFonts w:asciiTheme="minorHAnsi" w:hAnsiTheme="minorHAnsi"/>
              </w:rPr>
            </w:pPr>
            <w:r w:rsidRPr="00FD2F0C">
              <w:rPr>
                <w:rFonts w:asciiTheme="minorHAnsi" w:hAnsiTheme="minorHAnsi"/>
              </w:rPr>
              <w:t>Telecommunication Development Bureau</w:t>
            </w:r>
          </w:p>
        </w:tc>
      </w:tr>
      <w:tr w:rsidR="007366D4" w:rsidRPr="00FD2F0C" w14:paraId="34C8480E" w14:textId="77777777" w:rsidTr="00745ECC">
        <w:tc>
          <w:tcPr>
            <w:tcW w:w="2423" w:type="dxa"/>
          </w:tcPr>
          <w:p w14:paraId="06DFC645" w14:textId="77777777" w:rsidR="007366D4" w:rsidRPr="00FD2F0C" w:rsidRDefault="007366D4" w:rsidP="00745ECC">
            <w:pPr>
              <w:rPr>
                <w:rFonts w:asciiTheme="minorHAnsi" w:hAnsiTheme="minorHAnsi"/>
              </w:rPr>
            </w:pPr>
            <w:r w:rsidRPr="00FD2F0C">
              <w:rPr>
                <w:rFonts w:asciiTheme="minorHAnsi" w:hAnsiTheme="minorHAnsi"/>
              </w:rPr>
              <w:t>BR</w:t>
            </w:r>
          </w:p>
        </w:tc>
        <w:tc>
          <w:tcPr>
            <w:tcW w:w="7206" w:type="dxa"/>
          </w:tcPr>
          <w:p w14:paraId="51C6055B" w14:textId="77777777" w:rsidR="007366D4" w:rsidRPr="00FD2F0C" w:rsidRDefault="007366D4" w:rsidP="00745ECC">
            <w:pPr>
              <w:rPr>
                <w:rFonts w:asciiTheme="minorHAnsi" w:hAnsiTheme="minorHAnsi"/>
              </w:rPr>
            </w:pPr>
            <w:r w:rsidRPr="00FD2F0C">
              <w:rPr>
                <w:rFonts w:asciiTheme="minorHAnsi" w:hAnsiTheme="minorHAnsi"/>
              </w:rPr>
              <w:t>Radiocommunication Bureau</w:t>
            </w:r>
          </w:p>
        </w:tc>
      </w:tr>
      <w:tr w:rsidR="007366D4" w:rsidRPr="00FD2F0C" w14:paraId="56440147" w14:textId="77777777" w:rsidTr="00745ECC">
        <w:tc>
          <w:tcPr>
            <w:tcW w:w="2423" w:type="dxa"/>
            <w:shd w:val="clear" w:color="auto" w:fill="C6D9F1" w:themeFill="text2" w:themeFillTint="33"/>
          </w:tcPr>
          <w:p w14:paraId="02810C51" w14:textId="77777777" w:rsidR="007366D4" w:rsidRPr="00FD2F0C" w:rsidRDefault="007366D4" w:rsidP="00745ECC">
            <w:pPr>
              <w:rPr>
                <w:rFonts w:asciiTheme="minorHAnsi" w:hAnsiTheme="minorHAnsi"/>
              </w:rPr>
            </w:pPr>
            <w:r w:rsidRPr="00FD2F0C">
              <w:rPr>
                <w:rFonts w:asciiTheme="minorHAnsi" w:hAnsiTheme="minorHAnsi"/>
              </w:rPr>
              <w:t>CAT</w:t>
            </w:r>
          </w:p>
        </w:tc>
        <w:tc>
          <w:tcPr>
            <w:tcW w:w="7206" w:type="dxa"/>
            <w:shd w:val="clear" w:color="auto" w:fill="C6D9F1" w:themeFill="text2" w:themeFillTint="33"/>
          </w:tcPr>
          <w:p w14:paraId="2BC240FD" w14:textId="77777777" w:rsidR="007366D4" w:rsidRPr="00FD2F0C" w:rsidRDefault="007366D4" w:rsidP="00745ECC">
            <w:pPr>
              <w:rPr>
                <w:rFonts w:asciiTheme="minorHAnsi" w:hAnsiTheme="minorHAnsi"/>
              </w:rPr>
            </w:pPr>
            <w:r w:rsidRPr="00FD2F0C">
              <w:rPr>
                <w:rFonts w:asciiTheme="minorHAnsi" w:hAnsiTheme="minorHAnsi"/>
                <w:lang w:val="en-GB"/>
              </w:rPr>
              <w:t>Computer-Aided Techniques</w:t>
            </w:r>
          </w:p>
        </w:tc>
      </w:tr>
      <w:tr w:rsidR="007366D4" w:rsidRPr="00573C99" w14:paraId="1149F418" w14:textId="77777777" w:rsidTr="00745ECC">
        <w:tc>
          <w:tcPr>
            <w:tcW w:w="2423" w:type="dxa"/>
          </w:tcPr>
          <w:p w14:paraId="09F1E9B2" w14:textId="77777777" w:rsidR="007366D4" w:rsidRPr="00FD2F0C" w:rsidRDefault="007366D4" w:rsidP="00745ECC">
            <w:pPr>
              <w:rPr>
                <w:rFonts w:asciiTheme="minorHAnsi" w:hAnsiTheme="minorHAnsi"/>
              </w:rPr>
            </w:pPr>
            <w:r w:rsidRPr="00FD2F0C">
              <w:rPr>
                <w:rFonts w:asciiTheme="minorHAnsi" w:hAnsiTheme="minorHAnsi"/>
              </w:rPr>
              <w:t>CEPT</w:t>
            </w:r>
          </w:p>
        </w:tc>
        <w:tc>
          <w:tcPr>
            <w:tcW w:w="7206" w:type="dxa"/>
          </w:tcPr>
          <w:p w14:paraId="209F1088" w14:textId="77777777" w:rsidR="007366D4" w:rsidRPr="00FD2F0C" w:rsidRDefault="007366D4" w:rsidP="00745ECC">
            <w:pPr>
              <w:rPr>
                <w:rFonts w:asciiTheme="minorHAnsi" w:hAnsiTheme="minorHAnsi"/>
                <w:lang w:val="en-GB"/>
              </w:rPr>
            </w:pPr>
            <w:r w:rsidRPr="00FD2F0C">
              <w:rPr>
                <w:rFonts w:asciiTheme="minorHAnsi" w:hAnsiTheme="minorHAnsi"/>
                <w:lang w:val="en-US"/>
              </w:rPr>
              <w:t>European Conference of Postal and Telecommunications Administrations</w:t>
            </w:r>
          </w:p>
        </w:tc>
      </w:tr>
      <w:tr w:rsidR="007366D4" w:rsidRPr="00FD2F0C" w14:paraId="4338DD2D" w14:textId="77777777" w:rsidTr="00745ECC">
        <w:tc>
          <w:tcPr>
            <w:tcW w:w="2423" w:type="dxa"/>
            <w:shd w:val="clear" w:color="auto" w:fill="C6D9F1" w:themeFill="text2" w:themeFillTint="33"/>
          </w:tcPr>
          <w:p w14:paraId="5D260985" w14:textId="77777777" w:rsidR="007366D4" w:rsidRPr="00FD2F0C" w:rsidRDefault="007366D4" w:rsidP="00745ECC">
            <w:pPr>
              <w:rPr>
                <w:rFonts w:asciiTheme="minorHAnsi" w:hAnsiTheme="minorHAnsi"/>
              </w:rPr>
            </w:pPr>
            <w:r w:rsidRPr="00FD2F0C">
              <w:rPr>
                <w:rFonts w:asciiTheme="minorHAnsi" w:hAnsiTheme="minorHAnsi"/>
              </w:rPr>
              <w:t>CPM</w:t>
            </w:r>
          </w:p>
        </w:tc>
        <w:tc>
          <w:tcPr>
            <w:tcW w:w="7206" w:type="dxa"/>
            <w:shd w:val="clear" w:color="auto" w:fill="C6D9F1" w:themeFill="text2" w:themeFillTint="33"/>
          </w:tcPr>
          <w:p w14:paraId="17481420" w14:textId="77777777" w:rsidR="007366D4" w:rsidRPr="00FD2F0C" w:rsidRDefault="007366D4" w:rsidP="00745ECC">
            <w:pPr>
              <w:rPr>
                <w:rFonts w:asciiTheme="minorHAnsi" w:hAnsiTheme="minorHAnsi"/>
              </w:rPr>
            </w:pPr>
            <w:r w:rsidRPr="00FD2F0C">
              <w:rPr>
                <w:rFonts w:asciiTheme="minorHAnsi" w:hAnsiTheme="minorHAnsi"/>
              </w:rPr>
              <w:t>Conference Preparatory Meeting</w:t>
            </w:r>
          </w:p>
        </w:tc>
      </w:tr>
      <w:tr w:rsidR="007366D4" w:rsidRPr="00FD2F0C" w14:paraId="00E061C0" w14:textId="77777777" w:rsidTr="00745ECC">
        <w:tc>
          <w:tcPr>
            <w:tcW w:w="2423" w:type="dxa"/>
          </w:tcPr>
          <w:p w14:paraId="7789E11C" w14:textId="77777777" w:rsidR="007366D4" w:rsidRPr="00FD2F0C" w:rsidRDefault="007366D4" w:rsidP="00745ECC">
            <w:pPr>
              <w:rPr>
                <w:rFonts w:asciiTheme="minorHAnsi" w:hAnsiTheme="minorHAnsi"/>
              </w:rPr>
            </w:pPr>
            <w:r w:rsidRPr="00FD2F0C">
              <w:rPr>
                <w:rFonts w:asciiTheme="minorHAnsi" w:hAnsiTheme="minorHAnsi"/>
              </w:rPr>
              <w:t>CR</w:t>
            </w:r>
          </w:p>
        </w:tc>
        <w:tc>
          <w:tcPr>
            <w:tcW w:w="7206" w:type="dxa"/>
          </w:tcPr>
          <w:p w14:paraId="7F8DE03C" w14:textId="77777777" w:rsidR="007366D4" w:rsidRPr="00FD2F0C" w:rsidRDefault="007366D4" w:rsidP="00745ECC">
            <w:pPr>
              <w:rPr>
                <w:rFonts w:asciiTheme="minorHAnsi" w:hAnsiTheme="minorHAnsi"/>
                <w:lang w:val="en-US"/>
              </w:rPr>
            </w:pPr>
            <w:r w:rsidRPr="00FD2F0C">
              <w:rPr>
                <w:rFonts w:asciiTheme="minorHAnsi" w:hAnsiTheme="minorHAnsi"/>
                <w:lang w:val="en-US"/>
              </w:rPr>
              <w:t>Cognitive Radio</w:t>
            </w:r>
          </w:p>
        </w:tc>
      </w:tr>
      <w:tr w:rsidR="007366D4" w:rsidRPr="00FD2F0C" w14:paraId="312D3118" w14:textId="77777777" w:rsidTr="00745ECC">
        <w:tc>
          <w:tcPr>
            <w:tcW w:w="2423" w:type="dxa"/>
            <w:shd w:val="clear" w:color="auto" w:fill="C6D9F1" w:themeFill="text2" w:themeFillTint="33"/>
          </w:tcPr>
          <w:p w14:paraId="3B12B148" w14:textId="77777777" w:rsidR="007366D4" w:rsidRPr="00FD2F0C" w:rsidRDefault="007366D4" w:rsidP="00745ECC">
            <w:pPr>
              <w:rPr>
                <w:rFonts w:asciiTheme="minorHAnsi" w:hAnsiTheme="minorHAnsi"/>
              </w:rPr>
            </w:pPr>
            <w:r w:rsidRPr="00FD2F0C">
              <w:rPr>
                <w:rFonts w:asciiTheme="minorHAnsi" w:hAnsiTheme="minorHAnsi"/>
              </w:rPr>
              <w:t>CRS</w:t>
            </w:r>
          </w:p>
        </w:tc>
        <w:tc>
          <w:tcPr>
            <w:tcW w:w="7206" w:type="dxa"/>
            <w:shd w:val="clear" w:color="auto" w:fill="C6D9F1" w:themeFill="text2" w:themeFillTint="33"/>
          </w:tcPr>
          <w:p w14:paraId="5727E947" w14:textId="77777777" w:rsidR="007366D4" w:rsidRPr="00FD2F0C" w:rsidRDefault="007366D4" w:rsidP="00745ECC">
            <w:pPr>
              <w:tabs>
                <w:tab w:val="left" w:pos="1171"/>
              </w:tabs>
              <w:rPr>
                <w:rFonts w:asciiTheme="minorHAnsi" w:hAnsiTheme="minorHAnsi"/>
                <w:lang w:val="en-US"/>
              </w:rPr>
            </w:pPr>
            <w:r w:rsidRPr="00FD2F0C">
              <w:rPr>
                <w:rFonts w:asciiTheme="minorHAnsi" w:hAnsiTheme="minorHAnsi"/>
                <w:lang w:val="en-US"/>
              </w:rPr>
              <w:t>Cognitive Radio Systems</w:t>
            </w:r>
          </w:p>
        </w:tc>
      </w:tr>
      <w:tr w:rsidR="007366D4" w:rsidRPr="00FD2F0C" w14:paraId="2F2BEFE6" w14:textId="77777777" w:rsidTr="00745ECC">
        <w:tc>
          <w:tcPr>
            <w:tcW w:w="2423" w:type="dxa"/>
          </w:tcPr>
          <w:p w14:paraId="2DC13991" w14:textId="77777777" w:rsidR="007366D4" w:rsidRPr="00FD2F0C" w:rsidRDefault="007366D4" w:rsidP="00745ECC">
            <w:pPr>
              <w:rPr>
                <w:rFonts w:asciiTheme="minorHAnsi" w:hAnsiTheme="minorHAnsi"/>
              </w:rPr>
            </w:pPr>
            <w:r w:rsidRPr="00FD2F0C">
              <w:rPr>
                <w:rFonts w:asciiTheme="minorHAnsi" w:hAnsiTheme="minorHAnsi"/>
              </w:rPr>
              <w:t>DCF</w:t>
            </w:r>
          </w:p>
        </w:tc>
        <w:tc>
          <w:tcPr>
            <w:tcW w:w="7206" w:type="dxa"/>
          </w:tcPr>
          <w:p w14:paraId="68CA2CF7" w14:textId="77777777" w:rsidR="007366D4" w:rsidRPr="00FD2F0C" w:rsidRDefault="007366D4" w:rsidP="00745ECC">
            <w:pPr>
              <w:tabs>
                <w:tab w:val="left" w:pos="1171"/>
              </w:tabs>
              <w:rPr>
                <w:rFonts w:asciiTheme="minorHAnsi" w:hAnsiTheme="minorHAnsi"/>
                <w:lang w:val="en-US"/>
              </w:rPr>
            </w:pPr>
            <w:r w:rsidRPr="00FD2F0C">
              <w:rPr>
                <w:rFonts w:asciiTheme="minorHAnsi" w:hAnsiTheme="minorHAnsi"/>
                <w:lang w:val="en-GB"/>
              </w:rPr>
              <w:t>Discounted Cash Flow</w:t>
            </w:r>
          </w:p>
        </w:tc>
      </w:tr>
      <w:tr w:rsidR="007366D4" w:rsidRPr="00FD2F0C" w14:paraId="062DE7E1" w14:textId="77777777" w:rsidTr="00745ECC">
        <w:tc>
          <w:tcPr>
            <w:tcW w:w="2423" w:type="dxa"/>
            <w:shd w:val="clear" w:color="auto" w:fill="C6D9F1" w:themeFill="text2" w:themeFillTint="33"/>
          </w:tcPr>
          <w:p w14:paraId="439F212C" w14:textId="77777777" w:rsidR="007366D4" w:rsidRPr="00FD2F0C" w:rsidRDefault="007366D4" w:rsidP="00745ECC">
            <w:pPr>
              <w:rPr>
                <w:rFonts w:asciiTheme="minorHAnsi" w:hAnsiTheme="minorHAnsi"/>
              </w:rPr>
            </w:pPr>
            <w:r w:rsidRPr="00FD2F0C">
              <w:rPr>
                <w:rFonts w:asciiTheme="minorHAnsi" w:hAnsiTheme="minorHAnsi"/>
              </w:rPr>
              <w:t>DF</w:t>
            </w:r>
          </w:p>
        </w:tc>
        <w:tc>
          <w:tcPr>
            <w:tcW w:w="7206" w:type="dxa"/>
            <w:shd w:val="clear" w:color="auto" w:fill="C6D9F1" w:themeFill="text2" w:themeFillTint="33"/>
          </w:tcPr>
          <w:p w14:paraId="4AC86DED" w14:textId="77777777" w:rsidR="007366D4" w:rsidRPr="00FD2F0C" w:rsidRDefault="007366D4" w:rsidP="00745ECC">
            <w:pPr>
              <w:tabs>
                <w:tab w:val="left" w:pos="1171"/>
              </w:tabs>
              <w:rPr>
                <w:rFonts w:asciiTheme="minorHAnsi" w:hAnsiTheme="minorHAnsi"/>
                <w:lang w:val="en-GB"/>
              </w:rPr>
            </w:pPr>
            <w:r w:rsidRPr="00FD2F0C">
              <w:rPr>
                <w:rFonts w:asciiTheme="minorHAnsi" w:hAnsiTheme="minorHAnsi"/>
              </w:rPr>
              <w:t>Direction Finding</w:t>
            </w:r>
          </w:p>
        </w:tc>
      </w:tr>
      <w:tr w:rsidR="007366D4" w:rsidRPr="00FD2F0C" w14:paraId="0EE39589" w14:textId="77777777" w:rsidTr="00745ECC">
        <w:tc>
          <w:tcPr>
            <w:tcW w:w="2423" w:type="dxa"/>
          </w:tcPr>
          <w:p w14:paraId="2A2560DB" w14:textId="77777777" w:rsidR="007366D4" w:rsidRPr="00FD2F0C" w:rsidRDefault="007366D4" w:rsidP="00745ECC">
            <w:pPr>
              <w:rPr>
                <w:rFonts w:asciiTheme="minorHAnsi" w:hAnsiTheme="minorHAnsi"/>
              </w:rPr>
            </w:pPr>
            <w:r w:rsidRPr="00FD2F0C">
              <w:rPr>
                <w:rFonts w:asciiTheme="minorHAnsi" w:hAnsiTheme="minorHAnsi"/>
              </w:rPr>
              <w:t>DFS</w:t>
            </w:r>
          </w:p>
        </w:tc>
        <w:tc>
          <w:tcPr>
            <w:tcW w:w="7206" w:type="dxa"/>
          </w:tcPr>
          <w:p w14:paraId="77017B49" w14:textId="77777777" w:rsidR="007366D4" w:rsidRPr="00FD2F0C" w:rsidRDefault="007366D4" w:rsidP="00745ECC">
            <w:pPr>
              <w:tabs>
                <w:tab w:val="left" w:pos="1171"/>
              </w:tabs>
              <w:rPr>
                <w:rFonts w:asciiTheme="minorHAnsi" w:hAnsiTheme="minorHAnsi"/>
                <w:lang w:val="en-US"/>
              </w:rPr>
            </w:pPr>
            <w:r w:rsidRPr="00FD2F0C" w:rsidDel="00443FA6">
              <w:rPr>
                <w:rFonts w:asciiTheme="minorHAnsi" w:hAnsiTheme="minorHAnsi"/>
                <w:lang w:val="en-GB"/>
              </w:rPr>
              <w:t>Dynamic Frequency Selection</w:t>
            </w:r>
          </w:p>
        </w:tc>
      </w:tr>
      <w:tr w:rsidR="007366D4" w:rsidRPr="00FD2F0C" w14:paraId="749EB086" w14:textId="77777777" w:rsidTr="00745ECC">
        <w:tc>
          <w:tcPr>
            <w:tcW w:w="2423" w:type="dxa"/>
            <w:shd w:val="clear" w:color="auto" w:fill="C6D9F1" w:themeFill="text2" w:themeFillTint="33"/>
          </w:tcPr>
          <w:p w14:paraId="4BEC5F8B" w14:textId="708FB9AC" w:rsidR="007366D4" w:rsidRPr="00FD2F0C" w:rsidRDefault="007366D4" w:rsidP="00745ECC">
            <w:pPr>
              <w:rPr>
                <w:rFonts w:asciiTheme="minorHAnsi" w:hAnsiTheme="minorHAnsi"/>
              </w:rPr>
            </w:pPr>
          </w:p>
        </w:tc>
        <w:tc>
          <w:tcPr>
            <w:tcW w:w="7206" w:type="dxa"/>
            <w:shd w:val="clear" w:color="auto" w:fill="C6D9F1" w:themeFill="text2" w:themeFillTint="33"/>
          </w:tcPr>
          <w:p w14:paraId="461A28DE" w14:textId="3BDDAE65" w:rsidR="007366D4" w:rsidRPr="00FD2F0C" w:rsidRDefault="007366D4" w:rsidP="00745ECC">
            <w:pPr>
              <w:rPr>
                <w:rFonts w:asciiTheme="minorHAnsi" w:hAnsiTheme="minorHAnsi"/>
                <w:lang w:val="en-US"/>
              </w:rPr>
            </w:pPr>
          </w:p>
        </w:tc>
      </w:tr>
      <w:tr w:rsidR="007366D4" w:rsidRPr="00FD2F0C" w14:paraId="5E511F36" w14:textId="77777777" w:rsidTr="00745ECC">
        <w:tc>
          <w:tcPr>
            <w:tcW w:w="2423" w:type="dxa"/>
          </w:tcPr>
          <w:p w14:paraId="06E709C2" w14:textId="77777777" w:rsidR="007366D4" w:rsidRPr="00FD2F0C" w:rsidRDefault="007366D4" w:rsidP="00745ECC">
            <w:pPr>
              <w:rPr>
                <w:rFonts w:asciiTheme="minorHAnsi" w:hAnsiTheme="minorHAnsi"/>
              </w:rPr>
            </w:pPr>
            <w:r w:rsidRPr="00FD2F0C">
              <w:rPr>
                <w:rFonts w:asciiTheme="minorHAnsi" w:hAnsiTheme="minorHAnsi"/>
              </w:rPr>
              <w:t>DTT</w:t>
            </w:r>
          </w:p>
        </w:tc>
        <w:tc>
          <w:tcPr>
            <w:tcW w:w="7206" w:type="dxa"/>
          </w:tcPr>
          <w:p w14:paraId="686DFB5D" w14:textId="77777777" w:rsidR="007366D4" w:rsidRPr="00FD2F0C" w:rsidRDefault="007366D4" w:rsidP="00745ECC">
            <w:pPr>
              <w:rPr>
                <w:rFonts w:asciiTheme="minorHAnsi" w:hAnsiTheme="minorHAnsi"/>
                <w:szCs w:val="24"/>
                <w:lang w:val="en-GB"/>
              </w:rPr>
            </w:pPr>
            <w:r w:rsidRPr="00FD2F0C">
              <w:rPr>
                <w:rFonts w:asciiTheme="minorHAnsi" w:hAnsiTheme="minorHAnsi"/>
                <w:szCs w:val="24"/>
                <w:lang w:val="en-GB"/>
              </w:rPr>
              <w:t>Digital Terrestrial Television</w:t>
            </w:r>
          </w:p>
        </w:tc>
      </w:tr>
      <w:tr w:rsidR="007366D4" w:rsidRPr="00FD2F0C" w14:paraId="7E646F25" w14:textId="77777777" w:rsidTr="00745ECC">
        <w:tc>
          <w:tcPr>
            <w:tcW w:w="2423" w:type="dxa"/>
            <w:shd w:val="clear" w:color="auto" w:fill="C6D9F1" w:themeFill="text2" w:themeFillTint="33"/>
          </w:tcPr>
          <w:p w14:paraId="69274131" w14:textId="77777777" w:rsidR="007366D4" w:rsidRPr="00FD2F0C" w:rsidRDefault="007366D4" w:rsidP="00745ECC">
            <w:pPr>
              <w:rPr>
                <w:rFonts w:asciiTheme="minorHAnsi" w:hAnsiTheme="minorHAnsi"/>
              </w:rPr>
            </w:pPr>
            <w:r w:rsidRPr="00FD2F0C">
              <w:rPr>
                <w:rFonts w:asciiTheme="minorHAnsi" w:hAnsiTheme="minorHAnsi"/>
              </w:rPr>
              <w:t>EESS</w:t>
            </w:r>
          </w:p>
        </w:tc>
        <w:tc>
          <w:tcPr>
            <w:tcW w:w="7206" w:type="dxa"/>
            <w:shd w:val="clear" w:color="auto" w:fill="C6D9F1" w:themeFill="text2" w:themeFillTint="33"/>
          </w:tcPr>
          <w:p w14:paraId="21FCE831" w14:textId="77777777" w:rsidR="007366D4" w:rsidRPr="00FD2F0C" w:rsidRDefault="007366D4" w:rsidP="00745ECC">
            <w:pPr>
              <w:rPr>
                <w:rFonts w:asciiTheme="minorHAnsi" w:hAnsiTheme="minorHAnsi"/>
                <w:szCs w:val="24"/>
                <w:lang w:val="en-GB"/>
              </w:rPr>
            </w:pPr>
            <w:r w:rsidRPr="00FD2F0C">
              <w:rPr>
                <w:rFonts w:asciiTheme="minorHAnsi" w:hAnsiTheme="minorHAnsi"/>
                <w:szCs w:val="24"/>
                <w:lang w:val="en-GB"/>
              </w:rPr>
              <w:t>Earth Exploration-Satellite Service</w:t>
            </w:r>
          </w:p>
        </w:tc>
      </w:tr>
      <w:tr w:rsidR="007366D4" w:rsidRPr="00FD2F0C" w14:paraId="71A19F3B" w14:textId="77777777" w:rsidTr="00745ECC">
        <w:tc>
          <w:tcPr>
            <w:tcW w:w="2423" w:type="dxa"/>
          </w:tcPr>
          <w:p w14:paraId="6E08EC5A" w14:textId="77777777" w:rsidR="007366D4" w:rsidRPr="00FD2F0C" w:rsidRDefault="007366D4" w:rsidP="00745ECC">
            <w:pPr>
              <w:rPr>
                <w:rFonts w:asciiTheme="minorHAnsi" w:hAnsiTheme="minorHAnsi"/>
              </w:rPr>
            </w:pPr>
            <w:r w:rsidRPr="00FD2F0C">
              <w:rPr>
                <w:rFonts w:asciiTheme="minorHAnsi" w:hAnsiTheme="minorHAnsi"/>
              </w:rPr>
              <w:t>EFIS</w:t>
            </w:r>
          </w:p>
        </w:tc>
        <w:tc>
          <w:tcPr>
            <w:tcW w:w="7206" w:type="dxa"/>
          </w:tcPr>
          <w:p w14:paraId="67603A18" w14:textId="77777777" w:rsidR="007366D4" w:rsidRPr="00FD2F0C" w:rsidRDefault="007366D4" w:rsidP="00745ECC">
            <w:pPr>
              <w:rPr>
                <w:rFonts w:asciiTheme="minorHAnsi" w:hAnsiTheme="minorHAnsi"/>
                <w:szCs w:val="24"/>
                <w:lang w:val="en-GB"/>
              </w:rPr>
            </w:pPr>
            <w:r w:rsidRPr="00FD2F0C">
              <w:rPr>
                <w:rFonts w:asciiTheme="minorHAnsi" w:hAnsiTheme="minorHAnsi"/>
                <w:lang w:val="en-GB"/>
              </w:rPr>
              <w:t>ECO Frequency Information System</w:t>
            </w:r>
          </w:p>
        </w:tc>
      </w:tr>
      <w:tr w:rsidR="007366D4" w:rsidRPr="00573C99" w14:paraId="49E6D252" w14:textId="77777777" w:rsidTr="00745ECC">
        <w:tc>
          <w:tcPr>
            <w:tcW w:w="2423" w:type="dxa"/>
            <w:shd w:val="clear" w:color="auto" w:fill="C6D9F1" w:themeFill="text2" w:themeFillTint="33"/>
          </w:tcPr>
          <w:p w14:paraId="60668594" w14:textId="77777777" w:rsidR="007366D4" w:rsidRPr="00FD2F0C" w:rsidRDefault="007366D4" w:rsidP="00745ECC">
            <w:pPr>
              <w:rPr>
                <w:rFonts w:asciiTheme="minorHAnsi" w:hAnsiTheme="minorHAnsi"/>
              </w:rPr>
            </w:pPr>
            <w:r w:rsidRPr="00FD2F0C">
              <w:rPr>
                <w:rFonts w:asciiTheme="minorHAnsi" w:hAnsiTheme="minorHAnsi"/>
              </w:rPr>
              <w:t>EPOCA</w:t>
            </w:r>
          </w:p>
        </w:tc>
        <w:tc>
          <w:tcPr>
            <w:tcW w:w="7206" w:type="dxa"/>
            <w:shd w:val="clear" w:color="auto" w:fill="C6D9F1" w:themeFill="text2" w:themeFillTint="33"/>
          </w:tcPr>
          <w:p w14:paraId="581F7560" w14:textId="77777777" w:rsidR="007366D4" w:rsidRPr="00FD2F0C" w:rsidRDefault="007366D4" w:rsidP="00745ECC">
            <w:pPr>
              <w:rPr>
                <w:rFonts w:asciiTheme="minorHAnsi" w:hAnsiTheme="minorHAnsi"/>
                <w:lang w:val="en-GB"/>
              </w:rPr>
            </w:pPr>
            <w:r w:rsidRPr="00FD2F0C">
              <w:rPr>
                <w:rFonts w:asciiTheme="minorHAnsi" w:hAnsiTheme="minorHAnsi"/>
                <w:lang w:val="en-GB"/>
              </w:rPr>
              <w:t>Electronic and Postal Communications Act (Tanzania)</w:t>
            </w:r>
          </w:p>
        </w:tc>
      </w:tr>
      <w:tr w:rsidR="007366D4" w:rsidRPr="00FD2F0C" w14:paraId="08B50FF0" w14:textId="77777777" w:rsidTr="00745ECC">
        <w:tc>
          <w:tcPr>
            <w:tcW w:w="2423" w:type="dxa"/>
          </w:tcPr>
          <w:p w14:paraId="371F6397" w14:textId="77777777" w:rsidR="007366D4" w:rsidRPr="00FD2F0C" w:rsidRDefault="007366D4" w:rsidP="00745ECC">
            <w:pPr>
              <w:rPr>
                <w:rFonts w:asciiTheme="minorHAnsi" w:hAnsiTheme="minorHAnsi"/>
              </w:rPr>
            </w:pPr>
            <w:r w:rsidRPr="00FD2F0C">
              <w:rPr>
                <w:rFonts w:asciiTheme="minorHAnsi" w:hAnsiTheme="minorHAnsi"/>
              </w:rPr>
              <w:t>ESIM</w:t>
            </w:r>
          </w:p>
        </w:tc>
        <w:tc>
          <w:tcPr>
            <w:tcW w:w="7206" w:type="dxa"/>
          </w:tcPr>
          <w:p w14:paraId="4A3C5C7D" w14:textId="77777777" w:rsidR="007366D4" w:rsidRPr="00FD2F0C" w:rsidRDefault="007366D4" w:rsidP="00745ECC">
            <w:pPr>
              <w:rPr>
                <w:rFonts w:asciiTheme="minorHAnsi" w:hAnsiTheme="minorHAnsi"/>
                <w:szCs w:val="24"/>
                <w:lang w:val="en-GB"/>
              </w:rPr>
            </w:pPr>
            <w:r w:rsidRPr="00FD2F0C">
              <w:rPr>
                <w:rFonts w:asciiTheme="minorHAnsi" w:hAnsiTheme="minorHAnsi"/>
                <w:lang w:val="en-US"/>
              </w:rPr>
              <w:t>Earth Station in Motion</w:t>
            </w:r>
          </w:p>
        </w:tc>
      </w:tr>
      <w:tr w:rsidR="007366D4" w:rsidRPr="00573C99" w14:paraId="78DDA997" w14:textId="77777777" w:rsidTr="00745ECC">
        <w:tc>
          <w:tcPr>
            <w:tcW w:w="2423" w:type="dxa"/>
            <w:shd w:val="clear" w:color="auto" w:fill="C6D9F1" w:themeFill="text2" w:themeFillTint="33"/>
          </w:tcPr>
          <w:p w14:paraId="25312C93" w14:textId="77777777" w:rsidR="007366D4" w:rsidRPr="00FD2F0C" w:rsidRDefault="007366D4" w:rsidP="00745ECC">
            <w:pPr>
              <w:rPr>
                <w:rFonts w:asciiTheme="minorHAnsi" w:hAnsiTheme="minorHAnsi"/>
              </w:rPr>
            </w:pPr>
            <w:r w:rsidRPr="00FD2F0C">
              <w:rPr>
                <w:rFonts w:asciiTheme="minorHAnsi" w:hAnsiTheme="minorHAnsi"/>
              </w:rPr>
              <w:t>ESOMP</w:t>
            </w:r>
          </w:p>
        </w:tc>
        <w:tc>
          <w:tcPr>
            <w:tcW w:w="7206" w:type="dxa"/>
            <w:shd w:val="clear" w:color="auto" w:fill="C6D9F1" w:themeFill="text2" w:themeFillTint="33"/>
          </w:tcPr>
          <w:p w14:paraId="6A87DAB1" w14:textId="77777777" w:rsidR="007366D4" w:rsidRPr="00FD2F0C" w:rsidRDefault="007366D4" w:rsidP="00745ECC">
            <w:pPr>
              <w:rPr>
                <w:rFonts w:asciiTheme="minorHAnsi" w:hAnsiTheme="minorHAnsi"/>
                <w:b/>
                <w:bCs/>
                <w:lang w:val="en-US"/>
              </w:rPr>
            </w:pPr>
            <w:r w:rsidRPr="00FD2F0C">
              <w:rPr>
                <w:rFonts w:asciiTheme="minorHAnsi" w:hAnsiTheme="minorHAnsi"/>
                <w:lang w:val="en-GB"/>
              </w:rPr>
              <w:t>Earth Stations on Mobile Platforms</w:t>
            </w:r>
          </w:p>
        </w:tc>
      </w:tr>
      <w:tr w:rsidR="007366D4" w:rsidRPr="00573C99" w14:paraId="78AA25A3" w14:textId="77777777" w:rsidTr="00745ECC">
        <w:tc>
          <w:tcPr>
            <w:tcW w:w="2423" w:type="dxa"/>
          </w:tcPr>
          <w:p w14:paraId="6ABFF845" w14:textId="77777777" w:rsidR="007366D4" w:rsidRPr="00FD2F0C" w:rsidRDefault="007366D4" w:rsidP="00745ECC">
            <w:pPr>
              <w:rPr>
                <w:rFonts w:asciiTheme="minorHAnsi" w:hAnsiTheme="minorHAnsi"/>
              </w:rPr>
            </w:pPr>
            <w:r w:rsidRPr="00FD2F0C">
              <w:rPr>
                <w:rFonts w:asciiTheme="minorHAnsi" w:hAnsiTheme="minorHAnsi"/>
              </w:rPr>
              <w:t>ESSS</w:t>
            </w:r>
          </w:p>
        </w:tc>
        <w:tc>
          <w:tcPr>
            <w:tcW w:w="7206" w:type="dxa"/>
          </w:tcPr>
          <w:p w14:paraId="61A456FD" w14:textId="77777777" w:rsidR="007366D4" w:rsidRPr="00FD2F0C" w:rsidRDefault="007366D4" w:rsidP="00745ECC">
            <w:pPr>
              <w:rPr>
                <w:rFonts w:asciiTheme="minorHAnsi" w:hAnsiTheme="minorHAnsi"/>
                <w:lang w:val="en-US"/>
              </w:rPr>
            </w:pPr>
            <w:r w:rsidRPr="00FD2F0C">
              <w:rPr>
                <w:rFonts w:asciiTheme="minorHAnsi" w:hAnsiTheme="minorHAnsi" w:cstheme="minorHAnsi"/>
                <w:lang w:val="en-GB"/>
              </w:rPr>
              <w:t>Earth Stations of Satellite Systems</w:t>
            </w:r>
          </w:p>
        </w:tc>
      </w:tr>
      <w:tr w:rsidR="007366D4" w:rsidRPr="00FD2F0C" w14:paraId="1FEA3559" w14:textId="77777777" w:rsidTr="00745ECC">
        <w:tc>
          <w:tcPr>
            <w:tcW w:w="2423" w:type="dxa"/>
            <w:shd w:val="clear" w:color="auto" w:fill="C6D9F1" w:themeFill="text2" w:themeFillTint="33"/>
          </w:tcPr>
          <w:p w14:paraId="3272D67A" w14:textId="77777777" w:rsidR="007366D4" w:rsidRPr="00FD2F0C" w:rsidRDefault="007366D4" w:rsidP="00745ECC">
            <w:pPr>
              <w:rPr>
                <w:rFonts w:asciiTheme="minorHAnsi" w:hAnsiTheme="minorHAnsi"/>
              </w:rPr>
            </w:pPr>
            <w:r w:rsidRPr="00FD2F0C">
              <w:rPr>
                <w:rFonts w:asciiTheme="minorHAnsi" w:hAnsiTheme="minorHAnsi"/>
              </w:rPr>
              <w:t>FCC</w:t>
            </w:r>
          </w:p>
        </w:tc>
        <w:tc>
          <w:tcPr>
            <w:tcW w:w="7206" w:type="dxa"/>
            <w:shd w:val="clear" w:color="auto" w:fill="C6D9F1" w:themeFill="text2" w:themeFillTint="33"/>
          </w:tcPr>
          <w:p w14:paraId="7A9ACE53" w14:textId="77777777" w:rsidR="007366D4" w:rsidRPr="00FD2F0C" w:rsidRDefault="007366D4" w:rsidP="00745ECC">
            <w:pPr>
              <w:rPr>
                <w:rFonts w:asciiTheme="minorHAnsi" w:hAnsiTheme="minorHAnsi"/>
                <w:lang w:val="en-US"/>
              </w:rPr>
            </w:pPr>
            <w:r w:rsidRPr="00FD2F0C">
              <w:rPr>
                <w:rFonts w:asciiTheme="minorHAnsi" w:hAnsiTheme="minorHAnsi"/>
              </w:rPr>
              <w:t>Federal Communications Commission</w:t>
            </w:r>
          </w:p>
        </w:tc>
      </w:tr>
      <w:tr w:rsidR="007366D4" w:rsidRPr="00FD2F0C" w14:paraId="510D9580" w14:textId="77777777" w:rsidTr="00745ECC">
        <w:tc>
          <w:tcPr>
            <w:tcW w:w="2423" w:type="dxa"/>
          </w:tcPr>
          <w:p w14:paraId="770D6016" w14:textId="77777777" w:rsidR="007366D4" w:rsidRPr="00FD2F0C" w:rsidRDefault="007366D4" w:rsidP="00745ECC">
            <w:pPr>
              <w:rPr>
                <w:rFonts w:asciiTheme="minorHAnsi" w:hAnsiTheme="minorHAnsi"/>
              </w:rPr>
            </w:pPr>
            <w:r w:rsidRPr="00FD2F0C">
              <w:rPr>
                <w:rFonts w:asciiTheme="minorHAnsi" w:hAnsiTheme="minorHAnsi"/>
              </w:rPr>
              <w:t>FRS</w:t>
            </w:r>
          </w:p>
        </w:tc>
        <w:tc>
          <w:tcPr>
            <w:tcW w:w="7206" w:type="dxa"/>
          </w:tcPr>
          <w:p w14:paraId="572C1424" w14:textId="77777777" w:rsidR="007366D4" w:rsidRPr="00FD2F0C" w:rsidRDefault="007366D4" w:rsidP="00745ECC">
            <w:pPr>
              <w:rPr>
                <w:rFonts w:asciiTheme="minorHAnsi" w:hAnsiTheme="minorHAnsi"/>
              </w:rPr>
            </w:pPr>
            <w:r w:rsidRPr="00FD2F0C">
              <w:rPr>
                <w:rFonts w:asciiTheme="minorHAnsi" w:hAnsiTheme="minorHAnsi"/>
              </w:rPr>
              <w:t>Family Radio Service</w:t>
            </w:r>
          </w:p>
        </w:tc>
      </w:tr>
      <w:tr w:rsidR="007366D4" w:rsidRPr="00FD2F0C" w14:paraId="1757147B" w14:textId="77777777" w:rsidTr="00745ECC">
        <w:tc>
          <w:tcPr>
            <w:tcW w:w="2423" w:type="dxa"/>
            <w:shd w:val="clear" w:color="auto" w:fill="C6D9F1" w:themeFill="text2" w:themeFillTint="33"/>
          </w:tcPr>
          <w:p w14:paraId="112D22F9" w14:textId="77777777" w:rsidR="007366D4" w:rsidRPr="00FD2F0C" w:rsidRDefault="007366D4" w:rsidP="00745ECC">
            <w:pPr>
              <w:rPr>
                <w:rFonts w:asciiTheme="minorHAnsi" w:hAnsiTheme="minorHAnsi"/>
              </w:rPr>
            </w:pPr>
            <w:r w:rsidRPr="00FD2F0C">
              <w:rPr>
                <w:rFonts w:asciiTheme="minorHAnsi" w:hAnsiTheme="minorHAnsi"/>
              </w:rPr>
              <w:t>FSS</w:t>
            </w:r>
          </w:p>
        </w:tc>
        <w:tc>
          <w:tcPr>
            <w:tcW w:w="7206" w:type="dxa"/>
            <w:shd w:val="clear" w:color="auto" w:fill="C6D9F1" w:themeFill="text2" w:themeFillTint="33"/>
          </w:tcPr>
          <w:p w14:paraId="0BA36B46" w14:textId="77777777" w:rsidR="007366D4" w:rsidRPr="00FD2F0C" w:rsidRDefault="007366D4" w:rsidP="00745ECC">
            <w:pPr>
              <w:rPr>
                <w:rFonts w:asciiTheme="minorHAnsi" w:hAnsiTheme="minorHAnsi"/>
                <w:lang w:val="en-US"/>
              </w:rPr>
            </w:pPr>
            <w:r w:rsidRPr="00FD2F0C">
              <w:rPr>
                <w:rFonts w:asciiTheme="minorHAnsi" w:hAnsiTheme="minorHAnsi"/>
                <w:lang w:val="en-US"/>
              </w:rPr>
              <w:t>Fixed Satellite Service</w:t>
            </w:r>
          </w:p>
        </w:tc>
      </w:tr>
      <w:tr w:rsidR="007366D4" w:rsidRPr="00FD2F0C" w14:paraId="14B4E781" w14:textId="77777777" w:rsidTr="00745ECC">
        <w:tc>
          <w:tcPr>
            <w:tcW w:w="2423" w:type="dxa"/>
          </w:tcPr>
          <w:p w14:paraId="02B96111" w14:textId="77777777" w:rsidR="007366D4" w:rsidRPr="00FD2F0C" w:rsidRDefault="007366D4" w:rsidP="00745ECC">
            <w:pPr>
              <w:rPr>
                <w:rFonts w:asciiTheme="minorHAnsi" w:hAnsiTheme="minorHAnsi"/>
              </w:rPr>
            </w:pPr>
            <w:r w:rsidRPr="00FD2F0C">
              <w:rPr>
                <w:rFonts w:asciiTheme="minorHAnsi" w:hAnsiTheme="minorHAnsi"/>
              </w:rPr>
              <w:t>GDP</w:t>
            </w:r>
          </w:p>
        </w:tc>
        <w:tc>
          <w:tcPr>
            <w:tcW w:w="7206" w:type="dxa"/>
          </w:tcPr>
          <w:p w14:paraId="1CCD8D5D" w14:textId="77777777" w:rsidR="007366D4" w:rsidRPr="00FD2F0C" w:rsidRDefault="007366D4" w:rsidP="00745ECC">
            <w:pPr>
              <w:rPr>
                <w:rFonts w:asciiTheme="minorHAnsi" w:hAnsiTheme="minorHAnsi"/>
                <w:lang w:val="en-US"/>
              </w:rPr>
            </w:pPr>
            <w:r w:rsidRPr="00FD2F0C">
              <w:rPr>
                <w:rFonts w:asciiTheme="minorHAnsi" w:hAnsiTheme="minorHAnsi"/>
                <w:lang w:val="en-US"/>
              </w:rPr>
              <w:t>Gross Domestic Product</w:t>
            </w:r>
          </w:p>
        </w:tc>
      </w:tr>
      <w:tr w:rsidR="007366D4" w:rsidRPr="00FD2F0C" w14:paraId="662ADBE8" w14:textId="77777777" w:rsidTr="00745ECC">
        <w:tc>
          <w:tcPr>
            <w:tcW w:w="2423" w:type="dxa"/>
            <w:shd w:val="clear" w:color="auto" w:fill="C6D9F1" w:themeFill="text2" w:themeFillTint="33"/>
          </w:tcPr>
          <w:p w14:paraId="7B220B9D" w14:textId="77777777" w:rsidR="007366D4" w:rsidRPr="00FD2F0C" w:rsidRDefault="007366D4" w:rsidP="00745ECC">
            <w:pPr>
              <w:rPr>
                <w:rFonts w:asciiTheme="minorHAnsi" w:hAnsiTheme="minorHAnsi"/>
              </w:rPr>
            </w:pPr>
            <w:r w:rsidRPr="00FD2F0C">
              <w:rPr>
                <w:rFonts w:asciiTheme="minorHAnsi" w:hAnsiTheme="minorHAnsi"/>
              </w:rPr>
              <w:t>GHz</w:t>
            </w:r>
          </w:p>
        </w:tc>
        <w:tc>
          <w:tcPr>
            <w:tcW w:w="7206" w:type="dxa"/>
            <w:shd w:val="clear" w:color="auto" w:fill="C6D9F1" w:themeFill="text2" w:themeFillTint="33"/>
          </w:tcPr>
          <w:p w14:paraId="64247860" w14:textId="77777777" w:rsidR="007366D4" w:rsidRPr="00FD2F0C" w:rsidRDefault="007366D4" w:rsidP="00745ECC">
            <w:pPr>
              <w:rPr>
                <w:rFonts w:asciiTheme="minorHAnsi" w:hAnsiTheme="minorHAnsi"/>
                <w:lang w:val="en-US"/>
              </w:rPr>
            </w:pPr>
            <w:r w:rsidRPr="00FD2F0C">
              <w:rPr>
                <w:rFonts w:asciiTheme="minorHAnsi" w:hAnsiTheme="minorHAnsi"/>
                <w:lang w:val="en-US"/>
              </w:rPr>
              <w:t>Gigahertz</w:t>
            </w:r>
          </w:p>
        </w:tc>
      </w:tr>
      <w:tr w:rsidR="007366D4" w:rsidRPr="00FD2F0C" w14:paraId="6EA56EA3" w14:textId="77777777" w:rsidTr="00745ECC">
        <w:tc>
          <w:tcPr>
            <w:tcW w:w="2423" w:type="dxa"/>
          </w:tcPr>
          <w:p w14:paraId="154335BD" w14:textId="77777777" w:rsidR="007366D4" w:rsidRPr="00FD2F0C" w:rsidRDefault="007366D4" w:rsidP="00745ECC">
            <w:pPr>
              <w:rPr>
                <w:rFonts w:asciiTheme="minorHAnsi" w:hAnsiTheme="minorHAnsi"/>
              </w:rPr>
            </w:pPr>
            <w:r w:rsidRPr="00FD2F0C">
              <w:rPr>
                <w:rFonts w:asciiTheme="minorHAnsi" w:hAnsiTheme="minorHAnsi"/>
              </w:rPr>
              <w:t>GSO</w:t>
            </w:r>
          </w:p>
        </w:tc>
        <w:tc>
          <w:tcPr>
            <w:tcW w:w="7206" w:type="dxa"/>
          </w:tcPr>
          <w:p w14:paraId="4E71610F" w14:textId="77777777" w:rsidR="007366D4" w:rsidRPr="00FD2F0C" w:rsidRDefault="007366D4" w:rsidP="00745ECC">
            <w:pPr>
              <w:rPr>
                <w:rFonts w:asciiTheme="minorHAnsi" w:hAnsiTheme="minorHAnsi"/>
                <w:lang w:val="en-US"/>
              </w:rPr>
            </w:pPr>
            <w:r w:rsidRPr="00FD2F0C">
              <w:rPr>
                <w:rFonts w:asciiTheme="minorHAnsi" w:hAnsiTheme="minorHAnsi"/>
                <w:lang w:val="en-GB"/>
              </w:rPr>
              <w:t>Geostationary</w:t>
            </w:r>
          </w:p>
        </w:tc>
      </w:tr>
      <w:tr w:rsidR="007366D4" w:rsidRPr="00FD2F0C" w14:paraId="71B46CD0" w14:textId="77777777" w:rsidTr="00745ECC">
        <w:tc>
          <w:tcPr>
            <w:tcW w:w="2423" w:type="dxa"/>
            <w:shd w:val="clear" w:color="auto" w:fill="C6D9F1" w:themeFill="text2" w:themeFillTint="33"/>
          </w:tcPr>
          <w:p w14:paraId="5B925C86" w14:textId="77777777" w:rsidR="007366D4" w:rsidRPr="00FD2F0C" w:rsidRDefault="007366D4" w:rsidP="00745ECC">
            <w:pPr>
              <w:rPr>
                <w:rFonts w:asciiTheme="minorHAnsi" w:hAnsiTheme="minorHAnsi"/>
              </w:rPr>
            </w:pPr>
            <w:r w:rsidRPr="00FD2F0C">
              <w:rPr>
                <w:rFonts w:asciiTheme="minorHAnsi" w:hAnsiTheme="minorHAnsi"/>
              </w:rPr>
              <w:t>HAPS</w:t>
            </w:r>
          </w:p>
        </w:tc>
        <w:tc>
          <w:tcPr>
            <w:tcW w:w="7206" w:type="dxa"/>
            <w:shd w:val="clear" w:color="auto" w:fill="C6D9F1" w:themeFill="text2" w:themeFillTint="33"/>
          </w:tcPr>
          <w:p w14:paraId="18F45D85" w14:textId="77777777" w:rsidR="007366D4" w:rsidRPr="00FD2F0C" w:rsidRDefault="007366D4" w:rsidP="00745ECC">
            <w:pPr>
              <w:rPr>
                <w:rFonts w:asciiTheme="minorHAnsi" w:hAnsiTheme="minorHAnsi"/>
                <w:lang w:val="en-GB"/>
              </w:rPr>
            </w:pPr>
            <w:r w:rsidRPr="00FD2F0C">
              <w:rPr>
                <w:rFonts w:asciiTheme="minorHAnsi" w:hAnsiTheme="minorHAnsi"/>
                <w:lang w:val="en-GB"/>
              </w:rPr>
              <w:t>High-Altitude Platform Stations</w:t>
            </w:r>
          </w:p>
        </w:tc>
      </w:tr>
      <w:tr w:rsidR="00AC6A5B" w:rsidRPr="00FD2F0C" w14:paraId="64823EE9" w14:textId="77777777" w:rsidTr="00745ECC">
        <w:tc>
          <w:tcPr>
            <w:tcW w:w="2423" w:type="dxa"/>
            <w:shd w:val="clear" w:color="auto" w:fill="C6D9F1" w:themeFill="text2" w:themeFillTint="33"/>
          </w:tcPr>
          <w:p w14:paraId="31BF5BED" w14:textId="77777777" w:rsidR="00AC6A5B" w:rsidRPr="00FD2F0C" w:rsidRDefault="00AC6A5B" w:rsidP="00745ECC">
            <w:pPr>
              <w:rPr>
                <w:rFonts w:asciiTheme="minorHAnsi" w:hAnsiTheme="minorHAnsi"/>
              </w:rPr>
            </w:pPr>
            <w:r w:rsidRPr="00FD2F0C">
              <w:rPr>
                <w:rFonts w:asciiTheme="minorHAnsi" w:hAnsiTheme="minorHAnsi"/>
              </w:rPr>
              <w:t>HTS</w:t>
            </w:r>
          </w:p>
        </w:tc>
        <w:tc>
          <w:tcPr>
            <w:tcW w:w="7206" w:type="dxa"/>
            <w:shd w:val="clear" w:color="auto" w:fill="C6D9F1" w:themeFill="text2" w:themeFillTint="33"/>
          </w:tcPr>
          <w:p w14:paraId="15367063" w14:textId="77777777" w:rsidR="00AC6A5B" w:rsidRPr="00FD2F0C" w:rsidRDefault="00AC6A5B">
            <w:pPr>
              <w:rPr>
                <w:rFonts w:asciiTheme="minorHAnsi" w:hAnsiTheme="minorHAnsi"/>
                <w:lang w:val="en-GB"/>
              </w:rPr>
            </w:pPr>
            <w:r w:rsidRPr="00FD2F0C">
              <w:rPr>
                <w:rFonts w:asciiTheme="minorHAnsi" w:hAnsiTheme="minorHAnsi"/>
                <w:lang w:val="en-GB"/>
              </w:rPr>
              <w:t>High Throughput Satellite</w:t>
            </w:r>
          </w:p>
        </w:tc>
      </w:tr>
      <w:tr w:rsidR="007366D4" w:rsidRPr="00FD2F0C" w14:paraId="1E7E81C3" w14:textId="77777777" w:rsidTr="00745ECC">
        <w:tc>
          <w:tcPr>
            <w:tcW w:w="2423" w:type="dxa"/>
          </w:tcPr>
          <w:p w14:paraId="73B44C47" w14:textId="77777777" w:rsidR="007366D4" w:rsidRPr="00FD2F0C" w:rsidRDefault="007366D4" w:rsidP="00745ECC">
            <w:pPr>
              <w:rPr>
                <w:rFonts w:asciiTheme="minorHAnsi" w:hAnsiTheme="minorHAnsi"/>
              </w:rPr>
            </w:pPr>
            <w:r w:rsidRPr="00FD2F0C">
              <w:rPr>
                <w:rFonts w:asciiTheme="minorHAnsi" w:hAnsiTheme="minorHAnsi"/>
              </w:rPr>
              <w:t>HF</w:t>
            </w:r>
          </w:p>
        </w:tc>
        <w:tc>
          <w:tcPr>
            <w:tcW w:w="7206" w:type="dxa"/>
          </w:tcPr>
          <w:p w14:paraId="66DF459D" w14:textId="77777777" w:rsidR="007366D4" w:rsidRPr="00FD2F0C" w:rsidRDefault="007366D4" w:rsidP="00745ECC">
            <w:pPr>
              <w:rPr>
                <w:rFonts w:asciiTheme="minorHAnsi" w:hAnsiTheme="minorHAnsi"/>
                <w:lang w:val="en-US" w:eastAsia="zh-CN"/>
              </w:rPr>
            </w:pPr>
            <w:r w:rsidRPr="00FD2F0C">
              <w:rPr>
                <w:rFonts w:asciiTheme="minorHAnsi" w:hAnsiTheme="minorHAnsi"/>
                <w:lang w:val="en-US"/>
              </w:rPr>
              <w:t>High Frequency</w:t>
            </w:r>
          </w:p>
        </w:tc>
      </w:tr>
      <w:tr w:rsidR="007366D4" w:rsidRPr="00FD2F0C" w14:paraId="4E6EE009" w14:textId="77777777" w:rsidTr="00745ECC">
        <w:tc>
          <w:tcPr>
            <w:tcW w:w="2423" w:type="dxa"/>
            <w:shd w:val="clear" w:color="auto" w:fill="C6D9F1" w:themeFill="text2" w:themeFillTint="33"/>
          </w:tcPr>
          <w:p w14:paraId="7644D4A0" w14:textId="77777777" w:rsidR="007366D4" w:rsidRPr="00FD2F0C" w:rsidRDefault="007366D4" w:rsidP="00745ECC">
            <w:pPr>
              <w:rPr>
                <w:rFonts w:asciiTheme="minorHAnsi" w:hAnsiTheme="minorHAnsi"/>
              </w:rPr>
            </w:pPr>
            <w:r w:rsidRPr="00FD2F0C">
              <w:rPr>
                <w:rFonts w:asciiTheme="minorHAnsi" w:hAnsiTheme="minorHAnsi"/>
              </w:rPr>
              <w:t>IC</w:t>
            </w:r>
          </w:p>
        </w:tc>
        <w:tc>
          <w:tcPr>
            <w:tcW w:w="7206" w:type="dxa"/>
            <w:shd w:val="clear" w:color="auto" w:fill="C6D9F1" w:themeFill="text2" w:themeFillTint="33"/>
          </w:tcPr>
          <w:p w14:paraId="499E0692" w14:textId="77777777" w:rsidR="007366D4" w:rsidRPr="00FD2F0C" w:rsidRDefault="007366D4" w:rsidP="00745ECC">
            <w:pPr>
              <w:rPr>
                <w:rFonts w:asciiTheme="minorHAnsi" w:hAnsiTheme="minorHAnsi"/>
                <w:lang w:val="en-US"/>
              </w:rPr>
            </w:pPr>
            <w:r w:rsidRPr="00FD2F0C">
              <w:rPr>
                <w:rFonts w:asciiTheme="minorHAnsi" w:hAnsiTheme="minorHAnsi"/>
              </w:rPr>
              <w:t>Industry Canada</w:t>
            </w:r>
          </w:p>
        </w:tc>
      </w:tr>
      <w:tr w:rsidR="007366D4" w:rsidRPr="00FD2F0C" w14:paraId="7C8D9811" w14:textId="77777777" w:rsidTr="00745ECC">
        <w:tc>
          <w:tcPr>
            <w:tcW w:w="2423" w:type="dxa"/>
          </w:tcPr>
          <w:p w14:paraId="0E95A0AD" w14:textId="77777777" w:rsidR="007366D4" w:rsidRPr="00FD2F0C" w:rsidRDefault="007366D4" w:rsidP="00745ECC">
            <w:pPr>
              <w:rPr>
                <w:rFonts w:asciiTheme="minorHAnsi" w:hAnsiTheme="minorHAnsi"/>
              </w:rPr>
            </w:pPr>
            <w:r w:rsidRPr="00FD2F0C">
              <w:rPr>
                <w:rFonts w:asciiTheme="minorHAnsi" w:hAnsiTheme="minorHAnsi"/>
              </w:rPr>
              <w:t>ICT</w:t>
            </w:r>
          </w:p>
        </w:tc>
        <w:tc>
          <w:tcPr>
            <w:tcW w:w="7206" w:type="dxa"/>
          </w:tcPr>
          <w:p w14:paraId="1D41B370" w14:textId="77777777" w:rsidR="007366D4" w:rsidRPr="00FD2F0C" w:rsidRDefault="007366D4" w:rsidP="00745ECC">
            <w:pPr>
              <w:rPr>
                <w:rFonts w:asciiTheme="minorHAnsi" w:hAnsiTheme="minorHAnsi"/>
              </w:rPr>
            </w:pPr>
            <w:r w:rsidRPr="00FD2F0C">
              <w:rPr>
                <w:rFonts w:asciiTheme="minorHAnsi" w:hAnsiTheme="minorHAnsi"/>
                <w:lang w:val="en-GB"/>
              </w:rPr>
              <w:t>Information and Communications Technology</w:t>
            </w:r>
          </w:p>
        </w:tc>
      </w:tr>
      <w:tr w:rsidR="007366D4" w:rsidRPr="00FD2F0C" w14:paraId="7F35E3DC" w14:textId="77777777" w:rsidTr="00745ECC">
        <w:tc>
          <w:tcPr>
            <w:tcW w:w="2423" w:type="dxa"/>
            <w:shd w:val="clear" w:color="auto" w:fill="C6D9F1" w:themeFill="text2" w:themeFillTint="33"/>
          </w:tcPr>
          <w:p w14:paraId="5F0FAFD9" w14:textId="77777777" w:rsidR="007366D4" w:rsidRPr="00FD2F0C" w:rsidRDefault="007366D4" w:rsidP="00745ECC">
            <w:pPr>
              <w:rPr>
                <w:rFonts w:asciiTheme="minorHAnsi" w:hAnsiTheme="minorHAnsi"/>
              </w:rPr>
            </w:pPr>
            <w:r w:rsidRPr="00FD2F0C">
              <w:rPr>
                <w:rFonts w:asciiTheme="minorHAnsi" w:hAnsiTheme="minorHAnsi"/>
              </w:rPr>
              <w:lastRenderedPageBreak/>
              <w:t>IDA</w:t>
            </w:r>
          </w:p>
        </w:tc>
        <w:tc>
          <w:tcPr>
            <w:tcW w:w="7206" w:type="dxa"/>
            <w:shd w:val="clear" w:color="auto" w:fill="C6D9F1" w:themeFill="text2" w:themeFillTint="33"/>
          </w:tcPr>
          <w:p w14:paraId="77D9F26B" w14:textId="77777777" w:rsidR="007366D4" w:rsidRPr="00FD2F0C" w:rsidRDefault="007366D4" w:rsidP="00745ECC">
            <w:pPr>
              <w:rPr>
                <w:rFonts w:asciiTheme="minorHAnsi" w:hAnsiTheme="minorHAnsi"/>
                <w:lang w:val="en-US"/>
              </w:rPr>
            </w:pPr>
            <w:r w:rsidRPr="00FD2F0C">
              <w:rPr>
                <w:rFonts w:asciiTheme="minorHAnsi" w:hAnsiTheme="minorHAnsi"/>
              </w:rPr>
              <w:t>Infocomm Development Authority (Singapore)</w:t>
            </w:r>
          </w:p>
        </w:tc>
      </w:tr>
      <w:tr w:rsidR="007366D4" w:rsidRPr="00573C99" w14:paraId="174A19AF" w14:textId="77777777" w:rsidTr="00745ECC">
        <w:tc>
          <w:tcPr>
            <w:tcW w:w="2423" w:type="dxa"/>
          </w:tcPr>
          <w:p w14:paraId="51736BD4" w14:textId="77777777" w:rsidR="007366D4" w:rsidRPr="00FD2F0C" w:rsidRDefault="007366D4" w:rsidP="00745ECC">
            <w:pPr>
              <w:rPr>
                <w:rFonts w:asciiTheme="minorHAnsi" w:hAnsiTheme="minorHAnsi"/>
              </w:rPr>
            </w:pPr>
            <w:r w:rsidRPr="00FD2F0C">
              <w:rPr>
                <w:rFonts w:asciiTheme="minorHAnsi" w:hAnsiTheme="minorHAnsi"/>
              </w:rPr>
              <w:t>IEEE</w:t>
            </w:r>
          </w:p>
        </w:tc>
        <w:tc>
          <w:tcPr>
            <w:tcW w:w="7206" w:type="dxa"/>
          </w:tcPr>
          <w:p w14:paraId="53FC7610" w14:textId="77777777" w:rsidR="007366D4" w:rsidRPr="00FD2F0C" w:rsidRDefault="007366D4" w:rsidP="00745ECC">
            <w:pPr>
              <w:rPr>
                <w:rFonts w:asciiTheme="minorHAnsi" w:hAnsiTheme="minorHAnsi"/>
                <w:lang w:val="en-GB"/>
              </w:rPr>
            </w:pPr>
            <w:r w:rsidRPr="00FD2F0C">
              <w:rPr>
                <w:rFonts w:asciiTheme="minorHAnsi" w:hAnsiTheme="minorHAnsi"/>
                <w:lang w:val="en-GB"/>
              </w:rPr>
              <w:t>Institute of Electrical and Electronic Engineers</w:t>
            </w:r>
          </w:p>
        </w:tc>
      </w:tr>
      <w:tr w:rsidR="007366D4" w:rsidRPr="00FD2F0C" w14:paraId="47A2AD1D" w14:textId="77777777" w:rsidTr="00745ECC">
        <w:tc>
          <w:tcPr>
            <w:tcW w:w="2423" w:type="dxa"/>
            <w:shd w:val="clear" w:color="auto" w:fill="C6D9F1" w:themeFill="text2" w:themeFillTint="33"/>
          </w:tcPr>
          <w:p w14:paraId="10C80833" w14:textId="77777777" w:rsidR="007366D4" w:rsidRPr="00FD2F0C" w:rsidRDefault="007366D4" w:rsidP="00745ECC">
            <w:pPr>
              <w:rPr>
                <w:rFonts w:asciiTheme="minorHAnsi" w:hAnsiTheme="minorHAnsi"/>
              </w:rPr>
            </w:pPr>
            <w:r w:rsidRPr="00FD2F0C">
              <w:rPr>
                <w:rFonts w:asciiTheme="minorHAnsi" w:hAnsiTheme="minorHAnsi"/>
              </w:rPr>
              <w:t>IETF</w:t>
            </w:r>
          </w:p>
        </w:tc>
        <w:tc>
          <w:tcPr>
            <w:tcW w:w="7206" w:type="dxa"/>
            <w:shd w:val="clear" w:color="auto" w:fill="C6D9F1" w:themeFill="text2" w:themeFillTint="33"/>
          </w:tcPr>
          <w:p w14:paraId="64EF33CA" w14:textId="77777777" w:rsidR="007366D4" w:rsidRPr="00FD2F0C" w:rsidRDefault="007366D4" w:rsidP="00745ECC">
            <w:pPr>
              <w:rPr>
                <w:rFonts w:asciiTheme="minorHAnsi" w:hAnsiTheme="minorHAnsi"/>
                <w:lang w:val="en-GB"/>
              </w:rPr>
            </w:pPr>
            <w:r w:rsidRPr="00FD2F0C">
              <w:rPr>
                <w:rFonts w:asciiTheme="minorHAnsi" w:hAnsiTheme="minorHAnsi"/>
                <w:lang w:val="en-GB"/>
              </w:rPr>
              <w:t>Internet Engineering Task Force</w:t>
            </w:r>
          </w:p>
        </w:tc>
      </w:tr>
      <w:tr w:rsidR="007366D4" w:rsidRPr="00FD2F0C" w14:paraId="2A9ED55F" w14:textId="77777777" w:rsidTr="00745ECC">
        <w:tc>
          <w:tcPr>
            <w:tcW w:w="2423" w:type="dxa"/>
          </w:tcPr>
          <w:p w14:paraId="46D81E7B" w14:textId="77777777" w:rsidR="007366D4" w:rsidRPr="00FD2F0C" w:rsidRDefault="007366D4" w:rsidP="00745ECC">
            <w:pPr>
              <w:rPr>
                <w:rFonts w:asciiTheme="minorHAnsi" w:hAnsiTheme="minorHAnsi"/>
              </w:rPr>
            </w:pPr>
            <w:r w:rsidRPr="00FD2F0C">
              <w:rPr>
                <w:rFonts w:asciiTheme="minorHAnsi" w:hAnsiTheme="minorHAnsi"/>
              </w:rPr>
              <w:t>IoT</w:t>
            </w:r>
          </w:p>
        </w:tc>
        <w:tc>
          <w:tcPr>
            <w:tcW w:w="7206" w:type="dxa"/>
          </w:tcPr>
          <w:p w14:paraId="6C163291" w14:textId="77777777" w:rsidR="007366D4" w:rsidRPr="00FD2F0C" w:rsidRDefault="007366D4" w:rsidP="00745ECC">
            <w:pPr>
              <w:rPr>
                <w:rFonts w:asciiTheme="minorHAnsi" w:hAnsiTheme="minorHAnsi"/>
                <w:lang w:val="en-GB"/>
              </w:rPr>
            </w:pPr>
            <w:r w:rsidRPr="00FD2F0C">
              <w:rPr>
                <w:rFonts w:asciiTheme="minorHAnsi" w:hAnsiTheme="minorHAnsi"/>
                <w:lang w:val="en-GB"/>
              </w:rPr>
              <w:t>Internet of Things</w:t>
            </w:r>
          </w:p>
        </w:tc>
      </w:tr>
      <w:tr w:rsidR="007366D4" w:rsidRPr="00FD2F0C" w14:paraId="54D5A205" w14:textId="77777777" w:rsidTr="00745ECC">
        <w:tc>
          <w:tcPr>
            <w:tcW w:w="2423" w:type="dxa"/>
            <w:shd w:val="clear" w:color="auto" w:fill="C6D9F1" w:themeFill="text2" w:themeFillTint="33"/>
          </w:tcPr>
          <w:p w14:paraId="2A6C582F" w14:textId="77777777" w:rsidR="007366D4" w:rsidRPr="00FD2F0C" w:rsidRDefault="007366D4" w:rsidP="00745ECC">
            <w:pPr>
              <w:rPr>
                <w:rFonts w:asciiTheme="minorHAnsi" w:hAnsiTheme="minorHAnsi"/>
              </w:rPr>
            </w:pPr>
            <w:r w:rsidRPr="00FD2F0C">
              <w:rPr>
                <w:rFonts w:asciiTheme="minorHAnsi" w:hAnsiTheme="minorHAnsi"/>
              </w:rPr>
              <w:t>IMT</w:t>
            </w:r>
          </w:p>
        </w:tc>
        <w:tc>
          <w:tcPr>
            <w:tcW w:w="7206" w:type="dxa"/>
            <w:shd w:val="clear" w:color="auto" w:fill="C6D9F1" w:themeFill="text2" w:themeFillTint="33"/>
          </w:tcPr>
          <w:p w14:paraId="197FBF2B" w14:textId="77777777" w:rsidR="007366D4" w:rsidRPr="00FD2F0C" w:rsidRDefault="007366D4" w:rsidP="00745ECC">
            <w:pPr>
              <w:rPr>
                <w:rFonts w:asciiTheme="minorHAnsi" w:hAnsiTheme="minorHAnsi"/>
                <w:lang w:val="en-US"/>
              </w:rPr>
            </w:pPr>
            <w:r w:rsidRPr="00FD2F0C">
              <w:rPr>
                <w:rFonts w:asciiTheme="minorHAnsi" w:hAnsiTheme="minorHAnsi"/>
                <w:lang w:val="en-US"/>
              </w:rPr>
              <w:t>International Mobile Telecommunications</w:t>
            </w:r>
          </w:p>
        </w:tc>
      </w:tr>
      <w:tr w:rsidR="007366D4" w:rsidRPr="00573C99" w14:paraId="1E6BD23F" w14:textId="77777777" w:rsidTr="00745ECC">
        <w:tc>
          <w:tcPr>
            <w:tcW w:w="2423" w:type="dxa"/>
          </w:tcPr>
          <w:p w14:paraId="22B58C02" w14:textId="77777777" w:rsidR="007366D4" w:rsidRPr="00FD2F0C" w:rsidRDefault="007366D4" w:rsidP="00745ECC">
            <w:pPr>
              <w:rPr>
                <w:rFonts w:asciiTheme="minorHAnsi" w:hAnsiTheme="minorHAnsi"/>
              </w:rPr>
            </w:pPr>
            <w:r w:rsidRPr="00FD2F0C">
              <w:rPr>
                <w:rFonts w:asciiTheme="minorHAnsi" w:hAnsiTheme="minorHAnsi"/>
              </w:rPr>
              <w:t>ISIF Asia</w:t>
            </w:r>
          </w:p>
        </w:tc>
        <w:tc>
          <w:tcPr>
            <w:tcW w:w="7206" w:type="dxa"/>
          </w:tcPr>
          <w:p w14:paraId="29C8FBAD" w14:textId="77777777" w:rsidR="007366D4" w:rsidRPr="00FD2F0C" w:rsidRDefault="007366D4" w:rsidP="00745ECC">
            <w:pPr>
              <w:rPr>
                <w:rFonts w:asciiTheme="minorHAnsi" w:hAnsiTheme="minorHAnsi"/>
                <w:lang w:val="en-GB"/>
              </w:rPr>
            </w:pPr>
            <w:r w:rsidRPr="00FD2F0C">
              <w:rPr>
                <w:rFonts w:asciiTheme="minorHAnsi" w:hAnsiTheme="minorHAnsi"/>
                <w:lang w:val="en-GB"/>
              </w:rPr>
              <w:t>Information Society Innovation Fund Asia</w:t>
            </w:r>
          </w:p>
        </w:tc>
      </w:tr>
      <w:tr w:rsidR="007366D4" w:rsidRPr="00FD2F0C" w14:paraId="6E4A5820" w14:textId="77777777" w:rsidTr="00745ECC">
        <w:tc>
          <w:tcPr>
            <w:tcW w:w="2423" w:type="dxa"/>
            <w:shd w:val="clear" w:color="auto" w:fill="C6D9F1" w:themeFill="text2" w:themeFillTint="33"/>
          </w:tcPr>
          <w:p w14:paraId="296D8FC8" w14:textId="77777777" w:rsidR="007366D4" w:rsidRPr="00FD2F0C" w:rsidRDefault="007366D4" w:rsidP="00745ECC">
            <w:pPr>
              <w:rPr>
                <w:rFonts w:asciiTheme="minorHAnsi" w:hAnsiTheme="minorHAnsi"/>
              </w:rPr>
            </w:pPr>
            <w:r w:rsidRPr="00FD2F0C">
              <w:rPr>
                <w:rFonts w:asciiTheme="minorHAnsi" w:hAnsiTheme="minorHAnsi"/>
              </w:rPr>
              <w:t>ITU</w:t>
            </w:r>
          </w:p>
        </w:tc>
        <w:tc>
          <w:tcPr>
            <w:tcW w:w="7206" w:type="dxa"/>
            <w:shd w:val="clear" w:color="auto" w:fill="C6D9F1" w:themeFill="text2" w:themeFillTint="33"/>
          </w:tcPr>
          <w:p w14:paraId="6B31BDC6" w14:textId="77777777" w:rsidR="007366D4" w:rsidRPr="00FD2F0C" w:rsidRDefault="007366D4" w:rsidP="00745ECC">
            <w:pPr>
              <w:rPr>
                <w:rFonts w:asciiTheme="minorHAnsi" w:hAnsiTheme="minorHAnsi"/>
              </w:rPr>
            </w:pPr>
            <w:r w:rsidRPr="00FD2F0C">
              <w:rPr>
                <w:rFonts w:asciiTheme="minorHAnsi" w:hAnsiTheme="minorHAnsi"/>
              </w:rPr>
              <w:t>International Telecommunication Union</w:t>
            </w:r>
          </w:p>
        </w:tc>
      </w:tr>
      <w:tr w:rsidR="007366D4" w:rsidRPr="00FD2F0C" w14:paraId="455F4723" w14:textId="77777777" w:rsidTr="00745ECC">
        <w:tc>
          <w:tcPr>
            <w:tcW w:w="2423" w:type="dxa"/>
          </w:tcPr>
          <w:p w14:paraId="3523C5ED" w14:textId="77777777" w:rsidR="007366D4" w:rsidRPr="00FD2F0C" w:rsidRDefault="007366D4" w:rsidP="00745ECC">
            <w:pPr>
              <w:rPr>
                <w:rFonts w:asciiTheme="minorHAnsi" w:hAnsiTheme="minorHAnsi"/>
              </w:rPr>
            </w:pPr>
            <w:r w:rsidRPr="00FD2F0C">
              <w:rPr>
                <w:rFonts w:asciiTheme="minorHAnsi" w:hAnsiTheme="minorHAnsi"/>
              </w:rPr>
              <w:t>ITU-D</w:t>
            </w:r>
          </w:p>
        </w:tc>
        <w:tc>
          <w:tcPr>
            <w:tcW w:w="7206" w:type="dxa"/>
          </w:tcPr>
          <w:p w14:paraId="386CEA24" w14:textId="77777777" w:rsidR="007366D4" w:rsidRPr="00FD2F0C" w:rsidRDefault="007366D4" w:rsidP="00745ECC">
            <w:pPr>
              <w:rPr>
                <w:rFonts w:asciiTheme="minorHAnsi" w:hAnsiTheme="minorHAnsi"/>
              </w:rPr>
            </w:pPr>
            <w:r w:rsidRPr="00FD2F0C">
              <w:rPr>
                <w:rFonts w:asciiTheme="minorHAnsi" w:hAnsiTheme="minorHAnsi"/>
              </w:rPr>
              <w:t>ITU Telecommunication Development Sector</w:t>
            </w:r>
          </w:p>
        </w:tc>
      </w:tr>
      <w:tr w:rsidR="007366D4" w:rsidRPr="00FD2F0C" w14:paraId="33301905" w14:textId="77777777" w:rsidTr="00745ECC">
        <w:tc>
          <w:tcPr>
            <w:tcW w:w="2423" w:type="dxa"/>
            <w:shd w:val="clear" w:color="auto" w:fill="C6D9F1" w:themeFill="text2" w:themeFillTint="33"/>
          </w:tcPr>
          <w:p w14:paraId="7338DE4E" w14:textId="77777777" w:rsidR="007366D4" w:rsidRPr="00FD2F0C" w:rsidRDefault="007366D4" w:rsidP="00745ECC">
            <w:pPr>
              <w:rPr>
                <w:rFonts w:asciiTheme="minorHAnsi" w:hAnsiTheme="minorHAnsi"/>
              </w:rPr>
            </w:pPr>
            <w:r w:rsidRPr="00FD2F0C">
              <w:rPr>
                <w:rFonts w:asciiTheme="minorHAnsi" w:hAnsiTheme="minorHAnsi"/>
              </w:rPr>
              <w:t>ITU-R</w:t>
            </w:r>
          </w:p>
        </w:tc>
        <w:tc>
          <w:tcPr>
            <w:tcW w:w="7206" w:type="dxa"/>
            <w:shd w:val="clear" w:color="auto" w:fill="C6D9F1" w:themeFill="text2" w:themeFillTint="33"/>
          </w:tcPr>
          <w:p w14:paraId="67B5594F" w14:textId="77777777" w:rsidR="007366D4" w:rsidRPr="00FD2F0C" w:rsidRDefault="007366D4" w:rsidP="00745ECC">
            <w:pPr>
              <w:rPr>
                <w:rFonts w:asciiTheme="minorHAnsi" w:hAnsiTheme="minorHAnsi"/>
              </w:rPr>
            </w:pPr>
            <w:r w:rsidRPr="00FD2F0C">
              <w:rPr>
                <w:rFonts w:asciiTheme="minorHAnsi" w:hAnsiTheme="minorHAnsi"/>
              </w:rPr>
              <w:t>ITU Radiocommunication Sector</w:t>
            </w:r>
          </w:p>
        </w:tc>
      </w:tr>
      <w:tr w:rsidR="007366D4" w:rsidRPr="00573C99" w14:paraId="3CB09C04" w14:textId="77777777" w:rsidTr="00745ECC">
        <w:tc>
          <w:tcPr>
            <w:tcW w:w="2423" w:type="dxa"/>
          </w:tcPr>
          <w:p w14:paraId="573CAF2E" w14:textId="77777777" w:rsidR="007366D4" w:rsidRPr="00FD2F0C" w:rsidRDefault="007366D4" w:rsidP="00745ECC">
            <w:pPr>
              <w:rPr>
                <w:rFonts w:asciiTheme="minorHAnsi" w:hAnsiTheme="minorHAnsi"/>
              </w:rPr>
            </w:pPr>
            <w:r w:rsidRPr="00FD2F0C">
              <w:rPr>
                <w:rFonts w:asciiTheme="minorHAnsi" w:hAnsiTheme="minorHAnsi"/>
              </w:rPr>
              <w:t>KCC</w:t>
            </w:r>
          </w:p>
        </w:tc>
        <w:tc>
          <w:tcPr>
            <w:tcW w:w="7206" w:type="dxa"/>
          </w:tcPr>
          <w:p w14:paraId="4E1953CC" w14:textId="77777777" w:rsidR="007366D4" w:rsidRPr="00FD2F0C" w:rsidRDefault="007366D4" w:rsidP="00745ECC">
            <w:pPr>
              <w:rPr>
                <w:rFonts w:asciiTheme="minorHAnsi" w:hAnsiTheme="minorHAnsi"/>
                <w:lang w:val="en-US"/>
              </w:rPr>
            </w:pPr>
            <w:r w:rsidRPr="00FD2F0C">
              <w:rPr>
                <w:rFonts w:asciiTheme="minorHAnsi" w:hAnsiTheme="minorHAnsi"/>
                <w:lang w:val="en-GB"/>
              </w:rPr>
              <w:t>Korea Communications Commission (Republic of Korea)</w:t>
            </w:r>
          </w:p>
        </w:tc>
      </w:tr>
      <w:tr w:rsidR="007366D4" w:rsidRPr="00FD2F0C" w14:paraId="3984A4BE" w14:textId="77777777" w:rsidTr="00745ECC">
        <w:tc>
          <w:tcPr>
            <w:tcW w:w="2423" w:type="dxa"/>
            <w:shd w:val="clear" w:color="auto" w:fill="C6D9F1" w:themeFill="text2" w:themeFillTint="33"/>
          </w:tcPr>
          <w:p w14:paraId="7981D7BB" w14:textId="77777777" w:rsidR="007366D4" w:rsidRPr="00FD2F0C" w:rsidRDefault="007366D4" w:rsidP="00745ECC">
            <w:pPr>
              <w:rPr>
                <w:rFonts w:asciiTheme="minorHAnsi" w:hAnsiTheme="minorHAnsi"/>
              </w:rPr>
            </w:pPr>
            <w:r w:rsidRPr="00FD2F0C">
              <w:rPr>
                <w:rFonts w:asciiTheme="minorHAnsi" w:hAnsiTheme="minorHAnsi"/>
              </w:rPr>
              <w:t>LDCs</w:t>
            </w:r>
          </w:p>
        </w:tc>
        <w:tc>
          <w:tcPr>
            <w:tcW w:w="7206" w:type="dxa"/>
            <w:shd w:val="clear" w:color="auto" w:fill="C6D9F1" w:themeFill="text2" w:themeFillTint="33"/>
          </w:tcPr>
          <w:p w14:paraId="053E13A7" w14:textId="77777777" w:rsidR="007366D4" w:rsidRPr="00FD2F0C" w:rsidRDefault="007366D4" w:rsidP="00745ECC">
            <w:pPr>
              <w:rPr>
                <w:rFonts w:asciiTheme="minorHAnsi" w:hAnsiTheme="minorHAnsi"/>
              </w:rPr>
            </w:pPr>
            <w:r w:rsidRPr="00FD2F0C">
              <w:rPr>
                <w:rFonts w:asciiTheme="minorHAnsi" w:hAnsiTheme="minorHAnsi"/>
                <w:szCs w:val="24"/>
                <w:lang w:val="en-GB"/>
              </w:rPr>
              <w:t>Least Developed Countries</w:t>
            </w:r>
          </w:p>
        </w:tc>
      </w:tr>
      <w:tr w:rsidR="007366D4" w:rsidRPr="00FD2F0C" w14:paraId="3F77530E" w14:textId="77777777" w:rsidTr="00745ECC">
        <w:tc>
          <w:tcPr>
            <w:tcW w:w="2423" w:type="dxa"/>
          </w:tcPr>
          <w:p w14:paraId="30B0D3E8" w14:textId="77777777" w:rsidR="007366D4" w:rsidRPr="00FD2F0C" w:rsidRDefault="007366D4" w:rsidP="00745ECC">
            <w:pPr>
              <w:rPr>
                <w:rFonts w:asciiTheme="minorHAnsi" w:hAnsiTheme="minorHAnsi"/>
              </w:rPr>
            </w:pPr>
            <w:r w:rsidRPr="00FD2F0C">
              <w:rPr>
                <w:rFonts w:asciiTheme="minorHAnsi" w:hAnsiTheme="minorHAnsi"/>
              </w:rPr>
              <w:t>LMS</w:t>
            </w:r>
          </w:p>
        </w:tc>
        <w:tc>
          <w:tcPr>
            <w:tcW w:w="7206" w:type="dxa"/>
          </w:tcPr>
          <w:p w14:paraId="0ABE3EAE" w14:textId="77777777" w:rsidR="007366D4" w:rsidRPr="00FD2F0C" w:rsidRDefault="007366D4" w:rsidP="00745ECC">
            <w:pPr>
              <w:rPr>
                <w:rFonts w:asciiTheme="minorHAnsi" w:hAnsiTheme="minorHAnsi"/>
                <w:szCs w:val="24"/>
                <w:lang w:val="en-GB"/>
              </w:rPr>
            </w:pPr>
            <w:r w:rsidRPr="00FD2F0C">
              <w:rPr>
                <w:rFonts w:asciiTheme="minorHAnsi" w:hAnsiTheme="minorHAnsi"/>
              </w:rPr>
              <w:t>L</w:t>
            </w:r>
            <w:r w:rsidRPr="00FD2F0C" w:rsidDel="00217533">
              <w:rPr>
                <w:rFonts w:asciiTheme="minorHAnsi" w:hAnsiTheme="minorHAnsi"/>
              </w:rPr>
              <w:t xml:space="preserve">and </w:t>
            </w:r>
            <w:r w:rsidRPr="00FD2F0C">
              <w:rPr>
                <w:rFonts w:asciiTheme="minorHAnsi" w:hAnsiTheme="minorHAnsi"/>
              </w:rPr>
              <w:t>M</w:t>
            </w:r>
            <w:r w:rsidRPr="00FD2F0C" w:rsidDel="00217533">
              <w:rPr>
                <w:rFonts w:asciiTheme="minorHAnsi" w:hAnsiTheme="minorHAnsi"/>
              </w:rPr>
              <w:t xml:space="preserve">obile </w:t>
            </w:r>
            <w:r w:rsidRPr="00FD2F0C">
              <w:rPr>
                <w:rFonts w:asciiTheme="minorHAnsi" w:hAnsiTheme="minorHAnsi"/>
              </w:rPr>
              <w:t>S</w:t>
            </w:r>
            <w:r w:rsidRPr="00FD2F0C" w:rsidDel="00217533">
              <w:rPr>
                <w:rFonts w:asciiTheme="minorHAnsi" w:hAnsiTheme="minorHAnsi"/>
              </w:rPr>
              <w:t>ervice</w:t>
            </w:r>
          </w:p>
        </w:tc>
      </w:tr>
      <w:tr w:rsidR="007366D4" w:rsidRPr="00FD2F0C" w14:paraId="54D1DC46" w14:textId="77777777" w:rsidTr="00745ECC">
        <w:tc>
          <w:tcPr>
            <w:tcW w:w="2423" w:type="dxa"/>
            <w:shd w:val="clear" w:color="auto" w:fill="C6D9F1" w:themeFill="text2" w:themeFillTint="33"/>
          </w:tcPr>
          <w:p w14:paraId="5FBA229D" w14:textId="77777777" w:rsidR="007366D4" w:rsidRPr="00FD2F0C" w:rsidRDefault="007366D4" w:rsidP="00745ECC">
            <w:pPr>
              <w:rPr>
                <w:rFonts w:asciiTheme="minorHAnsi" w:hAnsiTheme="minorHAnsi"/>
              </w:rPr>
            </w:pPr>
            <w:r w:rsidRPr="00FD2F0C">
              <w:rPr>
                <w:rFonts w:asciiTheme="minorHAnsi" w:hAnsiTheme="minorHAnsi"/>
              </w:rPr>
              <w:t>LSA</w:t>
            </w:r>
          </w:p>
        </w:tc>
        <w:tc>
          <w:tcPr>
            <w:tcW w:w="7206" w:type="dxa"/>
            <w:shd w:val="clear" w:color="auto" w:fill="C6D9F1" w:themeFill="text2" w:themeFillTint="33"/>
          </w:tcPr>
          <w:p w14:paraId="02CEDBC6" w14:textId="72484773" w:rsidR="007366D4" w:rsidRPr="00FD2F0C" w:rsidRDefault="007366D4" w:rsidP="00745ECC">
            <w:pPr>
              <w:rPr>
                <w:rFonts w:asciiTheme="minorHAnsi" w:hAnsiTheme="minorHAnsi"/>
              </w:rPr>
            </w:pPr>
            <w:r w:rsidRPr="00FD2F0C">
              <w:rPr>
                <w:rFonts w:asciiTheme="minorHAnsi" w:hAnsiTheme="minorHAnsi"/>
                <w:lang w:val="en-US"/>
              </w:rPr>
              <w:t>License</w:t>
            </w:r>
            <w:r w:rsidR="00C90A8B" w:rsidRPr="00FD2F0C">
              <w:rPr>
                <w:rFonts w:asciiTheme="minorHAnsi" w:hAnsiTheme="minorHAnsi"/>
                <w:lang w:val="en-US"/>
              </w:rPr>
              <w:t>d</w:t>
            </w:r>
            <w:r w:rsidRPr="00FD2F0C">
              <w:rPr>
                <w:rFonts w:asciiTheme="minorHAnsi" w:hAnsiTheme="minorHAnsi"/>
                <w:lang w:val="en-US"/>
              </w:rPr>
              <w:t xml:space="preserve"> Shared Access</w:t>
            </w:r>
          </w:p>
        </w:tc>
      </w:tr>
      <w:tr w:rsidR="007366D4" w:rsidRPr="00FD2F0C" w14:paraId="458ECADC" w14:textId="77777777" w:rsidTr="00745ECC">
        <w:tc>
          <w:tcPr>
            <w:tcW w:w="2423" w:type="dxa"/>
          </w:tcPr>
          <w:p w14:paraId="11FC3CC1" w14:textId="77777777" w:rsidR="007366D4" w:rsidRPr="00FD2F0C" w:rsidRDefault="007366D4" w:rsidP="00745ECC">
            <w:pPr>
              <w:rPr>
                <w:rFonts w:asciiTheme="minorHAnsi" w:hAnsiTheme="minorHAnsi"/>
              </w:rPr>
            </w:pPr>
            <w:r w:rsidRPr="00FD2F0C">
              <w:rPr>
                <w:rFonts w:asciiTheme="minorHAnsi" w:hAnsiTheme="minorHAnsi"/>
              </w:rPr>
              <w:t>LTE</w:t>
            </w:r>
          </w:p>
        </w:tc>
        <w:tc>
          <w:tcPr>
            <w:tcW w:w="7206" w:type="dxa"/>
          </w:tcPr>
          <w:p w14:paraId="14B381FF" w14:textId="77777777" w:rsidR="007366D4" w:rsidRPr="00FD2F0C" w:rsidRDefault="007366D4" w:rsidP="00745ECC">
            <w:pPr>
              <w:rPr>
                <w:rFonts w:asciiTheme="minorHAnsi" w:hAnsiTheme="minorHAnsi"/>
                <w:lang w:val="en-US"/>
              </w:rPr>
            </w:pPr>
            <w:r w:rsidRPr="00FD2F0C">
              <w:rPr>
                <w:rFonts w:asciiTheme="minorHAnsi" w:hAnsiTheme="minorHAnsi"/>
                <w:lang w:val="en-US"/>
              </w:rPr>
              <w:t>Long-Term Evolution</w:t>
            </w:r>
          </w:p>
        </w:tc>
      </w:tr>
      <w:tr w:rsidR="007366D4" w:rsidRPr="00FD2F0C" w14:paraId="5B54714E" w14:textId="77777777" w:rsidTr="00745ECC">
        <w:tc>
          <w:tcPr>
            <w:tcW w:w="2423" w:type="dxa"/>
            <w:shd w:val="clear" w:color="auto" w:fill="C6D9F1" w:themeFill="text2" w:themeFillTint="33"/>
          </w:tcPr>
          <w:p w14:paraId="12092EBE" w14:textId="77777777" w:rsidR="007366D4" w:rsidRPr="00FD2F0C" w:rsidRDefault="007366D4" w:rsidP="00745ECC">
            <w:pPr>
              <w:rPr>
                <w:rFonts w:asciiTheme="minorHAnsi" w:hAnsiTheme="minorHAnsi"/>
              </w:rPr>
            </w:pPr>
            <w:r w:rsidRPr="00FD2F0C">
              <w:rPr>
                <w:rFonts w:asciiTheme="minorHAnsi" w:hAnsiTheme="minorHAnsi"/>
              </w:rPr>
              <w:t>M2M</w:t>
            </w:r>
          </w:p>
        </w:tc>
        <w:tc>
          <w:tcPr>
            <w:tcW w:w="7206" w:type="dxa"/>
            <w:shd w:val="clear" w:color="auto" w:fill="C6D9F1" w:themeFill="text2" w:themeFillTint="33"/>
          </w:tcPr>
          <w:p w14:paraId="0552FA2E" w14:textId="77777777" w:rsidR="007366D4" w:rsidRPr="00FD2F0C" w:rsidRDefault="007366D4" w:rsidP="00745ECC">
            <w:pPr>
              <w:rPr>
                <w:rFonts w:asciiTheme="minorHAnsi" w:hAnsiTheme="minorHAnsi"/>
                <w:lang w:val="en-US"/>
              </w:rPr>
            </w:pPr>
            <w:r w:rsidRPr="00FD2F0C">
              <w:rPr>
                <w:rFonts w:asciiTheme="minorHAnsi" w:hAnsiTheme="minorHAnsi"/>
                <w:lang w:val="en-US"/>
              </w:rPr>
              <w:t>Machine-to-Machine</w:t>
            </w:r>
          </w:p>
        </w:tc>
      </w:tr>
      <w:tr w:rsidR="007366D4" w:rsidRPr="00573C99" w14:paraId="10AA91CE" w14:textId="77777777" w:rsidTr="00745ECC">
        <w:tc>
          <w:tcPr>
            <w:tcW w:w="2423" w:type="dxa"/>
          </w:tcPr>
          <w:p w14:paraId="518B98D3" w14:textId="77777777" w:rsidR="007366D4" w:rsidRPr="00FD2F0C" w:rsidRDefault="007366D4" w:rsidP="00745ECC">
            <w:pPr>
              <w:rPr>
                <w:rFonts w:asciiTheme="minorHAnsi" w:hAnsiTheme="minorHAnsi"/>
              </w:rPr>
            </w:pPr>
            <w:r w:rsidRPr="00FD2F0C">
              <w:rPr>
                <w:rFonts w:asciiTheme="minorHAnsi" w:hAnsiTheme="minorHAnsi"/>
              </w:rPr>
              <w:t>MEST</w:t>
            </w:r>
          </w:p>
        </w:tc>
        <w:tc>
          <w:tcPr>
            <w:tcW w:w="7206" w:type="dxa"/>
          </w:tcPr>
          <w:p w14:paraId="7372A82C" w14:textId="77777777" w:rsidR="007366D4" w:rsidRPr="00FD2F0C" w:rsidRDefault="007366D4" w:rsidP="00745ECC">
            <w:pPr>
              <w:rPr>
                <w:rFonts w:asciiTheme="minorHAnsi" w:hAnsiTheme="minorHAnsi"/>
                <w:lang w:val="en-GB"/>
              </w:rPr>
            </w:pPr>
            <w:r w:rsidRPr="00FD2F0C">
              <w:rPr>
                <w:rFonts w:asciiTheme="minorHAnsi" w:hAnsiTheme="minorHAnsi"/>
                <w:lang w:val="en-GB"/>
              </w:rPr>
              <w:t>Meltwater Entrepreneurial School of Technology (Ghana)</w:t>
            </w:r>
          </w:p>
        </w:tc>
      </w:tr>
      <w:tr w:rsidR="007366D4" w:rsidRPr="00FD2F0C" w14:paraId="33421FA6" w14:textId="77777777" w:rsidTr="00745ECC">
        <w:tc>
          <w:tcPr>
            <w:tcW w:w="2423" w:type="dxa"/>
            <w:shd w:val="clear" w:color="auto" w:fill="C6D9F1" w:themeFill="text2" w:themeFillTint="33"/>
          </w:tcPr>
          <w:p w14:paraId="7AA83C03" w14:textId="77777777" w:rsidR="007366D4" w:rsidRPr="00FD2F0C" w:rsidRDefault="007366D4" w:rsidP="00745ECC">
            <w:pPr>
              <w:rPr>
                <w:rFonts w:asciiTheme="minorHAnsi" w:hAnsiTheme="minorHAnsi"/>
              </w:rPr>
            </w:pPr>
            <w:r w:rsidRPr="00FD2F0C">
              <w:rPr>
                <w:rFonts w:asciiTheme="minorHAnsi" w:hAnsiTheme="minorHAnsi"/>
              </w:rPr>
              <w:t>MF</w:t>
            </w:r>
          </w:p>
        </w:tc>
        <w:tc>
          <w:tcPr>
            <w:tcW w:w="7206" w:type="dxa"/>
            <w:shd w:val="clear" w:color="auto" w:fill="C6D9F1" w:themeFill="text2" w:themeFillTint="33"/>
          </w:tcPr>
          <w:p w14:paraId="2313376D" w14:textId="77777777" w:rsidR="007366D4" w:rsidRPr="00FD2F0C" w:rsidRDefault="007366D4" w:rsidP="00745ECC">
            <w:pPr>
              <w:rPr>
                <w:rFonts w:asciiTheme="minorHAnsi" w:hAnsiTheme="minorHAnsi"/>
                <w:lang w:val="en-US"/>
              </w:rPr>
            </w:pPr>
            <w:r w:rsidRPr="00FD2F0C">
              <w:rPr>
                <w:rFonts w:asciiTheme="minorHAnsi" w:hAnsiTheme="minorHAnsi"/>
                <w:lang w:val="en-US"/>
              </w:rPr>
              <w:t>Medium Frequency</w:t>
            </w:r>
          </w:p>
        </w:tc>
      </w:tr>
      <w:tr w:rsidR="007366D4" w:rsidRPr="00FD2F0C" w14:paraId="67027296" w14:textId="77777777" w:rsidTr="00745ECC">
        <w:tc>
          <w:tcPr>
            <w:tcW w:w="2423" w:type="dxa"/>
          </w:tcPr>
          <w:p w14:paraId="0AC4EEFC" w14:textId="77777777" w:rsidR="007366D4" w:rsidRPr="00FD2F0C" w:rsidRDefault="007366D4" w:rsidP="00745ECC">
            <w:pPr>
              <w:rPr>
                <w:rFonts w:asciiTheme="minorHAnsi" w:hAnsiTheme="minorHAnsi"/>
              </w:rPr>
            </w:pPr>
            <w:r w:rsidRPr="00FD2F0C">
              <w:rPr>
                <w:rFonts w:asciiTheme="minorHAnsi" w:hAnsiTheme="minorHAnsi"/>
              </w:rPr>
              <w:t>MHz</w:t>
            </w:r>
          </w:p>
        </w:tc>
        <w:tc>
          <w:tcPr>
            <w:tcW w:w="7206" w:type="dxa"/>
          </w:tcPr>
          <w:p w14:paraId="4010FE8E" w14:textId="77777777" w:rsidR="007366D4" w:rsidRPr="00FD2F0C" w:rsidRDefault="007366D4" w:rsidP="00745ECC">
            <w:pPr>
              <w:rPr>
                <w:rFonts w:asciiTheme="minorHAnsi" w:hAnsiTheme="minorHAnsi"/>
                <w:lang w:val="en-US"/>
              </w:rPr>
            </w:pPr>
            <w:r w:rsidRPr="00FD2F0C">
              <w:rPr>
                <w:rFonts w:asciiTheme="minorHAnsi" w:hAnsiTheme="minorHAnsi"/>
                <w:lang w:val="en-US"/>
              </w:rPr>
              <w:t>Megahertz</w:t>
            </w:r>
          </w:p>
        </w:tc>
      </w:tr>
      <w:tr w:rsidR="007366D4" w:rsidRPr="00573C99" w14:paraId="004816F2" w14:textId="77777777" w:rsidTr="00745ECC">
        <w:tc>
          <w:tcPr>
            <w:tcW w:w="2423" w:type="dxa"/>
            <w:shd w:val="clear" w:color="auto" w:fill="C6D9F1" w:themeFill="text2" w:themeFillTint="33"/>
          </w:tcPr>
          <w:p w14:paraId="63F2DF00" w14:textId="77777777" w:rsidR="007366D4" w:rsidRPr="00FD2F0C" w:rsidRDefault="007366D4" w:rsidP="00745ECC">
            <w:pPr>
              <w:rPr>
                <w:rFonts w:asciiTheme="minorHAnsi" w:hAnsiTheme="minorHAnsi"/>
              </w:rPr>
            </w:pPr>
            <w:r w:rsidRPr="00FD2F0C">
              <w:rPr>
                <w:rFonts w:asciiTheme="minorHAnsi" w:hAnsiTheme="minorHAnsi"/>
              </w:rPr>
              <w:t>MoH</w:t>
            </w:r>
          </w:p>
        </w:tc>
        <w:tc>
          <w:tcPr>
            <w:tcW w:w="7206" w:type="dxa"/>
            <w:shd w:val="clear" w:color="auto" w:fill="C6D9F1" w:themeFill="text2" w:themeFillTint="33"/>
          </w:tcPr>
          <w:p w14:paraId="7761DC29" w14:textId="77777777" w:rsidR="007366D4" w:rsidRPr="00FD2F0C" w:rsidRDefault="007366D4" w:rsidP="00745ECC">
            <w:pPr>
              <w:rPr>
                <w:rFonts w:asciiTheme="minorHAnsi" w:hAnsiTheme="minorHAnsi"/>
                <w:lang w:val="en-US"/>
              </w:rPr>
            </w:pPr>
            <w:r w:rsidRPr="00FD2F0C">
              <w:rPr>
                <w:rFonts w:asciiTheme="minorHAnsi" w:hAnsiTheme="minorHAnsi"/>
                <w:lang w:val="en-GB"/>
              </w:rPr>
              <w:t>Ministry of Health (Kingdom of Bhutan)</w:t>
            </w:r>
          </w:p>
        </w:tc>
      </w:tr>
      <w:tr w:rsidR="007366D4" w:rsidRPr="00573C99" w14:paraId="5813012E" w14:textId="77777777" w:rsidTr="00745ECC">
        <w:tc>
          <w:tcPr>
            <w:tcW w:w="2423" w:type="dxa"/>
          </w:tcPr>
          <w:p w14:paraId="68A4F3BD" w14:textId="77777777" w:rsidR="007366D4" w:rsidRPr="00FD2F0C" w:rsidRDefault="007366D4" w:rsidP="00745ECC">
            <w:pPr>
              <w:rPr>
                <w:rFonts w:asciiTheme="minorHAnsi" w:hAnsiTheme="minorHAnsi"/>
              </w:rPr>
            </w:pPr>
            <w:r w:rsidRPr="00FD2F0C">
              <w:rPr>
                <w:rFonts w:asciiTheme="minorHAnsi" w:hAnsiTheme="minorHAnsi"/>
              </w:rPr>
              <w:t>MoIC</w:t>
            </w:r>
          </w:p>
        </w:tc>
        <w:tc>
          <w:tcPr>
            <w:tcW w:w="7206" w:type="dxa"/>
          </w:tcPr>
          <w:p w14:paraId="1B2791D9" w14:textId="77777777" w:rsidR="007366D4" w:rsidRPr="00FD2F0C" w:rsidRDefault="007366D4" w:rsidP="00745ECC">
            <w:pPr>
              <w:rPr>
                <w:rFonts w:asciiTheme="minorHAnsi" w:hAnsiTheme="minorHAnsi"/>
                <w:lang w:val="en-GB"/>
              </w:rPr>
            </w:pPr>
            <w:r w:rsidRPr="00FD2F0C">
              <w:rPr>
                <w:rFonts w:asciiTheme="minorHAnsi" w:hAnsiTheme="minorHAnsi"/>
                <w:lang w:val="en-GB"/>
              </w:rPr>
              <w:t>Ministry of Information &amp; Communications (Kingdom of Bhutan)</w:t>
            </w:r>
          </w:p>
        </w:tc>
      </w:tr>
      <w:tr w:rsidR="007366D4" w:rsidRPr="00573C99" w14:paraId="50B2F9A5" w14:textId="77777777" w:rsidTr="00745ECC">
        <w:tc>
          <w:tcPr>
            <w:tcW w:w="2423" w:type="dxa"/>
            <w:shd w:val="clear" w:color="auto" w:fill="C6D9F1" w:themeFill="text2" w:themeFillTint="33"/>
          </w:tcPr>
          <w:p w14:paraId="6C212942" w14:textId="77777777" w:rsidR="007366D4" w:rsidRPr="00FD2F0C" w:rsidRDefault="007366D4" w:rsidP="00745ECC">
            <w:pPr>
              <w:rPr>
                <w:rFonts w:asciiTheme="minorHAnsi" w:hAnsiTheme="minorHAnsi"/>
              </w:rPr>
            </w:pPr>
            <w:r w:rsidRPr="00FD2F0C">
              <w:rPr>
                <w:rFonts w:asciiTheme="minorHAnsi" w:hAnsiTheme="minorHAnsi"/>
                <w:lang w:val="en-GB"/>
              </w:rPr>
              <w:t>MSIP</w:t>
            </w:r>
          </w:p>
        </w:tc>
        <w:tc>
          <w:tcPr>
            <w:tcW w:w="7206" w:type="dxa"/>
            <w:shd w:val="clear" w:color="auto" w:fill="C6D9F1" w:themeFill="text2" w:themeFillTint="33"/>
          </w:tcPr>
          <w:p w14:paraId="4F38CA3A" w14:textId="77777777" w:rsidR="007366D4" w:rsidRPr="00FD2F0C" w:rsidRDefault="007366D4" w:rsidP="00745ECC">
            <w:pPr>
              <w:rPr>
                <w:rFonts w:asciiTheme="minorHAnsi" w:hAnsiTheme="minorHAnsi"/>
                <w:lang w:val="en-GB"/>
              </w:rPr>
            </w:pPr>
            <w:r w:rsidRPr="00FD2F0C">
              <w:rPr>
                <w:rFonts w:asciiTheme="minorHAnsi" w:hAnsiTheme="minorHAnsi"/>
                <w:lang w:val="en-GB"/>
              </w:rPr>
              <w:t>Ministry of Science, ICT and Future Planning (Republic of Korea)</w:t>
            </w:r>
          </w:p>
        </w:tc>
      </w:tr>
      <w:tr w:rsidR="007366D4" w:rsidRPr="00FD2F0C" w14:paraId="137A26B3" w14:textId="77777777" w:rsidTr="00745ECC">
        <w:tc>
          <w:tcPr>
            <w:tcW w:w="2423" w:type="dxa"/>
          </w:tcPr>
          <w:p w14:paraId="7D202254" w14:textId="77777777" w:rsidR="007366D4" w:rsidRPr="00FD2F0C" w:rsidRDefault="007366D4" w:rsidP="00745ECC">
            <w:pPr>
              <w:rPr>
                <w:rFonts w:asciiTheme="minorHAnsi" w:hAnsiTheme="minorHAnsi"/>
              </w:rPr>
            </w:pPr>
            <w:r w:rsidRPr="00FD2F0C">
              <w:rPr>
                <w:rFonts w:asciiTheme="minorHAnsi" w:hAnsiTheme="minorHAnsi"/>
              </w:rPr>
              <w:t>NRA</w:t>
            </w:r>
          </w:p>
        </w:tc>
        <w:tc>
          <w:tcPr>
            <w:tcW w:w="7206" w:type="dxa"/>
          </w:tcPr>
          <w:p w14:paraId="54D1E63A" w14:textId="77777777" w:rsidR="007366D4" w:rsidRPr="00FD2F0C" w:rsidRDefault="007366D4" w:rsidP="00745ECC">
            <w:pPr>
              <w:rPr>
                <w:rFonts w:asciiTheme="minorHAnsi" w:hAnsiTheme="minorHAnsi"/>
                <w:lang w:val="en-US"/>
              </w:rPr>
            </w:pPr>
            <w:r w:rsidRPr="00FD2F0C">
              <w:rPr>
                <w:rFonts w:asciiTheme="minorHAnsi" w:hAnsiTheme="minorHAnsi"/>
                <w:lang w:val="en-US"/>
              </w:rPr>
              <w:t>National Regulatory Authority</w:t>
            </w:r>
          </w:p>
        </w:tc>
      </w:tr>
      <w:tr w:rsidR="007366D4" w:rsidRPr="00573C99" w14:paraId="6DEA6575" w14:textId="77777777" w:rsidTr="00745ECC">
        <w:tc>
          <w:tcPr>
            <w:tcW w:w="2423" w:type="dxa"/>
            <w:shd w:val="clear" w:color="auto" w:fill="C6D9F1" w:themeFill="text2" w:themeFillTint="33"/>
          </w:tcPr>
          <w:p w14:paraId="502B5C85" w14:textId="77777777" w:rsidR="007366D4" w:rsidRPr="00FD2F0C" w:rsidRDefault="007366D4" w:rsidP="00745ECC">
            <w:pPr>
              <w:rPr>
                <w:rFonts w:asciiTheme="minorHAnsi" w:hAnsiTheme="minorHAnsi"/>
              </w:rPr>
            </w:pPr>
            <w:r w:rsidRPr="00FD2F0C">
              <w:rPr>
                <w:rFonts w:asciiTheme="minorHAnsi" w:hAnsiTheme="minorHAnsi"/>
              </w:rPr>
              <w:t>NTFA</w:t>
            </w:r>
          </w:p>
        </w:tc>
        <w:tc>
          <w:tcPr>
            <w:tcW w:w="7206" w:type="dxa"/>
            <w:shd w:val="clear" w:color="auto" w:fill="C6D9F1" w:themeFill="text2" w:themeFillTint="33"/>
          </w:tcPr>
          <w:p w14:paraId="2A893CB3" w14:textId="77777777" w:rsidR="007366D4" w:rsidRPr="00FD2F0C" w:rsidRDefault="007366D4" w:rsidP="00745ECC">
            <w:pPr>
              <w:rPr>
                <w:rFonts w:asciiTheme="minorHAnsi" w:hAnsiTheme="minorHAnsi"/>
                <w:lang w:val="en-US"/>
              </w:rPr>
            </w:pPr>
            <w:r w:rsidRPr="00FD2F0C">
              <w:rPr>
                <w:rFonts w:asciiTheme="minorHAnsi" w:hAnsiTheme="minorHAnsi"/>
                <w:lang w:val="en-US"/>
              </w:rPr>
              <w:t>National Table of Frequency Allocation</w:t>
            </w:r>
          </w:p>
        </w:tc>
      </w:tr>
      <w:tr w:rsidR="007366D4" w:rsidRPr="00FD2F0C" w14:paraId="5AF6C34A" w14:textId="77777777" w:rsidTr="00745ECC">
        <w:tc>
          <w:tcPr>
            <w:tcW w:w="2423" w:type="dxa"/>
          </w:tcPr>
          <w:p w14:paraId="54432FD1" w14:textId="77777777" w:rsidR="007366D4" w:rsidRPr="00FD2F0C" w:rsidRDefault="007366D4" w:rsidP="00745ECC">
            <w:pPr>
              <w:rPr>
                <w:rFonts w:asciiTheme="minorHAnsi" w:hAnsiTheme="minorHAnsi"/>
              </w:rPr>
            </w:pPr>
            <w:r w:rsidRPr="00FD2F0C">
              <w:rPr>
                <w:rFonts w:asciiTheme="minorHAnsi" w:hAnsiTheme="minorHAnsi"/>
              </w:rPr>
              <w:t>NTP</w:t>
            </w:r>
          </w:p>
        </w:tc>
        <w:tc>
          <w:tcPr>
            <w:tcW w:w="7206" w:type="dxa"/>
          </w:tcPr>
          <w:p w14:paraId="308E3793" w14:textId="77777777" w:rsidR="007366D4" w:rsidRPr="00FD2F0C" w:rsidRDefault="007366D4" w:rsidP="00745ECC">
            <w:pPr>
              <w:rPr>
                <w:rFonts w:asciiTheme="minorHAnsi" w:hAnsiTheme="minorHAnsi"/>
                <w:lang w:val="en-US"/>
              </w:rPr>
            </w:pPr>
            <w:r w:rsidRPr="00FD2F0C">
              <w:rPr>
                <w:rFonts w:asciiTheme="minorHAnsi" w:hAnsiTheme="minorHAnsi"/>
                <w:lang w:val="en-GB"/>
              </w:rPr>
              <w:t>National Telecommunications Policy (Tanzania)</w:t>
            </w:r>
          </w:p>
        </w:tc>
      </w:tr>
      <w:tr w:rsidR="007366D4" w:rsidRPr="00FD2F0C" w14:paraId="1DE5A54B" w14:textId="77777777" w:rsidTr="00745ECC">
        <w:tc>
          <w:tcPr>
            <w:tcW w:w="2423" w:type="dxa"/>
            <w:shd w:val="clear" w:color="auto" w:fill="C6D9F1" w:themeFill="text2" w:themeFillTint="33"/>
          </w:tcPr>
          <w:p w14:paraId="47AED343" w14:textId="77777777" w:rsidR="007366D4" w:rsidRPr="00FD2F0C" w:rsidRDefault="007366D4" w:rsidP="00745ECC">
            <w:pPr>
              <w:rPr>
                <w:rFonts w:asciiTheme="minorHAnsi" w:hAnsiTheme="minorHAnsi"/>
              </w:rPr>
            </w:pPr>
            <w:r w:rsidRPr="00FD2F0C">
              <w:rPr>
                <w:rFonts w:asciiTheme="minorHAnsi" w:hAnsiTheme="minorHAnsi"/>
              </w:rPr>
              <w:t>OSA</w:t>
            </w:r>
          </w:p>
        </w:tc>
        <w:tc>
          <w:tcPr>
            <w:tcW w:w="7206" w:type="dxa"/>
            <w:shd w:val="clear" w:color="auto" w:fill="C6D9F1" w:themeFill="text2" w:themeFillTint="33"/>
          </w:tcPr>
          <w:p w14:paraId="18EB81F7" w14:textId="77777777" w:rsidR="007366D4" w:rsidRPr="00FD2F0C" w:rsidRDefault="007366D4" w:rsidP="00745ECC">
            <w:pPr>
              <w:rPr>
                <w:rFonts w:asciiTheme="minorHAnsi" w:hAnsiTheme="minorHAnsi"/>
                <w:lang w:val="en-GB" w:eastAsia="zh-CN"/>
              </w:rPr>
            </w:pPr>
            <w:r w:rsidRPr="00FD2F0C">
              <w:rPr>
                <w:rFonts w:asciiTheme="minorHAnsi" w:hAnsiTheme="minorHAnsi"/>
              </w:rPr>
              <w:t>Open Spectrum Access</w:t>
            </w:r>
          </w:p>
        </w:tc>
      </w:tr>
      <w:tr w:rsidR="007366D4" w:rsidRPr="00FD2F0C" w14:paraId="5B18F6DD" w14:textId="77777777" w:rsidTr="00745ECC">
        <w:tc>
          <w:tcPr>
            <w:tcW w:w="2423" w:type="dxa"/>
          </w:tcPr>
          <w:p w14:paraId="0E02E971" w14:textId="77777777" w:rsidR="007366D4" w:rsidRPr="00FD2F0C" w:rsidRDefault="007366D4" w:rsidP="00745ECC">
            <w:pPr>
              <w:rPr>
                <w:rFonts w:asciiTheme="minorHAnsi" w:hAnsiTheme="minorHAnsi"/>
              </w:rPr>
            </w:pPr>
            <w:r w:rsidRPr="00FD2F0C">
              <w:rPr>
                <w:rFonts w:asciiTheme="minorHAnsi" w:hAnsiTheme="minorHAnsi"/>
              </w:rPr>
              <w:t>PAL</w:t>
            </w:r>
          </w:p>
        </w:tc>
        <w:tc>
          <w:tcPr>
            <w:tcW w:w="7206" w:type="dxa"/>
          </w:tcPr>
          <w:p w14:paraId="20C25A8F" w14:textId="77777777" w:rsidR="007366D4" w:rsidRPr="00FD2F0C" w:rsidRDefault="007366D4" w:rsidP="00745ECC">
            <w:pPr>
              <w:rPr>
                <w:rFonts w:asciiTheme="minorHAnsi" w:hAnsiTheme="minorHAnsi"/>
                <w:lang w:val="en-US"/>
              </w:rPr>
            </w:pPr>
            <w:r w:rsidRPr="00FD2F0C">
              <w:rPr>
                <w:rFonts w:asciiTheme="minorHAnsi" w:hAnsiTheme="minorHAnsi"/>
                <w:lang w:val="en-US"/>
              </w:rPr>
              <w:t>Priority Access License</w:t>
            </w:r>
          </w:p>
        </w:tc>
      </w:tr>
      <w:tr w:rsidR="007366D4" w:rsidRPr="00573C99" w14:paraId="79ADB4A2" w14:textId="77777777" w:rsidTr="00745ECC">
        <w:tc>
          <w:tcPr>
            <w:tcW w:w="2423" w:type="dxa"/>
            <w:shd w:val="clear" w:color="auto" w:fill="C6D9F1" w:themeFill="text2" w:themeFillTint="33"/>
          </w:tcPr>
          <w:p w14:paraId="67C37119" w14:textId="77777777" w:rsidR="007366D4" w:rsidRPr="00FD2F0C" w:rsidRDefault="007366D4" w:rsidP="00745ECC">
            <w:pPr>
              <w:rPr>
                <w:rFonts w:asciiTheme="minorHAnsi" w:hAnsiTheme="minorHAnsi"/>
              </w:rPr>
            </w:pPr>
            <w:r w:rsidRPr="00FD2F0C">
              <w:rPr>
                <w:rFonts w:asciiTheme="minorHAnsi" w:hAnsiTheme="minorHAnsi"/>
              </w:rPr>
              <w:t>PAWS</w:t>
            </w:r>
          </w:p>
        </w:tc>
        <w:tc>
          <w:tcPr>
            <w:tcW w:w="7206" w:type="dxa"/>
            <w:shd w:val="clear" w:color="auto" w:fill="C6D9F1" w:themeFill="text2" w:themeFillTint="33"/>
          </w:tcPr>
          <w:p w14:paraId="4FD6ACBD" w14:textId="77777777" w:rsidR="007366D4" w:rsidRPr="00FD2F0C" w:rsidRDefault="007366D4" w:rsidP="00745ECC">
            <w:pPr>
              <w:rPr>
                <w:rFonts w:asciiTheme="minorHAnsi" w:hAnsiTheme="minorHAnsi"/>
                <w:lang w:val="en-GB"/>
              </w:rPr>
            </w:pPr>
            <w:r w:rsidRPr="00FD2F0C">
              <w:rPr>
                <w:rFonts w:asciiTheme="minorHAnsi" w:hAnsiTheme="minorHAnsi"/>
                <w:lang w:val="en-GB"/>
              </w:rPr>
              <w:t>Protect Against Wrapped Sequence(s)</w:t>
            </w:r>
          </w:p>
        </w:tc>
      </w:tr>
      <w:tr w:rsidR="007366D4" w:rsidRPr="00573C99" w14:paraId="5A0046F2" w14:textId="77777777" w:rsidTr="00745ECC">
        <w:tc>
          <w:tcPr>
            <w:tcW w:w="2423" w:type="dxa"/>
          </w:tcPr>
          <w:p w14:paraId="17F7B339" w14:textId="77777777" w:rsidR="007366D4" w:rsidRPr="00FD2F0C" w:rsidRDefault="007366D4" w:rsidP="00745ECC">
            <w:pPr>
              <w:rPr>
                <w:rFonts w:asciiTheme="minorHAnsi" w:hAnsiTheme="minorHAnsi"/>
              </w:rPr>
            </w:pPr>
            <w:r w:rsidRPr="00FD2F0C">
              <w:rPr>
                <w:rFonts w:asciiTheme="minorHAnsi" w:hAnsiTheme="minorHAnsi"/>
              </w:rPr>
              <w:t>PMSE</w:t>
            </w:r>
          </w:p>
        </w:tc>
        <w:tc>
          <w:tcPr>
            <w:tcW w:w="7206" w:type="dxa"/>
          </w:tcPr>
          <w:p w14:paraId="14A35BAA" w14:textId="77777777" w:rsidR="007366D4" w:rsidRPr="00FD2F0C" w:rsidRDefault="007366D4" w:rsidP="00745ECC">
            <w:pPr>
              <w:rPr>
                <w:rFonts w:asciiTheme="minorHAnsi" w:hAnsiTheme="minorHAnsi"/>
                <w:lang w:val="en-US"/>
              </w:rPr>
            </w:pPr>
            <w:r w:rsidRPr="00FD2F0C">
              <w:rPr>
                <w:rFonts w:asciiTheme="minorHAnsi" w:hAnsiTheme="minorHAnsi"/>
                <w:lang w:val="en-GB"/>
              </w:rPr>
              <w:t>Programme Making and Special Events</w:t>
            </w:r>
          </w:p>
        </w:tc>
      </w:tr>
      <w:tr w:rsidR="007366D4" w:rsidRPr="00FD2F0C" w14:paraId="145215C5" w14:textId="77777777" w:rsidTr="00745ECC">
        <w:tc>
          <w:tcPr>
            <w:tcW w:w="2423" w:type="dxa"/>
            <w:shd w:val="clear" w:color="auto" w:fill="C6D9F1" w:themeFill="text2" w:themeFillTint="33"/>
          </w:tcPr>
          <w:p w14:paraId="57AEA8F9" w14:textId="77777777" w:rsidR="007366D4" w:rsidRPr="00FD2F0C" w:rsidRDefault="007366D4" w:rsidP="00745ECC">
            <w:pPr>
              <w:rPr>
                <w:rFonts w:asciiTheme="minorHAnsi" w:hAnsiTheme="minorHAnsi"/>
              </w:rPr>
            </w:pPr>
            <w:r w:rsidRPr="00FD2F0C">
              <w:rPr>
                <w:rFonts w:asciiTheme="minorHAnsi" w:hAnsiTheme="minorHAnsi"/>
              </w:rPr>
              <w:t>QoS</w:t>
            </w:r>
          </w:p>
        </w:tc>
        <w:tc>
          <w:tcPr>
            <w:tcW w:w="7206" w:type="dxa"/>
            <w:shd w:val="clear" w:color="auto" w:fill="C6D9F1" w:themeFill="text2" w:themeFillTint="33"/>
          </w:tcPr>
          <w:p w14:paraId="62954A59" w14:textId="77777777" w:rsidR="007366D4" w:rsidRPr="00FD2F0C" w:rsidRDefault="007366D4" w:rsidP="00745ECC">
            <w:pPr>
              <w:rPr>
                <w:rFonts w:asciiTheme="minorHAnsi" w:hAnsiTheme="minorHAnsi"/>
                <w:lang w:val="en-US"/>
              </w:rPr>
            </w:pPr>
            <w:r w:rsidRPr="00FD2F0C">
              <w:rPr>
                <w:rFonts w:asciiTheme="minorHAnsi" w:hAnsiTheme="minorHAnsi"/>
                <w:lang w:val="en-US"/>
              </w:rPr>
              <w:t>Quality of Service</w:t>
            </w:r>
          </w:p>
        </w:tc>
      </w:tr>
      <w:tr w:rsidR="007366D4" w:rsidRPr="00573C99" w14:paraId="028D0032" w14:textId="77777777" w:rsidTr="00745ECC">
        <w:tc>
          <w:tcPr>
            <w:tcW w:w="2423" w:type="dxa"/>
          </w:tcPr>
          <w:p w14:paraId="2C19ED73" w14:textId="77777777" w:rsidR="007366D4" w:rsidRPr="00FD2F0C" w:rsidRDefault="007366D4" w:rsidP="00745ECC">
            <w:pPr>
              <w:rPr>
                <w:rFonts w:asciiTheme="minorHAnsi" w:hAnsiTheme="minorHAnsi"/>
              </w:rPr>
            </w:pPr>
            <w:r w:rsidRPr="00FD2F0C">
              <w:rPr>
                <w:rFonts w:asciiTheme="minorHAnsi" w:hAnsiTheme="minorHAnsi"/>
              </w:rPr>
              <w:t>RAPA</w:t>
            </w:r>
          </w:p>
        </w:tc>
        <w:tc>
          <w:tcPr>
            <w:tcW w:w="7206" w:type="dxa"/>
          </w:tcPr>
          <w:p w14:paraId="79B7282B" w14:textId="77777777" w:rsidR="007366D4" w:rsidRPr="00FD2F0C" w:rsidRDefault="007366D4" w:rsidP="00745ECC">
            <w:pPr>
              <w:rPr>
                <w:rFonts w:asciiTheme="minorHAnsi" w:hAnsiTheme="minorHAnsi"/>
                <w:lang w:val="en-US"/>
              </w:rPr>
            </w:pPr>
            <w:r w:rsidRPr="00FD2F0C">
              <w:rPr>
                <w:rFonts w:asciiTheme="minorHAnsi" w:hAnsiTheme="minorHAnsi"/>
                <w:bCs/>
                <w:lang w:val="en-GB"/>
              </w:rPr>
              <w:t>Korea Radio Promotion Association (Republic of Korea)</w:t>
            </w:r>
          </w:p>
        </w:tc>
      </w:tr>
      <w:tr w:rsidR="007366D4" w:rsidRPr="00FD2F0C" w14:paraId="6B5AAD08" w14:textId="77777777" w:rsidTr="00745ECC">
        <w:tc>
          <w:tcPr>
            <w:tcW w:w="2423" w:type="dxa"/>
            <w:shd w:val="clear" w:color="auto" w:fill="C6D9F1" w:themeFill="text2" w:themeFillTint="33"/>
          </w:tcPr>
          <w:p w14:paraId="764D3A54" w14:textId="77777777" w:rsidR="007366D4" w:rsidRPr="00FD2F0C" w:rsidRDefault="007366D4" w:rsidP="00745ECC">
            <w:pPr>
              <w:rPr>
                <w:rFonts w:asciiTheme="minorHAnsi" w:hAnsiTheme="minorHAnsi"/>
              </w:rPr>
            </w:pPr>
            <w:r w:rsidRPr="00FD2F0C">
              <w:rPr>
                <w:rFonts w:asciiTheme="minorHAnsi" w:hAnsiTheme="minorHAnsi"/>
              </w:rPr>
              <w:t>RFID</w:t>
            </w:r>
          </w:p>
        </w:tc>
        <w:tc>
          <w:tcPr>
            <w:tcW w:w="7206" w:type="dxa"/>
            <w:shd w:val="clear" w:color="auto" w:fill="C6D9F1" w:themeFill="text2" w:themeFillTint="33"/>
          </w:tcPr>
          <w:p w14:paraId="0BC3A341" w14:textId="77777777" w:rsidR="007366D4" w:rsidRPr="00FD2F0C" w:rsidRDefault="007366D4" w:rsidP="00745ECC">
            <w:pPr>
              <w:rPr>
                <w:rFonts w:asciiTheme="minorHAnsi" w:hAnsiTheme="minorHAnsi"/>
                <w:bCs/>
                <w:lang w:val="en-GB"/>
              </w:rPr>
            </w:pPr>
            <w:r w:rsidRPr="00FD2F0C">
              <w:rPr>
                <w:rFonts w:asciiTheme="minorHAnsi" w:hAnsiTheme="minorHAnsi"/>
                <w:bCs/>
                <w:lang w:val="en-GB"/>
              </w:rPr>
              <w:t>Radio Frequency Identification</w:t>
            </w:r>
          </w:p>
        </w:tc>
      </w:tr>
      <w:tr w:rsidR="007366D4" w:rsidRPr="00FD2F0C" w14:paraId="3AE6296F" w14:textId="77777777" w:rsidTr="00745ECC">
        <w:tc>
          <w:tcPr>
            <w:tcW w:w="2423" w:type="dxa"/>
          </w:tcPr>
          <w:p w14:paraId="10AD037F" w14:textId="77777777" w:rsidR="007366D4" w:rsidRPr="00FD2F0C" w:rsidRDefault="007366D4" w:rsidP="00745ECC">
            <w:pPr>
              <w:rPr>
                <w:rFonts w:asciiTheme="minorHAnsi" w:hAnsiTheme="minorHAnsi"/>
              </w:rPr>
            </w:pPr>
            <w:r w:rsidRPr="00FD2F0C">
              <w:rPr>
                <w:rFonts w:asciiTheme="minorHAnsi" w:hAnsiTheme="minorHAnsi"/>
              </w:rPr>
              <w:t>RLAN</w:t>
            </w:r>
          </w:p>
        </w:tc>
        <w:tc>
          <w:tcPr>
            <w:tcW w:w="7206" w:type="dxa"/>
          </w:tcPr>
          <w:p w14:paraId="586BCEB7" w14:textId="77777777" w:rsidR="007366D4" w:rsidRPr="00FD2F0C" w:rsidRDefault="007366D4" w:rsidP="00745ECC">
            <w:pPr>
              <w:rPr>
                <w:rFonts w:asciiTheme="minorHAnsi" w:hAnsiTheme="minorHAnsi"/>
                <w:lang w:val="en-US"/>
              </w:rPr>
            </w:pPr>
            <w:r w:rsidRPr="00FD2F0C">
              <w:rPr>
                <w:rFonts w:asciiTheme="minorHAnsi" w:hAnsiTheme="minorHAnsi"/>
                <w:lang w:val="en-US"/>
              </w:rPr>
              <w:t>Radio Local Area Network</w:t>
            </w:r>
          </w:p>
        </w:tc>
      </w:tr>
      <w:tr w:rsidR="007366D4" w:rsidRPr="00FD2F0C" w14:paraId="338CACB0" w14:textId="77777777" w:rsidTr="00745ECC">
        <w:tc>
          <w:tcPr>
            <w:tcW w:w="2423" w:type="dxa"/>
            <w:shd w:val="clear" w:color="auto" w:fill="C6D9F1" w:themeFill="text2" w:themeFillTint="33"/>
          </w:tcPr>
          <w:p w14:paraId="2AD050D5" w14:textId="77777777" w:rsidR="007366D4" w:rsidRPr="00FD2F0C" w:rsidRDefault="007366D4" w:rsidP="00745ECC">
            <w:pPr>
              <w:rPr>
                <w:rFonts w:asciiTheme="minorHAnsi" w:hAnsiTheme="minorHAnsi"/>
              </w:rPr>
            </w:pPr>
            <w:r w:rsidRPr="00FD2F0C">
              <w:rPr>
                <w:rFonts w:asciiTheme="minorHAnsi" w:hAnsiTheme="minorHAnsi"/>
              </w:rPr>
              <w:t>RR</w:t>
            </w:r>
          </w:p>
        </w:tc>
        <w:tc>
          <w:tcPr>
            <w:tcW w:w="7206" w:type="dxa"/>
            <w:shd w:val="clear" w:color="auto" w:fill="C6D9F1" w:themeFill="text2" w:themeFillTint="33"/>
          </w:tcPr>
          <w:p w14:paraId="14B9B620" w14:textId="77777777" w:rsidR="007366D4" w:rsidRPr="00FD2F0C" w:rsidRDefault="007366D4" w:rsidP="00745ECC">
            <w:pPr>
              <w:rPr>
                <w:rFonts w:asciiTheme="minorHAnsi" w:hAnsiTheme="minorHAnsi"/>
                <w:lang w:val="en-US"/>
              </w:rPr>
            </w:pPr>
            <w:r w:rsidRPr="00FD2F0C">
              <w:rPr>
                <w:rFonts w:asciiTheme="minorHAnsi" w:hAnsiTheme="minorHAnsi"/>
                <w:lang w:val="en-US"/>
              </w:rPr>
              <w:t>Radio Regulations</w:t>
            </w:r>
          </w:p>
        </w:tc>
      </w:tr>
      <w:tr w:rsidR="007366D4" w:rsidRPr="00FD2F0C" w14:paraId="1517C749" w14:textId="77777777" w:rsidTr="00745ECC">
        <w:tc>
          <w:tcPr>
            <w:tcW w:w="2423" w:type="dxa"/>
          </w:tcPr>
          <w:p w14:paraId="36C9A538" w14:textId="77777777" w:rsidR="007366D4" w:rsidRPr="00FD2F0C" w:rsidRDefault="007366D4" w:rsidP="00745ECC">
            <w:pPr>
              <w:rPr>
                <w:rFonts w:asciiTheme="minorHAnsi" w:hAnsiTheme="minorHAnsi"/>
              </w:rPr>
            </w:pPr>
            <w:r w:rsidRPr="00FD2F0C">
              <w:rPr>
                <w:rFonts w:asciiTheme="minorHAnsi" w:hAnsiTheme="minorHAnsi"/>
              </w:rPr>
              <w:t>RSPG</w:t>
            </w:r>
          </w:p>
        </w:tc>
        <w:tc>
          <w:tcPr>
            <w:tcW w:w="7206" w:type="dxa"/>
          </w:tcPr>
          <w:p w14:paraId="70D4218B" w14:textId="77777777" w:rsidR="007366D4" w:rsidRPr="00FD2F0C" w:rsidRDefault="007366D4" w:rsidP="00745ECC">
            <w:pPr>
              <w:rPr>
                <w:rFonts w:asciiTheme="minorHAnsi" w:hAnsiTheme="minorHAnsi"/>
                <w:b/>
                <w:bCs/>
                <w:lang w:val="en-US"/>
              </w:rPr>
            </w:pPr>
            <w:r w:rsidRPr="00FD2F0C">
              <w:rPr>
                <w:rFonts w:asciiTheme="minorHAnsi" w:hAnsiTheme="minorHAnsi"/>
              </w:rPr>
              <w:t>Radio Spectrum Policy Group</w:t>
            </w:r>
          </w:p>
        </w:tc>
      </w:tr>
      <w:tr w:rsidR="007366D4" w:rsidRPr="00FD2F0C" w14:paraId="4B919FE9" w14:textId="77777777" w:rsidTr="00745ECC">
        <w:tc>
          <w:tcPr>
            <w:tcW w:w="2423" w:type="dxa"/>
            <w:shd w:val="clear" w:color="auto" w:fill="C6D9F1" w:themeFill="text2" w:themeFillTint="33"/>
          </w:tcPr>
          <w:p w14:paraId="4C4503AD" w14:textId="77777777" w:rsidR="007366D4" w:rsidRPr="00FD2F0C" w:rsidRDefault="007366D4" w:rsidP="00745ECC">
            <w:pPr>
              <w:rPr>
                <w:rFonts w:asciiTheme="minorHAnsi" w:hAnsiTheme="minorHAnsi"/>
              </w:rPr>
            </w:pPr>
            <w:r w:rsidRPr="00FD2F0C">
              <w:rPr>
                <w:rFonts w:asciiTheme="minorHAnsi" w:hAnsiTheme="minorHAnsi"/>
              </w:rPr>
              <w:lastRenderedPageBreak/>
              <w:t>SAS</w:t>
            </w:r>
          </w:p>
        </w:tc>
        <w:tc>
          <w:tcPr>
            <w:tcW w:w="7206" w:type="dxa"/>
            <w:shd w:val="clear" w:color="auto" w:fill="C6D9F1" w:themeFill="text2" w:themeFillTint="33"/>
          </w:tcPr>
          <w:p w14:paraId="0EAADA9E" w14:textId="77777777" w:rsidR="007366D4" w:rsidRPr="00FD2F0C" w:rsidRDefault="007366D4" w:rsidP="00745ECC">
            <w:pPr>
              <w:rPr>
                <w:rFonts w:asciiTheme="minorHAnsi" w:hAnsiTheme="minorHAnsi"/>
                <w:lang w:val="en-US" w:eastAsia="zh-CN"/>
              </w:rPr>
            </w:pPr>
            <w:r w:rsidRPr="00FD2F0C">
              <w:rPr>
                <w:rFonts w:asciiTheme="minorHAnsi" w:hAnsiTheme="minorHAnsi"/>
                <w:lang w:val="en-US"/>
              </w:rPr>
              <w:t>Spectrum Access Systems</w:t>
            </w:r>
          </w:p>
        </w:tc>
      </w:tr>
      <w:tr w:rsidR="007366D4" w:rsidRPr="00FD2F0C" w14:paraId="57429D41" w14:textId="77777777" w:rsidTr="00745ECC">
        <w:tc>
          <w:tcPr>
            <w:tcW w:w="2423" w:type="dxa"/>
          </w:tcPr>
          <w:p w14:paraId="2CB0968C" w14:textId="77777777" w:rsidR="007366D4" w:rsidRPr="00FD2F0C" w:rsidRDefault="007366D4" w:rsidP="00745ECC">
            <w:pPr>
              <w:rPr>
                <w:rFonts w:asciiTheme="minorHAnsi" w:hAnsiTheme="minorHAnsi"/>
              </w:rPr>
            </w:pPr>
            <w:r w:rsidRPr="00FD2F0C">
              <w:rPr>
                <w:rFonts w:asciiTheme="minorHAnsi" w:hAnsiTheme="minorHAnsi"/>
              </w:rPr>
              <w:t>SDR</w:t>
            </w:r>
          </w:p>
        </w:tc>
        <w:tc>
          <w:tcPr>
            <w:tcW w:w="7206" w:type="dxa"/>
          </w:tcPr>
          <w:p w14:paraId="0D8C37BA" w14:textId="77777777" w:rsidR="007366D4" w:rsidRPr="00FD2F0C" w:rsidRDefault="007366D4" w:rsidP="00745ECC">
            <w:pPr>
              <w:rPr>
                <w:rFonts w:asciiTheme="minorHAnsi" w:hAnsiTheme="minorHAnsi"/>
                <w:lang w:val="en-US"/>
              </w:rPr>
            </w:pPr>
            <w:r w:rsidRPr="00FD2F0C">
              <w:rPr>
                <w:rFonts w:asciiTheme="minorHAnsi" w:hAnsiTheme="minorHAnsi"/>
                <w:lang w:val="en-US"/>
              </w:rPr>
              <w:t>Software-Defined Radio</w:t>
            </w:r>
          </w:p>
        </w:tc>
      </w:tr>
      <w:tr w:rsidR="007366D4" w:rsidRPr="00FD2F0C" w14:paraId="4ADAFAFF" w14:textId="77777777" w:rsidTr="00745ECC">
        <w:tc>
          <w:tcPr>
            <w:tcW w:w="2423" w:type="dxa"/>
            <w:shd w:val="clear" w:color="auto" w:fill="C6D9F1" w:themeFill="text2" w:themeFillTint="33"/>
          </w:tcPr>
          <w:p w14:paraId="3197B9C7" w14:textId="77777777" w:rsidR="007366D4" w:rsidRPr="00FD2F0C" w:rsidRDefault="007366D4" w:rsidP="00745ECC">
            <w:pPr>
              <w:rPr>
                <w:rFonts w:asciiTheme="minorHAnsi" w:hAnsiTheme="minorHAnsi"/>
              </w:rPr>
            </w:pPr>
            <w:r w:rsidRPr="00FD2F0C">
              <w:rPr>
                <w:rFonts w:asciiTheme="minorHAnsi" w:hAnsiTheme="minorHAnsi"/>
              </w:rPr>
              <w:t>SMN</w:t>
            </w:r>
          </w:p>
        </w:tc>
        <w:tc>
          <w:tcPr>
            <w:tcW w:w="7206" w:type="dxa"/>
            <w:shd w:val="clear" w:color="auto" w:fill="C6D9F1" w:themeFill="text2" w:themeFillTint="33"/>
          </w:tcPr>
          <w:p w14:paraId="24BEE81A" w14:textId="77777777" w:rsidR="007366D4" w:rsidRPr="00FD2F0C" w:rsidRDefault="007366D4" w:rsidP="00745ECC">
            <w:pPr>
              <w:rPr>
                <w:rFonts w:asciiTheme="minorHAnsi" w:hAnsiTheme="minorHAnsi"/>
                <w:lang w:val="en-US"/>
              </w:rPr>
            </w:pPr>
            <w:r w:rsidRPr="00FD2F0C">
              <w:rPr>
                <w:rFonts w:asciiTheme="minorHAnsi" w:hAnsiTheme="minorHAnsi"/>
                <w:lang w:val="en-GB"/>
              </w:rPr>
              <w:t>Spectrum Monitoring Network</w:t>
            </w:r>
          </w:p>
        </w:tc>
      </w:tr>
      <w:tr w:rsidR="007366D4" w:rsidRPr="00573C99" w14:paraId="3A6D06C6" w14:textId="77777777" w:rsidTr="00745ECC">
        <w:tc>
          <w:tcPr>
            <w:tcW w:w="2423" w:type="dxa"/>
          </w:tcPr>
          <w:p w14:paraId="4DDBE266" w14:textId="77777777" w:rsidR="007366D4" w:rsidRPr="00FD2F0C" w:rsidRDefault="007366D4" w:rsidP="00745ECC">
            <w:pPr>
              <w:rPr>
                <w:rFonts w:asciiTheme="minorHAnsi" w:hAnsiTheme="minorHAnsi"/>
              </w:rPr>
            </w:pPr>
            <w:r w:rsidRPr="00FD2F0C">
              <w:rPr>
                <w:rFonts w:asciiTheme="minorHAnsi" w:hAnsiTheme="minorHAnsi"/>
              </w:rPr>
              <w:t>SMS4DC</w:t>
            </w:r>
          </w:p>
        </w:tc>
        <w:tc>
          <w:tcPr>
            <w:tcW w:w="7206" w:type="dxa"/>
          </w:tcPr>
          <w:p w14:paraId="07895420" w14:textId="77777777" w:rsidR="007366D4" w:rsidRPr="00FD2F0C" w:rsidRDefault="007366D4" w:rsidP="00745ECC">
            <w:pPr>
              <w:rPr>
                <w:rFonts w:asciiTheme="minorHAnsi" w:hAnsiTheme="minorHAnsi"/>
                <w:lang w:val="en-US"/>
              </w:rPr>
            </w:pPr>
            <w:r w:rsidRPr="00FD2F0C">
              <w:rPr>
                <w:rFonts w:asciiTheme="minorHAnsi" w:hAnsiTheme="minorHAnsi"/>
                <w:lang w:val="en-GB"/>
              </w:rPr>
              <w:t>Spectrum Management System for Developing Countries</w:t>
            </w:r>
          </w:p>
        </w:tc>
      </w:tr>
      <w:tr w:rsidR="007366D4" w:rsidRPr="00FD2F0C" w14:paraId="0CC3F50C" w14:textId="77777777" w:rsidTr="00745ECC">
        <w:tc>
          <w:tcPr>
            <w:tcW w:w="2423" w:type="dxa"/>
            <w:shd w:val="clear" w:color="auto" w:fill="C6D9F1" w:themeFill="text2" w:themeFillTint="33"/>
          </w:tcPr>
          <w:p w14:paraId="03A9A7C9" w14:textId="77777777" w:rsidR="007366D4" w:rsidRPr="00FD2F0C" w:rsidRDefault="007366D4" w:rsidP="00745ECC">
            <w:pPr>
              <w:rPr>
                <w:rFonts w:asciiTheme="minorHAnsi" w:hAnsiTheme="minorHAnsi"/>
              </w:rPr>
            </w:pPr>
            <w:r w:rsidRPr="00FD2F0C">
              <w:rPr>
                <w:rFonts w:asciiTheme="minorHAnsi" w:hAnsiTheme="minorHAnsi"/>
              </w:rPr>
              <w:t>SRFC</w:t>
            </w:r>
          </w:p>
        </w:tc>
        <w:tc>
          <w:tcPr>
            <w:tcW w:w="7206" w:type="dxa"/>
            <w:shd w:val="clear" w:color="auto" w:fill="C6D9F1" w:themeFill="text2" w:themeFillTint="33"/>
          </w:tcPr>
          <w:p w14:paraId="1E9672EF" w14:textId="77777777" w:rsidR="007366D4" w:rsidRPr="00FD2F0C" w:rsidRDefault="007366D4" w:rsidP="00745ECC">
            <w:pPr>
              <w:rPr>
                <w:rFonts w:asciiTheme="minorHAnsi" w:hAnsiTheme="minorHAnsi"/>
                <w:lang w:val="en-US"/>
              </w:rPr>
            </w:pPr>
            <w:r w:rsidRPr="00FD2F0C">
              <w:rPr>
                <w:rFonts w:asciiTheme="minorHAnsi" w:hAnsiTheme="minorHAnsi"/>
                <w:lang w:val="en-GB"/>
              </w:rPr>
              <w:t>State Radio Frequency Commission</w:t>
            </w:r>
          </w:p>
        </w:tc>
      </w:tr>
      <w:tr w:rsidR="007366D4" w:rsidRPr="00FD2F0C" w14:paraId="56783D5A" w14:textId="77777777" w:rsidTr="00745ECC">
        <w:tc>
          <w:tcPr>
            <w:tcW w:w="2423" w:type="dxa"/>
          </w:tcPr>
          <w:p w14:paraId="549C8601" w14:textId="77777777" w:rsidR="007366D4" w:rsidRPr="00FD2F0C" w:rsidRDefault="007366D4" w:rsidP="00745ECC">
            <w:pPr>
              <w:rPr>
                <w:rFonts w:asciiTheme="minorHAnsi" w:hAnsiTheme="minorHAnsi"/>
              </w:rPr>
            </w:pPr>
            <w:r w:rsidRPr="00FD2F0C">
              <w:rPr>
                <w:rFonts w:asciiTheme="minorHAnsi" w:hAnsiTheme="minorHAnsi"/>
              </w:rPr>
              <w:t>STIR</w:t>
            </w:r>
          </w:p>
        </w:tc>
        <w:tc>
          <w:tcPr>
            <w:tcW w:w="7206" w:type="dxa"/>
          </w:tcPr>
          <w:p w14:paraId="13CDBA7E" w14:textId="77777777" w:rsidR="007366D4" w:rsidRPr="00FD2F0C" w:rsidRDefault="007366D4" w:rsidP="00745ECC">
            <w:pPr>
              <w:rPr>
                <w:rFonts w:asciiTheme="minorHAnsi" w:hAnsiTheme="minorHAnsi"/>
                <w:lang w:val="en-GB"/>
              </w:rPr>
            </w:pPr>
            <w:r w:rsidRPr="00FD2F0C">
              <w:rPr>
                <w:rFonts w:asciiTheme="minorHAnsi" w:hAnsiTheme="minorHAnsi"/>
              </w:rPr>
              <w:t>Spectrum Management IT System</w:t>
            </w:r>
          </w:p>
        </w:tc>
      </w:tr>
      <w:tr w:rsidR="007366D4" w:rsidRPr="00FD2F0C" w14:paraId="0BE06BAB" w14:textId="77777777" w:rsidTr="00745ECC">
        <w:tc>
          <w:tcPr>
            <w:tcW w:w="2423" w:type="dxa"/>
            <w:shd w:val="clear" w:color="auto" w:fill="C6D9F1" w:themeFill="text2" w:themeFillTint="33"/>
          </w:tcPr>
          <w:p w14:paraId="5DD68DC5" w14:textId="77777777" w:rsidR="007366D4" w:rsidRPr="00FD2F0C" w:rsidRDefault="007366D4" w:rsidP="00745ECC">
            <w:pPr>
              <w:rPr>
                <w:rFonts w:asciiTheme="minorHAnsi" w:hAnsiTheme="minorHAnsi"/>
              </w:rPr>
            </w:pPr>
            <w:r w:rsidRPr="00FD2F0C">
              <w:rPr>
                <w:rFonts w:asciiTheme="minorHAnsi" w:hAnsiTheme="minorHAnsi"/>
              </w:rPr>
              <w:t>TCA</w:t>
            </w:r>
          </w:p>
        </w:tc>
        <w:tc>
          <w:tcPr>
            <w:tcW w:w="7206" w:type="dxa"/>
            <w:shd w:val="clear" w:color="auto" w:fill="C6D9F1" w:themeFill="text2" w:themeFillTint="33"/>
          </w:tcPr>
          <w:p w14:paraId="0B09A3DF" w14:textId="77777777" w:rsidR="007366D4" w:rsidRPr="00FD2F0C" w:rsidRDefault="007366D4" w:rsidP="00745ECC">
            <w:pPr>
              <w:rPr>
                <w:rFonts w:asciiTheme="minorHAnsi" w:hAnsiTheme="minorHAnsi"/>
              </w:rPr>
            </w:pPr>
            <w:r w:rsidRPr="00FD2F0C">
              <w:rPr>
                <w:rFonts w:asciiTheme="minorHAnsi" w:hAnsiTheme="minorHAnsi"/>
                <w:lang w:val="en-GB"/>
              </w:rPr>
              <w:t>Tanzania Communications Act (Tanzania)</w:t>
            </w:r>
          </w:p>
        </w:tc>
      </w:tr>
      <w:tr w:rsidR="007366D4" w:rsidRPr="00FD2F0C" w14:paraId="769C4B0F" w14:textId="77777777" w:rsidTr="00745ECC">
        <w:tc>
          <w:tcPr>
            <w:tcW w:w="2423" w:type="dxa"/>
          </w:tcPr>
          <w:p w14:paraId="3B8F47CD" w14:textId="77777777" w:rsidR="007366D4" w:rsidRPr="00FD2F0C" w:rsidRDefault="007366D4" w:rsidP="00745ECC">
            <w:pPr>
              <w:rPr>
                <w:rFonts w:asciiTheme="minorHAnsi" w:hAnsiTheme="minorHAnsi"/>
              </w:rPr>
            </w:pPr>
            <w:r w:rsidRPr="00FD2F0C">
              <w:rPr>
                <w:rFonts w:asciiTheme="minorHAnsi" w:hAnsiTheme="minorHAnsi"/>
              </w:rPr>
              <w:t>TDOA</w:t>
            </w:r>
          </w:p>
        </w:tc>
        <w:tc>
          <w:tcPr>
            <w:tcW w:w="7206" w:type="dxa"/>
          </w:tcPr>
          <w:p w14:paraId="02C264A9" w14:textId="77777777" w:rsidR="007366D4" w:rsidRPr="00FD2F0C" w:rsidRDefault="007366D4" w:rsidP="00745ECC">
            <w:pPr>
              <w:rPr>
                <w:rFonts w:asciiTheme="minorHAnsi" w:hAnsiTheme="minorHAnsi"/>
                <w:lang w:val="en-GB"/>
              </w:rPr>
            </w:pPr>
            <w:r w:rsidRPr="00FD2F0C">
              <w:rPr>
                <w:rFonts w:asciiTheme="minorHAnsi" w:hAnsiTheme="minorHAnsi"/>
                <w:lang w:val="en-GB"/>
              </w:rPr>
              <w:t>Time Difference of Arrival</w:t>
            </w:r>
          </w:p>
        </w:tc>
      </w:tr>
      <w:tr w:rsidR="007366D4" w:rsidRPr="00FD2F0C" w14:paraId="73929777" w14:textId="77777777" w:rsidTr="00745ECC">
        <w:tc>
          <w:tcPr>
            <w:tcW w:w="2423" w:type="dxa"/>
            <w:shd w:val="clear" w:color="auto" w:fill="C6D9F1" w:themeFill="text2" w:themeFillTint="33"/>
          </w:tcPr>
          <w:p w14:paraId="64F869F9" w14:textId="77777777" w:rsidR="007366D4" w:rsidRPr="00FD2F0C" w:rsidRDefault="007366D4" w:rsidP="00745ECC">
            <w:pPr>
              <w:rPr>
                <w:rFonts w:asciiTheme="minorHAnsi" w:hAnsiTheme="minorHAnsi"/>
              </w:rPr>
            </w:pPr>
            <w:r w:rsidRPr="00FD2F0C">
              <w:rPr>
                <w:rFonts w:asciiTheme="minorHAnsi" w:hAnsiTheme="minorHAnsi"/>
              </w:rPr>
              <w:t>TVWS</w:t>
            </w:r>
          </w:p>
        </w:tc>
        <w:tc>
          <w:tcPr>
            <w:tcW w:w="7206" w:type="dxa"/>
            <w:shd w:val="clear" w:color="auto" w:fill="C6D9F1" w:themeFill="text2" w:themeFillTint="33"/>
          </w:tcPr>
          <w:p w14:paraId="2906590A" w14:textId="77777777" w:rsidR="007366D4" w:rsidRPr="00FD2F0C" w:rsidRDefault="007366D4" w:rsidP="00745ECC">
            <w:pPr>
              <w:rPr>
                <w:rFonts w:asciiTheme="minorHAnsi" w:hAnsiTheme="minorHAnsi"/>
                <w:lang w:val="en-US"/>
              </w:rPr>
            </w:pPr>
            <w:r w:rsidRPr="00FD2F0C">
              <w:rPr>
                <w:rFonts w:asciiTheme="minorHAnsi" w:hAnsiTheme="minorHAnsi"/>
                <w:lang w:val="en-US"/>
              </w:rPr>
              <w:t>TV White Space</w:t>
            </w:r>
          </w:p>
        </w:tc>
      </w:tr>
      <w:tr w:rsidR="007366D4" w:rsidRPr="00FD2F0C" w14:paraId="3592DD96" w14:textId="77777777" w:rsidTr="00745ECC">
        <w:tc>
          <w:tcPr>
            <w:tcW w:w="2423" w:type="dxa"/>
          </w:tcPr>
          <w:p w14:paraId="59C9B155" w14:textId="77777777" w:rsidR="007366D4" w:rsidRPr="00FD2F0C" w:rsidRDefault="007366D4" w:rsidP="00745ECC">
            <w:pPr>
              <w:rPr>
                <w:rFonts w:asciiTheme="minorHAnsi" w:hAnsiTheme="minorHAnsi"/>
              </w:rPr>
            </w:pPr>
            <w:r w:rsidRPr="00FD2F0C">
              <w:rPr>
                <w:rFonts w:asciiTheme="minorHAnsi" w:hAnsiTheme="minorHAnsi"/>
              </w:rPr>
              <w:t>UDP</w:t>
            </w:r>
          </w:p>
        </w:tc>
        <w:tc>
          <w:tcPr>
            <w:tcW w:w="7206" w:type="dxa"/>
          </w:tcPr>
          <w:p w14:paraId="29A4E285" w14:textId="77777777" w:rsidR="007366D4" w:rsidRPr="00FD2F0C" w:rsidRDefault="007366D4" w:rsidP="00745ECC">
            <w:pPr>
              <w:rPr>
                <w:rFonts w:asciiTheme="minorHAnsi" w:hAnsiTheme="minorHAnsi"/>
                <w:lang w:val="en-US"/>
              </w:rPr>
            </w:pPr>
            <w:r w:rsidRPr="00FD2F0C">
              <w:rPr>
                <w:rFonts w:asciiTheme="minorHAnsi" w:hAnsiTheme="minorHAnsi"/>
              </w:rPr>
              <w:t>User Datagram Protocol</w:t>
            </w:r>
          </w:p>
        </w:tc>
      </w:tr>
      <w:tr w:rsidR="007366D4" w:rsidRPr="00FD2F0C" w14:paraId="2083CA04" w14:textId="77777777" w:rsidTr="00745ECC">
        <w:tc>
          <w:tcPr>
            <w:tcW w:w="2423" w:type="dxa"/>
            <w:shd w:val="clear" w:color="auto" w:fill="C6D9F1" w:themeFill="text2" w:themeFillTint="33"/>
          </w:tcPr>
          <w:p w14:paraId="5E4B9217" w14:textId="77777777" w:rsidR="007366D4" w:rsidRPr="00FD2F0C" w:rsidRDefault="007366D4" w:rsidP="00745ECC">
            <w:pPr>
              <w:rPr>
                <w:rFonts w:asciiTheme="minorHAnsi" w:hAnsiTheme="minorHAnsi"/>
              </w:rPr>
            </w:pPr>
            <w:r w:rsidRPr="00FD2F0C">
              <w:rPr>
                <w:rFonts w:asciiTheme="minorHAnsi" w:hAnsiTheme="minorHAnsi"/>
              </w:rPr>
              <w:t>UHF</w:t>
            </w:r>
          </w:p>
        </w:tc>
        <w:tc>
          <w:tcPr>
            <w:tcW w:w="7206" w:type="dxa"/>
            <w:shd w:val="clear" w:color="auto" w:fill="C6D9F1" w:themeFill="text2" w:themeFillTint="33"/>
          </w:tcPr>
          <w:p w14:paraId="14306AF4" w14:textId="77777777" w:rsidR="007366D4" w:rsidRPr="00FD2F0C" w:rsidRDefault="007366D4" w:rsidP="00745ECC">
            <w:pPr>
              <w:rPr>
                <w:rFonts w:asciiTheme="minorHAnsi" w:hAnsiTheme="minorHAnsi"/>
                <w:lang w:val="en-US"/>
              </w:rPr>
            </w:pPr>
            <w:r w:rsidRPr="00FD2F0C">
              <w:rPr>
                <w:rFonts w:asciiTheme="minorHAnsi" w:hAnsiTheme="minorHAnsi"/>
                <w:lang w:val="en-US"/>
              </w:rPr>
              <w:t>Ultra-High Frequency</w:t>
            </w:r>
          </w:p>
        </w:tc>
      </w:tr>
      <w:tr w:rsidR="007366D4" w:rsidRPr="00FD2F0C" w14:paraId="49C1D4CE" w14:textId="77777777" w:rsidTr="00745ECC">
        <w:tc>
          <w:tcPr>
            <w:tcW w:w="2423" w:type="dxa"/>
          </w:tcPr>
          <w:p w14:paraId="7AE9B7D8" w14:textId="77777777" w:rsidR="007366D4" w:rsidRPr="00FD2F0C" w:rsidRDefault="007366D4" w:rsidP="00745ECC">
            <w:pPr>
              <w:rPr>
                <w:rFonts w:asciiTheme="minorHAnsi" w:hAnsiTheme="minorHAnsi"/>
              </w:rPr>
            </w:pPr>
            <w:r w:rsidRPr="00FD2F0C">
              <w:rPr>
                <w:rFonts w:asciiTheme="minorHAnsi" w:hAnsiTheme="minorHAnsi"/>
              </w:rPr>
              <w:t>UN</w:t>
            </w:r>
          </w:p>
        </w:tc>
        <w:tc>
          <w:tcPr>
            <w:tcW w:w="7206" w:type="dxa"/>
          </w:tcPr>
          <w:p w14:paraId="733EC2BD" w14:textId="77777777" w:rsidR="007366D4" w:rsidRPr="00FD2F0C" w:rsidRDefault="007366D4" w:rsidP="00745ECC">
            <w:pPr>
              <w:rPr>
                <w:rFonts w:asciiTheme="minorHAnsi" w:hAnsiTheme="minorHAnsi"/>
                <w:lang w:val="en-US"/>
              </w:rPr>
            </w:pPr>
            <w:r w:rsidRPr="00FD2F0C">
              <w:rPr>
                <w:rFonts w:asciiTheme="minorHAnsi" w:hAnsiTheme="minorHAnsi"/>
                <w:lang w:val="en-US"/>
              </w:rPr>
              <w:t>United Nations</w:t>
            </w:r>
          </w:p>
        </w:tc>
      </w:tr>
      <w:tr w:rsidR="007366D4" w:rsidRPr="00FD2F0C" w14:paraId="3109834D" w14:textId="77777777" w:rsidTr="00745ECC">
        <w:tc>
          <w:tcPr>
            <w:tcW w:w="2423" w:type="dxa"/>
            <w:shd w:val="clear" w:color="auto" w:fill="C6D9F1" w:themeFill="text2" w:themeFillTint="33"/>
          </w:tcPr>
          <w:p w14:paraId="2C0DBE53" w14:textId="77777777" w:rsidR="007366D4" w:rsidRPr="00FD2F0C" w:rsidRDefault="007366D4" w:rsidP="00745ECC">
            <w:pPr>
              <w:rPr>
                <w:rFonts w:asciiTheme="minorHAnsi" w:hAnsiTheme="minorHAnsi"/>
              </w:rPr>
            </w:pPr>
            <w:r w:rsidRPr="00FD2F0C">
              <w:rPr>
                <w:rFonts w:asciiTheme="minorHAnsi" w:hAnsiTheme="minorHAnsi"/>
              </w:rPr>
              <w:t>UWB</w:t>
            </w:r>
          </w:p>
        </w:tc>
        <w:tc>
          <w:tcPr>
            <w:tcW w:w="7206" w:type="dxa"/>
            <w:shd w:val="clear" w:color="auto" w:fill="C6D9F1" w:themeFill="text2" w:themeFillTint="33"/>
          </w:tcPr>
          <w:p w14:paraId="264B47AD" w14:textId="77777777" w:rsidR="007366D4" w:rsidRPr="00FD2F0C" w:rsidRDefault="007366D4" w:rsidP="00745ECC">
            <w:pPr>
              <w:rPr>
                <w:rFonts w:asciiTheme="minorHAnsi" w:hAnsiTheme="minorHAnsi"/>
                <w:lang w:val="en-US"/>
              </w:rPr>
            </w:pPr>
            <w:r w:rsidRPr="00FD2F0C">
              <w:rPr>
                <w:rFonts w:asciiTheme="minorHAnsi" w:hAnsiTheme="minorHAnsi"/>
                <w:lang w:val="en-GB"/>
              </w:rPr>
              <w:t>Ultra-Wideband</w:t>
            </w:r>
          </w:p>
        </w:tc>
      </w:tr>
      <w:tr w:rsidR="007366D4" w:rsidRPr="00FD2F0C" w14:paraId="20026D1C" w14:textId="77777777" w:rsidTr="00745ECC">
        <w:tc>
          <w:tcPr>
            <w:tcW w:w="2423" w:type="dxa"/>
          </w:tcPr>
          <w:p w14:paraId="54FEF770" w14:textId="77777777" w:rsidR="007366D4" w:rsidRPr="00FD2F0C" w:rsidRDefault="007366D4" w:rsidP="00745ECC">
            <w:pPr>
              <w:rPr>
                <w:rFonts w:asciiTheme="minorHAnsi" w:hAnsiTheme="minorHAnsi"/>
              </w:rPr>
            </w:pPr>
            <w:r w:rsidRPr="00FD2F0C">
              <w:rPr>
                <w:rFonts w:asciiTheme="minorHAnsi" w:hAnsiTheme="minorHAnsi"/>
              </w:rPr>
              <w:t>VHF</w:t>
            </w:r>
          </w:p>
        </w:tc>
        <w:tc>
          <w:tcPr>
            <w:tcW w:w="7206" w:type="dxa"/>
          </w:tcPr>
          <w:p w14:paraId="5467750E" w14:textId="77777777" w:rsidR="007366D4" w:rsidRPr="00FD2F0C" w:rsidRDefault="007366D4" w:rsidP="00745ECC">
            <w:pPr>
              <w:rPr>
                <w:rFonts w:asciiTheme="minorHAnsi" w:hAnsiTheme="minorHAnsi"/>
                <w:lang w:val="en-US"/>
              </w:rPr>
            </w:pPr>
            <w:r w:rsidRPr="00FD2F0C">
              <w:rPr>
                <w:rFonts w:asciiTheme="minorHAnsi" w:hAnsiTheme="minorHAnsi"/>
                <w:lang w:val="en-US"/>
              </w:rPr>
              <w:t>Very High Frequency</w:t>
            </w:r>
          </w:p>
        </w:tc>
      </w:tr>
      <w:tr w:rsidR="007366D4" w:rsidRPr="00FD2F0C" w14:paraId="5D0124C7" w14:textId="77777777" w:rsidTr="00745ECC">
        <w:tc>
          <w:tcPr>
            <w:tcW w:w="2423" w:type="dxa"/>
            <w:shd w:val="clear" w:color="auto" w:fill="C6D9F1" w:themeFill="text2" w:themeFillTint="33"/>
          </w:tcPr>
          <w:p w14:paraId="1820888A" w14:textId="77777777" w:rsidR="007366D4" w:rsidRPr="00FD2F0C" w:rsidRDefault="007366D4" w:rsidP="00745ECC">
            <w:pPr>
              <w:rPr>
                <w:rFonts w:asciiTheme="minorHAnsi" w:hAnsiTheme="minorHAnsi"/>
              </w:rPr>
            </w:pPr>
            <w:r w:rsidRPr="00FD2F0C">
              <w:rPr>
                <w:rFonts w:asciiTheme="minorHAnsi" w:hAnsiTheme="minorHAnsi"/>
              </w:rPr>
              <w:t>WISP</w:t>
            </w:r>
          </w:p>
        </w:tc>
        <w:tc>
          <w:tcPr>
            <w:tcW w:w="7206" w:type="dxa"/>
            <w:shd w:val="clear" w:color="auto" w:fill="C6D9F1" w:themeFill="text2" w:themeFillTint="33"/>
          </w:tcPr>
          <w:p w14:paraId="3322E6E8" w14:textId="77777777" w:rsidR="007366D4" w:rsidRPr="00FD2F0C" w:rsidRDefault="007366D4" w:rsidP="00745ECC">
            <w:pPr>
              <w:rPr>
                <w:rFonts w:asciiTheme="minorHAnsi" w:hAnsiTheme="minorHAnsi"/>
                <w:lang w:val="en-US"/>
              </w:rPr>
            </w:pPr>
            <w:r w:rsidRPr="00FD2F0C">
              <w:rPr>
                <w:rFonts w:asciiTheme="minorHAnsi" w:hAnsiTheme="minorHAnsi"/>
                <w:lang w:val="en-GB"/>
              </w:rPr>
              <w:t>Wireless Internet Service Provider</w:t>
            </w:r>
          </w:p>
        </w:tc>
      </w:tr>
      <w:tr w:rsidR="007366D4" w:rsidRPr="00FD2F0C" w14:paraId="20019C56" w14:textId="77777777" w:rsidTr="00745ECC">
        <w:tc>
          <w:tcPr>
            <w:tcW w:w="2423" w:type="dxa"/>
          </w:tcPr>
          <w:p w14:paraId="0FECBF9C" w14:textId="77777777" w:rsidR="007366D4" w:rsidRPr="00FD2F0C" w:rsidRDefault="007366D4" w:rsidP="00745ECC">
            <w:pPr>
              <w:rPr>
                <w:rFonts w:asciiTheme="minorHAnsi" w:hAnsiTheme="minorHAnsi"/>
              </w:rPr>
            </w:pPr>
            <w:r w:rsidRPr="00FD2F0C">
              <w:rPr>
                <w:rFonts w:asciiTheme="minorHAnsi" w:hAnsiTheme="minorHAnsi"/>
              </w:rPr>
              <w:t>WLAN</w:t>
            </w:r>
          </w:p>
        </w:tc>
        <w:tc>
          <w:tcPr>
            <w:tcW w:w="7206" w:type="dxa"/>
          </w:tcPr>
          <w:p w14:paraId="087F8AEF" w14:textId="77777777" w:rsidR="007366D4" w:rsidRPr="00FD2F0C" w:rsidRDefault="007366D4" w:rsidP="00745ECC">
            <w:pPr>
              <w:rPr>
                <w:rFonts w:asciiTheme="minorHAnsi" w:hAnsiTheme="minorHAnsi"/>
                <w:b/>
                <w:bCs/>
                <w:lang w:val="en-US"/>
              </w:rPr>
            </w:pPr>
            <w:r w:rsidRPr="00FD2F0C">
              <w:rPr>
                <w:rFonts w:asciiTheme="minorHAnsi" w:hAnsiTheme="minorHAnsi"/>
                <w:lang w:val="en-GB"/>
              </w:rPr>
              <w:t>Wireless Local Area Networks</w:t>
            </w:r>
          </w:p>
        </w:tc>
      </w:tr>
      <w:tr w:rsidR="007366D4" w:rsidRPr="00FD2F0C" w14:paraId="36F2F823" w14:textId="77777777" w:rsidTr="00745ECC">
        <w:tc>
          <w:tcPr>
            <w:tcW w:w="2423" w:type="dxa"/>
            <w:shd w:val="clear" w:color="auto" w:fill="C6D9F1" w:themeFill="text2" w:themeFillTint="33"/>
          </w:tcPr>
          <w:p w14:paraId="78D75AD7" w14:textId="77777777" w:rsidR="007366D4" w:rsidRPr="00FD2F0C" w:rsidRDefault="007366D4" w:rsidP="00745ECC">
            <w:pPr>
              <w:rPr>
                <w:rFonts w:asciiTheme="minorHAnsi" w:hAnsiTheme="minorHAnsi"/>
              </w:rPr>
            </w:pPr>
            <w:r w:rsidRPr="00FD2F0C">
              <w:rPr>
                <w:rFonts w:asciiTheme="minorHAnsi" w:hAnsiTheme="minorHAnsi"/>
              </w:rPr>
              <w:t>WRC</w:t>
            </w:r>
          </w:p>
        </w:tc>
        <w:tc>
          <w:tcPr>
            <w:tcW w:w="7206" w:type="dxa"/>
            <w:shd w:val="clear" w:color="auto" w:fill="C6D9F1" w:themeFill="text2" w:themeFillTint="33"/>
          </w:tcPr>
          <w:p w14:paraId="78C4F4DF" w14:textId="77777777" w:rsidR="007366D4" w:rsidRPr="00FD2F0C" w:rsidRDefault="007366D4" w:rsidP="00745ECC">
            <w:pPr>
              <w:rPr>
                <w:rFonts w:asciiTheme="minorHAnsi" w:hAnsiTheme="minorHAnsi"/>
                <w:lang w:val="en-US"/>
              </w:rPr>
            </w:pPr>
            <w:r w:rsidRPr="00FD2F0C">
              <w:rPr>
                <w:rFonts w:asciiTheme="minorHAnsi" w:hAnsiTheme="minorHAnsi"/>
                <w:lang w:val="en-US"/>
              </w:rPr>
              <w:t>World Radiocommunication Conference</w:t>
            </w:r>
          </w:p>
        </w:tc>
      </w:tr>
      <w:tr w:rsidR="007366D4" w:rsidRPr="00FD2F0C" w14:paraId="619A6B1C" w14:textId="77777777" w:rsidTr="00745ECC">
        <w:tc>
          <w:tcPr>
            <w:tcW w:w="2423" w:type="dxa"/>
            <w:shd w:val="clear" w:color="auto" w:fill="auto"/>
          </w:tcPr>
          <w:p w14:paraId="22262A90" w14:textId="77777777" w:rsidR="007366D4" w:rsidRPr="00FD2F0C" w:rsidRDefault="007366D4" w:rsidP="00745ECC">
            <w:pPr>
              <w:rPr>
                <w:rFonts w:asciiTheme="minorHAnsi" w:hAnsiTheme="minorHAnsi"/>
              </w:rPr>
            </w:pPr>
            <w:r w:rsidRPr="00FD2F0C">
              <w:rPr>
                <w:rFonts w:asciiTheme="minorHAnsi" w:hAnsiTheme="minorHAnsi"/>
              </w:rPr>
              <w:t>WSD</w:t>
            </w:r>
          </w:p>
        </w:tc>
        <w:tc>
          <w:tcPr>
            <w:tcW w:w="7206" w:type="dxa"/>
            <w:shd w:val="clear" w:color="auto" w:fill="auto"/>
          </w:tcPr>
          <w:p w14:paraId="2D3B939B" w14:textId="77777777" w:rsidR="007366D4" w:rsidRPr="00FD2F0C" w:rsidRDefault="007366D4" w:rsidP="00745ECC">
            <w:pPr>
              <w:rPr>
                <w:rFonts w:asciiTheme="minorHAnsi" w:hAnsiTheme="minorHAnsi"/>
                <w:lang w:val="en-US"/>
              </w:rPr>
            </w:pPr>
            <w:r w:rsidRPr="00FD2F0C">
              <w:rPr>
                <w:rFonts w:asciiTheme="minorHAnsi" w:hAnsiTheme="minorHAnsi"/>
                <w:lang w:val="en-US"/>
              </w:rPr>
              <w:t>White Space Device</w:t>
            </w:r>
          </w:p>
        </w:tc>
      </w:tr>
      <w:tr w:rsidR="007366D4" w:rsidRPr="00FD2F0C" w14:paraId="74EE4806" w14:textId="77777777" w:rsidTr="00745ECC">
        <w:tc>
          <w:tcPr>
            <w:tcW w:w="2423" w:type="dxa"/>
            <w:shd w:val="clear" w:color="auto" w:fill="C6D9F1" w:themeFill="text2" w:themeFillTint="33"/>
          </w:tcPr>
          <w:p w14:paraId="7C0C0E26" w14:textId="77777777" w:rsidR="007366D4" w:rsidRPr="00FD2F0C" w:rsidRDefault="007366D4" w:rsidP="00745ECC">
            <w:pPr>
              <w:rPr>
                <w:rFonts w:asciiTheme="minorHAnsi" w:hAnsiTheme="minorHAnsi"/>
              </w:rPr>
            </w:pPr>
            <w:r w:rsidRPr="00FD2F0C">
              <w:rPr>
                <w:rFonts w:asciiTheme="minorHAnsi" w:hAnsiTheme="minorHAnsi"/>
              </w:rPr>
              <w:t>WSDB</w:t>
            </w:r>
          </w:p>
        </w:tc>
        <w:tc>
          <w:tcPr>
            <w:tcW w:w="7206" w:type="dxa"/>
            <w:shd w:val="clear" w:color="auto" w:fill="C6D9F1" w:themeFill="text2" w:themeFillTint="33"/>
          </w:tcPr>
          <w:p w14:paraId="7587C71B" w14:textId="77777777" w:rsidR="007366D4" w:rsidRPr="00FD2F0C" w:rsidRDefault="007366D4" w:rsidP="00745ECC">
            <w:pPr>
              <w:rPr>
                <w:rFonts w:asciiTheme="minorHAnsi" w:hAnsiTheme="minorHAnsi"/>
                <w:lang w:val="en-US"/>
              </w:rPr>
            </w:pPr>
            <w:r w:rsidRPr="00FD2F0C">
              <w:rPr>
                <w:rFonts w:asciiTheme="minorHAnsi" w:hAnsiTheme="minorHAnsi"/>
                <w:lang w:val="en-US"/>
              </w:rPr>
              <w:t>White Space Database</w:t>
            </w:r>
          </w:p>
        </w:tc>
      </w:tr>
      <w:tr w:rsidR="007366D4" w:rsidRPr="00FD2F0C" w14:paraId="08F2E7F2" w14:textId="77777777" w:rsidTr="00745ECC">
        <w:tc>
          <w:tcPr>
            <w:tcW w:w="2423" w:type="dxa"/>
          </w:tcPr>
          <w:p w14:paraId="744DF9B3" w14:textId="77777777" w:rsidR="007366D4" w:rsidRPr="00FD2F0C" w:rsidRDefault="007366D4" w:rsidP="00745ECC">
            <w:pPr>
              <w:rPr>
                <w:rFonts w:asciiTheme="minorHAnsi" w:hAnsiTheme="minorHAnsi"/>
              </w:rPr>
            </w:pPr>
            <w:r w:rsidRPr="00FD2F0C">
              <w:rPr>
                <w:rFonts w:asciiTheme="minorHAnsi" w:hAnsiTheme="minorHAnsi"/>
              </w:rPr>
              <w:t>WTDC</w:t>
            </w:r>
          </w:p>
        </w:tc>
        <w:tc>
          <w:tcPr>
            <w:tcW w:w="7206" w:type="dxa"/>
          </w:tcPr>
          <w:p w14:paraId="6E713B0A" w14:textId="77777777" w:rsidR="007366D4" w:rsidRPr="00FD2F0C" w:rsidRDefault="007366D4" w:rsidP="00745ECC">
            <w:pPr>
              <w:rPr>
                <w:rFonts w:asciiTheme="minorHAnsi" w:hAnsiTheme="minorHAnsi"/>
              </w:rPr>
            </w:pPr>
            <w:r w:rsidRPr="00FD2F0C">
              <w:rPr>
                <w:rFonts w:asciiTheme="minorHAnsi" w:hAnsiTheme="minorHAnsi"/>
              </w:rPr>
              <w:t>World Telecommunication Development Conference</w:t>
            </w:r>
          </w:p>
        </w:tc>
      </w:tr>
    </w:tbl>
    <w:p w14:paraId="69B8E562" w14:textId="77777777" w:rsidR="007366D4" w:rsidRPr="00FD2F0C" w:rsidRDefault="007366D4" w:rsidP="007366D4">
      <w:pPr>
        <w:spacing w:after="120"/>
        <w:rPr>
          <w:rFonts w:asciiTheme="minorHAnsi" w:hAnsiTheme="minorHAnsi"/>
          <w:lang w:val="en-US"/>
        </w:rPr>
      </w:pPr>
    </w:p>
    <w:p w14:paraId="337AF367" w14:textId="16E46FD3" w:rsidR="00D65531" w:rsidRPr="00FD2F0C" w:rsidRDefault="00D65531" w:rsidP="00A031BE">
      <w:pPr>
        <w:pStyle w:val="APXchaptertitle"/>
        <w:numPr>
          <w:ilvl w:val="0"/>
          <w:numId w:val="0"/>
        </w:numPr>
        <w:ind w:left="432" w:hanging="432"/>
        <w:rPr>
          <w:rFonts w:asciiTheme="minorHAnsi" w:hAnsiTheme="minorHAnsi"/>
          <w:color w:val="auto"/>
          <w:sz w:val="24"/>
          <w:szCs w:val="24"/>
          <w:lang w:val="en-GB"/>
        </w:rPr>
      </w:pPr>
      <w:bookmarkStart w:id="128" w:name="_Toc485648012"/>
      <w:bookmarkStart w:id="129" w:name="_Toc467836443"/>
      <w:r w:rsidRPr="00FD2F0C">
        <w:rPr>
          <w:rFonts w:asciiTheme="minorHAnsi" w:hAnsiTheme="minorHAnsi"/>
          <w:lang w:val="en-GB"/>
        </w:rPr>
        <w:lastRenderedPageBreak/>
        <w:t>ITU-R References</w:t>
      </w:r>
      <w:bookmarkEnd w:id="128"/>
    </w:p>
    <w:tbl>
      <w:tblPr>
        <w:tblStyle w:val="TableGrid"/>
        <w:tblW w:w="5198" w:type="pct"/>
        <w:tblInd w:w="-192" w:type="dxa"/>
        <w:tblLayout w:type="fixed"/>
        <w:tblLook w:val="04A0" w:firstRow="1" w:lastRow="0" w:firstColumn="1" w:lastColumn="0" w:noHBand="0" w:noVBand="1"/>
      </w:tblPr>
      <w:tblGrid>
        <w:gridCol w:w="4588"/>
        <w:gridCol w:w="9"/>
        <w:gridCol w:w="595"/>
        <w:gridCol w:w="4818"/>
      </w:tblGrid>
      <w:tr w:rsidR="00D65531" w:rsidRPr="00FD2F0C" w14:paraId="06DB508A" w14:textId="77777777" w:rsidTr="00081C72">
        <w:tc>
          <w:tcPr>
            <w:tcW w:w="4695" w:type="dxa"/>
            <w:vAlign w:val="center"/>
          </w:tcPr>
          <w:p w14:paraId="0ED88984" w14:textId="71B46302" w:rsidR="00D65531" w:rsidRPr="00FD2F0C" w:rsidRDefault="00D65531" w:rsidP="00081C72">
            <w:pPr>
              <w:pStyle w:val="Tableheadwhitecentred"/>
              <w:rPr>
                <w:lang w:val="en-GB"/>
              </w:rPr>
            </w:pPr>
            <w:r w:rsidRPr="00FD2F0C">
              <w:rPr>
                <w:lang w:val="en-GB"/>
              </w:rPr>
              <w:t>Title</w:t>
            </w:r>
          </w:p>
        </w:tc>
        <w:tc>
          <w:tcPr>
            <w:tcW w:w="5550" w:type="dxa"/>
            <w:gridSpan w:val="3"/>
            <w:vAlign w:val="center"/>
          </w:tcPr>
          <w:p w14:paraId="2420514A" w14:textId="77777777" w:rsidR="00D65531" w:rsidRPr="00FD2F0C" w:rsidRDefault="00D65531" w:rsidP="00081C72">
            <w:pPr>
              <w:pStyle w:val="Tableheadwhitecentred"/>
              <w:rPr>
                <w:lang w:val="en-GB"/>
              </w:rPr>
            </w:pPr>
            <w:r w:rsidRPr="00FD2F0C">
              <w:rPr>
                <w:lang w:val="en-GB"/>
              </w:rPr>
              <w:t>Description</w:t>
            </w:r>
          </w:p>
        </w:tc>
      </w:tr>
      <w:tr w:rsidR="00D65531" w:rsidRPr="00FD2F0C" w14:paraId="65E0EB5E" w14:textId="77777777" w:rsidTr="00081C72">
        <w:tc>
          <w:tcPr>
            <w:tcW w:w="10245" w:type="dxa"/>
            <w:gridSpan w:val="4"/>
            <w:shd w:val="clear" w:color="auto" w:fill="F2F2F2" w:themeFill="background1" w:themeFillShade="F2"/>
            <w:vAlign w:val="center"/>
          </w:tcPr>
          <w:p w14:paraId="26AD6AA4" w14:textId="77777777" w:rsidR="00D65531" w:rsidRPr="00FD2F0C" w:rsidRDefault="00D65531" w:rsidP="00081C72">
            <w:pPr>
              <w:pStyle w:val="Tableheadwhitecentred"/>
              <w:rPr>
                <w:lang w:val="en-GB"/>
              </w:rPr>
            </w:pPr>
            <w:r w:rsidRPr="00FD2F0C">
              <w:rPr>
                <w:lang w:val="en-GB"/>
              </w:rPr>
              <w:t>WRC Resolutions</w:t>
            </w:r>
          </w:p>
        </w:tc>
      </w:tr>
      <w:tr w:rsidR="00D65531" w:rsidRPr="00FD2F0C" w14:paraId="35B595BE" w14:textId="77777777" w:rsidTr="00081C72">
        <w:trPr>
          <w:trHeight w:val="290"/>
        </w:trPr>
        <w:tc>
          <w:tcPr>
            <w:tcW w:w="4704" w:type="dxa"/>
            <w:gridSpan w:val="2"/>
            <w:shd w:val="clear" w:color="auto" w:fill="auto"/>
            <w:vAlign w:val="center"/>
          </w:tcPr>
          <w:p w14:paraId="00B27488"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Resolution 229 (Rev. WRC-12) – Use of the bands 5 150-5 250 MHz, 5 250-5 350 MHz and 5 470-5 725 MHz by the mobile service for the implementation of wireless access systems including radio local area networks</w:t>
            </w:r>
          </w:p>
        </w:tc>
        <w:tc>
          <w:tcPr>
            <w:tcW w:w="5541" w:type="dxa"/>
            <w:gridSpan w:val="2"/>
            <w:shd w:val="clear" w:color="auto" w:fill="auto"/>
            <w:vAlign w:val="center"/>
          </w:tcPr>
          <w:p w14:paraId="592D30CA" w14:textId="6970F078" w:rsidR="00D65531" w:rsidRPr="00FD2F0C" w:rsidRDefault="00D65531" w:rsidP="00081C72">
            <w:pPr>
              <w:pStyle w:val="Tableheadwhitecentred"/>
              <w:jc w:val="left"/>
              <w:rPr>
                <w:b w:val="0"/>
                <w:sz w:val="20"/>
                <w:szCs w:val="20"/>
                <w:lang w:val="en-GB"/>
              </w:rPr>
            </w:pPr>
            <w:r w:rsidRPr="00FD2F0C">
              <w:rPr>
                <w:b w:val="0"/>
                <w:sz w:val="20"/>
                <w:szCs w:val="20"/>
                <w:lang w:val="en-GB"/>
              </w:rPr>
              <w:t>This Resolution contains the requirements implementation to enable wireless access systems including radio local area networks. This Resolution is incorporated by reference in the RR.</w:t>
            </w:r>
          </w:p>
        </w:tc>
      </w:tr>
      <w:tr w:rsidR="00D65531" w:rsidRPr="00573C99" w14:paraId="799D1A9F" w14:textId="77777777" w:rsidTr="00081C72">
        <w:trPr>
          <w:trHeight w:val="290"/>
        </w:trPr>
        <w:tc>
          <w:tcPr>
            <w:tcW w:w="4704" w:type="dxa"/>
            <w:gridSpan w:val="2"/>
            <w:shd w:val="clear" w:color="auto" w:fill="auto"/>
            <w:vAlign w:val="center"/>
          </w:tcPr>
          <w:p w14:paraId="123E6F98"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Resolution 239 (WRC-15) – Studies concerning Wireless Access Systems including radio local area networks in the frequency bands between 5 150 MHz and 5 925 MHz</w:t>
            </w:r>
          </w:p>
        </w:tc>
        <w:tc>
          <w:tcPr>
            <w:tcW w:w="5541" w:type="dxa"/>
            <w:gridSpan w:val="2"/>
            <w:shd w:val="clear" w:color="auto" w:fill="auto"/>
            <w:vAlign w:val="center"/>
          </w:tcPr>
          <w:p w14:paraId="004BDE55"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This Resolution contains information and instructions for ITU-R work related to WRC-19 Agenda item 1.16</w:t>
            </w:r>
          </w:p>
        </w:tc>
      </w:tr>
      <w:tr w:rsidR="00D65531" w:rsidRPr="00573C99" w14:paraId="5EDF65F9" w14:textId="77777777" w:rsidTr="00081C72">
        <w:trPr>
          <w:trHeight w:val="285"/>
        </w:trPr>
        <w:tc>
          <w:tcPr>
            <w:tcW w:w="4704" w:type="dxa"/>
            <w:gridSpan w:val="2"/>
            <w:shd w:val="clear" w:color="auto" w:fill="auto"/>
            <w:vAlign w:val="center"/>
          </w:tcPr>
          <w:p w14:paraId="1B134B5D"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Resolution 729 (Rev. WRC-07) – Use of frequency adaptive systems in the MF and HF bands</w:t>
            </w:r>
          </w:p>
        </w:tc>
        <w:tc>
          <w:tcPr>
            <w:tcW w:w="5541" w:type="dxa"/>
            <w:gridSpan w:val="2"/>
            <w:shd w:val="clear" w:color="auto" w:fill="auto"/>
            <w:vAlign w:val="center"/>
          </w:tcPr>
          <w:p w14:paraId="4E3EEB8D" w14:textId="2CC60B0E" w:rsidR="00D65531" w:rsidRPr="00FD2F0C" w:rsidRDefault="00D65531" w:rsidP="00081C72">
            <w:pPr>
              <w:pStyle w:val="Tableheadwhitecentred"/>
              <w:jc w:val="left"/>
              <w:rPr>
                <w:b w:val="0"/>
                <w:sz w:val="20"/>
                <w:szCs w:val="20"/>
                <w:lang w:val="en-GB"/>
              </w:rPr>
            </w:pPr>
            <w:r w:rsidRPr="00FD2F0C">
              <w:rPr>
                <w:b w:val="0"/>
                <w:sz w:val="20"/>
                <w:szCs w:val="20"/>
                <w:lang w:val="en-GB"/>
              </w:rPr>
              <w:t xml:space="preserve">This </w:t>
            </w:r>
            <w:r w:rsidR="004449A8" w:rsidRPr="00FD2F0C">
              <w:rPr>
                <w:b w:val="0"/>
                <w:sz w:val="20"/>
                <w:szCs w:val="20"/>
                <w:lang w:val="en-GB"/>
              </w:rPr>
              <w:t>R</w:t>
            </w:r>
            <w:r w:rsidRPr="00FD2F0C">
              <w:rPr>
                <w:b w:val="0"/>
                <w:sz w:val="20"/>
                <w:szCs w:val="20"/>
                <w:lang w:val="en-GB"/>
              </w:rPr>
              <w:t>esolution contains information on the Use of frequency adaptive systems in the MF and HF bands</w:t>
            </w:r>
          </w:p>
        </w:tc>
      </w:tr>
      <w:tr w:rsidR="00D65531" w:rsidRPr="00573C99" w14:paraId="367C4E27" w14:textId="77777777" w:rsidTr="00081C72">
        <w:trPr>
          <w:trHeight w:val="285"/>
        </w:trPr>
        <w:tc>
          <w:tcPr>
            <w:tcW w:w="4704" w:type="dxa"/>
            <w:gridSpan w:val="2"/>
            <w:shd w:val="clear" w:color="auto" w:fill="auto"/>
            <w:vAlign w:val="center"/>
          </w:tcPr>
          <w:p w14:paraId="3B57F4EC" w14:textId="77777777" w:rsidR="00D65531" w:rsidRPr="00FD2F0C" w:rsidRDefault="00D65531" w:rsidP="00081C72">
            <w:pPr>
              <w:pStyle w:val="Tableheadwhitecentred"/>
              <w:jc w:val="left"/>
              <w:rPr>
                <w:b w:val="0"/>
                <w:sz w:val="20"/>
                <w:szCs w:val="20"/>
              </w:rPr>
            </w:pPr>
            <w:r w:rsidRPr="00FD2F0C">
              <w:rPr>
                <w:b w:val="0"/>
                <w:sz w:val="20"/>
                <w:szCs w:val="20"/>
                <w:lang w:val="en-GB"/>
              </w:rPr>
              <w:t>Resolution 809 (WRC-15) – Agenda for the 2019 World Radiocommunication Conference</w:t>
            </w:r>
          </w:p>
        </w:tc>
        <w:tc>
          <w:tcPr>
            <w:tcW w:w="5541" w:type="dxa"/>
            <w:gridSpan w:val="2"/>
            <w:shd w:val="clear" w:color="auto" w:fill="auto"/>
            <w:vAlign w:val="center"/>
          </w:tcPr>
          <w:p w14:paraId="385BD80D"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Contains the Agenda for the 2019 World Radiocommunication Conference.</w:t>
            </w:r>
          </w:p>
        </w:tc>
      </w:tr>
      <w:tr w:rsidR="00D65531" w:rsidRPr="00FD2F0C" w14:paraId="6DC2A257" w14:textId="77777777" w:rsidTr="00081C72">
        <w:tc>
          <w:tcPr>
            <w:tcW w:w="10245" w:type="dxa"/>
            <w:gridSpan w:val="4"/>
            <w:shd w:val="clear" w:color="auto" w:fill="F2F2F2" w:themeFill="background1" w:themeFillShade="F2"/>
            <w:vAlign w:val="center"/>
          </w:tcPr>
          <w:p w14:paraId="45C9E77E" w14:textId="77777777" w:rsidR="00D65531" w:rsidRPr="00FD2F0C" w:rsidRDefault="00D65531" w:rsidP="00081C72">
            <w:pPr>
              <w:pStyle w:val="Tableheadwhitecentred"/>
              <w:rPr>
                <w:sz w:val="20"/>
                <w:szCs w:val="20"/>
                <w:lang w:val="en-GB"/>
              </w:rPr>
            </w:pPr>
            <w:r w:rsidRPr="00FD2F0C">
              <w:rPr>
                <w:szCs w:val="20"/>
                <w:lang w:val="en-GB"/>
              </w:rPr>
              <w:t>WRC Recommendations</w:t>
            </w:r>
          </w:p>
        </w:tc>
      </w:tr>
      <w:tr w:rsidR="00D65531" w:rsidRPr="00573C99" w14:paraId="009128FC" w14:textId="77777777" w:rsidTr="00081C72">
        <w:tc>
          <w:tcPr>
            <w:tcW w:w="4704" w:type="dxa"/>
            <w:gridSpan w:val="2"/>
            <w:shd w:val="clear" w:color="auto" w:fill="auto"/>
            <w:vAlign w:val="center"/>
          </w:tcPr>
          <w:p w14:paraId="5EDACE14" w14:textId="6A119751" w:rsidR="00D65531" w:rsidRPr="00FD2F0C" w:rsidRDefault="00D65531" w:rsidP="00A84EDA">
            <w:pPr>
              <w:pStyle w:val="Tableheadwhitecentred"/>
              <w:jc w:val="both"/>
              <w:rPr>
                <w:b w:val="0"/>
                <w:sz w:val="20"/>
                <w:szCs w:val="20"/>
                <w:lang w:val="en-GB"/>
              </w:rPr>
            </w:pPr>
            <w:r w:rsidRPr="00FD2F0C">
              <w:rPr>
                <w:b w:val="0"/>
                <w:sz w:val="20"/>
                <w:szCs w:val="20"/>
                <w:lang w:val="en-GB"/>
              </w:rPr>
              <w:t xml:space="preserve">Recommendation 76 </w:t>
            </w:r>
            <w:r w:rsidR="00A477B4" w:rsidRPr="00FD2F0C">
              <w:rPr>
                <w:b w:val="0"/>
                <w:sz w:val="20"/>
                <w:szCs w:val="20"/>
                <w:lang w:val="en-GB"/>
              </w:rPr>
              <w:t>(WRC</w:t>
            </w:r>
            <w:r w:rsidRPr="00FD2F0C">
              <w:rPr>
                <w:b w:val="0"/>
                <w:sz w:val="20"/>
                <w:szCs w:val="20"/>
                <w:lang w:val="en-GB"/>
              </w:rPr>
              <w:t>-</w:t>
            </w:r>
            <w:r w:rsidR="00A477B4" w:rsidRPr="00FD2F0C">
              <w:rPr>
                <w:b w:val="0"/>
                <w:sz w:val="20"/>
                <w:szCs w:val="20"/>
                <w:lang w:val="en-GB"/>
              </w:rPr>
              <w:t>12) Deployment and use of cognitive radio systems</w:t>
            </w:r>
          </w:p>
        </w:tc>
        <w:tc>
          <w:tcPr>
            <w:tcW w:w="5541" w:type="dxa"/>
            <w:gridSpan w:val="2"/>
            <w:shd w:val="clear" w:color="auto" w:fill="auto"/>
            <w:vAlign w:val="center"/>
          </w:tcPr>
          <w:p w14:paraId="0B20B374" w14:textId="45530BAB" w:rsidR="00D65531" w:rsidRPr="00FD2F0C" w:rsidRDefault="009201B3" w:rsidP="00DF1FA2">
            <w:pPr>
              <w:pStyle w:val="Tableheadwhitecentred"/>
              <w:jc w:val="both"/>
              <w:rPr>
                <w:b w:val="0"/>
                <w:sz w:val="20"/>
                <w:szCs w:val="20"/>
                <w:lang w:val="en-GB"/>
              </w:rPr>
            </w:pPr>
            <w:r w:rsidRPr="00FD2F0C">
              <w:rPr>
                <w:b w:val="0"/>
                <w:sz w:val="20"/>
                <w:szCs w:val="20"/>
                <w:lang w:val="en-GB"/>
              </w:rPr>
              <w:t>Recommends that administrations participate actively in the ITU-R studies conducted under Resolution ITU-R 58</w:t>
            </w:r>
            <w:r w:rsidR="00DF1FA2" w:rsidRPr="00FD2F0C">
              <w:rPr>
                <w:b w:val="0"/>
                <w:sz w:val="20"/>
                <w:szCs w:val="20"/>
                <w:lang w:val="en-GB"/>
              </w:rPr>
              <w:t>.</w:t>
            </w:r>
          </w:p>
        </w:tc>
      </w:tr>
      <w:tr w:rsidR="00D65531" w:rsidRPr="00FD2F0C" w14:paraId="6D28EAE3" w14:textId="77777777" w:rsidTr="00081C72">
        <w:tc>
          <w:tcPr>
            <w:tcW w:w="10245" w:type="dxa"/>
            <w:gridSpan w:val="4"/>
            <w:shd w:val="clear" w:color="auto" w:fill="F2F2F2" w:themeFill="background1" w:themeFillShade="F2"/>
            <w:vAlign w:val="center"/>
          </w:tcPr>
          <w:p w14:paraId="5BDDF5BB" w14:textId="77777777" w:rsidR="00D65531" w:rsidRPr="00FD2F0C" w:rsidRDefault="00D65531" w:rsidP="00081C72">
            <w:pPr>
              <w:pStyle w:val="Tableheadwhitecentred"/>
              <w:rPr>
                <w:lang w:val="en-GB"/>
              </w:rPr>
            </w:pPr>
            <w:r w:rsidRPr="00FD2F0C">
              <w:rPr>
                <w:lang w:val="en-GB"/>
              </w:rPr>
              <w:t>ITU-R Handbooks</w:t>
            </w:r>
          </w:p>
        </w:tc>
      </w:tr>
      <w:tr w:rsidR="00D65531" w:rsidRPr="00573C99" w14:paraId="181FA3DB" w14:textId="77777777" w:rsidTr="00081C72">
        <w:tc>
          <w:tcPr>
            <w:tcW w:w="4695" w:type="dxa"/>
            <w:vAlign w:val="center"/>
          </w:tcPr>
          <w:p w14:paraId="55C7F79B" w14:textId="77777777" w:rsidR="00D65531" w:rsidRPr="00FD2F0C" w:rsidRDefault="00D65531" w:rsidP="00081C72">
            <w:pPr>
              <w:pStyle w:val="Tabletext0"/>
              <w:rPr>
                <w:lang w:val="en-US"/>
              </w:rPr>
            </w:pPr>
            <w:r w:rsidRPr="00FD2F0C">
              <w:rPr>
                <w:sz w:val="20"/>
                <w:lang w:val="en-US"/>
              </w:rPr>
              <w:t>ITU-R Handbook on National Spectrum Management</w:t>
            </w:r>
          </w:p>
        </w:tc>
        <w:tc>
          <w:tcPr>
            <w:tcW w:w="5550" w:type="dxa"/>
            <w:gridSpan w:val="3"/>
          </w:tcPr>
          <w:p w14:paraId="7372D9EF" w14:textId="77777777" w:rsidR="00D65531" w:rsidRPr="00FD2F0C" w:rsidRDefault="00D65531" w:rsidP="00081C72">
            <w:pPr>
              <w:pStyle w:val="Tabletext0"/>
              <w:jc w:val="both"/>
              <w:rPr>
                <w:sz w:val="20"/>
                <w:lang w:val="en-GB"/>
              </w:rPr>
            </w:pPr>
            <w:r w:rsidRPr="00FD2F0C">
              <w:rPr>
                <w:sz w:val="20"/>
                <w:lang w:val="en-GB"/>
              </w:rPr>
              <w:t xml:space="preserve">Includes information on spectrum management fundamentals, frequency assignments and licensing, spectrum monitoring, spectrum economics, and automation. </w:t>
            </w:r>
          </w:p>
        </w:tc>
      </w:tr>
      <w:tr w:rsidR="00D65531" w:rsidRPr="00573C99" w14:paraId="312DAFA4" w14:textId="77777777" w:rsidTr="00081C72">
        <w:tc>
          <w:tcPr>
            <w:tcW w:w="4695" w:type="dxa"/>
            <w:vAlign w:val="center"/>
          </w:tcPr>
          <w:p w14:paraId="10DDD01E" w14:textId="77777777" w:rsidR="00D65531" w:rsidRPr="00FD2F0C" w:rsidRDefault="00573C99" w:rsidP="00081C72">
            <w:pPr>
              <w:pStyle w:val="Tabletext0"/>
              <w:rPr>
                <w:sz w:val="20"/>
                <w:lang w:val="en-GB"/>
              </w:rPr>
            </w:pPr>
            <w:hyperlink r:id="rId68" w:history="1">
              <w:r w:rsidR="00D65531" w:rsidRPr="00FD2F0C">
                <w:rPr>
                  <w:rStyle w:val="Hyperlink"/>
                  <w:sz w:val="20"/>
                  <w:lang w:val="en-GB"/>
                </w:rPr>
                <w:t>ITU-R Handbook on Spectrum Monitoring</w:t>
              </w:r>
            </w:hyperlink>
          </w:p>
        </w:tc>
        <w:tc>
          <w:tcPr>
            <w:tcW w:w="5550" w:type="dxa"/>
            <w:gridSpan w:val="3"/>
          </w:tcPr>
          <w:p w14:paraId="2885D449" w14:textId="77777777" w:rsidR="00D65531" w:rsidRPr="00FD2F0C" w:rsidRDefault="00D65531" w:rsidP="00081C72">
            <w:pPr>
              <w:pStyle w:val="Tabletext0"/>
              <w:jc w:val="both"/>
              <w:rPr>
                <w:sz w:val="20"/>
                <w:lang w:val="en-GB"/>
              </w:rPr>
            </w:pPr>
            <w:r w:rsidRPr="00FD2F0C">
              <w:rPr>
                <w:sz w:val="20"/>
                <w:lang w:val="en-GB"/>
              </w:rPr>
              <w:t>Includes Chapters on Equipment (Ch. 3), Measurements (Ch. 4) and the planning and execution of monitoring station equipment/facilities acquisition documents (Annex 1 - Monitoring station “tenders”).</w:t>
            </w:r>
          </w:p>
        </w:tc>
      </w:tr>
      <w:tr w:rsidR="00D65531" w:rsidRPr="00FD2F0C" w14:paraId="6A03E7EF" w14:textId="77777777" w:rsidTr="00081C72">
        <w:tc>
          <w:tcPr>
            <w:tcW w:w="10245" w:type="dxa"/>
            <w:gridSpan w:val="4"/>
            <w:tcBorders>
              <w:bottom w:val="single" w:sz="4" w:space="0" w:color="auto"/>
            </w:tcBorders>
            <w:shd w:val="clear" w:color="auto" w:fill="F2F2F2" w:themeFill="background1" w:themeFillShade="F2"/>
            <w:vAlign w:val="center"/>
          </w:tcPr>
          <w:p w14:paraId="40B7E61E" w14:textId="77777777" w:rsidR="00D65531" w:rsidRPr="00FD2F0C" w:rsidRDefault="00D65531" w:rsidP="00081C72">
            <w:pPr>
              <w:pStyle w:val="Tableheadwhitecentred"/>
              <w:rPr>
                <w:lang w:val="en-GB"/>
              </w:rPr>
            </w:pPr>
            <w:r w:rsidRPr="00FD2F0C">
              <w:rPr>
                <w:lang w:val="en-GB"/>
              </w:rPr>
              <w:t>ITU-R Questions</w:t>
            </w:r>
          </w:p>
        </w:tc>
      </w:tr>
      <w:tr w:rsidR="00D65531" w:rsidRPr="00573C99" w14:paraId="33106889" w14:textId="77777777" w:rsidTr="00081C72">
        <w:trPr>
          <w:trHeight w:val="272"/>
        </w:trPr>
        <w:tc>
          <w:tcPr>
            <w:tcW w:w="5314" w:type="dxa"/>
            <w:gridSpan w:val="3"/>
            <w:shd w:val="clear" w:color="auto" w:fill="auto"/>
            <w:vAlign w:val="center"/>
          </w:tcPr>
          <w:p w14:paraId="32E5B044" w14:textId="77777777" w:rsidR="00D65531" w:rsidRPr="00FD2F0C" w:rsidRDefault="00573C99" w:rsidP="00081C72">
            <w:pPr>
              <w:pStyle w:val="Tableheadwhitecentred"/>
              <w:jc w:val="left"/>
              <w:rPr>
                <w:b w:val="0"/>
                <w:sz w:val="20"/>
                <w:szCs w:val="20"/>
              </w:rPr>
            </w:pPr>
            <w:hyperlink r:id="rId69" w:history="1">
              <w:r w:rsidR="00D65531" w:rsidRPr="00FD2F0C">
                <w:rPr>
                  <w:rStyle w:val="Hyperlink"/>
                  <w:b w:val="0"/>
                  <w:sz w:val="20"/>
                  <w:szCs w:val="20"/>
                </w:rPr>
                <w:t>ITU-R 208-</w:t>
              </w:r>
              <w:r w:rsidR="00D65531" w:rsidRPr="00FD2F0C">
                <w:rPr>
                  <w:rStyle w:val="Hyperlink"/>
                  <w:b w:val="0"/>
                  <w:sz w:val="20"/>
                  <w:szCs w:val="20"/>
                  <w:lang w:val="en-GB"/>
                </w:rPr>
                <w:t>1/1 - Alternative methods of national spectrum management</w:t>
              </w:r>
            </w:hyperlink>
          </w:p>
        </w:tc>
        <w:tc>
          <w:tcPr>
            <w:tcW w:w="4931" w:type="dxa"/>
            <w:shd w:val="clear" w:color="auto" w:fill="auto"/>
            <w:vAlign w:val="center"/>
          </w:tcPr>
          <w:p w14:paraId="30A7DE85"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This ITU-R question seeks to answer various questions about alternative spectrum management practices</w:t>
            </w:r>
          </w:p>
        </w:tc>
      </w:tr>
      <w:tr w:rsidR="00D65531" w:rsidRPr="00573C99" w14:paraId="5F2B232C" w14:textId="77777777" w:rsidTr="00081C72">
        <w:trPr>
          <w:trHeight w:val="272"/>
        </w:trPr>
        <w:tc>
          <w:tcPr>
            <w:tcW w:w="5314" w:type="dxa"/>
            <w:gridSpan w:val="3"/>
            <w:shd w:val="clear" w:color="auto" w:fill="auto"/>
            <w:vAlign w:val="center"/>
          </w:tcPr>
          <w:p w14:paraId="17872FE8" w14:textId="77777777" w:rsidR="00D65531" w:rsidRPr="00FD2F0C" w:rsidRDefault="00573C99" w:rsidP="00081C72">
            <w:pPr>
              <w:pStyle w:val="Tableheadwhitecentred"/>
              <w:jc w:val="left"/>
              <w:rPr>
                <w:b w:val="0"/>
                <w:sz w:val="20"/>
                <w:szCs w:val="20"/>
                <w:lang w:val="en-GB"/>
              </w:rPr>
            </w:pPr>
            <w:hyperlink r:id="rId70" w:history="1">
              <w:r w:rsidR="00D65531" w:rsidRPr="00FD2F0C">
                <w:rPr>
                  <w:rStyle w:val="Hyperlink"/>
                  <w:b w:val="0"/>
                  <w:sz w:val="20"/>
                  <w:szCs w:val="20"/>
                </w:rPr>
                <w:t>ITU-R 235</w:t>
              </w:r>
              <w:r w:rsidR="00D65531" w:rsidRPr="00FD2F0C">
                <w:rPr>
                  <w:rStyle w:val="Hyperlink"/>
                  <w:b w:val="0"/>
                  <w:sz w:val="20"/>
                  <w:szCs w:val="20"/>
                  <w:lang w:val="en-GB"/>
                </w:rPr>
                <w:t>/1 - Spectrum monitoring evolution</w:t>
              </w:r>
            </w:hyperlink>
          </w:p>
        </w:tc>
        <w:tc>
          <w:tcPr>
            <w:tcW w:w="4931" w:type="dxa"/>
            <w:shd w:val="clear" w:color="auto" w:fill="auto"/>
            <w:vAlign w:val="center"/>
          </w:tcPr>
          <w:p w14:paraId="38458C7B"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This question seeks to answer various questions about the required evolution of spectrum monitoring as technologies advance</w:t>
            </w:r>
          </w:p>
        </w:tc>
      </w:tr>
      <w:tr w:rsidR="00D65531" w:rsidRPr="00573C99" w14:paraId="0DA1FE92" w14:textId="77777777" w:rsidTr="00081C72">
        <w:trPr>
          <w:trHeight w:val="272"/>
        </w:trPr>
        <w:tc>
          <w:tcPr>
            <w:tcW w:w="5314" w:type="dxa"/>
            <w:gridSpan w:val="3"/>
            <w:shd w:val="clear" w:color="auto" w:fill="auto"/>
            <w:vAlign w:val="center"/>
          </w:tcPr>
          <w:p w14:paraId="14F13CAF" w14:textId="77777777" w:rsidR="00D65531" w:rsidRPr="00FD2F0C" w:rsidRDefault="00573C99" w:rsidP="00081C72">
            <w:pPr>
              <w:pStyle w:val="Tableheadwhitecentred"/>
              <w:jc w:val="left"/>
              <w:rPr>
                <w:b w:val="0"/>
                <w:sz w:val="20"/>
                <w:szCs w:val="20"/>
              </w:rPr>
            </w:pPr>
            <w:hyperlink r:id="rId71" w:history="1">
              <w:r w:rsidR="00D65531" w:rsidRPr="00FD2F0C">
                <w:rPr>
                  <w:rStyle w:val="Hyperlink"/>
                  <w:b w:val="0"/>
                  <w:sz w:val="20"/>
                  <w:szCs w:val="20"/>
                </w:rPr>
                <w:t>ITU-R 241</w:t>
              </w:r>
              <w:r w:rsidR="00D65531" w:rsidRPr="00FD2F0C">
                <w:rPr>
                  <w:rStyle w:val="Hyperlink"/>
                  <w:b w:val="0"/>
                  <w:sz w:val="20"/>
                  <w:szCs w:val="20"/>
                  <w:lang w:val="en-GB"/>
                </w:rPr>
                <w:t>-3/5 - Cognitive radio systems in the mobile service</w:t>
              </w:r>
            </w:hyperlink>
          </w:p>
        </w:tc>
        <w:tc>
          <w:tcPr>
            <w:tcW w:w="4931" w:type="dxa"/>
            <w:shd w:val="clear" w:color="auto" w:fill="auto"/>
            <w:vAlign w:val="center"/>
          </w:tcPr>
          <w:p w14:paraId="05B1B60F" w14:textId="77777777" w:rsidR="00D65531" w:rsidRPr="00FD2F0C" w:rsidRDefault="00D65531" w:rsidP="00081C72">
            <w:pPr>
              <w:pStyle w:val="Tableheadwhitecentred"/>
              <w:jc w:val="left"/>
              <w:rPr>
                <w:b w:val="0"/>
                <w:sz w:val="20"/>
                <w:szCs w:val="20"/>
                <w:lang w:val="en-GB"/>
              </w:rPr>
            </w:pPr>
            <w:r w:rsidRPr="00FD2F0C">
              <w:rPr>
                <w:b w:val="0"/>
                <w:sz w:val="20"/>
                <w:szCs w:val="20"/>
                <w:lang w:val="en-GB"/>
              </w:rPr>
              <w:t xml:space="preserve">This ITU-R question seeks to answer various questions regarding cognitive radio systems </w:t>
            </w:r>
          </w:p>
        </w:tc>
      </w:tr>
      <w:tr w:rsidR="00D65531" w:rsidRPr="00FD2F0C" w14:paraId="690278BE" w14:textId="77777777" w:rsidTr="00081C72">
        <w:tc>
          <w:tcPr>
            <w:tcW w:w="10245" w:type="dxa"/>
            <w:gridSpan w:val="4"/>
            <w:shd w:val="clear" w:color="auto" w:fill="F2F2F2" w:themeFill="background1" w:themeFillShade="F2"/>
            <w:vAlign w:val="center"/>
          </w:tcPr>
          <w:p w14:paraId="1AAFE575" w14:textId="77777777" w:rsidR="00D65531" w:rsidRPr="00FD2F0C" w:rsidRDefault="00D65531" w:rsidP="00081C72">
            <w:pPr>
              <w:pStyle w:val="Tableheadwhitecentred"/>
              <w:rPr>
                <w:lang w:val="en-GB"/>
              </w:rPr>
            </w:pPr>
            <w:r w:rsidRPr="00FD2F0C">
              <w:rPr>
                <w:lang w:val="en-GB"/>
              </w:rPr>
              <w:t>ITU-R Recommendations</w:t>
            </w:r>
          </w:p>
        </w:tc>
      </w:tr>
      <w:tr w:rsidR="00D65531" w:rsidRPr="00573C99" w14:paraId="650BA456" w14:textId="77777777" w:rsidTr="00081C72">
        <w:tc>
          <w:tcPr>
            <w:tcW w:w="4695" w:type="dxa"/>
            <w:vAlign w:val="center"/>
          </w:tcPr>
          <w:p w14:paraId="1EDEF68E" w14:textId="77777777" w:rsidR="00D65531" w:rsidRPr="00FD2F0C" w:rsidRDefault="00573C99" w:rsidP="00081C72">
            <w:pPr>
              <w:pStyle w:val="Tabletext0"/>
              <w:rPr>
                <w:sz w:val="20"/>
                <w:szCs w:val="20"/>
                <w:lang w:val="en-GB"/>
              </w:rPr>
            </w:pPr>
            <w:hyperlink r:id="rId72" w:history="1">
              <w:r w:rsidR="00D65531" w:rsidRPr="00FD2F0C">
                <w:rPr>
                  <w:rStyle w:val="Hyperlink"/>
                  <w:sz w:val="20"/>
                  <w:szCs w:val="20"/>
                  <w:lang w:val="en-GB"/>
                </w:rPr>
                <w:t>ITU-R SM.575 – Protection of fixed monitoring stations against interference from nearby or strong transmitters</w:t>
              </w:r>
            </w:hyperlink>
          </w:p>
        </w:tc>
        <w:tc>
          <w:tcPr>
            <w:tcW w:w="5550" w:type="dxa"/>
            <w:gridSpan w:val="3"/>
          </w:tcPr>
          <w:p w14:paraId="6AA55DC8" w14:textId="77777777" w:rsidR="00D65531" w:rsidRPr="00FD2F0C" w:rsidRDefault="00D65531" w:rsidP="00081C72">
            <w:pPr>
              <w:pStyle w:val="Tabletext0"/>
              <w:jc w:val="both"/>
              <w:rPr>
                <w:sz w:val="20"/>
                <w:lang w:val="en-GB"/>
              </w:rPr>
            </w:pPr>
            <w:r w:rsidRPr="00FD2F0C">
              <w:rPr>
                <w:sz w:val="20"/>
                <w:lang w:val="en-GB"/>
              </w:rPr>
              <w:t>This Recommendation specifies maximum field-strength levels at monitoring stations to ensure their interference-free operation.</w:t>
            </w:r>
          </w:p>
        </w:tc>
      </w:tr>
      <w:tr w:rsidR="00D65531" w:rsidRPr="00573C99" w14:paraId="03BC7503" w14:textId="77777777" w:rsidTr="00081C72">
        <w:tc>
          <w:tcPr>
            <w:tcW w:w="4695" w:type="dxa"/>
            <w:vAlign w:val="center"/>
          </w:tcPr>
          <w:p w14:paraId="0AAC598D" w14:textId="77777777" w:rsidR="00D65531" w:rsidRPr="00FD2F0C" w:rsidRDefault="00D65531" w:rsidP="00081C72">
            <w:pPr>
              <w:pStyle w:val="Tabletext0"/>
              <w:rPr>
                <w:rStyle w:val="Hyperlink"/>
                <w:bCs w:val="0"/>
                <w:color w:val="auto"/>
                <w:sz w:val="24"/>
                <w:szCs w:val="22"/>
                <w:u w:val="none"/>
                <w:lang w:val="en-GB"/>
              </w:rPr>
            </w:pPr>
            <w:r w:rsidRPr="00FD2F0C">
              <w:rPr>
                <w:rStyle w:val="Hyperlink"/>
                <w:color w:val="auto"/>
                <w:sz w:val="20"/>
                <w:szCs w:val="16"/>
                <w:u w:val="none"/>
                <w:lang w:val="en-GB"/>
              </w:rPr>
              <w:t>ITU-R SM.854 – Direction finding and location determination at monitoring stations</w:t>
            </w:r>
          </w:p>
        </w:tc>
        <w:tc>
          <w:tcPr>
            <w:tcW w:w="5550" w:type="dxa"/>
            <w:gridSpan w:val="3"/>
          </w:tcPr>
          <w:p w14:paraId="10F435B1" w14:textId="77777777" w:rsidR="00D65531" w:rsidRPr="00FD2F0C" w:rsidRDefault="00D65531" w:rsidP="00081C72">
            <w:pPr>
              <w:pStyle w:val="Tabletext0"/>
              <w:jc w:val="both"/>
              <w:rPr>
                <w:sz w:val="20"/>
                <w:lang w:val="en-GB"/>
              </w:rPr>
            </w:pPr>
            <w:r w:rsidRPr="00FD2F0C">
              <w:rPr>
                <w:sz w:val="20"/>
                <w:szCs w:val="20"/>
                <w:lang w:val="en-GB"/>
              </w:rPr>
              <w:t>This Recommendation provides classification of bearings to determine the most likely position of an emitter using direction finding at monitoring stations.</w:t>
            </w:r>
          </w:p>
        </w:tc>
      </w:tr>
      <w:tr w:rsidR="00D65531" w:rsidRPr="00573C99" w14:paraId="30D7F9E0" w14:textId="77777777" w:rsidTr="00081C72">
        <w:tc>
          <w:tcPr>
            <w:tcW w:w="4695" w:type="dxa"/>
            <w:vAlign w:val="center"/>
          </w:tcPr>
          <w:p w14:paraId="6FE19FEC" w14:textId="77777777" w:rsidR="00D65531" w:rsidRPr="00FD2F0C" w:rsidRDefault="00573C99" w:rsidP="00081C72">
            <w:pPr>
              <w:pStyle w:val="Tabletext0"/>
              <w:rPr>
                <w:lang w:val="en-GB"/>
              </w:rPr>
            </w:pPr>
            <w:hyperlink r:id="rId73" w:history="1">
              <w:r w:rsidR="00D65531" w:rsidRPr="00FD2F0C">
                <w:rPr>
                  <w:rStyle w:val="Hyperlink"/>
                  <w:color w:val="auto"/>
                  <w:sz w:val="20"/>
                  <w:szCs w:val="16"/>
                  <w:u w:val="none"/>
                  <w:lang w:val="en-GB"/>
                </w:rPr>
                <w:t xml:space="preserve">ITU-R SM.1050 – </w:t>
              </w:r>
            </w:hyperlink>
            <w:r w:rsidR="00D65531" w:rsidRPr="00FD2F0C">
              <w:rPr>
                <w:rStyle w:val="Hyperlink"/>
                <w:color w:val="auto"/>
                <w:sz w:val="20"/>
                <w:szCs w:val="16"/>
                <w:u w:val="none"/>
                <w:lang w:val="en-GB"/>
              </w:rPr>
              <w:t>Tasks of a monitoring service</w:t>
            </w:r>
          </w:p>
        </w:tc>
        <w:tc>
          <w:tcPr>
            <w:tcW w:w="5550" w:type="dxa"/>
            <w:gridSpan w:val="3"/>
          </w:tcPr>
          <w:p w14:paraId="3DC1048A" w14:textId="77777777" w:rsidR="00D65531" w:rsidRPr="00FD2F0C" w:rsidRDefault="00D65531" w:rsidP="00081C72">
            <w:pPr>
              <w:pStyle w:val="Tabletext0"/>
              <w:jc w:val="both"/>
              <w:rPr>
                <w:sz w:val="20"/>
                <w:lang w:val="en-GB"/>
              </w:rPr>
            </w:pPr>
            <w:r w:rsidRPr="00FD2F0C">
              <w:rPr>
                <w:sz w:val="20"/>
                <w:szCs w:val="20"/>
                <w:lang w:val="en-GB"/>
              </w:rPr>
              <w:t>This Recommendation describes the tasks of a monitoring service.</w:t>
            </w:r>
          </w:p>
        </w:tc>
      </w:tr>
      <w:tr w:rsidR="00D65531" w:rsidRPr="00573C99" w14:paraId="0521E9CA" w14:textId="77777777" w:rsidTr="00081C72">
        <w:tc>
          <w:tcPr>
            <w:tcW w:w="4695" w:type="dxa"/>
            <w:vAlign w:val="center"/>
          </w:tcPr>
          <w:p w14:paraId="6899D4BF" w14:textId="77777777" w:rsidR="00D65531" w:rsidRPr="00FD2F0C" w:rsidRDefault="00573C99" w:rsidP="00081C72">
            <w:pPr>
              <w:pStyle w:val="Tabletext0"/>
              <w:rPr>
                <w:sz w:val="20"/>
                <w:szCs w:val="20"/>
                <w:lang w:val="en-US"/>
              </w:rPr>
            </w:pPr>
            <w:hyperlink r:id="rId74" w:history="1">
              <w:r w:rsidR="00D65531" w:rsidRPr="00FD2F0C">
                <w:rPr>
                  <w:rStyle w:val="Hyperlink"/>
                  <w:sz w:val="20"/>
                  <w:szCs w:val="20"/>
                  <w:lang w:val="en-US"/>
                </w:rPr>
                <w:t>ITU-R F.1110 - Adaptive radio systems for frequencies below about 30 MHz</w:t>
              </w:r>
            </w:hyperlink>
          </w:p>
        </w:tc>
        <w:tc>
          <w:tcPr>
            <w:tcW w:w="5550" w:type="dxa"/>
            <w:gridSpan w:val="3"/>
          </w:tcPr>
          <w:p w14:paraId="7083A370" w14:textId="77777777" w:rsidR="00D65531" w:rsidRPr="00FD2F0C" w:rsidRDefault="00D65531" w:rsidP="00081C72">
            <w:pPr>
              <w:pStyle w:val="Tabletext0"/>
              <w:jc w:val="both"/>
              <w:rPr>
                <w:sz w:val="20"/>
                <w:lang w:val="en-US"/>
              </w:rPr>
            </w:pPr>
            <w:r w:rsidRPr="00FD2F0C">
              <w:rPr>
                <w:sz w:val="20"/>
                <w:lang w:val="en-US"/>
              </w:rPr>
              <w:t>This Recommendation provides the general functions of HF adaptive systems.</w:t>
            </w:r>
          </w:p>
        </w:tc>
      </w:tr>
      <w:tr w:rsidR="00D65531" w:rsidRPr="00573C99" w14:paraId="4BBCEF3D" w14:textId="77777777" w:rsidTr="00081C72">
        <w:tc>
          <w:tcPr>
            <w:tcW w:w="4695" w:type="dxa"/>
            <w:vAlign w:val="center"/>
          </w:tcPr>
          <w:p w14:paraId="0112A5A8" w14:textId="77777777" w:rsidR="00D65531" w:rsidRPr="00FD2F0C" w:rsidRDefault="00573C99" w:rsidP="00081C72">
            <w:pPr>
              <w:pStyle w:val="Tabletext0"/>
              <w:rPr>
                <w:sz w:val="20"/>
                <w:szCs w:val="20"/>
                <w:lang w:val="en-US"/>
              </w:rPr>
            </w:pPr>
            <w:hyperlink r:id="rId75" w:history="1">
              <w:r w:rsidR="00D65531" w:rsidRPr="00FD2F0C">
                <w:rPr>
                  <w:rStyle w:val="Hyperlink"/>
                  <w:sz w:val="20"/>
                  <w:szCs w:val="20"/>
                  <w:lang w:val="en-US"/>
                </w:rPr>
                <w:t>ITU-R SM.1132 - General principles and methods for sharing between radiocommunication services or between radio stations</w:t>
              </w:r>
            </w:hyperlink>
          </w:p>
        </w:tc>
        <w:tc>
          <w:tcPr>
            <w:tcW w:w="5550" w:type="dxa"/>
            <w:gridSpan w:val="3"/>
          </w:tcPr>
          <w:p w14:paraId="4369C525" w14:textId="77777777" w:rsidR="00D65531" w:rsidRPr="00FD2F0C" w:rsidRDefault="00D65531" w:rsidP="00081C72">
            <w:pPr>
              <w:pStyle w:val="Tabletext0"/>
              <w:jc w:val="both"/>
              <w:rPr>
                <w:sz w:val="20"/>
                <w:lang w:val="en-GB"/>
              </w:rPr>
            </w:pPr>
            <w:r w:rsidRPr="00FD2F0C">
              <w:rPr>
                <w:sz w:val="20"/>
                <w:lang w:val="en-GB"/>
              </w:rPr>
              <w:t>This Recommendation provides general principles and methods for sharing between radiocommunication services or between radio stations</w:t>
            </w:r>
          </w:p>
        </w:tc>
      </w:tr>
      <w:tr w:rsidR="00D65531" w:rsidRPr="00573C99" w14:paraId="00AE2139" w14:textId="77777777" w:rsidTr="00081C72">
        <w:tc>
          <w:tcPr>
            <w:tcW w:w="4695" w:type="dxa"/>
            <w:vAlign w:val="center"/>
          </w:tcPr>
          <w:p w14:paraId="2A32D173" w14:textId="77777777" w:rsidR="00D65531" w:rsidRPr="00FD2F0C" w:rsidRDefault="00573C99" w:rsidP="00081C72">
            <w:pPr>
              <w:pStyle w:val="Tabletext0"/>
              <w:rPr>
                <w:rStyle w:val="Hyperlink"/>
                <w:bCs w:val="0"/>
                <w:sz w:val="20"/>
                <w:szCs w:val="22"/>
                <w:lang w:val="en-GB"/>
              </w:rPr>
            </w:pPr>
            <w:hyperlink r:id="rId76" w:history="1">
              <w:r w:rsidR="00D65531" w:rsidRPr="00FD2F0C">
                <w:rPr>
                  <w:rStyle w:val="Hyperlink"/>
                  <w:sz w:val="20"/>
                  <w:lang w:val="en-GB"/>
                </w:rPr>
                <w:t>ITU-R SM.1370 – Design guidelines for developing automated spectrum management systems</w:t>
              </w:r>
            </w:hyperlink>
          </w:p>
        </w:tc>
        <w:tc>
          <w:tcPr>
            <w:tcW w:w="5550" w:type="dxa"/>
            <w:gridSpan w:val="3"/>
          </w:tcPr>
          <w:p w14:paraId="7A99FDE5" w14:textId="77777777" w:rsidR="00D65531" w:rsidRPr="00FD2F0C" w:rsidRDefault="00D65531" w:rsidP="00081C72">
            <w:pPr>
              <w:pStyle w:val="Tabletext0"/>
              <w:jc w:val="both"/>
              <w:rPr>
                <w:sz w:val="20"/>
                <w:lang w:val="en-GB"/>
              </w:rPr>
            </w:pPr>
            <w:r w:rsidRPr="00FD2F0C">
              <w:rPr>
                <w:sz w:val="20"/>
                <w:lang w:val="en-GB"/>
              </w:rPr>
              <w:t>This Recommendation gives design guidelines for an automated spectrum management system, including the recommended functionality for such a system, and the data elements required for frequency manage</w:t>
            </w:r>
            <w:r w:rsidRPr="00FD2F0C">
              <w:rPr>
                <w:sz w:val="20"/>
                <w:lang w:val="en-GB"/>
              </w:rPr>
              <w:softHyphen/>
              <w:t>ment at national level while also ensuring that the data collected is suitable (statistically significant) for accurate characterization.</w:t>
            </w:r>
          </w:p>
        </w:tc>
      </w:tr>
      <w:tr w:rsidR="00D65531" w:rsidRPr="00573C99" w14:paraId="6E8F78D5" w14:textId="77777777" w:rsidTr="00081C72">
        <w:tc>
          <w:tcPr>
            <w:tcW w:w="4695" w:type="dxa"/>
            <w:vAlign w:val="center"/>
          </w:tcPr>
          <w:p w14:paraId="333D31E5" w14:textId="77777777" w:rsidR="00D65531" w:rsidRPr="00FD2F0C" w:rsidRDefault="00573C99" w:rsidP="00081C72">
            <w:pPr>
              <w:pStyle w:val="Tabletext0"/>
              <w:rPr>
                <w:rStyle w:val="Hyperlink"/>
                <w:bCs w:val="0"/>
                <w:sz w:val="20"/>
                <w:szCs w:val="22"/>
                <w:lang w:val="en-GB"/>
              </w:rPr>
            </w:pPr>
            <w:hyperlink r:id="rId77" w:history="1">
              <w:r w:rsidR="00D65531" w:rsidRPr="00FD2F0C">
                <w:rPr>
                  <w:rStyle w:val="Hyperlink"/>
                  <w:sz w:val="20"/>
                  <w:lang w:val="en-GB"/>
                </w:rPr>
                <w:t>ITU-R SM.1392 – Essential Requirements for a spectrum monitoring system for developing countries</w:t>
              </w:r>
            </w:hyperlink>
            <w:r w:rsidR="00D65531" w:rsidRPr="00FD2F0C">
              <w:rPr>
                <w:rStyle w:val="Hyperlink"/>
                <w:sz w:val="20"/>
                <w:lang w:val="en-GB"/>
              </w:rPr>
              <w:t xml:space="preserve"> </w:t>
            </w:r>
          </w:p>
        </w:tc>
        <w:tc>
          <w:tcPr>
            <w:tcW w:w="5550" w:type="dxa"/>
            <w:gridSpan w:val="3"/>
          </w:tcPr>
          <w:p w14:paraId="4DAFDBC8" w14:textId="77777777" w:rsidR="00D65531" w:rsidRPr="00FD2F0C" w:rsidRDefault="00D65531" w:rsidP="00081C72">
            <w:pPr>
              <w:pStyle w:val="Tabletext0"/>
              <w:jc w:val="both"/>
              <w:rPr>
                <w:sz w:val="20"/>
                <w:lang w:val="en-GB"/>
              </w:rPr>
            </w:pPr>
            <w:r w:rsidRPr="00FD2F0C">
              <w:rPr>
                <w:sz w:val="20"/>
                <w:lang w:val="en-GB"/>
              </w:rPr>
              <w:t>This Recommendation describes requirements for spectrum monitoring systems, including systems tasks, equipment and evaluation criteria for determining the scope of what is needed based on administration requirements.</w:t>
            </w:r>
          </w:p>
        </w:tc>
      </w:tr>
      <w:tr w:rsidR="00D65531" w:rsidRPr="00FD2F0C" w14:paraId="4D512730" w14:textId="77777777" w:rsidTr="00081C72">
        <w:tc>
          <w:tcPr>
            <w:tcW w:w="4695" w:type="dxa"/>
            <w:vAlign w:val="center"/>
          </w:tcPr>
          <w:p w14:paraId="111B7E90" w14:textId="77777777" w:rsidR="00D65531" w:rsidRPr="00FD2F0C" w:rsidRDefault="00573C99" w:rsidP="00081C72">
            <w:pPr>
              <w:pStyle w:val="Tabletext0"/>
              <w:rPr>
                <w:sz w:val="20"/>
                <w:lang w:val="en-GB"/>
              </w:rPr>
            </w:pPr>
            <w:hyperlink r:id="rId78" w:history="1">
              <w:r w:rsidR="00D65531" w:rsidRPr="00FD2F0C">
                <w:rPr>
                  <w:rStyle w:val="Hyperlink"/>
                  <w:sz w:val="20"/>
                  <w:lang w:val="en-GB"/>
                </w:rPr>
                <w:t>ITU-R SM.1537 - Automation and integration of spectrum monitoring systems with automated spectrum management.</w:t>
              </w:r>
            </w:hyperlink>
          </w:p>
        </w:tc>
        <w:tc>
          <w:tcPr>
            <w:tcW w:w="5550" w:type="dxa"/>
            <w:gridSpan w:val="3"/>
          </w:tcPr>
          <w:p w14:paraId="66D32577" w14:textId="77777777" w:rsidR="00D65531" w:rsidRPr="00FD2F0C" w:rsidRDefault="00D65531" w:rsidP="00081C72">
            <w:pPr>
              <w:pStyle w:val="Tabletext0"/>
              <w:jc w:val="both"/>
              <w:rPr>
                <w:sz w:val="20"/>
                <w:szCs w:val="20"/>
                <w:lang w:val="en-GB"/>
              </w:rPr>
            </w:pPr>
            <w:r w:rsidRPr="00FD2F0C">
              <w:rPr>
                <w:sz w:val="20"/>
                <w:szCs w:val="20"/>
                <w:lang w:val="en-GB"/>
              </w:rPr>
              <w:t>Current technology allows most spectrum monitoring functions, and indeed entire monitoring stations, to be highly automated, and allows spectrum monitoring systems to be highly integrated with automated spectrum management. Many activities of an automated national spectrum management system will benefit from integration with automated spectrum monitoring stations. This Recommendation describes recommended functionality of these systems</w:t>
            </w:r>
          </w:p>
        </w:tc>
      </w:tr>
      <w:tr w:rsidR="00D65531" w:rsidRPr="00573C99" w14:paraId="39F8AF37" w14:textId="77777777" w:rsidTr="00081C72">
        <w:tc>
          <w:tcPr>
            <w:tcW w:w="4695" w:type="dxa"/>
            <w:vAlign w:val="center"/>
          </w:tcPr>
          <w:p w14:paraId="3D5937ED" w14:textId="77777777" w:rsidR="00D65531" w:rsidRPr="00FD2F0C" w:rsidRDefault="00573C99" w:rsidP="00081C72">
            <w:pPr>
              <w:pStyle w:val="Tabletext0"/>
              <w:rPr>
                <w:sz w:val="20"/>
                <w:szCs w:val="20"/>
                <w:lang w:val="en-US"/>
              </w:rPr>
            </w:pPr>
            <w:hyperlink r:id="rId79" w:history="1">
              <w:r w:rsidR="00D65531" w:rsidRPr="00FD2F0C">
                <w:rPr>
                  <w:rStyle w:val="Hyperlink"/>
                  <w:sz w:val="20"/>
                  <w:szCs w:val="20"/>
                  <w:lang w:val="en-US"/>
                </w:rPr>
                <w:t>ITU-R SM.1603 - Spectrum redeployment as a method of national spectrum management</w:t>
              </w:r>
            </w:hyperlink>
          </w:p>
        </w:tc>
        <w:tc>
          <w:tcPr>
            <w:tcW w:w="5550" w:type="dxa"/>
            <w:gridSpan w:val="3"/>
          </w:tcPr>
          <w:p w14:paraId="22C3509F" w14:textId="77777777" w:rsidR="00D65531" w:rsidRPr="00FD2F0C" w:rsidRDefault="00D65531" w:rsidP="00081C72">
            <w:pPr>
              <w:pStyle w:val="Tabletext0"/>
              <w:jc w:val="both"/>
              <w:rPr>
                <w:sz w:val="20"/>
                <w:szCs w:val="20"/>
                <w:lang w:val="en-US"/>
              </w:rPr>
            </w:pPr>
            <w:r w:rsidRPr="00FD2F0C">
              <w:rPr>
                <w:sz w:val="20"/>
                <w:szCs w:val="20"/>
                <w:lang w:val="en-US"/>
              </w:rPr>
              <w:t>This Recommendation gives guidelines for spectrum redeployment issues</w:t>
            </w:r>
          </w:p>
        </w:tc>
      </w:tr>
      <w:tr w:rsidR="00D65531" w:rsidRPr="00573C99" w14:paraId="50DB18AD" w14:textId="77777777" w:rsidTr="00081C72">
        <w:tc>
          <w:tcPr>
            <w:tcW w:w="4695" w:type="dxa"/>
            <w:vAlign w:val="center"/>
          </w:tcPr>
          <w:p w14:paraId="1466A773" w14:textId="77777777" w:rsidR="00D65531" w:rsidRPr="00FD2F0C" w:rsidRDefault="00573C99" w:rsidP="00081C72">
            <w:pPr>
              <w:pStyle w:val="Tabletext0"/>
              <w:rPr>
                <w:rStyle w:val="Hyperlink"/>
                <w:bCs w:val="0"/>
                <w:sz w:val="20"/>
                <w:szCs w:val="22"/>
                <w:lang w:val="en-GB"/>
              </w:rPr>
            </w:pPr>
            <w:hyperlink r:id="rId80" w:history="1">
              <w:r w:rsidR="00D65531" w:rsidRPr="00FD2F0C">
                <w:rPr>
                  <w:rStyle w:val="Hyperlink"/>
                  <w:sz w:val="20"/>
                  <w:lang w:val="en-GB"/>
                </w:rPr>
                <w:t>ITU-R SM.1708 – Field-strength measurements along a route with geographical</w:t>
              </w:r>
            </w:hyperlink>
          </w:p>
        </w:tc>
        <w:tc>
          <w:tcPr>
            <w:tcW w:w="5550" w:type="dxa"/>
            <w:gridSpan w:val="3"/>
          </w:tcPr>
          <w:p w14:paraId="4132B1C8" w14:textId="77777777" w:rsidR="00D65531" w:rsidRPr="00FD2F0C" w:rsidRDefault="00D65531" w:rsidP="00081C72">
            <w:pPr>
              <w:pStyle w:val="Tabletext0"/>
              <w:jc w:val="both"/>
              <w:rPr>
                <w:sz w:val="20"/>
                <w:lang w:val="en-GB"/>
              </w:rPr>
            </w:pPr>
            <w:r w:rsidRPr="00FD2F0C">
              <w:rPr>
                <w:sz w:val="20"/>
                <w:szCs w:val="20"/>
                <w:lang w:val="en-GB"/>
              </w:rPr>
              <w:t>This Recommendation describes the method which should be used for field-strength measurements of vertically polarized signals along a route.</w:t>
            </w:r>
          </w:p>
        </w:tc>
      </w:tr>
      <w:tr w:rsidR="00D65531" w:rsidRPr="00573C99" w14:paraId="589C8EA1" w14:textId="77777777" w:rsidTr="00081C72">
        <w:tc>
          <w:tcPr>
            <w:tcW w:w="4695" w:type="dxa"/>
            <w:vAlign w:val="center"/>
          </w:tcPr>
          <w:p w14:paraId="004E8895" w14:textId="77777777" w:rsidR="00D65531" w:rsidRPr="00FD2F0C" w:rsidRDefault="00573C99" w:rsidP="00081C72">
            <w:pPr>
              <w:pStyle w:val="Tabletext0"/>
              <w:rPr>
                <w:rStyle w:val="Hyperlink"/>
                <w:bCs w:val="0"/>
                <w:sz w:val="20"/>
                <w:szCs w:val="22"/>
                <w:lang w:val="en-GB"/>
              </w:rPr>
            </w:pPr>
            <w:hyperlink r:id="rId81" w:history="1">
              <w:r w:rsidR="00D65531" w:rsidRPr="00FD2F0C">
                <w:rPr>
                  <w:rStyle w:val="Hyperlink"/>
                  <w:sz w:val="20"/>
                  <w:lang w:val="en-GB"/>
                </w:rPr>
                <w:t>ITU-R SM.1880 – Spectrum Occupancy measurement and evaluation</w:t>
              </w:r>
            </w:hyperlink>
          </w:p>
        </w:tc>
        <w:tc>
          <w:tcPr>
            <w:tcW w:w="5550" w:type="dxa"/>
            <w:gridSpan w:val="3"/>
          </w:tcPr>
          <w:p w14:paraId="5FDA6689" w14:textId="77777777" w:rsidR="00D65531" w:rsidRPr="00FD2F0C" w:rsidRDefault="00D65531" w:rsidP="00081C72">
            <w:pPr>
              <w:pStyle w:val="Tabletext0"/>
              <w:jc w:val="both"/>
              <w:rPr>
                <w:sz w:val="20"/>
                <w:lang w:val="en-GB"/>
              </w:rPr>
            </w:pPr>
            <w:r w:rsidRPr="00FD2F0C">
              <w:rPr>
                <w:sz w:val="20"/>
                <w:lang w:val="en-GB"/>
              </w:rPr>
              <w:t>This Recommendation describes frequency channel occupancy measurements performed with a receiver or spectrum analyser and includes discussions about equipment, monitoring site considerations, fixed and mobile monitoring, statistical considerations for result validity and post processing.</w:t>
            </w:r>
          </w:p>
        </w:tc>
      </w:tr>
      <w:tr w:rsidR="00D65531" w:rsidRPr="00573C99" w14:paraId="7BCBA2C0" w14:textId="77777777" w:rsidTr="00081C72">
        <w:tc>
          <w:tcPr>
            <w:tcW w:w="4695" w:type="dxa"/>
            <w:vAlign w:val="center"/>
          </w:tcPr>
          <w:p w14:paraId="09189E31" w14:textId="77777777" w:rsidR="00D65531" w:rsidRPr="00FD2F0C" w:rsidRDefault="00573C99" w:rsidP="00081C72">
            <w:pPr>
              <w:pStyle w:val="Tabletext0"/>
              <w:rPr>
                <w:rStyle w:val="Hyperlink"/>
                <w:bCs w:val="0"/>
                <w:sz w:val="20"/>
                <w:szCs w:val="22"/>
                <w:lang w:val="en-GB"/>
              </w:rPr>
            </w:pPr>
            <w:hyperlink r:id="rId82" w:history="1">
              <w:r w:rsidR="00D65531" w:rsidRPr="00FD2F0C">
                <w:rPr>
                  <w:rStyle w:val="Hyperlink"/>
                  <w:sz w:val="20"/>
                  <w:lang w:val="en-GB"/>
                </w:rPr>
                <w:t>ITU-R SM.2039 – Spectrum Monitoring Evolution</w:t>
              </w:r>
            </w:hyperlink>
          </w:p>
          <w:p w14:paraId="10798044" w14:textId="77777777" w:rsidR="00D65531" w:rsidRPr="00FD2F0C" w:rsidRDefault="00D65531" w:rsidP="00081C72">
            <w:pPr>
              <w:pStyle w:val="Tabletext0"/>
              <w:rPr>
                <w:rStyle w:val="Hyperlink"/>
                <w:color w:val="auto"/>
                <w:u w:val="none"/>
                <w:lang w:val="en-GB"/>
              </w:rPr>
            </w:pPr>
            <w:r w:rsidRPr="00FD2F0C">
              <w:rPr>
                <w:rStyle w:val="Hyperlink"/>
                <w:color w:val="auto"/>
                <w:sz w:val="20"/>
                <w:szCs w:val="16"/>
                <w:lang w:val="en-GB"/>
              </w:rPr>
              <w:t>Note:</w:t>
            </w:r>
            <w:r w:rsidRPr="00FD2F0C">
              <w:rPr>
                <w:rStyle w:val="Hyperlink"/>
                <w:color w:val="auto"/>
                <w:sz w:val="20"/>
                <w:szCs w:val="16"/>
                <w:u w:val="none"/>
                <w:lang w:val="en-GB"/>
              </w:rPr>
              <w:t xml:space="preserve"> T</w:t>
            </w:r>
            <w:r w:rsidRPr="00FD2F0C">
              <w:rPr>
                <w:sz w:val="20"/>
                <w:szCs w:val="16"/>
                <w:lang w:val="en-GB"/>
              </w:rPr>
              <w:t>his Recommendation may become relevant at a later stage after setting up an initial spectrum monitoring system</w:t>
            </w:r>
          </w:p>
        </w:tc>
        <w:tc>
          <w:tcPr>
            <w:tcW w:w="5550" w:type="dxa"/>
            <w:gridSpan w:val="3"/>
          </w:tcPr>
          <w:p w14:paraId="203A689A" w14:textId="77777777" w:rsidR="00D65531" w:rsidRPr="00FD2F0C" w:rsidRDefault="00D65531" w:rsidP="00081C72">
            <w:pPr>
              <w:pStyle w:val="Tabletext0"/>
              <w:jc w:val="both"/>
              <w:rPr>
                <w:sz w:val="20"/>
                <w:lang w:val="en-GB"/>
              </w:rPr>
            </w:pPr>
            <w:r w:rsidRPr="00FD2F0C">
              <w:rPr>
                <w:sz w:val="20"/>
                <w:lang w:val="en-GB"/>
              </w:rPr>
              <w:t>This Recommendation describes the need for improved coverage and sensitivity in monitoring networks and the extension of monitoring coverage utilizing new technologies, including the challenges and approaches for detection of weak signals.</w:t>
            </w:r>
          </w:p>
        </w:tc>
      </w:tr>
      <w:tr w:rsidR="00D65531" w:rsidRPr="00573C99" w14:paraId="62203D06" w14:textId="77777777" w:rsidTr="00081C72">
        <w:tc>
          <w:tcPr>
            <w:tcW w:w="4695" w:type="dxa"/>
            <w:vAlign w:val="center"/>
          </w:tcPr>
          <w:p w14:paraId="4E2F928A" w14:textId="47166233" w:rsidR="00D65531" w:rsidRPr="00FD2F0C" w:rsidRDefault="00573C99" w:rsidP="00081C72">
            <w:pPr>
              <w:pStyle w:val="Tabletext0"/>
              <w:rPr>
                <w:lang w:val="en-US"/>
              </w:rPr>
            </w:pPr>
            <w:hyperlink r:id="rId83" w:history="1">
              <w:r w:rsidR="00A477B4" w:rsidRPr="00FD2F0C">
                <w:rPr>
                  <w:rStyle w:val="Hyperlink"/>
                  <w:sz w:val="20"/>
                  <w:lang w:val="en-US"/>
                </w:rPr>
                <w:t>IT</w:t>
              </w:r>
              <w:r w:rsidR="00D65531" w:rsidRPr="00FD2F0C">
                <w:rPr>
                  <w:rStyle w:val="Hyperlink"/>
                  <w:sz w:val="20"/>
                  <w:lang w:val="en-US"/>
                </w:rPr>
                <w:t>U-R M.2083 – IMT Vision – Framework and overall objectives of the future development of IMT for 2020 and beyond</w:t>
              </w:r>
            </w:hyperlink>
          </w:p>
        </w:tc>
        <w:tc>
          <w:tcPr>
            <w:tcW w:w="5550" w:type="dxa"/>
            <w:gridSpan w:val="3"/>
          </w:tcPr>
          <w:p w14:paraId="12159C77" w14:textId="77777777" w:rsidR="00D65531" w:rsidRPr="00FD2F0C" w:rsidRDefault="00D65531" w:rsidP="00081C72">
            <w:pPr>
              <w:pStyle w:val="Tabletext0"/>
              <w:jc w:val="both"/>
              <w:rPr>
                <w:sz w:val="20"/>
                <w:lang w:val="en-GB"/>
              </w:rPr>
            </w:pPr>
            <w:r w:rsidRPr="00FD2F0C">
              <w:rPr>
                <w:sz w:val="20"/>
                <w:lang w:val="en-GB"/>
              </w:rPr>
              <w:t>This Recommendation defines the framework and overall objectives of the future development of International Mobile Telecommunications (IMT) for 2020 and beyond in light of the roles that IMT could play to better serve the needs of the networked society, for both developed and developing countries, in the future. In this Recommendation, the framework of the future development of IMT for 2020 and beyond, including a broad variety of capabilities associated with envisaged usage scenarios, is described in detail. Furthermore, this Recommendation addresses the objectives of the future development of IMT for 2020 and beyond, which includes further enhancement of existing IMT and the development of IMT-2020. It should be noted that this Recommendation is defined considering the development of IMT to date based on Recommendation ITU-R M.1645.</w:t>
            </w:r>
          </w:p>
        </w:tc>
      </w:tr>
      <w:tr w:rsidR="00D65531" w:rsidRPr="00FD2F0C" w14:paraId="549A79DA" w14:textId="77777777" w:rsidTr="00081C72">
        <w:tc>
          <w:tcPr>
            <w:tcW w:w="10245" w:type="dxa"/>
            <w:gridSpan w:val="4"/>
            <w:shd w:val="clear" w:color="auto" w:fill="F2F2F2" w:themeFill="background1" w:themeFillShade="F2"/>
            <w:vAlign w:val="center"/>
          </w:tcPr>
          <w:p w14:paraId="09D1E713" w14:textId="77777777" w:rsidR="00D65531" w:rsidRPr="00FD2F0C" w:rsidRDefault="00D65531" w:rsidP="00081C72">
            <w:pPr>
              <w:pStyle w:val="Tableheadwhitecentred"/>
              <w:rPr>
                <w:lang w:val="en-GB"/>
              </w:rPr>
            </w:pPr>
            <w:r w:rsidRPr="00FD2F0C">
              <w:rPr>
                <w:lang w:val="en-GB"/>
              </w:rPr>
              <w:t>ITU-R Reports</w:t>
            </w:r>
          </w:p>
        </w:tc>
      </w:tr>
      <w:tr w:rsidR="00D65531" w:rsidRPr="00573C99" w14:paraId="083EAF31" w14:textId="77777777" w:rsidTr="00081C72">
        <w:trPr>
          <w:trHeight w:val="579"/>
        </w:trPr>
        <w:tc>
          <w:tcPr>
            <w:tcW w:w="4695" w:type="dxa"/>
            <w:vAlign w:val="center"/>
          </w:tcPr>
          <w:p w14:paraId="454171A4" w14:textId="77777777" w:rsidR="00D65531" w:rsidRPr="00FD2F0C" w:rsidRDefault="00573C99" w:rsidP="00081C72">
            <w:pPr>
              <w:pStyle w:val="Tabletext0"/>
              <w:rPr>
                <w:sz w:val="20"/>
                <w:szCs w:val="20"/>
                <w:lang w:val="en-US"/>
              </w:rPr>
            </w:pPr>
            <w:hyperlink r:id="rId84" w:history="1">
              <w:r w:rsidR="00D65531" w:rsidRPr="00FD2F0C">
                <w:rPr>
                  <w:rStyle w:val="Hyperlink"/>
                  <w:sz w:val="20"/>
                  <w:szCs w:val="20"/>
                  <w:lang w:val="en-US"/>
                </w:rPr>
                <w:t>ITU-R M.2117 - Software-defined radio in the land mobile, amateur and amateur-satellite services</w:t>
              </w:r>
            </w:hyperlink>
          </w:p>
        </w:tc>
        <w:tc>
          <w:tcPr>
            <w:tcW w:w="5550" w:type="dxa"/>
            <w:gridSpan w:val="3"/>
          </w:tcPr>
          <w:p w14:paraId="7AB18B6C" w14:textId="77777777" w:rsidR="00D65531" w:rsidRPr="00FD2F0C" w:rsidRDefault="00D65531" w:rsidP="00081C72">
            <w:pPr>
              <w:pStyle w:val="Tabletext0"/>
              <w:rPr>
                <w:sz w:val="20"/>
                <w:szCs w:val="20"/>
                <w:lang w:val="en-GB"/>
              </w:rPr>
            </w:pPr>
            <w:r w:rsidRPr="00FD2F0C">
              <w:rPr>
                <w:sz w:val="20"/>
                <w:szCs w:val="20"/>
                <w:lang w:val="en-GB"/>
              </w:rPr>
              <w:t>The Report was revised based on the recent results of ITU-R studies on SDR and CRS</w:t>
            </w:r>
          </w:p>
        </w:tc>
      </w:tr>
      <w:tr w:rsidR="00D65531" w:rsidRPr="00573C99" w14:paraId="0D3FAFB6" w14:textId="77777777" w:rsidTr="00081C72">
        <w:trPr>
          <w:trHeight w:val="579"/>
        </w:trPr>
        <w:tc>
          <w:tcPr>
            <w:tcW w:w="4695" w:type="dxa"/>
            <w:vAlign w:val="center"/>
          </w:tcPr>
          <w:p w14:paraId="67D38F24" w14:textId="77777777" w:rsidR="00D65531" w:rsidRPr="00FD2F0C" w:rsidRDefault="00573C99" w:rsidP="00081C72">
            <w:pPr>
              <w:pStyle w:val="Tabletext0"/>
              <w:rPr>
                <w:sz w:val="20"/>
                <w:szCs w:val="20"/>
                <w:lang w:val="en-US"/>
              </w:rPr>
            </w:pPr>
            <w:hyperlink r:id="rId85" w:history="1">
              <w:r w:rsidR="00D65531" w:rsidRPr="00FD2F0C">
                <w:rPr>
                  <w:rStyle w:val="Hyperlink"/>
                  <w:sz w:val="20"/>
                  <w:szCs w:val="20"/>
                  <w:lang w:val="en-US"/>
                </w:rPr>
                <w:t>ITU-R M.2225 - Introduction to cognitive radio systems in the land mobile service</w:t>
              </w:r>
            </w:hyperlink>
          </w:p>
        </w:tc>
        <w:tc>
          <w:tcPr>
            <w:tcW w:w="5550" w:type="dxa"/>
            <w:gridSpan w:val="3"/>
          </w:tcPr>
          <w:p w14:paraId="3A273597" w14:textId="77777777" w:rsidR="00D65531" w:rsidRPr="00FD2F0C" w:rsidRDefault="00D65531" w:rsidP="00081C72">
            <w:pPr>
              <w:pStyle w:val="Tabletext0"/>
              <w:rPr>
                <w:sz w:val="20"/>
                <w:szCs w:val="20"/>
                <w:lang w:val="en-GB"/>
              </w:rPr>
            </w:pPr>
            <w:r w:rsidRPr="00FD2F0C">
              <w:rPr>
                <w:sz w:val="20"/>
                <w:szCs w:val="20"/>
                <w:lang w:val="en-GB"/>
              </w:rPr>
              <w:t>This Report addresses the cognitive radio systems in the land mobile service (LMS) above 30 MHz (excluding international mobile telecommunications (IMT))</w:t>
            </w:r>
          </w:p>
        </w:tc>
      </w:tr>
      <w:tr w:rsidR="00D65531" w:rsidRPr="00573C99" w14:paraId="709A8DFA" w14:textId="77777777" w:rsidTr="00081C72">
        <w:trPr>
          <w:trHeight w:val="579"/>
        </w:trPr>
        <w:tc>
          <w:tcPr>
            <w:tcW w:w="4695" w:type="dxa"/>
            <w:vAlign w:val="center"/>
          </w:tcPr>
          <w:p w14:paraId="5F448207" w14:textId="77777777" w:rsidR="00D65531" w:rsidRPr="00FD2F0C" w:rsidRDefault="00D65531" w:rsidP="00081C72">
            <w:pPr>
              <w:rPr>
                <w:rStyle w:val="Hyperlink"/>
                <w:rFonts w:asciiTheme="minorHAnsi" w:hAnsiTheme="minorHAnsi"/>
                <w:bCs/>
                <w:sz w:val="20"/>
                <w:szCs w:val="20"/>
                <w:lang w:val="en-US"/>
              </w:rPr>
            </w:pPr>
            <w:r w:rsidRPr="00FD2F0C">
              <w:rPr>
                <w:rFonts w:asciiTheme="minorHAnsi" w:hAnsiTheme="minorHAnsi"/>
                <w:sz w:val="20"/>
                <w:szCs w:val="20"/>
              </w:rPr>
              <w:fldChar w:fldCharType="begin"/>
            </w:r>
            <w:r w:rsidRPr="00FD2F0C">
              <w:rPr>
                <w:rFonts w:asciiTheme="minorHAnsi" w:hAnsiTheme="minorHAnsi"/>
                <w:sz w:val="20"/>
                <w:szCs w:val="20"/>
                <w:lang w:val="en-US"/>
              </w:rPr>
              <w:instrText xml:space="preserve"> HYPERLINK "https://www.itu.int/pub/R-REP-M.2242-2011" </w:instrText>
            </w:r>
            <w:r w:rsidRPr="00FD2F0C">
              <w:rPr>
                <w:rFonts w:asciiTheme="minorHAnsi" w:hAnsiTheme="minorHAnsi"/>
                <w:sz w:val="20"/>
                <w:szCs w:val="20"/>
              </w:rPr>
              <w:fldChar w:fldCharType="separate"/>
            </w:r>
            <w:r w:rsidRPr="00FD2F0C">
              <w:rPr>
                <w:rStyle w:val="Hyperlink"/>
                <w:rFonts w:asciiTheme="minorHAnsi" w:hAnsiTheme="minorHAnsi"/>
                <w:sz w:val="20"/>
                <w:szCs w:val="20"/>
                <w:lang w:val="en-US"/>
              </w:rPr>
              <w:t xml:space="preserve">ITU-R M.2242 - </w:t>
            </w:r>
            <w:r w:rsidRPr="00FD2F0C">
              <w:rPr>
                <w:rStyle w:val="Hyperlink"/>
                <w:rFonts w:asciiTheme="minorHAnsi" w:hAnsiTheme="minorHAnsi"/>
                <w:bCs/>
                <w:sz w:val="20"/>
                <w:szCs w:val="20"/>
                <w:lang w:val="en-US"/>
              </w:rPr>
              <w:t xml:space="preserve">Cognitive Radio Systems specific for IMT Systems  </w:t>
            </w:r>
          </w:p>
          <w:p w14:paraId="623D2720" w14:textId="77777777" w:rsidR="00D65531" w:rsidRPr="00FD2F0C" w:rsidRDefault="00D65531" w:rsidP="00081C72">
            <w:pPr>
              <w:pStyle w:val="Tabletext0"/>
              <w:rPr>
                <w:sz w:val="20"/>
                <w:szCs w:val="20"/>
                <w:lang w:val="en-US"/>
              </w:rPr>
            </w:pPr>
            <w:r w:rsidRPr="00FD2F0C">
              <w:rPr>
                <w:bCs w:val="0"/>
                <w:sz w:val="20"/>
                <w:szCs w:val="20"/>
              </w:rPr>
              <w:fldChar w:fldCharType="end"/>
            </w:r>
          </w:p>
        </w:tc>
        <w:tc>
          <w:tcPr>
            <w:tcW w:w="5550" w:type="dxa"/>
            <w:gridSpan w:val="3"/>
          </w:tcPr>
          <w:p w14:paraId="5F12D5A2" w14:textId="77777777" w:rsidR="00D65531" w:rsidRPr="00FD2F0C" w:rsidRDefault="00D65531" w:rsidP="00081C72">
            <w:pPr>
              <w:pStyle w:val="Tabletext0"/>
              <w:rPr>
                <w:sz w:val="20"/>
                <w:szCs w:val="20"/>
                <w:lang w:val="en-GB"/>
              </w:rPr>
            </w:pPr>
            <w:r w:rsidRPr="00FD2F0C">
              <w:rPr>
                <w:sz w:val="20"/>
                <w:szCs w:val="20"/>
                <w:lang w:val="en-GB"/>
              </w:rPr>
              <w:t xml:space="preserve">This document addresses aspects of cognitive radio systems specific to International Mobile Telecommunications (IMT) systems.  </w:t>
            </w:r>
          </w:p>
        </w:tc>
      </w:tr>
      <w:tr w:rsidR="00D65531" w:rsidRPr="00573C99" w14:paraId="0C502D21" w14:textId="77777777" w:rsidTr="00081C72">
        <w:trPr>
          <w:trHeight w:val="579"/>
        </w:trPr>
        <w:tc>
          <w:tcPr>
            <w:tcW w:w="4695" w:type="dxa"/>
            <w:vAlign w:val="center"/>
          </w:tcPr>
          <w:p w14:paraId="74459FC3" w14:textId="77777777" w:rsidR="00D65531" w:rsidRPr="00FD2F0C" w:rsidRDefault="00573C99" w:rsidP="00081C72">
            <w:pPr>
              <w:pStyle w:val="Tabletext0"/>
              <w:rPr>
                <w:sz w:val="20"/>
                <w:szCs w:val="20"/>
                <w:lang w:val="en-US"/>
              </w:rPr>
            </w:pPr>
            <w:hyperlink r:id="rId86" w:history="1">
              <w:r w:rsidR="00D65531" w:rsidRPr="00FD2F0C">
                <w:rPr>
                  <w:rStyle w:val="Hyperlink"/>
                  <w:sz w:val="20"/>
                  <w:szCs w:val="20"/>
                  <w:lang w:val="en-US"/>
                </w:rPr>
                <w:t>ITU-R M. 2330 - Cognitive radio systems (CRSs) in the land mobile service</w:t>
              </w:r>
            </w:hyperlink>
          </w:p>
        </w:tc>
        <w:tc>
          <w:tcPr>
            <w:tcW w:w="5550" w:type="dxa"/>
            <w:gridSpan w:val="3"/>
          </w:tcPr>
          <w:p w14:paraId="2E0EE411" w14:textId="77777777" w:rsidR="00D65531" w:rsidRPr="00FD2F0C" w:rsidRDefault="00D65531" w:rsidP="00081C72">
            <w:pPr>
              <w:pStyle w:val="Tabletext0"/>
              <w:rPr>
                <w:sz w:val="20"/>
                <w:szCs w:val="20"/>
                <w:lang w:val="en-GB"/>
              </w:rPr>
            </w:pPr>
            <w:r w:rsidRPr="00FD2F0C">
              <w:rPr>
                <w:sz w:val="20"/>
                <w:szCs w:val="20"/>
                <w:lang w:val="en-GB"/>
              </w:rPr>
              <w:t>This Report addresses cognitive radio systems (CRSs) in the land mobile service (LMS) above 30 MHz (excluding IMT).</w:t>
            </w:r>
          </w:p>
        </w:tc>
      </w:tr>
      <w:tr w:rsidR="00D65531" w:rsidRPr="00573C99" w14:paraId="0B179AE2" w14:textId="77777777" w:rsidTr="00081C72">
        <w:trPr>
          <w:trHeight w:val="579"/>
        </w:trPr>
        <w:tc>
          <w:tcPr>
            <w:tcW w:w="4695" w:type="dxa"/>
            <w:vAlign w:val="center"/>
          </w:tcPr>
          <w:p w14:paraId="7AE0135E" w14:textId="77777777" w:rsidR="00D65531" w:rsidRPr="00FD2F0C" w:rsidRDefault="00573C99" w:rsidP="00081C72">
            <w:pPr>
              <w:pStyle w:val="Tabletext0"/>
              <w:rPr>
                <w:sz w:val="20"/>
                <w:szCs w:val="20"/>
                <w:lang w:val="en-US"/>
              </w:rPr>
            </w:pPr>
            <w:hyperlink r:id="rId87" w:history="1">
              <w:r w:rsidR="00D65531" w:rsidRPr="00FD2F0C">
                <w:rPr>
                  <w:rStyle w:val="Hyperlink"/>
                  <w:sz w:val="20"/>
                  <w:szCs w:val="20"/>
                  <w:lang w:val="en-US"/>
                </w:rPr>
                <w:t>ITU-R M. 2373 - Audio-visual capabilities and applications supported by terrestrial IMT systems</w:t>
              </w:r>
            </w:hyperlink>
          </w:p>
        </w:tc>
        <w:tc>
          <w:tcPr>
            <w:tcW w:w="5550" w:type="dxa"/>
            <w:gridSpan w:val="3"/>
          </w:tcPr>
          <w:p w14:paraId="0153E8D3" w14:textId="77777777" w:rsidR="00D65531" w:rsidRPr="00FD2F0C" w:rsidRDefault="00D65531" w:rsidP="00081C72">
            <w:pPr>
              <w:pStyle w:val="Tabletext0"/>
              <w:rPr>
                <w:sz w:val="20"/>
                <w:szCs w:val="20"/>
                <w:lang w:val="en-GB"/>
              </w:rPr>
            </w:pPr>
            <w:r w:rsidRPr="00FD2F0C">
              <w:rPr>
                <w:sz w:val="20"/>
                <w:szCs w:val="20"/>
                <w:lang w:val="en-GB"/>
              </w:rPr>
              <w:t>This Report examines the capabilities of IMT systems to deliver audio-visual services</w:t>
            </w:r>
          </w:p>
        </w:tc>
      </w:tr>
      <w:tr w:rsidR="00D65531" w:rsidRPr="00573C99" w14:paraId="35F4646C" w14:textId="77777777" w:rsidTr="00081C72">
        <w:trPr>
          <w:trHeight w:val="579"/>
        </w:trPr>
        <w:tc>
          <w:tcPr>
            <w:tcW w:w="4695" w:type="dxa"/>
            <w:vAlign w:val="center"/>
          </w:tcPr>
          <w:p w14:paraId="239D745F" w14:textId="77777777" w:rsidR="00D65531" w:rsidRPr="00FD2F0C" w:rsidRDefault="00573C99" w:rsidP="00081C72">
            <w:pPr>
              <w:pStyle w:val="Tabletext0"/>
              <w:rPr>
                <w:sz w:val="20"/>
                <w:szCs w:val="20"/>
                <w:lang w:val="en-US"/>
              </w:rPr>
            </w:pPr>
            <w:hyperlink r:id="rId88" w:history="1">
              <w:r w:rsidR="00D65531" w:rsidRPr="00FD2F0C">
                <w:rPr>
                  <w:rStyle w:val="Hyperlink"/>
                  <w:sz w:val="20"/>
                  <w:szCs w:val="20"/>
                  <w:lang w:val="en-US"/>
                </w:rPr>
                <w:t>ITU-R SM.2012 - Economic aspects of spectrum management</w:t>
              </w:r>
            </w:hyperlink>
          </w:p>
        </w:tc>
        <w:tc>
          <w:tcPr>
            <w:tcW w:w="5550" w:type="dxa"/>
            <w:gridSpan w:val="3"/>
          </w:tcPr>
          <w:p w14:paraId="6A861C31" w14:textId="77777777" w:rsidR="00D65531" w:rsidRPr="00FD2F0C" w:rsidRDefault="00D65531" w:rsidP="00081C72">
            <w:pPr>
              <w:pStyle w:val="Tabletext0"/>
              <w:rPr>
                <w:sz w:val="20"/>
                <w:szCs w:val="20"/>
                <w:lang w:val="en-GB"/>
              </w:rPr>
            </w:pPr>
            <w:r w:rsidRPr="00FD2F0C">
              <w:rPr>
                <w:sz w:val="20"/>
                <w:szCs w:val="20"/>
                <w:lang w:val="en-GB"/>
              </w:rPr>
              <w:t>The objective of this economic study is to respond to the following issues which are divided into three categories:</w:t>
            </w:r>
            <w:r w:rsidRPr="00FD2F0C">
              <w:rPr>
                <w:lang w:val="en-US"/>
              </w:rPr>
              <w:t xml:space="preserve"> </w:t>
            </w:r>
            <w:r w:rsidRPr="00FD2F0C">
              <w:rPr>
                <w:sz w:val="20"/>
                <w:szCs w:val="20"/>
                <w:lang w:val="en-GB"/>
              </w:rPr>
              <w:t>Strategies for economic approaches to national spectrum management and their financing; Assessment, for spectrum planning and strategic development purposes, of the benefits arising from the use of the radio spectrum; Alternative methods of national spectrum management</w:t>
            </w:r>
          </w:p>
        </w:tc>
      </w:tr>
      <w:tr w:rsidR="00D65531" w:rsidRPr="00573C99" w14:paraId="5E9E5548" w14:textId="77777777" w:rsidTr="00081C72">
        <w:tc>
          <w:tcPr>
            <w:tcW w:w="4695" w:type="dxa"/>
            <w:vAlign w:val="center"/>
          </w:tcPr>
          <w:p w14:paraId="7BBD5281" w14:textId="77777777" w:rsidR="00D65531" w:rsidRPr="00FD2F0C" w:rsidRDefault="00573C99" w:rsidP="00081C72">
            <w:pPr>
              <w:pStyle w:val="Tabletext0"/>
              <w:rPr>
                <w:sz w:val="20"/>
                <w:szCs w:val="20"/>
                <w:lang w:val="en-US"/>
              </w:rPr>
            </w:pPr>
            <w:hyperlink r:id="rId89" w:history="1">
              <w:r w:rsidR="00D65531" w:rsidRPr="00FD2F0C">
                <w:rPr>
                  <w:rStyle w:val="Hyperlink"/>
                  <w:sz w:val="20"/>
                  <w:szCs w:val="20"/>
                  <w:lang w:val="en-US"/>
                </w:rPr>
                <w:t>ITU-R SM.2152 - Definitions of Software Defined Radio (SDR) and Cognitive Radio System (CRS)</w:t>
              </w:r>
            </w:hyperlink>
          </w:p>
        </w:tc>
        <w:tc>
          <w:tcPr>
            <w:tcW w:w="5550" w:type="dxa"/>
            <w:gridSpan w:val="3"/>
          </w:tcPr>
          <w:p w14:paraId="291325D0" w14:textId="77777777" w:rsidR="00D65531" w:rsidRPr="00FD2F0C" w:rsidRDefault="00D65531" w:rsidP="00081C72">
            <w:pPr>
              <w:pStyle w:val="Tabletext0"/>
              <w:rPr>
                <w:sz w:val="20"/>
                <w:szCs w:val="20"/>
                <w:lang w:val="en-GB"/>
              </w:rPr>
            </w:pPr>
            <w:r w:rsidRPr="00FD2F0C">
              <w:rPr>
                <w:sz w:val="20"/>
                <w:szCs w:val="20"/>
                <w:lang w:val="en-GB"/>
              </w:rPr>
              <w:t>This report contains the definition of Software Defined Radio (SDR) and Cognitive Radio System (CRS)</w:t>
            </w:r>
          </w:p>
        </w:tc>
      </w:tr>
      <w:tr w:rsidR="00D65531" w:rsidRPr="00573C99" w14:paraId="34E88A11" w14:textId="77777777" w:rsidTr="00081C72">
        <w:tc>
          <w:tcPr>
            <w:tcW w:w="4695" w:type="dxa"/>
            <w:vAlign w:val="center"/>
          </w:tcPr>
          <w:p w14:paraId="7B3A9840" w14:textId="77777777" w:rsidR="00D65531" w:rsidRPr="00FD2F0C" w:rsidRDefault="00573C99" w:rsidP="00081C72">
            <w:pPr>
              <w:pStyle w:val="Tabletext0"/>
              <w:rPr>
                <w:rStyle w:val="Hyperlink"/>
                <w:bCs w:val="0"/>
                <w:color w:val="auto"/>
                <w:sz w:val="20"/>
                <w:szCs w:val="22"/>
                <w:lang w:val="en-GB"/>
              </w:rPr>
            </w:pPr>
            <w:hyperlink r:id="rId90" w:history="1">
              <w:r w:rsidR="00D65531" w:rsidRPr="00FD2F0C">
                <w:rPr>
                  <w:rStyle w:val="Hyperlink"/>
                  <w:sz w:val="20"/>
                  <w:lang w:val="en-GB"/>
                </w:rPr>
                <w:t>ITU-R SM.2256 - Spectrum occupancy measurements and evaluation</w:t>
              </w:r>
            </w:hyperlink>
          </w:p>
        </w:tc>
        <w:tc>
          <w:tcPr>
            <w:tcW w:w="5550" w:type="dxa"/>
            <w:gridSpan w:val="3"/>
          </w:tcPr>
          <w:p w14:paraId="11EFBB13" w14:textId="77777777" w:rsidR="00D65531" w:rsidRPr="00FD2F0C" w:rsidRDefault="00D65531" w:rsidP="00081C72">
            <w:pPr>
              <w:pStyle w:val="Tabletext0"/>
              <w:rPr>
                <w:sz w:val="20"/>
                <w:lang w:val="en-GB"/>
              </w:rPr>
            </w:pPr>
            <w:r w:rsidRPr="00FD2F0C">
              <w:rPr>
                <w:sz w:val="20"/>
                <w:lang w:val="en-GB"/>
              </w:rPr>
              <w:t>A comprehensive report covering methodology, measurement parameters, site considerations and procedures for spectrum occupancy monitoring and reporting.</w:t>
            </w:r>
          </w:p>
        </w:tc>
      </w:tr>
      <w:tr w:rsidR="00D65531" w:rsidRPr="00573C99" w14:paraId="2389F437" w14:textId="77777777" w:rsidTr="00081C72">
        <w:tc>
          <w:tcPr>
            <w:tcW w:w="4695" w:type="dxa"/>
            <w:vAlign w:val="center"/>
          </w:tcPr>
          <w:p w14:paraId="58057090" w14:textId="77777777" w:rsidR="00D65531" w:rsidRPr="00FD2F0C" w:rsidRDefault="00573C99" w:rsidP="00081C72">
            <w:pPr>
              <w:pStyle w:val="Tabletext0"/>
              <w:rPr>
                <w:rStyle w:val="Hyperlink"/>
                <w:bCs w:val="0"/>
                <w:sz w:val="20"/>
                <w:szCs w:val="22"/>
                <w:lang w:val="en-GB"/>
              </w:rPr>
            </w:pPr>
            <w:hyperlink r:id="rId91" w:history="1">
              <w:r w:rsidR="00D65531" w:rsidRPr="00FD2F0C">
                <w:rPr>
                  <w:rStyle w:val="Hyperlink"/>
                  <w:sz w:val="20"/>
                  <w:lang w:val="en-GB"/>
                </w:rPr>
                <w:t>ITU-R SM.2355 - Spectrum monitoring evolution</w:t>
              </w:r>
            </w:hyperlink>
          </w:p>
          <w:p w14:paraId="63BC1B9A" w14:textId="77777777" w:rsidR="00D65531" w:rsidRPr="00FD2F0C" w:rsidRDefault="00D65531" w:rsidP="00081C72">
            <w:pPr>
              <w:pStyle w:val="Tabletext0"/>
              <w:rPr>
                <w:lang w:val="en-GB"/>
              </w:rPr>
            </w:pPr>
            <w:r w:rsidRPr="00FD2F0C">
              <w:rPr>
                <w:rStyle w:val="Hyperlink"/>
                <w:color w:val="auto"/>
                <w:sz w:val="20"/>
                <w:szCs w:val="16"/>
                <w:lang w:val="en-GB"/>
              </w:rPr>
              <w:t>Note:</w:t>
            </w:r>
            <w:r w:rsidRPr="00FD2F0C">
              <w:rPr>
                <w:rStyle w:val="Hyperlink"/>
                <w:color w:val="auto"/>
                <w:sz w:val="20"/>
                <w:szCs w:val="16"/>
                <w:u w:val="none"/>
                <w:lang w:val="en-GB"/>
              </w:rPr>
              <w:t xml:space="preserve"> T</w:t>
            </w:r>
            <w:r w:rsidRPr="00FD2F0C">
              <w:rPr>
                <w:sz w:val="20"/>
                <w:szCs w:val="16"/>
                <w:lang w:val="en-GB"/>
              </w:rPr>
              <w:t>his Report may become relevant at a later stage after setting up an initial spectrum monitoring system</w:t>
            </w:r>
          </w:p>
        </w:tc>
        <w:tc>
          <w:tcPr>
            <w:tcW w:w="5550" w:type="dxa"/>
            <w:gridSpan w:val="3"/>
          </w:tcPr>
          <w:p w14:paraId="427BD43D" w14:textId="77777777" w:rsidR="00D65531" w:rsidRPr="00FD2F0C" w:rsidRDefault="00D65531" w:rsidP="00081C72">
            <w:pPr>
              <w:pStyle w:val="Tabletext0"/>
              <w:rPr>
                <w:sz w:val="20"/>
                <w:lang w:val="en-GB"/>
              </w:rPr>
            </w:pPr>
            <w:r w:rsidRPr="00FD2F0C">
              <w:rPr>
                <w:sz w:val="20"/>
                <w:lang w:val="en-GB"/>
              </w:rPr>
              <w:t xml:space="preserve">This companion Report (to Rec. </w:t>
            </w:r>
            <w:hyperlink r:id="rId92" w:history="1">
              <w:r w:rsidRPr="00FD2F0C">
                <w:rPr>
                  <w:rStyle w:val="Hyperlink"/>
                  <w:sz w:val="20"/>
                  <w:lang w:val="en-GB"/>
                </w:rPr>
                <w:t>ITU-R SM.2039</w:t>
              </w:r>
            </w:hyperlink>
            <w:r w:rsidRPr="00FD2F0C">
              <w:rPr>
                <w:sz w:val="20"/>
                <w:lang w:val="en-GB"/>
              </w:rPr>
              <w:t>) describes, in detail, methods for improvements in coverage and sensitivity of monitoring networks (to be able to detect weak signals) and the extension of monitoring coverage utilizing new technologies.</w:t>
            </w:r>
          </w:p>
        </w:tc>
      </w:tr>
      <w:tr w:rsidR="00D65531" w:rsidRPr="00573C99" w14:paraId="273604AD" w14:textId="77777777" w:rsidTr="00081C72">
        <w:trPr>
          <w:trHeight w:val="70"/>
        </w:trPr>
        <w:tc>
          <w:tcPr>
            <w:tcW w:w="4695" w:type="dxa"/>
            <w:vAlign w:val="center"/>
          </w:tcPr>
          <w:p w14:paraId="7E6AA377" w14:textId="77777777" w:rsidR="00D65531" w:rsidRPr="00FD2F0C" w:rsidRDefault="00573C99" w:rsidP="00081C72">
            <w:pPr>
              <w:pStyle w:val="Tabletext0"/>
              <w:rPr>
                <w:sz w:val="20"/>
                <w:lang w:val="en-GB"/>
              </w:rPr>
            </w:pPr>
            <w:hyperlink r:id="rId93" w:history="1">
              <w:r w:rsidR="00D65531" w:rsidRPr="00FD2F0C">
                <w:rPr>
                  <w:rStyle w:val="Hyperlink"/>
                  <w:sz w:val="20"/>
                  <w:lang w:val="en-GB"/>
                </w:rPr>
                <w:t>ITU-R SM.2356 - Procedures for planning and optimization of spectrum-monitoring networks in the VHF/UHF frequency range</w:t>
              </w:r>
            </w:hyperlink>
            <w:r w:rsidR="00D65531" w:rsidRPr="00FD2F0C">
              <w:rPr>
                <w:sz w:val="20"/>
                <w:lang w:val="en-GB"/>
              </w:rPr>
              <w:t xml:space="preserve"> </w:t>
            </w:r>
          </w:p>
          <w:p w14:paraId="5C0E02FE" w14:textId="77777777" w:rsidR="00D65531" w:rsidRPr="00FD2F0C" w:rsidRDefault="00D65531" w:rsidP="00081C72">
            <w:pPr>
              <w:pStyle w:val="Tabletext0"/>
              <w:rPr>
                <w:lang w:val="en-GB"/>
              </w:rPr>
            </w:pPr>
            <w:r w:rsidRPr="00FD2F0C">
              <w:rPr>
                <w:rStyle w:val="Hyperlink"/>
                <w:color w:val="auto"/>
                <w:sz w:val="20"/>
                <w:szCs w:val="16"/>
                <w:lang w:val="en-GB"/>
              </w:rPr>
              <w:t>Note:</w:t>
            </w:r>
            <w:r w:rsidRPr="00FD2F0C">
              <w:rPr>
                <w:rStyle w:val="Hyperlink"/>
                <w:color w:val="auto"/>
                <w:sz w:val="20"/>
                <w:szCs w:val="16"/>
                <w:u w:val="none"/>
                <w:lang w:val="en-GB"/>
              </w:rPr>
              <w:t xml:space="preserve"> T</w:t>
            </w:r>
            <w:r w:rsidRPr="00FD2F0C">
              <w:rPr>
                <w:sz w:val="20"/>
                <w:szCs w:val="16"/>
                <w:lang w:val="en-GB"/>
              </w:rPr>
              <w:t>his Report may become relevant at a later stage after setting up an initial spectrum monitoring system</w:t>
            </w:r>
          </w:p>
        </w:tc>
        <w:tc>
          <w:tcPr>
            <w:tcW w:w="5550" w:type="dxa"/>
            <w:gridSpan w:val="3"/>
          </w:tcPr>
          <w:p w14:paraId="2095A05E" w14:textId="77777777" w:rsidR="00D65531" w:rsidRPr="00FD2F0C" w:rsidRDefault="00D65531" w:rsidP="00081C72">
            <w:pPr>
              <w:pStyle w:val="Tabletext0"/>
              <w:rPr>
                <w:sz w:val="20"/>
                <w:lang w:val="en-GB"/>
              </w:rPr>
            </w:pPr>
            <w:r w:rsidRPr="00FD2F0C">
              <w:rPr>
                <w:sz w:val="20"/>
                <w:lang w:val="en-GB"/>
              </w:rPr>
              <w:t xml:space="preserve">This Report outlines procedures, methods and equipment for planning and optimizing monitoring networks in the VHF/UHF range.  These networks may use AOA, TDOA, or Hybrid AOA.TDOA techniques for geolocation. </w:t>
            </w:r>
          </w:p>
        </w:tc>
      </w:tr>
      <w:tr w:rsidR="00D65531" w:rsidRPr="00FD2F0C" w14:paraId="5C4F6E07" w14:textId="77777777" w:rsidTr="00081C72">
        <w:trPr>
          <w:trHeight w:val="70"/>
        </w:trPr>
        <w:tc>
          <w:tcPr>
            <w:tcW w:w="10245" w:type="dxa"/>
            <w:gridSpan w:val="4"/>
            <w:vAlign w:val="center"/>
          </w:tcPr>
          <w:p w14:paraId="5E5E221C" w14:textId="77777777" w:rsidR="00D65531" w:rsidRPr="00FD2F0C" w:rsidRDefault="00D65531" w:rsidP="00081C72">
            <w:pPr>
              <w:pStyle w:val="Tabletext0"/>
              <w:jc w:val="center"/>
              <w:rPr>
                <w:b/>
                <w:sz w:val="20"/>
                <w:lang w:val="en-GB"/>
              </w:rPr>
            </w:pPr>
            <w:r w:rsidRPr="00FD2F0C">
              <w:rPr>
                <w:b/>
                <w:lang w:val="en-GB"/>
              </w:rPr>
              <w:t>ITU-R Resolutions</w:t>
            </w:r>
          </w:p>
        </w:tc>
      </w:tr>
      <w:tr w:rsidR="00D65531" w:rsidRPr="00573C99" w14:paraId="44CB175B" w14:textId="77777777" w:rsidTr="00081C72">
        <w:trPr>
          <w:trHeight w:val="70"/>
        </w:trPr>
        <w:tc>
          <w:tcPr>
            <w:tcW w:w="5314" w:type="dxa"/>
            <w:gridSpan w:val="3"/>
            <w:vAlign w:val="center"/>
          </w:tcPr>
          <w:p w14:paraId="6E3CE4EC" w14:textId="77777777" w:rsidR="00D65531" w:rsidRPr="00FD2F0C" w:rsidRDefault="00D65531" w:rsidP="00081C72">
            <w:pPr>
              <w:pStyle w:val="Tabletext0"/>
              <w:rPr>
                <w:sz w:val="20"/>
                <w:lang w:val="en-GB"/>
              </w:rPr>
            </w:pPr>
            <w:r w:rsidRPr="00FD2F0C">
              <w:rPr>
                <w:sz w:val="20"/>
                <w:szCs w:val="20"/>
                <w:lang w:val="en-GB"/>
              </w:rPr>
              <w:t xml:space="preserve">ITU-R Resolution 58 – Studies on the implementation and use of cognitive radio systems  </w:t>
            </w:r>
          </w:p>
        </w:tc>
        <w:tc>
          <w:tcPr>
            <w:tcW w:w="4931" w:type="dxa"/>
            <w:vAlign w:val="center"/>
          </w:tcPr>
          <w:p w14:paraId="31271E88" w14:textId="77777777" w:rsidR="00D65531" w:rsidRPr="00FD2F0C" w:rsidRDefault="00D65531" w:rsidP="00081C72">
            <w:pPr>
              <w:pStyle w:val="Tabletext0"/>
              <w:rPr>
                <w:sz w:val="20"/>
                <w:lang w:val="en-GB"/>
              </w:rPr>
            </w:pPr>
            <w:r w:rsidRPr="00FD2F0C">
              <w:rPr>
                <w:sz w:val="20"/>
                <w:szCs w:val="20"/>
                <w:lang w:val="en-GB"/>
              </w:rPr>
              <w:t>This Resolution studies the implementation and use of cognitive radio systems</w:t>
            </w:r>
          </w:p>
        </w:tc>
      </w:tr>
    </w:tbl>
    <w:p w14:paraId="3E4BD0A1" w14:textId="77777777" w:rsidR="00D65531" w:rsidRPr="00FD2F0C" w:rsidRDefault="00D65531" w:rsidP="00D65531">
      <w:pPr>
        <w:rPr>
          <w:rFonts w:asciiTheme="minorHAnsi" w:hAnsiTheme="minorHAnsi"/>
          <w:lang w:val="en-US"/>
        </w:rPr>
      </w:pPr>
    </w:p>
    <w:p w14:paraId="7544E2D3" w14:textId="769B35EA" w:rsidR="007366D4" w:rsidRPr="00FD2F0C" w:rsidRDefault="00D65531" w:rsidP="007366D4">
      <w:pPr>
        <w:pStyle w:val="APXchaptertitle"/>
        <w:numPr>
          <w:ilvl w:val="0"/>
          <w:numId w:val="0"/>
        </w:numPr>
        <w:ind w:left="432" w:hanging="432"/>
        <w:rPr>
          <w:rFonts w:asciiTheme="minorHAnsi" w:hAnsiTheme="minorHAnsi"/>
        </w:rPr>
      </w:pPr>
      <w:bookmarkStart w:id="130" w:name="_Toc485648013"/>
      <w:r w:rsidRPr="00FD2F0C">
        <w:rPr>
          <w:rFonts w:asciiTheme="minorHAnsi" w:hAnsiTheme="minorHAnsi"/>
        </w:rPr>
        <w:lastRenderedPageBreak/>
        <w:t>Other r</w:t>
      </w:r>
      <w:r w:rsidR="007366D4" w:rsidRPr="00FD2F0C">
        <w:rPr>
          <w:rFonts w:asciiTheme="minorHAnsi" w:hAnsiTheme="minorHAnsi"/>
        </w:rPr>
        <w:t>eferences</w:t>
      </w:r>
      <w:bookmarkEnd w:id="130"/>
    </w:p>
    <w:p w14:paraId="6EBEAD03" w14:textId="77777777" w:rsidR="007366D4" w:rsidRPr="00FD2F0C" w:rsidRDefault="007366D4" w:rsidP="007366D4">
      <w:pPr>
        <w:rPr>
          <w:rStyle w:val="Coloredbold"/>
          <w:rFonts w:asciiTheme="minorHAnsi" w:hAnsiTheme="minorHAnsi"/>
          <w:lang w:val="en-GB"/>
        </w:rPr>
      </w:pPr>
      <w:r w:rsidRPr="00FD2F0C">
        <w:rPr>
          <w:rStyle w:val="Coloredbold"/>
          <w:rFonts w:asciiTheme="minorHAnsi" w:hAnsiTheme="minorHAnsi"/>
          <w:lang w:val="en-GB"/>
        </w:rPr>
        <w:t>References for Chapter 1</w:t>
      </w:r>
      <w:bookmarkEnd w:id="129"/>
    </w:p>
    <w:p w14:paraId="24004FBE"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The Broadband Commission for Digital Development, The State of Broadband 2015, 2015: </w:t>
      </w:r>
      <w:hyperlink r:id="rId94" w:history="1">
        <w:r w:rsidRPr="00FD2F0C">
          <w:rPr>
            <w:rStyle w:val="Hyperlink"/>
            <w:rFonts w:asciiTheme="minorHAnsi" w:hAnsiTheme="minorHAnsi"/>
            <w:szCs w:val="24"/>
            <w:lang w:val="en-GB"/>
          </w:rPr>
          <w:t>http://www.broadbandcommission.org/Documents/reports/bb-annualreport2015.pdf</w:t>
        </w:r>
      </w:hyperlink>
      <w:r w:rsidRPr="00FD2F0C">
        <w:rPr>
          <w:rStyle w:val="Hyperlink"/>
          <w:rFonts w:asciiTheme="minorHAnsi" w:hAnsiTheme="minorHAnsi"/>
          <w:color w:val="auto"/>
          <w:szCs w:val="24"/>
          <w:u w:val="none"/>
          <w:lang w:val="en-GB"/>
        </w:rPr>
        <w:t>.</w:t>
      </w:r>
    </w:p>
    <w:p w14:paraId="3AFFE50B"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CEPT, Electronic Communications Committee Report 236: Guidance for national implementation of a regulatory framework for TV WSD using geo-location databases, May 2015: </w:t>
      </w:r>
      <w:hyperlink r:id="rId95" w:history="1">
        <w:r w:rsidRPr="00FD2F0C">
          <w:rPr>
            <w:rStyle w:val="Hyperlink"/>
            <w:rFonts w:asciiTheme="minorHAnsi" w:hAnsiTheme="minorHAnsi"/>
            <w:szCs w:val="24"/>
            <w:lang w:val="en-GB"/>
          </w:rPr>
          <w:t>http://www.erodocdb.dk/Docs/doc98/official/pdf/ECCREP236.PDF</w:t>
        </w:r>
      </w:hyperlink>
      <w:r w:rsidRPr="00FD2F0C">
        <w:rPr>
          <w:rStyle w:val="Hyperlink"/>
          <w:rFonts w:asciiTheme="minorHAnsi" w:hAnsiTheme="minorHAnsi"/>
          <w:color w:val="auto"/>
          <w:szCs w:val="24"/>
          <w:u w:val="none"/>
          <w:lang w:val="en-GB"/>
        </w:rPr>
        <w:t>.</w:t>
      </w:r>
    </w:p>
    <w:p w14:paraId="0602B99B"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CMAI Association of India, Research Paper on White Space for Digital India, 11 December 2014: </w:t>
      </w:r>
      <w:hyperlink r:id="rId96" w:history="1">
        <w:r w:rsidRPr="00FD2F0C">
          <w:rPr>
            <w:rStyle w:val="Hyperlink"/>
            <w:rFonts w:asciiTheme="minorHAnsi" w:hAnsiTheme="minorHAnsi"/>
            <w:szCs w:val="24"/>
            <w:lang w:val="en-GB"/>
          </w:rPr>
          <w:t>https://www.whitespacealliance.org/documents/Research%20Paper%20on%20White%20Spaces_final2.pdf</w:t>
        </w:r>
      </w:hyperlink>
      <w:r w:rsidRPr="00FD2F0C">
        <w:rPr>
          <w:rFonts w:asciiTheme="minorHAnsi" w:hAnsiTheme="minorHAnsi"/>
        </w:rPr>
        <w:t>.</w:t>
      </w:r>
    </w:p>
    <w:p w14:paraId="31972449"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FCC, </w:t>
      </w:r>
      <w:r w:rsidRPr="00FD2F0C">
        <w:rPr>
          <w:rFonts w:asciiTheme="minorHAnsi" w:hAnsiTheme="minorHAnsi"/>
          <w:shd w:val="clear" w:color="auto" w:fill="FFFFFF"/>
        </w:rPr>
        <w:t xml:space="preserve">Amendment of the Commission’s </w:t>
      </w:r>
      <w:r w:rsidRPr="00FD2F0C">
        <w:rPr>
          <w:rFonts w:asciiTheme="minorHAnsi" w:hAnsiTheme="minorHAnsi"/>
        </w:rPr>
        <w:t>Rules with Regard to Commercial Operations in the 3550-3650 MHz Band, GN Docket No. 12-354, 30 FCC Rcd 3959 ¶¶ 379-86, 2015.</w:t>
      </w:r>
    </w:p>
    <w:p w14:paraId="0E57C81C"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FCC, Unlicensed Operation in the TV Broadcast Bands, ET Docket No. 04-186.</w:t>
      </w:r>
    </w:p>
    <w:p w14:paraId="58A48781" w14:textId="77777777" w:rsidR="007366D4" w:rsidRPr="00FD2F0C" w:rsidRDefault="007366D4" w:rsidP="00804B10">
      <w:pPr>
        <w:pStyle w:val="Bulletlist1"/>
        <w:numPr>
          <w:ilvl w:val="0"/>
          <w:numId w:val="20"/>
        </w:numPr>
        <w:ind w:left="714" w:hanging="357"/>
        <w:jc w:val="both"/>
        <w:rPr>
          <w:rFonts w:asciiTheme="minorHAnsi" w:hAnsiTheme="minorHAnsi"/>
          <w:color w:val="000000"/>
          <w:shd w:val="clear" w:color="auto" w:fill="FFFFFF"/>
        </w:rPr>
      </w:pPr>
      <w:r w:rsidRPr="00FD2F0C">
        <w:rPr>
          <w:rFonts w:asciiTheme="minorHAnsi" w:hAnsiTheme="minorHAnsi"/>
        </w:rPr>
        <w:t>FCC, Additional Spectrum for Unlicensed Devices Below 900 MHz and in the 3 GHz Band, ET Docket No. 02-380, Second Memorandum Opinion and</w:t>
      </w:r>
      <w:r w:rsidRPr="00FD2F0C">
        <w:rPr>
          <w:rFonts w:asciiTheme="minorHAnsi" w:hAnsiTheme="minorHAnsi"/>
          <w:color w:val="000000"/>
          <w:shd w:val="clear" w:color="auto" w:fill="FFFFFF"/>
        </w:rPr>
        <w:t xml:space="preserve"> Order, 25 FCC Rcd 18661, 2010.</w:t>
      </w:r>
    </w:p>
    <w:p w14:paraId="3AEF3595"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ITU-D World Telecommunication Development Conference, Resolution 9 (Rev. Dubai, 2014), 2014: </w:t>
      </w:r>
      <w:hyperlink r:id="rId97" w:history="1">
        <w:r w:rsidRPr="00FD2F0C">
          <w:rPr>
            <w:rStyle w:val="Hyperlink"/>
            <w:rFonts w:asciiTheme="minorHAnsi" w:hAnsiTheme="minorHAnsi"/>
            <w:szCs w:val="24"/>
            <w:lang w:val="en-GB"/>
          </w:rPr>
          <w:t>http://www.itu.int/net4/ITU-D/CDS/sg/doc/rgq/2014/D14-SG01-RES9-en.pdf</w:t>
        </w:r>
      </w:hyperlink>
      <w:r w:rsidRPr="00FD2F0C">
        <w:rPr>
          <w:rFonts w:asciiTheme="minorHAnsi" w:hAnsiTheme="minorHAnsi"/>
        </w:rPr>
        <w:t>.</w:t>
      </w:r>
    </w:p>
    <w:p w14:paraId="05E7672E" w14:textId="77777777" w:rsidR="007366D4" w:rsidRPr="00FD2F0C" w:rsidRDefault="007366D4" w:rsidP="00804B10">
      <w:pPr>
        <w:pStyle w:val="Bulletlist1"/>
        <w:numPr>
          <w:ilvl w:val="0"/>
          <w:numId w:val="20"/>
        </w:numPr>
        <w:ind w:left="714" w:hanging="357"/>
        <w:jc w:val="both"/>
        <w:rPr>
          <w:rFonts w:asciiTheme="minorHAnsi" w:hAnsiTheme="minorHAnsi"/>
          <w:shd w:val="clear" w:color="auto" w:fill="FFFFFF"/>
        </w:rPr>
      </w:pPr>
      <w:r w:rsidRPr="00FD2F0C">
        <w:rPr>
          <w:rFonts w:asciiTheme="minorHAnsi" w:hAnsiTheme="minorHAnsi"/>
          <w:shd w:val="clear" w:color="auto" w:fill="FFFFFF"/>
        </w:rPr>
        <w:t>Industry Canada, Framework for the Use of Certain Non-Broadcasting Applications in the Television Broadcasting Bands Below 698 MHz, 2012:</w:t>
      </w:r>
    </w:p>
    <w:p w14:paraId="196DFF38" w14:textId="77777777" w:rsidR="007366D4" w:rsidRPr="00FD2F0C" w:rsidRDefault="00573C99" w:rsidP="007366D4">
      <w:pPr>
        <w:pStyle w:val="Bulletlist1"/>
        <w:ind w:left="714"/>
        <w:rPr>
          <w:rFonts w:asciiTheme="minorHAnsi" w:hAnsiTheme="minorHAnsi"/>
          <w:shd w:val="clear" w:color="auto" w:fill="FFFFFF"/>
        </w:rPr>
      </w:pPr>
      <w:hyperlink r:id="rId98" w:history="1">
        <w:r w:rsidR="007366D4" w:rsidRPr="00FD2F0C">
          <w:rPr>
            <w:rStyle w:val="Hyperlink"/>
            <w:rFonts w:asciiTheme="minorHAnsi" w:hAnsiTheme="minorHAnsi"/>
            <w:szCs w:val="24"/>
            <w:shd w:val="clear" w:color="auto" w:fill="FFFFFF"/>
            <w:lang w:val="en-GB"/>
          </w:rPr>
          <w:t>http://www.ic.gc.ca/eic/site/smt-gst.nsf/eng/sf10493.html</w:t>
        </w:r>
      </w:hyperlink>
      <w:r w:rsidR="007366D4" w:rsidRPr="00FD2F0C">
        <w:rPr>
          <w:rFonts w:asciiTheme="minorHAnsi" w:hAnsiTheme="minorHAnsi"/>
          <w:shd w:val="clear" w:color="auto" w:fill="FFFFFF"/>
        </w:rPr>
        <w:t>.</w:t>
      </w:r>
    </w:p>
    <w:p w14:paraId="2BE4C0F7" w14:textId="77777777" w:rsidR="007366D4" w:rsidRPr="00FD2F0C" w:rsidRDefault="007366D4" w:rsidP="00804B10">
      <w:pPr>
        <w:pStyle w:val="Bulletlist1"/>
        <w:numPr>
          <w:ilvl w:val="0"/>
          <w:numId w:val="20"/>
        </w:numPr>
        <w:ind w:left="714" w:hanging="357"/>
        <w:jc w:val="both"/>
        <w:rPr>
          <w:rFonts w:asciiTheme="minorHAnsi" w:hAnsiTheme="minorHAnsi"/>
          <w:shd w:val="clear" w:color="auto" w:fill="FFFFFF"/>
        </w:rPr>
      </w:pPr>
      <w:r w:rsidRPr="00FD2F0C">
        <w:rPr>
          <w:rFonts w:asciiTheme="minorHAnsi" w:hAnsiTheme="minorHAnsi"/>
          <w:shd w:val="clear" w:color="auto" w:fill="FFFFFF"/>
        </w:rPr>
        <w:t xml:space="preserve">Infocomm Development Authority of </w:t>
      </w:r>
      <w:r w:rsidRPr="00FD2F0C">
        <w:rPr>
          <w:rFonts w:asciiTheme="minorHAnsi" w:hAnsiTheme="minorHAnsi"/>
        </w:rPr>
        <w:t>Singapore</w:t>
      </w:r>
      <w:r w:rsidRPr="00FD2F0C">
        <w:rPr>
          <w:rFonts w:asciiTheme="minorHAnsi" w:hAnsiTheme="minorHAnsi"/>
          <w:shd w:val="clear" w:color="auto" w:fill="FFFFFF"/>
        </w:rPr>
        <w:t>, Regulatory Framework For TV White Space Operations In The VHF/UHF Bands 2014:</w:t>
      </w:r>
    </w:p>
    <w:p w14:paraId="01CB915C" w14:textId="77777777" w:rsidR="007366D4" w:rsidRPr="00FD2F0C" w:rsidRDefault="00573C99" w:rsidP="007366D4">
      <w:pPr>
        <w:pStyle w:val="Bulletlist1"/>
        <w:ind w:left="714"/>
        <w:rPr>
          <w:rFonts w:asciiTheme="minorHAnsi" w:hAnsiTheme="minorHAnsi"/>
          <w:shd w:val="clear" w:color="auto" w:fill="FFFFFF"/>
        </w:rPr>
      </w:pPr>
      <w:hyperlink r:id="rId99" w:history="1">
        <w:r w:rsidR="007366D4" w:rsidRPr="00FD2F0C">
          <w:rPr>
            <w:rStyle w:val="Hyperlink"/>
            <w:rFonts w:asciiTheme="minorHAnsi" w:hAnsiTheme="minorHAnsi"/>
            <w:szCs w:val="24"/>
            <w:shd w:val="clear" w:color="auto" w:fill="FFFFFF"/>
            <w:lang w:val="en-GB"/>
          </w:rPr>
          <w:t>http://www.ida.gov.sg/~/media/Files/PCDG/Consultations/20130617_whitespace/ExplanatoryMemo.pdf</w:t>
        </w:r>
      </w:hyperlink>
      <w:r w:rsidR="007366D4" w:rsidRPr="00FD2F0C">
        <w:rPr>
          <w:rFonts w:asciiTheme="minorHAnsi" w:hAnsiTheme="minorHAnsi"/>
          <w:shd w:val="clear" w:color="auto" w:fill="FFFFFF"/>
        </w:rPr>
        <w:t>.</w:t>
      </w:r>
    </w:p>
    <w:p w14:paraId="799430CA"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McKinsey, The Net’s Sweeping Impact on Growth, Jobs and Prosperity, 2011: </w:t>
      </w:r>
    </w:p>
    <w:p w14:paraId="4520A255" w14:textId="77777777" w:rsidR="007366D4" w:rsidRPr="00FD2F0C" w:rsidRDefault="00573C99" w:rsidP="007366D4">
      <w:pPr>
        <w:pStyle w:val="Bulletlist1"/>
        <w:ind w:left="714"/>
        <w:rPr>
          <w:rFonts w:asciiTheme="minorHAnsi" w:hAnsiTheme="minorHAnsi"/>
        </w:rPr>
      </w:pPr>
      <w:hyperlink r:id="rId100" w:history="1">
        <w:r w:rsidR="007366D4" w:rsidRPr="00FD2F0C">
          <w:rPr>
            <w:rStyle w:val="Hyperlink"/>
            <w:rFonts w:asciiTheme="minorHAnsi" w:hAnsiTheme="minorHAnsi"/>
            <w:szCs w:val="24"/>
            <w:lang w:val="en-GB"/>
          </w:rPr>
          <w:t>http://www.mckinsey.com/insights/high_tech_telecoms_internet/internet_matters</w:t>
        </w:r>
      </w:hyperlink>
      <w:r w:rsidR="007366D4" w:rsidRPr="00FD2F0C">
        <w:rPr>
          <w:rFonts w:asciiTheme="minorHAnsi" w:hAnsiTheme="minorHAnsi"/>
        </w:rPr>
        <w:t>.</w:t>
      </w:r>
    </w:p>
    <w:p w14:paraId="1000657B"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McKinsey, Online and Upcoming: The Internet’s Impact on Aspiring Countries, 2012:</w:t>
      </w:r>
    </w:p>
    <w:p w14:paraId="7A41E7E9" w14:textId="77777777" w:rsidR="007366D4" w:rsidRPr="00FD2F0C" w:rsidRDefault="00573C99" w:rsidP="007366D4">
      <w:pPr>
        <w:pStyle w:val="Bulletlist1"/>
        <w:ind w:left="714"/>
        <w:rPr>
          <w:rFonts w:asciiTheme="minorHAnsi" w:hAnsiTheme="minorHAnsi"/>
        </w:rPr>
      </w:pPr>
      <w:hyperlink r:id="rId101" w:history="1">
        <w:r w:rsidR="007366D4" w:rsidRPr="00FD2F0C">
          <w:rPr>
            <w:rStyle w:val="Hyperlink"/>
            <w:rFonts w:asciiTheme="minorHAnsi" w:hAnsiTheme="minorHAnsi"/>
            <w:szCs w:val="24"/>
            <w:lang w:val="en-GB"/>
          </w:rPr>
          <w:t>http://www.mckinsey.com/client_service/high_tech/latest_thinking/impact_of_the_internet_on_aspiring_countries</w:t>
        </w:r>
      </w:hyperlink>
      <w:r w:rsidR="007366D4" w:rsidRPr="00FD2F0C">
        <w:rPr>
          <w:rFonts w:asciiTheme="minorHAnsi" w:hAnsiTheme="minorHAnsi"/>
        </w:rPr>
        <w:t>.</w:t>
      </w:r>
    </w:p>
    <w:p w14:paraId="4D6AD9BE" w14:textId="77777777" w:rsidR="007366D4" w:rsidRPr="00FD2F0C" w:rsidRDefault="007366D4" w:rsidP="00804B10">
      <w:pPr>
        <w:pStyle w:val="Bulletlist1"/>
        <w:numPr>
          <w:ilvl w:val="0"/>
          <w:numId w:val="20"/>
        </w:numPr>
        <w:ind w:left="714" w:hanging="357"/>
        <w:jc w:val="both"/>
        <w:rPr>
          <w:rFonts w:asciiTheme="minorHAnsi" w:hAnsiTheme="minorHAnsi"/>
          <w:color w:val="000000"/>
          <w:shd w:val="clear" w:color="auto" w:fill="FFFFFF"/>
        </w:rPr>
      </w:pPr>
      <w:r w:rsidRPr="00FD2F0C">
        <w:rPr>
          <w:rFonts w:asciiTheme="minorHAnsi" w:hAnsiTheme="minorHAnsi"/>
          <w:color w:val="000000"/>
          <w:shd w:val="clear" w:color="auto" w:fill="FFFFFF"/>
        </w:rPr>
        <w:t>Ofcom, Implementing TV White Spaces, 2015:</w:t>
      </w:r>
    </w:p>
    <w:p w14:paraId="173030DB" w14:textId="77777777" w:rsidR="007366D4" w:rsidRPr="00FD2F0C" w:rsidRDefault="00573C99" w:rsidP="007366D4">
      <w:pPr>
        <w:pStyle w:val="Bulletlist1"/>
        <w:ind w:left="714"/>
        <w:rPr>
          <w:rFonts w:asciiTheme="minorHAnsi" w:hAnsiTheme="minorHAnsi"/>
          <w:color w:val="000000"/>
          <w:shd w:val="clear" w:color="auto" w:fill="FFFFFF"/>
        </w:rPr>
      </w:pPr>
      <w:hyperlink r:id="rId102" w:history="1">
        <w:r w:rsidR="007366D4" w:rsidRPr="00FD2F0C">
          <w:rPr>
            <w:rStyle w:val="Hyperlink"/>
            <w:rFonts w:asciiTheme="minorHAnsi" w:hAnsiTheme="minorHAnsi"/>
            <w:szCs w:val="24"/>
            <w:shd w:val="clear" w:color="auto" w:fill="FFFFFF"/>
            <w:lang w:val="en-GB"/>
          </w:rPr>
          <w:t>http://stakeholders.ofcom.org.uk/binaries/consultations/white</w:t>
        </w:r>
        <w:r w:rsidR="007366D4" w:rsidRPr="00FD2F0C">
          <w:rPr>
            <w:rStyle w:val="Hyperlink"/>
            <w:rFonts w:asciiTheme="minorHAnsi" w:hAnsiTheme="minorHAnsi"/>
            <w:szCs w:val="24"/>
            <w:shd w:val="clear" w:color="auto" w:fill="FFFFFF"/>
            <w:lang w:val="en-GB"/>
          </w:rPr>
          <w:noBreakHyphen/>
          <w:t>space</w:t>
        </w:r>
        <w:r w:rsidR="007366D4" w:rsidRPr="00FD2F0C">
          <w:rPr>
            <w:rStyle w:val="Hyperlink"/>
            <w:rFonts w:asciiTheme="minorHAnsi" w:hAnsiTheme="minorHAnsi"/>
            <w:szCs w:val="24"/>
            <w:shd w:val="clear" w:color="auto" w:fill="FFFFFF"/>
            <w:lang w:val="en-GB"/>
          </w:rPr>
          <w:noBreakHyphen/>
          <w:t>coexistence/statement/tvws-statement.pdf</w:t>
        </w:r>
      </w:hyperlink>
      <w:r w:rsidR="007366D4" w:rsidRPr="00FD2F0C">
        <w:rPr>
          <w:rFonts w:asciiTheme="minorHAnsi" w:hAnsiTheme="minorHAnsi"/>
          <w:color w:val="000000"/>
          <w:shd w:val="clear" w:color="auto" w:fill="FFFFFF"/>
        </w:rPr>
        <w:t>.</w:t>
      </w:r>
    </w:p>
    <w:p w14:paraId="2ECF0B70" w14:textId="77777777" w:rsidR="007366D4" w:rsidRPr="00FD2F0C" w:rsidRDefault="007366D4" w:rsidP="007366D4">
      <w:pPr>
        <w:rPr>
          <w:rStyle w:val="Coloredbold"/>
          <w:rFonts w:asciiTheme="minorHAnsi" w:hAnsiTheme="minorHAnsi"/>
          <w:lang w:val="en-GB"/>
        </w:rPr>
      </w:pPr>
      <w:bookmarkStart w:id="131" w:name="_Toc467836444"/>
      <w:r w:rsidRPr="00FD2F0C">
        <w:rPr>
          <w:rStyle w:val="Coloredbold"/>
          <w:rFonts w:asciiTheme="minorHAnsi" w:hAnsiTheme="minorHAnsi"/>
          <w:lang w:val="en-GB"/>
        </w:rPr>
        <w:t>References for Chapter 2</w:t>
      </w:r>
      <w:bookmarkEnd w:id="131"/>
    </w:p>
    <w:p w14:paraId="57F6A546"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Yochai Benkler, “Open Wireless vs. Licensed Spectrum: Evidence from Market Adoption,” </w:t>
      </w:r>
      <w:r w:rsidRPr="00FD2F0C">
        <w:rPr>
          <w:rFonts w:asciiTheme="minorHAnsi" w:hAnsiTheme="minorHAnsi"/>
          <w:i/>
        </w:rPr>
        <w:t xml:space="preserve">Harvard Journal of Law and Technology </w:t>
      </w:r>
      <w:r w:rsidRPr="00FD2F0C">
        <w:rPr>
          <w:rFonts w:asciiTheme="minorHAnsi" w:hAnsiTheme="minorHAnsi"/>
        </w:rPr>
        <w:t>Vol. 26 No. 1 (2012):</w:t>
      </w:r>
    </w:p>
    <w:p w14:paraId="2C2F4340" w14:textId="77777777" w:rsidR="007366D4" w:rsidRPr="00FD2F0C" w:rsidRDefault="00573C99" w:rsidP="007366D4">
      <w:pPr>
        <w:pStyle w:val="Bulletlist1"/>
        <w:ind w:left="714"/>
        <w:rPr>
          <w:rFonts w:asciiTheme="minorHAnsi" w:hAnsiTheme="minorHAnsi"/>
        </w:rPr>
      </w:pPr>
      <w:hyperlink r:id="rId103" w:history="1">
        <w:r w:rsidR="007366D4" w:rsidRPr="00FD2F0C">
          <w:rPr>
            <w:rStyle w:val="Hyperlink"/>
            <w:rFonts w:asciiTheme="minorHAnsi" w:hAnsiTheme="minorHAnsi"/>
            <w:lang w:val="en-GB"/>
          </w:rPr>
          <w:t>http://jolt.law.harvard.edu/articles/pdf/v26/26HarvJLTech69.pdf</w:t>
        </w:r>
      </w:hyperlink>
      <w:r w:rsidR="007366D4" w:rsidRPr="00FD2F0C">
        <w:rPr>
          <w:rFonts w:asciiTheme="minorHAnsi" w:hAnsiTheme="minorHAnsi"/>
        </w:rPr>
        <w:t>.</w:t>
      </w:r>
    </w:p>
    <w:p w14:paraId="2C33B968"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Deloitte and GSMA, “The Impact of Licensed Shared Use of Spectrum,” 23 January 2014:</w:t>
      </w:r>
    </w:p>
    <w:p w14:paraId="575C8560" w14:textId="77777777" w:rsidR="007366D4" w:rsidRPr="00FD2F0C" w:rsidRDefault="00573C99" w:rsidP="007366D4">
      <w:pPr>
        <w:pStyle w:val="Bulletlist1"/>
        <w:ind w:left="714"/>
        <w:rPr>
          <w:rFonts w:asciiTheme="minorHAnsi" w:hAnsiTheme="minorHAnsi"/>
          <w:lang w:val="de-CH"/>
        </w:rPr>
      </w:pPr>
      <w:hyperlink r:id="rId104" w:history="1">
        <w:r w:rsidR="007366D4" w:rsidRPr="00FD2F0C">
          <w:rPr>
            <w:rStyle w:val="Hyperlink"/>
            <w:rFonts w:asciiTheme="minorHAnsi" w:hAnsiTheme="minorHAnsi"/>
            <w:lang w:val="de-CH"/>
          </w:rPr>
          <w:t>http://www.gsma.com/spectrum/wp-content/uploads/2014/02/The-Impacts-of-Licensed-Shared-Use-of-Spectrum.-Deloitte.-Feb-20142.pdf</w:t>
        </w:r>
      </w:hyperlink>
      <w:r w:rsidR="007366D4" w:rsidRPr="00FD2F0C">
        <w:rPr>
          <w:rFonts w:asciiTheme="minorHAnsi" w:hAnsiTheme="minorHAnsi"/>
          <w:lang w:val="de-CH"/>
        </w:rPr>
        <w:t>, pp 8, 67.</w:t>
      </w:r>
    </w:p>
    <w:p w14:paraId="13758F5E"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Simon Forge, Robert Horvitz, and Colin Blackman, “Final Report for the European Commission: Perspectives on the value of shared spectrum access,” </w:t>
      </w:r>
      <w:r w:rsidRPr="00FD2F0C">
        <w:rPr>
          <w:rFonts w:asciiTheme="minorHAnsi" w:hAnsiTheme="minorHAnsi"/>
          <w:i/>
        </w:rPr>
        <w:t>SCF Associates</w:t>
      </w:r>
      <w:r w:rsidRPr="00FD2F0C">
        <w:rPr>
          <w:rFonts w:asciiTheme="minorHAnsi" w:hAnsiTheme="minorHAnsi"/>
        </w:rPr>
        <w:t xml:space="preserve">, February 2012: </w:t>
      </w:r>
      <w:hyperlink r:id="rId105" w:history="1">
        <w:r w:rsidRPr="00FD2F0C">
          <w:rPr>
            <w:rStyle w:val="Hyperlink"/>
            <w:rFonts w:asciiTheme="minorHAnsi" w:hAnsiTheme="minorHAnsi"/>
            <w:lang w:val="en-GB"/>
          </w:rPr>
          <w:t>https://ec.europa.eu/digital</w:t>
        </w:r>
        <w:r w:rsidRPr="00FD2F0C">
          <w:rPr>
            <w:rStyle w:val="Hyperlink"/>
            <w:rFonts w:asciiTheme="minorHAnsi" w:hAnsiTheme="minorHAnsi"/>
            <w:lang w:val="en-GB"/>
          </w:rPr>
          <w:noBreakHyphen/>
          <w:t>single</w:t>
        </w:r>
        <w:r w:rsidRPr="00FD2F0C">
          <w:rPr>
            <w:rStyle w:val="Hyperlink"/>
            <w:rFonts w:asciiTheme="minorHAnsi" w:hAnsiTheme="minorHAnsi"/>
            <w:lang w:val="en-GB"/>
          </w:rPr>
          <w:noBreakHyphen/>
          <w:t>market/sites/digital</w:t>
        </w:r>
        <w:r w:rsidRPr="00FD2F0C">
          <w:rPr>
            <w:rStyle w:val="Hyperlink"/>
            <w:rFonts w:asciiTheme="minorHAnsi" w:hAnsiTheme="minorHAnsi"/>
            <w:lang w:val="en-GB"/>
          </w:rPr>
          <w:noBreakHyphen/>
          <w:t>agenda/files/scf_study_shared_spectrum_access_20120210.pdf</w:t>
        </w:r>
      </w:hyperlink>
      <w:r w:rsidRPr="00FD2F0C">
        <w:rPr>
          <w:rFonts w:asciiTheme="minorHAnsi" w:hAnsiTheme="minorHAnsi"/>
        </w:rPr>
        <w:t>.</w:t>
      </w:r>
    </w:p>
    <w:p w14:paraId="2009B44F"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lastRenderedPageBreak/>
        <w:t>International Telecommunications Union, “Measuring the Information Society Report 2015,” 2015:</w:t>
      </w:r>
    </w:p>
    <w:p w14:paraId="2F570627" w14:textId="77777777" w:rsidR="007366D4" w:rsidRPr="00FD2F0C" w:rsidRDefault="00573C99" w:rsidP="007366D4">
      <w:pPr>
        <w:pStyle w:val="Bulletlist1"/>
        <w:ind w:left="714"/>
        <w:rPr>
          <w:rFonts w:asciiTheme="minorHAnsi" w:hAnsiTheme="minorHAnsi"/>
        </w:rPr>
      </w:pPr>
      <w:hyperlink r:id="rId106" w:history="1">
        <w:r w:rsidR="007366D4" w:rsidRPr="00FD2F0C">
          <w:rPr>
            <w:rStyle w:val="Hyperlink"/>
            <w:rFonts w:asciiTheme="minorHAnsi" w:hAnsiTheme="minorHAnsi"/>
            <w:lang w:val="en-GB"/>
          </w:rPr>
          <w:t>http://www.itu.int/en/ITU-D/Statistics/Documents/publications/misr2015/MISR2015-w5.pdf</w:t>
        </w:r>
      </w:hyperlink>
      <w:r w:rsidR="007366D4" w:rsidRPr="00FD2F0C">
        <w:rPr>
          <w:rFonts w:asciiTheme="minorHAnsi" w:hAnsiTheme="minorHAnsi"/>
        </w:rPr>
        <w:t>.</w:t>
      </w:r>
    </w:p>
    <w:p w14:paraId="3893DCA3"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Raul Katz, “Assessment of the Economic Value of Unlicensed Spectrum in the United States”, </w:t>
      </w:r>
      <w:r w:rsidRPr="00FD2F0C">
        <w:rPr>
          <w:rFonts w:asciiTheme="minorHAnsi" w:hAnsiTheme="minorHAnsi"/>
          <w:i/>
        </w:rPr>
        <w:t xml:space="preserve">Telecom Advisory Services LLC, </w:t>
      </w:r>
      <w:r w:rsidRPr="00FD2F0C">
        <w:rPr>
          <w:rFonts w:asciiTheme="minorHAnsi" w:hAnsiTheme="minorHAnsi"/>
        </w:rPr>
        <w:t>2014:</w:t>
      </w:r>
    </w:p>
    <w:p w14:paraId="1B842438" w14:textId="77777777" w:rsidR="007366D4" w:rsidRPr="00FD2F0C" w:rsidRDefault="00573C99" w:rsidP="007366D4">
      <w:pPr>
        <w:pStyle w:val="Bulletlist1"/>
        <w:ind w:left="714"/>
        <w:rPr>
          <w:rStyle w:val="Hyperlink"/>
          <w:rFonts w:asciiTheme="minorHAnsi" w:hAnsiTheme="minorHAnsi"/>
          <w:lang w:val="en-GB"/>
        </w:rPr>
      </w:pPr>
      <w:hyperlink r:id="rId107" w:history="1">
        <w:r w:rsidR="007366D4" w:rsidRPr="00FD2F0C">
          <w:rPr>
            <w:rStyle w:val="Hyperlink"/>
            <w:rFonts w:asciiTheme="minorHAnsi" w:hAnsiTheme="minorHAnsi"/>
            <w:lang w:val="en-GB"/>
          </w:rPr>
          <w:t>http://www.wififorward.org/wp-content/uploads/2014/01/Value-of-Unlicensed-Spectrum-to-the-US-Economy-Full-Report.pdf</w:t>
        </w:r>
      </w:hyperlink>
      <w:r w:rsidR="007366D4" w:rsidRPr="00FD2F0C">
        <w:rPr>
          <w:rStyle w:val="Hyperlink"/>
          <w:rFonts w:asciiTheme="minorHAnsi" w:hAnsiTheme="minorHAnsi"/>
          <w:lang w:val="en-GB"/>
        </w:rPr>
        <w:t>.</w:t>
      </w:r>
    </w:p>
    <w:p w14:paraId="376E4B5D"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Tony Lavender, Paul Hansell, Iain Inglis, Sarongrat Wongsaroj “Use of C-Band (3400/3600-4200 MHz) for mobile broadband in Hungary, Italy, Sweden and the UK”, </w:t>
      </w:r>
      <w:r w:rsidRPr="00FD2F0C">
        <w:rPr>
          <w:rFonts w:asciiTheme="minorHAnsi" w:hAnsiTheme="minorHAnsi"/>
          <w:i/>
        </w:rPr>
        <w:t xml:space="preserve">Plum Consulting, </w:t>
      </w:r>
      <w:r w:rsidRPr="00FD2F0C">
        <w:rPr>
          <w:rFonts w:asciiTheme="minorHAnsi" w:hAnsiTheme="minorHAnsi"/>
        </w:rPr>
        <w:t>June 2015:</w:t>
      </w:r>
    </w:p>
    <w:p w14:paraId="1D4E1284" w14:textId="77777777" w:rsidR="007366D4" w:rsidRPr="00FD2F0C" w:rsidRDefault="00573C99" w:rsidP="007366D4">
      <w:pPr>
        <w:pStyle w:val="Bulletlist1"/>
        <w:ind w:left="714"/>
        <w:rPr>
          <w:rFonts w:asciiTheme="minorHAnsi" w:hAnsiTheme="minorHAnsi"/>
        </w:rPr>
      </w:pPr>
      <w:hyperlink r:id="rId108" w:history="1">
        <w:r w:rsidR="007366D4" w:rsidRPr="00FD2F0C">
          <w:rPr>
            <w:rStyle w:val="Hyperlink"/>
            <w:rFonts w:asciiTheme="minorHAnsi" w:hAnsiTheme="minorHAnsi"/>
            <w:lang w:val="en-GB"/>
          </w:rPr>
          <w:t>http://www.plumconsulting.co.uk/pdfs/Plum_Jun2015_Use_of_C-Band_for_mobile_broadband_in_Hungary_Italy_Sweden_and_UK.pdf</w:t>
        </w:r>
      </w:hyperlink>
      <w:r w:rsidR="007366D4" w:rsidRPr="00FD2F0C">
        <w:rPr>
          <w:rFonts w:asciiTheme="minorHAnsi" w:hAnsiTheme="minorHAnsi"/>
        </w:rPr>
        <w:t>.</w:t>
      </w:r>
    </w:p>
    <w:p w14:paraId="572922BA"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OECD, “Machine-to-Machine Communications: Connecting Billions of Devices”, OECD Digital Economy Papers, No. 192, 2012, dx.doi.org/10.1787/5k9gsh2gp043-en.</w:t>
      </w:r>
    </w:p>
    <w:p w14:paraId="60260C11"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Richard Thanki, “The Case for permissive rules-based dynamic spectrum access”, Microsoft</w:t>
      </w:r>
      <w:r w:rsidRPr="00FD2F0C">
        <w:rPr>
          <w:rFonts w:asciiTheme="minorHAnsi" w:hAnsiTheme="minorHAnsi"/>
          <w:i/>
        </w:rPr>
        <w:t xml:space="preserve"> Research</w:t>
      </w:r>
      <w:r w:rsidRPr="00FD2F0C">
        <w:rPr>
          <w:rFonts w:asciiTheme="minorHAnsi" w:hAnsiTheme="minorHAnsi"/>
        </w:rPr>
        <w:t xml:space="preserve">, August 2013: </w:t>
      </w:r>
      <w:hyperlink r:id="rId109" w:history="1">
        <w:r w:rsidRPr="00FD2F0C">
          <w:rPr>
            <w:rStyle w:val="Hyperlink"/>
            <w:rFonts w:asciiTheme="minorHAnsi" w:hAnsiTheme="minorHAnsi"/>
            <w:lang w:val="en-GB"/>
          </w:rPr>
          <w:t>http://research.microsoft.com/en-us/projects/spectrum/case-for-permissive-rule-based-dynamic-spectrum-access_thanki.pdf</w:t>
        </w:r>
      </w:hyperlink>
      <w:r w:rsidRPr="00FD2F0C">
        <w:rPr>
          <w:rFonts w:asciiTheme="minorHAnsi" w:hAnsiTheme="minorHAnsi"/>
        </w:rPr>
        <w:t xml:space="preserve"> .</w:t>
      </w:r>
    </w:p>
    <w:p w14:paraId="2EA9C17E" w14:textId="6783B7E3"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Richard Thanki, “The Economic Significance of </w:t>
      </w:r>
      <w:r w:rsidR="003B3320" w:rsidRPr="00FD2F0C">
        <w:rPr>
          <w:rFonts w:asciiTheme="minorHAnsi" w:hAnsiTheme="minorHAnsi"/>
        </w:rPr>
        <w:t>License</w:t>
      </w:r>
      <w:r w:rsidRPr="00FD2F0C">
        <w:rPr>
          <w:rFonts w:asciiTheme="minorHAnsi" w:hAnsiTheme="minorHAnsi"/>
        </w:rPr>
        <w:t xml:space="preserve">-Exempt Spectrum to the Future of the Internet,” </w:t>
      </w:r>
      <w:r w:rsidRPr="00FD2F0C">
        <w:rPr>
          <w:rFonts w:asciiTheme="minorHAnsi" w:hAnsiTheme="minorHAnsi"/>
          <w:i/>
        </w:rPr>
        <w:t xml:space="preserve">Microsoft Research, </w:t>
      </w:r>
      <w:r w:rsidRPr="00FD2F0C">
        <w:rPr>
          <w:rFonts w:asciiTheme="minorHAnsi" w:hAnsiTheme="minorHAnsi"/>
        </w:rPr>
        <w:t>2012:</w:t>
      </w:r>
    </w:p>
    <w:p w14:paraId="4170C608" w14:textId="77777777" w:rsidR="007366D4" w:rsidRPr="00FD2F0C" w:rsidRDefault="00573C99" w:rsidP="007366D4">
      <w:pPr>
        <w:pStyle w:val="Bulletlist1"/>
        <w:ind w:left="714"/>
        <w:rPr>
          <w:rFonts w:asciiTheme="minorHAnsi" w:hAnsiTheme="minorHAnsi"/>
          <w:lang w:val="fr-CH"/>
        </w:rPr>
      </w:pPr>
      <w:hyperlink r:id="rId110" w:history="1">
        <w:r w:rsidR="007366D4" w:rsidRPr="00FD2F0C">
          <w:rPr>
            <w:rStyle w:val="Hyperlink"/>
            <w:rFonts w:asciiTheme="minorHAnsi" w:hAnsiTheme="minorHAnsi"/>
            <w:lang w:val="fr-CH"/>
          </w:rPr>
          <w:t>http://research.microsoft.com/en</w:t>
        </w:r>
        <w:r w:rsidR="007366D4" w:rsidRPr="00FD2F0C">
          <w:rPr>
            <w:rStyle w:val="Hyperlink"/>
            <w:rFonts w:asciiTheme="minorHAnsi" w:hAnsiTheme="minorHAnsi"/>
            <w:lang w:val="fr-CH"/>
          </w:rPr>
          <w:noBreakHyphen/>
          <w:t>us/projects/spectrum/economic-significance-of-license</w:t>
        </w:r>
        <w:r w:rsidR="007366D4" w:rsidRPr="00FD2F0C">
          <w:rPr>
            <w:rStyle w:val="Hyperlink"/>
            <w:rFonts w:asciiTheme="minorHAnsi" w:hAnsiTheme="minorHAnsi"/>
            <w:lang w:val="fr-CH"/>
          </w:rPr>
          <w:noBreakHyphen/>
          <w:t>exempt-spectrum-report_thanki.pdf</w:t>
        </w:r>
      </w:hyperlink>
      <w:r w:rsidR="007366D4" w:rsidRPr="00FD2F0C">
        <w:rPr>
          <w:rFonts w:asciiTheme="minorHAnsi" w:hAnsiTheme="minorHAnsi"/>
          <w:lang w:val="fr-CH"/>
        </w:rPr>
        <w:t>, page 30.</w:t>
      </w:r>
    </w:p>
    <w:p w14:paraId="1E69F0C8"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Qiang, C. Z. W. World Bank. “IC4D: Extending Reach and Increasing Impact,” Economic Impacts of Broadband, 2009. Chapter 3.</w:t>
      </w:r>
    </w:p>
    <w:p w14:paraId="6146F442"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i/>
        </w:rPr>
        <w:t>US Department of Commerce</w:t>
      </w:r>
      <w:r w:rsidRPr="00FD2F0C">
        <w:rPr>
          <w:rFonts w:asciiTheme="minorHAnsi" w:hAnsiTheme="minorHAnsi"/>
        </w:rPr>
        <w:t>, “An Assessment of the Viability of Accommodating Wireless Broadband in the 1755 – 1850 MHz Band,”</w:t>
      </w:r>
      <w:r w:rsidRPr="00FD2F0C">
        <w:rPr>
          <w:rFonts w:asciiTheme="minorHAnsi" w:hAnsiTheme="minorHAnsi"/>
          <w:i/>
        </w:rPr>
        <w:t xml:space="preserve"> </w:t>
      </w:r>
      <w:r w:rsidRPr="00FD2F0C">
        <w:rPr>
          <w:rFonts w:asciiTheme="minorHAnsi" w:hAnsiTheme="minorHAnsi"/>
        </w:rPr>
        <w:t>March 2012:</w:t>
      </w:r>
    </w:p>
    <w:p w14:paraId="7A156C61" w14:textId="77777777" w:rsidR="007366D4" w:rsidRPr="00FD2F0C" w:rsidRDefault="00573C99" w:rsidP="007366D4">
      <w:pPr>
        <w:pStyle w:val="Bulletlist1"/>
        <w:ind w:left="714"/>
        <w:rPr>
          <w:rStyle w:val="Hyperlink"/>
          <w:rFonts w:asciiTheme="minorHAnsi" w:hAnsiTheme="minorHAnsi"/>
          <w:lang w:val="en-GB"/>
        </w:rPr>
      </w:pPr>
      <w:hyperlink r:id="rId111" w:history="1">
        <w:r w:rsidR="007366D4" w:rsidRPr="00FD2F0C">
          <w:rPr>
            <w:rStyle w:val="Hyperlink"/>
            <w:rFonts w:asciiTheme="minorHAnsi" w:hAnsiTheme="minorHAnsi"/>
            <w:lang w:val="en-GB"/>
          </w:rPr>
          <w:t>https://www.ntia.doc.gov/files/ntia/publications/ntia_1755_1850_mhz_report_march2012.pdf</w:t>
        </w:r>
      </w:hyperlink>
      <w:r w:rsidR="007366D4" w:rsidRPr="00FD2F0C">
        <w:rPr>
          <w:rStyle w:val="Hyperlink"/>
          <w:rFonts w:asciiTheme="minorHAnsi" w:hAnsiTheme="minorHAnsi"/>
          <w:color w:val="auto"/>
          <w:u w:val="none"/>
          <w:lang w:val="en-GB"/>
        </w:rPr>
        <w:t>.</w:t>
      </w:r>
    </w:p>
    <w:p w14:paraId="22EBAE5D"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i/>
        </w:rPr>
        <w:t>US Government Accountability Office</w:t>
      </w:r>
      <w:r w:rsidRPr="00FD2F0C">
        <w:rPr>
          <w:rFonts w:asciiTheme="minorHAnsi" w:hAnsiTheme="minorHAnsi"/>
        </w:rPr>
        <w:t xml:space="preserve">, “Spectrum Management: Incentives, Opportunities and Testing Needed To Enhance Spectrum Sharing,” </w:t>
      </w:r>
      <w:r w:rsidRPr="00FD2F0C">
        <w:rPr>
          <w:rFonts w:asciiTheme="minorHAnsi" w:hAnsiTheme="minorHAnsi"/>
          <w:i/>
        </w:rPr>
        <w:t>Report to Congressional Committees,</w:t>
      </w:r>
      <w:r w:rsidRPr="00FD2F0C">
        <w:rPr>
          <w:rFonts w:asciiTheme="minorHAnsi" w:hAnsiTheme="minorHAnsi"/>
        </w:rPr>
        <w:t xml:space="preserve"> 2012: </w:t>
      </w:r>
      <w:hyperlink r:id="rId112" w:history="1">
        <w:r w:rsidRPr="00FD2F0C">
          <w:rPr>
            <w:rStyle w:val="Hyperlink"/>
            <w:rFonts w:asciiTheme="minorHAnsi" w:hAnsiTheme="minorHAnsi"/>
            <w:lang w:val="en-GB"/>
          </w:rPr>
          <w:t>http://www.gao.gov/products/GAO-13-7</w:t>
        </w:r>
      </w:hyperlink>
      <w:r w:rsidRPr="00FD2F0C">
        <w:rPr>
          <w:rFonts w:asciiTheme="minorHAnsi" w:hAnsiTheme="minorHAnsi"/>
        </w:rPr>
        <w:t>.</w:t>
      </w:r>
    </w:p>
    <w:p w14:paraId="468CF9A1"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rPr>
        <w:t>US President’s Council of Advisors on Science and Technology, “Realizing the Full Potential of Government-Held Spectrum To Spur Economic Growth,” July 2012:</w:t>
      </w:r>
    </w:p>
    <w:p w14:paraId="29517925" w14:textId="77777777" w:rsidR="007366D4" w:rsidRPr="00FD2F0C" w:rsidRDefault="00573C99" w:rsidP="007366D4">
      <w:pPr>
        <w:pStyle w:val="Bulletlist1"/>
        <w:ind w:left="714"/>
        <w:rPr>
          <w:rFonts w:asciiTheme="minorHAnsi" w:hAnsiTheme="minorHAnsi"/>
        </w:rPr>
      </w:pPr>
      <w:hyperlink r:id="rId113" w:history="1">
        <w:r w:rsidR="007366D4" w:rsidRPr="00FD2F0C">
          <w:rPr>
            <w:rStyle w:val="Hyperlink"/>
            <w:rFonts w:asciiTheme="minorHAnsi" w:hAnsiTheme="minorHAnsi"/>
            <w:lang w:val="en-GB"/>
          </w:rPr>
          <w:t>https://www.whitehouse.gov/sites/default/files/microsites/ostp/pcast_spectrum_report_final_july_20_2012.pdf</w:t>
        </w:r>
      </w:hyperlink>
      <w:r w:rsidR="007366D4" w:rsidRPr="00FD2F0C">
        <w:rPr>
          <w:rFonts w:asciiTheme="minorHAnsi" w:hAnsiTheme="minorHAnsi"/>
        </w:rPr>
        <w:t>.</w:t>
      </w:r>
    </w:p>
    <w:p w14:paraId="35A14A3F" w14:textId="77777777" w:rsidR="007366D4" w:rsidRPr="00FD2F0C" w:rsidRDefault="007366D4" w:rsidP="00804B10">
      <w:pPr>
        <w:pStyle w:val="Bulletlist1"/>
        <w:numPr>
          <w:ilvl w:val="0"/>
          <w:numId w:val="20"/>
        </w:numPr>
        <w:ind w:left="714" w:hanging="357"/>
        <w:jc w:val="both"/>
        <w:rPr>
          <w:rFonts w:asciiTheme="minorHAnsi" w:hAnsiTheme="minorHAnsi"/>
        </w:rPr>
      </w:pPr>
      <w:r w:rsidRPr="00FD2F0C">
        <w:rPr>
          <w:rFonts w:asciiTheme="minorHAnsi" w:hAnsiTheme="minorHAnsi"/>
          <w:i/>
        </w:rPr>
        <w:t>US National Telecommunications and Information Administration</w:t>
      </w:r>
      <w:r w:rsidRPr="00FD2F0C">
        <w:rPr>
          <w:rFonts w:asciiTheme="minorHAnsi" w:hAnsiTheme="minorHAnsi"/>
        </w:rPr>
        <w:t>, “Promoting Spectrum Sharing in the Wireless Broadband Era”, 9 January 2015:</w:t>
      </w:r>
    </w:p>
    <w:p w14:paraId="07AA2982" w14:textId="77777777" w:rsidR="007366D4" w:rsidRPr="00FD2F0C" w:rsidRDefault="00573C99" w:rsidP="007366D4">
      <w:pPr>
        <w:pStyle w:val="Bulletlist1"/>
        <w:ind w:left="714"/>
        <w:rPr>
          <w:rFonts w:asciiTheme="minorHAnsi" w:hAnsiTheme="minorHAnsi"/>
        </w:rPr>
      </w:pPr>
      <w:hyperlink r:id="rId114" w:history="1">
        <w:r w:rsidR="007366D4" w:rsidRPr="00FD2F0C">
          <w:rPr>
            <w:rStyle w:val="Hyperlink"/>
            <w:rFonts w:asciiTheme="minorHAnsi" w:hAnsiTheme="minorHAnsi"/>
            <w:lang w:val="en-GB"/>
          </w:rPr>
          <w:t>https://www.ntia.doc.gov/blog/2015/promoting-spectrum-sharing-wireless-broadband-era</w:t>
        </w:r>
      </w:hyperlink>
      <w:r w:rsidR="007366D4" w:rsidRPr="00FD2F0C">
        <w:rPr>
          <w:rStyle w:val="Hyperlink"/>
          <w:rFonts w:asciiTheme="minorHAnsi" w:hAnsiTheme="minorHAnsi"/>
          <w:lang w:val="en-GB"/>
        </w:rPr>
        <w:t>.</w:t>
      </w:r>
    </w:p>
    <w:p w14:paraId="39DE58EA" w14:textId="77777777" w:rsidR="00A031BE" w:rsidRPr="00FD2F0C" w:rsidRDefault="00A031BE" w:rsidP="00A031BE">
      <w:pPr>
        <w:pStyle w:val="Heading1"/>
        <w:numPr>
          <w:ilvl w:val="0"/>
          <w:numId w:val="0"/>
        </w:numPr>
        <w:rPr>
          <w:rFonts w:asciiTheme="minorHAnsi" w:hAnsiTheme="minorHAnsi"/>
          <w:lang w:val="en-GB"/>
        </w:rPr>
      </w:pPr>
      <w:bookmarkStart w:id="132" w:name="_Toc467836445"/>
      <w:bookmarkStart w:id="133" w:name="_Toc485648014"/>
      <w:bookmarkStart w:id="134" w:name="_Toc467836453"/>
      <w:r w:rsidRPr="00FD2F0C">
        <w:rPr>
          <w:rFonts w:asciiTheme="minorHAnsi" w:hAnsiTheme="minorHAnsi"/>
          <w:lang w:val="en-GB"/>
        </w:rPr>
        <w:t>Annexes</w:t>
      </w:r>
      <w:bookmarkEnd w:id="132"/>
      <w:bookmarkEnd w:id="133"/>
    </w:p>
    <w:p w14:paraId="6390461E" w14:textId="7D1684B4" w:rsidR="007366D4" w:rsidRPr="00FD2F0C" w:rsidRDefault="007366D4" w:rsidP="00D06C3F">
      <w:pPr>
        <w:pStyle w:val="APXchaptertitle"/>
        <w:numPr>
          <w:ilvl w:val="0"/>
          <w:numId w:val="0"/>
        </w:numPr>
        <w:rPr>
          <w:rFonts w:asciiTheme="minorHAnsi" w:hAnsiTheme="minorHAnsi"/>
        </w:rPr>
      </w:pPr>
      <w:bookmarkStart w:id="135" w:name="_Toc485648015"/>
      <w:r w:rsidRPr="00FD2F0C">
        <w:rPr>
          <w:rFonts w:asciiTheme="minorHAnsi" w:hAnsiTheme="minorHAnsi"/>
        </w:rPr>
        <w:lastRenderedPageBreak/>
        <w:t xml:space="preserve">Annex </w:t>
      </w:r>
      <w:r w:rsidR="00D06C3F" w:rsidRPr="00FD2F0C">
        <w:rPr>
          <w:rFonts w:asciiTheme="minorHAnsi" w:hAnsiTheme="minorHAnsi"/>
        </w:rPr>
        <w:t>1</w:t>
      </w:r>
      <w:r w:rsidRPr="00FD2F0C">
        <w:rPr>
          <w:rFonts w:asciiTheme="minorHAnsi" w:hAnsiTheme="minorHAnsi"/>
        </w:rPr>
        <w:t>: Existing regulations</w:t>
      </w:r>
      <w:bookmarkEnd w:id="134"/>
      <w:r w:rsidRPr="00FD2F0C">
        <w:rPr>
          <w:rFonts w:asciiTheme="minorHAnsi" w:hAnsiTheme="minorHAnsi"/>
        </w:rPr>
        <w:t xml:space="preserve"> on TV white space</w:t>
      </w:r>
      <w:bookmarkEnd w:id="135"/>
    </w:p>
    <w:p w14:paraId="30DED7F9" w14:textId="77777777" w:rsidR="007366D4" w:rsidRPr="00FD2F0C" w:rsidRDefault="007366D4" w:rsidP="007366D4">
      <w:pPr>
        <w:spacing w:after="120"/>
        <w:rPr>
          <w:rFonts w:asciiTheme="minorHAnsi" w:hAnsiTheme="minorHAnsi"/>
          <w:b/>
          <w:color w:val="000000"/>
          <w:szCs w:val="24"/>
          <w:shd w:val="clear" w:color="auto" w:fill="FFFFFF"/>
          <w:lang w:val="en-GB"/>
        </w:rPr>
      </w:pPr>
      <w:r w:rsidRPr="00FD2F0C">
        <w:rPr>
          <w:rFonts w:asciiTheme="minorHAnsi" w:hAnsiTheme="minorHAnsi"/>
          <w:b/>
          <w:color w:val="000000"/>
          <w:szCs w:val="24"/>
          <w:shd w:val="clear" w:color="auto" w:fill="FFFFFF"/>
          <w:lang w:val="en-GB"/>
        </w:rPr>
        <w:t>Inclusion of links to existing regulations from Canada, Singapore, United States of America, and the United Kingdom:</w:t>
      </w:r>
    </w:p>
    <w:p w14:paraId="70103496" w14:textId="77777777" w:rsidR="007366D4" w:rsidRPr="00FD2F0C" w:rsidRDefault="007366D4" w:rsidP="00804B10">
      <w:pPr>
        <w:pStyle w:val="Bulletlist1"/>
        <w:numPr>
          <w:ilvl w:val="0"/>
          <w:numId w:val="20"/>
        </w:numPr>
        <w:ind w:left="714" w:hanging="357"/>
        <w:jc w:val="both"/>
        <w:rPr>
          <w:rFonts w:asciiTheme="minorHAnsi" w:hAnsiTheme="minorHAnsi"/>
          <w:shd w:val="clear" w:color="auto" w:fill="FFFFFF"/>
        </w:rPr>
      </w:pPr>
      <w:r w:rsidRPr="00FD2F0C">
        <w:rPr>
          <w:rFonts w:asciiTheme="minorHAnsi" w:hAnsiTheme="minorHAnsi"/>
          <w:shd w:val="clear" w:color="auto" w:fill="FFFFFF"/>
        </w:rPr>
        <w:t xml:space="preserve">Canada, Radio Standards Specifications-222 Issue I – White Space Devices (WSDs): </w:t>
      </w:r>
      <w:hyperlink r:id="rId115" w:history="1">
        <w:r w:rsidRPr="00FD2F0C">
          <w:rPr>
            <w:rStyle w:val="Hyperlink"/>
            <w:rFonts w:asciiTheme="minorHAnsi" w:hAnsiTheme="minorHAnsi"/>
            <w:szCs w:val="24"/>
            <w:shd w:val="clear" w:color="auto" w:fill="FFFFFF"/>
            <w:lang w:val="en-GB"/>
          </w:rPr>
          <w:t>http://www.ic.gc.ca/eic/site/smt-gst.nsf/eng/sf10930.html</w:t>
        </w:r>
      </w:hyperlink>
      <w:r w:rsidRPr="00FD2F0C">
        <w:rPr>
          <w:rStyle w:val="Hyperlink"/>
          <w:rFonts w:asciiTheme="minorHAnsi" w:hAnsiTheme="minorHAnsi"/>
          <w:color w:val="auto"/>
          <w:szCs w:val="24"/>
          <w:u w:val="none"/>
          <w:shd w:val="clear" w:color="auto" w:fill="FFFFFF"/>
          <w:lang w:val="en-GB"/>
        </w:rPr>
        <w:t>.</w:t>
      </w:r>
    </w:p>
    <w:p w14:paraId="38BE431F" w14:textId="77777777" w:rsidR="007366D4" w:rsidRPr="00FD2F0C" w:rsidRDefault="007366D4" w:rsidP="00804B10">
      <w:pPr>
        <w:pStyle w:val="Bulletlist1"/>
        <w:numPr>
          <w:ilvl w:val="0"/>
          <w:numId w:val="20"/>
        </w:numPr>
        <w:ind w:left="714" w:hanging="357"/>
        <w:jc w:val="both"/>
        <w:rPr>
          <w:rFonts w:asciiTheme="minorHAnsi" w:hAnsiTheme="minorHAnsi"/>
          <w:shd w:val="clear" w:color="auto" w:fill="FFFFFF"/>
        </w:rPr>
      </w:pPr>
      <w:r w:rsidRPr="00FD2F0C">
        <w:rPr>
          <w:rFonts w:asciiTheme="minorHAnsi" w:hAnsiTheme="minorHAnsi"/>
          <w:shd w:val="clear" w:color="auto" w:fill="FFFFFF"/>
        </w:rPr>
        <w:t xml:space="preserve">Singapore, Decision Paper issued by the Infocommunication Development Authority of </w:t>
      </w:r>
      <w:r w:rsidRPr="00FD2F0C">
        <w:rPr>
          <w:rFonts w:asciiTheme="minorHAnsi" w:hAnsiTheme="minorHAnsi"/>
        </w:rPr>
        <w:t>Singapore</w:t>
      </w:r>
      <w:r w:rsidRPr="00FD2F0C">
        <w:rPr>
          <w:rFonts w:asciiTheme="minorHAnsi" w:hAnsiTheme="minorHAnsi"/>
          <w:shd w:val="clear" w:color="auto" w:fill="FFFFFF"/>
        </w:rPr>
        <w:t>. Regulatory framework for TV White Space operations in the VHF/UHF bands, 16 June 2014:</w:t>
      </w:r>
    </w:p>
    <w:p w14:paraId="7621D400" w14:textId="77777777" w:rsidR="007366D4" w:rsidRPr="00FD2F0C" w:rsidRDefault="00573C99" w:rsidP="007366D4">
      <w:pPr>
        <w:pStyle w:val="Bulletlist1"/>
        <w:ind w:left="714"/>
        <w:rPr>
          <w:rFonts w:asciiTheme="minorHAnsi" w:hAnsiTheme="minorHAnsi"/>
          <w:shd w:val="clear" w:color="auto" w:fill="FFFFFF"/>
        </w:rPr>
      </w:pPr>
      <w:hyperlink r:id="rId116" w:history="1">
        <w:r w:rsidR="007366D4" w:rsidRPr="00FD2F0C">
          <w:rPr>
            <w:rStyle w:val="Hyperlink"/>
            <w:rFonts w:asciiTheme="minorHAnsi" w:hAnsiTheme="minorHAnsi"/>
            <w:szCs w:val="24"/>
            <w:shd w:val="clear" w:color="auto" w:fill="FFFFFF"/>
            <w:lang w:val="en-GB"/>
          </w:rPr>
          <w:t>https://www.ida.gov.sg/~/media/Files/PCDG/Consultations/20130617_whitespace/ExplanatoryMemo.pdf</w:t>
        </w:r>
      </w:hyperlink>
      <w:r w:rsidR="007366D4" w:rsidRPr="00FD2F0C">
        <w:rPr>
          <w:rStyle w:val="Hyperlink"/>
          <w:rFonts w:asciiTheme="minorHAnsi" w:hAnsiTheme="minorHAnsi"/>
          <w:szCs w:val="24"/>
          <w:shd w:val="clear" w:color="auto" w:fill="FFFFFF"/>
          <w:lang w:val="en-GB"/>
        </w:rPr>
        <w:t>.</w:t>
      </w:r>
    </w:p>
    <w:p w14:paraId="0ACEF8BE" w14:textId="77777777" w:rsidR="007366D4" w:rsidRPr="00FD2F0C" w:rsidRDefault="007366D4" w:rsidP="00804B10">
      <w:pPr>
        <w:pStyle w:val="Bulletlist1"/>
        <w:numPr>
          <w:ilvl w:val="0"/>
          <w:numId w:val="20"/>
        </w:numPr>
        <w:ind w:left="714" w:hanging="357"/>
        <w:jc w:val="both"/>
        <w:rPr>
          <w:rFonts w:asciiTheme="minorHAnsi" w:hAnsiTheme="minorHAnsi"/>
          <w:shd w:val="clear" w:color="auto" w:fill="FFFFFF"/>
        </w:rPr>
      </w:pPr>
      <w:r w:rsidRPr="00FD2F0C">
        <w:rPr>
          <w:rFonts w:asciiTheme="minorHAnsi" w:hAnsiTheme="minorHAnsi"/>
          <w:shd w:val="clear" w:color="auto" w:fill="FFFFFF"/>
        </w:rPr>
        <w:t xml:space="preserve">Singapore, Telecommunications Act (Chapter 323) </w:t>
      </w:r>
      <w:r w:rsidRPr="00FD2F0C">
        <w:rPr>
          <w:rFonts w:asciiTheme="minorHAnsi" w:hAnsiTheme="minorHAnsi"/>
        </w:rPr>
        <w:t>Telecommunications</w:t>
      </w:r>
      <w:r w:rsidRPr="00FD2F0C">
        <w:rPr>
          <w:rFonts w:asciiTheme="minorHAnsi" w:hAnsiTheme="minorHAnsi"/>
          <w:shd w:val="clear" w:color="auto" w:fill="FFFFFF"/>
        </w:rPr>
        <w:t xml:space="preserve"> (exemption from Sections 33, 34(1)(b) and 35) (Amendment No. 2) Notification 2014:</w:t>
      </w:r>
    </w:p>
    <w:p w14:paraId="41294480" w14:textId="77777777" w:rsidR="007366D4" w:rsidRPr="00FD2F0C" w:rsidRDefault="00573C99" w:rsidP="007366D4">
      <w:pPr>
        <w:pStyle w:val="Bulletlist1"/>
        <w:ind w:left="714"/>
        <w:rPr>
          <w:rFonts w:asciiTheme="minorHAnsi" w:hAnsiTheme="minorHAnsi"/>
          <w:shd w:val="clear" w:color="auto" w:fill="FFFFFF"/>
        </w:rPr>
      </w:pPr>
      <w:hyperlink r:id="rId117" w:history="1">
        <w:r w:rsidR="007366D4" w:rsidRPr="00FD2F0C">
          <w:rPr>
            <w:rStyle w:val="Hyperlink"/>
            <w:rFonts w:asciiTheme="minorHAnsi" w:hAnsiTheme="minorHAnsi"/>
            <w:szCs w:val="24"/>
            <w:shd w:val="clear" w:color="auto" w:fill="FFFFFF"/>
            <w:lang w:val="en-GB"/>
          </w:rPr>
          <w:t>http://statutes.agc.gov.sg/aol/search/display/view.w3p;page=0;query=DocId%3Afe1642bb-1981-4afd-a8da-322595befe8a%20Depth%3A0%20ValidTime%3A02%2F02%2F2016%20TransactionTime%3A02%2F02%2F2016%20Status%3Apublished;rec=0</w:t>
        </w:r>
      </w:hyperlink>
      <w:r w:rsidR="007366D4" w:rsidRPr="00FD2F0C">
        <w:rPr>
          <w:rStyle w:val="Hyperlink"/>
          <w:rFonts w:asciiTheme="minorHAnsi" w:hAnsiTheme="minorHAnsi"/>
          <w:color w:val="auto"/>
          <w:szCs w:val="24"/>
          <w:u w:val="none"/>
          <w:shd w:val="clear" w:color="auto" w:fill="FFFFFF"/>
          <w:lang w:val="en-GB"/>
        </w:rPr>
        <w:t>.</w:t>
      </w:r>
    </w:p>
    <w:p w14:paraId="6735B42B" w14:textId="77777777" w:rsidR="007366D4" w:rsidRPr="00FD2F0C" w:rsidRDefault="007366D4" w:rsidP="00804B10">
      <w:pPr>
        <w:pStyle w:val="Bulletlist1"/>
        <w:numPr>
          <w:ilvl w:val="0"/>
          <w:numId w:val="20"/>
        </w:numPr>
        <w:ind w:left="714" w:hanging="357"/>
        <w:jc w:val="both"/>
        <w:rPr>
          <w:rFonts w:asciiTheme="minorHAnsi" w:hAnsiTheme="minorHAnsi"/>
          <w:shd w:val="clear" w:color="auto" w:fill="FFFFFF"/>
        </w:rPr>
      </w:pPr>
      <w:r w:rsidRPr="00FD2F0C">
        <w:rPr>
          <w:rFonts w:asciiTheme="minorHAnsi" w:hAnsiTheme="minorHAnsi"/>
          <w:shd w:val="clear" w:color="auto" w:fill="FFFFFF"/>
        </w:rPr>
        <w:t>United Kingdom, 2015 No. 2066 Electronic Communications – The Wireless Telegraphy (White Space Devices) (Exemption) Regulations 2015:</w:t>
      </w:r>
    </w:p>
    <w:p w14:paraId="124DD560" w14:textId="77777777" w:rsidR="007366D4" w:rsidRPr="00FD2F0C" w:rsidRDefault="00573C99" w:rsidP="007366D4">
      <w:pPr>
        <w:pStyle w:val="Bulletlist1"/>
        <w:ind w:left="714"/>
        <w:rPr>
          <w:rFonts w:asciiTheme="minorHAnsi" w:hAnsiTheme="minorHAnsi"/>
          <w:shd w:val="clear" w:color="auto" w:fill="FFFFFF"/>
        </w:rPr>
      </w:pPr>
      <w:hyperlink r:id="rId118" w:history="1">
        <w:r w:rsidR="007366D4" w:rsidRPr="00FD2F0C">
          <w:rPr>
            <w:rStyle w:val="Hyperlink"/>
            <w:rFonts w:asciiTheme="minorHAnsi" w:hAnsiTheme="minorHAnsi"/>
            <w:szCs w:val="24"/>
            <w:shd w:val="clear" w:color="auto" w:fill="FFFFFF"/>
            <w:lang w:val="en-GB"/>
          </w:rPr>
          <w:t>http://www.legislation.gov.uk/uksi/2015/2066/made/data.pdf</w:t>
        </w:r>
      </w:hyperlink>
      <w:r w:rsidR="007366D4" w:rsidRPr="00FD2F0C">
        <w:rPr>
          <w:rStyle w:val="Hyperlink"/>
          <w:rFonts w:asciiTheme="minorHAnsi" w:hAnsiTheme="minorHAnsi"/>
          <w:szCs w:val="24"/>
          <w:shd w:val="clear" w:color="auto" w:fill="FFFFFF"/>
          <w:lang w:val="en-GB"/>
        </w:rPr>
        <w:t>.</w:t>
      </w:r>
    </w:p>
    <w:p w14:paraId="4EFF9219" w14:textId="77777777" w:rsidR="007366D4" w:rsidRPr="00FD2F0C" w:rsidRDefault="007366D4" w:rsidP="00804B10">
      <w:pPr>
        <w:pStyle w:val="Bulletlist1"/>
        <w:numPr>
          <w:ilvl w:val="0"/>
          <w:numId w:val="20"/>
        </w:numPr>
        <w:ind w:left="714" w:hanging="357"/>
        <w:jc w:val="both"/>
        <w:rPr>
          <w:rFonts w:asciiTheme="minorHAnsi" w:hAnsiTheme="minorHAnsi"/>
          <w:shd w:val="clear" w:color="auto" w:fill="FFFFFF"/>
        </w:rPr>
      </w:pPr>
      <w:r w:rsidRPr="00FD2F0C">
        <w:rPr>
          <w:rFonts w:asciiTheme="minorHAnsi" w:hAnsiTheme="minorHAnsi"/>
          <w:shd w:val="clear" w:color="auto" w:fill="FFFFFF"/>
        </w:rPr>
        <w:t>United States of America, Code of Federal Regulations Title 47, Chapter I, Subchapter A, Part 15, Subpart H – White Space Devices:</w:t>
      </w:r>
    </w:p>
    <w:p w14:paraId="3D94BB33" w14:textId="627DF504" w:rsidR="007366D4" w:rsidRPr="00FD2F0C" w:rsidRDefault="00734188" w:rsidP="007366D4">
      <w:pPr>
        <w:pStyle w:val="Bulletlist1"/>
        <w:ind w:left="714"/>
        <w:rPr>
          <w:rFonts w:asciiTheme="minorHAnsi" w:hAnsiTheme="minorHAnsi"/>
          <w:shd w:val="clear" w:color="auto" w:fill="FFFFFF"/>
        </w:rPr>
      </w:pPr>
      <w:r w:rsidRPr="00FD2F0C">
        <w:rPr>
          <w:rStyle w:val="Hyperlink"/>
          <w:rFonts w:asciiTheme="minorHAnsi" w:hAnsiTheme="minorHAnsi"/>
          <w:szCs w:val="24"/>
          <w:shd w:val="clear" w:color="auto" w:fill="FFFFFF"/>
          <w:lang w:val="en-GB"/>
        </w:rPr>
        <w:t xml:space="preserve"> </w:t>
      </w:r>
      <w:hyperlink r:id="rId119" w:history="1">
        <w:r w:rsidRPr="00FD2F0C">
          <w:rPr>
            <w:rStyle w:val="Hyperlink"/>
            <w:rFonts w:asciiTheme="minorHAnsi" w:hAnsiTheme="minorHAnsi"/>
            <w:szCs w:val="24"/>
            <w:shd w:val="clear" w:color="auto" w:fill="FFFFFF"/>
            <w:lang w:val="en-GB"/>
          </w:rPr>
          <w:t>https://www.ecfr.gov/cgi-bin/text-idx?SID=f7cf9120b29f6e16a04e68c3c315be9b&amp;mc=true&amp;node=sp47.1.15.h&amp;rgn=div6</w:t>
        </w:r>
      </w:hyperlink>
      <w:r w:rsidRPr="00FD2F0C">
        <w:rPr>
          <w:rStyle w:val="Hyperlink"/>
          <w:rFonts w:asciiTheme="minorHAnsi" w:hAnsiTheme="minorHAnsi"/>
          <w:szCs w:val="24"/>
          <w:shd w:val="clear" w:color="auto" w:fill="FFFFFF"/>
          <w:lang w:val="en-GB"/>
        </w:rPr>
        <w:t>.</w:t>
      </w:r>
    </w:p>
    <w:p w14:paraId="0DDE5F82" w14:textId="77777777" w:rsidR="00745ECC" w:rsidRPr="00FD2F0C" w:rsidRDefault="00745ECC" w:rsidP="00DC0D3D">
      <w:pPr>
        <w:rPr>
          <w:rFonts w:asciiTheme="minorHAnsi" w:hAnsiTheme="minorHAnsi"/>
          <w:lang w:val="en-GB"/>
        </w:rPr>
      </w:pPr>
      <w:bookmarkStart w:id="136" w:name="_Toc467836454"/>
    </w:p>
    <w:p w14:paraId="2702B8BF" w14:textId="77777777" w:rsidR="00745ECC" w:rsidRPr="00FD2F0C" w:rsidRDefault="00745ECC" w:rsidP="00DC0D3D">
      <w:pPr>
        <w:rPr>
          <w:rFonts w:asciiTheme="minorHAnsi" w:hAnsiTheme="minorHAnsi"/>
          <w:lang w:val="en-GB"/>
        </w:rPr>
        <w:sectPr w:rsidR="00745ECC" w:rsidRPr="00FD2F0C" w:rsidSect="00D1731E">
          <w:headerReference w:type="default" r:id="rId120"/>
          <w:headerReference w:type="first" r:id="rId121"/>
          <w:footerReference w:type="first" r:id="rId122"/>
          <w:pgSz w:w="11907" w:h="16834" w:code="9"/>
          <w:pgMar w:top="1418" w:right="1134" w:bottom="851" w:left="1134" w:header="720" w:footer="567" w:gutter="0"/>
          <w:paperSrc w:first="7" w:other="7"/>
          <w:cols w:space="720"/>
          <w:titlePg/>
          <w:docGrid w:linePitch="326"/>
        </w:sectPr>
      </w:pPr>
    </w:p>
    <w:p w14:paraId="2E764BE8" w14:textId="1DC1821D" w:rsidR="00102C0D" w:rsidRPr="00FD2F0C" w:rsidRDefault="00102C0D" w:rsidP="00D06C3F">
      <w:pPr>
        <w:pStyle w:val="APXchaptertitle"/>
        <w:numPr>
          <w:ilvl w:val="0"/>
          <w:numId w:val="0"/>
        </w:numPr>
        <w:rPr>
          <w:rFonts w:asciiTheme="minorHAnsi" w:hAnsiTheme="minorHAnsi"/>
        </w:rPr>
      </w:pPr>
      <w:bookmarkStart w:id="137" w:name="_Toc485648016"/>
      <w:r w:rsidRPr="00FD2F0C">
        <w:rPr>
          <w:rFonts w:asciiTheme="minorHAnsi" w:hAnsiTheme="minorHAnsi"/>
        </w:rPr>
        <w:lastRenderedPageBreak/>
        <w:t xml:space="preserve">Annex </w:t>
      </w:r>
      <w:r w:rsidR="00D06C3F" w:rsidRPr="00FD2F0C">
        <w:rPr>
          <w:rFonts w:asciiTheme="minorHAnsi" w:hAnsiTheme="minorHAnsi"/>
        </w:rPr>
        <w:t>2</w:t>
      </w:r>
      <w:r w:rsidRPr="00FD2F0C">
        <w:rPr>
          <w:rFonts w:asciiTheme="minorHAnsi" w:hAnsiTheme="minorHAnsi"/>
        </w:rPr>
        <w:t>: Case studies and countries experiences</w:t>
      </w:r>
      <w:bookmarkEnd w:id="137"/>
    </w:p>
    <w:p w14:paraId="0B4AD8EE" w14:textId="77777777" w:rsidR="00102C0D" w:rsidRPr="00FD2F0C" w:rsidRDefault="00102C0D" w:rsidP="00102C0D">
      <w:pPr>
        <w:pStyle w:val="Call"/>
        <w:keepNext w:val="0"/>
        <w:keepLines w:val="0"/>
        <w:spacing w:before="120"/>
        <w:ind w:left="0"/>
        <w:rPr>
          <w:rFonts w:asciiTheme="minorHAnsi" w:hAnsiTheme="minorHAnsi"/>
          <w:bCs/>
          <w:i w:val="0"/>
          <w:color w:val="000000"/>
          <w:szCs w:val="24"/>
          <w:shd w:val="clear" w:color="auto" w:fill="FFFFFF"/>
          <w:lang w:val="en-GB"/>
        </w:rPr>
      </w:pPr>
      <w:r w:rsidRPr="00FD2F0C">
        <w:rPr>
          <w:rFonts w:asciiTheme="minorHAnsi" w:hAnsiTheme="minorHAnsi"/>
          <w:bCs/>
          <w:i w:val="0"/>
          <w:color w:val="000000"/>
          <w:szCs w:val="24"/>
          <w:shd w:val="clear" w:color="auto" w:fill="FFFFFF"/>
          <w:lang w:val="en-GB"/>
        </w:rPr>
        <w:t>These case studies and countries experiences are listed below for information purposes only with no aim at defining guidelines, recommendations or conclusions.</w:t>
      </w:r>
    </w:p>
    <w:p w14:paraId="5170C72D" w14:textId="15AC5822" w:rsidR="00A83443" w:rsidRPr="00FD2F0C" w:rsidRDefault="00A83443" w:rsidP="00D06C3F">
      <w:pPr>
        <w:keepNext/>
        <w:spacing w:before="240"/>
        <w:ind w:left="357" w:hanging="357"/>
        <w:outlineLvl w:val="1"/>
        <w:rPr>
          <w:rFonts w:asciiTheme="minorHAnsi" w:hAnsiTheme="minorHAnsi" w:cs="Helvetica"/>
          <w:b/>
          <w:bCs/>
          <w:color w:val="1F9DD9"/>
          <w:szCs w:val="32"/>
          <w:lang w:val="en-GB"/>
        </w:rPr>
      </w:pPr>
      <w:bookmarkStart w:id="138" w:name="_Toc485648017"/>
      <w:r w:rsidRPr="00FD2F0C">
        <w:rPr>
          <w:rFonts w:asciiTheme="minorHAnsi" w:hAnsiTheme="minorHAnsi" w:cs="Helvetica"/>
          <w:b/>
          <w:bCs/>
          <w:color w:val="1F9DD9"/>
          <w:szCs w:val="32"/>
          <w:lang w:val="en-GB"/>
        </w:rPr>
        <w:t>A</w:t>
      </w:r>
      <w:r w:rsidR="00D06C3F" w:rsidRPr="00FD2F0C">
        <w:rPr>
          <w:rFonts w:asciiTheme="minorHAnsi" w:hAnsiTheme="minorHAnsi" w:cs="Helvetica"/>
          <w:b/>
          <w:bCs/>
          <w:color w:val="1F9DD9"/>
          <w:szCs w:val="32"/>
          <w:lang w:val="en-GB"/>
        </w:rPr>
        <w:t>2</w:t>
      </w:r>
      <w:r w:rsidRPr="00FD2F0C">
        <w:rPr>
          <w:rFonts w:asciiTheme="minorHAnsi" w:hAnsiTheme="minorHAnsi" w:cs="Helvetica"/>
          <w:b/>
          <w:bCs/>
          <w:color w:val="1F9DD9"/>
          <w:szCs w:val="32"/>
          <w:lang w:val="en-GB"/>
        </w:rPr>
        <w:t>-1.</w:t>
      </w:r>
      <w:r w:rsidRPr="00FD2F0C">
        <w:rPr>
          <w:rFonts w:asciiTheme="minorHAnsi" w:hAnsiTheme="minorHAnsi" w:cs="Helvetica"/>
          <w:b/>
          <w:bCs/>
          <w:color w:val="1F9DD9"/>
          <w:szCs w:val="32"/>
          <w:lang w:val="en-GB"/>
        </w:rPr>
        <w:tab/>
        <w:t>Digital Dividend</w:t>
      </w:r>
      <w:bookmarkEnd w:id="138"/>
    </w:p>
    <w:p w14:paraId="1F9B3158" w14:textId="46D752E3" w:rsidR="00070ADB" w:rsidRPr="00FD2F0C" w:rsidRDefault="00070ADB" w:rsidP="00070ADB">
      <w:pPr>
        <w:rPr>
          <w:rFonts w:asciiTheme="minorHAnsi" w:hAnsiTheme="minorHAnsi"/>
          <w:lang w:val="en-GB"/>
        </w:rPr>
      </w:pPr>
      <w:r w:rsidRPr="00FD2F0C">
        <w:rPr>
          <w:rFonts w:asciiTheme="minorHAnsi" w:hAnsiTheme="minorHAnsi"/>
          <w:lang w:val="en-GB"/>
        </w:rPr>
        <w:t>The tables below show information on the auctions of the Digital Dividend:</w:t>
      </w:r>
    </w:p>
    <w:p w14:paraId="425CC7A0" w14:textId="65C161F1" w:rsidR="00070ADB" w:rsidRPr="00FD2F0C" w:rsidRDefault="00070ADB" w:rsidP="00070ADB">
      <w:pPr>
        <w:rPr>
          <w:rFonts w:asciiTheme="minorHAnsi" w:hAnsiTheme="minorHAnsi"/>
          <w:b/>
          <w:bCs/>
          <w:lang w:val="en-GB"/>
        </w:rPr>
      </w:pPr>
      <w:r w:rsidRPr="00FD2F0C">
        <w:rPr>
          <w:rFonts w:asciiTheme="minorHAnsi" w:hAnsiTheme="minorHAnsi"/>
          <w:b/>
          <w:bCs/>
          <w:lang w:val="en-GB"/>
        </w:rPr>
        <w:t>Digit</w:t>
      </w:r>
      <w:r w:rsidR="00D65531" w:rsidRPr="00FD2F0C">
        <w:rPr>
          <w:rFonts w:asciiTheme="minorHAnsi" w:hAnsiTheme="minorHAnsi"/>
          <w:b/>
          <w:bCs/>
          <w:lang w:val="en-GB"/>
        </w:rPr>
        <w:t>al Dividend (previous to 2012):</w:t>
      </w:r>
    </w:p>
    <w:tbl>
      <w:tblPr>
        <w:tblStyle w:val="TableGrid"/>
        <w:tblW w:w="0" w:type="auto"/>
        <w:tblLayout w:type="fixed"/>
        <w:tblLook w:val="04A0" w:firstRow="1" w:lastRow="0" w:firstColumn="1" w:lastColumn="0" w:noHBand="0" w:noVBand="1"/>
      </w:tblPr>
      <w:tblGrid>
        <w:gridCol w:w="1413"/>
        <w:gridCol w:w="1782"/>
        <w:gridCol w:w="1782"/>
        <w:gridCol w:w="1782"/>
        <w:gridCol w:w="1782"/>
        <w:gridCol w:w="1782"/>
        <w:gridCol w:w="1782"/>
        <w:gridCol w:w="1782"/>
      </w:tblGrid>
      <w:tr w:rsidR="00070ADB" w:rsidRPr="00FD2F0C" w14:paraId="088DDC0F" w14:textId="77777777" w:rsidTr="00B84B85">
        <w:trPr>
          <w:trHeight w:val="645"/>
        </w:trPr>
        <w:tc>
          <w:tcPr>
            <w:tcW w:w="1413" w:type="dxa"/>
            <w:shd w:val="clear" w:color="auto" w:fill="C0504D" w:themeFill="accent2"/>
            <w:hideMark/>
          </w:tcPr>
          <w:p w14:paraId="7C630E40"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Digital Dividend spectrum allocations</w:t>
            </w:r>
          </w:p>
        </w:tc>
        <w:tc>
          <w:tcPr>
            <w:tcW w:w="1782" w:type="dxa"/>
            <w:shd w:val="clear" w:color="auto" w:fill="C0504D" w:themeFill="accent2"/>
            <w:hideMark/>
          </w:tcPr>
          <w:p w14:paraId="7F26B83D"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USA</w:t>
            </w:r>
          </w:p>
        </w:tc>
        <w:tc>
          <w:tcPr>
            <w:tcW w:w="1782" w:type="dxa"/>
            <w:shd w:val="clear" w:color="auto" w:fill="C0504D" w:themeFill="accent2"/>
            <w:hideMark/>
          </w:tcPr>
          <w:p w14:paraId="0B76FA45"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Germany</w:t>
            </w:r>
          </w:p>
        </w:tc>
        <w:tc>
          <w:tcPr>
            <w:tcW w:w="1782" w:type="dxa"/>
            <w:shd w:val="clear" w:color="auto" w:fill="C0504D" w:themeFill="accent2"/>
            <w:hideMark/>
          </w:tcPr>
          <w:p w14:paraId="6E6BD127"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Sweden</w:t>
            </w:r>
          </w:p>
        </w:tc>
        <w:tc>
          <w:tcPr>
            <w:tcW w:w="1782" w:type="dxa"/>
            <w:shd w:val="clear" w:color="auto" w:fill="C0504D" w:themeFill="accent2"/>
            <w:hideMark/>
          </w:tcPr>
          <w:p w14:paraId="3943A5D4"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Spain</w:t>
            </w:r>
          </w:p>
        </w:tc>
        <w:tc>
          <w:tcPr>
            <w:tcW w:w="1782" w:type="dxa"/>
            <w:shd w:val="clear" w:color="auto" w:fill="C0504D" w:themeFill="accent2"/>
            <w:hideMark/>
          </w:tcPr>
          <w:p w14:paraId="733D75C7"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France</w:t>
            </w:r>
          </w:p>
        </w:tc>
        <w:tc>
          <w:tcPr>
            <w:tcW w:w="1782" w:type="dxa"/>
            <w:shd w:val="clear" w:color="auto" w:fill="C0504D" w:themeFill="accent2"/>
            <w:hideMark/>
          </w:tcPr>
          <w:p w14:paraId="17DC433D"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Italy</w:t>
            </w:r>
          </w:p>
        </w:tc>
        <w:tc>
          <w:tcPr>
            <w:tcW w:w="1782" w:type="dxa"/>
            <w:shd w:val="clear" w:color="auto" w:fill="C0504D" w:themeFill="accent2"/>
            <w:hideMark/>
          </w:tcPr>
          <w:p w14:paraId="780C3D05"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Switzerland</w:t>
            </w:r>
          </w:p>
        </w:tc>
      </w:tr>
      <w:tr w:rsidR="00070ADB" w:rsidRPr="00FD2F0C" w14:paraId="4B040FC6" w14:textId="77777777" w:rsidTr="00B84B85">
        <w:trPr>
          <w:trHeight w:val="729"/>
        </w:trPr>
        <w:tc>
          <w:tcPr>
            <w:tcW w:w="1413" w:type="dxa"/>
            <w:shd w:val="clear" w:color="auto" w:fill="D99594" w:themeFill="accent2" w:themeFillTint="99"/>
            <w:hideMark/>
          </w:tcPr>
          <w:p w14:paraId="453FED03" w14:textId="77777777" w:rsidR="00070ADB" w:rsidRPr="00FD2F0C" w:rsidRDefault="00070ADB" w:rsidP="00B84B85">
            <w:pPr>
              <w:rPr>
                <w:rFonts w:asciiTheme="minorHAnsi" w:hAnsiTheme="minorHAnsi"/>
                <w:b/>
                <w:bCs/>
                <w:color w:val="FFFFFF" w:themeColor="background1"/>
                <w:sz w:val="16"/>
                <w:szCs w:val="16"/>
                <w:lang w:val="en-GB"/>
              </w:rPr>
            </w:pPr>
            <w:r w:rsidRPr="00FD2F0C">
              <w:rPr>
                <w:rFonts w:asciiTheme="minorHAnsi" w:hAnsiTheme="minorHAnsi"/>
                <w:b/>
                <w:bCs/>
                <w:color w:val="FFFFFF" w:themeColor="background1"/>
                <w:sz w:val="16"/>
                <w:szCs w:val="16"/>
                <w:lang w:val="en-GB"/>
              </w:rPr>
              <w:t>Frequency bands considered in the same process</w:t>
            </w:r>
          </w:p>
        </w:tc>
        <w:tc>
          <w:tcPr>
            <w:tcW w:w="1782" w:type="dxa"/>
            <w:hideMark/>
          </w:tcPr>
          <w:p w14:paraId="40746375"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xml:space="preserve">700 MHz </w:t>
            </w:r>
          </w:p>
          <w:p w14:paraId="4C185166"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(698–787 MHz)</w:t>
            </w:r>
          </w:p>
        </w:tc>
        <w:tc>
          <w:tcPr>
            <w:tcW w:w="1782" w:type="dxa"/>
            <w:hideMark/>
          </w:tcPr>
          <w:p w14:paraId="5BF7A459"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800 MHz, 1.8 GHz, 1.9/2.1 GHz &amp; 2.6 GHz</w:t>
            </w:r>
          </w:p>
        </w:tc>
        <w:tc>
          <w:tcPr>
            <w:tcW w:w="1782" w:type="dxa"/>
            <w:hideMark/>
          </w:tcPr>
          <w:p w14:paraId="4668D28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800 MHz</w:t>
            </w:r>
          </w:p>
        </w:tc>
        <w:tc>
          <w:tcPr>
            <w:tcW w:w="1782" w:type="dxa"/>
            <w:hideMark/>
          </w:tcPr>
          <w:p w14:paraId="3E6284D3"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800 MHz, 900 MHz &amp; 2.6 GHz</w:t>
            </w:r>
          </w:p>
        </w:tc>
        <w:tc>
          <w:tcPr>
            <w:tcW w:w="1782" w:type="dxa"/>
            <w:hideMark/>
          </w:tcPr>
          <w:p w14:paraId="648E7A6D"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800 MHz</w:t>
            </w:r>
          </w:p>
        </w:tc>
        <w:tc>
          <w:tcPr>
            <w:tcW w:w="1782" w:type="dxa"/>
            <w:hideMark/>
          </w:tcPr>
          <w:p w14:paraId="48FB976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800 MHz, 1.8 GHz, 2.0 GHz &amp; 2.6 GHz</w:t>
            </w:r>
          </w:p>
        </w:tc>
        <w:tc>
          <w:tcPr>
            <w:tcW w:w="1782" w:type="dxa"/>
            <w:hideMark/>
          </w:tcPr>
          <w:p w14:paraId="76EBB17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800, 900 MHz 1.8 GHz,</w:t>
            </w:r>
            <w:r w:rsidRPr="00FD2F0C">
              <w:rPr>
                <w:rFonts w:asciiTheme="minorHAnsi" w:hAnsiTheme="minorHAnsi"/>
                <w:sz w:val="16"/>
                <w:szCs w:val="16"/>
              </w:rPr>
              <w:br/>
              <w:t>2.1 &amp; 2.6 GHz (FDD &amp;</w:t>
            </w:r>
            <w:r w:rsidRPr="00FD2F0C">
              <w:rPr>
                <w:rFonts w:asciiTheme="minorHAnsi" w:hAnsiTheme="minorHAnsi"/>
                <w:sz w:val="16"/>
                <w:szCs w:val="16"/>
              </w:rPr>
              <w:br/>
              <w:t>TDD)</w:t>
            </w:r>
          </w:p>
        </w:tc>
      </w:tr>
      <w:tr w:rsidR="00070ADB" w:rsidRPr="00FD2F0C" w14:paraId="0EB37668" w14:textId="77777777" w:rsidTr="00B84B85">
        <w:trPr>
          <w:trHeight w:val="645"/>
        </w:trPr>
        <w:tc>
          <w:tcPr>
            <w:tcW w:w="1413" w:type="dxa"/>
            <w:shd w:val="clear" w:color="auto" w:fill="D99594" w:themeFill="accent2" w:themeFillTint="99"/>
            <w:hideMark/>
          </w:tcPr>
          <w:p w14:paraId="75DE0E58"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Date of licensing decision</w:t>
            </w:r>
          </w:p>
        </w:tc>
        <w:tc>
          <w:tcPr>
            <w:tcW w:w="1782" w:type="dxa"/>
            <w:hideMark/>
          </w:tcPr>
          <w:p w14:paraId="62D949FE"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24/1/2003-</w:t>
            </w:r>
            <w:r w:rsidRPr="00FD2F0C">
              <w:rPr>
                <w:rFonts w:asciiTheme="minorHAnsi" w:hAnsiTheme="minorHAnsi"/>
                <w:sz w:val="16"/>
                <w:szCs w:val="16"/>
              </w:rPr>
              <w:br/>
              <w:t>3/2/2012</w:t>
            </w:r>
          </w:p>
        </w:tc>
        <w:tc>
          <w:tcPr>
            <w:tcW w:w="1782" w:type="dxa"/>
            <w:hideMark/>
          </w:tcPr>
          <w:p w14:paraId="44F87136"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12/10/2009</w:t>
            </w:r>
          </w:p>
        </w:tc>
        <w:tc>
          <w:tcPr>
            <w:tcW w:w="1782" w:type="dxa"/>
            <w:hideMark/>
          </w:tcPr>
          <w:p w14:paraId="0A1BF99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4/3/2011</w:t>
            </w:r>
          </w:p>
        </w:tc>
        <w:tc>
          <w:tcPr>
            <w:tcW w:w="1782" w:type="dxa"/>
            <w:hideMark/>
          </w:tcPr>
          <w:p w14:paraId="6E42C89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May 2012</w:t>
            </w:r>
          </w:p>
        </w:tc>
        <w:tc>
          <w:tcPr>
            <w:tcW w:w="1782" w:type="dxa"/>
            <w:hideMark/>
          </w:tcPr>
          <w:p w14:paraId="1315D4D9"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17/01/2012</w:t>
            </w:r>
          </w:p>
        </w:tc>
        <w:tc>
          <w:tcPr>
            <w:tcW w:w="1782" w:type="dxa"/>
            <w:hideMark/>
          </w:tcPr>
          <w:p w14:paraId="47933EB5"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18/05/2011</w:t>
            </w:r>
          </w:p>
        </w:tc>
        <w:tc>
          <w:tcPr>
            <w:tcW w:w="1782" w:type="dxa"/>
            <w:hideMark/>
          </w:tcPr>
          <w:p w14:paraId="76D9703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May 2012</w:t>
            </w:r>
          </w:p>
        </w:tc>
      </w:tr>
      <w:tr w:rsidR="00070ADB" w:rsidRPr="00FD2F0C" w14:paraId="31C0D7FF" w14:textId="77777777" w:rsidTr="00B84B85">
        <w:trPr>
          <w:trHeight w:val="464"/>
        </w:trPr>
        <w:tc>
          <w:tcPr>
            <w:tcW w:w="1413" w:type="dxa"/>
            <w:shd w:val="clear" w:color="auto" w:fill="D99594" w:themeFill="accent2" w:themeFillTint="99"/>
            <w:hideMark/>
          </w:tcPr>
          <w:p w14:paraId="15D227B6"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License duration</w:t>
            </w:r>
          </w:p>
        </w:tc>
        <w:tc>
          <w:tcPr>
            <w:tcW w:w="1782" w:type="dxa"/>
            <w:hideMark/>
          </w:tcPr>
          <w:p w14:paraId="3A4A1FE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10 years</w:t>
            </w:r>
          </w:p>
        </w:tc>
        <w:tc>
          <w:tcPr>
            <w:tcW w:w="1782" w:type="dxa"/>
            <w:hideMark/>
          </w:tcPr>
          <w:p w14:paraId="48B5950A"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15 years</w:t>
            </w:r>
          </w:p>
        </w:tc>
        <w:tc>
          <w:tcPr>
            <w:tcW w:w="1782" w:type="dxa"/>
            <w:hideMark/>
          </w:tcPr>
          <w:p w14:paraId="7923711A"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25  years</w:t>
            </w:r>
          </w:p>
        </w:tc>
        <w:tc>
          <w:tcPr>
            <w:tcW w:w="1782" w:type="dxa"/>
            <w:hideMark/>
          </w:tcPr>
          <w:p w14:paraId="5FB6F5C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Until 31 December 2030</w:t>
            </w:r>
          </w:p>
        </w:tc>
        <w:tc>
          <w:tcPr>
            <w:tcW w:w="1782" w:type="dxa"/>
            <w:hideMark/>
          </w:tcPr>
          <w:p w14:paraId="090056A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20 years</w:t>
            </w:r>
          </w:p>
        </w:tc>
        <w:tc>
          <w:tcPr>
            <w:tcW w:w="1782" w:type="dxa"/>
            <w:hideMark/>
          </w:tcPr>
          <w:p w14:paraId="6D07DE7C"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17 years</w:t>
            </w:r>
          </w:p>
        </w:tc>
        <w:tc>
          <w:tcPr>
            <w:tcW w:w="1782" w:type="dxa"/>
            <w:hideMark/>
          </w:tcPr>
          <w:p w14:paraId="61EF3B3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12-16 years. Until 31/12/2028</w:t>
            </w:r>
          </w:p>
        </w:tc>
      </w:tr>
      <w:tr w:rsidR="00070ADB" w:rsidRPr="00FD2F0C" w14:paraId="2EDC2490" w14:textId="77777777" w:rsidTr="00B84B85">
        <w:trPr>
          <w:trHeight w:val="645"/>
        </w:trPr>
        <w:tc>
          <w:tcPr>
            <w:tcW w:w="1413" w:type="dxa"/>
            <w:shd w:val="clear" w:color="auto" w:fill="D99594" w:themeFill="accent2" w:themeFillTint="99"/>
            <w:hideMark/>
          </w:tcPr>
          <w:p w14:paraId="4E2B31FE"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Type of licensing process</w:t>
            </w:r>
          </w:p>
        </w:tc>
        <w:tc>
          <w:tcPr>
            <w:tcW w:w="1782" w:type="dxa"/>
            <w:hideMark/>
          </w:tcPr>
          <w:p w14:paraId="6A29CDBD"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782" w:type="dxa"/>
            <w:hideMark/>
          </w:tcPr>
          <w:p w14:paraId="60C6BE26"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782" w:type="dxa"/>
            <w:hideMark/>
          </w:tcPr>
          <w:p w14:paraId="4379A6A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782" w:type="dxa"/>
            <w:hideMark/>
          </w:tcPr>
          <w:p w14:paraId="2CFA146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782" w:type="dxa"/>
            <w:hideMark/>
          </w:tcPr>
          <w:p w14:paraId="10ED89D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 + weighted</w:t>
            </w:r>
            <w:r w:rsidRPr="00FD2F0C">
              <w:rPr>
                <w:rFonts w:asciiTheme="minorHAnsi" w:hAnsiTheme="minorHAnsi"/>
                <w:sz w:val="16"/>
                <w:szCs w:val="16"/>
              </w:rPr>
              <w:br/>
              <w:t>commitments</w:t>
            </w:r>
          </w:p>
        </w:tc>
        <w:tc>
          <w:tcPr>
            <w:tcW w:w="1782" w:type="dxa"/>
            <w:hideMark/>
          </w:tcPr>
          <w:p w14:paraId="03CCB49A"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782" w:type="dxa"/>
            <w:hideMark/>
          </w:tcPr>
          <w:p w14:paraId="5F3928B9"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r>
      <w:tr w:rsidR="00070ADB" w:rsidRPr="00573C99" w14:paraId="283519EA" w14:textId="77777777" w:rsidTr="00B84B85">
        <w:trPr>
          <w:trHeight w:val="891"/>
        </w:trPr>
        <w:tc>
          <w:tcPr>
            <w:tcW w:w="1413" w:type="dxa"/>
            <w:shd w:val="clear" w:color="auto" w:fill="D99594" w:themeFill="accent2" w:themeFillTint="99"/>
            <w:hideMark/>
          </w:tcPr>
          <w:p w14:paraId="4E737C9B"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Packaging of DD band</w:t>
            </w:r>
          </w:p>
        </w:tc>
        <w:tc>
          <w:tcPr>
            <w:tcW w:w="1782" w:type="dxa"/>
            <w:hideMark/>
          </w:tcPr>
          <w:p w14:paraId="3F802D69"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Three 2x6 MHz, one 2x11 MHz, and two unpaired 6 MHz blocks = 70 MHz</w:t>
            </w:r>
          </w:p>
        </w:tc>
        <w:tc>
          <w:tcPr>
            <w:tcW w:w="1782" w:type="dxa"/>
            <w:hideMark/>
          </w:tcPr>
          <w:p w14:paraId="335AEC96"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3x2x10 MHz = 60 MHz</w:t>
            </w:r>
          </w:p>
        </w:tc>
        <w:tc>
          <w:tcPr>
            <w:tcW w:w="1782" w:type="dxa"/>
            <w:hideMark/>
          </w:tcPr>
          <w:p w14:paraId="42330F5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6x(2x5 MHz) = 60 MHz</w:t>
            </w:r>
          </w:p>
        </w:tc>
        <w:tc>
          <w:tcPr>
            <w:tcW w:w="1782" w:type="dxa"/>
            <w:hideMark/>
          </w:tcPr>
          <w:p w14:paraId="3BE1003C"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6x(2x5 MHz)= 60 MHz</w:t>
            </w:r>
          </w:p>
        </w:tc>
        <w:tc>
          <w:tcPr>
            <w:tcW w:w="1782" w:type="dxa"/>
            <w:hideMark/>
          </w:tcPr>
          <w:p w14:paraId="41D2C009"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3 blocks of 2x10 MHz = 60 MHz</w:t>
            </w:r>
          </w:p>
        </w:tc>
        <w:tc>
          <w:tcPr>
            <w:tcW w:w="1782" w:type="dxa"/>
            <w:hideMark/>
          </w:tcPr>
          <w:p w14:paraId="4D1DE2A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6 blocks of 2x5 MHz</w:t>
            </w:r>
          </w:p>
        </w:tc>
        <w:tc>
          <w:tcPr>
            <w:tcW w:w="1782" w:type="dxa"/>
            <w:hideMark/>
          </w:tcPr>
          <w:p w14:paraId="0E8BE74C"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Each of the 3 bidders (Orange, Sunrise, Swisscom) won a package of 2 x 10 MHz.</w:t>
            </w:r>
          </w:p>
        </w:tc>
      </w:tr>
      <w:tr w:rsidR="00070ADB" w:rsidRPr="00FD2F0C" w14:paraId="312682AA" w14:textId="77777777" w:rsidTr="00B84B85">
        <w:trPr>
          <w:trHeight w:val="645"/>
        </w:trPr>
        <w:tc>
          <w:tcPr>
            <w:tcW w:w="1413" w:type="dxa"/>
            <w:shd w:val="clear" w:color="auto" w:fill="D99594" w:themeFill="accent2" w:themeFillTint="99"/>
            <w:hideMark/>
          </w:tcPr>
          <w:p w14:paraId="182FEE8B" w14:textId="77777777" w:rsidR="00070ADB" w:rsidRPr="00FD2F0C" w:rsidRDefault="00070ADB" w:rsidP="00E73393">
            <w:pPr>
              <w:keepLines/>
              <w:rPr>
                <w:rFonts w:asciiTheme="minorHAnsi" w:hAnsiTheme="minorHAnsi"/>
                <w:b/>
                <w:bCs/>
                <w:color w:val="FFFFFF" w:themeColor="background1"/>
                <w:sz w:val="16"/>
                <w:szCs w:val="16"/>
                <w:lang w:val="en-GB"/>
              </w:rPr>
            </w:pPr>
            <w:r w:rsidRPr="00FD2F0C">
              <w:rPr>
                <w:rFonts w:asciiTheme="minorHAnsi" w:hAnsiTheme="minorHAnsi"/>
                <w:b/>
                <w:bCs/>
                <w:color w:val="FFFFFF" w:themeColor="background1"/>
                <w:sz w:val="16"/>
                <w:szCs w:val="16"/>
                <w:lang w:val="en-GB"/>
              </w:rPr>
              <w:t>Amount raised for DD band</w:t>
            </w:r>
          </w:p>
        </w:tc>
        <w:tc>
          <w:tcPr>
            <w:tcW w:w="1782" w:type="dxa"/>
            <w:hideMark/>
          </w:tcPr>
          <w:p w14:paraId="01DEF762" w14:textId="77777777" w:rsidR="00070ADB" w:rsidRPr="00FD2F0C" w:rsidRDefault="00070ADB" w:rsidP="00E73393">
            <w:pPr>
              <w:keepLines/>
              <w:rPr>
                <w:rFonts w:asciiTheme="minorHAnsi" w:hAnsiTheme="minorHAnsi"/>
                <w:sz w:val="16"/>
                <w:szCs w:val="16"/>
                <w:lang w:val="en-GB"/>
              </w:rPr>
            </w:pPr>
            <w:r w:rsidRPr="00FD2F0C">
              <w:rPr>
                <w:rFonts w:asciiTheme="minorHAnsi" w:hAnsiTheme="minorHAnsi"/>
                <w:sz w:val="16"/>
                <w:szCs w:val="16"/>
                <w:lang w:val="en-GB"/>
              </w:rPr>
              <w:t>19.1 billion USD (Sum of net bids in auctions 44, 49, 60, 73, and 92)</w:t>
            </w:r>
          </w:p>
        </w:tc>
        <w:tc>
          <w:tcPr>
            <w:tcW w:w="1782" w:type="dxa"/>
            <w:hideMark/>
          </w:tcPr>
          <w:p w14:paraId="61C51682" w14:textId="77777777" w:rsidR="00070ADB" w:rsidRPr="00FD2F0C" w:rsidRDefault="00070ADB" w:rsidP="00E73393">
            <w:pPr>
              <w:keepLines/>
              <w:rPr>
                <w:rFonts w:asciiTheme="minorHAnsi" w:hAnsiTheme="minorHAnsi"/>
                <w:sz w:val="16"/>
                <w:szCs w:val="16"/>
                <w:lang w:val="fr-CH"/>
              </w:rPr>
            </w:pPr>
            <w:r w:rsidRPr="00FD2F0C">
              <w:rPr>
                <w:rFonts w:asciiTheme="minorHAnsi" w:hAnsiTheme="minorHAnsi"/>
                <w:sz w:val="16"/>
                <w:szCs w:val="16"/>
                <w:lang w:val="fr-CH"/>
              </w:rPr>
              <w:t>1.212 GEUR</w:t>
            </w:r>
            <w:r w:rsidRPr="00FD2F0C">
              <w:rPr>
                <w:rFonts w:asciiTheme="minorHAnsi" w:hAnsiTheme="minorHAnsi"/>
                <w:sz w:val="16"/>
                <w:szCs w:val="16"/>
                <w:lang w:val="fr-CH"/>
              </w:rPr>
              <w:br/>
              <w:t>1.210 GEUR</w:t>
            </w:r>
            <w:r w:rsidRPr="00FD2F0C">
              <w:rPr>
                <w:rFonts w:asciiTheme="minorHAnsi" w:hAnsiTheme="minorHAnsi"/>
                <w:sz w:val="16"/>
                <w:szCs w:val="16"/>
                <w:lang w:val="fr-CH"/>
              </w:rPr>
              <w:br/>
              <w:t>1.154 GEUR</w:t>
            </w:r>
            <w:r w:rsidRPr="00FD2F0C">
              <w:rPr>
                <w:rFonts w:asciiTheme="minorHAnsi" w:hAnsiTheme="minorHAnsi"/>
                <w:sz w:val="16"/>
                <w:szCs w:val="16"/>
                <w:lang w:val="fr-CH"/>
              </w:rPr>
              <w:br/>
              <w:t>Total 3.576 GEUR</w:t>
            </w:r>
          </w:p>
        </w:tc>
        <w:tc>
          <w:tcPr>
            <w:tcW w:w="1782" w:type="dxa"/>
            <w:hideMark/>
          </w:tcPr>
          <w:p w14:paraId="60FD6400" w14:textId="77777777" w:rsidR="00070ADB" w:rsidRPr="00FD2F0C" w:rsidRDefault="00070ADB" w:rsidP="00E73393">
            <w:pPr>
              <w:keepLines/>
              <w:rPr>
                <w:rFonts w:asciiTheme="minorHAnsi" w:hAnsiTheme="minorHAnsi"/>
                <w:sz w:val="16"/>
                <w:szCs w:val="16"/>
              </w:rPr>
            </w:pPr>
            <w:r w:rsidRPr="00FD2F0C">
              <w:rPr>
                <w:rFonts w:asciiTheme="minorHAnsi" w:hAnsiTheme="minorHAnsi"/>
                <w:sz w:val="16"/>
                <w:szCs w:val="16"/>
              </w:rPr>
              <w:t>2054 MSEK</w:t>
            </w:r>
            <w:r w:rsidRPr="00FD2F0C">
              <w:rPr>
                <w:rFonts w:asciiTheme="minorHAnsi" w:hAnsiTheme="minorHAnsi"/>
                <w:sz w:val="16"/>
                <w:szCs w:val="16"/>
              </w:rPr>
              <w:br/>
              <w:t>(220 MEUR)</w:t>
            </w:r>
          </w:p>
        </w:tc>
        <w:tc>
          <w:tcPr>
            <w:tcW w:w="1782" w:type="dxa"/>
            <w:hideMark/>
          </w:tcPr>
          <w:p w14:paraId="73F23E9F" w14:textId="77777777" w:rsidR="00070ADB" w:rsidRPr="00FD2F0C" w:rsidRDefault="00070ADB" w:rsidP="00E73393">
            <w:pPr>
              <w:keepLines/>
              <w:rPr>
                <w:rFonts w:asciiTheme="minorHAnsi" w:hAnsiTheme="minorHAnsi"/>
                <w:sz w:val="16"/>
                <w:szCs w:val="16"/>
                <w:lang w:val="fr-CH"/>
              </w:rPr>
            </w:pPr>
            <w:r w:rsidRPr="00FD2F0C">
              <w:rPr>
                <w:rFonts w:asciiTheme="minorHAnsi" w:hAnsiTheme="minorHAnsi"/>
                <w:sz w:val="16"/>
                <w:szCs w:val="16"/>
                <w:lang w:val="en-GB"/>
              </w:rPr>
              <w:t xml:space="preserve">3 operators got two blocks of 2x5 MHz each. </w:t>
            </w:r>
            <w:r w:rsidRPr="00FD2F0C">
              <w:rPr>
                <w:rFonts w:asciiTheme="minorHAnsi" w:hAnsiTheme="minorHAnsi"/>
                <w:sz w:val="16"/>
                <w:szCs w:val="16"/>
                <w:lang w:val="fr-CH"/>
              </w:rPr>
              <w:t>For each block of 2x5 MHz:</w:t>
            </w:r>
            <w:r w:rsidRPr="00FD2F0C">
              <w:rPr>
                <w:rFonts w:asciiTheme="minorHAnsi" w:hAnsiTheme="minorHAnsi"/>
                <w:sz w:val="16"/>
                <w:szCs w:val="16"/>
                <w:lang w:val="fr-CH"/>
              </w:rPr>
              <w:br/>
              <w:t>170 MEUR</w:t>
            </w:r>
            <w:r w:rsidRPr="00FD2F0C">
              <w:rPr>
                <w:rFonts w:asciiTheme="minorHAnsi" w:hAnsiTheme="minorHAnsi"/>
                <w:sz w:val="16"/>
                <w:szCs w:val="16"/>
                <w:lang w:val="fr-CH"/>
              </w:rPr>
              <w:br/>
              <w:t>221.9 MEUR</w:t>
            </w:r>
            <w:r w:rsidRPr="00FD2F0C">
              <w:rPr>
                <w:rFonts w:asciiTheme="minorHAnsi" w:hAnsiTheme="minorHAnsi"/>
                <w:sz w:val="16"/>
                <w:szCs w:val="16"/>
                <w:lang w:val="fr-CH"/>
              </w:rPr>
              <w:br/>
              <w:t>230.0 MEUR</w:t>
            </w:r>
            <w:r w:rsidRPr="00FD2F0C">
              <w:rPr>
                <w:rFonts w:asciiTheme="minorHAnsi" w:hAnsiTheme="minorHAnsi"/>
                <w:sz w:val="16"/>
                <w:szCs w:val="16"/>
                <w:lang w:val="fr-CH"/>
              </w:rPr>
              <w:br/>
              <w:t>226.3 MEUR</w:t>
            </w:r>
            <w:r w:rsidRPr="00FD2F0C">
              <w:rPr>
                <w:rFonts w:asciiTheme="minorHAnsi" w:hAnsiTheme="minorHAnsi"/>
                <w:sz w:val="16"/>
                <w:szCs w:val="16"/>
                <w:lang w:val="fr-CH"/>
              </w:rPr>
              <w:br/>
              <w:t>228.5 MEUR</w:t>
            </w:r>
            <w:r w:rsidRPr="00FD2F0C">
              <w:rPr>
                <w:rFonts w:asciiTheme="minorHAnsi" w:hAnsiTheme="minorHAnsi"/>
                <w:sz w:val="16"/>
                <w:szCs w:val="16"/>
                <w:lang w:val="fr-CH"/>
              </w:rPr>
              <w:br/>
              <w:t>228.5 MEUR</w:t>
            </w:r>
            <w:r w:rsidRPr="00FD2F0C">
              <w:rPr>
                <w:rFonts w:asciiTheme="minorHAnsi" w:hAnsiTheme="minorHAnsi"/>
                <w:sz w:val="16"/>
                <w:szCs w:val="16"/>
                <w:lang w:val="fr-CH"/>
              </w:rPr>
              <w:br/>
              <w:t>Total 1.305 MEUR</w:t>
            </w:r>
          </w:p>
        </w:tc>
        <w:tc>
          <w:tcPr>
            <w:tcW w:w="1782" w:type="dxa"/>
            <w:hideMark/>
          </w:tcPr>
          <w:p w14:paraId="2F5945CF" w14:textId="77777777" w:rsidR="00070ADB" w:rsidRPr="00FD2F0C" w:rsidRDefault="00070ADB" w:rsidP="00E73393">
            <w:pPr>
              <w:keepLines/>
              <w:rPr>
                <w:rFonts w:asciiTheme="minorHAnsi" w:hAnsiTheme="minorHAnsi"/>
                <w:sz w:val="16"/>
                <w:szCs w:val="16"/>
                <w:lang w:val="en-GB"/>
              </w:rPr>
            </w:pPr>
            <w:r w:rsidRPr="00FD2F0C">
              <w:rPr>
                <w:rFonts w:asciiTheme="minorHAnsi" w:hAnsiTheme="minorHAnsi"/>
                <w:sz w:val="16"/>
                <w:szCs w:val="16"/>
                <w:lang w:val="en-GB"/>
              </w:rPr>
              <w:t>3 operators got one block each:</w:t>
            </w:r>
            <w:r w:rsidRPr="00FD2F0C">
              <w:rPr>
                <w:rFonts w:asciiTheme="minorHAnsi" w:hAnsiTheme="minorHAnsi"/>
                <w:sz w:val="16"/>
                <w:szCs w:val="16"/>
                <w:lang w:val="en-GB"/>
              </w:rPr>
              <w:br/>
              <w:t>683 MEUR</w:t>
            </w:r>
            <w:r w:rsidRPr="00FD2F0C">
              <w:rPr>
                <w:rFonts w:asciiTheme="minorHAnsi" w:hAnsiTheme="minorHAnsi"/>
                <w:sz w:val="16"/>
                <w:szCs w:val="16"/>
                <w:lang w:val="en-GB"/>
              </w:rPr>
              <w:br/>
              <w:t>891 MEUR</w:t>
            </w:r>
            <w:r w:rsidRPr="00FD2F0C">
              <w:rPr>
                <w:rFonts w:asciiTheme="minorHAnsi" w:hAnsiTheme="minorHAnsi"/>
                <w:sz w:val="16"/>
                <w:szCs w:val="16"/>
                <w:lang w:val="en-GB"/>
              </w:rPr>
              <w:br/>
              <w:t>1065 MEUR</w:t>
            </w:r>
            <w:r w:rsidRPr="00FD2F0C">
              <w:rPr>
                <w:rFonts w:asciiTheme="minorHAnsi" w:hAnsiTheme="minorHAnsi"/>
                <w:sz w:val="16"/>
                <w:szCs w:val="16"/>
                <w:lang w:val="en-GB"/>
              </w:rPr>
              <w:br/>
              <w:t>Total 2.639 GEUR</w:t>
            </w:r>
          </w:p>
        </w:tc>
        <w:tc>
          <w:tcPr>
            <w:tcW w:w="1782" w:type="dxa"/>
            <w:hideMark/>
          </w:tcPr>
          <w:p w14:paraId="0ED7ED58" w14:textId="77777777" w:rsidR="00070ADB" w:rsidRPr="00FD2F0C" w:rsidRDefault="00070ADB" w:rsidP="00E73393">
            <w:pPr>
              <w:keepLines/>
              <w:rPr>
                <w:rFonts w:asciiTheme="minorHAnsi" w:hAnsiTheme="minorHAnsi"/>
                <w:sz w:val="16"/>
                <w:szCs w:val="16"/>
                <w:lang w:val="en-GB"/>
              </w:rPr>
            </w:pPr>
            <w:r w:rsidRPr="00FD2F0C">
              <w:rPr>
                <w:rFonts w:asciiTheme="minorHAnsi" w:hAnsiTheme="minorHAnsi"/>
                <w:sz w:val="16"/>
                <w:szCs w:val="16"/>
                <w:lang w:val="en-GB"/>
              </w:rPr>
              <w:t>3 operators got 2 blocks each:</w:t>
            </w:r>
            <w:r w:rsidRPr="00FD2F0C">
              <w:rPr>
                <w:rFonts w:asciiTheme="minorHAnsi" w:hAnsiTheme="minorHAnsi"/>
                <w:sz w:val="16"/>
                <w:szCs w:val="16"/>
                <w:lang w:val="en-GB"/>
              </w:rPr>
              <w:br/>
              <w:t>978 MEUR</w:t>
            </w:r>
            <w:r w:rsidRPr="00FD2F0C">
              <w:rPr>
                <w:rFonts w:asciiTheme="minorHAnsi" w:hAnsiTheme="minorHAnsi"/>
                <w:sz w:val="16"/>
                <w:szCs w:val="16"/>
                <w:lang w:val="en-GB"/>
              </w:rPr>
              <w:br/>
              <w:t>992 MEUR</w:t>
            </w:r>
            <w:r w:rsidRPr="00FD2F0C">
              <w:rPr>
                <w:rFonts w:asciiTheme="minorHAnsi" w:hAnsiTheme="minorHAnsi"/>
                <w:sz w:val="16"/>
                <w:szCs w:val="16"/>
                <w:lang w:val="en-GB"/>
              </w:rPr>
              <w:br/>
              <w:t>992 MEUR</w:t>
            </w:r>
            <w:r w:rsidRPr="00FD2F0C">
              <w:rPr>
                <w:rFonts w:asciiTheme="minorHAnsi" w:hAnsiTheme="minorHAnsi"/>
                <w:sz w:val="16"/>
                <w:szCs w:val="16"/>
                <w:lang w:val="en-GB"/>
              </w:rPr>
              <w:br/>
              <w:t>Total 2.96 GEUR</w:t>
            </w:r>
          </w:p>
        </w:tc>
        <w:tc>
          <w:tcPr>
            <w:tcW w:w="1782" w:type="dxa"/>
            <w:hideMark/>
          </w:tcPr>
          <w:p w14:paraId="0CB905F7" w14:textId="77777777" w:rsidR="00070ADB" w:rsidRPr="00FD2F0C" w:rsidRDefault="00070ADB" w:rsidP="00E73393">
            <w:pPr>
              <w:keepLines/>
              <w:rPr>
                <w:rFonts w:asciiTheme="minorHAnsi" w:hAnsiTheme="minorHAnsi"/>
                <w:sz w:val="16"/>
                <w:szCs w:val="16"/>
              </w:rPr>
            </w:pPr>
            <w:r w:rsidRPr="00FD2F0C">
              <w:rPr>
                <w:rFonts w:asciiTheme="minorHAnsi" w:hAnsiTheme="minorHAnsi"/>
                <w:sz w:val="16"/>
                <w:szCs w:val="16"/>
                <w:lang w:val="en-GB"/>
              </w:rPr>
              <w:t xml:space="preserve">N/A (During the auction, bidders could bid on different packages consisting of frequency blocks in different bands. </w:t>
            </w:r>
            <w:r w:rsidRPr="00FD2F0C">
              <w:rPr>
                <w:rFonts w:asciiTheme="minorHAnsi" w:hAnsiTheme="minorHAnsi"/>
                <w:sz w:val="16"/>
                <w:szCs w:val="16"/>
              </w:rPr>
              <w:t>Therefore the prices are per package)</w:t>
            </w:r>
          </w:p>
        </w:tc>
      </w:tr>
      <w:tr w:rsidR="00070ADB" w:rsidRPr="00FD2F0C" w14:paraId="004C3361" w14:textId="77777777" w:rsidTr="00B84B85">
        <w:trPr>
          <w:trHeight w:val="645"/>
        </w:trPr>
        <w:tc>
          <w:tcPr>
            <w:tcW w:w="1413" w:type="dxa"/>
            <w:shd w:val="clear" w:color="auto" w:fill="D99594" w:themeFill="accent2" w:themeFillTint="99"/>
            <w:hideMark/>
          </w:tcPr>
          <w:p w14:paraId="2D6F747F"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lastRenderedPageBreak/>
              <w:t>Amount raised/MHz/population</w:t>
            </w:r>
          </w:p>
        </w:tc>
        <w:tc>
          <w:tcPr>
            <w:tcW w:w="1782" w:type="dxa"/>
            <w:hideMark/>
          </w:tcPr>
          <w:p w14:paraId="27D5039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0.98 USD</w:t>
            </w:r>
          </w:p>
        </w:tc>
        <w:tc>
          <w:tcPr>
            <w:tcW w:w="1782" w:type="dxa"/>
            <w:hideMark/>
          </w:tcPr>
          <w:p w14:paraId="31F71DA2"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0.73 EUR</w:t>
            </w:r>
          </w:p>
        </w:tc>
        <w:tc>
          <w:tcPr>
            <w:tcW w:w="1782" w:type="dxa"/>
            <w:hideMark/>
          </w:tcPr>
          <w:p w14:paraId="703893A9"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0.39 EUR</w:t>
            </w:r>
          </w:p>
        </w:tc>
        <w:tc>
          <w:tcPr>
            <w:tcW w:w="1782" w:type="dxa"/>
            <w:hideMark/>
          </w:tcPr>
          <w:p w14:paraId="4585A2F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0.48 EUR</w:t>
            </w:r>
          </w:p>
        </w:tc>
        <w:tc>
          <w:tcPr>
            <w:tcW w:w="1782" w:type="dxa"/>
            <w:hideMark/>
          </w:tcPr>
          <w:p w14:paraId="32CAD9FE"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0.70 EUR</w:t>
            </w:r>
          </w:p>
        </w:tc>
        <w:tc>
          <w:tcPr>
            <w:tcW w:w="1782" w:type="dxa"/>
            <w:hideMark/>
          </w:tcPr>
          <w:p w14:paraId="2B19B872"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0.82 EUR</w:t>
            </w:r>
          </w:p>
        </w:tc>
        <w:tc>
          <w:tcPr>
            <w:tcW w:w="1782" w:type="dxa"/>
            <w:hideMark/>
          </w:tcPr>
          <w:p w14:paraId="14C5B8B8"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N/A</w:t>
            </w:r>
          </w:p>
        </w:tc>
      </w:tr>
      <w:tr w:rsidR="00070ADB" w:rsidRPr="00573C99" w14:paraId="35DF452D" w14:textId="77777777" w:rsidTr="00B84B85">
        <w:trPr>
          <w:trHeight w:val="645"/>
        </w:trPr>
        <w:tc>
          <w:tcPr>
            <w:tcW w:w="1413" w:type="dxa"/>
            <w:shd w:val="clear" w:color="auto" w:fill="D99594" w:themeFill="accent2" w:themeFillTint="99"/>
            <w:hideMark/>
          </w:tcPr>
          <w:p w14:paraId="065BBD20"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Coverage obligations</w:t>
            </w:r>
          </w:p>
        </w:tc>
        <w:tc>
          <w:tcPr>
            <w:tcW w:w="1782" w:type="dxa"/>
            <w:hideMark/>
          </w:tcPr>
          <w:p w14:paraId="0873208A" w14:textId="7EA70AD9"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Three types:</w:t>
            </w:r>
            <w:r w:rsidRPr="00FD2F0C">
              <w:rPr>
                <w:rFonts w:asciiTheme="minorHAnsi" w:hAnsiTheme="minorHAnsi"/>
                <w:sz w:val="16"/>
                <w:szCs w:val="16"/>
                <w:lang w:val="en-GB"/>
              </w:rPr>
              <w:br/>
              <w:t>1. Economic area (EA)</w:t>
            </w:r>
            <w:r w:rsidRPr="00FD2F0C">
              <w:rPr>
                <w:rFonts w:asciiTheme="minorHAnsi" w:hAnsiTheme="minorHAnsi"/>
                <w:sz w:val="16"/>
                <w:szCs w:val="16"/>
                <w:lang w:val="en-GB"/>
              </w:rPr>
              <w:br/>
              <w:t>2. Cellular market area (CMA)</w:t>
            </w:r>
            <w:r w:rsidRPr="00FD2F0C">
              <w:rPr>
                <w:rFonts w:asciiTheme="minorHAnsi" w:hAnsiTheme="minorHAnsi"/>
                <w:sz w:val="16"/>
                <w:szCs w:val="16"/>
                <w:lang w:val="en-GB"/>
              </w:rPr>
              <w:br/>
              <w:t>3. Regional economic area groupings (REAGs)</w:t>
            </w:r>
            <w:r w:rsidRPr="00FD2F0C">
              <w:rPr>
                <w:rFonts w:asciiTheme="minorHAnsi" w:hAnsiTheme="minorHAnsi"/>
                <w:sz w:val="16"/>
                <w:szCs w:val="16"/>
                <w:lang w:val="en-GB"/>
              </w:rPr>
              <w:br/>
              <w:t>CMA &amp; EA: 35% coverage within 4 years of end of DTV transition.</w:t>
            </w:r>
            <w:r w:rsidRPr="00FD2F0C">
              <w:rPr>
                <w:rFonts w:asciiTheme="minorHAnsi" w:hAnsiTheme="minorHAnsi"/>
                <w:sz w:val="16"/>
                <w:szCs w:val="16"/>
                <w:lang w:val="en-GB"/>
              </w:rPr>
              <w:br/>
              <w:t xml:space="preserve">70% coverage at end of </w:t>
            </w:r>
            <w:r w:rsidR="003B3320" w:rsidRPr="00FD2F0C">
              <w:rPr>
                <w:rFonts w:asciiTheme="minorHAnsi" w:hAnsiTheme="minorHAnsi"/>
                <w:sz w:val="16"/>
                <w:szCs w:val="16"/>
                <w:lang w:val="en-GB"/>
              </w:rPr>
              <w:t>license</w:t>
            </w:r>
            <w:r w:rsidRPr="00FD2F0C">
              <w:rPr>
                <w:rFonts w:asciiTheme="minorHAnsi" w:hAnsiTheme="minorHAnsi"/>
                <w:sz w:val="16"/>
                <w:szCs w:val="16"/>
                <w:lang w:val="en-GB"/>
              </w:rPr>
              <w:t xml:space="preserve"> term.</w:t>
            </w:r>
            <w:r w:rsidRPr="00FD2F0C">
              <w:rPr>
                <w:rFonts w:asciiTheme="minorHAnsi" w:hAnsiTheme="minorHAnsi"/>
                <w:sz w:val="16"/>
                <w:szCs w:val="16"/>
                <w:lang w:val="en-GB"/>
              </w:rPr>
              <w:br/>
              <w:t>REAG: coverage based on EA;</w:t>
            </w:r>
            <w:r w:rsidRPr="00FD2F0C">
              <w:rPr>
                <w:rFonts w:asciiTheme="minorHAnsi" w:hAnsiTheme="minorHAnsi"/>
                <w:sz w:val="16"/>
                <w:szCs w:val="16"/>
                <w:lang w:val="en-GB"/>
              </w:rPr>
              <w:br/>
              <w:t xml:space="preserve">40% of population in each EA within 4 years and 75% by end of </w:t>
            </w:r>
            <w:r w:rsidR="003B3320" w:rsidRPr="00FD2F0C">
              <w:rPr>
                <w:rFonts w:asciiTheme="minorHAnsi" w:hAnsiTheme="minorHAnsi"/>
                <w:sz w:val="16"/>
                <w:szCs w:val="16"/>
                <w:lang w:val="en-GB"/>
              </w:rPr>
              <w:t>license</w:t>
            </w:r>
            <w:r w:rsidRPr="00FD2F0C">
              <w:rPr>
                <w:rFonts w:asciiTheme="minorHAnsi" w:hAnsiTheme="minorHAnsi"/>
                <w:sz w:val="16"/>
                <w:szCs w:val="16"/>
                <w:lang w:val="en-GB"/>
              </w:rPr>
              <w:t xml:space="preserve"> term.</w:t>
            </w:r>
          </w:p>
        </w:tc>
        <w:tc>
          <w:tcPr>
            <w:tcW w:w="1782" w:type="dxa"/>
            <w:hideMark/>
          </w:tcPr>
          <w:p w14:paraId="43B3FA8D"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For 800 MHz Band: List of municipalities per federal state. Priority class system: P1: pop &lt;5k P2: pop 5-20k P3: pop 20-50k P4: pop &gt;50k Staged rollout. P1 areas must be covered first at 90%, before moving to next priority stage areas and so on. The last areas, P4, must be covered at 90% by 2016. Total population coverage must be 50% by January 2016.</w:t>
            </w:r>
          </w:p>
        </w:tc>
        <w:tc>
          <w:tcPr>
            <w:tcW w:w="1782" w:type="dxa"/>
            <w:hideMark/>
          </w:tcPr>
          <w:p w14:paraId="6A9FD185" w14:textId="695822D6"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Priority to a list of households without broadband connection. To be reviewed annually. SEK 300 million of auctions proceeds comprise bids for coverage and the </w:t>
            </w:r>
            <w:r w:rsidR="003B3320" w:rsidRPr="00FD2F0C">
              <w:rPr>
                <w:rFonts w:asciiTheme="minorHAnsi" w:hAnsiTheme="minorHAnsi"/>
                <w:sz w:val="16"/>
                <w:szCs w:val="16"/>
                <w:lang w:val="en-GB"/>
              </w:rPr>
              <w:t>license</w:t>
            </w:r>
            <w:r w:rsidRPr="00FD2F0C">
              <w:rPr>
                <w:rFonts w:asciiTheme="minorHAnsi" w:hAnsiTheme="minorHAnsi"/>
                <w:sz w:val="16"/>
                <w:szCs w:val="16"/>
                <w:lang w:val="en-GB"/>
              </w:rPr>
              <w:t xml:space="preserve"> holder that has won the frequency block FDD6 shall use this sum to cover those permanent homes and fixed places of business that lack broadband.</w:t>
            </w:r>
          </w:p>
        </w:tc>
        <w:tc>
          <w:tcPr>
            <w:tcW w:w="1782" w:type="dxa"/>
            <w:hideMark/>
          </w:tcPr>
          <w:p w14:paraId="1035B8D5"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Operators who have been awarded 2x10 MHz in the 800 MHz band (Telefónica, Vodafone and France Telecom), will have to fulfil, altogether and before January the 1st of 2020, a coverage of at least 90% inhabitants of towns with less than 5 000 people with at least 30Mbit/s speed (considering offers with other technologies or in other frequency bands).</w:t>
            </w:r>
          </w:p>
        </w:tc>
        <w:tc>
          <w:tcPr>
            <w:tcW w:w="1782" w:type="dxa"/>
            <w:hideMark/>
          </w:tcPr>
          <w:p w14:paraId="78006ADD"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98% /99.6% population after 12/15 years + 40%/90% of priority population after 5/10 years + 90% of population of each département after 12 years + (optional but weighted in selection process) 95% of population of each département after 15 years</w:t>
            </w:r>
          </w:p>
        </w:tc>
        <w:tc>
          <w:tcPr>
            <w:tcW w:w="1782" w:type="dxa"/>
            <w:hideMark/>
          </w:tcPr>
          <w:p w14:paraId="431095EC"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For each region, five lists of municipalities with less than 3000 inhabitants have been formed; each list was associated to one spectrum lot (2x5MHz) (the first lot, the lower, assigned as specific lot, has not coverage obligations associated); the list are formed by  uniform rotation of municipalities ordered by population. The coverage obligations are: 30% of the municipalities included in the lists associated to the assigned spectrum lots within three years, 75% within five years. the commercial launch (retail or wholesale) of</w:t>
            </w:r>
            <w:r w:rsidRPr="00FD2F0C">
              <w:rPr>
                <w:rFonts w:asciiTheme="minorHAnsi" w:hAnsiTheme="minorHAnsi"/>
                <w:sz w:val="16"/>
                <w:szCs w:val="16"/>
                <w:lang w:val="en-GB"/>
              </w:rPr>
              <w:br/>
              <w:t>broadband service must start within three years. a new entrant is allowed two additional years to reach the same objectives. Coverage obligations can also be fulfilled using frequencies in other bands. In this case the switch to 800 MHz frequency of municipalities covered with different frequencies, should be at least 50% of the obligations in 7 years and completed in 10 years.</w:t>
            </w:r>
          </w:p>
        </w:tc>
        <w:tc>
          <w:tcPr>
            <w:tcW w:w="1782" w:type="dxa"/>
            <w:hideMark/>
          </w:tcPr>
          <w:p w14:paraId="6E545F77"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General obligation regarding utilisation: the licensee is obliged to use the allocated frequencies as set out in Article 1 TCA and to provide commercial telecommunications services over its own transmission and reception units. In addition, licensees who have the right to use frequencies in the 800 MHz band are obliged to ensure coverage of 50% of the population of Switzerland with mobile radio services via their own infrastructure by 31 December 2018 at the latest</w:t>
            </w:r>
          </w:p>
        </w:tc>
      </w:tr>
      <w:tr w:rsidR="00070ADB" w:rsidRPr="00573C99" w14:paraId="57719D16" w14:textId="77777777" w:rsidTr="00B84B85">
        <w:trPr>
          <w:trHeight w:val="645"/>
        </w:trPr>
        <w:tc>
          <w:tcPr>
            <w:tcW w:w="1413" w:type="dxa"/>
            <w:shd w:val="clear" w:color="auto" w:fill="D99594" w:themeFill="accent2" w:themeFillTint="99"/>
            <w:hideMark/>
          </w:tcPr>
          <w:p w14:paraId="516DAD62"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lastRenderedPageBreak/>
              <w:t>Additional obligations</w:t>
            </w:r>
          </w:p>
        </w:tc>
        <w:tc>
          <w:tcPr>
            <w:tcW w:w="1782" w:type="dxa"/>
            <w:hideMark/>
          </w:tcPr>
          <w:p w14:paraId="77A160DD" w14:textId="753D5D41"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Open platform requirement on the 2x11 </w:t>
            </w:r>
            <w:r w:rsidR="003B3320" w:rsidRPr="00FD2F0C">
              <w:rPr>
                <w:rFonts w:asciiTheme="minorHAnsi" w:hAnsiTheme="minorHAnsi"/>
                <w:sz w:val="16"/>
                <w:szCs w:val="16"/>
                <w:lang w:val="en-GB"/>
              </w:rPr>
              <w:t>license</w:t>
            </w:r>
          </w:p>
        </w:tc>
        <w:tc>
          <w:tcPr>
            <w:tcW w:w="1782" w:type="dxa"/>
            <w:hideMark/>
          </w:tcPr>
          <w:p w14:paraId="050DFD71"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For all bands: Obligation to apply for site specific technical radio parameters for every base station before bringing into operation.</w:t>
            </w:r>
          </w:p>
        </w:tc>
        <w:tc>
          <w:tcPr>
            <w:tcW w:w="1782" w:type="dxa"/>
            <w:hideMark/>
          </w:tcPr>
          <w:p w14:paraId="04C094F9" w14:textId="1164E5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Obligation placed to only one </w:t>
            </w:r>
            <w:r w:rsidR="003B3320" w:rsidRPr="00FD2F0C">
              <w:rPr>
                <w:rFonts w:asciiTheme="minorHAnsi" w:hAnsiTheme="minorHAnsi"/>
                <w:sz w:val="16"/>
                <w:szCs w:val="16"/>
                <w:lang w:val="en-GB"/>
              </w:rPr>
              <w:t>license</w:t>
            </w:r>
            <w:r w:rsidRPr="00FD2F0C">
              <w:rPr>
                <w:rFonts w:asciiTheme="minorHAnsi" w:hAnsiTheme="minorHAnsi"/>
                <w:sz w:val="16"/>
                <w:szCs w:val="16"/>
                <w:lang w:val="en-GB"/>
              </w:rPr>
              <w:t xml:space="preserve"> in 800 MHz to provide a minimum broadband service of 1Mbps to the priority list.  Obligation to not cause interference to reception of terrestrial broadcasting (according to definition in </w:t>
            </w:r>
            <w:r w:rsidR="003B3320" w:rsidRPr="00FD2F0C">
              <w:rPr>
                <w:rFonts w:asciiTheme="minorHAnsi" w:hAnsiTheme="minorHAnsi"/>
                <w:sz w:val="16"/>
                <w:szCs w:val="16"/>
                <w:lang w:val="en-GB"/>
              </w:rPr>
              <w:t>license</w:t>
            </w:r>
            <w:r w:rsidRPr="00FD2F0C">
              <w:rPr>
                <w:rFonts w:asciiTheme="minorHAnsi" w:hAnsiTheme="minorHAnsi"/>
                <w:sz w:val="16"/>
                <w:szCs w:val="16"/>
                <w:lang w:val="en-GB"/>
              </w:rPr>
              <w:t xml:space="preserve"> conditions)</w:t>
            </w:r>
          </w:p>
        </w:tc>
        <w:tc>
          <w:tcPr>
            <w:tcW w:w="1782" w:type="dxa"/>
            <w:hideMark/>
          </w:tcPr>
          <w:p w14:paraId="6B1FBB6B"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Obligation to protect broadcasting in lower adjacent band </w:t>
            </w:r>
          </w:p>
        </w:tc>
        <w:tc>
          <w:tcPr>
            <w:tcW w:w="1782" w:type="dxa"/>
            <w:hideMark/>
          </w:tcPr>
          <w:p w14:paraId="3B65E318"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Obligations on infrastructure sharing, opening to MVNO and roaming. Obligation to protect broadcasting in lower adjacent band by stringent out-of-band power limitations on base stations, provision of impact studies and by “taking all necessary measures to restore previously existing broadcasting services if interference occurs”</w:t>
            </w:r>
          </w:p>
        </w:tc>
        <w:tc>
          <w:tcPr>
            <w:tcW w:w="1782" w:type="dxa"/>
            <w:hideMark/>
          </w:tcPr>
          <w:p w14:paraId="4EC5E6DC"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Obligation to accept any reasonable request of access by third parties on commercial terms after 5 years in areas where frequencies have not been used. Obligation to offer national roaming to new entrants Obligation to site sharing on commercial and reciprocal terms for at least 5 years Obligation to use all mitigation and coordination techniques, standards, methods and best practices for protecting broadcasters. Administration reserves to intervene in case of persistent problems in a justified and proportionate way </w:t>
            </w:r>
          </w:p>
        </w:tc>
        <w:tc>
          <w:tcPr>
            <w:tcW w:w="1782" w:type="dxa"/>
            <w:hideMark/>
          </w:tcPr>
          <w:p w14:paraId="19366948"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w:t>
            </w:r>
          </w:p>
        </w:tc>
      </w:tr>
      <w:tr w:rsidR="00070ADB" w:rsidRPr="00573C99" w14:paraId="789C00D8" w14:textId="77777777" w:rsidTr="00B84B85">
        <w:trPr>
          <w:trHeight w:val="645"/>
        </w:trPr>
        <w:tc>
          <w:tcPr>
            <w:tcW w:w="1413" w:type="dxa"/>
            <w:shd w:val="clear" w:color="auto" w:fill="D99594" w:themeFill="accent2" w:themeFillTint="99"/>
            <w:hideMark/>
          </w:tcPr>
          <w:p w14:paraId="3CA43C18"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Other obligations</w:t>
            </w:r>
          </w:p>
        </w:tc>
        <w:tc>
          <w:tcPr>
            <w:tcW w:w="1782" w:type="dxa"/>
            <w:hideMark/>
          </w:tcPr>
          <w:p w14:paraId="03A23C2A"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782" w:type="dxa"/>
            <w:hideMark/>
          </w:tcPr>
          <w:p w14:paraId="01EAC9C3"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782" w:type="dxa"/>
            <w:hideMark/>
          </w:tcPr>
          <w:p w14:paraId="274B01A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782" w:type="dxa"/>
            <w:hideMark/>
          </w:tcPr>
          <w:p w14:paraId="038B25E9"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Additional annual fee for spectrum use: 7.76 MEUR per year for a block of 2 x 5 MHz, applicable from effective use of spectrum (before 1st January 2015)</w:t>
            </w:r>
          </w:p>
        </w:tc>
        <w:tc>
          <w:tcPr>
            <w:tcW w:w="1782" w:type="dxa"/>
            <w:hideMark/>
          </w:tcPr>
          <w:p w14:paraId="0C3A15A4"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Additional annual fee for spectrum use: 1% of annual income every year.</w:t>
            </w:r>
          </w:p>
        </w:tc>
        <w:tc>
          <w:tcPr>
            <w:tcW w:w="1782" w:type="dxa"/>
            <w:hideMark/>
          </w:tcPr>
          <w:p w14:paraId="2B5CFEAF"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Obligation to publish and maintain for at least 5 years a data offer where no traffic management technique is introduced. </w:t>
            </w:r>
          </w:p>
        </w:tc>
        <w:tc>
          <w:tcPr>
            <w:tcW w:w="1782" w:type="dxa"/>
            <w:hideMark/>
          </w:tcPr>
          <w:p w14:paraId="29A34BB4"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w:t>
            </w:r>
          </w:p>
        </w:tc>
      </w:tr>
    </w:tbl>
    <w:p w14:paraId="13D9511D" w14:textId="77777777" w:rsidR="00070ADB" w:rsidRPr="00FD2F0C" w:rsidRDefault="00070ADB" w:rsidP="00070ADB">
      <w:pPr>
        <w:rPr>
          <w:rFonts w:asciiTheme="minorHAnsi" w:hAnsiTheme="minorHAnsi"/>
          <w:b/>
          <w:bCs/>
          <w:lang w:val="en-GB"/>
        </w:rPr>
      </w:pPr>
    </w:p>
    <w:p w14:paraId="130975B8" w14:textId="77777777" w:rsidR="00070ADB" w:rsidRPr="00FD2F0C" w:rsidRDefault="00070ADB">
      <w:pPr>
        <w:spacing w:before="0"/>
        <w:jc w:val="left"/>
        <w:rPr>
          <w:rFonts w:asciiTheme="minorHAnsi" w:hAnsiTheme="minorHAnsi"/>
          <w:b/>
          <w:bCs/>
          <w:lang w:val="en-GB"/>
        </w:rPr>
      </w:pPr>
      <w:r w:rsidRPr="00FD2F0C">
        <w:rPr>
          <w:rFonts w:asciiTheme="minorHAnsi" w:hAnsiTheme="minorHAnsi"/>
          <w:b/>
          <w:bCs/>
          <w:lang w:val="en-GB"/>
        </w:rPr>
        <w:br w:type="page"/>
      </w:r>
    </w:p>
    <w:p w14:paraId="2ABE940B" w14:textId="3308DCE4" w:rsidR="00070ADB" w:rsidRPr="00FD2F0C" w:rsidRDefault="00070ADB" w:rsidP="00070ADB">
      <w:pPr>
        <w:rPr>
          <w:rFonts w:asciiTheme="minorHAnsi" w:hAnsiTheme="minorHAnsi"/>
          <w:b/>
          <w:bCs/>
          <w:lang w:val="en-GB"/>
        </w:rPr>
      </w:pPr>
      <w:r w:rsidRPr="00FD2F0C">
        <w:rPr>
          <w:rFonts w:asciiTheme="minorHAnsi" w:hAnsiTheme="minorHAnsi"/>
          <w:b/>
          <w:bCs/>
          <w:lang w:val="en-GB"/>
        </w:rPr>
        <w:lastRenderedPageBreak/>
        <w:t>Digita</w:t>
      </w:r>
      <w:r w:rsidR="00D65531" w:rsidRPr="00FD2F0C">
        <w:rPr>
          <w:rFonts w:asciiTheme="minorHAnsi" w:hAnsiTheme="minorHAnsi"/>
          <w:b/>
          <w:bCs/>
          <w:lang w:val="en-GB"/>
        </w:rPr>
        <w:t>l Dividend (from 2012 to 2017):</w:t>
      </w:r>
    </w:p>
    <w:tbl>
      <w:tblPr>
        <w:tblStyle w:val="TableGrid"/>
        <w:tblW w:w="0" w:type="auto"/>
        <w:tblLayout w:type="fixed"/>
        <w:tblLook w:val="04A0" w:firstRow="1" w:lastRow="0" w:firstColumn="1" w:lastColumn="0" w:noHBand="0" w:noVBand="1"/>
      </w:tblPr>
      <w:tblGrid>
        <w:gridCol w:w="1413"/>
        <w:gridCol w:w="1559"/>
        <w:gridCol w:w="1559"/>
        <w:gridCol w:w="1559"/>
        <w:gridCol w:w="1560"/>
        <w:gridCol w:w="1559"/>
        <w:gridCol w:w="1559"/>
        <w:gridCol w:w="1559"/>
        <w:gridCol w:w="1560"/>
      </w:tblGrid>
      <w:tr w:rsidR="00070ADB" w:rsidRPr="00FD2F0C" w14:paraId="2CF8B690" w14:textId="77777777" w:rsidTr="00B84B85">
        <w:trPr>
          <w:trHeight w:val="645"/>
        </w:trPr>
        <w:tc>
          <w:tcPr>
            <w:tcW w:w="1413" w:type="dxa"/>
            <w:shd w:val="clear" w:color="auto" w:fill="365F91" w:themeFill="accent1" w:themeFillShade="BF"/>
            <w:hideMark/>
          </w:tcPr>
          <w:p w14:paraId="6C4227CF"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Digital Dividend spectrum allocations</w:t>
            </w:r>
          </w:p>
          <w:p w14:paraId="40FE2AC8" w14:textId="77777777" w:rsidR="00070ADB" w:rsidRPr="00FD2F0C" w:rsidRDefault="00070ADB" w:rsidP="00B84B85">
            <w:pPr>
              <w:jc w:val="center"/>
              <w:rPr>
                <w:rFonts w:asciiTheme="minorHAnsi" w:hAnsiTheme="minorHAnsi"/>
                <w:b/>
                <w:bCs/>
                <w:color w:val="FFFFFF" w:themeColor="background1"/>
                <w:sz w:val="16"/>
                <w:szCs w:val="16"/>
              </w:rPr>
            </w:pPr>
          </w:p>
        </w:tc>
        <w:tc>
          <w:tcPr>
            <w:tcW w:w="1559" w:type="dxa"/>
            <w:shd w:val="clear" w:color="auto" w:fill="365F91" w:themeFill="accent1" w:themeFillShade="BF"/>
            <w:hideMark/>
          </w:tcPr>
          <w:p w14:paraId="71BC1AC9"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USA</w:t>
            </w:r>
          </w:p>
        </w:tc>
        <w:tc>
          <w:tcPr>
            <w:tcW w:w="1559" w:type="dxa"/>
            <w:shd w:val="clear" w:color="auto" w:fill="365F91" w:themeFill="accent1" w:themeFillShade="BF"/>
            <w:hideMark/>
          </w:tcPr>
          <w:p w14:paraId="585C92F2"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Germany</w:t>
            </w:r>
          </w:p>
        </w:tc>
        <w:tc>
          <w:tcPr>
            <w:tcW w:w="1559" w:type="dxa"/>
            <w:shd w:val="clear" w:color="auto" w:fill="365F91" w:themeFill="accent1" w:themeFillShade="BF"/>
            <w:hideMark/>
          </w:tcPr>
          <w:p w14:paraId="727E268D"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France</w:t>
            </w:r>
          </w:p>
        </w:tc>
        <w:tc>
          <w:tcPr>
            <w:tcW w:w="1560" w:type="dxa"/>
            <w:shd w:val="clear" w:color="auto" w:fill="365F91" w:themeFill="accent1" w:themeFillShade="BF"/>
            <w:hideMark/>
          </w:tcPr>
          <w:p w14:paraId="6C99EADA"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New Zealand</w:t>
            </w:r>
          </w:p>
        </w:tc>
        <w:tc>
          <w:tcPr>
            <w:tcW w:w="1559" w:type="dxa"/>
            <w:shd w:val="clear" w:color="auto" w:fill="365F91" w:themeFill="accent1" w:themeFillShade="BF"/>
            <w:hideMark/>
          </w:tcPr>
          <w:p w14:paraId="67D3A24E"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Brazil</w:t>
            </w:r>
          </w:p>
        </w:tc>
        <w:tc>
          <w:tcPr>
            <w:tcW w:w="1559" w:type="dxa"/>
            <w:shd w:val="clear" w:color="auto" w:fill="365F91" w:themeFill="accent1" w:themeFillShade="BF"/>
            <w:hideMark/>
          </w:tcPr>
          <w:p w14:paraId="3D0686F1"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Peru</w:t>
            </w:r>
          </w:p>
        </w:tc>
        <w:tc>
          <w:tcPr>
            <w:tcW w:w="1559" w:type="dxa"/>
            <w:shd w:val="clear" w:color="auto" w:fill="365F91" w:themeFill="accent1" w:themeFillShade="BF"/>
            <w:hideMark/>
          </w:tcPr>
          <w:p w14:paraId="3E73A803"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Mexico</w:t>
            </w:r>
          </w:p>
        </w:tc>
        <w:tc>
          <w:tcPr>
            <w:tcW w:w="1560" w:type="dxa"/>
            <w:shd w:val="clear" w:color="auto" w:fill="365F91" w:themeFill="accent1" w:themeFillShade="BF"/>
            <w:hideMark/>
          </w:tcPr>
          <w:p w14:paraId="76015A78" w14:textId="77777777" w:rsidR="00070ADB" w:rsidRPr="00FD2F0C" w:rsidRDefault="00070ADB" w:rsidP="00B84B85">
            <w:pPr>
              <w:jc w:val="cente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Finland</w:t>
            </w:r>
          </w:p>
        </w:tc>
      </w:tr>
      <w:tr w:rsidR="00070ADB" w:rsidRPr="00FD2F0C" w14:paraId="7A90C01A" w14:textId="77777777" w:rsidTr="00B84B85">
        <w:trPr>
          <w:trHeight w:val="480"/>
        </w:trPr>
        <w:tc>
          <w:tcPr>
            <w:tcW w:w="1413" w:type="dxa"/>
            <w:shd w:val="clear" w:color="auto" w:fill="95B3D7" w:themeFill="accent1" w:themeFillTint="99"/>
            <w:hideMark/>
          </w:tcPr>
          <w:p w14:paraId="5C808DA6"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 xml:space="preserve">Digital Dividend </w:t>
            </w:r>
          </w:p>
          <w:p w14:paraId="4AC70341"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1 or 2</w:t>
            </w:r>
          </w:p>
        </w:tc>
        <w:tc>
          <w:tcPr>
            <w:tcW w:w="1559" w:type="dxa"/>
            <w:hideMark/>
          </w:tcPr>
          <w:p w14:paraId="4FD4A84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w:t>
            </w:r>
          </w:p>
        </w:tc>
        <w:tc>
          <w:tcPr>
            <w:tcW w:w="1559" w:type="dxa"/>
            <w:hideMark/>
          </w:tcPr>
          <w:p w14:paraId="2C49B46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w:t>
            </w:r>
          </w:p>
        </w:tc>
        <w:tc>
          <w:tcPr>
            <w:tcW w:w="1559" w:type="dxa"/>
            <w:hideMark/>
          </w:tcPr>
          <w:p w14:paraId="229B3EE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w:t>
            </w:r>
          </w:p>
        </w:tc>
        <w:tc>
          <w:tcPr>
            <w:tcW w:w="1560" w:type="dxa"/>
            <w:hideMark/>
          </w:tcPr>
          <w:p w14:paraId="38C9933D"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559" w:type="dxa"/>
            <w:hideMark/>
          </w:tcPr>
          <w:p w14:paraId="28226B25"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w:t>
            </w:r>
          </w:p>
        </w:tc>
        <w:tc>
          <w:tcPr>
            <w:tcW w:w="1559" w:type="dxa"/>
            <w:hideMark/>
          </w:tcPr>
          <w:p w14:paraId="4B753811"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w:t>
            </w:r>
          </w:p>
        </w:tc>
        <w:tc>
          <w:tcPr>
            <w:tcW w:w="1559" w:type="dxa"/>
            <w:hideMark/>
          </w:tcPr>
          <w:p w14:paraId="6AF4C4E8"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w:t>
            </w:r>
          </w:p>
        </w:tc>
        <w:tc>
          <w:tcPr>
            <w:tcW w:w="1560" w:type="dxa"/>
            <w:hideMark/>
          </w:tcPr>
          <w:p w14:paraId="4B32E53A"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w:t>
            </w:r>
          </w:p>
        </w:tc>
      </w:tr>
      <w:tr w:rsidR="00070ADB" w:rsidRPr="00FD2F0C" w14:paraId="6D1E44B6" w14:textId="77777777" w:rsidTr="00B84B85">
        <w:trPr>
          <w:trHeight w:val="822"/>
        </w:trPr>
        <w:tc>
          <w:tcPr>
            <w:tcW w:w="1413" w:type="dxa"/>
            <w:shd w:val="clear" w:color="auto" w:fill="95B3D7" w:themeFill="accent1" w:themeFillTint="99"/>
            <w:hideMark/>
          </w:tcPr>
          <w:p w14:paraId="1E26A414" w14:textId="77777777" w:rsidR="00070ADB" w:rsidRPr="00FD2F0C" w:rsidRDefault="00070ADB" w:rsidP="00B84B85">
            <w:pPr>
              <w:rPr>
                <w:rFonts w:asciiTheme="minorHAnsi" w:hAnsiTheme="minorHAnsi"/>
                <w:b/>
                <w:bCs/>
                <w:color w:val="FFFFFF" w:themeColor="background1"/>
                <w:sz w:val="16"/>
                <w:szCs w:val="16"/>
                <w:lang w:val="en-GB"/>
              </w:rPr>
            </w:pPr>
            <w:r w:rsidRPr="00FD2F0C">
              <w:rPr>
                <w:rFonts w:asciiTheme="minorHAnsi" w:hAnsiTheme="minorHAnsi"/>
                <w:b/>
                <w:bCs/>
                <w:color w:val="FFFFFF" w:themeColor="background1"/>
                <w:sz w:val="16"/>
                <w:szCs w:val="16"/>
                <w:lang w:val="en-GB"/>
              </w:rPr>
              <w:t>Frequency bands considered in the same process</w:t>
            </w:r>
          </w:p>
        </w:tc>
        <w:tc>
          <w:tcPr>
            <w:tcW w:w="1559" w:type="dxa"/>
            <w:hideMark/>
          </w:tcPr>
          <w:p w14:paraId="4B7145D8"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xml:space="preserve">600 MHz </w:t>
            </w:r>
            <w:r w:rsidRPr="00FD2F0C">
              <w:rPr>
                <w:rFonts w:asciiTheme="minorHAnsi" w:hAnsiTheme="minorHAnsi"/>
                <w:sz w:val="16"/>
                <w:szCs w:val="16"/>
              </w:rPr>
              <w:br/>
              <w:t>(617-698 MHz)</w:t>
            </w:r>
          </w:p>
        </w:tc>
        <w:tc>
          <w:tcPr>
            <w:tcW w:w="1559" w:type="dxa"/>
            <w:hideMark/>
          </w:tcPr>
          <w:p w14:paraId="53913A3F"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700 MHz, 900 MHz and 1.8 GHz (703-733 MHz and 758-788 MHz)</w:t>
            </w:r>
          </w:p>
        </w:tc>
        <w:tc>
          <w:tcPr>
            <w:tcW w:w="1559" w:type="dxa"/>
            <w:hideMark/>
          </w:tcPr>
          <w:p w14:paraId="0574675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xml:space="preserve">700 MHz </w:t>
            </w:r>
            <w:r w:rsidRPr="00FD2F0C">
              <w:rPr>
                <w:rFonts w:asciiTheme="minorHAnsi" w:hAnsiTheme="minorHAnsi"/>
                <w:sz w:val="16"/>
                <w:szCs w:val="16"/>
              </w:rPr>
              <w:br/>
              <w:t>(703-733 MHz and 758-788 MHz)</w:t>
            </w:r>
          </w:p>
        </w:tc>
        <w:tc>
          <w:tcPr>
            <w:tcW w:w="1560" w:type="dxa"/>
            <w:hideMark/>
          </w:tcPr>
          <w:p w14:paraId="5DAE4AE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700 MHz</w:t>
            </w:r>
          </w:p>
        </w:tc>
        <w:tc>
          <w:tcPr>
            <w:tcW w:w="1559" w:type="dxa"/>
            <w:hideMark/>
          </w:tcPr>
          <w:p w14:paraId="027B696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700 MHz</w:t>
            </w:r>
          </w:p>
        </w:tc>
        <w:tc>
          <w:tcPr>
            <w:tcW w:w="1559" w:type="dxa"/>
            <w:hideMark/>
          </w:tcPr>
          <w:p w14:paraId="5386D806"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700 MHz</w:t>
            </w:r>
          </w:p>
        </w:tc>
        <w:tc>
          <w:tcPr>
            <w:tcW w:w="1559" w:type="dxa"/>
            <w:hideMark/>
          </w:tcPr>
          <w:p w14:paraId="771A4EF2"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xml:space="preserve">700 MHz </w:t>
            </w:r>
            <w:r w:rsidRPr="00FD2F0C">
              <w:rPr>
                <w:rFonts w:asciiTheme="minorHAnsi" w:hAnsiTheme="minorHAnsi"/>
                <w:sz w:val="16"/>
                <w:szCs w:val="16"/>
              </w:rPr>
              <w:br/>
              <w:t>(703-748 MHz and 758-803 MHz)</w:t>
            </w:r>
          </w:p>
        </w:tc>
        <w:tc>
          <w:tcPr>
            <w:tcW w:w="1560" w:type="dxa"/>
            <w:hideMark/>
          </w:tcPr>
          <w:p w14:paraId="475398E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xml:space="preserve">700 MHz </w:t>
            </w:r>
            <w:r w:rsidRPr="00FD2F0C">
              <w:rPr>
                <w:rFonts w:asciiTheme="minorHAnsi" w:hAnsiTheme="minorHAnsi"/>
                <w:sz w:val="16"/>
                <w:szCs w:val="16"/>
              </w:rPr>
              <w:br/>
              <w:t>(703-733 MHz and 758-788 MHz)</w:t>
            </w:r>
          </w:p>
        </w:tc>
      </w:tr>
      <w:tr w:rsidR="00070ADB" w:rsidRPr="00FD2F0C" w14:paraId="704E8336" w14:textId="77777777" w:rsidTr="00B84B85">
        <w:trPr>
          <w:trHeight w:val="408"/>
        </w:trPr>
        <w:tc>
          <w:tcPr>
            <w:tcW w:w="1413" w:type="dxa"/>
            <w:shd w:val="clear" w:color="auto" w:fill="95B3D7" w:themeFill="accent1" w:themeFillTint="99"/>
            <w:hideMark/>
          </w:tcPr>
          <w:p w14:paraId="3D3EF60D"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Band Plan</w:t>
            </w:r>
          </w:p>
        </w:tc>
        <w:tc>
          <w:tcPr>
            <w:tcW w:w="1559" w:type="dxa"/>
            <w:hideMark/>
          </w:tcPr>
          <w:p w14:paraId="337214FC"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559" w:type="dxa"/>
            <w:hideMark/>
          </w:tcPr>
          <w:p w14:paraId="3A9BCD3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APT</w:t>
            </w:r>
          </w:p>
        </w:tc>
        <w:tc>
          <w:tcPr>
            <w:tcW w:w="1559" w:type="dxa"/>
            <w:hideMark/>
          </w:tcPr>
          <w:p w14:paraId="061D276E"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APT</w:t>
            </w:r>
          </w:p>
        </w:tc>
        <w:tc>
          <w:tcPr>
            <w:tcW w:w="1560" w:type="dxa"/>
            <w:hideMark/>
          </w:tcPr>
          <w:p w14:paraId="277E5605"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APT</w:t>
            </w:r>
          </w:p>
        </w:tc>
        <w:tc>
          <w:tcPr>
            <w:tcW w:w="1559" w:type="dxa"/>
            <w:hideMark/>
          </w:tcPr>
          <w:p w14:paraId="34B6B3FE"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APT</w:t>
            </w:r>
          </w:p>
        </w:tc>
        <w:tc>
          <w:tcPr>
            <w:tcW w:w="1559" w:type="dxa"/>
            <w:hideMark/>
          </w:tcPr>
          <w:p w14:paraId="6023D743"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APT</w:t>
            </w:r>
          </w:p>
        </w:tc>
        <w:tc>
          <w:tcPr>
            <w:tcW w:w="1559" w:type="dxa"/>
            <w:hideMark/>
          </w:tcPr>
          <w:p w14:paraId="5A0603D3"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APT</w:t>
            </w:r>
          </w:p>
        </w:tc>
        <w:tc>
          <w:tcPr>
            <w:tcW w:w="1560" w:type="dxa"/>
            <w:hideMark/>
          </w:tcPr>
          <w:p w14:paraId="33CD915E"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APT</w:t>
            </w:r>
          </w:p>
        </w:tc>
      </w:tr>
      <w:tr w:rsidR="00070ADB" w:rsidRPr="00573C99" w14:paraId="30B428A6" w14:textId="77777777" w:rsidTr="00B84B85">
        <w:trPr>
          <w:trHeight w:val="645"/>
        </w:trPr>
        <w:tc>
          <w:tcPr>
            <w:tcW w:w="1413" w:type="dxa"/>
            <w:shd w:val="clear" w:color="auto" w:fill="95B3D7" w:themeFill="accent1" w:themeFillTint="99"/>
            <w:hideMark/>
          </w:tcPr>
          <w:p w14:paraId="0F0C9413"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Date of licensing decision</w:t>
            </w:r>
          </w:p>
        </w:tc>
        <w:tc>
          <w:tcPr>
            <w:tcW w:w="1559" w:type="dxa"/>
            <w:hideMark/>
          </w:tcPr>
          <w:p w14:paraId="70994E4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xml:space="preserve">Mar-2017 </w:t>
            </w:r>
            <w:r w:rsidRPr="00FD2F0C">
              <w:rPr>
                <w:rFonts w:asciiTheme="minorHAnsi" w:hAnsiTheme="minorHAnsi"/>
                <w:sz w:val="16"/>
                <w:szCs w:val="16"/>
              </w:rPr>
              <w:br/>
              <w:t>(auction closed)</w:t>
            </w:r>
          </w:p>
        </w:tc>
        <w:tc>
          <w:tcPr>
            <w:tcW w:w="1559" w:type="dxa"/>
            <w:hideMark/>
          </w:tcPr>
          <w:p w14:paraId="445CEE88"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May-2015</w:t>
            </w:r>
            <w:r w:rsidRPr="00FD2F0C">
              <w:rPr>
                <w:rFonts w:asciiTheme="minorHAnsi" w:hAnsiTheme="minorHAnsi"/>
                <w:sz w:val="16"/>
                <w:szCs w:val="16"/>
              </w:rPr>
              <w:br/>
              <w:t>Jun-2015</w:t>
            </w:r>
          </w:p>
        </w:tc>
        <w:tc>
          <w:tcPr>
            <w:tcW w:w="1559" w:type="dxa"/>
            <w:hideMark/>
          </w:tcPr>
          <w:p w14:paraId="3C37B13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Dec-2015</w:t>
            </w:r>
          </w:p>
        </w:tc>
        <w:tc>
          <w:tcPr>
            <w:tcW w:w="1560" w:type="dxa"/>
            <w:hideMark/>
          </w:tcPr>
          <w:p w14:paraId="3F978F8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Aug-14</w:t>
            </w:r>
          </w:p>
        </w:tc>
        <w:tc>
          <w:tcPr>
            <w:tcW w:w="1559" w:type="dxa"/>
            <w:hideMark/>
          </w:tcPr>
          <w:p w14:paraId="346B3A5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Nov-2014</w:t>
            </w:r>
          </w:p>
          <w:p w14:paraId="10A9E9D5" w14:textId="77777777" w:rsidR="00070ADB" w:rsidRPr="00FD2F0C" w:rsidRDefault="00070ADB" w:rsidP="00B84B85">
            <w:pPr>
              <w:rPr>
                <w:rFonts w:asciiTheme="minorHAnsi" w:hAnsiTheme="minorHAnsi"/>
                <w:sz w:val="16"/>
                <w:szCs w:val="16"/>
              </w:rPr>
            </w:pPr>
          </w:p>
        </w:tc>
        <w:tc>
          <w:tcPr>
            <w:tcW w:w="1559" w:type="dxa"/>
            <w:hideMark/>
          </w:tcPr>
          <w:p w14:paraId="617C5C21"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Jul-16</w:t>
            </w:r>
          </w:p>
        </w:tc>
        <w:tc>
          <w:tcPr>
            <w:tcW w:w="1559" w:type="dxa"/>
            <w:hideMark/>
          </w:tcPr>
          <w:p w14:paraId="7AE75053"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Jan-17</w:t>
            </w:r>
          </w:p>
        </w:tc>
        <w:tc>
          <w:tcPr>
            <w:tcW w:w="1560" w:type="dxa"/>
            <w:hideMark/>
          </w:tcPr>
          <w:p w14:paraId="17018767"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Nov-2016</w:t>
            </w:r>
            <w:r w:rsidRPr="00FD2F0C">
              <w:rPr>
                <w:rFonts w:asciiTheme="minorHAnsi" w:hAnsiTheme="minorHAnsi"/>
                <w:sz w:val="16"/>
                <w:szCs w:val="16"/>
                <w:lang w:val="en-GB"/>
              </w:rPr>
              <w:br/>
              <w:t>Feb-2017 (operation in the spectrum)</w:t>
            </w:r>
          </w:p>
        </w:tc>
      </w:tr>
      <w:tr w:rsidR="00070ADB" w:rsidRPr="00FD2F0C" w14:paraId="7594FA1C" w14:textId="77777777" w:rsidTr="00B84B85">
        <w:trPr>
          <w:trHeight w:val="645"/>
        </w:trPr>
        <w:tc>
          <w:tcPr>
            <w:tcW w:w="1413" w:type="dxa"/>
            <w:shd w:val="clear" w:color="auto" w:fill="95B3D7" w:themeFill="accent1" w:themeFillTint="99"/>
            <w:hideMark/>
          </w:tcPr>
          <w:p w14:paraId="0A8844EB"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License duration</w:t>
            </w:r>
          </w:p>
        </w:tc>
        <w:tc>
          <w:tcPr>
            <w:tcW w:w="1559" w:type="dxa"/>
            <w:hideMark/>
          </w:tcPr>
          <w:p w14:paraId="28C8B25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xml:space="preserve">12 years </w:t>
            </w:r>
            <w:r w:rsidRPr="00FD2F0C">
              <w:rPr>
                <w:rFonts w:asciiTheme="minorHAnsi" w:hAnsiTheme="minorHAnsi"/>
                <w:sz w:val="16"/>
                <w:szCs w:val="16"/>
              </w:rPr>
              <w:br/>
              <w:t>(10 year renewal)</w:t>
            </w:r>
          </w:p>
        </w:tc>
        <w:tc>
          <w:tcPr>
            <w:tcW w:w="1559" w:type="dxa"/>
            <w:hideMark/>
          </w:tcPr>
          <w:p w14:paraId="366E1AE1"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Aprox. 17 years</w:t>
            </w:r>
            <w:r w:rsidRPr="00FD2F0C">
              <w:rPr>
                <w:rFonts w:asciiTheme="minorHAnsi" w:hAnsiTheme="minorHAnsi"/>
                <w:sz w:val="16"/>
                <w:szCs w:val="16"/>
              </w:rPr>
              <w:br/>
              <w:t>Until 31/12/2033</w:t>
            </w:r>
          </w:p>
        </w:tc>
        <w:tc>
          <w:tcPr>
            <w:tcW w:w="1559" w:type="dxa"/>
            <w:hideMark/>
          </w:tcPr>
          <w:p w14:paraId="390A05D3"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20 years</w:t>
            </w:r>
          </w:p>
        </w:tc>
        <w:tc>
          <w:tcPr>
            <w:tcW w:w="1560" w:type="dxa"/>
            <w:hideMark/>
          </w:tcPr>
          <w:p w14:paraId="508E528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16 years</w:t>
            </w:r>
          </w:p>
        </w:tc>
        <w:tc>
          <w:tcPr>
            <w:tcW w:w="1559" w:type="dxa"/>
            <w:hideMark/>
          </w:tcPr>
          <w:p w14:paraId="7F0208C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15 years (renewable once)</w:t>
            </w:r>
          </w:p>
        </w:tc>
        <w:tc>
          <w:tcPr>
            <w:tcW w:w="1559" w:type="dxa"/>
            <w:hideMark/>
          </w:tcPr>
          <w:p w14:paraId="0C18539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15 years (renewable)</w:t>
            </w:r>
          </w:p>
        </w:tc>
        <w:tc>
          <w:tcPr>
            <w:tcW w:w="1559" w:type="dxa"/>
            <w:hideMark/>
          </w:tcPr>
          <w:p w14:paraId="1C4B03C0"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20 years (renewable once for the same term)</w:t>
            </w:r>
          </w:p>
        </w:tc>
        <w:tc>
          <w:tcPr>
            <w:tcW w:w="1560" w:type="dxa"/>
            <w:hideMark/>
          </w:tcPr>
          <w:p w14:paraId="04DB8BF5"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17 years</w:t>
            </w:r>
          </w:p>
        </w:tc>
      </w:tr>
      <w:tr w:rsidR="00070ADB" w:rsidRPr="00FD2F0C" w14:paraId="47F5C293" w14:textId="77777777" w:rsidTr="00B84B85">
        <w:trPr>
          <w:trHeight w:val="645"/>
        </w:trPr>
        <w:tc>
          <w:tcPr>
            <w:tcW w:w="1413" w:type="dxa"/>
            <w:shd w:val="clear" w:color="auto" w:fill="95B3D7" w:themeFill="accent1" w:themeFillTint="99"/>
            <w:hideMark/>
          </w:tcPr>
          <w:p w14:paraId="6F4C08A4"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Type of licensing process</w:t>
            </w:r>
          </w:p>
        </w:tc>
        <w:tc>
          <w:tcPr>
            <w:tcW w:w="1559" w:type="dxa"/>
            <w:hideMark/>
          </w:tcPr>
          <w:p w14:paraId="52F4812D" w14:textId="77777777" w:rsidR="00070ADB" w:rsidRPr="00FD2F0C" w:rsidRDefault="00070ADB" w:rsidP="00B84B85">
            <w:pPr>
              <w:rPr>
                <w:rFonts w:asciiTheme="minorHAnsi" w:hAnsiTheme="minorHAnsi"/>
                <w:sz w:val="16"/>
                <w:szCs w:val="16"/>
                <w:lang w:val="fr-CH"/>
              </w:rPr>
            </w:pPr>
            <w:r w:rsidRPr="00FD2F0C">
              <w:rPr>
                <w:rFonts w:asciiTheme="minorHAnsi" w:hAnsiTheme="minorHAnsi"/>
                <w:sz w:val="16"/>
                <w:szCs w:val="16"/>
                <w:lang w:val="fr-CH"/>
              </w:rPr>
              <w:t>Incentive auction: Reverse auction + Forward auction</w:t>
            </w:r>
          </w:p>
        </w:tc>
        <w:tc>
          <w:tcPr>
            <w:tcW w:w="1559" w:type="dxa"/>
            <w:hideMark/>
          </w:tcPr>
          <w:p w14:paraId="090C7018"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559" w:type="dxa"/>
            <w:hideMark/>
          </w:tcPr>
          <w:p w14:paraId="3D350CE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560" w:type="dxa"/>
            <w:hideMark/>
          </w:tcPr>
          <w:p w14:paraId="373CDEF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559" w:type="dxa"/>
            <w:hideMark/>
          </w:tcPr>
          <w:p w14:paraId="3543B7C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559" w:type="dxa"/>
            <w:hideMark/>
          </w:tcPr>
          <w:p w14:paraId="01ED15CC"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c>
          <w:tcPr>
            <w:tcW w:w="1559" w:type="dxa"/>
            <w:hideMark/>
          </w:tcPr>
          <w:p w14:paraId="7F69ECCD"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560" w:type="dxa"/>
            <w:hideMark/>
          </w:tcPr>
          <w:p w14:paraId="1DAE6F6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Auction</w:t>
            </w:r>
          </w:p>
        </w:tc>
      </w:tr>
      <w:tr w:rsidR="00070ADB" w:rsidRPr="00FD2F0C" w14:paraId="04A4083D" w14:textId="77777777" w:rsidTr="00B84B85">
        <w:trPr>
          <w:trHeight w:val="1279"/>
        </w:trPr>
        <w:tc>
          <w:tcPr>
            <w:tcW w:w="1413" w:type="dxa"/>
            <w:shd w:val="clear" w:color="auto" w:fill="95B3D7" w:themeFill="accent1" w:themeFillTint="99"/>
            <w:hideMark/>
          </w:tcPr>
          <w:p w14:paraId="3A3665A8"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Packaging of DD band</w:t>
            </w:r>
          </w:p>
        </w:tc>
        <w:tc>
          <w:tcPr>
            <w:tcW w:w="1559" w:type="dxa"/>
            <w:hideMark/>
          </w:tcPr>
          <w:p w14:paraId="53E6B938"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7x(2x5 MHz)= 70 MHz - licensed spectrum</w:t>
            </w:r>
            <w:r w:rsidRPr="00FD2F0C">
              <w:rPr>
                <w:rFonts w:asciiTheme="minorHAnsi" w:hAnsiTheme="minorHAnsi"/>
                <w:sz w:val="16"/>
                <w:szCs w:val="16"/>
                <w:lang w:val="en-GB"/>
              </w:rPr>
              <w:br/>
              <w:t>14 MHz - wireless microphones and unlicensed use</w:t>
            </w:r>
          </w:p>
        </w:tc>
        <w:tc>
          <w:tcPr>
            <w:tcW w:w="1559" w:type="dxa"/>
            <w:hideMark/>
          </w:tcPr>
          <w:p w14:paraId="555C755B"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6x(2x5 MHz)= 60 MHz</w:t>
            </w:r>
          </w:p>
        </w:tc>
        <w:tc>
          <w:tcPr>
            <w:tcW w:w="1559" w:type="dxa"/>
            <w:hideMark/>
          </w:tcPr>
          <w:p w14:paraId="570EFFFF"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6x(2x5 MHz)= 60 MHz</w:t>
            </w:r>
          </w:p>
        </w:tc>
        <w:tc>
          <w:tcPr>
            <w:tcW w:w="1560" w:type="dxa"/>
            <w:hideMark/>
          </w:tcPr>
          <w:p w14:paraId="757FAE9A"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9x(2x5 MHz)= 90 MHz</w:t>
            </w:r>
          </w:p>
        </w:tc>
        <w:tc>
          <w:tcPr>
            <w:tcW w:w="1559" w:type="dxa"/>
            <w:hideMark/>
          </w:tcPr>
          <w:p w14:paraId="3E5A4966"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4x(2x10 MHz)= 80 MHz, 3 national blocks and 3 regional blocks</w:t>
            </w:r>
            <w:r w:rsidRPr="00FD2F0C">
              <w:rPr>
                <w:rFonts w:asciiTheme="minorHAnsi" w:hAnsiTheme="minorHAnsi"/>
                <w:sz w:val="16"/>
                <w:szCs w:val="16"/>
                <w:lang w:val="en-GB"/>
              </w:rPr>
              <w:br/>
            </w:r>
          </w:p>
        </w:tc>
        <w:tc>
          <w:tcPr>
            <w:tcW w:w="1559" w:type="dxa"/>
            <w:hideMark/>
          </w:tcPr>
          <w:p w14:paraId="28BEA6D9"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3x(2x15 MHz) = 90 MHz</w:t>
            </w:r>
          </w:p>
        </w:tc>
        <w:tc>
          <w:tcPr>
            <w:tcW w:w="1559" w:type="dxa"/>
            <w:hideMark/>
          </w:tcPr>
          <w:p w14:paraId="35138FAD"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1x(2x45 MHz) = 90 MHz</w:t>
            </w:r>
            <w:r w:rsidRPr="00FD2F0C">
              <w:rPr>
                <w:rFonts w:asciiTheme="minorHAnsi" w:hAnsiTheme="minorHAnsi"/>
                <w:sz w:val="16"/>
                <w:szCs w:val="16"/>
                <w:lang w:val="en-GB"/>
              </w:rPr>
              <w:br/>
              <w:t>One wholesale shared services network</w:t>
            </w:r>
          </w:p>
        </w:tc>
        <w:tc>
          <w:tcPr>
            <w:tcW w:w="1560" w:type="dxa"/>
            <w:hideMark/>
          </w:tcPr>
          <w:p w14:paraId="4A7BA63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6x(2x5 MHz)= 60 MHz</w:t>
            </w:r>
          </w:p>
        </w:tc>
      </w:tr>
      <w:tr w:rsidR="00070ADB" w:rsidRPr="00FD2F0C" w14:paraId="10288D31" w14:textId="77777777" w:rsidTr="00B84B85">
        <w:trPr>
          <w:trHeight w:val="645"/>
        </w:trPr>
        <w:tc>
          <w:tcPr>
            <w:tcW w:w="1413" w:type="dxa"/>
            <w:shd w:val="clear" w:color="auto" w:fill="95B3D7" w:themeFill="accent1" w:themeFillTint="99"/>
            <w:hideMark/>
          </w:tcPr>
          <w:p w14:paraId="23DCBC7E" w14:textId="77777777" w:rsidR="00070ADB" w:rsidRPr="00FD2F0C" w:rsidRDefault="00070ADB" w:rsidP="00B84B85">
            <w:pPr>
              <w:rPr>
                <w:rFonts w:asciiTheme="minorHAnsi" w:hAnsiTheme="minorHAnsi"/>
                <w:b/>
                <w:bCs/>
                <w:color w:val="FFFFFF" w:themeColor="background1"/>
                <w:sz w:val="16"/>
                <w:szCs w:val="16"/>
                <w:lang w:val="en-GB"/>
              </w:rPr>
            </w:pPr>
            <w:r w:rsidRPr="00FD2F0C">
              <w:rPr>
                <w:rFonts w:asciiTheme="minorHAnsi" w:hAnsiTheme="minorHAnsi"/>
                <w:b/>
                <w:bCs/>
                <w:color w:val="FFFFFF" w:themeColor="background1"/>
                <w:sz w:val="16"/>
                <w:szCs w:val="16"/>
                <w:lang w:val="en-GB"/>
              </w:rPr>
              <w:t>Amount raised for DD band</w:t>
            </w:r>
          </w:p>
        </w:tc>
        <w:tc>
          <w:tcPr>
            <w:tcW w:w="1559" w:type="dxa"/>
            <w:hideMark/>
          </w:tcPr>
          <w:p w14:paraId="6637E751"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Total: 19.8 billion USD </w:t>
            </w:r>
            <w:r w:rsidRPr="00FD2F0C">
              <w:rPr>
                <w:rFonts w:asciiTheme="minorHAnsi" w:hAnsiTheme="minorHAnsi"/>
                <w:sz w:val="16"/>
                <w:szCs w:val="16"/>
                <w:lang w:val="en-GB"/>
              </w:rPr>
              <w:br/>
              <w:t>(10.05 billion USD for broadcasters and 7.2 billion USD to the US treasury)</w:t>
            </w:r>
          </w:p>
        </w:tc>
        <w:tc>
          <w:tcPr>
            <w:tcW w:w="1559" w:type="dxa"/>
            <w:hideMark/>
          </w:tcPr>
          <w:p w14:paraId="09B1FB73" w14:textId="77777777" w:rsidR="00070ADB" w:rsidRPr="00FD2F0C" w:rsidRDefault="00070ADB" w:rsidP="00B84B85">
            <w:pPr>
              <w:rPr>
                <w:rFonts w:asciiTheme="minorHAnsi" w:hAnsiTheme="minorHAnsi"/>
                <w:sz w:val="16"/>
                <w:szCs w:val="16"/>
                <w:lang w:val="fr-CH"/>
              </w:rPr>
            </w:pPr>
            <w:r w:rsidRPr="00FD2F0C">
              <w:rPr>
                <w:rFonts w:asciiTheme="minorHAnsi" w:hAnsiTheme="minorHAnsi"/>
                <w:sz w:val="16"/>
                <w:szCs w:val="16"/>
                <w:lang w:val="fr-CH"/>
              </w:rPr>
              <w:t>3 operators got 2 blocks each:</w:t>
            </w:r>
            <w:r w:rsidRPr="00FD2F0C">
              <w:rPr>
                <w:rFonts w:asciiTheme="minorHAnsi" w:hAnsiTheme="minorHAnsi"/>
                <w:sz w:val="16"/>
                <w:szCs w:val="16"/>
                <w:lang w:val="fr-CH"/>
              </w:rPr>
              <w:br/>
              <w:t>166.397 MEUR</w:t>
            </w:r>
            <w:r w:rsidRPr="00FD2F0C">
              <w:rPr>
                <w:rFonts w:asciiTheme="minorHAnsi" w:hAnsiTheme="minorHAnsi"/>
                <w:sz w:val="16"/>
                <w:szCs w:val="16"/>
                <w:lang w:val="fr-CH"/>
              </w:rPr>
              <w:br/>
              <w:t>165.509 MEUR</w:t>
            </w:r>
            <w:r w:rsidRPr="00FD2F0C">
              <w:rPr>
                <w:rFonts w:asciiTheme="minorHAnsi" w:hAnsiTheme="minorHAnsi"/>
                <w:sz w:val="16"/>
                <w:szCs w:val="16"/>
                <w:lang w:val="fr-CH"/>
              </w:rPr>
              <w:br/>
              <w:t>167.847 MEUR</w:t>
            </w:r>
            <w:r w:rsidRPr="00FD2F0C">
              <w:rPr>
                <w:rFonts w:asciiTheme="minorHAnsi" w:hAnsiTheme="minorHAnsi"/>
                <w:sz w:val="16"/>
                <w:szCs w:val="16"/>
                <w:lang w:val="fr-CH"/>
              </w:rPr>
              <w:br/>
              <w:t>166.567 MEUR</w:t>
            </w:r>
            <w:r w:rsidRPr="00FD2F0C">
              <w:rPr>
                <w:rFonts w:asciiTheme="minorHAnsi" w:hAnsiTheme="minorHAnsi"/>
                <w:sz w:val="16"/>
                <w:szCs w:val="16"/>
                <w:lang w:val="fr-CH"/>
              </w:rPr>
              <w:br/>
              <w:t>171.649 MEUR</w:t>
            </w:r>
            <w:r w:rsidRPr="00FD2F0C">
              <w:rPr>
                <w:rFonts w:asciiTheme="minorHAnsi" w:hAnsiTheme="minorHAnsi"/>
                <w:sz w:val="16"/>
                <w:szCs w:val="16"/>
                <w:lang w:val="fr-CH"/>
              </w:rPr>
              <w:br/>
              <w:t>163.476 MEUR</w:t>
            </w:r>
            <w:r w:rsidRPr="00FD2F0C">
              <w:rPr>
                <w:rFonts w:asciiTheme="minorHAnsi" w:hAnsiTheme="minorHAnsi"/>
                <w:sz w:val="16"/>
                <w:szCs w:val="16"/>
                <w:lang w:val="fr-CH"/>
              </w:rPr>
              <w:br/>
              <w:t>Total 1001.445 MEUR</w:t>
            </w:r>
          </w:p>
        </w:tc>
        <w:tc>
          <w:tcPr>
            <w:tcW w:w="1559" w:type="dxa"/>
            <w:hideMark/>
          </w:tcPr>
          <w:p w14:paraId="0C082945"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2 operators got one block and 2 operators got two blocks each:</w:t>
            </w:r>
            <w:r w:rsidRPr="00FD2F0C">
              <w:rPr>
                <w:rFonts w:asciiTheme="minorHAnsi" w:hAnsiTheme="minorHAnsi"/>
                <w:sz w:val="16"/>
                <w:szCs w:val="16"/>
                <w:lang w:val="en-GB"/>
              </w:rPr>
              <w:br/>
              <w:t>466  million EUR/block of 2x5 MHz</w:t>
            </w:r>
            <w:r w:rsidRPr="00FD2F0C">
              <w:rPr>
                <w:rFonts w:asciiTheme="minorHAnsi" w:hAnsiTheme="minorHAnsi"/>
                <w:sz w:val="16"/>
                <w:szCs w:val="16"/>
                <w:lang w:val="en-GB"/>
              </w:rPr>
              <w:br/>
              <w:t>Total 2798 MEUR</w:t>
            </w:r>
          </w:p>
        </w:tc>
        <w:tc>
          <w:tcPr>
            <w:tcW w:w="1560" w:type="dxa"/>
            <w:hideMark/>
          </w:tcPr>
          <w:p w14:paraId="30240247"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1 operator got 2 blocks: 44 million NZD</w:t>
            </w:r>
            <w:r w:rsidRPr="00FD2F0C">
              <w:rPr>
                <w:rFonts w:asciiTheme="minorHAnsi" w:hAnsiTheme="minorHAnsi"/>
                <w:sz w:val="16"/>
                <w:szCs w:val="16"/>
                <w:lang w:val="en-GB"/>
              </w:rPr>
              <w:br/>
              <w:t>1 operator got 4 blocks: 158 million NZD</w:t>
            </w:r>
            <w:r w:rsidRPr="00FD2F0C">
              <w:rPr>
                <w:rFonts w:asciiTheme="minorHAnsi" w:hAnsiTheme="minorHAnsi"/>
                <w:sz w:val="16"/>
                <w:szCs w:val="16"/>
                <w:lang w:val="en-GB"/>
              </w:rPr>
              <w:br/>
              <w:t>1 operator got 3 blocks: 68 million NZD</w:t>
            </w:r>
            <w:r w:rsidRPr="00FD2F0C">
              <w:rPr>
                <w:rFonts w:asciiTheme="minorHAnsi" w:hAnsiTheme="minorHAnsi"/>
                <w:sz w:val="16"/>
                <w:szCs w:val="16"/>
                <w:lang w:val="en-GB"/>
              </w:rPr>
              <w:br/>
              <w:t>Total: 270 million NZD</w:t>
            </w:r>
          </w:p>
        </w:tc>
        <w:tc>
          <w:tcPr>
            <w:tcW w:w="1559" w:type="dxa"/>
            <w:hideMark/>
          </w:tcPr>
          <w:p w14:paraId="707818D5"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3 operators got 1 national block (2x10 MHz) each:</w:t>
            </w:r>
            <w:r w:rsidRPr="00FD2F0C">
              <w:rPr>
                <w:rFonts w:asciiTheme="minorHAnsi" w:hAnsiTheme="minorHAnsi"/>
                <w:sz w:val="16"/>
                <w:szCs w:val="16"/>
                <w:lang w:val="en-GB"/>
              </w:rPr>
              <w:br/>
              <w:t>1.947 billion Reais</w:t>
            </w:r>
            <w:r w:rsidRPr="00FD2F0C">
              <w:rPr>
                <w:rFonts w:asciiTheme="minorHAnsi" w:hAnsiTheme="minorHAnsi"/>
                <w:sz w:val="16"/>
                <w:szCs w:val="16"/>
                <w:lang w:val="en-GB"/>
              </w:rPr>
              <w:br/>
              <w:t>1.947 billion Reais</w:t>
            </w:r>
            <w:r w:rsidRPr="00FD2F0C">
              <w:rPr>
                <w:rFonts w:asciiTheme="minorHAnsi" w:hAnsiTheme="minorHAnsi"/>
                <w:sz w:val="16"/>
                <w:szCs w:val="16"/>
                <w:lang w:val="en-GB"/>
              </w:rPr>
              <w:br/>
              <w:t>1.927 billion Reais</w:t>
            </w:r>
            <w:r w:rsidRPr="00FD2F0C">
              <w:rPr>
                <w:rFonts w:asciiTheme="minorHAnsi" w:hAnsiTheme="minorHAnsi"/>
                <w:sz w:val="16"/>
                <w:szCs w:val="16"/>
                <w:lang w:val="en-GB"/>
              </w:rPr>
              <w:br/>
              <w:t xml:space="preserve">1 operator got 1 regional block (2x10 MHz) in </w:t>
            </w:r>
            <w:r w:rsidRPr="00FD2F0C">
              <w:rPr>
                <w:rFonts w:asciiTheme="minorHAnsi" w:hAnsiTheme="minorHAnsi"/>
                <w:sz w:val="16"/>
                <w:szCs w:val="16"/>
                <w:lang w:val="en-GB"/>
              </w:rPr>
              <w:br/>
              <w:t>29.5 million Reais</w:t>
            </w:r>
            <w:r w:rsidRPr="00FD2F0C">
              <w:rPr>
                <w:rFonts w:asciiTheme="minorHAnsi" w:hAnsiTheme="minorHAnsi"/>
                <w:sz w:val="16"/>
                <w:szCs w:val="16"/>
                <w:lang w:val="en-GB"/>
              </w:rPr>
              <w:br/>
              <w:t>Total 5.85 billion Reais</w:t>
            </w:r>
          </w:p>
        </w:tc>
        <w:tc>
          <w:tcPr>
            <w:tcW w:w="1559" w:type="dxa"/>
            <w:hideMark/>
          </w:tcPr>
          <w:p w14:paraId="4A5DA8AD"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Total: 911.2 million USD</w:t>
            </w:r>
          </w:p>
        </w:tc>
        <w:tc>
          <w:tcPr>
            <w:tcW w:w="1559" w:type="dxa"/>
            <w:hideMark/>
          </w:tcPr>
          <w:p w14:paraId="061CD416"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560" w:type="dxa"/>
            <w:hideMark/>
          </w:tcPr>
          <w:p w14:paraId="1B00FE4D" w14:textId="77777777" w:rsidR="00070ADB" w:rsidRPr="00FD2F0C" w:rsidRDefault="00070ADB" w:rsidP="00B84B85">
            <w:pPr>
              <w:rPr>
                <w:rFonts w:asciiTheme="minorHAnsi" w:hAnsiTheme="minorHAnsi"/>
                <w:sz w:val="16"/>
                <w:szCs w:val="16"/>
                <w:lang w:val="fr-CH"/>
              </w:rPr>
            </w:pPr>
            <w:r w:rsidRPr="00FD2F0C">
              <w:rPr>
                <w:rFonts w:asciiTheme="minorHAnsi" w:hAnsiTheme="minorHAnsi"/>
                <w:sz w:val="16"/>
                <w:szCs w:val="16"/>
                <w:lang w:val="fr-CH"/>
              </w:rPr>
              <w:t>3 operators got 2 blocks each:</w:t>
            </w:r>
            <w:r w:rsidRPr="00FD2F0C">
              <w:rPr>
                <w:rFonts w:asciiTheme="minorHAnsi" w:hAnsiTheme="minorHAnsi"/>
                <w:sz w:val="16"/>
                <w:szCs w:val="16"/>
                <w:lang w:val="fr-CH"/>
              </w:rPr>
              <w:br/>
              <w:t>11.000 MEUR</w:t>
            </w:r>
            <w:r w:rsidRPr="00FD2F0C">
              <w:rPr>
                <w:rFonts w:asciiTheme="minorHAnsi" w:hAnsiTheme="minorHAnsi"/>
                <w:sz w:val="16"/>
                <w:szCs w:val="16"/>
                <w:lang w:val="fr-CH"/>
              </w:rPr>
              <w:br/>
              <w:t>11.000 MEUR</w:t>
            </w:r>
            <w:r w:rsidRPr="00FD2F0C">
              <w:rPr>
                <w:rFonts w:asciiTheme="minorHAnsi" w:hAnsiTheme="minorHAnsi"/>
                <w:sz w:val="16"/>
                <w:szCs w:val="16"/>
                <w:lang w:val="fr-CH"/>
              </w:rPr>
              <w:br/>
              <w:t>11.000 MEUR</w:t>
            </w:r>
            <w:r w:rsidRPr="00FD2F0C">
              <w:rPr>
                <w:rFonts w:asciiTheme="minorHAnsi" w:hAnsiTheme="minorHAnsi"/>
                <w:sz w:val="16"/>
                <w:szCs w:val="16"/>
                <w:lang w:val="fr-CH"/>
              </w:rPr>
              <w:br/>
              <w:t>11.000 MEUR</w:t>
            </w:r>
            <w:r w:rsidRPr="00FD2F0C">
              <w:rPr>
                <w:rFonts w:asciiTheme="minorHAnsi" w:hAnsiTheme="minorHAnsi"/>
                <w:sz w:val="16"/>
                <w:szCs w:val="16"/>
                <w:lang w:val="fr-CH"/>
              </w:rPr>
              <w:br/>
              <w:t>11.000 MEUR</w:t>
            </w:r>
            <w:r w:rsidRPr="00FD2F0C">
              <w:rPr>
                <w:rFonts w:asciiTheme="minorHAnsi" w:hAnsiTheme="minorHAnsi"/>
                <w:sz w:val="16"/>
                <w:szCs w:val="16"/>
                <w:lang w:val="fr-CH"/>
              </w:rPr>
              <w:br/>
              <w:t>11.330 MEUR</w:t>
            </w:r>
            <w:r w:rsidRPr="00FD2F0C">
              <w:rPr>
                <w:rFonts w:asciiTheme="minorHAnsi" w:hAnsiTheme="minorHAnsi"/>
                <w:sz w:val="16"/>
                <w:szCs w:val="16"/>
                <w:lang w:val="fr-CH"/>
              </w:rPr>
              <w:br/>
              <w:t>Total 66.330 MEUR</w:t>
            </w:r>
          </w:p>
        </w:tc>
      </w:tr>
      <w:tr w:rsidR="00070ADB" w:rsidRPr="00FD2F0C" w14:paraId="7E6669AE" w14:textId="77777777" w:rsidTr="00B84B85">
        <w:trPr>
          <w:trHeight w:val="645"/>
        </w:trPr>
        <w:tc>
          <w:tcPr>
            <w:tcW w:w="1413" w:type="dxa"/>
            <w:shd w:val="clear" w:color="auto" w:fill="95B3D7" w:themeFill="accent1" w:themeFillTint="99"/>
            <w:hideMark/>
          </w:tcPr>
          <w:p w14:paraId="7EBD53A2"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lastRenderedPageBreak/>
              <w:t>Amount raised/MHz/population</w:t>
            </w:r>
          </w:p>
        </w:tc>
        <w:tc>
          <w:tcPr>
            <w:tcW w:w="1559" w:type="dxa"/>
            <w:hideMark/>
          </w:tcPr>
          <w:p w14:paraId="403E6EF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0.88 (USD)</w:t>
            </w:r>
          </w:p>
        </w:tc>
        <w:tc>
          <w:tcPr>
            <w:tcW w:w="1559" w:type="dxa"/>
          </w:tcPr>
          <w:p w14:paraId="36335F48"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0.21 (EUR)</w:t>
            </w:r>
          </w:p>
        </w:tc>
        <w:tc>
          <w:tcPr>
            <w:tcW w:w="1559" w:type="dxa"/>
          </w:tcPr>
          <w:p w14:paraId="6BDB226C"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0.70 (EUR)</w:t>
            </w:r>
          </w:p>
        </w:tc>
        <w:tc>
          <w:tcPr>
            <w:tcW w:w="1560" w:type="dxa"/>
          </w:tcPr>
          <w:p w14:paraId="50C47E32"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0.47 (USD)</w:t>
            </w:r>
          </w:p>
          <w:p w14:paraId="1D2A32D6" w14:textId="77777777" w:rsidR="00070ADB" w:rsidRPr="00FD2F0C" w:rsidRDefault="00070ADB" w:rsidP="00B84B85">
            <w:pPr>
              <w:rPr>
                <w:rFonts w:asciiTheme="minorHAnsi" w:hAnsiTheme="minorHAnsi"/>
                <w:sz w:val="16"/>
                <w:szCs w:val="16"/>
              </w:rPr>
            </w:pPr>
          </w:p>
        </w:tc>
        <w:tc>
          <w:tcPr>
            <w:tcW w:w="1559" w:type="dxa"/>
          </w:tcPr>
          <w:p w14:paraId="76ECFA14"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0.19 (USD)</w:t>
            </w:r>
          </w:p>
        </w:tc>
        <w:tc>
          <w:tcPr>
            <w:tcW w:w="1559" w:type="dxa"/>
          </w:tcPr>
          <w:p w14:paraId="7C42D643"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0.32 (USD)</w:t>
            </w:r>
          </w:p>
        </w:tc>
        <w:tc>
          <w:tcPr>
            <w:tcW w:w="1559" w:type="dxa"/>
          </w:tcPr>
          <w:p w14:paraId="2B22B211" w14:textId="77777777" w:rsidR="00070ADB" w:rsidRPr="00FD2F0C" w:rsidRDefault="00070ADB" w:rsidP="00B84B85">
            <w:pPr>
              <w:rPr>
                <w:rFonts w:asciiTheme="minorHAnsi" w:hAnsiTheme="minorHAnsi"/>
                <w:sz w:val="16"/>
                <w:szCs w:val="16"/>
              </w:rPr>
            </w:pPr>
          </w:p>
        </w:tc>
        <w:tc>
          <w:tcPr>
            <w:tcW w:w="1560" w:type="dxa"/>
          </w:tcPr>
          <w:p w14:paraId="6D15F50A"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0.20 (EUR)</w:t>
            </w:r>
          </w:p>
        </w:tc>
      </w:tr>
      <w:tr w:rsidR="00070ADB" w:rsidRPr="00573C99" w14:paraId="47B317AD" w14:textId="77777777" w:rsidTr="00B84B85">
        <w:trPr>
          <w:trHeight w:val="645"/>
        </w:trPr>
        <w:tc>
          <w:tcPr>
            <w:tcW w:w="1413" w:type="dxa"/>
            <w:shd w:val="clear" w:color="auto" w:fill="95B3D7" w:themeFill="accent1" w:themeFillTint="99"/>
            <w:hideMark/>
          </w:tcPr>
          <w:p w14:paraId="39F12B87"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Coverage obligations</w:t>
            </w:r>
          </w:p>
        </w:tc>
        <w:tc>
          <w:tcPr>
            <w:tcW w:w="1559" w:type="dxa"/>
            <w:hideMark/>
          </w:tcPr>
          <w:p w14:paraId="741FA27F"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One license size Partial Economic Area (PEAs) </w:t>
            </w:r>
            <w:r w:rsidRPr="00FD2F0C">
              <w:rPr>
                <w:rFonts w:asciiTheme="minorHAnsi" w:hAnsiTheme="minorHAnsi"/>
                <w:sz w:val="16"/>
                <w:szCs w:val="16"/>
                <w:lang w:val="en-GB"/>
              </w:rPr>
              <w:br/>
              <w:t>Build out to 40% of the population in their service areas within 6 years and to 75% of the population by the end of their initial license terms of 12 years.</w:t>
            </w:r>
          </w:p>
        </w:tc>
        <w:tc>
          <w:tcPr>
            <w:tcW w:w="1559" w:type="dxa"/>
            <w:hideMark/>
          </w:tcPr>
          <w:p w14:paraId="7CA9D4C6"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Each assignee – with the exception of new entrants - must ensure:</w:t>
            </w:r>
            <w:r w:rsidRPr="00FD2F0C">
              <w:rPr>
                <w:rFonts w:asciiTheme="minorHAnsi" w:hAnsiTheme="minorHAnsi"/>
                <w:sz w:val="16"/>
                <w:szCs w:val="16"/>
                <w:lang w:val="en-GB"/>
              </w:rPr>
              <w:br/>
              <w:t>Minimum transmission rate of 50 Mbit/s per sector</w:t>
            </w:r>
            <w:r w:rsidRPr="00FD2F0C">
              <w:rPr>
                <w:rFonts w:asciiTheme="minorHAnsi" w:hAnsiTheme="minorHAnsi"/>
                <w:sz w:val="16"/>
                <w:szCs w:val="16"/>
                <w:lang w:val="en-GB"/>
              </w:rPr>
              <w:br/>
              <w:t>Coverage of a minimum of 98% of households nationwide</w:t>
            </w:r>
            <w:r w:rsidRPr="00FD2F0C">
              <w:rPr>
                <w:rFonts w:asciiTheme="minorHAnsi" w:hAnsiTheme="minorHAnsi"/>
                <w:sz w:val="16"/>
                <w:szCs w:val="16"/>
                <w:lang w:val="en-GB"/>
              </w:rPr>
              <w:br/>
              <w:t>General availability of transmission rates of 10 Mbit/s and more</w:t>
            </w:r>
            <w:r w:rsidRPr="00FD2F0C">
              <w:rPr>
                <w:rFonts w:asciiTheme="minorHAnsi" w:hAnsiTheme="minorHAnsi"/>
                <w:sz w:val="16"/>
                <w:szCs w:val="16"/>
                <w:lang w:val="en-GB"/>
              </w:rPr>
              <w:br/>
              <w:t>Full coverage for the main transport routes (national motorways and high speed railway lines)</w:t>
            </w:r>
            <w:r w:rsidRPr="00FD2F0C">
              <w:rPr>
                <w:rFonts w:asciiTheme="minorHAnsi" w:hAnsiTheme="minorHAnsi"/>
                <w:sz w:val="16"/>
                <w:szCs w:val="16"/>
                <w:lang w:val="en-GB"/>
              </w:rPr>
              <w:br/>
              <w:t>Assignees may use their entire spectrum package to meet this target.</w:t>
            </w:r>
          </w:p>
        </w:tc>
        <w:tc>
          <w:tcPr>
            <w:tcW w:w="1559" w:type="dxa"/>
            <w:hideMark/>
          </w:tcPr>
          <w:p w14:paraId="1A54ACD6"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Spectrum CAP: 2×15 MHz in the 700 MHz band, and 2×30 MHz of lower band spectrum (700 MHz, 800 MHz and 900 MHz).</w:t>
            </w:r>
            <w:r w:rsidRPr="00FD2F0C">
              <w:rPr>
                <w:rFonts w:asciiTheme="minorHAnsi" w:hAnsiTheme="minorHAnsi"/>
                <w:sz w:val="16"/>
                <w:szCs w:val="16"/>
                <w:lang w:val="en-GB"/>
              </w:rPr>
              <w:br/>
              <w:t>98%/99.6% metropolitan population in 12/15 years + 100% main roads in 15 years + 90%/95% of population in each metropolitan department in 12/15 years + 40%/92%/97,7% of population in the priority deployment zone in 5/12/15 years + 100% of city centres in the white zones program in 12 years + 60%/80%/90% of regional rail roads nationwide coverage in 7/12/15 years + 60%/80% of regional rail roads coverage in each region in 12/15 years.</w:t>
            </w:r>
          </w:p>
        </w:tc>
        <w:tc>
          <w:tcPr>
            <w:tcW w:w="1560" w:type="dxa"/>
            <w:hideMark/>
          </w:tcPr>
          <w:p w14:paraId="3D775FCA"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Bidders who acquire three blocks of radio spectrum must build at least 5 new cell sites each year, for five years.</w:t>
            </w:r>
            <w:r w:rsidRPr="00FD2F0C">
              <w:rPr>
                <w:rFonts w:asciiTheme="minorHAnsi" w:hAnsiTheme="minorHAnsi"/>
                <w:sz w:val="16"/>
                <w:szCs w:val="16"/>
                <w:lang w:val="en-GB"/>
              </w:rPr>
              <w:br/>
              <w:t>Bidder having four blocks of 700 MHz radio spectrum will be required to build 10  new cell sites each year, for five years, in areas that it does not currently cover.</w:t>
            </w:r>
            <w:r w:rsidRPr="00FD2F0C">
              <w:rPr>
                <w:rFonts w:asciiTheme="minorHAnsi" w:hAnsiTheme="minorHAnsi"/>
                <w:sz w:val="16"/>
                <w:szCs w:val="16"/>
                <w:lang w:val="en-GB"/>
              </w:rPr>
              <w:br/>
              <w:t>Total of 75 new towers will be build to increase mobile coverage.</w:t>
            </w:r>
            <w:r w:rsidRPr="00FD2F0C">
              <w:rPr>
                <w:rFonts w:asciiTheme="minorHAnsi" w:hAnsiTheme="minorHAnsi"/>
                <w:sz w:val="16"/>
                <w:szCs w:val="16"/>
                <w:lang w:val="en-GB"/>
              </w:rPr>
              <w:br/>
              <w:t>All successful bidders must upgrade 75% of their existing rural cellsites to 4G using 700 MHz (to a maximum of 300 sites).</w:t>
            </w:r>
            <w:r w:rsidRPr="00FD2F0C">
              <w:rPr>
                <w:rFonts w:asciiTheme="minorHAnsi" w:hAnsiTheme="minorHAnsi"/>
                <w:sz w:val="16"/>
                <w:szCs w:val="16"/>
                <w:lang w:val="en-GB"/>
              </w:rPr>
              <w:br/>
              <w:t>The auction conditions are designed to ensure that at least 90 per cent of the population has access to a 4G network and faster mobile broadband coverage within five years.</w:t>
            </w:r>
          </w:p>
        </w:tc>
        <w:tc>
          <w:tcPr>
            <w:tcW w:w="1559" w:type="dxa"/>
            <w:hideMark/>
          </w:tcPr>
          <w:p w14:paraId="27A29E41"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Spectrum CAP: 10+10 MHz (first round), increased to 20+20 MHz if there were remaining blocks (second round)</w:t>
            </w:r>
            <w:r w:rsidRPr="00FD2F0C">
              <w:rPr>
                <w:rFonts w:asciiTheme="minorHAnsi" w:hAnsiTheme="minorHAnsi"/>
                <w:sz w:val="16"/>
                <w:szCs w:val="16"/>
                <w:lang w:val="en-GB"/>
              </w:rPr>
              <w:br/>
              <w:t xml:space="preserve">No coverage obligations. </w:t>
            </w:r>
            <w:r w:rsidRPr="00FD2F0C">
              <w:rPr>
                <w:rFonts w:asciiTheme="minorHAnsi" w:hAnsiTheme="minorHAnsi"/>
                <w:sz w:val="16"/>
                <w:szCs w:val="16"/>
                <w:lang w:val="en-GB"/>
              </w:rPr>
              <w:br/>
              <w:t>Allowed bidders to use the 700 MHz band to accomplish the 2.5 GHz auction coverage obligations.</w:t>
            </w:r>
          </w:p>
        </w:tc>
        <w:tc>
          <w:tcPr>
            <w:tcW w:w="1559" w:type="dxa"/>
            <w:hideMark/>
          </w:tcPr>
          <w:p w14:paraId="249DDD3C"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Coverage obligations</w:t>
            </w:r>
            <w:r w:rsidRPr="00FD2F0C">
              <w:rPr>
                <w:rFonts w:asciiTheme="minorHAnsi" w:hAnsiTheme="minorHAnsi"/>
                <w:sz w:val="16"/>
                <w:szCs w:val="16"/>
                <w:lang w:val="en-GB"/>
              </w:rPr>
              <w:br/>
              <w:t>In 1 year, after the beginning of operation: 15 specific locations</w:t>
            </w:r>
            <w:r w:rsidRPr="00FD2F0C">
              <w:rPr>
                <w:rFonts w:asciiTheme="minorHAnsi" w:hAnsiTheme="minorHAnsi"/>
                <w:sz w:val="16"/>
                <w:szCs w:val="16"/>
                <w:lang w:val="en-GB"/>
              </w:rPr>
              <w:br/>
              <w:t>In 3 years, after the beginning of operation: 129 population centres</w:t>
            </w:r>
            <w:r w:rsidRPr="00FD2F0C">
              <w:rPr>
                <w:rFonts w:asciiTheme="minorHAnsi" w:hAnsiTheme="minorHAnsi"/>
                <w:sz w:val="16"/>
                <w:szCs w:val="16"/>
                <w:lang w:val="en-GB"/>
              </w:rPr>
              <w:br/>
              <w:t>In 5 year, after the beginning of operation: 51 specific locations</w:t>
            </w:r>
            <w:r w:rsidRPr="00FD2F0C">
              <w:rPr>
                <w:rFonts w:asciiTheme="minorHAnsi" w:hAnsiTheme="minorHAnsi"/>
                <w:sz w:val="16"/>
                <w:szCs w:val="16"/>
                <w:lang w:val="en-GB"/>
              </w:rPr>
              <w:br/>
              <w:t>Minimum speed (applies for 2 years, after the beginning of operation) :</w:t>
            </w:r>
            <w:r w:rsidRPr="00FD2F0C">
              <w:rPr>
                <w:rFonts w:asciiTheme="minorHAnsi" w:hAnsiTheme="minorHAnsi"/>
                <w:sz w:val="16"/>
                <w:szCs w:val="16"/>
                <w:lang w:val="en-GB"/>
              </w:rPr>
              <w:br/>
              <w:t xml:space="preserve">DL: 1 Mbps </w:t>
            </w:r>
            <w:r w:rsidRPr="00FD2F0C">
              <w:rPr>
                <w:rFonts w:asciiTheme="minorHAnsi" w:hAnsiTheme="minorHAnsi"/>
                <w:sz w:val="16"/>
                <w:szCs w:val="16"/>
                <w:lang w:val="en-GB"/>
              </w:rPr>
              <w:br/>
              <w:t>UL: 20% of DL speed</w:t>
            </w:r>
          </w:p>
        </w:tc>
        <w:tc>
          <w:tcPr>
            <w:tcW w:w="1559" w:type="dxa"/>
            <w:hideMark/>
          </w:tcPr>
          <w:p w14:paraId="573D146C"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Until the 31/03/2018: Coverage of 30% of the aggregated national population, including at least 25% of the total pueblos magicos</w:t>
            </w:r>
            <w:r w:rsidRPr="00FD2F0C">
              <w:rPr>
                <w:rFonts w:asciiTheme="minorHAnsi" w:hAnsiTheme="minorHAnsi"/>
                <w:sz w:val="16"/>
                <w:szCs w:val="16"/>
                <w:lang w:val="en-GB"/>
              </w:rPr>
              <w:br/>
              <w:t>In 3 years: Coverage of 50% of the aggregated national population, including at least 50% of the total pueblos magicos</w:t>
            </w:r>
            <w:r w:rsidRPr="00FD2F0C">
              <w:rPr>
                <w:rFonts w:asciiTheme="minorHAnsi" w:hAnsiTheme="minorHAnsi"/>
                <w:sz w:val="16"/>
                <w:szCs w:val="16"/>
                <w:lang w:val="en-GB"/>
              </w:rPr>
              <w:br/>
              <w:t>In 4 years: Coverage of 70% of the aggregated national population, including at least 75% of the total pueblos magicos</w:t>
            </w:r>
            <w:r w:rsidRPr="00FD2F0C">
              <w:rPr>
                <w:rFonts w:asciiTheme="minorHAnsi" w:hAnsiTheme="minorHAnsi"/>
                <w:sz w:val="16"/>
                <w:szCs w:val="16"/>
                <w:lang w:val="en-GB"/>
              </w:rPr>
              <w:br/>
              <w:t>In 5 years: Coverage of 85% (Minimum Coverage Required) of the aggregated national population, including 100% of the total pueblos magicos</w:t>
            </w:r>
            <w:r w:rsidRPr="00FD2F0C">
              <w:rPr>
                <w:rFonts w:asciiTheme="minorHAnsi" w:hAnsiTheme="minorHAnsi"/>
                <w:sz w:val="16"/>
                <w:szCs w:val="16"/>
                <w:lang w:val="en-GB"/>
              </w:rPr>
              <w:br/>
              <w:t>In 6 years: Coverage of 88.6% of the aggregated national population</w:t>
            </w:r>
            <w:r w:rsidRPr="00FD2F0C">
              <w:rPr>
                <w:rFonts w:asciiTheme="minorHAnsi" w:hAnsiTheme="minorHAnsi"/>
                <w:sz w:val="16"/>
                <w:szCs w:val="16"/>
                <w:lang w:val="en-GB"/>
              </w:rPr>
              <w:br/>
              <w:t>In 7 years: Coverage of 92.2% of the aggregated national population</w:t>
            </w:r>
          </w:p>
        </w:tc>
        <w:tc>
          <w:tcPr>
            <w:tcW w:w="1560" w:type="dxa"/>
            <w:hideMark/>
          </w:tcPr>
          <w:p w14:paraId="5D4553F7" w14:textId="7E8FBCB9"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The network pursuant to the </w:t>
            </w:r>
            <w:r w:rsidR="003B3320" w:rsidRPr="00FD2F0C">
              <w:rPr>
                <w:rFonts w:asciiTheme="minorHAnsi" w:hAnsiTheme="minorHAnsi"/>
                <w:sz w:val="16"/>
                <w:szCs w:val="16"/>
                <w:lang w:val="en-GB"/>
              </w:rPr>
              <w:t>license</w:t>
            </w:r>
            <w:r w:rsidRPr="00FD2F0C">
              <w:rPr>
                <w:rFonts w:asciiTheme="minorHAnsi" w:hAnsiTheme="minorHAnsi"/>
                <w:sz w:val="16"/>
                <w:szCs w:val="16"/>
                <w:lang w:val="en-GB"/>
              </w:rPr>
              <w:t xml:space="preserve"> must be built so as to cover 99% of the population of mainland Finland within three years of the start of the </w:t>
            </w:r>
            <w:r w:rsidR="003B3320" w:rsidRPr="00FD2F0C">
              <w:rPr>
                <w:rFonts w:asciiTheme="minorHAnsi" w:hAnsiTheme="minorHAnsi"/>
                <w:sz w:val="16"/>
                <w:szCs w:val="16"/>
                <w:lang w:val="en-GB"/>
              </w:rPr>
              <w:t>license</w:t>
            </w:r>
            <w:r w:rsidRPr="00FD2F0C">
              <w:rPr>
                <w:rFonts w:asciiTheme="minorHAnsi" w:hAnsiTheme="minorHAnsi"/>
                <w:sz w:val="16"/>
                <w:szCs w:val="16"/>
                <w:lang w:val="en-GB"/>
              </w:rPr>
              <w:t xml:space="preserve"> period.</w:t>
            </w:r>
            <w:r w:rsidRPr="00FD2F0C">
              <w:rPr>
                <w:rFonts w:asciiTheme="minorHAnsi" w:hAnsiTheme="minorHAnsi"/>
                <w:sz w:val="16"/>
                <w:szCs w:val="16"/>
                <w:lang w:val="en-GB"/>
              </w:rPr>
              <w:br/>
              <w:t>Ensure reasonable indoor coverage within the coverage area.</w:t>
            </w:r>
            <w:r w:rsidRPr="00FD2F0C">
              <w:rPr>
                <w:rFonts w:asciiTheme="minorHAnsi" w:hAnsiTheme="minorHAnsi"/>
                <w:sz w:val="16"/>
                <w:szCs w:val="16"/>
                <w:lang w:val="en-GB"/>
              </w:rPr>
              <w:br/>
              <w:t>Covers all the main roads, secondary roads, regional roads and connecting roads in mainland Finland and the entire rail network owned by the State of Finland or managed and operated by a state-owned company.</w:t>
            </w:r>
          </w:p>
        </w:tc>
      </w:tr>
      <w:tr w:rsidR="00070ADB" w:rsidRPr="00573C99" w14:paraId="28AB0C27" w14:textId="77777777" w:rsidTr="00B84B85">
        <w:trPr>
          <w:trHeight w:val="645"/>
        </w:trPr>
        <w:tc>
          <w:tcPr>
            <w:tcW w:w="1413" w:type="dxa"/>
            <w:shd w:val="clear" w:color="auto" w:fill="95B3D7" w:themeFill="accent1" w:themeFillTint="99"/>
            <w:hideMark/>
          </w:tcPr>
          <w:p w14:paraId="3CA025BC" w14:textId="77777777" w:rsidR="00070ADB" w:rsidRPr="00FD2F0C" w:rsidRDefault="00070ADB" w:rsidP="00B84B85">
            <w:pPr>
              <w:rPr>
                <w:rFonts w:asciiTheme="minorHAnsi" w:hAnsiTheme="minorHAnsi"/>
                <w:b/>
                <w:bCs/>
                <w:color w:val="FFFFFF" w:themeColor="background1"/>
                <w:sz w:val="16"/>
                <w:szCs w:val="16"/>
              </w:rPr>
            </w:pPr>
            <w:r w:rsidRPr="00FD2F0C">
              <w:rPr>
                <w:rFonts w:asciiTheme="minorHAnsi" w:hAnsiTheme="minorHAnsi"/>
                <w:b/>
                <w:bCs/>
                <w:color w:val="FFFFFF" w:themeColor="background1"/>
                <w:sz w:val="16"/>
                <w:szCs w:val="16"/>
              </w:rPr>
              <w:t>Additional obligations</w:t>
            </w:r>
          </w:p>
        </w:tc>
        <w:tc>
          <w:tcPr>
            <w:tcW w:w="1559" w:type="dxa"/>
            <w:hideMark/>
          </w:tcPr>
          <w:p w14:paraId="66D467A0"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559" w:type="dxa"/>
            <w:hideMark/>
          </w:tcPr>
          <w:p w14:paraId="7D984627" w14:textId="77777777" w:rsidR="00070ADB" w:rsidRPr="00FD2F0C" w:rsidRDefault="00070ADB" w:rsidP="00B84B85">
            <w:pPr>
              <w:rPr>
                <w:rFonts w:asciiTheme="minorHAnsi" w:hAnsiTheme="minorHAnsi"/>
                <w:sz w:val="16"/>
                <w:szCs w:val="16"/>
              </w:rPr>
            </w:pPr>
            <w:r w:rsidRPr="00FD2F0C">
              <w:rPr>
                <w:rFonts w:asciiTheme="minorHAnsi" w:hAnsiTheme="minorHAnsi"/>
                <w:sz w:val="16"/>
                <w:szCs w:val="16"/>
              </w:rPr>
              <w:t> </w:t>
            </w:r>
          </w:p>
        </w:tc>
        <w:tc>
          <w:tcPr>
            <w:tcW w:w="1559" w:type="dxa"/>
            <w:hideMark/>
          </w:tcPr>
          <w:p w14:paraId="55C84EFC"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 xml:space="preserve">The frequencies, which are currently being used for digital television broadcasting, will </w:t>
            </w:r>
            <w:r w:rsidRPr="00FD2F0C">
              <w:rPr>
                <w:rFonts w:asciiTheme="minorHAnsi" w:hAnsiTheme="minorHAnsi"/>
                <w:sz w:val="16"/>
                <w:szCs w:val="16"/>
                <w:lang w:val="en-GB"/>
              </w:rPr>
              <w:lastRenderedPageBreak/>
              <w:t>gradually become available across the country between April 2016 and July 2019.</w:t>
            </w:r>
          </w:p>
        </w:tc>
        <w:tc>
          <w:tcPr>
            <w:tcW w:w="1560" w:type="dxa"/>
            <w:hideMark/>
          </w:tcPr>
          <w:p w14:paraId="008B0D77"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lastRenderedPageBreak/>
              <w:t xml:space="preserve"> The direct cost of clearing the spectrum was $147 million.</w:t>
            </w:r>
          </w:p>
        </w:tc>
        <w:tc>
          <w:tcPr>
            <w:tcW w:w="1559" w:type="dxa"/>
            <w:hideMark/>
          </w:tcPr>
          <w:p w14:paraId="719041A1"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t>900 million Reais obtained in the auction will be used in the analog to digital transition</w:t>
            </w:r>
            <w:r w:rsidRPr="00FD2F0C">
              <w:rPr>
                <w:rFonts w:asciiTheme="minorHAnsi" w:hAnsiTheme="minorHAnsi"/>
                <w:sz w:val="16"/>
                <w:szCs w:val="16"/>
                <w:lang w:val="en-GB"/>
              </w:rPr>
              <w:br/>
            </w:r>
            <w:r w:rsidRPr="00FD2F0C">
              <w:rPr>
                <w:rFonts w:asciiTheme="minorHAnsi" w:hAnsiTheme="minorHAnsi"/>
                <w:sz w:val="16"/>
                <w:szCs w:val="16"/>
                <w:lang w:val="en-GB"/>
              </w:rPr>
              <w:lastRenderedPageBreak/>
              <w:t>Commitment to purchase equipment with national technology</w:t>
            </w:r>
            <w:r w:rsidRPr="00FD2F0C">
              <w:rPr>
                <w:rFonts w:asciiTheme="minorHAnsi" w:hAnsiTheme="minorHAnsi"/>
                <w:sz w:val="16"/>
                <w:szCs w:val="16"/>
                <w:lang w:val="en-GB"/>
              </w:rPr>
              <w:br/>
              <w:t>Creation of an entity to administer the process of redistribution and digitalization of TV channels (including the distribution of Set Top Box (STB) to lower income population)</w:t>
            </w:r>
            <w:r w:rsidRPr="00FD2F0C">
              <w:rPr>
                <w:rFonts w:asciiTheme="minorHAnsi" w:hAnsiTheme="minorHAnsi"/>
                <w:sz w:val="16"/>
                <w:szCs w:val="16"/>
                <w:lang w:val="en-GB"/>
              </w:rPr>
              <w:br/>
              <w:t xml:space="preserve">Bidders compromise to bear the costs of redistribution of TV and repetitors and the solutions to solve harmful interference on broadcasting systems </w:t>
            </w:r>
            <w:r w:rsidRPr="00FD2F0C">
              <w:rPr>
                <w:rFonts w:asciiTheme="minorHAnsi" w:hAnsiTheme="minorHAnsi"/>
                <w:sz w:val="16"/>
                <w:szCs w:val="16"/>
                <w:lang w:val="en-GB"/>
              </w:rPr>
              <w:br/>
              <w:t>The use of the 700 MHz band can only begin 12 months after the analog switch off (the date can be anticipated, under certain conditions)</w:t>
            </w:r>
          </w:p>
        </w:tc>
        <w:tc>
          <w:tcPr>
            <w:tcW w:w="1559" w:type="dxa"/>
            <w:hideMark/>
          </w:tcPr>
          <w:p w14:paraId="4632AE8E"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lastRenderedPageBreak/>
              <w:t xml:space="preserve">The service provider will assume the obligations and costs for the migration of </w:t>
            </w:r>
            <w:r w:rsidRPr="00FD2F0C">
              <w:rPr>
                <w:rFonts w:asciiTheme="minorHAnsi" w:hAnsiTheme="minorHAnsi"/>
                <w:sz w:val="16"/>
                <w:szCs w:val="16"/>
                <w:lang w:val="en-GB"/>
              </w:rPr>
              <w:lastRenderedPageBreak/>
              <w:t xml:space="preserve">broadcasters operating in the band. </w:t>
            </w:r>
            <w:r w:rsidRPr="00FD2F0C">
              <w:rPr>
                <w:rFonts w:asciiTheme="minorHAnsi" w:hAnsiTheme="minorHAnsi"/>
                <w:sz w:val="16"/>
                <w:szCs w:val="16"/>
                <w:lang w:val="en-GB"/>
              </w:rPr>
              <w:br/>
              <w:t>The total migration cost is of 10 million USD and it will be divided equally between the three winners.</w:t>
            </w:r>
            <w:r w:rsidRPr="00FD2F0C">
              <w:rPr>
                <w:rFonts w:asciiTheme="minorHAnsi" w:hAnsiTheme="minorHAnsi"/>
                <w:sz w:val="16"/>
                <w:szCs w:val="16"/>
                <w:lang w:val="en-GB"/>
              </w:rPr>
              <w:br/>
              <w:t>Band cleaning can take up to 12 months.</w:t>
            </w:r>
            <w:r w:rsidRPr="00FD2F0C">
              <w:rPr>
                <w:rFonts w:asciiTheme="minorHAnsi" w:hAnsiTheme="minorHAnsi"/>
                <w:sz w:val="16"/>
                <w:szCs w:val="16"/>
                <w:lang w:val="en-GB"/>
              </w:rPr>
              <w:br/>
              <w:t>Mobile concessionaries are obliged to provide interconnection to Mobile Virtual Network Operators (MVNOs).</w:t>
            </w:r>
          </w:p>
        </w:tc>
        <w:tc>
          <w:tcPr>
            <w:tcW w:w="1559" w:type="dxa"/>
            <w:hideMark/>
          </w:tcPr>
          <w:p w14:paraId="215F66B6"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lastRenderedPageBreak/>
              <w:t>The first criteria for choosing the winner will be based on the highest Populational Coverage Offer</w:t>
            </w:r>
            <w:r w:rsidRPr="00FD2F0C">
              <w:rPr>
                <w:rFonts w:asciiTheme="minorHAnsi" w:hAnsiTheme="minorHAnsi"/>
                <w:sz w:val="16"/>
                <w:szCs w:val="16"/>
                <w:lang w:val="en-GB"/>
              </w:rPr>
              <w:br/>
            </w:r>
            <w:r w:rsidRPr="00FD2F0C">
              <w:rPr>
                <w:rFonts w:asciiTheme="minorHAnsi" w:hAnsiTheme="minorHAnsi"/>
                <w:sz w:val="16"/>
                <w:szCs w:val="16"/>
                <w:lang w:val="en-GB"/>
              </w:rPr>
              <w:lastRenderedPageBreak/>
              <w:t>In case of a tie, the highest guarantee value will be considered as a second criteria</w:t>
            </w:r>
          </w:p>
        </w:tc>
        <w:tc>
          <w:tcPr>
            <w:tcW w:w="1560" w:type="dxa"/>
            <w:hideMark/>
          </w:tcPr>
          <w:p w14:paraId="63F427E3" w14:textId="77777777" w:rsidR="00070ADB" w:rsidRPr="00FD2F0C" w:rsidRDefault="00070ADB" w:rsidP="00B84B85">
            <w:pPr>
              <w:rPr>
                <w:rFonts w:asciiTheme="minorHAnsi" w:hAnsiTheme="minorHAnsi"/>
                <w:sz w:val="16"/>
                <w:szCs w:val="16"/>
                <w:lang w:val="en-GB"/>
              </w:rPr>
            </w:pPr>
            <w:r w:rsidRPr="00FD2F0C">
              <w:rPr>
                <w:rFonts w:asciiTheme="minorHAnsi" w:hAnsiTheme="minorHAnsi"/>
                <w:sz w:val="16"/>
                <w:szCs w:val="16"/>
                <w:lang w:val="en-GB"/>
              </w:rPr>
              <w:lastRenderedPageBreak/>
              <w:t> </w:t>
            </w:r>
          </w:p>
        </w:tc>
      </w:tr>
    </w:tbl>
    <w:p w14:paraId="44FE0218" w14:textId="77777777" w:rsidR="00745ECC" w:rsidRPr="00FD2F0C" w:rsidRDefault="00745ECC" w:rsidP="00070ADB">
      <w:pPr>
        <w:rPr>
          <w:rFonts w:asciiTheme="minorHAnsi" w:hAnsiTheme="minorHAnsi"/>
          <w:lang w:val="en-GB"/>
        </w:rPr>
      </w:pPr>
    </w:p>
    <w:p w14:paraId="5FA328F6" w14:textId="77777777" w:rsidR="00745ECC" w:rsidRPr="00FD2F0C" w:rsidRDefault="00745ECC" w:rsidP="00070ADB">
      <w:pPr>
        <w:rPr>
          <w:rFonts w:asciiTheme="minorHAnsi" w:hAnsiTheme="minorHAnsi"/>
          <w:lang w:val="en-GB"/>
        </w:rPr>
      </w:pPr>
    </w:p>
    <w:p w14:paraId="116741D5" w14:textId="77777777" w:rsidR="00070ADB" w:rsidRPr="00FD2F0C" w:rsidRDefault="00070ADB" w:rsidP="00DC0D3D">
      <w:pPr>
        <w:rPr>
          <w:rFonts w:asciiTheme="minorHAnsi" w:hAnsiTheme="minorHAnsi"/>
          <w:lang w:val="en-GB"/>
        </w:rPr>
        <w:sectPr w:rsidR="00070ADB" w:rsidRPr="00FD2F0C" w:rsidSect="004E70D5">
          <w:footerReference w:type="first" r:id="rId123"/>
          <w:pgSz w:w="16834" w:h="11907" w:orient="landscape" w:code="9"/>
          <w:pgMar w:top="1134" w:right="1418" w:bottom="1134" w:left="851" w:header="720" w:footer="567" w:gutter="0"/>
          <w:paperSrc w:first="15" w:other="15"/>
          <w:cols w:space="720"/>
          <w:docGrid w:linePitch="326"/>
        </w:sectPr>
      </w:pPr>
    </w:p>
    <w:p w14:paraId="41554166" w14:textId="5FD86331" w:rsidR="00DC0D3D" w:rsidRPr="00FD2F0C" w:rsidRDefault="003B78A0" w:rsidP="00D06C3F">
      <w:pPr>
        <w:keepNext/>
        <w:spacing w:before="240"/>
        <w:ind w:left="357" w:hanging="357"/>
        <w:outlineLvl w:val="1"/>
        <w:rPr>
          <w:rFonts w:asciiTheme="minorHAnsi" w:hAnsiTheme="minorHAnsi" w:cs="Helvetica"/>
          <w:b/>
          <w:bCs/>
          <w:color w:val="1F9DD9"/>
          <w:szCs w:val="32"/>
          <w:lang w:val="en-GB"/>
        </w:rPr>
      </w:pPr>
      <w:bookmarkStart w:id="139" w:name="_Toc485648018"/>
      <w:r w:rsidRPr="00FD2F0C">
        <w:rPr>
          <w:rFonts w:asciiTheme="minorHAnsi" w:hAnsiTheme="minorHAnsi" w:cs="Helvetica"/>
          <w:b/>
          <w:bCs/>
          <w:color w:val="1F9DD9"/>
          <w:szCs w:val="32"/>
          <w:lang w:val="en-GB"/>
        </w:rPr>
        <w:lastRenderedPageBreak/>
        <w:t>A</w:t>
      </w:r>
      <w:r w:rsidR="00D06C3F" w:rsidRPr="00FD2F0C">
        <w:rPr>
          <w:rFonts w:asciiTheme="minorHAnsi" w:hAnsiTheme="minorHAnsi" w:cs="Helvetica"/>
          <w:b/>
          <w:bCs/>
          <w:color w:val="1F9DD9"/>
          <w:szCs w:val="32"/>
          <w:lang w:val="en-GB"/>
        </w:rPr>
        <w:t>2</w:t>
      </w:r>
      <w:r w:rsidRPr="00FD2F0C">
        <w:rPr>
          <w:rFonts w:asciiTheme="minorHAnsi" w:hAnsiTheme="minorHAnsi" w:cs="Helvetica"/>
          <w:b/>
          <w:bCs/>
          <w:color w:val="1F9DD9"/>
          <w:szCs w:val="32"/>
          <w:lang w:val="en-GB"/>
        </w:rPr>
        <w:t>-</w:t>
      </w:r>
      <w:r w:rsidR="001A7D82" w:rsidRPr="00FD2F0C">
        <w:rPr>
          <w:rFonts w:asciiTheme="minorHAnsi" w:hAnsiTheme="minorHAnsi" w:cs="Helvetica"/>
          <w:b/>
          <w:bCs/>
          <w:color w:val="1F9DD9"/>
          <w:szCs w:val="32"/>
          <w:lang w:val="en-GB"/>
        </w:rPr>
        <w:t>2.</w:t>
      </w:r>
      <w:r w:rsidR="001A7D82" w:rsidRPr="00FD2F0C">
        <w:rPr>
          <w:rFonts w:asciiTheme="minorHAnsi" w:hAnsiTheme="minorHAnsi" w:cs="Helvetica"/>
          <w:b/>
          <w:bCs/>
          <w:color w:val="1F9DD9"/>
          <w:szCs w:val="32"/>
          <w:lang w:val="en-GB"/>
        </w:rPr>
        <w:tab/>
      </w:r>
      <w:bookmarkStart w:id="140" w:name="_Toc483248849"/>
      <w:r w:rsidR="001A7D82" w:rsidRPr="00FD2F0C">
        <w:rPr>
          <w:rFonts w:asciiTheme="minorHAnsi" w:hAnsiTheme="minorHAnsi" w:cs="Helvetica"/>
          <w:b/>
          <w:bCs/>
          <w:color w:val="1F9DD9"/>
          <w:szCs w:val="32"/>
          <w:lang w:val="en-GB"/>
        </w:rPr>
        <w:t>National regulations</w:t>
      </w:r>
      <w:bookmarkEnd w:id="139"/>
      <w:bookmarkEnd w:id="140"/>
    </w:p>
    <w:p w14:paraId="5EB0D6BB" w14:textId="7E6CFAFD" w:rsidR="001A7D82" w:rsidRPr="00FD2F0C" w:rsidRDefault="001A7D82" w:rsidP="00E472D5">
      <w:pPr>
        <w:pStyle w:val="Tabletitle0"/>
        <w:keepNext/>
        <w:tabs>
          <w:tab w:val="left" w:pos="851"/>
        </w:tabs>
        <w:rPr>
          <w:rFonts w:asciiTheme="minorHAnsi" w:hAnsiTheme="minorHAnsi"/>
          <w:lang w:val="fr-CH"/>
        </w:rPr>
      </w:pPr>
      <w:bookmarkStart w:id="141" w:name="_Toc485216170"/>
      <w:r w:rsidRPr="00FD2F0C">
        <w:rPr>
          <w:rFonts w:asciiTheme="minorHAnsi" w:hAnsiTheme="minorHAnsi"/>
          <w:lang w:val="fr-CH"/>
        </w:rPr>
        <w:t xml:space="preserve">Table </w:t>
      </w:r>
      <w:r w:rsidR="00E472D5" w:rsidRPr="00FD2F0C">
        <w:rPr>
          <w:rFonts w:asciiTheme="minorHAnsi" w:hAnsiTheme="minorHAnsi"/>
          <w:lang w:val="fr-CH"/>
        </w:rPr>
        <w:t>2</w:t>
      </w:r>
      <w:r w:rsidRPr="00FD2F0C">
        <w:rPr>
          <w:rFonts w:asciiTheme="minorHAnsi" w:hAnsiTheme="minorHAnsi"/>
          <w:lang w:val="fr-CH"/>
        </w:rPr>
        <w:t>: Interference protection experiences</w:t>
      </w:r>
      <w:bookmarkEnd w:id="141"/>
      <w:r w:rsidRPr="00FD2F0C">
        <w:rPr>
          <w:rFonts w:asciiTheme="minorHAnsi" w:hAnsiTheme="minorHAnsi"/>
          <w:lang w:val="fr-CH"/>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2269"/>
        <w:gridCol w:w="2407"/>
        <w:gridCol w:w="2405"/>
      </w:tblGrid>
      <w:tr w:rsidR="001A7D82" w:rsidRPr="00FD2F0C" w14:paraId="3D0F7F0D" w14:textId="77777777" w:rsidTr="00B84B85">
        <w:tc>
          <w:tcPr>
            <w:tcW w:w="1323" w:type="pct"/>
            <w:shd w:val="clear" w:color="auto" w:fill="auto"/>
          </w:tcPr>
          <w:p w14:paraId="412AADF5" w14:textId="77777777" w:rsidR="001A7D82" w:rsidRPr="00FD2F0C" w:rsidRDefault="001A7D82" w:rsidP="00B84B85">
            <w:pPr>
              <w:pStyle w:val="Tableheadwhitecentred"/>
            </w:pPr>
            <w:r w:rsidRPr="00FD2F0C">
              <w:t>United States of America</w:t>
            </w:r>
          </w:p>
        </w:tc>
        <w:tc>
          <w:tcPr>
            <w:tcW w:w="1178" w:type="pct"/>
            <w:shd w:val="clear" w:color="auto" w:fill="auto"/>
          </w:tcPr>
          <w:p w14:paraId="1D606AAB" w14:textId="77777777" w:rsidR="001A7D82" w:rsidRPr="00FD2F0C" w:rsidRDefault="001A7D82" w:rsidP="00B84B85">
            <w:pPr>
              <w:pStyle w:val="Tableheadwhitecentred"/>
            </w:pPr>
            <w:r w:rsidRPr="00FD2F0C">
              <w:t>Canada</w:t>
            </w:r>
          </w:p>
        </w:tc>
        <w:tc>
          <w:tcPr>
            <w:tcW w:w="1250" w:type="pct"/>
            <w:shd w:val="clear" w:color="auto" w:fill="auto"/>
          </w:tcPr>
          <w:p w14:paraId="16E8F3B9" w14:textId="77777777" w:rsidR="001A7D82" w:rsidRPr="00FD2F0C" w:rsidRDefault="001A7D82" w:rsidP="00B84B85">
            <w:pPr>
              <w:pStyle w:val="Tableheadwhitecentred"/>
            </w:pPr>
            <w:r w:rsidRPr="00FD2F0C">
              <w:t>Singapore</w:t>
            </w:r>
          </w:p>
        </w:tc>
        <w:tc>
          <w:tcPr>
            <w:tcW w:w="1250" w:type="pct"/>
            <w:shd w:val="clear" w:color="auto" w:fill="auto"/>
          </w:tcPr>
          <w:p w14:paraId="01DAAC45" w14:textId="77777777" w:rsidR="001A7D82" w:rsidRPr="00FD2F0C" w:rsidRDefault="001A7D82" w:rsidP="00B84B85">
            <w:pPr>
              <w:pStyle w:val="Tableheadwhitecentred"/>
            </w:pPr>
            <w:r w:rsidRPr="00FD2F0C">
              <w:t>United Kingdom</w:t>
            </w:r>
          </w:p>
        </w:tc>
      </w:tr>
      <w:tr w:rsidR="001A7D82" w:rsidRPr="00573C99" w14:paraId="53BD8E05" w14:textId="77777777" w:rsidTr="00B84B85">
        <w:tc>
          <w:tcPr>
            <w:tcW w:w="1323" w:type="pct"/>
            <w:shd w:val="clear" w:color="auto" w:fill="auto"/>
          </w:tcPr>
          <w:p w14:paraId="1689E11B" w14:textId="77777777" w:rsidR="001A7D82" w:rsidRPr="00FD2F0C" w:rsidRDefault="001A7D82" w:rsidP="00B84B85">
            <w:pPr>
              <w:pStyle w:val="Tabletextsmall"/>
              <w:rPr>
                <w:lang w:val="en-GB"/>
              </w:rPr>
            </w:pPr>
            <w:r w:rsidRPr="00FD2F0C">
              <w:rPr>
                <w:rStyle w:val="Bold"/>
              </w:rPr>
              <w:t>Frequencies:</w:t>
            </w:r>
            <w:r w:rsidRPr="00FD2F0C">
              <w:rPr>
                <w:b/>
              </w:rPr>
              <w:t xml:space="preserve"> </w:t>
            </w:r>
            <w:r w:rsidRPr="00FD2F0C">
              <w:t>allows any mode of WSD operation between 470-698 MHz on available channels subject to the interference protection requirements.</w:t>
            </w:r>
            <w:r w:rsidRPr="00FD2F0C">
              <w:rPr>
                <w:rStyle w:val="FootnoteReference"/>
                <w:rFonts w:asciiTheme="minorHAnsi" w:hAnsiTheme="minorHAnsi"/>
                <w:sz w:val="16"/>
                <w:szCs w:val="16"/>
                <w:lang w:val="en-GB"/>
              </w:rPr>
              <w:t>*</w:t>
            </w:r>
          </w:p>
          <w:p w14:paraId="428D88F3" w14:textId="77777777" w:rsidR="001A7D82" w:rsidRPr="00FD2F0C" w:rsidRDefault="001A7D82" w:rsidP="00B84B85">
            <w:pPr>
              <w:pStyle w:val="Tabletextsmall"/>
            </w:pPr>
            <w:r w:rsidRPr="00FD2F0C">
              <w:t>Allows fixed WSD operation</w:t>
            </w:r>
            <w:r w:rsidRPr="00FD2F0C">
              <w:rPr>
                <w:color w:val="000000"/>
              </w:rPr>
              <w:t xml:space="preserve"> between 54-72 MHz, 76-88 MHz, and 174-216 MHz.</w:t>
            </w:r>
          </w:p>
          <w:p w14:paraId="4ACB9856" w14:textId="77777777" w:rsidR="001A7D82" w:rsidRPr="00FD2F0C" w:rsidRDefault="001A7D82" w:rsidP="00B84B85">
            <w:pPr>
              <w:pStyle w:val="Tabletextsmall"/>
              <w:rPr>
                <w:lang w:val="en-GB"/>
              </w:rPr>
            </w:pPr>
            <w:r w:rsidRPr="00FD2F0C">
              <w:rPr>
                <w:rStyle w:val="Bold"/>
                <w:lang w:val="en-GB"/>
              </w:rPr>
              <w:t>Propagation model:</w:t>
            </w:r>
            <w:r w:rsidRPr="00FD2F0C">
              <w:rPr>
                <w:b/>
                <w:lang w:val="en-GB"/>
              </w:rPr>
              <w:t xml:space="preserve"> </w:t>
            </w:r>
            <w:r w:rsidRPr="00FD2F0C">
              <w:rPr>
                <w:lang w:val="en-GB"/>
              </w:rPr>
              <w:t>utilizes R6602 F-curve propagation model.</w:t>
            </w:r>
          </w:p>
          <w:p w14:paraId="7F9FEEB5" w14:textId="77777777" w:rsidR="001A7D82" w:rsidRPr="00FD2F0C" w:rsidRDefault="001A7D82" w:rsidP="00B84B85">
            <w:pPr>
              <w:pStyle w:val="Tabletextsmall"/>
            </w:pPr>
            <w:r w:rsidRPr="00FD2F0C">
              <w:rPr>
                <w:rStyle w:val="Bold"/>
              </w:rPr>
              <w:t>Adjacent channel power limits:</w:t>
            </w:r>
            <w:r w:rsidRPr="00FD2F0C">
              <w:t xml:space="preserve"> -42.8 dBm conducted power for fixed WSD (-42.8 dBm at 30 dBm EIRP conducted power, -62.8 dBm at 10 dBm conducted power, linear interpolation for values in between). For personal / portable devices -52.8 dBm EIRP</w:t>
            </w:r>
            <w:r w:rsidRPr="00FD2F0C">
              <w:rPr>
                <w:color w:val="000000"/>
              </w:rPr>
              <w:t xml:space="preserve"> (at 100 mW EIRP) or -56.8 dBm EIRP (at 40 mW).</w:t>
            </w:r>
          </w:p>
          <w:p w14:paraId="3595A34B" w14:textId="77777777" w:rsidR="001A7D82" w:rsidRPr="00FD2F0C" w:rsidRDefault="001A7D82" w:rsidP="00B84B85">
            <w:pPr>
              <w:pStyle w:val="Tabletextsmall"/>
            </w:pPr>
            <w:r w:rsidRPr="00FD2F0C">
              <w:rPr>
                <w:rStyle w:val="Bold"/>
              </w:rPr>
              <w:t>Protected services:</w:t>
            </w:r>
            <w:r w:rsidRPr="00FD2F0C">
              <w:t xml:space="preserve"> protection criteria granted to DTT, and digital and analog Class A TV, low power TV, TV translator and TV booster stations, MVPD receive sites, fixed BAS links, PLMRS/CMRS operations, Offshore Radiotelephone Service, wireless microphones, radio astronomy services, and Wireless Medical Telemetry Service.</w:t>
            </w:r>
          </w:p>
        </w:tc>
        <w:tc>
          <w:tcPr>
            <w:tcW w:w="1178" w:type="pct"/>
            <w:shd w:val="clear" w:color="auto" w:fill="auto"/>
          </w:tcPr>
          <w:p w14:paraId="48A652BB" w14:textId="77777777" w:rsidR="001A7D82" w:rsidRPr="00FD2F0C" w:rsidRDefault="001A7D82" w:rsidP="00B84B85">
            <w:pPr>
              <w:pStyle w:val="Tabletextsmall"/>
            </w:pPr>
            <w:r w:rsidRPr="00FD2F0C">
              <w:rPr>
                <w:rStyle w:val="Bold"/>
              </w:rPr>
              <w:t>Frequencies:</w:t>
            </w:r>
            <w:r w:rsidRPr="00FD2F0C">
              <w:rPr>
                <w:b/>
              </w:rPr>
              <w:t xml:space="preserve"> </w:t>
            </w:r>
            <w:r w:rsidRPr="00FD2F0C">
              <w:t>allows any mode of WSD operation between 512-608 MHz and 614-698 MHz.</w:t>
            </w:r>
          </w:p>
          <w:p w14:paraId="2FC0ABA6" w14:textId="77777777" w:rsidR="001A7D82" w:rsidRPr="00FD2F0C" w:rsidRDefault="001A7D82" w:rsidP="00B84B85">
            <w:pPr>
              <w:pStyle w:val="Tabletextsmall"/>
            </w:pPr>
            <w:r w:rsidRPr="00FD2F0C">
              <w:t>Allows fixed WSD operation between 54-60 MHz, 76-88 MHz, 174-216 MHz, and 470-512 MHz.</w:t>
            </w:r>
          </w:p>
          <w:p w14:paraId="0D85BF5F" w14:textId="77777777" w:rsidR="001A7D82" w:rsidRPr="00FD2F0C" w:rsidRDefault="001A7D82" w:rsidP="00B84B85">
            <w:pPr>
              <w:pStyle w:val="Tabletextsmall"/>
              <w:rPr>
                <w:lang w:val="en-GB"/>
              </w:rPr>
            </w:pPr>
            <w:r w:rsidRPr="00FD2F0C">
              <w:rPr>
                <w:rStyle w:val="Bold"/>
                <w:lang w:val="en-GB"/>
              </w:rPr>
              <w:t>Propagation model:</w:t>
            </w:r>
            <w:r w:rsidRPr="00FD2F0C">
              <w:rPr>
                <w:b/>
                <w:lang w:val="en-GB"/>
              </w:rPr>
              <w:t xml:space="preserve"> </w:t>
            </w:r>
            <w:r w:rsidRPr="00FD2F0C">
              <w:rPr>
                <w:lang w:val="en-GB"/>
              </w:rPr>
              <w:t>utilizes R6602 F-curve propagation model.</w:t>
            </w:r>
          </w:p>
          <w:p w14:paraId="5F0B5E9A" w14:textId="77777777" w:rsidR="001A7D82" w:rsidRPr="00FD2F0C" w:rsidRDefault="001A7D82" w:rsidP="00B84B85">
            <w:pPr>
              <w:pStyle w:val="Tabletextsmall"/>
            </w:pPr>
            <w:r w:rsidRPr="00FD2F0C">
              <w:rPr>
                <w:rStyle w:val="Bold"/>
              </w:rPr>
              <w:t>Adjacent channel power limits:</w:t>
            </w:r>
            <w:r w:rsidRPr="00FD2F0C">
              <w:t xml:space="preserve"> -42.8 dBm/100 kHz for fixed WSD, with additional limits on transmitting antennas with directional gain greater than 6 dBi; and -52.8 dBm/100 kHz or  -56.8 dBm/100 kHz (low power) for portable devices</w:t>
            </w:r>
          </w:p>
          <w:p w14:paraId="52391189" w14:textId="77777777" w:rsidR="001A7D82" w:rsidRPr="00FD2F0C" w:rsidRDefault="001A7D82" w:rsidP="00B84B85">
            <w:pPr>
              <w:pStyle w:val="Tabletextsmall"/>
              <w:rPr>
                <w:color w:val="000000"/>
              </w:rPr>
            </w:pPr>
            <w:r w:rsidRPr="00FD2F0C">
              <w:rPr>
                <w:rStyle w:val="Bold"/>
              </w:rPr>
              <w:t>Protected services:</w:t>
            </w:r>
            <w:r w:rsidRPr="00FD2F0C">
              <w:rPr>
                <w:b/>
                <w:color w:val="000000"/>
              </w:rPr>
              <w:t xml:space="preserve"> </w:t>
            </w:r>
            <w:r w:rsidRPr="00FD2F0C">
              <w:rPr>
                <w:color w:val="000000"/>
              </w:rPr>
              <w:t>Specifies particular protection criterial for TV licensees, RRBS base station (downstream) transmitted protected contour, licensed LPA and developmental stations, radio astronomy observatories, and licensed (but not license-exempt) wireless microphones.</w:t>
            </w:r>
          </w:p>
        </w:tc>
        <w:tc>
          <w:tcPr>
            <w:tcW w:w="1250" w:type="pct"/>
            <w:shd w:val="clear" w:color="auto" w:fill="auto"/>
          </w:tcPr>
          <w:p w14:paraId="72629B92" w14:textId="77777777" w:rsidR="001A7D82" w:rsidRPr="00FD2F0C" w:rsidRDefault="001A7D82" w:rsidP="00B84B85">
            <w:pPr>
              <w:pStyle w:val="Tabletextsmall"/>
            </w:pPr>
            <w:r w:rsidRPr="00FD2F0C">
              <w:rPr>
                <w:rStyle w:val="Bold"/>
              </w:rPr>
              <w:t>Frequencies:</w:t>
            </w:r>
            <w:r w:rsidRPr="00FD2F0C">
              <w:t xml:space="preserve"> allows WSD operation (before DTT transition) between 181-188 MHz, 209-223 MHz, 502-518 MHz. 614-622 MHz. 630-710 MHz, 718-742 MHz, 750-774 MHz, and 790-806 MHz.</w:t>
            </w:r>
          </w:p>
          <w:p w14:paraId="4BF711F8" w14:textId="77777777" w:rsidR="001A7D82" w:rsidRPr="00FD2F0C" w:rsidRDefault="001A7D82" w:rsidP="00B84B85">
            <w:pPr>
              <w:pStyle w:val="Tabletextsmall"/>
            </w:pPr>
            <w:r w:rsidRPr="00FD2F0C">
              <w:t>Allows WSD operation (after DTT transition) between 174-188 MHz, 195-202 MHz, 209-230 MHz, 470-534 MHz, and 614-694 MHz.</w:t>
            </w:r>
          </w:p>
          <w:p w14:paraId="60794084" w14:textId="77777777" w:rsidR="001A7D82" w:rsidRPr="00FD2F0C" w:rsidRDefault="001A7D82" w:rsidP="00B84B85">
            <w:pPr>
              <w:pStyle w:val="Tabletextsmall"/>
            </w:pPr>
            <w:r w:rsidRPr="00FD2F0C">
              <w:rPr>
                <w:rStyle w:val="Bold"/>
              </w:rPr>
              <w:t>Propagation model:</w:t>
            </w:r>
            <w:r w:rsidRPr="00FD2F0C">
              <w:t xml:space="preserve"> mandates use of Hata model.</w:t>
            </w:r>
          </w:p>
          <w:p w14:paraId="26ACF799" w14:textId="77777777" w:rsidR="001A7D82" w:rsidRPr="00FD2F0C" w:rsidRDefault="001A7D82" w:rsidP="00B84B85">
            <w:pPr>
              <w:pStyle w:val="Tabletextsmall"/>
            </w:pPr>
            <w:r w:rsidRPr="00FD2F0C">
              <w:rPr>
                <w:rStyle w:val="Bold"/>
              </w:rPr>
              <w:t>Adjacent channel power limits:</w:t>
            </w:r>
            <w:r w:rsidRPr="00FD2F0C">
              <w:t xml:space="preserve"> -56.8 dBm in channels adjacent to TV broadcasters. </w:t>
            </w:r>
          </w:p>
          <w:p w14:paraId="54A374C8" w14:textId="77777777" w:rsidR="001A7D82" w:rsidRPr="00FD2F0C" w:rsidRDefault="001A7D82" w:rsidP="00B84B85">
            <w:pPr>
              <w:pStyle w:val="Tabletextsmall"/>
              <w:rPr>
                <w:szCs w:val="24"/>
              </w:rPr>
            </w:pPr>
            <w:r w:rsidRPr="00FD2F0C">
              <w:rPr>
                <w:rStyle w:val="Bold"/>
              </w:rPr>
              <w:t>Safe harbour channels:</w:t>
            </w:r>
            <w:r w:rsidRPr="00FD2F0C">
              <w:rPr>
                <w:b/>
                <w:szCs w:val="24"/>
              </w:rPr>
              <w:t xml:space="preserve"> </w:t>
            </w:r>
            <w:r w:rsidRPr="00FD2F0C">
              <w:rPr>
                <w:szCs w:val="24"/>
              </w:rPr>
              <w:t>database must establish two PSME channels and may designate up to two “high priority channels”.</w:t>
            </w:r>
          </w:p>
          <w:p w14:paraId="1DC41272" w14:textId="77777777" w:rsidR="001A7D82" w:rsidRPr="00FD2F0C" w:rsidRDefault="001A7D82" w:rsidP="00B84B85">
            <w:pPr>
              <w:pStyle w:val="Tabletextsmall"/>
            </w:pPr>
            <w:r w:rsidRPr="00FD2F0C">
              <w:rPr>
                <w:rStyle w:val="Bold"/>
              </w:rPr>
              <w:t>Protected services:</w:t>
            </w:r>
            <w:r w:rsidRPr="00FD2F0C">
              <w:rPr>
                <w:b/>
              </w:rPr>
              <w:t xml:space="preserve"> </w:t>
            </w:r>
            <w:r w:rsidRPr="00FD2F0C">
              <w:t>currently include TV broadcast, private mobile radio, and wireless microphones (may be subject to future expansion).</w:t>
            </w:r>
          </w:p>
        </w:tc>
        <w:tc>
          <w:tcPr>
            <w:tcW w:w="1250" w:type="pct"/>
            <w:shd w:val="clear" w:color="auto" w:fill="auto"/>
          </w:tcPr>
          <w:p w14:paraId="06046793" w14:textId="77777777" w:rsidR="001A7D82" w:rsidRPr="00FD2F0C" w:rsidRDefault="001A7D82" w:rsidP="00B84B85">
            <w:pPr>
              <w:pStyle w:val="Tabletextsmall"/>
            </w:pPr>
            <w:r w:rsidRPr="00FD2F0C">
              <w:rPr>
                <w:rStyle w:val="Bold"/>
              </w:rPr>
              <w:t>Frequencies:</w:t>
            </w:r>
            <w:r w:rsidRPr="00FD2F0C">
              <w:t xml:space="preserve"> allows WSD operation between 470-790 MHz.</w:t>
            </w:r>
          </w:p>
          <w:p w14:paraId="720622CE" w14:textId="77777777" w:rsidR="001A7D82" w:rsidRPr="00FD2F0C" w:rsidRDefault="001A7D82" w:rsidP="00B84B85">
            <w:pPr>
              <w:pStyle w:val="Tabletextsmall"/>
            </w:pPr>
            <w:r w:rsidRPr="00FD2F0C">
              <w:rPr>
                <w:rStyle w:val="Bold"/>
              </w:rPr>
              <w:t>Propagation model:</w:t>
            </w:r>
            <w:r w:rsidRPr="00FD2F0C">
              <w:t xml:space="preserve"> utilizes SEAMCAT extended Hata model.</w:t>
            </w:r>
          </w:p>
          <w:p w14:paraId="70721FB6" w14:textId="77777777" w:rsidR="001A7D82" w:rsidRPr="00FD2F0C" w:rsidRDefault="001A7D82" w:rsidP="00B84B85">
            <w:pPr>
              <w:pStyle w:val="Tabletextsmall"/>
            </w:pPr>
            <w:r w:rsidRPr="00FD2F0C">
              <w:rPr>
                <w:rStyle w:val="Bold"/>
              </w:rPr>
              <w:t>Adjacent Channel power limits:</w:t>
            </w:r>
            <w:r w:rsidRPr="00FD2F0C">
              <w:rPr>
                <w:b/>
              </w:rPr>
              <w:t xml:space="preserve"> </w:t>
            </w:r>
            <w:r w:rsidRPr="00FD2F0C">
              <w:t>WSDs subject to different out of band emissions limits based upon emissions class (1 through 5).</w:t>
            </w:r>
          </w:p>
          <w:p w14:paraId="65377217" w14:textId="77777777" w:rsidR="001A7D82" w:rsidRPr="00FD2F0C" w:rsidRDefault="001A7D82" w:rsidP="00B84B85">
            <w:pPr>
              <w:pStyle w:val="Tabletextsmall"/>
            </w:pPr>
            <w:r w:rsidRPr="00FD2F0C">
              <w:rPr>
                <w:rStyle w:val="Bold"/>
              </w:rPr>
              <w:t>Protected services:</w:t>
            </w:r>
            <w:r w:rsidRPr="00FD2F0C">
              <w:rPr>
                <w:b/>
              </w:rPr>
              <w:t xml:space="preserve"> </w:t>
            </w:r>
            <w:r w:rsidRPr="00FD2F0C">
              <w:t>protection currently specified for DTT, PMSE, and services in bands adjacent to 470-790 MHz.</w:t>
            </w:r>
          </w:p>
          <w:p w14:paraId="1B20C8A1" w14:textId="77777777" w:rsidR="001A7D82" w:rsidRPr="00FD2F0C" w:rsidRDefault="001A7D82" w:rsidP="00B84B85">
            <w:pPr>
              <w:pStyle w:val="Tabletextsmall"/>
            </w:pPr>
          </w:p>
        </w:tc>
      </w:tr>
      <w:tr w:rsidR="001A7D82" w:rsidRPr="00573C99" w14:paraId="1AB2EC76" w14:textId="77777777" w:rsidTr="00B84B85">
        <w:trPr>
          <w:trHeight w:val="414"/>
        </w:trPr>
        <w:tc>
          <w:tcPr>
            <w:tcW w:w="5000" w:type="pct"/>
            <w:gridSpan w:val="4"/>
            <w:shd w:val="clear" w:color="auto" w:fill="auto"/>
          </w:tcPr>
          <w:p w14:paraId="29FE453D" w14:textId="77777777" w:rsidR="001A7D82" w:rsidRPr="00FD2F0C" w:rsidRDefault="001A7D82" w:rsidP="00B84B85">
            <w:pPr>
              <w:pStyle w:val="Tabletextsmall"/>
              <w:rPr>
                <w:rStyle w:val="Bold"/>
              </w:rPr>
            </w:pPr>
            <w:r w:rsidRPr="00FD2F0C">
              <w:rPr>
                <w:sz w:val="16"/>
                <w:szCs w:val="16"/>
              </w:rPr>
              <w:t>* White space devices are not permitted to operate on the first channel above and below TV channel 37 (608-614 MHz) that are available until the completion of the broadcast television spectrum incentive auction.</w:t>
            </w:r>
          </w:p>
        </w:tc>
      </w:tr>
    </w:tbl>
    <w:p w14:paraId="1AB1A448" w14:textId="7C6DC3D7" w:rsidR="00937B88" w:rsidRPr="00FD2F0C" w:rsidRDefault="00937B88" w:rsidP="00E472D5">
      <w:pPr>
        <w:pStyle w:val="Tabletitle0"/>
        <w:keepNext/>
        <w:tabs>
          <w:tab w:val="left" w:pos="851"/>
        </w:tabs>
        <w:rPr>
          <w:rFonts w:asciiTheme="minorHAnsi" w:hAnsiTheme="minorHAnsi"/>
        </w:rPr>
      </w:pPr>
      <w:bookmarkStart w:id="142" w:name="_Toc485216171"/>
      <w:r w:rsidRPr="00FD2F0C">
        <w:rPr>
          <w:rFonts w:asciiTheme="minorHAnsi" w:hAnsiTheme="minorHAnsi"/>
        </w:rPr>
        <w:t xml:space="preserve">Table </w:t>
      </w:r>
      <w:r w:rsidR="00E472D5" w:rsidRPr="00FD2F0C">
        <w:rPr>
          <w:rFonts w:asciiTheme="minorHAnsi" w:hAnsiTheme="minorHAnsi"/>
        </w:rPr>
        <w:t>3</w:t>
      </w:r>
      <w:r w:rsidRPr="00FD2F0C">
        <w:rPr>
          <w:rFonts w:asciiTheme="minorHAnsi" w:hAnsiTheme="minorHAnsi"/>
        </w:rPr>
        <w:t>: Interference avoidance methods</w:t>
      </w:r>
      <w:bookmarkEnd w:id="14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2269"/>
        <w:gridCol w:w="2407"/>
        <w:gridCol w:w="2405"/>
      </w:tblGrid>
      <w:tr w:rsidR="00937B88" w:rsidRPr="00FD2F0C" w14:paraId="210702DB" w14:textId="77777777" w:rsidTr="00D06C3F">
        <w:tc>
          <w:tcPr>
            <w:tcW w:w="1323" w:type="pct"/>
            <w:shd w:val="clear" w:color="auto" w:fill="auto"/>
            <w:vAlign w:val="center"/>
          </w:tcPr>
          <w:p w14:paraId="2BF81920" w14:textId="77777777" w:rsidR="00937B88" w:rsidRPr="00FD2F0C" w:rsidRDefault="00937B88" w:rsidP="00B84B85">
            <w:pPr>
              <w:pStyle w:val="Tableheadwhitecentred"/>
              <w:rPr>
                <w:sz w:val="16"/>
                <w:szCs w:val="16"/>
              </w:rPr>
            </w:pPr>
            <w:r w:rsidRPr="00FD2F0C">
              <w:t>United States of America</w:t>
            </w:r>
          </w:p>
        </w:tc>
        <w:tc>
          <w:tcPr>
            <w:tcW w:w="1178" w:type="pct"/>
            <w:shd w:val="clear" w:color="auto" w:fill="auto"/>
            <w:vAlign w:val="center"/>
          </w:tcPr>
          <w:p w14:paraId="67E8B897" w14:textId="77777777" w:rsidR="00937B88" w:rsidRPr="00FD2F0C" w:rsidRDefault="00937B88" w:rsidP="00B84B85">
            <w:pPr>
              <w:pStyle w:val="Tableheadwhitecentred"/>
              <w:rPr>
                <w:sz w:val="16"/>
                <w:szCs w:val="16"/>
              </w:rPr>
            </w:pPr>
            <w:r w:rsidRPr="00FD2F0C">
              <w:t>Canada</w:t>
            </w:r>
          </w:p>
        </w:tc>
        <w:tc>
          <w:tcPr>
            <w:tcW w:w="1250" w:type="pct"/>
            <w:shd w:val="clear" w:color="auto" w:fill="auto"/>
            <w:vAlign w:val="center"/>
          </w:tcPr>
          <w:p w14:paraId="65FE5C22" w14:textId="77777777" w:rsidR="00937B88" w:rsidRPr="00FD2F0C" w:rsidRDefault="00937B88" w:rsidP="00B84B85">
            <w:pPr>
              <w:pStyle w:val="Tableheadwhitecentred"/>
              <w:rPr>
                <w:sz w:val="16"/>
                <w:szCs w:val="16"/>
              </w:rPr>
            </w:pPr>
            <w:r w:rsidRPr="00FD2F0C">
              <w:t>Singapore</w:t>
            </w:r>
          </w:p>
        </w:tc>
        <w:tc>
          <w:tcPr>
            <w:tcW w:w="1249" w:type="pct"/>
            <w:shd w:val="clear" w:color="auto" w:fill="auto"/>
            <w:vAlign w:val="center"/>
          </w:tcPr>
          <w:p w14:paraId="6A21780A" w14:textId="77777777" w:rsidR="00937B88" w:rsidRPr="00FD2F0C" w:rsidRDefault="00937B88" w:rsidP="00B84B85">
            <w:pPr>
              <w:pStyle w:val="Tableheadwhitecentred"/>
              <w:rPr>
                <w:sz w:val="16"/>
                <w:szCs w:val="16"/>
              </w:rPr>
            </w:pPr>
            <w:r w:rsidRPr="00FD2F0C">
              <w:t>United Kingdom</w:t>
            </w:r>
          </w:p>
        </w:tc>
      </w:tr>
      <w:tr w:rsidR="00937B88" w:rsidRPr="00573C99" w14:paraId="5B174B41" w14:textId="77777777" w:rsidTr="00D06C3F">
        <w:tc>
          <w:tcPr>
            <w:tcW w:w="1323" w:type="pct"/>
            <w:shd w:val="clear" w:color="auto" w:fill="auto"/>
          </w:tcPr>
          <w:p w14:paraId="250562A1" w14:textId="77777777" w:rsidR="00937B88" w:rsidRPr="00FD2F0C" w:rsidRDefault="00937B88" w:rsidP="00B84B85">
            <w:pPr>
              <w:pStyle w:val="Tabletextsmall"/>
            </w:pPr>
            <w:r w:rsidRPr="00FD2F0C">
              <w:rPr>
                <w:rStyle w:val="Bold"/>
              </w:rPr>
              <w:t>Method:</w:t>
            </w:r>
            <w:r w:rsidRPr="00FD2F0C">
              <w:rPr>
                <w:b/>
              </w:rPr>
              <w:t xml:space="preserve"> </w:t>
            </w:r>
            <w:r w:rsidRPr="00FD2F0C">
              <w:t>Geolocation database permitted, and Federal Communications Commission (FCC) will designate one or more administrators.</w:t>
            </w:r>
          </w:p>
          <w:p w14:paraId="5AA57083" w14:textId="77777777" w:rsidR="00937B88" w:rsidRPr="00FD2F0C" w:rsidRDefault="00937B88" w:rsidP="00B84B85">
            <w:pPr>
              <w:pStyle w:val="Tabletextsmall"/>
            </w:pPr>
            <w:r w:rsidRPr="00FD2F0C">
              <w:lastRenderedPageBreak/>
              <w:t>Spectrum sensing permitted, with separate device parameters specified.</w:t>
            </w:r>
          </w:p>
        </w:tc>
        <w:tc>
          <w:tcPr>
            <w:tcW w:w="1178" w:type="pct"/>
            <w:shd w:val="clear" w:color="auto" w:fill="auto"/>
          </w:tcPr>
          <w:p w14:paraId="17DA2A02" w14:textId="77777777" w:rsidR="00937B88" w:rsidRPr="00FD2F0C" w:rsidRDefault="00937B88" w:rsidP="00B84B85">
            <w:pPr>
              <w:pStyle w:val="Tabletextsmall"/>
            </w:pPr>
            <w:r w:rsidRPr="00FD2F0C">
              <w:rPr>
                <w:rStyle w:val="Bold"/>
              </w:rPr>
              <w:lastRenderedPageBreak/>
              <w:t>Method:</w:t>
            </w:r>
            <w:r w:rsidRPr="00FD2F0C">
              <w:rPr>
                <w:b/>
              </w:rPr>
              <w:t xml:space="preserve"> </w:t>
            </w:r>
            <w:r w:rsidRPr="00FD2F0C">
              <w:t>Geolocation database permitted and Industry Canada (IC) will designate one or more administrators.</w:t>
            </w:r>
          </w:p>
          <w:p w14:paraId="278A4F17" w14:textId="77777777" w:rsidR="00937B88" w:rsidRPr="00FD2F0C" w:rsidRDefault="00937B88" w:rsidP="00B84B85">
            <w:pPr>
              <w:pStyle w:val="Tabletextsmall"/>
            </w:pPr>
            <w:r w:rsidRPr="00FD2F0C">
              <w:t>Spectrum sensing is not permitted at this time.</w:t>
            </w:r>
          </w:p>
        </w:tc>
        <w:tc>
          <w:tcPr>
            <w:tcW w:w="1250" w:type="pct"/>
            <w:shd w:val="clear" w:color="auto" w:fill="auto"/>
          </w:tcPr>
          <w:p w14:paraId="00090053" w14:textId="77777777" w:rsidR="00937B88" w:rsidRPr="00FD2F0C" w:rsidRDefault="00937B88" w:rsidP="00B84B85">
            <w:pPr>
              <w:pStyle w:val="Tabletextsmall"/>
            </w:pPr>
            <w:r w:rsidRPr="00FD2F0C">
              <w:rPr>
                <w:rStyle w:val="Bold"/>
              </w:rPr>
              <w:t>Method:</w:t>
            </w:r>
            <w:r w:rsidRPr="00FD2F0C">
              <w:rPr>
                <w:b/>
              </w:rPr>
              <w:t xml:space="preserve"> </w:t>
            </w:r>
            <w:r w:rsidRPr="00FD2F0C">
              <w:t>Geolocation database permitted, and Infocomm Development Authority (IDA) will license one or more administrators.</w:t>
            </w:r>
          </w:p>
          <w:p w14:paraId="745E10E5" w14:textId="77777777" w:rsidR="00937B88" w:rsidRPr="00FD2F0C" w:rsidRDefault="00937B88" w:rsidP="00B84B85">
            <w:pPr>
              <w:pStyle w:val="Tabletextsmall"/>
            </w:pPr>
            <w:r w:rsidRPr="00FD2F0C">
              <w:t xml:space="preserve">Spectrum sensing only not permitted at this time, but </w:t>
            </w:r>
            <w:r w:rsidRPr="00FD2F0C">
              <w:lastRenderedPageBreak/>
              <w:t>sensing can be complimentary.</w:t>
            </w:r>
          </w:p>
        </w:tc>
        <w:tc>
          <w:tcPr>
            <w:tcW w:w="1249" w:type="pct"/>
            <w:shd w:val="clear" w:color="auto" w:fill="auto"/>
          </w:tcPr>
          <w:p w14:paraId="57BB097E" w14:textId="77777777" w:rsidR="00937B88" w:rsidRPr="00FD2F0C" w:rsidRDefault="00937B88" w:rsidP="00B84B85">
            <w:pPr>
              <w:pStyle w:val="Tabletextsmall"/>
            </w:pPr>
            <w:r w:rsidRPr="00FD2F0C">
              <w:rPr>
                <w:rStyle w:val="Bold"/>
              </w:rPr>
              <w:lastRenderedPageBreak/>
              <w:t>Method:</w:t>
            </w:r>
            <w:r w:rsidRPr="00FD2F0C">
              <w:rPr>
                <w:b/>
              </w:rPr>
              <w:t xml:space="preserve"> </w:t>
            </w:r>
            <w:r w:rsidRPr="00FD2F0C">
              <w:t>Geolocation database permitted, and Ofcom will qualify and designate one or more administrators.</w:t>
            </w:r>
          </w:p>
          <w:p w14:paraId="3D680868" w14:textId="77777777" w:rsidR="00937B88" w:rsidRPr="00FD2F0C" w:rsidRDefault="00937B88" w:rsidP="00B84B85">
            <w:pPr>
              <w:pStyle w:val="Tabletextsmall"/>
            </w:pPr>
            <w:r w:rsidRPr="00FD2F0C">
              <w:t>Spectrum sensing not permitted at this time.</w:t>
            </w:r>
          </w:p>
        </w:tc>
      </w:tr>
    </w:tbl>
    <w:p w14:paraId="726D9799" w14:textId="32C38B12" w:rsidR="00D06C3F" w:rsidRPr="00FD2F0C" w:rsidRDefault="00D06C3F" w:rsidP="00D06C3F">
      <w:pPr>
        <w:keepNext/>
        <w:spacing w:before="240"/>
        <w:ind w:left="357" w:hanging="357"/>
        <w:outlineLvl w:val="1"/>
        <w:rPr>
          <w:rFonts w:asciiTheme="minorHAnsi" w:hAnsiTheme="minorHAnsi" w:cs="Helvetica"/>
          <w:b/>
          <w:bCs/>
          <w:color w:val="1F9DD9"/>
          <w:szCs w:val="32"/>
          <w:lang w:val="en-GB"/>
        </w:rPr>
      </w:pPr>
      <w:bookmarkStart w:id="143" w:name="_Toc485648019"/>
      <w:r w:rsidRPr="00FD2F0C">
        <w:rPr>
          <w:rFonts w:asciiTheme="minorHAnsi" w:hAnsiTheme="minorHAnsi" w:cs="Helvetica"/>
          <w:b/>
          <w:bCs/>
          <w:color w:val="1F9DD9"/>
          <w:szCs w:val="32"/>
          <w:lang w:val="en-GB"/>
        </w:rPr>
        <w:t>A2-3.</w:t>
      </w:r>
      <w:r w:rsidRPr="00FD2F0C">
        <w:rPr>
          <w:rFonts w:asciiTheme="minorHAnsi" w:hAnsiTheme="minorHAnsi" w:cs="Helvetica"/>
          <w:b/>
          <w:bCs/>
          <w:color w:val="1F9DD9"/>
          <w:szCs w:val="32"/>
          <w:lang w:val="en-GB"/>
        </w:rPr>
        <w:tab/>
        <w:t>Case studies of broadband access in the TVWS</w:t>
      </w:r>
      <w:bookmarkEnd w:id="143"/>
    </w:p>
    <w:p w14:paraId="01238EA5" w14:textId="28B094D6" w:rsidR="00147E4F" w:rsidRPr="00FD2F0C" w:rsidRDefault="00147E4F" w:rsidP="00147E4F">
      <w:pPr>
        <w:rPr>
          <w:rFonts w:asciiTheme="minorHAnsi" w:hAnsiTheme="minorHAnsi"/>
          <w:lang w:val="en-GB"/>
        </w:rPr>
      </w:pPr>
      <w:r w:rsidRPr="00FD2F0C">
        <w:rPr>
          <w:rFonts w:asciiTheme="minorHAnsi" w:hAnsiTheme="minorHAnsi"/>
          <w:lang w:val="en-GB"/>
        </w:rPr>
        <w:t xml:space="preserve">More information on these cases studies may be found in the input contributions to this report, a list of which can be found in </w:t>
      </w:r>
      <w:r w:rsidRPr="00FD2F0C">
        <w:rPr>
          <w:rFonts w:asciiTheme="minorHAnsi" w:hAnsiTheme="minorHAnsi"/>
          <w:b/>
          <w:bCs/>
          <w:lang w:val="en-GB"/>
        </w:rPr>
        <w:t>Annex 3</w:t>
      </w:r>
      <w:r w:rsidRPr="00FD2F0C">
        <w:rPr>
          <w:rFonts w:asciiTheme="minorHAnsi" w:hAnsiTheme="minorHAnsi"/>
          <w:lang w:val="en-GB"/>
        </w:rPr>
        <w:t>.</w:t>
      </w:r>
    </w:p>
    <w:p w14:paraId="4ABFE440" w14:textId="7FC931F0" w:rsidR="007216D1" w:rsidRPr="00FD2F0C" w:rsidRDefault="007216D1" w:rsidP="007216D1">
      <w:pPr>
        <w:pStyle w:val="Heading3"/>
        <w:numPr>
          <w:ilvl w:val="0"/>
          <w:numId w:val="0"/>
        </w:numPr>
        <w:ind w:left="720" w:hanging="720"/>
        <w:rPr>
          <w:rFonts w:asciiTheme="minorHAnsi" w:eastAsia="SimSun" w:hAnsiTheme="minorHAnsi"/>
        </w:rPr>
      </w:pPr>
      <w:bookmarkStart w:id="144" w:name="_Toc485648020"/>
      <w:r w:rsidRPr="00FD2F0C">
        <w:rPr>
          <w:rFonts w:asciiTheme="minorHAnsi" w:hAnsiTheme="minorHAnsi"/>
        </w:rPr>
        <w:t>A2-3.1</w:t>
      </w:r>
      <w:r w:rsidRPr="00FD2F0C">
        <w:rPr>
          <w:rFonts w:asciiTheme="minorHAnsi" w:hAnsiTheme="minorHAnsi"/>
        </w:rPr>
        <w:tab/>
      </w:r>
      <w:r w:rsidRPr="00FD2F0C">
        <w:rPr>
          <w:rFonts w:asciiTheme="minorHAnsi" w:eastAsia="SimSun" w:hAnsiTheme="minorHAnsi"/>
        </w:rPr>
        <w:t>Bhutan</w:t>
      </w:r>
      <w:bookmarkEnd w:id="144"/>
    </w:p>
    <w:p w14:paraId="7923EB83" w14:textId="77777777" w:rsidR="00D06C3F" w:rsidRPr="00FD2F0C" w:rsidRDefault="00D06C3F" w:rsidP="00D06C3F">
      <w:pPr>
        <w:rPr>
          <w:rFonts w:asciiTheme="minorHAnsi" w:hAnsiTheme="minorHAnsi"/>
          <w:lang w:val="en-GB"/>
        </w:rPr>
      </w:pPr>
      <w:r w:rsidRPr="00FD2F0C">
        <w:rPr>
          <w:rFonts w:asciiTheme="minorHAnsi" w:hAnsiTheme="minorHAnsi"/>
          <w:lang w:val="en-GB"/>
        </w:rPr>
        <w:t>Bhutan is characterised by steep, high mountains crisscrossed by rivers that form deep valleys before draining into the plains of India. Though the constitution mandates the Royal Government of Bhutan provide to its citizens free access to basic health care facilities, the majority of Bhutan's population live in settlements where health care facilities are usually more than an hour's walk away, and many villages are connected only by mule tracks</w:t>
      </w:r>
      <w:r w:rsidRPr="00FD2F0C">
        <w:rPr>
          <w:rStyle w:val="FootnoteReference"/>
          <w:rFonts w:asciiTheme="minorHAnsi" w:hAnsiTheme="minorHAnsi"/>
          <w:lang w:val="en-GB"/>
        </w:rPr>
        <w:footnoteReference w:id="56"/>
      </w:r>
      <w:r w:rsidRPr="00FD2F0C">
        <w:rPr>
          <w:rFonts w:asciiTheme="minorHAnsi" w:hAnsiTheme="minorHAnsi"/>
          <w:lang w:val="en-GB"/>
        </w:rPr>
        <w:t>.</w:t>
      </w:r>
    </w:p>
    <w:p w14:paraId="720F0A15" w14:textId="3392FAE9" w:rsidR="00D06C3F" w:rsidRPr="00FD2F0C" w:rsidRDefault="00D06C3F" w:rsidP="00147E4F">
      <w:pPr>
        <w:rPr>
          <w:rFonts w:asciiTheme="minorHAnsi" w:hAnsiTheme="minorHAnsi"/>
          <w:lang w:val="en-GB"/>
        </w:rPr>
      </w:pPr>
      <w:r w:rsidRPr="00FD2F0C">
        <w:rPr>
          <w:rFonts w:asciiTheme="minorHAnsi" w:hAnsiTheme="minorHAnsi"/>
          <w:lang w:val="en-GB"/>
        </w:rPr>
        <w:t xml:space="preserve">With support from international development institutions and private sector stakeholders, the Ministry of Health (MoH) and Ministry of Information &amp; Communications (MoIC) jointly implemented a pilot project to design an eHealth service delivery platform piloting TV White Space technology. The project links rural health clinics with a central reference hospital, utilising TVWS technology for last mile connectivity. By connecting rural populations, who would otherwise have to travel hours or even days to the nearest hospital, the project significantly improves their access to basic health services. </w:t>
      </w:r>
    </w:p>
    <w:p w14:paraId="1780FD56" w14:textId="58C33773" w:rsidR="007216D1" w:rsidRPr="00FD2F0C" w:rsidRDefault="007216D1" w:rsidP="007216D1">
      <w:pPr>
        <w:pStyle w:val="Heading3"/>
        <w:numPr>
          <w:ilvl w:val="0"/>
          <w:numId w:val="0"/>
        </w:numPr>
        <w:ind w:left="720" w:hanging="720"/>
        <w:rPr>
          <w:rFonts w:asciiTheme="minorHAnsi" w:eastAsia="SimSun" w:hAnsiTheme="minorHAnsi"/>
        </w:rPr>
      </w:pPr>
      <w:bookmarkStart w:id="146" w:name="_Toc482794126"/>
      <w:bookmarkStart w:id="147" w:name="_Toc482794389"/>
      <w:bookmarkStart w:id="148" w:name="_Toc485648021"/>
      <w:bookmarkStart w:id="149" w:name="_Toc458779236"/>
      <w:bookmarkStart w:id="150" w:name="_Toc467836396"/>
      <w:bookmarkStart w:id="151" w:name="_Toc482880469"/>
      <w:bookmarkEnd w:id="146"/>
      <w:bookmarkEnd w:id="147"/>
      <w:r w:rsidRPr="00FD2F0C">
        <w:rPr>
          <w:rFonts w:asciiTheme="minorHAnsi" w:hAnsiTheme="minorHAnsi"/>
        </w:rPr>
        <w:t>A2-3.2</w:t>
      </w:r>
      <w:r w:rsidRPr="00FD2F0C">
        <w:rPr>
          <w:rFonts w:asciiTheme="minorHAnsi" w:hAnsiTheme="minorHAnsi"/>
        </w:rPr>
        <w:tab/>
      </w:r>
      <w:r w:rsidRPr="00FD2F0C">
        <w:rPr>
          <w:rFonts w:asciiTheme="minorHAnsi" w:eastAsia="SimSun" w:hAnsiTheme="minorHAnsi"/>
        </w:rPr>
        <w:t>Botswana</w:t>
      </w:r>
      <w:bookmarkEnd w:id="148"/>
    </w:p>
    <w:bookmarkEnd w:id="149"/>
    <w:bookmarkEnd w:id="150"/>
    <w:bookmarkEnd w:id="151"/>
    <w:p w14:paraId="6FC535A5" w14:textId="77777777" w:rsidR="00D06C3F" w:rsidRPr="00FD2F0C" w:rsidRDefault="00D06C3F" w:rsidP="00D06C3F">
      <w:pPr>
        <w:rPr>
          <w:rFonts w:asciiTheme="minorHAnsi" w:hAnsiTheme="minorHAnsi"/>
          <w:lang w:val="en-GB"/>
        </w:rPr>
      </w:pPr>
      <w:r w:rsidRPr="00FD2F0C">
        <w:rPr>
          <w:rFonts w:asciiTheme="minorHAnsi" w:hAnsiTheme="minorHAnsi"/>
          <w:lang w:val="en-GB"/>
        </w:rPr>
        <w:t>The government of Botswana has worked with a broad set of partners to deploy a telemedicine project designed to increase the quality of health services available at rural health clinics by enabling the provision of specialised care, and in particular maternal care not previously available.</w:t>
      </w:r>
      <w:r w:rsidRPr="00FD2F0C">
        <w:rPr>
          <w:rStyle w:val="FootnoteReference"/>
          <w:rFonts w:asciiTheme="minorHAnsi" w:hAnsiTheme="minorHAnsi"/>
          <w:lang w:val="en-GB"/>
        </w:rPr>
        <w:footnoteReference w:id="57"/>
      </w:r>
    </w:p>
    <w:p w14:paraId="7BA7FA77" w14:textId="77777777" w:rsidR="00D06C3F" w:rsidRPr="00FD2F0C" w:rsidRDefault="00D06C3F" w:rsidP="00D06C3F">
      <w:pPr>
        <w:rPr>
          <w:rFonts w:asciiTheme="minorHAnsi" w:hAnsiTheme="minorHAnsi"/>
          <w:lang w:val="en-GB"/>
        </w:rPr>
      </w:pPr>
      <w:r w:rsidRPr="00FD2F0C">
        <w:rPr>
          <w:rFonts w:asciiTheme="minorHAnsi" w:hAnsiTheme="minorHAnsi"/>
          <w:lang w:val="en-GB"/>
        </w:rPr>
        <w:t>Launched in March 2015, project Kgolagano aims to bring specialised health services to local Botswana hospitals and clinics. Telemedicine will provide a low-cost, high-impact solution to rural health challenges. In Botswana, rural hospitals and health clinics suffer from a lack of capacity, especially to offer specialised healthcare and quality maternal care that may be more available in larger cities.</w:t>
      </w:r>
    </w:p>
    <w:p w14:paraId="7640AD6D" w14:textId="77777777" w:rsidR="00D06C3F" w:rsidRPr="00FD2F0C" w:rsidRDefault="00D06C3F" w:rsidP="00D06C3F">
      <w:pPr>
        <w:rPr>
          <w:rFonts w:asciiTheme="minorHAnsi" w:hAnsiTheme="minorHAnsi"/>
          <w:lang w:val="en-GB"/>
        </w:rPr>
      </w:pPr>
      <w:r w:rsidRPr="00FD2F0C">
        <w:rPr>
          <w:rFonts w:asciiTheme="minorHAnsi" w:hAnsiTheme="minorHAnsi"/>
          <w:lang w:val="en-GB"/>
        </w:rPr>
        <w:t>Project Kgolagano provides a system to capture and send high resolution images over TVWS signals from local clinics to regional hospitals. From hospitals, they are sent via backhaul fibre networks to specialised medical personnel located in Gaborone, Botswana’s capital, and to international partners such as the University of Pennsylvania, resulting in more accurate diagnoses and better care, without requiring the patient to travel.</w:t>
      </w:r>
    </w:p>
    <w:p w14:paraId="2A4A14BA" w14:textId="00B88BD2" w:rsidR="00D06C3F" w:rsidRPr="00FD2F0C" w:rsidRDefault="00D06C3F" w:rsidP="00147E4F">
      <w:pPr>
        <w:rPr>
          <w:rFonts w:asciiTheme="minorHAnsi" w:hAnsiTheme="minorHAnsi"/>
          <w:lang w:val="en-GB"/>
        </w:rPr>
      </w:pPr>
      <w:r w:rsidRPr="00FD2F0C">
        <w:rPr>
          <w:rFonts w:asciiTheme="minorHAnsi" w:hAnsiTheme="minorHAnsi"/>
          <w:lang w:val="en-GB"/>
        </w:rPr>
        <w:t xml:space="preserve">The project not only fills a connectivity gap for dozens of local clinics, but also gives them the means to provide specialised healthcare services that are currently otherwise unavailable to rural populations. Over time, this TVWS system is expected to be expanded from clinics to other sites such as government offices and small businesses, further spreading access and its socio-economic benefits. </w:t>
      </w:r>
    </w:p>
    <w:p w14:paraId="59DDADCA" w14:textId="7568E3FC" w:rsidR="007216D1" w:rsidRPr="00FD2F0C" w:rsidRDefault="007216D1" w:rsidP="007216D1">
      <w:pPr>
        <w:pStyle w:val="Heading3"/>
        <w:numPr>
          <w:ilvl w:val="0"/>
          <w:numId w:val="0"/>
        </w:numPr>
        <w:ind w:left="720" w:hanging="720"/>
        <w:rPr>
          <w:rFonts w:asciiTheme="minorHAnsi" w:eastAsia="SimSun" w:hAnsiTheme="minorHAnsi"/>
        </w:rPr>
      </w:pPr>
      <w:bookmarkStart w:id="152" w:name="_Toc485648022"/>
      <w:bookmarkStart w:id="153" w:name="_Toc467836398"/>
      <w:bookmarkStart w:id="154" w:name="_Toc482880470"/>
      <w:r w:rsidRPr="00FD2F0C">
        <w:rPr>
          <w:rFonts w:asciiTheme="minorHAnsi" w:hAnsiTheme="minorHAnsi"/>
        </w:rPr>
        <w:lastRenderedPageBreak/>
        <w:t>A2-3.3</w:t>
      </w:r>
      <w:r w:rsidRPr="00FD2F0C">
        <w:rPr>
          <w:rFonts w:asciiTheme="minorHAnsi" w:hAnsiTheme="minorHAnsi"/>
        </w:rPr>
        <w:tab/>
      </w:r>
      <w:r w:rsidRPr="00FD2F0C">
        <w:rPr>
          <w:rFonts w:asciiTheme="minorHAnsi" w:eastAsia="SimSun" w:hAnsiTheme="minorHAnsi"/>
        </w:rPr>
        <w:t>Republic of Korea</w:t>
      </w:r>
      <w:bookmarkEnd w:id="152"/>
    </w:p>
    <w:bookmarkEnd w:id="153"/>
    <w:bookmarkEnd w:id="154"/>
    <w:p w14:paraId="52DE92C0" w14:textId="77777777" w:rsidR="00D06C3F" w:rsidRPr="00FD2F0C" w:rsidRDefault="00D06C3F" w:rsidP="00D06C3F">
      <w:pPr>
        <w:rPr>
          <w:rFonts w:asciiTheme="minorHAnsi" w:hAnsiTheme="minorHAnsi"/>
          <w:lang w:val="en-GB"/>
        </w:rPr>
      </w:pPr>
      <w:r w:rsidRPr="00FD2F0C">
        <w:rPr>
          <w:rFonts w:asciiTheme="minorHAnsi" w:hAnsiTheme="minorHAnsi"/>
          <w:lang w:val="en-GB"/>
        </w:rPr>
        <w:t>The Korean government believes that TVWS services will help close the digital divide and make wireless broadband access more affordable for people across the country.</w:t>
      </w:r>
      <w:r w:rsidRPr="00FD2F0C">
        <w:rPr>
          <w:rStyle w:val="FootnoteReference"/>
          <w:rFonts w:asciiTheme="minorHAnsi" w:hAnsiTheme="minorHAnsi"/>
          <w:lang w:val="en-GB"/>
        </w:rPr>
        <w:footnoteReference w:id="58"/>
      </w:r>
      <w:r w:rsidRPr="00FD2F0C">
        <w:rPr>
          <w:rFonts w:asciiTheme="minorHAnsi" w:hAnsiTheme="minorHAnsi"/>
          <w:lang w:val="en-GB"/>
        </w:rPr>
        <w:t xml:space="preserve"> To realize this goal, the Korea Communications Commission (KCC) unveiled its “Basic Plan to Utilize TV White Space” in 2011, intending to use the 470-698 MHz band to provide: wireless internet services to rural areas, disaster prevention and management services, information delivery services for museums, stadiums, and other small areas, and smart grid services on water quality and power usage. During the same year, a super Wi-Fi network in Je-ju Island and emergency transmission service were introduced in the country as a TVWS pilot service.</w:t>
      </w:r>
    </w:p>
    <w:p w14:paraId="3FB0B115" w14:textId="45E82DBD" w:rsidR="00D06C3F" w:rsidRPr="00FD2F0C" w:rsidRDefault="00D06C3F" w:rsidP="00D06C3F">
      <w:pPr>
        <w:rPr>
          <w:rFonts w:asciiTheme="minorHAnsi" w:hAnsiTheme="minorHAnsi"/>
          <w:lang w:val="en-GB"/>
        </w:rPr>
      </w:pPr>
      <w:r w:rsidRPr="00FD2F0C">
        <w:rPr>
          <w:rFonts w:asciiTheme="minorHAnsi" w:hAnsiTheme="minorHAnsi"/>
          <w:lang w:val="en-GB"/>
        </w:rPr>
        <w:t>The Korean government set the unlicensed based TVWS technical standards to build a TVWS Data Base that protects priority services of the 470-698 MHz band, such as terrestrial DTV and licensed wireless microphone.</w:t>
      </w:r>
    </w:p>
    <w:p w14:paraId="78864A97" w14:textId="77777777" w:rsidR="00D06C3F" w:rsidRPr="00FD2F0C" w:rsidRDefault="00D06C3F" w:rsidP="00D06C3F">
      <w:pPr>
        <w:rPr>
          <w:rFonts w:asciiTheme="minorHAnsi" w:hAnsiTheme="minorHAnsi"/>
          <w:lang w:val="en-GB"/>
        </w:rPr>
      </w:pPr>
      <w:r w:rsidRPr="00FD2F0C">
        <w:rPr>
          <w:rFonts w:asciiTheme="minorHAnsi" w:hAnsiTheme="minorHAnsi"/>
          <w:lang w:val="en-GB"/>
        </w:rPr>
        <w:t>In 2013, the TVWS DB was set up and has been managed by the government (MSIP).</w:t>
      </w:r>
    </w:p>
    <w:p w14:paraId="52E88C7F" w14:textId="77777777" w:rsidR="00D06C3F" w:rsidRPr="00FD2F0C" w:rsidRDefault="00D06C3F" w:rsidP="00D06C3F">
      <w:pPr>
        <w:rPr>
          <w:rFonts w:asciiTheme="minorHAnsi" w:hAnsiTheme="minorHAnsi"/>
          <w:lang w:val="en-GB"/>
        </w:rPr>
      </w:pPr>
      <w:r w:rsidRPr="00FD2F0C">
        <w:rPr>
          <w:rFonts w:asciiTheme="minorHAnsi" w:hAnsiTheme="minorHAnsi"/>
          <w:lang w:val="en-GB"/>
        </w:rPr>
        <w:t>In 2015, the government extended TVWS Wi-Fi services for fire detection and protection application services for cultural properties located in mountainous and coastal regions.</w:t>
      </w:r>
    </w:p>
    <w:p w14:paraId="3E62D7E7" w14:textId="29372609" w:rsidR="00D06C3F" w:rsidRPr="00FD2F0C" w:rsidRDefault="00D06C3F" w:rsidP="00147E4F">
      <w:pPr>
        <w:rPr>
          <w:rFonts w:asciiTheme="minorHAnsi" w:hAnsiTheme="minorHAnsi"/>
          <w:lang w:val="en-GB"/>
        </w:rPr>
      </w:pPr>
      <w:r w:rsidRPr="00FD2F0C">
        <w:rPr>
          <w:rFonts w:asciiTheme="minorHAnsi" w:hAnsiTheme="minorHAnsi"/>
          <w:bCs/>
          <w:lang w:val="en-GB"/>
        </w:rPr>
        <w:t>The government of the Republic of Korea (MSIP) made a new public notice allowing unlicensed use of the TVWS in November 2016.</w:t>
      </w:r>
      <w:r w:rsidRPr="00FD2F0C" w:rsidDel="0019121E">
        <w:rPr>
          <w:rFonts w:asciiTheme="minorHAnsi" w:hAnsiTheme="minorHAnsi"/>
          <w:lang w:val="en-GB"/>
        </w:rPr>
        <w:t xml:space="preserve"> </w:t>
      </w:r>
      <w:r w:rsidRPr="00FD2F0C">
        <w:rPr>
          <w:rFonts w:asciiTheme="minorHAnsi" w:hAnsiTheme="minorHAnsi"/>
          <w:lang w:val="en-GB"/>
        </w:rPr>
        <w:t xml:space="preserve">In April 2017, the first TVBD product that meets the regulations released and Korea began to provide TVWS commercial services. </w:t>
      </w:r>
    </w:p>
    <w:p w14:paraId="5B2572CC" w14:textId="14EEA6A9" w:rsidR="007216D1" w:rsidRPr="00FD2F0C" w:rsidRDefault="007216D1" w:rsidP="007216D1">
      <w:pPr>
        <w:pStyle w:val="Heading3"/>
        <w:numPr>
          <w:ilvl w:val="0"/>
          <w:numId w:val="0"/>
        </w:numPr>
        <w:ind w:left="720" w:hanging="720"/>
        <w:rPr>
          <w:rFonts w:asciiTheme="minorHAnsi" w:eastAsia="SimSun" w:hAnsiTheme="minorHAnsi"/>
        </w:rPr>
      </w:pPr>
      <w:bookmarkStart w:id="155" w:name="_Toc485648023"/>
      <w:bookmarkStart w:id="156" w:name="_Toc458779238"/>
      <w:bookmarkStart w:id="157" w:name="_Toc467836399"/>
      <w:bookmarkStart w:id="158" w:name="_Toc482880471"/>
      <w:r w:rsidRPr="00FD2F0C">
        <w:rPr>
          <w:rFonts w:asciiTheme="minorHAnsi" w:hAnsiTheme="minorHAnsi"/>
        </w:rPr>
        <w:t>A2-3.4</w:t>
      </w:r>
      <w:r w:rsidRPr="00FD2F0C">
        <w:rPr>
          <w:rFonts w:asciiTheme="minorHAnsi" w:hAnsiTheme="minorHAnsi"/>
        </w:rPr>
        <w:tab/>
      </w:r>
      <w:r w:rsidRPr="00FD2F0C">
        <w:rPr>
          <w:rFonts w:asciiTheme="minorHAnsi" w:eastAsia="SimSun" w:hAnsiTheme="minorHAnsi"/>
        </w:rPr>
        <w:t>Malawi</w:t>
      </w:r>
      <w:bookmarkEnd w:id="155"/>
    </w:p>
    <w:bookmarkEnd w:id="156"/>
    <w:bookmarkEnd w:id="157"/>
    <w:bookmarkEnd w:id="158"/>
    <w:p w14:paraId="624E6655" w14:textId="77777777" w:rsidR="00D06C3F" w:rsidRPr="00FD2F0C" w:rsidRDefault="00D06C3F" w:rsidP="00D06C3F">
      <w:pPr>
        <w:spacing w:after="120"/>
        <w:rPr>
          <w:rFonts w:asciiTheme="minorHAnsi" w:hAnsiTheme="minorHAnsi"/>
          <w:szCs w:val="24"/>
          <w:lang w:val="en-GB"/>
        </w:rPr>
      </w:pPr>
      <w:r w:rsidRPr="00FD2F0C">
        <w:rPr>
          <w:rFonts w:asciiTheme="minorHAnsi" w:hAnsiTheme="minorHAnsi"/>
          <w:szCs w:val="24"/>
          <w:lang w:val="en-GB"/>
        </w:rPr>
        <w:t>Like many countries in Africa, Malawi</w:t>
      </w:r>
      <w:r w:rsidRPr="00FD2F0C">
        <w:rPr>
          <w:rStyle w:val="FootnoteReference"/>
          <w:rFonts w:asciiTheme="minorHAnsi" w:hAnsiTheme="minorHAnsi"/>
          <w:szCs w:val="24"/>
          <w:lang w:val="en-GB"/>
        </w:rPr>
        <w:footnoteReference w:id="59"/>
      </w:r>
      <w:r w:rsidRPr="00FD2F0C">
        <w:rPr>
          <w:rFonts w:asciiTheme="minorHAnsi" w:hAnsiTheme="minorHAnsi"/>
          <w:szCs w:val="24"/>
          <w:lang w:val="en-GB"/>
        </w:rPr>
        <w:t xml:space="preserve"> faces many challenges extending Internet connectivity beyond the current penetration rate of 6.7 per cent. Consequently, the government has pursued TVWS research through several different pilots to evaluate its potential. These projects extended Internet connectivity to two schools, enabling access to expanded educational resources for students, and a rural hospital, that piloted new projects in remote and virtual diagnosis. TVWS devices were also deployed by the Department of Seismology to enhance national seismic early warning systems and by the Air Wing Unit of the Malawi Defense Force to connect runways and bases to the Internet.</w:t>
      </w:r>
    </w:p>
    <w:p w14:paraId="74B8A7B6" w14:textId="64AFEFE0" w:rsidR="00D06C3F" w:rsidRPr="00FD2F0C" w:rsidRDefault="00D06C3F" w:rsidP="00147E4F">
      <w:pPr>
        <w:spacing w:after="120"/>
        <w:rPr>
          <w:rFonts w:asciiTheme="minorHAnsi" w:hAnsiTheme="minorHAnsi"/>
          <w:color w:val="000000"/>
          <w:szCs w:val="24"/>
          <w:lang w:val="en-GB"/>
        </w:rPr>
      </w:pPr>
      <w:r w:rsidRPr="00FD2F0C">
        <w:rPr>
          <w:rFonts w:asciiTheme="minorHAnsi" w:hAnsiTheme="minorHAnsi"/>
          <w:szCs w:val="24"/>
          <w:lang w:val="en-GB"/>
        </w:rPr>
        <w:t xml:space="preserve">A regulatory framework enabling the widespread operation of white space devices is currently under development in Malawi and is expected soon. </w:t>
      </w:r>
    </w:p>
    <w:p w14:paraId="67509C43" w14:textId="4E760064" w:rsidR="007216D1" w:rsidRPr="00FD2F0C" w:rsidRDefault="007216D1" w:rsidP="007216D1">
      <w:pPr>
        <w:pStyle w:val="Heading3"/>
        <w:numPr>
          <w:ilvl w:val="0"/>
          <w:numId w:val="0"/>
        </w:numPr>
        <w:ind w:left="720" w:hanging="720"/>
        <w:rPr>
          <w:rFonts w:asciiTheme="minorHAnsi" w:eastAsia="SimSun" w:hAnsiTheme="minorHAnsi"/>
        </w:rPr>
      </w:pPr>
      <w:bookmarkStart w:id="159" w:name="_Toc485648024"/>
      <w:bookmarkStart w:id="160" w:name="_Toc458779239"/>
      <w:bookmarkStart w:id="161" w:name="_Toc467836400"/>
      <w:bookmarkStart w:id="162" w:name="_Toc482880472"/>
      <w:r w:rsidRPr="00FD2F0C">
        <w:rPr>
          <w:rFonts w:asciiTheme="minorHAnsi" w:hAnsiTheme="minorHAnsi"/>
        </w:rPr>
        <w:t>A2-3.5</w:t>
      </w:r>
      <w:r w:rsidRPr="00FD2F0C">
        <w:rPr>
          <w:rFonts w:asciiTheme="minorHAnsi" w:hAnsiTheme="minorHAnsi"/>
        </w:rPr>
        <w:tab/>
      </w:r>
      <w:r w:rsidRPr="00FD2F0C">
        <w:rPr>
          <w:rFonts w:asciiTheme="minorHAnsi" w:eastAsia="SimSun" w:hAnsiTheme="minorHAnsi"/>
        </w:rPr>
        <w:t>The Philippines</w:t>
      </w:r>
      <w:bookmarkEnd w:id="159"/>
    </w:p>
    <w:bookmarkEnd w:id="160"/>
    <w:bookmarkEnd w:id="161"/>
    <w:bookmarkEnd w:id="162"/>
    <w:p w14:paraId="04B2451F" w14:textId="77777777" w:rsidR="00D06C3F" w:rsidRPr="00FD2F0C" w:rsidRDefault="00D06C3F" w:rsidP="00D06C3F">
      <w:pPr>
        <w:rPr>
          <w:rFonts w:asciiTheme="minorHAnsi" w:hAnsiTheme="minorHAnsi"/>
          <w:lang w:val="en-GB"/>
        </w:rPr>
      </w:pPr>
      <w:r w:rsidRPr="00FD2F0C">
        <w:rPr>
          <w:rFonts w:asciiTheme="minorHAnsi" w:hAnsiTheme="minorHAnsi"/>
          <w:lang w:val="en-GB"/>
        </w:rPr>
        <w:t>The Philippines is conducting the largest TVWS project so far in Asia supporting affordable community connectivity, sustainable resource management, educational access, and disaster resilient communications in a remote province.</w:t>
      </w:r>
      <w:r w:rsidRPr="00FD2F0C">
        <w:rPr>
          <w:rStyle w:val="FootnoteReference"/>
          <w:rFonts w:asciiTheme="minorHAnsi" w:hAnsiTheme="minorHAnsi"/>
          <w:lang w:val="en-GB"/>
        </w:rPr>
        <w:footnoteReference w:id="60"/>
      </w:r>
    </w:p>
    <w:p w14:paraId="46127B1F" w14:textId="77777777" w:rsidR="00D06C3F" w:rsidRPr="00FD2F0C" w:rsidRDefault="00D06C3F" w:rsidP="00D06C3F">
      <w:pPr>
        <w:spacing w:after="120"/>
        <w:rPr>
          <w:rFonts w:asciiTheme="minorHAnsi" w:hAnsiTheme="minorHAnsi"/>
          <w:color w:val="000000"/>
          <w:szCs w:val="24"/>
          <w:lang w:val="en-GB"/>
        </w:rPr>
      </w:pPr>
      <w:r w:rsidRPr="00FD2F0C">
        <w:rPr>
          <w:rFonts w:asciiTheme="minorHAnsi" w:hAnsiTheme="minorHAnsi"/>
          <w:color w:val="000000"/>
          <w:szCs w:val="24"/>
          <w:lang w:val="en-GB"/>
        </w:rPr>
        <w:t>Partially due to challenging topography, communities in Bohol province suffer from poor last-mile infrastructure, a gap which leaves dozens of schools and communities without Internet access. Existing infrastructure deficits are exacerbated by natural disasters, several of which have occurred in the region recently.</w:t>
      </w:r>
    </w:p>
    <w:p w14:paraId="4E0A2B54" w14:textId="77777777" w:rsidR="00D06C3F" w:rsidRPr="00FD2F0C" w:rsidRDefault="00D06C3F" w:rsidP="00D06C3F">
      <w:pPr>
        <w:spacing w:after="120"/>
        <w:rPr>
          <w:rFonts w:asciiTheme="minorHAnsi" w:hAnsiTheme="minorHAnsi"/>
          <w:color w:val="000000"/>
          <w:szCs w:val="24"/>
          <w:lang w:val="en-GB"/>
        </w:rPr>
      </w:pPr>
      <w:r w:rsidRPr="00FD2F0C">
        <w:rPr>
          <w:rFonts w:asciiTheme="minorHAnsi" w:hAnsiTheme="minorHAnsi"/>
          <w:color w:val="000000"/>
          <w:szCs w:val="24"/>
          <w:lang w:val="en-GB"/>
        </w:rPr>
        <w:t xml:space="preserve">With a broad array of public, private, and international development partners, the project deployed TVWS technology to bring connectivity to dozens of sites across the Bohol province. The primary </w:t>
      </w:r>
      <w:r w:rsidRPr="00FD2F0C">
        <w:rPr>
          <w:rFonts w:asciiTheme="minorHAnsi" w:hAnsiTheme="minorHAnsi"/>
          <w:color w:val="000000"/>
          <w:szCs w:val="24"/>
          <w:lang w:val="en-GB"/>
        </w:rPr>
        <w:lastRenderedPageBreak/>
        <w:t>purpose of the Bohol project is to improve the quality of local education; by providing schools and teachers with reliable connectivity, TVWS technology allows for new forms of multimedia instruction, access to higher quality information and resources, and more effective teacher training and management.</w:t>
      </w:r>
    </w:p>
    <w:p w14:paraId="772D11E6" w14:textId="77777777" w:rsidR="00D06C3F" w:rsidRPr="00FD2F0C" w:rsidRDefault="00D06C3F" w:rsidP="00D06C3F">
      <w:pPr>
        <w:spacing w:after="120"/>
        <w:rPr>
          <w:rFonts w:asciiTheme="minorHAnsi" w:hAnsiTheme="minorHAnsi"/>
          <w:color w:val="000000"/>
          <w:szCs w:val="24"/>
          <w:lang w:val="en-GB"/>
        </w:rPr>
      </w:pPr>
      <w:r w:rsidRPr="00FD2F0C">
        <w:rPr>
          <w:rFonts w:asciiTheme="minorHAnsi" w:hAnsiTheme="minorHAnsi"/>
          <w:color w:val="000000"/>
          <w:szCs w:val="24"/>
          <w:lang w:val="en-GB"/>
        </w:rPr>
        <w:t>Further, by opening broadband connections after school hours to the wider community, existing bandwidth is not wasted and a new resource is made available to the community. Residents use it to access social media and communications platforms to stay in touch with friends and family, to access government services and public information, and to engage in e-commerce. Connectivity was also provided to support the Ecosystems Improved for Sustainable Fisheries (Ecofish) ecological sustainability program, where it makes local fishing more sustainable through more effective management, administration, and compliance action.</w:t>
      </w:r>
    </w:p>
    <w:p w14:paraId="1714A356" w14:textId="2ABF2D2F" w:rsidR="00D06C3F" w:rsidRPr="00FD2F0C" w:rsidRDefault="00D06C3F" w:rsidP="00147E4F">
      <w:pPr>
        <w:spacing w:after="120"/>
        <w:rPr>
          <w:rFonts w:asciiTheme="minorHAnsi" w:hAnsiTheme="minorHAnsi"/>
          <w:color w:val="000000"/>
          <w:szCs w:val="24"/>
          <w:lang w:val="en-GB"/>
        </w:rPr>
      </w:pPr>
      <w:r w:rsidRPr="00FD2F0C">
        <w:rPr>
          <w:rFonts w:asciiTheme="minorHAnsi" w:hAnsiTheme="minorHAnsi"/>
          <w:color w:val="000000"/>
          <w:szCs w:val="24"/>
          <w:lang w:val="en-GB"/>
        </w:rPr>
        <w:t>As part of separate project, the Department of Science and Technology in partnership with private sector partners, deployed TVWS transmitters in the city of Tacloban after the 2013 Bohol Earthquake and Typhoon Haiyan. By providing immediate connectivity and two-way voice communication after the destruction of other terrestrial infrastructure, this equipment provided communication capabilities for first responders and victims, improving the coordination of relief efforts. This was accomplished at less than 1/10</w:t>
      </w:r>
      <w:r w:rsidRPr="00FD2F0C">
        <w:rPr>
          <w:rFonts w:asciiTheme="minorHAnsi" w:hAnsiTheme="minorHAnsi"/>
          <w:color w:val="000000"/>
          <w:szCs w:val="24"/>
          <w:vertAlign w:val="superscript"/>
          <w:lang w:val="en-GB"/>
        </w:rPr>
        <w:t>th</w:t>
      </w:r>
      <w:r w:rsidRPr="00FD2F0C">
        <w:rPr>
          <w:rFonts w:asciiTheme="minorHAnsi" w:hAnsiTheme="minorHAnsi"/>
          <w:color w:val="000000"/>
          <w:szCs w:val="24"/>
          <w:lang w:val="en-GB"/>
        </w:rPr>
        <w:t xml:space="preserve"> the cost of alternative solutions and required little to no specialised expertise to deploy. During this period, TVWS technology connected over 500 residents, enabled greater than 75,000 hours of Skype calls, and coordinated 5,000 rescue workers. </w:t>
      </w:r>
    </w:p>
    <w:p w14:paraId="0DCADA9C" w14:textId="49F18387" w:rsidR="00D06C3F" w:rsidRPr="00FD2F0C" w:rsidRDefault="00D06C3F" w:rsidP="00A51E9F">
      <w:pPr>
        <w:pStyle w:val="Figuretitle0"/>
        <w:tabs>
          <w:tab w:val="left" w:pos="851"/>
        </w:tabs>
        <w:spacing w:after="120"/>
        <w:rPr>
          <w:rFonts w:asciiTheme="minorHAnsi" w:hAnsiTheme="minorHAnsi"/>
          <w:lang w:val="en-GB"/>
        </w:rPr>
      </w:pPr>
      <w:bookmarkStart w:id="163" w:name="_Toc474934959"/>
      <w:bookmarkStart w:id="164" w:name="_Toc485216163"/>
      <w:r w:rsidRPr="00FD2F0C">
        <w:rPr>
          <w:rFonts w:asciiTheme="minorHAnsi" w:hAnsiTheme="minorHAnsi"/>
          <w:lang w:val="en-GB"/>
        </w:rPr>
        <w:t xml:space="preserve">Figure </w:t>
      </w:r>
      <w:r w:rsidR="00A51E9F" w:rsidRPr="00FD2F0C">
        <w:rPr>
          <w:rFonts w:asciiTheme="minorHAnsi" w:hAnsiTheme="minorHAnsi"/>
          <w:lang w:val="en-GB"/>
        </w:rPr>
        <w:t>3</w:t>
      </w:r>
      <w:r w:rsidRPr="00FD2F0C">
        <w:rPr>
          <w:rFonts w:asciiTheme="minorHAnsi" w:hAnsiTheme="minorHAnsi"/>
          <w:lang w:val="en-GB"/>
        </w:rPr>
        <w:t xml:space="preserve">: </w:t>
      </w:r>
      <w:r w:rsidRPr="00FD2F0C">
        <w:rPr>
          <w:rFonts w:asciiTheme="minorHAnsi" w:hAnsiTheme="minorHAnsi"/>
          <w:color w:val="000000"/>
          <w:kern w:val="24"/>
          <w:szCs w:val="24"/>
          <w:lang w:val="en-GB"/>
        </w:rPr>
        <w:t>Talibon, Tubigon and Ubay TV White Space area coverage</w:t>
      </w:r>
      <w:bookmarkEnd w:id="163"/>
      <w:bookmarkEnd w:id="164"/>
    </w:p>
    <w:p w14:paraId="3A314746" w14:textId="77777777" w:rsidR="00D06C3F" w:rsidRPr="00FD2F0C" w:rsidRDefault="00D06C3F" w:rsidP="00D06C3F">
      <w:pPr>
        <w:pStyle w:val="Figure"/>
        <w:rPr>
          <w:rFonts w:asciiTheme="minorHAnsi" w:hAnsiTheme="minorHAnsi"/>
          <w:lang w:val="en-GB"/>
        </w:rPr>
      </w:pPr>
      <w:bookmarkStart w:id="165" w:name="_Toc458779240"/>
      <w:r w:rsidRPr="00FD2F0C">
        <w:rPr>
          <w:rFonts w:asciiTheme="minorHAnsi" w:hAnsiTheme="minorHAnsi"/>
          <w:noProof/>
          <w:lang w:val="en-GB" w:eastAsia="zh-CN"/>
        </w:rPr>
        <w:drawing>
          <wp:inline distT="0" distB="0" distL="0" distR="0" wp14:anchorId="5354845C" wp14:editId="6C669D07">
            <wp:extent cx="3906000" cy="235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3906000" cy="2350800"/>
                    </a:xfrm>
                    <a:prstGeom prst="rect">
                      <a:avLst/>
                    </a:prstGeom>
                  </pic:spPr>
                </pic:pic>
              </a:graphicData>
            </a:graphic>
          </wp:inline>
        </w:drawing>
      </w:r>
    </w:p>
    <w:p w14:paraId="0F880F8A" w14:textId="77777777" w:rsidR="00D06C3F" w:rsidRPr="00FD2F0C" w:rsidRDefault="00D06C3F" w:rsidP="00D06C3F">
      <w:pPr>
        <w:pStyle w:val="Alternativetext"/>
        <w:tabs>
          <w:tab w:val="left" w:pos="851"/>
        </w:tabs>
        <w:rPr>
          <w:rFonts w:asciiTheme="minorHAnsi" w:hAnsiTheme="minorHAnsi"/>
          <w:lang w:val="en-GB"/>
        </w:rPr>
      </w:pPr>
      <w:r w:rsidRPr="00FD2F0C">
        <w:rPr>
          <w:rFonts w:asciiTheme="minorHAnsi" w:hAnsiTheme="minorHAnsi"/>
          <w:lang w:val="en-GB"/>
        </w:rPr>
        <w:t>Figure3: Talibon, Tubigon and Ubay TV White Space area coverage</w:t>
      </w:r>
    </w:p>
    <w:p w14:paraId="6939BA90" w14:textId="68F18AB5" w:rsidR="007216D1" w:rsidRPr="00FD2F0C" w:rsidRDefault="007216D1" w:rsidP="007216D1">
      <w:pPr>
        <w:pStyle w:val="Heading3"/>
        <w:numPr>
          <w:ilvl w:val="0"/>
          <w:numId w:val="0"/>
        </w:numPr>
        <w:ind w:left="720" w:hanging="720"/>
        <w:rPr>
          <w:rFonts w:asciiTheme="minorHAnsi" w:eastAsia="SimSun" w:hAnsiTheme="minorHAnsi"/>
        </w:rPr>
      </w:pPr>
      <w:bookmarkStart w:id="166" w:name="_Toc485648025"/>
      <w:bookmarkStart w:id="167" w:name="_Toc467836401"/>
      <w:bookmarkStart w:id="168" w:name="_Toc482880473"/>
      <w:r w:rsidRPr="00FD2F0C">
        <w:rPr>
          <w:rFonts w:asciiTheme="minorHAnsi" w:hAnsiTheme="minorHAnsi"/>
        </w:rPr>
        <w:t>A2-3.6</w:t>
      </w:r>
      <w:r w:rsidRPr="00FD2F0C">
        <w:rPr>
          <w:rFonts w:asciiTheme="minorHAnsi" w:hAnsiTheme="minorHAnsi"/>
        </w:rPr>
        <w:tab/>
      </w:r>
      <w:r w:rsidRPr="00FD2F0C">
        <w:rPr>
          <w:rFonts w:asciiTheme="minorHAnsi" w:eastAsia="SimSun" w:hAnsiTheme="minorHAnsi"/>
        </w:rPr>
        <w:t>United States of America</w:t>
      </w:r>
      <w:bookmarkEnd w:id="166"/>
    </w:p>
    <w:bookmarkEnd w:id="165"/>
    <w:bookmarkEnd w:id="167"/>
    <w:bookmarkEnd w:id="168"/>
    <w:p w14:paraId="42BBFD62" w14:textId="77777777" w:rsidR="00D06C3F" w:rsidRPr="00FD2F0C" w:rsidRDefault="00D06C3F" w:rsidP="00D06C3F">
      <w:pPr>
        <w:rPr>
          <w:rFonts w:asciiTheme="minorHAnsi" w:hAnsiTheme="minorHAnsi"/>
          <w:color w:val="000000"/>
          <w:lang w:val="en-GB"/>
        </w:rPr>
      </w:pPr>
      <w:r w:rsidRPr="00FD2F0C">
        <w:rPr>
          <w:rFonts w:asciiTheme="minorHAnsi" w:hAnsiTheme="minorHAnsi"/>
          <w:lang w:val="en-GB"/>
        </w:rPr>
        <w:t xml:space="preserve">The United States of America (USA) has pioneered use of license-exempt spectrum, and three case studies in the USA are relevant to the experience of developing countries, namely the </w:t>
      </w:r>
      <w:r w:rsidRPr="00FD2F0C">
        <w:rPr>
          <w:rFonts w:asciiTheme="minorHAnsi" w:hAnsiTheme="minorHAnsi"/>
          <w:color w:val="000000"/>
          <w:lang w:val="en-GB"/>
        </w:rPr>
        <w:t>deployment of commercial wireless Internet service in rural areas, the extension of the service area of libraries into communities, and the provision of university campus-wide broadband.</w:t>
      </w:r>
      <w:r w:rsidRPr="00FD2F0C">
        <w:rPr>
          <w:rStyle w:val="FootnoteReference"/>
          <w:rFonts w:asciiTheme="minorHAnsi" w:hAnsiTheme="minorHAnsi"/>
          <w:color w:val="000000"/>
          <w:lang w:val="en-GB"/>
        </w:rPr>
        <w:footnoteReference w:id="61"/>
      </w:r>
    </w:p>
    <w:p w14:paraId="40F47C55" w14:textId="77777777" w:rsidR="00D06C3F" w:rsidRPr="00FD2F0C" w:rsidRDefault="00D06C3F" w:rsidP="00D06C3F">
      <w:pPr>
        <w:rPr>
          <w:rFonts w:asciiTheme="minorHAnsi" w:hAnsiTheme="minorHAnsi"/>
          <w:lang w:val="en-GB"/>
        </w:rPr>
      </w:pPr>
      <w:r w:rsidRPr="00FD2F0C">
        <w:rPr>
          <w:rFonts w:asciiTheme="minorHAnsi" w:hAnsiTheme="minorHAnsi"/>
          <w:lang w:val="en-GB"/>
        </w:rPr>
        <w:t xml:space="preserve">The first describes a commercial deployment in rural El Dorado County, California, a rugged region with approximately 140,000 rural residents, many of whom remained without Internet access. In 2012, the local commercial Wireless Internet Service Provider (WISP) deployed a series of five </w:t>
      </w:r>
      <w:r w:rsidRPr="00FD2F0C">
        <w:rPr>
          <w:rFonts w:asciiTheme="minorHAnsi" w:hAnsiTheme="minorHAnsi"/>
          <w:lang w:val="en-GB"/>
        </w:rPr>
        <w:lastRenderedPageBreak/>
        <w:t>TVWS base stations, each capable of serving up to ten customers. In 2015, the WISP began the process of upgrading to the next generation of TVWS equipment, which will allow it to operate at higher power levels, higher data rates, and serve up to 30 customers per base station.</w:t>
      </w:r>
    </w:p>
    <w:p w14:paraId="7E5299A6" w14:textId="77777777" w:rsidR="00D06C3F" w:rsidRPr="00FD2F0C" w:rsidRDefault="00D06C3F" w:rsidP="00D06C3F">
      <w:pPr>
        <w:rPr>
          <w:rFonts w:asciiTheme="minorHAnsi" w:hAnsiTheme="minorHAnsi"/>
          <w:lang w:val="en-GB"/>
        </w:rPr>
      </w:pPr>
      <w:r w:rsidRPr="00FD2F0C">
        <w:rPr>
          <w:rFonts w:asciiTheme="minorHAnsi" w:hAnsiTheme="minorHAnsi"/>
          <w:lang w:val="en-GB"/>
        </w:rPr>
        <w:t>The second discusses a deployment in Delta County, Colorado. It is a hilly and tree-covered area with a rural population of approximately 30,000. Due to poor deployment of broadband, each of the county’s five libraries served as a sort of community centre and Wi-Fi access point for many residents. Beginning in 2013, one of these libraries was equipped with a TVWS base station which subsequently provided Wi-Fi access to other areas of the community. After the conclusion of the trial period, the Delta County library system raised the funds to purchase the TVWS equipment and continues to provide access for the community.</w:t>
      </w:r>
    </w:p>
    <w:p w14:paraId="41DD6E2A" w14:textId="51D0FE48" w:rsidR="00D06C3F" w:rsidRPr="00FD2F0C" w:rsidRDefault="00D06C3F" w:rsidP="00635018">
      <w:pPr>
        <w:rPr>
          <w:rFonts w:asciiTheme="minorHAnsi" w:hAnsiTheme="minorHAnsi"/>
          <w:lang w:val="en-GB"/>
        </w:rPr>
      </w:pPr>
      <w:r w:rsidRPr="00FD2F0C">
        <w:rPr>
          <w:rFonts w:asciiTheme="minorHAnsi" w:hAnsiTheme="minorHAnsi"/>
          <w:lang w:val="en-GB"/>
        </w:rPr>
        <w:t xml:space="preserve">The third case highlights a project to provide high quality wireless broadband across a university campus. In 2013, a partnership of education associations, public interest groups, technology companies, and the West Virginia University Board of Governors, among others, began a multi-stage project to expand the areas of connectivity across several campuses of West Virginia University.  In its first stage, two TVWS base stations and five fixed client radios were deployed in order to provide Wi-Fi access at university transit stations. Plans call for the eventual installation of TVWS radios on all cars of the transit system to provide seamless connectivity to commuting students and faculty. </w:t>
      </w:r>
    </w:p>
    <w:p w14:paraId="11ADF8F8" w14:textId="618072CB" w:rsidR="00AC35E8" w:rsidRPr="00FD2F0C" w:rsidRDefault="00AC35E8" w:rsidP="00AC35E8">
      <w:pPr>
        <w:pStyle w:val="Heading3"/>
        <w:numPr>
          <w:ilvl w:val="0"/>
          <w:numId w:val="0"/>
        </w:numPr>
        <w:ind w:left="720" w:hanging="720"/>
        <w:rPr>
          <w:rFonts w:asciiTheme="minorHAnsi" w:eastAsia="SimSun" w:hAnsiTheme="minorHAnsi"/>
        </w:rPr>
      </w:pPr>
      <w:bookmarkStart w:id="169" w:name="_Toc485648026"/>
      <w:r w:rsidRPr="00FD2F0C">
        <w:rPr>
          <w:rFonts w:asciiTheme="minorHAnsi" w:hAnsiTheme="minorHAnsi"/>
        </w:rPr>
        <w:t>A2-3.7</w:t>
      </w:r>
      <w:r w:rsidRPr="00FD2F0C">
        <w:rPr>
          <w:rFonts w:asciiTheme="minorHAnsi" w:hAnsiTheme="minorHAnsi"/>
        </w:rPr>
        <w:tab/>
      </w:r>
      <w:r w:rsidRPr="00FD2F0C">
        <w:rPr>
          <w:rFonts w:asciiTheme="minorHAnsi" w:eastAsia="SimSun" w:hAnsiTheme="minorHAnsi"/>
        </w:rPr>
        <w:t>Ghana</w:t>
      </w:r>
      <w:bookmarkEnd w:id="169"/>
    </w:p>
    <w:p w14:paraId="1EAF2B40" w14:textId="32B6D3A2" w:rsidR="001D5A43" w:rsidRPr="00FD2F0C" w:rsidRDefault="001D5A43" w:rsidP="001D5A43">
      <w:pPr>
        <w:rPr>
          <w:rFonts w:asciiTheme="minorHAnsi" w:hAnsiTheme="minorHAnsi"/>
          <w:lang w:val="en-GB" w:bidi="ar-EG"/>
        </w:rPr>
      </w:pPr>
      <w:r w:rsidRPr="00FD2F0C">
        <w:rPr>
          <w:rFonts w:asciiTheme="minorHAnsi" w:hAnsiTheme="minorHAnsi"/>
          <w:lang w:val="en-GB" w:bidi="ar-EG"/>
        </w:rPr>
        <w:t>Most educational institutions and rural communities in Ghana do not have access to affordable broadband Internet.</w:t>
      </w:r>
      <w:r w:rsidR="007C6CA5" w:rsidRPr="00FD2F0C">
        <w:rPr>
          <w:rFonts w:asciiTheme="minorHAnsi" w:hAnsiTheme="minorHAnsi"/>
          <w:lang w:val="en-GB" w:bidi="ar-EG"/>
        </w:rPr>
        <w:t xml:space="preserve"> To bridge this gap, several tr</w:t>
      </w:r>
      <w:r w:rsidRPr="00FD2F0C">
        <w:rPr>
          <w:rFonts w:asciiTheme="minorHAnsi" w:hAnsiTheme="minorHAnsi"/>
          <w:lang w:val="en-GB" w:bidi="ar-EG"/>
        </w:rPr>
        <w:t>i</w:t>
      </w:r>
      <w:r w:rsidR="007C6CA5" w:rsidRPr="00FD2F0C">
        <w:rPr>
          <w:rFonts w:asciiTheme="minorHAnsi" w:hAnsiTheme="minorHAnsi"/>
          <w:lang w:val="en-GB" w:bidi="ar-EG"/>
        </w:rPr>
        <w:t>a</w:t>
      </w:r>
      <w:r w:rsidRPr="00FD2F0C">
        <w:rPr>
          <w:rFonts w:asciiTheme="minorHAnsi" w:hAnsiTheme="minorHAnsi"/>
          <w:lang w:val="en-GB" w:bidi="ar-EG"/>
        </w:rPr>
        <w:t>ls were made on TV White Space technology in these institu</w:t>
      </w:r>
      <w:r w:rsidR="007C6CA5" w:rsidRPr="00FD2F0C">
        <w:rPr>
          <w:rFonts w:asciiTheme="minorHAnsi" w:hAnsiTheme="minorHAnsi"/>
          <w:lang w:val="en-GB" w:bidi="ar-EG"/>
        </w:rPr>
        <w:t>tions. After the trials, one</w:t>
      </w:r>
      <w:r w:rsidRPr="00FD2F0C">
        <w:rPr>
          <w:rFonts w:asciiTheme="minorHAnsi" w:hAnsiTheme="minorHAnsi"/>
          <w:lang w:val="en-GB" w:bidi="ar-EG"/>
        </w:rPr>
        <w:t xml:space="preserve"> company was authorised to operate commercial TV White Space enabled services to provide Internet connectivity to </w:t>
      </w:r>
      <w:r w:rsidR="007C6CA5" w:rsidRPr="00FD2F0C">
        <w:rPr>
          <w:rFonts w:asciiTheme="minorHAnsi" w:hAnsiTheme="minorHAnsi"/>
          <w:lang w:val="en-GB" w:bidi="ar-EG"/>
        </w:rPr>
        <w:t xml:space="preserve">two </w:t>
      </w:r>
      <w:r w:rsidRPr="00FD2F0C">
        <w:rPr>
          <w:rFonts w:asciiTheme="minorHAnsi" w:hAnsiTheme="minorHAnsi"/>
          <w:lang w:val="en-GB" w:bidi="ar-EG"/>
        </w:rPr>
        <w:t xml:space="preserve">educational institutions. This has given students access to affordable broadband Internet around the campuses and their environs. </w:t>
      </w:r>
    </w:p>
    <w:p w14:paraId="40AAB490" w14:textId="46B7A886" w:rsidR="001D5A43" w:rsidRPr="00FD2F0C" w:rsidRDefault="001D5A43" w:rsidP="001D5A43">
      <w:pPr>
        <w:rPr>
          <w:rFonts w:asciiTheme="minorHAnsi" w:hAnsiTheme="minorHAnsi"/>
          <w:lang w:val="en-GB" w:bidi="ar-EG"/>
        </w:rPr>
      </w:pPr>
      <w:r w:rsidRPr="00FD2F0C">
        <w:rPr>
          <w:rFonts w:asciiTheme="minorHAnsi" w:hAnsiTheme="minorHAnsi"/>
          <w:lang w:val="en-GB" w:bidi="ar-EG"/>
        </w:rPr>
        <w:t xml:space="preserve">In Ghana, television services are distributed using multi-frequency network (MFN) and single frequency network (SFN) meaning that the services are transmitted using different frequencies in different parts of the country. TV broadcast network uses high power transmitters, it is therefore necessary to leave gaps to prevent TV coverage areas from overlapping which would cause interference and disrupt TV reception. </w:t>
      </w:r>
    </w:p>
    <w:p w14:paraId="297B2EDF" w14:textId="4D950A46" w:rsidR="001D5A43" w:rsidRPr="00FD2F0C" w:rsidRDefault="001D5A43" w:rsidP="001D5A43">
      <w:pPr>
        <w:rPr>
          <w:rFonts w:asciiTheme="minorHAnsi" w:hAnsiTheme="minorHAnsi"/>
          <w:lang w:val="en-GB" w:bidi="ar-EG"/>
        </w:rPr>
      </w:pPr>
      <w:r w:rsidRPr="00FD2F0C">
        <w:rPr>
          <w:rFonts w:asciiTheme="minorHAnsi" w:hAnsiTheme="minorHAnsi"/>
          <w:lang w:val="en-GB" w:bidi="ar-EG"/>
        </w:rPr>
        <w:t>Further, the National Communications Authority (NCA) is currently developing the regulatory framework for the operations of TVWS services.</w:t>
      </w:r>
    </w:p>
    <w:p w14:paraId="770D6091" w14:textId="7BA66FE9" w:rsidR="001D5A43" w:rsidRPr="00FD2F0C" w:rsidRDefault="001D5A43" w:rsidP="00F05F92">
      <w:pPr>
        <w:rPr>
          <w:rFonts w:asciiTheme="minorHAnsi" w:hAnsiTheme="minorHAnsi"/>
          <w:lang w:val="en-GB" w:bidi="ar-EG"/>
        </w:rPr>
      </w:pPr>
      <w:r w:rsidRPr="00FD2F0C">
        <w:rPr>
          <w:rFonts w:asciiTheme="minorHAnsi" w:hAnsiTheme="minorHAnsi"/>
          <w:lang w:val="en-GB" w:bidi="ar-EG"/>
        </w:rPr>
        <w:t>In view of the above, although the TVWS techn</w:t>
      </w:r>
      <w:r w:rsidR="00FC2603" w:rsidRPr="00FD2F0C">
        <w:rPr>
          <w:rFonts w:asciiTheme="minorHAnsi" w:hAnsiTheme="minorHAnsi"/>
          <w:lang w:val="en-GB" w:bidi="ar-EG"/>
        </w:rPr>
        <w:t>ology is still not fully mature</w:t>
      </w:r>
      <w:r w:rsidRPr="00FD2F0C">
        <w:rPr>
          <w:rFonts w:asciiTheme="minorHAnsi" w:hAnsiTheme="minorHAnsi"/>
          <w:lang w:val="en-GB" w:bidi="ar-EG"/>
        </w:rPr>
        <w:t xml:space="preserve"> for a full-scale deployment in Ghana, results of the trials indicate that it has the </w:t>
      </w:r>
      <w:r w:rsidR="00F05F92" w:rsidRPr="00FD2F0C">
        <w:rPr>
          <w:rFonts w:asciiTheme="minorHAnsi" w:hAnsiTheme="minorHAnsi"/>
          <w:lang w:val="en-GB" w:bidi="ar-EG"/>
        </w:rPr>
        <w:t>potential</w:t>
      </w:r>
      <w:r w:rsidRPr="00FD2F0C">
        <w:rPr>
          <w:rFonts w:asciiTheme="minorHAnsi" w:hAnsiTheme="minorHAnsi"/>
          <w:lang w:val="en-GB" w:bidi="ar-EG"/>
        </w:rPr>
        <w:t xml:space="preserve"> of delivering broadband access to rural communities in Ghana.</w:t>
      </w:r>
    </w:p>
    <w:p w14:paraId="7B0D25DF" w14:textId="4C0301A4" w:rsidR="00F754E1" w:rsidRPr="00FD2F0C" w:rsidRDefault="003B78A0" w:rsidP="00D06C3F">
      <w:pPr>
        <w:keepNext/>
        <w:spacing w:before="240"/>
        <w:ind w:left="357" w:hanging="357"/>
        <w:outlineLvl w:val="1"/>
        <w:rPr>
          <w:rFonts w:asciiTheme="minorHAnsi" w:hAnsiTheme="minorHAnsi" w:cs="Helvetica"/>
          <w:b/>
          <w:bCs/>
          <w:color w:val="1F9DD9"/>
          <w:szCs w:val="32"/>
          <w:lang w:val="en-GB"/>
        </w:rPr>
      </w:pPr>
      <w:bookmarkStart w:id="170" w:name="_Toc485648027"/>
      <w:r w:rsidRPr="00FD2F0C">
        <w:rPr>
          <w:rFonts w:asciiTheme="minorHAnsi" w:hAnsiTheme="minorHAnsi" w:cs="Helvetica"/>
          <w:b/>
          <w:bCs/>
          <w:color w:val="1F9DD9"/>
          <w:szCs w:val="32"/>
          <w:lang w:val="en-GB"/>
        </w:rPr>
        <w:t>A</w:t>
      </w:r>
      <w:r w:rsidR="00D06C3F" w:rsidRPr="00FD2F0C">
        <w:rPr>
          <w:rFonts w:asciiTheme="minorHAnsi" w:hAnsiTheme="minorHAnsi" w:cs="Helvetica"/>
          <w:b/>
          <w:bCs/>
          <w:color w:val="1F9DD9"/>
          <w:szCs w:val="32"/>
          <w:lang w:val="en-GB"/>
        </w:rPr>
        <w:t>2</w:t>
      </w:r>
      <w:r w:rsidRPr="00FD2F0C">
        <w:rPr>
          <w:rFonts w:asciiTheme="minorHAnsi" w:hAnsiTheme="minorHAnsi" w:cs="Helvetica"/>
          <w:b/>
          <w:bCs/>
          <w:color w:val="1F9DD9"/>
          <w:szCs w:val="32"/>
          <w:lang w:val="en-GB"/>
        </w:rPr>
        <w:t>-</w:t>
      </w:r>
      <w:r w:rsidR="00D06C3F" w:rsidRPr="00FD2F0C">
        <w:rPr>
          <w:rFonts w:asciiTheme="minorHAnsi" w:hAnsiTheme="minorHAnsi" w:cs="Helvetica"/>
          <w:b/>
          <w:bCs/>
          <w:color w:val="1F9DD9"/>
          <w:szCs w:val="32"/>
          <w:lang w:val="en-GB"/>
        </w:rPr>
        <w:t>4</w:t>
      </w:r>
      <w:r w:rsidR="00F754E1" w:rsidRPr="00FD2F0C">
        <w:rPr>
          <w:rFonts w:asciiTheme="minorHAnsi" w:hAnsiTheme="minorHAnsi" w:cs="Helvetica"/>
          <w:b/>
          <w:bCs/>
          <w:color w:val="1F9DD9"/>
          <w:szCs w:val="32"/>
          <w:lang w:val="en-GB"/>
        </w:rPr>
        <w:t>.</w:t>
      </w:r>
      <w:r w:rsidR="00F754E1" w:rsidRPr="00FD2F0C">
        <w:rPr>
          <w:rFonts w:asciiTheme="minorHAnsi" w:hAnsiTheme="minorHAnsi" w:cs="Helvetica"/>
          <w:b/>
          <w:bCs/>
          <w:color w:val="1F9DD9"/>
          <w:szCs w:val="32"/>
          <w:lang w:val="en-GB"/>
        </w:rPr>
        <w:tab/>
        <w:t>Countries experiences in relation to spectrum pricing, licensing fees and auctions</w:t>
      </w:r>
      <w:bookmarkEnd w:id="170"/>
    </w:p>
    <w:p w14:paraId="49159725" w14:textId="77777777" w:rsidR="00EA4781" w:rsidRPr="00FD2F0C" w:rsidRDefault="00EA4781" w:rsidP="00EA4781">
      <w:pPr>
        <w:rPr>
          <w:rFonts w:asciiTheme="minorHAnsi" w:hAnsiTheme="minorHAnsi"/>
          <w:lang w:val="en-GB" w:bidi="ar-EG"/>
        </w:rPr>
      </w:pPr>
      <w:r w:rsidRPr="00FD2F0C">
        <w:rPr>
          <w:rFonts w:asciiTheme="minorHAnsi" w:hAnsiTheme="minorHAnsi"/>
          <w:lang w:val="en-GB" w:bidi="ar-EG"/>
        </w:rPr>
        <w:t>In the following sections we highlight experiences of different administrations in valuing spectrum fees.</w:t>
      </w:r>
    </w:p>
    <w:p w14:paraId="5C543E1B" w14:textId="15CCBCF8" w:rsidR="00EA4781" w:rsidRPr="00FD2F0C" w:rsidRDefault="003B78A0" w:rsidP="00D06C3F">
      <w:pPr>
        <w:pStyle w:val="Heading3"/>
        <w:numPr>
          <w:ilvl w:val="0"/>
          <w:numId w:val="0"/>
        </w:numPr>
        <w:ind w:left="720" w:hanging="720"/>
        <w:rPr>
          <w:rFonts w:asciiTheme="minorHAnsi" w:eastAsia="SimSun" w:hAnsiTheme="minorHAnsi"/>
        </w:rPr>
      </w:pPr>
      <w:bookmarkStart w:id="171" w:name="_Toc485648028"/>
      <w:r w:rsidRPr="00FD2F0C">
        <w:rPr>
          <w:rFonts w:asciiTheme="minorHAnsi" w:eastAsia="SimSun" w:hAnsiTheme="minorHAnsi"/>
        </w:rPr>
        <w:t>A</w:t>
      </w:r>
      <w:r w:rsidR="00D06C3F" w:rsidRPr="00FD2F0C">
        <w:rPr>
          <w:rFonts w:asciiTheme="minorHAnsi" w:eastAsia="SimSun" w:hAnsiTheme="minorHAnsi"/>
        </w:rPr>
        <w:t>2</w:t>
      </w:r>
      <w:r w:rsidRPr="00FD2F0C">
        <w:rPr>
          <w:rFonts w:asciiTheme="minorHAnsi" w:eastAsia="SimSun" w:hAnsiTheme="minorHAnsi"/>
        </w:rPr>
        <w:t>-</w:t>
      </w:r>
      <w:r w:rsidR="00D06C3F" w:rsidRPr="00FD2F0C">
        <w:rPr>
          <w:rFonts w:asciiTheme="minorHAnsi" w:eastAsia="SimSun" w:hAnsiTheme="minorHAnsi"/>
        </w:rPr>
        <w:t>4</w:t>
      </w:r>
      <w:r w:rsidR="00EA4781" w:rsidRPr="00FD2F0C">
        <w:rPr>
          <w:rFonts w:asciiTheme="minorHAnsi" w:eastAsia="SimSun" w:hAnsiTheme="minorHAnsi"/>
        </w:rPr>
        <w:t>.1</w:t>
      </w:r>
      <w:r w:rsidR="00EA4781" w:rsidRPr="00FD2F0C">
        <w:rPr>
          <w:rFonts w:asciiTheme="minorHAnsi" w:eastAsia="SimSun" w:hAnsiTheme="minorHAnsi"/>
        </w:rPr>
        <w:tab/>
        <w:t>Côte d’Ivoire – Estimating costs of licenses and frequencies</w:t>
      </w:r>
      <w:bookmarkEnd w:id="171"/>
    </w:p>
    <w:p w14:paraId="26DF7F95" w14:textId="77777777" w:rsidR="00EA4781" w:rsidRPr="00FD2F0C" w:rsidRDefault="00EA4781" w:rsidP="00EA4781">
      <w:pPr>
        <w:rPr>
          <w:rFonts w:asciiTheme="minorHAnsi" w:hAnsiTheme="minorHAnsi"/>
          <w:lang w:val="en-GB"/>
        </w:rPr>
      </w:pPr>
      <w:r w:rsidRPr="00FD2F0C">
        <w:rPr>
          <w:rFonts w:asciiTheme="minorHAnsi" w:hAnsiTheme="minorHAnsi"/>
          <w:lang w:val="en-GB"/>
        </w:rPr>
        <w:t>The capability of the National Regulatory Agency (NRA) to accurately estimate licensing costs and spectrum usage fees when renewing 2G mobile telephony licenses, allowing entry of new 2G competitors, and the granting of new licenses (3G, 4G, general license) is important both for the NRA and the telecom operators</w:t>
      </w:r>
      <w:r w:rsidRPr="00FD2F0C">
        <w:rPr>
          <w:rStyle w:val="FootnoteReference"/>
          <w:rFonts w:asciiTheme="minorHAnsi" w:hAnsiTheme="minorHAnsi"/>
        </w:rPr>
        <w:footnoteReference w:id="62"/>
      </w:r>
      <w:r w:rsidRPr="00FD2F0C">
        <w:rPr>
          <w:rFonts w:asciiTheme="minorHAnsi" w:hAnsiTheme="minorHAnsi"/>
          <w:lang w:val="en-GB"/>
        </w:rPr>
        <w:t xml:space="preserve">. For many administrations, such payments often represent a </w:t>
      </w:r>
      <w:r w:rsidRPr="00FD2F0C">
        <w:rPr>
          <w:rFonts w:asciiTheme="minorHAnsi" w:hAnsiTheme="minorHAnsi"/>
          <w:lang w:val="en-GB"/>
        </w:rPr>
        <w:lastRenderedPageBreak/>
        <w:t>significant resource for public finance. These payments are based on several factors and considerations. Typically, licensing costs and spectrum usage fees vary based on the type of network and services provided and are determined by the characteristics and the amount of spectrum made available.</w:t>
      </w:r>
    </w:p>
    <w:p w14:paraId="672E2E93" w14:textId="77777777" w:rsidR="00EA4781" w:rsidRPr="00FD2F0C" w:rsidRDefault="00EA4781" w:rsidP="00EA4781">
      <w:pPr>
        <w:rPr>
          <w:rFonts w:asciiTheme="minorHAnsi" w:hAnsiTheme="minorHAnsi" w:cstheme="minorHAnsi"/>
          <w:lang w:val="en-GB"/>
        </w:rPr>
      </w:pPr>
      <w:r w:rsidRPr="00FD2F0C">
        <w:rPr>
          <w:rFonts w:asciiTheme="minorHAnsi" w:hAnsiTheme="minorHAnsi"/>
          <w:lang w:val="en-GB"/>
        </w:rPr>
        <w:t>Côte d’Ivoire observes that NRA’s in developing countries often lack the necessary capability to estimate the costs of licenses and usage fees, as telecom operators upgrade their 2G voice and data networks to 3G and 4G networks. In these circumstances, NRA’s often turn to international firms to estimate the costs of licenses for both their technical expertise and to lend credibility to the process for the affected parties. The two methods used most often by these firms for estimating the economic value of the spectrum licenses are: (1) Discounted Cash Flow (DCF) and (2) benchmarking methods.</w:t>
      </w:r>
    </w:p>
    <w:p w14:paraId="71BDA720" w14:textId="77777777" w:rsidR="00EA4781" w:rsidRPr="00FD2F0C" w:rsidRDefault="00EA4781" w:rsidP="00EA4781">
      <w:pPr>
        <w:rPr>
          <w:rFonts w:asciiTheme="minorHAnsi" w:hAnsiTheme="minorHAnsi"/>
          <w:lang w:val="en-GB"/>
        </w:rPr>
      </w:pPr>
      <w:r w:rsidRPr="00FD2F0C">
        <w:rPr>
          <w:rFonts w:asciiTheme="minorHAnsi" w:hAnsiTheme="minorHAnsi"/>
          <w:lang w:val="en-GB"/>
        </w:rPr>
        <w:t>Under the DCF method, the consultant first estimates an operator’s annual revenues and cost based on its business plan over the period of validity of the license to derive an estimate of the operator’s free cash flow. A country’s unique discount rate is applied to the estimated future free cash flow to determine its present value, which is an indicator of the license’s economic value. A percentage of the calculated value, between 40 and 70 per cent, is used to estimate the spectrum price of the license. The estimate can be validated by a comparison of results with international best practices. As the analysis is based on the expertise of consultants acquired from many other similar projects rather than on country specific data, the possibility exists for under-estimating or over-estimating the cost of the licenses. Côte d’Ivoire believes these cost estimates should be adjusted to account for the conditions prevalent in developing countries so as to reflect their actual value. Further, it would be desirable for these consultants to adopt a coherent method of calculation for the sake of obtaining a clearer and fairer evaluation of the various financial costs associated with individual licenses and spectrum usage fees.</w:t>
      </w:r>
    </w:p>
    <w:p w14:paraId="13C15BC8" w14:textId="77777777" w:rsidR="00EA4781" w:rsidRPr="00FD2F0C" w:rsidRDefault="00EA4781" w:rsidP="00EA4781">
      <w:pPr>
        <w:rPr>
          <w:rFonts w:asciiTheme="minorHAnsi" w:hAnsiTheme="minorHAnsi"/>
          <w:lang w:val="en-GB"/>
        </w:rPr>
      </w:pPr>
      <w:r w:rsidRPr="00FD2F0C">
        <w:rPr>
          <w:rFonts w:asciiTheme="minorHAnsi" w:hAnsiTheme="minorHAnsi"/>
          <w:lang w:val="en-GB"/>
        </w:rPr>
        <w:t>The second method, benchmarking, involves comparing values of the financial costs of licenses and frequency use. Limitations in using the benchmarking method result from the differences in licensing terms (population, areas, inflation, etc.) that prevent an apples-to apples comparison, coupled with the fact that the methods used for estimating the costs for a given license may not be known. To improve benchmarking, Côte d’Ivoire recommends that: (1) National regulatory authorities carry out market surveys in their countries in order to better ascertain market trends and be in a position to make reasonable and fair estimates; (2) National regulatory authorities put in place mechanisms to certify the validity of data and to exchange data in real time; and (3) the ITU recommend methods of estimating costs of licenses and frequencies that are best adapted to the requirements of developing countries taking into account the shortage of  data for estimating costs of licenses and frequency resources.</w:t>
      </w:r>
    </w:p>
    <w:p w14:paraId="7BEAC385" w14:textId="350088F3" w:rsidR="00EA4781" w:rsidRPr="00FD2F0C" w:rsidRDefault="003B78A0" w:rsidP="00D06C3F">
      <w:pPr>
        <w:pStyle w:val="Heading3"/>
        <w:numPr>
          <w:ilvl w:val="0"/>
          <w:numId w:val="0"/>
        </w:numPr>
        <w:rPr>
          <w:rFonts w:asciiTheme="minorHAnsi" w:hAnsiTheme="minorHAnsi"/>
        </w:rPr>
      </w:pPr>
      <w:bookmarkStart w:id="172" w:name="_Toc485648029"/>
      <w:r w:rsidRPr="00FD2F0C">
        <w:rPr>
          <w:rFonts w:asciiTheme="minorHAnsi" w:hAnsiTheme="minorHAnsi"/>
        </w:rPr>
        <w:t>A</w:t>
      </w:r>
      <w:r w:rsidR="00D06C3F" w:rsidRPr="00FD2F0C">
        <w:rPr>
          <w:rFonts w:asciiTheme="minorHAnsi" w:hAnsiTheme="minorHAnsi"/>
        </w:rPr>
        <w:t>2</w:t>
      </w:r>
      <w:r w:rsidRPr="00FD2F0C">
        <w:rPr>
          <w:rFonts w:asciiTheme="minorHAnsi" w:hAnsiTheme="minorHAnsi"/>
        </w:rPr>
        <w:t>-</w:t>
      </w:r>
      <w:r w:rsidR="00D06C3F" w:rsidRPr="00FD2F0C">
        <w:rPr>
          <w:rFonts w:asciiTheme="minorHAnsi" w:hAnsiTheme="minorHAnsi"/>
        </w:rPr>
        <w:t>4</w:t>
      </w:r>
      <w:r w:rsidR="00EA4781" w:rsidRPr="00FD2F0C">
        <w:rPr>
          <w:rFonts w:asciiTheme="minorHAnsi" w:hAnsiTheme="minorHAnsi"/>
        </w:rPr>
        <w:t>.2</w:t>
      </w:r>
      <w:r w:rsidR="00EA4781" w:rsidRPr="00FD2F0C">
        <w:rPr>
          <w:rFonts w:asciiTheme="minorHAnsi" w:hAnsiTheme="minorHAnsi"/>
        </w:rPr>
        <w:tab/>
        <w:t>Republic of Niger – Method to determine the frequency fees</w:t>
      </w:r>
      <w:bookmarkEnd w:id="172"/>
    </w:p>
    <w:p w14:paraId="785BCA89" w14:textId="77777777" w:rsidR="00EA4781" w:rsidRPr="00FD2F0C" w:rsidRDefault="00EA4781" w:rsidP="00EA4781">
      <w:pPr>
        <w:rPr>
          <w:rFonts w:asciiTheme="minorHAnsi" w:hAnsiTheme="minorHAnsi"/>
        </w:rPr>
      </w:pPr>
      <w:r w:rsidRPr="00FD2F0C">
        <w:rPr>
          <w:rFonts w:asciiTheme="minorHAnsi" w:hAnsiTheme="minorHAnsi"/>
          <w:lang w:val="en-GB"/>
        </w:rPr>
        <w:t>The NRA is authorized to collect an annual spectrum usage fee, as well as fees to cover its costs for managing and monitoring the radio spectrum.</w:t>
      </w:r>
      <w:r w:rsidRPr="00FD2F0C">
        <w:rPr>
          <w:rStyle w:val="FootnoteReference"/>
          <w:rFonts w:asciiTheme="minorHAnsi" w:hAnsiTheme="minorHAnsi"/>
        </w:rPr>
        <w:footnoteReference w:id="63"/>
      </w:r>
      <w:r w:rsidRPr="00FD2F0C">
        <w:rPr>
          <w:rFonts w:asciiTheme="minorHAnsi" w:hAnsiTheme="minorHAnsi"/>
          <w:lang w:val="en-GB"/>
        </w:rPr>
        <w:t xml:space="preserve"> The Republic of Niger proposes a new method for calculation of spectrum usage and management fees that is less complex and more understandable to all the parties involved. The motivation for proposing the new method is that if fees are seen to be set too high, operators will increase their rates for telecommunications services which may result in fewer users and / or reduced use of the spectrum. Conversely, if fees are set too low, it may lead to a significant increase in spectrum usage, causing network congestion, among other challenges. </w:t>
      </w:r>
      <w:r w:rsidRPr="00FD2F0C">
        <w:rPr>
          <w:rFonts w:asciiTheme="minorHAnsi" w:hAnsiTheme="minorHAnsi"/>
        </w:rPr>
        <w:t>The new method covers:</w:t>
      </w:r>
    </w:p>
    <w:p w14:paraId="7475E878" w14:textId="77777777" w:rsidR="00EA4781" w:rsidRPr="00FD2F0C" w:rsidRDefault="00EA4781" w:rsidP="00804B10">
      <w:pPr>
        <w:pStyle w:val="Bulletlist1"/>
        <w:numPr>
          <w:ilvl w:val="0"/>
          <w:numId w:val="20"/>
        </w:numPr>
        <w:ind w:left="714" w:hanging="357"/>
        <w:jc w:val="both"/>
        <w:rPr>
          <w:rFonts w:asciiTheme="minorHAnsi" w:hAnsiTheme="minorHAnsi"/>
        </w:rPr>
      </w:pPr>
      <w:r w:rsidRPr="00FD2F0C">
        <w:rPr>
          <w:rFonts w:asciiTheme="minorHAnsi" w:hAnsiTheme="minorHAnsi"/>
        </w:rPr>
        <w:lastRenderedPageBreak/>
        <w:t xml:space="preserve">The administrative fee paid at the time of requesting a radio frequency assignment or approval of a radio installation referred to as the ‘file tax’. The value of the tax varies for different services / networks and is determined through a benchmarking process. </w:t>
      </w:r>
    </w:p>
    <w:p w14:paraId="6A6449CA" w14:textId="597199D1" w:rsidR="00EA4781" w:rsidRPr="00FD2F0C" w:rsidRDefault="00EA4781" w:rsidP="00804B10">
      <w:pPr>
        <w:pStyle w:val="Bulletlist1"/>
        <w:numPr>
          <w:ilvl w:val="0"/>
          <w:numId w:val="20"/>
        </w:numPr>
        <w:ind w:left="714" w:hanging="357"/>
        <w:jc w:val="both"/>
        <w:rPr>
          <w:rFonts w:asciiTheme="minorHAnsi" w:hAnsiTheme="minorHAnsi"/>
        </w:rPr>
      </w:pPr>
      <w:r w:rsidRPr="00FD2F0C">
        <w:rPr>
          <w:rFonts w:asciiTheme="minorHAnsi" w:hAnsiTheme="minorHAnsi"/>
        </w:rPr>
        <w:t xml:space="preserve">The visit and control tax allows for cost-recovery for when regulatory agency staff provides services at a network user or radio service facility. It is a flat tax whose value is based on benchmarking. </w:t>
      </w:r>
    </w:p>
    <w:p w14:paraId="246FB083" w14:textId="77777777" w:rsidR="00EA4781" w:rsidRPr="00FD2F0C" w:rsidRDefault="00EA4781" w:rsidP="00804B10">
      <w:pPr>
        <w:pStyle w:val="Bulletlist1"/>
        <w:numPr>
          <w:ilvl w:val="0"/>
          <w:numId w:val="20"/>
        </w:numPr>
        <w:ind w:left="714" w:hanging="357"/>
        <w:jc w:val="both"/>
        <w:rPr>
          <w:rFonts w:asciiTheme="minorHAnsi" w:hAnsiTheme="minorHAnsi"/>
        </w:rPr>
      </w:pPr>
      <w:r w:rsidRPr="00FD2F0C">
        <w:rPr>
          <w:rFonts w:asciiTheme="minorHAnsi" w:hAnsiTheme="minorHAnsi"/>
        </w:rPr>
        <w:t>Spectrum usage fee for private sector operators can be calculated by the following formula:</w:t>
      </w:r>
    </w:p>
    <w:p w14:paraId="6BD35B2B" w14:textId="77777777" w:rsidR="00EA4781" w:rsidRPr="00FD2F0C" w:rsidRDefault="00EA4781" w:rsidP="00EA4781">
      <w:pPr>
        <w:ind w:left="2880" w:firstLine="720"/>
        <w:contextualSpacing/>
        <w:rPr>
          <w:rFonts w:asciiTheme="minorHAnsi" w:hAnsiTheme="minorHAnsi" w:cstheme="minorHAnsi"/>
          <w:lang w:val="en-GB"/>
        </w:rPr>
      </w:pPr>
      <w:r w:rsidRPr="00FD2F0C">
        <w:rPr>
          <w:rFonts w:asciiTheme="minorHAnsi" w:hAnsiTheme="minorHAnsi" w:cstheme="minorHAnsi"/>
          <w:lang w:val="en-GB"/>
        </w:rPr>
        <w:t xml:space="preserve">R= D x V x L x S x C x K </w:t>
      </w:r>
    </w:p>
    <w:p w14:paraId="265D68B3" w14:textId="77777777" w:rsidR="00EA4781" w:rsidRPr="00FD2F0C" w:rsidRDefault="00EA4781" w:rsidP="00EA4781">
      <w:pPr>
        <w:ind w:firstLine="720"/>
        <w:contextualSpacing/>
        <w:rPr>
          <w:rFonts w:asciiTheme="minorHAnsi" w:hAnsiTheme="minorHAnsi" w:cstheme="minorHAnsi"/>
          <w:lang w:val="en-GB"/>
        </w:rPr>
      </w:pPr>
      <w:r w:rsidRPr="00FD2F0C">
        <w:rPr>
          <w:rFonts w:asciiTheme="minorHAnsi" w:hAnsiTheme="minorHAnsi" w:cstheme="minorHAnsi"/>
          <w:lang w:val="en-GB"/>
        </w:rPr>
        <w:t>Where:</w:t>
      </w:r>
    </w:p>
    <w:p w14:paraId="68865A0A" w14:textId="77777777" w:rsidR="00EA4781" w:rsidRPr="00FD2F0C" w:rsidRDefault="00EA4781" w:rsidP="00EA4781">
      <w:pPr>
        <w:spacing w:before="20"/>
        <w:ind w:firstLine="720"/>
        <w:contextualSpacing/>
        <w:rPr>
          <w:rFonts w:asciiTheme="minorHAnsi" w:hAnsiTheme="minorHAnsi" w:cstheme="minorHAnsi"/>
          <w:lang w:val="en-GB"/>
        </w:rPr>
      </w:pPr>
      <w:r w:rsidRPr="00FD2F0C">
        <w:rPr>
          <w:rFonts w:asciiTheme="minorHAnsi" w:hAnsiTheme="minorHAnsi" w:cstheme="minorHAnsi"/>
          <w:lang w:val="en-GB"/>
        </w:rPr>
        <w:t>D = Percentage of time the frequencies are being used over a year</w:t>
      </w:r>
    </w:p>
    <w:p w14:paraId="0539289F" w14:textId="77777777" w:rsidR="00EA4781" w:rsidRPr="00FD2F0C" w:rsidRDefault="00EA4781" w:rsidP="00EA4781">
      <w:pPr>
        <w:spacing w:before="20"/>
        <w:ind w:left="720"/>
        <w:contextualSpacing/>
        <w:rPr>
          <w:rFonts w:asciiTheme="minorHAnsi" w:hAnsiTheme="minorHAnsi" w:cstheme="minorHAnsi"/>
          <w:lang w:val="en-GB"/>
        </w:rPr>
      </w:pPr>
      <w:r w:rsidRPr="00FD2F0C">
        <w:rPr>
          <w:rFonts w:asciiTheme="minorHAnsi" w:hAnsiTheme="minorHAnsi" w:cstheme="minorHAnsi"/>
          <w:lang w:val="en-GB"/>
        </w:rPr>
        <w:t>V = Bandwidth of the frequency assignment (provided by a table that varies by radio service and the frequency band)</w:t>
      </w:r>
    </w:p>
    <w:p w14:paraId="7CD82051" w14:textId="77777777" w:rsidR="00EA4781" w:rsidRPr="00FD2F0C" w:rsidRDefault="00EA4781" w:rsidP="00EA4781">
      <w:pPr>
        <w:spacing w:before="20"/>
        <w:ind w:left="720"/>
        <w:contextualSpacing/>
        <w:rPr>
          <w:rFonts w:asciiTheme="minorHAnsi" w:hAnsiTheme="minorHAnsi" w:cstheme="minorHAnsi"/>
          <w:lang w:val="en-GB"/>
        </w:rPr>
      </w:pPr>
      <w:r w:rsidRPr="00FD2F0C">
        <w:rPr>
          <w:rFonts w:asciiTheme="minorHAnsi" w:hAnsiTheme="minorHAnsi" w:cstheme="minorHAnsi"/>
          <w:lang w:val="en-GB"/>
        </w:rPr>
        <w:t>L = Level of demand (provided by a table that varies by frequency band and the nature of the service)</w:t>
      </w:r>
    </w:p>
    <w:p w14:paraId="0A5CCB59" w14:textId="77777777" w:rsidR="00EA4781" w:rsidRPr="00FD2F0C" w:rsidRDefault="00EA4781" w:rsidP="00EA4781">
      <w:pPr>
        <w:spacing w:before="20"/>
        <w:ind w:left="720"/>
        <w:contextualSpacing/>
        <w:rPr>
          <w:rFonts w:asciiTheme="minorHAnsi" w:hAnsiTheme="minorHAnsi" w:cstheme="minorHAnsi"/>
          <w:lang w:val="en-GB"/>
        </w:rPr>
      </w:pPr>
      <w:r w:rsidRPr="00FD2F0C">
        <w:rPr>
          <w:rFonts w:asciiTheme="minorHAnsi" w:hAnsiTheme="minorHAnsi" w:cstheme="minorHAnsi"/>
          <w:lang w:val="en-GB"/>
        </w:rPr>
        <w:t>S= Optimization of the use of the spectrum (accounting for the level of complexity of the spectrum management based on different service / network type)</w:t>
      </w:r>
    </w:p>
    <w:p w14:paraId="24F1DBFE" w14:textId="77777777" w:rsidR="00EA4781" w:rsidRPr="00FD2F0C" w:rsidRDefault="00EA4781" w:rsidP="00EA4781">
      <w:pPr>
        <w:spacing w:before="20"/>
        <w:ind w:left="720"/>
        <w:contextualSpacing/>
        <w:rPr>
          <w:rFonts w:asciiTheme="minorHAnsi" w:hAnsiTheme="minorHAnsi" w:cstheme="minorHAnsi"/>
          <w:lang w:val="en-GB"/>
        </w:rPr>
      </w:pPr>
      <w:r w:rsidRPr="00FD2F0C">
        <w:rPr>
          <w:rFonts w:asciiTheme="minorHAnsi" w:hAnsiTheme="minorHAnsi" w:cstheme="minorHAnsi"/>
          <w:lang w:val="en-GB"/>
        </w:rPr>
        <w:t>C = Class of use (government use, private services of general interest or public utility, networks open to the public established by licensed operators, independent private networks, radio and television, amateur use.)</w:t>
      </w:r>
    </w:p>
    <w:p w14:paraId="6D915DC3" w14:textId="77777777" w:rsidR="00EA4781" w:rsidRPr="00FD2F0C" w:rsidRDefault="00EA4781" w:rsidP="00EA4781">
      <w:pPr>
        <w:spacing w:before="20"/>
        <w:ind w:firstLine="720"/>
        <w:contextualSpacing/>
        <w:rPr>
          <w:rFonts w:asciiTheme="minorHAnsi" w:hAnsiTheme="minorHAnsi" w:cstheme="minorHAnsi"/>
          <w:lang w:val="en-GB"/>
        </w:rPr>
      </w:pPr>
      <w:r w:rsidRPr="00FD2F0C">
        <w:rPr>
          <w:rFonts w:asciiTheme="minorHAnsi" w:hAnsiTheme="minorHAnsi" w:cstheme="minorHAnsi"/>
          <w:lang w:val="en-GB"/>
        </w:rPr>
        <w:t>K = Reference value (fee depends on the radio service)</w:t>
      </w:r>
    </w:p>
    <w:p w14:paraId="7CC6EE68"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 xml:space="preserve">There are also spectrum usage fees for fixed- and mobile-satellite service and for terrestrial radio and television broadcasters whose content is retransmitted over cable networks. </w:t>
      </w:r>
    </w:p>
    <w:p w14:paraId="76B513A0" w14:textId="77777777" w:rsidR="00EA4781" w:rsidRPr="00FD2F0C" w:rsidRDefault="00EA4781" w:rsidP="00804B10">
      <w:pPr>
        <w:pStyle w:val="Bulletlist1"/>
        <w:numPr>
          <w:ilvl w:val="0"/>
          <w:numId w:val="20"/>
        </w:numPr>
        <w:ind w:left="714" w:hanging="357"/>
        <w:jc w:val="both"/>
        <w:rPr>
          <w:rFonts w:asciiTheme="minorHAnsi" w:hAnsiTheme="minorHAnsi"/>
        </w:rPr>
      </w:pPr>
      <w:r w:rsidRPr="00FD2F0C">
        <w:rPr>
          <w:rFonts w:asciiTheme="minorHAnsi" w:hAnsiTheme="minorHAnsi"/>
        </w:rPr>
        <w:t>Contributions to the management fee are calculated using the formula:</w:t>
      </w:r>
    </w:p>
    <w:p w14:paraId="1BBEC71B" w14:textId="77777777" w:rsidR="00EA4781" w:rsidRPr="00FD2F0C" w:rsidRDefault="00EA4781" w:rsidP="00EA4781">
      <w:pPr>
        <w:ind w:left="2880" w:firstLine="720"/>
        <w:contextualSpacing/>
        <w:rPr>
          <w:rFonts w:asciiTheme="minorHAnsi" w:hAnsiTheme="minorHAnsi" w:cstheme="minorHAnsi"/>
          <w:lang w:val="en-GB"/>
        </w:rPr>
      </w:pPr>
      <w:r w:rsidRPr="00FD2F0C">
        <w:rPr>
          <w:rFonts w:asciiTheme="minorHAnsi" w:hAnsiTheme="minorHAnsi" w:cstheme="minorHAnsi"/>
          <w:lang w:val="en-GB"/>
        </w:rPr>
        <w:t>C = T x R x O x G</w:t>
      </w:r>
    </w:p>
    <w:p w14:paraId="00E91288" w14:textId="77777777" w:rsidR="00EA4781" w:rsidRPr="00FD2F0C" w:rsidRDefault="00EA4781" w:rsidP="00EA4781">
      <w:pPr>
        <w:ind w:left="720"/>
        <w:rPr>
          <w:rFonts w:asciiTheme="minorHAnsi" w:hAnsiTheme="minorHAnsi" w:cstheme="minorHAnsi"/>
          <w:lang w:val="en-GB"/>
        </w:rPr>
      </w:pPr>
      <w:r w:rsidRPr="00FD2F0C">
        <w:rPr>
          <w:rFonts w:asciiTheme="minorHAnsi" w:hAnsiTheme="minorHAnsi" w:cstheme="minorHAnsi"/>
          <w:lang w:val="en-GB"/>
        </w:rPr>
        <w:t>Where:</w:t>
      </w:r>
    </w:p>
    <w:p w14:paraId="087895F8" w14:textId="77777777" w:rsidR="00EA4781" w:rsidRPr="00FD2F0C" w:rsidRDefault="00EA4781" w:rsidP="00EA4781">
      <w:pPr>
        <w:ind w:firstLine="720"/>
        <w:contextualSpacing/>
        <w:rPr>
          <w:rFonts w:asciiTheme="minorHAnsi" w:hAnsiTheme="minorHAnsi" w:cstheme="minorHAnsi"/>
          <w:lang w:val="en-GB"/>
        </w:rPr>
      </w:pPr>
      <w:r w:rsidRPr="00FD2F0C">
        <w:rPr>
          <w:rFonts w:asciiTheme="minorHAnsi" w:hAnsiTheme="minorHAnsi" w:cstheme="minorHAnsi"/>
          <w:lang w:val="en-GB"/>
        </w:rPr>
        <w:t>T = Percentage of time the frequencies are being used over a year</w:t>
      </w:r>
    </w:p>
    <w:p w14:paraId="151E052B" w14:textId="77777777" w:rsidR="00EA4781" w:rsidRPr="00FD2F0C" w:rsidRDefault="00EA4781" w:rsidP="00EA4781">
      <w:pPr>
        <w:ind w:firstLine="720"/>
        <w:contextualSpacing/>
        <w:rPr>
          <w:rFonts w:asciiTheme="minorHAnsi" w:hAnsiTheme="minorHAnsi" w:cstheme="minorHAnsi"/>
          <w:lang w:val="en-GB"/>
        </w:rPr>
      </w:pPr>
      <w:r w:rsidRPr="00FD2F0C">
        <w:rPr>
          <w:rFonts w:asciiTheme="minorHAnsi" w:hAnsiTheme="minorHAnsi" w:cstheme="minorHAnsi"/>
          <w:lang w:val="en-GB"/>
        </w:rPr>
        <w:t>R = Number of stations / links</w:t>
      </w:r>
    </w:p>
    <w:p w14:paraId="3BB8F8D5" w14:textId="77777777" w:rsidR="00EA4781" w:rsidRPr="00FD2F0C" w:rsidRDefault="00EA4781" w:rsidP="00EA4781">
      <w:pPr>
        <w:ind w:firstLine="720"/>
        <w:contextualSpacing/>
        <w:rPr>
          <w:rFonts w:asciiTheme="minorHAnsi" w:hAnsiTheme="minorHAnsi" w:cstheme="minorHAnsi"/>
          <w:lang w:val="en-GB"/>
        </w:rPr>
      </w:pPr>
      <w:r w:rsidRPr="00FD2F0C">
        <w:rPr>
          <w:rFonts w:asciiTheme="minorHAnsi" w:hAnsiTheme="minorHAnsi" w:cstheme="minorHAnsi"/>
          <w:lang w:val="en-GB"/>
        </w:rPr>
        <w:t>O = Service coverage area (urban, regional, national, international)</w:t>
      </w:r>
    </w:p>
    <w:p w14:paraId="422EDA09" w14:textId="77777777" w:rsidR="00EA4781" w:rsidRPr="00FD2F0C" w:rsidRDefault="00EA4781" w:rsidP="00EA4781">
      <w:pPr>
        <w:ind w:firstLine="720"/>
        <w:contextualSpacing/>
        <w:rPr>
          <w:rFonts w:asciiTheme="minorHAnsi" w:hAnsiTheme="minorHAnsi" w:cstheme="minorHAnsi"/>
          <w:lang w:val="en-GB"/>
        </w:rPr>
      </w:pPr>
      <w:r w:rsidRPr="00FD2F0C">
        <w:rPr>
          <w:rFonts w:asciiTheme="minorHAnsi" w:hAnsiTheme="minorHAnsi" w:cstheme="minorHAnsi"/>
          <w:lang w:val="en-GB"/>
        </w:rPr>
        <w:t>G = Reference value (depends on service / network)</w:t>
      </w:r>
    </w:p>
    <w:p w14:paraId="1A6F548D"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There are also fixed spectrum management fees for mobile satellite service and terrestrial radio and television retransmission over cable systems.</w:t>
      </w:r>
    </w:p>
    <w:p w14:paraId="3C0B716D" w14:textId="01155EF7" w:rsidR="00EA4781" w:rsidRPr="00FD2F0C" w:rsidRDefault="003B78A0" w:rsidP="00D06C3F">
      <w:pPr>
        <w:pStyle w:val="Heading3"/>
        <w:numPr>
          <w:ilvl w:val="0"/>
          <w:numId w:val="0"/>
        </w:numPr>
        <w:ind w:left="720" w:hanging="720"/>
        <w:rPr>
          <w:rFonts w:asciiTheme="minorHAnsi" w:hAnsiTheme="minorHAnsi"/>
        </w:rPr>
      </w:pPr>
      <w:bookmarkStart w:id="173" w:name="_Toc485648030"/>
      <w:r w:rsidRPr="00FD2F0C">
        <w:rPr>
          <w:rFonts w:asciiTheme="minorHAnsi" w:hAnsiTheme="minorHAnsi"/>
        </w:rPr>
        <w:t>A</w:t>
      </w:r>
      <w:r w:rsidR="00D06C3F" w:rsidRPr="00FD2F0C">
        <w:rPr>
          <w:rFonts w:asciiTheme="minorHAnsi" w:hAnsiTheme="minorHAnsi"/>
        </w:rPr>
        <w:t>2</w:t>
      </w:r>
      <w:r w:rsidRPr="00FD2F0C">
        <w:rPr>
          <w:rFonts w:asciiTheme="minorHAnsi" w:hAnsiTheme="minorHAnsi"/>
        </w:rPr>
        <w:t>-</w:t>
      </w:r>
      <w:r w:rsidR="00D06C3F" w:rsidRPr="00FD2F0C">
        <w:rPr>
          <w:rFonts w:asciiTheme="minorHAnsi" w:hAnsiTheme="minorHAnsi"/>
        </w:rPr>
        <w:t>4</w:t>
      </w:r>
      <w:r w:rsidR="00EA4781" w:rsidRPr="00FD2F0C">
        <w:rPr>
          <w:rFonts w:asciiTheme="minorHAnsi" w:hAnsiTheme="minorHAnsi"/>
        </w:rPr>
        <w:t>.3</w:t>
      </w:r>
      <w:r w:rsidR="00EA4781" w:rsidRPr="00FD2F0C">
        <w:rPr>
          <w:rFonts w:asciiTheme="minorHAnsi" w:hAnsiTheme="minorHAnsi"/>
        </w:rPr>
        <w:tab/>
        <w:t>Russian Federation – Experience of Russian Federation in the field of spectrum fees</w:t>
      </w:r>
      <w:bookmarkEnd w:id="173"/>
    </w:p>
    <w:p w14:paraId="1E0B3206" w14:textId="77777777" w:rsidR="00EA4781" w:rsidRPr="00FD2F0C" w:rsidRDefault="00EA4781" w:rsidP="00EA4781">
      <w:pPr>
        <w:rPr>
          <w:rFonts w:asciiTheme="minorHAnsi" w:hAnsiTheme="minorHAnsi"/>
          <w:lang w:val="en-GB"/>
        </w:rPr>
      </w:pPr>
      <w:r w:rsidRPr="00FD2F0C">
        <w:rPr>
          <w:rFonts w:asciiTheme="minorHAnsi" w:hAnsiTheme="minorHAnsi"/>
          <w:lang w:val="en-GB"/>
        </w:rPr>
        <w:t>In accordance with its Federal laws and Government decrees, the Russian Federation requires a one-time initial payment and an annual fee for use of its radio frequency spectrum. The methodology used for calculating these fees, includes rates and coefficients dependent on the frequency bands used, the number of radio frequencies (or channels used) and radio technologies applied, is described below:</w:t>
      </w:r>
    </w:p>
    <w:p w14:paraId="2E8AD856" w14:textId="77777777" w:rsidR="00EA4781" w:rsidRPr="00FD2F0C" w:rsidRDefault="00EA4781" w:rsidP="00EA4781">
      <w:pPr>
        <w:rPr>
          <w:rFonts w:asciiTheme="minorHAnsi" w:hAnsiTheme="minorHAnsi"/>
          <w:b/>
          <w:bCs/>
          <w:lang w:val="en-GB"/>
        </w:rPr>
      </w:pPr>
      <w:r w:rsidRPr="00FD2F0C">
        <w:rPr>
          <w:rFonts w:asciiTheme="minorHAnsi" w:hAnsiTheme="minorHAnsi"/>
          <w:b/>
          <w:bCs/>
          <w:lang w:val="en-GB"/>
        </w:rPr>
        <w:t>Calculation of One-Time Payment</w:t>
      </w:r>
    </w:p>
    <w:p w14:paraId="1F9A3203" w14:textId="77777777" w:rsidR="00EA4781" w:rsidRPr="00FD2F0C" w:rsidRDefault="00EA4781" w:rsidP="00EA4781">
      <w:pPr>
        <w:rPr>
          <w:rFonts w:asciiTheme="minorHAnsi" w:hAnsiTheme="minorHAnsi"/>
          <w:lang w:val="en-GB"/>
        </w:rPr>
      </w:pPr>
      <w:r w:rsidRPr="00FD2F0C">
        <w:rPr>
          <w:rFonts w:asciiTheme="minorHAnsi" w:hAnsiTheme="minorHAnsi"/>
          <w:lang w:val="en-GB"/>
        </w:rPr>
        <w:t>Each mobile operator must pay a one-time spectrum use fee for each frequency band assigned for its use by the State Radio Frequency Commission (SRFC) decision and (or) specified in the license granted by each Russian Federation Subject (or part of Subject). For technologies other than cellular, the one-time fee is set for each granted authorization. For both, the fee is calculated using the following formula:</w:t>
      </w:r>
    </w:p>
    <w:p w14:paraId="797D5D9A" w14:textId="77777777" w:rsidR="00EA4781" w:rsidRPr="00FD2F0C" w:rsidRDefault="00EA4781" w:rsidP="00EA4781">
      <w:pPr>
        <w:jc w:val="center"/>
        <w:rPr>
          <w:rFonts w:asciiTheme="minorHAnsi" w:hAnsiTheme="minorHAnsi" w:cstheme="minorHAnsi"/>
        </w:rPr>
      </w:pPr>
      <w:r w:rsidRPr="00FD2F0C">
        <w:rPr>
          <w:rFonts w:asciiTheme="minorHAnsi" w:hAnsiTheme="minorHAnsi" w:cstheme="minorHAnsi"/>
        </w:rPr>
        <w:object w:dxaOrig="2580" w:dyaOrig="380" w14:anchorId="2BEF1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5.75pt" o:ole="">
            <v:imagedata r:id="rId125" o:title=""/>
          </v:shape>
          <o:OLEObject Type="Embed" ProgID="Equation.3" ShapeID="_x0000_i1025" DrawAspect="Content" ObjectID="_1572266516" r:id="rId126"/>
        </w:object>
      </w:r>
    </w:p>
    <w:p w14:paraId="597CC5D8"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lastRenderedPageBreak/>
        <w:t>Where:</w:t>
      </w:r>
    </w:p>
    <w:p w14:paraId="22BED4B3" w14:textId="77777777" w:rsidR="00EA4781" w:rsidRPr="00FD2F0C" w:rsidRDefault="00EA4781" w:rsidP="00EA4781">
      <w:pPr>
        <w:contextualSpacing/>
        <w:rPr>
          <w:rFonts w:asciiTheme="minorHAnsi" w:hAnsiTheme="minorHAnsi" w:cstheme="minorHAnsi"/>
          <w:lang w:val="en-GB"/>
        </w:rPr>
      </w:pPr>
      <w:r w:rsidRPr="00FD2F0C">
        <w:rPr>
          <w:rFonts w:asciiTheme="minorHAnsi" w:hAnsiTheme="minorHAnsi" w:cstheme="minorHAnsi"/>
          <w:i/>
          <w:lang w:val="en-GB"/>
        </w:rPr>
        <w:t>P</w:t>
      </w:r>
      <w:r w:rsidRPr="00FD2F0C">
        <w:rPr>
          <w:rFonts w:asciiTheme="minorHAnsi" w:hAnsiTheme="minorHAnsi" w:cstheme="minorHAnsi"/>
          <w:i/>
          <w:vertAlign w:val="subscript"/>
          <w:lang w:val="en-GB"/>
        </w:rPr>
        <w:t xml:space="preserve">ot </w:t>
      </w:r>
      <w:r w:rsidRPr="00FD2F0C">
        <w:rPr>
          <w:rFonts w:asciiTheme="minorHAnsi" w:hAnsiTheme="minorHAnsi" w:cstheme="minorHAnsi"/>
          <w:vertAlign w:val="subscript"/>
          <w:lang w:val="en-GB"/>
        </w:rPr>
        <w:tab/>
      </w:r>
      <w:r w:rsidRPr="00FD2F0C">
        <w:rPr>
          <w:rFonts w:asciiTheme="minorHAnsi" w:hAnsiTheme="minorHAnsi" w:cstheme="minorHAnsi"/>
          <w:lang w:val="en-GB"/>
        </w:rPr>
        <w:t>=</w:t>
      </w:r>
      <w:r w:rsidRPr="00FD2F0C">
        <w:rPr>
          <w:rFonts w:asciiTheme="minorHAnsi" w:hAnsiTheme="minorHAnsi" w:cstheme="minorHAnsi"/>
          <w:vertAlign w:val="subscript"/>
          <w:lang w:val="en-GB"/>
        </w:rPr>
        <w:tab/>
      </w:r>
      <w:r w:rsidRPr="00FD2F0C">
        <w:rPr>
          <w:rFonts w:asciiTheme="minorHAnsi" w:hAnsiTheme="minorHAnsi" w:cstheme="minorHAnsi"/>
          <w:lang w:val="en-GB"/>
        </w:rPr>
        <w:t>total one-time payment, roubles</w:t>
      </w:r>
    </w:p>
    <w:p w14:paraId="0DF299B8" w14:textId="77777777" w:rsidR="00EA4781" w:rsidRPr="00FD2F0C" w:rsidRDefault="00EA4781" w:rsidP="00EA4781">
      <w:pPr>
        <w:contextualSpacing/>
        <w:rPr>
          <w:rFonts w:asciiTheme="minorHAnsi" w:hAnsiTheme="minorHAnsi" w:cstheme="minorHAnsi"/>
          <w:lang w:val="en-GB"/>
        </w:rPr>
      </w:pPr>
      <w:r w:rsidRPr="00FD2F0C">
        <w:rPr>
          <w:rFonts w:asciiTheme="minorHAnsi" w:hAnsiTheme="minorHAnsi" w:cstheme="minorHAnsi"/>
          <w:i/>
          <w:lang w:val="en-GB"/>
        </w:rPr>
        <w:t>R</w:t>
      </w:r>
      <w:r w:rsidRPr="00FD2F0C">
        <w:rPr>
          <w:rFonts w:asciiTheme="minorHAnsi" w:hAnsiTheme="minorHAnsi" w:cstheme="minorHAnsi"/>
          <w:i/>
          <w:vertAlign w:val="subscript"/>
          <w:lang w:val="en-GB"/>
        </w:rPr>
        <w:t>ot</w:t>
      </w:r>
      <w:r w:rsidRPr="00FD2F0C">
        <w:rPr>
          <w:rFonts w:asciiTheme="minorHAnsi" w:hAnsiTheme="minorHAnsi" w:cstheme="minorHAnsi"/>
          <w:lang w:val="en-GB"/>
        </w:rPr>
        <w:tab/>
        <w:t>=</w:t>
      </w:r>
      <w:r w:rsidRPr="00FD2F0C">
        <w:rPr>
          <w:rFonts w:asciiTheme="minorHAnsi" w:hAnsiTheme="minorHAnsi" w:cstheme="minorHAnsi"/>
          <w:lang w:val="en-GB"/>
        </w:rPr>
        <w:tab/>
        <w:t>rate of tariff for one-time payment, roubles</w:t>
      </w:r>
    </w:p>
    <w:p w14:paraId="2EFFCE49" w14:textId="77777777" w:rsidR="00EA4781" w:rsidRPr="00FD2F0C" w:rsidRDefault="00EA4781" w:rsidP="00EA4781">
      <w:pPr>
        <w:contextualSpacing/>
        <w:rPr>
          <w:rFonts w:asciiTheme="minorHAnsi" w:hAnsiTheme="minorHAnsi" w:cstheme="minorHAnsi"/>
          <w:lang w:val="en-GB"/>
        </w:rPr>
      </w:pPr>
      <w:r w:rsidRPr="00FD2F0C">
        <w:rPr>
          <w:rFonts w:asciiTheme="minorHAnsi" w:hAnsiTheme="minorHAnsi" w:cstheme="minorHAnsi"/>
          <w:i/>
          <w:lang w:val="en-GB"/>
        </w:rPr>
        <w:t>K</w:t>
      </w:r>
      <w:r w:rsidRPr="00FD2F0C">
        <w:rPr>
          <w:rFonts w:asciiTheme="minorHAnsi" w:hAnsiTheme="minorHAnsi" w:cstheme="minorHAnsi"/>
          <w:i/>
          <w:vertAlign w:val="subscript"/>
          <w:lang w:val="en-GB"/>
        </w:rPr>
        <w:t>band</w:t>
      </w:r>
      <w:r w:rsidRPr="00FD2F0C">
        <w:rPr>
          <w:rFonts w:asciiTheme="minorHAnsi" w:hAnsiTheme="minorHAnsi" w:cstheme="minorHAnsi"/>
          <w:vertAlign w:val="subscript"/>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coefficient depending on the frequency band used</w:t>
      </w:r>
    </w:p>
    <w:p w14:paraId="269980F7" w14:textId="77777777" w:rsidR="00EA4781" w:rsidRPr="00FD2F0C" w:rsidRDefault="00EA4781" w:rsidP="00EA4781">
      <w:pPr>
        <w:contextualSpacing/>
        <w:rPr>
          <w:rFonts w:asciiTheme="minorHAnsi" w:hAnsiTheme="minorHAnsi" w:cstheme="minorHAnsi"/>
          <w:lang w:val="en-GB"/>
        </w:rPr>
      </w:pPr>
      <w:r w:rsidRPr="00FD2F0C">
        <w:rPr>
          <w:rFonts w:asciiTheme="minorHAnsi" w:hAnsiTheme="minorHAnsi" w:cstheme="minorHAnsi"/>
          <w:i/>
          <w:lang w:val="en-GB"/>
        </w:rPr>
        <w:t>K</w:t>
      </w:r>
      <w:r w:rsidRPr="00FD2F0C">
        <w:rPr>
          <w:rFonts w:asciiTheme="minorHAnsi" w:hAnsiTheme="minorHAnsi" w:cstheme="minorHAnsi"/>
          <w:i/>
          <w:vertAlign w:val="subscript"/>
          <w:lang w:val="en-GB"/>
        </w:rPr>
        <w:t>Nf</w:t>
      </w:r>
      <w:r w:rsidRPr="00FD2F0C">
        <w:rPr>
          <w:rFonts w:asciiTheme="minorHAnsi" w:hAnsiTheme="minorHAnsi" w:cstheme="minorHAnsi"/>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coefficient depending on number of used radio frequencies (radio channels)</w:t>
      </w:r>
    </w:p>
    <w:p w14:paraId="69F55147" w14:textId="77777777" w:rsidR="00EA4781" w:rsidRPr="00FD2F0C" w:rsidRDefault="00EA4781" w:rsidP="00EA4781">
      <w:pPr>
        <w:contextualSpacing/>
        <w:rPr>
          <w:rFonts w:asciiTheme="minorHAnsi" w:hAnsiTheme="minorHAnsi" w:cstheme="minorHAnsi"/>
          <w:lang w:val="en-GB"/>
        </w:rPr>
      </w:pPr>
      <w:r w:rsidRPr="00FD2F0C">
        <w:rPr>
          <w:rFonts w:asciiTheme="minorHAnsi" w:hAnsiTheme="minorHAnsi" w:cstheme="minorHAnsi"/>
          <w:i/>
          <w:lang w:val="en-GB"/>
        </w:rPr>
        <w:t>K</w:t>
      </w:r>
      <w:r w:rsidRPr="00FD2F0C">
        <w:rPr>
          <w:rFonts w:asciiTheme="minorHAnsi" w:hAnsiTheme="minorHAnsi" w:cstheme="minorHAnsi"/>
          <w:i/>
          <w:vertAlign w:val="subscript"/>
          <w:lang w:val="en-GB"/>
        </w:rPr>
        <w:t>tech</w:t>
      </w:r>
      <w:r w:rsidRPr="00FD2F0C">
        <w:rPr>
          <w:rFonts w:asciiTheme="minorHAnsi" w:hAnsiTheme="minorHAnsi" w:cstheme="minorHAnsi"/>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coefficient depending on applicable technology</w:t>
      </w:r>
    </w:p>
    <w:p w14:paraId="033C10ED"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 xml:space="preserve">Details regarding the methodology for calculation of </w:t>
      </w:r>
      <w:r w:rsidRPr="00FD2F0C">
        <w:rPr>
          <w:rFonts w:asciiTheme="minorHAnsi" w:hAnsiTheme="minorHAnsi" w:cstheme="minorHAnsi"/>
          <w:i/>
          <w:lang w:val="en-GB"/>
        </w:rPr>
        <w:t>K</w:t>
      </w:r>
      <w:r w:rsidRPr="00FD2F0C">
        <w:rPr>
          <w:rFonts w:asciiTheme="minorHAnsi" w:hAnsiTheme="minorHAnsi" w:cstheme="minorHAnsi"/>
          <w:i/>
          <w:vertAlign w:val="subscript"/>
          <w:lang w:val="en-GB"/>
        </w:rPr>
        <w:t>band</w:t>
      </w:r>
      <w:r w:rsidRPr="00FD2F0C">
        <w:rPr>
          <w:rFonts w:asciiTheme="minorHAnsi" w:hAnsiTheme="minorHAnsi" w:cstheme="minorHAnsi"/>
          <w:vertAlign w:val="subscript"/>
          <w:lang w:val="en-GB"/>
        </w:rPr>
        <w:t xml:space="preserve">, </w:t>
      </w:r>
      <w:r w:rsidRPr="00FD2F0C">
        <w:rPr>
          <w:rFonts w:asciiTheme="minorHAnsi" w:hAnsiTheme="minorHAnsi" w:cstheme="minorHAnsi"/>
          <w:i/>
          <w:lang w:val="en-GB"/>
        </w:rPr>
        <w:t>K</w:t>
      </w:r>
      <w:r w:rsidRPr="00FD2F0C">
        <w:rPr>
          <w:rFonts w:asciiTheme="minorHAnsi" w:hAnsiTheme="minorHAnsi" w:cstheme="minorHAnsi"/>
          <w:i/>
          <w:vertAlign w:val="subscript"/>
          <w:lang w:val="en-GB"/>
        </w:rPr>
        <w:t>Nf</w:t>
      </w:r>
      <w:r w:rsidRPr="00FD2F0C">
        <w:rPr>
          <w:rFonts w:asciiTheme="minorHAnsi" w:hAnsiTheme="minorHAnsi" w:cstheme="minorHAnsi"/>
          <w:lang w:val="en-GB"/>
        </w:rPr>
        <w:t xml:space="preserve">, and </w:t>
      </w:r>
      <w:r w:rsidRPr="00FD2F0C">
        <w:rPr>
          <w:rFonts w:asciiTheme="minorHAnsi" w:hAnsiTheme="minorHAnsi" w:cstheme="minorHAnsi"/>
          <w:i/>
          <w:lang w:val="en-GB"/>
        </w:rPr>
        <w:t>K</w:t>
      </w:r>
      <w:r w:rsidRPr="00FD2F0C">
        <w:rPr>
          <w:rFonts w:asciiTheme="minorHAnsi" w:hAnsiTheme="minorHAnsi" w:cstheme="minorHAnsi"/>
          <w:i/>
          <w:vertAlign w:val="subscript"/>
          <w:lang w:val="en-GB"/>
        </w:rPr>
        <w:t>tech</w:t>
      </w:r>
      <w:r w:rsidRPr="00FD2F0C">
        <w:rPr>
          <w:rFonts w:asciiTheme="minorHAnsi" w:hAnsiTheme="minorHAnsi" w:cstheme="minorHAnsi"/>
          <w:lang w:val="en-GB"/>
        </w:rPr>
        <w:t xml:space="preserve"> can be found in </w:t>
      </w:r>
      <w:r w:rsidRPr="00FD2F0C">
        <w:rPr>
          <w:rFonts w:asciiTheme="minorHAnsi" w:hAnsiTheme="minorHAnsi" w:cstheme="minorHAnsi"/>
          <w:b/>
          <w:bCs/>
          <w:lang w:val="en-GB"/>
        </w:rPr>
        <w:t>Annex 3.</w:t>
      </w:r>
    </w:p>
    <w:p w14:paraId="3261F870" w14:textId="77777777" w:rsidR="00EA4781" w:rsidRPr="00FD2F0C" w:rsidRDefault="00EA4781" w:rsidP="00EA4781">
      <w:pPr>
        <w:rPr>
          <w:rFonts w:asciiTheme="minorHAnsi" w:hAnsiTheme="minorHAnsi"/>
          <w:b/>
          <w:bCs/>
          <w:lang w:val="en-GB"/>
        </w:rPr>
      </w:pPr>
      <w:r w:rsidRPr="00FD2F0C">
        <w:rPr>
          <w:rFonts w:asciiTheme="minorHAnsi" w:hAnsiTheme="minorHAnsi"/>
          <w:b/>
          <w:bCs/>
          <w:lang w:val="en-GB"/>
        </w:rPr>
        <w:t>Calculation of the Annual Fee</w:t>
      </w:r>
    </w:p>
    <w:p w14:paraId="7384BE33"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Each mobile operator must pay an annual spectrum use fee for each frequency band assigned for its use by the State Radio Frequency Commission (SRFC) decision and (or) specified in the license granted by each Russian Federation Subject (or part of Subject). For technologies other than cellular, the annual fee is set for each granted authorization. For both, the fee is calculated using the following formula:</w:t>
      </w:r>
    </w:p>
    <w:p w14:paraId="46818F61" w14:textId="77777777" w:rsidR="00EA4781" w:rsidRPr="00FD2F0C" w:rsidRDefault="00573C99" w:rsidP="00EA4781">
      <w:pPr>
        <w:rPr>
          <w:rFonts w:asciiTheme="minorHAnsi" w:hAnsiTheme="minorHAnsi" w:cstheme="minorHAnsi"/>
          <w:lang w:val="en-US"/>
        </w:rPr>
      </w:pPr>
      <m:oMathPara>
        <m:oMath>
          <m:sSub>
            <m:sSubPr>
              <m:ctrlPr>
                <w:rPr>
                  <w:rFonts w:ascii="Cambria Math" w:hAnsi="Cambria Math" w:cstheme="minorHAnsi"/>
                </w:rPr>
              </m:ctrlPr>
            </m:sSubPr>
            <m:e>
              <m:r>
                <m:rPr>
                  <m:sty m:val="p"/>
                </m:rPr>
                <w:rPr>
                  <w:rFonts w:ascii="Cambria Math" w:hAnsi="Cambria Math" w:cstheme="minorHAnsi"/>
                  <w:lang w:val="en-US"/>
                </w:rPr>
                <m:t>P</m:t>
              </m:r>
            </m:e>
            <m:sub>
              <m:r>
                <m:rPr>
                  <m:sty m:val="p"/>
                </m:rPr>
                <w:rPr>
                  <w:rFonts w:ascii="Cambria Math" w:hAnsi="Cambria Math" w:cstheme="minorHAnsi"/>
                  <w:lang w:val="en-US"/>
                </w:rPr>
                <m:t>a</m:t>
              </m:r>
            </m:sub>
          </m:sSub>
          <m:r>
            <m:rPr>
              <m:sty m:val="p"/>
            </m:rPr>
            <w:rPr>
              <w:rFonts w:ascii="Cambria Math" w:hAnsi="Cambria Math" w:cstheme="minorHAnsi"/>
              <w:lang w:val="en-US"/>
            </w:rPr>
            <m:t>=</m:t>
          </m:r>
          <m:nary>
            <m:naryPr>
              <m:chr m:val="∑"/>
              <m:limLoc m:val="undOvr"/>
              <m:ctrlPr>
                <w:rPr>
                  <w:rFonts w:ascii="Cambria Math" w:hAnsi="Cambria Math" w:cstheme="minorHAnsi"/>
                </w:rPr>
              </m:ctrlPr>
            </m:naryPr>
            <m:sub>
              <m:r>
                <m:rPr>
                  <m:sty m:val="p"/>
                </m:rPr>
                <w:rPr>
                  <w:rFonts w:ascii="Cambria Math" w:hAnsi="Cambria Math" w:cstheme="minorHAnsi"/>
                  <w:lang w:val="en-US"/>
                </w:rPr>
                <m:t>i=1</m:t>
              </m:r>
            </m:sub>
            <m:sup>
              <m:r>
                <m:rPr>
                  <m:sty m:val="p"/>
                </m:rPr>
                <w:rPr>
                  <w:rFonts w:ascii="Cambria Math" w:hAnsi="Cambria Math" w:cstheme="minorHAnsi"/>
                  <w:lang w:val="en-US"/>
                </w:rPr>
                <m:t>4</m:t>
              </m:r>
            </m:sup>
            <m:e>
              <m:sSub>
                <m:sSubPr>
                  <m:ctrlPr>
                    <w:rPr>
                      <w:rFonts w:ascii="Cambria Math" w:hAnsi="Cambria Math" w:cstheme="minorHAnsi"/>
                    </w:rPr>
                  </m:ctrlPr>
                </m:sSubPr>
                <m:e>
                  <m:r>
                    <m:rPr>
                      <m:sty m:val="p"/>
                    </m:rPr>
                    <w:rPr>
                      <w:rFonts w:ascii="Cambria Math" w:hAnsi="Cambria Math" w:cstheme="minorHAnsi"/>
                      <w:lang w:val="en-US"/>
                    </w:rPr>
                    <m:t>P</m:t>
                  </m:r>
                </m:e>
                <m:sub>
                  <m:r>
                    <m:rPr>
                      <m:sty m:val="p"/>
                    </m:rPr>
                    <w:rPr>
                      <w:rFonts w:ascii="Cambria Math" w:hAnsi="Cambria Math" w:cstheme="minorHAnsi"/>
                      <w:lang w:val="en-US"/>
                    </w:rPr>
                    <m:t>a(q)(i)</m:t>
                  </m:r>
                </m:sub>
              </m:sSub>
            </m:e>
          </m:nary>
        </m:oMath>
      </m:oMathPara>
    </w:p>
    <w:p w14:paraId="736668F5" w14:textId="77777777" w:rsidR="00EA4781" w:rsidRPr="00FD2F0C" w:rsidRDefault="00EA4781" w:rsidP="00EA4781">
      <w:pPr>
        <w:rPr>
          <w:rFonts w:asciiTheme="minorHAnsi" w:hAnsiTheme="minorHAnsi" w:cstheme="minorHAnsi"/>
          <w:lang w:val="en-US"/>
        </w:rPr>
      </w:pPr>
      <w:r w:rsidRPr="00FD2F0C">
        <w:rPr>
          <w:rFonts w:asciiTheme="minorHAnsi" w:hAnsiTheme="minorHAnsi" w:cstheme="minorHAnsi"/>
          <w:lang w:val="en-US"/>
        </w:rPr>
        <w:t>where:</w:t>
      </w:r>
    </w:p>
    <w:p w14:paraId="3AD56E59" w14:textId="77777777" w:rsidR="00EA4781" w:rsidRPr="00FD2F0C" w:rsidRDefault="00EA4781" w:rsidP="00EA4781">
      <w:pPr>
        <w:jc w:val="center"/>
        <w:rPr>
          <w:rFonts w:asciiTheme="minorHAnsi" w:hAnsiTheme="minorHAnsi" w:cstheme="minorHAnsi"/>
        </w:rPr>
      </w:pPr>
      <w:r w:rsidRPr="00FD2F0C">
        <w:rPr>
          <w:rFonts w:asciiTheme="minorHAnsi" w:hAnsiTheme="minorHAnsi" w:cstheme="minorHAnsi"/>
        </w:rPr>
        <w:object w:dxaOrig="4380" w:dyaOrig="400" w14:anchorId="0DFD0EC8">
          <v:shape id="_x0000_i1026" type="#_x0000_t75" style="width:276pt;height:24pt" o:ole="">
            <v:imagedata r:id="rId127" o:title=""/>
          </v:shape>
          <o:OLEObject Type="Embed" ProgID="Equation.3" ShapeID="_x0000_i1026" DrawAspect="Content" ObjectID="_1572266517" r:id="rId128"/>
        </w:object>
      </w:r>
    </w:p>
    <w:p w14:paraId="28F7232D"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P</w:t>
      </w:r>
      <w:r w:rsidRPr="00FD2F0C">
        <w:rPr>
          <w:rFonts w:asciiTheme="minorHAnsi" w:hAnsiTheme="minorHAnsi" w:cstheme="minorHAnsi"/>
          <w:i/>
          <w:iCs/>
          <w:vertAlign w:val="subscript"/>
          <w:lang w:val="en-GB"/>
        </w:rPr>
        <w:t>a</w:t>
      </w:r>
      <w:r w:rsidRPr="00FD2F0C">
        <w:rPr>
          <w:rFonts w:asciiTheme="minorHAnsi" w:hAnsiTheme="minorHAnsi" w:cstheme="minorHAnsi"/>
          <w:i/>
          <w:iCs/>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annual fee, roubles</w:t>
      </w:r>
    </w:p>
    <w:p w14:paraId="2C0D3CD5"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P</w:t>
      </w:r>
      <w:r w:rsidRPr="00FD2F0C">
        <w:rPr>
          <w:rFonts w:asciiTheme="minorHAnsi" w:hAnsiTheme="minorHAnsi" w:cstheme="minorHAnsi"/>
          <w:i/>
          <w:iCs/>
          <w:vertAlign w:val="subscript"/>
          <w:lang w:val="en-GB"/>
        </w:rPr>
        <w:t>a(q)</w:t>
      </w:r>
      <w:r w:rsidRPr="00FD2F0C">
        <w:rPr>
          <w:rFonts w:asciiTheme="minorHAnsi" w:hAnsiTheme="minorHAnsi" w:cstheme="minorHAnsi"/>
          <w:vertAlign w:val="subscript"/>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annual fee per a quarter, roubles</w:t>
      </w:r>
    </w:p>
    <w:p w14:paraId="12E375CC"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R</w:t>
      </w:r>
      <w:r w:rsidRPr="00FD2F0C">
        <w:rPr>
          <w:rFonts w:asciiTheme="minorHAnsi" w:hAnsiTheme="minorHAnsi" w:cstheme="minorHAnsi"/>
          <w:i/>
          <w:iCs/>
          <w:vertAlign w:val="subscript"/>
          <w:lang w:val="en-GB"/>
        </w:rPr>
        <w:t>a</w:t>
      </w:r>
      <w:r w:rsidRPr="00FD2F0C">
        <w:rPr>
          <w:rFonts w:asciiTheme="minorHAnsi" w:hAnsiTheme="minorHAnsi" w:cstheme="minorHAnsi"/>
          <w:i/>
          <w:iCs/>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rate of annual fee, roubles</w:t>
      </w:r>
    </w:p>
    <w:p w14:paraId="3B2AD259"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K</w:t>
      </w:r>
      <w:r w:rsidRPr="00FD2F0C">
        <w:rPr>
          <w:rFonts w:asciiTheme="minorHAnsi" w:hAnsiTheme="minorHAnsi" w:cstheme="minorHAnsi"/>
          <w:i/>
          <w:iCs/>
          <w:vertAlign w:val="subscript"/>
          <w:lang w:val="en-GB"/>
        </w:rPr>
        <w:t>band</w:t>
      </w:r>
      <w:r w:rsidRPr="00FD2F0C">
        <w:rPr>
          <w:rFonts w:asciiTheme="minorHAnsi" w:hAnsiTheme="minorHAnsi" w:cstheme="minorHAnsi"/>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coefficient depending on used frequency band</w:t>
      </w:r>
    </w:p>
    <w:p w14:paraId="74D485DB"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K</w:t>
      </w:r>
      <w:r w:rsidRPr="00FD2F0C">
        <w:rPr>
          <w:rFonts w:asciiTheme="minorHAnsi" w:hAnsiTheme="minorHAnsi" w:cstheme="minorHAnsi"/>
          <w:i/>
          <w:iCs/>
          <w:vertAlign w:val="subscript"/>
          <w:lang w:val="en-GB"/>
        </w:rPr>
        <w:t>Nf</w:t>
      </w:r>
      <w:r w:rsidRPr="00FD2F0C">
        <w:rPr>
          <w:rFonts w:asciiTheme="minorHAnsi" w:hAnsiTheme="minorHAnsi" w:cstheme="minorHAnsi"/>
          <w:i/>
          <w:iCs/>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coefficient depending on number of used radio frequencies (radio channels)</w:t>
      </w:r>
    </w:p>
    <w:p w14:paraId="1820277C"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K</w:t>
      </w:r>
      <w:r w:rsidRPr="00FD2F0C">
        <w:rPr>
          <w:rFonts w:asciiTheme="minorHAnsi" w:hAnsiTheme="minorHAnsi" w:cstheme="minorHAnsi"/>
          <w:i/>
          <w:iCs/>
          <w:vertAlign w:val="subscript"/>
          <w:lang w:val="en-GB"/>
        </w:rPr>
        <w:t>tech</w:t>
      </w:r>
      <w:r w:rsidRPr="00FD2F0C">
        <w:rPr>
          <w:rFonts w:asciiTheme="minorHAnsi" w:hAnsiTheme="minorHAnsi" w:cstheme="minorHAnsi"/>
          <w:i/>
          <w:iCs/>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coefficient depending on applicable technology</w:t>
      </w:r>
    </w:p>
    <w:p w14:paraId="24977C84"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N</w:t>
      </w:r>
      <w:r w:rsidRPr="00FD2F0C">
        <w:rPr>
          <w:rFonts w:asciiTheme="minorHAnsi" w:hAnsiTheme="minorHAnsi" w:cstheme="minorHAnsi"/>
          <w:i/>
          <w:iCs/>
          <w:vertAlign w:val="subscript"/>
          <w:lang w:val="en-GB"/>
        </w:rPr>
        <w:t>auth(q)</w:t>
      </w:r>
      <w:r w:rsidRPr="00FD2F0C">
        <w:rPr>
          <w:rFonts w:asciiTheme="minorHAnsi" w:hAnsiTheme="minorHAnsi" w:cstheme="minorHAnsi"/>
          <w:vertAlign w:val="subscript"/>
          <w:lang w:val="en-GB"/>
        </w:rPr>
        <w:t xml:space="preserve"> </w:t>
      </w:r>
      <w:r w:rsidRPr="00FD2F0C">
        <w:rPr>
          <w:rFonts w:asciiTheme="minorHAnsi" w:hAnsiTheme="minorHAnsi" w:cstheme="minorHAnsi"/>
          <w:lang w:val="en-GB"/>
        </w:rPr>
        <w:tab/>
        <w:t>=</w:t>
      </w:r>
      <w:r w:rsidRPr="00FD2F0C">
        <w:rPr>
          <w:rFonts w:asciiTheme="minorHAnsi" w:hAnsiTheme="minorHAnsi" w:cstheme="minorHAnsi"/>
          <w:lang w:val="en-GB"/>
        </w:rPr>
        <w:tab/>
        <w:t>number of effective days of authorization in a payable quarter</w:t>
      </w:r>
    </w:p>
    <w:p w14:paraId="62909DD5" w14:textId="77777777" w:rsidR="00EA4781" w:rsidRPr="00FD2F0C" w:rsidRDefault="00EA4781" w:rsidP="00EA4781">
      <w:pPr>
        <w:spacing w:before="40"/>
        <w:contextualSpacing/>
        <w:rPr>
          <w:rFonts w:asciiTheme="minorHAnsi" w:hAnsiTheme="minorHAnsi" w:cstheme="minorHAnsi"/>
          <w:lang w:val="en-GB"/>
        </w:rPr>
      </w:pPr>
      <w:r w:rsidRPr="00FD2F0C">
        <w:rPr>
          <w:rFonts w:asciiTheme="minorHAnsi" w:hAnsiTheme="minorHAnsi" w:cstheme="minorHAnsi"/>
          <w:i/>
          <w:iCs/>
          <w:lang w:val="en-GB"/>
        </w:rPr>
        <w:t>N</w:t>
      </w:r>
      <w:r w:rsidRPr="00FD2F0C">
        <w:rPr>
          <w:rFonts w:asciiTheme="minorHAnsi" w:hAnsiTheme="minorHAnsi" w:cstheme="minorHAnsi"/>
          <w:i/>
          <w:iCs/>
          <w:vertAlign w:val="subscript"/>
          <w:lang w:val="en-GB"/>
        </w:rPr>
        <w:t xml:space="preserve">q </w:t>
      </w:r>
      <w:r w:rsidRPr="00FD2F0C">
        <w:rPr>
          <w:rFonts w:asciiTheme="minorHAnsi" w:hAnsiTheme="minorHAnsi" w:cstheme="minorHAnsi"/>
          <w:lang w:val="en-GB"/>
        </w:rPr>
        <w:tab/>
        <w:t>=</w:t>
      </w:r>
      <w:r w:rsidRPr="00FD2F0C">
        <w:rPr>
          <w:rFonts w:asciiTheme="minorHAnsi" w:hAnsiTheme="minorHAnsi" w:cstheme="minorHAnsi"/>
          <w:lang w:val="en-GB"/>
        </w:rPr>
        <w:tab/>
        <w:t>number of days in a payable quarter</w:t>
      </w:r>
    </w:p>
    <w:p w14:paraId="6103D1F6"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Note that the coefficients are applied per each radio frequency (radio channel) and/or frequency band.</w:t>
      </w:r>
    </w:p>
    <w:p w14:paraId="6A9AC58C"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 xml:space="preserve">Details regarding the methodology for calculation of </w:t>
      </w:r>
      <w:r w:rsidRPr="00FD2F0C">
        <w:rPr>
          <w:rFonts w:asciiTheme="minorHAnsi" w:hAnsiTheme="minorHAnsi" w:cstheme="minorHAnsi"/>
          <w:i/>
          <w:lang w:val="en-GB"/>
        </w:rPr>
        <w:t>K</w:t>
      </w:r>
      <w:r w:rsidRPr="00FD2F0C">
        <w:rPr>
          <w:rFonts w:asciiTheme="minorHAnsi" w:hAnsiTheme="minorHAnsi" w:cstheme="minorHAnsi"/>
          <w:i/>
          <w:vertAlign w:val="subscript"/>
          <w:lang w:val="en-GB"/>
        </w:rPr>
        <w:t>band</w:t>
      </w:r>
      <w:r w:rsidRPr="00FD2F0C">
        <w:rPr>
          <w:rFonts w:asciiTheme="minorHAnsi" w:hAnsiTheme="minorHAnsi" w:cstheme="minorHAnsi"/>
          <w:vertAlign w:val="subscript"/>
          <w:lang w:val="en-GB"/>
        </w:rPr>
        <w:t xml:space="preserve">, </w:t>
      </w:r>
      <w:r w:rsidRPr="00FD2F0C">
        <w:rPr>
          <w:rFonts w:asciiTheme="minorHAnsi" w:hAnsiTheme="minorHAnsi" w:cstheme="minorHAnsi"/>
          <w:i/>
          <w:lang w:val="en-GB"/>
        </w:rPr>
        <w:t>K</w:t>
      </w:r>
      <w:r w:rsidRPr="00FD2F0C">
        <w:rPr>
          <w:rFonts w:asciiTheme="minorHAnsi" w:hAnsiTheme="minorHAnsi" w:cstheme="minorHAnsi"/>
          <w:i/>
          <w:vertAlign w:val="subscript"/>
          <w:lang w:val="en-GB"/>
        </w:rPr>
        <w:t>Nf</w:t>
      </w:r>
      <w:r w:rsidRPr="00FD2F0C">
        <w:rPr>
          <w:rFonts w:asciiTheme="minorHAnsi" w:hAnsiTheme="minorHAnsi" w:cstheme="minorHAnsi"/>
          <w:lang w:val="en-GB"/>
        </w:rPr>
        <w:t xml:space="preserve">, (excluding MMDS radio systems, Earth Stations of Satellite Systems (ESSS) and VSAT Hub (central) stations) and </w:t>
      </w:r>
      <w:r w:rsidRPr="00FD2F0C">
        <w:rPr>
          <w:rFonts w:asciiTheme="minorHAnsi" w:hAnsiTheme="minorHAnsi" w:cstheme="minorHAnsi"/>
          <w:i/>
          <w:lang w:val="en-GB"/>
        </w:rPr>
        <w:t>K</w:t>
      </w:r>
      <w:r w:rsidRPr="00FD2F0C">
        <w:rPr>
          <w:rFonts w:asciiTheme="minorHAnsi" w:hAnsiTheme="minorHAnsi" w:cstheme="minorHAnsi"/>
          <w:i/>
          <w:vertAlign w:val="subscript"/>
          <w:lang w:val="en-GB"/>
        </w:rPr>
        <w:t>tech</w:t>
      </w:r>
      <w:r w:rsidRPr="00FD2F0C">
        <w:rPr>
          <w:rFonts w:asciiTheme="minorHAnsi" w:hAnsiTheme="minorHAnsi" w:cstheme="minorHAnsi"/>
          <w:lang w:val="en-GB"/>
        </w:rPr>
        <w:t xml:space="preserve"> (for both cellular radio and other technologies) can be found in </w:t>
      </w:r>
      <w:r w:rsidRPr="00FD2F0C">
        <w:rPr>
          <w:rFonts w:asciiTheme="minorHAnsi" w:hAnsiTheme="minorHAnsi" w:cstheme="minorHAnsi"/>
          <w:b/>
          <w:bCs/>
          <w:lang w:val="en-GB"/>
        </w:rPr>
        <w:t>Annex 3.</w:t>
      </w:r>
    </w:p>
    <w:p w14:paraId="4E997D60" w14:textId="77777777" w:rsidR="00EA4781" w:rsidRPr="00FD2F0C" w:rsidRDefault="00EA4781" w:rsidP="00EA4781">
      <w:pPr>
        <w:pStyle w:val="Note"/>
        <w:rPr>
          <w:rFonts w:asciiTheme="minorHAnsi" w:hAnsiTheme="minorHAnsi"/>
          <w:lang w:val="en-GB"/>
        </w:rPr>
      </w:pPr>
      <w:r w:rsidRPr="00FD2F0C">
        <w:rPr>
          <w:rFonts w:asciiTheme="minorHAnsi" w:hAnsiTheme="minorHAnsi"/>
          <w:b/>
          <w:bCs/>
          <w:lang w:val="en-GB"/>
        </w:rPr>
        <w:t>Note 1:</w:t>
      </w:r>
      <w:r w:rsidRPr="00FD2F0C">
        <w:rPr>
          <w:rFonts w:asciiTheme="minorHAnsi" w:hAnsiTheme="minorHAnsi"/>
          <w:lang w:val="en-GB"/>
        </w:rPr>
        <w:t xml:space="preserve"> If a cellular operator holds a license to multiple channels within a given spectrum band, and uses different cellular radio technologies to access different channels, the annual fee per frequency band is calculated using maximum </w:t>
      </w:r>
      <w:r w:rsidRPr="00FD2F0C">
        <w:rPr>
          <w:rFonts w:asciiTheme="minorHAnsi" w:hAnsiTheme="minorHAnsi"/>
          <w:i/>
          <w:lang w:val="en-GB"/>
        </w:rPr>
        <w:t>K</w:t>
      </w:r>
      <w:r w:rsidRPr="00FD2F0C">
        <w:rPr>
          <w:rFonts w:asciiTheme="minorHAnsi" w:hAnsiTheme="minorHAnsi"/>
          <w:i/>
          <w:vertAlign w:val="subscript"/>
          <w:lang w:val="en-GB"/>
        </w:rPr>
        <w:t>tech</w:t>
      </w:r>
      <w:r w:rsidRPr="00FD2F0C">
        <w:rPr>
          <w:rFonts w:asciiTheme="minorHAnsi" w:hAnsiTheme="minorHAnsi"/>
          <w:lang w:val="en-GB"/>
        </w:rPr>
        <w:t xml:space="preserve"> for radio technology used in the frequency band.</w:t>
      </w:r>
    </w:p>
    <w:p w14:paraId="716BACD4" w14:textId="77777777" w:rsidR="00EA4781" w:rsidRPr="00FD2F0C" w:rsidRDefault="00EA4781" w:rsidP="00EA4781">
      <w:pPr>
        <w:pStyle w:val="Note"/>
        <w:rPr>
          <w:rFonts w:asciiTheme="minorHAnsi" w:hAnsiTheme="minorHAnsi"/>
          <w:lang w:val="en-GB"/>
        </w:rPr>
      </w:pPr>
      <w:r w:rsidRPr="00FD2F0C">
        <w:rPr>
          <w:rFonts w:asciiTheme="minorHAnsi" w:hAnsiTheme="minorHAnsi"/>
          <w:b/>
          <w:bCs/>
          <w:lang w:val="en-GB"/>
        </w:rPr>
        <w:t>Note 2:</w:t>
      </w:r>
      <w:r w:rsidRPr="00FD2F0C">
        <w:rPr>
          <w:rFonts w:asciiTheme="minorHAnsi" w:hAnsiTheme="minorHAnsi"/>
          <w:lang w:val="en-GB"/>
        </w:rPr>
        <w:t xml:space="preserve"> When a SRFC decision or license assigns a frequency band to an operator not for the entire territory of the Subject but for some part of its territory, the number of used radio frequencies (radio channels) is calculated only with regards to the part of the Russian Federation Subject.</w:t>
      </w:r>
    </w:p>
    <w:p w14:paraId="4AD242DE" w14:textId="77777777" w:rsidR="00EA4781" w:rsidRPr="00FD2F0C" w:rsidRDefault="00EA4781" w:rsidP="00EA4781">
      <w:pPr>
        <w:pStyle w:val="Note"/>
        <w:rPr>
          <w:rFonts w:asciiTheme="minorHAnsi" w:hAnsiTheme="minorHAnsi"/>
          <w:lang w:val="en-GB"/>
        </w:rPr>
      </w:pPr>
      <w:r w:rsidRPr="00FD2F0C">
        <w:rPr>
          <w:rFonts w:asciiTheme="minorHAnsi" w:hAnsiTheme="minorHAnsi"/>
          <w:b/>
          <w:bCs/>
          <w:lang w:val="en-GB"/>
        </w:rPr>
        <w:t>Note 3:</w:t>
      </w:r>
      <w:r w:rsidRPr="00FD2F0C">
        <w:rPr>
          <w:rFonts w:asciiTheme="minorHAnsi" w:hAnsiTheme="minorHAnsi"/>
          <w:lang w:val="en-GB"/>
        </w:rPr>
        <w:t xml:space="preserve"> To encourage timely registration, radio system operators that do not register within the designated period after authorization is granted, face significantly increased annual fees. </w:t>
      </w:r>
    </w:p>
    <w:p w14:paraId="7F5C103E" w14:textId="77777777" w:rsidR="00EA4781" w:rsidRPr="00FD2F0C" w:rsidRDefault="00EA4781" w:rsidP="00EA4781">
      <w:pPr>
        <w:rPr>
          <w:rFonts w:asciiTheme="minorHAnsi" w:hAnsiTheme="minorHAnsi"/>
          <w:b/>
          <w:bCs/>
          <w:lang w:val="en-GB"/>
        </w:rPr>
      </w:pPr>
      <w:r w:rsidRPr="00FD2F0C">
        <w:rPr>
          <w:rFonts w:asciiTheme="minorHAnsi" w:hAnsiTheme="minorHAnsi"/>
          <w:b/>
          <w:bCs/>
          <w:lang w:val="en-GB"/>
        </w:rPr>
        <w:t>Observations regarding spectrum fees derived using this methodology</w:t>
      </w:r>
    </w:p>
    <w:p w14:paraId="09E81350" w14:textId="77777777" w:rsidR="00EA4781" w:rsidRPr="00FD2F0C" w:rsidRDefault="00EA4781" w:rsidP="00804B10">
      <w:pPr>
        <w:pStyle w:val="Bulletlist1"/>
        <w:numPr>
          <w:ilvl w:val="0"/>
          <w:numId w:val="20"/>
        </w:numPr>
        <w:ind w:left="714" w:hanging="357"/>
        <w:jc w:val="both"/>
        <w:rPr>
          <w:rFonts w:asciiTheme="minorHAnsi" w:hAnsiTheme="minorHAnsi"/>
        </w:rPr>
      </w:pPr>
      <w:r w:rsidRPr="00FD2F0C">
        <w:rPr>
          <w:rFonts w:asciiTheme="minorHAnsi" w:hAnsiTheme="minorHAnsi"/>
        </w:rPr>
        <w:t>On a per radio device basis, spectrum fees are highest for devices used for commercial cellular service and lowest for devices for scientific and government use, or are license-exempt.</w:t>
      </w:r>
    </w:p>
    <w:p w14:paraId="2739900C" w14:textId="77777777" w:rsidR="00EA4781" w:rsidRPr="00FD2F0C" w:rsidRDefault="00EA4781" w:rsidP="00804B10">
      <w:pPr>
        <w:pStyle w:val="Bulletlist1"/>
        <w:numPr>
          <w:ilvl w:val="0"/>
          <w:numId w:val="20"/>
        </w:numPr>
        <w:ind w:left="714" w:hanging="357"/>
        <w:jc w:val="both"/>
        <w:rPr>
          <w:rFonts w:asciiTheme="minorHAnsi" w:hAnsiTheme="minorHAnsi"/>
        </w:rPr>
      </w:pPr>
      <w:r w:rsidRPr="00FD2F0C">
        <w:rPr>
          <w:rFonts w:asciiTheme="minorHAnsi" w:hAnsiTheme="minorHAnsi"/>
        </w:rPr>
        <w:lastRenderedPageBreak/>
        <w:t>On a per megahertz basis, spectrum fees are highest for commercial cellular services and lowest for services that are for scientific and government use, or are license-exempt.</w:t>
      </w:r>
    </w:p>
    <w:p w14:paraId="6657E7BC" w14:textId="127FF13A" w:rsidR="00EA4781" w:rsidRPr="00FD2F0C" w:rsidRDefault="003B78A0" w:rsidP="00D06C3F">
      <w:pPr>
        <w:pStyle w:val="Heading3"/>
        <w:numPr>
          <w:ilvl w:val="0"/>
          <w:numId w:val="0"/>
        </w:numPr>
        <w:rPr>
          <w:rFonts w:asciiTheme="minorHAnsi" w:hAnsiTheme="minorHAnsi"/>
        </w:rPr>
      </w:pPr>
      <w:bookmarkStart w:id="174" w:name="_Toc485648031"/>
      <w:r w:rsidRPr="00FD2F0C">
        <w:rPr>
          <w:rFonts w:asciiTheme="minorHAnsi" w:hAnsiTheme="minorHAnsi"/>
        </w:rPr>
        <w:t>A</w:t>
      </w:r>
      <w:r w:rsidR="00D06C3F" w:rsidRPr="00FD2F0C">
        <w:rPr>
          <w:rFonts w:asciiTheme="minorHAnsi" w:hAnsiTheme="minorHAnsi"/>
        </w:rPr>
        <w:t>2</w:t>
      </w:r>
      <w:r w:rsidRPr="00FD2F0C">
        <w:rPr>
          <w:rFonts w:asciiTheme="minorHAnsi" w:hAnsiTheme="minorHAnsi"/>
        </w:rPr>
        <w:t>-</w:t>
      </w:r>
      <w:r w:rsidR="00D06C3F" w:rsidRPr="00FD2F0C">
        <w:rPr>
          <w:rFonts w:asciiTheme="minorHAnsi" w:hAnsiTheme="minorHAnsi"/>
        </w:rPr>
        <w:t>4</w:t>
      </w:r>
      <w:r w:rsidR="00EA4781" w:rsidRPr="00FD2F0C">
        <w:rPr>
          <w:rFonts w:asciiTheme="minorHAnsi" w:hAnsiTheme="minorHAnsi"/>
        </w:rPr>
        <w:t>.4</w:t>
      </w:r>
      <w:r w:rsidR="00EA4781" w:rsidRPr="00FD2F0C">
        <w:rPr>
          <w:rFonts w:asciiTheme="minorHAnsi" w:hAnsiTheme="minorHAnsi"/>
        </w:rPr>
        <w:tab/>
        <w:t>Republic of Korea –Beauty contest and auction in spectrum management</w:t>
      </w:r>
      <w:bookmarkEnd w:id="174"/>
    </w:p>
    <w:p w14:paraId="55620D28"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Up until 2011, the Republic of Korea assigned spectrum to telecommunications service providers exclusively through beauty contests.</w:t>
      </w:r>
      <w:r w:rsidRPr="00FD2F0C">
        <w:rPr>
          <w:rStyle w:val="FootnoteReference"/>
          <w:rFonts w:asciiTheme="minorHAnsi" w:hAnsiTheme="minorHAnsi" w:cstheme="minorHAnsi"/>
        </w:rPr>
        <w:footnoteReference w:id="64"/>
      </w:r>
      <w:r w:rsidRPr="00FD2F0C">
        <w:rPr>
          <w:rFonts w:asciiTheme="minorHAnsi" w:hAnsiTheme="minorHAnsi" w:cstheme="minorHAnsi"/>
          <w:lang w:val="en-GB"/>
        </w:rPr>
        <w:t xml:space="preserve"> In the case of beauty contests, the economic value of the spectrum is measured by the value of the frequency band along with: (a) the efficiency of radio resource utilization; (b) the financial capacity of the assignee; (c) the technical capability of the assignee; (d) the technical characteristics of the frequency to be assigned; and (e) the impact of the corresponding frequency allocation on the telecommunications business and other factors. Korea also calculates spectrum prices based on revenue forecasts or actual revenues of telecommunications service providers as a means to promote broadcasting and ICT industry development.</w:t>
      </w:r>
    </w:p>
    <w:p w14:paraId="2D9FAD05" w14:textId="77777777" w:rsidR="00EA4781" w:rsidRPr="00FD2F0C" w:rsidRDefault="00EA4781" w:rsidP="00EA4781">
      <w:pPr>
        <w:rPr>
          <w:rFonts w:asciiTheme="minorHAnsi" w:hAnsiTheme="minorHAnsi" w:cstheme="minorHAnsi"/>
          <w:lang w:val="en-GB"/>
        </w:rPr>
      </w:pPr>
      <w:r w:rsidRPr="00FD2F0C">
        <w:rPr>
          <w:rFonts w:asciiTheme="minorHAnsi" w:hAnsiTheme="minorHAnsi" w:cstheme="minorHAnsi"/>
          <w:lang w:val="en-GB"/>
        </w:rPr>
        <w:t>Korea’s first spectrum auction was conducted in 2011. Evaluations of the 2011 and 2013 spectrum auctions have shown that use of the auction method has enhanced fairness, transparency, and effectiveness of frequency management. With a beauty contest, the government can more accurately forecast its potential revenue. With the auction method, the government can no longer accurately forecast its potential revenue, as the value of spectrum for commercial use is more closely tied to the current market price, which is set by telecommunications service providers. Even so, the auction method is now considered the primary approach in assigning frequencies.</w:t>
      </w:r>
    </w:p>
    <w:p w14:paraId="3AD0751E" w14:textId="34DB0980" w:rsidR="00937B88" w:rsidRPr="00FD2F0C" w:rsidRDefault="00EA4781" w:rsidP="00E73393">
      <w:pPr>
        <w:rPr>
          <w:rFonts w:asciiTheme="minorHAnsi" w:hAnsiTheme="minorHAnsi" w:cstheme="minorHAnsi"/>
          <w:lang w:val="en-GB"/>
        </w:rPr>
      </w:pPr>
      <w:r w:rsidRPr="00FD2F0C">
        <w:rPr>
          <w:rFonts w:asciiTheme="minorHAnsi" w:hAnsiTheme="minorHAnsi" w:cstheme="minorHAnsi"/>
          <w:lang w:val="en-GB"/>
        </w:rPr>
        <w:t>To promote competition, the Korean government has introduced a longer instalment payment system for spectrum auctions that lowers the barriers for participation by smaller, less-well capitalized companies. It is also important to note that most of the revenue generated from assigned spectrum has been spent for promoting research and development of information a</w:t>
      </w:r>
      <w:r w:rsidR="00963ECE" w:rsidRPr="00FD2F0C">
        <w:rPr>
          <w:rFonts w:asciiTheme="minorHAnsi" w:hAnsiTheme="minorHAnsi" w:cstheme="minorHAnsi"/>
          <w:lang w:val="en-GB"/>
        </w:rPr>
        <w:t>nd communications technologies.</w:t>
      </w:r>
    </w:p>
    <w:p w14:paraId="6A29E546" w14:textId="1EB87CDB" w:rsidR="006B6D06" w:rsidRPr="00FD2F0C" w:rsidRDefault="003B78A0" w:rsidP="00D06C3F">
      <w:pPr>
        <w:keepNext/>
        <w:spacing w:before="240"/>
        <w:ind w:left="357" w:hanging="357"/>
        <w:outlineLvl w:val="1"/>
        <w:rPr>
          <w:rFonts w:asciiTheme="minorHAnsi" w:hAnsiTheme="minorHAnsi" w:cs="Helvetica"/>
          <w:b/>
          <w:bCs/>
          <w:color w:val="1F9DD9"/>
          <w:szCs w:val="32"/>
          <w:lang w:val="en-GB"/>
        </w:rPr>
      </w:pPr>
      <w:bookmarkStart w:id="175" w:name="_Toc485648032"/>
      <w:r w:rsidRPr="00FD2F0C">
        <w:rPr>
          <w:rFonts w:asciiTheme="minorHAnsi" w:hAnsiTheme="minorHAnsi" w:cs="Helvetica"/>
          <w:b/>
          <w:bCs/>
          <w:color w:val="1F9DD9"/>
          <w:szCs w:val="32"/>
          <w:lang w:val="en-GB"/>
        </w:rPr>
        <w:t>A</w:t>
      </w:r>
      <w:r w:rsidR="00D06C3F" w:rsidRPr="00FD2F0C">
        <w:rPr>
          <w:rFonts w:asciiTheme="minorHAnsi" w:hAnsiTheme="minorHAnsi" w:cs="Helvetica"/>
          <w:b/>
          <w:bCs/>
          <w:color w:val="1F9DD9"/>
          <w:szCs w:val="32"/>
          <w:lang w:val="en-GB"/>
        </w:rPr>
        <w:t>2</w:t>
      </w:r>
      <w:r w:rsidRPr="00FD2F0C">
        <w:rPr>
          <w:rFonts w:asciiTheme="minorHAnsi" w:hAnsiTheme="minorHAnsi" w:cs="Helvetica"/>
          <w:b/>
          <w:bCs/>
          <w:color w:val="1F9DD9"/>
          <w:szCs w:val="32"/>
          <w:lang w:val="en-GB"/>
        </w:rPr>
        <w:t>-</w:t>
      </w:r>
      <w:r w:rsidR="00D06C3F" w:rsidRPr="00FD2F0C">
        <w:rPr>
          <w:rFonts w:asciiTheme="minorHAnsi" w:hAnsiTheme="minorHAnsi" w:cs="Helvetica"/>
          <w:b/>
          <w:bCs/>
          <w:color w:val="1F9DD9"/>
          <w:szCs w:val="32"/>
          <w:lang w:val="en-GB"/>
        </w:rPr>
        <w:t>5</w:t>
      </w:r>
      <w:r w:rsidR="006B6D06" w:rsidRPr="00FD2F0C">
        <w:rPr>
          <w:rFonts w:asciiTheme="minorHAnsi" w:hAnsiTheme="minorHAnsi" w:cs="Helvetica"/>
          <w:b/>
          <w:bCs/>
          <w:color w:val="1F9DD9"/>
          <w:szCs w:val="32"/>
          <w:lang w:val="en-GB"/>
        </w:rPr>
        <w:t>.</w:t>
      </w:r>
      <w:r w:rsidR="006B6D06" w:rsidRPr="00FD2F0C">
        <w:rPr>
          <w:rFonts w:asciiTheme="minorHAnsi" w:hAnsiTheme="minorHAnsi" w:cs="Helvetica"/>
          <w:b/>
          <w:bCs/>
          <w:color w:val="1F9DD9"/>
          <w:szCs w:val="32"/>
          <w:lang w:val="en-GB"/>
        </w:rPr>
        <w:tab/>
        <w:t>Countries experiences in relation to Spectrum Management Systems</w:t>
      </w:r>
      <w:bookmarkEnd w:id="175"/>
    </w:p>
    <w:p w14:paraId="11CFBE6F" w14:textId="470773CC" w:rsidR="00652DA3" w:rsidRPr="00FD2F0C" w:rsidRDefault="003B78A0" w:rsidP="00D06C3F">
      <w:pPr>
        <w:pStyle w:val="Heading3"/>
        <w:numPr>
          <w:ilvl w:val="0"/>
          <w:numId w:val="0"/>
        </w:numPr>
        <w:ind w:left="720" w:hanging="720"/>
        <w:rPr>
          <w:rFonts w:asciiTheme="minorHAnsi" w:hAnsiTheme="minorHAnsi"/>
        </w:rPr>
      </w:pPr>
      <w:bookmarkStart w:id="176" w:name="_Toc485648033"/>
      <w:r w:rsidRPr="00FD2F0C">
        <w:rPr>
          <w:rFonts w:asciiTheme="minorHAnsi" w:hAnsiTheme="minorHAnsi"/>
        </w:rPr>
        <w:t>A</w:t>
      </w:r>
      <w:r w:rsidR="00D06C3F" w:rsidRPr="00FD2F0C">
        <w:rPr>
          <w:rFonts w:asciiTheme="minorHAnsi" w:hAnsiTheme="minorHAnsi"/>
        </w:rPr>
        <w:t>2</w:t>
      </w:r>
      <w:r w:rsidRPr="00FD2F0C">
        <w:rPr>
          <w:rFonts w:asciiTheme="minorHAnsi" w:hAnsiTheme="minorHAnsi"/>
        </w:rPr>
        <w:t>-</w:t>
      </w:r>
      <w:r w:rsidR="00D06C3F" w:rsidRPr="00FD2F0C">
        <w:rPr>
          <w:rFonts w:asciiTheme="minorHAnsi" w:hAnsiTheme="minorHAnsi"/>
        </w:rPr>
        <w:t>5</w:t>
      </w:r>
      <w:r w:rsidR="00652DA3" w:rsidRPr="00FD2F0C">
        <w:rPr>
          <w:rFonts w:asciiTheme="minorHAnsi" w:hAnsiTheme="minorHAnsi"/>
        </w:rPr>
        <w:t>.1</w:t>
      </w:r>
      <w:r w:rsidR="00652DA3" w:rsidRPr="00FD2F0C">
        <w:rPr>
          <w:rFonts w:asciiTheme="minorHAnsi" w:hAnsiTheme="minorHAnsi"/>
        </w:rPr>
        <w:tab/>
        <w:t>Hungary – Spectrum Management IT System (STIR)</w:t>
      </w:r>
      <w:bookmarkEnd w:id="176"/>
    </w:p>
    <w:p w14:paraId="6DFBABD2" w14:textId="16BC24C4" w:rsidR="006B6D06" w:rsidRPr="00FD2F0C" w:rsidRDefault="00652DA3" w:rsidP="00E73393">
      <w:pPr>
        <w:rPr>
          <w:rFonts w:asciiTheme="minorHAnsi" w:hAnsiTheme="minorHAnsi"/>
          <w:lang w:val="en-GB"/>
        </w:rPr>
      </w:pPr>
      <w:r w:rsidRPr="00FD2F0C">
        <w:rPr>
          <w:rFonts w:asciiTheme="minorHAnsi" w:hAnsiTheme="minorHAnsi"/>
          <w:lang w:val="en-GB"/>
        </w:rPr>
        <w:t>After three years of planning, the first phase of the development of the Spectrum Management IT System (STIR) was finished in 2015 in Hungary.</w:t>
      </w:r>
      <w:r w:rsidRPr="00FD2F0C">
        <w:rPr>
          <w:rStyle w:val="FootnoteReference"/>
          <w:rFonts w:asciiTheme="minorHAnsi" w:hAnsiTheme="minorHAnsi"/>
        </w:rPr>
        <w:footnoteReference w:id="65"/>
      </w:r>
      <w:r w:rsidRPr="00FD2F0C">
        <w:rPr>
          <w:rFonts w:asciiTheme="minorHAnsi" w:hAnsiTheme="minorHAnsi"/>
          <w:lang w:val="en-GB"/>
        </w:rPr>
        <w:t xml:space="preserve"> The STIR provides wide support to experts to create, edit, visualize and easily publish regulations around the use of the spectrum in Hungary, specifically the “Decree on National Frequency Allocation” and the rules of using frequency bands. This tool helps experts to undertake different analyses according to various criteria through processing the frequency management information that is available in the system. The tool is also capable to receive or send information to other systems such as EFIS (ECO Frequency Information System) and can be used in both English and Hungarian.</w:t>
      </w:r>
    </w:p>
    <w:p w14:paraId="6AFB9491" w14:textId="547D0FE1" w:rsidR="00DA1FBE" w:rsidRPr="00FD2F0C" w:rsidRDefault="003B78A0" w:rsidP="00D06C3F">
      <w:pPr>
        <w:keepNext/>
        <w:spacing w:before="240"/>
        <w:ind w:left="357" w:hanging="357"/>
        <w:outlineLvl w:val="1"/>
        <w:rPr>
          <w:rFonts w:asciiTheme="minorHAnsi" w:hAnsiTheme="minorHAnsi" w:cs="Helvetica"/>
          <w:b/>
          <w:bCs/>
          <w:color w:val="1F9DD9"/>
          <w:szCs w:val="32"/>
          <w:lang w:val="en-GB"/>
        </w:rPr>
      </w:pPr>
      <w:bookmarkStart w:id="177" w:name="_Toc485648034"/>
      <w:r w:rsidRPr="00FD2F0C">
        <w:rPr>
          <w:rFonts w:asciiTheme="minorHAnsi" w:hAnsiTheme="minorHAnsi" w:cs="Helvetica"/>
          <w:b/>
          <w:bCs/>
          <w:color w:val="1F9DD9"/>
          <w:szCs w:val="32"/>
          <w:lang w:val="en-GB"/>
        </w:rPr>
        <w:t>A</w:t>
      </w:r>
      <w:r w:rsidR="00D06C3F" w:rsidRPr="00FD2F0C">
        <w:rPr>
          <w:rFonts w:asciiTheme="minorHAnsi" w:hAnsiTheme="minorHAnsi" w:cs="Helvetica"/>
          <w:b/>
          <w:bCs/>
          <w:color w:val="1F9DD9"/>
          <w:szCs w:val="32"/>
          <w:lang w:val="en-GB"/>
        </w:rPr>
        <w:t>2</w:t>
      </w:r>
      <w:r w:rsidRPr="00FD2F0C">
        <w:rPr>
          <w:rFonts w:asciiTheme="minorHAnsi" w:hAnsiTheme="minorHAnsi" w:cs="Helvetica"/>
          <w:b/>
          <w:bCs/>
          <w:color w:val="1F9DD9"/>
          <w:szCs w:val="32"/>
          <w:lang w:val="en-GB"/>
        </w:rPr>
        <w:t>-</w:t>
      </w:r>
      <w:r w:rsidR="00D06C3F" w:rsidRPr="00FD2F0C">
        <w:rPr>
          <w:rFonts w:asciiTheme="minorHAnsi" w:hAnsiTheme="minorHAnsi" w:cs="Helvetica"/>
          <w:b/>
          <w:bCs/>
          <w:color w:val="1F9DD9"/>
          <w:szCs w:val="32"/>
          <w:lang w:val="en-GB"/>
        </w:rPr>
        <w:t>6</w:t>
      </w:r>
      <w:r w:rsidR="00DA1FBE" w:rsidRPr="00FD2F0C">
        <w:rPr>
          <w:rFonts w:asciiTheme="minorHAnsi" w:hAnsiTheme="minorHAnsi" w:cs="Helvetica"/>
          <w:b/>
          <w:bCs/>
          <w:color w:val="1F9DD9"/>
          <w:szCs w:val="32"/>
          <w:lang w:val="en-GB"/>
        </w:rPr>
        <w:t>.</w:t>
      </w:r>
      <w:r w:rsidR="00DA1FBE" w:rsidRPr="00FD2F0C">
        <w:rPr>
          <w:rFonts w:asciiTheme="minorHAnsi" w:hAnsiTheme="minorHAnsi" w:cs="Helvetica"/>
          <w:b/>
          <w:bCs/>
          <w:color w:val="1F9DD9"/>
          <w:szCs w:val="32"/>
          <w:lang w:val="en-GB"/>
        </w:rPr>
        <w:tab/>
        <w:t>Countries experiences in relation to Spectrum Management</w:t>
      </w:r>
      <w:bookmarkEnd w:id="177"/>
    </w:p>
    <w:p w14:paraId="447E6325" w14:textId="7180C5FD" w:rsidR="00DA1FBE" w:rsidRPr="00FD2F0C" w:rsidRDefault="003B78A0" w:rsidP="00D06C3F">
      <w:pPr>
        <w:pStyle w:val="Heading3"/>
        <w:numPr>
          <w:ilvl w:val="0"/>
          <w:numId w:val="0"/>
        </w:numPr>
        <w:ind w:left="720" w:hanging="720"/>
        <w:rPr>
          <w:rFonts w:asciiTheme="minorHAnsi" w:hAnsiTheme="minorHAnsi"/>
        </w:rPr>
      </w:pPr>
      <w:bookmarkStart w:id="178" w:name="_Toc485648035"/>
      <w:r w:rsidRPr="00FD2F0C">
        <w:rPr>
          <w:rFonts w:asciiTheme="minorHAnsi" w:hAnsiTheme="minorHAnsi"/>
        </w:rPr>
        <w:t>A</w:t>
      </w:r>
      <w:r w:rsidR="00D06C3F" w:rsidRPr="00FD2F0C">
        <w:rPr>
          <w:rFonts w:asciiTheme="minorHAnsi" w:hAnsiTheme="minorHAnsi"/>
        </w:rPr>
        <w:t>2</w:t>
      </w:r>
      <w:r w:rsidRPr="00FD2F0C">
        <w:rPr>
          <w:rFonts w:asciiTheme="minorHAnsi" w:hAnsiTheme="minorHAnsi"/>
        </w:rPr>
        <w:t>-</w:t>
      </w:r>
      <w:r w:rsidR="00D06C3F" w:rsidRPr="00FD2F0C">
        <w:rPr>
          <w:rFonts w:asciiTheme="minorHAnsi" w:hAnsiTheme="minorHAnsi"/>
        </w:rPr>
        <w:t>6</w:t>
      </w:r>
      <w:r w:rsidR="00DA1FBE" w:rsidRPr="00FD2F0C">
        <w:rPr>
          <w:rFonts w:asciiTheme="minorHAnsi" w:hAnsiTheme="minorHAnsi"/>
        </w:rPr>
        <w:t>.1</w:t>
      </w:r>
      <w:r w:rsidR="00DA1FBE" w:rsidRPr="00FD2F0C">
        <w:rPr>
          <w:rFonts w:asciiTheme="minorHAnsi" w:hAnsiTheme="minorHAnsi"/>
        </w:rPr>
        <w:tab/>
        <w:t>People’s Republic of China – The improvement of spectral efficiency based on LTE technology</w:t>
      </w:r>
      <w:bookmarkEnd w:id="178"/>
    </w:p>
    <w:p w14:paraId="3FAE4906" w14:textId="77777777" w:rsidR="00DA1FBE" w:rsidRPr="00FD2F0C" w:rsidRDefault="00DA1FBE" w:rsidP="00DA1FBE">
      <w:pPr>
        <w:rPr>
          <w:rFonts w:asciiTheme="minorHAnsi" w:hAnsiTheme="minorHAnsi"/>
          <w:lang w:val="en-GB"/>
        </w:rPr>
      </w:pPr>
      <w:r w:rsidRPr="00FD2F0C">
        <w:rPr>
          <w:rFonts w:asciiTheme="minorHAnsi" w:hAnsiTheme="minorHAnsi"/>
          <w:lang w:val="en-GB"/>
        </w:rPr>
        <w:t xml:space="preserve">As the transition proceeds from narrowband trunked systems to broadband wireless networks, increased spectrum capacity is needed for the delivery of various public sector applications, </w:t>
      </w:r>
      <w:r w:rsidRPr="00FD2F0C">
        <w:rPr>
          <w:rFonts w:asciiTheme="minorHAnsi" w:hAnsiTheme="minorHAnsi"/>
          <w:lang w:val="en-GB"/>
        </w:rPr>
        <w:lastRenderedPageBreak/>
        <w:t xml:space="preserve">including those requiring transmission of voice, data, image and video.  In particular, public safety and emergency communications require dedicated networks for use across transportation, energy, education, and environmental protection. </w:t>
      </w:r>
      <w:r w:rsidRPr="00FD2F0C">
        <w:rPr>
          <w:rStyle w:val="FootnoteReference"/>
          <w:rFonts w:asciiTheme="minorHAnsi" w:hAnsiTheme="minorHAnsi"/>
        </w:rPr>
        <w:footnoteReference w:id="66"/>
      </w:r>
    </w:p>
    <w:p w14:paraId="1C344911" w14:textId="77777777" w:rsidR="00DA1FBE" w:rsidRPr="00FD2F0C" w:rsidRDefault="00DA1FBE" w:rsidP="00DA1FBE">
      <w:pPr>
        <w:rPr>
          <w:rFonts w:asciiTheme="minorHAnsi" w:hAnsiTheme="minorHAnsi"/>
          <w:lang w:val="en-GB"/>
        </w:rPr>
      </w:pPr>
      <w:r w:rsidRPr="00FD2F0C">
        <w:rPr>
          <w:rFonts w:asciiTheme="minorHAnsi" w:hAnsiTheme="minorHAnsi"/>
          <w:lang w:val="en-GB"/>
        </w:rPr>
        <w:t>In consideration of other governments’ spectrum allocation for public safety, the People’s Republic of China’s Ministry of Industry and Information Technology, has designated 20MHz bandwidth on 1.4GHz frequency band for a broadband dedicated trunked system to meet the needs of government use, public safety, and other public sector use.</w:t>
      </w:r>
    </w:p>
    <w:p w14:paraId="1CE3DB82" w14:textId="77777777" w:rsidR="00DA1FBE" w:rsidRPr="00FD2F0C" w:rsidRDefault="00DA1FBE" w:rsidP="00DA1FBE">
      <w:pPr>
        <w:rPr>
          <w:rFonts w:asciiTheme="minorHAnsi" w:hAnsiTheme="minorHAnsi"/>
          <w:lang w:val="en-GB"/>
        </w:rPr>
      </w:pPr>
      <w:r w:rsidRPr="00FD2F0C">
        <w:rPr>
          <w:rFonts w:asciiTheme="minorHAnsi" w:hAnsiTheme="minorHAnsi"/>
          <w:lang w:val="en-GB"/>
        </w:rPr>
        <w:t>In addition, the Chinese government conducted pilot projects in Beijing, Shanghai, Tianjin, and Nanjing to experiment with government uses for dedicated wireless networks, powered by TD-LTE technique and digital trunked technique. These technologies support high speed transmission, broadband and resource sharing, fast call technology, and command dispatch. They can also deliver services, such as original trunked voice service, broadband communication of collaborative process, and video-scheduling simultaneously. In addition, this network may be technically capable in the areas of network safety, reliability, and extendibility, which provides great potential for various applications in the fields of public safety, transportation, security, and defence. The Chinese government believes a TD-LTE technology-based government network will provide strong support for future smart city applications.</w:t>
      </w:r>
    </w:p>
    <w:p w14:paraId="6C68C4E5" w14:textId="77777777" w:rsidR="00DA1FBE" w:rsidRPr="00FD2F0C" w:rsidRDefault="00DA1FBE" w:rsidP="00DA1FBE">
      <w:pPr>
        <w:rPr>
          <w:rFonts w:asciiTheme="minorHAnsi" w:hAnsiTheme="minorHAnsi"/>
          <w:lang w:val="en-GB"/>
        </w:rPr>
      </w:pPr>
      <w:r w:rsidRPr="00FD2F0C">
        <w:rPr>
          <w:rFonts w:asciiTheme="minorHAnsi" w:hAnsiTheme="minorHAnsi"/>
          <w:i/>
          <w:lang w:val="en-GB"/>
        </w:rPr>
        <w:t xml:space="preserve">Nanjing Example: </w:t>
      </w:r>
      <w:r w:rsidRPr="00FD2F0C">
        <w:rPr>
          <w:rFonts w:asciiTheme="minorHAnsi" w:hAnsiTheme="minorHAnsi"/>
          <w:lang w:val="en-GB"/>
        </w:rPr>
        <w:t xml:space="preserve">The wireless government dedicated network in Nanjing covers 11 municipal districts, with an area of about 6,597 square kilometres and a population of about 8 million. Following the network of outdoor roads, the city adopted a thin-overlay coverage pattern with the following coverage quality conditions: (1) The area where the received signal strength exceeds -100dBm, (2) is not less than 85 per cent of the planned coverage area, and (3) the edge coverage ratio is not less than 60 per cent. To ensure the coverage of the network within the city, as well as the indoor coverage in major application architectures, the network is composed of terminals, broadband wireless access subsystem, the network subsystem, and application subsystems. It includes almost 300 base stations, providing mobile information solutions for mobile office applications, emergency disposal, administrative enforcement actions and public safety. These support communication and data transmission services for Nanjing municipal government, the police department, and the urban management departments, and played a crucial role in command dispatch and communication protections in the Nanjing Youth Olympic Games. The wireless government dedicated network also supports Internet services and multimedia trunking services, which are characterized by strong anti-interference ability, high spectral efficiency, high coverage, excellent compatibility and confidentiality. </w:t>
      </w:r>
    </w:p>
    <w:p w14:paraId="0A5667A7" w14:textId="43943819" w:rsidR="00DA1FBE" w:rsidRPr="00FD2F0C" w:rsidRDefault="003B78A0" w:rsidP="00D06C3F">
      <w:pPr>
        <w:pStyle w:val="Heading3"/>
        <w:numPr>
          <w:ilvl w:val="0"/>
          <w:numId w:val="0"/>
        </w:numPr>
        <w:ind w:left="720" w:hanging="720"/>
        <w:rPr>
          <w:rFonts w:asciiTheme="minorHAnsi" w:hAnsiTheme="minorHAnsi"/>
        </w:rPr>
      </w:pPr>
      <w:bookmarkStart w:id="179" w:name="_Toc485648036"/>
      <w:r w:rsidRPr="00FD2F0C">
        <w:rPr>
          <w:rFonts w:asciiTheme="minorHAnsi" w:hAnsiTheme="minorHAnsi"/>
        </w:rPr>
        <w:t>A</w:t>
      </w:r>
      <w:r w:rsidR="00D06C3F" w:rsidRPr="00FD2F0C">
        <w:rPr>
          <w:rFonts w:asciiTheme="minorHAnsi" w:hAnsiTheme="minorHAnsi"/>
        </w:rPr>
        <w:t>2</w:t>
      </w:r>
      <w:r w:rsidRPr="00FD2F0C">
        <w:rPr>
          <w:rFonts w:asciiTheme="minorHAnsi" w:hAnsiTheme="minorHAnsi"/>
        </w:rPr>
        <w:t>-</w:t>
      </w:r>
      <w:r w:rsidR="00D06C3F" w:rsidRPr="00FD2F0C">
        <w:rPr>
          <w:rFonts w:asciiTheme="minorHAnsi" w:hAnsiTheme="minorHAnsi"/>
        </w:rPr>
        <w:t>6</w:t>
      </w:r>
      <w:r w:rsidR="00DA1FBE" w:rsidRPr="00FD2F0C">
        <w:rPr>
          <w:rFonts w:asciiTheme="minorHAnsi" w:hAnsiTheme="minorHAnsi"/>
        </w:rPr>
        <w:t>.2</w:t>
      </w:r>
      <w:r w:rsidR="00DA1FBE" w:rsidRPr="00FD2F0C">
        <w:rPr>
          <w:rFonts w:asciiTheme="minorHAnsi" w:hAnsiTheme="minorHAnsi"/>
        </w:rPr>
        <w:tab/>
        <w:t>Tanzania − The legal framework on Spectrum Management in Tanzania</w:t>
      </w:r>
      <w:bookmarkEnd w:id="179"/>
    </w:p>
    <w:p w14:paraId="2FD318DB" w14:textId="77777777" w:rsidR="00DA1FBE" w:rsidRPr="00FD2F0C" w:rsidRDefault="00DA1FBE" w:rsidP="00DA1FBE">
      <w:pPr>
        <w:rPr>
          <w:rFonts w:asciiTheme="minorHAnsi" w:hAnsiTheme="minorHAnsi"/>
          <w:lang w:val="en-GB"/>
        </w:rPr>
      </w:pPr>
      <w:r w:rsidRPr="00FD2F0C">
        <w:rPr>
          <w:rFonts w:asciiTheme="minorHAnsi" w:hAnsiTheme="minorHAnsi"/>
          <w:lang w:val="en-GB"/>
        </w:rPr>
        <w:t>Radio frequency spectrum is a scarce resource which must be used efficiently and effectively. In absence of a specific policy on spectrum management and for the purpose of resolving challenges in regulating spectrum, Tanzania</w:t>
      </w:r>
      <w:r w:rsidRPr="00FD2F0C">
        <w:rPr>
          <w:rStyle w:val="FootnoteReference"/>
          <w:rFonts w:asciiTheme="minorHAnsi" w:hAnsiTheme="minorHAnsi"/>
        </w:rPr>
        <w:footnoteReference w:id="67"/>
      </w:r>
      <w:r w:rsidRPr="00FD2F0C">
        <w:rPr>
          <w:rFonts w:asciiTheme="minorHAnsi" w:hAnsiTheme="minorHAnsi"/>
          <w:lang w:val="en-GB"/>
        </w:rPr>
        <w:t xml:space="preserve"> has put in place a legal framework that provides for wide powers for spectrum management, authorizing the Authority to retrieve spectrum from operators who do not use it, or are using it in an inefficient and ineffective manner. The framework can be adopted by other countries so as to put in place effective and efficient spectrum management, and to ensure that the scarce spectrum resource is used for the benefit of society.</w:t>
      </w:r>
    </w:p>
    <w:p w14:paraId="506D6352" w14:textId="77777777" w:rsidR="00DA1FBE" w:rsidRPr="00FD2F0C" w:rsidRDefault="00DA1FBE" w:rsidP="00DA1FBE">
      <w:pPr>
        <w:rPr>
          <w:rFonts w:asciiTheme="minorHAnsi" w:hAnsiTheme="minorHAnsi"/>
          <w:lang w:val="en-GB"/>
        </w:rPr>
      </w:pPr>
      <w:r w:rsidRPr="00FD2F0C">
        <w:rPr>
          <w:rFonts w:asciiTheme="minorHAnsi" w:hAnsiTheme="minorHAnsi"/>
          <w:lang w:val="en-GB"/>
        </w:rPr>
        <w:t xml:space="preserve">Tanzania has two general policies to govern the ICT/telecommunications sector: National Telecommunications Policy (NTP) of 1997 and the National Information Communications </w:t>
      </w:r>
      <w:r w:rsidRPr="00FD2F0C">
        <w:rPr>
          <w:rFonts w:asciiTheme="minorHAnsi" w:hAnsiTheme="minorHAnsi"/>
          <w:lang w:val="en-GB"/>
        </w:rPr>
        <w:lastRenderedPageBreak/>
        <w:t>Technology Policy of 2003. The NTP authorized the relevant regulators to monitor and to regulate the telecommunications sector and to allocate and monitor radio frequencies. Additionally, various legislation has governed the management of spectrum in Tanzania. In 1993, the Communications Commission (TCC) was established under the Tanzania Communications Act (TCA) as the regulator for posts and telecommunications issues. Following a legal battle on retrieval of spectrum, in 2001 the Government of Tanzania amended the TCA to enable TCC to retrieve spectrum from an operator who is occupying but not using certain spectrum. The amendment also ensured spectrum is utilized in an efficient and effective manner. In 2010, the Electronic and Postal Communications Act (EPOCA) was enacted and repealed the TCA and Broadcasting Services Act. This new law provided the Converged Licensing Framework, introduced a number of new developments in the sector including: SIM card registration, Computer Emergency Response Team, Digital broadcasting, and Postcodes.</w:t>
      </w:r>
    </w:p>
    <w:p w14:paraId="0F8831DC" w14:textId="59B7E6B2" w:rsidR="00DA1FBE" w:rsidRPr="00FD2F0C" w:rsidRDefault="00DA1FBE" w:rsidP="00DA1FBE">
      <w:pPr>
        <w:rPr>
          <w:rFonts w:asciiTheme="minorHAnsi" w:hAnsiTheme="minorHAnsi"/>
        </w:rPr>
      </w:pPr>
      <w:r w:rsidRPr="00FD2F0C">
        <w:rPr>
          <w:rFonts w:asciiTheme="minorHAnsi" w:hAnsiTheme="minorHAnsi"/>
          <w:lang w:val="en-GB"/>
        </w:rPr>
        <w:t xml:space="preserve">In the regulatory space, the Radio Communication Regulations of 2001 was the first regulation covering a number of issues related to radio frequency spectrum. It was replaced with the Tanzania Communications (Radio Communications and Frequency Spectrum) Regulations in 2005, which governed a range of issues such as general licensing issues and classes of </w:t>
      </w:r>
      <w:r w:rsidR="003B3320" w:rsidRPr="00FD2F0C">
        <w:rPr>
          <w:rFonts w:asciiTheme="minorHAnsi" w:hAnsiTheme="minorHAnsi"/>
          <w:lang w:val="en-GB"/>
        </w:rPr>
        <w:t>license</w:t>
      </w:r>
      <w:r w:rsidRPr="00FD2F0C">
        <w:rPr>
          <w:rFonts w:asciiTheme="minorHAnsi" w:hAnsiTheme="minorHAnsi"/>
          <w:lang w:val="en-GB"/>
        </w:rPr>
        <w:t xml:space="preserve">s using spectrum and interference with telecom equipment, station networks and systems. In 2011, the 2005 regulations on frequency spectrum were repealed and replaced with the Electronic and Postal Communications (Radio Frequency) Regulations. </w:t>
      </w:r>
      <w:r w:rsidRPr="00FD2F0C">
        <w:rPr>
          <w:rFonts w:asciiTheme="minorHAnsi" w:hAnsiTheme="minorHAnsi"/>
        </w:rPr>
        <w:t>The above-mentioned Regulations provide:</w:t>
      </w:r>
    </w:p>
    <w:p w14:paraId="76ED7C11" w14:textId="77777777" w:rsidR="00DA1FBE" w:rsidRPr="00FD2F0C" w:rsidRDefault="00DA1FBE" w:rsidP="00804B10">
      <w:pPr>
        <w:pStyle w:val="Bulletlist1"/>
        <w:numPr>
          <w:ilvl w:val="0"/>
          <w:numId w:val="20"/>
        </w:numPr>
        <w:ind w:left="714" w:hanging="357"/>
        <w:jc w:val="both"/>
        <w:rPr>
          <w:rFonts w:asciiTheme="minorHAnsi" w:hAnsiTheme="minorHAnsi"/>
        </w:rPr>
      </w:pPr>
      <w:r w:rsidRPr="00FD2F0C">
        <w:rPr>
          <w:rFonts w:asciiTheme="minorHAnsi" w:hAnsiTheme="minorHAnsi"/>
        </w:rPr>
        <w:t>Where spectrum is insufficient or bands are competitive, allocation and assignment of spectrum to any successful applicant shall be on basis of beauty contest process;</w:t>
      </w:r>
    </w:p>
    <w:p w14:paraId="0FBD8C65" w14:textId="77777777" w:rsidR="00DA1FBE" w:rsidRPr="00FD2F0C" w:rsidRDefault="00DA1FBE" w:rsidP="00804B10">
      <w:pPr>
        <w:pStyle w:val="Bulletlist1"/>
        <w:numPr>
          <w:ilvl w:val="0"/>
          <w:numId w:val="20"/>
        </w:numPr>
        <w:ind w:left="714" w:hanging="357"/>
        <w:jc w:val="both"/>
        <w:rPr>
          <w:rFonts w:asciiTheme="minorHAnsi" w:hAnsiTheme="minorHAnsi"/>
        </w:rPr>
      </w:pPr>
      <w:r w:rsidRPr="00FD2F0C">
        <w:rPr>
          <w:rFonts w:asciiTheme="minorHAnsi" w:hAnsiTheme="minorHAnsi"/>
        </w:rPr>
        <w:t>Criteria for the Authority to follow in case of competing demand: roll out commitment, financial/technical capability and public interest;</w:t>
      </w:r>
    </w:p>
    <w:p w14:paraId="75BFA7AD" w14:textId="77777777" w:rsidR="00DA1FBE" w:rsidRPr="00FD2F0C" w:rsidRDefault="00DA1FBE" w:rsidP="00804B10">
      <w:pPr>
        <w:pStyle w:val="Bulletlist1"/>
        <w:numPr>
          <w:ilvl w:val="0"/>
          <w:numId w:val="20"/>
        </w:numPr>
        <w:ind w:left="714" w:hanging="357"/>
        <w:jc w:val="both"/>
        <w:rPr>
          <w:rFonts w:asciiTheme="minorHAnsi" w:hAnsiTheme="minorHAnsi"/>
        </w:rPr>
      </w:pPr>
      <w:r w:rsidRPr="00FD2F0C">
        <w:rPr>
          <w:rFonts w:asciiTheme="minorHAnsi" w:hAnsiTheme="minorHAnsi"/>
        </w:rPr>
        <w:t>Spectrum allocated to be used within 12 months from date of grant of license;</w:t>
      </w:r>
    </w:p>
    <w:p w14:paraId="54907F66" w14:textId="77777777" w:rsidR="00DA1FBE" w:rsidRPr="00FD2F0C" w:rsidRDefault="00DA1FBE" w:rsidP="00804B10">
      <w:pPr>
        <w:pStyle w:val="Bulletlist1"/>
        <w:numPr>
          <w:ilvl w:val="0"/>
          <w:numId w:val="20"/>
        </w:numPr>
        <w:ind w:left="714" w:hanging="357"/>
        <w:jc w:val="both"/>
        <w:rPr>
          <w:rFonts w:asciiTheme="minorHAnsi" w:hAnsiTheme="minorHAnsi"/>
        </w:rPr>
      </w:pPr>
      <w:r w:rsidRPr="00FD2F0C">
        <w:rPr>
          <w:rFonts w:asciiTheme="minorHAnsi" w:hAnsiTheme="minorHAnsi"/>
        </w:rPr>
        <w:t>The Authority may from time to time, review spectrum allocation plan with view to phase out ageing technologies and obsolete radio equipment;</w:t>
      </w:r>
    </w:p>
    <w:p w14:paraId="46744718" w14:textId="77777777" w:rsidR="00DA1FBE" w:rsidRPr="00FD2F0C" w:rsidRDefault="00DA1FBE" w:rsidP="00804B10">
      <w:pPr>
        <w:pStyle w:val="Bulletlist1"/>
        <w:numPr>
          <w:ilvl w:val="0"/>
          <w:numId w:val="20"/>
        </w:numPr>
        <w:ind w:left="714" w:hanging="357"/>
        <w:jc w:val="both"/>
        <w:rPr>
          <w:rFonts w:asciiTheme="minorHAnsi" w:hAnsiTheme="minorHAnsi"/>
        </w:rPr>
      </w:pPr>
      <w:r w:rsidRPr="00FD2F0C">
        <w:rPr>
          <w:rFonts w:asciiTheme="minorHAnsi" w:hAnsiTheme="minorHAnsi"/>
        </w:rPr>
        <w:t>The Authority may require sharing of spectrum among users.</w:t>
      </w:r>
    </w:p>
    <w:p w14:paraId="75D831CB" w14:textId="63BFB02F" w:rsidR="007366D4" w:rsidRPr="00FD2F0C" w:rsidRDefault="007366D4" w:rsidP="00D06C3F">
      <w:pPr>
        <w:pStyle w:val="APXchaptertitle"/>
        <w:numPr>
          <w:ilvl w:val="0"/>
          <w:numId w:val="0"/>
        </w:numPr>
        <w:rPr>
          <w:rFonts w:asciiTheme="minorHAnsi" w:hAnsiTheme="minorHAnsi"/>
        </w:rPr>
      </w:pPr>
      <w:bookmarkStart w:id="180" w:name="_Toc485648037"/>
      <w:r w:rsidRPr="00FD2F0C">
        <w:rPr>
          <w:rFonts w:asciiTheme="minorHAnsi" w:hAnsiTheme="minorHAnsi"/>
        </w:rPr>
        <w:lastRenderedPageBreak/>
        <w:t xml:space="preserve">Annex </w:t>
      </w:r>
      <w:r w:rsidR="00D06C3F" w:rsidRPr="00FD2F0C">
        <w:rPr>
          <w:rFonts w:asciiTheme="minorHAnsi" w:hAnsiTheme="minorHAnsi"/>
        </w:rPr>
        <w:t>3</w:t>
      </w:r>
      <w:r w:rsidRPr="00FD2F0C">
        <w:rPr>
          <w:rFonts w:asciiTheme="minorHAnsi" w:hAnsiTheme="minorHAnsi"/>
        </w:rPr>
        <w:t xml:space="preserve">: </w:t>
      </w:r>
      <w:bookmarkEnd w:id="136"/>
      <w:r w:rsidR="00E74C21" w:rsidRPr="00FD2F0C">
        <w:rPr>
          <w:rFonts w:asciiTheme="minorHAnsi" w:hAnsiTheme="minorHAnsi"/>
        </w:rPr>
        <w:t>C</w:t>
      </w:r>
      <w:r w:rsidRPr="00FD2F0C">
        <w:rPr>
          <w:rFonts w:asciiTheme="minorHAnsi" w:hAnsiTheme="minorHAnsi"/>
        </w:rPr>
        <w:t>ontribution received for WTDC Resolution 9</w:t>
      </w:r>
      <w:bookmarkEnd w:id="180"/>
    </w:p>
    <w:p w14:paraId="01FB1CEE" w14:textId="77777777" w:rsidR="007366D4" w:rsidRPr="00FD2F0C" w:rsidRDefault="007366D4" w:rsidP="007366D4">
      <w:pPr>
        <w:pStyle w:val="Call"/>
        <w:keepNext w:val="0"/>
        <w:keepLines w:val="0"/>
        <w:spacing w:before="120"/>
        <w:ind w:left="0"/>
        <w:rPr>
          <w:rFonts w:asciiTheme="minorHAnsi" w:eastAsia="Times New Roman" w:hAnsiTheme="minorHAnsi"/>
          <w:b/>
          <w:bCs/>
          <w:i w:val="0"/>
          <w:szCs w:val="24"/>
          <w:lang w:val="en-US" w:eastAsia="en-US"/>
        </w:rPr>
      </w:pPr>
      <w:r w:rsidRPr="00FD2F0C">
        <w:rPr>
          <w:rFonts w:asciiTheme="minorHAnsi" w:hAnsiTheme="minorHAnsi"/>
          <w:b/>
          <w:bCs/>
          <w:i w:val="0"/>
          <w:szCs w:val="24"/>
          <w:lang w:val="en-US"/>
        </w:rPr>
        <w:t>Resolution 9 contributions for Rapporteur Group and Study Group meetings</w:t>
      </w:r>
    </w:p>
    <w:tbl>
      <w:tblPr>
        <w:tblW w:w="50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2"/>
        <w:gridCol w:w="1312"/>
        <w:gridCol w:w="2694"/>
        <w:gridCol w:w="4644"/>
      </w:tblGrid>
      <w:tr w:rsidR="007366D4" w:rsidRPr="00FD2F0C" w14:paraId="189DF682"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19918465" w14:textId="77777777" w:rsidR="007366D4" w:rsidRPr="00FD2F0C" w:rsidRDefault="007366D4" w:rsidP="00745ECC">
            <w:pPr>
              <w:pStyle w:val="Tableheadwhitecentred"/>
              <w:rPr>
                <w:rFonts w:eastAsia="Times New Roman"/>
                <w:lang w:eastAsia="en-US"/>
              </w:rPr>
            </w:pPr>
            <w:r w:rsidRPr="00FD2F0C">
              <w:t>Web</w:t>
            </w:r>
          </w:p>
        </w:tc>
        <w:tc>
          <w:tcPr>
            <w:tcW w:w="674" w:type="pct"/>
            <w:tcBorders>
              <w:top w:val="single" w:sz="12" w:space="0" w:color="auto"/>
              <w:left w:val="single" w:sz="12" w:space="0" w:color="auto"/>
              <w:bottom w:val="single" w:sz="12" w:space="0" w:color="auto"/>
              <w:right w:val="single" w:sz="12" w:space="0" w:color="auto"/>
            </w:tcBorders>
            <w:noWrap/>
            <w:hideMark/>
          </w:tcPr>
          <w:p w14:paraId="7E90D76E" w14:textId="77777777" w:rsidR="007366D4" w:rsidRPr="00FD2F0C" w:rsidRDefault="007366D4" w:rsidP="00745ECC">
            <w:pPr>
              <w:pStyle w:val="Tableheadwhitecentred"/>
            </w:pPr>
            <w:r w:rsidRPr="00FD2F0C">
              <w:t>Received</w:t>
            </w:r>
          </w:p>
        </w:tc>
        <w:tc>
          <w:tcPr>
            <w:tcW w:w="1384" w:type="pct"/>
            <w:tcBorders>
              <w:top w:val="single" w:sz="12" w:space="0" w:color="auto"/>
              <w:left w:val="single" w:sz="12" w:space="0" w:color="auto"/>
              <w:bottom w:val="single" w:sz="12" w:space="0" w:color="auto"/>
              <w:right w:val="single" w:sz="12" w:space="0" w:color="auto"/>
            </w:tcBorders>
            <w:noWrap/>
            <w:hideMark/>
          </w:tcPr>
          <w:p w14:paraId="15A58568" w14:textId="77777777" w:rsidR="007366D4" w:rsidRPr="00FD2F0C" w:rsidRDefault="007366D4" w:rsidP="00745ECC">
            <w:pPr>
              <w:pStyle w:val="Tableheadwhitecentred"/>
            </w:pPr>
            <w:r w:rsidRPr="00FD2F0C">
              <w:t>Source</w:t>
            </w:r>
          </w:p>
        </w:tc>
        <w:tc>
          <w:tcPr>
            <w:tcW w:w="2386" w:type="pct"/>
            <w:tcBorders>
              <w:top w:val="single" w:sz="12" w:space="0" w:color="auto"/>
              <w:left w:val="single" w:sz="12" w:space="0" w:color="auto"/>
              <w:bottom w:val="single" w:sz="12" w:space="0" w:color="auto"/>
              <w:right w:val="single" w:sz="12" w:space="0" w:color="auto"/>
            </w:tcBorders>
            <w:noWrap/>
            <w:hideMark/>
          </w:tcPr>
          <w:p w14:paraId="09FBB6BC" w14:textId="77777777" w:rsidR="007366D4" w:rsidRPr="00FD2F0C" w:rsidRDefault="007366D4" w:rsidP="00745ECC">
            <w:pPr>
              <w:pStyle w:val="Tableheadwhitecentred"/>
            </w:pPr>
            <w:r w:rsidRPr="00FD2F0C">
              <w:t>Title</w:t>
            </w:r>
          </w:p>
        </w:tc>
      </w:tr>
      <w:tr w:rsidR="007366D4" w:rsidRPr="00573C99" w14:paraId="01D1F38A"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7F069325" w14:textId="77777777" w:rsidR="007366D4" w:rsidRPr="00FD2F0C" w:rsidRDefault="00573C99" w:rsidP="00745ECC">
            <w:pPr>
              <w:jc w:val="left"/>
              <w:rPr>
                <w:rStyle w:val="Boldunderline"/>
                <w:rFonts w:asciiTheme="minorHAnsi" w:hAnsiTheme="minorHAnsi"/>
              </w:rPr>
            </w:pPr>
            <w:hyperlink r:id="rId129" w:history="1">
              <w:r w:rsidR="007366D4" w:rsidRPr="00FD2F0C">
                <w:rPr>
                  <w:rStyle w:val="Boldunderline"/>
                  <w:rFonts w:asciiTheme="minorHAnsi" w:hAnsiTheme="minorHAnsi"/>
                </w:rPr>
                <w:t>1/465</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3A47DBF1" w14:textId="77777777" w:rsidR="007366D4" w:rsidRPr="00FD2F0C" w:rsidRDefault="007366D4" w:rsidP="00745ECC">
            <w:pPr>
              <w:pStyle w:val="Tabletext0"/>
              <w:rPr>
                <w:b/>
                <w:lang w:val="en-US"/>
              </w:rPr>
            </w:pPr>
            <w:r w:rsidRPr="00FD2F0C">
              <w:rPr>
                <w:lang w:val="en-US"/>
              </w:rPr>
              <w:t>2017-03-17</w:t>
            </w:r>
          </w:p>
        </w:tc>
        <w:tc>
          <w:tcPr>
            <w:tcW w:w="1384" w:type="pct"/>
            <w:tcBorders>
              <w:top w:val="single" w:sz="12" w:space="0" w:color="auto"/>
              <w:left w:val="single" w:sz="12" w:space="0" w:color="auto"/>
              <w:bottom w:val="single" w:sz="12" w:space="0" w:color="auto"/>
              <w:right w:val="single" w:sz="12" w:space="0" w:color="auto"/>
            </w:tcBorders>
            <w:noWrap/>
            <w:hideMark/>
          </w:tcPr>
          <w:p w14:paraId="71CD7CCC" w14:textId="77777777" w:rsidR="007366D4" w:rsidRPr="00FD2F0C" w:rsidRDefault="007366D4" w:rsidP="00745ECC">
            <w:pPr>
              <w:pStyle w:val="Tabletext0"/>
              <w:rPr>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73398C8D" w14:textId="77777777" w:rsidR="007366D4" w:rsidRPr="00FD2F0C" w:rsidRDefault="007366D4" w:rsidP="00745ECC">
            <w:pPr>
              <w:pStyle w:val="Tabletext0"/>
              <w:jc w:val="both"/>
              <w:rPr>
                <w:lang w:val="en-US"/>
              </w:rPr>
            </w:pPr>
            <w:r w:rsidRPr="00FD2F0C">
              <w:rPr>
                <w:lang w:val="en-US"/>
              </w:rPr>
              <w:t>Spectrum management master plans in ASP and Caribbean</w:t>
            </w:r>
          </w:p>
        </w:tc>
      </w:tr>
      <w:tr w:rsidR="007366D4" w:rsidRPr="00573C99" w14:paraId="0E935CF6"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E78A16A" w14:textId="77777777" w:rsidR="007366D4" w:rsidRPr="00FD2F0C" w:rsidRDefault="00573C99" w:rsidP="00745ECC">
            <w:pPr>
              <w:jc w:val="left"/>
              <w:rPr>
                <w:rStyle w:val="Boldunderline"/>
                <w:rFonts w:asciiTheme="minorHAnsi" w:hAnsiTheme="minorHAnsi"/>
              </w:rPr>
            </w:pPr>
            <w:hyperlink r:id="rId130" w:history="1">
              <w:r w:rsidR="007366D4" w:rsidRPr="00FD2F0C">
                <w:rPr>
                  <w:rStyle w:val="Boldunderline"/>
                  <w:rFonts w:asciiTheme="minorHAnsi" w:hAnsiTheme="minorHAnsi"/>
                </w:rPr>
                <w:t>1/459</w:t>
              </w:r>
            </w:hyperlink>
            <w:r w:rsidR="007366D4" w:rsidRPr="00FD2F0C">
              <w:rPr>
                <w:rStyle w:val="Boldunderline"/>
                <w:rFonts w:asciiTheme="minorHAnsi" w:hAnsiTheme="minorHAnsi"/>
              </w:rPr>
              <w:br/>
              <w:t>(Rev.1)</w:t>
            </w:r>
          </w:p>
        </w:tc>
        <w:tc>
          <w:tcPr>
            <w:tcW w:w="674" w:type="pct"/>
            <w:tcBorders>
              <w:top w:val="single" w:sz="12" w:space="0" w:color="auto"/>
              <w:left w:val="single" w:sz="12" w:space="0" w:color="auto"/>
              <w:bottom w:val="single" w:sz="12" w:space="0" w:color="auto"/>
              <w:right w:val="single" w:sz="12" w:space="0" w:color="auto"/>
            </w:tcBorders>
            <w:noWrap/>
            <w:hideMark/>
          </w:tcPr>
          <w:p w14:paraId="24D546C3" w14:textId="77777777" w:rsidR="007366D4" w:rsidRPr="00FD2F0C" w:rsidRDefault="007366D4" w:rsidP="00745ECC">
            <w:pPr>
              <w:pStyle w:val="Tabletext0"/>
              <w:rPr>
                <w:lang w:val="en-US"/>
              </w:rPr>
            </w:pPr>
            <w:r w:rsidRPr="00FD2F0C">
              <w:rPr>
                <w:lang w:val="en-US"/>
              </w:rPr>
              <w:t>2017-03-17</w:t>
            </w:r>
          </w:p>
        </w:tc>
        <w:tc>
          <w:tcPr>
            <w:tcW w:w="1384" w:type="pct"/>
            <w:tcBorders>
              <w:top w:val="single" w:sz="12" w:space="0" w:color="auto"/>
              <w:left w:val="single" w:sz="12" w:space="0" w:color="auto"/>
              <w:bottom w:val="single" w:sz="12" w:space="0" w:color="auto"/>
              <w:right w:val="single" w:sz="12" w:space="0" w:color="auto"/>
            </w:tcBorders>
            <w:noWrap/>
            <w:hideMark/>
          </w:tcPr>
          <w:p w14:paraId="25087CEF" w14:textId="77777777" w:rsidR="007366D4" w:rsidRPr="00FD2F0C" w:rsidRDefault="007366D4" w:rsidP="00745ECC">
            <w:pPr>
              <w:pStyle w:val="Tabletext0"/>
              <w:rPr>
                <w:b/>
                <w:lang w:val="en-US"/>
              </w:rPr>
            </w:pPr>
            <w:r w:rsidRPr="00FD2F0C">
              <w:rPr>
                <w:lang w:val="en-US"/>
              </w:rPr>
              <w:t>Korea (Republic of)</w:t>
            </w:r>
          </w:p>
        </w:tc>
        <w:tc>
          <w:tcPr>
            <w:tcW w:w="2386" w:type="pct"/>
            <w:tcBorders>
              <w:top w:val="single" w:sz="12" w:space="0" w:color="auto"/>
              <w:left w:val="single" w:sz="12" w:space="0" w:color="auto"/>
              <w:bottom w:val="single" w:sz="12" w:space="0" w:color="auto"/>
              <w:right w:val="single" w:sz="12" w:space="0" w:color="auto"/>
            </w:tcBorders>
            <w:noWrap/>
            <w:hideMark/>
          </w:tcPr>
          <w:p w14:paraId="51ADAB59" w14:textId="77777777" w:rsidR="007366D4" w:rsidRPr="00FD2F0C" w:rsidRDefault="007366D4" w:rsidP="00745ECC">
            <w:pPr>
              <w:pStyle w:val="Tabletext0"/>
              <w:jc w:val="both"/>
              <w:rPr>
                <w:lang w:val="en-US"/>
              </w:rPr>
            </w:pPr>
            <w:r w:rsidRPr="00FD2F0C">
              <w:rPr>
                <w:lang w:val="en-US"/>
              </w:rPr>
              <w:t>Update of Korea’s TVWS case (section 1.4.3, Chapter 1) of the Final Report</w:t>
            </w:r>
          </w:p>
        </w:tc>
      </w:tr>
      <w:tr w:rsidR="007366D4" w:rsidRPr="00573C99" w14:paraId="0F48A787"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466204DC" w14:textId="77777777" w:rsidR="007366D4" w:rsidRPr="00FD2F0C" w:rsidRDefault="00573C99" w:rsidP="00745ECC">
            <w:pPr>
              <w:jc w:val="left"/>
              <w:rPr>
                <w:rStyle w:val="Boldunderline"/>
                <w:rFonts w:asciiTheme="minorHAnsi" w:hAnsiTheme="minorHAnsi"/>
              </w:rPr>
            </w:pPr>
            <w:hyperlink r:id="rId131" w:history="1">
              <w:r w:rsidR="007366D4" w:rsidRPr="00FD2F0C">
                <w:rPr>
                  <w:rStyle w:val="Boldunderline"/>
                  <w:rFonts w:asciiTheme="minorHAnsi" w:hAnsiTheme="minorHAnsi"/>
                </w:rPr>
                <w:t>1/445</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39614E4E" w14:textId="77777777" w:rsidR="007366D4" w:rsidRPr="00FD2F0C" w:rsidRDefault="007366D4" w:rsidP="00745ECC">
            <w:pPr>
              <w:pStyle w:val="Tabletext0"/>
            </w:pPr>
            <w:r w:rsidRPr="00FD2F0C">
              <w:rPr>
                <w:color w:val="000000"/>
                <w:lang w:val="en-US"/>
              </w:rPr>
              <w:t>2017-01-17</w:t>
            </w:r>
          </w:p>
        </w:tc>
        <w:tc>
          <w:tcPr>
            <w:tcW w:w="1384" w:type="pct"/>
            <w:tcBorders>
              <w:top w:val="single" w:sz="12" w:space="0" w:color="auto"/>
              <w:left w:val="single" w:sz="12" w:space="0" w:color="auto"/>
              <w:bottom w:val="single" w:sz="12" w:space="0" w:color="auto"/>
              <w:right w:val="single" w:sz="12" w:space="0" w:color="auto"/>
            </w:tcBorders>
            <w:noWrap/>
            <w:hideMark/>
          </w:tcPr>
          <w:p w14:paraId="6505CCC4" w14:textId="77777777" w:rsidR="007366D4" w:rsidRPr="00FD2F0C" w:rsidRDefault="007366D4" w:rsidP="00745ECC">
            <w:pPr>
              <w:pStyle w:val="Tabletext0"/>
              <w:rPr>
                <w:lang w:val="en-US"/>
              </w:rPr>
            </w:pPr>
            <w:r w:rsidRPr="00FD2F0C">
              <w:rPr>
                <w:lang w:val="en-US"/>
              </w:rPr>
              <w:t>ITU-D and ITU-R Co-Chairmen for the Joint Group for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2A8D7184" w14:textId="77777777" w:rsidR="007366D4" w:rsidRPr="00FD2F0C" w:rsidRDefault="007366D4" w:rsidP="00745ECC">
            <w:pPr>
              <w:pStyle w:val="Tabletext0"/>
              <w:jc w:val="both"/>
              <w:rPr>
                <w:lang w:val="en-US"/>
              </w:rPr>
            </w:pPr>
            <w:r w:rsidRPr="00FD2F0C">
              <w:rPr>
                <w:lang w:val="en-US"/>
              </w:rPr>
              <w:t>Report for the ITU-D/ITU-R Joint Group meeting for WTDC Resolution 9, Geneva, 17 January 2017</w:t>
            </w:r>
          </w:p>
        </w:tc>
      </w:tr>
      <w:tr w:rsidR="007366D4" w:rsidRPr="00FD2F0C" w14:paraId="4E3D8103"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714F9FF6" w14:textId="77777777" w:rsidR="007366D4" w:rsidRPr="00FD2F0C" w:rsidRDefault="00573C99" w:rsidP="00745ECC">
            <w:pPr>
              <w:jc w:val="left"/>
              <w:rPr>
                <w:rStyle w:val="Boldunderline"/>
                <w:rFonts w:asciiTheme="minorHAnsi" w:hAnsiTheme="minorHAnsi"/>
              </w:rPr>
            </w:pPr>
            <w:hyperlink r:id="rId132" w:history="1">
              <w:r w:rsidR="007366D4" w:rsidRPr="00FD2F0C">
                <w:rPr>
                  <w:rStyle w:val="Boldunderline"/>
                  <w:rFonts w:asciiTheme="minorHAnsi" w:hAnsiTheme="minorHAnsi"/>
                </w:rPr>
                <w:t>1/420</w:t>
              </w:r>
            </w:hyperlink>
            <w:r w:rsidR="007366D4" w:rsidRPr="00FD2F0C">
              <w:rPr>
                <w:rStyle w:val="Boldunderline"/>
                <w:rFonts w:asciiTheme="minorHAnsi" w:hAnsiTheme="minorHAnsi"/>
              </w:rPr>
              <w:br/>
              <w:t>[OR]</w:t>
            </w:r>
          </w:p>
        </w:tc>
        <w:tc>
          <w:tcPr>
            <w:tcW w:w="674" w:type="pct"/>
            <w:tcBorders>
              <w:top w:val="single" w:sz="12" w:space="0" w:color="auto"/>
              <w:left w:val="single" w:sz="12" w:space="0" w:color="auto"/>
              <w:bottom w:val="single" w:sz="12" w:space="0" w:color="auto"/>
              <w:right w:val="single" w:sz="12" w:space="0" w:color="auto"/>
            </w:tcBorders>
            <w:noWrap/>
            <w:hideMark/>
          </w:tcPr>
          <w:p w14:paraId="16B889DE" w14:textId="77777777" w:rsidR="007366D4" w:rsidRPr="00FD2F0C" w:rsidRDefault="007366D4" w:rsidP="00745ECC">
            <w:pPr>
              <w:pStyle w:val="Tabletext0"/>
            </w:pPr>
            <w:r w:rsidRPr="00FD2F0C">
              <w:rPr>
                <w:color w:val="000000"/>
                <w:lang w:val="en-US"/>
              </w:rPr>
              <w:t>2017-02-10</w:t>
            </w:r>
          </w:p>
        </w:tc>
        <w:tc>
          <w:tcPr>
            <w:tcW w:w="1384" w:type="pct"/>
            <w:tcBorders>
              <w:top w:val="single" w:sz="12" w:space="0" w:color="auto"/>
              <w:left w:val="single" w:sz="12" w:space="0" w:color="auto"/>
              <w:bottom w:val="single" w:sz="12" w:space="0" w:color="auto"/>
              <w:right w:val="single" w:sz="12" w:space="0" w:color="auto"/>
            </w:tcBorders>
            <w:noWrap/>
            <w:hideMark/>
          </w:tcPr>
          <w:p w14:paraId="408DD9E6" w14:textId="77777777" w:rsidR="007366D4" w:rsidRPr="00FD2F0C" w:rsidRDefault="007366D4" w:rsidP="00745ECC">
            <w:pPr>
              <w:pStyle w:val="Tabletext0"/>
              <w:rPr>
                <w:lang w:val="en-US"/>
              </w:rPr>
            </w:pPr>
            <w:r w:rsidRPr="00FD2F0C">
              <w:rPr>
                <w:lang w:val="en-US"/>
              </w:rPr>
              <w:t>ITU-D Co-Chairman for the Joint Group for Res. 9</w:t>
            </w:r>
          </w:p>
        </w:tc>
        <w:tc>
          <w:tcPr>
            <w:tcW w:w="2386" w:type="pct"/>
            <w:tcBorders>
              <w:top w:val="single" w:sz="12" w:space="0" w:color="auto"/>
              <w:left w:val="single" w:sz="12" w:space="0" w:color="auto"/>
              <w:bottom w:val="single" w:sz="12" w:space="0" w:color="auto"/>
              <w:right w:val="single" w:sz="12" w:space="0" w:color="auto"/>
            </w:tcBorders>
            <w:noWrap/>
            <w:hideMark/>
          </w:tcPr>
          <w:p w14:paraId="1CED14A3" w14:textId="77777777" w:rsidR="007366D4" w:rsidRPr="00FD2F0C" w:rsidRDefault="007366D4" w:rsidP="00745ECC">
            <w:pPr>
              <w:pStyle w:val="Tabletext0"/>
              <w:jc w:val="both"/>
              <w:rPr>
                <w:lang w:val="en-US"/>
              </w:rPr>
            </w:pPr>
            <w:r w:rsidRPr="00FD2F0C">
              <w:rPr>
                <w:lang w:val="en-US"/>
              </w:rPr>
              <w:t>Final Report for Resolution 9</w:t>
            </w:r>
          </w:p>
        </w:tc>
      </w:tr>
      <w:tr w:rsidR="007366D4" w:rsidRPr="00573C99" w14:paraId="4C652EF5"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288B3B17" w14:textId="77777777" w:rsidR="007366D4" w:rsidRPr="00FD2F0C" w:rsidRDefault="00573C99" w:rsidP="00745ECC">
            <w:pPr>
              <w:jc w:val="left"/>
              <w:rPr>
                <w:rStyle w:val="Boldunderline"/>
                <w:rFonts w:asciiTheme="minorHAnsi" w:hAnsiTheme="minorHAnsi"/>
              </w:rPr>
            </w:pPr>
            <w:hyperlink r:id="rId133" w:history="1">
              <w:r w:rsidR="007366D4" w:rsidRPr="00FD2F0C">
                <w:rPr>
                  <w:rStyle w:val="Boldunderline"/>
                  <w:rFonts w:asciiTheme="minorHAnsi" w:hAnsiTheme="minorHAnsi"/>
                </w:rPr>
                <w:t>RGQ/278</w:t>
              </w:r>
            </w:hyperlink>
            <w:r w:rsidR="007366D4" w:rsidRPr="00FD2F0C">
              <w:rPr>
                <w:rStyle w:val="Boldunderline"/>
                <w:rFonts w:asciiTheme="minorHAnsi" w:hAnsiTheme="minorHAnsi"/>
              </w:rPr>
              <w:br/>
              <w:t>(Rev.1)</w:t>
            </w:r>
          </w:p>
          <w:p w14:paraId="0066A385" w14:textId="77777777" w:rsidR="007366D4" w:rsidRPr="00FD2F0C" w:rsidRDefault="007366D4" w:rsidP="00745ECC">
            <w:pPr>
              <w:jc w:val="left"/>
              <w:rPr>
                <w:rStyle w:val="Boldunderline"/>
                <w:rFonts w:asciiTheme="minorHAnsi" w:hAnsiTheme="minorHAnsi"/>
              </w:rPr>
            </w:pPr>
            <w:r w:rsidRPr="00FD2F0C">
              <w:rPr>
                <w:rStyle w:val="Boldunderline"/>
                <w:rFonts w:asciiTheme="minorHAnsi" w:hAnsiTheme="minorHAnsi"/>
              </w:rPr>
              <w:t>[OR]</w:t>
            </w:r>
          </w:p>
        </w:tc>
        <w:tc>
          <w:tcPr>
            <w:tcW w:w="674" w:type="pct"/>
            <w:tcBorders>
              <w:top w:val="single" w:sz="12" w:space="0" w:color="auto"/>
              <w:left w:val="single" w:sz="12" w:space="0" w:color="auto"/>
              <w:bottom w:val="single" w:sz="12" w:space="0" w:color="auto"/>
              <w:right w:val="single" w:sz="12" w:space="0" w:color="auto"/>
            </w:tcBorders>
            <w:noWrap/>
            <w:hideMark/>
          </w:tcPr>
          <w:p w14:paraId="7C9BE7B3" w14:textId="77777777" w:rsidR="007366D4" w:rsidRPr="00FD2F0C" w:rsidRDefault="007366D4" w:rsidP="00745ECC">
            <w:pPr>
              <w:pStyle w:val="Tabletext0"/>
              <w:rPr>
                <w:lang w:val="en-US"/>
              </w:rPr>
            </w:pPr>
            <w:r w:rsidRPr="00FD2F0C">
              <w:rPr>
                <w:lang w:val="en-US"/>
              </w:rPr>
              <w:t>2016-11-18</w:t>
            </w:r>
          </w:p>
        </w:tc>
        <w:tc>
          <w:tcPr>
            <w:tcW w:w="1384" w:type="pct"/>
            <w:tcBorders>
              <w:top w:val="single" w:sz="12" w:space="0" w:color="auto"/>
              <w:left w:val="single" w:sz="12" w:space="0" w:color="auto"/>
              <w:bottom w:val="single" w:sz="12" w:space="0" w:color="auto"/>
              <w:right w:val="single" w:sz="12" w:space="0" w:color="auto"/>
            </w:tcBorders>
            <w:noWrap/>
            <w:hideMark/>
          </w:tcPr>
          <w:p w14:paraId="0414BBB0" w14:textId="77777777" w:rsidR="007366D4" w:rsidRPr="00FD2F0C" w:rsidRDefault="007366D4" w:rsidP="00745ECC">
            <w:pPr>
              <w:pStyle w:val="Tabletext0"/>
              <w:rPr>
                <w:lang w:val="en-US"/>
              </w:rPr>
            </w:pPr>
            <w:r w:rsidRPr="00FD2F0C">
              <w:rPr>
                <w:lang w:val="en-US"/>
              </w:rPr>
              <w:t>ITU-D and ITU-R Co-Chairmen for the Joint Group for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2A7101F7" w14:textId="77777777" w:rsidR="007366D4" w:rsidRPr="00FD2F0C" w:rsidRDefault="007366D4" w:rsidP="00745ECC">
            <w:pPr>
              <w:pStyle w:val="Tabletext0"/>
              <w:jc w:val="both"/>
              <w:rPr>
                <w:lang w:val="en-US"/>
              </w:rPr>
            </w:pPr>
            <w:r w:rsidRPr="00FD2F0C">
              <w:rPr>
                <w:lang w:val="en-US"/>
              </w:rPr>
              <w:t>Draft Final Report for Resolution 9</w:t>
            </w:r>
          </w:p>
        </w:tc>
      </w:tr>
      <w:tr w:rsidR="007366D4" w:rsidRPr="00573C99" w14:paraId="7967E3AB"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0C738C1" w14:textId="77777777" w:rsidR="007366D4" w:rsidRPr="00FD2F0C" w:rsidRDefault="00573C99" w:rsidP="00745ECC">
            <w:pPr>
              <w:jc w:val="left"/>
              <w:rPr>
                <w:rStyle w:val="Boldunderline"/>
                <w:rFonts w:asciiTheme="minorHAnsi" w:hAnsiTheme="minorHAnsi"/>
              </w:rPr>
            </w:pPr>
            <w:hyperlink r:id="rId134" w:history="1">
              <w:r w:rsidR="007366D4" w:rsidRPr="00FD2F0C">
                <w:rPr>
                  <w:rStyle w:val="Boldunderline"/>
                  <w:rFonts w:asciiTheme="minorHAnsi" w:hAnsiTheme="minorHAnsi"/>
                </w:rPr>
                <w:t>RGQ/276</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55D93674" w14:textId="77777777" w:rsidR="007366D4" w:rsidRPr="00FD2F0C" w:rsidRDefault="007366D4" w:rsidP="00745ECC">
            <w:pPr>
              <w:pStyle w:val="Tabletext0"/>
              <w:rPr>
                <w:lang w:val="en-US"/>
              </w:rPr>
            </w:pPr>
            <w:r w:rsidRPr="00FD2F0C">
              <w:rPr>
                <w:lang w:val="en-US"/>
              </w:rPr>
              <w:t>2016-11-14</w:t>
            </w:r>
          </w:p>
        </w:tc>
        <w:tc>
          <w:tcPr>
            <w:tcW w:w="1384" w:type="pct"/>
            <w:tcBorders>
              <w:top w:val="single" w:sz="12" w:space="0" w:color="auto"/>
              <w:left w:val="single" w:sz="12" w:space="0" w:color="auto"/>
              <w:bottom w:val="single" w:sz="12" w:space="0" w:color="auto"/>
              <w:right w:val="single" w:sz="12" w:space="0" w:color="auto"/>
            </w:tcBorders>
            <w:noWrap/>
            <w:hideMark/>
          </w:tcPr>
          <w:p w14:paraId="090AE107" w14:textId="77777777" w:rsidR="007366D4" w:rsidRPr="00FD2F0C" w:rsidRDefault="007366D4" w:rsidP="00745ECC">
            <w:pPr>
              <w:pStyle w:val="Tabletext0"/>
              <w:rPr>
                <w:rStyle w:val="Hyperlink"/>
              </w:rPr>
            </w:pPr>
            <w:r w:rsidRPr="00FD2F0C">
              <w:t>Korea (Republic of)</w:t>
            </w:r>
          </w:p>
        </w:tc>
        <w:tc>
          <w:tcPr>
            <w:tcW w:w="2386" w:type="pct"/>
            <w:tcBorders>
              <w:top w:val="single" w:sz="12" w:space="0" w:color="auto"/>
              <w:left w:val="single" w:sz="12" w:space="0" w:color="auto"/>
              <w:bottom w:val="single" w:sz="12" w:space="0" w:color="auto"/>
              <w:right w:val="single" w:sz="12" w:space="0" w:color="auto"/>
            </w:tcBorders>
            <w:noWrap/>
            <w:hideMark/>
          </w:tcPr>
          <w:p w14:paraId="016777B4" w14:textId="77777777" w:rsidR="007366D4" w:rsidRPr="00FD2F0C" w:rsidRDefault="007366D4" w:rsidP="00745ECC">
            <w:pPr>
              <w:pStyle w:val="Tabletext0"/>
              <w:jc w:val="both"/>
              <w:rPr>
                <w:lang w:val="en-GB"/>
              </w:rPr>
            </w:pPr>
            <w:r w:rsidRPr="00FD2F0C">
              <w:rPr>
                <w:lang w:val="en-US"/>
              </w:rPr>
              <w:t>Modified text for Korea’s TVWS case in Chapter 1</w:t>
            </w:r>
          </w:p>
        </w:tc>
      </w:tr>
      <w:tr w:rsidR="007366D4" w:rsidRPr="00573C99" w14:paraId="2D4241FF"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21960891" w14:textId="77777777" w:rsidR="007366D4" w:rsidRPr="00FD2F0C" w:rsidRDefault="00573C99" w:rsidP="00745ECC">
            <w:pPr>
              <w:jc w:val="left"/>
              <w:rPr>
                <w:rStyle w:val="Boldunderline"/>
                <w:rFonts w:asciiTheme="minorHAnsi" w:hAnsiTheme="minorHAnsi"/>
              </w:rPr>
            </w:pPr>
            <w:hyperlink r:id="rId135" w:history="1">
              <w:r w:rsidR="007366D4" w:rsidRPr="00FD2F0C">
                <w:rPr>
                  <w:rStyle w:val="Boldunderline"/>
                  <w:rFonts w:asciiTheme="minorHAnsi" w:hAnsiTheme="minorHAnsi"/>
                </w:rPr>
                <w:t>1/373</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13D361D8" w14:textId="77777777" w:rsidR="007366D4" w:rsidRPr="00FD2F0C" w:rsidRDefault="007366D4" w:rsidP="00745ECC">
            <w:pPr>
              <w:pStyle w:val="Tabletext0"/>
              <w:rPr>
                <w:lang w:val="en-US"/>
              </w:rPr>
            </w:pPr>
            <w:r w:rsidRPr="00FD2F0C">
              <w:rPr>
                <w:lang w:val="en-US"/>
              </w:rPr>
              <w:t>2016-09-07</w:t>
            </w:r>
          </w:p>
        </w:tc>
        <w:tc>
          <w:tcPr>
            <w:tcW w:w="1384" w:type="pct"/>
            <w:tcBorders>
              <w:top w:val="single" w:sz="12" w:space="0" w:color="auto"/>
              <w:left w:val="single" w:sz="12" w:space="0" w:color="auto"/>
              <w:bottom w:val="single" w:sz="12" w:space="0" w:color="auto"/>
              <w:right w:val="single" w:sz="12" w:space="0" w:color="auto"/>
            </w:tcBorders>
            <w:noWrap/>
            <w:hideMark/>
          </w:tcPr>
          <w:p w14:paraId="2F5D53AB" w14:textId="77777777" w:rsidR="007366D4" w:rsidRPr="00FD2F0C" w:rsidRDefault="007366D4" w:rsidP="00745ECC">
            <w:pPr>
              <w:pStyle w:val="Tabletext0"/>
              <w:rPr>
                <w:lang w:val="en-US"/>
              </w:rPr>
            </w:pPr>
            <w:r w:rsidRPr="00FD2F0C">
              <w:t>France</w:t>
            </w:r>
          </w:p>
        </w:tc>
        <w:tc>
          <w:tcPr>
            <w:tcW w:w="2386" w:type="pct"/>
            <w:tcBorders>
              <w:top w:val="single" w:sz="12" w:space="0" w:color="auto"/>
              <w:left w:val="single" w:sz="12" w:space="0" w:color="auto"/>
              <w:bottom w:val="single" w:sz="12" w:space="0" w:color="auto"/>
              <w:right w:val="single" w:sz="12" w:space="0" w:color="auto"/>
            </w:tcBorders>
            <w:noWrap/>
            <w:hideMark/>
          </w:tcPr>
          <w:p w14:paraId="2A5F8371" w14:textId="77777777" w:rsidR="007366D4" w:rsidRPr="00FD2F0C" w:rsidRDefault="007366D4" w:rsidP="00745ECC">
            <w:pPr>
              <w:pStyle w:val="Tabletext0"/>
              <w:jc w:val="both"/>
              <w:rPr>
                <w:lang w:val="en-US"/>
              </w:rPr>
            </w:pPr>
            <w:r w:rsidRPr="00FD2F0C">
              <w:rPr>
                <w:lang w:val="en-US"/>
              </w:rPr>
              <w:t>Draft Chapter 1 and 2 – Report of Resolution 9</w:t>
            </w:r>
          </w:p>
        </w:tc>
      </w:tr>
      <w:tr w:rsidR="007366D4" w:rsidRPr="00573C99" w14:paraId="3BD2C349"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1EA9319" w14:textId="77777777" w:rsidR="007366D4" w:rsidRPr="00FD2F0C" w:rsidRDefault="00573C99" w:rsidP="00745ECC">
            <w:pPr>
              <w:jc w:val="left"/>
              <w:rPr>
                <w:rStyle w:val="Boldunderline"/>
                <w:rFonts w:asciiTheme="minorHAnsi" w:hAnsiTheme="minorHAnsi"/>
              </w:rPr>
            </w:pPr>
            <w:hyperlink r:id="rId136" w:history="1">
              <w:r w:rsidR="007366D4" w:rsidRPr="00FD2F0C">
                <w:rPr>
                  <w:rStyle w:val="Boldunderline"/>
                  <w:rFonts w:asciiTheme="minorHAnsi" w:hAnsiTheme="minorHAnsi"/>
                </w:rPr>
                <w:t>1/372</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7F1A2083" w14:textId="77777777" w:rsidR="007366D4" w:rsidRPr="00FD2F0C" w:rsidRDefault="007366D4" w:rsidP="00745ECC">
            <w:pPr>
              <w:pStyle w:val="Tabletext0"/>
              <w:rPr>
                <w:lang w:val="en-US"/>
              </w:rPr>
            </w:pPr>
            <w:r w:rsidRPr="00FD2F0C">
              <w:rPr>
                <w:lang w:val="en-US"/>
              </w:rPr>
              <w:t>2016-09-07</w:t>
            </w:r>
          </w:p>
        </w:tc>
        <w:tc>
          <w:tcPr>
            <w:tcW w:w="1384" w:type="pct"/>
            <w:tcBorders>
              <w:top w:val="single" w:sz="12" w:space="0" w:color="auto"/>
              <w:left w:val="single" w:sz="12" w:space="0" w:color="auto"/>
              <w:bottom w:val="single" w:sz="12" w:space="0" w:color="auto"/>
              <w:right w:val="single" w:sz="12" w:space="0" w:color="auto"/>
            </w:tcBorders>
            <w:noWrap/>
            <w:hideMark/>
          </w:tcPr>
          <w:p w14:paraId="285E3A27" w14:textId="77777777" w:rsidR="007366D4" w:rsidRPr="00FD2F0C" w:rsidRDefault="007366D4" w:rsidP="00745ECC">
            <w:pPr>
              <w:pStyle w:val="Tabletext0"/>
              <w:rPr>
                <w:lang w:val="en-US"/>
              </w:rPr>
            </w:pPr>
            <w:r w:rsidRPr="00FD2F0C">
              <w:rPr>
                <w:lang w:val="en-US"/>
              </w:rPr>
              <w:t>BDT Focal Point for Question 8/1 and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41E9A7AF" w14:textId="77777777" w:rsidR="007366D4" w:rsidRPr="00FD2F0C" w:rsidRDefault="007366D4" w:rsidP="00745ECC">
            <w:pPr>
              <w:pStyle w:val="Tabletext0"/>
              <w:jc w:val="both"/>
              <w:rPr>
                <w:lang w:val="en-US"/>
              </w:rPr>
            </w:pPr>
            <w:r w:rsidRPr="00FD2F0C">
              <w:rPr>
                <w:lang w:val="en-US"/>
              </w:rPr>
              <w:t>BDT activities on broadcasting and spectrum management</w:t>
            </w:r>
          </w:p>
        </w:tc>
      </w:tr>
      <w:tr w:rsidR="007366D4" w:rsidRPr="00573C99" w14:paraId="3B4F120F"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1F9A91C7" w14:textId="77777777" w:rsidR="007366D4" w:rsidRPr="00FD2F0C" w:rsidRDefault="00573C99" w:rsidP="00745ECC">
            <w:pPr>
              <w:jc w:val="left"/>
              <w:rPr>
                <w:rStyle w:val="Boldunderline"/>
                <w:rFonts w:asciiTheme="minorHAnsi" w:hAnsiTheme="minorHAnsi"/>
              </w:rPr>
            </w:pPr>
            <w:hyperlink r:id="rId137" w:history="1">
              <w:r w:rsidR="007366D4" w:rsidRPr="00FD2F0C">
                <w:rPr>
                  <w:rStyle w:val="Boldunderline"/>
                  <w:rFonts w:asciiTheme="minorHAnsi" w:hAnsiTheme="minorHAnsi"/>
                </w:rPr>
                <w:t>1/363</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noWrap/>
            <w:hideMark/>
          </w:tcPr>
          <w:p w14:paraId="07D732FF" w14:textId="77777777" w:rsidR="007366D4" w:rsidRPr="00FD2F0C" w:rsidRDefault="007366D4" w:rsidP="00745ECC">
            <w:pPr>
              <w:pStyle w:val="Tabletext0"/>
              <w:rPr>
                <w:lang w:val="en-US"/>
              </w:rPr>
            </w:pPr>
            <w:r w:rsidRPr="00FD2F0C">
              <w:rPr>
                <w:lang w:val="en-US"/>
              </w:rPr>
              <w:t>2016-09-07</w:t>
            </w:r>
          </w:p>
        </w:tc>
        <w:tc>
          <w:tcPr>
            <w:tcW w:w="1384" w:type="pct"/>
            <w:tcBorders>
              <w:top w:val="single" w:sz="12" w:space="0" w:color="auto"/>
              <w:left w:val="single" w:sz="12" w:space="0" w:color="auto"/>
              <w:bottom w:val="single" w:sz="12" w:space="0" w:color="auto"/>
              <w:right w:val="single" w:sz="12" w:space="0" w:color="auto"/>
            </w:tcBorders>
            <w:noWrap/>
            <w:hideMark/>
          </w:tcPr>
          <w:p w14:paraId="65CC20D9" w14:textId="77777777" w:rsidR="007366D4" w:rsidRPr="00FD2F0C" w:rsidRDefault="007366D4" w:rsidP="00745ECC">
            <w:pPr>
              <w:pStyle w:val="Tabletext0"/>
              <w:rPr>
                <w:lang w:val="en-US"/>
              </w:rPr>
            </w:pPr>
            <w:r w:rsidRPr="00FD2F0C">
              <w:rPr>
                <w:lang w:val="en-US"/>
              </w:rPr>
              <w:t>Chairman and BR Counsellor for ITU-R Study Group 1</w:t>
            </w:r>
          </w:p>
        </w:tc>
        <w:tc>
          <w:tcPr>
            <w:tcW w:w="2386" w:type="pct"/>
            <w:tcBorders>
              <w:top w:val="single" w:sz="12" w:space="0" w:color="auto"/>
              <w:left w:val="single" w:sz="12" w:space="0" w:color="auto"/>
              <w:bottom w:val="single" w:sz="12" w:space="0" w:color="auto"/>
              <w:right w:val="single" w:sz="12" w:space="0" w:color="auto"/>
            </w:tcBorders>
            <w:noWrap/>
            <w:hideMark/>
          </w:tcPr>
          <w:p w14:paraId="63151838" w14:textId="77777777" w:rsidR="007366D4" w:rsidRPr="00FD2F0C" w:rsidRDefault="007366D4" w:rsidP="00745ECC">
            <w:pPr>
              <w:pStyle w:val="Tabletext0"/>
              <w:jc w:val="both"/>
              <w:rPr>
                <w:lang w:val="en-US"/>
              </w:rPr>
            </w:pPr>
            <w:r w:rsidRPr="00FD2F0C">
              <w:rPr>
                <w:lang w:val="en-US"/>
              </w:rPr>
              <w:t>ITU-R Study Group 1 recent and on-going activities on spectrum management</w:t>
            </w:r>
          </w:p>
        </w:tc>
      </w:tr>
      <w:tr w:rsidR="007366D4" w:rsidRPr="00573C99" w14:paraId="39CB9BB7"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3748AA3" w14:textId="77777777" w:rsidR="007366D4" w:rsidRPr="00FD2F0C" w:rsidRDefault="00573C99" w:rsidP="00745ECC">
            <w:pPr>
              <w:jc w:val="left"/>
              <w:rPr>
                <w:rStyle w:val="Boldunderline"/>
                <w:rFonts w:asciiTheme="minorHAnsi" w:hAnsiTheme="minorHAnsi"/>
              </w:rPr>
            </w:pPr>
            <w:hyperlink r:id="rId138" w:history="1">
              <w:r w:rsidR="007366D4" w:rsidRPr="00FD2F0C">
                <w:rPr>
                  <w:rStyle w:val="Boldunderline"/>
                  <w:rFonts w:asciiTheme="minorHAnsi" w:hAnsiTheme="minorHAnsi"/>
                </w:rPr>
                <w:t>1/362</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08F76A1B" w14:textId="77777777" w:rsidR="007366D4" w:rsidRPr="00FD2F0C" w:rsidRDefault="007366D4" w:rsidP="00745ECC">
            <w:pPr>
              <w:pStyle w:val="Tabletext0"/>
              <w:rPr>
                <w:lang w:val="en-US"/>
              </w:rPr>
            </w:pPr>
            <w:r w:rsidRPr="00FD2F0C">
              <w:rPr>
                <w:lang w:val="en-US"/>
              </w:rPr>
              <w:t>2016-09-07</w:t>
            </w:r>
          </w:p>
        </w:tc>
        <w:tc>
          <w:tcPr>
            <w:tcW w:w="1384" w:type="pct"/>
            <w:tcBorders>
              <w:top w:val="single" w:sz="12" w:space="0" w:color="auto"/>
              <w:left w:val="single" w:sz="12" w:space="0" w:color="auto"/>
              <w:bottom w:val="single" w:sz="12" w:space="0" w:color="auto"/>
              <w:right w:val="single" w:sz="12" w:space="0" w:color="auto"/>
            </w:tcBorders>
            <w:noWrap/>
            <w:hideMark/>
          </w:tcPr>
          <w:p w14:paraId="16AE4DF3" w14:textId="77777777" w:rsidR="007366D4" w:rsidRPr="00FD2F0C" w:rsidRDefault="007366D4" w:rsidP="00745ECC">
            <w:pPr>
              <w:pStyle w:val="Tabletext0"/>
              <w:rPr>
                <w:lang w:val="en-US"/>
              </w:rPr>
            </w:pPr>
            <w:r w:rsidRPr="00FD2F0C">
              <w:t>Inmarsat Plc</w:t>
            </w:r>
          </w:p>
        </w:tc>
        <w:tc>
          <w:tcPr>
            <w:tcW w:w="2386" w:type="pct"/>
            <w:tcBorders>
              <w:top w:val="single" w:sz="12" w:space="0" w:color="auto"/>
              <w:left w:val="single" w:sz="12" w:space="0" w:color="auto"/>
              <w:bottom w:val="single" w:sz="12" w:space="0" w:color="auto"/>
              <w:right w:val="single" w:sz="12" w:space="0" w:color="auto"/>
            </w:tcBorders>
            <w:noWrap/>
            <w:hideMark/>
          </w:tcPr>
          <w:p w14:paraId="37F12956" w14:textId="77777777" w:rsidR="007366D4" w:rsidRPr="00FD2F0C" w:rsidRDefault="007366D4" w:rsidP="00745ECC">
            <w:pPr>
              <w:pStyle w:val="Tabletext0"/>
              <w:jc w:val="both"/>
              <w:rPr>
                <w:lang w:val="en-US"/>
              </w:rPr>
            </w:pPr>
            <w:r w:rsidRPr="00FD2F0C">
              <w:rPr>
                <w:lang w:val="en-US"/>
              </w:rPr>
              <w:t>Spectrum management approach for the consideration of earth stations in the fixed-satellite service, including Earth Stations In Motion (ESIMs)</w:t>
            </w:r>
          </w:p>
        </w:tc>
      </w:tr>
      <w:tr w:rsidR="007366D4" w:rsidRPr="00573C99" w14:paraId="5F3A3766"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53217C4B" w14:textId="77777777" w:rsidR="007366D4" w:rsidRPr="00FD2F0C" w:rsidRDefault="00573C99" w:rsidP="00745ECC">
            <w:pPr>
              <w:jc w:val="left"/>
              <w:rPr>
                <w:rStyle w:val="Boldunderline"/>
                <w:rFonts w:asciiTheme="minorHAnsi" w:hAnsiTheme="minorHAnsi"/>
              </w:rPr>
            </w:pPr>
            <w:hyperlink r:id="rId139" w:history="1">
              <w:r w:rsidR="007366D4" w:rsidRPr="00FD2F0C">
                <w:rPr>
                  <w:rStyle w:val="Boldunderline"/>
                  <w:rFonts w:asciiTheme="minorHAnsi" w:hAnsiTheme="minorHAnsi"/>
                </w:rPr>
                <w:t>1/356</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46AA27A8" w14:textId="77777777" w:rsidR="007366D4" w:rsidRPr="00FD2F0C" w:rsidRDefault="007366D4" w:rsidP="00745ECC">
            <w:pPr>
              <w:pStyle w:val="Tabletext0"/>
              <w:rPr>
                <w:lang w:val="en-US"/>
              </w:rPr>
            </w:pPr>
            <w:r w:rsidRPr="00FD2F0C">
              <w:rPr>
                <w:lang w:val="en-US"/>
              </w:rPr>
              <w:t>2016-09-07</w:t>
            </w:r>
          </w:p>
        </w:tc>
        <w:tc>
          <w:tcPr>
            <w:tcW w:w="1384" w:type="pct"/>
            <w:tcBorders>
              <w:top w:val="single" w:sz="12" w:space="0" w:color="auto"/>
              <w:left w:val="single" w:sz="12" w:space="0" w:color="auto"/>
              <w:bottom w:val="single" w:sz="12" w:space="0" w:color="auto"/>
              <w:right w:val="single" w:sz="12" w:space="0" w:color="auto"/>
            </w:tcBorders>
            <w:noWrap/>
            <w:hideMark/>
          </w:tcPr>
          <w:p w14:paraId="08C02CC7" w14:textId="77777777" w:rsidR="007366D4" w:rsidRPr="00FD2F0C" w:rsidRDefault="007366D4" w:rsidP="00745ECC">
            <w:pPr>
              <w:pStyle w:val="Tabletext0"/>
              <w:rPr>
                <w:lang w:val="en-US"/>
              </w:rPr>
            </w:pPr>
            <w:r w:rsidRPr="00FD2F0C">
              <w:t>China (People's Republic of)</w:t>
            </w:r>
          </w:p>
        </w:tc>
        <w:tc>
          <w:tcPr>
            <w:tcW w:w="2386" w:type="pct"/>
            <w:tcBorders>
              <w:top w:val="single" w:sz="12" w:space="0" w:color="auto"/>
              <w:left w:val="single" w:sz="12" w:space="0" w:color="auto"/>
              <w:bottom w:val="single" w:sz="12" w:space="0" w:color="auto"/>
              <w:right w:val="single" w:sz="12" w:space="0" w:color="auto"/>
            </w:tcBorders>
            <w:noWrap/>
            <w:hideMark/>
          </w:tcPr>
          <w:p w14:paraId="4F82927A" w14:textId="77777777" w:rsidR="007366D4" w:rsidRPr="00FD2F0C" w:rsidRDefault="007366D4" w:rsidP="00745ECC">
            <w:pPr>
              <w:pStyle w:val="Tabletext0"/>
              <w:jc w:val="both"/>
              <w:rPr>
                <w:lang w:val="en-US"/>
              </w:rPr>
            </w:pPr>
            <w:r w:rsidRPr="00FD2F0C">
              <w:rPr>
                <w:lang w:val="en-US"/>
              </w:rPr>
              <w:t>The improvement of spectral efficiency based on LTE technology</w:t>
            </w:r>
          </w:p>
        </w:tc>
      </w:tr>
      <w:tr w:rsidR="007366D4" w:rsidRPr="00573C99" w14:paraId="176E26EE"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576C1F2B" w14:textId="77777777" w:rsidR="007366D4" w:rsidRPr="00FD2F0C" w:rsidRDefault="00573C99" w:rsidP="00745ECC">
            <w:pPr>
              <w:jc w:val="left"/>
              <w:rPr>
                <w:rStyle w:val="Boldunderline"/>
                <w:rFonts w:asciiTheme="minorHAnsi" w:hAnsiTheme="minorHAnsi"/>
              </w:rPr>
            </w:pPr>
            <w:hyperlink r:id="rId140" w:history="1">
              <w:r w:rsidR="007366D4" w:rsidRPr="00FD2F0C">
                <w:rPr>
                  <w:rStyle w:val="Boldunderline"/>
                  <w:rFonts w:asciiTheme="minorHAnsi" w:hAnsiTheme="minorHAnsi"/>
                </w:rPr>
                <w:t>1/352</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noWrap/>
            <w:hideMark/>
          </w:tcPr>
          <w:p w14:paraId="69F489AA" w14:textId="77777777" w:rsidR="007366D4" w:rsidRPr="00FD2F0C" w:rsidRDefault="007366D4" w:rsidP="00745ECC">
            <w:pPr>
              <w:pStyle w:val="Tabletext0"/>
              <w:rPr>
                <w:lang w:val="en-US"/>
              </w:rPr>
            </w:pPr>
            <w:r w:rsidRPr="00FD2F0C">
              <w:rPr>
                <w:lang w:val="en-US"/>
              </w:rPr>
              <w:t>2016-08-25</w:t>
            </w:r>
          </w:p>
        </w:tc>
        <w:tc>
          <w:tcPr>
            <w:tcW w:w="1384" w:type="pct"/>
            <w:tcBorders>
              <w:top w:val="single" w:sz="12" w:space="0" w:color="auto"/>
              <w:left w:val="single" w:sz="12" w:space="0" w:color="auto"/>
              <w:bottom w:val="single" w:sz="12" w:space="0" w:color="auto"/>
              <w:right w:val="single" w:sz="12" w:space="0" w:color="auto"/>
            </w:tcBorders>
            <w:noWrap/>
            <w:hideMark/>
          </w:tcPr>
          <w:p w14:paraId="65521ED0" w14:textId="77777777" w:rsidR="007366D4" w:rsidRPr="00FD2F0C" w:rsidRDefault="007366D4" w:rsidP="00745ECC">
            <w:pPr>
              <w:pStyle w:val="Tabletext0"/>
              <w:rPr>
                <w:b/>
                <w:lang w:val="en-US"/>
              </w:rPr>
            </w:pPr>
            <w:r w:rsidRPr="00FD2F0C">
              <w:t>Hungary</w:t>
            </w:r>
          </w:p>
        </w:tc>
        <w:tc>
          <w:tcPr>
            <w:tcW w:w="2386" w:type="pct"/>
            <w:tcBorders>
              <w:top w:val="single" w:sz="12" w:space="0" w:color="auto"/>
              <w:left w:val="single" w:sz="12" w:space="0" w:color="auto"/>
              <w:bottom w:val="single" w:sz="12" w:space="0" w:color="auto"/>
              <w:right w:val="single" w:sz="12" w:space="0" w:color="auto"/>
            </w:tcBorders>
            <w:noWrap/>
            <w:hideMark/>
          </w:tcPr>
          <w:p w14:paraId="1A750C86" w14:textId="77777777" w:rsidR="007366D4" w:rsidRPr="00FD2F0C" w:rsidRDefault="007366D4" w:rsidP="00745ECC">
            <w:pPr>
              <w:pStyle w:val="Tabletext0"/>
              <w:jc w:val="both"/>
              <w:rPr>
                <w:b/>
                <w:lang w:val="en-US"/>
              </w:rPr>
            </w:pPr>
            <w:r w:rsidRPr="00FD2F0C">
              <w:rPr>
                <w:lang w:val="en-US"/>
              </w:rPr>
              <w:t>STIR (Spectrum Management IT System)</w:t>
            </w:r>
          </w:p>
        </w:tc>
      </w:tr>
      <w:tr w:rsidR="007366D4" w:rsidRPr="00FD2F0C" w14:paraId="7F654D80"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77D83F6A" w14:textId="77777777" w:rsidR="007366D4" w:rsidRPr="00FD2F0C" w:rsidRDefault="00573C99" w:rsidP="00745ECC">
            <w:pPr>
              <w:jc w:val="left"/>
              <w:rPr>
                <w:rStyle w:val="Boldunderline"/>
                <w:rFonts w:asciiTheme="minorHAnsi" w:hAnsiTheme="minorHAnsi"/>
              </w:rPr>
            </w:pPr>
            <w:hyperlink r:id="rId141" w:history="1">
              <w:r w:rsidR="007366D4" w:rsidRPr="00FD2F0C">
                <w:rPr>
                  <w:rStyle w:val="Boldunderline"/>
                  <w:rFonts w:asciiTheme="minorHAnsi" w:hAnsiTheme="minorHAnsi"/>
                </w:rPr>
                <w:t>1/339</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3E05C63C" w14:textId="77777777" w:rsidR="007366D4" w:rsidRPr="00FD2F0C" w:rsidRDefault="007366D4" w:rsidP="00745ECC">
            <w:pPr>
              <w:pStyle w:val="Tabletext0"/>
              <w:rPr>
                <w:lang w:val="en-US"/>
              </w:rPr>
            </w:pPr>
            <w:r w:rsidRPr="00FD2F0C">
              <w:rPr>
                <w:lang w:val="en-US"/>
              </w:rPr>
              <w:t>2016-08-05</w:t>
            </w:r>
          </w:p>
        </w:tc>
        <w:tc>
          <w:tcPr>
            <w:tcW w:w="1384" w:type="pct"/>
            <w:tcBorders>
              <w:top w:val="single" w:sz="12" w:space="0" w:color="auto"/>
              <w:left w:val="single" w:sz="12" w:space="0" w:color="auto"/>
              <w:bottom w:val="single" w:sz="12" w:space="0" w:color="auto"/>
              <w:right w:val="single" w:sz="12" w:space="0" w:color="auto"/>
            </w:tcBorders>
            <w:noWrap/>
            <w:hideMark/>
          </w:tcPr>
          <w:p w14:paraId="7E92C808" w14:textId="77777777" w:rsidR="007366D4" w:rsidRPr="00FD2F0C" w:rsidRDefault="007366D4" w:rsidP="00745ECC">
            <w:pPr>
              <w:pStyle w:val="Tabletext0"/>
              <w:rPr>
                <w:b/>
                <w:lang w:val="en-US"/>
              </w:rPr>
            </w:pPr>
            <w:r w:rsidRPr="00FD2F0C">
              <w:t>United States of America</w:t>
            </w:r>
          </w:p>
        </w:tc>
        <w:tc>
          <w:tcPr>
            <w:tcW w:w="2386" w:type="pct"/>
            <w:tcBorders>
              <w:top w:val="single" w:sz="12" w:space="0" w:color="auto"/>
              <w:left w:val="single" w:sz="12" w:space="0" w:color="auto"/>
              <w:bottom w:val="single" w:sz="12" w:space="0" w:color="auto"/>
              <w:right w:val="single" w:sz="12" w:space="0" w:color="auto"/>
            </w:tcBorders>
            <w:noWrap/>
            <w:hideMark/>
          </w:tcPr>
          <w:p w14:paraId="6010CBBF" w14:textId="77777777" w:rsidR="007366D4" w:rsidRPr="00FD2F0C" w:rsidRDefault="007366D4" w:rsidP="00745ECC">
            <w:pPr>
              <w:pStyle w:val="Tabletext0"/>
              <w:jc w:val="both"/>
              <w:rPr>
                <w:b/>
                <w:lang w:val="en-US"/>
              </w:rPr>
            </w:pPr>
            <w:r w:rsidRPr="00FD2F0C">
              <w:rPr>
                <w:lang w:val="en-US"/>
              </w:rPr>
              <w:t>Spectrum Monitoring</w:t>
            </w:r>
          </w:p>
        </w:tc>
      </w:tr>
      <w:tr w:rsidR="007366D4" w:rsidRPr="00573C99" w14:paraId="5B18F56D"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C5B3603" w14:textId="77777777" w:rsidR="007366D4" w:rsidRPr="00FD2F0C" w:rsidRDefault="00573C99" w:rsidP="00745ECC">
            <w:pPr>
              <w:jc w:val="left"/>
              <w:rPr>
                <w:rStyle w:val="Boldunderline"/>
                <w:rFonts w:asciiTheme="minorHAnsi" w:hAnsiTheme="minorHAnsi"/>
              </w:rPr>
            </w:pPr>
            <w:hyperlink r:id="rId142" w:history="1">
              <w:r w:rsidR="007366D4" w:rsidRPr="00FD2F0C">
                <w:rPr>
                  <w:rStyle w:val="Boldunderline"/>
                  <w:rFonts w:asciiTheme="minorHAnsi" w:hAnsiTheme="minorHAnsi"/>
                </w:rPr>
                <w:t>1/327</w:t>
              </w:r>
            </w:hyperlink>
            <w:r w:rsidR="007366D4" w:rsidRPr="00FD2F0C">
              <w:rPr>
                <w:rStyle w:val="Boldunderline"/>
                <w:rFonts w:asciiTheme="minorHAnsi" w:hAnsiTheme="minorHAnsi"/>
              </w:rPr>
              <w:br/>
              <w:t>[OR]</w:t>
            </w:r>
          </w:p>
        </w:tc>
        <w:tc>
          <w:tcPr>
            <w:tcW w:w="674" w:type="pct"/>
            <w:tcBorders>
              <w:top w:val="single" w:sz="12" w:space="0" w:color="auto"/>
              <w:left w:val="single" w:sz="12" w:space="0" w:color="auto"/>
              <w:bottom w:val="single" w:sz="12" w:space="0" w:color="auto"/>
              <w:right w:val="single" w:sz="12" w:space="0" w:color="auto"/>
            </w:tcBorders>
            <w:noWrap/>
            <w:hideMark/>
          </w:tcPr>
          <w:p w14:paraId="0233FD84" w14:textId="77777777" w:rsidR="007366D4" w:rsidRPr="00FD2F0C" w:rsidRDefault="007366D4" w:rsidP="00745ECC">
            <w:pPr>
              <w:pStyle w:val="Tabletext0"/>
              <w:rPr>
                <w:lang w:val="en-US"/>
              </w:rPr>
            </w:pPr>
            <w:r w:rsidRPr="00FD2F0C">
              <w:rPr>
                <w:lang w:val="en-US"/>
              </w:rPr>
              <w:t>2016-08-05</w:t>
            </w:r>
          </w:p>
        </w:tc>
        <w:tc>
          <w:tcPr>
            <w:tcW w:w="1384" w:type="pct"/>
            <w:tcBorders>
              <w:top w:val="single" w:sz="12" w:space="0" w:color="auto"/>
              <w:left w:val="single" w:sz="12" w:space="0" w:color="auto"/>
              <w:bottom w:val="single" w:sz="12" w:space="0" w:color="auto"/>
              <w:right w:val="single" w:sz="12" w:space="0" w:color="auto"/>
            </w:tcBorders>
            <w:noWrap/>
            <w:hideMark/>
          </w:tcPr>
          <w:p w14:paraId="1F915E23" w14:textId="77777777" w:rsidR="007366D4" w:rsidRPr="00FD2F0C" w:rsidRDefault="007366D4" w:rsidP="00745ECC">
            <w:pPr>
              <w:pStyle w:val="Tabletext0"/>
              <w:rPr>
                <w:lang w:val="en-US"/>
              </w:rPr>
            </w:pPr>
            <w:r w:rsidRPr="00FD2F0C">
              <w:rPr>
                <w:lang w:val="en-US"/>
              </w:rPr>
              <w:t>ITU-D Co-Chairman for the Joint Group for Res.9</w:t>
            </w:r>
          </w:p>
        </w:tc>
        <w:tc>
          <w:tcPr>
            <w:tcW w:w="2386" w:type="pct"/>
            <w:tcBorders>
              <w:top w:val="single" w:sz="12" w:space="0" w:color="auto"/>
              <w:left w:val="single" w:sz="12" w:space="0" w:color="auto"/>
              <w:bottom w:val="single" w:sz="12" w:space="0" w:color="auto"/>
              <w:right w:val="single" w:sz="12" w:space="0" w:color="auto"/>
            </w:tcBorders>
            <w:noWrap/>
            <w:hideMark/>
          </w:tcPr>
          <w:p w14:paraId="26D52C80" w14:textId="77777777" w:rsidR="007366D4" w:rsidRPr="00FD2F0C" w:rsidRDefault="007366D4" w:rsidP="00745ECC">
            <w:pPr>
              <w:pStyle w:val="Tabletext0"/>
              <w:jc w:val="both"/>
              <w:rPr>
                <w:lang w:val="en-US"/>
              </w:rPr>
            </w:pPr>
            <w:r w:rsidRPr="00FD2F0C">
              <w:rPr>
                <w:lang w:val="en-US"/>
              </w:rPr>
              <w:t>Draft Chapter 1 and 2 – Report of Resolution 9</w:t>
            </w:r>
          </w:p>
        </w:tc>
      </w:tr>
      <w:tr w:rsidR="007366D4" w:rsidRPr="00573C99" w14:paraId="5558DB2A"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78C4903" w14:textId="77777777" w:rsidR="007366D4" w:rsidRPr="00FD2F0C" w:rsidRDefault="00573C99" w:rsidP="00745ECC">
            <w:pPr>
              <w:jc w:val="left"/>
              <w:rPr>
                <w:rStyle w:val="Boldunderline"/>
                <w:rFonts w:asciiTheme="minorHAnsi" w:hAnsiTheme="minorHAnsi"/>
              </w:rPr>
            </w:pPr>
            <w:hyperlink r:id="rId143" w:history="1">
              <w:r w:rsidR="007366D4" w:rsidRPr="00FD2F0C">
                <w:rPr>
                  <w:rStyle w:val="Boldunderline"/>
                  <w:rFonts w:asciiTheme="minorHAnsi" w:hAnsiTheme="minorHAnsi"/>
                </w:rPr>
                <w:t>1/295</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0BD9DFF2" w14:textId="77777777" w:rsidR="007366D4" w:rsidRPr="00FD2F0C" w:rsidRDefault="007366D4" w:rsidP="00745ECC">
            <w:pPr>
              <w:pStyle w:val="Tabletext0"/>
              <w:rPr>
                <w:rFonts w:eastAsiaTheme="majorEastAsia"/>
                <w:lang w:val="en-US"/>
              </w:rPr>
            </w:pPr>
            <w:r w:rsidRPr="00FD2F0C">
              <w:rPr>
                <w:rFonts w:eastAsiaTheme="majorEastAsia"/>
                <w:lang w:val="en-US"/>
              </w:rPr>
              <w:t>2016-08-01</w:t>
            </w:r>
          </w:p>
        </w:tc>
        <w:tc>
          <w:tcPr>
            <w:tcW w:w="1384" w:type="pct"/>
            <w:tcBorders>
              <w:top w:val="single" w:sz="12" w:space="0" w:color="auto"/>
              <w:left w:val="single" w:sz="12" w:space="0" w:color="auto"/>
              <w:bottom w:val="single" w:sz="12" w:space="0" w:color="auto"/>
              <w:right w:val="single" w:sz="12" w:space="0" w:color="auto"/>
            </w:tcBorders>
            <w:noWrap/>
            <w:hideMark/>
          </w:tcPr>
          <w:p w14:paraId="4070F0F3" w14:textId="77777777" w:rsidR="007366D4" w:rsidRPr="00FD2F0C" w:rsidRDefault="007366D4" w:rsidP="00745ECC">
            <w:pPr>
              <w:pStyle w:val="Tabletext0"/>
              <w:rPr>
                <w:rFonts w:eastAsiaTheme="majorEastAsia"/>
                <w:lang w:val="en-US"/>
              </w:rPr>
            </w:pPr>
            <w:r w:rsidRPr="00FD2F0C">
              <w:t>France</w:t>
            </w:r>
          </w:p>
        </w:tc>
        <w:tc>
          <w:tcPr>
            <w:tcW w:w="2386" w:type="pct"/>
            <w:tcBorders>
              <w:top w:val="single" w:sz="12" w:space="0" w:color="auto"/>
              <w:left w:val="single" w:sz="12" w:space="0" w:color="auto"/>
              <w:bottom w:val="single" w:sz="12" w:space="0" w:color="auto"/>
              <w:right w:val="single" w:sz="12" w:space="0" w:color="auto"/>
            </w:tcBorders>
            <w:noWrap/>
            <w:hideMark/>
          </w:tcPr>
          <w:p w14:paraId="47D8704B" w14:textId="77777777" w:rsidR="007366D4" w:rsidRPr="00FD2F0C" w:rsidRDefault="007366D4" w:rsidP="00745ECC">
            <w:pPr>
              <w:pStyle w:val="Tabletext0"/>
              <w:jc w:val="both"/>
              <w:rPr>
                <w:rFonts w:eastAsiaTheme="majorEastAsia"/>
                <w:lang w:val="en-US"/>
              </w:rPr>
            </w:pPr>
            <w:r w:rsidRPr="00FD2F0C">
              <w:rPr>
                <w:rFonts w:eastAsiaTheme="majorEastAsia"/>
                <w:lang w:val="en-US"/>
              </w:rPr>
              <w:t>Comments of France in response to observations made by WP 1B of ITU-R Study Group 1</w:t>
            </w:r>
          </w:p>
        </w:tc>
      </w:tr>
      <w:tr w:rsidR="007366D4" w:rsidRPr="00FD2F0C" w14:paraId="44C2775F"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4CDCC601" w14:textId="77777777" w:rsidR="007366D4" w:rsidRPr="00FD2F0C" w:rsidRDefault="00573C99" w:rsidP="00745ECC">
            <w:pPr>
              <w:jc w:val="left"/>
              <w:rPr>
                <w:rStyle w:val="Boldunderline"/>
                <w:rFonts w:asciiTheme="minorHAnsi" w:hAnsiTheme="minorHAnsi"/>
              </w:rPr>
            </w:pPr>
            <w:hyperlink r:id="rId144" w:history="1">
              <w:r w:rsidR="007366D4" w:rsidRPr="00FD2F0C">
                <w:rPr>
                  <w:rStyle w:val="Boldunderline"/>
                  <w:rFonts w:asciiTheme="minorHAnsi" w:hAnsiTheme="minorHAnsi"/>
                </w:rPr>
                <w:t>1/273</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noWrap/>
            <w:hideMark/>
          </w:tcPr>
          <w:p w14:paraId="4CA4F5D8" w14:textId="77777777" w:rsidR="007366D4" w:rsidRPr="00FD2F0C" w:rsidRDefault="007366D4" w:rsidP="00745ECC">
            <w:pPr>
              <w:pStyle w:val="Tabletext0"/>
              <w:rPr>
                <w:lang w:val="en-US"/>
              </w:rPr>
            </w:pPr>
            <w:r w:rsidRPr="00FD2F0C">
              <w:rPr>
                <w:lang w:val="en-US"/>
              </w:rPr>
              <w:t>2016-07-22</w:t>
            </w:r>
          </w:p>
        </w:tc>
        <w:tc>
          <w:tcPr>
            <w:tcW w:w="1384" w:type="pct"/>
            <w:tcBorders>
              <w:top w:val="single" w:sz="12" w:space="0" w:color="auto"/>
              <w:left w:val="single" w:sz="12" w:space="0" w:color="auto"/>
              <w:bottom w:val="single" w:sz="12" w:space="0" w:color="auto"/>
              <w:right w:val="single" w:sz="12" w:space="0" w:color="auto"/>
            </w:tcBorders>
            <w:noWrap/>
            <w:hideMark/>
          </w:tcPr>
          <w:p w14:paraId="6F78455E" w14:textId="77777777" w:rsidR="007366D4" w:rsidRPr="00FD2F0C" w:rsidRDefault="007366D4" w:rsidP="00745ECC">
            <w:pPr>
              <w:pStyle w:val="Tabletext0"/>
              <w:rPr>
                <w:b/>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740A288C" w14:textId="77777777" w:rsidR="007366D4" w:rsidRPr="00FD2F0C" w:rsidRDefault="007366D4" w:rsidP="00745ECC">
            <w:pPr>
              <w:pStyle w:val="Tabletext0"/>
              <w:jc w:val="both"/>
              <w:rPr>
                <w:b/>
                <w:lang w:val="en-US"/>
              </w:rPr>
            </w:pPr>
            <w:r w:rsidRPr="00FD2F0C">
              <w:rPr>
                <w:lang w:val="en-US"/>
              </w:rPr>
              <w:t>Spectrum fee guidelines</w:t>
            </w:r>
          </w:p>
        </w:tc>
      </w:tr>
      <w:tr w:rsidR="007366D4" w:rsidRPr="00573C99" w14:paraId="476BF090"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736A62BB" w14:textId="77777777" w:rsidR="007366D4" w:rsidRPr="00FD2F0C" w:rsidRDefault="00573C99" w:rsidP="00745ECC">
            <w:pPr>
              <w:jc w:val="left"/>
              <w:rPr>
                <w:rStyle w:val="Boldunderline"/>
                <w:rFonts w:asciiTheme="minorHAnsi" w:hAnsiTheme="minorHAnsi"/>
              </w:rPr>
            </w:pPr>
            <w:hyperlink r:id="rId145" w:history="1">
              <w:r w:rsidR="007366D4" w:rsidRPr="00FD2F0C">
                <w:rPr>
                  <w:rStyle w:val="Boldunderline"/>
                  <w:rFonts w:asciiTheme="minorHAnsi" w:hAnsiTheme="minorHAnsi"/>
                </w:rPr>
                <w:t>1/249</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535A9D5D" w14:textId="77777777" w:rsidR="007366D4" w:rsidRPr="00FD2F0C" w:rsidRDefault="007366D4" w:rsidP="00745ECC">
            <w:pPr>
              <w:pStyle w:val="Tabletext0"/>
              <w:rPr>
                <w:lang w:val="en-US"/>
              </w:rPr>
            </w:pPr>
            <w:r w:rsidRPr="00FD2F0C">
              <w:rPr>
                <w:lang w:val="en-US"/>
              </w:rPr>
              <w:t>2016-04-11</w:t>
            </w:r>
          </w:p>
        </w:tc>
        <w:tc>
          <w:tcPr>
            <w:tcW w:w="1384" w:type="pct"/>
            <w:tcBorders>
              <w:top w:val="single" w:sz="12" w:space="0" w:color="auto"/>
              <w:left w:val="single" w:sz="12" w:space="0" w:color="auto"/>
              <w:bottom w:val="single" w:sz="12" w:space="0" w:color="auto"/>
              <w:right w:val="single" w:sz="12" w:space="0" w:color="auto"/>
            </w:tcBorders>
            <w:noWrap/>
            <w:hideMark/>
          </w:tcPr>
          <w:p w14:paraId="5653D552" w14:textId="77777777" w:rsidR="007366D4" w:rsidRPr="00FD2F0C" w:rsidRDefault="007366D4" w:rsidP="00745ECC">
            <w:pPr>
              <w:pStyle w:val="Tabletext0"/>
              <w:rPr>
                <w:b/>
                <w:lang w:val="en-US"/>
              </w:rPr>
            </w:pPr>
            <w:r w:rsidRPr="00FD2F0C">
              <w:rPr>
                <w:lang w:val="en-US"/>
              </w:rPr>
              <w:t>Co-Chairmen for the Joint Group for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692B9124" w14:textId="77777777" w:rsidR="007366D4" w:rsidRPr="00FD2F0C" w:rsidRDefault="007366D4" w:rsidP="00745ECC">
            <w:pPr>
              <w:pStyle w:val="Tabletext0"/>
              <w:jc w:val="both"/>
              <w:rPr>
                <w:b/>
                <w:lang w:val="en-US"/>
              </w:rPr>
            </w:pPr>
            <w:r w:rsidRPr="00FD2F0C">
              <w:rPr>
                <w:lang w:val="en-US"/>
              </w:rPr>
              <w:t>Report of the Rapporteur Group Meeting on Resolution 9 (Rev. Dubai, 2014), Geneva, Monday 11 April 2016</w:t>
            </w:r>
          </w:p>
        </w:tc>
      </w:tr>
      <w:tr w:rsidR="007366D4" w:rsidRPr="00573C99" w14:paraId="4B0425C3"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12F8A007" w14:textId="77777777" w:rsidR="007366D4" w:rsidRPr="00FD2F0C" w:rsidRDefault="00573C99" w:rsidP="00745ECC">
            <w:pPr>
              <w:jc w:val="left"/>
              <w:rPr>
                <w:rStyle w:val="Boldunderline"/>
                <w:rFonts w:asciiTheme="minorHAnsi" w:hAnsiTheme="minorHAnsi"/>
              </w:rPr>
            </w:pPr>
            <w:hyperlink r:id="rId146" w:history="1">
              <w:r w:rsidR="007366D4" w:rsidRPr="00FD2F0C">
                <w:rPr>
                  <w:rStyle w:val="Boldunderline"/>
                  <w:rFonts w:asciiTheme="minorHAnsi" w:hAnsiTheme="minorHAnsi"/>
                </w:rPr>
                <w:t>RGQ/240</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noWrap/>
            <w:hideMark/>
          </w:tcPr>
          <w:p w14:paraId="671FEC9B" w14:textId="77777777" w:rsidR="007366D4" w:rsidRPr="00FD2F0C" w:rsidRDefault="007366D4" w:rsidP="00745ECC">
            <w:pPr>
              <w:pStyle w:val="Tabletext0"/>
              <w:rPr>
                <w:lang w:eastAsia="en-US"/>
              </w:rPr>
            </w:pPr>
            <w:r w:rsidRPr="00FD2F0C">
              <w:rPr>
                <w:lang w:val="en-US"/>
              </w:rPr>
              <w:t>2016-04-11</w:t>
            </w:r>
          </w:p>
        </w:tc>
        <w:tc>
          <w:tcPr>
            <w:tcW w:w="1384" w:type="pct"/>
            <w:tcBorders>
              <w:top w:val="single" w:sz="12" w:space="0" w:color="auto"/>
              <w:left w:val="single" w:sz="12" w:space="0" w:color="auto"/>
              <w:bottom w:val="single" w:sz="12" w:space="0" w:color="auto"/>
              <w:right w:val="single" w:sz="12" w:space="0" w:color="auto"/>
            </w:tcBorders>
            <w:noWrap/>
            <w:hideMark/>
          </w:tcPr>
          <w:p w14:paraId="4EC4DBC3" w14:textId="77777777" w:rsidR="007366D4" w:rsidRPr="00FD2F0C" w:rsidRDefault="007366D4" w:rsidP="00745ECC">
            <w:pPr>
              <w:pStyle w:val="Tabletext0"/>
              <w:rPr>
                <w:szCs w:val="20"/>
                <w:lang w:val="en-US"/>
              </w:rPr>
            </w:pPr>
            <w:r w:rsidRPr="00FD2F0C">
              <w:rPr>
                <w:lang w:val="en-US"/>
              </w:rPr>
              <w:t>Radiocommunication Bureau, BR Focal Point on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712F9F6E" w14:textId="77777777" w:rsidR="007366D4" w:rsidRPr="00FD2F0C" w:rsidRDefault="007366D4" w:rsidP="00745ECC">
            <w:pPr>
              <w:pStyle w:val="Tabletext0"/>
              <w:jc w:val="both"/>
              <w:rPr>
                <w:lang w:val="en-US"/>
              </w:rPr>
            </w:pPr>
            <w:r w:rsidRPr="00FD2F0C">
              <w:rPr>
                <w:lang w:val="en-US"/>
              </w:rPr>
              <w:t>Outcome of World Radiocommunication Conference (WRC) 2015</w:t>
            </w:r>
          </w:p>
        </w:tc>
      </w:tr>
      <w:tr w:rsidR="007366D4" w:rsidRPr="00573C99" w14:paraId="045B8164"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79298BC5" w14:textId="77777777" w:rsidR="007366D4" w:rsidRPr="00FD2F0C" w:rsidRDefault="00573C99" w:rsidP="00745ECC">
            <w:pPr>
              <w:jc w:val="left"/>
              <w:rPr>
                <w:rStyle w:val="Boldunderline"/>
                <w:rFonts w:asciiTheme="minorHAnsi" w:hAnsiTheme="minorHAnsi"/>
              </w:rPr>
            </w:pPr>
            <w:hyperlink r:id="rId147" w:history="1">
              <w:r w:rsidR="007366D4" w:rsidRPr="00FD2F0C">
                <w:rPr>
                  <w:rStyle w:val="Boldunderline"/>
                  <w:rFonts w:asciiTheme="minorHAnsi" w:hAnsiTheme="minorHAnsi"/>
                </w:rPr>
                <w:t>RGQ/238</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49E3EDEA" w14:textId="77777777" w:rsidR="007366D4" w:rsidRPr="00FD2F0C" w:rsidRDefault="007366D4" w:rsidP="00745ECC">
            <w:pPr>
              <w:pStyle w:val="Tabletext0"/>
              <w:rPr>
                <w:lang w:val="en-US"/>
              </w:rPr>
            </w:pPr>
            <w:r w:rsidRPr="00FD2F0C">
              <w:rPr>
                <w:lang w:val="en-US"/>
              </w:rPr>
              <w:t>2016-03-22</w:t>
            </w:r>
          </w:p>
        </w:tc>
        <w:tc>
          <w:tcPr>
            <w:tcW w:w="1384" w:type="pct"/>
            <w:tcBorders>
              <w:top w:val="single" w:sz="12" w:space="0" w:color="auto"/>
              <w:left w:val="single" w:sz="12" w:space="0" w:color="auto"/>
              <w:bottom w:val="single" w:sz="12" w:space="0" w:color="auto"/>
              <w:right w:val="single" w:sz="12" w:space="0" w:color="auto"/>
            </w:tcBorders>
            <w:noWrap/>
            <w:hideMark/>
          </w:tcPr>
          <w:p w14:paraId="482B12D5" w14:textId="77777777" w:rsidR="007366D4" w:rsidRPr="00FD2F0C" w:rsidRDefault="007366D4" w:rsidP="00745ECC">
            <w:pPr>
              <w:pStyle w:val="Tabletext0"/>
              <w:rPr>
                <w:lang w:val="en-US"/>
              </w:rPr>
            </w:pPr>
            <w:r w:rsidRPr="00FD2F0C">
              <w:rPr>
                <w:lang w:val="en-US"/>
              </w:rPr>
              <w:t>France</w:t>
            </w:r>
          </w:p>
        </w:tc>
        <w:tc>
          <w:tcPr>
            <w:tcW w:w="2386" w:type="pct"/>
            <w:tcBorders>
              <w:top w:val="single" w:sz="12" w:space="0" w:color="auto"/>
              <w:left w:val="single" w:sz="12" w:space="0" w:color="auto"/>
              <w:bottom w:val="single" w:sz="12" w:space="0" w:color="auto"/>
              <w:right w:val="single" w:sz="12" w:space="0" w:color="auto"/>
            </w:tcBorders>
            <w:noWrap/>
            <w:hideMark/>
          </w:tcPr>
          <w:p w14:paraId="377E53A4" w14:textId="77777777" w:rsidR="007366D4" w:rsidRPr="00FD2F0C" w:rsidRDefault="007366D4" w:rsidP="00745ECC">
            <w:pPr>
              <w:pStyle w:val="Tabletext0"/>
              <w:jc w:val="both"/>
              <w:rPr>
                <w:lang w:val="en-US"/>
              </w:rPr>
            </w:pPr>
            <w:r w:rsidRPr="00FD2F0C">
              <w:rPr>
                <w:lang w:val="en-US"/>
              </w:rPr>
              <w:t>Consolidated text for New/Emerging Spectrum Management Approaches completed with ECC Report 236 relevant extracts.</w:t>
            </w:r>
          </w:p>
        </w:tc>
      </w:tr>
      <w:tr w:rsidR="007366D4" w:rsidRPr="00573C99" w14:paraId="5D668DD3"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457F7F64" w14:textId="77777777" w:rsidR="007366D4" w:rsidRPr="00FD2F0C" w:rsidRDefault="00573C99" w:rsidP="00745ECC">
            <w:pPr>
              <w:jc w:val="left"/>
              <w:rPr>
                <w:rStyle w:val="Boldunderline"/>
                <w:rFonts w:asciiTheme="minorHAnsi" w:hAnsiTheme="minorHAnsi"/>
              </w:rPr>
            </w:pPr>
            <w:hyperlink r:id="rId148" w:history="1">
              <w:r w:rsidR="007366D4" w:rsidRPr="00FD2F0C">
                <w:rPr>
                  <w:rStyle w:val="Boldunderline"/>
                  <w:rFonts w:asciiTheme="minorHAnsi" w:hAnsiTheme="minorHAnsi"/>
                </w:rPr>
                <w:t>RGQ/236</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474703A8" w14:textId="77777777" w:rsidR="007366D4" w:rsidRPr="00FD2F0C" w:rsidRDefault="007366D4" w:rsidP="00745ECC">
            <w:pPr>
              <w:pStyle w:val="Tabletext0"/>
              <w:rPr>
                <w:lang w:val="en-US"/>
              </w:rPr>
            </w:pPr>
            <w:r w:rsidRPr="00FD2F0C">
              <w:rPr>
                <w:lang w:val="en-US"/>
              </w:rPr>
              <w:t>2016-03-22</w:t>
            </w:r>
          </w:p>
        </w:tc>
        <w:tc>
          <w:tcPr>
            <w:tcW w:w="1384" w:type="pct"/>
            <w:tcBorders>
              <w:top w:val="single" w:sz="12" w:space="0" w:color="auto"/>
              <w:left w:val="single" w:sz="12" w:space="0" w:color="auto"/>
              <w:bottom w:val="single" w:sz="12" w:space="0" w:color="auto"/>
              <w:right w:val="single" w:sz="12" w:space="0" w:color="auto"/>
            </w:tcBorders>
            <w:noWrap/>
            <w:hideMark/>
          </w:tcPr>
          <w:p w14:paraId="0A642631" w14:textId="77777777" w:rsidR="007366D4" w:rsidRPr="00FD2F0C" w:rsidRDefault="007366D4" w:rsidP="00745ECC">
            <w:pPr>
              <w:pStyle w:val="Tabletext0"/>
              <w:rPr>
                <w:lang w:val="en-US"/>
              </w:rPr>
            </w:pPr>
            <w:r w:rsidRPr="00FD2F0C">
              <w:rPr>
                <w:lang w:val="en-US"/>
              </w:rPr>
              <w:t>ITU-D Co-Chairman for the Joint Group for Res.9</w:t>
            </w:r>
          </w:p>
        </w:tc>
        <w:tc>
          <w:tcPr>
            <w:tcW w:w="2386" w:type="pct"/>
            <w:tcBorders>
              <w:top w:val="single" w:sz="12" w:space="0" w:color="auto"/>
              <w:left w:val="single" w:sz="12" w:space="0" w:color="auto"/>
              <w:bottom w:val="single" w:sz="12" w:space="0" w:color="auto"/>
              <w:right w:val="single" w:sz="12" w:space="0" w:color="auto"/>
            </w:tcBorders>
            <w:noWrap/>
            <w:hideMark/>
          </w:tcPr>
          <w:p w14:paraId="3F19D754" w14:textId="77777777" w:rsidR="007366D4" w:rsidRPr="00FD2F0C" w:rsidRDefault="007366D4" w:rsidP="00745ECC">
            <w:pPr>
              <w:pStyle w:val="Tabletext0"/>
              <w:jc w:val="both"/>
              <w:rPr>
                <w:lang w:val="en-US"/>
              </w:rPr>
            </w:pPr>
            <w:r w:rsidRPr="00FD2F0C">
              <w:rPr>
                <w:lang w:val="en-US"/>
              </w:rPr>
              <w:t>Draft Chapter 1 and 2 – Report of Resolution 9</w:t>
            </w:r>
          </w:p>
        </w:tc>
      </w:tr>
      <w:tr w:rsidR="007366D4" w:rsidRPr="00573C99" w14:paraId="4BAA6C2A"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425BCF76" w14:textId="77777777" w:rsidR="007366D4" w:rsidRPr="00FD2F0C" w:rsidRDefault="00573C99" w:rsidP="00745ECC">
            <w:pPr>
              <w:jc w:val="left"/>
              <w:rPr>
                <w:rStyle w:val="Boldunderline"/>
                <w:rFonts w:asciiTheme="minorHAnsi" w:hAnsiTheme="minorHAnsi"/>
              </w:rPr>
            </w:pPr>
            <w:hyperlink r:id="rId149" w:history="1">
              <w:r w:rsidR="007366D4" w:rsidRPr="00FD2F0C">
                <w:rPr>
                  <w:rStyle w:val="Boldunderline"/>
                  <w:rFonts w:asciiTheme="minorHAnsi" w:hAnsiTheme="minorHAnsi"/>
                </w:rPr>
                <w:t>RGQ/222</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5732CCB7" w14:textId="77777777" w:rsidR="007366D4" w:rsidRPr="00FD2F0C" w:rsidRDefault="007366D4" w:rsidP="00745ECC">
            <w:pPr>
              <w:pStyle w:val="Tabletext0"/>
              <w:rPr>
                <w:lang w:val="en-US"/>
              </w:rPr>
            </w:pPr>
            <w:r w:rsidRPr="00FD2F0C">
              <w:rPr>
                <w:lang w:val="en-US"/>
              </w:rPr>
              <w:t>2016-03-22</w:t>
            </w:r>
          </w:p>
        </w:tc>
        <w:tc>
          <w:tcPr>
            <w:tcW w:w="1384" w:type="pct"/>
            <w:tcBorders>
              <w:top w:val="single" w:sz="12" w:space="0" w:color="auto"/>
              <w:left w:val="single" w:sz="12" w:space="0" w:color="auto"/>
              <w:bottom w:val="single" w:sz="12" w:space="0" w:color="auto"/>
              <w:right w:val="single" w:sz="12" w:space="0" w:color="auto"/>
            </w:tcBorders>
            <w:noWrap/>
            <w:hideMark/>
          </w:tcPr>
          <w:p w14:paraId="52E46311" w14:textId="77777777" w:rsidR="007366D4" w:rsidRPr="00FD2F0C" w:rsidRDefault="007366D4" w:rsidP="00745ECC">
            <w:pPr>
              <w:pStyle w:val="Tabletext0"/>
              <w:rPr>
                <w:lang w:val="en-US"/>
              </w:rPr>
            </w:pPr>
            <w:r w:rsidRPr="00FD2F0C">
              <w:rPr>
                <w:lang w:val="en-US"/>
              </w:rPr>
              <w:t>Russian Federation</w:t>
            </w:r>
          </w:p>
        </w:tc>
        <w:tc>
          <w:tcPr>
            <w:tcW w:w="2386" w:type="pct"/>
            <w:tcBorders>
              <w:top w:val="single" w:sz="12" w:space="0" w:color="auto"/>
              <w:left w:val="single" w:sz="12" w:space="0" w:color="auto"/>
              <w:bottom w:val="single" w:sz="12" w:space="0" w:color="auto"/>
              <w:right w:val="single" w:sz="12" w:space="0" w:color="auto"/>
            </w:tcBorders>
            <w:noWrap/>
            <w:hideMark/>
          </w:tcPr>
          <w:p w14:paraId="1EB9742C" w14:textId="77777777" w:rsidR="007366D4" w:rsidRPr="00FD2F0C" w:rsidRDefault="007366D4" w:rsidP="00745ECC">
            <w:pPr>
              <w:pStyle w:val="Tabletext0"/>
              <w:jc w:val="both"/>
              <w:rPr>
                <w:lang w:val="en-US"/>
              </w:rPr>
            </w:pPr>
            <w:r w:rsidRPr="00FD2F0C">
              <w:rPr>
                <w:lang w:val="en-US"/>
              </w:rPr>
              <w:t>The experience of the Russian Federation in the field of spectrum fees</w:t>
            </w:r>
          </w:p>
        </w:tc>
      </w:tr>
      <w:tr w:rsidR="007366D4" w:rsidRPr="00573C99" w14:paraId="5AA04D5D"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404593A" w14:textId="77777777" w:rsidR="007366D4" w:rsidRPr="00FD2F0C" w:rsidRDefault="00573C99" w:rsidP="00745ECC">
            <w:pPr>
              <w:widowControl w:val="0"/>
              <w:tabs>
                <w:tab w:val="left" w:pos="720"/>
              </w:tabs>
              <w:jc w:val="left"/>
              <w:rPr>
                <w:rStyle w:val="Boldunderline"/>
                <w:rFonts w:asciiTheme="minorHAnsi" w:hAnsiTheme="minorHAnsi"/>
              </w:rPr>
            </w:pPr>
            <w:hyperlink r:id="rId150" w:history="1">
              <w:r w:rsidR="007366D4" w:rsidRPr="00FD2F0C">
                <w:rPr>
                  <w:rStyle w:val="Boldunderline"/>
                  <w:rFonts w:asciiTheme="minorHAnsi" w:hAnsiTheme="minorHAnsi"/>
                </w:rPr>
                <w:t>RGQ/216</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15DFFB56" w14:textId="77777777" w:rsidR="007366D4" w:rsidRPr="00FD2F0C" w:rsidRDefault="007366D4" w:rsidP="00745ECC">
            <w:pPr>
              <w:pStyle w:val="Tabletext0"/>
              <w:rPr>
                <w:rFonts w:cs="Trebuchet MS"/>
                <w:lang w:val="en-US" w:eastAsia="zh-CN"/>
              </w:rPr>
            </w:pPr>
            <w:r w:rsidRPr="00FD2F0C">
              <w:rPr>
                <w:rFonts w:cs="Trebuchet MS"/>
                <w:lang w:val="en-US" w:eastAsia="zh-CN"/>
              </w:rPr>
              <w:t>2016-03-22</w:t>
            </w:r>
          </w:p>
        </w:tc>
        <w:tc>
          <w:tcPr>
            <w:tcW w:w="1384" w:type="pct"/>
            <w:tcBorders>
              <w:top w:val="single" w:sz="12" w:space="0" w:color="auto"/>
              <w:left w:val="single" w:sz="12" w:space="0" w:color="auto"/>
              <w:bottom w:val="single" w:sz="12" w:space="0" w:color="auto"/>
              <w:right w:val="single" w:sz="12" w:space="0" w:color="auto"/>
            </w:tcBorders>
            <w:noWrap/>
            <w:hideMark/>
          </w:tcPr>
          <w:p w14:paraId="4CB9CFFC" w14:textId="77777777" w:rsidR="007366D4" w:rsidRPr="00FD2F0C" w:rsidRDefault="007366D4" w:rsidP="00745ECC">
            <w:pPr>
              <w:pStyle w:val="Tabletext0"/>
              <w:rPr>
                <w:rFonts w:cs="Trebuchet MS"/>
                <w:lang w:val="en-US" w:eastAsia="zh-CN"/>
              </w:rPr>
            </w:pPr>
            <w:r w:rsidRPr="00FD2F0C">
              <w:t>Korea (Republic of)</w:t>
            </w:r>
          </w:p>
        </w:tc>
        <w:tc>
          <w:tcPr>
            <w:tcW w:w="2386" w:type="pct"/>
            <w:tcBorders>
              <w:top w:val="single" w:sz="12" w:space="0" w:color="auto"/>
              <w:left w:val="single" w:sz="12" w:space="0" w:color="auto"/>
              <w:bottom w:val="single" w:sz="12" w:space="0" w:color="auto"/>
              <w:right w:val="single" w:sz="12" w:space="0" w:color="auto"/>
            </w:tcBorders>
            <w:noWrap/>
            <w:hideMark/>
          </w:tcPr>
          <w:p w14:paraId="0F6CC3CD" w14:textId="77777777" w:rsidR="007366D4" w:rsidRPr="00FD2F0C" w:rsidRDefault="007366D4" w:rsidP="00745ECC">
            <w:pPr>
              <w:pStyle w:val="Tabletext0"/>
              <w:jc w:val="both"/>
              <w:rPr>
                <w:rFonts w:cs="Trebuchet MS"/>
                <w:color w:val="FB0007"/>
                <w:lang w:val="en-US" w:eastAsia="zh-CN"/>
              </w:rPr>
            </w:pPr>
            <w:r w:rsidRPr="00FD2F0C">
              <w:rPr>
                <w:rFonts w:cs="Trebuchet MS"/>
                <w:lang w:val="en-US" w:eastAsia="zh-CN"/>
              </w:rPr>
              <w:t>Recent TV White Space (TVWS) Policy and Pilot Projects in Korea (Republic of)</w:t>
            </w:r>
          </w:p>
        </w:tc>
      </w:tr>
      <w:tr w:rsidR="007366D4" w:rsidRPr="00573C99" w14:paraId="7C625771"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52C4C3F9" w14:textId="77777777" w:rsidR="007366D4" w:rsidRPr="00FD2F0C" w:rsidRDefault="00573C99" w:rsidP="00745ECC">
            <w:pPr>
              <w:widowControl w:val="0"/>
              <w:tabs>
                <w:tab w:val="left" w:pos="720"/>
              </w:tabs>
              <w:jc w:val="left"/>
              <w:rPr>
                <w:rStyle w:val="Boldunderline"/>
                <w:rFonts w:asciiTheme="minorHAnsi" w:hAnsiTheme="minorHAnsi"/>
              </w:rPr>
            </w:pPr>
            <w:hyperlink r:id="rId151" w:history="1">
              <w:r w:rsidR="007366D4" w:rsidRPr="00FD2F0C">
                <w:rPr>
                  <w:rStyle w:val="Boldunderline"/>
                  <w:rFonts w:asciiTheme="minorHAnsi" w:hAnsiTheme="minorHAnsi"/>
                </w:rPr>
                <w:t>RGQ/206</w:t>
              </w:r>
            </w:hyperlink>
          </w:p>
          <w:p w14:paraId="619F0378" w14:textId="77777777" w:rsidR="007366D4" w:rsidRPr="00FD2F0C" w:rsidRDefault="007366D4" w:rsidP="00745ECC">
            <w:pPr>
              <w:widowControl w:val="0"/>
              <w:tabs>
                <w:tab w:val="left" w:pos="720"/>
              </w:tabs>
              <w:spacing w:before="0"/>
              <w:jc w:val="left"/>
              <w:rPr>
                <w:rStyle w:val="Boldunderline"/>
                <w:rFonts w:asciiTheme="minorHAnsi" w:hAnsiTheme="minorHAnsi"/>
              </w:rPr>
            </w:pPr>
            <w:r w:rsidRPr="00FD2F0C">
              <w:rPr>
                <w:rStyle w:val="Boldunderline"/>
                <w:rFonts w:asciiTheme="minorHAnsi" w:hAnsiTheme="minorHAnsi"/>
              </w:rPr>
              <w:t>+Ann.1</w:t>
            </w:r>
          </w:p>
        </w:tc>
        <w:tc>
          <w:tcPr>
            <w:tcW w:w="674" w:type="pct"/>
            <w:tcBorders>
              <w:top w:val="single" w:sz="12" w:space="0" w:color="auto"/>
              <w:left w:val="single" w:sz="12" w:space="0" w:color="auto"/>
              <w:bottom w:val="single" w:sz="12" w:space="0" w:color="auto"/>
              <w:right w:val="single" w:sz="12" w:space="0" w:color="auto"/>
            </w:tcBorders>
            <w:noWrap/>
            <w:hideMark/>
          </w:tcPr>
          <w:p w14:paraId="2C54EE88" w14:textId="77777777" w:rsidR="007366D4" w:rsidRPr="00FD2F0C" w:rsidRDefault="007366D4" w:rsidP="00745ECC">
            <w:pPr>
              <w:pStyle w:val="Tabletext0"/>
              <w:rPr>
                <w:rFonts w:cs="Trebuchet MS"/>
                <w:lang w:val="en-US" w:eastAsia="zh-CN"/>
              </w:rPr>
            </w:pPr>
            <w:r w:rsidRPr="00FD2F0C">
              <w:rPr>
                <w:rFonts w:cs="Trebuchet MS"/>
                <w:lang w:val="en-US" w:eastAsia="zh-CN"/>
              </w:rPr>
              <w:t>2016-03-18</w:t>
            </w:r>
          </w:p>
        </w:tc>
        <w:tc>
          <w:tcPr>
            <w:tcW w:w="1384" w:type="pct"/>
            <w:tcBorders>
              <w:top w:val="single" w:sz="12" w:space="0" w:color="auto"/>
              <w:left w:val="single" w:sz="12" w:space="0" w:color="auto"/>
              <w:bottom w:val="single" w:sz="12" w:space="0" w:color="auto"/>
              <w:right w:val="single" w:sz="12" w:space="0" w:color="auto"/>
            </w:tcBorders>
            <w:noWrap/>
            <w:hideMark/>
          </w:tcPr>
          <w:p w14:paraId="514FAC60" w14:textId="77777777" w:rsidR="007366D4" w:rsidRPr="00FD2F0C" w:rsidRDefault="007366D4" w:rsidP="00745ECC">
            <w:pPr>
              <w:pStyle w:val="Tabletext0"/>
              <w:rPr>
                <w:rFonts w:cs="Trebuchet MS"/>
                <w:lang w:val="en-US" w:eastAsia="zh-CN"/>
              </w:rPr>
            </w:pPr>
            <w:r w:rsidRPr="00FD2F0C">
              <w:rPr>
                <w:lang w:val="en-US"/>
              </w:rPr>
              <w:t>ITU-D Co-Chairman for the Joint Group on Res.9</w:t>
            </w:r>
          </w:p>
        </w:tc>
        <w:tc>
          <w:tcPr>
            <w:tcW w:w="2386" w:type="pct"/>
            <w:tcBorders>
              <w:top w:val="single" w:sz="12" w:space="0" w:color="auto"/>
              <w:left w:val="single" w:sz="12" w:space="0" w:color="auto"/>
              <w:bottom w:val="single" w:sz="12" w:space="0" w:color="auto"/>
              <w:right w:val="single" w:sz="12" w:space="0" w:color="auto"/>
            </w:tcBorders>
            <w:noWrap/>
            <w:hideMark/>
          </w:tcPr>
          <w:p w14:paraId="7894B7F6" w14:textId="77777777" w:rsidR="007366D4" w:rsidRPr="00FD2F0C" w:rsidRDefault="007366D4" w:rsidP="00745ECC">
            <w:pPr>
              <w:pStyle w:val="Tabletext0"/>
              <w:jc w:val="both"/>
              <w:rPr>
                <w:rFonts w:cs="Trebuchet MS"/>
                <w:color w:val="FB0007"/>
                <w:lang w:val="en-US" w:eastAsia="zh-CN"/>
              </w:rPr>
            </w:pPr>
            <w:r w:rsidRPr="00FD2F0C">
              <w:rPr>
                <w:rFonts w:cs="Trebuchet MS"/>
                <w:lang w:val="en-US" w:eastAsia="zh-CN"/>
              </w:rPr>
              <w:t>Report of the Expert Group meeting on Resolution 9 (Budapest, 18-19 February 2016)</w:t>
            </w:r>
          </w:p>
        </w:tc>
      </w:tr>
      <w:tr w:rsidR="007366D4" w:rsidRPr="00573C99" w14:paraId="65A7E38E" w14:textId="77777777" w:rsidTr="00745ECC">
        <w:tc>
          <w:tcPr>
            <w:tcW w:w="556" w:type="pct"/>
            <w:tcBorders>
              <w:top w:val="single" w:sz="12" w:space="0" w:color="auto"/>
              <w:left w:val="single" w:sz="12" w:space="0" w:color="auto"/>
              <w:bottom w:val="single" w:sz="12" w:space="0" w:color="auto"/>
              <w:right w:val="single" w:sz="12" w:space="0" w:color="auto"/>
            </w:tcBorders>
            <w:noWrap/>
          </w:tcPr>
          <w:p w14:paraId="63C18CA6" w14:textId="77777777" w:rsidR="007366D4" w:rsidRPr="00FD2F0C" w:rsidRDefault="00573C99" w:rsidP="00745ECC">
            <w:pPr>
              <w:widowControl w:val="0"/>
              <w:tabs>
                <w:tab w:val="left" w:pos="720"/>
              </w:tabs>
              <w:jc w:val="left"/>
              <w:rPr>
                <w:rStyle w:val="Boldunderline"/>
                <w:rFonts w:asciiTheme="minorHAnsi" w:hAnsiTheme="minorHAnsi"/>
              </w:rPr>
            </w:pPr>
            <w:hyperlink r:id="rId152" w:history="1">
              <w:r w:rsidR="007366D4" w:rsidRPr="00FD2F0C">
                <w:rPr>
                  <w:rStyle w:val="Boldunderline"/>
                  <w:rFonts w:asciiTheme="minorHAnsi" w:hAnsiTheme="minorHAnsi"/>
                </w:rPr>
                <w:t>RGQ/204</w:t>
              </w:r>
            </w:hyperlink>
          </w:p>
          <w:p w14:paraId="133DAD3A" w14:textId="77777777" w:rsidR="007366D4" w:rsidRPr="00FD2F0C" w:rsidRDefault="007366D4" w:rsidP="00745ECC">
            <w:pPr>
              <w:widowControl w:val="0"/>
              <w:tabs>
                <w:tab w:val="left" w:pos="720"/>
              </w:tabs>
              <w:jc w:val="left"/>
              <w:rPr>
                <w:rStyle w:val="Boldunderline"/>
                <w:rFonts w:asciiTheme="minorHAnsi" w:hAnsiTheme="minorHAnsi"/>
              </w:rPr>
            </w:pPr>
          </w:p>
        </w:tc>
        <w:tc>
          <w:tcPr>
            <w:tcW w:w="674" w:type="pct"/>
            <w:tcBorders>
              <w:top w:val="single" w:sz="12" w:space="0" w:color="auto"/>
              <w:left w:val="single" w:sz="12" w:space="0" w:color="auto"/>
              <w:bottom w:val="single" w:sz="12" w:space="0" w:color="auto"/>
              <w:right w:val="single" w:sz="12" w:space="0" w:color="auto"/>
            </w:tcBorders>
            <w:noWrap/>
            <w:hideMark/>
          </w:tcPr>
          <w:p w14:paraId="402B3348" w14:textId="77777777" w:rsidR="007366D4" w:rsidRPr="00FD2F0C" w:rsidRDefault="007366D4" w:rsidP="00745ECC">
            <w:pPr>
              <w:pStyle w:val="Tabletext0"/>
              <w:rPr>
                <w:rFonts w:cs="Trebuchet MS"/>
                <w:lang w:val="en-US" w:eastAsia="zh-CN"/>
              </w:rPr>
            </w:pPr>
            <w:r w:rsidRPr="00FD2F0C">
              <w:rPr>
                <w:rFonts w:cs="Trebuchet MS"/>
                <w:lang w:val="en-US" w:eastAsia="zh-CN"/>
              </w:rPr>
              <w:t>2016-03-18</w:t>
            </w:r>
          </w:p>
        </w:tc>
        <w:tc>
          <w:tcPr>
            <w:tcW w:w="1384" w:type="pct"/>
            <w:tcBorders>
              <w:top w:val="single" w:sz="12" w:space="0" w:color="auto"/>
              <w:left w:val="single" w:sz="12" w:space="0" w:color="auto"/>
              <w:bottom w:val="single" w:sz="12" w:space="0" w:color="auto"/>
              <w:right w:val="single" w:sz="12" w:space="0" w:color="auto"/>
            </w:tcBorders>
            <w:noWrap/>
            <w:hideMark/>
          </w:tcPr>
          <w:p w14:paraId="545B273F" w14:textId="77777777" w:rsidR="007366D4" w:rsidRPr="00FD2F0C" w:rsidRDefault="007366D4" w:rsidP="00745ECC">
            <w:pPr>
              <w:pStyle w:val="Tabletext0"/>
              <w:rPr>
                <w:szCs w:val="20"/>
                <w:lang w:val="en-US" w:eastAsia="en-US"/>
              </w:rPr>
            </w:pPr>
            <w:r w:rsidRPr="00FD2F0C">
              <w:rPr>
                <w:lang w:val="en-US"/>
              </w:rPr>
              <w:t>BDT Focal Point for Question 8/1 and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47FD90C6" w14:textId="77777777" w:rsidR="007366D4" w:rsidRPr="00FD2F0C" w:rsidRDefault="007366D4" w:rsidP="00745ECC">
            <w:pPr>
              <w:pStyle w:val="Tabletext0"/>
              <w:jc w:val="both"/>
              <w:rPr>
                <w:rFonts w:cs="Trebuchet MS"/>
                <w:lang w:val="en-US" w:eastAsia="zh-CN"/>
              </w:rPr>
            </w:pPr>
            <w:r w:rsidRPr="00FD2F0C">
              <w:rPr>
                <w:rFonts w:cs="Trebuchet MS"/>
                <w:lang w:val="en-US" w:eastAsia="zh-CN"/>
              </w:rPr>
              <w:t>Outcomes of RA-15, WRC-15 and CPM19-1 related to ITU-D</w:t>
            </w:r>
          </w:p>
        </w:tc>
      </w:tr>
      <w:tr w:rsidR="007366D4" w:rsidRPr="00FD2F0C" w14:paraId="7C76652E"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74D1A070" w14:textId="77777777" w:rsidR="007366D4" w:rsidRPr="00FD2F0C" w:rsidRDefault="00573C99" w:rsidP="00745ECC">
            <w:pPr>
              <w:widowControl w:val="0"/>
              <w:tabs>
                <w:tab w:val="left" w:pos="720"/>
              </w:tabs>
              <w:jc w:val="left"/>
              <w:rPr>
                <w:rStyle w:val="Boldunderline"/>
                <w:rFonts w:asciiTheme="minorHAnsi" w:hAnsiTheme="minorHAnsi"/>
              </w:rPr>
            </w:pPr>
            <w:hyperlink r:id="rId153" w:history="1">
              <w:r w:rsidR="007366D4" w:rsidRPr="00FD2F0C">
                <w:rPr>
                  <w:rStyle w:val="Boldunderline"/>
                  <w:rFonts w:asciiTheme="minorHAnsi" w:hAnsiTheme="minorHAnsi"/>
                </w:rPr>
                <w:t>RGQ/203</w:t>
              </w:r>
            </w:hyperlink>
          </w:p>
          <w:p w14:paraId="2904F16F" w14:textId="77777777" w:rsidR="007366D4" w:rsidRPr="00FD2F0C" w:rsidRDefault="007366D4" w:rsidP="00745ECC">
            <w:pPr>
              <w:widowControl w:val="0"/>
              <w:tabs>
                <w:tab w:val="left" w:pos="720"/>
              </w:tabs>
              <w:spacing w:before="0"/>
              <w:jc w:val="left"/>
              <w:rPr>
                <w:rStyle w:val="Boldunderline"/>
                <w:rFonts w:asciiTheme="minorHAnsi" w:hAnsiTheme="minorHAnsi"/>
              </w:rPr>
            </w:pPr>
            <w:r w:rsidRPr="00FD2F0C">
              <w:rPr>
                <w:rStyle w:val="Boldunderline"/>
                <w:rFonts w:asciiTheme="minorHAnsi" w:hAnsiTheme="minorHAnsi"/>
              </w:rPr>
              <w:t>+Ann.1</w:t>
            </w:r>
          </w:p>
        </w:tc>
        <w:tc>
          <w:tcPr>
            <w:tcW w:w="674" w:type="pct"/>
            <w:tcBorders>
              <w:top w:val="single" w:sz="12" w:space="0" w:color="auto"/>
              <w:left w:val="single" w:sz="12" w:space="0" w:color="auto"/>
              <w:bottom w:val="single" w:sz="12" w:space="0" w:color="auto"/>
              <w:right w:val="single" w:sz="12" w:space="0" w:color="auto"/>
            </w:tcBorders>
            <w:noWrap/>
            <w:hideMark/>
          </w:tcPr>
          <w:p w14:paraId="3DAEF5D5" w14:textId="77777777" w:rsidR="007366D4" w:rsidRPr="00FD2F0C" w:rsidRDefault="007366D4" w:rsidP="00745ECC">
            <w:pPr>
              <w:pStyle w:val="Tabletext0"/>
              <w:rPr>
                <w:rFonts w:cs="Trebuchet MS"/>
                <w:lang w:val="en-US" w:eastAsia="zh-CN"/>
              </w:rPr>
            </w:pPr>
            <w:r w:rsidRPr="00FD2F0C">
              <w:rPr>
                <w:rFonts w:cs="Trebuchet MS"/>
                <w:lang w:val="en-US" w:eastAsia="zh-CN"/>
              </w:rPr>
              <w:t>2016-03-18</w:t>
            </w:r>
          </w:p>
        </w:tc>
        <w:tc>
          <w:tcPr>
            <w:tcW w:w="1384" w:type="pct"/>
            <w:tcBorders>
              <w:top w:val="single" w:sz="12" w:space="0" w:color="auto"/>
              <w:left w:val="single" w:sz="12" w:space="0" w:color="auto"/>
              <w:bottom w:val="single" w:sz="12" w:space="0" w:color="auto"/>
              <w:right w:val="single" w:sz="12" w:space="0" w:color="auto"/>
            </w:tcBorders>
            <w:noWrap/>
            <w:hideMark/>
          </w:tcPr>
          <w:p w14:paraId="7C19C34B" w14:textId="77777777" w:rsidR="007366D4" w:rsidRPr="00FD2F0C" w:rsidRDefault="007366D4" w:rsidP="00745ECC">
            <w:pPr>
              <w:pStyle w:val="Tabletext0"/>
              <w:rPr>
                <w:rFonts w:cs="Trebuchet MS"/>
                <w:lang w:val="en-US" w:eastAsia="zh-CN"/>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03660910" w14:textId="77777777" w:rsidR="007366D4" w:rsidRPr="00FD2F0C" w:rsidRDefault="007366D4" w:rsidP="00745ECC">
            <w:pPr>
              <w:pStyle w:val="Tabletext0"/>
              <w:jc w:val="both"/>
              <w:rPr>
                <w:rFonts w:cs="Trebuchet MS"/>
                <w:color w:val="FB0007"/>
                <w:lang w:val="en-US" w:eastAsia="zh-CN"/>
              </w:rPr>
            </w:pPr>
            <w:r w:rsidRPr="00FD2F0C">
              <w:rPr>
                <w:rFonts w:cs="Trebuchet MS"/>
                <w:lang w:val="en-US" w:eastAsia="zh-CN"/>
              </w:rPr>
              <w:t>BDT activities on spectrum management</w:t>
            </w:r>
          </w:p>
        </w:tc>
      </w:tr>
      <w:tr w:rsidR="007366D4" w:rsidRPr="00573C99" w14:paraId="3D271A6C"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651482A8" w14:textId="77777777" w:rsidR="007366D4" w:rsidRPr="00FD2F0C" w:rsidRDefault="00573C99" w:rsidP="00745ECC">
            <w:pPr>
              <w:widowControl w:val="0"/>
              <w:tabs>
                <w:tab w:val="left" w:pos="720"/>
              </w:tabs>
              <w:jc w:val="left"/>
              <w:rPr>
                <w:rStyle w:val="Boldunderline"/>
                <w:rFonts w:asciiTheme="minorHAnsi" w:hAnsiTheme="minorHAnsi"/>
              </w:rPr>
            </w:pPr>
            <w:hyperlink r:id="rId154" w:history="1">
              <w:r w:rsidR="007366D4" w:rsidRPr="00FD2F0C">
                <w:rPr>
                  <w:rStyle w:val="Boldunderline"/>
                  <w:rFonts w:asciiTheme="minorHAnsi" w:hAnsiTheme="minorHAnsi"/>
                </w:rPr>
                <w:t>RGQ/201</w:t>
              </w:r>
            </w:hyperlink>
          </w:p>
          <w:p w14:paraId="5EE54511" w14:textId="77777777" w:rsidR="007366D4" w:rsidRPr="00FD2F0C" w:rsidRDefault="007366D4" w:rsidP="00745ECC">
            <w:pPr>
              <w:widowControl w:val="0"/>
              <w:tabs>
                <w:tab w:val="left" w:pos="720"/>
              </w:tabs>
              <w:spacing w:before="0"/>
              <w:jc w:val="left"/>
              <w:rPr>
                <w:rStyle w:val="Boldunderline"/>
                <w:rFonts w:asciiTheme="minorHAnsi" w:hAnsiTheme="minorHAnsi"/>
              </w:rPr>
            </w:pPr>
            <w:r w:rsidRPr="00FD2F0C">
              <w:rPr>
                <w:rStyle w:val="Boldunderline"/>
                <w:rFonts w:asciiTheme="minorHAnsi" w:hAnsiTheme="minorHAnsi"/>
              </w:rPr>
              <w:t>+Ann.1</w:t>
            </w:r>
          </w:p>
        </w:tc>
        <w:tc>
          <w:tcPr>
            <w:tcW w:w="674" w:type="pct"/>
            <w:tcBorders>
              <w:top w:val="single" w:sz="12" w:space="0" w:color="auto"/>
              <w:left w:val="single" w:sz="12" w:space="0" w:color="auto"/>
              <w:bottom w:val="single" w:sz="12" w:space="0" w:color="auto"/>
              <w:right w:val="single" w:sz="12" w:space="0" w:color="auto"/>
            </w:tcBorders>
            <w:noWrap/>
            <w:hideMark/>
          </w:tcPr>
          <w:p w14:paraId="1C977572" w14:textId="77777777" w:rsidR="007366D4" w:rsidRPr="00FD2F0C" w:rsidRDefault="007366D4" w:rsidP="00745ECC">
            <w:pPr>
              <w:pStyle w:val="Tabletext0"/>
              <w:rPr>
                <w:rFonts w:cs="Trebuchet MS"/>
                <w:lang w:val="en-US" w:eastAsia="zh-CN"/>
              </w:rPr>
            </w:pPr>
            <w:r w:rsidRPr="00FD2F0C">
              <w:rPr>
                <w:rFonts w:cs="Trebuchet MS"/>
                <w:lang w:val="en-US" w:eastAsia="zh-CN"/>
              </w:rPr>
              <w:t>2016-03-17</w:t>
            </w:r>
          </w:p>
        </w:tc>
        <w:tc>
          <w:tcPr>
            <w:tcW w:w="1384" w:type="pct"/>
            <w:tcBorders>
              <w:top w:val="single" w:sz="12" w:space="0" w:color="auto"/>
              <w:left w:val="single" w:sz="12" w:space="0" w:color="auto"/>
              <w:bottom w:val="single" w:sz="12" w:space="0" w:color="auto"/>
              <w:right w:val="single" w:sz="12" w:space="0" w:color="auto"/>
            </w:tcBorders>
            <w:noWrap/>
            <w:hideMark/>
          </w:tcPr>
          <w:p w14:paraId="798148D6" w14:textId="77777777" w:rsidR="007366D4" w:rsidRPr="00FD2F0C" w:rsidRDefault="007366D4" w:rsidP="00745ECC">
            <w:pPr>
              <w:pStyle w:val="Tabletext0"/>
              <w:rPr>
                <w:rFonts w:cs="Trebuchet MS"/>
                <w:lang w:val="en-US" w:eastAsia="zh-CN"/>
              </w:rPr>
            </w:pPr>
            <w:r w:rsidRPr="00FD2F0C">
              <w:t>Radiocommunication Bureau</w:t>
            </w:r>
          </w:p>
        </w:tc>
        <w:tc>
          <w:tcPr>
            <w:tcW w:w="2386" w:type="pct"/>
            <w:tcBorders>
              <w:top w:val="single" w:sz="12" w:space="0" w:color="auto"/>
              <w:left w:val="single" w:sz="12" w:space="0" w:color="auto"/>
              <w:bottom w:val="single" w:sz="12" w:space="0" w:color="auto"/>
              <w:right w:val="single" w:sz="12" w:space="0" w:color="auto"/>
            </w:tcBorders>
            <w:noWrap/>
            <w:hideMark/>
          </w:tcPr>
          <w:p w14:paraId="6FD4434F" w14:textId="77777777" w:rsidR="007366D4" w:rsidRPr="00FD2F0C" w:rsidRDefault="007366D4" w:rsidP="00745ECC">
            <w:pPr>
              <w:pStyle w:val="Tabletext0"/>
              <w:jc w:val="both"/>
              <w:rPr>
                <w:rFonts w:cs="Trebuchet MS"/>
                <w:color w:val="FB0007"/>
                <w:lang w:val="en-US" w:eastAsia="zh-CN"/>
              </w:rPr>
            </w:pPr>
            <w:r w:rsidRPr="00FD2F0C">
              <w:rPr>
                <w:rFonts w:cs="Trebuchet MS"/>
                <w:lang w:val="en-US" w:eastAsia="zh-CN"/>
              </w:rPr>
              <w:t>Further development of the ITU-R documents database search facility</w:t>
            </w:r>
          </w:p>
        </w:tc>
      </w:tr>
      <w:tr w:rsidR="007366D4" w:rsidRPr="00FD2F0C" w14:paraId="191DFB8F"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202D6A4B" w14:textId="77777777" w:rsidR="007366D4" w:rsidRPr="00FD2F0C" w:rsidRDefault="00573C99" w:rsidP="00745ECC">
            <w:pPr>
              <w:widowControl w:val="0"/>
              <w:tabs>
                <w:tab w:val="left" w:pos="720"/>
              </w:tabs>
              <w:jc w:val="left"/>
              <w:rPr>
                <w:rStyle w:val="Boldunderline"/>
                <w:rFonts w:asciiTheme="minorHAnsi" w:hAnsiTheme="minorHAnsi"/>
              </w:rPr>
            </w:pPr>
            <w:hyperlink r:id="rId155" w:history="1">
              <w:r w:rsidR="007366D4" w:rsidRPr="00FD2F0C">
                <w:rPr>
                  <w:rStyle w:val="Boldunderline"/>
                  <w:rFonts w:asciiTheme="minorHAnsi" w:hAnsiTheme="minorHAnsi"/>
                </w:rPr>
                <w:t>RGQ/182</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0953768C" w14:textId="77777777" w:rsidR="007366D4" w:rsidRPr="00FD2F0C" w:rsidRDefault="007366D4" w:rsidP="00745ECC">
            <w:pPr>
              <w:pStyle w:val="Tabletext0"/>
              <w:rPr>
                <w:rFonts w:cs="Trebuchet MS"/>
                <w:lang w:val="en-US" w:eastAsia="zh-CN"/>
              </w:rPr>
            </w:pPr>
            <w:r w:rsidRPr="00FD2F0C">
              <w:rPr>
                <w:rFonts w:cs="Trebuchet MS"/>
                <w:lang w:val="en-US" w:eastAsia="zh-CN"/>
              </w:rPr>
              <w:t>2016-03-08</w:t>
            </w:r>
          </w:p>
        </w:tc>
        <w:tc>
          <w:tcPr>
            <w:tcW w:w="1384" w:type="pct"/>
            <w:tcBorders>
              <w:top w:val="single" w:sz="12" w:space="0" w:color="auto"/>
              <w:left w:val="single" w:sz="12" w:space="0" w:color="auto"/>
              <w:bottom w:val="single" w:sz="12" w:space="0" w:color="auto"/>
              <w:right w:val="single" w:sz="12" w:space="0" w:color="auto"/>
            </w:tcBorders>
            <w:noWrap/>
            <w:hideMark/>
          </w:tcPr>
          <w:p w14:paraId="61F78E48" w14:textId="77777777" w:rsidR="007366D4" w:rsidRPr="00FD2F0C" w:rsidRDefault="007366D4" w:rsidP="00745ECC">
            <w:pPr>
              <w:pStyle w:val="Tabletext0"/>
              <w:rPr>
                <w:rFonts w:cs="Trebuchet MS"/>
                <w:lang w:val="en-US" w:eastAsia="zh-CN"/>
              </w:rPr>
            </w:pPr>
            <w:r w:rsidRPr="00FD2F0C">
              <w:t>Niger (Republic of the)</w:t>
            </w:r>
          </w:p>
        </w:tc>
        <w:tc>
          <w:tcPr>
            <w:tcW w:w="2386" w:type="pct"/>
            <w:tcBorders>
              <w:top w:val="single" w:sz="12" w:space="0" w:color="auto"/>
              <w:left w:val="single" w:sz="12" w:space="0" w:color="auto"/>
              <w:bottom w:val="single" w:sz="12" w:space="0" w:color="auto"/>
              <w:right w:val="single" w:sz="12" w:space="0" w:color="auto"/>
            </w:tcBorders>
            <w:noWrap/>
            <w:hideMark/>
          </w:tcPr>
          <w:p w14:paraId="711A4D8D" w14:textId="77777777" w:rsidR="007366D4" w:rsidRPr="00FD2F0C" w:rsidRDefault="007366D4" w:rsidP="00745ECC">
            <w:pPr>
              <w:pStyle w:val="Tabletext0"/>
              <w:jc w:val="both"/>
              <w:rPr>
                <w:rFonts w:cs="Trebuchet MS"/>
                <w:color w:val="FB0007"/>
                <w:lang w:val="fr-CH" w:eastAsia="zh-CN"/>
              </w:rPr>
            </w:pPr>
            <w:r w:rsidRPr="00FD2F0C">
              <w:rPr>
                <w:rFonts w:cs="Trebuchet MS"/>
                <w:lang w:val="fr-CH" w:eastAsia="zh-CN"/>
              </w:rPr>
              <w:t>Méthode pour déterminer les redevances de fréquences</w:t>
            </w:r>
          </w:p>
        </w:tc>
      </w:tr>
      <w:tr w:rsidR="007366D4" w:rsidRPr="00573C99" w14:paraId="5EC5A1D4"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2E484EA1" w14:textId="77777777" w:rsidR="007366D4" w:rsidRPr="00FD2F0C" w:rsidRDefault="00573C99" w:rsidP="00745ECC">
            <w:pPr>
              <w:spacing w:line="240" w:lineRule="atLeast"/>
              <w:jc w:val="left"/>
              <w:rPr>
                <w:rStyle w:val="Boldunderline"/>
                <w:rFonts w:asciiTheme="minorHAnsi" w:hAnsiTheme="minorHAnsi"/>
              </w:rPr>
            </w:pPr>
            <w:hyperlink r:id="rId156" w:history="1">
              <w:r w:rsidR="007366D4" w:rsidRPr="00FD2F0C">
                <w:rPr>
                  <w:rStyle w:val="Boldunderline"/>
                  <w:rFonts w:asciiTheme="minorHAnsi" w:hAnsiTheme="minorHAnsi"/>
                </w:rPr>
                <w:t>RGQ/137</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26FD3A60" w14:textId="77777777" w:rsidR="007366D4" w:rsidRPr="00FD2F0C" w:rsidRDefault="007366D4" w:rsidP="00745ECC">
            <w:pPr>
              <w:pStyle w:val="Tabletext0"/>
              <w:rPr>
                <w:lang w:val="en-US"/>
              </w:rPr>
            </w:pPr>
            <w:r w:rsidRPr="00FD2F0C">
              <w:rPr>
                <w:lang w:val="en-US"/>
              </w:rPr>
              <w:t>2016-01-25</w:t>
            </w:r>
          </w:p>
        </w:tc>
        <w:tc>
          <w:tcPr>
            <w:tcW w:w="1384" w:type="pct"/>
            <w:tcBorders>
              <w:top w:val="single" w:sz="12" w:space="0" w:color="auto"/>
              <w:left w:val="single" w:sz="12" w:space="0" w:color="auto"/>
              <w:bottom w:val="single" w:sz="12" w:space="0" w:color="auto"/>
              <w:right w:val="single" w:sz="12" w:space="0" w:color="auto"/>
            </w:tcBorders>
            <w:noWrap/>
            <w:hideMark/>
          </w:tcPr>
          <w:p w14:paraId="5BB53E14" w14:textId="77777777" w:rsidR="007366D4" w:rsidRPr="00FD2F0C" w:rsidRDefault="007366D4" w:rsidP="00745ECC">
            <w:pPr>
              <w:pStyle w:val="Tabletext0"/>
              <w:rPr>
                <w:lang w:val="en-US"/>
              </w:rPr>
            </w:pPr>
            <w:r w:rsidRPr="00FD2F0C">
              <w:t>Microsoft Corporation</w:t>
            </w:r>
          </w:p>
        </w:tc>
        <w:tc>
          <w:tcPr>
            <w:tcW w:w="2386" w:type="pct"/>
            <w:tcBorders>
              <w:top w:val="single" w:sz="12" w:space="0" w:color="auto"/>
              <w:left w:val="single" w:sz="12" w:space="0" w:color="auto"/>
              <w:bottom w:val="single" w:sz="12" w:space="0" w:color="auto"/>
              <w:right w:val="single" w:sz="12" w:space="0" w:color="auto"/>
            </w:tcBorders>
            <w:noWrap/>
            <w:hideMark/>
          </w:tcPr>
          <w:p w14:paraId="531B70DD" w14:textId="77777777" w:rsidR="007366D4" w:rsidRPr="00FD2F0C" w:rsidRDefault="007366D4" w:rsidP="00745ECC">
            <w:pPr>
              <w:pStyle w:val="Tabletext0"/>
              <w:jc w:val="both"/>
              <w:rPr>
                <w:lang w:val="en-US"/>
              </w:rPr>
            </w:pPr>
            <w:r w:rsidRPr="00FD2F0C">
              <w:rPr>
                <w:lang w:val="en-US"/>
              </w:rPr>
              <w:t>Consolidated text for New/Emerging Spectrum Management Approaches</w:t>
            </w:r>
          </w:p>
        </w:tc>
      </w:tr>
      <w:tr w:rsidR="007366D4" w:rsidRPr="00FD2F0C" w14:paraId="6602267D"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5EDE3029" w14:textId="77777777" w:rsidR="007366D4" w:rsidRPr="00FD2F0C" w:rsidRDefault="00573C99" w:rsidP="00745ECC">
            <w:pPr>
              <w:spacing w:line="240" w:lineRule="atLeast"/>
              <w:jc w:val="left"/>
              <w:rPr>
                <w:rStyle w:val="Boldunderline"/>
                <w:rFonts w:asciiTheme="minorHAnsi" w:hAnsiTheme="minorHAnsi"/>
              </w:rPr>
            </w:pPr>
            <w:hyperlink r:id="rId157" w:history="1">
              <w:r w:rsidR="007366D4" w:rsidRPr="00FD2F0C">
                <w:rPr>
                  <w:rStyle w:val="Boldunderline"/>
                  <w:rFonts w:asciiTheme="minorHAnsi" w:hAnsiTheme="minorHAnsi"/>
                </w:rPr>
                <w:t>RGQ/134</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0CEA6F30" w14:textId="77777777" w:rsidR="007366D4" w:rsidRPr="00FD2F0C" w:rsidRDefault="007366D4" w:rsidP="00745ECC">
            <w:pPr>
              <w:pStyle w:val="Tabletext0"/>
              <w:rPr>
                <w:lang w:val="en-US"/>
              </w:rPr>
            </w:pPr>
            <w:r w:rsidRPr="00FD2F0C">
              <w:rPr>
                <w:lang w:val="en-US"/>
              </w:rPr>
              <w:t>2016-02-02</w:t>
            </w:r>
          </w:p>
        </w:tc>
        <w:tc>
          <w:tcPr>
            <w:tcW w:w="1384" w:type="pct"/>
            <w:tcBorders>
              <w:top w:val="single" w:sz="12" w:space="0" w:color="auto"/>
              <w:left w:val="single" w:sz="12" w:space="0" w:color="auto"/>
              <w:bottom w:val="single" w:sz="12" w:space="0" w:color="auto"/>
              <w:right w:val="single" w:sz="12" w:space="0" w:color="auto"/>
            </w:tcBorders>
            <w:noWrap/>
            <w:hideMark/>
          </w:tcPr>
          <w:p w14:paraId="18B83332" w14:textId="77777777" w:rsidR="007366D4" w:rsidRPr="00FD2F0C" w:rsidRDefault="007366D4" w:rsidP="00745ECC">
            <w:pPr>
              <w:pStyle w:val="Tabletext0"/>
              <w:rPr>
                <w:lang w:val="en-US"/>
              </w:rPr>
            </w:pPr>
            <w:r w:rsidRPr="00FD2F0C">
              <w:t>Egypt (Arab Republic of)</w:t>
            </w:r>
          </w:p>
        </w:tc>
        <w:tc>
          <w:tcPr>
            <w:tcW w:w="2386" w:type="pct"/>
            <w:tcBorders>
              <w:top w:val="single" w:sz="12" w:space="0" w:color="auto"/>
              <w:left w:val="single" w:sz="12" w:space="0" w:color="auto"/>
              <w:bottom w:val="single" w:sz="12" w:space="0" w:color="auto"/>
              <w:right w:val="single" w:sz="12" w:space="0" w:color="auto"/>
            </w:tcBorders>
            <w:noWrap/>
            <w:hideMark/>
          </w:tcPr>
          <w:p w14:paraId="6D90C5D3" w14:textId="77777777" w:rsidR="007366D4" w:rsidRPr="00FD2F0C" w:rsidRDefault="007366D4" w:rsidP="00745ECC">
            <w:pPr>
              <w:pStyle w:val="Tabletext0"/>
              <w:jc w:val="both"/>
              <w:rPr>
                <w:lang w:val="en-US"/>
              </w:rPr>
            </w:pPr>
            <w:r w:rsidRPr="00FD2F0C">
              <w:rPr>
                <w:lang w:val="en-US"/>
              </w:rPr>
              <w:t>Spectrum Access Schemes</w:t>
            </w:r>
          </w:p>
        </w:tc>
      </w:tr>
      <w:tr w:rsidR="007366D4" w:rsidRPr="00573C99" w14:paraId="1A40EE1E"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7B8B668B" w14:textId="77777777" w:rsidR="007366D4" w:rsidRPr="00FD2F0C" w:rsidRDefault="00573C99" w:rsidP="00745ECC">
            <w:pPr>
              <w:spacing w:line="240" w:lineRule="atLeast"/>
              <w:jc w:val="left"/>
              <w:rPr>
                <w:rStyle w:val="Boldunderline"/>
                <w:rFonts w:asciiTheme="minorHAnsi" w:hAnsiTheme="minorHAnsi"/>
              </w:rPr>
            </w:pPr>
            <w:hyperlink r:id="rId158" w:history="1">
              <w:r w:rsidR="007366D4" w:rsidRPr="00FD2F0C">
                <w:rPr>
                  <w:rStyle w:val="Boldunderline"/>
                  <w:rFonts w:asciiTheme="minorHAnsi" w:hAnsiTheme="minorHAnsi"/>
                </w:rPr>
                <w:t>RGQ/133</w:t>
              </w:r>
            </w:hyperlink>
            <w:r w:rsidR="007366D4" w:rsidRPr="00FD2F0C">
              <w:rPr>
                <w:rStyle w:val="Boldunderline"/>
                <w:rFonts w:asciiTheme="minorHAnsi" w:hAnsiTheme="minorHAnsi"/>
              </w:rPr>
              <w:t> </w:t>
            </w:r>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2DE9DA3C" w14:textId="77777777" w:rsidR="007366D4" w:rsidRPr="00FD2F0C" w:rsidRDefault="007366D4" w:rsidP="00745ECC">
            <w:pPr>
              <w:pStyle w:val="Tabletext0"/>
              <w:rPr>
                <w:lang w:val="en-US"/>
              </w:rPr>
            </w:pPr>
            <w:r w:rsidRPr="00FD2F0C">
              <w:rPr>
                <w:lang w:val="en-US"/>
              </w:rPr>
              <w:t>2016-01-25</w:t>
            </w:r>
          </w:p>
        </w:tc>
        <w:tc>
          <w:tcPr>
            <w:tcW w:w="1384" w:type="pct"/>
            <w:tcBorders>
              <w:top w:val="single" w:sz="12" w:space="0" w:color="auto"/>
              <w:left w:val="single" w:sz="12" w:space="0" w:color="auto"/>
              <w:bottom w:val="single" w:sz="12" w:space="0" w:color="auto"/>
              <w:right w:val="single" w:sz="12" w:space="0" w:color="auto"/>
            </w:tcBorders>
            <w:noWrap/>
            <w:hideMark/>
          </w:tcPr>
          <w:p w14:paraId="7F65ED76" w14:textId="77777777" w:rsidR="007366D4" w:rsidRPr="00FD2F0C" w:rsidRDefault="007366D4" w:rsidP="00745ECC">
            <w:pPr>
              <w:pStyle w:val="Tabletext0"/>
              <w:rPr>
                <w:lang w:val="en-US"/>
              </w:rPr>
            </w:pPr>
            <w:r w:rsidRPr="00FD2F0C">
              <w:t>I</w:t>
            </w:r>
            <w:r w:rsidRPr="00FD2F0C">
              <w:rPr>
                <w:szCs w:val="22"/>
                <w:lang w:val="en-US"/>
              </w:rPr>
              <w:t>nmarsat</w:t>
            </w:r>
          </w:p>
        </w:tc>
        <w:tc>
          <w:tcPr>
            <w:tcW w:w="2386" w:type="pct"/>
            <w:tcBorders>
              <w:top w:val="single" w:sz="12" w:space="0" w:color="auto"/>
              <w:left w:val="single" w:sz="12" w:space="0" w:color="auto"/>
              <w:bottom w:val="single" w:sz="12" w:space="0" w:color="auto"/>
              <w:right w:val="single" w:sz="12" w:space="0" w:color="auto"/>
            </w:tcBorders>
            <w:noWrap/>
            <w:hideMark/>
          </w:tcPr>
          <w:p w14:paraId="0453B484" w14:textId="77777777" w:rsidR="007366D4" w:rsidRPr="00FD2F0C" w:rsidRDefault="007366D4" w:rsidP="00745ECC">
            <w:pPr>
              <w:pStyle w:val="Tabletext0"/>
              <w:jc w:val="both"/>
              <w:rPr>
                <w:lang w:val="en-US"/>
              </w:rPr>
            </w:pPr>
            <w:r w:rsidRPr="00FD2F0C">
              <w:rPr>
                <w:lang w:val="en-US"/>
              </w:rPr>
              <w:t>Licensing regime applicable to earth stations in motion operating in the fixed-satellite service</w:t>
            </w:r>
          </w:p>
        </w:tc>
      </w:tr>
      <w:tr w:rsidR="007366D4" w:rsidRPr="00573C99" w14:paraId="088ECF82" w14:textId="77777777" w:rsidTr="00745ECC">
        <w:tc>
          <w:tcPr>
            <w:tcW w:w="556" w:type="pct"/>
            <w:tcBorders>
              <w:top w:val="single" w:sz="12" w:space="0" w:color="auto"/>
              <w:left w:val="single" w:sz="12" w:space="0" w:color="auto"/>
              <w:bottom w:val="single" w:sz="12" w:space="0" w:color="auto"/>
              <w:right w:val="single" w:sz="12" w:space="0" w:color="auto"/>
            </w:tcBorders>
            <w:noWrap/>
            <w:hideMark/>
          </w:tcPr>
          <w:p w14:paraId="47FBB749" w14:textId="77777777" w:rsidR="007366D4" w:rsidRPr="00FD2F0C" w:rsidRDefault="00573C99" w:rsidP="00745ECC">
            <w:pPr>
              <w:spacing w:line="240" w:lineRule="atLeast"/>
              <w:jc w:val="left"/>
              <w:rPr>
                <w:rStyle w:val="Boldunderline"/>
                <w:rFonts w:asciiTheme="minorHAnsi" w:hAnsiTheme="minorHAnsi"/>
              </w:rPr>
            </w:pPr>
            <w:hyperlink r:id="rId159" w:history="1">
              <w:r w:rsidR="007366D4" w:rsidRPr="00FD2F0C">
                <w:rPr>
                  <w:rStyle w:val="Boldunderline"/>
                  <w:rFonts w:asciiTheme="minorHAnsi" w:hAnsiTheme="minorHAnsi"/>
                </w:rPr>
                <w:t>1/249</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1EB342D0" w14:textId="77777777" w:rsidR="007366D4" w:rsidRPr="00FD2F0C" w:rsidRDefault="007366D4" w:rsidP="00745ECC">
            <w:pPr>
              <w:pStyle w:val="Tabletext0"/>
              <w:rPr>
                <w:lang w:val="en-US"/>
              </w:rPr>
            </w:pPr>
            <w:r w:rsidRPr="00FD2F0C">
              <w:rPr>
                <w:lang w:val="en-US"/>
              </w:rPr>
              <w:t>2016-04-11</w:t>
            </w:r>
          </w:p>
        </w:tc>
        <w:tc>
          <w:tcPr>
            <w:tcW w:w="1384" w:type="pct"/>
            <w:tcBorders>
              <w:top w:val="single" w:sz="12" w:space="0" w:color="auto"/>
              <w:left w:val="single" w:sz="12" w:space="0" w:color="auto"/>
              <w:bottom w:val="single" w:sz="12" w:space="0" w:color="auto"/>
              <w:right w:val="single" w:sz="12" w:space="0" w:color="auto"/>
            </w:tcBorders>
            <w:noWrap/>
            <w:hideMark/>
          </w:tcPr>
          <w:p w14:paraId="5E16F07D" w14:textId="77777777" w:rsidR="007366D4" w:rsidRPr="00FD2F0C" w:rsidRDefault="007366D4" w:rsidP="00745ECC">
            <w:pPr>
              <w:pStyle w:val="Tabletext0"/>
              <w:rPr>
                <w:lang w:val="en-US"/>
              </w:rPr>
            </w:pPr>
            <w:r w:rsidRPr="00FD2F0C">
              <w:rPr>
                <w:lang w:val="en-US"/>
              </w:rPr>
              <w:t>Co-Chairmen for the Joint Group for Resolution 9</w:t>
            </w:r>
          </w:p>
        </w:tc>
        <w:tc>
          <w:tcPr>
            <w:tcW w:w="2386" w:type="pct"/>
            <w:tcBorders>
              <w:top w:val="single" w:sz="12" w:space="0" w:color="auto"/>
              <w:left w:val="single" w:sz="12" w:space="0" w:color="auto"/>
              <w:bottom w:val="single" w:sz="12" w:space="0" w:color="auto"/>
              <w:right w:val="single" w:sz="12" w:space="0" w:color="auto"/>
            </w:tcBorders>
            <w:noWrap/>
            <w:hideMark/>
          </w:tcPr>
          <w:p w14:paraId="3114DDD4" w14:textId="77777777" w:rsidR="007366D4" w:rsidRPr="00FD2F0C" w:rsidRDefault="007366D4" w:rsidP="00745ECC">
            <w:pPr>
              <w:pStyle w:val="Tabletext0"/>
              <w:jc w:val="both"/>
              <w:rPr>
                <w:lang w:val="en-US"/>
              </w:rPr>
            </w:pPr>
            <w:r w:rsidRPr="00FD2F0C">
              <w:rPr>
                <w:lang w:val="en-US"/>
              </w:rPr>
              <w:t>Report of the Rapporteur Group Meeting on Resolution 9 (Rev. Dubai, 2014), Geneva, Monday 11 April 2016.</w:t>
            </w:r>
          </w:p>
        </w:tc>
      </w:tr>
      <w:tr w:rsidR="007366D4" w:rsidRPr="00573C99" w14:paraId="03F47E29"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69BB5842" w14:textId="77777777" w:rsidR="007366D4" w:rsidRPr="00FD2F0C" w:rsidRDefault="00573C99" w:rsidP="00745ECC">
            <w:pPr>
              <w:jc w:val="left"/>
              <w:rPr>
                <w:rStyle w:val="Boldunderline"/>
                <w:rFonts w:asciiTheme="minorHAnsi" w:hAnsiTheme="minorHAnsi"/>
              </w:rPr>
            </w:pPr>
            <w:hyperlink r:id="rId160" w:history="1">
              <w:r w:rsidR="007366D4" w:rsidRPr="00FD2F0C">
                <w:rPr>
                  <w:rStyle w:val="Boldunderline"/>
                  <w:rFonts w:asciiTheme="minorHAnsi" w:hAnsiTheme="minorHAnsi"/>
                </w:rPr>
                <w:t>1/233</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5335D85B" w14:textId="77777777" w:rsidR="007366D4" w:rsidRPr="00FD2F0C" w:rsidRDefault="007366D4" w:rsidP="00745ECC">
            <w:pPr>
              <w:pStyle w:val="Tabletext0"/>
              <w:rPr>
                <w:lang w:val="en-US"/>
              </w:rPr>
            </w:pPr>
            <w:r w:rsidRPr="00FD2F0C">
              <w:rPr>
                <w:lang w:val="en-US"/>
              </w:rPr>
              <w:t>2015-08-27</w:t>
            </w:r>
          </w:p>
        </w:tc>
        <w:tc>
          <w:tcPr>
            <w:tcW w:w="1384" w:type="pct"/>
            <w:tcBorders>
              <w:top w:val="single" w:sz="12" w:space="0" w:color="auto"/>
              <w:left w:val="single" w:sz="12" w:space="0" w:color="auto"/>
              <w:bottom w:val="single" w:sz="12" w:space="0" w:color="auto"/>
              <w:right w:val="single" w:sz="12" w:space="0" w:color="auto"/>
            </w:tcBorders>
            <w:hideMark/>
          </w:tcPr>
          <w:p w14:paraId="53BA08FA" w14:textId="77777777" w:rsidR="007366D4" w:rsidRPr="00FD2F0C" w:rsidRDefault="007366D4" w:rsidP="00745ECC">
            <w:pPr>
              <w:pStyle w:val="Tabletext0"/>
              <w:rPr>
                <w:lang w:val="en-US"/>
              </w:rPr>
            </w:pPr>
            <w:r w:rsidRPr="00FD2F0C">
              <w:t>Malawi</w:t>
            </w:r>
          </w:p>
        </w:tc>
        <w:tc>
          <w:tcPr>
            <w:tcW w:w="2386" w:type="pct"/>
            <w:tcBorders>
              <w:top w:val="single" w:sz="12" w:space="0" w:color="auto"/>
              <w:left w:val="single" w:sz="12" w:space="0" w:color="auto"/>
              <w:bottom w:val="single" w:sz="12" w:space="0" w:color="auto"/>
              <w:right w:val="single" w:sz="12" w:space="0" w:color="auto"/>
            </w:tcBorders>
            <w:hideMark/>
          </w:tcPr>
          <w:p w14:paraId="22F74A92" w14:textId="77777777" w:rsidR="007366D4" w:rsidRPr="00FD2F0C" w:rsidRDefault="007366D4" w:rsidP="00745ECC">
            <w:pPr>
              <w:pStyle w:val="Tabletext0"/>
              <w:jc w:val="both"/>
              <w:rPr>
                <w:lang w:val="en-US"/>
              </w:rPr>
            </w:pPr>
            <w:r w:rsidRPr="00FD2F0C">
              <w:rPr>
                <w:lang w:val="en-US"/>
              </w:rPr>
              <w:t>Providing innovation and highly researched technologies in TV White Spaces (with applications in education, security, early warning and disaster preparedness)</w:t>
            </w:r>
          </w:p>
        </w:tc>
      </w:tr>
      <w:tr w:rsidR="007366D4" w:rsidRPr="00573C99" w14:paraId="782D45A9"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5598AA6F" w14:textId="77777777" w:rsidR="007366D4" w:rsidRPr="00FD2F0C" w:rsidRDefault="00573C99" w:rsidP="00745ECC">
            <w:pPr>
              <w:jc w:val="left"/>
              <w:rPr>
                <w:rStyle w:val="Boldunderline"/>
                <w:rFonts w:asciiTheme="minorHAnsi" w:hAnsiTheme="minorHAnsi"/>
              </w:rPr>
            </w:pPr>
            <w:hyperlink r:id="rId161" w:history="1">
              <w:r w:rsidR="007366D4" w:rsidRPr="00FD2F0C">
                <w:rPr>
                  <w:rStyle w:val="Boldunderline"/>
                  <w:rFonts w:asciiTheme="minorHAnsi" w:hAnsiTheme="minorHAnsi"/>
                </w:rPr>
                <w:t>1/227</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5CCF3F5C" w14:textId="77777777" w:rsidR="007366D4" w:rsidRPr="00FD2F0C" w:rsidRDefault="007366D4" w:rsidP="00745ECC">
            <w:pPr>
              <w:pStyle w:val="Tabletext0"/>
              <w:rPr>
                <w:lang w:val="en-US"/>
              </w:rPr>
            </w:pPr>
            <w:r w:rsidRPr="00FD2F0C">
              <w:rPr>
                <w:lang w:val="en-US"/>
              </w:rPr>
              <w:t>2015-09-02</w:t>
            </w:r>
          </w:p>
        </w:tc>
        <w:tc>
          <w:tcPr>
            <w:tcW w:w="1384" w:type="pct"/>
            <w:tcBorders>
              <w:top w:val="single" w:sz="12" w:space="0" w:color="auto"/>
              <w:left w:val="single" w:sz="12" w:space="0" w:color="auto"/>
              <w:bottom w:val="single" w:sz="12" w:space="0" w:color="auto"/>
              <w:right w:val="single" w:sz="12" w:space="0" w:color="auto"/>
            </w:tcBorders>
            <w:hideMark/>
          </w:tcPr>
          <w:p w14:paraId="15BEA0DD" w14:textId="77777777" w:rsidR="007366D4" w:rsidRPr="00FD2F0C" w:rsidRDefault="007366D4" w:rsidP="00745ECC">
            <w:pPr>
              <w:pStyle w:val="Tabletext0"/>
              <w:rPr>
                <w:lang w:val="en-US"/>
              </w:rPr>
            </w:pPr>
            <w:r w:rsidRPr="00FD2F0C">
              <w:t>Dynamic Spectrum Alliance (DSA)</w:t>
            </w:r>
          </w:p>
        </w:tc>
        <w:tc>
          <w:tcPr>
            <w:tcW w:w="2386" w:type="pct"/>
            <w:tcBorders>
              <w:top w:val="single" w:sz="12" w:space="0" w:color="auto"/>
              <w:left w:val="single" w:sz="12" w:space="0" w:color="auto"/>
              <w:bottom w:val="single" w:sz="12" w:space="0" w:color="auto"/>
              <w:right w:val="single" w:sz="12" w:space="0" w:color="auto"/>
            </w:tcBorders>
            <w:hideMark/>
          </w:tcPr>
          <w:p w14:paraId="4D2DFC1A" w14:textId="77777777" w:rsidR="007366D4" w:rsidRPr="00FD2F0C" w:rsidRDefault="007366D4" w:rsidP="00745ECC">
            <w:pPr>
              <w:pStyle w:val="Tabletext0"/>
              <w:jc w:val="both"/>
              <w:rPr>
                <w:lang w:val="en-US"/>
              </w:rPr>
            </w:pPr>
            <w:r w:rsidRPr="00FD2F0C">
              <w:rPr>
                <w:lang w:val="en-US"/>
              </w:rPr>
              <w:t>Technical Overview of Dynamic Spectrum Access</w:t>
            </w:r>
          </w:p>
        </w:tc>
      </w:tr>
      <w:tr w:rsidR="007366D4" w:rsidRPr="00573C99" w14:paraId="52D24391"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7BD66AE3" w14:textId="77777777" w:rsidR="007366D4" w:rsidRPr="00FD2F0C" w:rsidRDefault="00573C99" w:rsidP="00745ECC">
            <w:pPr>
              <w:jc w:val="left"/>
              <w:rPr>
                <w:rStyle w:val="Boldunderline"/>
                <w:rFonts w:asciiTheme="minorHAnsi" w:hAnsiTheme="minorHAnsi"/>
              </w:rPr>
            </w:pPr>
            <w:hyperlink r:id="rId162" w:history="1">
              <w:r w:rsidR="007366D4" w:rsidRPr="00FD2F0C">
                <w:rPr>
                  <w:rStyle w:val="Boldunderline"/>
                  <w:rFonts w:asciiTheme="minorHAnsi" w:hAnsiTheme="minorHAnsi"/>
                </w:rPr>
                <w:t>1/224</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6BCF8877" w14:textId="77777777" w:rsidR="007366D4" w:rsidRPr="00FD2F0C" w:rsidRDefault="007366D4" w:rsidP="00745ECC">
            <w:pPr>
              <w:pStyle w:val="Tabletext0"/>
              <w:rPr>
                <w:lang w:val="en-US"/>
              </w:rPr>
            </w:pPr>
            <w:r w:rsidRPr="00FD2F0C">
              <w:rPr>
                <w:lang w:val="en-US"/>
              </w:rPr>
              <w:t>2015-09-01</w:t>
            </w:r>
          </w:p>
        </w:tc>
        <w:tc>
          <w:tcPr>
            <w:tcW w:w="1384" w:type="pct"/>
            <w:tcBorders>
              <w:top w:val="single" w:sz="12" w:space="0" w:color="auto"/>
              <w:left w:val="single" w:sz="12" w:space="0" w:color="auto"/>
              <w:bottom w:val="single" w:sz="12" w:space="0" w:color="auto"/>
              <w:right w:val="single" w:sz="12" w:space="0" w:color="auto"/>
            </w:tcBorders>
            <w:hideMark/>
          </w:tcPr>
          <w:p w14:paraId="13B31CC4" w14:textId="77777777" w:rsidR="007366D4" w:rsidRPr="00FD2F0C" w:rsidRDefault="007366D4" w:rsidP="00745ECC">
            <w:pPr>
              <w:pStyle w:val="Tabletext0"/>
              <w:rPr>
                <w:lang w:val="en-US"/>
              </w:rPr>
            </w:pPr>
            <w:r w:rsidRPr="00FD2F0C">
              <w:rPr>
                <w:lang w:val="en-US"/>
              </w:rPr>
              <w:t>BR Focal Point for Resolution 9</w:t>
            </w:r>
          </w:p>
        </w:tc>
        <w:tc>
          <w:tcPr>
            <w:tcW w:w="2386" w:type="pct"/>
            <w:tcBorders>
              <w:top w:val="single" w:sz="12" w:space="0" w:color="auto"/>
              <w:left w:val="single" w:sz="12" w:space="0" w:color="auto"/>
              <w:bottom w:val="single" w:sz="12" w:space="0" w:color="auto"/>
              <w:right w:val="single" w:sz="12" w:space="0" w:color="auto"/>
            </w:tcBorders>
            <w:hideMark/>
          </w:tcPr>
          <w:p w14:paraId="59635575" w14:textId="77777777" w:rsidR="007366D4" w:rsidRPr="00FD2F0C" w:rsidRDefault="007366D4" w:rsidP="00745ECC">
            <w:pPr>
              <w:pStyle w:val="Tabletext0"/>
              <w:jc w:val="both"/>
              <w:rPr>
                <w:lang w:val="en-US"/>
              </w:rPr>
            </w:pPr>
            <w:r w:rsidRPr="00FD2F0C">
              <w:rPr>
                <w:lang w:val="en-US"/>
              </w:rPr>
              <w:t>ITU-R Study Group 1 – Recent &amp; on-going activities on Spectrum Management</w:t>
            </w:r>
          </w:p>
        </w:tc>
      </w:tr>
      <w:tr w:rsidR="007366D4" w:rsidRPr="00573C99" w14:paraId="6A7BB631"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6776F840" w14:textId="77777777" w:rsidR="007366D4" w:rsidRPr="00FD2F0C" w:rsidRDefault="00573C99" w:rsidP="00745ECC">
            <w:pPr>
              <w:jc w:val="left"/>
              <w:rPr>
                <w:rStyle w:val="Boldunderline"/>
                <w:rFonts w:asciiTheme="minorHAnsi" w:hAnsiTheme="minorHAnsi"/>
              </w:rPr>
            </w:pPr>
            <w:hyperlink r:id="rId163" w:history="1">
              <w:r w:rsidR="007366D4" w:rsidRPr="00FD2F0C">
                <w:rPr>
                  <w:rStyle w:val="Boldunderline"/>
                  <w:rFonts w:asciiTheme="minorHAnsi" w:hAnsiTheme="minorHAnsi"/>
                </w:rPr>
                <w:t>1/223</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5A1EA2A3" w14:textId="77777777" w:rsidR="007366D4" w:rsidRPr="00FD2F0C" w:rsidRDefault="007366D4" w:rsidP="00745ECC">
            <w:pPr>
              <w:pStyle w:val="Tabletext0"/>
              <w:rPr>
                <w:lang w:val="en-US"/>
              </w:rPr>
            </w:pPr>
            <w:r w:rsidRPr="00FD2F0C">
              <w:rPr>
                <w:lang w:val="en-US"/>
              </w:rPr>
              <w:t>2015-09-01</w:t>
            </w:r>
          </w:p>
        </w:tc>
        <w:tc>
          <w:tcPr>
            <w:tcW w:w="1384" w:type="pct"/>
            <w:tcBorders>
              <w:top w:val="single" w:sz="12" w:space="0" w:color="auto"/>
              <w:left w:val="single" w:sz="12" w:space="0" w:color="auto"/>
              <w:bottom w:val="single" w:sz="12" w:space="0" w:color="auto"/>
              <w:right w:val="single" w:sz="12" w:space="0" w:color="auto"/>
            </w:tcBorders>
            <w:hideMark/>
          </w:tcPr>
          <w:p w14:paraId="64523CED" w14:textId="77777777" w:rsidR="007366D4" w:rsidRPr="00FD2F0C" w:rsidRDefault="007366D4" w:rsidP="00745ECC">
            <w:pPr>
              <w:pStyle w:val="Tabletext0"/>
              <w:rPr>
                <w:lang w:val="en-US"/>
              </w:rPr>
            </w:pPr>
            <w:r w:rsidRPr="00FD2F0C">
              <w:t>Bhutan (Kingdom of)</w:t>
            </w:r>
          </w:p>
        </w:tc>
        <w:tc>
          <w:tcPr>
            <w:tcW w:w="2386" w:type="pct"/>
            <w:tcBorders>
              <w:top w:val="single" w:sz="12" w:space="0" w:color="auto"/>
              <w:left w:val="single" w:sz="12" w:space="0" w:color="auto"/>
              <w:bottom w:val="single" w:sz="12" w:space="0" w:color="auto"/>
              <w:right w:val="single" w:sz="12" w:space="0" w:color="auto"/>
            </w:tcBorders>
            <w:hideMark/>
          </w:tcPr>
          <w:p w14:paraId="41F837A6" w14:textId="77777777" w:rsidR="007366D4" w:rsidRPr="00FD2F0C" w:rsidRDefault="007366D4" w:rsidP="00745ECC">
            <w:pPr>
              <w:pStyle w:val="Tabletext0"/>
              <w:jc w:val="both"/>
              <w:rPr>
                <w:lang w:val="en-US"/>
              </w:rPr>
            </w:pPr>
            <w:r w:rsidRPr="00FD2F0C">
              <w:rPr>
                <w:lang w:val="en-US"/>
              </w:rPr>
              <w:t>eHealth Pilot project using TV White Space technology as last mile connectivity</w:t>
            </w:r>
          </w:p>
        </w:tc>
      </w:tr>
      <w:tr w:rsidR="007366D4" w:rsidRPr="00573C99" w14:paraId="44A77CF3" w14:textId="77777777" w:rsidTr="00745ECC">
        <w:trPr>
          <w:trHeight w:val="679"/>
        </w:trPr>
        <w:tc>
          <w:tcPr>
            <w:tcW w:w="556" w:type="pct"/>
            <w:tcBorders>
              <w:top w:val="single" w:sz="12" w:space="0" w:color="auto"/>
              <w:left w:val="single" w:sz="12" w:space="0" w:color="auto"/>
              <w:bottom w:val="single" w:sz="12" w:space="0" w:color="auto"/>
              <w:right w:val="single" w:sz="12" w:space="0" w:color="auto"/>
            </w:tcBorders>
            <w:hideMark/>
          </w:tcPr>
          <w:p w14:paraId="27095C4E" w14:textId="77777777" w:rsidR="007366D4" w:rsidRPr="00FD2F0C" w:rsidRDefault="00573C99" w:rsidP="00745ECC">
            <w:pPr>
              <w:jc w:val="left"/>
              <w:rPr>
                <w:rStyle w:val="Boldunderline"/>
                <w:rFonts w:asciiTheme="minorHAnsi" w:hAnsiTheme="minorHAnsi"/>
              </w:rPr>
            </w:pPr>
            <w:hyperlink r:id="rId164" w:history="1">
              <w:r w:rsidR="007366D4" w:rsidRPr="00FD2F0C">
                <w:rPr>
                  <w:rStyle w:val="Boldunderline"/>
                  <w:rFonts w:asciiTheme="minorHAnsi" w:hAnsiTheme="minorHAnsi"/>
                </w:rPr>
                <w:t>1/220</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2D26E265" w14:textId="77777777" w:rsidR="007366D4" w:rsidRPr="00FD2F0C" w:rsidRDefault="007366D4" w:rsidP="00745ECC">
            <w:pPr>
              <w:pStyle w:val="Tabletext0"/>
              <w:rPr>
                <w:lang w:val="en-US"/>
              </w:rPr>
            </w:pPr>
            <w:r w:rsidRPr="00FD2F0C">
              <w:rPr>
                <w:lang w:val="en-US"/>
              </w:rPr>
              <w:t>2015-08-31</w:t>
            </w:r>
          </w:p>
        </w:tc>
        <w:tc>
          <w:tcPr>
            <w:tcW w:w="1384" w:type="pct"/>
            <w:tcBorders>
              <w:top w:val="single" w:sz="12" w:space="0" w:color="auto"/>
              <w:left w:val="single" w:sz="12" w:space="0" w:color="auto"/>
              <w:bottom w:val="single" w:sz="12" w:space="0" w:color="auto"/>
              <w:right w:val="single" w:sz="12" w:space="0" w:color="auto"/>
            </w:tcBorders>
            <w:hideMark/>
          </w:tcPr>
          <w:p w14:paraId="47C81029" w14:textId="77777777" w:rsidR="007366D4" w:rsidRPr="00FD2F0C" w:rsidRDefault="007366D4" w:rsidP="00745ECC">
            <w:pPr>
              <w:pStyle w:val="Tabletext0"/>
              <w:rPr>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hideMark/>
          </w:tcPr>
          <w:p w14:paraId="6120DC12" w14:textId="77777777" w:rsidR="007366D4" w:rsidRPr="00FD2F0C" w:rsidRDefault="007366D4" w:rsidP="00745ECC">
            <w:pPr>
              <w:pStyle w:val="Tabletext0"/>
              <w:jc w:val="both"/>
              <w:rPr>
                <w:lang w:val="en-US"/>
              </w:rPr>
            </w:pPr>
            <w:r w:rsidRPr="00FD2F0C">
              <w:rPr>
                <w:lang w:val="en-US"/>
              </w:rPr>
              <w:t>Guidelines for setting up a new or updating an existing spectrum monitoring network</w:t>
            </w:r>
          </w:p>
        </w:tc>
      </w:tr>
      <w:tr w:rsidR="007366D4" w:rsidRPr="00573C99" w14:paraId="1C19941A" w14:textId="77777777" w:rsidTr="00745ECC">
        <w:trPr>
          <w:trHeight w:val="528"/>
        </w:trPr>
        <w:tc>
          <w:tcPr>
            <w:tcW w:w="556" w:type="pct"/>
            <w:tcBorders>
              <w:top w:val="single" w:sz="12" w:space="0" w:color="auto"/>
              <w:left w:val="single" w:sz="12" w:space="0" w:color="auto"/>
              <w:bottom w:val="single" w:sz="12" w:space="0" w:color="auto"/>
              <w:right w:val="single" w:sz="12" w:space="0" w:color="auto"/>
            </w:tcBorders>
            <w:hideMark/>
          </w:tcPr>
          <w:p w14:paraId="68714B05" w14:textId="77777777" w:rsidR="007366D4" w:rsidRPr="00FD2F0C" w:rsidRDefault="00573C99" w:rsidP="00745ECC">
            <w:pPr>
              <w:jc w:val="left"/>
              <w:rPr>
                <w:rStyle w:val="Boldunderline"/>
                <w:rFonts w:asciiTheme="minorHAnsi" w:hAnsiTheme="minorHAnsi"/>
              </w:rPr>
            </w:pPr>
            <w:hyperlink r:id="rId165" w:history="1">
              <w:r w:rsidR="007366D4" w:rsidRPr="00FD2F0C">
                <w:rPr>
                  <w:rStyle w:val="Boldunderline"/>
                  <w:rFonts w:asciiTheme="minorHAnsi" w:hAnsiTheme="minorHAnsi"/>
                </w:rPr>
                <w:t>1/183</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5D57E95D" w14:textId="77777777" w:rsidR="007366D4" w:rsidRPr="00FD2F0C" w:rsidRDefault="007366D4" w:rsidP="00745ECC">
            <w:pPr>
              <w:pStyle w:val="Tabletext0"/>
              <w:rPr>
                <w:lang w:val="en-US"/>
              </w:rPr>
            </w:pPr>
            <w:r w:rsidRPr="00FD2F0C">
              <w:rPr>
                <w:lang w:val="en-US"/>
              </w:rPr>
              <w:t>2015-08-07</w:t>
            </w:r>
          </w:p>
        </w:tc>
        <w:tc>
          <w:tcPr>
            <w:tcW w:w="1384" w:type="pct"/>
            <w:tcBorders>
              <w:top w:val="single" w:sz="12" w:space="0" w:color="auto"/>
              <w:left w:val="single" w:sz="12" w:space="0" w:color="auto"/>
              <w:bottom w:val="single" w:sz="12" w:space="0" w:color="auto"/>
              <w:right w:val="single" w:sz="12" w:space="0" w:color="auto"/>
            </w:tcBorders>
            <w:hideMark/>
          </w:tcPr>
          <w:p w14:paraId="10A079DE" w14:textId="77777777" w:rsidR="007366D4" w:rsidRPr="00FD2F0C" w:rsidRDefault="007366D4" w:rsidP="00745ECC">
            <w:pPr>
              <w:pStyle w:val="Tabletext0"/>
              <w:rPr>
                <w:lang w:val="en-US"/>
              </w:rPr>
            </w:pPr>
            <w:r w:rsidRPr="00FD2F0C">
              <w:t>Telecommunication Development Bureau</w:t>
            </w:r>
          </w:p>
        </w:tc>
        <w:tc>
          <w:tcPr>
            <w:tcW w:w="2386" w:type="pct"/>
            <w:tcBorders>
              <w:top w:val="single" w:sz="12" w:space="0" w:color="auto"/>
              <w:left w:val="single" w:sz="12" w:space="0" w:color="auto"/>
              <w:bottom w:val="single" w:sz="12" w:space="0" w:color="auto"/>
              <w:right w:val="single" w:sz="12" w:space="0" w:color="auto"/>
            </w:tcBorders>
            <w:hideMark/>
          </w:tcPr>
          <w:p w14:paraId="776FEE65" w14:textId="77777777" w:rsidR="007366D4" w:rsidRPr="00FD2F0C" w:rsidRDefault="007366D4" w:rsidP="00745ECC">
            <w:pPr>
              <w:pStyle w:val="Tabletext0"/>
              <w:jc w:val="both"/>
              <w:rPr>
                <w:lang w:val="en-US"/>
              </w:rPr>
            </w:pPr>
            <w:r w:rsidRPr="00FD2F0C">
              <w:rPr>
                <w:lang w:val="en-US"/>
              </w:rPr>
              <w:t>1st ITU-D Academia Network Meeting</w:t>
            </w:r>
          </w:p>
        </w:tc>
      </w:tr>
      <w:tr w:rsidR="007366D4" w:rsidRPr="00573C99" w14:paraId="2B0CCA5E" w14:textId="77777777" w:rsidTr="00745ECC">
        <w:trPr>
          <w:trHeight w:val="528"/>
        </w:trPr>
        <w:tc>
          <w:tcPr>
            <w:tcW w:w="556" w:type="pct"/>
            <w:tcBorders>
              <w:top w:val="single" w:sz="12" w:space="0" w:color="auto"/>
              <w:left w:val="single" w:sz="12" w:space="0" w:color="auto"/>
              <w:bottom w:val="single" w:sz="12" w:space="0" w:color="auto"/>
              <w:right w:val="single" w:sz="12" w:space="0" w:color="auto"/>
            </w:tcBorders>
            <w:hideMark/>
          </w:tcPr>
          <w:p w14:paraId="1C536338" w14:textId="77777777" w:rsidR="007366D4" w:rsidRPr="00FD2F0C" w:rsidRDefault="00573C99" w:rsidP="00745ECC">
            <w:pPr>
              <w:jc w:val="left"/>
              <w:rPr>
                <w:rStyle w:val="Boldunderline"/>
                <w:rFonts w:asciiTheme="minorHAnsi" w:hAnsiTheme="minorHAnsi"/>
              </w:rPr>
            </w:pPr>
            <w:hyperlink r:id="rId166" w:history="1">
              <w:r w:rsidR="007366D4" w:rsidRPr="00FD2F0C">
                <w:rPr>
                  <w:rStyle w:val="Boldunderline"/>
                  <w:rFonts w:asciiTheme="minorHAnsi" w:hAnsiTheme="minorHAnsi"/>
                </w:rPr>
                <w:t>1/180</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noWrap/>
            <w:hideMark/>
          </w:tcPr>
          <w:p w14:paraId="4612108B" w14:textId="77777777" w:rsidR="007366D4" w:rsidRPr="00FD2F0C" w:rsidRDefault="007366D4" w:rsidP="00745ECC">
            <w:pPr>
              <w:pStyle w:val="Tabletext0"/>
              <w:rPr>
                <w:lang w:val="en-US"/>
              </w:rPr>
            </w:pPr>
            <w:r w:rsidRPr="00FD2F0C">
              <w:rPr>
                <w:lang w:val="en-US"/>
              </w:rPr>
              <w:t>2015-07-24</w:t>
            </w:r>
          </w:p>
        </w:tc>
        <w:tc>
          <w:tcPr>
            <w:tcW w:w="1384" w:type="pct"/>
            <w:tcBorders>
              <w:top w:val="single" w:sz="12" w:space="0" w:color="auto"/>
              <w:left w:val="single" w:sz="12" w:space="0" w:color="auto"/>
              <w:bottom w:val="single" w:sz="12" w:space="0" w:color="auto"/>
              <w:right w:val="single" w:sz="12" w:space="0" w:color="auto"/>
            </w:tcBorders>
            <w:hideMark/>
          </w:tcPr>
          <w:p w14:paraId="3E117CFD" w14:textId="77777777" w:rsidR="007366D4" w:rsidRPr="00FD2F0C" w:rsidRDefault="007366D4" w:rsidP="00745ECC">
            <w:pPr>
              <w:pStyle w:val="Tabletext0"/>
              <w:rPr>
                <w:szCs w:val="20"/>
                <w:lang w:val="en-US"/>
              </w:rPr>
            </w:pPr>
            <w:r w:rsidRPr="00FD2F0C">
              <w:rPr>
                <w:lang w:val="en-US"/>
              </w:rPr>
              <w:t>G3ict</w:t>
            </w:r>
          </w:p>
        </w:tc>
        <w:tc>
          <w:tcPr>
            <w:tcW w:w="2386" w:type="pct"/>
            <w:tcBorders>
              <w:top w:val="single" w:sz="12" w:space="0" w:color="auto"/>
              <w:left w:val="single" w:sz="12" w:space="0" w:color="auto"/>
              <w:bottom w:val="single" w:sz="12" w:space="0" w:color="auto"/>
              <w:right w:val="single" w:sz="12" w:space="0" w:color="auto"/>
            </w:tcBorders>
            <w:hideMark/>
          </w:tcPr>
          <w:p w14:paraId="3FF4BD3E" w14:textId="77777777" w:rsidR="007366D4" w:rsidRPr="00FD2F0C" w:rsidRDefault="007366D4" w:rsidP="00745ECC">
            <w:pPr>
              <w:pStyle w:val="Tabletext0"/>
              <w:jc w:val="both"/>
              <w:rPr>
                <w:lang w:val="en-US"/>
              </w:rPr>
            </w:pPr>
            <w:r w:rsidRPr="00FD2F0C">
              <w:rPr>
                <w:lang w:val="en-US"/>
              </w:rPr>
              <w:t>Contribution of G3ict - The Global Initiative for Inclusive Information and Communications Technologies to the Working Party 5D (WP 5D) – IMT System</w:t>
            </w:r>
          </w:p>
        </w:tc>
      </w:tr>
      <w:tr w:rsidR="007366D4" w:rsidRPr="00573C99" w14:paraId="0141EBD9"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24BC3FA2" w14:textId="77777777" w:rsidR="007366D4" w:rsidRPr="00FD2F0C" w:rsidRDefault="00573C99" w:rsidP="00745ECC">
            <w:pPr>
              <w:jc w:val="left"/>
              <w:rPr>
                <w:rStyle w:val="Boldunderline"/>
                <w:rFonts w:asciiTheme="minorHAnsi" w:hAnsiTheme="minorHAnsi"/>
              </w:rPr>
            </w:pPr>
            <w:hyperlink r:id="rId167" w:history="1">
              <w:r w:rsidR="007366D4" w:rsidRPr="00FD2F0C">
                <w:rPr>
                  <w:rStyle w:val="Boldunderline"/>
                  <w:rFonts w:asciiTheme="minorHAnsi" w:hAnsiTheme="minorHAnsi"/>
                </w:rPr>
                <w:t>1/164</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64E1E844" w14:textId="77777777" w:rsidR="007366D4" w:rsidRPr="00FD2F0C" w:rsidRDefault="007366D4" w:rsidP="00745ECC">
            <w:pPr>
              <w:pStyle w:val="Tabletext0"/>
              <w:rPr>
                <w:lang w:val="en-US"/>
              </w:rPr>
            </w:pPr>
            <w:r w:rsidRPr="00FD2F0C">
              <w:rPr>
                <w:lang w:val="en-US"/>
              </w:rPr>
              <w:t>2015-07-31</w:t>
            </w:r>
          </w:p>
        </w:tc>
        <w:tc>
          <w:tcPr>
            <w:tcW w:w="1384" w:type="pct"/>
            <w:tcBorders>
              <w:top w:val="single" w:sz="12" w:space="0" w:color="auto"/>
              <w:left w:val="single" w:sz="12" w:space="0" w:color="auto"/>
              <w:bottom w:val="single" w:sz="12" w:space="0" w:color="auto"/>
              <w:right w:val="single" w:sz="12" w:space="0" w:color="auto"/>
            </w:tcBorders>
            <w:hideMark/>
          </w:tcPr>
          <w:p w14:paraId="49985E4E" w14:textId="77777777" w:rsidR="007366D4" w:rsidRPr="00FD2F0C" w:rsidRDefault="007366D4" w:rsidP="00745ECC">
            <w:pPr>
              <w:pStyle w:val="Tabletext0"/>
              <w:rPr>
                <w:lang w:val="en-US"/>
              </w:rPr>
            </w:pPr>
            <w:r w:rsidRPr="00FD2F0C">
              <w:t>Côte d</w:t>
            </w:r>
            <w:r w:rsidRPr="00FD2F0C">
              <w:rPr>
                <w:szCs w:val="22"/>
                <w:lang w:val="en-US"/>
              </w:rPr>
              <w:t>’</w:t>
            </w:r>
            <w:r w:rsidRPr="00FD2F0C">
              <w:t>Ivoire (Republic of)</w:t>
            </w:r>
          </w:p>
        </w:tc>
        <w:tc>
          <w:tcPr>
            <w:tcW w:w="2386" w:type="pct"/>
            <w:tcBorders>
              <w:top w:val="single" w:sz="12" w:space="0" w:color="auto"/>
              <w:left w:val="single" w:sz="12" w:space="0" w:color="auto"/>
              <w:bottom w:val="single" w:sz="12" w:space="0" w:color="auto"/>
              <w:right w:val="single" w:sz="12" w:space="0" w:color="auto"/>
            </w:tcBorders>
            <w:hideMark/>
          </w:tcPr>
          <w:p w14:paraId="7566BBDC" w14:textId="286C59D0" w:rsidR="007366D4" w:rsidRPr="00FD2F0C" w:rsidRDefault="007366D4" w:rsidP="00745ECC">
            <w:pPr>
              <w:pStyle w:val="Tabletext0"/>
              <w:jc w:val="both"/>
              <w:rPr>
                <w:lang w:val="en-US"/>
              </w:rPr>
            </w:pPr>
            <w:r w:rsidRPr="00FD2F0C">
              <w:rPr>
                <w:lang w:val="en-US"/>
              </w:rPr>
              <w:t xml:space="preserve">The need to develop a method of estimating </w:t>
            </w:r>
            <w:r w:rsidR="003B3320" w:rsidRPr="00FD2F0C">
              <w:rPr>
                <w:lang w:val="en-US"/>
              </w:rPr>
              <w:t>license</w:t>
            </w:r>
            <w:r w:rsidRPr="00FD2F0C">
              <w:rPr>
                <w:lang w:val="en-US"/>
              </w:rPr>
              <w:t xml:space="preserve"> costs</w:t>
            </w:r>
          </w:p>
        </w:tc>
      </w:tr>
      <w:tr w:rsidR="007366D4" w:rsidRPr="00573C99" w14:paraId="6B5BDCBE"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5901A04C" w14:textId="77777777" w:rsidR="007366D4" w:rsidRPr="00FD2F0C" w:rsidRDefault="00573C99" w:rsidP="00745ECC">
            <w:pPr>
              <w:jc w:val="left"/>
              <w:rPr>
                <w:rStyle w:val="Boldunderline"/>
                <w:rFonts w:asciiTheme="minorHAnsi" w:hAnsiTheme="minorHAnsi"/>
              </w:rPr>
            </w:pPr>
            <w:hyperlink r:id="rId168" w:history="1">
              <w:r w:rsidR="007366D4" w:rsidRPr="00FD2F0C">
                <w:rPr>
                  <w:rStyle w:val="Boldunderline"/>
                  <w:rFonts w:asciiTheme="minorHAnsi" w:hAnsiTheme="minorHAnsi"/>
                </w:rPr>
                <w:t>1/155</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2E6F73DB" w14:textId="77777777" w:rsidR="007366D4" w:rsidRPr="00FD2F0C" w:rsidRDefault="007366D4" w:rsidP="00745ECC">
            <w:pPr>
              <w:pStyle w:val="Tabletext0"/>
              <w:rPr>
                <w:lang w:val="en-US"/>
              </w:rPr>
            </w:pPr>
            <w:r w:rsidRPr="00FD2F0C">
              <w:rPr>
                <w:lang w:val="en-US"/>
              </w:rPr>
              <w:t>2015-07-31</w:t>
            </w:r>
          </w:p>
        </w:tc>
        <w:tc>
          <w:tcPr>
            <w:tcW w:w="1384" w:type="pct"/>
            <w:tcBorders>
              <w:top w:val="single" w:sz="12" w:space="0" w:color="auto"/>
              <w:left w:val="single" w:sz="12" w:space="0" w:color="auto"/>
              <w:bottom w:val="single" w:sz="12" w:space="0" w:color="auto"/>
              <w:right w:val="single" w:sz="12" w:space="0" w:color="auto"/>
            </w:tcBorders>
            <w:hideMark/>
          </w:tcPr>
          <w:p w14:paraId="04BC5B40" w14:textId="77777777" w:rsidR="007366D4" w:rsidRPr="00FD2F0C" w:rsidRDefault="007366D4" w:rsidP="00745ECC">
            <w:pPr>
              <w:pStyle w:val="Tabletext0"/>
              <w:rPr>
                <w:lang w:val="en-US"/>
              </w:rPr>
            </w:pPr>
            <w:r w:rsidRPr="00FD2F0C">
              <w:t>Tanzania (United Republic of)</w:t>
            </w:r>
          </w:p>
        </w:tc>
        <w:tc>
          <w:tcPr>
            <w:tcW w:w="2386" w:type="pct"/>
            <w:tcBorders>
              <w:top w:val="single" w:sz="12" w:space="0" w:color="auto"/>
              <w:left w:val="single" w:sz="12" w:space="0" w:color="auto"/>
              <w:bottom w:val="single" w:sz="12" w:space="0" w:color="auto"/>
              <w:right w:val="single" w:sz="12" w:space="0" w:color="auto"/>
            </w:tcBorders>
            <w:hideMark/>
          </w:tcPr>
          <w:p w14:paraId="49054CB0" w14:textId="77777777" w:rsidR="007366D4" w:rsidRPr="00FD2F0C" w:rsidRDefault="007366D4" w:rsidP="00745ECC">
            <w:pPr>
              <w:pStyle w:val="Tabletext0"/>
              <w:jc w:val="both"/>
              <w:rPr>
                <w:lang w:val="en-US"/>
              </w:rPr>
            </w:pPr>
            <w:r w:rsidRPr="00FD2F0C">
              <w:rPr>
                <w:lang w:val="en-US"/>
              </w:rPr>
              <w:t>The legal framework on Spectrum Management in Tanzania</w:t>
            </w:r>
          </w:p>
        </w:tc>
      </w:tr>
      <w:tr w:rsidR="007366D4" w:rsidRPr="00573C99" w14:paraId="5713A0BC"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3E3058F0" w14:textId="77777777" w:rsidR="007366D4" w:rsidRPr="00FD2F0C" w:rsidRDefault="00573C99" w:rsidP="00745ECC">
            <w:pPr>
              <w:jc w:val="left"/>
              <w:rPr>
                <w:rStyle w:val="Boldunderline"/>
                <w:rFonts w:asciiTheme="minorHAnsi" w:hAnsiTheme="minorHAnsi"/>
              </w:rPr>
            </w:pPr>
            <w:hyperlink r:id="rId169" w:history="1">
              <w:r w:rsidR="007366D4" w:rsidRPr="00FD2F0C">
                <w:rPr>
                  <w:rStyle w:val="Boldunderline"/>
                  <w:rFonts w:asciiTheme="minorHAnsi" w:hAnsiTheme="minorHAnsi"/>
                </w:rPr>
                <w:t>1/154</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5FD0C906" w14:textId="77777777" w:rsidR="007366D4" w:rsidRPr="00FD2F0C" w:rsidRDefault="007366D4" w:rsidP="00745ECC">
            <w:pPr>
              <w:pStyle w:val="Tabletext0"/>
              <w:rPr>
                <w:lang w:val="en-US"/>
              </w:rPr>
            </w:pPr>
            <w:r w:rsidRPr="00FD2F0C">
              <w:rPr>
                <w:lang w:val="en-US"/>
              </w:rPr>
              <w:t>2015-07-31</w:t>
            </w:r>
          </w:p>
        </w:tc>
        <w:tc>
          <w:tcPr>
            <w:tcW w:w="1384" w:type="pct"/>
            <w:tcBorders>
              <w:top w:val="single" w:sz="12" w:space="0" w:color="auto"/>
              <w:left w:val="single" w:sz="12" w:space="0" w:color="auto"/>
              <w:bottom w:val="single" w:sz="12" w:space="0" w:color="auto"/>
              <w:right w:val="single" w:sz="12" w:space="0" w:color="auto"/>
            </w:tcBorders>
            <w:hideMark/>
          </w:tcPr>
          <w:p w14:paraId="67BCE336" w14:textId="77777777" w:rsidR="007366D4" w:rsidRPr="00FD2F0C" w:rsidRDefault="007366D4" w:rsidP="00745ECC">
            <w:pPr>
              <w:pStyle w:val="Tabletext0"/>
              <w:rPr>
                <w:lang w:val="en-US"/>
              </w:rPr>
            </w:pPr>
            <w:r w:rsidRPr="00FD2F0C">
              <w:t>Microsoft Corporation</w:t>
            </w:r>
          </w:p>
        </w:tc>
        <w:tc>
          <w:tcPr>
            <w:tcW w:w="2386" w:type="pct"/>
            <w:tcBorders>
              <w:top w:val="single" w:sz="12" w:space="0" w:color="auto"/>
              <w:left w:val="single" w:sz="12" w:space="0" w:color="auto"/>
              <w:bottom w:val="single" w:sz="12" w:space="0" w:color="auto"/>
              <w:right w:val="single" w:sz="12" w:space="0" w:color="auto"/>
            </w:tcBorders>
            <w:hideMark/>
          </w:tcPr>
          <w:p w14:paraId="54658E5E" w14:textId="77777777" w:rsidR="007366D4" w:rsidRPr="00FD2F0C" w:rsidRDefault="007366D4" w:rsidP="00745ECC">
            <w:pPr>
              <w:pStyle w:val="Tabletext0"/>
              <w:jc w:val="both"/>
              <w:rPr>
                <w:lang w:val="en-US"/>
              </w:rPr>
            </w:pPr>
            <w:r w:rsidRPr="00FD2F0C">
              <w:rPr>
                <w:lang w:val="en-US"/>
              </w:rPr>
              <w:t>Cloud-based, open-source, low-cost experimental platform for qualitative assessment of spectrum utilization</w:t>
            </w:r>
          </w:p>
        </w:tc>
      </w:tr>
      <w:tr w:rsidR="007366D4" w:rsidRPr="00FD2F0C" w14:paraId="166619D4"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270A3E6A" w14:textId="77777777" w:rsidR="007366D4" w:rsidRPr="00FD2F0C" w:rsidRDefault="00573C99" w:rsidP="00745ECC">
            <w:pPr>
              <w:jc w:val="left"/>
              <w:rPr>
                <w:rStyle w:val="Boldunderline"/>
                <w:rFonts w:asciiTheme="minorHAnsi" w:hAnsiTheme="minorHAnsi"/>
              </w:rPr>
            </w:pPr>
            <w:hyperlink r:id="rId170" w:history="1">
              <w:r w:rsidR="007366D4" w:rsidRPr="00FD2F0C">
                <w:rPr>
                  <w:rStyle w:val="Boldunderline"/>
                  <w:rFonts w:asciiTheme="minorHAnsi" w:hAnsiTheme="minorHAnsi"/>
                </w:rPr>
                <w:t>1/151</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4F09347C" w14:textId="77777777" w:rsidR="007366D4" w:rsidRPr="00FD2F0C" w:rsidRDefault="007366D4" w:rsidP="00745ECC">
            <w:pPr>
              <w:pStyle w:val="Tabletext0"/>
              <w:rPr>
                <w:lang w:val="en-US"/>
              </w:rPr>
            </w:pPr>
            <w:r w:rsidRPr="00FD2F0C">
              <w:rPr>
                <w:lang w:val="en-US"/>
              </w:rPr>
              <w:t>2015-07-28</w:t>
            </w:r>
          </w:p>
        </w:tc>
        <w:tc>
          <w:tcPr>
            <w:tcW w:w="1384" w:type="pct"/>
            <w:tcBorders>
              <w:top w:val="single" w:sz="12" w:space="0" w:color="auto"/>
              <w:left w:val="single" w:sz="12" w:space="0" w:color="auto"/>
              <w:bottom w:val="single" w:sz="12" w:space="0" w:color="auto"/>
              <w:right w:val="single" w:sz="12" w:space="0" w:color="auto"/>
            </w:tcBorders>
            <w:hideMark/>
          </w:tcPr>
          <w:p w14:paraId="2F2F59EE" w14:textId="77777777" w:rsidR="007366D4" w:rsidRPr="00FD2F0C" w:rsidRDefault="007366D4" w:rsidP="00745ECC">
            <w:pPr>
              <w:pStyle w:val="Tabletext0"/>
              <w:rPr>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hideMark/>
          </w:tcPr>
          <w:p w14:paraId="4699D3FB" w14:textId="77777777" w:rsidR="007366D4" w:rsidRPr="00FD2F0C" w:rsidRDefault="007366D4" w:rsidP="00745ECC">
            <w:pPr>
              <w:pStyle w:val="Tabletext0"/>
              <w:jc w:val="both"/>
              <w:rPr>
                <w:lang w:val="en-US"/>
              </w:rPr>
            </w:pPr>
            <w:r w:rsidRPr="00FD2F0C">
              <w:rPr>
                <w:lang w:val="en-US"/>
              </w:rPr>
              <w:t>BDT activities on spectrum management</w:t>
            </w:r>
          </w:p>
        </w:tc>
      </w:tr>
      <w:tr w:rsidR="007366D4" w:rsidRPr="00573C99" w14:paraId="2FA785CD"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65F9A517" w14:textId="77777777" w:rsidR="007366D4" w:rsidRPr="00FD2F0C" w:rsidRDefault="00573C99" w:rsidP="00745ECC">
            <w:pPr>
              <w:jc w:val="left"/>
              <w:rPr>
                <w:rStyle w:val="Boldunderline"/>
                <w:rFonts w:asciiTheme="minorHAnsi" w:hAnsiTheme="minorHAnsi"/>
              </w:rPr>
            </w:pPr>
            <w:hyperlink r:id="rId171" w:history="1">
              <w:r w:rsidR="007366D4" w:rsidRPr="00FD2F0C">
                <w:rPr>
                  <w:rStyle w:val="Boldunderline"/>
                  <w:rFonts w:asciiTheme="minorHAnsi" w:hAnsiTheme="minorHAnsi"/>
                </w:rPr>
                <w:t>1/134</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noWrap/>
            <w:hideMark/>
          </w:tcPr>
          <w:p w14:paraId="353F63B5" w14:textId="77777777" w:rsidR="007366D4" w:rsidRPr="00FD2F0C" w:rsidRDefault="007366D4" w:rsidP="00745ECC">
            <w:pPr>
              <w:pStyle w:val="Tabletext0"/>
              <w:rPr>
                <w:lang w:val="en-US"/>
              </w:rPr>
            </w:pPr>
            <w:r w:rsidRPr="00FD2F0C">
              <w:rPr>
                <w:lang w:val="en-US"/>
              </w:rPr>
              <w:t>2015-07-17</w:t>
            </w:r>
          </w:p>
        </w:tc>
        <w:tc>
          <w:tcPr>
            <w:tcW w:w="1384" w:type="pct"/>
            <w:tcBorders>
              <w:top w:val="single" w:sz="12" w:space="0" w:color="auto"/>
              <w:left w:val="single" w:sz="12" w:space="0" w:color="auto"/>
              <w:bottom w:val="single" w:sz="12" w:space="0" w:color="auto"/>
              <w:right w:val="single" w:sz="12" w:space="0" w:color="auto"/>
            </w:tcBorders>
            <w:hideMark/>
          </w:tcPr>
          <w:p w14:paraId="5BE0F65C" w14:textId="77777777" w:rsidR="007366D4" w:rsidRPr="00FD2F0C" w:rsidRDefault="007366D4" w:rsidP="00745ECC">
            <w:pPr>
              <w:pStyle w:val="Tabletext0"/>
              <w:rPr>
                <w:szCs w:val="20"/>
                <w:lang w:val="en-US"/>
              </w:rPr>
            </w:pPr>
            <w:r w:rsidRPr="00FD2F0C">
              <w:rPr>
                <w:lang w:val="en-US"/>
              </w:rPr>
              <w:t>France</w:t>
            </w:r>
          </w:p>
        </w:tc>
        <w:tc>
          <w:tcPr>
            <w:tcW w:w="2386" w:type="pct"/>
            <w:tcBorders>
              <w:top w:val="single" w:sz="12" w:space="0" w:color="auto"/>
              <w:left w:val="single" w:sz="12" w:space="0" w:color="auto"/>
              <w:bottom w:val="single" w:sz="12" w:space="0" w:color="auto"/>
              <w:right w:val="single" w:sz="12" w:space="0" w:color="auto"/>
            </w:tcBorders>
            <w:hideMark/>
          </w:tcPr>
          <w:p w14:paraId="60581EEE" w14:textId="77777777" w:rsidR="007366D4" w:rsidRPr="00FD2F0C" w:rsidRDefault="007366D4" w:rsidP="00745ECC">
            <w:pPr>
              <w:pStyle w:val="Tabletext0"/>
              <w:jc w:val="both"/>
              <w:rPr>
                <w:lang w:val="en-US"/>
              </w:rPr>
            </w:pPr>
            <w:r w:rsidRPr="00FD2F0C">
              <w:rPr>
                <w:lang w:val="en-US"/>
              </w:rPr>
              <w:t>Recent CEPT publication: ECC report 236 on “Guidance for national implementation of a regulatory framework for TV WSD using geo-location databases”</w:t>
            </w:r>
          </w:p>
        </w:tc>
      </w:tr>
      <w:tr w:rsidR="007366D4" w:rsidRPr="00573C99" w14:paraId="0559D4F5"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48C4CE2F" w14:textId="77777777" w:rsidR="007366D4" w:rsidRPr="00FD2F0C" w:rsidRDefault="00573C99" w:rsidP="00745ECC">
            <w:pPr>
              <w:jc w:val="left"/>
              <w:rPr>
                <w:rStyle w:val="Boldunderline"/>
                <w:rFonts w:asciiTheme="minorHAnsi" w:hAnsiTheme="minorHAnsi"/>
              </w:rPr>
            </w:pPr>
            <w:hyperlink r:id="rId172" w:history="1">
              <w:r w:rsidR="007366D4" w:rsidRPr="00FD2F0C">
                <w:rPr>
                  <w:rStyle w:val="Boldunderline"/>
                  <w:rFonts w:asciiTheme="minorHAnsi" w:hAnsiTheme="minorHAnsi"/>
                </w:rPr>
                <w:t>1/130</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4126AA34" w14:textId="77777777" w:rsidR="007366D4" w:rsidRPr="00FD2F0C" w:rsidRDefault="007366D4" w:rsidP="00745ECC">
            <w:pPr>
              <w:pStyle w:val="Tabletext0"/>
              <w:rPr>
                <w:lang w:val="en-US"/>
              </w:rPr>
            </w:pPr>
            <w:r w:rsidRPr="00FD2F0C">
              <w:rPr>
                <w:lang w:val="en-US"/>
              </w:rPr>
              <w:t>2015-07-13</w:t>
            </w:r>
          </w:p>
        </w:tc>
        <w:tc>
          <w:tcPr>
            <w:tcW w:w="1384" w:type="pct"/>
            <w:tcBorders>
              <w:top w:val="single" w:sz="12" w:space="0" w:color="auto"/>
              <w:left w:val="single" w:sz="12" w:space="0" w:color="auto"/>
              <w:bottom w:val="single" w:sz="12" w:space="0" w:color="auto"/>
              <w:right w:val="single" w:sz="12" w:space="0" w:color="auto"/>
            </w:tcBorders>
            <w:hideMark/>
          </w:tcPr>
          <w:p w14:paraId="035C7186" w14:textId="77777777" w:rsidR="007366D4" w:rsidRPr="00FD2F0C" w:rsidRDefault="007366D4" w:rsidP="00745ECC">
            <w:pPr>
              <w:pStyle w:val="Tabletext0"/>
              <w:rPr>
                <w:lang w:val="en-US"/>
              </w:rPr>
            </w:pPr>
            <w:r w:rsidRPr="00FD2F0C">
              <w:t>Radiocommunication Bureau</w:t>
            </w:r>
          </w:p>
        </w:tc>
        <w:tc>
          <w:tcPr>
            <w:tcW w:w="2386" w:type="pct"/>
            <w:tcBorders>
              <w:top w:val="single" w:sz="12" w:space="0" w:color="auto"/>
              <w:left w:val="single" w:sz="12" w:space="0" w:color="auto"/>
              <w:bottom w:val="single" w:sz="12" w:space="0" w:color="auto"/>
              <w:right w:val="single" w:sz="12" w:space="0" w:color="auto"/>
            </w:tcBorders>
            <w:hideMark/>
          </w:tcPr>
          <w:p w14:paraId="0C7BD2FC" w14:textId="77777777" w:rsidR="007366D4" w:rsidRPr="00FD2F0C" w:rsidRDefault="007366D4" w:rsidP="00745ECC">
            <w:pPr>
              <w:pStyle w:val="Tabletext0"/>
              <w:jc w:val="both"/>
              <w:rPr>
                <w:lang w:val="en-US"/>
              </w:rPr>
            </w:pPr>
            <w:r w:rsidRPr="00FD2F0C">
              <w:rPr>
                <w:lang w:val="en-US"/>
              </w:rPr>
              <w:t>Further Development of the ITU-R documents database search facility</w:t>
            </w:r>
          </w:p>
        </w:tc>
      </w:tr>
      <w:tr w:rsidR="007366D4" w:rsidRPr="00573C99" w14:paraId="2D8994AD"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624B7273" w14:textId="77777777" w:rsidR="007366D4" w:rsidRPr="00FD2F0C" w:rsidRDefault="00573C99" w:rsidP="00745ECC">
            <w:pPr>
              <w:jc w:val="left"/>
              <w:rPr>
                <w:rStyle w:val="Boldunderline"/>
                <w:rFonts w:asciiTheme="minorHAnsi" w:hAnsiTheme="minorHAnsi"/>
              </w:rPr>
            </w:pPr>
            <w:hyperlink r:id="rId173" w:history="1">
              <w:r w:rsidR="007366D4" w:rsidRPr="00FD2F0C">
                <w:rPr>
                  <w:rStyle w:val="Boldunderline"/>
                  <w:rFonts w:asciiTheme="minorHAnsi" w:hAnsiTheme="minorHAnsi"/>
                </w:rPr>
                <w:t>RGQ/109</w:t>
              </w:r>
            </w:hyperlink>
          </w:p>
        </w:tc>
        <w:tc>
          <w:tcPr>
            <w:tcW w:w="674" w:type="pct"/>
            <w:tcBorders>
              <w:top w:val="single" w:sz="12" w:space="0" w:color="auto"/>
              <w:left w:val="single" w:sz="12" w:space="0" w:color="auto"/>
              <w:bottom w:val="single" w:sz="12" w:space="0" w:color="auto"/>
              <w:right w:val="single" w:sz="12" w:space="0" w:color="auto"/>
            </w:tcBorders>
            <w:noWrap/>
            <w:hideMark/>
          </w:tcPr>
          <w:p w14:paraId="03728F81" w14:textId="77777777" w:rsidR="007366D4" w:rsidRPr="00FD2F0C" w:rsidRDefault="007366D4" w:rsidP="00745ECC">
            <w:pPr>
              <w:pStyle w:val="Tabletext0"/>
              <w:rPr>
                <w:lang w:val="en-US"/>
              </w:rPr>
            </w:pPr>
            <w:r w:rsidRPr="00FD2F0C">
              <w:rPr>
                <w:lang w:val="en-US"/>
              </w:rPr>
              <w:t>2015-04-01</w:t>
            </w:r>
          </w:p>
        </w:tc>
        <w:tc>
          <w:tcPr>
            <w:tcW w:w="1384" w:type="pct"/>
            <w:tcBorders>
              <w:top w:val="single" w:sz="12" w:space="0" w:color="auto"/>
              <w:left w:val="single" w:sz="12" w:space="0" w:color="auto"/>
              <w:bottom w:val="single" w:sz="12" w:space="0" w:color="auto"/>
              <w:right w:val="single" w:sz="12" w:space="0" w:color="auto"/>
            </w:tcBorders>
            <w:hideMark/>
          </w:tcPr>
          <w:p w14:paraId="5CF806A7" w14:textId="77777777" w:rsidR="007366D4" w:rsidRPr="00FD2F0C" w:rsidRDefault="007366D4" w:rsidP="00745ECC">
            <w:pPr>
              <w:pStyle w:val="Tabletext0"/>
              <w:rPr>
                <w:szCs w:val="20"/>
                <w:lang w:val="en-US"/>
              </w:rPr>
            </w:pPr>
            <w:r w:rsidRPr="00FD2F0C">
              <w:rPr>
                <w:lang w:val="en-US"/>
              </w:rPr>
              <w:t>Botswana (Republic of)</w:t>
            </w:r>
          </w:p>
        </w:tc>
        <w:tc>
          <w:tcPr>
            <w:tcW w:w="2386" w:type="pct"/>
            <w:tcBorders>
              <w:top w:val="single" w:sz="12" w:space="0" w:color="auto"/>
              <w:left w:val="single" w:sz="12" w:space="0" w:color="auto"/>
              <w:bottom w:val="single" w:sz="12" w:space="0" w:color="auto"/>
              <w:right w:val="single" w:sz="12" w:space="0" w:color="auto"/>
            </w:tcBorders>
            <w:hideMark/>
          </w:tcPr>
          <w:p w14:paraId="322416C0" w14:textId="77777777" w:rsidR="007366D4" w:rsidRPr="00FD2F0C" w:rsidRDefault="007366D4" w:rsidP="00745ECC">
            <w:pPr>
              <w:pStyle w:val="Tabletext0"/>
              <w:jc w:val="both"/>
              <w:rPr>
                <w:lang w:val="en-US"/>
              </w:rPr>
            </w:pPr>
            <w:r w:rsidRPr="00FD2F0C">
              <w:rPr>
                <w:lang w:val="en-US"/>
              </w:rPr>
              <w:t>Providing health care by using spectrum sharing in Botswana</w:t>
            </w:r>
          </w:p>
        </w:tc>
      </w:tr>
      <w:tr w:rsidR="007366D4" w:rsidRPr="00FD2F0C" w14:paraId="619983CD" w14:textId="77777777" w:rsidTr="00745ECC">
        <w:tc>
          <w:tcPr>
            <w:tcW w:w="556" w:type="pct"/>
            <w:tcBorders>
              <w:top w:val="single" w:sz="12" w:space="0" w:color="auto"/>
              <w:left w:val="single" w:sz="12" w:space="0" w:color="auto"/>
              <w:bottom w:val="single" w:sz="12" w:space="0" w:color="auto"/>
              <w:right w:val="single" w:sz="12" w:space="0" w:color="auto"/>
            </w:tcBorders>
            <w:shd w:val="clear" w:color="auto" w:fill="FFFFFF"/>
            <w:noWrap/>
            <w:hideMark/>
          </w:tcPr>
          <w:p w14:paraId="12196AEC" w14:textId="77777777" w:rsidR="007366D4" w:rsidRPr="00FD2F0C" w:rsidRDefault="00573C99" w:rsidP="00745ECC">
            <w:pPr>
              <w:jc w:val="left"/>
              <w:rPr>
                <w:rStyle w:val="Boldunderline"/>
                <w:rFonts w:asciiTheme="minorHAnsi" w:hAnsiTheme="minorHAnsi"/>
              </w:rPr>
            </w:pPr>
            <w:hyperlink r:id="rId174" w:history="1">
              <w:r w:rsidR="007366D4" w:rsidRPr="00FD2F0C">
                <w:rPr>
                  <w:rStyle w:val="Boldunderline"/>
                  <w:rFonts w:asciiTheme="minorHAnsi" w:hAnsiTheme="minorHAnsi"/>
                </w:rPr>
                <w:t>RGQ/88</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shd w:val="clear" w:color="auto" w:fill="FFFFFF"/>
            <w:noWrap/>
            <w:hideMark/>
          </w:tcPr>
          <w:p w14:paraId="74278A71" w14:textId="77777777" w:rsidR="007366D4" w:rsidRPr="00FD2F0C" w:rsidRDefault="007366D4" w:rsidP="00745ECC">
            <w:pPr>
              <w:pStyle w:val="Tabletext0"/>
              <w:rPr>
                <w:lang w:val="en-US"/>
              </w:rPr>
            </w:pPr>
            <w:r w:rsidRPr="00FD2F0C">
              <w:rPr>
                <w:lang w:val="en-US"/>
              </w:rPr>
              <w:t>2015-03-20</w:t>
            </w:r>
          </w:p>
        </w:tc>
        <w:tc>
          <w:tcPr>
            <w:tcW w:w="1384" w:type="pct"/>
            <w:tcBorders>
              <w:top w:val="single" w:sz="12" w:space="0" w:color="auto"/>
              <w:left w:val="single" w:sz="12" w:space="0" w:color="auto"/>
              <w:bottom w:val="single" w:sz="12" w:space="0" w:color="auto"/>
              <w:right w:val="single" w:sz="12" w:space="0" w:color="auto"/>
            </w:tcBorders>
            <w:shd w:val="clear" w:color="auto" w:fill="FFFFFF"/>
            <w:noWrap/>
            <w:hideMark/>
          </w:tcPr>
          <w:p w14:paraId="2BF6FF6C" w14:textId="77777777" w:rsidR="007366D4" w:rsidRPr="00FD2F0C" w:rsidRDefault="007366D4" w:rsidP="00745ECC">
            <w:pPr>
              <w:pStyle w:val="Tabletext0"/>
              <w:rPr>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shd w:val="clear" w:color="auto" w:fill="FFFFFF"/>
            <w:noWrap/>
            <w:hideMark/>
          </w:tcPr>
          <w:p w14:paraId="3DB19B24" w14:textId="77777777" w:rsidR="007366D4" w:rsidRPr="00FD2F0C" w:rsidRDefault="007366D4" w:rsidP="00745ECC">
            <w:pPr>
              <w:pStyle w:val="Tabletext0"/>
              <w:jc w:val="both"/>
              <w:rPr>
                <w:lang w:val="en-US"/>
              </w:rPr>
            </w:pPr>
            <w:r w:rsidRPr="00FD2F0C">
              <w:rPr>
                <w:lang w:val="en-US"/>
              </w:rPr>
              <w:t>BDT activities on spectrum management</w:t>
            </w:r>
          </w:p>
        </w:tc>
      </w:tr>
      <w:tr w:rsidR="007366D4" w:rsidRPr="00573C99" w14:paraId="6F89A331" w14:textId="77777777" w:rsidTr="00745ECC">
        <w:tc>
          <w:tcPr>
            <w:tcW w:w="556" w:type="pct"/>
            <w:tcBorders>
              <w:top w:val="single" w:sz="12" w:space="0" w:color="auto"/>
              <w:left w:val="single" w:sz="12" w:space="0" w:color="auto"/>
              <w:bottom w:val="single" w:sz="12" w:space="0" w:color="auto"/>
              <w:right w:val="single" w:sz="12" w:space="0" w:color="auto"/>
            </w:tcBorders>
            <w:shd w:val="clear" w:color="auto" w:fill="FFFFFF"/>
            <w:noWrap/>
            <w:hideMark/>
          </w:tcPr>
          <w:p w14:paraId="59623380" w14:textId="77777777" w:rsidR="007366D4" w:rsidRPr="00FD2F0C" w:rsidRDefault="00573C99" w:rsidP="00745ECC">
            <w:pPr>
              <w:spacing w:line="240" w:lineRule="atLeast"/>
              <w:jc w:val="left"/>
              <w:rPr>
                <w:rStyle w:val="Boldunderline"/>
                <w:rFonts w:asciiTheme="minorHAnsi" w:hAnsiTheme="minorHAnsi"/>
              </w:rPr>
            </w:pPr>
            <w:hyperlink r:id="rId175" w:history="1">
              <w:r w:rsidR="007366D4" w:rsidRPr="00FD2F0C">
                <w:rPr>
                  <w:rStyle w:val="Boldunderline"/>
                  <w:rFonts w:asciiTheme="minorHAnsi" w:hAnsiTheme="minorHAnsi"/>
                </w:rPr>
                <w:t>RGQ/81</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shd w:val="clear" w:color="auto" w:fill="FFFFFF"/>
            <w:noWrap/>
            <w:hideMark/>
          </w:tcPr>
          <w:p w14:paraId="275EA226" w14:textId="77777777" w:rsidR="007366D4" w:rsidRPr="00FD2F0C" w:rsidRDefault="007366D4" w:rsidP="00745ECC">
            <w:pPr>
              <w:pStyle w:val="Tabletext0"/>
              <w:rPr>
                <w:lang w:val="en-US"/>
              </w:rPr>
            </w:pPr>
            <w:r w:rsidRPr="00FD2F0C">
              <w:rPr>
                <w:lang w:val="en-US"/>
              </w:rPr>
              <w:t>2015-03-17</w:t>
            </w:r>
          </w:p>
        </w:tc>
        <w:tc>
          <w:tcPr>
            <w:tcW w:w="1384" w:type="pct"/>
            <w:tcBorders>
              <w:top w:val="single" w:sz="12" w:space="0" w:color="auto"/>
              <w:left w:val="single" w:sz="12" w:space="0" w:color="auto"/>
              <w:bottom w:val="single" w:sz="12" w:space="0" w:color="auto"/>
              <w:right w:val="single" w:sz="12" w:space="0" w:color="auto"/>
            </w:tcBorders>
            <w:shd w:val="clear" w:color="auto" w:fill="FFFFFF"/>
            <w:noWrap/>
            <w:hideMark/>
          </w:tcPr>
          <w:p w14:paraId="747F4DD0" w14:textId="77777777" w:rsidR="007366D4" w:rsidRPr="00FD2F0C" w:rsidRDefault="007366D4" w:rsidP="00745ECC">
            <w:pPr>
              <w:pStyle w:val="Tabletext0"/>
              <w:rPr>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shd w:val="clear" w:color="auto" w:fill="FFFFFF"/>
            <w:noWrap/>
            <w:hideMark/>
          </w:tcPr>
          <w:p w14:paraId="52D925BD" w14:textId="77777777" w:rsidR="007366D4" w:rsidRPr="00FD2F0C" w:rsidRDefault="007366D4" w:rsidP="00745ECC">
            <w:pPr>
              <w:pStyle w:val="Tabletext0"/>
              <w:jc w:val="both"/>
              <w:rPr>
                <w:lang w:val="en-US"/>
              </w:rPr>
            </w:pPr>
            <w:r w:rsidRPr="00FD2F0C">
              <w:rPr>
                <w:lang w:val="en-US"/>
              </w:rPr>
              <w:t>Assessing the spectrum management needs of developing countries</w:t>
            </w:r>
          </w:p>
        </w:tc>
      </w:tr>
      <w:tr w:rsidR="007366D4" w:rsidRPr="00573C99" w14:paraId="416141CD" w14:textId="77777777" w:rsidTr="00745ECC">
        <w:tc>
          <w:tcPr>
            <w:tcW w:w="556" w:type="pct"/>
            <w:tcBorders>
              <w:top w:val="single" w:sz="12" w:space="0" w:color="auto"/>
              <w:left w:val="single" w:sz="12" w:space="0" w:color="auto"/>
              <w:bottom w:val="single" w:sz="12" w:space="0" w:color="auto"/>
              <w:right w:val="single" w:sz="12" w:space="0" w:color="auto"/>
            </w:tcBorders>
            <w:shd w:val="clear" w:color="auto" w:fill="FFFFFF"/>
            <w:noWrap/>
            <w:hideMark/>
          </w:tcPr>
          <w:p w14:paraId="0E467F59" w14:textId="77777777" w:rsidR="007366D4" w:rsidRPr="00FD2F0C" w:rsidRDefault="00573C99" w:rsidP="00745ECC">
            <w:pPr>
              <w:spacing w:line="240" w:lineRule="atLeast"/>
              <w:jc w:val="left"/>
              <w:rPr>
                <w:rStyle w:val="Boldunderline"/>
                <w:rFonts w:asciiTheme="minorHAnsi" w:hAnsiTheme="minorHAnsi"/>
              </w:rPr>
            </w:pPr>
            <w:hyperlink r:id="rId176" w:history="1">
              <w:r w:rsidR="007366D4" w:rsidRPr="00FD2F0C">
                <w:rPr>
                  <w:rStyle w:val="Boldunderline"/>
                  <w:rFonts w:asciiTheme="minorHAnsi" w:hAnsiTheme="minorHAnsi"/>
                </w:rPr>
                <w:t>RGQ/65</w:t>
              </w:r>
            </w:hyperlink>
            <w:r w:rsidR="007366D4" w:rsidRPr="00FD2F0C">
              <w:rPr>
                <w:rStyle w:val="Boldunderline"/>
                <w:rFonts w:asciiTheme="minorHAnsi" w:hAnsiTheme="minorHAnsi"/>
              </w:rPr>
              <w:br/>
              <w:t>+Ann.1</w:t>
            </w:r>
          </w:p>
        </w:tc>
        <w:tc>
          <w:tcPr>
            <w:tcW w:w="674" w:type="pct"/>
            <w:tcBorders>
              <w:top w:val="single" w:sz="12" w:space="0" w:color="auto"/>
              <w:left w:val="single" w:sz="12" w:space="0" w:color="auto"/>
              <w:bottom w:val="single" w:sz="12" w:space="0" w:color="auto"/>
              <w:right w:val="single" w:sz="12" w:space="0" w:color="auto"/>
            </w:tcBorders>
            <w:shd w:val="clear" w:color="auto" w:fill="FFFFFF"/>
            <w:noWrap/>
            <w:hideMark/>
          </w:tcPr>
          <w:p w14:paraId="41902637" w14:textId="77777777" w:rsidR="007366D4" w:rsidRPr="00FD2F0C" w:rsidRDefault="007366D4" w:rsidP="00745ECC">
            <w:pPr>
              <w:pStyle w:val="Tabletext0"/>
              <w:rPr>
                <w:lang w:val="en-US"/>
              </w:rPr>
            </w:pPr>
            <w:r w:rsidRPr="00FD2F0C">
              <w:rPr>
                <w:lang w:val="en-US"/>
              </w:rPr>
              <w:t>2015-03-02</w:t>
            </w:r>
          </w:p>
        </w:tc>
        <w:tc>
          <w:tcPr>
            <w:tcW w:w="1384" w:type="pct"/>
            <w:tcBorders>
              <w:top w:val="single" w:sz="12" w:space="0" w:color="auto"/>
              <w:left w:val="single" w:sz="12" w:space="0" w:color="auto"/>
              <w:bottom w:val="single" w:sz="12" w:space="0" w:color="auto"/>
              <w:right w:val="single" w:sz="12" w:space="0" w:color="auto"/>
            </w:tcBorders>
            <w:shd w:val="clear" w:color="auto" w:fill="FFFFFF"/>
            <w:noWrap/>
            <w:hideMark/>
          </w:tcPr>
          <w:p w14:paraId="5216DE40" w14:textId="77777777" w:rsidR="007366D4" w:rsidRPr="00FD2F0C" w:rsidRDefault="007366D4" w:rsidP="00745ECC">
            <w:pPr>
              <w:pStyle w:val="Tabletext0"/>
              <w:rPr>
                <w:lang w:val="en-US"/>
              </w:rPr>
            </w:pPr>
            <w:r w:rsidRPr="00FD2F0C">
              <w:t>Hungary</w:t>
            </w:r>
          </w:p>
        </w:tc>
        <w:tc>
          <w:tcPr>
            <w:tcW w:w="2386" w:type="pct"/>
            <w:tcBorders>
              <w:top w:val="single" w:sz="12" w:space="0" w:color="auto"/>
              <w:left w:val="single" w:sz="12" w:space="0" w:color="auto"/>
              <w:bottom w:val="single" w:sz="12" w:space="0" w:color="auto"/>
              <w:right w:val="single" w:sz="12" w:space="0" w:color="auto"/>
            </w:tcBorders>
            <w:shd w:val="clear" w:color="auto" w:fill="FFFFFF"/>
            <w:noWrap/>
            <w:hideMark/>
          </w:tcPr>
          <w:p w14:paraId="52592806" w14:textId="77777777" w:rsidR="007366D4" w:rsidRPr="00FD2F0C" w:rsidRDefault="007366D4" w:rsidP="00745ECC">
            <w:pPr>
              <w:pStyle w:val="Tabletext0"/>
              <w:jc w:val="both"/>
              <w:rPr>
                <w:lang w:val="en-US"/>
              </w:rPr>
            </w:pPr>
            <w:r w:rsidRPr="00FD2F0C">
              <w:rPr>
                <w:lang w:val="en-US"/>
              </w:rPr>
              <w:t>Spectrum Management IT System (STIR)</w:t>
            </w:r>
          </w:p>
        </w:tc>
      </w:tr>
      <w:tr w:rsidR="007366D4" w:rsidRPr="00573C99" w14:paraId="148D9C67" w14:textId="77777777" w:rsidTr="00745ECC">
        <w:tc>
          <w:tcPr>
            <w:tcW w:w="556" w:type="pct"/>
            <w:tcBorders>
              <w:top w:val="single" w:sz="12" w:space="0" w:color="auto"/>
              <w:left w:val="single" w:sz="12" w:space="0" w:color="auto"/>
              <w:bottom w:val="single" w:sz="12" w:space="0" w:color="auto"/>
              <w:right w:val="single" w:sz="12" w:space="0" w:color="auto"/>
            </w:tcBorders>
            <w:shd w:val="clear" w:color="auto" w:fill="FFFFFF"/>
            <w:noWrap/>
            <w:hideMark/>
          </w:tcPr>
          <w:p w14:paraId="4B262439" w14:textId="77777777" w:rsidR="007366D4" w:rsidRPr="00FD2F0C" w:rsidRDefault="00573C99" w:rsidP="00745ECC">
            <w:pPr>
              <w:spacing w:line="240" w:lineRule="atLeast"/>
              <w:jc w:val="left"/>
              <w:rPr>
                <w:rStyle w:val="Boldunderline"/>
                <w:rFonts w:asciiTheme="minorHAnsi" w:hAnsiTheme="minorHAnsi"/>
              </w:rPr>
            </w:pPr>
            <w:hyperlink r:id="rId177" w:history="1">
              <w:r w:rsidR="007366D4" w:rsidRPr="00FD2F0C">
                <w:rPr>
                  <w:rStyle w:val="Boldunderline"/>
                  <w:rFonts w:asciiTheme="minorHAnsi" w:hAnsiTheme="minorHAnsi"/>
                </w:rPr>
                <w:t>RGQ/60</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shd w:val="clear" w:color="auto" w:fill="FFFFFF"/>
            <w:noWrap/>
            <w:hideMark/>
          </w:tcPr>
          <w:p w14:paraId="114874E1" w14:textId="77777777" w:rsidR="007366D4" w:rsidRPr="00FD2F0C" w:rsidRDefault="007366D4" w:rsidP="00745ECC">
            <w:pPr>
              <w:pStyle w:val="Tabletext0"/>
              <w:rPr>
                <w:lang w:val="en-US"/>
              </w:rPr>
            </w:pPr>
            <w:r w:rsidRPr="00FD2F0C">
              <w:rPr>
                <w:lang w:val="en-US"/>
              </w:rPr>
              <w:t>2015-02-27</w:t>
            </w:r>
          </w:p>
        </w:tc>
        <w:tc>
          <w:tcPr>
            <w:tcW w:w="1384" w:type="pct"/>
            <w:tcBorders>
              <w:top w:val="single" w:sz="12" w:space="0" w:color="auto"/>
              <w:left w:val="single" w:sz="12" w:space="0" w:color="auto"/>
              <w:bottom w:val="single" w:sz="12" w:space="0" w:color="auto"/>
              <w:right w:val="single" w:sz="12" w:space="0" w:color="auto"/>
            </w:tcBorders>
            <w:shd w:val="clear" w:color="auto" w:fill="FFFFFF"/>
            <w:noWrap/>
            <w:hideMark/>
          </w:tcPr>
          <w:p w14:paraId="23B88ADF" w14:textId="77777777" w:rsidR="007366D4" w:rsidRPr="00FD2F0C" w:rsidRDefault="007366D4" w:rsidP="00745ECC">
            <w:pPr>
              <w:pStyle w:val="Tabletext0"/>
              <w:rPr>
                <w:lang w:val="en-US"/>
              </w:rPr>
            </w:pPr>
            <w:r w:rsidRPr="00FD2F0C">
              <w:t>United States of America</w:t>
            </w:r>
          </w:p>
        </w:tc>
        <w:tc>
          <w:tcPr>
            <w:tcW w:w="2386" w:type="pct"/>
            <w:tcBorders>
              <w:top w:val="single" w:sz="12" w:space="0" w:color="auto"/>
              <w:left w:val="single" w:sz="12" w:space="0" w:color="auto"/>
              <w:bottom w:val="single" w:sz="12" w:space="0" w:color="auto"/>
              <w:right w:val="single" w:sz="12" w:space="0" w:color="auto"/>
            </w:tcBorders>
            <w:shd w:val="clear" w:color="auto" w:fill="FFFFFF"/>
            <w:noWrap/>
            <w:hideMark/>
          </w:tcPr>
          <w:p w14:paraId="79B44A26" w14:textId="77777777" w:rsidR="007366D4" w:rsidRPr="00FD2F0C" w:rsidRDefault="007366D4" w:rsidP="00745ECC">
            <w:pPr>
              <w:pStyle w:val="Tabletext0"/>
              <w:jc w:val="both"/>
              <w:rPr>
                <w:lang w:val="en-US"/>
              </w:rPr>
            </w:pPr>
            <w:r w:rsidRPr="00FD2F0C">
              <w:rPr>
                <w:lang w:val="en-US"/>
              </w:rPr>
              <w:t>Preliminary examples of spectrum sharing practices in the broadcast television bands</w:t>
            </w:r>
          </w:p>
        </w:tc>
      </w:tr>
      <w:tr w:rsidR="007366D4" w:rsidRPr="00573C99" w14:paraId="2BD98FC0" w14:textId="77777777" w:rsidTr="00745ECC">
        <w:tc>
          <w:tcPr>
            <w:tcW w:w="556" w:type="pct"/>
            <w:tcBorders>
              <w:top w:val="single" w:sz="12" w:space="0" w:color="auto"/>
              <w:left w:val="single" w:sz="12" w:space="0" w:color="auto"/>
              <w:bottom w:val="single" w:sz="12" w:space="0" w:color="auto"/>
              <w:right w:val="single" w:sz="12" w:space="0" w:color="auto"/>
            </w:tcBorders>
            <w:shd w:val="clear" w:color="auto" w:fill="FFFFFF"/>
            <w:noWrap/>
            <w:hideMark/>
          </w:tcPr>
          <w:p w14:paraId="17B5D3FE" w14:textId="77777777" w:rsidR="007366D4" w:rsidRPr="00FD2F0C" w:rsidRDefault="00573C99" w:rsidP="00745ECC">
            <w:pPr>
              <w:spacing w:line="240" w:lineRule="atLeast"/>
              <w:jc w:val="left"/>
              <w:rPr>
                <w:rStyle w:val="Boldunderline"/>
                <w:rFonts w:asciiTheme="minorHAnsi" w:hAnsiTheme="minorHAnsi"/>
              </w:rPr>
            </w:pPr>
            <w:hyperlink r:id="rId178" w:history="1">
              <w:r w:rsidR="007366D4" w:rsidRPr="00FD2F0C">
                <w:rPr>
                  <w:rStyle w:val="Boldunderline"/>
                  <w:rFonts w:asciiTheme="minorHAnsi" w:hAnsiTheme="minorHAnsi"/>
                </w:rPr>
                <w:t>RGQ/44</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shd w:val="clear" w:color="auto" w:fill="FFFFFF"/>
            <w:noWrap/>
            <w:hideMark/>
          </w:tcPr>
          <w:p w14:paraId="35927012" w14:textId="77777777" w:rsidR="007366D4" w:rsidRPr="00FD2F0C" w:rsidRDefault="007366D4" w:rsidP="00745ECC">
            <w:pPr>
              <w:pStyle w:val="Tabletext0"/>
              <w:rPr>
                <w:lang w:val="en-US"/>
              </w:rPr>
            </w:pPr>
            <w:r w:rsidRPr="00FD2F0C">
              <w:rPr>
                <w:lang w:val="en-US"/>
              </w:rPr>
              <w:t>2015-02-26</w:t>
            </w:r>
          </w:p>
        </w:tc>
        <w:tc>
          <w:tcPr>
            <w:tcW w:w="1384" w:type="pct"/>
            <w:tcBorders>
              <w:top w:val="single" w:sz="12" w:space="0" w:color="auto"/>
              <w:left w:val="single" w:sz="12" w:space="0" w:color="auto"/>
              <w:bottom w:val="single" w:sz="12" w:space="0" w:color="auto"/>
              <w:right w:val="single" w:sz="12" w:space="0" w:color="auto"/>
            </w:tcBorders>
            <w:shd w:val="clear" w:color="auto" w:fill="FFFFFF"/>
            <w:noWrap/>
            <w:hideMark/>
          </w:tcPr>
          <w:p w14:paraId="4DE2303D" w14:textId="77777777" w:rsidR="007366D4" w:rsidRPr="00FD2F0C" w:rsidRDefault="007366D4" w:rsidP="00745ECC">
            <w:pPr>
              <w:pStyle w:val="Tabletext0"/>
              <w:rPr>
                <w:lang w:val="en-US"/>
              </w:rPr>
            </w:pPr>
            <w:r w:rsidRPr="00FD2F0C">
              <w:t>Philippines (Republic of the)</w:t>
            </w:r>
          </w:p>
        </w:tc>
        <w:tc>
          <w:tcPr>
            <w:tcW w:w="2386" w:type="pct"/>
            <w:tcBorders>
              <w:top w:val="single" w:sz="12" w:space="0" w:color="auto"/>
              <w:left w:val="single" w:sz="12" w:space="0" w:color="auto"/>
              <w:bottom w:val="single" w:sz="12" w:space="0" w:color="auto"/>
              <w:right w:val="single" w:sz="12" w:space="0" w:color="auto"/>
            </w:tcBorders>
            <w:shd w:val="clear" w:color="auto" w:fill="FFFFFF"/>
            <w:noWrap/>
            <w:hideMark/>
          </w:tcPr>
          <w:p w14:paraId="79617BDC" w14:textId="77777777" w:rsidR="007366D4" w:rsidRPr="00FD2F0C" w:rsidRDefault="007366D4" w:rsidP="00745ECC">
            <w:pPr>
              <w:pStyle w:val="Tabletext0"/>
              <w:jc w:val="both"/>
              <w:rPr>
                <w:lang w:val="en-US"/>
              </w:rPr>
            </w:pPr>
            <w:r w:rsidRPr="00FD2F0C">
              <w:rPr>
                <w:lang w:val="en-US"/>
              </w:rPr>
              <w:t>Dynamic spectrum access case study</w:t>
            </w:r>
          </w:p>
        </w:tc>
      </w:tr>
      <w:tr w:rsidR="007366D4" w:rsidRPr="00573C99" w14:paraId="4E567A30" w14:textId="77777777" w:rsidTr="00745ECC">
        <w:tc>
          <w:tcPr>
            <w:tcW w:w="556" w:type="pct"/>
            <w:tcBorders>
              <w:top w:val="single" w:sz="12" w:space="0" w:color="auto"/>
              <w:left w:val="single" w:sz="12" w:space="0" w:color="auto"/>
              <w:bottom w:val="single" w:sz="12" w:space="0" w:color="auto"/>
              <w:right w:val="single" w:sz="12" w:space="0" w:color="auto"/>
            </w:tcBorders>
            <w:shd w:val="clear" w:color="auto" w:fill="FFFFFF"/>
            <w:noWrap/>
            <w:hideMark/>
          </w:tcPr>
          <w:p w14:paraId="546C70B8" w14:textId="77777777" w:rsidR="007366D4" w:rsidRPr="00FD2F0C" w:rsidRDefault="00573C99" w:rsidP="00745ECC">
            <w:pPr>
              <w:spacing w:line="240" w:lineRule="atLeast"/>
              <w:jc w:val="left"/>
              <w:rPr>
                <w:rStyle w:val="Boldunderline"/>
                <w:rFonts w:asciiTheme="minorHAnsi" w:hAnsiTheme="minorHAnsi"/>
              </w:rPr>
            </w:pPr>
            <w:hyperlink r:id="rId179" w:history="1">
              <w:r w:rsidR="007366D4" w:rsidRPr="00FD2F0C">
                <w:rPr>
                  <w:rStyle w:val="Boldunderline"/>
                  <w:rFonts w:asciiTheme="minorHAnsi" w:hAnsiTheme="minorHAnsi"/>
                </w:rPr>
                <w:t>RGQ/15</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shd w:val="clear" w:color="auto" w:fill="FFFFFF"/>
            <w:noWrap/>
            <w:hideMark/>
          </w:tcPr>
          <w:p w14:paraId="5F2D36FB" w14:textId="77777777" w:rsidR="007366D4" w:rsidRPr="00FD2F0C" w:rsidRDefault="007366D4" w:rsidP="00745ECC">
            <w:pPr>
              <w:pStyle w:val="Tabletext0"/>
              <w:rPr>
                <w:lang w:val="en-US"/>
              </w:rPr>
            </w:pPr>
            <w:r w:rsidRPr="00FD2F0C">
              <w:rPr>
                <w:lang w:val="en-US"/>
              </w:rPr>
              <w:t>2014-12-15</w:t>
            </w:r>
          </w:p>
        </w:tc>
        <w:tc>
          <w:tcPr>
            <w:tcW w:w="1384" w:type="pct"/>
            <w:tcBorders>
              <w:top w:val="single" w:sz="12" w:space="0" w:color="auto"/>
              <w:left w:val="single" w:sz="12" w:space="0" w:color="auto"/>
              <w:bottom w:val="single" w:sz="12" w:space="0" w:color="auto"/>
              <w:right w:val="single" w:sz="12" w:space="0" w:color="auto"/>
            </w:tcBorders>
            <w:shd w:val="clear" w:color="auto" w:fill="FFFFFF"/>
            <w:noWrap/>
            <w:hideMark/>
          </w:tcPr>
          <w:p w14:paraId="64A329DA" w14:textId="77777777" w:rsidR="007366D4" w:rsidRPr="00FD2F0C" w:rsidRDefault="007366D4" w:rsidP="00745ECC">
            <w:pPr>
              <w:pStyle w:val="Tabletext0"/>
              <w:rPr>
                <w:lang w:val="en-US"/>
              </w:rPr>
            </w:pPr>
            <w:r w:rsidRPr="00FD2F0C">
              <w:rPr>
                <w:lang w:val="en-US"/>
              </w:rPr>
              <w:t>ITU-D/ITU-R Co-Chairman, Joint Group on Res.9</w:t>
            </w:r>
          </w:p>
        </w:tc>
        <w:tc>
          <w:tcPr>
            <w:tcW w:w="2386" w:type="pct"/>
            <w:tcBorders>
              <w:top w:val="single" w:sz="12" w:space="0" w:color="auto"/>
              <w:left w:val="single" w:sz="12" w:space="0" w:color="auto"/>
              <w:bottom w:val="single" w:sz="12" w:space="0" w:color="auto"/>
              <w:right w:val="single" w:sz="12" w:space="0" w:color="auto"/>
            </w:tcBorders>
            <w:shd w:val="clear" w:color="auto" w:fill="FFFFFF"/>
            <w:noWrap/>
            <w:hideMark/>
          </w:tcPr>
          <w:p w14:paraId="628974E6" w14:textId="77777777" w:rsidR="007366D4" w:rsidRPr="00FD2F0C" w:rsidRDefault="007366D4" w:rsidP="00745ECC">
            <w:pPr>
              <w:pStyle w:val="Tabletext0"/>
              <w:jc w:val="both"/>
              <w:rPr>
                <w:lang w:val="en-US"/>
              </w:rPr>
            </w:pPr>
            <w:r w:rsidRPr="00FD2F0C">
              <w:rPr>
                <w:lang w:val="en-US"/>
              </w:rPr>
              <w:t>Draft work plan for Resolution 9</w:t>
            </w:r>
          </w:p>
        </w:tc>
      </w:tr>
      <w:tr w:rsidR="007366D4" w:rsidRPr="00573C99" w14:paraId="6AD38985"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669A6D16" w14:textId="77777777" w:rsidR="007366D4" w:rsidRPr="00FD2F0C" w:rsidRDefault="00573C99" w:rsidP="00745ECC">
            <w:pPr>
              <w:jc w:val="left"/>
              <w:rPr>
                <w:rStyle w:val="Boldunderline"/>
                <w:rFonts w:asciiTheme="minorHAnsi" w:hAnsiTheme="minorHAnsi"/>
              </w:rPr>
            </w:pPr>
            <w:hyperlink r:id="rId180" w:history="1">
              <w:r w:rsidR="007366D4" w:rsidRPr="00FD2F0C">
                <w:rPr>
                  <w:rStyle w:val="Boldunderline"/>
                  <w:rFonts w:asciiTheme="minorHAnsi" w:hAnsiTheme="minorHAnsi"/>
                </w:rPr>
                <w:t>1/67</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4D57C32D" w14:textId="77777777" w:rsidR="007366D4" w:rsidRPr="00FD2F0C" w:rsidRDefault="007366D4" w:rsidP="00745ECC">
            <w:pPr>
              <w:pStyle w:val="Tabletext0"/>
              <w:rPr>
                <w:lang w:val="en-US"/>
              </w:rPr>
            </w:pPr>
            <w:r w:rsidRPr="00FD2F0C">
              <w:rPr>
                <w:lang w:val="en-US"/>
              </w:rPr>
              <w:t>2014-09-08</w:t>
            </w:r>
          </w:p>
        </w:tc>
        <w:tc>
          <w:tcPr>
            <w:tcW w:w="1384" w:type="pct"/>
            <w:tcBorders>
              <w:top w:val="single" w:sz="12" w:space="0" w:color="auto"/>
              <w:left w:val="single" w:sz="12" w:space="0" w:color="auto"/>
              <w:bottom w:val="single" w:sz="12" w:space="0" w:color="auto"/>
              <w:right w:val="single" w:sz="12" w:space="0" w:color="auto"/>
            </w:tcBorders>
            <w:hideMark/>
          </w:tcPr>
          <w:p w14:paraId="3AE77B8D" w14:textId="77777777" w:rsidR="007366D4" w:rsidRPr="00FD2F0C" w:rsidRDefault="007366D4" w:rsidP="00745ECC">
            <w:pPr>
              <w:pStyle w:val="Tabletext0"/>
              <w:rPr>
                <w:lang w:val="en-US"/>
              </w:rPr>
            </w:pPr>
            <w:r w:rsidRPr="00FD2F0C">
              <w:t>Egypt (Arab Republic of)</w:t>
            </w:r>
          </w:p>
        </w:tc>
        <w:tc>
          <w:tcPr>
            <w:tcW w:w="2386" w:type="pct"/>
            <w:tcBorders>
              <w:top w:val="single" w:sz="12" w:space="0" w:color="auto"/>
              <w:left w:val="single" w:sz="12" w:space="0" w:color="auto"/>
              <w:bottom w:val="single" w:sz="12" w:space="0" w:color="auto"/>
              <w:right w:val="single" w:sz="12" w:space="0" w:color="auto"/>
            </w:tcBorders>
            <w:hideMark/>
          </w:tcPr>
          <w:p w14:paraId="5D7BA0C5" w14:textId="77777777" w:rsidR="007366D4" w:rsidRPr="00FD2F0C" w:rsidRDefault="007366D4" w:rsidP="00745ECC">
            <w:pPr>
              <w:pStyle w:val="Tabletext0"/>
              <w:jc w:val="both"/>
              <w:rPr>
                <w:lang w:val="en-US"/>
              </w:rPr>
            </w:pPr>
            <w:r w:rsidRPr="00FD2F0C">
              <w:rPr>
                <w:lang w:val="en-US"/>
              </w:rPr>
              <w:t>Draft work plan for Resolution 9 (Rev. Dubai, 2014)</w:t>
            </w:r>
          </w:p>
        </w:tc>
      </w:tr>
      <w:tr w:rsidR="007366D4" w:rsidRPr="00573C99" w14:paraId="46A2E0DC"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504F98FE" w14:textId="77777777" w:rsidR="007366D4" w:rsidRPr="00FD2F0C" w:rsidRDefault="00573C99" w:rsidP="00745ECC">
            <w:pPr>
              <w:jc w:val="left"/>
              <w:rPr>
                <w:rStyle w:val="Boldunderline"/>
                <w:rFonts w:asciiTheme="minorHAnsi" w:hAnsiTheme="minorHAnsi"/>
              </w:rPr>
            </w:pPr>
            <w:hyperlink r:id="rId181" w:history="1">
              <w:r w:rsidR="007366D4" w:rsidRPr="00FD2F0C">
                <w:rPr>
                  <w:rStyle w:val="Boldunderline"/>
                  <w:rFonts w:asciiTheme="minorHAnsi" w:hAnsiTheme="minorHAnsi"/>
                </w:rPr>
                <w:t>1/63</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18AD34D9" w14:textId="77777777" w:rsidR="007366D4" w:rsidRPr="00FD2F0C" w:rsidRDefault="007366D4" w:rsidP="00745ECC">
            <w:pPr>
              <w:pStyle w:val="Tabletext0"/>
              <w:rPr>
                <w:lang w:val="en-US"/>
              </w:rPr>
            </w:pPr>
            <w:r w:rsidRPr="00FD2F0C">
              <w:rPr>
                <w:lang w:val="en-US"/>
              </w:rPr>
              <w:t>2014-09-02</w:t>
            </w:r>
          </w:p>
        </w:tc>
        <w:tc>
          <w:tcPr>
            <w:tcW w:w="1384" w:type="pct"/>
            <w:tcBorders>
              <w:top w:val="single" w:sz="12" w:space="0" w:color="auto"/>
              <w:left w:val="single" w:sz="12" w:space="0" w:color="auto"/>
              <w:bottom w:val="single" w:sz="12" w:space="0" w:color="auto"/>
              <w:right w:val="single" w:sz="12" w:space="0" w:color="auto"/>
            </w:tcBorders>
            <w:hideMark/>
          </w:tcPr>
          <w:p w14:paraId="47D123E0" w14:textId="77777777" w:rsidR="007366D4" w:rsidRPr="00FD2F0C" w:rsidRDefault="007366D4" w:rsidP="00745ECC">
            <w:pPr>
              <w:pStyle w:val="Tabletext0"/>
              <w:rPr>
                <w:lang w:val="en-US"/>
              </w:rPr>
            </w:pPr>
            <w:r w:rsidRPr="00FD2F0C">
              <w:rPr>
                <w:lang w:val="en-US"/>
              </w:rPr>
              <w:t xml:space="preserve">Chairman, ITU-R Study Group </w:t>
            </w:r>
            <w:r w:rsidRPr="00FD2F0C">
              <w:rPr>
                <w:lang w:val="en-US"/>
              </w:rPr>
              <w:lastRenderedPageBreak/>
              <w:t>1, Radiocommunication Bureau</w:t>
            </w:r>
          </w:p>
        </w:tc>
        <w:tc>
          <w:tcPr>
            <w:tcW w:w="2386" w:type="pct"/>
            <w:tcBorders>
              <w:top w:val="single" w:sz="12" w:space="0" w:color="auto"/>
              <w:left w:val="single" w:sz="12" w:space="0" w:color="auto"/>
              <w:bottom w:val="single" w:sz="12" w:space="0" w:color="auto"/>
              <w:right w:val="single" w:sz="12" w:space="0" w:color="auto"/>
            </w:tcBorders>
            <w:hideMark/>
          </w:tcPr>
          <w:p w14:paraId="3D5A274F" w14:textId="77777777" w:rsidR="007366D4" w:rsidRPr="00FD2F0C" w:rsidRDefault="007366D4" w:rsidP="00745ECC">
            <w:pPr>
              <w:pStyle w:val="Tabletext0"/>
              <w:jc w:val="both"/>
              <w:rPr>
                <w:lang w:val="en-US"/>
              </w:rPr>
            </w:pPr>
            <w:r w:rsidRPr="00FD2F0C">
              <w:rPr>
                <w:lang w:val="en-US"/>
              </w:rPr>
              <w:lastRenderedPageBreak/>
              <w:t>ITU-R Study Group 1 recent and ongoing activities on spectrum management (including ITU-R studies on DSA and CRS)</w:t>
            </w:r>
          </w:p>
        </w:tc>
      </w:tr>
      <w:tr w:rsidR="007366D4" w:rsidRPr="00573C99" w14:paraId="31831A1F"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7199259F" w14:textId="77777777" w:rsidR="007366D4" w:rsidRPr="00FD2F0C" w:rsidRDefault="00573C99" w:rsidP="00745ECC">
            <w:pPr>
              <w:jc w:val="left"/>
              <w:rPr>
                <w:rStyle w:val="Boldunderline"/>
                <w:rFonts w:asciiTheme="minorHAnsi" w:hAnsiTheme="minorHAnsi"/>
              </w:rPr>
            </w:pPr>
            <w:hyperlink r:id="rId182" w:history="1">
              <w:r w:rsidR="007366D4" w:rsidRPr="00FD2F0C">
                <w:rPr>
                  <w:rStyle w:val="Boldunderline"/>
                  <w:rFonts w:asciiTheme="minorHAnsi" w:hAnsiTheme="minorHAnsi"/>
                </w:rPr>
                <w:t>1/62</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1B452C77" w14:textId="77777777" w:rsidR="007366D4" w:rsidRPr="00FD2F0C" w:rsidRDefault="007366D4" w:rsidP="00745ECC">
            <w:pPr>
              <w:pStyle w:val="Tabletext0"/>
              <w:rPr>
                <w:lang w:val="en-US"/>
              </w:rPr>
            </w:pPr>
            <w:r w:rsidRPr="00FD2F0C">
              <w:rPr>
                <w:lang w:val="en-US"/>
              </w:rPr>
              <w:t>2014-09-02</w:t>
            </w:r>
          </w:p>
        </w:tc>
        <w:tc>
          <w:tcPr>
            <w:tcW w:w="1384" w:type="pct"/>
            <w:tcBorders>
              <w:top w:val="single" w:sz="12" w:space="0" w:color="auto"/>
              <w:left w:val="single" w:sz="12" w:space="0" w:color="auto"/>
              <w:bottom w:val="single" w:sz="12" w:space="0" w:color="auto"/>
              <w:right w:val="single" w:sz="12" w:space="0" w:color="auto"/>
            </w:tcBorders>
            <w:hideMark/>
          </w:tcPr>
          <w:p w14:paraId="47C793B1" w14:textId="77777777" w:rsidR="007366D4" w:rsidRPr="00FD2F0C" w:rsidRDefault="007366D4" w:rsidP="00745ECC">
            <w:pPr>
              <w:pStyle w:val="Tabletext0"/>
              <w:rPr>
                <w:lang w:val="en-US"/>
              </w:rPr>
            </w:pPr>
            <w:r w:rsidRPr="00FD2F0C">
              <w:t>Radiocommunication Bureau</w:t>
            </w:r>
          </w:p>
        </w:tc>
        <w:tc>
          <w:tcPr>
            <w:tcW w:w="2386" w:type="pct"/>
            <w:tcBorders>
              <w:top w:val="single" w:sz="12" w:space="0" w:color="auto"/>
              <w:left w:val="single" w:sz="12" w:space="0" w:color="auto"/>
              <w:bottom w:val="single" w:sz="12" w:space="0" w:color="auto"/>
              <w:right w:val="single" w:sz="12" w:space="0" w:color="auto"/>
            </w:tcBorders>
            <w:hideMark/>
          </w:tcPr>
          <w:p w14:paraId="4E79CB8F" w14:textId="77777777" w:rsidR="007366D4" w:rsidRPr="00FD2F0C" w:rsidRDefault="007366D4" w:rsidP="00745ECC">
            <w:pPr>
              <w:pStyle w:val="Tabletext0"/>
              <w:jc w:val="both"/>
              <w:rPr>
                <w:b/>
                <w:spacing w:val="10"/>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D2F0C">
              <w:rPr>
                <w:lang w:val="en-US"/>
              </w:rPr>
              <w:t>Development of the ITU-R documents database search facility</w:t>
            </w:r>
          </w:p>
        </w:tc>
      </w:tr>
      <w:tr w:rsidR="007366D4" w:rsidRPr="00573C99" w14:paraId="4B0103E0"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0D8DE3B1" w14:textId="77777777" w:rsidR="007366D4" w:rsidRPr="00FD2F0C" w:rsidRDefault="00573C99" w:rsidP="00745ECC">
            <w:pPr>
              <w:jc w:val="left"/>
              <w:rPr>
                <w:rStyle w:val="Boldunderline"/>
                <w:rFonts w:asciiTheme="minorHAnsi" w:hAnsiTheme="minorHAnsi"/>
              </w:rPr>
            </w:pPr>
            <w:hyperlink r:id="rId183" w:history="1">
              <w:r w:rsidR="007366D4" w:rsidRPr="00FD2F0C">
                <w:rPr>
                  <w:rStyle w:val="Boldunderline"/>
                  <w:rFonts w:asciiTheme="minorHAnsi" w:hAnsiTheme="minorHAnsi"/>
                </w:rPr>
                <w:t>1/56</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1764BB45" w14:textId="77777777" w:rsidR="007366D4" w:rsidRPr="00FD2F0C" w:rsidRDefault="007366D4" w:rsidP="00745ECC">
            <w:pPr>
              <w:pStyle w:val="Tabletext0"/>
              <w:rPr>
                <w:lang w:val="en-US"/>
              </w:rPr>
            </w:pPr>
            <w:r w:rsidRPr="00FD2F0C">
              <w:rPr>
                <w:lang w:val="en-US"/>
              </w:rPr>
              <w:t>2014-08-29</w:t>
            </w:r>
          </w:p>
        </w:tc>
        <w:tc>
          <w:tcPr>
            <w:tcW w:w="1384" w:type="pct"/>
            <w:tcBorders>
              <w:top w:val="single" w:sz="12" w:space="0" w:color="auto"/>
              <w:left w:val="single" w:sz="12" w:space="0" w:color="auto"/>
              <w:bottom w:val="single" w:sz="12" w:space="0" w:color="auto"/>
              <w:right w:val="single" w:sz="12" w:space="0" w:color="auto"/>
            </w:tcBorders>
            <w:hideMark/>
          </w:tcPr>
          <w:p w14:paraId="0E7101DD" w14:textId="77777777" w:rsidR="007366D4" w:rsidRPr="00FD2F0C" w:rsidRDefault="007366D4" w:rsidP="00745ECC">
            <w:pPr>
              <w:pStyle w:val="Tabletext0"/>
              <w:rPr>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hideMark/>
          </w:tcPr>
          <w:p w14:paraId="20612CD1" w14:textId="77777777" w:rsidR="007366D4" w:rsidRPr="00FD2F0C" w:rsidRDefault="007366D4" w:rsidP="00745ECC">
            <w:pPr>
              <w:pStyle w:val="Tabletext0"/>
              <w:jc w:val="both"/>
              <w:rPr>
                <w:lang w:val="en-US"/>
              </w:rPr>
            </w:pPr>
            <w:r w:rsidRPr="00FD2F0C">
              <w:rPr>
                <w:lang w:val="en-US"/>
              </w:rPr>
              <w:t>Guidelines for the preparation of a National Table of Frequency Allocations (NTFA)</w:t>
            </w:r>
          </w:p>
        </w:tc>
      </w:tr>
      <w:tr w:rsidR="007366D4" w:rsidRPr="00573C99" w14:paraId="7C3A518F"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00FE79D4" w14:textId="77777777" w:rsidR="007366D4" w:rsidRPr="00FD2F0C" w:rsidRDefault="00573C99" w:rsidP="00745ECC">
            <w:pPr>
              <w:jc w:val="left"/>
              <w:rPr>
                <w:rStyle w:val="Boldunderline"/>
                <w:rFonts w:asciiTheme="minorHAnsi" w:hAnsiTheme="minorHAnsi"/>
              </w:rPr>
            </w:pPr>
            <w:hyperlink r:id="rId184" w:history="1">
              <w:r w:rsidR="007366D4" w:rsidRPr="00FD2F0C">
                <w:rPr>
                  <w:rStyle w:val="Boldunderline"/>
                  <w:rFonts w:asciiTheme="minorHAnsi" w:hAnsiTheme="minorHAnsi"/>
                </w:rPr>
                <w:t>1/55</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3D945823" w14:textId="77777777" w:rsidR="007366D4" w:rsidRPr="00FD2F0C" w:rsidRDefault="007366D4" w:rsidP="00745ECC">
            <w:pPr>
              <w:pStyle w:val="Tabletext0"/>
              <w:rPr>
                <w:lang w:val="en-US"/>
              </w:rPr>
            </w:pPr>
            <w:r w:rsidRPr="00FD2F0C">
              <w:rPr>
                <w:lang w:val="en-US"/>
              </w:rPr>
              <w:t>2014-08-29</w:t>
            </w:r>
          </w:p>
        </w:tc>
        <w:tc>
          <w:tcPr>
            <w:tcW w:w="1384" w:type="pct"/>
            <w:tcBorders>
              <w:top w:val="single" w:sz="12" w:space="0" w:color="auto"/>
              <w:left w:val="single" w:sz="12" w:space="0" w:color="auto"/>
              <w:bottom w:val="single" w:sz="12" w:space="0" w:color="auto"/>
              <w:right w:val="single" w:sz="12" w:space="0" w:color="auto"/>
            </w:tcBorders>
            <w:hideMark/>
          </w:tcPr>
          <w:p w14:paraId="7F06114D" w14:textId="77777777" w:rsidR="007366D4" w:rsidRPr="00FD2F0C" w:rsidRDefault="007366D4" w:rsidP="00745ECC">
            <w:pPr>
              <w:pStyle w:val="Tabletext0"/>
              <w:rPr>
                <w:lang w:val="en-US"/>
              </w:rPr>
            </w:pPr>
            <w:r w:rsidRPr="00FD2F0C">
              <w:rPr>
                <w:lang w:val="en-US"/>
              </w:rPr>
              <w:t>BDT Focal Point for Resolution 9</w:t>
            </w:r>
          </w:p>
        </w:tc>
        <w:tc>
          <w:tcPr>
            <w:tcW w:w="2386" w:type="pct"/>
            <w:tcBorders>
              <w:top w:val="single" w:sz="12" w:space="0" w:color="auto"/>
              <w:left w:val="single" w:sz="12" w:space="0" w:color="auto"/>
              <w:bottom w:val="single" w:sz="12" w:space="0" w:color="auto"/>
              <w:right w:val="single" w:sz="12" w:space="0" w:color="auto"/>
            </w:tcBorders>
            <w:hideMark/>
          </w:tcPr>
          <w:p w14:paraId="26D2B36E" w14:textId="77777777" w:rsidR="007366D4" w:rsidRPr="00FD2F0C" w:rsidRDefault="007366D4" w:rsidP="00745ECC">
            <w:pPr>
              <w:pStyle w:val="Tabletext0"/>
              <w:jc w:val="both"/>
              <w:rPr>
                <w:lang w:val="en-US"/>
              </w:rPr>
            </w:pPr>
            <w:r w:rsidRPr="00FD2F0C">
              <w:rPr>
                <w:lang w:val="en-US"/>
              </w:rPr>
              <w:t>Resolution 9 and BDT activities in spectrum management</w:t>
            </w:r>
          </w:p>
        </w:tc>
      </w:tr>
      <w:tr w:rsidR="007366D4" w:rsidRPr="00573C99" w14:paraId="6FF536D2"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6457C98B" w14:textId="77777777" w:rsidR="007366D4" w:rsidRPr="00FD2F0C" w:rsidRDefault="00573C99" w:rsidP="00745ECC">
            <w:pPr>
              <w:jc w:val="left"/>
              <w:rPr>
                <w:rStyle w:val="Boldunderline"/>
                <w:rFonts w:asciiTheme="minorHAnsi" w:hAnsiTheme="minorHAnsi"/>
              </w:rPr>
            </w:pPr>
            <w:hyperlink r:id="rId185" w:history="1">
              <w:r w:rsidR="007366D4" w:rsidRPr="00FD2F0C">
                <w:rPr>
                  <w:rStyle w:val="Boldunderline"/>
                  <w:rFonts w:asciiTheme="minorHAnsi" w:hAnsiTheme="minorHAnsi"/>
                </w:rPr>
                <w:t>1/54</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16DBB73C" w14:textId="77777777" w:rsidR="007366D4" w:rsidRPr="00FD2F0C" w:rsidRDefault="007366D4" w:rsidP="00745ECC">
            <w:pPr>
              <w:pStyle w:val="Tabletext0"/>
              <w:rPr>
                <w:lang w:val="en-US"/>
              </w:rPr>
            </w:pPr>
            <w:r w:rsidRPr="00FD2F0C">
              <w:rPr>
                <w:lang w:val="en-US"/>
              </w:rPr>
              <w:t>2014-08-28</w:t>
            </w:r>
          </w:p>
        </w:tc>
        <w:tc>
          <w:tcPr>
            <w:tcW w:w="1384" w:type="pct"/>
            <w:tcBorders>
              <w:top w:val="single" w:sz="12" w:space="0" w:color="auto"/>
              <w:left w:val="single" w:sz="12" w:space="0" w:color="auto"/>
              <w:bottom w:val="single" w:sz="12" w:space="0" w:color="auto"/>
              <w:right w:val="single" w:sz="12" w:space="0" w:color="auto"/>
            </w:tcBorders>
            <w:hideMark/>
          </w:tcPr>
          <w:p w14:paraId="06113531" w14:textId="77777777" w:rsidR="007366D4" w:rsidRPr="00FD2F0C" w:rsidRDefault="007366D4" w:rsidP="00745ECC">
            <w:pPr>
              <w:pStyle w:val="Tabletext0"/>
              <w:rPr>
                <w:lang w:val="en-US"/>
              </w:rPr>
            </w:pPr>
            <w:r w:rsidRPr="00FD2F0C">
              <w:t>Korea (Republic of)</w:t>
            </w:r>
          </w:p>
        </w:tc>
        <w:tc>
          <w:tcPr>
            <w:tcW w:w="2386" w:type="pct"/>
            <w:tcBorders>
              <w:top w:val="single" w:sz="12" w:space="0" w:color="auto"/>
              <w:left w:val="single" w:sz="12" w:space="0" w:color="auto"/>
              <w:bottom w:val="single" w:sz="12" w:space="0" w:color="auto"/>
              <w:right w:val="single" w:sz="12" w:space="0" w:color="auto"/>
            </w:tcBorders>
            <w:hideMark/>
          </w:tcPr>
          <w:p w14:paraId="5D325BB6" w14:textId="77777777" w:rsidR="007366D4" w:rsidRPr="00FD2F0C" w:rsidRDefault="007366D4" w:rsidP="00745ECC">
            <w:pPr>
              <w:pStyle w:val="Tabletext0"/>
              <w:jc w:val="both"/>
              <w:rPr>
                <w:lang w:val="en-US"/>
              </w:rPr>
            </w:pPr>
            <w:r w:rsidRPr="00FD2F0C">
              <w:rPr>
                <w:lang w:val="en-US"/>
              </w:rPr>
              <w:t>The experience of beauty contest and auction in spectrum management in the Republic of Korea</w:t>
            </w:r>
          </w:p>
        </w:tc>
      </w:tr>
      <w:tr w:rsidR="007366D4" w:rsidRPr="00573C99" w14:paraId="66981B33"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2D451119" w14:textId="77777777" w:rsidR="007366D4" w:rsidRPr="00FD2F0C" w:rsidRDefault="00573C99" w:rsidP="00745ECC">
            <w:pPr>
              <w:spacing w:line="240" w:lineRule="atLeast"/>
              <w:jc w:val="left"/>
              <w:rPr>
                <w:rStyle w:val="Boldunderline"/>
                <w:rFonts w:asciiTheme="minorHAnsi" w:hAnsiTheme="minorHAnsi"/>
              </w:rPr>
            </w:pPr>
            <w:hyperlink r:id="rId186" w:history="1">
              <w:r w:rsidR="007366D4" w:rsidRPr="00FD2F0C">
                <w:rPr>
                  <w:rStyle w:val="Boldunderline"/>
                  <w:rFonts w:asciiTheme="minorHAnsi" w:hAnsiTheme="minorHAnsi"/>
                </w:rPr>
                <w:t>1/50</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4DADBAD5" w14:textId="77777777" w:rsidR="007366D4" w:rsidRPr="00FD2F0C" w:rsidRDefault="007366D4" w:rsidP="00745ECC">
            <w:pPr>
              <w:pStyle w:val="Tabletext0"/>
              <w:rPr>
                <w:lang w:val="en-US"/>
              </w:rPr>
            </w:pPr>
            <w:r w:rsidRPr="00FD2F0C">
              <w:rPr>
                <w:lang w:val="en-US"/>
              </w:rPr>
              <w:t>2014-08-28</w:t>
            </w:r>
          </w:p>
        </w:tc>
        <w:tc>
          <w:tcPr>
            <w:tcW w:w="1384" w:type="pct"/>
            <w:tcBorders>
              <w:top w:val="single" w:sz="12" w:space="0" w:color="auto"/>
              <w:left w:val="single" w:sz="12" w:space="0" w:color="auto"/>
              <w:bottom w:val="single" w:sz="12" w:space="0" w:color="auto"/>
              <w:right w:val="single" w:sz="12" w:space="0" w:color="auto"/>
            </w:tcBorders>
            <w:hideMark/>
          </w:tcPr>
          <w:p w14:paraId="1CE5538D" w14:textId="77777777" w:rsidR="007366D4" w:rsidRPr="00FD2F0C" w:rsidRDefault="007366D4" w:rsidP="00745ECC">
            <w:pPr>
              <w:pStyle w:val="Tabletext0"/>
              <w:rPr>
                <w:lang w:val="en-US"/>
              </w:rPr>
            </w:pPr>
            <w:r w:rsidRPr="00FD2F0C">
              <w:t>United States of America</w:t>
            </w:r>
          </w:p>
        </w:tc>
        <w:tc>
          <w:tcPr>
            <w:tcW w:w="2386" w:type="pct"/>
            <w:tcBorders>
              <w:top w:val="single" w:sz="12" w:space="0" w:color="auto"/>
              <w:left w:val="single" w:sz="12" w:space="0" w:color="auto"/>
              <w:bottom w:val="single" w:sz="12" w:space="0" w:color="auto"/>
              <w:right w:val="single" w:sz="12" w:space="0" w:color="auto"/>
            </w:tcBorders>
            <w:hideMark/>
          </w:tcPr>
          <w:p w14:paraId="24C2F75B" w14:textId="77777777" w:rsidR="007366D4" w:rsidRPr="00FD2F0C" w:rsidRDefault="007366D4" w:rsidP="00745ECC">
            <w:pPr>
              <w:pStyle w:val="Tabletext0"/>
              <w:jc w:val="both"/>
              <w:rPr>
                <w:lang w:val="en-US"/>
              </w:rPr>
            </w:pPr>
            <w:r w:rsidRPr="00FD2F0C">
              <w:rPr>
                <w:lang w:val="en-US"/>
              </w:rPr>
              <w:t>Selected recent developments in U.S. spectrum management</w:t>
            </w:r>
          </w:p>
        </w:tc>
      </w:tr>
      <w:tr w:rsidR="007366D4" w:rsidRPr="00573C99" w14:paraId="113A376C" w14:textId="77777777" w:rsidTr="00745ECC">
        <w:tc>
          <w:tcPr>
            <w:tcW w:w="556" w:type="pct"/>
            <w:tcBorders>
              <w:top w:val="single" w:sz="12" w:space="0" w:color="auto"/>
              <w:left w:val="single" w:sz="12" w:space="0" w:color="auto"/>
              <w:bottom w:val="single" w:sz="12" w:space="0" w:color="auto"/>
              <w:right w:val="single" w:sz="12" w:space="0" w:color="auto"/>
            </w:tcBorders>
            <w:hideMark/>
          </w:tcPr>
          <w:p w14:paraId="745855C1" w14:textId="77777777" w:rsidR="007366D4" w:rsidRPr="00FD2F0C" w:rsidRDefault="00573C99" w:rsidP="00745ECC">
            <w:pPr>
              <w:spacing w:line="240" w:lineRule="atLeast"/>
              <w:jc w:val="left"/>
              <w:rPr>
                <w:rStyle w:val="Boldunderline"/>
                <w:rFonts w:asciiTheme="minorHAnsi" w:hAnsiTheme="minorHAnsi"/>
              </w:rPr>
            </w:pPr>
            <w:hyperlink r:id="rId187" w:history="1">
              <w:r w:rsidR="007366D4" w:rsidRPr="00FD2F0C">
                <w:rPr>
                  <w:rStyle w:val="Boldunderline"/>
                  <w:rFonts w:asciiTheme="minorHAnsi" w:hAnsiTheme="minorHAnsi"/>
                </w:rPr>
                <w:t>1/3</w:t>
              </w:r>
            </w:hyperlink>
            <w:r w:rsidR="007366D4" w:rsidRPr="00FD2F0C">
              <w:rPr>
                <w:rStyle w:val="Boldunderline"/>
                <w:rFonts w:asciiTheme="minorHAnsi" w:hAnsiTheme="minorHAnsi"/>
              </w:rPr>
              <w:br/>
            </w:r>
          </w:p>
        </w:tc>
        <w:tc>
          <w:tcPr>
            <w:tcW w:w="674" w:type="pct"/>
            <w:tcBorders>
              <w:top w:val="single" w:sz="12" w:space="0" w:color="auto"/>
              <w:left w:val="single" w:sz="12" w:space="0" w:color="auto"/>
              <w:bottom w:val="single" w:sz="12" w:space="0" w:color="auto"/>
              <w:right w:val="single" w:sz="12" w:space="0" w:color="auto"/>
            </w:tcBorders>
            <w:noWrap/>
            <w:hideMark/>
          </w:tcPr>
          <w:p w14:paraId="7BDED255" w14:textId="77777777" w:rsidR="007366D4" w:rsidRPr="00FD2F0C" w:rsidRDefault="007366D4" w:rsidP="00745ECC">
            <w:pPr>
              <w:pStyle w:val="Tabletext0"/>
              <w:rPr>
                <w:lang w:val="en-US"/>
              </w:rPr>
            </w:pPr>
            <w:r w:rsidRPr="00FD2F0C">
              <w:rPr>
                <w:lang w:val="en-US"/>
              </w:rPr>
              <w:t>2014-08-20</w:t>
            </w:r>
          </w:p>
        </w:tc>
        <w:tc>
          <w:tcPr>
            <w:tcW w:w="1384" w:type="pct"/>
            <w:tcBorders>
              <w:top w:val="single" w:sz="12" w:space="0" w:color="auto"/>
              <w:left w:val="single" w:sz="12" w:space="0" w:color="auto"/>
              <w:bottom w:val="single" w:sz="12" w:space="0" w:color="auto"/>
              <w:right w:val="single" w:sz="12" w:space="0" w:color="auto"/>
            </w:tcBorders>
            <w:hideMark/>
          </w:tcPr>
          <w:p w14:paraId="2E380596" w14:textId="77777777" w:rsidR="007366D4" w:rsidRPr="00FD2F0C" w:rsidRDefault="007366D4" w:rsidP="00745ECC">
            <w:pPr>
              <w:pStyle w:val="Tabletext0"/>
              <w:rPr>
                <w:lang w:val="en-US"/>
              </w:rPr>
            </w:pPr>
            <w:r w:rsidRPr="00FD2F0C">
              <w:t>Telecommunication Development Bureau</w:t>
            </w:r>
          </w:p>
        </w:tc>
        <w:tc>
          <w:tcPr>
            <w:tcW w:w="2386" w:type="pct"/>
            <w:tcBorders>
              <w:top w:val="single" w:sz="12" w:space="0" w:color="auto"/>
              <w:left w:val="single" w:sz="12" w:space="0" w:color="auto"/>
              <w:bottom w:val="single" w:sz="12" w:space="0" w:color="auto"/>
              <w:right w:val="single" w:sz="12" w:space="0" w:color="auto"/>
            </w:tcBorders>
            <w:hideMark/>
          </w:tcPr>
          <w:p w14:paraId="363B04F7" w14:textId="77777777" w:rsidR="007366D4" w:rsidRPr="00FD2F0C" w:rsidRDefault="007366D4" w:rsidP="00745ECC">
            <w:pPr>
              <w:pStyle w:val="Tabletext0"/>
              <w:jc w:val="both"/>
              <w:rPr>
                <w:lang w:val="en-US"/>
              </w:rPr>
            </w:pPr>
            <w:r w:rsidRPr="00FD2F0C">
              <w:rPr>
                <w:lang w:val="en-US"/>
              </w:rPr>
              <w:t>Resolution 9 (Rev. Dubai, 2014): Participation of countries, particularly developing countries, in spectrum management</w:t>
            </w:r>
          </w:p>
        </w:tc>
      </w:tr>
    </w:tbl>
    <w:p w14:paraId="016CECDA" w14:textId="77777777" w:rsidR="007366D4" w:rsidRPr="00FD2F0C" w:rsidRDefault="007366D4" w:rsidP="007366D4">
      <w:pPr>
        <w:pStyle w:val="Call"/>
        <w:keepNext w:val="0"/>
        <w:keepLines w:val="0"/>
        <w:spacing w:before="120"/>
        <w:ind w:left="0"/>
        <w:rPr>
          <w:rFonts w:asciiTheme="minorHAnsi" w:eastAsia="Times New Roman" w:hAnsiTheme="minorHAnsi"/>
          <w:b/>
          <w:bCs/>
          <w:i w:val="0"/>
          <w:szCs w:val="24"/>
          <w:lang w:val="en-US" w:eastAsia="en-US"/>
        </w:rPr>
      </w:pPr>
      <w:r w:rsidRPr="00FD2F0C">
        <w:rPr>
          <w:rFonts w:asciiTheme="minorHAnsi" w:hAnsiTheme="minorHAnsi"/>
          <w:b/>
          <w:bCs/>
          <w:i w:val="0"/>
          <w:szCs w:val="24"/>
          <w:lang w:val="en-US"/>
        </w:rPr>
        <w:t>Liaison Statements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19"/>
        <w:gridCol w:w="1276"/>
        <w:gridCol w:w="2694"/>
        <w:gridCol w:w="4520"/>
      </w:tblGrid>
      <w:tr w:rsidR="007366D4" w:rsidRPr="00FD2F0C" w14:paraId="1270F2DF"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4AC706AA" w14:textId="77777777" w:rsidR="007366D4" w:rsidRPr="00FD2F0C" w:rsidRDefault="007366D4" w:rsidP="00F75C2B">
            <w:pPr>
              <w:pStyle w:val="Tableheadwhitecentred"/>
              <w:spacing w:before="20" w:after="20"/>
              <w:rPr>
                <w:rFonts w:eastAsia="Times New Roman"/>
                <w:lang w:eastAsia="en-US"/>
              </w:rPr>
            </w:pPr>
            <w:r w:rsidRPr="00FD2F0C">
              <w:t>Web</w:t>
            </w:r>
          </w:p>
        </w:tc>
        <w:tc>
          <w:tcPr>
            <w:tcW w:w="664" w:type="pct"/>
            <w:tcBorders>
              <w:top w:val="single" w:sz="12" w:space="0" w:color="auto"/>
              <w:left w:val="single" w:sz="12" w:space="0" w:color="auto"/>
              <w:bottom w:val="single" w:sz="12" w:space="0" w:color="auto"/>
              <w:right w:val="single" w:sz="12" w:space="0" w:color="auto"/>
            </w:tcBorders>
            <w:noWrap/>
            <w:hideMark/>
          </w:tcPr>
          <w:p w14:paraId="50578CB0" w14:textId="77777777" w:rsidR="007366D4" w:rsidRPr="00FD2F0C" w:rsidRDefault="007366D4" w:rsidP="00F75C2B">
            <w:pPr>
              <w:pStyle w:val="Tableheadwhitecentred"/>
              <w:spacing w:before="20" w:after="20"/>
            </w:pPr>
            <w:r w:rsidRPr="00FD2F0C">
              <w:t>Received</w:t>
            </w:r>
          </w:p>
        </w:tc>
        <w:tc>
          <w:tcPr>
            <w:tcW w:w="1402" w:type="pct"/>
            <w:tcBorders>
              <w:top w:val="single" w:sz="12" w:space="0" w:color="auto"/>
              <w:left w:val="single" w:sz="12" w:space="0" w:color="auto"/>
              <w:bottom w:val="single" w:sz="12" w:space="0" w:color="auto"/>
              <w:right w:val="single" w:sz="12" w:space="0" w:color="auto"/>
            </w:tcBorders>
            <w:noWrap/>
            <w:hideMark/>
          </w:tcPr>
          <w:p w14:paraId="49BD1494" w14:textId="77777777" w:rsidR="007366D4" w:rsidRPr="00FD2F0C" w:rsidRDefault="007366D4" w:rsidP="00F75C2B">
            <w:pPr>
              <w:pStyle w:val="Tableheadwhitecentred"/>
              <w:spacing w:before="20" w:after="20"/>
            </w:pPr>
            <w:r w:rsidRPr="00FD2F0C">
              <w:t>Source</w:t>
            </w:r>
          </w:p>
        </w:tc>
        <w:tc>
          <w:tcPr>
            <w:tcW w:w="2352" w:type="pct"/>
            <w:tcBorders>
              <w:top w:val="single" w:sz="12" w:space="0" w:color="auto"/>
              <w:left w:val="single" w:sz="12" w:space="0" w:color="auto"/>
              <w:bottom w:val="single" w:sz="12" w:space="0" w:color="auto"/>
              <w:right w:val="single" w:sz="12" w:space="0" w:color="auto"/>
            </w:tcBorders>
            <w:noWrap/>
            <w:hideMark/>
          </w:tcPr>
          <w:p w14:paraId="75CB4708" w14:textId="77777777" w:rsidR="007366D4" w:rsidRPr="00FD2F0C" w:rsidRDefault="007366D4" w:rsidP="00F75C2B">
            <w:pPr>
              <w:pStyle w:val="Tableheadwhitecentred"/>
              <w:spacing w:before="20" w:after="20"/>
            </w:pPr>
            <w:r w:rsidRPr="00FD2F0C">
              <w:t>Title</w:t>
            </w:r>
          </w:p>
        </w:tc>
      </w:tr>
      <w:tr w:rsidR="007366D4" w:rsidRPr="00573C99" w14:paraId="58516854"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12221D52" w14:textId="77777777" w:rsidR="007366D4" w:rsidRPr="00FD2F0C" w:rsidRDefault="00573C99" w:rsidP="00F75C2B">
            <w:pPr>
              <w:spacing w:before="20" w:after="20"/>
              <w:jc w:val="left"/>
              <w:rPr>
                <w:rStyle w:val="Boldunderline"/>
                <w:rFonts w:asciiTheme="minorHAnsi" w:hAnsiTheme="minorHAnsi"/>
              </w:rPr>
            </w:pPr>
            <w:hyperlink r:id="rId188" w:history="1">
              <w:r w:rsidR="007366D4" w:rsidRPr="00FD2F0C">
                <w:rPr>
                  <w:rStyle w:val="Boldunderline"/>
                  <w:rFonts w:asciiTheme="minorHAnsi" w:hAnsiTheme="minorHAnsi"/>
                </w:rPr>
                <w:t>1/436</w:t>
              </w:r>
            </w:hyperlink>
          </w:p>
        </w:tc>
        <w:tc>
          <w:tcPr>
            <w:tcW w:w="664" w:type="pct"/>
            <w:tcBorders>
              <w:top w:val="single" w:sz="12" w:space="0" w:color="auto"/>
              <w:left w:val="single" w:sz="12" w:space="0" w:color="auto"/>
              <w:bottom w:val="single" w:sz="12" w:space="0" w:color="auto"/>
              <w:right w:val="single" w:sz="12" w:space="0" w:color="auto"/>
            </w:tcBorders>
            <w:noWrap/>
            <w:hideMark/>
          </w:tcPr>
          <w:p w14:paraId="41CB9121" w14:textId="77777777" w:rsidR="007366D4" w:rsidRPr="00FD2F0C" w:rsidRDefault="007366D4" w:rsidP="00F75C2B">
            <w:pPr>
              <w:pStyle w:val="Tabletext0"/>
              <w:spacing w:before="20" w:after="20"/>
              <w:jc w:val="both"/>
              <w:rPr>
                <w:lang w:val="en-US"/>
              </w:rPr>
            </w:pPr>
            <w:r w:rsidRPr="00FD2F0C">
              <w:rPr>
                <w:lang w:val="en-US"/>
              </w:rPr>
              <w:t>2017-03-15</w:t>
            </w:r>
          </w:p>
        </w:tc>
        <w:tc>
          <w:tcPr>
            <w:tcW w:w="1402" w:type="pct"/>
            <w:tcBorders>
              <w:top w:val="single" w:sz="12" w:space="0" w:color="auto"/>
              <w:left w:val="single" w:sz="12" w:space="0" w:color="auto"/>
              <w:bottom w:val="single" w:sz="12" w:space="0" w:color="auto"/>
              <w:right w:val="single" w:sz="12" w:space="0" w:color="auto"/>
            </w:tcBorders>
            <w:noWrap/>
            <w:hideMark/>
          </w:tcPr>
          <w:p w14:paraId="398B7DA0" w14:textId="77777777" w:rsidR="007366D4" w:rsidRPr="00FD2F0C" w:rsidRDefault="007366D4" w:rsidP="00F75C2B">
            <w:pPr>
              <w:pStyle w:val="Tabletext0"/>
              <w:spacing w:before="20" w:after="20"/>
              <w:rPr>
                <w:lang w:val="en-US"/>
              </w:rPr>
            </w:pPr>
            <w:r w:rsidRPr="00FD2F0C">
              <w:rPr>
                <w:lang w:val="en-US"/>
              </w:rPr>
              <w:t>ITU-R Study Groups - Working Party 5D</w:t>
            </w:r>
          </w:p>
        </w:tc>
        <w:tc>
          <w:tcPr>
            <w:tcW w:w="2352" w:type="pct"/>
            <w:tcBorders>
              <w:top w:val="single" w:sz="12" w:space="0" w:color="auto"/>
              <w:left w:val="single" w:sz="12" w:space="0" w:color="auto"/>
              <w:bottom w:val="single" w:sz="12" w:space="0" w:color="auto"/>
              <w:right w:val="single" w:sz="12" w:space="0" w:color="auto"/>
            </w:tcBorders>
            <w:noWrap/>
            <w:hideMark/>
          </w:tcPr>
          <w:p w14:paraId="375F2669" w14:textId="77777777" w:rsidR="007366D4" w:rsidRPr="00FD2F0C" w:rsidRDefault="007366D4" w:rsidP="00F75C2B">
            <w:pPr>
              <w:pStyle w:val="Tabletext0"/>
              <w:spacing w:before="20" w:after="20"/>
              <w:jc w:val="both"/>
              <w:rPr>
                <w:lang w:val="en-US"/>
              </w:rPr>
            </w:pPr>
            <w:r w:rsidRPr="00FD2F0C">
              <w:rPr>
                <w:lang w:val="en-US"/>
              </w:rPr>
              <w:t>Liaison Statement from ITU-R WP 5D to ITU-D/ITU-R Joint Group on Resolution 9 on spectrum management principles, challenges and issues related to dynamic access to frequency bands by means of radio systems employing cognitive capabilities</w:t>
            </w:r>
          </w:p>
        </w:tc>
      </w:tr>
      <w:tr w:rsidR="007366D4" w:rsidRPr="00573C99" w14:paraId="11A214D1"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461C44B8" w14:textId="77777777" w:rsidR="007366D4" w:rsidRPr="00FD2F0C" w:rsidRDefault="00573C99" w:rsidP="00F75C2B">
            <w:pPr>
              <w:spacing w:before="20" w:after="20"/>
              <w:jc w:val="left"/>
              <w:rPr>
                <w:rStyle w:val="Boldunderline"/>
                <w:rFonts w:asciiTheme="minorHAnsi" w:hAnsiTheme="minorHAnsi"/>
              </w:rPr>
            </w:pPr>
            <w:hyperlink r:id="rId189" w:history="1">
              <w:r w:rsidR="007366D4" w:rsidRPr="00FD2F0C">
                <w:rPr>
                  <w:rStyle w:val="Boldunderline"/>
                  <w:rFonts w:asciiTheme="minorHAnsi" w:hAnsiTheme="minorHAnsi"/>
                </w:rPr>
                <w:t>RGQ/308</w:t>
              </w:r>
            </w:hyperlink>
          </w:p>
        </w:tc>
        <w:tc>
          <w:tcPr>
            <w:tcW w:w="664" w:type="pct"/>
            <w:tcBorders>
              <w:top w:val="single" w:sz="12" w:space="0" w:color="auto"/>
              <w:left w:val="single" w:sz="12" w:space="0" w:color="auto"/>
              <w:bottom w:val="single" w:sz="12" w:space="0" w:color="auto"/>
              <w:right w:val="single" w:sz="12" w:space="0" w:color="auto"/>
            </w:tcBorders>
            <w:noWrap/>
            <w:hideMark/>
          </w:tcPr>
          <w:p w14:paraId="45851764" w14:textId="77777777" w:rsidR="007366D4" w:rsidRPr="00FD2F0C" w:rsidRDefault="007366D4" w:rsidP="00F75C2B">
            <w:pPr>
              <w:pStyle w:val="Tabletext0"/>
              <w:spacing w:before="20" w:after="20"/>
              <w:jc w:val="both"/>
              <w:rPr>
                <w:lang w:val="en-US"/>
              </w:rPr>
            </w:pPr>
            <w:r w:rsidRPr="00FD2F0C">
              <w:rPr>
                <w:lang w:val="en-US"/>
              </w:rPr>
              <w:t>2016-12-15</w:t>
            </w:r>
          </w:p>
        </w:tc>
        <w:tc>
          <w:tcPr>
            <w:tcW w:w="1402" w:type="pct"/>
            <w:tcBorders>
              <w:top w:val="single" w:sz="12" w:space="0" w:color="auto"/>
              <w:left w:val="single" w:sz="12" w:space="0" w:color="auto"/>
              <w:bottom w:val="single" w:sz="12" w:space="0" w:color="auto"/>
              <w:right w:val="single" w:sz="12" w:space="0" w:color="auto"/>
            </w:tcBorders>
            <w:noWrap/>
          </w:tcPr>
          <w:p w14:paraId="1DDF3B49" w14:textId="77777777" w:rsidR="007366D4" w:rsidRPr="00FD2F0C" w:rsidRDefault="007366D4" w:rsidP="00F75C2B">
            <w:pPr>
              <w:pStyle w:val="Tabletext0"/>
              <w:spacing w:before="20" w:after="20"/>
              <w:rPr>
                <w:lang w:val="en-US"/>
              </w:rPr>
            </w:pPr>
            <w:r w:rsidRPr="00FD2F0C">
              <w:rPr>
                <w:lang w:val="en-US"/>
              </w:rPr>
              <w:t>ITU-R Study Groups - Working Party 1B</w:t>
            </w:r>
          </w:p>
          <w:p w14:paraId="17F21ED6" w14:textId="77777777" w:rsidR="007366D4" w:rsidRPr="00FD2F0C" w:rsidRDefault="007366D4" w:rsidP="00F75C2B">
            <w:pPr>
              <w:pStyle w:val="Tabletext0"/>
              <w:spacing w:before="20" w:after="20"/>
              <w:rPr>
                <w:lang w:val="en-US"/>
              </w:rPr>
            </w:pPr>
          </w:p>
        </w:tc>
        <w:tc>
          <w:tcPr>
            <w:tcW w:w="2352" w:type="pct"/>
            <w:tcBorders>
              <w:top w:val="single" w:sz="12" w:space="0" w:color="auto"/>
              <w:left w:val="single" w:sz="12" w:space="0" w:color="auto"/>
              <w:bottom w:val="single" w:sz="12" w:space="0" w:color="auto"/>
              <w:right w:val="single" w:sz="12" w:space="0" w:color="auto"/>
            </w:tcBorders>
            <w:noWrap/>
            <w:hideMark/>
          </w:tcPr>
          <w:p w14:paraId="3E95BDE0" w14:textId="77777777" w:rsidR="007366D4" w:rsidRPr="00FD2F0C" w:rsidRDefault="007366D4" w:rsidP="00F75C2B">
            <w:pPr>
              <w:pStyle w:val="Tabletext0"/>
              <w:spacing w:before="20" w:after="20"/>
              <w:jc w:val="both"/>
              <w:rPr>
                <w:lang w:val="en-US"/>
              </w:rPr>
            </w:pPr>
            <w:r w:rsidRPr="00FD2F0C">
              <w:rPr>
                <w:lang w:val="en-US"/>
              </w:rPr>
              <w:t>Liaison Statement from ITU-R WP1B to ITU-D/ITU-R Joint Group for Resolution 9 on Spectrum management principles, challenges and issues related to dynamic access to frequency bands by means of radio systems employing cognitive capabilities</w:t>
            </w:r>
          </w:p>
        </w:tc>
      </w:tr>
      <w:tr w:rsidR="007366D4" w:rsidRPr="00573C99" w14:paraId="2ED5272D"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1205529F" w14:textId="77777777" w:rsidR="007366D4" w:rsidRPr="00FD2F0C" w:rsidRDefault="00573C99" w:rsidP="00F75C2B">
            <w:pPr>
              <w:spacing w:before="20" w:after="20"/>
              <w:jc w:val="left"/>
              <w:rPr>
                <w:rStyle w:val="Boldunderline"/>
                <w:rFonts w:asciiTheme="minorHAnsi" w:hAnsiTheme="minorHAnsi"/>
              </w:rPr>
            </w:pPr>
            <w:hyperlink r:id="rId190" w:history="1">
              <w:r w:rsidR="007366D4" w:rsidRPr="00FD2F0C">
                <w:rPr>
                  <w:rStyle w:val="Boldunderline"/>
                  <w:rFonts w:asciiTheme="minorHAnsi" w:hAnsiTheme="minorHAnsi"/>
                </w:rPr>
                <w:t>RGQ/307</w:t>
              </w:r>
            </w:hyperlink>
          </w:p>
        </w:tc>
        <w:tc>
          <w:tcPr>
            <w:tcW w:w="664" w:type="pct"/>
            <w:tcBorders>
              <w:top w:val="single" w:sz="12" w:space="0" w:color="auto"/>
              <w:left w:val="single" w:sz="12" w:space="0" w:color="auto"/>
              <w:bottom w:val="single" w:sz="12" w:space="0" w:color="auto"/>
              <w:right w:val="single" w:sz="12" w:space="0" w:color="auto"/>
            </w:tcBorders>
            <w:noWrap/>
          </w:tcPr>
          <w:p w14:paraId="713F562E" w14:textId="77777777" w:rsidR="007366D4" w:rsidRPr="00FD2F0C" w:rsidRDefault="007366D4" w:rsidP="00F75C2B">
            <w:pPr>
              <w:pStyle w:val="Tabletext0"/>
              <w:spacing w:before="20" w:after="20"/>
              <w:jc w:val="both"/>
              <w:rPr>
                <w:lang w:val="en-US"/>
              </w:rPr>
            </w:pPr>
          </w:p>
        </w:tc>
        <w:tc>
          <w:tcPr>
            <w:tcW w:w="1402" w:type="pct"/>
            <w:tcBorders>
              <w:top w:val="single" w:sz="12" w:space="0" w:color="auto"/>
              <w:left w:val="single" w:sz="12" w:space="0" w:color="auto"/>
              <w:bottom w:val="single" w:sz="12" w:space="0" w:color="auto"/>
              <w:right w:val="single" w:sz="12" w:space="0" w:color="auto"/>
            </w:tcBorders>
            <w:noWrap/>
            <w:hideMark/>
          </w:tcPr>
          <w:p w14:paraId="25DA1A4C" w14:textId="77777777" w:rsidR="007366D4" w:rsidRPr="00FD2F0C" w:rsidRDefault="007366D4" w:rsidP="00F75C2B">
            <w:pPr>
              <w:pStyle w:val="Tabletext0"/>
              <w:spacing w:before="20" w:after="20"/>
              <w:rPr>
                <w:lang w:val="en-US"/>
              </w:rPr>
            </w:pPr>
            <w:r w:rsidRPr="00FD2F0C">
              <w:rPr>
                <w:lang w:val="en-US"/>
              </w:rPr>
              <w:t xml:space="preserve">ITU-R Study Groups - Working Party 1B </w:t>
            </w:r>
          </w:p>
        </w:tc>
        <w:tc>
          <w:tcPr>
            <w:tcW w:w="2352" w:type="pct"/>
            <w:tcBorders>
              <w:top w:val="single" w:sz="12" w:space="0" w:color="auto"/>
              <w:left w:val="single" w:sz="12" w:space="0" w:color="auto"/>
              <w:bottom w:val="single" w:sz="12" w:space="0" w:color="auto"/>
              <w:right w:val="single" w:sz="12" w:space="0" w:color="auto"/>
            </w:tcBorders>
            <w:noWrap/>
            <w:hideMark/>
          </w:tcPr>
          <w:p w14:paraId="3B2FAB8E" w14:textId="77777777" w:rsidR="007366D4" w:rsidRPr="00FD2F0C" w:rsidRDefault="007366D4" w:rsidP="00F75C2B">
            <w:pPr>
              <w:pStyle w:val="Tabletext0"/>
              <w:spacing w:before="20" w:after="20"/>
              <w:jc w:val="both"/>
              <w:rPr>
                <w:lang w:val="en-US"/>
              </w:rPr>
            </w:pPr>
            <w:r w:rsidRPr="00FD2F0C">
              <w:rPr>
                <w:lang w:val="en-US"/>
              </w:rPr>
              <w:t>Liaison Statement from ITU-R WP1B to ITU-R/ITU-D Joint Group on WTDC Resolution 9 on Resolution 9 Draft Output Report</w:t>
            </w:r>
          </w:p>
        </w:tc>
      </w:tr>
      <w:tr w:rsidR="007366D4" w:rsidRPr="00573C99" w14:paraId="7C909271"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424CB2DA" w14:textId="77777777" w:rsidR="007366D4" w:rsidRPr="00FD2F0C" w:rsidRDefault="00573C99" w:rsidP="00F75C2B">
            <w:pPr>
              <w:spacing w:before="20" w:after="20"/>
              <w:jc w:val="left"/>
              <w:rPr>
                <w:rStyle w:val="Boldunderline"/>
                <w:rFonts w:asciiTheme="minorHAnsi" w:hAnsiTheme="minorHAnsi"/>
              </w:rPr>
            </w:pPr>
            <w:hyperlink r:id="rId191" w:history="1">
              <w:r w:rsidR="007366D4" w:rsidRPr="00FD2F0C">
                <w:rPr>
                  <w:rStyle w:val="Boldunderline"/>
                  <w:rFonts w:asciiTheme="minorHAnsi" w:hAnsiTheme="minorHAnsi"/>
                </w:rPr>
                <w:t>RGQ/306</w:t>
              </w:r>
            </w:hyperlink>
          </w:p>
        </w:tc>
        <w:tc>
          <w:tcPr>
            <w:tcW w:w="664" w:type="pct"/>
            <w:tcBorders>
              <w:top w:val="single" w:sz="12" w:space="0" w:color="auto"/>
              <w:left w:val="single" w:sz="12" w:space="0" w:color="auto"/>
              <w:bottom w:val="single" w:sz="12" w:space="0" w:color="auto"/>
              <w:right w:val="single" w:sz="12" w:space="0" w:color="auto"/>
            </w:tcBorders>
            <w:noWrap/>
            <w:hideMark/>
          </w:tcPr>
          <w:p w14:paraId="1376364E" w14:textId="77777777" w:rsidR="007366D4" w:rsidRPr="00FD2F0C" w:rsidRDefault="007366D4" w:rsidP="00F75C2B">
            <w:pPr>
              <w:pStyle w:val="Tabletext0"/>
              <w:spacing w:before="20" w:after="20"/>
              <w:jc w:val="both"/>
              <w:rPr>
                <w:lang w:val="en-US"/>
              </w:rPr>
            </w:pPr>
            <w:r w:rsidRPr="00FD2F0C">
              <w:rPr>
                <w:lang w:val="en-US"/>
              </w:rPr>
              <w:t>2016-12-15</w:t>
            </w:r>
          </w:p>
        </w:tc>
        <w:tc>
          <w:tcPr>
            <w:tcW w:w="1402" w:type="pct"/>
            <w:tcBorders>
              <w:top w:val="single" w:sz="12" w:space="0" w:color="auto"/>
              <w:left w:val="single" w:sz="12" w:space="0" w:color="auto"/>
              <w:bottom w:val="single" w:sz="12" w:space="0" w:color="auto"/>
              <w:right w:val="single" w:sz="12" w:space="0" w:color="auto"/>
            </w:tcBorders>
            <w:noWrap/>
            <w:hideMark/>
          </w:tcPr>
          <w:p w14:paraId="390E1166" w14:textId="77777777" w:rsidR="007366D4" w:rsidRPr="00FD2F0C" w:rsidRDefault="007366D4" w:rsidP="00F75C2B">
            <w:pPr>
              <w:pStyle w:val="Tabletext0"/>
              <w:spacing w:before="20" w:after="20"/>
              <w:rPr>
                <w:lang w:val="en-US"/>
              </w:rPr>
            </w:pPr>
            <w:r w:rsidRPr="00FD2F0C">
              <w:rPr>
                <w:lang w:val="en-US"/>
              </w:rPr>
              <w:t xml:space="preserve">ITU-R Study Groups - Working Party 1B </w:t>
            </w:r>
          </w:p>
        </w:tc>
        <w:tc>
          <w:tcPr>
            <w:tcW w:w="2352" w:type="pct"/>
            <w:tcBorders>
              <w:top w:val="single" w:sz="12" w:space="0" w:color="auto"/>
              <w:left w:val="single" w:sz="12" w:space="0" w:color="auto"/>
              <w:bottom w:val="single" w:sz="12" w:space="0" w:color="auto"/>
              <w:right w:val="single" w:sz="12" w:space="0" w:color="auto"/>
            </w:tcBorders>
            <w:noWrap/>
            <w:hideMark/>
          </w:tcPr>
          <w:p w14:paraId="6BBE3F55" w14:textId="77777777" w:rsidR="007366D4" w:rsidRPr="00FD2F0C" w:rsidRDefault="007366D4" w:rsidP="00F75C2B">
            <w:pPr>
              <w:pStyle w:val="Tabletext0"/>
              <w:spacing w:before="20" w:after="20"/>
              <w:jc w:val="both"/>
              <w:rPr>
                <w:lang w:val="en-US"/>
              </w:rPr>
            </w:pPr>
            <w:r w:rsidRPr="00FD2F0C">
              <w:rPr>
                <w:lang w:val="en-US"/>
              </w:rPr>
              <w:t>Liaison Statement from ITU-R WP1B to ITU-D SG1 Resolution 9 on the progress towards a preliminary draft new report ITU-R SM [Regulatory Tools]</w:t>
            </w:r>
          </w:p>
        </w:tc>
      </w:tr>
      <w:tr w:rsidR="007366D4" w:rsidRPr="00573C99" w14:paraId="194F2B0C"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514EEEEA" w14:textId="77777777" w:rsidR="007366D4" w:rsidRPr="00FD2F0C" w:rsidRDefault="00573C99" w:rsidP="00F75C2B">
            <w:pPr>
              <w:spacing w:before="20" w:after="20"/>
              <w:jc w:val="left"/>
              <w:rPr>
                <w:rStyle w:val="Boldunderline"/>
                <w:rFonts w:asciiTheme="minorHAnsi" w:hAnsiTheme="minorHAnsi"/>
              </w:rPr>
            </w:pPr>
            <w:hyperlink r:id="rId192" w:history="1">
              <w:r w:rsidR="007366D4" w:rsidRPr="00FD2F0C">
                <w:rPr>
                  <w:rStyle w:val="Boldunderline"/>
                  <w:rFonts w:asciiTheme="minorHAnsi" w:hAnsiTheme="minorHAnsi"/>
                </w:rPr>
                <w:t>1/268</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5C305635" w14:textId="77777777" w:rsidR="007366D4" w:rsidRPr="00FD2F0C" w:rsidRDefault="007366D4" w:rsidP="00F75C2B">
            <w:pPr>
              <w:pStyle w:val="Tabletext0"/>
              <w:spacing w:before="20" w:after="20"/>
              <w:jc w:val="both"/>
              <w:rPr>
                <w:b/>
                <w:lang w:val="en-US"/>
              </w:rPr>
            </w:pPr>
            <w:r w:rsidRPr="00FD2F0C">
              <w:rPr>
                <w:lang w:val="en-US"/>
              </w:rPr>
              <w:t>2016-07-20</w:t>
            </w:r>
          </w:p>
        </w:tc>
        <w:tc>
          <w:tcPr>
            <w:tcW w:w="1402" w:type="pct"/>
            <w:tcBorders>
              <w:top w:val="single" w:sz="12" w:space="0" w:color="auto"/>
              <w:left w:val="single" w:sz="12" w:space="0" w:color="auto"/>
              <w:bottom w:val="single" w:sz="12" w:space="0" w:color="auto"/>
              <w:right w:val="single" w:sz="12" w:space="0" w:color="auto"/>
            </w:tcBorders>
            <w:noWrap/>
            <w:hideMark/>
          </w:tcPr>
          <w:p w14:paraId="456808DE" w14:textId="77777777" w:rsidR="007366D4" w:rsidRPr="00FD2F0C" w:rsidRDefault="007366D4" w:rsidP="00F75C2B">
            <w:pPr>
              <w:pStyle w:val="Tabletext0"/>
              <w:spacing w:before="20" w:after="20"/>
              <w:rPr>
                <w:b/>
                <w:lang w:val="en-US"/>
              </w:rPr>
            </w:pPr>
            <w:r w:rsidRPr="00FD2F0C">
              <w:rPr>
                <w:lang w:val="en-US"/>
              </w:rPr>
              <w:t>ITU-R Study Groups - Working Party 1B</w:t>
            </w:r>
          </w:p>
        </w:tc>
        <w:tc>
          <w:tcPr>
            <w:tcW w:w="2352" w:type="pct"/>
            <w:tcBorders>
              <w:top w:val="single" w:sz="12" w:space="0" w:color="auto"/>
              <w:left w:val="single" w:sz="12" w:space="0" w:color="auto"/>
              <w:bottom w:val="single" w:sz="12" w:space="0" w:color="auto"/>
              <w:right w:val="single" w:sz="12" w:space="0" w:color="auto"/>
            </w:tcBorders>
            <w:noWrap/>
            <w:hideMark/>
          </w:tcPr>
          <w:p w14:paraId="43290FC7" w14:textId="77777777" w:rsidR="007366D4" w:rsidRPr="00FD2F0C" w:rsidRDefault="007366D4" w:rsidP="00F75C2B">
            <w:pPr>
              <w:pStyle w:val="Tabletext0"/>
              <w:spacing w:before="20" w:after="20"/>
              <w:jc w:val="both"/>
              <w:rPr>
                <w:b/>
                <w:lang w:val="en-US"/>
              </w:rPr>
            </w:pPr>
            <w:r w:rsidRPr="00FD2F0C">
              <w:rPr>
                <w:lang w:val="en-US"/>
              </w:rPr>
              <w:t>Liaison Statement from ITU-R WP 1B to the ITU-D/ITU-R Joint Group on WTDC Resolution 9 on Working document towards a preliminary draft new Report ITU-R SM [CRS Spectrum Management Chanllenges]</w:t>
            </w:r>
          </w:p>
        </w:tc>
      </w:tr>
      <w:tr w:rsidR="007366D4" w:rsidRPr="00573C99" w14:paraId="29185925"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0D333877" w14:textId="77777777" w:rsidR="007366D4" w:rsidRPr="00FD2F0C" w:rsidRDefault="00573C99" w:rsidP="00F75C2B">
            <w:pPr>
              <w:spacing w:before="20" w:after="20"/>
              <w:jc w:val="left"/>
              <w:rPr>
                <w:rStyle w:val="Boldunderline"/>
                <w:rFonts w:asciiTheme="minorHAnsi" w:hAnsiTheme="minorHAnsi"/>
              </w:rPr>
            </w:pPr>
            <w:hyperlink r:id="rId193" w:history="1">
              <w:r w:rsidR="007366D4" w:rsidRPr="00FD2F0C">
                <w:rPr>
                  <w:rStyle w:val="Boldunderline"/>
                  <w:rFonts w:asciiTheme="minorHAnsi" w:hAnsiTheme="minorHAnsi"/>
                </w:rPr>
                <w:t>1/264</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0109DD30" w14:textId="77777777" w:rsidR="007366D4" w:rsidRPr="00FD2F0C" w:rsidRDefault="007366D4" w:rsidP="00F75C2B">
            <w:pPr>
              <w:pStyle w:val="Tabletext0"/>
              <w:spacing w:before="20" w:after="20"/>
              <w:jc w:val="both"/>
              <w:rPr>
                <w:b/>
                <w:lang w:val="en-US"/>
              </w:rPr>
            </w:pPr>
            <w:r w:rsidRPr="00FD2F0C">
              <w:rPr>
                <w:lang w:val="en-US"/>
              </w:rPr>
              <w:t>2016-07-08</w:t>
            </w:r>
          </w:p>
        </w:tc>
        <w:tc>
          <w:tcPr>
            <w:tcW w:w="1402" w:type="pct"/>
            <w:tcBorders>
              <w:top w:val="single" w:sz="12" w:space="0" w:color="auto"/>
              <w:left w:val="single" w:sz="12" w:space="0" w:color="auto"/>
              <w:bottom w:val="single" w:sz="12" w:space="0" w:color="auto"/>
              <w:right w:val="single" w:sz="12" w:space="0" w:color="auto"/>
            </w:tcBorders>
            <w:noWrap/>
            <w:hideMark/>
          </w:tcPr>
          <w:p w14:paraId="72773780" w14:textId="77777777" w:rsidR="007366D4" w:rsidRPr="00FD2F0C" w:rsidRDefault="007366D4" w:rsidP="00F75C2B">
            <w:pPr>
              <w:pStyle w:val="Tabletext0"/>
              <w:spacing w:before="20" w:after="20"/>
              <w:rPr>
                <w:b/>
                <w:lang w:val="en-US"/>
              </w:rPr>
            </w:pPr>
            <w:r w:rsidRPr="00FD2F0C">
              <w:rPr>
                <w:lang w:val="en-US"/>
              </w:rPr>
              <w:t>ITU-R Study Groups - Working Party 1B</w:t>
            </w:r>
          </w:p>
        </w:tc>
        <w:tc>
          <w:tcPr>
            <w:tcW w:w="2352" w:type="pct"/>
            <w:tcBorders>
              <w:top w:val="single" w:sz="12" w:space="0" w:color="auto"/>
              <w:left w:val="single" w:sz="12" w:space="0" w:color="auto"/>
              <w:bottom w:val="single" w:sz="12" w:space="0" w:color="auto"/>
              <w:right w:val="single" w:sz="12" w:space="0" w:color="auto"/>
            </w:tcBorders>
            <w:noWrap/>
            <w:hideMark/>
          </w:tcPr>
          <w:p w14:paraId="62992B20" w14:textId="77777777" w:rsidR="007366D4" w:rsidRPr="00FD2F0C" w:rsidRDefault="007366D4" w:rsidP="00F75C2B">
            <w:pPr>
              <w:pStyle w:val="Tabletext0"/>
              <w:spacing w:before="20" w:after="20"/>
              <w:jc w:val="both"/>
              <w:rPr>
                <w:b/>
                <w:lang w:val="en-US"/>
              </w:rPr>
            </w:pPr>
            <w:r w:rsidRPr="00FD2F0C">
              <w:rPr>
                <w:lang w:val="en-US"/>
              </w:rPr>
              <w:t xml:space="preserve">Liaison Statement from ITU-R WP 1B to ITU-D/ITU-R Joint Group on Resolution 9 on the progress of ongoing work on WTDC Resolution 9 (Rev. Dubai, 2014) during the ITU-D Study Period 2014-2017 with respect to Chapter 1 on </w:t>
            </w:r>
            <w:r w:rsidRPr="00FD2F0C">
              <w:rPr>
                <w:lang w:val="en-US"/>
              </w:rPr>
              <w:lastRenderedPageBreak/>
              <w:t>New/emerging spectrum management approaches</w:t>
            </w:r>
          </w:p>
        </w:tc>
      </w:tr>
      <w:tr w:rsidR="007366D4" w:rsidRPr="00573C99" w14:paraId="093CDD5B"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2620B736" w14:textId="77777777" w:rsidR="007366D4" w:rsidRPr="00FD2F0C" w:rsidRDefault="00573C99" w:rsidP="00F75C2B">
            <w:pPr>
              <w:spacing w:before="20" w:after="20"/>
              <w:jc w:val="left"/>
              <w:rPr>
                <w:rStyle w:val="Boldunderline"/>
                <w:rFonts w:asciiTheme="minorHAnsi" w:hAnsiTheme="minorHAnsi"/>
              </w:rPr>
            </w:pPr>
            <w:hyperlink r:id="rId194" w:history="1">
              <w:r w:rsidR="007366D4" w:rsidRPr="00FD2F0C">
                <w:rPr>
                  <w:rStyle w:val="Boldunderline"/>
                  <w:rFonts w:asciiTheme="minorHAnsi" w:hAnsiTheme="minorHAnsi"/>
                </w:rPr>
                <w:t>1/260</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50215321" w14:textId="77777777" w:rsidR="007366D4" w:rsidRPr="00FD2F0C" w:rsidRDefault="007366D4" w:rsidP="00F75C2B">
            <w:pPr>
              <w:pStyle w:val="Tabletext0"/>
              <w:spacing w:before="20" w:after="20"/>
              <w:jc w:val="both"/>
              <w:rPr>
                <w:b/>
                <w:lang w:val="en-US"/>
              </w:rPr>
            </w:pPr>
            <w:r w:rsidRPr="00FD2F0C">
              <w:rPr>
                <w:lang w:val="en-US"/>
              </w:rPr>
              <w:t>2016-07-08</w:t>
            </w:r>
          </w:p>
        </w:tc>
        <w:tc>
          <w:tcPr>
            <w:tcW w:w="1402" w:type="pct"/>
            <w:tcBorders>
              <w:top w:val="single" w:sz="12" w:space="0" w:color="auto"/>
              <w:left w:val="single" w:sz="12" w:space="0" w:color="auto"/>
              <w:bottom w:val="single" w:sz="12" w:space="0" w:color="auto"/>
              <w:right w:val="single" w:sz="12" w:space="0" w:color="auto"/>
            </w:tcBorders>
            <w:noWrap/>
            <w:hideMark/>
          </w:tcPr>
          <w:p w14:paraId="297F01E4" w14:textId="77777777" w:rsidR="007366D4" w:rsidRPr="00FD2F0C" w:rsidRDefault="007366D4" w:rsidP="00F75C2B">
            <w:pPr>
              <w:pStyle w:val="Tabletext0"/>
              <w:spacing w:before="20" w:after="20"/>
              <w:rPr>
                <w:b/>
                <w:lang w:val="en-US"/>
              </w:rPr>
            </w:pPr>
            <w:r w:rsidRPr="00FD2F0C">
              <w:rPr>
                <w:lang w:val="en-US"/>
              </w:rPr>
              <w:t>ITU-R Study Groups - Working Party 5D</w:t>
            </w:r>
          </w:p>
        </w:tc>
        <w:tc>
          <w:tcPr>
            <w:tcW w:w="2352" w:type="pct"/>
            <w:tcBorders>
              <w:top w:val="single" w:sz="12" w:space="0" w:color="auto"/>
              <w:left w:val="single" w:sz="12" w:space="0" w:color="auto"/>
              <w:bottom w:val="single" w:sz="12" w:space="0" w:color="auto"/>
              <w:right w:val="single" w:sz="12" w:space="0" w:color="auto"/>
            </w:tcBorders>
            <w:noWrap/>
            <w:hideMark/>
          </w:tcPr>
          <w:p w14:paraId="087846B2" w14:textId="77777777" w:rsidR="007366D4" w:rsidRPr="00FD2F0C" w:rsidRDefault="007366D4" w:rsidP="00F75C2B">
            <w:pPr>
              <w:pStyle w:val="Tabletext0"/>
              <w:spacing w:before="20" w:after="20"/>
              <w:jc w:val="both"/>
              <w:rPr>
                <w:b/>
                <w:lang w:val="en-US"/>
              </w:rPr>
            </w:pPr>
            <w:r w:rsidRPr="00FD2F0C">
              <w:rPr>
                <w:lang w:val="en-US"/>
              </w:rPr>
              <w:t>Liaison Statement from ITU-R WP 5D to ITU-D/ITU-R Joint Group on Resolution 9 on the progress of ongoing work on WTDC Resolution 9 (Rev. Dubai, 2014) during the ITU-D Study Period 2014-2017</w:t>
            </w:r>
          </w:p>
        </w:tc>
      </w:tr>
      <w:tr w:rsidR="007366D4" w:rsidRPr="00573C99" w14:paraId="3B9B2A36"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7F04927E" w14:textId="77777777" w:rsidR="007366D4" w:rsidRPr="00FD2F0C" w:rsidRDefault="00573C99" w:rsidP="00F75C2B">
            <w:pPr>
              <w:spacing w:before="20" w:after="20"/>
              <w:jc w:val="left"/>
              <w:rPr>
                <w:rStyle w:val="Boldunderline"/>
                <w:rFonts w:asciiTheme="minorHAnsi" w:hAnsiTheme="minorHAnsi"/>
              </w:rPr>
            </w:pPr>
            <w:hyperlink r:id="rId195" w:history="1">
              <w:r w:rsidR="007366D4" w:rsidRPr="00FD2F0C">
                <w:rPr>
                  <w:rStyle w:val="Boldunderline"/>
                  <w:rFonts w:asciiTheme="minorHAnsi" w:hAnsiTheme="minorHAnsi"/>
                </w:rPr>
                <w:t>1/259</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6D74F2F1" w14:textId="77777777" w:rsidR="007366D4" w:rsidRPr="00FD2F0C" w:rsidRDefault="007366D4" w:rsidP="00F75C2B">
            <w:pPr>
              <w:pStyle w:val="Tabletext0"/>
              <w:spacing w:before="20" w:after="20"/>
              <w:jc w:val="both"/>
              <w:rPr>
                <w:b/>
                <w:lang w:val="en-US"/>
              </w:rPr>
            </w:pPr>
            <w:r w:rsidRPr="00FD2F0C">
              <w:rPr>
                <w:lang w:val="en-US"/>
              </w:rPr>
              <w:t>2016-06-28</w:t>
            </w:r>
          </w:p>
        </w:tc>
        <w:tc>
          <w:tcPr>
            <w:tcW w:w="1402" w:type="pct"/>
            <w:tcBorders>
              <w:top w:val="single" w:sz="12" w:space="0" w:color="auto"/>
              <w:left w:val="single" w:sz="12" w:space="0" w:color="auto"/>
              <w:bottom w:val="single" w:sz="12" w:space="0" w:color="auto"/>
              <w:right w:val="single" w:sz="12" w:space="0" w:color="auto"/>
            </w:tcBorders>
            <w:noWrap/>
            <w:hideMark/>
          </w:tcPr>
          <w:p w14:paraId="3A98FB77" w14:textId="77777777" w:rsidR="007366D4" w:rsidRPr="00FD2F0C" w:rsidRDefault="007366D4" w:rsidP="00F75C2B">
            <w:pPr>
              <w:pStyle w:val="Tabletext0"/>
              <w:spacing w:before="20" w:after="20"/>
              <w:rPr>
                <w:b/>
                <w:lang w:val="en-US"/>
              </w:rPr>
            </w:pPr>
            <w:r w:rsidRPr="00FD2F0C">
              <w:rPr>
                <w:lang w:val="en-US"/>
              </w:rPr>
              <w:t>ITU-R Study Groups - Working Party 1C</w:t>
            </w:r>
          </w:p>
        </w:tc>
        <w:tc>
          <w:tcPr>
            <w:tcW w:w="2352" w:type="pct"/>
            <w:tcBorders>
              <w:top w:val="single" w:sz="12" w:space="0" w:color="auto"/>
              <w:left w:val="single" w:sz="12" w:space="0" w:color="auto"/>
              <w:bottom w:val="single" w:sz="12" w:space="0" w:color="auto"/>
              <w:right w:val="single" w:sz="12" w:space="0" w:color="auto"/>
            </w:tcBorders>
            <w:noWrap/>
            <w:hideMark/>
          </w:tcPr>
          <w:p w14:paraId="19F3DE12" w14:textId="77777777" w:rsidR="007366D4" w:rsidRPr="00FD2F0C" w:rsidRDefault="007366D4" w:rsidP="00F75C2B">
            <w:pPr>
              <w:pStyle w:val="Tabletext0"/>
              <w:spacing w:before="20" w:after="20"/>
              <w:jc w:val="both"/>
              <w:rPr>
                <w:b/>
                <w:lang w:val="en-US"/>
              </w:rPr>
            </w:pPr>
            <w:r w:rsidRPr="00FD2F0C">
              <w:rPr>
                <w:lang w:val="en-US"/>
              </w:rPr>
              <w:t>Liaison Statement from ITU-R WP 1C to ITU-D SG 1 on new Correspondence Group on the revision of Recommendation ITU-R SM.1392-2 on essential requirements for a spectrum monitoring system for developing countries</w:t>
            </w:r>
          </w:p>
        </w:tc>
      </w:tr>
      <w:tr w:rsidR="007366D4" w:rsidRPr="00573C99" w14:paraId="106C5802"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4AAF3302" w14:textId="77777777" w:rsidR="007366D4" w:rsidRPr="00FD2F0C" w:rsidRDefault="00573C99" w:rsidP="00F75C2B">
            <w:pPr>
              <w:spacing w:before="20" w:after="20"/>
              <w:jc w:val="left"/>
              <w:rPr>
                <w:rStyle w:val="Boldunderline"/>
                <w:rFonts w:asciiTheme="minorHAnsi" w:hAnsiTheme="minorHAnsi"/>
              </w:rPr>
            </w:pPr>
            <w:hyperlink r:id="rId196" w:history="1">
              <w:r w:rsidR="007366D4" w:rsidRPr="00FD2F0C">
                <w:rPr>
                  <w:rStyle w:val="Boldunderline"/>
                  <w:rFonts w:asciiTheme="minorHAnsi" w:hAnsiTheme="minorHAnsi"/>
                </w:rPr>
                <w:t>1/255</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3E44A1F4" w14:textId="77777777" w:rsidR="007366D4" w:rsidRPr="00FD2F0C" w:rsidRDefault="007366D4" w:rsidP="00F75C2B">
            <w:pPr>
              <w:pStyle w:val="Tabletext0"/>
              <w:spacing w:before="20" w:after="20"/>
              <w:jc w:val="both"/>
              <w:rPr>
                <w:b/>
                <w:lang w:val="en-US"/>
              </w:rPr>
            </w:pPr>
            <w:r w:rsidRPr="00FD2F0C">
              <w:rPr>
                <w:lang w:val="en-US"/>
              </w:rPr>
              <w:t>2016-06-28</w:t>
            </w:r>
          </w:p>
        </w:tc>
        <w:tc>
          <w:tcPr>
            <w:tcW w:w="1402" w:type="pct"/>
            <w:tcBorders>
              <w:top w:val="single" w:sz="12" w:space="0" w:color="auto"/>
              <w:left w:val="single" w:sz="12" w:space="0" w:color="auto"/>
              <w:bottom w:val="single" w:sz="12" w:space="0" w:color="auto"/>
              <w:right w:val="single" w:sz="12" w:space="0" w:color="auto"/>
            </w:tcBorders>
            <w:noWrap/>
            <w:hideMark/>
          </w:tcPr>
          <w:p w14:paraId="6A05D964" w14:textId="77777777" w:rsidR="007366D4" w:rsidRPr="00FD2F0C" w:rsidRDefault="007366D4" w:rsidP="00F75C2B">
            <w:pPr>
              <w:pStyle w:val="Tabletext0"/>
              <w:spacing w:before="20" w:after="20"/>
              <w:rPr>
                <w:b/>
                <w:lang w:val="en-US"/>
              </w:rPr>
            </w:pPr>
            <w:r w:rsidRPr="00FD2F0C">
              <w:rPr>
                <w:lang w:val="en-US"/>
              </w:rPr>
              <w:t>ITU-R Study Groups - Working Party 1B</w:t>
            </w:r>
          </w:p>
        </w:tc>
        <w:tc>
          <w:tcPr>
            <w:tcW w:w="2352" w:type="pct"/>
            <w:tcBorders>
              <w:top w:val="single" w:sz="12" w:space="0" w:color="auto"/>
              <w:left w:val="single" w:sz="12" w:space="0" w:color="auto"/>
              <w:bottom w:val="single" w:sz="12" w:space="0" w:color="auto"/>
              <w:right w:val="single" w:sz="12" w:space="0" w:color="auto"/>
            </w:tcBorders>
            <w:noWrap/>
            <w:hideMark/>
          </w:tcPr>
          <w:p w14:paraId="7D71C3AA" w14:textId="77777777" w:rsidR="007366D4" w:rsidRPr="00FD2F0C" w:rsidRDefault="007366D4" w:rsidP="00F75C2B">
            <w:pPr>
              <w:pStyle w:val="Tabletext0"/>
              <w:spacing w:before="20" w:after="20"/>
              <w:jc w:val="both"/>
              <w:rPr>
                <w:b/>
                <w:lang w:val="en-US"/>
              </w:rPr>
            </w:pPr>
            <w:r w:rsidRPr="00FD2F0C">
              <w:rPr>
                <w:lang w:val="en-US"/>
              </w:rPr>
              <w:t>Liaison Statement from ITU-R Working Party 1B to the ITU-R/ITU-D Joint Group on WTDC Resolution 9 entitled “The progress of ongoing work on WTDC Resolution 9 (Rev. Dubai, 2014) during the ITU-D study period 2014-2017, with respect to Chapter 2”</w:t>
            </w:r>
          </w:p>
        </w:tc>
      </w:tr>
      <w:tr w:rsidR="007366D4" w:rsidRPr="00573C99" w14:paraId="3678F952"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2778F2F6" w14:textId="77777777" w:rsidR="007366D4" w:rsidRPr="00FD2F0C" w:rsidRDefault="00573C99" w:rsidP="00F75C2B">
            <w:pPr>
              <w:spacing w:before="20" w:after="20"/>
              <w:jc w:val="left"/>
              <w:rPr>
                <w:rStyle w:val="Boldunderline"/>
                <w:rFonts w:asciiTheme="minorHAnsi" w:hAnsiTheme="minorHAnsi"/>
              </w:rPr>
            </w:pPr>
            <w:hyperlink r:id="rId197" w:history="1">
              <w:r w:rsidR="007366D4" w:rsidRPr="00FD2F0C">
                <w:rPr>
                  <w:rStyle w:val="Boldunderline"/>
                  <w:rFonts w:asciiTheme="minorHAnsi" w:hAnsiTheme="minorHAnsi"/>
                </w:rPr>
                <w:t>RGQ/186</w:t>
              </w:r>
            </w:hyperlink>
          </w:p>
        </w:tc>
        <w:tc>
          <w:tcPr>
            <w:tcW w:w="664" w:type="pct"/>
            <w:tcBorders>
              <w:top w:val="single" w:sz="12" w:space="0" w:color="auto"/>
              <w:left w:val="single" w:sz="12" w:space="0" w:color="auto"/>
              <w:bottom w:val="single" w:sz="12" w:space="0" w:color="auto"/>
              <w:right w:val="single" w:sz="12" w:space="0" w:color="auto"/>
            </w:tcBorders>
            <w:noWrap/>
            <w:hideMark/>
          </w:tcPr>
          <w:p w14:paraId="660D7D9D" w14:textId="77777777" w:rsidR="007366D4" w:rsidRPr="00FD2F0C" w:rsidRDefault="007366D4" w:rsidP="00F75C2B">
            <w:pPr>
              <w:pStyle w:val="Tabletext0"/>
              <w:spacing w:before="20" w:after="20"/>
              <w:jc w:val="both"/>
              <w:rPr>
                <w:lang w:val="en-US"/>
              </w:rPr>
            </w:pPr>
            <w:r w:rsidRPr="00FD2F0C">
              <w:rPr>
                <w:rFonts w:cs="Trebuchet MS"/>
                <w:lang w:val="en-US" w:eastAsia="zh-CN"/>
              </w:rPr>
              <w:t>2016-03-09</w:t>
            </w:r>
          </w:p>
        </w:tc>
        <w:tc>
          <w:tcPr>
            <w:tcW w:w="1402" w:type="pct"/>
            <w:tcBorders>
              <w:top w:val="single" w:sz="12" w:space="0" w:color="auto"/>
              <w:left w:val="single" w:sz="12" w:space="0" w:color="auto"/>
              <w:bottom w:val="single" w:sz="12" w:space="0" w:color="auto"/>
              <w:right w:val="single" w:sz="12" w:space="0" w:color="auto"/>
            </w:tcBorders>
            <w:noWrap/>
            <w:hideMark/>
          </w:tcPr>
          <w:p w14:paraId="2E98DD5B" w14:textId="77777777" w:rsidR="007366D4" w:rsidRPr="00FD2F0C" w:rsidRDefault="007366D4" w:rsidP="00F75C2B">
            <w:pPr>
              <w:pStyle w:val="Tabletext0"/>
              <w:spacing w:before="20" w:after="20"/>
              <w:rPr>
                <w:szCs w:val="20"/>
                <w:lang w:val="en-US"/>
              </w:rPr>
            </w:pPr>
            <w:r w:rsidRPr="00FD2F0C">
              <w:rPr>
                <w:lang w:val="en-US"/>
              </w:rPr>
              <w:t>ITU-R Study Groups - WP 5D</w:t>
            </w:r>
          </w:p>
        </w:tc>
        <w:tc>
          <w:tcPr>
            <w:tcW w:w="2352" w:type="pct"/>
            <w:tcBorders>
              <w:top w:val="single" w:sz="12" w:space="0" w:color="auto"/>
              <w:left w:val="single" w:sz="12" w:space="0" w:color="auto"/>
              <w:bottom w:val="single" w:sz="12" w:space="0" w:color="auto"/>
              <w:right w:val="single" w:sz="12" w:space="0" w:color="auto"/>
            </w:tcBorders>
            <w:noWrap/>
            <w:hideMark/>
          </w:tcPr>
          <w:p w14:paraId="3970C66C" w14:textId="77777777" w:rsidR="007366D4" w:rsidRPr="00FD2F0C" w:rsidRDefault="007366D4" w:rsidP="00F75C2B">
            <w:pPr>
              <w:pStyle w:val="Tabletext0"/>
              <w:spacing w:before="20" w:after="20"/>
              <w:jc w:val="both"/>
              <w:rPr>
                <w:lang w:val="en-US"/>
              </w:rPr>
            </w:pPr>
            <w:r w:rsidRPr="00FD2F0C">
              <w:rPr>
                <w:lang w:val="en-US"/>
              </w:rPr>
              <w:t>Liaison statement from ITU-R WP 5D to ITU-D SG1 on Working document towards a preliminary draft new report ITU-R SM.(innovative regulatory tools)</w:t>
            </w:r>
          </w:p>
        </w:tc>
      </w:tr>
      <w:tr w:rsidR="007366D4" w:rsidRPr="00573C99" w14:paraId="5EB07CC9"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5A01A1B1" w14:textId="77777777" w:rsidR="007366D4" w:rsidRPr="00FD2F0C" w:rsidRDefault="00573C99" w:rsidP="00F75C2B">
            <w:pPr>
              <w:spacing w:before="20" w:after="20"/>
              <w:jc w:val="left"/>
              <w:rPr>
                <w:rStyle w:val="Boldunderline"/>
                <w:rFonts w:asciiTheme="minorHAnsi" w:hAnsiTheme="minorHAnsi"/>
              </w:rPr>
            </w:pPr>
            <w:hyperlink r:id="rId198" w:history="1">
              <w:r w:rsidR="007366D4" w:rsidRPr="00FD2F0C">
                <w:rPr>
                  <w:rStyle w:val="Boldunderline"/>
                  <w:rFonts w:asciiTheme="minorHAnsi" w:hAnsiTheme="minorHAnsi"/>
                </w:rPr>
                <w:t>RGQ/185</w:t>
              </w:r>
            </w:hyperlink>
          </w:p>
        </w:tc>
        <w:tc>
          <w:tcPr>
            <w:tcW w:w="664" w:type="pct"/>
            <w:tcBorders>
              <w:top w:val="single" w:sz="12" w:space="0" w:color="auto"/>
              <w:left w:val="single" w:sz="12" w:space="0" w:color="auto"/>
              <w:bottom w:val="single" w:sz="12" w:space="0" w:color="auto"/>
              <w:right w:val="single" w:sz="12" w:space="0" w:color="auto"/>
            </w:tcBorders>
            <w:noWrap/>
            <w:hideMark/>
          </w:tcPr>
          <w:p w14:paraId="0BA4FA84" w14:textId="77777777" w:rsidR="007366D4" w:rsidRPr="00FD2F0C" w:rsidRDefault="007366D4" w:rsidP="00F75C2B">
            <w:pPr>
              <w:pStyle w:val="Tabletext0"/>
              <w:spacing w:before="20" w:after="20"/>
              <w:jc w:val="both"/>
              <w:rPr>
                <w:lang w:val="en-US"/>
              </w:rPr>
            </w:pPr>
            <w:r w:rsidRPr="00FD2F0C">
              <w:rPr>
                <w:rFonts w:cs="Trebuchet MS"/>
                <w:lang w:val="en-US" w:eastAsia="zh-CN"/>
              </w:rPr>
              <w:t>2016-03-09</w:t>
            </w:r>
          </w:p>
        </w:tc>
        <w:tc>
          <w:tcPr>
            <w:tcW w:w="1402" w:type="pct"/>
            <w:tcBorders>
              <w:top w:val="single" w:sz="12" w:space="0" w:color="auto"/>
              <w:left w:val="single" w:sz="12" w:space="0" w:color="auto"/>
              <w:bottom w:val="single" w:sz="12" w:space="0" w:color="auto"/>
              <w:right w:val="single" w:sz="12" w:space="0" w:color="auto"/>
            </w:tcBorders>
            <w:noWrap/>
            <w:hideMark/>
          </w:tcPr>
          <w:p w14:paraId="532B4D0E" w14:textId="77777777" w:rsidR="007366D4" w:rsidRPr="00FD2F0C" w:rsidRDefault="007366D4" w:rsidP="00F75C2B">
            <w:pPr>
              <w:pStyle w:val="Tabletext0"/>
              <w:spacing w:before="20" w:after="20"/>
              <w:rPr>
                <w:lang w:val="en-US"/>
              </w:rPr>
            </w:pPr>
            <w:r w:rsidRPr="00FD2F0C">
              <w:rPr>
                <w:lang w:val="en-US"/>
              </w:rPr>
              <w:t>ITU-R Study Groups - WP 5D</w:t>
            </w:r>
          </w:p>
        </w:tc>
        <w:tc>
          <w:tcPr>
            <w:tcW w:w="2352" w:type="pct"/>
            <w:tcBorders>
              <w:top w:val="single" w:sz="12" w:space="0" w:color="auto"/>
              <w:left w:val="single" w:sz="12" w:space="0" w:color="auto"/>
              <w:bottom w:val="single" w:sz="12" w:space="0" w:color="auto"/>
              <w:right w:val="single" w:sz="12" w:space="0" w:color="auto"/>
            </w:tcBorders>
            <w:noWrap/>
            <w:hideMark/>
          </w:tcPr>
          <w:p w14:paraId="3F37E748" w14:textId="77777777" w:rsidR="007366D4" w:rsidRPr="00FD2F0C" w:rsidRDefault="007366D4" w:rsidP="00F75C2B">
            <w:pPr>
              <w:pStyle w:val="Tabletext0"/>
              <w:spacing w:before="20" w:after="20"/>
              <w:rPr>
                <w:lang w:val="en-US"/>
              </w:rPr>
            </w:pPr>
            <w:r w:rsidRPr="00FD2F0C">
              <w:rPr>
                <w:rFonts w:cs="Trebuchet MS"/>
                <w:lang w:val="en-US" w:eastAsia="zh-CN"/>
              </w:rPr>
              <w:t>Liaison statement from ITU-R WP 5D to ITU-D SG1 Q8/1 on television distribution using terrestrial International Mobile Telecommunication (IMT) networks</w:t>
            </w:r>
          </w:p>
        </w:tc>
      </w:tr>
      <w:tr w:rsidR="007366D4" w:rsidRPr="00573C99" w14:paraId="671418D0"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33B01DBC" w14:textId="77777777" w:rsidR="007366D4" w:rsidRPr="00FD2F0C" w:rsidRDefault="00573C99" w:rsidP="00F75C2B">
            <w:pPr>
              <w:spacing w:before="20" w:after="20"/>
              <w:jc w:val="left"/>
              <w:rPr>
                <w:rStyle w:val="Boldunderline"/>
                <w:rFonts w:asciiTheme="minorHAnsi" w:hAnsiTheme="minorHAnsi"/>
              </w:rPr>
            </w:pPr>
            <w:hyperlink r:id="rId199" w:history="1">
              <w:r w:rsidR="007366D4" w:rsidRPr="00FD2F0C">
                <w:rPr>
                  <w:rStyle w:val="Boldunderline"/>
                  <w:rFonts w:asciiTheme="minorHAnsi" w:hAnsiTheme="minorHAnsi"/>
                </w:rPr>
                <w:t>1/212</w:t>
              </w:r>
            </w:hyperlink>
          </w:p>
        </w:tc>
        <w:tc>
          <w:tcPr>
            <w:tcW w:w="664" w:type="pct"/>
            <w:tcBorders>
              <w:top w:val="single" w:sz="12" w:space="0" w:color="auto"/>
              <w:left w:val="single" w:sz="12" w:space="0" w:color="auto"/>
              <w:bottom w:val="single" w:sz="12" w:space="0" w:color="auto"/>
              <w:right w:val="single" w:sz="12" w:space="0" w:color="auto"/>
            </w:tcBorders>
            <w:noWrap/>
            <w:hideMark/>
          </w:tcPr>
          <w:p w14:paraId="067192A9" w14:textId="77777777" w:rsidR="007366D4" w:rsidRPr="00FD2F0C" w:rsidRDefault="007366D4" w:rsidP="00F75C2B">
            <w:pPr>
              <w:pStyle w:val="Tabletext0"/>
              <w:spacing w:before="20" w:after="20"/>
              <w:jc w:val="both"/>
              <w:rPr>
                <w:rFonts w:cs="Trebuchet MS"/>
                <w:lang w:val="en-US" w:eastAsia="zh-CN"/>
              </w:rPr>
            </w:pPr>
            <w:r w:rsidRPr="00FD2F0C">
              <w:rPr>
                <w:rFonts w:cs="Trebuchet MS"/>
                <w:lang w:val="en-US" w:eastAsia="zh-CN"/>
              </w:rPr>
              <w:t>2015-08-28</w:t>
            </w:r>
          </w:p>
        </w:tc>
        <w:tc>
          <w:tcPr>
            <w:tcW w:w="1402" w:type="pct"/>
            <w:tcBorders>
              <w:top w:val="single" w:sz="12" w:space="0" w:color="auto"/>
              <w:left w:val="single" w:sz="12" w:space="0" w:color="auto"/>
              <w:bottom w:val="single" w:sz="12" w:space="0" w:color="auto"/>
              <w:right w:val="single" w:sz="12" w:space="0" w:color="auto"/>
            </w:tcBorders>
            <w:noWrap/>
            <w:hideMark/>
          </w:tcPr>
          <w:p w14:paraId="4E141D4F" w14:textId="77777777" w:rsidR="007366D4" w:rsidRPr="00FD2F0C" w:rsidRDefault="007366D4" w:rsidP="00F75C2B">
            <w:pPr>
              <w:pStyle w:val="Tabletext0"/>
              <w:spacing w:before="20" w:after="20"/>
              <w:rPr>
                <w:szCs w:val="20"/>
                <w:lang w:val="en-US" w:eastAsia="en-US"/>
              </w:rPr>
            </w:pPr>
            <w:r w:rsidRPr="00FD2F0C">
              <w:rPr>
                <w:lang w:val="en-US"/>
              </w:rPr>
              <w:t>ITU-R Study Groups - Working Party 5A</w:t>
            </w:r>
          </w:p>
        </w:tc>
        <w:tc>
          <w:tcPr>
            <w:tcW w:w="2352" w:type="pct"/>
            <w:tcBorders>
              <w:top w:val="single" w:sz="12" w:space="0" w:color="auto"/>
              <w:left w:val="single" w:sz="12" w:space="0" w:color="auto"/>
              <w:bottom w:val="single" w:sz="12" w:space="0" w:color="auto"/>
              <w:right w:val="single" w:sz="12" w:space="0" w:color="auto"/>
            </w:tcBorders>
            <w:noWrap/>
            <w:hideMark/>
          </w:tcPr>
          <w:p w14:paraId="74B53736" w14:textId="77777777" w:rsidR="007366D4" w:rsidRPr="00FD2F0C" w:rsidRDefault="007366D4" w:rsidP="00F75C2B">
            <w:pPr>
              <w:pStyle w:val="Tabletext0"/>
              <w:spacing w:before="20" w:after="20"/>
              <w:jc w:val="both"/>
              <w:rPr>
                <w:rFonts w:cs="Trebuchet MS"/>
                <w:lang w:val="en-US" w:eastAsia="zh-CN"/>
              </w:rPr>
            </w:pPr>
            <w:r w:rsidRPr="00FD2F0C">
              <w:rPr>
                <w:rFonts w:cs="Trebuchet MS"/>
                <w:lang w:val="en-US" w:eastAsia="zh-CN"/>
              </w:rPr>
              <w:t>Liaison statement from ITU-R WP 5A to ITU-D/ITU-R Joint Group for Resolution 9 on Work items during the 2014-2017 study period</w:t>
            </w:r>
          </w:p>
        </w:tc>
      </w:tr>
      <w:tr w:rsidR="007366D4" w:rsidRPr="00573C99" w14:paraId="4C15594D"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0908C9B2" w14:textId="77777777" w:rsidR="007366D4" w:rsidRPr="00FD2F0C" w:rsidRDefault="00573C99" w:rsidP="00F75C2B">
            <w:pPr>
              <w:spacing w:before="20" w:after="20"/>
              <w:jc w:val="left"/>
              <w:rPr>
                <w:rStyle w:val="Boldunderline"/>
                <w:rFonts w:asciiTheme="minorHAnsi" w:hAnsiTheme="minorHAnsi"/>
              </w:rPr>
            </w:pPr>
            <w:hyperlink r:id="rId200" w:history="1">
              <w:r w:rsidR="007366D4" w:rsidRPr="00FD2F0C">
                <w:rPr>
                  <w:rStyle w:val="Boldunderline"/>
                  <w:rFonts w:asciiTheme="minorHAnsi" w:hAnsiTheme="minorHAnsi"/>
                </w:rPr>
                <w:t>1/211</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312E54E2" w14:textId="77777777" w:rsidR="007366D4" w:rsidRPr="00FD2F0C" w:rsidRDefault="007366D4" w:rsidP="00F75C2B">
            <w:pPr>
              <w:pStyle w:val="Tabletext0"/>
              <w:spacing w:before="20" w:after="20"/>
              <w:jc w:val="both"/>
              <w:rPr>
                <w:lang w:val="en-US"/>
              </w:rPr>
            </w:pPr>
            <w:r w:rsidRPr="00FD2F0C">
              <w:rPr>
                <w:lang w:val="en-US"/>
              </w:rPr>
              <w:t>2015-08-26</w:t>
            </w:r>
          </w:p>
        </w:tc>
        <w:tc>
          <w:tcPr>
            <w:tcW w:w="1402" w:type="pct"/>
            <w:tcBorders>
              <w:top w:val="single" w:sz="12" w:space="0" w:color="auto"/>
              <w:left w:val="single" w:sz="12" w:space="0" w:color="auto"/>
              <w:bottom w:val="single" w:sz="12" w:space="0" w:color="auto"/>
              <w:right w:val="single" w:sz="12" w:space="0" w:color="auto"/>
            </w:tcBorders>
            <w:noWrap/>
            <w:hideMark/>
          </w:tcPr>
          <w:p w14:paraId="597B23D0" w14:textId="77777777" w:rsidR="007366D4" w:rsidRPr="00FD2F0C" w:rsidRDefault="007366D4" w:rsidP="00F75C2B">
            <w:pPr>
              <w:pStyle w:val="Tabletext0"/>
              <w:spacing w:before="20" w:after="20"/>
              <w:rPr>
                <w:lang w:val="en-US"/>
              </w:rPr>
            </w:pPr>
            <w:r w:rsidRPr="00FD2F0C">
              <w:rPr>
                <w:lang w:val="en-US"/>
              </w:rPr>
              <w:t>ITU-R Study Groups - Working Party 5A</w:t>
            </w:r>
          </w:p>
        </w:tc>
        <w:tc>
          <w:tcPr>
            <w:tcW w:w="2352" w:type="pct"/>
            <w:tcBorders>
              <w:top w:val="single" w:sz="12" w:space="0" w:color="auto"/>
              <w:left w:val="single" w:sz="12" w:space="0" w:color="auto"/>
              <w:bottom w:val="single" w:sz="12" w:space="0" w:color="auto"/>
              <w:right w:val="single" w:sz="12" w:space="0" w:color="auto"/>
            </w:tcBorders>
            <w:noWrap/>
            <w:hideMark/>
          </w:tcPr>
          <w:p w14:paraId="6419C7DD" w14:textId="77777777" w:rsidR="007366D4" w:rsidRPr="00FD2F0C" w:rsidRDefault="007366D4" w:rsidP="00F75C2B">
            <w:pPr>
              <w:pStyle w:val="Tabletext0"/>
              <w:spacing w:before="20" w:after="20"/>
              <w:jc w:val="both"/>
              <w:rPr>
                <w:lang w:val="en-US"/>
              </w:rPr>
            </w:pPr>
            <w:r w:rsidRPr="00FD2F0C">
              <w:rPr>
                <w:lang w:val="en-US"/>
              </w:rPr>
              <w:t>Liaison statement from ITU-R Working Party 5A on Innovative regulatory tools to support enhanced shared use of the spectrum</w:t>
            </w:r>
          </w:p>
        </w:tc>
      </w:tr>
      <w:tr w:rsidR="007366D4" w:rsidRPr="00573C99" w14:paraId="6053F5EF"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6A0FCE04" w14:textId="77777777" w:rsidR="007366D4" w:rsidRPr="00FD2F0C" w:rsidRDefault="00573C99" w:rsidP="00F75C2B">
            <w:pPr>
              <w:spacing w:before="20" w:after="20"/>
              <w:jc w:val="left"/>
              <w:rPr>
                <w:rStyle w:val="Boldunderline"/>
                <w:rFonts w:asciiTheme="minorHAnsi" w:hAnsiTheme="minorHAnsi"/>
              </w:rPr>
            </w:pPr>
            <w:hyperlink r:id="rId201" w:history="1">
              <w:r w:rsidR="007366D4" w:rsidRPr="00FD2F0C">
                <w:rPr>
                  <w:rStyle w:val="Boldunderline"/>
                  <w:rFonts w:asciiTheme="minorHAnsi" w:hAnsiTheme="minorHAnsi"/>
                </w:rPr>
                <w:t>1/127</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7B5F50A2" w14:textId="77777777" w:rsidR="007366D4" w:rsidRPr="00FD2F0C" w:rsidRDefault="007366D4" w:rsidP="00F75C2B">
            <w:pPr>
              <w:pStyle w:val="Tabletext0"/>
              <w:spacing w:before="20" w:after="20"/>
              <w:jc w:val="both"/>
              <w:rPr>
                <w:lang w:val="en-US"/>
              </w:rPr>
            </w:pPr>
            <w:r w:rsidRPr="00FD2F0C">
              <w:rPr>
                <w:lang w:val="en-US"/>
              </w:rPr>
              <w:t>2015-07-04</w:t>
            </w:r>
          </w:p>
        </w:tc>
        <w:tc>
          <w:tcPr>
            <w:tcW w:w="1402" w:type="pct"/>
            <w:tcBorders>
              <w:top w:val="single" w:sz="12" w:space="0" w:color="auto"/>
              <w:left w:val="single" w:sz="12" w:space="0" w:color="auto"/>
              <w:bottom w:val="single" w:sz="12" w:space="0" w:color="auto"/>
              <w:right w:val="single" w:sz="12" w:space="0" w:color="auto"/>
            </w:tcBorders>
            <w:noWrap/>
            <w:hideMark/>
          </w:tcPr>
          <w:p w14:paraId="12A5473F" w14:textId="77777777" w:rsidR="007366D4" w:rsidRPr="00FD2F0C" w:rsidRDefault="007366D4" w:rsidP="00F75C2B">
            <w:pPr>
              <w:pStyle w:val="Tabletext0"/>
              <w:spacing w:before="20" w:after="20"/>
              <w:rPr>
                <w:lang w:val="en-US"/>
              </w:rPr>
            </w:pPr>
            <w:r w:rsidRPr="00FD2F0C">
              <w:t>ITU-T Study Group 15</w:t>
            </w:r>
          </w:p>
        </w:tc>
        <w:tc>
          <w:tcPr>
            <w:tcW w:w="2352" w:type="pct"/>
            <w:tcBorders>
              <w:top w:val="single" w:sz="12" w:space="0" w:color="auto"/>
              <w:left w:val="single" w:sz="12" w:space="0" w:color="auto"/>
              <w:bottom w:val="single" w:sz="12" w:space="0" w:color="auto"/>
              <w:right w:val="single" w:sz="12" w:space="0" w:color="auto"/>
            </w:tcBorders>
            <w:noWrap/>
            <w:hideMark/>
          </w:tcPr>
          <w:p w14:paraId="69AB010B" w14:textId="77777777" w:rsidR="007366D4" w:rsidRPr="00FD2F0C" w:rsidRDefault="007366D4" w:rsidP="00F75C2B">
            <w:pPr>
              <w:pStyle w:val="Tabletext0"/>
              <w:spacing w:before="20" w:after="20"/>
              <w:jc w:val="both"/>
              <w:rPr>
                <w:lang w:val="en-US"/>
              </w:rPr>
            </w:pPr>
            <w:r w:rsidRPr="00FD2F0C">
              <w:rPr>
                <w:lang w:val="en-US"/>
              </w:rPr>
              <w:t>Liaison Statement from ITU-T SG15 to ITU-D SGs on ITU-T SG15 OTNT standardization work plan</w:t>
            </w:r>
          </w:p>
        </w:tc>
      </w:tr>
      <w:tr w:rsidR="007366D4" w:rsidRPr="00573C99" w14:paraId="4E721CC7" w14:textId="77777777" w:rsidTr="00745ECC">
        <w:tc>
          <w:tcPr>
            <w:tcW w:w="582" w:type="pct"/>
            <w:tcBorders>
              <w:top w:val="single" w:sz="12" w:space="0" w:color="auto"/>
              <w:left w:val="single" w:sz="12" w:space="0" w:color="auto"/>
              <w:bottom w:val="single" w:sz="12" w:space="0" w:color="auto"/>
              <w:right w:val="single" w:sz="12" w:space="0" w:color="auto"/>
            </w:tcBorders>
            <w:noWrap/>
            <w:hideMark/>
          </w:tcPr>
          <w:p w14:paraId="100EC418" w14:textId="77777777" w:rsidR="007366D4" w:rsidRPr="00FD2F0C" w:rsidRDefault="00573C99" w:rsidP="00F75C2B">
            <w:pPr>
              <w:spacing w:before="20" w:after="20"/>
              <w:jc w:val="left"/>
              <w:rPr>
                <w:rStyle w:val="Boldunderline"/>
                <w:rFonts w:asciiTheme="minorHAnsi" w:hAnsiTheme="minorHAnsi"/>
              </w:rPr>
            </w:pPr>
            <w:hyperlink r:id="rId202" w:history="1">
              <w:r w:rsidR="007366D4" w:rsidRPr="00FD2F0C">
                <w:rPr>
                  <w:rStyle w:val="Boldunderline"/>
                  <w:rFonts w:asciiTheme="minorHAnsi" w:hAnsiTheme="minorHAnsi"/>
                </w:rPr>
                <w:t>1/123</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noWrap/>
            <w:hideMark/>
          </w:tcPr>
          <w:p w14:paraId="21858046" w14:textId="77777777" w:rsidR="007366D4" w:rsidRPr="00FD2F0C" w:rsidRDefault="007366D4" w:rsidP="00F75C2B">
            <w:pPr>
              <w:pStyle w:val="Tabletext0"/>
              <w:spacing w:before="20" w:after="20"/>
              <w:jc w:val="both"/>
              <w:rPr>
                <w:lang w:val="en-US"/>
              </w:rPr>
            </w:pPr>
            <w:r w:rsidRPr="00FD2F0C">
              <w:rPr>
                <w:lang w:val="en-US"/>
              </w:rPr>
              <w:t>2015-06-23</w:t>
            </w:r>
          </w:p>
        </w:tc>
        <w:tc>
          <w:tcPr>
            <w:tcW w:w="1402" w:type="pct"/>
            <w:tcBorders>
              <w:top w:val="single" w:sz="12" w:space="0" w:color="auto"/>
              <w:left w:val="single" w:sz="12" w:space="0" w:color="auto"/>
              <w:bottom w:val="single" w:sz="12" w:space="0" w:color="auto"/>
              <w:right w:val="single" w:sz="12" w:space="0" w:color="auto"/>
            </w:tcBorders>
            <w:noWrap/>
            <w:hideMark/>
          </w:tcPr>
          <w:p w14:paraId="1996AFB6" w14:textId="77777777" w:rsidR="007366D4" w:rsidRPr="00FD2F0C" w:rsidRDefault="007366D4" w:rsidP="00F75C2B">
            <w:pPr>
              <w:pStyle w:val="Tabletext0"/>
              <w:spacing w:before="20" w:after="20"/>
              <w:rPr>
                <w:lang w:val="en-US"/>
              </w:rPr>
            </w:pPr>
            <w:r w:rsidRPr="00FD2F0C">
              <w:rPr>
                <w:lang w:val="en-US"/>
              </w:rPr>
              <w:t>ITU-R Study Groups - Working Party 1B</w:t>
            </w:r>
          </w:p>
        </w:tc>
        <w:tc>
          <w:tcPr>
            <w:tcW w:w="2352" w:type="pct"/>
            <w:tcBorders>
              <w:top w:val="single" w:sz="12" w:space="0" w:color="auto"/>
              <w:left w:val="single" w:sz="12" w:space="0" w:color="auto"/>
              <w:bottom w:val="single" w:sz="12" w:space="0" w:color="auto"/>
              <w:right w:val="single" w:sz="12" w:space="0" w:color="auto"/>
            </w:tcBorders>
            <w:noWrap/>
            <w:hideMark/>
          </w:tcPr>
          <w:p w14:paraId="44DF8806" w14:textId="77777777" w:rsidR="007366D4" w:rsidRPr="00FD2F0C" w:rsidRDefault="007366D4" w:rsidP="00F75C2B">
            <w:pPr>
              <w:pStyle w:val="Tabletext0"/>
              <w:spacing w:before="20" w:after="20"/>
              <w:jc w:val="both"/>
              <w:rPr>
                <w:lang w:val="en-US"/>
              </w:rPr>
            </w:pPr>
            <w:r w:rsidRPr="00FD2F0C">
              <w:rPr>
                <w:lang w:val="en-US"/>
              </w:rPr>
              <w:t>Liaison Statement from ITU-R SG6 WP1B to the ITU-D/ITU-R Joint Group for Resolution 9 on Working document towards a preliminary draft new report ITU-R SM on CRS spectrum management challenges</w:t>
            </w:r>
          </w:p>
        </w:tc>
      </w:tr>
      <w:tr w:rsidR="007366D4" w:rsidRPr="00573C99" w14:paraId="5EE979AA" w14:textId="77777777" w:rsidTr="00745ECC">
        <w:tc>
          <w:tcPr>
            <w:tcW w:w="582" w:type="pct"/>
            <w:tcBorders>
              <w:top w:val="single" w:sz="12" w:space="0" w:color="auto"/>
              <w:left w:val="single" w:sz="12" w:space="0" w:color="auto"/>
              <w:bottom w:val="single" w:sz="12" w:space="0" w:color="auto"/>
              <w:right w:val="single" w:sz="12" w:space="0" w:color="auto"/>
            </w:tcBorders>
            <w:shd w:val="clear" w:color="auto" w:fill="FFFFFF"/>
            <w:noWrap/>
            <w:hideMark/>
          </w:tcPr>
          <w:p w14:paraId="0AC6ECE4" w14:textId="77777777" w:rsidR="007366D4" w:rsidRPr="00FD2F0C" w:rsidRDefault="00573C99" w:rsidP="00F75C2B">
            <w:pPr>
              <w:spacing w:before="20" w:after="20"/>
              <w:jc w:val="left"/>
              <w:rPr>
                <w:rStyle w:val="Boldunderline"/>
                <w:rFonts w:asciiTheme="minorHAnsi" w:hAnsiTheme="minorHAnsi"/>
              </w:rPr>
            </w:pPr>
            <w:hyperlink r:id="rId203" w:history="1">
              <w:r w:rsidR="007366D4" w:rsidRPr="00FD2F0C">
                <w:rPr>
                  <w:rStyle w:val="Boldunderline"/>
                  <w:rFonts w:asciiTheme="minorHAnsi" w:hAnsiTheme="minorHAnsi"/>
                </w:rPr>
                <w:t>1/120</w:t>
              </w:r>
            </w:hyperlink>
          </w:p>
        </w:tc>
        <w:tc>
          <w:tcPr>
            <w:tcW w:w="664" w:type="pct"/>
            <w:tcBorders>
              <w:top w:val="single" w:sz="12" w:space="0" w:color="auto"/>
              <w:left w:val="single" w:sz="12" w:space="0" w:color="auto"/>
              <w:bottom w:val="single" w:sz="12" w:space="0" w:color="auto"/>
              <w:right w:val="single" w:sz="12" w:space="0" w:color="auto"/>
            </w:tcBorders>
            <w:shd w:val="clear" w:color="auto" w:fill="FFFFFF"/>
            <w:noWrap/>
            <w:hideMark/>
          </w:tcPr>
          <w:p w14:paraId="0C7A9E34" w14:textId="77777777" w:rsidR="007366D4" w:rsidRPr="00FD2F0C" w:rsidRDefault="007366D4" w:rsidP="00F75C2B">
            <w:pPr>
              <w:pStyle w:val="Tabletext0"/>
              <w:spacing w:before="20" w:after="20"/>
              <w:jc w:val="both"/>
              <w:rPr>
                <w:lang w:val="en-US"/>
              </w:rPr>
            </w:pPr>
            <w:r w:rsidRPr="00FD2F0C">
              <w:rPr>
                <w:lang w:val="en-US"/>
              </w:rPr>
              <w:t>2015-06-23</w:t>
            </w:r>
          </w:p>
        </w:tc>
        <w:tc>
          <w:tcPr>
            <w:tcW w:w="1402" w:type="pct"/>
            <w:tcBorders>
              <w:top w:val="single" w:sz="12" w:space="0" w:color="auto"/>
              <w:left w:val="single" w:sz="12" w:space="0" w:color="auto"/>
              <w:bottom w:val="single" w:sz="12" w:space="0" w:color="auto"/>
              <w:right w:val="single" w:sz="12" w:space="0" w:color="auto"/>
            </w:tcBorders>
            <w:shd w:val="clear" w:color="auto" w:fill="FFFFFF"/>
            <w:noWrap/>
            <w:hideMark/>
          </w:tcPr>
          <w:p w14:paraId="5713ED48" w14:textId="77777777" w:rsidR="007366D4" w:rsidRPr="00FD2F0C" w:rsidRDefault="007366D4" w:rsidP="00F75C2B">
            <w:pPr>
              <w:pStyle w:val="Tabletext0"/>
              <w:spacing w:before="20" w:after="20"/>
              <w:rPr>
                <w:szCs w:val="20"/>
                <w:lang w:val="en-US"/>
              </w:rPr>
            </w:pPr>
            <w:r w:rsidRPr="00FD2F0C">
              <w:rPr>
                <w:lang w:val="en-US"/>
              </w:rPr>
              <w:t>ITU-R Study Groups - Working Party 1B</w:t>
            </w:r>
          </w:p>
        </w:tc>
        <w:tc>
          <w:tcPr>
            <w:tcW w:w="2352" w:type="pct"/>
            <w:tcBorders>
              <w:top w:val="single" w:sz="12" w:space="0" w:color="auto"/>
              <w:left w:val="single" w:sz="12" w:space="0" w:color="auto"/>
              <w:bottom w:val="single" w:sz="12" w:space="0" w:color="auto"/>
              <w:right w:val="single" w:sz="12" w:space="0" w:color="auto"/>
            </w:tcBorders>
            <w:shd w:val="clear" w:color="auto" w:fill="FFFFFF"/>
            <w:noWrap/>
            <w:hideMark/>
          </w:tcPr>
          <w:p w14:paraId="3282CC6F" w14:textId="77777777" w:rsidR="007366D4" w:rsidRPr="00FD2F0C" w:rsidRDefault="007366D4" w:rsidP="00F75C2B">
            <w:pPr>
              <w:pStyle w:val="Tabletext0"/>
              <w:spacing w:before="20" w:after="20"/>
              <w:jc w:val="both"/>
              <w:rPr>
                <w:lang w:val="en-US"/>
              </w:rPr>
            </w:pPr>
            <w:r w:rsidRPr="00FD2F0C">
              <w:rPr>
                <w:lang w:val="en-US"/>
              </w:rPr>
              <w:t>Liaison Statement from ITU-R WP1B to ITU-D Study Group 1 on Working document towards a preliminary draft new report ITU-R SM on Innovative regulatory tools</w:t>
            </w:r>
          </w:p>
        </w:tc>
      </w:tr>
      <w:tr w:rsidR="007366D4" w:rsidRPr="00573C99" w14:paraId="43544CF7" w14:textId="77777777" w:rsidTr="00745ECC">
        <w:tc>
          <w:tcPr>
            <w:tcW w:w="582" w:type="pct"/>
            <w:tcBorders>
              <w:top w:val="single" w:sz="12" w:space="0" w:color="auto"/>
              <w:left w:val="single" w:sz="12" w:space="0" w:color="auto"/>
              <w:bottom w:val="single" w:sz="12" w:space="0" w:color="auto"/>
              <w:right w:val="single" w:sz="12" w:space="0" w:color="auto"/>
            </w:tcBorders>
            <w:shd w:val="clear" w:color="auto" w:fill="FFFFFF"/>
            <w:noWrap/>
            <w:hideMark/>
          </w:tcPr>
          <w:p w14:paraId="3DED6991" w14:textId="77777777" w:rsidR="007366D4" w:rsidRPr="00FD2F0C" w:rsidRDefault="00573C99" w:rsidP="00F75C2B">
            <w:pPr>
              <w:spacing w:before="20" w:after="20"/>
              <w:jc w:val="left"/>
              <w:rPr>
                <w:rStyle w:val="Boldunderline"/>
                <w:rFonts w:asciiTheme="minorHAnsi" w:hAnsiTheme="minorHAnsi"/>
              </w:rPr>
            </w:pPr>
            <w:hyperlink r:id="rId204" w:history="1">
              <w:r w:rsidR="007366D4" w:rsidRPr="00FD2F0C">
                <w:rPr>
                  <w:rStyle w:val="Boldunderline"/>
                  <w:rFonts w:asciiTheme="minorHAnsi" w:hAnsiTheme="minorHAnsi"/>
                </w:rPr>
                <w:t>1/93</w:t>
              </w:r>
            </w:hyperlink>
          </w:p>
        </w:tc>
        <w:tc>
          <w:tcPr>
            <w:tcW w:w="664" w:type="pct"/>
            <w:tcBorders>
              <w:top w:val="single" w:sz="12" w:space="0" w:color="auto"/>
              <w:left w:val="single" w:sz="12" w:space="0" w:color="auto"/>
              <w:bottom w:val="single" w:sz="12" w:space="0" w:color="auto"/>
              <w:right w:val="single" w:sz="12" w:space="0" w:color="auto"/>
            </w:tcBorders>
            <w:shd w:val="clear" w:color="auto" w:fill="FFFFFF"/>
            <w:noWrap/>
            <w:hideMark/>
          </w:tcPr>
          <w:p w14:paraId="57F7AE59" w14:textId="77777777" w:rsidR="007366D4" w:rsidRPr="00FD2F0C" w:rsidRDefault="007366D4" w:rsidP="00F75C2B">
            <w:pPr>
              <w:pStyle w:val="Tabletext0"/>
              <w:spacing w:before="20" w:after="20"/>
              <w:jc w:val="both"/>
              <w:rPr>
                <w:lang w:val="en-US"/>
              </w:rPr>
            </w:pPr>
            <w:r w:rsidRPr="00FD2F0C">
              <w:rPr>
                <w:lang w:val="en-US"/>
              </w:rPr>
              <w:t>2015-04-08</w:t>
            </w:r>
          </w:p>
        </w:tc>
        <w:tc>
          <w:tcPr>
            <w:tcW w:w="1402" w:type="pct"/>
            <w:tcBorders>
              <w:top w:val="single" w:sz="12" w:space="0" w:color="auto"/>
              <w:left w:val="single" w:sz="12" w:space="0" w:color="auto"/>
              <w:bottom w:val="single" w:sz="12" w:space="0" w:color="auto"/>
              <w:right w:val="single" w:sz="12" w:space="0" w:color="auto"/>
            </w:tcBorders>
            <w:shd w:val="clear" w:color="auto" w:fill="FFFFFF"/>
            <w:noWrap/>
            <w:hideMark/>
          </w:tcPr>
          <w:p w14:paraId="53E881E5" w14:textId="77777777" w:rsidR="007366D4" w:rsidRPr="00FD2F0C" w:rsidRDefault="007366D4" w:rsidP="00F75C2B">
            <w:pPr>
              <w:pStyle w:val="Tabletext0"/>
              <w:spacing w:before="20" w:after="20"/>
              <w:rPr>
                <w:lang w:val="en-US"/>
              </w:rPr>
            </w:pPr>
            <w:r w:rsidRPr="00FD2F0C">
              <w:t>ITU-T Study Group 3</w:t>
            </w:r>
          </w:p>
        </w:tc>
        <w:tc>
          <w:tcPr>
            <w:tcW w:w="2352" w:type="pct"/>
            <w:tcBorders>
              <w:top w:val="single" w:sz="12" w:space="0" w:color="auto"/>
              <w:left w:val="single" w:sz="12" w:space="0" w:color="auto"/>
              <w:bottom w:val="single" w:sz="12" w:space="0" w:color="auto"/>
              <w:right w:val="single" w:sz="12" w:space="0" w:color="auto"/>
            </w:tcBorders>
            <w:shd w:val="clear" w:color="auto" w:fill="FFFFFF"/>
            <w:noWrap/>
            <w:hideMark/>
          </w:tcPr>
          <w:p w14:paraId="19CC07CF" w14:textId="77777777" w:rsidR="007366D4" w:rsidRPr="00FD2F0C" w:rsidRDefault="007366D4" w:rsidP="00F75C2B">
            <w:pPr>
              <w:pStyle w:val="Tabletext0"/>
              <w:spacing w:before="20" w:after="20"/>
              <w:jc w:val="both"/>
              <w:rPr>
                <w:lang w:val="en-US"/>
              </w:rPr>
            </w:pPr>
            <w:r w:rsidRPr="00FD2F0C">
              <w:rPr>
                <w:lang w:val="en-US"/>
              </w:rPr>
              <w:t>Liaison Statement from ITU-T SG3 to ITU-D SG1 Resolution 9 on Economic aspects of spectrum management</w:t>
            </w:r>
          </w:p>
        </w:tc>
      </w:tr>
      <w:tr w:rsidR="007366D4" w:rsidRPr="00573C99" w14:paraId="123010A4" w14:textId="77777777" w:rsidTr="00745ECC">
        <w:tc>
          <w:tcPr>
            <w:tcW w:w="582" w:type="pct"/>
            <w:tcBorders>
              <w:top w:val="single" w:sz="12" w:space="0" w:color="auto"/>
              <w:left w:val="single" w:sz="12" w:space="0" w:color="auto"/>
              <w:bottom w:val="single" w:sz="12" w:space="0" w:color="auto"/>
              <w:right w:val="single" w:sz="12" w:space="0" w:color="auto"/>
            </w:tcBorders>
            <w:shd w:val="clear" w:color="auto" w:fill="FFFFFF"/>
            <w:hideMark/>
          </w:tcPr>
          <w:p w14:paraId="1419857C" w14:textId="77777777" w:rsidR="007366D4" w:rsidRPr="00FD2F0C" w:rsidRDefault="00573C99" w:rsidP="00F75C2B">
            <w:pPr>
              <w:spacing w:before="20" w:after="20"/>
              <w:jc w:val="left"/>
              <w:rPr>
                <w:rStyle w:val="Boldunderline"/>
                <w:rFonts w:asciiTheme="minorHAnsi" w:hAnsiTheme="minorHAnsi"/>
              </w:rPr>
            </w:pPr>
            <w:hyperlink r:id="rId205" w:history="1">
              <w:r w:rsidR="007366D4" w:rsidRPr="00FD2F0C">
                <w:rPr>
                  <w:rStyle w:val="Boldunderline"/>
                  <w:rFonts w:asciiTheme="minorHAnsi" w:hAnsiTheme="minorHAnsi"/>
                </w:rPr>
                <w:t>RGQ/80</w:t>
              </w:r>
            </w:hyperlink>
            <w:r w:rsidR="007366D4" w:rsidRPr="00FD2F0C">
              <w:rPr>
                <w:rStyle w:val="Boldunderline"/>
                <w:rFonts w:asciiTheme="minorHAnsi" w:hAnsiTheme="minorHAnsi"/>
              </w:rPr>
              <w:br/>
            </w:r>
          </w:p>
        </w:tc>
        <w:tc>
          <w:tcPr>
            <w:tcW w:w="664" w:type="pct"/>
            <w:tcBorders>
              <w:top w:val="single" w:sz="12" w:space="0" w:color="auto"/>
              <w:left w:val="single" w:sz="12" w:space="0" w:color="auto"/>
              <w:bottom w:val="single" w:sz="12" w:space="0" w:color="auto"/>
              <w:right w:val="single" w:sz="12" w:space="0" w:color="auto"/>
            </w:tcBorders>
            <w:shd w:val="clear" w:color="auto" w:fill="FFFFFF"/>
            <w:noWrap/>
            <w:hideMark/>
          </w:tcPr>
          <w:p w14:paraId="3222B326" w14:textId="77777777" w:rsidR="007366D4" w:rsidRPr="00FD2F0C" w:rsidRDefault="007366D4" w:rsidP="00F75C2B">
            <w:pPr>
              <w:pStyle w:val="Tabletext0"/>
              <w:spacing w:before="20" w:after="20"/>
              <w:jc w:val="both"/>
              <w:rPr>
                <w:lang w:val="en-US"/>
              </w:rPr>
            </w:pPr>
            <w:r w:rsidRPr="00FD2F0C">
              <w:rPr>
                <w:lang w:val="en-US"/>
              </w:rPr>
              <w:t>2015-03-17</w:t>
            </w:r>
          </w:p>
        </w:tc>
        <w:tc>
          <w:tcPr>
            <w:tcW w:w="1402" w:type="pct"/>
            <w:tcBorders>
              <w:top w:val="single" w:sz="12" w:space="0" w:color="auto"/>
              <w:left w:val="single" w:sz="12" w:space="0" w:color="auto"/>
              <w:bottom w:val="single" w:sz="12" w:space="0" w:color="auto"/>
              <w:right w:val="single" w:sz="12" w:space="0" w:color="auto"/>
            </w:tcBorders>
            <w:shd w:val="clear" w:color="auto" w:fill="FFFFFF"/>
            <w:hideMark/>
          </w:tcPr>
          <w:p w14:paraId="783F8F1E" w14:textId="77777777" w:rsidR="007366D4" w:rsidRPr="00FD2F0C" w:rsidRDefault="007366D4" w:rsidP="00F75C2B">
            <w:pPr>
              <w:pStyle w:val="Tabletext0"/>
              <w:spacing w:before="20" w:after="20"/>
              <w:rPr>
                <w:lang w:val="en-US"/>
              </w:rPr>
            </w:pPr>
            <w:r w:rsidRPr="00FD2F0C">
              <w:rPr>
                <w:lang w:val="en-US"/>
              </w:rPr>
              <w:t>ITU-R Study Groups - Working Party 6A</w:t>
            </w:r>
          </w:p>
        </w:tc>
        <w:tc>
          <w:tcPr>
            <w:tcW w:w="2352" w:type="pct"/>
            <w:tcBorders>
              <w:top w:val="single" w:sz="12" w:space="0" w:color="auto"/>
              <w:left w:val="single" w:sz="12" w:space="0" w:color="auto"/>
              <w:bottom w:val="single" w:sz="12" w:space="0" w:color="auto"/>
              <w:right w:val="single" w:sz="12" w:space="0" w:color="auto"/>
            </w:tcBorders>
            <w:shd w:val="clear" w:color="auto" w:fill="FFFFFF"/>
            <w:hideMark/>
          </w:tcPr>
          <w:p w14:paraId="39627BB1" w14:textId="77777777" w:rsidR="007366D4" w:rsidRPr="00FD2F0C" w:rsidRDefault="007366D4" w:rsidP="00F75C2B">
            <w:pPr>
              <w:pStyle w:val="Tabletext0"/>
              <w:spacing w:before="20" w:after="20"/>
              <w:jc w:val="both"/>
              <w:rPr>
                <w:lang w:val="en-US"/>
              </w:rPr>
            </w:pPr>
            <w:r w:rsidRPr="00FD2F0C">
              <w:rPr>
                <w:lang w:val="en-US"/>
              </w:rPr>
              <w:t>Liaison Statement from ITU-R SG6 WP6A to the ITU-D/ITU-R Joint Group for Resolution 9 on Dynamic spectrum access</w:t>
            </w:r>
          </w:p>
        </w:tc>
      </w:tr>
    </w:tbl>
    <w:p w14:paraId="361A49F4" w14:textId="6757FF61" w:rsidR="0056669F" w:rsidRPr="00FD2F0C" w:rsidRDefault="007366D4" w:rsidP="00F75C2B">
      <w:pPr>
        <w:spacing w:before="0"/>
        <w:jc w:val="center"/>
        <w:rPr>
          <w:rFonts w:asciiTheme="minorHAnsi" w:hAnsiTheme="minorHAnsi"/>
          <w:b/>
          <w:bCs/>
          <w:noProof/>
          <w:lang w:val="en-GB"/>
        </w:rPr>
      </w:pPr>
      <w:r w:rsidRPr="00FD2F0C">
        <w:rPr>
          <w:rFonts w:asciiTheme="minorHAnsi" w:hAnsiTheme="minorHAnsi"/>
          <w:bCs/>
          <w:color w:val="000000"/>
          <w:shd w:val="clear" w:color="auto" w:fill="FFFFFF"/>
        </w:rPr>
        <w:t>____________________</w:t>
      </w:r>
    </w:p>
    <w:sectPr w:rsidR="0056669F" w:rsidRPr="00FD2F0C" w:rsidSect="00745ECC">
      <w:pgSz w:w="11907" w:h="16834" w:code="9"/>
      <w:pgMar w:top="1418" w:right="1134" w:bottom="851" w:left="1134" w:header="720"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0D5E6" w14:textId="77777777" w:rsidR="00AA3119" w:rsidRDefault="00AA3119">
      <w:r>
        <w:separator/>
      </w:r>
    </w:p>
  </w:endnote>
  <w:endnote w:type="continuationSeparator" w:id="0">
    <w:p w14:paraId="24ECDC80" w14:textId="77777777" w:rsidR="00AA3119" w:rsidRDefault="00AA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57150"/>
      <w:docPartObj>
        <w:docPartGallery w:val="Page Numbers (Bottom of Page)"/>
        <w:docPartUnique/>
      </w:docPartObj>
    </w:sdtPr>
    <w:sdtEndPr/>
    <w:sdtContent>
      <w:p w14:paraId="5F81B527" w14:textId="77777777" w:rsidR="00044CB3" w:rsidRPr="004E70D5" w:rsidRDefault="00044CB3" w:rsidP="004E70D5">
        <w:pPr>
          <w:pStyle w:val="Footer"/>
          <w:pBdr>
            <w:top w:val="single" w:sz="4" w:space="1" w:color="1F9DD9"/>
          </w:pBdr>
        </w:pPr>
        <w:r w:rsidRPr="00837668">
          <w:tab/>
        </w:r>
        <w:r>
          <w:fldChar w:fldCharType="begin"/>
        </w:r>
        <w:r>
          <w:instrText xml:space="preserve"> PAGE </w:instrText>
        </w:r>
        <w:r>
          <w:fldChar w:fldCharType="separate"/>
        </w:r>
        <w:r w:rsidR="00573C99">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19182"/>
      <w:docPartObj>
        <w:docPartGallery w:val="Page Numbers (Bottom of Page)"/>
        <w:docPartUnique/>
      </w:docPartObj>
    </w:sdtPr>
    <w:sdtEndPr/>
    <w:sdtContent>
      <w:p w14:paraId="01F282F2" w14:textId="77777777" w:rsidR="00044CB3" w:rsidRPr="00AF4D0B" w:rsidRDefault="00044CB3" w:rsidP="00AF4D0B">
        <w:pPr>
          <w:pStyle w:val="Footer"/>
          <w:pBdr>
            <w:top w:val="single" w:sz="4" w:space="1" w:color="1F9DD9"/>
          </w:pBdr>
        </w:pPr>
        <w:r w:rsidRPr="00837668">
          <w:tab/>
        </w:r>
        <w:r>
          <w:fldChar w:fldCharType="begin"/>
        </w:r>
        <w:r>
          <w:instrText xml:space="preserve"> PAGE </w:instrText>
        </w:r>
        <w:r>
          <w:fldChar w:fldCharType="separate"/>
        </w:r>
        <w:r w:rsidR="00573C99">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57D53" w14:textId="363B1DBC" w:rsidR="00044CB3" w:rsidRPr="007420BB" w:rsidRDefault="00284C7A" w:rsidP="00492EFE">
    <w:pPr>
      <w:pStyle w:val="Footer"/>
      <w:pBdr>
        <w:top w:val="none" w:sz="0" w:space="0" w:color="auto"/>
      </w:pBdr>
      <w:tabs>
        <w:tab w:val="clear" w:pos="9071"/>
        <w:tab w:val="left" w:pos="5954"/>
        <w:tab w:val="right" w:pos="9639"/>
      </w:tabs>
      <w:ind w:left="0"/>
      <w:jc w:val="left"/>
      <w:rPr>
        <w:rFonts w:asciiTheme="majorBidi" w:hAnsiTheme="majorBidi" w:cstheme="majorBidi"/>
        <w:sz w:val="16"/>
        <w:szCs w:val="16"/>
        <w:lang w:val="en-GB"/>
      </w:rPr>
    </w:pPr>
    <w:r w:rsidRPr="007420BB">
      <w:rPr>
        <w:rFonts w:asciiTheme="majorBidi" w:hAnsiTheme="majorBidi" w:cstheme="majorBidi"/>
        <w:sz w:val="16"/>
        <w:szCs w:val="16"/>
      </w:rPr>
      <w:fldChar w:fldCharType="begin"/>
    </w:r>
    <w:r w:rsidRPr="007420BB">
      <w:rPr>
        <w:rFonts w:asciiTheme="majorBidi" w:hAnsiTheme="majorBidi" w:cstheme="majorBidi"/>
        <w:sz w:val="16"/>
        <w:szCs w:val="16"/>
        <w:lang w:val="en-GB"/>
      </w:rPr>
      <w:instrText xml:space="preserve"> FILENAME \p  \* MERGEFORMAT </w:instrText>
    </w:r>
    <w:r w:rsidRPr="007420BB">
      <w:rPr>
        <w:rFonts w:asciiTheme="majorBidi" w:hAnsiTheme="majorBidi" w:cstheme="majorBidi"/>
        <w:sz w:val="16"/>
        <w:szCs w:val="16"/>
      </w:rPr>
      <w:fldChar w:fldCharType="separate"/>
    </w:r>
    <w:r w:rsidR="007420BB" w:rsidRPr="007420BB">
      <w:rPr>
        <w:rFonts w:asciiTheme="majorBidi" w:hAnsiTheme="majorBidi" w:cstheme="majorBidi"/>
        <w:noProof/>
        <w:sz w:val="16"/>
        <w:szCs w:val="16"/>
        <w:lang w:val="en-GB"/>
      </w:rPr>
      <w:t>M:\BRSGD\TEXT2017\SG01\000\082E.DOCX</w:t>
    </w:r>
    <w:r w:rsidRPr="007420BB">
      <w:rPr>
        <w:rFonts w:asciiTheme="majorBidi" w:hAnsiTheme="majorBidi" w:cstheme="majorBidi"/>
        <w:noProof/>
        <w:sz w:val="16"/>
        <w:szCs w:val="16"/>
      </w:rPr>
      <w:fldChar w:fldCharType="end"/>
    </w:r>
    <w:r w:rsidR="007420BB" w:rsidRPr="007420BB">
      <w:rPr>
        <w:rFonts w:asciiTheme="majorBidi" w:hAnsiTheme="majorBidi" w:cstheme="majorBidi"/>
        <w:sz w:val="16"/>
        <w:szCs w:val="16"/>
        <w:lang w:val="en-GB"/>
      </w:rPr>
      <w:tab/>
    </w:r>
    <w:r w:rsidRPr="007420BB">
      <w:rPr>
        <w:rFonts w:asciiTheme="majorBidi" w:hAnsiTheme="majorBidi" w:cstheme="majorBidi"/>
        <w:sz w:val="16"/>
        <w:szCs w:val="16"/>
      </w:rPr>
      <w:fldChar w:fldCharType="begin"/>
    </w:r>
    <w:r w:rsidRPr="007420BB">
      <w:rPr>
        <w:rFonts w:asciiTheme="majorBidi" w:hAnsiTheme="majorBidi" w:cstheme="majorBidi"/>
        <w:sz w:val="16"/>
        <w:szCs w:val="16"/>
      </w:rPr>
      <w:instrText xml:space="preserve"> SAVEDATE \@ DD.MM.YY </w:instrText>
    </w:r>
    <w:r w:rsidRPr="007420BB">
      <w:rPr>
        <w:rFonts w:asciiTheme="majorBidi" w:hAnsiTheme="majorBidi" w:cstheme="majorBidi"/>
        <w:sz w:val="16"/>
        <w:szCs w:val="16"/>
      </w:rPr>
      <w:fldChar w:fldCharType="separate"/>
    </w:r>
    <w:r w:rsidR="00573C99">
      <w:rPr>
        <w:rFonts w:asciiTheme="majorBidi" w:hAnsiTheme="majorBidi" w:cstheme="majorBidi"/>
        <w:noProof/>
        <w:sz w:val="16"/>
        <w:szCs w:val="16"/>
      </w:rPr>
      <w:t>15.11.17</w:t>
    </w:r>
    <w:r w:rsidRPr="007420BB">
      <w:rPr>
        <w:rFonts w:asciiTheme="majorBidi" w:hAnsiTheme="majorBidi" w:cstheme="majorBidi"/>
        <w:sz w:val="16"/>
        <w:szCs w:val="16"/>
      </w:rPr>
      <w:fldChar w:fldCharType="end"/>
    </w:r>
    <w:r w:rsidR="007420BB" w:rsidRPr="007420BB">
      <w:rPr>
        <w:rFonts w:asciiTheme="majorBidi" w:hAnsiTheme="majorBidi" w:cstheme="majorBidi"/>
        <w:sz w:val="16"/>
        <w:szCs w:val="16"/>
        <w:lang w:val="en-GB"/>
      </w:rPr>
      <w:tab/>
    </w:r>
    <w:r w:rsidRPr="007420BB">
      <w:rPr>
        <w:rFonts w:asciiTheme="majorBidi" w:hAnsiTheme="majorBidi" w:cstheme="majorBidi"/>
        <w:sz w:val="16"/>
        <w:szCs w:val="16"/>
      </w:rPr>
      <w:fldChar w:fldCharType="begin"/>
    </w:r>
    <w:r w:rsidRPr="007420BB">
      <w:rPr>
        <w:rFonts w:asciiTheme="majorBidi" w:hAnsiTheme="majorBidi" w:cstheme="majorBidi"/>
        <w:sz w:val="16"/>
        <w:szCs w:val="16"/>
      </w:rPr>
      <w:instrText xml:space="preserve"> printdate \@ dd.MM.yy </w:instrText>
    </w:r>
    <w:r w:rsidRPr="007420BB">
      <w:rPr>
        <w:rFonts w:asciiTheme="majorBidi" w:hAnsiTheme="majorBidi" w:cstheme="majorBidi"/>
        <w:sz w:val="16"/>
        <w:szCs w:val="16"/>
      </w:rPr>
      <w:fldChar w:fldCharType="separate"/>
    </w:r>
    <w:r w:rsidR="007420BB" w:rsidRPr="007420BB">
      <w:rPr>
        <w:rFonts w:asciiTheme="majorBidi" w:hAnsiTheme="majorBidi" w:cstheme="majorBidi"/>
        <w:noProof/>
        <w:sz w:val="16"/>
        <w:szCs w:val="16"/>
      </w:rPr>
      <w:t>19.06.17</w:t>
    </w:r>
    <w:r w:rsidRPr="007420BB">
      <w:rPr>
        <w:rFonts w:asciiTheme="majorBidi" w:hAnsiTheme="majorBidi" w:cstheme="majorBid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4840" w14:textId="0466514F" w:rsidR="00492EFE" w:rsidRPr="007420BB" w:rsidRDefault="00492EFE" w:rsidP="00492EFE">
    <w:pPr>
      <w:pStyle w:val="Footer"/>
      <w:pBdr>
        <w:top w:val="none" w:sz="0" w:space="0" w:color="auto"/>
      </w:pBdr>
      <w:tabs>
        <w:tab w:val="clear" w:pos="9071"/>
        <w:tab w:val="left" w:pos="5954"/>
        <w:tab w:val="right" w:pos="9639"/>
      </w:tabs>
      <w:ind w:left="0"/>
      <w:jc w:val="left"/>
      <w:rPr>
        <w:rFonts w:asciiTheme="majorBidi" w:hAnsiTheme="majorBidi" w:cstheme="majorBidi"/>
        <w:sz w:val="16"/>
        <w:szCs w:val="16"/>
        <w:lang w:val="en-GB"/>
      </w:rPr>
    </w:pPr>
    <w:r w:rsidRPr="007420BB">
      <w:rPr>
        <w:rFonts w:asciiTheme="majorBidi" w:hAnsiTheme="majorBidi" w:cstheme="majorBidi"/>
        <w:sz w:val="16"/>
        <w:szCs w:val="16"/>
      </w:rPr>
      <w:fldChar w:fldCharType="begin"/>
    </w:r>
    <w:r w:rsidRPr="007420BB">
      <w:rPr>
        <w:rFonts w:asciiTheme="majorBidi" w:hAnsiTheme="majorBidi" w:cstheme="majorBidi"/>
        <w:sz w:val="16"/>
        <w:szCs w:val="16"/>
        <w:lang w:val="en-GB"/>
      </w:rPr>
      <w:instrText xml:space="preserve"> FILENAME \p  \* MERGEFORMAT </w:instrText>
    </w:r>
    <w:r w:rsidRPr="007420BB">
      <w:rPr>
        <w:rFonts w:asciiTheme="majorBidi" w:hAnsiTheme="majorBidi" w:cstheme="majorBidi"/>
        <w:sz w:val="16"/>
        <w:szCs w:val="16"/>
      </w:rPr>
      <w:fldChar w:fldCharType="separate"/>
    </w:r>
    <w:r w:rsidR="007420BB" w:rsidRPr="007420BB">
      <w:rPr>
        <w:rFonts w:asciiTheme="majorBidi" w:hAnsiTheme="majorBidi" w:cstheme="majorBidi"/>
        <w:noProof/>
        <w:sz w:val="16"/>
        <w:szCs w:val="16"/>
        <w:lang w:val="en-GB"/>
      </w:rPr>
      <w:t>M:\BRSGD\TEXT2017\SG01\000\082E.DOCX</w:t>
    </w:r>
    <w:r w:rsidRPr="007420BB">
      <w:rPr>
        <w:rFonts w:asciiTheme="majorBidi" w:hAnsiTheme="majorBidi" w:cstheme="majorBidi"/>
        <w:noProof/>
        <w:sz w:val="16"/>
        <w:szCs w:val="16"/>
      </w:rPr>
      <w:fldChar w:fldCharType="end"/>
    </w:r>
    <w:r w:rsidR="007420BB" w:rsidRPr="007420BB">
      <w:rPr>
        <w:rFonts w:asciiTheme="majorBidi" w:hAnsiTheme="majorBidi" w:cstheme="majorBidi"/>
        <w:sz w:val="16"/>
        <w:szCs w:val="16"/>
        <w:lang w:val="en-GB"/>
      </w:rPr>
      <w:tab/>
    </w:r>
    <w:r w:rsidRPr="007420BB">
      <w:rPr>
        <w:rFonts w:asciiTheme="majorBidi" w:hAnsiTheme="majorBidi" w:cstheme="majorBidi"/>
        <w:sz w:val="16"/>
        <w:szCs w:val="16"/>
      </w:rPr>
      <w:fldChar w:fldCharType="begin"/>
    </w:r>
    <w:r w:rsidRPr="007420BB">
      <w:rPr>
        <w:rFonts w:asciiTheme="majorBidi" w:hAnsiTheme="majorBidi" w:cstheme="majorBidi"/>
        <w:sz w:val="16"/>
        <w:szCs w:val="16"/>
      </w:rPr>
      <w:instrText xml:space="preserve"> SAVEDATE \@ DD.MM.YY </w:instrText>
    </w:r>
    <w:r w:rsidRPr="007420BB">
      <w:rPr>
        <w:rFonts w:asciiTheme="majorBidi" w:hAnsiTheme="majorBidi" w:cstheme="majorBidi"/>
        <w:sz w:val="16"/>
        <w:szCs w:val="16"/>
      </w:rPr>
      <w:fldChar w:fldCharType="separate"/>
    </w:r>
    <w:r w:rsidR="00573C99">
      <w:rPr>
        <w:rFonts w:asciiTheme="majorBidi" w:hAnsiTheme="majorBidi" w:cstheme="majorBidi"/>
        <w:noProof/>
        <w:sz w:val="16"/>
        <w:szCs w:val="16"/>
      </w:rPr>
      <w:t>15.11.17</w:t>
    </w:r>
    <w:r w:rsidRPr="007420BB">
      <w:rPr>
        <w:rFonts w:asciiTheme="majorBidi" w:hAnsiTheme="majorBidi" w:cstheme="majorBidi"/>
        <w:sz w:val="16"/>
        <w:szCs w:val="16"/>
      </w:rPr>
      <w:fldChar w:fldCharType="end"/>
    </w:r>
    <w:r w:rsidR="007420BB" w:rsidRPr="007420BB">
      <w:rPr>
        <w:rFonts w:asciiTheme="majorBidi" w:hAnsiTheme="majorBidi" w:cstheme="majorBidi"/>
        <w:sz w:val="16"/>
        <w:szCs w:val="16"/>
        <w:lang w:val="en-GB"/>
      </w:rPr>
      <w:tab/>
    </w:r>
    <w:r w:rsidRPr="007420BB">
      <w:rPr>
        <w:rFonts w:asciiTheme="majorBidi" w:hAnsiTheme="majorBidi" w:cstheme="majorBidi"/>
        <w:sz w:val="16"/>
        <w:szCs w:val="16"/>
      </w:rPr>
      <w:fldChar w:fldCharType="begin"/>
    </w:r>
    <w:r w:rsidRPr="007420BB">
      <w:rPr>
        <w:rFonts w:asciiTheme="majorBidi" w:hAnsiTheme="majorBidi" w:cstheme="majorBidi"/>
        <w:sz w:val="16"/>
        <w:szCs w:val="16"/>
      </w:rPr>
      <w:instrText xml:space="preserve"> printdate \@ dd.MM.yy </w:instrText>
    </w:r>
    <w:r w:rsidRPr="007420BB">
      <w:rPr>
        <w:rFonts w:asciiTheme="majorBidi" w:hAnsiTheme="majorBidi" w:cstheme="majorBidi"/>
        <w:sz w:val="16"/>
        <w:szCs w:val="16"/>
      </w:rPr>
      <w:fldChar w:fldCharType="separate"/>
    </w:r>
    <w:r w:rsidR="007420BB" w:rsidRPr="007420BB">
      <w:rPr>
        <w:rFonts w:asciiTheme="majorBidi" w:hAnsiTheme="majorBidi" w:cstheme="majorBidi"/>
        <w:noProof/>
        <w:sz w:val="16"/>
        <w:szCs w:val="16"/>
      </w:rPr>
      <w:t>19.06.17</w:t>
    </w:r>
    <w:r w:rsidRPr="007420BB">
      <w:rPr>
        <w:rFonts w:asciiTheme="majorBidi" w:hAnsiTheme="majorBidi" w:cstheme="majorBid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30AC" w14:textId="77777777" w:rsidR="00044CB3" w:rsidRPr="00745ECC" w:rsidRDefault="00044CB3" w:rsidP="004E70D5">
    <w:pPr>
      <w:pStyle w:val="Footer"/>
      <w:pBdr>
        <w:top w:val="single" w:sz="4" w:space="1" w:color="1F9DD9"/>
      </w:pBdr>
    </w:pPr>
    <w:r w:rsidRPr="00837668">
      <w:tab/>
    </w:r>
    <w:r>
      <w:fldChar w:fldCharType="begin"/>
    </w:r>
    <w:r>
      <w:instrText xml:space="preserve"> PAGE </w:instrText>
    </w:r>
    <w:r>
      <w:fldChar w:fldCharType="separate"/>
    </w:r>
    <w:r>
      <w:rPr>
        <w:noProof/>
      </w:rPr>
      <w:t>84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DB426" w14:textId="77777777" w:rsidR="00AA3119" w:rsidRDefault="00AA3119">
      <w:r>
        <w:t>____________________</w:t>
      </w:r>
    </w:p>
  </w:footnote>
  <w:footnote w:type="continuationSeparator" w:id="0">
    <w:p w14:paraId="54D6F1CF" w14:textId="77777777" w:rsidR="00AA3119" w:rsidRDefault="00AA3119">
      <w:r>
        <w:continuationSeparator/>
      </w:r>
    </w:p>
  </w:footnote>
  <w:footnote w:id="1">
    <w:p w14:paraId="6656F8B9" w14:textId="77777777" w:rsidR="00044CB3" w:rsidRPr="00080869" w:rsidRDefault="00044CB3" w:rsidP="007366D4">
      <w:pPr>
        <w:pStyle w:val="FootnoteText"/>
        <w:contextualSpacing/>
        <w:jc w:val="left"/>
      </w:pPr>
      <w:r w:rsidRPr="002D6E7E">
        <w:rPr>
          <w:rStyle w:val="FootnoteReference"/>
        </w:rPr>
        <w:footnoteRef/>
      </w:r>
      <w:r>
        <w:t xml:space="preserve"> </w:t>
      </w:r>
      <w:r w:rsidRPr="002D6E7E">
        <w:t xml:space="preserve">See generally “Internet Matters: The Net’s Sweeping Impact on Growth, Jobs and Prosperity,” </w:t>
      </w:r>
      <w:r w:rsidRPr="002D6E7E">
        <w:rPr>
          <w:i/>
        </w:rPr>
        <w:t>McKinsey,</w:t>
      </w:r>
      <w:r w:rsidRPr="002D6E7E">
        <w:t xml:space="preserve"> 2011, </w:t>
      </w:r>
      <w:hyperlink r:id="rId1" w:history="1">
        <w:r w:rsidRPr="00080869">
          <w:rPr>
            <w:rStyle w:val="Hyperlink"/>
          </w:rPr>
          <w:t>http://www.mckinsey.com/insights/high_tech_telecoms_internet/internet_matters</w:t>
        </w:r>
      </w:hyperlink>
      <w:r w:rsidRPr="00080869">
        <w:t xml:space="preserve">; “Online and Upcoming: The Internet’s Impact on Aspiring Countries,” </w:t>
      </w:r>
      <w:r w:rsidRPr="00080869">
        <w:rPr>
          <w:i/>
        </w:rPr>
        <w:t xml:space="preserve">McKinsey, </w:t>
      </w:r>
      <w:r w:rsidRPr="00080869">
        <w:t xml:space="preserve">2012, </w:t>
      </w:r>
      <w:hyperlink r:id="rId2" w:history="1">
        <w:r w:rsidRPr="00080869">
          <w:rPr>
            <w:rStyle w:val="Hyperlink"/>
          </w:rPr>
          <w:t>http://www.mckinsey.com/client_service/high_tech/latest_thinking/impact_of_the_internet_on_aspiring_countries</w:t>
        </w:r>
      </w:hyperlink>
      <w:r>
        <w:t>.</w:t>
      </w:r>
    </w:p>
  </w:footnote>
  <w:footnote w:id="2">
    <w:p w14:paraId="3190B730" w14:textId="77777777" w:rsidR="00044CB3" w:rsidRPr="00AE0877" w:rsidRDefault="00044CB3" w:rsidP="007366D4">
      <w:pPr>
        <w:pStyle w:val="FootnoteText"/>
        <w:contextualSpacing/>
        <w:jc w:val="left"/>
      </w:pPr>
      <w:r>
        <w:rPr>
          <w:rStyle w:val="FootnoteReference"/>
        </w:rPr>
        <w:footnoteRef/>
      </w:r>
      <w:r>
        <w:t xml:space="preserve"> “The State of Broadband 2015, “The Broadband Commission for Digital Development, 2015, pp. 41-42, </w:t>
      </w:r>
      <w:hyperlink r:id="rId3" w:history="1">
        <w:r w:rsidRPr="00CD4C2B">
          <w:rPr>
            <w:rStyle w:val="Hyperlink"/>
          </w:rPr>
          <w:t>http://www.broadbandcommission.org/Documents/reports/bb-annualreport2015.pdf</w:t>
        </w:r>
      </w:hyperlink>
      <w:r>
        <w:t>.</w:t>
      </w:r>
    </w:p>
  </w:footnote>
  <w:footnote w:id="3">
    <w:p w14:paraId="17D06815" w14:textId="77777777" w:rsidR="00044CB3" w:rsidRPr="00080869" w:rsidRDefault="00044CB3" w:rsidP="007366D4">
      <w:pPr>
        <w:pStyle w:val="FootnoteText"/>
        <w:jc w:val="left"/>
      </w:pPr>
      <w:r w:rsidRPr="00080869">
        <w:rPr>
          <w:rStyle w:val="FootnoteReference"/>
        </w:rPr>
        <w:footnoteRef/>
      </w:r>
      <w:r w:rsidRPr="00080869">
        <w:t xml:space="preserve"> “The State of Broadband 2015,” </w:t>
      </w:r>
      <w:r w:rsidRPr="00080869">
        <w:rPr>
          <w:i/>
        </w:rPr>
        <w:t>The Broadband Commission for Digital Development</w:t>
      </w:r>
      <w:r w:rsidRPr="00080869">
        <w:t xml:space="preserve">, 2015, </w:t>
      </w:r>
      <w:r>
        <w:t xml:space="preserve">pp. 41-42, </w:t>
      </w:r>
      <w:hyperlink r:id="rId4" w:history="1">
        <w:r w:rsidRPr="00080869">
          <w:rPr>
            <w:rStyle w:val="Hyperlink"/>
          </w:rPr>
          <w:t>http://www.broadbandcommission.org/Documents/reports/bb-annualreport2015.pdf</w:t>
        </w:r>
      </w:hyperlink>
      <w:r w:rsidRPr="00AD7386">
        <w:rPr>
          <w:rStyle w:val="Hyperlink"/>
          <w:color w:val="auto"/>
          <w:u w:val="none"/>
        </w:rPr>
        <w:t>.</w:t>
      </w:r>
    </w:p>
  </w:footnote>
  <w:footnote w:id="4">
    <w:p w14:paraId="3135B796" w14:textId="77777777" w:rsidR="00044CB3" w:rsidRPr="00AE0877" w:rsidRDefault="00044CB3" w:rsidP="007366D4">
      <w:pPr>
        <w:pStyle w:val="FootnoteText"/>
        <w:jc w:val="left"/>
      </w:pPr>
      <w:r>
        <w:rPr>
          <w:rStyle w:val="FootnoteReference"/>
        </w:rPr>
        <w:footnoteRef/>
      </w:r>
      <w:r>
        <w:t xml:space="preserve"> </w:t>
      </w:r>
      <w:r w:rsidRPr="00AE0877">
        <w:t xml:space="preserve">“Transforming our World: The 2030 Agenda for Sustainable Development”, Resolution adopted by the United Nations General Assembly on 25 September 2015. </w:t>
      </w:r>
      <w:hyperlink r:id="rId5" w:history="1">
        <w:r w:rsidRPr="00F80242">
          <w:rPr>
            <w:rStyle w:val="Hyperlink"/>
          </w:rPr>
          <w:t>http://www.un.org/ga/search/view_doc.asp?symbol=A/RES/70/1&amp;Lang=E</w:t>
        </w:r>
      </w:hyperlink>
      <w:r>
        <w:t>.</w:t>
      </w:r>
    </w:p>
  </w:footnote>
  <w:footnote w:id="5">
    <w:p w14:paraId="1CC57609" w14:textId="4E76FFA0" w:rsidR="00044CB3" w:rsidRPr="005638D4" w:rsidRDefault="00044CB3" w:rsidP="00EF6CE3">
      <w:pPr>
        <w:pStyle w:val="FootnoteText"/>
      </w:pPr>
      <w:r w:rsidRPr="00164D1B">
        <w:rPr>
          <w:rStyle w:val="FootnoteReference"/>
        </w:rPr>
        <w:footnoteRef/>
      </w:r>
      <w:r w:rsidRPr="00164D1B">
        <w:t xml:space="preserve"> The </w:t>
      </w:r>
      <w:r>
        <w:t xml:space="preserve">major part </w:t>
      </w:r>
      <w:r w:rsidRPr="00164D1B">
        <w:t xml:space="preserve">of the spectrum in use today, both in developed and developing countries, has been allocated on a dedicated basis. </w:t>
      </w:r>
      <w:r w:rsidRPr="005638D4">
        <w:t>This includes spectrum identified for IMT-2000 and IMT-Advanced mobile services in the UHF band.</w:t>
      </w:r>
    </w:p>
  </w:footnote>
  <w:footnote w:id="6">
    <w:p w14:paraId="5E4DF54F" w14:textId="77777777" w:rsidR="00044CB3" w:rsidRPr="005638D4" w:rsidRDefault="00044CB3" w:rsidP="00651528">
      <w:pPr>
        <w:pStyle w:val="FootnoteText"/>
        <w:rPr>
          <w:lang w:val="en-GB"/>
        </w:rPr>
      </w:pPr>
      <w:r w:rsidRPr="005638D4">
        <w:rPr>
          <w:rStyle w:val="FootnoteReference"/>
        </w:rPr>
        <w:footnoteRef/>
      </w:r>
      <w:r w:rsidRPr="005638D4">
        <w:t xml:space="preserve"> GSMA Intelligence – see www.gsmaintelligence.com</w:t>
      </w:r>
    </w:p>
  </w:footnote>
  <w:footnote w:id="7">
    <w:p w14:paraId="6FC8C0D2" w14:textId="23C27CCD" w:rsidR="00044CB3" w:rsidRDefault="00044CB3" w:rsidP="00651528">
      <w:pPr>
        <w:pStyle w:val="FootnoteText"/>
        <w:rPr>
          <w:lang w:val="en-GB"/>
        </w:rPr>
      </w:pPr>
      <w:r w:rsidRPr="005638D4">
        <w:rPr>
          <w:rStyle w:val="FootnoteReference"/>
        </w:rPr>
        <w:footnoteRef/>
      </w:r>
      <w:r w:rsidRPr="00E73393">
        <w:rPr>
          <w:lang w:val="en-GB"/>
        </w:rPr>
        <w:t xml:space="preserve"> </w:t>
      </w:r>
      <w:r w:rsidRPr="005638D4">
        <w:t>GSMA</w:t>
      </w:r>
      <w:r>
        <w:t xml:space="preserve"> </w:t>
      </w:r>
      <w:r w:rsidRPr="005638D4">
        <w:t>Intelligence – see www.gsmaintelligence.com</w:t>
      </w:r>
    </w:p>
  </w:footnote>
  <w:footnote w:id="8">
    <w:p w14:paraId="4D8D3612" w14:textId="77777777" w:rsidR="00044CB3" w:rsidRPr="00164D1B" w:rsidRDefault="00044CB3" w:rsidP="007366D4">
      <w:pPr>
        <w:pStyle w:val="FootnoteText"/>
      </w:pPr>
      <w:r w:rsidRPr="00164D1B">
        <w:rPr>
          <w:rStyle w:val="FootnoteReference"/>
        </w:rPr>
        <w:footnoteRef/>
      </w:r>
      <w:r w:rsidRPr="00164D1B">
        <w:t xml:space="preserve"> Handbook of Spectrum Management, p 139.</w:t>
      </w:r>
    </w:p>
  </w:footnote>
  <w:footnote w:id="9">
    <w:p w14:paraId="3D602C67" w14:textId="77777777" w:rsidR="00044CB3" w:rsidRPr="004B42A8" w:rsidRDefault="00044CB3" w:rsidP="007366D4">
      <w:pPr>
        <w:pStyle w:val="FootnoteText"/>
      </w:pPr>
      <w:r w:rsidRPr="00E37512">
        <w:rPr>
          <w:rStyle w:val="FootnoteReference"/>
          <w:szCs w:val="21"/>
        </w:rPr>
        <w:footnoteRef/>
      </w:r>
      <w:r w:rsidRPr="00E37512">
        <w:rPr>
          <w:sz w:val="21"/>
          <w:szCs w:val="21"/>
        </w:rPr>
        <w:t xml:space="preserve"> </w:t>
      </w:r>
      <w:r w:rsidRPr="006946F8">
        <w:t>“Background Paper: Radio Spectrum Management for a Converging World”, International Telecommunication Union, Document: RSM/07, Presented at ‘Workshop on Radio Spectrum Management for a Converging World’, 16-18 February 2004.</w:t>
      </w:r>
    </w:p>
  </w:footnote>
  <w:footnote w:id="10">
    <w:p w14:paraId="3F729FD0" w14:textId="2745E4C9" w:rsidR="00044CB3" w:rsidRDefault="00044CB3">
      <w:pPr>
        <w:pStyle w:val="FootnoteText"/>
      </w:pPr>
      <w:r w:rsidRPr="007D5573">
        <w:rPr>
          <w:rStyle w:val="FootnoteReference"/>
          <w:lang w:val="en-US"/>
        </w:rPr>
        <w:t>*</w:t>
      </w:r>
      <w:r w:rsidRPr="007D5573">
        <w:t xml:space="preserve"> IMT-2020 refers to the 5G standardization work at ITU.</w:t>
      </w:r>
    </w:p>
  </w:footnote>
  <w:footnote w:id="11">
    <w:p w14:paraId="18F1A7E1" w14:textId="77777777" w:rsidR="00044CB3" w:rsidRPr="00AC7F54" w:rsidRDefault="00044CB3" w:rsidP="00012F1F">
      <w:pPr>
        <w:pStyle w:val="FootnoteText"/>
      </w:pPr>
      <w:r w:rsidRPr="00AC7F54">
        <w:rPr>
          <w:rStyle w:val="FootnoteReference"/>
        </w:rPr>
        <w:footnoteRef/>
      </w:r>
      <w:r w:rsidRPr="00AC7F54">
        <w:t xml:space="preserve"> Typically 17.3/17.7 – 20.2 GHz (space-to-Earth) and 27/27.5 – 30 GHz (Earth-to-space).</w:t>
      </w:r>
    </w:p>
  </w:footnote>
  <w:footnote w:id="12">
    <w:p w14:paraId="09C215D8" w14:textId="77777777" w:rsidR="00044CB3" w:rsidRDefault="00044CB3" w:rsidP="00012F1F">
      <w:pPr>
        <w:pStyle w:val="FootnoteText"/>
      </w:pPr>
      <w:r w:rsidRPr="00AC7F54">
        <w:rPr>
          <w:rStyle w:val="FootnoteReference"/>
        </w:rPr>
        <w:footnoteRef/>
      </w:r>
      <w:r w:rsidRPr="00AC7F54">
        <w:t xml:space="preserve"> 19.7 – 20.2 GHz (space-to-Earth) and 29.5 – 30 GHz (Earth-to-space)</w:t>
      </w:r>
    </w:p>
  </w:footnote>
  <w:footnote w:id="13">
    <w:p w14:paraId="30B8D8F1" w14:textId="77777777" w:rsidR="00044CB3" w:rsidRPr="00F61B92" w:rsidRDefault="00044CB3" w:rsidP="003F0EB2">
      <w:pPr>
        <w:pStyle w:val="FootnoteText"/>
        <w:rPr>
          <w:lang w:val="en-GB"/>
        </w:rPr>
      </w:pPr>
      <w:r>
        <w:rPr>
          <w:rStyle w:val="FootnoteReference"/>
        </w:rPr>
        <w:footnoteRef/>
      </w:r>
      <w:r w:rsidRPr="00F61B92">
        <w:rPr>
          <w:lang w:val="en-GB"/>
        </w:rPr>
        <w:t xml:space="preserve"> Document </w:t>
      </w:r>
      <w:hyperlink r:id="rId6" w:history="1">
        <w:r w:rsidRPr="00F61B92">
          <w:rPr>
            <w:rStyle w:val="Hyperlink"/>
            <w:lang w:val="en-GB"/>
          </w:rPr>
          <w:t>1/362</w:t>
        </w:r>
      </w:hyperlink>
      <w:r w:rsidRPr="00F61B92">
        <w:rPr>
          <w:lang w:val="en-GB"/>
        </w:rPr>
        <w:t xml:space="preserve">, </w:t>
      </w:r>
      <w:r>
        <w:rPr>
          <w:lang w:val="en-GB"/>
        </w:rPr>
        <w:t>“</w:t>
      </w:r>
      <w:r>
        <w:t>Spectrum management approach for the consideration of earth stations in the fixed-satellite service, including Earth Stations In Motion (ESIMs)”,</w:t>
      </w:r>
      <w:r>
        <w:rPr>
          <w:lang w:val="en-GB"/>
        </w:rPr>
        <w:t xml:space="preserve"> </w:t>
      </w:r>
      <w:r w:rsidRPr="00F61B92">
        <w:rPr>
          <w:lang w:val="en-GB"/>
        </w:rPr>
        <w:t>Inmarsat Plc.</w:t>
      </w:r>
      <w:r>
        <w:rPr>
          <w:lang w:val="en-GB"/>
        </w:rPr>
        <w:t xml:space="preserve"> (United Kingdom of Northern Ireland and Great Britain).</w:t>
      </w:r>
    </w:p>
  </w:footnote>
  <w:footnote w:id="14">
    <w:p w14:paraId="5C627B05" w14:textId="77777777" w:rsidR="00044CB3" w:rsidRPr="004B42A8" w:rsidRDefault="00044CB3" w:rsidP="003F0EB2">
      <w:pPr>
        <w:pStyle w:val="FootnoteText"/>
      </w:pPr>
      <w:r>
        <w:rPr>
          <w:rStyle w:val="FootnoteReference"/>
        </w:rPr>
        <w:footnoteRef/>
      </w:r>
      <w:r>
        <w:t xml:space="preserve"> </w:t>
      </w:r>
      <w:r w:rsidRPr="004B42A8">
        <w:t>Report ITU-R S.2357-0 ‘Technical and operational guidelines for earth stations on mobile platforms communicating with geostationary space stations in the fixed-satellite service in the frequency bands 19.7-20.2 GHz and 29.5-30.0 GHz (June 2015).</w:t>
      </w:r>
    </w:p>
  </w:footnote>
  <w:footnote w:id="15">
    <w:p w14:paraId="6AB077F3" w14:textId="77777777" w:rsidR="00044CB3" w:rsidRPr="004B42A8" w:rsidRDefault="00044CB3" w:rsidP="003F0EB2">
      <w:pPr>
        <w:pStyle w:val="FootnoteText"/>
      </w:pPr>
      <w:r w:rsidRPr="004B42A8">
        <w:rPr>
          <w:rStyle w:val="FootnoteReference"/>
        </w:rPr>
        <w:footnoteRef/>
      </w:r>
      <w:r w:rsidRPr="004B42A8">
        <w:t xml:space="preserve"> ECC/DEC(13)01: The harmonized use, free circulation and exemption from individual licensing of Earth Stations on Mobile Platforms (ESOMPs) within the frequency bands 17.3-20.2 GHz and 27.5-30.0 GHz.</w:t>
      </w:r>
    </w:p>
  </w:footnote>
  <w:footnote w:id="16">
    <w:p w14:paraId="0ECF0D3F" w14:textId="77777777" w:rsidR="00044CB3" w:rsidRPr="004B42A8" w:rsidRDefault="00044CB3" w:rsidP="00C20E11">
      <w:pPr>
        <w:pStyle w:val="FootnoteText"/>
      </w:pPr>
      <w:r w:rsidRPr="004B42A8">
        <w:rPr>
          <w:rStyle w:val="FootnoteReference"/>
        </w:rPr>
        <w:footnoteRef/>
      </w:r>
      <w:r w:rsidRPr="004B42A8">
        <w:t xml:space="preserve"> Specifically, the Radio Regulations provide for ESIMs to communicate with geostationary (GSO) FSS space stations in the frequency bands 19.7-20.2 GHz (space-to-Earth) and 29.5-30.0 GHz (Earth-to-space) under certain conditions, which are specified in ITU RR. 5.527A and Resolution 15</w:t>
      </w:r>
      <w:r>
        <w:t>6</w:t>
      </w:r>
      <w:r w:rsidRPr="004B42A8">
        <w:t xml:space="preserve"> (WRC-15).</w:t>
      </w:r>
    </w:p>
  </w:footnote>
  <w:footnote w:id="17">
    <w:p w14:paraId="3358BEC0" w14:textId="77777777" w:rsidR="00044CB3" w:rsidRDefault="00044CB3" w:rsidP="00C20E11">
      <w:pPr>
        <w:pStyle w:val="FootnoteText"/>
      </w:pPr>
      <w:r w:rsidRPr="004B42A8">
        <w:rPr>
          <w:rStyle w:val="FootnoteReference"/>
        </w:rPr>
        <w:footnoteRef/>
      </w:r>
      <w:r w:rsidRPr="004B42A8">
        <w:t xml:space="preserve"> </w:t>
      </w:r>
      <w:hyperlink r:id="rId7" w:history="1">
        <w:r w:rsidRPr="004B42A8">
          <w:rPr>
            <w:rStyle w:val="Hyperlink"/>
          </w:rPr>
          <w:t>https://www.itu.int/net/pressoffice/press_releases/2015/56.aspx</w:t>
        </w:r>
      </w:hyperlink>
      <w:r w:rsidRPr="000B0929">
        <w:rPr>
          <w:rStyle w:val="Hyperlink"/>
          <w:color w:val="auto"/>
          <w:u w:val="none"/>
        </w:rPr>
        <w:t>.</w:t>
      </w:r>
    </w:p>
  </w:footnote>
  <w:footnote w:id="18">
    <w:p w14:paraId="60397B6D" w14:textId="1E02DBBC" w:rsidR="00044CB3" w:rsidRPr="00AB5188" w:rsidRDefault="00044CB3" w:rsidP="00191D09">
      <w:pPr>
        <w:pStyle w:val="FootnoteText"/>
        <w:rPr>
          <w:lang w:val="en-GB"/>
        </w:rPr>
      </w:pPr>
      <w:r>
        <w:rPr>
          <w:rStyle w:val="FootnoteReference"/>
        </w:rPr>
        <w:footnoteRef/>
      </w:r>
      <w:r>
        <w:t xml:space="preserve"> </w:t>
      </w:r>
      <w:r>
        <w:rPr>
          <w:lang w:val="en-GB"/>
        </w:rPr>
        <w:t>GSA</w:t>
      </w:r>
      <w:r w:rsidRPr="00CD4A96">
        <w:rPr>
          <w:lang w:val="en-GB"/>
        </w:rPr>
        <w:t xml:space="preserve">: </w:t>
      </w:r>
      <w:hyperlink r:id="rId8" w:history="1">
        <w:r w:rsidRPr="00CD4A96">
          <w:rPr>
            <w:rStyle w:val="Hyperlink"/>
            <w:lang w:val="en-GB"/>
          </w:rPr>
          <w:t>”700 &amp; 800 MHz Ecosystem Evolution”</w:t>
        </w:r>
      </w:hyperlink>
      <w:r w:rsidRPr="00CD4A96">
        <w:rPr>
          <w:lang w:val="en-GB"/>
        </w:rPr>
        <w:t xml:space="preserve"> Report 2017; </w:t>
      </w:r>
      <w:hyperlink r:id="rId9" w:history="1">
        <w:r w:rsidRPr="00CD4A96">
          <w:rPr>
            <w:rStyle w:val="Hyperlink"/>
            <w:lang w:val="en-GB"/>
          </w:rPr>
          <w:t>“Evolution from LTE to 5G”</w:t>
        </w:r>
      </w:hyperlink>
      <w:r>
        <w:rPr>
          <w:lang w:val="en-GB"/>
        </w:rPr>
        <w:t xml:space="preserve"> (April 2017 Update)</w:t>
      </w:r>
    </w:p>
  </w:footnote>
  <w:footnote w:id="19">
    <w:p w14:paraId="4C5387BD" w14:textId="49B91A3A" w:rsidR="00044CB3" w:rsidRPr="00AB5188" w:rsidRDefault="00044CB3" w:rsidP="00191D09">
      <w:pPr>
        <w:pStyle w:val="FootnoteText"/>
        <w:rPr>
          <w:lang w:val="en-GB"/>
        </w:rPr>
      </w:pPr>
      <w:r>
        <w:rPr>
          <w:rStyle w:val="FootnoteReference"/>
        </w:rPr>
        <w:footnoteRef/>
      </w:r>
      <w:r>
        <w:t xml:space="preserve"> </w:t>
      </w:r>
      <w:r>
        <w:rPr>
          <w:lang w:val="en-GB"/>
        </w:rPr>
        <w:t xml:space="preserve">GSA: </w:t>
      </w:r>
      <w:hyperlink r:id="rId10" w:history="1">
        <w:r w:rsidRPr="00191D09">
          <w:rPr>
            <w:rStyle w:val="Hyperlink"/>
            <w:lang w:val="en-GB"/>
          </w:rPr>
          <w:t>“700 &amp; 800 MHz Ecosystem Evolution”</w:t>
        </w:r>
      </w:hyperlink>
      <w:r>
        <w:rPr>
          <w:lang w:val="en-GB"/>
        </w:rPr>
        <w:t xml:space="preserve"> Report 2017</w:t>
      </w:r>
    </w:p>
  </w:footnote>
  <w:footnote w:id="20">
    <w:p w14:paraId="3B8B3926" w14:textId="77777777" w:rsidR="00044CB3" w:rsidRPr="00AB5188" w:rsidRDefault="00044CB3" w:rsidP="00E413A1">
      <w:pPr>
        <w:pStyle w:val="FootnoteText"/>
        <w:rPr>
          <w:lang w:val="en-GB"/>
        </w:rPr>
      </w:pPr>
      <w:r>
        <w:rPr>
          <w:rStyle w:val="FootnoteReference"/>
        </w:rPr>
        <w:footnoteRef/>
      </w:r>
      <w:r>
        <w:t xml:space="preserve"> </w:t>
      </w:r>
      <w:r w:rsidRPr="00AB5188">
        <w:rPr>
          <w:lang w:val="en-GB"/>
        </w:rPr>
        <w:t>GSMA</w:t>
      </w:r>
    </w:p>
  </w:footnote>
  <w:footnote w:id="21">
    <w:p w14:paraId="671C3853" w14:textId="267B4CD5" w:rsidR="00044CB3" w:rsidRPr="00AB5188" w:rsidRDefault="00044CB3" w:rsidP="007B6CE6">
      <w:pPr>
        <w:pStyle w:val="FootnoteText"/>
        <w:rPr>
          <w:lang w:val="en-GB"/>
        </w:rPr>
      </w:pPr>
      <w:r>
        <w:rPr>
          <w:rStyle w:val="FootnoteReference"/>
        </w:rPr>
        <w:footnoteRef/>
      </w:r>
      <w:r>
        <w:t xml:space="preserve"> </w:t>
      </w:r>
      <w:r>
        <w:rPr>
          <w:lang w:val="en-GB"/>
        </w:rPr>
        <w:t>GSA: “</w:t>
      </w:r>
      <w:hyperlink r:id="rId11" w:history="1">
        <w:r w:rsidRPr="007B6CE6">
          <w:rPr>
            <w:rStyle w:val="Hyperlink"/>
            <w:lang w:val="en-GB"/>
          </w:rPr>
          <w:t>700 &amp; 800 MHz Ecosystem Evolution</w:t>
        </w:r>
      </w:hyperlink>
      <w:r>
        <w:rPr>
          <w:lang w:val="en-GB"/>
        </w:rPr>
        <w:t>” Report 2017</w:t>
      </w:r>
    </w:p>
  </w:footnote>
  <w:footnote w:id="22">
    <w:p w14:paraId="40A9B9F8" w14:textId="77777777" w:rsidR="00044CB3" w:rsidRPr="00AB5188" w:rsidRDefault="00044CB3" w:rsidP="00E413A1">
      <w:pPr>
        <w:pStyle w:val="FootnoteText"/>
        <w:rPr>
          <w:lang w:val="en-GB"/>
        </w:rPr>
      </w:pPr>
      <w:r>
        <w:rPr>
          <w:rStyle w:val="FootnoteReference"/>
        </w:rPr>
        <w:footnoteRef/>
      </w:r>
      <w:r>
        <w:t xml:space="preserve"> </w:t>
      </w:r>
      <w:r>
        <w:rPr>
          <w:lang w:val="en-GB"/>
        </w:rPr>
        <w:t>GSMA</w:t>
      </w:r>
    </w:p>
  </w:footnote>
  <w:footnote w:id="23">
    <w:p w14:paraId="3E652060" w14:textId="77777777" w:rsidR="00044CB3" w:rsidRPr="00230342" w:rsidRDefault="00044CB3" w:rsidP="007366D4">
      <w:pPr>
        <w:pStyle w:val="FootnoteText"/>
      </w:pPr>
      <w:r w:rsidRPr="004A4BC5">
        <w:rPr>
          <w:rStyle w:val="FootnoteReference"/>
        </w:rPr>
        <w:footnoteRef/>
      </w:r>
      <w:r w:rsidRPr="00230342">
        <w:t xml:space="preserve"> Ofcom ‘The Future Role of Spectrum Sharing for Mobile and Wireless Data Services’</w:t>
      </w:r>
      <w:r>
        <w:t>.</w:t>
      </w:r>
    </w:p>
  </w:footnote>
  <w:footnote w:id="24">
    <w:p w14:paraId="4897DD9D" w14:textId="77777777" w:rsidR="00044CB3" w:rsidRPr="00230342" w:rsidRDefault="00044CB3" w:rsidP="007366D4">
      <w:pPr>
        <w:pStyle w:val="FootnoteText"/>
      </w:pPr>
      <w:r w:rsidRPr="004A4BC5">
        <w:rPr>
          <w:rStyle w:val="FootnoteReference"/>
        </w:rPr>
        <w:footnoteRef/>
      </w:r>
      <w:r w:rsidRPr="00230342">
        <w:t xml:space="preserve"> Handbook on National Spectrum Management (Edition of 2015), ITU</w:t>
      </w:r>
      <w:r>
        <w:t>.</w:t>
      </w:r>
    </w:p>
  </w:footnote>
  <w:footnote w:id="25">
    <w:p w14:paraId="051DA89B" w14:textId="23C9C819" w:rsidR="00044CB3" w:rsidRDefault="00044CB3">
      <w:pPr>
        <w:pStyle w:val="FootnoteText"/>
      </w:pPr>
      <w:r>
        <w:rPr>
          <w:rStyle w:val="FootnoteReference"/>
        </w:rPr>
        <w:footnoteRef/>
      </w:r>
      <w:r>
        <w:t xml:space="preserve"> </w:t>
      </w:r>
      <w:r w:rsidRPr="00E052BE">
        <w:t>IEEE 1900.1</w:t>
      </w:r>
      <w:r>
        <w:t>.a</w:t>
      </w:r>
      <w:r w:rsidRPr="00E052BE">
        <w:t>-20</w:t>
      </w:r>
      <w:r>
        <w:t>12</w:t>
      </w:r>
      <w:r w:rsidRPr="00E052BE">
        <w:t xml:space="preserve">, Definitions and Concepts for </w:t>
      </w:r>
      <w:r>
        <w:t xml:space="preserve">Dynamic spectrum access </w:t>
      </w:r>
      <w:r w:rsidRPr="00E052BE">
        <w:t>: Terminology Relating to Emerging Wireless Networks, System Functionality, and Spectrum Managemen</w:t>
      </w:r>
      <w:r>
        <w:t>t.</w:t>
      </w:r>
    </w:p>
  </w:footnote>
  <w:footnote w:id="26">
    <w:p w14:paraId="5DD9EA3E" w14:textId="77777777" w:rsidR="00044CB3" w:rsidRPr="0055465F" w:rsidRDefault="00044CB3" w:rsidP="007366D4">
      <w:pPr>
        <w:pStyle w:val="FootnoteText"/>
      </w:pPr>
      <w:r w:rsidRPr="0055465F">
        <w:rPr>
          <w:rStyle w:val="FootnoteReference"/>
        </w:rPr>
        <w:footnoteRef/>
      </w:r>
      <w:r w:rsidRPr="0055465F">
        <w:t xml:space="preserve"> Resolution 729 (WRC-97)</w:t>
      </w:r>
      <w:r>
        <w:t>.</w:t>
      </w:r>
    </w:p>
  </w:footnote>
  <w:footnote w:id="27">
    <w:p w14:paraId="0BFC459C" w14:textId="532A7EDC" w:rsidR="00044CB3" w:rsidRPr="0055465F" w:rsidRDefault="00044CB3" w:rsidP="007366D4">
      <w:pPr>
        <w:pStyle w:val="FootnoteText"/>
      </w:pPr>
      <w:r w:rsidRPr="0055465F">
        <w:rPr>
          <w:rStyle w:val="FootnoteReference"/>
        </w:rPr>
        <w:footnoteRef/>
      </w:r>
      <w:r w:rsidRPr="0055465F">
        <w:t xml:space="preserve"> </w:t>
      </w:r>
      <w:r>
        <w:t xml:space="preserve">Report </w:t>
      </w:r>
      <w:r w:rsidRPr="0055465F">
        <w:t>ITU-R SM.2152</w:t>
      </w:r>
      <w:r>
        <w:t>.</w:t>
      </w:r>
    </w:p>
  </w:footnote>
  <w:footnote w:id="28">
    <w:p w14:paraId="68073987" w14:textId="77777777" w:rsidR="00044CB3" w:rsidRPr="0055465F" w:rsidRDefault="00044CB3" w:rsidP="007366D4">
      <w:pPr>
        <w:pStyle w:val="FootnoteText"/>
      </w:pPr>
      <w:r w:rsidRPr="0055465F">
        <w:rPr>
          <w:rStyle w:val="FootnoteReference"/>
        </w:rPr>
        <w:footnoteRef/>
      </w:r>
      <w:r w:rsidRPr="0055465F">
        <w:t xml:space="preserve"> Report </w:t>
      </w:r>
      <w:r>
        <w:t xml:space="preserve">ITU-R </w:t>
      </w:r>
      <w:r w:rsidRPr="0055465F">
        <w:t>SM.2152</w:t>
      </w:r>
      <w:r>
        <w:t>.</w:t>
      </w:r>
    </w:p>
  </w:footnote>
  <w:footnote w:id="29">
    <w:p w14:paraId="7836D14C" w14:textId="77777777" w:rsidR="00044CB3" w:rsidRPr="0055465F" w:rsidRDefault="00044CB3" w:rsidP="007366D4">
      <w:pPr>
        <w:pStyle w:val="FootnoteText"/>
      </w:pPr>
      <w:r w:rsidRPr="0055465F">
        <w:rPr>
          <w:rStyle w:val="FootnoteReference"/>
        </w:rPr>
        <w:footnoteRef/>
      </w:r>
      <w:r w:rsidRPr="0055465F">
        <w:t xml:space="preserve"> WRC-12 Recommendation 76</w:t>
      </w:r>
      <w:r>
        <w:t xml:space="preserve"> (WRC-12).</w:t>
      </w:r>
    </w:p>
  </w:footnote>
  <w:footnote w:id="30">
    <w:p w14:paraId="074585FB" w14:textId="77777777" w:rsidR="00044CB3" w:rsidRPr="00617F53" w:rsidRDefault="00044CB3" w:rsidP="007366D4">
      <w:pPr>
        <w:pStyle w:val="FootnoteText"/>
      </w:pPr>
      <w:r w:rsidRPr="004C01C1">
        <w:rPr>
          <w:rStyle w:val="FootnoteReference"/>
        </w:rPr>
        <w:footnoteRef/>
      </w:r>
      <w:r w:rsidRPr="00617F53">
        <w:t xml:space="preserve"> See Radio Spectrum Policy Group (RSPG) Opinion on Licensed Shared Access, November 2013, ref. RSPG13-538. The RSPG is a high</w:t>
      </w:r>
      <w:r>
        <w:noBreakHyphen/>
      </w:r>
      <w:r w:rsidRPr="00617F53">
        <w:t>level advisory group that assists the European Commission in the development of radio spectrum policy.</w:t>
      </w:r>
    </w:p>
  </w:footnote>
  <w:footnote w:id="31">
    <w:p w14:paraId="11319D3E" w14:textId="77777777" w:rsidR="00044CB3" w:rsidRPr="00617F53" w:rsidRDefault="00044CB3" w:rsidP="007366D4">
      <w:pPr>
        <w:pStyle w:val="FootnoteText"/>
      </w:pPr>
      <w:r w:rsidRPr="004C01C1">
        <w:rPr>
          <w:rStyle w:val="FootnoteReference"/>
        </w:rPr>
        <w:footnoteRef/>
      </w:r>
      <w:r w:rsidRPr="00056ACE">
        <w:rPr>
          <w:rStyle w:val="FootnoteReference"/>
          <w:lang w:val="en-GB"/>
        </w:rPr>
        <w:t xml:space="preserve"> </w:t>
      </w:r>
      <w:r w:rsidRPr="00617F53">
        <w:t>ECC Report “Licensed Shared Access”, February 2014, page 18.</w:t>
      </w:r>
    </w:p>
  </w:footnote>
  <w:footnote w:id="32">
    <w:p w14:paraId="0FE7EFA0" w14:textId="77777777" w:rsidR="00044CB3" w:rsidRPr="00617F53" w:rsidRDefault="00044CB3" w:rsidP="000252F0">
      <w:pPr>
        <w:pStyle w:val="FootnoteText"/>
      </w:pPr>
      <w:r w:rsidRPr="00080869">
        <w:rPr>
          <w:rStyle w:val="FootnoteReference"/>
        </w:rPr>
        <w:footnoteRef/>
      </w:r>
      <w:r w:rsidRPr="00080869">
        <w:t xml:space="preserve"> </w:t>
      </w:r>
      <w:r w:rsidRPr="00794915">
        <w:t xml:space="preserve">Amendment of the </w:t>
      </w:r>
      <w:r w:rsidRPr="00617F53">
        <w:t>Commission’s Rules with Regard to Commercial Operations in the 3550-3650</w:t>
      </w:r>
      <w:r>
        <w:t>.</w:t>
      </w:r>
    </w:p>
    <w:p w14:paraId="4FE089AB" w14:textId="77777777" w:rsidR="00044CB3" w:rsidRPr="00080869" w:rsidRDefault="00044CB3" w:rsidP="000252F0">
      <w:pPr>
        <w:pStyle w:val="FootnoteText"/>
      </w:pPr>
      <w:r w:rsidRPr="00617F53">
        <w:t>Band, Report and Order, 30 FCC</w:t>
      </w:r>
      <w:r w:rsidRPr="00794915">
        <w:t xml:space="preserve"> Rcd 3959 (2015) (“3.5 GHz Order”)</w:t>
      </w:r>
      <w:r>
        <w:t xml:space="preserve"> </w:t>
      </w:r>
      <w:hyperlink r:id="rId12" w:history="1">
        <w:r w:rsidRPr="00DB5FC3">
          <w:rPr>
            <w:rStyle w:val="Hyperlink"/>
          </w:rPr>
          <w:t>https://apps.fcc.gov/edocs_public/attachmatch/FCC-16-55A1.pdf</w:t>
        </w:r>
      </w:hyperlink>
      <w:r>
        <w:t>.</w:t>
      </w:r>
    </w:p>
  </w:footnote>
  <w:footnote w:id="33">
    <w:p w14:paraId="740E35F7" w14:textId="77777777" w:rsidR="00044CB3" w:rsidRPr="008E0C69" w:rsidRDefault="00044CB3" w:rsidP="000252F0">
      <w:pPr>
        <w:pStyle w:val="FootnoteText"/>
      </w:pPr>
      <w:r w:rsidRPr="00597868">
        <w:rPr>
          <w:rStyle w:val="FootnoteReference"/>
        </w:rPr>
        <w:footnoteRef/>
      </w:r>
      <w:r w:rsidRPr="008E0C69">
        <w:t xml:space="preserve"> Further details on protection mechanisms for the SAS can be found </w:t>
      </w:r>
      <w:r>
        <w:t xml:space="preserve">in FCC-15-47 and </w:t>
      </w:r>
      <w:r w:rsidRPr="008E0C69">
        <w:t>FCC 16-55</w:t>
      </w:r>
      <w:r>
        <w:t>.</w:t>
      </w:r>
    </w:p>
  </w:footnote>
  <w:footnote w:id="34">
    <w:p w14:paraId="165A7F96" w14:textId="77777777" w:rsidR="00044CB3" w:rsidRDefault="00044CB3" w:rsidP="002228F8">
      <w:pPr>
        <w:pStyle w:val="FootnoteText"/>
      </w:pPr>
      <w:r>
        <w:rPr>
          <w:rStyle w:val="FootnoteReference"/>
        </w:rPr>
        <w:footnoteRef/>
      </w:r>
      <w:r>
        <w:t xml:space="preserve"> Report ITU-R M.2225 (2011) </w:t>
      </w:r>
    </w:p>
  </w:footnote>
  <w:footnote w:id="35">
    <w:p w14:paraId="5F3A7EB6" w14:textId="77777777" w:rsidR="00044CB3" w:rsidRDefault="00044CB3" w:rsidP="002228F8">
      <w:pPr>
        <w:pStyle w:val="FootnoteText"/>
        <w:rPr>
          <w:rFonts w:eastAsia="Calibri"/>
          <w:color w:val="000000"/>
          <w:shd w:val="clear" w:color="auto" w:fill="FFFFFF"/>
          <w:lang w:eastAsia="en-US"/>
        </w:rPr>
      </w:pPr>
      <w:r w:rsidRPr="00080869">
        <w:rPr>
          <w:rStyle w:val="FootnoteReference"/>
        </w:rPr>
        <w:footnoteRef/>
      </w:r>
      <w:r w:rsidRPr="00B43D9F">
        <w:t xml:space="preserve"> </w:t>
      </w:r>
      <w:r w:rsidRPr="001D454C">
        <w:rPr>
          <w:rFonts w:eastAsia="Calibri"/>
          <w:color w:val="000000"/>
          <w:lang w:eastAsia="en-US"/>
        </w:rPr>
        <w:t xml:space="preserve">See </w:t>
      </w:r>
      <w:r w:rsidRPr="001D454C">
        <w:rPr>
          <w:rStyle w:val="FootnoteTextChar"/>
          <w:lang w:val="en-GB"/>
        </w:rPr>
        <w:t xml:space="preserve">Unlicensed Operation in the TV Broadcast Bands, ET Docket No. 04-186; Additional Spectrum for Unlicensed Devices Below 900 MHz and in the 3 GHz Band, ET Docket No. 02-380, Second Memorandum Opinion and Order, 25 FCC Rcd 18661 (2010); Industry Canada, Framework for the Use of Certain Non-Broadcasting Applications in the Television Broadcasting Bands Below 698 MHz (2012), available at </w:t>
      </w:r>
      <w:hyperlink r:id="rId13" w:history="1">
        <w:r w:rsidRPr="00855883">
          <w:rPr>
            <w:rStyle w:val="Hyperlink"/>
            <w:lang w:val="en-GB"/>
          </w:rPr>
          <w:t>http://www.ic.gc.ca/eic/site/smt-gst.nsf/eng/sf10493.html</w:t>
        </w:r>
      </w:hyperlink>
      <w:r w:rsidRPr="001D454C">
        <w:rPr>
          <w:rStyle w:val="FootnoteTextChar"/>
          <w:lang w:val="en-GB"/>
        </w:rPr>
        <w:t>; Infocomm Development Authority of Singapore, Regulatory</w:t>
      </w:r>
      <w:r w:rsidRPr="001D454C">
        <w:rPr>
          <w:rFonts w:eastAsia="Calibri"/>
          <w:color w:val="000000"/>
          <w:shd w:val="clear" w:color="auto" w:fill="FFFFFF"/>
          <w:lang w:eastAsia="en-US"/>
        </w:rPr>
        <w:t xml:space="preserve"> Framework For TV White Space Operations In The VHF/UHF Bands (2014), available at: </w:t>
      </w:r>
      <w:hyperlink r:id="rId14" w:history="1">
        <w:r w:rsidRPr="001D454C">
          <w:rPr>
            <w:rStyle w:val="Hyperlink"/>
            <w:rFonts w:eastAsia="Calibri"/>
            <w:shd w:val="clear" w:color="auto" w:fill="FFFFFF"/>
            <w:lang w:val="en-GB" w:eastAsia="en-US"/>
          </w:rPr>
          <w:t>http://www.ida.gov.sg/~/media/Files/PCDG/Consultations/20130617_whitespace/ExplanatoryMemo.pdf</w:t>
        </w:r>
      </w:hyperlink>
      <w:r w:rsidRPr="001D454C">
        <w:rPr>
          <w:rFonts w:eastAsia="Calibri"/>
          <w:color w:val="000000"/>
          <w:shd w:val="clear" w:color="auto" w:fill="FFFFFF"/>
          <w:lang w:eastAsia="en-US"/>
        </w:rPr>
        <w:t>; Ofcom, Implementing TV Wh</w:t>
      </w:r>
      <w:r>
        <w:rPr>
          <w:rFonts w:eastAsia="Calibri"/>
          <w:color w:val="000000"/>
          <w:shd w:val="clear" w:color="auto" w:fill="FFFFFF"/>
          <w:lang w:eastAsia="en-US"/>
        </w:rPr>
        <w:t>ite Spaces (2015), available at:</w:t>
      </w:r>
    </w:p>
    <w:p w14:paraId="621BED99" w14:textId="77777777" w:rsidR="00044CB3" w:rsidRPr="001D454C" w:rsidRDefault="00573C99" w:rsidP="002228F8">
      <w:pPr>
        <w:pStyle w:val="FootnoteText"/>
        <w:rPr>
          <w:rFonts w:eastAsia="Calibri"/>
          <w:lang w:eastAsia="en-US"/>
        </w:rPr>
      </w:pPr>
      <w:hyperlink r:id="rId15" w:history="1">
        <w:r w:rsidR="00044CB3" w:rsidRPr="001D454C">
          <w:rPr>
            <w:rStyle w:val="Hyperlink"/>
            <w:rFonts w:eastAsia="Calibri"/>
            <w:shd w:val="clear" w:color="auto" w:fill="FFFFFF"/>
            <w:lang w:val="en-GB" w:eastAsia="en-US"/>
          </w:rPr>
          <w:t>http://stakeholders.ofcom.org.uk/binaries/consultations/white-space-coexistence/statement/tvws-statement.pdf</w:t>
        </w:r>
      </w:hyperlink>
      <w:r w:rsidR="00044CB3" w:rsidRPr="001D454C">
        <w:rPr>
          <w:rFonts w:eastAsia="Calibri"/>
          <w:color w:val="000000"/>
          <w:shd w:val="clear" w:color="auto" w:fill="FFFFFF"/>
          <w:lang w:eastAsia="en-US"/>
        </w:rPr>
        <w:t>.</w:t>
      </w:r>
    </w:p>
  </w:footnote>
  <w:footnote w:id="36">
    <w:p w14:paraId="678AC049" w14:textId="77777777" w:rsidR="00044CB3" w:rsidRDefault="00044CB3" w:rsidP="007366D4">
      <w:pPr>
        <w:pStyle w:val="FootnoteText"/>
      </w:pPr>
      <w:r w:rsidRPr="00291702">
        <w:rPr>
          <w:rStyle w:val="FootnoteReference"/>
        </w:rPr>
        <w:footnoteRef/>
      </w:r>
      <w:r w:rsidRPr="00291702">
        <w:t xml:space="preserve"> </w:t>
      </w:r>
      <w:r w:rsidRPr="0019121E">
        <w:t xml:space="preserve">International Telecommunication Union (ITU) </w:t>
      </w:r>
      <w:r>
        <w:t>ICT Facts and Figures 2016.</w:t>
      </w:r>
    </w:p>
    <w:p w14:paraId="50FF9167" w14:textId="77777777" w:rsidR="00044CB3" w:rsidRPr="00291702" w:rsidRDefault="00573C99" w:rsidP="007366D4">
      <w:pPr>
        <w:pStyle w:val="FootnoteText"/>
      </w:pPr>
      <w:hyperlink r:id="rId16" w:history="1">
        <w:r w:rsidR="00044CB3" w:rsidRPr="00D677D1">
          <w:rPr>
            <w:rStyle w:val="Hyperlink"/>
          </w:rPr>
          <w:t>https://www.itu.int/en/ITU-D/Statistics/Documents/facts/ICTFactsFigures2016.pdf</w:t>
        </w:r>
      </w:hyperlink>
      <w:r w:rsidR="00044CB3">
        <w:t>.</w:t>
      </w:r>
    </w:p>
  </w:footnote>
  <w:footnote w:id="37">
    <w:p w14:paraId="7779F0EF" w14:textId="77777777" w:rsidR="00044CB3" w:rsidRPr="00291702" w:rsidRDefault="00044CB3" w:rsidP="007366D4">
      <w:pPr>
        <w:pStyle w:val="FootnoteText"/>
        <w:rPr>
          <w:sz w:val="16"/>
          <w:szCs w:val="16"/>
        </w:rPr>
      </w:pPr>
      <w:r w:rsidRPr="00291702">
        <w:rPr>
          <w:rStyle w:val="FootnoteReference"/>
        </w:rPr>
        <w:footnoteRef/>
      </w:r>
      <w:r w:rsidRPr="00291702">
        <w:t xml:space="preserve"> </w:t>
      </w:r>
      <w:r>
        <w:t>United Nations (U</w:t>
      </w:r>
      <w:r w:rsidRPr="00291702">
        <w:t>N</w:t>
      </w:r>
      <w:r>
        <w:t>)</w:t>
      </w:r>
      <w:r w:rsidRPr="00291702">
        <w:t xml:space="preserve"> Broadband Commission 2011</w:t>
      </w:r>
      <w:r>
        <w:t>.</w:t>
      </w:r>
    </w:p>
  </w:footnote>
  <w:footnote w:id="38">
    <w:p w14:paraId="1C1CFCD5" w14:textId="77777777" w:rsidR="00044CB3" w:rsidRPr="00291702" w:rsidRDefault="00044CB3" w:rsidP="007366D4">
      <w:pPr>
        <w:pStyle w:val="FootnoteText"/>
      </w:pPr>
      <w:r w:rsidRPr="00291702">
        <w:rPr>
          <w:rStyle w:val="FootnoteReference"/>
        </w:rPr>
        <w:footnoteRef/>
      </w:r>
      <w:r w:rsidRPr="00291702">
        <w:t xml:space="preserve"> Report ITU-R SM.2012-5 (06/2016)</w:t>
      </w:r>
      <w:r>
        <w:t>.</w:t>
      </w:r>
    </w:p>
  </w:footnote>
  <w:footnote w:id="39">
    <w:p w14:paraId="1F1C4289" w14:textId="77777777" w:rsidR="00044CB3" w:rsidRPr="00F61B92" w:rsidRDefault="00044CB3" w:rsidP="007366D4">
      <w:pPr>
        <w:pStyle w:val="FootnoteText"/>
        <w:rPr>
          <w:iCs/>
        </w:rPr>
      </w:pPr>
      <w:r w:rsidRPr="00291702">
        <w:rPr>
          <w:rStyle w:val="FootnoteReference"/>
        </w:rPr>
        <w:footnoteRef/>
      </w:r>
      <w:r w:rsidRPr="00291702">
        <w:t xml:space="preserve"> </w:t>
      </w:r>
      <w:r w:rsidRPr="0019121E">
        <w:rPr>
          <w:i/>
        </w:rPr>
        <w:t>Ibid</w:t>
      </w:r>
      <w:r w:rsidRPr="00F61B92">
        <w:rPr>
          <w:iCs/>
        </w:rPr>
        <w:t>.</w:t>
      </w:r>
    </w:p>
  </w:footnote>
  <w:footnote w:id="40">
    <w:p w14:paraId="1A313C5E" w14:textId="77777777" w:rsidR="00044CB3" w:rsidRPr="00C12326" w:rsidRDefault="00044CB3" w:rsidP="007366D4">
      <w:pPr>
        <w:pStyle w:val="FootnoteText"/>
        <w:rPr>
          <w:lang w:val="es-ES"/>
        </w:rPr>
      </w:pPr>
      <w:r w:rsidRPr="00291702">
        <w:rPr>
          <w:rStyle w:val="FootnoteReference"/>
        </w:rPr>
        <w:footnoteRef/>
      </w:r>
      <w:r w:rsidRPr="00C12326">
        <w:rPr>
          <w:lang w:val="es-ES"/>
        </w:rPr>
        <w:t xml:space="preserve"> </w:t>
      </w:r>
      <w:r w:rsidRPr="00C12326">
        <w:rPr>
          <w:i/>
          <w:iCs/>
          <w:lang w:val="es-ES"/>
        </w:rPr>
        <w:t>Ibid</w:t>
      </w:r>
      <w:r w:rsidRPr="00C12326">
        <w:rPr>
          <w:lang w:val="es-ES"/>
        </w:rPr>
        <w:t>.</w:t>
      </w:r>
    </w:p>
  </w:footnote>
  <w:footnote w:id="41">
    <w:p w14:paraId="6DE59745" w14:textId="77777777" w:rsidR="00044CB3" w:rsidRPr="00C12326" w:rsidRDefault="00044CB3" w:rsidP="007366D4">
      <w:pPr>
        <w:pStyle w:val="FootnoteText"/>
        <w:rPr>
          <w:i/>
          <w:lang w:val="es-ES"/>
        </w:rPr>
      </w:pPr>
      <w:r w:rsidRPr="00291702">
        <w:rPr>
          <w:rStyle w:val="FootnoteReference"/>
        </w:rPr>
        <w:footnoteRef/>
      </w:r>
      <w:r w:rsidRPr="00C12326">
        <w:rPr>
          <w:lang w:val="es-ES"/>
        </w:rPr>
        <w:t xml:space="preserve"> R </w:t>
      </w:r>
      <w:r w:rsidRPr="00C12326">
        <w:rPr>
          <w:i/>
          <w:lang w:val="es-ES"/>
        </w:rPr>
        <w:t>Ibid</w:t>
      </w:r>
      <w:r w:rsidRPr="00C12326">
        <w:rPr>
          <w:iCs/>
          <w:lang w:val="es-ES"/>
        </w:rPr>
        <w:t>.</w:t>
      </w:r>
    </w:p>
  </w:footnote>
  <w:footnote w:id="42">
    <w:p w14:paraId="4DC95871" w14:textId="77777777" w:rsidR="00044CB3" w:rsidRPr="00191D09" w:rsidRDefault="00044CB3" w:rsidP="007366D4">
      <w:pPr>
        <w:pStyle w:val="FootnoteText"/>
        <w:rPr>
          <w:lang w:val="es-ES"/>
        </w:rPr>
      </w:pPr>
      <w:r>
        <w:rPr>
          <w:rStyle w:val="FootnoteReference"/>
        </w:rPr>
        <w:footnoteRef/>
      </w:r>
      <w:r w:rsidRPr="00191D09">
        <w:rPr>
          <w:lang w:val="es-ES"/>
        </w:rPr>
        <w:t xml:space="preserve"> </w:t>
      </w:r>
      <w:hyperlink r:id="rId17" w:tgtFrame="_blank" w:history="1">
        <w:r w:rsidRPr="00191D09">
          <w:rPr>
            <w:rStyle w:val="Hyperlink"/>
            <w:rFonts w:asciiTheme="minorHAnsi" w:hAnsiTheme="minorHAnsi"/>
            <w:color w:val="0000FF" w:themeColor="hyperlink"/>
            <w:lang w:val="es-ES"/>
          </w:rPr>
          <w:t>http://www.itu.int/en/ITU-D/Spectrum-Broadcasting/Documents/Publications/Guidelines-NTFA-E.pdf</w:t>
        </w:r>
      </w:hyperlink>
      <w:r w:rsidRPr="00191D09">
        <w:rPr>
          <w:rStyle w:val="Hyperlink"/>
          <w:rFonts w:asciiTheme="minorHAnsi" w:hAnsiTheme="minorHAnsi"/>
          <w:color w:val="auto"/>
          <w:u w:val="none"/>
          <w:lang w:val="es-ES"/>
        </w:rPr>
        <w:t>.</w:t>
      </w:r>
    </w:p>
  </w:footnote>
  <w:footnote w:id="43">
    <w:p w14:paraId="4052BA26" w14:textId="77777777" w:rsidR="00044CB3" w:rsidRPr="00F61B92" w:rsidRDefault="00044CB3" w:rsidP="007366D4">
      <w:pPr>
        <w:pStyle w:val="FootnoteText"/>
        <w:rPr>
          <w:rStyle w:val="Hyperlink"/>
          <w:rFonts w:asciiTheme="minorHAnsi" w:hAnsiTheme="minorHAnsi"/>
          <w:sz w:val="24"/>
          <w:szCs w:val="22"/>
        </w:rPr>
      </w:pPr>
      <w:r>
        <w:rPr>
          <w:rStyle w:val="FootnoteReference"/>
        </w:rPr>
        <w:footnoteRef/>
      </w:r>
      <w:r w:rsidRPr="00BF11F8">
        <w:t xml:space="preserve"> See</w:t>
      </w:r>
      <w:r w:rsidRPr="006946F8">
        <w:rPr>
          <w:rStyle w:val="Hyperlink"/>
        </w:rPr>
        <w:t xml:space="preserve"> </w:t>
      </w:r>
      <w:hyperlink r:id="rId18" w:history="1">
        <w:r w:rsidRPr="006946F8">
          <w:rPr>
            <w:rStyle w:val="Hyperlink"/>
            <w:rFonts w:asciiTheme="minorHAnsi" w:hAnsiTheme="minorHAnsi"/>
            <w:color w:val="0000FF" w:themeColor="hyperlink"/>
          </w:rPr>
          <w:t>http://www.itu.int/en/ITU-D/Spectrum-Broadcasting/Documents/Publications/Administration%20Assessement-E.pdf</w:t>
        </w:r>
      </w:hyperlink>
    </w:p>
    <w:p w14:paraId="40BC0824" w14:textId="77777777" w:rsidR="00044CB3" w:rsidRPr="006946F8" w:rsidRDefault="00044CB3" w:rsidP="007366D4">
      <w:pPr>
        <w:pStyle w:val="FootnoteText"/>
        <w:rPr>
          <w:rStyle w:val="Hyperlink"/>
          <w:lang w:val="en-GB"/>
        </w:rPr>
      </w:pPr>
      <w:r>
        <w:t>a</w:t>
      </w:r>
      <w:r w:rsidRPr="00BF11F8">
        <w:t xml:space="preserve">nd </w:t>
      </w:r>
      <w:r w:rsidRPr="00BF11F8">
        <w:rPr>
          <w:rFonts w:asciiTheme="minorHAnsi" w:hAnsiTheme="minorHAnsi"/>
        </w:rPr>
        <w:t xml:space="preserve">Document </w:t>
      </w:r>
      <w:hyperlink r:id="rId19" w:history="1">
        <w:r w:rsidRPr="00BF11F8">
          <w:rPr>
            <w:rStyle w:val="Hyperlink"/>
            <w:rFonts w:asciiTheme="minorHAnsi" w:hAnsiTheme="minorHAnsi"/>
          </w:rPr>
          <w:t>SG1RGQ/8</w:t>
        </w:r>
        <w:r>
          <w:rPr>
            <w:rStyle w:val="Hyperlink"/>
            <w:rFonts w:asciiTheme="minorHAnsi" w:hAnsiTheme="minorHAnsi"/>
          </w:rPr>
          <w:t>1 + Annex</w:t>
        </w:r>
      </w:hyperlink>
      <w:r>
        <w:rPr>
          <w:rFonts w:asciiTheme="minorHAnsi" w:hAnsiTheme="minorHAnsi"/>
        </w:rPr>
        <w:t>, “</w:t>
      </w:r>
      <w:r>
        <w:t>Assessing the spectrum management needs of developing countries”, BDT Focal Point for Resolution 9.</w:t>
      </w:r>
    </w:p>
  </w:footnote>
  <w:footnote w:id="44">
    <w:p w14:paraId="089119BC" w14:textId="77777777" w:rsidR="00044CB3" w:rsidRPr="00854B87" w:rsidRDefault="00044CB3" w:rsidP="007366D4">
      <w:pPr>
        <w:pStyle w:val="FootnoteText"/>
      </w:pPr>
      <w:r>
        <w:rPr>
          <w:rStyle w:val="FootnoteReference"/>
        </w:rPr>
        <w:footnoteRef/>
      </w:r>
      <w:r>
        <w:t xml:space="preserve"> </w:t>
      </w:r>
      <w:hyperlink r:id="rId20" w:tgtFrame="_blank" w:history="1">
        <w:r w:rsidRPr="006946F8">
          <w:rPr>
            <w:rStyle w:val="Hyperlink"/>
            <w:rFonts w:asciiTheme="minorHAnsi" w:hAnsiTheme="minorHAnsi"/>
            <w:color w:val="0000FF" w:themeColor="hyperlink"/>
          </w:rPr>
          <w:t>http://www.itu.int/pub/D-STG-SPEC-2015-V5.0</w:t>
        </w:r>
      </w:hyperlink>
      <w:r w:rsidRPr="00F61B92">
        <w:rPr>
          <w:rStyle w:val="Hyperlink"/>
          <w:rFonts w:asciiTheme="minorHAnsi" w:hAnsiTheme="minorHAnsi"/>
          <w:color w:val="auto"/>
          <w:u w:val="none"/>
        </w:rPr>
        <w:t>.</w:t>
      </w:r>
    </w:p>
  </w:footnote>
  <w:footnote w:id="45">
    <w:p w14:paraId="4194EDCE" w14:textId="77777777" w:rsidR="00044CB3" w:rsidRPr="00FB1AB0" w:rsidRDefault="00044CB3" w:rsidP="007366D4">
      <w:pPr>
        <w:pStyle w:val="FootnoteText"/>
      </w:pPr>
      <w:r w:rsidRPr="00FB1AB0">
        <w:rPr>
          <w:rStyle w:val="FootnoteReference"/>
        </w:rPr>
        <w:footnoteRef/>
      </w:r>
      <w:r w:rsidRPr="00FB1AB0">
        <w:t xml:space="preserve"> </w:t>
      </w:r>
      <w:hyperlink r:id="rId21" w:history="1">
        <w:r w:rsidRPr="00FB1AB0">
          <w:rPr>
            <w:rStyle w:val="Hyperlink"/>
          </w:rPr>
          <w:t>http</w:t>
        </w:r>
      </w:hyperlink>
      <w:hyperlink r:id="rId22" w:history="1">
        <w:r w:rsidRPr="00FB1AB0">
          <w:rPr>
            <w:rStyle w:val="Hyperlink"/>
          </w:rPr>
          <w:t>://www.itu.int/pub/R-HDB-01</w:t>
        </w:r>
      </w:hyperlink>
      <w:r w:rsidRPr="005A354A">
        <w:rPr>
          <w:rStyle w:val="Hyperlink"/>
          <w:rFonts w:asciiTheme="minorHAnsi" w:hAnsiTheme="minorHAnsi"/>
          <w:color w:val="auto"/>
          <w:u w:val="none"/>
        </w:rPr>
        <w:t>.</w:t>
      </w:r>
    </w:p>
  </w:footnote>
  <w:footnote w:id="46">
    <w:p w14:paraId="0A0F44FD" w14:textId="77777777" w:rsidR="00044CB3" w:rsidRDefault="00044CB3" w:rsidP="001030C2">
      <w:pPr>
        <w:pStyle w:val="FootnoteText"/>
      </w:pPr>
      <w:r>
        <w:rPr>
          <w:rStyle w:val="FootnoteReference"/>
        </w:rPr>
        <w:footnoteRef/>
      </w:r>
      <w:r>
        <w:t xml:space="preserve"> </w:t>
      </w:r>
      <w:r w:rsidRPr="00B43D9F">
        <w:rPr>
          <w:lang w:val="en-GB"/>
        </w:rPr>
        <w:t>For more information, consult the ITU Academy portal (</w:t>
      </w:r>
      <w:hyperlink r:id="rId23" w:history="1">
        <w:r w:rsidRPr="00B43D9F">
          <w:rPr>
            <w:rStyle w:val="Hyperlink"/>
            <w:lang w:val="en-GB"/>
          </w:rPr>
          <w:t>http://academy.itu.int</w:t>
        </w:r>
      </w:hyperlink>
      <w:r w:rsidRPr="00B43D9F">
        <w:rPr>
          <w:lang w:val="en-GB"/>
        </w:rPr>
        <w:t>).</w:t>
      </w:r>
    </w:p>
  </w:footnote>
  <w:footnote w:id="47">
    <w:p w14:paraId="120EBB77" w14:textId="77777777" w:rsidR="00044CB3" w:rsidRPr="004B42A8" w:rsidRDefault="00044CB3" w:rsidP="007366D4">
      <w:pPr>
        <w:pStyle w:val="FootnoteText"/>
      </w:pPr>
      <w:r>
        <w:rPr>
          <w:rStyle w:val="FootnoteReference"/>
        </w:rPr>
        <w:footnoteRef/>
      </w:r>
      <w:r>
        <w:t xml:space="preserve"> </w:t>
      </w:r>
      <w:hyperlink r:id="rId24" w:history="1">
        <w:r w:rsidRPr="00500D8E">
          <w:rPr>
            <w:rStyle w:val="Hyperlink"/>
          </w:rPr>
          <w:t>http://www.itu.int/rec/R-REC-SM.1047</w:t>
        </w:r>
      </w:hyperlink>
      <w:r>
        <w:t>.</w:t>
      </w:r>
    </w:p>
  </w:footnote>
  <w:footnote w:id="48">
    <w:p w14:paraId="5A3A8139" w14:textId="77777777" w:rsidR="00044CB3" w:rsidRPr="004B42A8" w:rsidRDefault="00044CB3" w:rsidP="007366D4">
      <w:pPr>
        <w:pStyle w:val="FootnoteText"/>
      </w:pPr>
      <w:r w:rsidRPr="004B42A8">
        <w:rPr>
          <w:rStyle w:val="FootnoteReference"/>
        </w:rPr>
        <w:footnoteRef/>
      </w:r>
      <w:r w:rsidRPr="004B42A8">
        <w:t xml:space="preserve"> </w:t>
      </w:r>
      <w:hyperlink r:id="rId25" w:history="1">
        <w:r w:rsidRPr="00500D8E">
          <w:rPr>
            <w:rStyle w:val="Hyperlink"/>
          </w:rPr>
          <w:t>http://www.itu.int/en/ITU-D/Spectrum-Broadcasting/Documents/Publications/Guidelines_SpectrumMonitoring_Final_E.pdf</w:t>
        </w:r>
      </w:hyperlink>
      <w:r>
        <w:t>.</w:t>
      </w:r>
    </w:p>
  </w:footnote>
  <w:footnote w:id="49">
    <w:p w14:paraId="117C3C01" w14:textId="77777777" w:rsidR="00044CB3" w:rsidRPr="004B42A8" w:rsidRDefault="00044CB3" w:rsidP="007366D4">
      <w:pPr>
        <w:pStyle w:val="FootnoteText"/>
      </w:pPr>
      <w:r w:rsidRPr="004B42A8">
        <w:rPr>
          <w:rStyle w:val="FootnoteReference"/>
        </w:rPr>
        <w:footnoteRef/>
      </w:r>
      <w:r w:rsidRPr="004B42A8">
        <w:t xml:space="preserve"> ITU Handbook on Spectrum Monitoring 2011 (especially Annex 1): </w:t>
      </w:r>
      <w:hyperlink r:id="rId26" w:history="1">
        <w:r w:rsidRPr="00500D8E">
          <w:rPr>
            <w:rStyle w:val="Hyperlink"/>
          </w:rPr>
          <w:t>http://www.itu.int/pub/R-HDB-23</w:t>
        </w:r>
      </w:hyperlink>
      <w:r>
        <w:t>.</w:t>
      </w:r>
    </w:p>
  </w:footnote>
  <w:footnote w:id="50">
    <w:p w14:paraId="6616B319" w14:textId="77777777" w:rsidR="00044CB3" w:rsidRPr="004B42A8" w:rsidRDefault="00044CB3" w:rsidP="007366D4">
      <w:pPr>
        <w:pStyle w:val="FootnoteText"/>
      </w:pPr>
      <w:r w:rsidRPr="004B42A8">
        <w:rPr>
          <w:rStyle w:val="FootnoteReference"/>
        </w:rPr>
        <w:footnoteRef/>
      </w:r>
      <w:r w:rsidRPr="004B42A8">
        <w:t xml:space="preserve"> National Spectrum </w:t>
      </w:r>
      <w:r w:rsidRPr="00B1372F">
        <w:t>Management</w:t>
      </w:r>
      <w:r w:rsidRPr="004B42A8">
        <w:t xml:space="preserve">: </w:t>
      </w:r>
      <w:hyperlink r:id="rId27" w:history="1">
        <w:r w:rsidRPr="00500D8E">
          <w:rPr>
            <w:rStyle w:val="Hyperlink"/>
          </w:rPr>
          <w:t>http://www.itu.int/pub/R-HDB-21</w:t>
        </w:r>
      </w:hyperlink>
      <w:r>
        <w:t>.</w:t>
      </w:r>
    </w:p>
  </w:footnote>
  <w:footnote w:id="51">
    <w:p w14:paraId="0FE1C3E4" w14:textId="77777777" w:rsidR="00044CB3" w:rsidRPr="004B42A8" w:rsidRDefault="00044CB3" w:rsidP="007366D4">
      <w:pPr>
        <w:pStyle w:val="FootnoteText"/>
      </w:pPr>
      <w:r w:rsidRPr="004B42A8">
        <w:rPr>
          <w:rStyle w:val="FootnoteReference"/>
        </w:rPr>
        <w:footnoteRef/>
      </w:r>
      <w:r w:rsidRPr="004B42A8">
        <w:t xml:space="preserve"> Computer-Aided-Techniques for Spectrum Management: </w:t>
      </w:r>
      <w:hyperlink r:id="rId28" w:history="1">
        <w:r w:rsidRPr="00500D8E">
          <w:rPr>
            <w:rStyle w:val="Hyperlink"/>
          </w:rPr>
          <w:t>http://www.itu.int/pub/R-HDB-01</w:t>
        </w:r>
      </w:hyperlink>
      <w:r>
        <w:t>.</w:t>
      </w:r>
    </w:p>
  </w:footnote>
  <w:footnote w:id="52">
    <w:p w14:paraId="1226E4B1" w14:textId="77777777" w:rsidR="00044CB3" w:rsidRPr="004B42A8" w:rsidRDefault="00044CB3" w:rsidP="007366D4">
      <w:pPr>
        <w:pStyle w:val="FootnoteText"/>
      </w:pPr>
      <w:r w:rsidRPr="004B42A8">
        <w:rPr>
          <w:rStyle w:val="FootnoteReference"/>
        </w:rPr>
        <w:footnoteRef/>
      </w:r>
      <w:hyperlink r:id="rId29" w:history="1">
        <w:r w:rsidRPr="00500D8E">
          <w:rPr>
            <w:rStyle w:val="Hyperlink"/>
          </w:rPr>
          <w:t>http://www.itu.int/en/ITU-R/study-groups/rsg1/Pages/default.aspx</w:t>
        </w:r>
      </w:hyperlink>
      <w:r>
        <w:t>.</w:t>
      </w:r>
    </w:p>
  </w:footnote>
  <w:footnote w:id="53">
    <w:p w14:paraId="79201C89" w14:textId="77777777" w:rsidR="00044CB3" w:rsidRPr="004B42A8" w:rsidRDefault="00044CB3" w:rsidP="007366D4">
      <w:pPr>
        <w:pStyle w:val="FootnoteText"/>
      </w:pPr>
      <w:r w:rsidRPr="004B42A8">
        <w:rPr>
          <w:rStyle w:val="FootnoteReference"/>
        </w:rPr>
        <w:footnoteRef/>
      </w:r>
      <w:r w:rsidRPr="004B42A8">
        <w:t xml:space="preserve"> </w:t>
      </w:r>
      <w:hyperlink r:id="rId30" w:history="1">
        <w:r w:rsidRPr="00500D8E">
          <w:rPr>
            <w:rStyle w:val="Hyperlink"/>
          </w:rPr>
          <w:t>http://www.itu.int/en/ITU-R/study-groups/rsg1/rwp1c/Pages/default.aspx</w:t>
        </w:r>
      </w:hyperlink>
      <w:r>
        <w:t>.</w:t>
      </w:r>
    </w:p>
  </w:footnote>
  <w:footnote w:id="54">
    <w:p w14:paraId="5FF3A37C" w14:textId="77777777" w:rsidR="00044CB3" w:rsidRPr="0019121E" w:rsidRDefault="00044CB3" w:rsidP="007366D4">
      <w:pPr>
        <w:pStyle w:val="FootnoteText"/>
      </w:pPr>
      <w:r w:rsidRPr="004C01C1">
        <w:rPr>
          <w:rStyle w:val="FootnoteReference"/>
        </w:rPr>
        <w:footnoteRef/>
      </w:r>
      <w:r w:rsidRPr="001962A4">
        <w:rPr>
          <w:rStyle w:val="FootnoteReference"/>
          <w:lang w:val="en-US"/>
        </w:rPr>
        <w:t xml:space="preserve"> </w:t>
      </w:r>
      <w:hyperlink r:id="rId31" w:history="1">
        <w:r w:rsidRPr="00B1372F">
          <w:rPr>
            <w:rStyle w:val="Hyperlink"/>
          </w:rPr>
          <w:t>http://www.itu.int/en/ITU-D/Spectrum-Broadcasting/Documents/Publications/Guidelines_SpectrumMonitoring_Final_E.pdf</w:t>
        </w:r>
      </w:hyperlink>
      <w:r>
        <w:t>.</w:t>
      </w:r>
    </w:p>
  </w:footnote>
  <w:footnote w:id="55">
    <w:p w14:paraId="20D3C5A8" w14:textId="77777777" w:rsidR="00044CB3" w:rsidRPr="006364CA" w:rsidRDefault="00044CB3" w:rsidP="007366D4">
      <w:pPr>
        <w:pStyle w:val="FootnoteText"/>
      </w:pPr>
      <w:r w:rsidRPr="006364CA">
        <w:rPr>
          <w:rStyle w:val="FootnoteReference"/>
        </w:rPr>
        <w:footnoteRef/>
      </w:r>
      <w:r w:rsidRPr="006364CA">
        <w:t xml:space="preserve"> </w:t>
      </w:r>
      <w:hyperlink r:id="rId32" w:history="1">
        <w:r w:rsidRPr="006364CA">
          <w:rPr>
            <w:rStyle w:val="Hyperlink"/>
          </w:rPr>
          <w:t>ITU-R SM.1392</w:t>
        </w:r>
      </w:hyperlink>
      <w:r w:rsidRPr="006364CA">
        <w:t xml:space="preserve"> </w:t>
      </w:r>
      <w:r>
        <w:t>–</w:t>
      </w:r>
      <w:r w:rsidRPr="006364CA">
        <w:t xml:space="preserve"> Essential Requirements for a spectrum monitoring system for developing countries.</w:t>
      </w:r>
    </w:p>
  </w:footnote>
  <w:footnote w:id="56">
    <w:p w14:paraId="37A30D0E" w14:textId="77777777" w:rsidR="00044CB3" w:rsidRPr="00695578" w:rsidRDefault="00044CB3" w:rsidP="00D06C3F">
      <w:pPr>
        <w:pStyle w:val="FootnoteText"/>
        <w:rPr>
          <w:lang w:eastAsia="zh-CN"/>
        </w:rPr>
      </w:pPr>
      <w:r>
        <w:rPr>
          <w:rStyle w:val="FootnoteReference"/>
        </w:rPr>
        <w:footnoteRef/>
      </w:r>
      <w:r>
        <w:t xml:space="preserve"> </w:t>
      </w:r>
      <w:r>
        <w:rPr>
          <w:lang w:eastAsia="zh-CN"/>
        </w:rPr>
        <w:t xml:space="preserve">Document </w:t>
      </w:r>
      <w:hyperlink r:id="rId33" w:history="1">
        <w:r w:rsidRPr="00A2288B">
          <w:rPr>
            <w:rStyle w:val="Hyperlink"/>
          </w:rPr>
          <w:t>1/</w:t>
        </w:r>
        <w:bookmarkStart w:id="145" w:name="DocNo1"/>
        <w:bookmarkEnd w:id="145"/>
        <w:r w:rsidRPr="00A2288B">
          <w:rPr>
            <w:rStyle w:val="Hyperlink"/>
          </w:rPr>
          <w:t>223</w:t>
        </w:r>
      </w:hyperlink>
      <w:r w:rsidRPr="00A2288B">
        <w:t>,</w:t>
      </w:r>
      <w:r>
        <w:rPr>
          <w:b/>
          <w:bCs/>
        </w:rPr>
        <w:t xml:space="preserve"> “</w:t>
      </w:r>
      <w:r>
        <w:rPr>
          <w:bCs/>
        </w:rPr>
        <w:t>eHealth pilot project using TV white space technology as last mile connectivity”, Kingdom of Bhutan.</w:t>
      </w:r>
    </w:p>
  </w:footnote>
  <w:footnote w:id="57">
    <w:p w14:paraId="0538A124" w14:textId="77777777" w:rsidR="00044CB3" w:rsidRPr="00695578" w:rsidRDefault="00044CB3" w:rsidP="00D06C3F">
      <w:pPr>
        <w:pStyle w:val="FootnoteText"/>
        <w:rPr>
          <w:lang w:eastAsia="zh-CN"/>
        </w:rPr>
      </w:pPr>
      <w:r>
        <w:rPr>
          <w:rStyle w:val="FootnoteReference"/>
        </w:rPr>
        <w:footnoteRef/>
      </w:r>
      <w:r>
        <w:t xml:space="preserve"> </w:t>
      </w:r>
      <w:r>
        <w:rPr>
          <w:lang w:eastAsia="zh-CN"/>
        </w:rPr>
        <w:t xml:space="preserve">Document </w:t>
      </w:r>
      <w:hyperlink r:id="rId34" w:history="1">
        <w:r w:rsidRPr="00F61B92">
          <w:rPr>
            <w:rStyle w:val="Hyperlink"/>
            <w:szCs w:val="24"/>
            <w:lang w:val="en-GB"/>
          </w:rPr>
          <w:t>SG1RGQ/109</w:t>
        </w:r>
      </w:hyperlink>
      <w:r w:rsidRPr="00695578">
        <w:rPr>
          <w:lang w:eastAsia="zh-CN"/>
        </w:rPr>
        <w:t>,</w:t>
      </w:r>
      <w:r>
        <w:rPr>
          <w:lang w:eastAsia="zh-CN"/>
        </w:rPr>
        <w:t xml:space="preserve"> “</w:t>
      </w:r>
      <w:r>
        <w:rPr>
          <w:bCs/>
        </w:rPr>
        <w:t>Providing health care by using spectrum sharing in Botswana”, Republic of Botswana.</w:t>
      </w:r>
    </w:p>
  </w:footnote>
  <w:footnote w:id="58">
    <w:p w14:paraId="688A8764" w14:textId="77777777" w:rsidR="00044CB3" w:rsidRPr="00695578" w:rsidRDefault="00044CB3" w:rsidP="00D06C3F">
      <w:pPr>
        <w:pStyle w:val="FootnoteText"/>
        <w:rPr>
          <w:lang w:eastAsia="zh-CN"/>
        </w:rPr>
      </w:pPr>
      <w:r>
        <w:rPr>
          <w:rStyle w:val="FootnoteReference"/>
        </w:rPr>
        <w:footnoteRef/>
      </w:r>
      <w:r>
        <w:t xml:space="preserve"> </w:t>
      </w:r>
      <w:r>
        <w:rPr>
          <w:lang w:eastAsia="zh-CN"/>
        </w:rPr>
        <w:t xml:space="preserve">Document </w:t>
      </w:r>
      <w:hyperlink r:id="rId35" w:history="1">
        <w:r w:rsidRPr="00F61B92">
          <w:rPr>
            <w:rStyle w:val="Hyperlink"/>
          </w:rPr>
          <w:t>1/459(Rev.1)</w:t>
        </w:r>
      </w:hyperlink>
      <w:r w:rsidRPr="00695578">
        <w:t>,</w:t>
      </w:r>
      <w:r w:rsidRPr="00695578">
        <w:rPr>
          <w:bCs/>
        </w:rPr>
        <w:t xml:space="preserve"> </w:t>
      </w:r>
      <w:r>
        <w:rPr>
          <w:bCs/>
        </w:rPr>
        <w:t>“Update of Korea’s TVWS case”, Republic of Korea.</w:t>
      </w:r>
    </w:p>
  </w:footnote>
  <w:footnote w:id="59">
    <w:p w14:paraId="2578F2B4" w14:textId="77777777" w:rsidR="00044CB3" w:rsidRPr="0063584F" w:rsidRDefault="00044CB3" w:rsidP="00D06C3F">
      <w:pPr>
        <w:pStyle w:val="FootnoteText"/>
        <w:rPr>
          <w:lang w:eastAsia="zh-CN"/>
        </w:rPr>
      </w:pPr>
      <w:r>
        <w:rPr>
          <w:rStyle w:val="FootnoteReference"/>
        </w:rPr>
        <w:footnoteRef/>
      </w:r>
      <w:r>
        <w:t xml:space="preserve"> </w:t>
      </w:r>
      <w:r>
        <w:rPr>
          <w:lang w:eastAsia="zh-CN"/>
        </w:rPr>
        <w:t xml:space="preserve">Document </w:t>
      </w:r>
      <w:hyperlink r:id="rId36" w:history="1">
        <w:r w:rsidRPr="00F61B92">
          <w:rPr>
            <w:rStyle w:val="Hyperlink"/>
          </w:rPr>
          <w:t>1/233</w:t>
        </w:r>
      </w:hyperlink>
      <w:r>
        <w:t>, “</w:t>
      </w:r>
      <w:r w:rsidRPr="0063584F">
        <w:t>Providing innovation and highly researched technologies in TV White Spaces (with applications in education, security, early warning and disaster preparedness)</w:t>
      </w:r>
      <w:r>
        <w:t>”, Malawi.</w:t>
      </w:r>
    </w:p>
  </w:footnote>
  <w:footnote w:id="60">
    <w:p w14:paraId="2C03A208" w14:textId="77777777" w:rsidR="00044CB3" w:rsidRPr="00F61B92" w:rsidRDefault="00044CB3" w:rsidP="00D06C3F">
      <w:pPr>
        <w:pStyle w:val="FootnoteText"/>
        <w:rPr>
          <w:lang w:val="en-GB" w:eastAsia="zh-CN"/>
        </w:rPr>
      </w:pPr>
      <w:r>
        <w:rPr>
          <w:rStyle w:val="FootnoteReference"/>
        </w:rPr>
        <w:footnoteRef/>
      </w:r>
      <w:r>
        <w:t xml:space="preserve"> </w:t>
      </w:r>
      <w:r>
        <w:rPr>
          <w:lang w:eastAsia="zh-CN"/>
        </w:rPr>
        <w:t xml:space="preserve">Document </w:t>
      </w:r>
      <w:hyperlink r:id="rId37" w:history="1">
        <w:r w:rsidRPr="0063584F">
          <w:rPr>
            <w:rStyle w:val="Hyperlink"/>
            <w:lang w:eastAsia="zh-CN"/>
          </w:rPr>
          <w:t>SG1RGQ/44</w:t>
        </w:r>
      </w:hyperlink>
      <w:r>
        <w:rPr>
          <w:lang w:eastAsia="zh-CN"/>
        </w:rPr>
        <w:t>, “</w:t>
      </w:r>
      <w:r w:rsidRPr="0063584F">
        <w:rPr>
          <w:lang w:eastAsia="zh-CN"/>
        </w:rPr>
        <w:t>Dynamic spectrum access case study</w:t>
      </w:r>
      <w:r>
        <w:rPr>
          <w:lang w:eastAsia="zh-CN"/>
        </w:rPr>
        <w:t>”, Republic of the Philippines.</w:t>
      </w:r>
    </w:p>
  </w:footnote>
  <w:footnote w:id="61">
    <w:p w14:paraId="226BE10E" w14:textId="77777777" w:rsidR="00044CB3" w:rsidRPr="0063584F" w:rsidRDefault="00044CB3" w:rsidP="00D06C3F">
      <w:pPr>
        <w:pStyle w:val="FootnoteText"/>
        <w:rPr>
          <w:lang w:eastAsia="zh-CN"/>
        </w:rPr>
      </w:pPr>
      <w:r>
        <w:rPr>
          <w:rStyle w:val="FootnoteReference"/>
        </w:rPr>
        <w:footnoteRef/>
      </w:r>
      <w:r>
        <w:t xml:space="preserve"> </w:t>
      </w:r>
      <w:r>
        <w:rPr>
          <w:lang w:eastAsia="zh-CN"/>
        </w:rPr>
        <w:t xml:space="preserve">Document </w:t>
      </w:r>
      <w:hyperlink r:id="rId38" w:history="1">
        <w:r w:rsidRPr="00F61B92">
          <w:rPr>
            <w:rStyle w:val="Hyperlink"/>
            <w:szCs w:val="24"/>
            <w:lang w:val="en-GB"/>
          </w:rPr>
          <w:t>SG1RGQ/60</w:t>
        </w:r>
      </w:hyperlink>
      <w:r w:rsidRPr="0063584F">
        <w:t>,</w:t>
      </w:r>
      <w:r>
        <w:t xml:space="preserve"> “</w:t>
      </w:r>
      <w:r>
        <w:rPr>
          <w:szCs w:val="24"/>
        </w:rPr>
        <w:t>Preliminary examples of spectrum sharing practices in the broadcast television bands”, United States of America.</w:t>
      </w:r>
    </w:p>
  </w:footnote>
  <w:footnote w:id="62">
    <w:p w14:paraId="3576C4BF" w14:textId="77777777" w:rsidR="00044CB3" w:rsidRPr="003D7656" w:rsidRDefault="00044CB3" w:rsidP="00EA4781">
      <w:pPr>
        <w:pStyle w:val="FootnoteText"/>
        <w:rPr>
          <w:lang w:eastAsia="zh-CN"/>
        </w:rPr>
      </w:pPr>
      <w:r>
        <w:rPr>
          <w:rStyle w:val="FootnoteReference"/>
        </w:rPr>
        <w:footnoteRef/>
      </w:r>
      <w:r>
        <w:t xml:space="preserve"> </w:t>
      </w:r>
      <w:r>
        <w:rPr>
          <w:lang w:eastAsia="zh-CN"/>
        </w:rPr>
        <w:t xml:space="preserve">Document </w:t>
      </w:r>
      <w:hyperlink r:id="rId39" w:history="1">
        <w:r w:rsidRPr="00F61B92">
          <w:rPr>
            <w:rStyle w:val="Hyperlink"/>
            <w:szCs w:val="24"/>
            <w:lang w:val="en-GB"/>
          </w:rPr>
          <w:t>1</w:t>
        </w:r>
        <w:r w:rsidRPr="00F61B92">
          <w:rPr>
            <w:rStyle w:val="Hyperlink"/>
            <w:lang w:val="en-GB"/>
          </w:rPr>
          <w:t>/164</w:t>
        </w:r>
      </w:hyperlink>
      <w:r w:rsidRPr="00F61B92">
        <w:rPr>
          <w:lang w:val="en-GB"/>
        </w:rPr>
        <w:t>, “</w:t>
      </w:r>
      <w:r>
        <w:rPr>
          <w:bCs/>
        </w:rPr>
        <w:t xml:space="preserve">The need to develop a method of estimating license costs”, Republic of </w:t>
      </w:r>
      <w:r>
        <w:t>Côte d'Ivoire.</w:t>
      </w:r>
    </w:p>
  </w:footnote>
  <w:footnote w:id="63">
    <w:p w14:paraId="2866A715" w14:textId="77777777" w:rsidR="00044CB3" w:rsidRPr="003D7656" w:rsidRDefault="00044CB3" w:rsidP="00EA4781">
      <w:pPr>
        <w:pStyle w:val="FootnoteText"/>
        <w:rPr>
          <w:lang w:eastAsia="zh-CN"/>
        </w:rPr>
      </w:pPr>
      <w:r>
        <w:rPr>
          <w:rStyle w:val="FootnoteReference"/>
        </w:rPr>
        <w:footnoteRef/>
      </w:r>
      <w:r>
        <w:t xml:space="preserve"> </w:t>
      </w:r>
      <w:r>
        <w:rPr>
          <w:lang w:eastAsia="zh-CN"/>
        </w:rPr>
        <w:t xml:space="preserve">Document </w:t>
      </w:r>
      <w:hyperlink r:id="rId40" w:history="1">
        <w:r w:rsidRPr="00F61B92">
          <w:rPr>
            <w:rStyle w:val="Hyperlink"/>
          </w:rPr>
          <w:t>SG1RGQ/182</w:t>
        </w:r>
      </w:hyperlink>
      <w:r w:rsidRPr="00F61B92">
        <w:t>, “Method to determine the frequency fees”, Republic of Niger.</w:t>
      </w:r>
    </w:p>
  </w:footnote>
  <w:footnote w:id="64">
    <w:p w14:paraId="0524A65A" w14:textId="77777777" w:rsidR="00044CB3" w:rsidRPr="003D7656" w:rsidRDefault="00044CB3" w:rsidP="00EA4781">
      <w:pPr>
        <w:pStyle w:val="FootnoteText"/>
        <w:rPr>
          <w:lang w:eastAsia="zh-CN"/>
        </w:rPr>
      </w:pPr>
      <w:r>
        <w:rPr>
          <w:rStyle w:val="FootnoteReference"/>
        </w:rPr>
        <w:footnoteRef/>
      </w:r>
      <w:r>
        <w:t xml:space="preserve"> </w:t>
      </w:r>
      <w:r>
        <w:rPr>
          <w:lang w:eastAsia="zh-CN"/>
        </w:rPr>
        <w:t xml:space="preserve">Document </w:t>
      </w:r>
      <w:hyperlink r:id="rId41" w:history="1">
        <w:r w:rsidRPr="003D7656">
          <w:rPr>
            <w:rStyle w:val="Hyperlink"/>
            <w:lang w:eastAsia="zh-CN"/>
          </w:rPr>
          <w:t>1/54</w:t>
        </w:r>
      </w:hyperlink>
      <w:r>
        <w:rPr>
          <w:lang w:eastAsia="zh-CN"/>
        </w:rPr>
        <w:t>, “</w:t>
      </w:r>
      <w:r>
        <w:t>The experience of beauty contest and auction in spectrum management in the Republic of Korea”, Republic of Korea.</w:t>
      </w:r>
    </w:p>
  </w:footnote>
  <w:footnote w:id="65">
    <w:p w14:paraId="6A0E7660" w14:textId="77777777" w:rsidR="00044CB3" w:rsidRDefault="00044CB3" w:rsidP="00652DA3">
      <w:pPr>
        <w:pStyle w:val="FootnoteText"/>
      </w:pPr>
      <w:r>
        <w:rPr>
          <w:rStyle w:val="FootnoteReference"/>
        </w:rPr>
        <w:footnoteRef/>
      </w:r>
      <w:r>
        <w:t xml:space="preserve"> Document </w:t>
      </w:r>
      <w:hyperlink r:id="rId42" w:history="1">
        <w:r w:rsidRPr="009E416B">
          <w:rPr>
            <w:rStyle w:val="Hyperlink"/>
          </w:rPr>
          <w:t>1/352 + Annex</w:t>
        </w:r>
      </w:hyperlink>
      <w:r>
        <w:t>, “STIR (Spectrum Management IT System)”, Hungary</w:t>
      </w:r>
      <w:r w:rsidRPr="005A354A">
        <w:rPr>
          <w:rStyle w:val="Hyperlink"/>
          <w:rFonts w:asciiTheme="minorHAnsi" w:hAnsiTheme="minorHAnsi"/>
          <w:color w:val="auto"/>
          <w:u w:val="none"/>
        </w:rPr>
        <w:t>.</w:t>
      </w:r>
    </w:p>
  </w:footnote>
  <w:footnote w:id="66">
    <w:p w14:paraId="47E03D1B" w14:textId="77777777" w:rsidR="00044CB3" w:rsidRDefault="00044CB3" w:rsidP="00DA1FBE">
      <w:pPr>
        <w:pStyle w:val="FootnoteText"/>
      </w:pPr>
      <w:r>
        <w:rPr>
          <w:rStyle w:val="FootnoteReference"/>
        </w:rPr>
        <w:footnoteRef/>
      </w:r>
      <w:r>
        <w:t xml:space="preserve"> </w:t>
      </w:r>
      <w:r w:rsidRPr="009645A3">
        <w:t xml:space="preserve">Document </w:t>
      </w:r>
      <w:hyperlink r:id="rId43" w:history="1">
        <w:r w:rsidRPr="00F61B92">
          <w:rPr>
            <w:rStyle w:val="Hyperlink"/>
          </w:rPr>
          <w:t>1/356</w:t>
        </w:r>
      </w:hyperlink>
      <w:r>
        <w:t>, “The improvement of spectral efficiency based on LTE technology”,</w:t>
      </w:r>
      <w:r w:rsidRPr="00093274">
        <w:t xml:space="preserve"> People’s Republic of China</w:t>
      </w:r>
      <w:r>
        <w:t>.</w:t>
      </w:r>
    </w:p>
  </w:footnote>
  <w:footnote w:id="67">
    <w:p w14:paraId="009514CC" w14:textId="77777777" w:rsidR="00044CB3" w:rsidRPr="00F61B92" w:rsidRDefault="00044CB3" w:rsidP="00DA1FBE">
      <w:pPr>
        <w:pStyle w:val="FootnoteText"/>
        <w:rPr>
          <w:lang w:val="en-GB"/>
        </w:rPr>
      </w:pPr>
      <w:r>
        <w:rPr>
          <w:rStyle w:val="FootnoteReference"/>
        </w:rPr>
        <w:footnoteRef/>
      </w:r>
      <w:r w:rsidRPr="00F61B92">
        <w:rPr>
          <w:lang w:val="en-GB"/>
        </w:rPr>
        <w:t xml:space="preserve"> Document </w:t>
      </w:r>
      <w:hyperlink r:id="rId44" w:history="1">
        <w:r w:rsidRPr="00F61B92">
          <w:rPr>
            <w:rStyle w:val="Hyperlink"/>
            <w:lang w:val="en-GB"/>
          </w:rPr>
          <w:t>1/155</w:t>
        </w:r>
      </w:hyperlink>
      <w:r w:rsidRPr="00F61B92">
        <w:rPr>
          <w:rStyle w:val="Hyperlink"/>
          <w:color w:val="auto"/>
          <w:u w:val="none"/>
          <w:lang w:val="en-GB"/>
        </w:rPr>
        <w:t xml:space="preserve">, </w:t>
      </w:r>
      <w:r>
        <w:rPr>
          <w:rStyle w:val="Hyperlink"/>
          <w:color w:val="auto"/>
          <w:u w:val="none"/>
          <w:lang w:val="en-GB"/>
        </w:rPr>
        <w:t>“T</w:t>
      </w:r>
      <w:r>
        <w:t>he legal framework on Spectrum Management in Tanzania”, United Republic of</w:t>
      </w:r>
      <w:r w:rsidRPr="00F61B92">
        <w:rPr>
          <w:rStyle w:val="Hyperlink"/>
          <w:color w:val="auto"/>
          <w:u w:val="none"/>
          <w:lang w:val="en-GB"/>
        </w:rPr>
        <w:t xml:space="preserve"> Tanzania</w:t>
      </w:r>
      <w:r>
        <w:rPr>
          <w:rStyle w:val="Hyperlink"/>
          <w:color w:val="auto"/>
          <w:u w:val="none"/>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DFBC4" w14:textId="77777777" w:rsidR="00044CB3" w:rsidRDefault="00044CB3" w:rsidP="00973635">
    <w:pPr>
      <w:pStyle w:val="Header"/>
      <w:pBdr>
        <w:bottom w:val="single" w:sz="12" w:space="1" w:color="1F9DD9"/>
      </w:pBdr>
    </w:pPr>
    <w:r>
      <w:t>WTDC Resolution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5383" w14:textId="77777777" w:rsidR="00044CB3" w:rsidRDefault="00044CB3" w:rsidP="00A42FA8">
    <w:pPr>
      <w:pStyle w:val="Header"/>
      <w:pBdr>
        <w:bottom w:val="single" w:sz="12" w:space="1" w:color="1F9DD9"/>
      </w:pBdr>
    </w:pPr>
    <w:r>
      <w:t>WTDC Resolution 9</w:t>
    </w:r>
  </w:p>
  <w:p w14:paraId="6CAFB2FC" w14:textId="77777777" w:rsidR="00044CB3" w:rsidRPr="00005791" w:rsidRDefault="00044CB3" w:rsidP="004F12DA">
    <w:pPr>
      <w:pStyle w:val="Header"/>
      <w:tabs>
        <w:tab w:val="center" w:pos="4820"/>
        <w:tab w:val="right" w:pos="9639"/>
      </w:tabs>
      <w:jc w:val="lef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702C" w14:textId="2E756119" w:rsidR="00573C99" w:rsidRDefault="00573C99" w:rsidP="00573C99">
    <w:pPr>
      <w:pStyle w:val="Header"/>
      <w:jc w:val="center"/>
      <w:rPr>
        <w:rFonts w:asciiTheme="minorHAnsi" w:eastAsia="Batang" w:hAnsiTheme="minorHAnsi"/>
        <w:sz w:val="20"/>
        <w:szCs w:val="20"/>
        <w:lang w:val="en-US" w:eastAsia="en-US"/>
      </w:rPr>
    </w:pPr>
    <w:r>
      <w:rPr>
        <w:rFonts w:asciiTheme="minorHAnsi" w:hAnsiTheme="minorHAnsi"/>
        <w:sz w:val="20"/>
        <w:lang w:val="en-US"/>
      </w:rPr>
      <w:t xml:space="preserve">Attachment </w:t>
    </w:r>
    <w:r>
      <w:rPr>
        <w:rFonts w:asciiTheme="minorHAnsi" w:hAnsiTheme="minorHAnsi"/>
        <w:sz w:val="20"/>
        <w:lang w:val="en-US"/>
      </w:rPr>
      <w:t>2</w:t>
    </w:r>
    <w:r>
      <w:rPr>
        <w:rFonts w:asciiTheme="minorHAnsi" w:hAnsiTheme="minorHAnsi"/>
        <w:sz w:val="20"/>
        <w:lang w:val="en-US"/>
      </w:rPr>
      <w:t xml:space="preserve"> to </w:t>
    </w:r>
    <w:r>
      <w:rPr>
        <w:rFonts w:asciiTheme="minorHAnsi" w:hAnsiTheme="minorHAnsi"/>
        <w:sz w:val="20"/>
        <w:lang w:val="en-US"/>
      </w:rPr>
      <w:br/>
      <w:t>TDAG-18/23-E</w:t>
    </w:r>
  </w:p>
  <w:p w14:paraId="6A43EFDB" w14:textId="77777777" w:rsidR="00573C99" w:rsidRDefault="00573C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6D2F" w14:textId="77777777" w:rsidR="00284C7A" w:rsidRDefault="00284C7A" w:rsidP="00A42FA8">
    <w:pPr>
      <w:pStyle w:val="Header"/>
      <w:pBdr>
        <w:bottom w:val="single" w:sz="12" w:space="1" w:color="1F9DD9"/>
      </w:pBdr>
    </w:pPr>
    <w:r>
      <w:t>WTDC Resolution 9</w:t>
    </w:r>
  </w:p>
  <w:p w14:paraId="79E08780" w14:textId="77777777" w:rsidR="00284C7A" w:rsidRPr="00005791" w:rsidRDefault="00284C7A" w:rsidP="004F12DA">
    <w:pPr>
      <w:pStyle w:val="Header"/>
      <w:tabs>
        <w:tab w:val="center" w:pos="4820"/>
        <w:tab w:val="right" w:pos="9639"/>
      </w:tabs>
      <w:jc w:val="lef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DA3A" w14:textId="77777777" w:rsidR="00284C7A" w:rsidRPr="00284C7A" w:rsidRDefault="00284C7A" w:rsidP="00284C7A">
    <w:pPr>
      <w:pStyle w:val="Header"/>
      <w:jc w:val="center"/>
      <w:rPr>
        <w:rStyle w:val="PageNumber"/>
        <w:rFonts w:asciiTheme="majorBidi" w:hAnsiTheme="majorBidi" w:cstheme="majorBidi"/>
        <w:sz w:val="18"/>
        <w:szCs w:val="18"/>
      </w:rPr>
    </w:pPr>
    <w:r w:rsidRPr="00284C7A">
      <w:rPr>
        <w:rFonts w:asciiTheme="majorBidi" w:hAnsiTheme="majorBidi" w:cstheme="majorBidi"/>
        <w:sz w:val="18"/>
        <w:szCs w:val="18"/>
        <w:lang w:val="en-US"/>
      </w:rPr>
      <w:t xml:space="preserve">- </w:t>
    </w:r>
    <w:r w:rsidRPr="00284C7A">
      <w:rPr>
        <w:rStyle w:val="PageNumber"/>
        <w:rFonts w:asciiTheme="majorBidi" w:hAnsiTheme="majorBidi" w:cstheme="majorBidi"/>
        <w:sz w:val="18"/>
        <w:szCs w:val="18"/>
      </w:rPr>
      <w:fldChar w:fldCharType="begin"/>
    </w:r>
    <w:r w:rsidRPr="00284C7A">
      <w:rPr>
        <w:rStyle w:val="PageNumber"/>
        <w:rFonts w:asciiTheme="majorBidi" w:hAnsiTheme="majorBidi" w:cstheme="majorBidi"/>
        <w:sz w:val="18"/>
        <w:szCs w:val="18"/>
      </w:rPr>
      <w:instrText xml:space="preserve"> PAGE </w:instrText>
    </w:r>
    <w:r w:rsidRPr="00284C7A">
      <w:rPr>
        <w:rStyle w:val="PageNumber"/>
        <w:rFonts w:asciiTheme="majorBidi" w:hAnsiTheme="majorBidi" w:cstheme="majorBidi"/>
        <w:sz w:val="18"/>
        <w:szCs w:val="18"/>
      </w:rPr>
      <w:fldChar w:fldCharType="separate"/>
    </w:r>
    <w:r w:rsidR="00573C99">
      <w:rPr>
        <w:rStyle w:val="PageNumber"/>
        <w:rFonts w:asciiTheme="majorBidi" w:hAnsiTheme="majorBidi" w:cstheme="majorBidi"/>
        <w:noProof/>
        <w:sz w:val="18"/>
        <w:szCs w:val="18"/>
      </w:rPr>
      <w:t>2</w:t>
    </w:r>
    <w:r w:rsidRPr="00284C7A">
      <w:rPr>
        <w:rStyle w:val="PageNumber"/>
        <w:rFonts w:asciiTheme="majorBidi" w:hAnsiTheme="majorBidi" w:cstheme="majorBidi"/>
        <w:sz w:val="18"/>
        <w:szCs w:val="18"/>
      </w:rPr>
      <w:fldChar w:fldCharType="end"/>
    </w:r>
    <w:r w:rsidRPr="00284C7A">
      <w:rPr>
        <w:rStyle w:val="PageNumber"/>
        <w:rFonts w:asciiTheme="majorBidi" w:hAnsiTheme="majorBidi" w:cstheme="majorBidi"/>
        <w:sz w:val="18"/>
        <w:szCs w:val="18"/>
      </w:rPr>
      <w:t xml:space="preserve"> -</w:t>
    </w:r>
  </w:p>
  <w:p w14:paraId="7CD49FE9" w14:textId="272017E2" w:rsidR="00284C7A" w:rsidRPr="00284C7A" w:rsidRDefault="007420BB" w:rsidP="00284C7A">
    <w:pPr>
      <w:pStyle w:val="Header"/>
      <w:jc w:val="center"/>
      <w:rPr>
        <w:rFonts w:asciiTheme="majorBidi" w:hAnsiTheme="majorBidi" w:cstheme="majorBidi"/>
        <w:sz w:val="18"/>
        <w:szCs w:val="18"/>
      </w:rPr>
    </w:pPr>
    <w:r>
      <w:rPr>
        <w:rFonts w:asciiTheme="majorBidi" w:hAnsiTheme="majorBidi" w:cstheme="majorBidi"/>
        <w:sz w:val="18"/>
        <w:szCs w:val="18"/>
        <w:lang w:val="en-US"/>
      </w:rPr>
      <w:t>1/82</w:t>
    </w:r>
    <w:r w:rsidR="00342472">
      <w:rPr>
        <w:rFonts w:asciiTheme="majorBidi" w:hAnsiTheme="majorBidi" w:cstheme="majorBidi"/>
        <w:sz w:val="18"/>
        <w:szCs w:val="18"/>
        <w:lang w:val="en-US"/>
      </w:rPr>
      <w:t>(Rev.1)</w:t>
    </w:r>
    <w:r w:rsidR="00284C7A" w:rsidRPr="00284C7A">
      <w:rPr>
        <w:rFonts w:asciiTheme="majorBidi" w:hAnsiTheme="majorBidi" w:cstheme="majorBidi"/>
        <w:sz w:val="18"/>
        <w:szCs w:val="18"/>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516444E"/>
    <w:name w:val="WW8Num1"/>
    <w:lvl w:ilvl="0">
      <w:start w:val="1"/>
      <w:numFmt w:val="decimal"/>
      <w:lvlText w:val="%1."/>
      <w:lvlJc w:val="left"/>
      <w:pPr>
        <w:tabs>
          <w:tab w:val="num" w:pos="720"/>
        </w:tabs>
        <w:ind w:left="720" w:hanging="360"/>
      </w:pPr>
      <w:rPr>
        <w:rFonts w:ascii="Calibri" w:hAnsi="Calibri" w:cs="Arial" w:hint="default"/>
        <w:b/>
        <w:bCs/>
        <w:color w:val="222222"/>
        <w:sz w:val="24"/>
        <w:szCs w:val="24"/>
        <w:lang w:val="en-US"/>
      </w:rPr>
    </w:lvl>
    <w:lvl w:ilvl="1">
      <w:start w:val="1"/>
      <w:numFmt w:val="none"/>
      <w:suff w:val="nothing"/>
      <w:lvlText w:val="5.1."/>
      <w:lvlJc w:val="left"/>
      <w:pPr>
        <w:tabs>
          <w:tab w:val="num" w:pos="735"/>
        </w:tabs>
        <w:ind w:left="735" w:hanging="375"/>
      </w:pPr>
      <w:rPr>
        <w:rFonts w:ascii="Calibri" w:hAnsi="Calibri" w:cs="Arial" w:hint="default"/>
        <w:color w:val="222222"/>
        <w:sz w:val="22"/>
        <w:szCs w:val="22"/>
        <w:lang w:val="ru-RU"/>
      </w:rPr>
    </w:lvl>
    <w:lvl w:ilvl="2">
      <w:start w:val="1"/>
      <w:numFmt w:val="decimal"/>
      <w:lvlText w:val="%1.%3."/>
      <w:lvlJc w:val="left"/>
      <w:pPr>
        <w:tabs>
          <w:tab w:val="num" w:pos="1080"/>
        </w:tabs>
        <w:ind w:left="1080" w:hanging="720"/>
      </w:pPr>
      <w:rPr>
        <w:rFonts w:ascii="Calibri" w:hAnsi="Calibri" w:cs="Arial" w:hint="default"/>
        <w:color w:val="222222"/>
        <w:sz w:val="22"/>
        <w:szCs w:val="22"/>
        <w:lang w:val="ru-RU"/>
      </w:rPr>
    </w:lvl>
    <w:lvl w:ilvl="3">
      <w:start w:val="1"/>
      <w:numFmt w:val="decimal"/>
      <w:lvlText w:val="%1.%3.%4."/>
      <w:lvlJc w:val="left"/>
      <w:pPr>
        <w:tabs>
          <w:tab w:val="num" w:pos="1080"/>
        </w:tabs>
        <w:ind w:left="1080" w:hanging="720"/>
      </w:pPr>
      <w:rPr>
        <w:rFonts w:ascii="Calibri" w:hAnsi="Calibri" w:cs="Arial" w:hint="default"/>
        <w:color w:val="222222"/>
        <w:sz w:val="22"/>
        <w:szCs w:val="22"/>
        <w:lang w:val="ru-RU"/>
      </w:rPr>
    </w:lvl>
    <w:lvl w:ilvl="4">
      <w:start w:val="1"/>
      <w:numFmt w:val="decimal"/>
      <w:lvlText w:val="%1.%3.%4.%5."/>
      <w:lvlJc w:val="left"/>
      <w:pPr>
        <w:tabs>
          <w:tab w:val="num" w:pos="1440"/>
        </w:tabs>
        <w:ind w:left="1440" w:hanging="1080"/>
      </w:pPr>
      <w:rPr>
        <w:rFonts w:ascii="Calibri" w:hAnsi="Calibri" w:cs="Arial" w:hint="default"/>
        <w:color w:val="222222"/>
        <w:sz w:val="22"/>
        <w:szCs w:val="22"/>
        <w:lang w:val="ru-RU"/>
      </w:rPr>
    </w:lvl>
    <w:lvl w:ilvl="5">
      <w:start w:val="1"/>
      <w:numFmt w:val="decimal"/>
      <w:lvlText w:val="%1.%3.%4.%5.%6."/>
      <w:lvlJc w:val="left"/>
      <w:pPr>
        <w:tabs>
          <w:tab w:val="num" w:pos="1440"/>
        </w:tabs>
        <w:ind w:left="1440" w:hanging="1080"/>
      </w:pPr>
      <w:rPr>
        <w:rFonts w:ascii="Calibri" w:hAnsi="Calibri" w:cs="Arial" w:hint="default"/>
        <w:color w:val="222222"/>
        <w:sz w:val="22"/>
        <w:szCs w:val="22"/>
        <w:lang w:val="ru-RU"/>
      </w:rPr>
    </w:lvl>
    <w:lvl w:ilvl="6">
      <w:start w:val="1"/>
      <w:numFmt w:val="decimal"/>
      <w:lvlText w:val="%1.%3.%4.%5.%6.%7."/>
      <w:lvlJc w:val="left"/>
      <w:pPr>
        <w:tabs>
          <w:tab w:val="num" w:pos="1800"/>
        </w:tabs>
        <w:ind w:left="1800" w:hanging="1440"/>
      </w:pPr>
      <w:rPr>
        <w:rFonts w:ascii="Calibri" w:hAnsi="Calibri" w:cs="Arial" w:hint="default"/>
        <w:color w:val="222222"/>
        <w:sz w:val="22"/>
        <w:szCs w:val="22"/>
        <w:lang w:val="ru-RU"/>
      </w:rPr>
    </w:lvl>
    <w:lvl w:ilvl="7">
      <w:start w:val="1"/>
      <w:numFmt w:val="decimal"/>
      <w:lvlText w:val="%1.%3.%4.%5.%6.%7.%8."/>
      <w:lvlJc w:val="left"/>
      <w:pPr>
        <w:tabs>
          <w:tab w:val="num" w:pos="1800"/>
        </w:tabs>
        <w:ind w:left="1800" w:hanging="1440"/>
      </w:pPr>
      <w:rPr>
        <w:rFonts w:ascii="Calibri" w:hAnsi="Calibri" w:cs="Arial" w:hint="default"/>
        <w:color w:val="222222"/>
        <w:sz w:val="22"/>
        <w:szCs w:val="22"/>
        <w:lang w:val="ru-RU"/>
      </w:rPr>
    </w:lvl>
    <w:lvl w:ilvl="8">
      <w:start w:val="1"/>
      <w:numFmt w:val="decimal"/>
      <w:lvlText w:val="%1.%3.%4.%5.%6.%7.%8.%9."/>
      <w:lvlJc w:val="left"/>
      <w:pPr>
        <w:tabs>
          <w:tab w:val="num" w:pos="2160"/>
        </w:tabs>
        <w:ind w:left="2160" w:hanging="1800"/>
      </w:pPr>
      <w:rPr>
        <w:rFonts w:ascii="Calibri" w:hAnsi="Calibri" w:cs="Arial" w:hint="default"/>
        <w:color w:val="222222"/>
        <w:sz w:val="22"/>
        <w:szCs w:val="22"/>
        <w:lang w:val="ru-RU"/>
      </w:rPr>
    </w:lvl>
  </w:abstractNum>
  <w:abstractNum w:abstractNumId="1" w15:restartNumberingAfterBreak="0">
    <w:nsid w:val="036A330C"/>
    <w:multiLevelType w:val="hybridMultilevel"/>
    <w:tmpl w:val="15F8227A"/>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D265F"/>
    <w:multiLevelType w:val="hybridMultilevel"/>
    <w:tmpl w:val="BDB0BE72"/>
    <w:lvl w:ilvl="0" w:tplc="1270C9EA">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17609C6"/>
    <w:multiLevelType w:val="hybridMultilevel"/>
    <w:tmpl w:val="158CFD0C"/>
    <w:lvl w:ilvl="0" w:tplc="74649CE0">
      <w:start w:val="1"/>
      <w:numFmt w:val="decimal"/>
      <w:pStyle w:val="ParaNum"/>
      <w:lvlText w:val="%1."/>
      <w:lvlJc w:val="left"/>
      <w:pPr>
        <w:tabs>
          <w:tab w:val="num" w:pos="1482"/>
        </w:tabs>
        <w:ind w:firstLine="720"/>
      </w:pPr>
      <w:rPr>
        <w:rFonts w:ascii="Times New Roman" w:hAnsi="Times New Roman" w:cs="Times New Roman" w:hint="default"/>
        <w:b w:val="0"/>
        <w:i w:val="0"/>
        <w:dstrike w:val="0"/>
        <w:color w:val="000000"/>
      </w:rPr>
    </w:lvl>
    <w:lvl w:ilvl="1" w:tplc="35904AA4">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7330647"/>
    <w:multiLevelType w:val="hybridMultilevel"/>
    <w:tmpl w:val="F9BEB1E4"/>
    <w:lvl w:ilvl="0" w:tplc="11EA8ACA">
      <w:start w:val="1"/>
      <w:numFmt w:val="bullet"/>
      <w:lvlText w:val="–"/>
      <w:lvlJc w:val="left"/>
      <w:pPr>
        <w:ind w:left="1065" w:hanging="705"/>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8A49E0"/>
    <w:multiLevelType w:val="hybridMultilevel"/>
    <w:tmpl w:val="A03CB5CC"/>
    <w:lvl w:ilvl="0" w:tplc="7CA2B2E4">
      <w:start w:val="1"/>
      <w:numFmt w:val="bullet"/>
      <w:lvlText w:val="•"/>
      <w:lvlJc w:val="left"/>
      <w:pPr>
        <w:ind w:left="930" w:hanging="360"/>
      </w:pPr>
      <w:rPr>
        <w:rFonts w:ascii="Calibri" w:hAnsi="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2ACD395E"/>
    <w:multiLevelType w:val="hybridMultilevel"/>
    <w:tmpl w:val="17B02F44"/>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F023B"/>
    <w:multiLevelType w:val="multilevel"/>
    <w:tmpl w:val="9A4CC93E"/>
    <w:lvl w:ilvl="0">
      <w:start w:val="1"/>
      <w:numFmt w:val="decimal"/>
      <w:pStyle w:val="CEOcontribution-H123"/>
      <w:lvlText w:val="%1."/>
      <w:lvlJc w:val="left"/>
      <w:pPr>
        <w:ind w:left="375" w:hanging="37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8" w15:restartNumberingAfterBreak="0">
    <w:nsid w:val="348F0AAE"/>
    <w:multiLevelType w:val="hybridMultilevel"/>
    <w:tmpl w:val="4EF8026E"/>
    <w:lvl w:ilvl="0" w:tplc="BADADC34">
      <w:start w:val="1"/>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DB0A43"/>
    <w:multiLevelType w:val="multilevel"/>
    <w:tmpl w:val="04090025"/>
    <w:lvl w:ilvl="0">
      <w:start w:val="1"/>
      <w:numFmt w:val="decimal"/>
      <w:pStyle w:val="APXchaptertitle"/>
      <w:lvlText w:val="%1"/>
      <w:lvlJc w:val="left"/>
      <w:pPr>
        <w:ind w:left="432" w:hanging="432"/>
      </w:pPr>
    </w:lvl>
    <w:lvl w:ilvl="1">
      <w:start w:val="1"/>
      <w:numFmt w:val="decimal"/>
      <w:pStyle w:val="Heading2"/>
      <w:lvlText w:val="%1.%2"/>
      <w:lvlJc w:val="left"/>
      <w:pPr>
        <w:ind w:left="199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BA12C87"/>
    <w:multiLevelType w:val="hybridMultilevel"/>
    <w:tmpl w:val="D7383DD4"/>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45840"/>
    <w:multiLevelType w:val="multilevel"/>
    <w:tmpl w:val="86585AEC"/>
    <w:lvl w:ilvl="0">
      <w:start w:val="1"/>
      <w:numFmt w:val="decimal"/>
      <w:pStyle w:val="Heading1"/>
      <w:lvlText w:val="%1"/>
      <w:lvlJc w:val="left"/>
      <w:pPr>
        <w:ind w:left="720" w:hanging="360"/>
      </w:pPr>
      <w:rPr>
        <w:rFonts w:hint="default"/>
      </w:rPr>
    </w:lvl>
    <w:lvl w:ilvl="1">
      <w:start w:val="5"/>
      <w:numFmt w:val="decimal"/>
      <w:isLgl/>
      <w:lvlText w:val="%1.%2"/>
      <w:lvlJc w:val="left"/>
      <w:pPr>
        <w:ind w:left="1220" w:hanging="860"/>
      </w:pPr>
      <w:rPr>
        <w:rFonts w:hint="default"/>
      </w:rPr>
    </w:lvl>
    <w:lvl w:ilvl="2">
      <w:start w:val="1"/>
      <w:numFmt w:val="decimal"/>
      <w:isLgl/>
      <w:lvlText w:val="%1.%2.%3"/>
      <w:lvlJc w:val="left"/>
      <w:pPr>
        <w:ind w:left="1220" w:hanging="8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4342435"/>
    <w:multiLevelType w:val="hybridMultilevel"/>
    <w:tmpl w:val="5CB2821A"/>
    <w:lvl w:ilvl="0" w:tplc="85D026A4">
      <w:start w:val="1"/>
      <w:numFmt w:val="bullet"/>
      <w:lvlText w:val="–"/>
      <w:lvlJc w:val="left"/>
      <w:pPr>
        <w:ind w:left="720" w:hanging="360"/>
      </w:pPr>
      <w:rPr>
        <w:rFonts w:ascii="Calibri" w:eastAsia="NSimSun"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1020"/>
    <w:multiLevelType w:val="hybridMultilevel"/>
    <w:tmpl w:val="A9E6785A"/>
    <w:lvl w:ilvl="0" w:tplc="11CC0A9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3536AD"/>
    <w:multiLevelType w:val="hybridMultilevel"/>
    <w:tmpl w:val="9BA23764"/>
    <w:lvl w:ilvl="0" w:tplc="11321D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05F91"/>
    <w:multiLevelType w:val="hybridMultilevel"/>
    <w:tmpl w:val="2524224A"/>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3811D6"/>
    <w:multiLevelType w:val="hybridMultilevel"/>
    <w:tmpl w:val="2A3CC2F6"/>
    <w:lvl w:ilvl="0" w:tplc="578AA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0A0377"/>
    <w:multiLevelType w:val="hybridMultilevel"/>
    <w:tmpl w:val="6AD6F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A77A7E"/>
    <w:multiLevelType w:val="multilevel"/>
    <w:tmpl w:val="F37C6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B0B5B7F"/>
    <w:multiLevelType w:val="multilevel"/>
    <w:tmpl w:val="DCAA1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432276"/>
    <w:multiLevelType w:val="multilevel"/>
    <w:tmpl w:val="CBE48846"/>
    <w:styleLink w:val="HIPTitlesHierarchy"/>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008000"/>
        <w:sz w:val="24"/>
        <w:szCs w:val="24"/>
      </w:rPr>
    </w:lvl>
    <w:lvl w:ilvl="2">
      <w:start w:val="1"/>
      <w:numFmt w:val="decimal"/>
      <w:suff w:val="space"/>
      <w:lvlText w:val="%3"/>
      <w:lvlJc w:val="left"/>
      <w:pPr>
        <w:ind w:left="0" w:firstLine="0"/>
      </w:pPr>
      <w:rPr>
        <w:rFonts w:ascii="Helvetica" w:hAnsi="Helvetica" w:hint="default"/>
        <w:b/>
        <w:i w:val="0"/>
        <w:color w:val="008000"/>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color w:val="008000"/>
        <w:sz w:val="22"/>
        <w:szCs w:val="22"/>
      </w:rPr>
    </w:lvl>
    <w:lvl w:ilvl="5">
      <w:start w:val="1"/>
      <w:numFmt w:val="decimal"/>
      <w:suff w:val="space"/>
      <w:lvlText w:val="%3.%4.%5.%6"/>
      <w:lvlJc w:val="left"/>
      <w:pPr>
        <w:ind w:left="0" w:firstLine="0"/>
      </w:pPr>
      <w:rPr>
        <w:rFonts w:ascii="Helvetica" w:hAnsi="Helvetica" w:hint="default"/>
        <w:b w:val="0"/>
        <w:i/>
        <w:color w:val="auto"/>
        <w:sz w:val="22"/>
        <w:szCs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0FE17E5"/>
    <w:multiLevelType w:val="hybridMultilevel"/>
    <w:tmpl w:val="B5B0BF34"/>
    <w:lvl w:ilvl="0" w:tplc="0C324F1E">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2A860A4"/>
    <w:multiLevelType w:val="hybridMultilevel"/>
    <w:tmpl w:val="11B25D64"/>
    <w:lvl w:ilvl="0" w:tplc="201668F4">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80F72"/>
    <w:multiLevelType w:val="hybridMultilevel"/>
    <w:tmpl w:val="9B1E7B68"/>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BFD764C"/>
    <w:multiLevelType w:val="multilevel"/>
    <w:tmpl w:val="A59828A6"/>
    <w:styleLink w:val="HIPBulletsHierarchy"/>
    <w:lvl w:ilvl="0">
      <w:start w:val="1"/>
      <w:numFmt w:val="bullet"/>
      <w:suff w:val="space"/>
      <w:lvlText w:val=""/>
      <w:lvlJc w:val="left"/>
      <w:pPr>
        <w:ind w:left="360" w:hanging="360"/>
      </w:pPr>
      <w:rPr>
        <w:rFonts w:ascii="Symbol" w:hAnsi="Symbol" w:hint="default"/>
        <w:b/>
        <w:color w:val="008000"/>
        <w:sz w:val="22"/>
        <w:szCs w:val="22"/>
      </w:rPr>
    </w:lvl>
    <w:lvl w:ilvl="1">
      <w:start w:val="1"/>
      <w:numFmt w:val="bullet"/>
      <w:suff w:val="space"/>
      <w:lvlText w:val=""/>
      <w:lvlJc w:val="left"/>
      <w:pPr>
        <w:ind w:left="720" w:hanging="360"/>
      </w:pPr>
      <w:rPr>
        <w:rFonts w:ascii="Symbol" w:hAnsi="Symbol" w:hint="default"/>
        <w:b w:val="0"/>
        <w:i w:val="0"/>
        <w:color w:val="auto"/>
        <w:sz w:val="22"/>
      </w:rPr>
    </w:lvl>
    <w:lvl w:ilvl="2">
      <w:start w:val="1"/>
      <w:numFmt w:val="bullet"/>
      <w:suff w:val="nothing"/>
      <w:lvlText w:val="−"/>
      <w:lvlJc w:val="left"/>
      <w:pPr>
        <w:ind w:left="1080" w:hanging="360"/>
      </w:pPr>
      <w:rPr>
        <w:rFonts w:ascii="Helvetica" w:hAnsi="Helvetica" w:cs="Times New Roman" w:hint="default"/>
        <w:b/>
        <w:i w:val="0"/>
        <w:sz w:val="22"/>
        <w:szCs w:val="22"/>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D5B6E1E"/>
    <w:multiLevelType w:val="hybridMultilevel"/>
    <w:tmpl w:val="EAE84A20"/>
    <w:lvl w:ilvl="0" w:tplc="BA2A82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5"/>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
  </w:num>
  <w:num w:numId="10">
    <w:abstractNumId w:val="6"/>
  </w:num>
  <w:num w:numId="11">
    <w:abstractNumId w:val="10"/>
  </w:num>
  <w:num w:numId="12">
    <w:abstractNumId w:val="16"/>
  </w:num>
  <w:num w:numId="13">
    <w:abstractNumId w:val="19"/>
  </w:num>
  <w:num w:numId="14">
    <w:abstractNumId w:val="22"/>
  </w:num>
  <w:num w:numId="15">
    <w:abstractNumId w:val="11"/>
  </w:num>
  <w:num w:numId="16">
    <w:abstractNumId w:val="14"/>
  </w:num>
  <w:num w:numId="17">
    <w:abstractNumId w:val="8"/>
  </w:num>
  <w:num w:numId="18">
    <w:abstractNumId w:val="17"/>
  </w:num>
  <w:num w:numId="19">
    <w:abstractNumId w:val="26"/>
  </w:num>
  <w:num w:numId="20">
    <w:abstractNumId w:val="12"/>
  </w:num>
  <w:num w:numId="21">
    <w:abstractNumId w:val="5"/>
  </w:num>
  <w:num w:numId="22">
    <w:abstractNumId w:val="13"/>
  </w:num>
  <w:num w:numId="23">
    <w:abstractNumId w:val="2"/>
  </w:num>
  <w:num w:numId="24">
    <w:abstractNumId w:val="21"/>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tDQ2s7SwMDY0NzdT0lEKTi0uzszPAykwNK4FAKGs3ZwtAAAA"/>
  </w:docVars>
  <w:rsids>
    <w:rsidRoot w:val="005A6C91"/>
    <w:rsid w:val="00002716"/>
    <w:rsid w:val="00003925"/>
    <w:rsid w:val="00003E06"/>
    <w:rsid w:val="00005791"/>
    <w:rsid w:val="000059CF"/>
    <w:rsid w:val="00005D52"/>
    <w:rsid w:val="000115E4"/>
    <w:rsid w:val="0001206C"/>
    <w:rsid w:val="00012654"/>
    <w:rsid w:val="00012A95"/>
    <w:rsid w:val="00012F1F"/>
    <w:rsid w:val="00014F80"/>
    <w:rsid w:val="00015047"/>
    <w:rsid w:val="0001510B"/>
    <w:rsid w:val="000166B0"/>
    <w:rsid w:val="00016B33"/>
    <w:rsid w:val="00017299"/>
    <w:rsid w:val="0001798F"/>
    <w:rsid w:val="0002081A"/>
    <w:rsid w:val="00021FAB"/>
    <w:rsid w:val="000227D6"/>
    <w:rsid w:val="00023F1B"/>
    <w:rsid w:val="0002446C"/>
    <w:rsid w:val="0002457C"/>
    <w:rsid w:val="00024C63"/>
    <w:rsid w:val="0002520B"/>
    <w:rsid w:val="000252F0"/>
    <w:rsid w:val="0002557F"/>
    <w:rsid w:val="000273AA"/>
    <w:rsid w:val="00027EB0"/>
    <w:rsid w:val="00030106"/>
    <w:rsid w:val="000304CB"/>
    <w:rsid w:val="000310EE"/>
    <w:rsid w:val="00031584"/>
    <w:rsid w:val="00031715"/>
    <w:rsid w:val="00031AF9"/>
    <w:rsid w:val="000321AF"/>
    <w:rsid w:val="00032B53"/>
    <w:rsid w:val="000331D6"/>
    <w:rsid w:val="00033F2E"/>
    <w:rsid w:val="00034339"/>
    <w:rsid w:val="00034952"/>
    <w:rsid w:val="000350F9"/>
    <w:rsid w:val="00036EA5"/>
    <w:rsid w:val="00037402"/>
    <w:rsid w:val="00037722"/>
    <w:rsid w:val="00037A9E"/>
    <w:rsid w:val="00037F91"/>
    <w:rsid w:val="000404C3"/>
    <w:rsid w:val="00041B08"/>
    <w:rsid w:val="00041B0C"/>
    <w:rsid w:val="000445E4"/>
    <w:rsid w:val="00044CB3"/>
    <w:rsid w:val="00044DB2"/>
    <w:rsid w:val="00046D8E"/>
    <w:rsid w:val="000502DA"/>
    <w:rsid w:val="00051017"/>
    <w:rsid w:val="00052931"/>
    <w:rsid w:val="000539F1"/>
    <w:rsid w:val="00053D2C"/>
    <w:rsid w:val="0005465D"/>
    <w:rsid w:val="00054BF6"/>
    <w:rsid w:val="00054F08"/>
    <w:rsid w:val="00055A2A"/>
    <w:rsid w:val="00055FD0"/>
    <w:rsid w:val="000561C3"/>
    <w:rsid w:val="00056ACE"/>
    <w:rsid w:val="0006037E"/>
    <w:rsid w:val="000615C1"/>
    <w:rsid w:val="000621D6"/>
    <w:rsid w:val="00062F24"/>
    <w:rsid w:val="000635A5"/>
    <w:rsid w:val="00065EA3"/>
    <w:rsid w:val="00066CD5"/>
    <w:rsid w:val="00067E0F"/>
    <w:rsid w:val="000700AA"/>
    <w:rsid w:val="00070ADB"/>
    <w:rsid w:val="00071415"/>
    <w:rsid w:val="000733CF"/>
    <w:rsid w:val="00073C63"/>
    <w:rsid w:val="00075031"/>
    <w:rsid w:val="0007602A"/>
    <w:rsid w:val="00076772"/>
    <w:rsid w:val="00076CEA"/>
    <w:rsid w:val="00080921"/>
    <w:rsid w:val="00080CB7"/>
    <w:rsid w:val="000816E6"/>
    <w:rsid w:val="00081B4B"/>
    <w:rsid w:val="00081C72"/>
    <w:rsid w:val="00082C21"/>
    <w:rsid w:val="0008336A"/>
    <w:rsid w:val="00084FDA"/>
    <w:rsid w:val="00085149"/>
    <w:rsid w:val="00085402"/>
    <w:rsid w:val="00086F5F"/>
    <w:rsid w:val="00087BB6"/>
    <w:rsid w:val="0009005A"/>
    <w:rsid w:val="00090365"/>
    <w:rsid w:val="000904B8"/>
    <w:rsid w:val="00090DAD"/>
    <w:rsid w:val="00091D5F"/>
    <w:rsid w:val="0009225C"/>
    <w:rsid w:val="000922F8"/>
    <w:rsid w:val="000924A7"/>
    <w:rsid w:val="00092C8A"/>
    <w:rsid w:val="00092F4A"/>
    <w:rsid w:val="00093274"/>
    <w:rsid w:val="000935F6"/>
    <w:rsid w:val="000942A9"/>
    <w:rsid w:val="0009453B"/>
    <w:rsid w:val="00095583"/>
    <w:rsid w:val="000974FF"/>
    <w:rsid w:val="00097BB5"/>
    <w:rsid w:val="000A003E"/>
    <w:rsid w:val="000A0434"/>
    <w:rsid w:val="000A04C3"/>
    <w:rsid w:val="000A0957"/>
    <w:rsid w:val="000A179E"/>
    <w:rsid w:val="000A17C4"/>
    <w:rsid w:val="000A3116"/>
    <w:rsid w:val="000A35FF"/>
    <w:rsid w:val="000A3C9C"/>
    <w:rsid w:val="000A60F3"/>
    <w:rsid w:val="000A65A1"/>
    <w:rsid w:val="000A71C1"/>
    <w:rsid w:val="000A7AA6"/>
    <w:rsid w:val="000B003D"/>
    <w:rsid w:val="000B1F20"/>
    <w:rsid w:val="000B2352"/>
    <w:rsid w:val="000B2577"/>
    <w:rsid w:val="000B2B3B"/>
    <w:rsid w:val="000B32A0"/>
    <w:rsid w:val="000B4DFF"/>
    <w:rsid w:val="000B5103"/>
    <w:rsid w:val="000B6039"/>
    <w:rsid w:val="000B7087"/>
    <w:rsid w:val="000B7707"/>
    <w:rsid w:val="000B7A13"/>
    <w:rsid w:val="000C02B0"/>
    <w:rsid w:val="000C1088"/>
    <w:rsid w:val="000C1212"/>
    <w:rsid w:val="000C1770"/>
    <w:rsid w:val="000C213E"/>
    <w:rsid w:val="000C21F7"/>
    <w:rsid w:val="000C21FA"/>
    <w:rsid w:val="000C23FB"/>
    <w:rsid w:val="000C294C"/>
    <w:rsid w:val="000C2B54"/>
    <w:rsid w:val="000C2C95"/>
    <w:rsid w:val="000C3045"/>
    <w:rsid w:val="000C3741"/>
    <w:rsid w:val="000C3A46"/>
    <w:rsid w:val="000C51C3"/>
    <w:rsid w:val="000C55F7"/>
    <w:rsid w:val="000C58E4"/>
    <w:rsid w:val="000C7675"/>
    <w:rsid w:val="000C7A42"/>
    <w:rsid w:val="000C7B84"/>
    <w:rsid w:val="000C7FF0"/>
    <w:rsid w:val="000D1212"/>
    <w:rsid w:val="000D12A0"/>
    <w:rsid w:val="000D1C85"/>
    <w:rsid w:val="000D1CE5"/>
    <w:rsid w:val="000D261B"/>
    <w:rsid w:val="000D2BB6"/>
    <w:rsid w:val="000D3C39"/>
    <w:rsid w:val="000D402B"/>
    <w:rsid w:val="000D4449"/>
    <w:rsid w:val="000D58A3"/>
    <w:rsid w:val="000D6DB9"/>
    <w:rsid w:val="000D719C"/>
    <w:rsid w:val="000D724D"/>
    <w:rsid w:val="000D748E"/>
    <w:rsid w:val="000D7C11"/>
    <w:rsid w:val="000E01F0"/>
    <w:rsid w:val="000E1046"/>
    <w:rsid w:val="000E2997"/>
    <w:rsid w:val="000E31C5"/>
    <w:rsid w:val="000E3222"/>
    <w:rsid w:val="000E35FC"/>
    <w:rsid w:val="000E3ED4"/>
    <w:rsid w:val="000E3F43"/>
    <w:rsid w:val="000E3F9C"/>
    <w:rsid w:val="000E5511"/>
    <w:rsid w:val="000E5B93"/>
    <w:rsid w:val="000E74B2"/>
    <w:rsid w:val="000F0804"/>
    <w:rsid w:val="000F1550"/>
    <w:rsid w:val="000F1576"/>
    <w:rsid w:val="000F1F19"/>
    <w:rsid w:val="000F40E9"/>
    <w:rsid w:val="000F468D"/>
    <w:rsid w:val="000F5056"/>
    <w:rsid w:val="000F6644"/>
    <w:rsid w:val="00100772"/>
    <w:rsid w:val="00100833"/>
    <w:rsid w:val="0010197B"/>
    <w:rsid w:val="001023F1"/>
    <w:rsid w:val="001029D8"/>
    <w:rsid w:val="00102A61"/>
    <w:rsid w:val="00102B42"/>
    <w:rsid w:val="00102C0D"/>
    <w:rsid w:val="00102F72"/>
    <w:rsid w:val="001030C2"/>
    <w:rsid w:val="00103FFD"/>
    <w:rsid w:val="0010471A"/>
    <w:rsid w:val="0010570B"/>
    <w:rsid w:val="00105D9A"/>
    <w:rsid w:val="00106205"/>
    <w:rsid w:val="0010654D"/>
    <w:rsid w:val="00107442"/>
    <w:rsid w:val="00107849"/>
    <w:rsid w:val="00110C34"/>
    <w:rsid w:val="00111719"/>
    <w:rsid w:val="001120E4"/>
    <w:rsid w:val="00113BD4"/>
    <w:rsid w:val="00113C67"/>
    <w:rsid w:val="00113EE8"/>
    <w:rsid w:val="0011455A"/>
    <w:rsid w:val="00114A65"/>
    <w:rsid w:val="001168F4"/>
    <w:rsid w:val="00117363"/>
    <w:rsid w:val="00117C80"/>
    <w:rsid w:val="001211D3"/>
    <w:rsid w:val="00122662"/>
    <w:rsid w:val="0012276B"/>
    <w:rsid w:val="00122A69"/>
    <w:rsid w:val="00123E17"/>
    <w:rsid w:val="001250DE"/>
    <w:rsid w:val="001259FE"/>
    <w:rsid w:val="001268E7"/>
    <w:rsid w:val="00126E56"/>
    <w:rsid w:val="00127F40"/>
    <w:rsid w:val="00130842"/>
    <w:rsid w:val="001308F6"/>
    <w:rsid w:val="00131124"/>
    <w:rsid w:val="00131F6A"/>
    <w:rsid w:val="00132D27"/>
    <w:rsid w:val="00132F4A"/>
    <w:rsid w:val="001332EE"/>
    <w:rsid w:val="00133E53"/>
    <w:rsid w:val="0013474E"/>
    <w:rsid w:val="00135193"/>
    <w:rsid w:val="00140AB6"/>
    <w:rsid w:val="00141699"/>
    <w:rsid w:val="001423A9"/>
    <w:rsid w:val="0014429E"/>
    <w:rsid w:val="001444AC"/>
    <w:rsid w:val="00145458"/>
    <w:rsid w:val="0014604A"/>
    <w:rsid w:val="00146DA8"/>
    <w:rsid w:val="00147000"/>
    <w:rsid w:val="00147030"/>
    <w:rsid w:val="001472D1"/>
    <w:rsid w:val="00147E4F"/>
    <w:rsid w:val="0015035B"/>
    <w:rsid w:val="001520B8"/>
    <w:rsid w:val="001524F9"/>
    <w:rsid w:val="0015257D"/>
    <w:rsid w:val="00152FC4"/>
    <w:rsid w:val="00154783"/>
    <w:rsid w:val="00154B9D"/>
    <w:rsid w:val="00155721"/>
    <w:rsid w:val="00155D2A"/>
    <w:rsid w:val="00155F0A"/>
    <w:rsid w:val="0016042D"/>
    <w:rsid w:val="00160522"/>
    <w:rsid w:val="00160E5F"/>
    <w:rsid w:val="001610A4"/>
    <w:rsid w:val="001620C4"/>
    <w:rsid w:val="00162299"/>
    <w:rsid w:val="001627F3"/>
    <w:rsid w:val="00163091"/>
    <w:rsid w:val="001642C0"/>
    <w:rsid w:val="001645CB"/>
    <w:rsid w:val="00166305"/>
    <w:rsid w:val="0016711E"/>
    <w:rsid w:val="00167924"/>
    <w:rsid w:val="001703C6"/>
    <w:rsid w:val="0017106E"/>
    <w:rsid w:val="00171436"/>
    <w:rsid w:val="0017324D"/>
    <w:rsid w:val="00173781"/>
    <w:rsid w:val="00173C32"/>
    <w:rsid w:val="00175260"/>
    <w:rsid w:val="00175BB7"/>
    <w:rsid w:val="00175CAE"/>
    <w:rsid w:val="001763FA"/>
    <w:rsid w:val="0018026B"/>
    <w:rsid w:val="001806D4"/>
    <w:rsid w:val="001813DC"/>
    <w:rsid w:val="00181D85"/>
    <w:rsid w:val="001825F2"/>
    <w:rsid w:val="001828DB"/>
    <w:rsid w:val="00183BFA"/>
    <w:rsid w:val="00184565"/>
    <w:rsid w:val="00184577"/>
    <w:rsid w:val="001850FE"/>
    <w:rsid w:val="00185135"/>
    <w:rsid w:val="00185181"/>
    <w:rsid w:val="00185D4C"/>
    <w:rsid w:val="0018717A"/>
    <w:rsid w:val="00187207"/>
    <w:rsid w:val="0018756F"/>
    <w:rsid w:val="00187666"/>
    <w:rsid w:val="00187753"/>
    <w:rsid w:val="0018790C"/>
    <w:rsid w:val="0019037C"/>
    <w:rsid w:val="001905A9"/>
    <w:rsid w:val="00190A5F"/>
    <w:rsid w:val="00191273"/>
    <w:rsid w:val="00191D09"/>
    <w:rsid w:val="0019225C"/>
    <w:rsid w:val="00192E71"/>
    <w:rsid w:val="00193AC3"/>
    <w:rsid w:val="001942A7"/>
    <w:rsid w:val="001946AF"/>
    <w:rsid w:val="0019562F"/>
    <w:rsid w:val="0019587B"/>
    <w:rsid w:val="001967AB"/>
    <w:rsid w:val="00196BAF"/>
    <w:rsid w:val="001976D4"/>
    <w:rsid w:val="001A0762"/>
    <w:rsid w:val="001A0A97"/>
    <w:rsid w:val="001A163D"/>
    <w:rsid w:val="001A3E68"/>
    <w:rsid w:val="001A441E"/>
    <w:rsid w:val="001A4D9E"/>
    <w:rsid w:val="001A52F0"/>
    <w:rsid w:val="001A6049"/>
    <w:rsid w:val="001A61BC"/>
    <w:rsid w:val="001A6565"/>
    <w:rsid w:val="001A6733"/>
    <w:rsid w:val="001A6799"/>
    <w:rsid w:val="001A7D82"/>
    <w:rsid w:val="001B12B7"/>
    <w:rsid w:val="001B2628"/>
    <w:rsid w:val="001B2978"/>
    <w:rsid w:val="001B357F"/>
    <w:rsid w:val="001B4072"/>
    <w:rsid w:val="001B4E2F"/>
    <w:rsid w:val="001B62E1"/>
    <w:rsid w:val="001B6EAE"/>
    <w:rsid w:val="001B78D9"/>
    <w:rsid w:val="001B7EED"/>
    <w:rsid w:val="001C1166"/>
    <w:rsid w:val="001C1B34"/>
    <w:rsid w:val="001C25EC"/>
    <w:rsid w:val="001C26D5"/>
    <w:rsid w:val="001C2A71"/>
    <w:rsid w:val="001C3555"/>
    <w:rsid w:val="001C3702"/>
    <w:rsid w:val="001C3EC9"/>
    <w:rsid w:val="001C4656"/>
    <w:rsid w:val="001C47CA"/>
    <w:rsid w:val="001C4A80"/>
    <w:rsid w:val="001C4BA2"/>
    <w:rsid w:val="001C4F20"/>
    <w:rsid w:val="001C5898"/>
    <w:rsid w:val="001C663D"/>
    <w:rsid w:val="001C7295"/>
    <w:rsid w:val="001D0504"/>
    <w:rsid w:val="001D2396"/>
    <w:rsid w:val="001D2A16"/>
    <w:rsid w:val="001D5A43"/>
    <w:rsid w:val="001D6CAE"/>
    <w:rsid w:val="001E1B08"/>
    <w:rsid w:val="001E346E"/>
    <w:rsid w:val="001E3539"/>
    <w:rsid w:val="001E37E6"/>
    <w:rsid w:val="001E39A2"/>
    <w:rsid w:val="001E4669"/>
    <w:rsid w:val="001E4B6A"/>
    <w:rsid w:val="001E4CDF"/>
    <w:rsid w:val="001E4E11"/>
    <w:rsid w:val="001E55A2"/>
    <w:rsid w:val="001E60C3"/>
    <w:rsid w:val="001E6CD1"/>
    <w:rsid w:val="001E7DDB"/>
    <w:rsid w:val="001F0862"/>
    <w:rsid w:val="001F23E6"/>
    <w:rsid w:val="001F4238"/>
    <w:rsid w:val="001F4EC7"/>
    <w:rsid w:val="001F50BA"/>
    <w:rsid w:val="001F554D"/>
    <w:rsid w:val="001F5F3C"/>
    <w:rsid w:val="001F63B5"/>
    <w:rsid w:val="00200A38"/>
    <w:rsid w:val="00200A46"/>
    <w:rsid w:val="002015DA"/>
    <w:rsid w:val="00201D84"/>
    <w:rsid w:val="00202A41"/>
    <w:rsid w:val="00202CB2"/>
    <w:rsid w:val="002037C2"/>
    <w:rsid w:val="00203B24"/>
    <w:rsid w:val="00204610"/>
    <w:rsid w:val="002049A4"/>
    <w:rsid w:val="00205FEA"/>
    <w:rsid w:val="00207419"/>
    <w:rsid w:val="00210726"/>
    <w:rsid w:val="00211651"/>
    <w:rsid w:val="00211B6F"/>
    <w:rsid w:val="00212F33"/>
    <w:rsid w:val="00212FC3"/>
    <w:rsid w:val="002139A3"/>
    <w:rsid w:val="00214190"/>
    <w:rsid w:val="002147B3"/>
    <w:rsid w:val="0021501F"/>
    <w:rsid w:val="00215C1B"/>
    <w:rsid w:val="00215D48"/>
    <w:rsid w:val="00215D6E"/>
    <w:rsid w:val="00216588"/>
    <w:rsid w:val="00217CC3"/>
    <w:rsid w:val="002201F7"/>
    <w:rsid w:val="00220AB6"/>
    <w:rsid w:val="0022120F"/>
    <w:rsid w:val="002228F8"/>
    <w:rsid w:val="00222E2D"/>
    <w:rsid w:val="00223D23"/>
    <w:rsid w:val="0022598E"/>
    <w:rsid w:val="00225C04"/>
    <w:rsid w:val="002267B1"/>
    <w:rsid w:val="0022754A"/>
    <w:rsid w:val="00230C7F"/>
    <w:rsid w:val="00231518"/>
    <w:rsid w:val="00232C5A"/>
    <w:rsid w:val="00233653"/>
    <w:rsid w:val="002344BF"/>
    <w:rsid w:val="00234706"/>
    <w:rsid w:val="00234D11"/>
    <w:rsid w:val="00235267"/>
    <w:rsid w:val="00236560"/>
    <w:rsid w:val="0023662E"/>
    <w:rsid w:val="00236EFC"/>
    <w:rsid w:val="002409B6"/>
    <w:rsid w:val="002409C7"/>
    <w:rsid w:val="00240AED"/>
    <w:rsid w:val="00242832"/>
    <w:rsid w:val="0024283B"/>
    <w:rsid w:val="00243162"/>
    <w:rsid w:val="002435BD"/>
    <w:rsid w:val="00243672"/>
    <w:rsid w:val="002446E4"/>
    <w:rsid w:val="00245D0F"/>
    <w:rsid w:val="00246475"/>
    <w:rsid w:val="00246750"/>
    <w:rsid w:val="00246E81"/>
    <w:rsid w:val="00246FED"/>
    <w:rsid w:val="002470EA"/>
    <w:rsid w:val="00247D36"/>
    <w:rsid w:val="00250B76"/>
    <w:rsid w:val="00251326"/>
    <w:rsid w:val="00252B7D"/>
    <w:rsid w:val="00253190"/>
    <w:rsid w:val="002548C3"/>
    <w:rsid w:val="0025497D"/>
    <w:rsid w:val="002553C3"/>
    <w:rsid w:val="00255ACF"/>
    <w:rsid w:val="00255C2F"/>
    <w:rsid w:val="00255DB3"/>
    <w:rsid w:val="00257487"/>
    <w:rsid w:val="00257ACD"/>
    <w:rsid w:val="00261848"/>
    <w:rsid w:val="00261FBD"/>
    <w:rsid w:val="00262476"/>
    <w:rsid w:val="00262908"/>
    <w:rsid w:val="00262D3B"/>
    <w:rsid w:val="00262FD1"/>
    <w:rsid w:val="00264946"/>
    <w:rsid w:val="00264B92"/>
    <w:rsid w:val="002650F4"/>
    <w:rsid w:val="00265618"/>
    <w:rsid w:val="002660E4"/>
    <w:rsid w:val="00266683"/>
    <w:rsid w:val="002669F2"/>
    <w:rsid w:val="00266A38"/>
    <w:rsid w:val="00267495"/>
    <w:rsid w:val="00267754"/>
    <w:rsid w:val="002700A0"/>
    <w:rsid w:val="002703A1"/>
    <w:rsid w:val="00270EE5"/>
    <w:rsid w:val="002715FD"/>
    <w:rsid w:val="0027192D"/>
    <w:rsid w:val="00271D26"/>
    <w:rsid w:val="00272B9A"/>
    <w:rsid w:val="00272CD7"/>
    <w:rsid w:val="00273393"/>
    <w:rsid w:val="0027374B"/>
    <w:rsid w:val="00273EBB"/>
    <w:rsid w:val="00273F97"/>
    <w:rsid w:val="00274097"/>
    <w:rsid w:val="00275B9A"/>
    <w:rsid w:val="002767E8"/>
    <w:rsid w:val="0027685D"/>
    <w:rsid w:val="00276B1F"/>
    <w:rsid w:val="0027737A"/>
    <w:rsid w:val="002807F6"/>
    <w:rsid w:val="00280BB8"/>
    <w:rsid w:val="00283154"/>
    <w:rsid w:val="002838B0"/>
    <w:rsid w:val="00284695"/>
    <w:rsid w:val="00284C7A"/>
    <w:rsid w:val="00284D02"/>
    <w:rsid w:val="002858C0"/>
    <w:rsid w:val="00285B33"/>
    <w:rsid w:val="00286552"/>
    <w:rsid w:val="0028661F"/>
    <w:rsid w:val="00286E26"/>
    <w:rsid w:val="00291606"/>
    <w:rsid w:val="002917D0"/>
    <w:rsid w:val="00291BC6"/>
    <w:rsid w:val="0029271C"/>
    <w:rsid w:val="00294F6E"/>
    <w:rsid w:val="002A076E"/>
    <w:rsid w:val="002A0ADC"/>
    <w:rsid w:val="002A0BB9"/>
    <w:rsid w:val="002A0D79"/>
    <w:rsid w:val="002A2023"/>
    <w:rsid w:val="002A3D04"/>
    <w:rsid w:val="002A45A1"/>
    <w:rsid w:val="002A4F0B"/>
    <w:rsid w:val="002A7668"/>
    <w:rsid w:val="002B1EDB"/>
    <w:rsid w:val="002B2326"/>
    <w:rsid w:val="002B34D8"/>
    <w:rsid w:val="002B5F49"/>
    <w:rsid w:val="002B628B"/>
    <w:rsid w:val="002B75B9"/>
    <w:rsid w:val="002C05DC"/>
    <w:rsid w:val="002C1EC7"/>
    <w:rsid w:val="002C281A"/>
    <w:rsid w:val="002C2A63"/>
    <w:rsid w:val="002C3653"/>
    <w:rsid w:val="002C3B2D"/>
    <w:rsid w:val="002C4EE3"/>
    <w:rsid w:val="002C5F80"/>
    <w:rsid w:val="002C7EA3"/>
    <w:rsid w:val="002D05AB"/>
    <w:rsid w:val="002D0CC4"/>
    <w:rsid w:val="002D20AE"/>
    <w:rsid w:val="002D2389"/>
    <w:rsid w:val="002D2460"/>
    <w:rsid w:val="002D2BBA"/>
    <w:rsid w:val="002D3988"/>
    <w:rsid w:val="002D4E8E"/>
    <w:rsid w:val="002D6C61"/>
    <w:rsid w:val="002D7557"/>
    <w:rsid w:val="002D7DB1"/>
    <w:rsid w:val="002D7FBF"/>
    <w:rsid w:val="002E0005"/>
    <w:rsid w:val="002E2104"/>
    <w:rsid w:val="002E22B6"/>
    <w:rsid w:val="002E3A7C"/>
    <w:rsid w:val="002E6963"/>
    <w:rsid w:val="002E6DBD"/>
    <w:rsid w:val="002E7BA2"/>
    <w:rsid w:val="002E7CE1"/>
    <w:rsid w:val="002F05D8"/>
    <w:rsid w:val="002F073C"/>
    <w:rsid w:val="002F0A2F"/>
    <w:rsid w:val="002F12EE"/>
    <w:rsid w:val="002F1383"/>
    <w:rsid w:val="002F18CE"/>
    <w:rsid w:val="002F2DE0"/>
    <w:rsid w:val="002F3887"/>
    <w:rsid w:val="002F3BF2"/>
    <w:rsid w:val="002F4A33"/>
    <w:rsid w:val="002F51C6"/>
    <w:rsid w:val="002F5E25"/>
    <w:rsid w:val="002F5F3F"/>
    <w:rsid w:val="002F7170"/>
    <w:rsid w:val="0030071A"/>
    <w:rsid w:val="00301DFE"/>
    <w:rsid w:val="0030254B"/>
    <w:rsid w:val="00305316"/>
    <w:rsid w:val="003059B5"/>
    <w:rsid w:val="00306F1E"/>
    <w:rsid w:val="003108C1"/>
    <w:rsid w:val="00310E51"/>
    <w:rsid w:val="003120C7"/>
    <w:rsid w:val="0031234A"/>
    <w:rsid w:val="003125C3"/>
    <w:rsid w:val="00312867"/>
    <w:rsid w:val="00312AE6"/>
    <w:rsid w:val="00312DD9"/>
    <w:rsid w:val="003132F4"/>
    <w:rsid w:val="00313A14"/>
    <w:rsid w:val="00313B19"/>
    <w:rsid w:val="00316F34"/>
    <w:rsid w:val="00317238"/>
    <w:rsid w:val="00317267"/>
    <w:rsid w:val="00317D1A"/>
    <w:rsid w:val="003211FF"/>
    <w:rsid w:val="0032197B"/>
    <w:rsid w:val="00322973"/>
    <w:rsid w:val="003238A1"/>
    <w:rsid w:val="0032434D"/>
    <w:rsid w:val="00326B56"/>
    <w:rsid w:val="0032701B"/>
    <w:rsid w:val="00327247"/>
    <w:rsid w:val="0032767B"/>
    <w:rsid w:val="0032797D"/>
    <w:rsid w:val="00327A9D"/>
    <w:rsid w:val="00327F84"/>
    <w:rsid w:val="00330C16"/>
    <w:rsid w:val="0033130E"/>
    <w:rsid w:val="00331730"/>
    <w:rsid w:val="00332779"/>
    <w:rsid w:val="00332F02"/>
    <w:rsid w:val="00334139"/>
    <w:rsid w:val="00334149"/>
    <w:rsid w:val="0033492F"/>
    <w:rsid w:val="00335803"/>
    <w:rsid w:val="00336022"/>
    <w:rsid w:val="003372B7"/>
    <w:rsid w:val="00337697"/>
    <w:rsid w:val="00340DDC"/>
    <w:rsid w:val="00340F91"/>
    <w:rsid w:val="0034187A"/>
    <w:rsid w:val="00341A7E"/>
    <w:rsid w:val="00341E23"/>
    <w:rsid w:val="00342472"/>
    <w:rsid w:val="00342FF0"/>
    <w:rsid w:val="00343B0B"/>
    <w:rsid w:val="00345144"/>
    <w:rsid w:val="00345C34"/>
    <w:rsid w:val="00346E85"/>
    <w:rsid w:val="003479CB"/>
    <w:rsid w:val="0035073C"/>
    <w:rsid w:val="00354892"/>
    <w:rsid w:val="003555E8"/>
    <w:rsid w:val="00356E1F"/>
    <w:rsid w:val="00357329"/>
    <w:rsid w:val="00357BF4"/>
    <w:rsid w:val="003602DC"/>
    <w:rsid w:val="00360B73"/>
    <w:rsid w:val="00361A47"/>
    <w:rsid w:val="003620C5"/>
    <w:rsid w:val="00362D3C"/>
    <w:rsid w:val="00363453"/>
    <w:rsid w:val="00363CCE"/>
    <w:rsid w:val="00364264"/>
    <w:rsid w:val="00364DB3"/>
    <w:rsid w:val="003664E6"/>
    <w:rsid w:val="003672C7"/>
    <w:rsid w:val="0037006C"/>
    <w:rsid w:val="00371DC1"/>
    <w:rsid w:val="00372536"/>
    <w:rsid w:val="003730E6"/>
    <w:rsid w:val="00373A90"/>
    <w:rsid w:val="00373DF6"/>
    <w:rsid w:val="00375475"/>
    <w:rsid w:val="0037578C"/>
    <w:rsid w:val="00376035"/>
    <w:rsid w:val="00376400"/>
    <w:rsid w:val="00376C81"/>
    <w:rsid w:val="00376DB7"/>
    <w:rsid w:val="003807B2"/>
    <w:rsid w:val="0038088D"/>
    <w:rsid w:val="00381EED"/>
    <w:rsid w:val="0038240D"/>
    <w:rsid w:val="0038365A"/>
    <w:rsid w:val="00383BA5"/>
    <w:rsid w:val="00384A44"/>
    <w:rsid w:val="0038551C"/>
    <w:rsid w:val="00385CA7"/>
    <w:rsid w:val="00385CB6"/>
    <w:rsid w:val="00386A89"/>
    <w:rsid w:val="00392279"/>
    <w:rsid w:val="00392AC3"/>
    <w:rsid w:val="003943CE"/>
    <w:rsid w:val="00394629"/>
    <w:rsid w:val="00394F42"/>
    <w:rsid w:val="003954DE"/>
    <w:rsid w:val="0039648E"/>
    <w:rsid w:val="0039717C"/>
    <w:rsid w:val="003A00A7"/>
    <w:rsid w:val="003A0B50"/>
    <w:rsid w:val="003A0B8B"/>
    <w:rsid w:val="003A0F99"/>
    <w:rsid w:val="003A2788"/>
    <w:rsid w:val="003A3054"/>
    <w:rsid w:val="003A39E3"/>
    <w:rsid w:val="003A4743"/>
    <w:rsid w:val="003A49CD"/>
    <w:rsid w:val="003A49EF"/>
    <w:rsid w:val="003A4F34"/>
    <w:rsid w:val="003A5175"/>
    <w:rsid w:val="003A5AFE"/>
    <w:rsid w:val="003A5C76"/>
    <w:rsid w:val="003A5D5F"/>
    <w:rsid w:val="003A65DB"/>
    <w:rsid w:val="003A6AF5"/>
    <w:rsid w:val="003A773F"/>
    <w:rsid w:val="003A7BD5"/>
    <w:rsid w:val="003A7C3F"/>
    <w:rsid w:val="003A7FFE"/>
    <w:rsid w:val="003B0184"/>
    <w:rsid w:val="003B0A63"/>
    <w:rsid w:val="003B0E53"/>
    <w:rsid w:val="003B1208"/>
    <w:rsid w:val="003B1B58"/>
    <w:rsid w:val="003B22B1"/>
    <w:rsid w:val="003B3106"/>
    <w:rsid w:val="003B314C"/>
    <w:rsid w:val="003B3320"/>
    <w:rsid w:val="003B4276"/>
    <w:rsid w:val="003B50E1"/>
    <w:rsid w:val="003B5D96"/>
    <w:rsid w:val="003B6115"/>
    <w:rsid w:val="003B78A0"/>
    <w:rsid w:val="003C05BC"/>
    <w:rsid w:val="003C067B"/>
    <w:rsid w:val="003C1746"/>
    <w:rsid w:val="003C20F7"/>
    <w:rsid w:val="003C2B4C"/>
    <w:rsid w:val="003C2B8B"/>
    <w:rsid w:val="003C32E6"/>
    <w:rsid w:val="003C3516"/>
    <w:rsid w:val="003C3CB1"/>
    <w:rsid w:val="003C4B70"/>
    <w:rsid w:val="003C56CD"/>
    <w:rsid w:val="003C58BF"/>
    <w:rsid w:val="003C5B0F"/>
    <w:rsid w:val="003C6729"/>
    <w:rsid w:val="003C7CB2"/>
    <w:rsid w:val="003D107C"/>
    <w:rsid w:val="003D228F"/>
    <w:rsid w:val="003D23DC"/>
    <w:rsid w:val="003D2463"/>
    <w:rsid w:val="003D2545"/>
    <w:rsid w:val="003D3670"/>
    <w:rsid w:val="003D451D"/>
    <w:rsid w:val="003D525A"/>
    <w:rsid w:val="003D5B63"/>
    <w:rsid w:val="003D657B"/>
    <w:rsid w:val="003D6E6A"/>
    <w:rsid w:val="003E3F27"/>
    <w:rsid w:val="003E5E1E"/>
    <w:rsid w:val="003E73B3"/>
    <w:rsid w:val="003E7E8F"/>
    <w:rsid w:val="003F0C45"/>
    <w:rsid w:val="003F0EB2"/>
    <w:rsid w:val="003F21C8"/>
    <w:rsid w:val="003F2DD8"/>
    <w:rsid w:val="003F4029"/>
    <w:rsid w:val="003F4BE5"/>
    <w:rsid w:val="003F50B2"/>
    <w:rsid w:val="003F53C8"/>
    <w:rsid w:val="003F5F8C"/>
    <w:rsid w:val="003F66E2"/>
    <w:rsid w:val="003F693F"/>
    <w:rsid w:val="0040021B"/>
    <w:rsid w:val="004009CD"/>
    <w:rsid w:val="00401BFF"/>
    <w:rsid w:val="00401EBC"/>
    <w:rsid w:val="0040425D"/>
    <w:rsid w:val="00404424"/>
    <w:rsid w:val="00404DC3"/>
    <w:rsid w:val="00405DF7"/>
    <w:rsid w:val="004066C1"/>
    <w:rsid w:val="00406707"/>
    <w:rsid w:val="004067BB"/>
    <w:rsid w:val="00406917"/>
    <w:rsid w:val="00406ED1"/>
    <w:rsid w:val="00406FE1"/>
    <w:rsid w:val="00407817"/>
    <w:rsid w:val="00407F48"/>
    <w:rsid w:val="00410109"/>
    <w:rsid w:val="00410675"/>
    <w:rsid w:val="0041101C"/>
    <w:rsid w:val="004113DB"/>
    <w:rsid w:val="004122C5"/>
    <w:rsid w:val="00412806"/>
    <w:rsid w:val="00412EA6"/>
    <w:rsid w:val="004132D9"/>
    <w:rsid w:val="0041358B"/>
    <w:rsid w:val="00413B78"/>
    <w:rsid w:val="0041519F"/>
    <w:rsid w:val="004152CD"/>
    <w:rsid w:val="0041559A"/>
    <w:rsid w:val="00415B3F"/>
    <w:rsid w:val="00416731"/>
    <w:rsid w:val="00416DDE"/>
    <w:rsid w:val="004179A0"/>
    <w:rsid w:val="00417A41"/>
    <w:rsid w:val="00417D98"/>
    <w:rsid w:val="00421C10"/>
    <w:rsid w:val="00421D59"/>
    <w:rsid w:val="00424AD5"/>
    <w:rsid w:val="00425236"/>
    <w:rsid w:val="00426CD1"/>
    <w:rsid w:val="0042704D"/>
    <w:rsid w:val="00427700"/>
    <w:rsid w:val="004278B4"/>
    <w:rsid w:val="00427E1E"/>
    <w:rsid w:val="0043004C"/>
    <w:rsid w:val="0043006A"/>
    <w:rsid w:val="00431C0C"/>
    <w:rsid w:val="00431CAC"/>
    <w:rsid w:val="0043212C"/>
    <w:rsid w:val="004327EC"/>
    <w:rsid w:val="004347AB"/>
    <w:rsid w:val="004404D1"/>
    <w:rsid w:val="0044087B"/>
    <w:rsid w:val="004417E0"/>
    <w:rsid w:val="004432CA"/>
    <w:rsid w:val="0044411E"/>
    <w:rsid w:val="00444635"/>
    <w:rsid w:val="004449A8"/>
    <w:rsid w:val="00446B71"/>
    <w:rsid w:val="004472F5"/>
    <w:rsid w:val="00450045"/>
    <w:rsid w:val="004500A3"/>
    <w:rsid w:val="0045042C"/>
    <w:rsid w:val="00450824"/>
    <w:rsid w:val="00450A89"/>
    <w:rsid w:val="00450B16"/>
    <w:rsid w:val="0045210D"/>
    <w:rsid w:val="00453435"/>
    <w:rsid w:val="00453742"/>
    <w:rsid w:val="00455F20"/>
    <w:rsid w:val="00456C96"/>
    <w:rsid w:val="00456D7C"/>
    <w:rsid w:val="00462910"/>
    <w:rsid w:val="00463248"/>
    <w:rsid w:val="00463481"/>
    <w:rsid w:val="004656E5"/>
    <w:rsid w:val="00466398"/>
    <w:rsid w:val="004667C5"/>
    <w:rsid w:val="004704FE"/>
    <w:rsid w:val="00470B38"/>
    <w:rsid w:val="00470BF7"/>
    <w:rsid w:val="00470C16"/>
    <w:rsid w:val="00470D5F"/>
    <w:rsid w:val="004718BF"/>
    <w:rsid w:val="00471F27"/>
    <w:rsid w:val="0047438C"/>
    <w:rsid w:val="00474B06"/>
    <w:rsid w:val="00475CDA"/>
    <w:rsid w:val="0047630D"/>
    <w:rsid w:val="00476403"/>
    <w:rsid w:val="004767F6"/>
    <w:rsid w:val="00480730"/>
    <w:rsid w:val="00480B7A"/>
    <w:rsid w:val="004834F2"/>
    <w:rsid w:val="00484508"/>
    <w:rsid w:val="00484D87"/>
    <w:rsid w:val="00485A1E"/>
    <w:rsid w:val="0048775D"/>
    <w:rsid w:val="0049001C"/>
    <w:rsid w:val="0049069C"/>
    <w:rsid w:val="0049128B"/>
    <w:rsid w:val="0049239E"/>
    <w:rsid w:val="00492EFE"/>
    <w:rsid w:val="00493640"/>
    <w:rsid w:val="004939D2"/>
    <w:rsid w:val="00493B49"/>
    <w:rsid w:val="00494805"/>
    <w:rsid w:val="00495501"/>
    <w:rsid w:val="00495F27"/>
    <w:rsid w:val="0049623A"/>
    <w:rsid w:val="00497E0B"/>
    <w:rsid w:val="004A03AE"/>
    <w:rsid w:val="004A070A"/>
    <w:rsid w:val="004A320E"/>
    <w:rsid w:val="004A3F66"/>
    <w:rsid w:val="004A44CB"/>
    <w:rsid w:val="004A4E9C"/>
    <w:rsid w:val="004A5264"/>
    <w:rsid w:val="004A568D"/>
    <w:rsid w:val="004A6036"/>
    <w:rsid w:val="004A7352"/>
    <w:rsid w:val="004A7B37"/>
    <w:rsid w:val="004B1037"/>
    <w:rsid w:val="004B1381"/>
    <w:rsid w:val="004B1A3C"/>
    <w:rsid w:val="004B265C"/>
    <w:rsid w:val="004B2B32"/>
    <w:rsid w:val="004B35BE"/>
    <w:rsid w:val="004B3BE9"/>
    <w:rsid w:val="004B44F4"/>
    <w:rsid w:val="004B51C4"/>
    <w:rsid w:val="004B620A"/>
    <w:rsid w:val="004C00C9"/>
    <w:rsid w:val="004C0414"/>
    <w:rsid w:val="004C1891"/>
    <w:rsid w:val="004C293C"/>
    <w:rsid w:val="004C2959"/>
    <w:rsid w:val="004C2993"/>
    <w:rsid w:val="004C3763"/>
    <w:rsid w:val="004C3986"/>
    <w:rsid w:val="004C3AAB"/>
    <w:rsid w:val="004C3D78"/>
    <w:rsid w:val="004C4C36"/>
    <w:rsid w:val="004C62FC"/>
    <w:rsid w:val="004C6666"/>
    <w:rsid w:val="004C7671"/>
    <w:rsid w:val="004C77DC"/>
    <w:rsid w:val="004C7F9D"/>
    <w:rsid w:val="004D12C4"/>
    <w:rsid w:val="004D1435"/>
    <w:rsid w:val="004D21F3"/>
    <w:rsid w:val="004D24CD"/>
    <w:rsid w:val="004D2CC3"/>
    <w:rsid w:val="004D35CB"/>
    <w:rsid w:val="004D4C67"/>
    <w:rsid w:val="004D7149"/>
    <w:rsid w:val="004D73D3"/>
    <w:rsid w:val="004E07C6"/>
    <w:rsid w:val="004E1CE3"/>
    <w:rsid w:val="004E20E5"/>
    <w:rsid w:val="004E288A"/>
    <w:rsid w:val="004E3A1E"/>
    <w:rsid w:val="004E44B7"/>
    <w:rsid w:val="004E51E8"/>
    <w:rsid w:val="004E5A02"/>
    <w:rsid w:val="004E5DCE"/>
    <w:rsid w:val="004E64EA"/>
    <w:rsid w:val="004E70D5"/>
    <w:rsid w:val="004E7828"/>
    <w:rsid w:val="004E7CAE"/>
    <w:rsid w:val="004E7D1F"/>
    <w:rsid w:val="004F0DF5"/>
    <w:rsid w:val="004F128A"/>
    <w:rsid w:val="004F12DA"/>
    <w:rsid w:val="004F1A2F"/>
    <w:rsid w:val="004F261B"/>
    <w:rsid w:val="004F3BC6"/>
    <w:rsid w:val="004F45A4"/>
    <w:rsid w:val="004F46AA"/>
    <w:rsid w:val="004F6A70"/>
    <w:rsid w:val="004F6D27"/>
    <w:rsid w:val="004F6DB8"/>
    <w:rsid w:val="004F797F"/>
    <w:rsid w:val="004F7DAA"/>
    <w:rsid w:val="004F7F16"/>
    <w:rsid w:val="004F7F78"/>
    <w:rsid w:val="005002CB"/>
    <w:rsid w:val="00500B9E"/>
    <w:rsid w:val="00500EC1"/>
    <w:rsid w:val="00501301"/>
    <w:rsid w:val="005029D5"/>
    <w:rsid w:val="00502ABF"/>
    <w:rsid w:val="00502E76"/>
    <w:rsid w:val="005031E4"/>
    <w:rsid w:val="00503BC2"/>
    <w:rsid w:val="00503ED9"/>
    <w:rsid w:val="00504480"/>
    <w:rsid w:val="00504DB0"/>
    <w:rsid w:val="00504EFA"/>
    <w:rsid w:val="005055ED"/>
    <w:rsid w:val="00506248"/>
    <w:rsid w:val="0050728E"/>
    <w:rsid w:val="0051033E"/>
    <w:rsid w:val="00510C65"/>
    <w:rsid w:val="00512AAF"/>
    <w:rsid w:val="00512BDD"/>
    <w:rsid w:val="00512C00"/>
    <w:rsid w:val="00513466"/>
    <w:rsid w:val="005146A6"/>
    <w:rsid w:val="00514D3B"/>
    <w:rsid w:val="00514D6E"/>
    <w:rsid w:val="0051618F"/>
    <w:rsid w:val="005174EE"/>
    <w:rsid w:val="00517AD5"/>
    <w:rsid w:val="00517AF8"/>
    <w:rsid w:val="005208B3"/>
    <w:rsid w:val="00520C82"/>
    <w:rsid w:val="0052291A"/>
    <w:rsid w:val="005238CB"/>
    <w:rsid w:val="00523D0B"/>
    <w:rsid w:val="00523DA6"/>
    <w:rsid w:val="005249D6"/>
    <w:rsid w:val="00524E12"/>
    <w:rsid w:val="0052559A"/>
    <w:rsid w:val="00525730"/>
    <w:rsid w:val="005261AB"/>
    <w:rsid w:val="00526680"/>
    <w:rsid w:val="00532F77"/>
    <w:rsid w:val="005338D8"/>
    <w:rsid w:val="00534227"/>
    <w:rsid w:val="005350F9"/>
    <w:rsid w:val="00535646"/>
    <w:rsid w:val="0053653F"/>
    <w:rsid w:val="00537C3D"/>
    <w:rsid w:val="00540AD4"/>
    <w:rsid w:val="00540CA2"/>
    <w:rsid w:val="005413B7"/>
    <w:rsid w:val="0054165B"/>
    <w:rsid w:val="00541A70"/>
    <w:rsid w:val="00542728"/>
    <w:rsid w:val="005441C8"/>
    <w:rsid w:val="0054420E"/>
    <w:rsid w:val="0054496F"/>
    <w:rsid w:val="00544D1B"/>
    <w:rsid w:val="00544E8B"/>
    <w:rsid w:val="005452E9"/>
    <w:rsid w:val="00545A70"/>
    <w:rsid w:val="00545DC0"/>
    <w:rsid w:val="00545F6C"/>
    <w:rsid w:val="00546ED6"/>
    <w:rsid w:val="005476C4"/>
    <w:rsid w:val="00547809"/>
    <w:rsid w:val="00547FCE"/>
    <w:rsid w:val="005509E2"/>
    <w:rsid w:val="005512E7"/>
    <w:rsid w:val="00552E71"/>
    <w:rsid w:val="00555DD4"/>
    <w:rsid w:val="00556DEF"/>
    <w:rsid w:val="0055720C"/>
    <w:rsid w:val="0055754D"/>
    <w:rsid w:val="005579EE"/>
    <w:rsid w:val="00557ED8"/>
    <w:rsid w:val="005627C6"/>
    <w:rsid w:val="00562BAC"/>
    <w:rsid w:val="005638CC"/>
    <w:rsid w:val="005638D4"/>
    <w:rsid w:val="0056423B"/>
    <w:rsid w:val="00565EA8"/>
    <w:rsid w:val="0056669F"/>
    <w:rsid w:val="005676E4"/>
    <w:rsid w:val="00567C53"/>
    <w:rsid w:val="00571A4B"/>
    <w:rsid w:val="00572562"/>
    <w:rsid w:val="00572A0E"/>
    <w:rsid w:val="00572DE1"/>
    <w:rsid w:val="005731DC"/>
    <w:rsid w:val="00573424"/>
    <w:rsid w:val="0057344D"/>
    <w:rsid w:val="00573C99"/>
    <w:rsid w:val="0057402F"/>
    <w:rsid w:val="00574A85"/>
    <w:rsid w:val="0057724A"/>
    <w:rsid w:val="005772E9"/>
    <w:rsid w:val="00577CD6"/>
    <w:rsid w:val="00580C3D"/>
    <w:rsid w:val="00580D61"/>
    <w:rsid w:val="00580EA5"/>
    <w:rsid w:val="00582A1C"/>
    <w:rsid w:val="00584274"/>
    <w:rsid w:val="00584610"/>
    <w:rsid w:val="005849D6"/>
    <w:rsid w:val="00585367"/>
    <w:rsid w:val="0058702D"/>
    <w:rsid w:val="0058737E"/>
    <w:rsid w:val="0059108A"/>
    <w:rsid w:val="00591695"/>
    <w:rsid w:val="00592518"/>
    <w:rsid w:val="00592E0D"/>
    <w:rsid w:val="00592E87"/>
    <w:rsid w:val="00593839"/>
    <w:rsid w:val="00594BE8"/>
    <w:rsid w:val="00594C4D"/>
    <w:rsid w:val="0059525F"/>
    <w:rsid w:val="0059553C"/>
    <w:rsid w:val="005958BB"/>
    <w:rsid w:val="00595FCA"/>
    <w:rsid w:val="005A0E6E"/>
    <w:rsid w:val="005A247F"/>
    <w:rsid w:val="005A33B0"/>
    <w:rsid w:val="005A4481"/>
    <w:rsid w:val="005A5F61"/>
    <w:rsid w:val="005A6C91"/>
    <w:rsid w:val="005B030D"/>
    <w:rsid w:val="005B04A6"/>
    <w:rsid w:val="005B0726"/>
    <w:rsid w:val="005B1EC8"/>
    <w:rsid w:val="005B1FE4"/>
    <w:rsid w:val="005B2127"/>
    <w:rsid w:val="005B25E0"/>
    <w:rsid w:val="005B2898"/>
    <w:rsid w:val="005B2FB6"/>
    <w:rsid w:val="005B5BEE"/>
    <w:rsid w:val="005B6076"/>
    <w:rsid w:val="005B650E"/>
    <w:rsid w:val="005B7A86"/>
    <w:rsid w:val="005C14BB"/>
    <w:rsid w:val="005C1B52"/>
    <w:rsid w:val="005C274F"/>
    <w:rsid w:val="005C29BF"/>
    <w:rsid w:val="005C2DC2"/>
    <w:rsid w:val="005C304A"/>
    <w:rsid w:val="005C3395"/>
    <w:rsid w:val="005C7C98"/>
    <w:rsid w:val="005D01F1"/>
    <w:rsid w:val="005D0E56"/>
    <w:rsid w:val="005D1C44"/>
    <w:rsid w:val="005D23C8"/>
    <w:rsid w:val="005D32BA"/>
    <w:rsid w:val="005D3B24"/>
    <w:rsid w:val="005D5214"/>
    <w:rsid w:val="005D55B2"/>
    <w:rsid w:val="005D57C8"/>
    <w:rsid w:val="005D5EB8"/>
    <w:rsid w:val="005D6131"/>
    <w:rsid w:val="005D74E0"/>
    <w:rsid w:val="005D7761"/>
    <w:rsid w:val="005E0196"/>
    <w:rsid w:val="005E0237"/>
    <w:rsid w:val="005E0278"/>
    <w:rsid w:val="005E1364"/>
    <w:rsid w:val="005E1B05"/>
    <w:rsid w:val="005E1BEC"/>
    <w:rsid w:val="005E225E"/>
    <w:rsid w:val="005E246C"/>
    <w:rsid w:val="005E3680"/>
    <w:rsid w:val="005E3A09"/>
    <w:rsid w:val="005E3CA0"/>
    <w:rsid w:val="005E44B1"/>
    <w:rsid w:val="005E524C"/>
    <w:rsid w:val="005E5A6C"/>
    <w:rsid w:val="005E5B7E"/>
    <w:rsid w:val="005E5C5C"/>
    <w:rsid w:val="005E5EC5"/>
    <w:rsid w:val="005E6274"/>
    <w:rsid w:val="005E652C"/>
    <w:rsid w:val="005E67B0"/>
    <w:rsid w:val="005E7047"/>
    <w:rsid w:val="005E73C1"/>
    <w:rsid w:val="005E777F"/>
    <w:rsid w:val="005F1336"/>
    <w:rsid w:val="005F13D6"/>
    <w:rsid w:val="005F1B1D"/>
    <w:rsid w:val="005F1C33"/>
    <w:rsid w:val="005F1CA7"/>
    <w:rsid w:val="005F43DD"/>
    <w:rsid w:val="005F4698"/>
    <w:rsid w:val="005F4A8A"/>
    <w:rsid w:val="005F51A9"/>
    <w:rsid w:val="005F5334"/>
    <w:rsid w:val="005F5409"/>
    <w:rsid w:val="005F6B58"/>
    <w:rsid w:val="005F6CAD"/>
    <w:rsid w:val="005F7416"/>
    <w:rsid w:val="005F750B"/>
    <w:rsid w:val="00600C11"/>
    <w:rsid w:val="006012E5"/>
    <w:rsid w:val="00601501"/>
    <w:rsid w:val="00602074"/>
    <w:rsid w:val="006023F7"/>
    <w:rsid w:val="00603B44"/>
    <w:rsid w:val="00604A57"/>
    <w:rsid w:val="00604DCD"/>
    <w:rsid w:val="00605073"/>
    <w:rsid w:val="00606AD6"/>
    <w:rsid w:val="00606B89"/>
    <w:rsid w:val="006074DF"/>
    <w:rsid w:val="0061054A"/>
    <w:rsid w:val="0061487B"/>
    <w:rsid w:val="00614D14"/>
    <w:rsid w:val="0061570F"/>
    <w:rsid w:val="00616007"/>
    <w:rsid w:val="00616731"/>
    <w:rsid w:val="0061745F"/>
    <w:rsid w:val="0061748B"/>
    <w:rsid w:val="006179CC"/>
    <w:rsid w:val="00620353"/>
    <w:rsid w:val="006218E8"/>
    <w:rsid w:val="00623436"/>
    <w:rsid w:val="0062448B"/>
    <w:rsid w:val="00625FB8"/>
    <w:rsid w:val="006261BD"/>
    <w:rsid w:val="00626C15"/>
    <w:rsid w:val="006308A8"/>
    <w:rsid w:val="006308DB"/>
    <w:rsid w:val="006327E2"/>
    <w:rsid w:val="00635018"/>
    <w:rsid w:val="006354AD"/>
    <w:rsid w:val="00636696"/>
    <w:rsid w:val="006369AC"/>
    <w:rsid w:val="00636CEB"/>
    <w:rsid w:val="0064071E"/>
    <w:rsid w:val="00640AE2"/>
    <w:rsid w:val="006411B3"/>
    <w:rsid w:val="00641C0C"/>
    <w:rsid w:val="006426F3"/>
    <w:rsid w:val="006431CF"/>
    <w:rsid w:val="006437B3"/>
    <w:rsid w:val="006437EF"/>
    <w:rsid w:val="00643D5D"/>
    <w:rsid w:val="00643F94"/>
    <w:rsid w:val="00644913"/>
    <w:rsid w:val="00644BFA"/>
    <w:rsid w:val="00645BBD"/>
    <w:rsid w:val="00645CC9"/>
    <w:rsid w:val="00645F5F"/>
    <w:rsid w:val="0064734E"/>
    <w:rsid w:val="00650137"/>
    <w:rsid w:val="006509D7"/>
    <w:rsid w:val="00650A37"/>
    <w:rsid w:val="00651528"/>
    <w:rsid w:val="00651618"/>
    <w:rsid w:val="00651CE8"/>
    <w:rsid w:val="006521EA"/>
    <w:rsid w:val="00652537"/>
    <w:rsid w:val="00652840"/>
    <w:rsid w:val="00652B11"/>
    <w:rsid w:val="00652DA3"/>
    <w:rsid w:val="006531FA"/>
    <w:rsid w:val="00653F58"/>
    <w:rsid w:val="00654054"/>
    <w:rsid w:val="00655154"/>
    <w:rsid w:val="0065521B"/>
    <w:rsid w:val="006559EE"/>
    <w:rsid w:val="0065707E"/>
    <w:rsid w:val="00657E3A"/>
    <w:rsid w:val="006604D3"/>
    <w:rsid w:val="00660871"/>
    <w:rsid w:val="00660EA8"/>
    <w:rsid w:val="006614B3"/>
    <w:rsid w:val="00661D5C"/>
    <w:rsid w:val="006620C5"/>
    <w:rsid w:val="006647CC"/>
    <w:rsid w:val="00664A1B"/>
    <w:rsid w:val="00665736"/>
    <w:rsid w:val="00665E81"/>
    <w:rsid w:val="00667901"/>
    <w:rsid w:val="006715C0"/>
    <w:rsid w:val="00671A1E"/>
    <w:rsid w:val="00671EF6"/>
    <w:rsid w:val="0067205B"/>
    <w:rsid w:val="006748F8"/>
    <w:rsid w:val="0067660B"/>
    <w:rsid w:val="00680489"/>
    <w:rsid w:val="00680B6D"/>
    <w:rsid w:val="006810EE"/>
    <w:rsid w:val="006815BD"/>
    <w:rsid w:val="0068180C"/>
    <w:rsid w:val="00682C6B"/>
    <w:rsid w:val="00685360"/>
    <w:rsid w:val="006853DA"/>
    <w:rsid w:val="006853FA"/>
    <w:rsid w:val="006854D4"/>
    <w:rsid w:val="00685AD9"/>
    <w:rsid w:val="00686E20"/>
    <w:rsid w:val="00690572"/>
    <w:rsid w:val="00690BB2"/>
    <w:rsid w:val="00691026"/>
    <w:rsid w:val="00692746"/>
    <w:rsid w:val="0069326E"/>
    <w:rsid w:val="0069385F"/>
    <w:rsid w:val="00693BE1"/>
    <w:rsid w:val="006946F8"/>
    <w:rsid w:val="006948B1"/>
    <w:rsid w:val="00694BDB"/>
    <w:rsid w:val="00695133"/>
    <w:rsid w:val="00695C03"/>
    <w:rsid w:val="006961CE"/>
    <w:rsid w:val="00696A78"/>
    <w:rsid w:val="00696EE9"/>
    <w:rsid w:val="006A01B4"/>
    <w:rsid w:val="006A0D65"/>
    <w:rsid w:val="006A12E3"/>
    <w:rsid w:val="006A1F65"/>
    <w:rsid w:val="006A306D"/>
    <w:rsid w:val="006A42CD"/>
    <w:rsid w:val="006A4879"/>
    <w:rsid w:val="006A4CA9"/>
    <w:rsid w:val="006A6A5C"/>
    <w:rsid w:val="006A70D7"/>
    <w:rsid w:val="006A7548"/>
    <w:rsid w:val="006A7710"/>
    <w:rsid w:val="006A7A61"/>
    <w:rsid w:val="006B1E59"/>
    <w:rsid w:val="006B23AE"/>
    <w:rsid w:val="006B2FFB"/>
    <w:rsid w:val="006B4003"/>
    <w:rsid w:val="006B5A75"/>
    <w:rsid w:val="006B6D06"/>
    <w:rsid w:val="006B757F"/>
    <w:rsid w:val="006B7756"/>
    <w:rsid w:val="006B78B6"/>
    <w:rsid w:val="006B7F95"/>
    <w:rsid w:val="006C04AC"/>
    <w:rsid w:val="006C0AA3"/>
    <w:rsid w:val="006C0CB1"/>
    <w:rsid w:val="006C10A2"/>
    <w:rsid w:val="006C1F18"/>
    <w:rsid w:val="006C2145"/>
    <w:rsid w:val="006C3637"/>
    <w:rsid w:val="006C45F4"/>
    <w:rsid w:val="006C48C2"/>
    <w:rsid w:val="006C4D0F"/>
    <w:rsid w:val="006C513D"/>
    <w:rsid w:val="006C6071"/>
    <w:rsid w:val="006C722F"/>
    <w:rsid w:val="006C72E6"/>
    <w:rsid w:val="006D0FBA"/>
    <w:rsid w:val="006D11A6"/>
    <w:rsid w:val="006D1561"/>
    <w:rsid w:val="006D1814"/>
    <w:rsid w:val="006D239E"/>
    <w:rsid w:val="006D2A5E"/>
    <w:rsid w:val="006D2BFA"/>
    <w:rsid w:val="006D2CD7"/>
    <w:rsid w:val="006D3729"/>
    <w:rsid w:val="006D40D5"/>
    <w:rsid w:val="006D576A"/>
    <w:rsid w:val="006D6211"/>
    <w:rsid w:val="006D6364"/>
    <w:rsid w:val="006D7D12"/>
    <w:rsid w:val="006D7D88"/>
    <w:rsid w:val="006E155C"/>
    <w:rsid w:val="006E2613"/>
    <w:rsid w:val="006E301F"/>
    <w:rsid w:val="006E3645"/>
    <w:rsid w:val="006E391F"/>
    <w:rsid w:val="006E3BE2"/>
    <w:rsid w:val="006E4CFB"/>
    <w:rsid w:val="006E59EE"/>
    <w:rsid w:val="006E6C04"/>
    <w:rsid w:val="006F009A"/>
    <w:rsid w:val="006F017B"/>
    <w:rsid w:val="006F1108"/>
    <w:rsid w:val="006F2215"/>
    <w:rsid w:val="006F2563"/>
    <w:rsid w:val="006F3D93"/>
    <w:rsid w:val="006F4574"/>
    <w:rsid w:val="006F4A39"/>
    <w:rsid w:val="006F6853"/>
    <w:rsid w:val="006F6C3D"/>
    <w:rsid w:val="006F71DE"/>
    <w:rsid w:val="006F7D52"/>
    <w:rsid w:val="00700EDF"/>
    <w:rsid w:val="0070123D"/>
    <w:rsid w:val="007019B1"/>
    <w:rsid w:val="00702AE5"/>
    <w:rsid w:val="00703A0F"/>
    <w:rsid w:val="00703C8D"/>
    <w:rsid w:val="007047D4"/>
    <w:rsid w:val="00704A88"/>
    <w:rsid w:val="00704DBB"/>
    <w:rsid w:val="00706392"/>
    <w:rsid w:val="0070775A"/>
    <w:rsid w:val="00710B2D"/>
    <w:rsid w:val="00711113"/>
    <w:rsid w:val="0071218D"/>
    <w:rsid w:val="007127C2"/>
    <w:rsid w:val="0071290D"/>
    <w:rsid w:val="007131E6"/>
    <w:rsid w:val="00713913"/>
    <w:rsid w:val="0071444D"/>
    <w:rsid w:val="00714BFC"/>
    <w:rsid w:val="00715440"/>
    <w:rsid w:val="00716F0B"/>
    <w:rsid w:val="00717539"/>
    <w:rsid w:val="0072046C"/>
    <w:rsid w:val="007213AF"/>
    <w:rsid w:val="00721657"/>
    <w:rsid w:val="007216D1"/>
    <w:rsid w:val="007220CC"/>
    <w:rsid w:val="007233E3"/>
    <w:rsid w:val="00724AAA"/>
    <w:rsid w:val="00725CD0"/>
    <w:rsid w:val="00726798"/>
    <w:rsid w:val="00726B9C"/>
    <w:rsid w:val="00727B1A"/>
    <w:rsid w:val="00730409"/>
    <w:rsid w:val="00730FE1"/>
    <w:rsid w:val="00731269"/>
    <w:rsid w:val="00734188"/>
    <w:rsid w:val="00734368"/>
    <w:rsid w:val="00734CCA"/>
    <w:rsid w:val="00736660"/>
    <w:rsid w:val="007366D4"/>
    <w:rsid w:val="00741924"/>
    <w:rsid w:val="007420BB"/>
    <w:rsid w:val="00742216"/>
    <w:rsid w:val="007442B3"/>
    <w:rsid w:val="00744A0B"/>
    <w:rsid w:val="00745ECC"/>
    <w:rsid w:val="007462E1"/>
    <w:rsid w:val="00746CB0"/>
    <w:rsid w:val="00747481"/>
    <w:rsid w:val="007475A5"/>
    <w:rsid w:val="00747C10"/>
    <w:rsid w:val="00750110"/>
    <w:rsid w:val="0075072F"/>
    <w:rsid w:val="00750D27"/>
    <w:rsid w:val="00751520"/>
    <w:rsid w:val="00751E23"/>
    <w:rsid w:val="0075210E"/>
    <w:rsid w:val="00752258"/>
    <w:rsid w:val="007538DD"/>
    <w:rsid w:val="00753A8D"/>
    <w:rsid w:val="0075521F"/>
    <w:rsid w:val="00755574"/>
    <w:rsid w:val="0075598E"/>
    <w:rsid w:val="007572E0"/>
    <w:rsid w:val="00760212"/>
    <w:rsid w:val="007616AD"/>
    <w:rsid w:val="0076187C"/>
    <w:rsid w:val="00762880"/>
    <w:rsid w:val="007629E9"/>
    <w:rsid w:val="00764B09"/>
    <w:rsid w:val="007654F2"/>
    <w:rsid w:val="00765CC4"/>
    <w:rsid w:val="00765D4B"/>
    <w:rsid w:val="007668BC"/>
    <w:rsid w:val="007674B7"/>
    <w:rsid w:val="00770357"/>
    <w:rsid w:val="00770A6E"/>
    <w:rsid w:val="0077164D"/>
    <w:rsid w:val="00772290"/>
    <w:rsid w:val="00772D03"/>
    <w:rsid w:val="0077321F"/>
    <w:rsid w:val="00774DDF"/>
    <w:rsid w:val="00774EB7"/>
    <w:rsid w:val="007752F7"/>
    <w:rsid w:val="00775968"/>
    <w:rsid w:val="00776531"/>
    <w:rsid w:val="00776991"/>
    <w:rsid w:val="00777265"/>
    <w:rsid w:val="00777C5C"/>
    <w:rsid w:val="007805E7"/>
    <w:rsid w:val="00780C4B"/>
    <w:rsid w:val="00780DD3"/>
    <w:rsid w:val="007812AE"/>
    <w:rsid w:val="00781E9D"/>
    <w:rsid w:val="00781F77"/>
    <w:rsid w:val="0078222A"/>
    <w:rsid w:val="00782D5B"/>
    <w:rsid w:val="0078353A"/>
    <w:rsid w:val="007840E6"/>
    <w:rsid w:val="007842D9"/>
    <w:rsid w:val="00784713"/>
    <w:rsid w:val="00784933"/>
    <w:rsid w:val="0078494E"/>
    <w:rsid w:val="007849E5"/>
    <w:rsid w:val="00785E23"/>
    <w:rsid w:val="00786C68"/>
    <w:rsid w:val="00787B6F"/>
    <w:rsid w:val="00787D48"/>
    <w:rsid w:val="007925C8"/>
    <w:rsid w:val="007937B8"/>
    <w:rsid w:val="00793EE1"/>
    <w:rsid w:val="00794610"/>
    <w:rsid w:val="00794C16"/>
    <w:rsid w:val="00795E9C"/>
    <w:rsid w:val="00795EB2"/>
    <w:rsid w:val="00795EB4"/>
    <w:rsid w:val="007961AD"/>
    <w:rsid w:val="007969B0"/>
    <w:rsid w:val="00796B72"/>
    <w:rsid w:val="0079754B"/>
    <w:rsid w:val="00797B15"/>
    <w:rsid w:val="007A0938"/>
    <w:rsid w:val="007A1AE7"/>
    <w:rsid w:val="007A1CE0"/>
    <w:rsid w:val="007A3D1D"/>
    <w:rsid w:val="007A44E6"/>
    <w:rsid w:val="007A4E50"/>
    <w:rsid w:val="007A53DA"/>
    <w:rsid w:val="007A579D"/>
    <w:rsid w:val="007A6692"/>
    <w:rsid w:val="007B1239"/>
    <w:rsid w:val="007B18A7"/>
    <w:rsid w:val="007B250E"/>
    <w:rsid w:val="007B27FE"/>
    <w:rsid w:val="007B2D0C"/>
    <w:rsid w:val="007B37D8"/>
    <w:rsid w:val="007B40A4"/>
    <w:rsid w:val="007B40CC"/>
    <w:rsid w:val="007B4274"/>
    <w:rsid w:val="007B42FF"/>
    <w:rsid w:val="007B525E"/>
    <w:rsid w:val="007B5CE4"/>
    <w:rsid w:val="007B6CE6"/>
    <w:rsid w:val="007B7DC0"/>
    <w:rsid w:val="007C1550"/>
    <w:rsid w:val="007C1752"/>
    <w:rsid w:val="007C1C41"/>
    <w:rsid w:val="007C27FC"/>
    <w:rsid w:val="007C32E3"/>
    <w:rsid w:val="007C420E"/>
    <w:rsid w:val="007C46E2"/>
    <w:rsid w:val="007C51FF"/>
    <w:rsid w:val="007C5B75"/>
    <w:rsid w:val="007C6639"/>
    <w:rsid w:val="007C6897"/>
    <w:rsid w:val="007C6A6B"/>
    <w:rsid w:val="007C6CA5"/>
    <w:rsid w:val="007C6D17"/>
    <w:rsid w:val="007C6EE3"/>
    <w:rsid w:val="007C776F"/>
    <w:rsid w:val="007C7EAD"/>
    <w:rsid w:val="007D0057"/>
    <w:rsid w:val="007D0BA8"/>
    <w:rsid w:val="007D2624"/>
    <w:rsid w:val="007D50E4"/>
    <w:rsid w:val="007D5573"/>
    <w:rsid w:val="007D5A2A"/>
    <w:rsid w:val="007E0F02"/>
    <w:rsid w:val="007E11A5"/>
    <w:rsid w:val="007E1AD1"/>
    <w:rsid w:val="007E22A4"/>
    <w:rsid w:val="007E2618"/>
    <w:rsid w:val="007E33F0"/>
    <w:rsid w:val="007E3E63"/>
    <w:rsid w:val="007E6041"/>
    <w:rsid w:val="007E6ED0"/>
    <w:rsid w:val="007F10C5"/>
    <w:rsid w:val="007F1955"/>
    <w:rsid w:val="007F20FE"/>
    <w:rsid w:val="007F23B4"/>
    <w:rsid w:val="007F2466"/>
    <w:rsid w:val="007F2CD5"/>
    <w:rsid w:val="007F2E9A"/>
    <w:rsid w:val="007F393E"/>
    <w:rsid w:val="007F39EA"/>
    <w:rsid w:val="007F4348"/>
    <w:rsid w:val="007F4361"/>
    <w:rsid w:val="007F4DF7"/>
    <w:rsid w:val="007F5787"/>
    <w:rsid w:val="007F60E8"/>
    <w:rsid w:val="007F79AE"/>
    <w:rsid w:val="008004CA"/>
    <w:rsid w:val="0080074F"/>
    <w:rsid w:val="00800782"/>
    <w:rsid w:val="00801A48"/>
    <w:rsid w:val="00801BEE"/>
    <w:rsid w:val="008028CE"/>
    <w:rsid w:val="0080332E"/>
    <w:rsid w:val="00803C8C"/>
    <w:rsid w:val="00803DA9"/>
    <w:rsid w:val="008044D1"/>
    <w:rsid w:val="00804B10"/>
    <w:rsid w:val="008059C0"/>
    <w:rsid w:val="00805DE8"/>
    <w:rsid w:val="00806D9A"/>
    <w:rsid w:val="008078CB"/>
    <w:rsid w:val="00807F0C"/>
    <w:rsid w:val="008112B2"/>
    <w:rsid w:val="008128E6"/>
    <w:rsid w:val="00812F6A"/>
    <w:rsid w:val="008141E0"/>
    <w:rsid w:val="00814772"/>
    <w:rsid w:val="0081486B"/>
    <w:rsid w:val="00814BA0"/>
    <w:rsid w:val="00816E54"/>
    <w:rsid w:val="00816EE1"/>
    <w:rsid w:val="00816F88"/>
    <w:rsid w:val="00820BEE"/>
    <w:rsid w:val="00820C56"/>
    <w:rsid w:val="00820EB5"/>
    <w:rsid w:val="00821885"/>
    <w:rsid w:val="008221F6"/>
    <w:rsid w:val="00822323"/>
    <w:rsid w:val="00822E8E"/>
    <w:rsid w:val="0082451B"/>
    <w:rsid w:val="0082486E"/>
    <w:rsid w:val="008255A6"/>
    <w:rsid w:val="00825D5A"/>
    <w:rsid w:val="008275BC"/>
    <w:rsid w:val="00830E23"/>
    <w:rsid w:val="00831954"/>
    <w:rsid w:val="00832C68"/>
    <w:rsid w:val="00833024"/>
    <w:rsid w:val="008342EF"/>
    <w:rsid w:val="00835A17"/>
    <w:rsid w:val="008368BE"/>
    <w:rsid w:val="008379BD"/>
    <w:rsid w:val="00837FD7"/>
    <w:rsid w:val="00840609"/>
    <w:rsid w:val="00840A6C"/>
    <w:rsid w:val="00843BFC"/>
    <w:rsid w:val="00844A56"/>
    <w:rsid w:val="00844BB8"/>
    <w:rsid w:val="00845360"/>
    <w:rsid w:val="0084620B"/>
    <w:rsid w:val="00846BCA"/>
    <w:rsid w:val="00846C10"/>
    <w:rsid w:val="00846D14"/>
    <w:rsid w:val="00846F7D"/>
    <w:rsid w:val="00847C5B"/>
    <w:rsid w:val="00847E42"/>
    <w:rsid w:val="008511EA"/>
    <w:rsid w:val="00852081"/>
    <w:rsid w:val="00852830"/>
    <w:rsid w:val="00852B98"/>
    <w:rsid w:val="00852EE6"/>
    <w:rsid w:val="008538CE"/>
    <w:rsid w:val="00853E55"/>
    <w:rsid w:val="00853FC2"/>
    <w:rsid w:val="008540B1"/>
    <w:rsid w:val="00854542"/>
    <w:rsid w:val="008547B8"/>
    <w:rsid w:val="00854CCE"/>
    <w:rsid w:val="0085510B"/>
    <w:rsid w:val="0085545C"/>
    <w:rsid w:val="008555CB"/>
    <w:rsid w:val="008572C1"/>
    <w:rsid w:val="00860501"/>
    <w:rsid w:val="00861D87"/>
    <w:rsid w:val="00861F48"/>
    <w:rsid w:val="00861F9B"/>
    <w:rsid w:val="0086293C"/>
    <w:rsid w:val="00862CA0"/>
    <w:rsid w:val="00863131"/>
    <w:rsid w:val="00863742"/>
    <w:rsid w:val="008637AF"/>
    <w:rsid w:val="0086427C"/>
    <w:rsid w:val="00865D1D"/>
    <w:rsid w:val="008662A7"/>
    <w:rsid w:val="00866C66"/>
    <w:rsid w:val="00867B54"/>
    <w:rsid w:val="00870097"/>
    <w:rsid w:val="00871240"/>
    <w:rsid w:val="00871566"/>
    <w:rsid w:val="0087173A"/>
    <w:rsid w:val="00871A4D"/>
    <w:rsid w:val="00871CEA"/>
    <w:rsid w:val="0087349D"/>
    <w:rsid w:val="00874DFD"/>
    <w:rsid w:val="008756CA"/>
    <w:rsid w:val="00877A3F"/>
    <w:rsid w:val="00880E84"/>
    <w:rsid w:val="008810DD"/>
    <w:rsid w:val="00883086"/>
    <w:rsid w:val="00884AEB"/>
    <w:rsid w:val="008850AB"/>
    <w:rsid w:val="00885163"/>
    <w:rsid w:val="008853BE"/>
    <w:rsid w:val="008869B0"/>
    <w:rsid w:val="0088752B"/>
    <w:rsid w:val="008876D9"/>
    <w:rsid w:val="008876E8"/>
    <w:rsid w:val="008879FD"/>
    <w:rsid w:val="00891698"/>
    <w:rsid w:val="00892FC2"/>
    <w:rsid w:val="008932E5"/>
    <w:rsid w:val="00894C37"/>
    <w:rsid w:val="008976D4"/>
    <w:rsid w:val="00897DC6"/>
    <w:rsid w:val="00897F21"/>
    <w:rsid w:val="008A00EA"/>
    <w:rsid w:val="008A016B"/>
    <w:rsid w:val="008A06BC"/>
    <w:rsid w:val="008A0717"/>
    <w:rsid w:val="008A1468"/>
    <w:rsid w:val="008A3F93"/>
    <w:rsid w:val="008A5303"/>
    <w:rsid w:val="008A597F"/>
    <w:rsid w:val="008A6236"/>
    <w:rsid w:val="008A6E1C"/>
    <w:rsid w:val="008A72FD"/>
    <w:rsid w:val="008B00FC"/>
    <w:rsid w:val="008B0189"/>
    <w:rsid w:val="008B0200"/>
    <w:rsid w:val="008B0247"/>
    <w:rsid w:val="008B0A24"/>
    <w:rsid w:val="008B1358"/>
    <w:rsid w:val="008B2326"/>
    <w:rsid w:val="008B2EDF"/>
    <w:rsid w:val="008B4F1E"/>
    <w:rsid w:val="008B54CB"/>
    <w:rsid w:val="008B5928"/>
    <w:rsid w:val="008B5A3D"/>
    <w:rsid w:val="008B6757"/>
    <w:rsid w:val="008B6DFB"/>
    <w:rsid w:val="008C0254"/>
    <w:rsid w:val="008C0333"/>
    <w:rsid w:val="008C0D96"/>
    <w:rsid w:val="008C1A08"/>
    <w:rsid w:val="008C1C26"/>
    <w:rsid w:val="008C1DE7"/>
    <w:rsid w:val="008C2FAA"/>
    <w:rsid w:val="008C2FAD"/>
    <w:rsid w:val="008C4010"/>
    <w:rsid w:val="008C4E35"/>
    <w:rsid w:val="008C4FDF"/>
    <w:rsid w:val="008C516A"/>
    <w:rsid w:val="008C60A0"/>
    <w:rsid w:val="008C64DA"/>
    <w:rsid w:val="008C6685"/>
    <w:rsid w:val="008C6B1F"/>
    <w:rsid w:val="008C6C54"/>
    <w:rsid w:val="008C70F2"/>
    <w:rsid w:val="008C7D70"/>
    <w:rsid w:val="008D1158"/>
    <w:rsid w:val="008D2066"/>
    <w:rsid w:val="008D3AAE"/>
    <w:rsid w:val="008D3CB2"/>
    <w:rsid w:val="008D3CFD"/>
    <w:rsid w:val="008D3F0D"/>
    <w:rsid w:val="008D47F9"/>
    <w:rsid w:val="008D51C0"/>
    <w:rsid w:val="008D5328"/>
    <w:rsid w:val="008D5E4F"/>
    <w:rsid w:val="008D70A5"/>
    <w:rsid w:val="008D7882"/>
    <w:rsid w:val="008E1C64"/>
    <w:rsid w:val="008E2F4E"/>
    <w:rsid w:val="008E3058"/>
    <w:rsid w:val="008E5853"/>
    <w:rsid w:val="008E5B40"/>
    <w:rsid w:val="008E6A06"/>
    <w:rsid w:val="008E6AD2"/>
    <w:rsid w:val="008E7EED"/>
    <w:rsid w:val="008F0766"/>
    <w:rsid w:val="008F098B"/>
    <w:rsid w:val="008F1130"/>
    <w:rsid w:val="008F14F5"/>
    <w:rsid w:val="008F3582"/>
    <w:rsid w:val="008F3E73"/>
    <w:rsid w:val="008F3F04"/>
    <w:rsid w:val="008F4107"/>
    <w:rsid w:val="008F554E"/>
    <w:rsid w:val="008F6437"/>
    <w:rsid w:val="008F71C1"/>
    <w:rsid w:val="008F79FF"/>
    <w:rsid w:val="00901B01"/>
    <w:rsid w:val="009023AA"/>
    <w:rsid w:val="009025BE"/>
    <w:rsid w:val="00902D41"/>
    <w:rsid w:val="00902FAA"/>
    <w:rsid w:val="00903925"/>
    <w:rsid w:val="00903EB7"/>
    <w:rsid w:val="0090453F"/>
    <w:rsid w:val="00904BE4"/>
    <w:rsid w:val="00905EAE"/>
    <w:rsid w:val="00906606"/>
    <w:rsid w:val="00907623"/>
    <w:rsid w:val="0091014D"/>
    <w:rsid w:val="00910651"/>
    <w:rsid w:val="009124D7"/>
    <w:rsid w:val="00912CD0"/>
    <w:rsid w:val="009133DF"/>
    <w:rsid w:val="00914004"/>
    <w:rsid w:val="00914031"/>
    <w:rsid w:val="009143F6"/>
    <w:rsid w:val="0091462E"/>
    <w:rsid w:val="00914EF4"/>
    <w:rsid w:val="0091574C"/>
    <w:rsid w:val="009157F9"/>
    <w:rsid w:val="0091716C"/>
    <w:rsid w:val="00917582"/>
    <w:rsid w:val="00917B29"/>
    <w:rsid w:val="009201B3"/>
    <w:rsid w:val="00920738"/>
    <w:rsid w:val="00922EC1"/>
    <w:rsid w:val="00924110"/>
    <w:rsid w:val="009252E9"/>
    <w:rsid w:val="009268BF"/>
    <w:rsid w:val="009301F1"/>
    <w:rsid w:val="00933D41"/>
    <w:rsid w:val="009359B8"/>
    <w:rsid w:val="00936554"/>
    <w:rsid w:val="0093700A"/>
    <w:rsid w:val="00937B88"/>
    <w:rsid w:val="009407DE"/>
    <w:rsid w:val="0094184D"/>
    <w:rsid w:val="0094195F"/>
    <w:rsid w:val="00942289"/>
    <w:rsid w:val="0094259C"/>
    <w:rsid w:val="00942B3B"/>
    <w:rsid w:val="009431F8"/>
    <w:rsid w:val="00943A40"/>
    <w:rsid w:val="00945365"/>
    <w:rsid w:val="00947057"/>
    <w:rsid w:val="00947A35"/>
    <w:rsid w:val="009515A5"/>
    <w:rsid w:val="00951C40"/>
    <w:rsid w:val="00953704"/>
    <w:rsid w:val="00955446"/>
    <w:rsid w:val="00955A8F"/>
    <w:rsid w:val="009565E2"/>
    <w:rsid w:val="009574C1"/>
    <w:rsid w:val="009601C7"/>
    <w:rsid w:val="0096209B"/>
    <w:rsid w:val="00963ECE"/>
    <w:rsid w:val="00963FF8"/>
    <w:rsid w:val="00964483"/>
    <w:rsid w:val="009645A3"/>
    <w:rsid w:val="009649F8"/>
    <w:rsid w:val="00964B61"/>
    <w:rsid w:val="00966CB5"/>
    <w:rsid w:val="00966CC0"/>
    <w:rsid w:val="00966D39"/>
    <w:rsid w:val="00967B18"/>
    <w:rsid w:val="00967C1F"/>
    <w:rsid w:val="00970C87"/>
    <w:rsid w:val="00971DED"/>
    <w:rsid w:val="00973566"/>
    <w:rsid w:val="00973635"/>
    <w:rsid w:val="00975786"/>
    <w:rsid w:val="0097622E"/>
    <w:rsid w:val="00977BA8"/>
    <w:rsid w:val="00980C93"/>
    <w:rsid w:val="00981B30"/>
    <w:rsid w:val="00981CB7"/>
    <w:rsid w:val="0098253B"/>
    <w:rsid w:val="00983953"/>
    <w:rsid w:val="00983B5E"/>
    <w:rsid w:val="00983E1F"/>
    <w:rsid w:val="00983F69"/>
    <w:rsid w:val="00985033"/>
    <w:rsid w:val="009862BA"/>
    <w:rsid w:val="0098689F"/>
    <w:rsid w:val="0098696C"/>
    <w:rsid w:val="00986B8C"/>
    <w:rsid w:val="0098707A"/>
    <w:rsid w:val="0099122B"/>
    <w:rsid w:val="00991892"/>
    <w:rsid w:val="00991DC6"/>
    <w:rsid w:val="009922B9"/>
    <w:rsid w:val="00992E95"/>
    <w:rsid w:val="00993F46"/>
    <w:rsid w:val="009950AE"/>
    <w:rsid w:val="00996F07"/>
    <w:rsid w:val="00997358"/>
    <w:rsid w:val="009A0957"/>
    <w:rsid w:val="009A2B7A"/>
    <w:rsid w:val="009A354A"/>
    <w:rsid w:val="009A3A52"/>
    <w:rsid w:val="009A452B"/>
    <w:rsid w:val="009A4AAE"/>
    <w:rsid w:val="009A4AE9"/>
    <w:rsid w:val="009A4CBB"/>
    <w:rsid w:val="009A5C8B"/>
    <w:rsid w:val="009A74DF"/>
    <w:rsid w:val="009B050C"/>
    <w:rsid w:val="009B087F"/>
    <w:rsid w:val="009B127E"/>
    <w:rsid w:val="009B194E"/>
    <w:rsid w:val="009B1E95"/>
    <w:rsid w:val="009B4220"/>
    <w:rsid w:val="009B4690"/>
    <w:rsid w:val="009B5C5C"/>
    <w:rsid w:val="009B623B"/>
    <w:rsid w:val="009B6F12"/>
    <w:rsid w:val="009B7719"/>
    <w:rsid w:val="009B79CD"/>
    <w:rsid w:val="009B7D9D"/>
    <w:rsid w:val="009C04D8"/>
    <w:rsid w:val="009C0B08"/>
    <w:rsid w:val="009C110B"/>
    <w:rsid w:val="009C16DD"/>
    <w:rsid w:val="009C4403"/>
    <w:rsid w:val="009C4EB5"/>
    <w:rsid w:val="009C5441"/>
    <w:rsid w:val="009C67B8"/>
    <w:rsid w:val="009C70F6"/>
    <w:rsid w:val="009D0830"/>
    <w:rsid w:val="009D0AF3"/>
    <w:rsid w:val="009D119F"/>
    <w:rsid w:val="009D131D"/>
    <w:rsid w:val="009D2184"/>
    <w:rsid w:val="009D358B"/>
    <w:rsid w:val="009D3D96"/>
    <w:rsid w:val="009D4169"/>
    <w:rsid w:val="009D47B7"/>
    <w:rsid w:val="009D4AA6"/>
    <w:rsid w:val="009D4C39"/>
    <w:rsid w:val="009D4F12"/>
    <w:rsid w:val="009D7755"/>
    <w:rsid w:val="009D7A47"/>
    <w:rsid w:val="009D7BF7"/>
    <w:rsid w:val="009D7F44"/>
    <w:rsid w:val="009E1ED5"/>
    <w:rsid w:val="009E1F8F"/>
    <w:rsid w:val="009E242A"/>
    <w:rsid w:val="009E2757"/>
    <w:rsid w:val="009E3FBE"/>
    <w:rsid w:val="009E416B"/>
    <w:rsid w:val="009E4F76"/>
    <w:rsid w:val="009E67D0"/>
    <w:rsid w:val="009F07D6"/>
    <w:rsid w:val="009F29F1"/>
    <w:rsid w:val="009F3940"/>
    <w:rsid w:val="009F3EB2"/>
    <w:rsid w:val="009F48A8"/>
    <w:rsid w:val="009F4A7A"/>
    <w:rsid w:val="009F5AA8"/>
    <w:rsid w:val="009F5CD9"/>
    <w:rsid w:val="009F5D73"/>
    <w:rsid w:val="009F5EE4"/>
    <w:rsid w:val="009F6EB1"/>
    <w:rsid w:val="009F7423"/>
    <w:rsid w:val="00A00BED"/>
    <w:rsid w:val="00A00DA7"/>
    <w:rsid w:val="00A013F0"/>
    <w:rsid w:val="00A02312"/>
    <w:rsid w:val="00A031BE"/>
    <w:rsid w:val="00A035D4"/>
    <w:rsid w:val="00A03C22"/>
    <w:rsid w:val="00A03E19"/>
    <w:rsid w:val="00A061B8"/>
    <w:rsid w:val="00A064DB"/>
    <w:rsid w:val="00A0708C"/>
    <w:rsid w:val="00A10191"/>
    <w:rsid w:val="00A10761"/>
    <w:rsid w:val="00A108DD"/>
    <w:rsid w:val="00A12291"/>
    <w:rsid w:val="00A13157"/>
    <w:rsid w:val="00A14061"/>
    <w:rsid w:val="00A14FC5"/>
    <w:rsid w:val="00A15567"/>
    <w:rsid w:val="00A1589E"/>
    <w:rsid w:val="00A15A88"/>
    <w:rsid w:val="00A15D31"/>
    <w:rsid w:val="00A16772"/>
    <w:rsid w:val="00A20267"/>
    <w:rsid w:val="00A2183C"/>
    <w:rsid w:val="00A22A0A"/>
    <w:rsid w:val="00A23181"/>
    <w:rsid w:val="00A2337C"/>
    <w:rsid w:val="00A235DC"/>
    <w:rsid w:val="00A23C94"/>
    <w:rsid w:val="00A2412B"/>
    <w:rsid w:val="00A245C2"/>
    <w:rsid w:val="00A24C84"/>
    <w:rsid w:val="00A24E2C"/>
    <w:rsid w:val="00A250BD"/>
    <w:rsid w:val="00A25A49"/>
    <w:rsid w:val="00A310A2"/>
    <w:rsid w:val="00A3158C"/>
    <w:rsid w:val="00A32717"/>
    <w:rsid w:val="00A33723"/>
    <w:rsid w:val="00A33E32"/>
    <w:rsid w:val="00A34AE8"/>
    <w:rsid w:val="00A34FE6"/>
    <w:rsid w:val="00A35B65"/>
    <w:rsid w:val="00A367B0"/>
    <w:rsid w:val="00A3726C"/>
    <w:rsid w:val="00A37D52"/>
    <w:rsid w:val="00A40020"/>
    <w:rsid w:val="00A40B2C"/>
    <w:rsid w:val="00A41083"/>
    <w:rsid w:val="00A418D8"/>
    <w:rsid w:val="00A4222A"/>
    <w:rsid w:val="00A42301"/>
    <w:rsid w:val="00A42FA8"/>
    <w:rsid w:val="00A44218"/>
    <w:rsid w:val="00A45A22"/>
    <w:rsid w:val="00A477B4"/>
    <w:rsid w:val="00A47861"/>
    <w:rsid w:val="00A516BB"/>
    <w:rsid w:val="00A51E9F"/>
    <w:rsid w:val="00A52809"/>
    <w:rsid w:val="00A52F0F"/>
    <w:rsid w:val="00A52F4A"/>
    <w:rsid w:val="00A53E7C"/>
    <w:rsid w:val="00A540AC"/>
    <w:rsid w:val="00A55B57"/>
    <w:rsid w:val="00A57A4E"/>
    <w:rsid w:val="00A60087"/>
    <w:rsid w:val="00A608CB"/>
    <w:rsid w:val="00A61E6F"/>
    <w:rsid w:val="00A62272"/>
    <w:rsid w:val="00A6252D"/>
    <w:rsid w:val="00A6278F"/>
    <w:rsid w:val="00A6312D"/>
    <w:rsid w:val="00A6373D"/>
    <w:rsid w:val="00A63F85"/>
    <w:rsid w:val="00A65962"/>
    <w:rsid w:val="00A662A5"/>
    <w:rsid w:val="00A66C32"/>
    <w:rsid w:val="00A66DA4"/>
    <w:rsid w:val="00A67080"/>
    <w:rsid w:val="00A70433"/>
    <w:rsid w:val="00A705E8"/>
    <w:rsid w:val="00A706E1"/>
    <w:rsid w:val="00A714FE"/>
    <w:rsid w:val="00A75A33"/>
    <w:rsid w:val="00A75AA9"/>
    <w:rsid w:val="00A77450"/>
    <w:rsid w:val="00A8057D"/>
    <w:rsid w:val="00A807E3"/>
    <w:rsid w:val="00A8221B"/>
    <w:rsid w:val="00A83443"/>
    <w:rsid w:val="00A84A6E"/>
    <w:rsid w:val="00A84EDA"/>
    <w:rsid w:val="00A85161"/>
    <w:rsid w:val="00A85708"/>
    <w:rsid w:val="00A85A4B"/>
    <w:rsid w:val="00A85AAD"/>
    <w:rsid w:val="00A87258"/>
    <w:rsid w:val="00A8735B"/>
    <w:rsid w:val="00A87E66"/>
    <w:rsid w:val="00A903DE"/>
    <w:rsid w:val="00A91FB5"/>
    <w:rsid w:val="00A9208C"/>
    <w:rsid w:val="00A92417"/>
    <w:rsid w:val="00A9392C"/>
    <w:rsid w:val="00A9462B"/>
    <w:rsid w:val="00A94632"/>
    <w:rsid w:val="00A949E9"/>
    <w:rsid w:val="00A952ED"/>
    <w:rsid w:val="00A95D85"/>
    <w:rsid w:val="00A973DE"/>
    <w:rsid w:val="00A97D59"/>
    <w:rsid w:val="00AA0F8F"/>
    <w:rsid w:val="00AA18F4"/>
    <w:rsid w:val="00AA1B8C"/>
    <w:rsid w:val="00AA3119"/>
    <w:rsid w:val="00AA318D"/>
    <w:rsid w:val="00AA320E"/>
    <w:rsid w:val="00AA36CD"/>
    <w:rsid w:val="00AA3E09"/>
    <w:rsid w:val="00AA409F"/>
    <w:rsid w:val="00AA4BEF"/>
    <w:rsid w:val="00AA5594"/>
    <w:rsid w:val="00AA6697"/>
    <w:rsid w:val="00AA6BF4"/>
    <w:rsid w:val="00AA6F04"/>
    <w:rsid w:val="00AA7EDC"/>
    <w:rsid w:val="00AB1E92"/>
    <w:rsid w:val="00AB2530"/>
    <w:rsid w:val="00AB29E3"/>
    <w:rsid w:val="00AB3051"/>
    <w:rsid w:val="00AB374B"/>
    <w:rsid w:val="00AB3A1C"/>
    <w:rsid w:val="00AB4174"/>
    <w:rsid w:val="00AB4962"/>
    <w:rsid w:val="00AB49AA"/>
    <w:rsid w:val="00AB57E3"/>
    <w:rsid w:val="00AB58F4"/>
    <w:rsid w:val="00AB5B95"/>
    <w:rsid w:val="00AB65ED"/>
    <w:rsid w:val="00AB740F"/>
    <w:rsid w:val="00AC07A8"/>
    <w:rsid w:val="00AC1613"/>
    <w:rsid w:val="00AC19CB"/>
    <w:rsid w:val="00AC255D"/>
    <w:rsid w:val="00AC35E8"/>
    <w:rsid w:val="00AC5126"/>
    <w:rsid w:val="00AC54A3"/>
    <w:rsid w:val="00AC6A5B"/>
    <w:rsid w:val="00AC6DD9"/>
    <w:rsid w:val="00AC7221"/>
    <w:rsid w:val="00AC732A"/>
    <w:rsid w:val="00AC7670"/>
    <w:rsid w:val="00AC786E"/>
    <w:rsid w:val="00AC7E11"/>
    <w:rsid w:val="00AC7F54"/>
    <w:rsid w:val="00AD008A"/>
    <w:rsid w:val="00AD360B"/>
    <w:rsid w:val="00AD504E"/>
    <w:rsid w:val="00AD5345"/>
    <w:rsid w:val="00AD5B04"/>
    <w:rsid w:val="00AD69DF"/>
    <w:rsid w:val="00AD792E"/>
    <w:rsid w:val="00AE04DE"/>
    <w:rsid w:val="00AE1B68"/>
    <w:rsid w:val="00AE2885"/>
    <w:rsid w:val="00AE2ADD"/>
    <w:rsid w:val="00AE2D70"/>
    <w:rsid w:val="00AE4641"/>
    <w:rsid w:val="00AE5961"/>
    <w:rsid w:val="00AE6511"/>
    <w:rsid w:val="00AE733C"/>
    <w:rsid w:val="00AE7A58"/>
    <w:rsid w:val="00AE7C4C"/>
    <w:rsid w:val="00AF05E0"/>
    <w:rsid w:val="00AF08B8"/>
    <w:rsid w:val="00AF11D4"/>
    <w:rsid w:val="00AF1BF8"/>
    <w:rsid w:val="00AF20E2"/>
    <w:rsid w:val="00AF4971"/>
    <w:rsid w:val="00AF4D0B"/>
    <w:rsid w:val="00AF5B71"/>
    <w:rsid w:val="00AF6310"/>
    <w:rsid w:val="00AF6F0C"/>
    <w:rsid w:val="00AF7734"/>
    <w:rsid w:val="00AF79AE"/>
    <w:rsid w:val="00AF7F76"/>
    <w:rsid w:val="00B01046"/>
    <w:rsid w:val="00B014E7"/>
    <w:rsid w:val="00B02DAC"/>
    <w:rsid w:val="00B031CE"/>
    <w:rsid w:val="00B03F4F"/>
    <w:rsid w:val="00B04F16"/>
    <w:rsid w:val="00B0529B"/>
    <w:rsid w:val="00B05910"/>
    <w:rsid w:val="00B120A8"/>
    <w:rsid w:val="00B13A7F"/>
    <w:rsid w:val="00B13CB2"/>
    <w:rsid w:val="00B15883"/>
    <w:rsid w:val="00B1614E"/>
    <w:rsid w:val="00B170EF"/>
    <w:rsid w:val="00B175F8"/>
    <w:rsid w:val="00B20033"/>
    <w:rsid w:val="00B2094E"/>
    <w:rsid w:val="00B2129E"/>
    <w:rsid w:val="00B2167A"/>
    <w:rsid w:val="00B226A0"/>
    <w:rsid w:val="00B23380"/>
    <w:rsid w:val="00B23825"/>
    <w:rsid w:val="00B23DA8"/>
    <w:rsid w:val="00B252B3"/>
    <w:rsid w:val="00B253E1"/>
    <w:rsid w:val="00B25B3C"/>
    <w:rsid w:val="00B26755"/>
    <w:rsid w:val="00B26A16"/>
    <w:rsid w:val="00B26E26"/>
    <w:rsid w:val="00B26EF6"/>
    <w:rsid w:val="00B275F4"/>
    <w:rsid w:val="00B276CF"/>
    <w:rsid w:val="00B27B50"/>
    <w:rsid w:val="00B3064A"/>
    <w:rsid w:val="00B3074F"/>
    <w:rsid w:val="00B310F9"/>
    <w:rsid w:val="00B3286D"/>
    <w:rsid w:val="00B32F51"/>
    <w:rsid w:val="00B339D3"/>
    <w:rsid w:val="00B34362"/>
    <w:rsid w:val="00B34875"/>
    <w:rsid w:val="00B34A57"/>
    <w:rsid w:val="00B34FAB"/>
    <w:rsid w:val="00B351DF"/>
    <w:rsid w:val="00B35480"/>
    <w:rsid w:val="00B35C95"/>
    <w:rsid w:val="00B375E8"/>
    <w:rsid w:val="00B37866"/>
    <w:rsid w:val="00B412FB"/>
    <w:rsid w:val="00B42223"/>
    <w:rsid w:val="00B42E32"/>
    <w:rsid w:val="00B43D00"/>
    <w:rsid w:val="00B43D9F"/>
    <w:rsid w:val="00B45257"/>
    <w:rsid w:val="00B4576B"/>
    <w:rsid w:val="00B46350"/>
    <w:rsid w:val="00B4696C"/>
    <w:rsid w:val="00B46CC9"/>
    <w:rsid w:val="00B470AF"/>
    <w:rsid w:val="00B47425"/>
    <w:rsid w:val="00B51074"/>
    <w:rsid w:val="00B5227D"/>
    <w:rsid w:val="00B52FD7"/>
    <w:rsid w:val="00B54D7A"/>
    <w:rsid w:val="00B55B8A"/>
    <w:rsid w:val="00B55EC3"/>
    <w:rsid w:val="00B609A1"/>
    <w:rsid w:val="00B62028"/>
    <w:rsid w:val="00B62368"/>
    <w:rsid w:val="00B62ED1"/>
    <w:rsid w:val="00B62F2E"/>
    <w:rsid w:val="00B63020"/>
    <w:rsid w:val="00B63257"/>
    <w:rsid w:val="00B63A1E"/>
    <w:rsid w:val="00B64378"/>
    <w:rsid w:val="00B65E05"/>
    <w:rsid w:val="00B66BE1"/>
    <w:rsid w:val="00B67F04"/>
    <w:rsid w:val="00B7008B"/>
    <w:rsid w:val="00B70C58"/>
    <w:rsid w:val="00B72601"/>
    <w:rsid w:val="00B74C8B"/>
    <w:rsid w:val="00B75A7B"/>
    <w:rsid w:val="00B75FFA"/>
    <w:rsid w:val="00B76281"/>
    <w:rsid w:val="00B766A0"/>
    <w:rsid w:val="00B769C6"/>
    <w:rsid w:val="00B76E4A"/>
    <w:rsid w:val="00B771D9"/>
    <w:rsid w:val="00B77CD4"/>
    <w:rsid w:val="00B81DAA"/>
    <w:rsid w:val="00B821B7"/>
    <w:rsid w:val="00B82A56"/>
    <w:rsid w:val="00B82DF3"/>
    <w:rsid w:val="00B82F92"/>
    <w:rsid w:val="00B83B60"/>
    <w:rsid w:val="00B83D5E"/>
    <w:rsid w:val="00B8460A"/>
    <w:rsid w:val="00B84B85"/>
    <w:rsid w:val="00B84BB5"/>
    <w:rsid w:val="00B8650D"/>
    <w:rsid w:val="00B86538"/>
    <w:rsid w:val="00B87739"/>
    <w:rsid w:val="00B879B4"/>
    <w:rsid w:val="00B87BBF"/>
    <w:rsid w:val="00B87FDC"/>
    <w:rsid w:val="00B90F07"/>
    <w:rsid w:val="00B910B3"/>
    <w:rsid w:val="00B91136"/>
    <w:rsid w:val="00B91AC2"/>
    <w:rsid w:val="00B92DAB"/>
    <w:rsid w:val="00B92FBD"/>
    <w:rsid w:val="00B92FED"/>
    <w:rsid w:val="00B9358E"/>
    <w:rsid w:val="00B93DC7"/>
    <w:rsid w:val="00B93F88"/>
    <w:rsid w:val="00B97BB9"/>
    <w:rsid w:val="00B97D69"/>
    <w:rsid w:val="00B97F6F"/>
    <w:rsid w:val="00BA0009"/>
    <w:rsid w:val="00BA14CA"/>
    <w:rsid w:val="00BA1943"/>
    <w:rsid w:val="00BA2124"/>
    <w:rsid w:val="00BA2EDC"/>
    <w:rsid w:val="00BA44E5"/>
    <w:rsid w:val="00BA4A44"/>
    <w:rsid w:val="00BA4DE3"/>
    <w:rsid w:val="00BA6533"/>
    <w:rsid w:val="00BB068B"/>
    <w:rsid w:val="00BB0CBA"/>
    <w:rsid w:val="00BB1863"/>
    <w:rsid w:val="00BB1D9C"/>
    <w:rsid w:val="00BB25EE"/>
    <w:rsid w:val="00BB27C7"/>
    <w:rsid w:val="00BB363A"/>
    <w:rsid w:val="00BB3736"/>
    <w:rsid w:val="00BB3893"/>
    <w:rsid w:val="00BB3909"/>
    <w:rsid w:val="00BB5BBD"/>
    <w:rsid w:val="00BB63C7"/>
    <w:rsid w:val="00BC05C0"/>
    <w:rsid w:val="00BC10A0"/>
    <w:rsid w:val="00BC11D7"/>
    <w:rsid w:val="00BC145A"/>
    <w:rsid w:val="00BC2BA9"/>
    <w:rsid w:val="00BC4422"/>
    <w:rsid w:val="00BC4599"/>
    <w:rsid w:val="00BC4CB9"/>
    <w:rsid w:val="00BC783D"/>
    <w:rsid w:val="00BC7882"/>
    <w:rsid w:val="00BC7BA2"/>
    <w:rsid w:val="00BD0207"/>
    <w:rsid w:val="00BD188D"/>
    <w:rsid w:val="00BD1A47"/>
    <w:rsid w:val="00BD2039"/>
    <w:rsid w:val="00BD3478"/>
    <w:rsid w:val="00BD426B"/>
    <w:rsid w:val="00BD4EB8"/>
    <w:rsid w:val="00BD6829"/>
    <w:rsid w:val="00BD79F0"/>
    <w:rsid w:val="00BD7FE0"/>
    <w:rsid w:val="00BE08C0"/>
    <w:rsid w:val="00BE13EC"/>
    <w:rsid w:val="00BE1794"/>
    <w:rsid w:val="00BE2042"/>
    <w:rsid w:val="00BE2B4D"/>
    <w:rsid w:val="00BE44E4"/>
    <w:rsid w:val="00BE5233"/>
    <w:rsid w:val="00BE7447"/>
    <w:rsid w:val="00BF097D"/>
    <w:rsid w:val="00BF3514"/>
    <w:rsid w:val="00BF474B"/>
    <w:rsid w:val="00BF4D5D"/>
    <w:rsid w:val="00BF525C"/>
    <w:rsid w:val="00BF5519"/>
    <w:rsid w:val="00BF58A5"/>
    <w:rsid w:val="00BF6454"/>
    <w:rsid w:val="00BF727E"/>
    <w:rsid w:val="00BF755D"/>
    <w:rsid w:val="00C00F3F"/>
    <w:rsid w:val="00C015F8"/>
    <w:rsid w:val="00C017F8"/>
    <w:rsid w:val="00C03391"/>
    <w:rsid w:val="00C0430C"/>
    <w:rsid w:val="00C05DDA"/>
    <w:rsid w:val="00C06510"/>
    <w:rsid w:val="00C06574"/>
    <w:rsid w:val="00C07E26"/>
    <w:rsid w:val="00C07F9D"/>
    <w:rsid w:val="00C1011C"/>
    <w:rsid w:val="00C10DBC"/>
    <w:rsid w:val="00C110C0"/>
    <w:rsid w:val="00C110ED"/>
    <w:rsid w:val="00C11A5B"/>
    <w:rsid w:val="00C12326"/>
    <w:rsid w:val="00C12396"/>
    <w:rsid w:val="00C136CF"/>
    <w:rsid w:val="00C13A1D"/>
    <w:rsid w:val="00C13B67"/>
    <w:rsid w:val="00C13BF5"/>
    <w:rsid w:val="00C13D0F"/>
    <w:rsid w:val="00C14241"/>
    <w:rsid w:val="00C14474"/>
    <w:rsid w:val="00C15ED8"/>
    <w:rsid w:val="00C177C5"/>
    <w:rsid w:val="00C17F17"/>
    <w:rsid w:val="00C20E11"/>
    <w:rsid w:val="00C21418"/>
    <w:rsid w:val="00C21769"/>
    <w:rsid w:val="00C2194B"/>
    <w:rsid w:val="00C2207B"/>
    <w:rsid w:val="00C22CE7"/>
    <w:rsid w:val="00C233E6"/>
    <w:rsid w:val="00C236B2"/>
    <w:rsid w:val="00C23F53"/>
    <w:rsid w:val="00C242FB"/>
    <w:rsid w:val="00C24BF3"/>
    <w:rsid w:val="00C25FE7"/>
    <w:rsid w:val="00C2687D"/>
    <w:rsid w:val="00C26BA2"/>
    <w:rsid w:val="00C279C5"/>
    <w:rsid w:val="00C27FDC"/>
    <w:rsid w:val="00C3020A"/>
    <w:rsid w:val="00C30965"/>
    <w:rsid w:val="00C31D57"/>
    <w:rsid w:val="00C3203F"/>
    <w:rsid w:val="00C33DD0"/>
    <w:rsid w:val="00C34EC3"/>
    <w:rsid w:val="00C3581D"/>
    <w:rsid w:val="00C36DB1"/>
    <w:rsid w:val="00C37569"/>
    <w:rsid w:val="00C40081"/>
    <w:rsid w:val="00C4038C"/>
    <w:rsid w:val="00C40BC4"/>
    <w:rsid w:val="00C40EDD"/>
    <w:rsid w:val="00C410B7"/>
    <w:rsid w:val="00C41CC5"/>
    <w:rsid w:val="00C42BA2"/>
    <w:rsid w:val="00C44066"/>
    <w:rsid w:val="00C44E13"/>
    <w:rsid w:val="00C46BAE"/>
    <w:rsid w:val="00C4728A"/>
    <w:rsid w:val="00C512F5"/>
    <w:rsid w:val="00C518A7"/>
    <w:rsid w:val="00C51C05"/>
    <w:rsid w:val="00C52D8D"/>
    <w:rsid w:val="00C5324F"/>
    <w:rsid w:val="00C56756"/>
    <w:rsid w:val="00C56A6B"/>
    <w:rsid w:val="00C60A41"/>
    <w:rsid w:val="00C60B36"/>
    <w:rsid w:val="00C62B29"/>
    <w:rsid w:val="00C62DE8"/>
    <w:rsid w:val="00C62DFB"/>
    <w:rsid w:val="00C637D9"/>
    <w:rsid w:val="00C63A5B"/>
    <w:rsid w:val="00C6412A"/>
    <w:rsid w:val="00C6415E"/>
    <w:rsid w:val="00C65EE3"/>
    <w:rsid w:val="00C66A64"/>
    <w:rsid w:val="00C66F4D"/>
    <w:rsid w:val="00C67028"/>
    <w:rsid w:val="00C675E4"/>
    <w:rsid w:val="00C6786B"/>
    <w:rsid w:val="00C67A8F"/>
    <w:rsid w:val="00C67FCB"/>
    <w:rsid w:val="00C709A1"/>
    <w:rsid w:val="00C71E8B"/>
    <w:rsid w:val="00C720DE"/>
    <w:rsid w:val="00C727D0"/>
    <w:rsid w:val="00C72989"/>
    <w:rsid w:val="00C7319B"/>
    <w:rsid w:val="00C76732"/>
    <w:rsid w:val="00C80AE5"/>
    <w:rsid w:val="00C81592"/>
    <w:rsid w:val="00C826EE"/>
    <w:rsid w:val="00C828CB"/>
    <w:rsid w:val="00C82F78"/>
    <w:rsid w:val="00C83120"/>
    <w:rsid w:val="00C8322C"/>
    <w:rsid w:val="00C83D18"/>
    <w:rsid w:val="00C8410D"/>
    <w:rsid w:val="00C84EF7"/>
    <w:rsid w:val="00C84F28"/>
    <w:rsid w:val="00C85053"/>
    <w:rsid w:val="00C86600"/>
    <w:rsid w:val="00C86E08"/>
    <w:rsid w:val="00C87BCA"/>
    <w:rsid w:val="00C90A8B"/>
    <w:rsid w:val="00C926DA"/>
    <w:rsid w:val="00C928F3"/>
    <w:rsid w:val="00C92AEA"/>
    <w:rsid w:val="00C93028"/>
    <w:rsid w:val="00C933C9"/>
    <w:rsid w:val="00C93BBF"/>
    <w:rsid w:val="00C94506"/>
    <w:rsid w:val="00C945E9"/>
    <w:rsid w:val="00C954BC"/>
    <w:rsid w:val="00C959FF"/>
    <w:rsid w:val="00C9602C"/>
    <w:rsid w:val="00C97E90"/>
    <w:rsid w:val="00CA0D02"/>
    <w:rsid w:val="00CA0D34"/>
    <w:rsid w:val="00CA1F0B"/>
    <w:rsid w:val="00CA25C6"/>
    <w:rsid w:val="00CA26A8"/>
    <w:rsid w:val="00CA3060"/>
    <w:rsid w:val="00CA3C35"/>
    <w:rsid w:val="00CA3C46"/>
    <w:rsid w:val="00CA40A6"/>
    <w:rsid w:val="00CA40F8"/>
    <w:rsid w:val="00CA4882"/>
    <w:rsid w:val="00CA4A00"/>
    <w:rsid w:val="00CA6AF4"/>
    <w:rsid w:val="00CA6BC5"/>
    <w:rsid w:val="00CA7105"/>
    <w:rsid w:val="00CB0ACA"/>
    <w:rsid w:val="00CB0CE2"/>
    <w:rsid w:val="00CB110F"/>
    <w:rsid w:val="00CB1D43"/>
    <w:rsid w:val="00CB2A2E"/>
    <w:rsid w:val="00CB2C8A"/>
    <w:rsid w:val="00CB338A"/>
    <w:rsid w:val="00CB5B24"/>
    <w:rsid w:val="00CB79C5"/>
    <w:rsid w:val="00CC134D"/>
    <w:rsid w:val="00CC1971"/>
    <w:rsid w:val="00CC2850"/>
    <w:rsid w:val="00CC28D9"/>
    <w:rsid w:val="00CC40D4"/>
    <w:rsid w:val="00CC411F"/>
    <w:rsid w:val="00CC4B75"/>
    <w:rsid w:val="00CC51E4"/>
    <w:rsid w:val="00CC6C4F"/>
    <w:rsid w:val="00CC727A"/>
    <w:rsid w:val="00CC732E"/>
    <w:rsid w:val="00CC73BF"/>
    <w:rsid w:val="00CD0975"/>
    <w:rsid w:val="00CD2131"/>
    <w:rsid w:val="00CD24BD"/>
    <w:rsid w:val="00CD3D44"/>
    <w:rsid w:val="00CD45A4"/>
    <w:rsid w:val="00CD4648"/>
    <w:rsid w:val="00CD4A96"/>
    <w:rsid w:val="00CD4DDF"/>
    <w:rsid w:val="00CD5139"/>
    <w:rsid w:val="00CD5E4B"/>
    <w:rsid w:val="00CD6A39"/>
    <w:rsid w:val="00CD7207"/>
    <w:rsid w:val="00CE06DF"/>
    <w:rsid w:val="00CE0DBE"/>
    <w:rsid w:val="00CE20D2"/>
    <w:rsid w:val="00CE3182"/>
    <w:rsid w:val="00CE3A5A"/>
    <w:rsid w:val="00CE44DD"/>
    <w:rsid w:val="00CE47D5"/>
    <w:rsid w:val="00CE525A"/>
    <w:rsid w:val="00CE5E4D"/>
    <w:rsid w:val="00CE72A8"/>
    <w:rsid w:val="00CE73DE"/>
    <w:rsid w:val="00CE78D5"/>
    <w:rsid w:val="00CF02C4"/>
    <w:rsid w:val="00CF0D1E"/>
    <w:rsid w:val="00CF157E"/>
    <w:rsid w:val="00CF167F"/>
    <w:rsid w:val="00CF26C6"/>
    <w:rsid w:val="00CF2906"/>
    <w:rsid w:val="00CF2C89"/>
    <w:rsid w:val="00CF57AF"/>
    <w:rsid w:val="00CF600E"/>
    <w:rsid w:val="00CF6AA4"/>
    <w:rsid w:val="00CF72E5"/>
    <w:rsid w:val="00D00FFC"/>
    <w:rsid w:val="00D01A45"/>
    <w:rsid w:val="00D01F54"/>
    <w:rsid w:val="00D02795"/>
    <w:rsid w:val="00D02E64"/>
    <w:rsid w:val="00D02F98"/>
    <w:rsid w:val="00D03A1A"/>
    <w:rsid w:val="00D040A2"/>
    <w:rsid w:val="00D047DD"/>
    <w:rsid w:val="00D04F77"/>
    <w:rsid w:val="00D063FD"/>
    <w:rsid w:val="00D06A37"/>
    <w:rsid w:val="00D06C3F"/>
    <w:rsid w:val="00D06EFC"/>
    <w:rsid w:val="00D10FC7"/>
    <w:rsid w:val="00D11088"/>
    <w:rsid w:val="00D116B3"/>
    <w:rsid w:val="00D11B23"/>
    <w:rsid w:val="00D122A7"/>
    <w:rsid w:val="00D12F17"/>
    <w:rsid w:val="00D13FF3"/>
    <w:rsid w:val="00D14A07"/>
    <w:rsid w:val="00D15D9C"/>
    <w:rsid w:val="00D16913"/>
    <w:rsid w:val="00D16CF6"/>
    <w:rsid w:val="00D1731E"/>
    <w:rsid w:val="00D1789D"/>
    <w:rsid w:val="00D20E99"/>
    <w:rsid w:val="00D210D9"/>
    <w:rsid w:val="00D21647"/>
    <w:rsid w:val="00D21C83"/>
    <w:rsid w:val="00D23997"/>
    <w:rsid w:val="00D23CF6"/>
    <w:rsid w:val="00D23E34"/>
    <w:rsid w:val="00D2580A"/>
    <w:rsid w:val="00D2609A"/>
    <w:rsid w:val="00D26122"/>
    <w:rsid w:val="00D26B1E"/>
    <w:rsid w:val="00D2795E"/>
    <w:rsid w:val="00D30427"/>
    <w:rsid w:val="00D30CA1"/>
    <w:rsid w:val="00D30FE1"/>
    <w:rsid w:val="00D31106"/>
    <w:rsid w:val="00D318A8"/>
    <w:rsid w:val="00D31D0D"/>
    <w:rsid w:val="00D3248D"/>
    <w:rsid w:val="00D33564"/>
    <w:rsid w:val="00D3522C"/>
    <w:rsid w:val="00D355E6"/>
    <w:rsid w:val="00D35BDD"/>
    <w:rsid w:val="00D37AC7"/>
    <w:rsid w:val="00D37F4A"/>
    <w:rsid w:val="00D40765"/>
    <w:rsid w:val="00D40CCF"/>
    <w:rsid w:val="00D40E0E"/>
    <w:rsid w:val="00D41C4C"/>
    <w:rsid w:val="00D42A3F"/>
    <w:rsid w:val="00D4353B"/>
    <w:rsid w:val="00D4387B"/>
    <w:rsid w:val="00D441AE"/>
    <w:rsid w:val="00D445C7"/>
    <w:rsid w:val="00D44F1E"/>
    <w:rsid w:val="00D46B51"/>
    <w:rsid w:val="00D50463"/>
    <w:rsid w:val="00D509DC"/>
    <w:rsid w:val="00D50E7D"/>
    <w:rsid w:val="00D5173C"/>
    <w:rsid w:val="00D51997"/>
    <w:rsid w:val="00D519A0"/>
    <w:rsid w:val="00D51C57"/>
    <w:rsid w:val="00D52382"/>
    <w:rsid w:val="00D53245"/>
    <w:rsid w:val="00D534E7"/>
    <w:rsid w:val="00D5391E"/>
    <w:rsid w:val="00D54989"/>
    <w:rsid w:val="00D54FE4"/>
    <w:rsid w:val="00D5522C"/>
    <w:rsid w:val="00D56B10"/>
    <w:rsid w:val="00D56F14"/>
    <w:rsid w:val="00D572AA"/>
    <w:rsid w:val="00D610A7"/>
    <w:rsid w:val="00D62F13"/>
    <w:rsid w:val="00D63006"/>
    <w:rsid w:val="00D64844"/>
    <w:rsid w:val="00D64C49"/>
    <w:rsid w:val="00D6524C"/>
    <w:rsid w:val="00D65531"/>
    <w:rsid w:val="00D67F4C"/>
    <w:rsid w:val="00D70052"/>
    <w:rsid w:val="00D703E3"/>
    <w:rsid w:val="00D71C6A"/>
    <w:rsid w:val="00D72301"/>
    <w:rsid w:val="00D72919"/>
    <w:rsid w:val="00D747E8"/>
    <w:rsid w:val="00D74BD1"/>
    <w:rsid w:val="00D76172"/>
    <w:rsid w:val="00D76435"/>
    <w:rsid w:val="00D767DF"/>
    <w:rsid w:val="00D7735C"/>
    <w:rsid w:val="00D801B3"/>
    <w:rsid w:val="00D8051D"/>
    <w:rsid w:val="00D8106A"/>
    <w:rsid w:val="00D8157E"/>
    <w:rsid w:val="00D818F5"/>
    <w:rsid w:val="00D83E8C"/>
    <w:rsid w:val="00D84D7A"/>
    <w:rsid w:val="00D85983"/>
    <w:rsid w:val="00D85C0E"/>
    <w:rsid w:val="00D8652E"/>
    <w:rsid w:val="00D86786"/>
    <w:rsid w:val="00D90767"/>
    <w:rsid w:val="00D90792"/>
    <w:rsid w:val="00D90B23"/>
    <w:rsid w:val="00D90C83"/>
    <w:rsid w:val="00D90FF3"/>
    <w:rsid w:val="00D913BC"/>
    <w:rsid w:val="00D91B97"/>
    <w:rsid w:val="00D92DDC"/>
    <w:rsid w:val="00D9320D"/>
    <w:rsid w:val="00D93ACC"/>
    <w:rsid w:val="00D93C08"/>
    <w:rsid w:val="00D949F9"/>
    <w:rsid w:val="00D94ABD"/>
    <w:rsid w:val="00D94D2A"/>
    <w:rsid w:val="00D95DAC"/>
    <w:rsid w:val="00D97797"/>
    <w:rsid w:val="00D97800"/>
    <w:rsid w:val="00DA09D3"/>
    <w:rsid w:val="00DA1FBE"/>
    <w:rsid w:val="00DA266F"/>
    <w:rsid w:val="00DA4764"/>
    <w:rsid w:val="00DA52EF"/>
    <w:rsid w:val="00DA5C92"/>
    <w:rsid w:val="00DA6260"/>
    <w:rsid w:val="00DB010E"/>
    <w:rsid w:val="00DB03B7"/>
    <w:rsid w:val="00DB0D55"/>
    <w:rsid w:val="00DB1171"/>
    <w:rsid w:val="00DB1519"/>
    <w:rsid w:val="00DB187A"/>
    <w:rsid w:val="00DB2840"/>
    <w:rsid w:val="00DB28BA"/>
    <w:rsid w:val="00DB345C"/>
    <w:rsid w:val="00DB55BD"/>
    <w:rsid w:val="00DB5ABE"/>
    <w:rsid w:val="00DB610F"/>
    <w:rsid w:val="00DB6F70"/>
    <w:rsid w:val="00DB72B0"/>
    <w:rsid w:val="00DC0D3D"/>
    <w:rsid w:val="00DC17B4"/>
    <w:rsid w:val="00DC1D30"/>
    <w:rsid w:val="00DC2033"/>
    <w:rsid w:val="00DC520C"/>
    <w:rsid w:val="00DC6FE9"/>
    <w:rsid w:val="00DC789F"/>
    <w:rsid w:val="00DD03A9"/>
    <w:rsid w:val="00DD0AD0"/>
    <w:rsid w:val="00DD1272"/>
    <w:rsid w:val="00DD3B39"/>
    <w:rsid w:val="00DD471F"/>
    <w:rsid w:val="00DD66B4"/>
    <w:rsid w:val="00DD7309"/>
    <w:rsid w:val="00DD7417"/>
    <w:rsid w:val="00DE07EB"/>
    <w:rsid w:val="00DE086F"/>
    <w:rsid w:val="00DE0D47"/>
    <w:rsid w:val="00DE1204"/>
    <w:rsid w:val="00DE1762"/>
    <w:rsid w:val="00DE1972"/>
    <w:rsid w:val="00DE1DA3"/>
    <w:rsid w:val="00DE22B3"/>
    <w:rsid w:val="00DE27AB"/>
    <w:rsid w:val="00DE3986"/>
    <w:rsid w:val="00DE3B7C"/>
    <w:rsid w:val="00DE49C7"/>
    <w:rsid w:val="00DE54B4"/>
    <w:rsid w:val="00DE5E85"/>
    <w:rsid w:val="00DE709C"/>
    <w:rsid w:val="00DE78B2"/>
    <w:rsid w:val="00DF02BB"/>
    <w:rsid w:val="00DF0341"/>
    <w:rsid w:val="00DF0B6C"/>
    <w:rsid w:val="00DF11D2"/>
    <w:rsid w:val="00DF12AB"/>
    <w:rsid w:val="00DF1FA2"/>
    <w:rsid w:val="00DF255F"/>
    <w:rsid w:val="00DF2AB3"/>
    <w:rsid w:val="00DF2B0F"/>
    <w:rsid w:val="00DF2B7C"/>
    <w:rsid w:val="00DF3140"/>
    <w:rsid w:val="00DF6238"/>
    <w:rsid w:val="00DF7250"/>
    <w:rsid w:val="00DF797C"/>
    <w:rsid w:val="00E004CF"/>
    <w:rsid w:val="00E00666"/>
    <w:rsid w:val="00E00CAA"/>
    <w:rsid w:val="00E01988"/>
    <w:rsid w:val="00E01D19"/>
    <w:rsid w:val="00E02A0A"/>
    <w:rsid w:val="00E03996"/>
    <w:rsid w:val="00E03EBF"/>
    <w:rsid w:val="00E04DBD"/>
    <w:rsid w:val="00E04E8B"/>
    <w:rsid w:val="00E05157"/>
    <w:rsid w:val="00E05209"/>
    <w:rsid w:val="00E061F7"/>
    <w:rsid w:val="00E0626C"/>
    <w:rsid w:val="00E07BC3"/>
    <w:rsid w:val="00E10608"/>
    <w:rsid w:val="00E132E1"/>
    <w:rsid w:val="00E13366"/>
    <w:rsid w:val="00E1337A"/>
    <w:rsid w:val="00E137ED"/>
    <w:rsid w:val="00E14020"/>
    <w:rsid w:val="00E1561F"/>
    <w:rsid w:val="00E15A64"/>
    <w:rsid w:val="00E15B11"/>
    <w:rsid w:val="00E1628C"/>
    <w:rsid w:val="00E1631F"/>
    <w:rsid w:val="00E169C3"/>
    <w:rsid w:val="00E17129"/>
    <w:rsid w:val="00E17D07"/>
    <w:rsid w:val="00E2184F"/>
    <w:rsid w:val="00E21A0A"/>
    <w:rsid w:val="00E2258E"/>
    <w:rsid w:val="00E23F47"/>
    <w:rsid w:val="00E249BB"/>
    <w:rsid w:val="00E24BD4"/>
    <w:rsid w:val="00E25C2C"/>
    <w:rsid w:val="00E260C2"/>
    <w:rsid w:val="00E266C9"/>
    <w:rsid w:val="00E26DAD"/>
    <w:rsid w:val="00E274B0"/>
    <w:rsid w:val="00E30777"/>
    <w:rsid w:val="00E30A23"/>
    <w:rsid w:val="00E315F3"/>
    <w:rsid w:val="00E32596"/>
    <w:rsid w:val="00E32759"/>
    <w:rsid w:val="00E33287"/>
    <w:rsid w:val="00E3335E"/>
    <w:rsid w:val="00E360E1"/>
    <w:rsid w:val="00E368F7"/>
    <w:rsid w:val="00E36C52"/>
    <w:rsid w:val="00E36EB8"/>
    <w:rsid w:val="00E37512"/>
    <w:rsid w:val="00E37FB8"/>
    <w:rsid w:val="00E40B07"/>
    <w:rsid w:val="00E413A1"/>
    <w:rsid w:val="00E41B23"/>
    <w:rsid w:val="00E42326"/>
    <w:rsid w:val="00E43544"/>
    <w:rsid w:val="00E44D89"/>
    <w:rsid w:val="00E46D2F"/>
    <w:rsid w:val="00E4723A"/>
    <w:rsid w:val="00E472D5"/>
    <w:rsid w:val="00E477EA"/>
    <w:rsid w:val="00E51AEA"/>
    <w:rsid w:val="00E539FB"/>
    <w:rsid w:val="00E55502"/>
    <w:rsid w:val="00E56A32"/>
    <w:rsid w:val="00E57D8C"/>
    <w:rsid w:val="00E605C1"/>
    <w:rsid w:val="00E62478"/>
    <w:rsid w:val="00E62497"/>
    <w:rsid w:val="00E62CF9"/>
    <w:rsid w:val="00E62E18"/>
    <w:rsid w:val="00E62E53"/>
    <w:rsid w:val="00E62E82"/>
    <w:rsid w:val="00E631FF"/>
    <w:rsid w:val="00E63B14"/>
    <w:rsid w:val="00E65014"/>
    <w:rsid w:val="00E6515D"/>
    <w:rsid w:val="00E66092"/>
    <w:rsid w:val="00E66697"/>
    <w:rsid w:val="00E66809"/>
    <w:rsid w:val="00E668D7"/>
    <w:rsid w:val="00E6776D"/>
    <w:rsid w:val="00E67A1E"/>
    <w:rsid w:val="00E7059D"/>
    <w:rsid w:val="00E70784"/>
    <w:rsid w:val="00E73393"/>
    <w:rsid w:val="00E734EF"/>
    <w:rsid w:val="00E7439D"/>
    <w:rsid w:val="00E74C21"/>
    <w:rsid w:val="00E74FCC"/>
    <w:rsid w:val="00E75251"/>
    <w:rsid w:val="00E75694"/>
    <w:rsid w:val="00E760A5"/>
    <w:rsid w:val="00E801F2"/>
    <w:rsid w:val="00E80468"/>
    <w:rsid w:val="00E80A2A"/>
    <w:rsid w:val="00E82840"/>
    <w:rsid w:val="00E82F7C"/>
    <w:rsid w:val="00E8310C"/>
    <w:rsid w:val="00E83810"/>
    <w:rsid w:val="00E83ECB"/>
    <w:rsid w:val="00E84280"/>
    <w:rsid w:val="00E851BC"/>
    <w:rsid w:val="00E8667F"/>
    <w:rsid w:val="00E868E2"/>
    <w:rsid w:val="00E86933"/>
    <w:rsid w:val="00E90102"/>
    <w:rsid w:val="00E90B26"/>
    <w:rsid w:val="00E90CDC"/>
    <w:rsid w:val="00E91836"/>
    <w:rsid w:val="00E91C2D"/>
    <w:rsid w:val="00E9356C"/>
    <w:rsid w:val="00E93698"/>
    <w:rsid w:val="00E93B26"/>
    <w:rsid w:val="00E93ED3"/>
    <w:rsid w:val="00E94998"/>
    <w:rsid w:val="00E94BAB"/>
    <w:rsid w:val="00E9656C"/>
    <w:rsid w:val="00E96CBC"/>
    <w:rsid w:val="00E97298"/>
    <w:rsid w:val="00E9730A"/>
    <w:rsid w:val="00E97367"/>
    <w:rsid w:val="00E97753"/>
    <w:rsid w:val="00E97C0E"/>
    <w:rsid w:val="00EA22CF"/>
    <w:rsid w:val="00EA355C"/>
    <w:rsid w:val="00EA426C"/>
    <w:rsid w:val="00EA4781"/>
    <w:rsid w:val="00EA4C47"/>
    <w:rsid w:val="00EA4C8E"/>
    <w:rsid w:val="00EA6323"/>
    <w:rsid w:val="00EA68B2"/>
    <w:rsid w:val="00EA6F72"/>
    <w:rsid w:val="00EA7173"/>
    <w:rsid w:val="00EA7DE7"/>
    <w:rsid w:val="00EB0A7B"/>
    <w:rsid w:val="00EB2298"/>
    <w:rsid w:val="00EB47B3"/>
    <w:rsid w:val="00EB59DC"/>
    <w:rsid w:val="00EB60AE"/>
    <w:rsid w:val="00EB6384"/>
    <w:rsid w:val="00EB67DF"/>
    <w:rsid w:val="00EB6C57"/>
    <w:rsid w:val="00EB72EE"/>
    <w:rsid w:val="00EB74B9"/>
    <w:rsid w:val="00EB7A8A"/>
    <w:rsid w:val="00EB7FCF"/>
    <w:rsid w:val="00EC0336"/>
    <w:rsid w:val="00EC0674"/>
    <w:rsid w:val="00EC072F"/>
    <w:rsid w:val="00EC1D5C"/>
    <w:rsid w:val="00EC3C97"/>
    <w:rsid w:val="00EC43E0"/>
    <w:rsid w:val="00EC4F70"/>
    <w:rsid w:val="00EC5350"/>
    <w:rsid w:val="00EC6A39"/>
    <w:rsid w:val="00EC6B74"/>
    <w:rsid w:val="00EC6F80"/>
    <w:rsid w:val="00ED1525"/>
    <w:rsid w:val="00ED178C"/>
    <w:rsid w:val="00ED1AFE"/>
    <w:rsid w:val="00ED1BEB"/>
    <w:rsid w:val="00ED2E9C"/>
    <w:rsid w:val="00ED3B5D"/>
    <w:rsid w:val="00ED5906"/>
    <w:rsid w:val="00ED7AE4"/>
    <w:rsid w:val="00ED7D34"/>
    <w:rsid w:val="00EE23B7"/>
    <w:rsid w:val="00EE2A38"/>
    <w:rsid w:val="00EE3A64"/>
    <w:rsid w:val="00EE3F32"/>
    <w:rsid w:val="00EE4520"/>
    <w:rsid w:val="00EE4998"/>
    <w:rsid w:val="00EE517C"/>
    <w:rsid w:val="00EE53E2"/>
    <w:rsid w:val="00EE58C5"/>
    <w:rsid w:val="00EE5942"/>
    <w:rsid w:val="00EE5F9E"/>
    <w:rsid w:val="00EE7889"/>
    <w:rsid w:val="00EE7EBF"/>
    <w:rsid w:val="00EF01CF"/>
    <w:rsid w:val="00EF2A7D"/>
    <w:rsid w:val="00EF480D"/>
    <w:rsid w:val="00EF6CE3"/>
    <w:rsid w:val="00EF6DF9"/>
    <w:rsid w:val="00F009B1"/>
    <w:rsid w:val="00F01FAF"/>
    <w:rsid w:val="00F027BF"/>
    <w:rsid w:val="00F02FEA"/>
    <w:rsid w:val="00F03590"/>
    <w:rsid w:val="00F03622"/>
    <w:rsid w:val="00F03A7B"/>
    <w:rsid w:val="00F046D9"/>
    <w:rsid w:val="00F05F92"/>
    <w:rsid w:val="00F06476"/>
    <w:rsid w:val="00F0744A"/>
    <w:rsid w:val="00F077FD"/>
    <w:rsid w:val="00F10AB1"/>
    <w:rsid w:val="00F10CC7"/>
    <w:rsid w:val="00F11AD6"/>
    <w:rsid w:val="00F13563"/>
    <w:rsid w:val="00F1446B"/>
    <w:rsid w:val="00F14B37"/>
    <w:rsid w:val="00F15662"/>
    <w:rsid w:val="00F16CE9"/>
    <w:rsid w:val="00F204F3"/>
    <w:rsid w:val="00F21858"/>
    <w:rsid w:val="00F2204A"/>
    <w:rsid w:val="00F22928"/>
    <w:rsid w:val="00F2356D"/>
    <w:rsid w:val="00F238B3"/>
    <w:rsid w:val="00F25586"/>
    <w:rsid w:val="00F25B05"/>
    <w:rsid w:val="00F261BD"/>
    <w:rsid w:val="00F2651D"/>
    <w:rsid w:val="00F26ACE"/>
    <w:rsid w:val="00F27362"/>
    <w:rsid w:val="00F307F1"/>
    <w:rsid w:val="00F30B78"/>
    <w:rsid w:val="00F31498"/>
    <w:rsid w:val="00F31A59"/>
    <w:rsid w:val="00F32342"/>
    <w:rsid w:val="00F32FEF"/>
    <w:rsid w:val="00F34644"/>
    <w:rsid w:val="00F34660"/>
    <w:rsid w:val="00F3531A"/>
    <w:rsid w:val="00F364E2"/>
    <w:rsid w:val="00F3675D"/>
    <w:rsid w:val="00F36C0D"/>
    <w:rsid w:val="00F36EE7"/>
    <w:rsid w:val="00F37613"/>
    <w:rsid w:val="00F40E95"/>
    <w:rsid w:val="00F411D7"/>
    <w:rsid w:val="00F41E8F"/>
    <w:rsid w:val="00F42A01"/>
    <w:rsid w:val="00F42E13"/>
    <w:rsid w:val="00F42F1C"/>
    <w:rsid w:val="00F431F3"/>
    <w:rsid w:val="00F439F6"/>
    <w:rsid w:val="00F43AAB"/>
    <w:rsid w:val="00F43B44"/>
    <w:rsid w:val="00F43CF0"/>
    <w:rsid w:val="00F440E5"/>
    <w:rsid w:val="00F448F6"/>
    <w:rsid w:val="00F44FE8"/>
    <w:rsid w:val="00F4639B"/>
    <w:rsid w:val="00F46ECC"/>
    <w:rsid w:val="00F479C1"/>
    <w:rsid w:val="00F47EA4"/>
    <w:rsid w:val="00F50081"/>
    <w:rsid w:val="00F503C8"/>
    <w:rsid w:val="00F51B45"/>
    <w:rsid w:val="00F524FA"/>
    <w:rsid w:val="00F52741"/>
    <w:rsid w:val="00F53446"/>
    <w:rsid w:val="00F536D3"/>
    <w:rsid w:val="00F5387F"/>
    <w:rsid w:val="00F53D8A"/>
    <w:rsid w:val="00F53FAF"/>
    <w:rsid w:val="00F54386"/>
    <w:rsid w:val="00F54522"/>
    <w:rsid w:val="00F559FD"/>
    <w:rsid w:val="00F5672A"/>
    <w:rsid w:val="00F5774A"/>
    <w:rsid w:val="00F60000"/>
    <w:rsid w:val="00F60C1A"/>
    <w:rsid w:val="00F613DB"/>
    <w:rsid w:val="00F621B3"/>
    <w:rsid w:val="00F62265"/>
    <w:rsid w:val="00F626F7"/>
    <w:rsid w:val="00F636E6"/>
    <w:rsid w:val="00F6378E"/>
    <w:rsid w:val="00F64A4A"/>
    <w:rsid w:val="00F6577A"/>
    <w:rsid w:val="00F65D3E"/>
    <w:rsid w:val="00F669AA"/>
    <w:rsid w:val="00F7037E"/>
    <w:rsid w:val="00F71646"/>
    <w:rsid w:val="00F723E2"/>
    <w:rsid w:val="00F72607"/>
    <w:rsid w:val="00F74019"/>
    <w:rsid w:val="00F754E1"/>
    <w:rsid w:val="00F75C2B"/>
    <w:rsid w:val="00F75E5F"/>
    <w:rsid w:val="00F770B5"/>
    <w:rsid w:val="00F772AA"/>
    <w:rsid w:val="00F774C6"/>
    <w:rsid w:val="00F80ECE"/>
    <w:rsid w:val="00F8102D"/>
    <w:rsid w:val="00F81EC7"/>
    <w:rsid w:val="00F83419"/>
    <w:rsid w:val="00F8428E"/>
    <w:rsid w:val="00F87EAC"/>
    <w:rsid w:val="00F87F92"/>
    <w:rsid w:val="00F9058D"/>
    <w:rsid w:val="00F90F27"/>
    <w:rsid w:val="00F91053"/>
    <w:rsid w:val="00F91502"/>
    <w:rsid w:val="00F92042"/>
    <w:rsid w:val="00F9211C"/>
    <w:rsid w:val="00F9211F"/>
    <w:rsid w:val="00F92946"/>
    <w:rsid w:val="00F92D9E"/>
    <w:rsid w:val="00F930B8"/>
    <w:rsid w:val="00F93683"/>
    <w:rsid w:val="00F96278"/>
    <w:rsid w:val="00F96777"/>
    <w:rsid w:val="00F96D8B"/>
    <w:rsid w:val="00FA095D"/>
    <w:rsid w:val="00FA2794"/>
    <w:rsid w:val="00FA2CE7"/>
    <w:rsid w:val="00FA32B3"/>
    <w:rsid w:val="00FA4DED"/>
    <w:rsid w:val="00FA5716"/>
    <w:rsid w:val="00FA590B"/>
    <w:rsid w:val="00FA59A4"/>
    <w:rsid w:val="00FA5AE8"/>
    <w:rsid w:val="00FA6742"/>
    <w:rsid w:val="00FA6860"/>
    <w:rsid w:val="00FA6C8B"/>
    <w:rsid w:val="00FA7716"/>
    <w:rsid w:val="00FA7C64"/>
    <w:rsid w:val="00FB042E"/>
    <w:rsid w:val="00FB099C"/>
    <w:rsid w:val="00FB0AEC"/>
    <w:rsid w:val="00FB0EAC"/>
    <w:rsid w:val="00FB2807"/>
    <w:rsid w:val="00FB3918"/>
    <w:rsid w:val="00FB4139"/>
    <w:rsid w:val="00FB476E"/>
    <w:rsid w:val="00FB5703"/>
    <w:rsid w:val="00FB5C00"/>
    <w:rsid w:val="00FB6774"/>
    <w:rsid w:val="00FB6928"/>
    <w:rsid w:val="00FB70ED"/>
    <w:rsid w:val="00FB73FD"/>
    <w:rsid w:val="00FC04A0"/>
    <w:rsid w:val="00FC0D90"/>
    <w:rsid w:val="00FC2603"/>
    <w:rsid w:val="00FC3158"/>
    <w:rsid w:val="00FC563C"/>
    <w:rsid w:val="00FC6DB5"/>
    <w:rsid w:val="00FC7D8C"/>
    <w:rsid w:val="00FD14F1"/>
    <w:rsid w:val="00FD2C66"/>
    <w:rsid w:val="00FD2F0C"/>
    <w:rsid w:val="00FD316E"/>
    <w:rsid w:val="00FD37F8"/>
    <w:rsid w:val="00FD3980"/>
    <w:rsid w:val="00FD3A4E"/>
    <w:rsid w:val="00FD3E9A"/>
    <w:rsid w:val="00FD431E"/>
    <w:rsid w:val="00FD4B11"/>
    <w:rsid w:val="00FD4E46"/>
    <w:rsid w:val="00FD4EB7"/>
    <w:rsid w:val="00FD576F"/>
    <w:rsid w:val="00FD5A2C"/>
    <w:rsid w:val="00FD7AB4"/>
    <w:rsid w:val="00FD7EBA"/>
    <w:rsid w:val="00FE0D47"/>
    <w:rsid w:val="00FE1B0D"/>
    <w:rsid w:val="00FE1BE8"/>
    <w:rsid w:val="00FE1D5C"/>
    <w:rsid w:val="00FE233B"/>
    <w:rsid w:val="00FE2F8B"/>
    <w:rsid w:val="00FE35D1"/>
    <w:rsid w:val="00FE37D7"/>
    <w:rsid w:val="00FE489D"/>
    <w:rsid w:val="00FE51BF"/>
    <w:rsid w:val="00FE5204"/>
    <w:rsid w:val="00FE537A"/>
    <w:rsid w:val="00FE67A4"/>
    <w:rsid w:val="00FE6952"/>
    <w:rsid w:val="00FF0604"/>
    <w:rsid w:val="00FF0A69"/>
    <w:rsid w:val="00FF287F"/>
    <w:rsid w:val="00FF342D"/>
    <w:rsid w:val="00FF483A"/>
    <w:rsid w:val="00FF5016"/>
    <w:rsid w:val="00FF5F78"/>
    <w:rsid w:val="00FF6B1F"/>
    <w:rsid w:val="00FF746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CBF116"/>
  <w15:docId w15:val="{8360B070-4749-4CE9-84CE-4AA3307B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FE1"/>
    <w:pPr>
      <w:spacing w:before="120"/>
      <w:jc w:val="both"/>
    </w:pPr>
    <w:rPr>
      <w:rFonts w:ascii="Calibri" w:eastAsiaTheme="minorEastAsia" w:hAnsi="Calibri"/>
      <w:sz w:val="24"/>
      <w:szCs w:val="22"/>
      <w:lang w:val="fr-FR" w:eastAsia="fr-FR"/>
    </w:rPr>
  </w:style>
  <w:style w:type="paragraph" w:styleId="Heading1">
    <w:name w:val="heading 1"/>
    <w:basedOn w:val="Normal"/>
    <w:next w:val="Normal"/>
    <w:link w:val="Heading1Char"/>
    <w:uiPriority w:val="9"/>
    <w:qFormat/>
    <w:rsid w:val="00D30FE1"/>
    <w:pPr>
      <w:keepNext/>
      <w:keepLines/>
      <w:numPr>
        <w:numId w:val="15"/>
      </w:numPr>
      <w:tabs>
        <w:tab w:val="left" w:pos="851"/>
      </w:tabs>
      <w:spacing w:before="400"/>
      <w:outlineLvl w:val="0"/>
    </w:pPr>
    <w:rPr>
      <w:rFonts w:eastAsia="Times New Roman" w:cs="Helvetica"/>
      <w:b/>
      <w:bCs/>
      <w:color w:val="1F9DD9"/>
      <w:sz w:val="28"/>
      <w:szCs w:val="28"/>
      <w:lang w:val="en-US"/>
    </w:rPr>
  </w:style>
  <w:style w:type="paragraph" w:styleId="Heading2">
    <w:name w:val="heading 2"/>
    <w:basedOn w:val="Normal"/>
    <w:next w:val="Normal"/>
    <w:link w:val="Heading2Char"/>
    <w:uiPriority w:val="9"/>
    <w:qFormat/>
    <w:rsid w:val="00D30FE1"/>
    <w:pPr>
      <w:keepNext/>
      <w:numPr>
        <w:ilvl w:val="1"/>
        <w:numId w:val="7"/>
      </w:numPr>
      <w:tabs>
        <w:tab w:val="left" w:pos="851"/>
      </w:tabs>
      <w:spacing w:before="240"/>
      <w:outlineLvl w:val="1"/>
    </w:pPr>
    <w:rPr>
      <w:rFonts w:eastAsia="Times New Roman" w:cs="Helvetica"/>
      <w:b/>
      <w:bCs/>
      <w:color w:val="1F9DD9"/>
      <w:szCs w:val="32"/>
      <w:lang w:val="en-US"/>
    </w:rPr>
  </w:style>
  <w:style w:type="paragraph" w:styleId="Heading3">
    <w:name w:val="heading 3"/>
    <w:basedOn w:val="Heading2"/>
    <w:next w:val="Normal"/>
    <w:link w:val="Heading3Char"/>
    <w:uiPriority w:val="9"/>
    <w:qFormat/>
    <w:rsid w:val="00D30FE1"/>
    <w:pPr>
      <w:numPr>
        <w:ilvl w:val="2"/>
      </w:numPr>
      <w:outlineLvl w:val="2"/>
    </w:pPr>
    <w:rPr>
      <w:i/>
      <w:iCs/>
    </w:rPr>
  </w:style>
  <w:style w:type="paragraph" w:styleId="Heading4">
    <w:name w:val="heading 4"/>
    <w:basedOn w:val="Normal"/>
    <w:next w:val="Normal"/>
    <w:link w:val="Heading4Char"/>
    <w:uiPriority w:val="9"/>
    <w:qFormat/>
    <w:rsid w:val="00D30FE1"/>
    <w:pPr>
      <w:keepNext/>
      <w:numPr>
        <w:ilvl w:val="3"/>
        <w:numId w:val="7"/>
      </w:numPr>
      <w:tabs>
        <w:tab w:val="left" w:pos="993"/>
      </w:tabs>
      <w:spacing w:before="240" w:after="60"/>
      <w:outlineLvl w:val="3"/>
    </w:pPr>
    <w:rPr>
      <w:rFonts w:eastAsia="Times New Roman" w:cs="Times New Roman Bold"/>
      <w:b/>
      <w:bCs/>
      <w:color w:val="1F9DD9"/>
      <w:lang w:val="en-GB" w:eastAsia="en-CA"/>
    </w:rPr>
  </w:style>
  <w:style w:type="paragraph" w:styleId="Heading5">
    <w:name w:val="heading 5"/>
    <w:basedOn w:val="Normal"/>
    <w:next w:val="Normal"/>
    <w:link w:val="Heading5Char"/>
    <w:uiPriority w:val="9"/>
    <w:qFormat/>
    <w:rsid w:val="00D30FE1"/>
    <w:pPr>
      <w:keepNext/>
      <w:keepLines/>
      <w:numPr>
        <w:ilvl w:val="4"/>
        <w:numId w:val="7"/>
      </w:numPr>
      <w:tabs>
        <w:tab w:val="left" w:pos="1134"/>
      </w:tabs>
      <w:spacing w:before="240" w:after="60"/>
      <w:outlineLvl w:val="4"/>
    </w:pPr>
    <w:rPr>
      <w:rFonts w:eastAsia="Times New Roman"/>
      <w:b/>
      <w:bCs/>
      <w:i/>
      <w:iCs/>
      <w:color w:val="31849B"/>
      <w:sz w:val="22"/>
      <w:lang w:val="en-GB"/>
    </w:rPr>
  </w:style>
  <w:style w:type="paragraph" w:styleId="Heading6">
    <w:name w:val="heading 6"/>
    <w:basedOn w:val="Normal"/>
    <w:next w:val="Normal"/>
    <w:link w:val="Heading6Char"/>
    <w:uiPriority w:val="9"/>
    <w:qFormat/>
    <w:rsid w:val="00D30FE1"/>
    <w:pPr>
      <w:numPr>
        <w:ilvl w:val="5"/>
        <w:numId w:val="7"/>
      </w:numPr>
      <w:spacing w:before="240" w:after="60"/>
      <w:outlineLvl w:val="5"/>
    </w:pPr>
    <w:rPr>
      <w:b/>
      <w:bCs/>
    </w:rPr>
  </w:style>
  <w:style w:type="paragraph" w:styleId="Heading7">
    <w:name w:val="heading 7"/>
    <w:basedOn w:val="Normal"/>
    <w:next w:val="Normal"/>
    <w:link w:val="Heading7Char"/>
    <w:uiPriority w:val="9"/>
    <w:qFormat/>
    <w:rsid w:val="00D30FE1"/>
    <w:pPr>
      <w:numPr>
        <w:ilvl w:val="6"/>
        <w:numId w:val="7"/>
      </w:numPr>
      <w:spacing w:before="240" w:after="60"/>
      <w:outlineLvl w:val="6"/>
    </w:pPr>
    <w:rPr>
      <w:szCs w:val="24"/>
    </w:rPr>
  </w:style>
  <w:style w:type="paragraph" w:styleId="Heading8">
    <w:name w:val="heading 8"/>
    <w:basedOn w:val="Normal"/>
    <w:next w:val="Normal"/>
    <w:link w:val="Heading8Char"/>
    <w:uiPriority w:val="9"/>
    <w:qFormat/>
    <w:rsid w:val="00D30FE1"/>
    <w:pPr>
      <w:numPr>
        <w:ilvl w:val="7"/>
        <w:numId w:val="7"/>
      </w:numPr>
      <w:spacing w:before="240" w:after="60"/>
      <w:outlineLvl w:val="7"/>
    </w:pPr>
    <w:rPr>
      <w:i/>
      <w:iCs/>
      <w:szCs w:val="24"/>
    </w:rPr>
  </w:style>
  <w:style w:type="paragraph" w:styleId="Heading9">
    <w:name w:val="heading 9"/>
    <w:basedOn w:val="Normal"/>
    <w:next w:val="Normal"/>
    <w:link w:val="Heading9Char"/>
    <w:uiPriority w:val="9"/>
    <w:rsid w:val="00D30FE1"/>
    <w:pPr>
      <w:numPr>
        <w:ilvl w:val="8"/>
        <w:numId w:val="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Normal"/>
    <w:next w:val="Normal"/>
    <w:autoRedefine/>
    <w:uiPriority w:val="39"/>
    <w:rsid w:val="000304CB"/>
    <w:pPr>
      <w:tabs>
        <w:tab w:val="right" w:pos="1701"/>
        <w:tab w:val="right" w:pos="1985"/>
        <w:tab w:val="right" w:leader="dot" w:pos="8505"/>
        <w:tab w:val="right" w:pos="9071"/>
      </w:tabs>
      <w:spacing w:before="40"/>
      <w:ind w:left="1644" w:right="1701" w:hanging="510"/>
      <w:jc w:val="left"/>
    </w:pPr>
    <w:rPr>
      <w:rFonts w:cs="Arial"/>
      <w:noProof/>
      <w:color w:val="000000"/>
      <w:szCs w:val="24"/>
      <w:lang w:val="en-US"/>
    </w:rPr>
  </w:style>
  <w:style w:type="paragraph" w:styleId="TOC2">
    <w:name w:val="toc 2"/>
    <w:basedOn w:val="Normal"/>
    <w:next w:val="Normal"/>
    <w:autoRedefine/>
    <w:uiPriority w:val="39"/>
    <w:rsid w:val="008B5928"/>
    <w:pPr>
      <w:tabs>
        <w:tab w:val="left" w:pos="567"/>
        <w:tab w:val="left" w:pos="1134"/>
        <w:tab w:val="right" w:pos="8505"/>
      </w:tabs>
      <w:ind w:left="567"/>
      <w:jc w:val="left"/>
    </w:pPr>
    <w:rPr>
      <w:rFonts w:cs="Helvetica"/>
      <w:bCs/>
      <w:noProof/>
      <w:szCs w:val="24"/>
      <w:u w:color="3366CC"/>
    </w:rPr>
  </w:style>
  <w:style w:type="paragraph" w:styleId="TOC1">
    <w:name w:val="toc 1"/>
    <w:basedOn w:val="Normal"/>
    <w:next w:val="Normal"/>
    <w:uiPriority w:val="39"/>
    <w:rsid w:val="00D30FE1"/>
    <w:pPr>
      <w:keepNext/>
      <w:keepLines/>
      <w:tabs>
        <w:tab w:val="left" w:pos="567"/>
        <w:tab w:val="right" w:leader="dot" w:pos="8505"/>
        <w:tab w:val="right" w:pos="9071"/>
      </w:tabs>
      <w:spacing w:before="200"/>
      <w:jc w:val="left"/>
    </w:pPr>
    <w:rPr>
      <w:rFonts w:eastAsia="SimSun" w:cs="Helvetica"/>
      <w:b/>
      <w:bCs/>
      <w:noProof/>
      <w:szCs w:val="28"/>
      <w:lang w:val="en-US"/>
    </w:r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D30FE1"/>
    <w:pPr>
      <w:pBdr>
        <w:top w:val="single" w:sz="4" w:space="1" w:color="31849B"/>
      </w:pBdr>
      <w:tabs>
        <w:tab w:val="right" w:pos="9071"/>
      </w:tabs>
      <w:spacing w:before="0"/>
      <w:ind w:left="6804"/>
      <w:jc w:val="right"/>
    </w:pPr>
  </w:style>
  <w:style w:type="paragraph" w:styleId="Header">
    <w:name w:val="header"/>
    <w:basedOn w:val="Normal"/>
    <w:link w:val="HeaderChar"/>
    <w:unhideWhenUsed/>
    <w:rsid w:val="00D30FE1"/>
    <w:pPr>
      <w:tabs>
        <w:tab w:val="center" w:pos="4513"/>
        <w:tab w:val="right" w:pos="9026"/>
      </w:tabs>
      <w:spacing w:before="0"/>
    </w:pPr>
  </w:style>
  <w:style w:type="character" w:styleId="FootnoteReference">
    <w:name w:val="footnote reference"/>
    <w:basedOn w:val="DefaultParagraphFont"/>
    <w:rsid w:val="00D30FE1"/>
    <w:rPr>
      <w:rFonts w:ascii="Calibri" w:hAnsi="Calibri"/>
      <w:sz w:val="21"/>
      <w:vertAlign w:val="superscript"/>
      <w:lang w:val="fr-CH"/>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D30FE1"/>
    <w:pPr>
      <w:tabs>
        <w:tab w:val="left" w:pos="284"/>
      </w:tabs>
      <w:spacing w:before="0"/>
    </w:pPr>
    <w:rPr>
      <w:sz w:val="18"/>
      <w:szCs w:val="18"/>
      <w:lang w:val="en-US"/>
    </w:r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qFormat/>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spacing w:before="40"/>
    </w:pPr>
    <w:rPr>
      <w:caps/>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uiPriority w:val="99"/>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D30FE1"/>
    <w:rPr>
      <w:rFonts w:ascii="Calibri" w:eastAsiaTheme="minorEastAsia" w:hAnsi="Calibri"/>
      <w:sz w:val="24"/>
      <w:szCs w:val="22"/>
      <w:lang w:val="fr-FR" w:eastAsia="fr-FR"/>
    </w:rPr>
  </w:style>
  <w:style w:type="character" w:customStyle="1" w:styleId="FooterChar">
    <w:name w:val="Footer Char"/>
    <w:basedOn w:val="DefaultParagraphFont"/>
    <w:link w:val="Footer"/>
    <w:rsid w:val="00D30FE1"/>
    <w:rPr>
      <w:rFonts w:ascii="Calibri" w:eastAsiaTheme="minorEastAsia" w:hAnsi="Calibri"/>
      <w:sz w:val="24"/>
      <w:szCs w:val="22"/>
      <w:lang w:val="fr-FR" w:eastAsia="fr-FR"/>
    </w:rPr>
  </w:style>
  <w:style w:type="table" w:styleId="TableGrid">
    <w:name w:val="Table Grid"/>
    <w:basedOn w:val="TableNormal"/>
    <w:uiPriority w:val="39"/>
    <w:rsid w:val="00D30FE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uiPriority w:val="99"/>
    <w:rsid w:val="00D30FE1"/>
    <w:rPr>
      <w:color w:val="0000FF"/>
      <w:u w:val="single"/>
    </w:rPr>
  </w:style>
  <w:style w:type="paragraph" w:styleId="ListParagraph">
    <w:name w:val="List Paragraph"/>
    <w:basedOn w:val="Normal"/>
    <w:link w:val="ListParagraphChar"/>
    <w:uiPriority w:val="34"/>
    <w:qFormat/>
    <w:rsid w:val="00D30FE1"/>
    <w:pPr>
      <w:ind w:left="720"/>
      <w:contextualSpacing/>
    </w:pPr>
  </w:style>
  <w:style w:type="character" w:customStyle="1" w:styleId="ms-rtestyle-tagline">
    <w:name w:val="ms-rtestyle-tagline"/>
    <w:basedOn w:val="DefaultParagraphFont"/>
    <w:rsid w:val="007616AD"/>
  </w:style>
  <w:style w:type="paragraph" w:customStyle="1" w:styleId="Normalaftertitle0">
    <w:name w:val="Normal_after_title"/>
    <w:basedOn w:val="Normal"/>
    <w:next w:val="Normal"/>
    <w:rsid w:val="00C40EDD"/>
    <w:pPr>
      <w:spacing w:before="360"/>
    </w:pPr>
    <w:rPr>
      <w:rFonts w:ascii="Times New Roman" w:hAnsi="Times New Roman"/>
    </w:rPr>
  </w:style>
  <w:style w:type="paragraph" w:customStyle="1" w:styleId="Docnumber">
    <w:name w:val="Docnumber"/>
    <w:basedOn w:val="Normal"/>
    <w:link w:val="DocnumberChar"/>
    <w:rsid w:val="00C40EDD"/>
    <w:pPr>
      <w:jc w:val="right"/>
    </w:pPr>
    <w:rPr>
      <w:rFonts w:ascii="Times New Roman" w:hAnsi="Times New Roman"/>
      <w:b/>
      <w:bCs/>
      <w:sz w:val="40"/>
    </w:rPr>
  </w:style>
  <w:style w:type="character" w:customStyle="1" w:styleId="DocnumberChar">
    <w:name w:val="Docnumber Char"/>
    <w:link w:val="Docnumber"/>
    <w:rsid w:val="00C40EDD"/>
    <w:rPr>
      <w:rFonts w:ascii="Times New Roman" w:hAnsi="Times New Roman"/>
      <w:b/>
      <w:bCs/>
      <w:sz w:val="40"/>
      <w:lang w:val="en-GB" w:eastAsia="en-US"/>
    </w:rPr>
  </w:style>
  <w:style w:type="paragraph" w:styleId="BalloonText">
    <w:name w:val="Balloon Text"/>
    <w:basedOn w:val="Normal"/>
    <w:link w:val="BalloonTextChar"/>
    <w:uiPriority w:val="99"/>
    <w:rsid w:val="002A4F0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A4F0B"/>
    <w:rPr>
      <w:rFonts w:ascii="Tahoma" w:eastAsiaTheme="minorEastAsia" w:hAnsi="Tahoma" w:cs="Tahoma"/>
      <w:sz w:val="16"/>
      <w:szCs w:val="16"/>
      <w:lang w:val="fr-FR" w:eastAsia="fr-FR"/>
    </w:rPr>
  </w:style>
  <w:style w:type="paragraph" w:customStyle="1" w:styleId="Enumlevel2">
    <w:name w:val="Enum level 2"/>
    <w:basedOn w:val="Enumlevel1"/>
    <w:link w:val="Enumlevel2Char"/>
    <w:qFormat/>
    <w:rsid w:val="002A4F0B"/>
    <w:pPr>
      <w:ind w:left="1134" w:hanging="425"/>
    </w:pPr>
    <w:rPr>
      <w:lang w:val="en-AU"/>
    </w:rPr>
  </w:style>
  <w:style w:type="paragraph" w:customStyle="1" w:styleId="Figuretitle0">
    <w:name w:val="Figure title"/>
    <w:basedOn w:val="Normal"/>
    <w:link w:val="FiguretitleChar"/>
    <w:qFormat/>
    <w:rsid w:val="00D30FE1"/>
    <w:pPr>
      <w:keepNext/>
      <w:autoSpaceDE w:val="0"/>
      <w:autoSpaceDN w:val="0"/>
      <w:adjustRightInd w:val="0"/>
      <w:spacing w:before="200"/>
      <w:jc w:val="left"/>
    </w:pPr>
    <w:rPr>
      <w:rFonts w:eastAsia="SimSun" w:cs="Arial"/>
      <w:b/>
      <w:lang w:val="en-AU"/>
    </w:rPr>
  </w:style>
  <w:style w:type="paragraph" w:customStyle="1" w:styleId="PartTitle0">
    <w:name w:val="Part Title"/>
    <w:basedOn w:val="Heading2"/>
    <w:next w:val="Normal"/>
    <w:link w:val="PartTitleChar"/>
    <w:rsid w:val="002A4F0B"/>
    <w:pPr>
      <w:tabs>
        <w:tab w:val="left" w:pos="1134"/>
      </w:tabs>
      <w:spacing w:before="400"/>
    </w:pPr>
    <w:rPr>
      <w:i/>
      <w:sz w:val="44"/>
      <w:szCs w:val="36"/>
      <w:u w:color="E36C0A"/>
      <w:lang w:val="en-AU"/>
    </w:rPr>
  </w:style>
  <w:style w:type="character" w:customStyle="1" w:styleId="Enumlevel2Char">
    <w:name w:val="Enum level 2 Char"/>
    <w:basedOn w:val="Enumlevel1Char"/>
    <w:link w:val="Enumlevel2"/>
    <w:rsid w:val="002A4F0B"/>
    <w:rPr>
      <w:rFonts w:ascii="Calibri" w:eastAsia="SimSun" w:hAnsi="Calibri" w:cs="Calibri"/>
      <w:sz w:val="21"/>
      <w:szCs w:val="21"/>
      <w:lang w:val="en-AU" w:eastAsia="en-GB"/>
    </w:rPr>
  </w:style>
  <w:style w:type="paragraph" w:customStyle="1" w:styleId="Figure">
    <w:name w:val="Figure"/>
    <w:basedOn w:val="Figuretitle0"/>
    <w:link w:val="FigureChar"/>
    <w:qFormat/>
    <w:rsid w:val="00D30FE1"/>
    <w:pPr>
      <w:spacing w:before="240" w:after="120"/>
      <w:jc w:val="center"/>
    </w:pPr>
    <w:rPr>
      <w:b w:val="0"/>
      <w:bCs/>
    </w:rPr>
  </w:style>
  <w:style w:type="character" w:customStyle="1" w:styleId="FiguretitleChar">
    <w:name w:val="Figure title Char"/>
    <w:basedOn w:val="DefaultParagraphFont"/>
    <w:link w:val="Figuretitle0"/>
    <w:rsid w:val="00D30FE1"/>
    <w:rPr>
      <w:rFonts w:ascii="Calibri" w:eastAsia="SimSun" w:hAnsi="Calibri" w:cs="Arial"/>
      <w:b/>
      <w:sz w:val="24"/>
      <w:szCs w:val="22"/>
      <w:lang w:val="en-AU" w:eastAsia="fr-FR"/>
    </w:rPr>
  </w:style>
  <w:style w:type="paragraph" w:customStyle="1" w:styleId="figuresource">
    <w:name w:val="figure source"/>
    <w:basedOn w:val="Figuretitle0"/>
    <w:link w:val="figuresourceChar"/>
    <w:qFormat/>
    <w:rsid w:val="002A4F0B"/>
    <w:rPr>
      <w:b w:val="0"/>
      <w:bCs/>
      <w:i/>
      <w:iCs/>
      <w:sz w:val="19"/>
      <w:szCs w:val="19"/>
    </w:rPr>
  </w:style>
  <w:style w:type="character" w:customStyle="1" w:styleId="FigureChar">
    <w:name w:val="Figure Char"/>
    <w:basedOn w:val="FiguretitleChar"/>
    <w:link w:val="Figure"/>
    <w:rsid w:val="00D30FE1"/>
    <w:rPr>
      <w:rFonts w:ascii="Calibri" w:eastAsia="SimSun" w:hAnsi="Calibri" w:cs="Arial"/>
      <w:b w:val="0"/>
      <w:bCs/>
      <w:sz w:val="24"/>
      <w:szCs w:val="22"/>
      <w:lang w:val="en-AU" w:eastAsia="fr-FR"/>
    </w:rPr>
  </w:style>
  <w:style w:type="character" w:customStyle="1" w:styleId="href">
    <w:name w:val="href"/>
    <w:basedOn w:val="DefaultParagraphFont"/>
    <w:uiPriority w:val="99"/>
    <w:rsid w:val="00D30FE1"/>
    <w:rPr>
      <w:rFonts w:cs="Times New Roman"/>
    </w:rPr>
  </w:style>
  <w:style w:type="character" w:customStyle="1" w:styleId="figuresourceChar">
    <w:name w:val="figure source Char"/>
    <w:basedOn w:val="FiguretitleChar"/>
    <w:link w:val="figuresource"/>
    <w:rsid w:val="002A4F0B"/>
    <w:rPr>
      <w:rFonts w:ascii="Calibri" w:eastAsia="SimSun" w:hAnsi="Calibri" w:cs="Arial"/>
      <w:b w:val="0"/>
      <w:bCs/>
      <w:i/>
      <w:iCs/>
      <w:color w:val="000000"/>
      <w:sz w:val="19"/>
      <w:szCs w:val="19"/>
      <w:shd w:val="clear" w:color="auto" w:fill="E8F8FD"/>
      <w:lang w:val="en-AU" w:eastAsia="fr-FR"/>
    </w:rPr>
  </w:style>
  <w:style w:type="table" w:customStyle="1" w:styleId="HIPTable">
    <w:name w:val="HIP Table"/>
    <w:basedOn w:val="TableNormal"/>
    <w:rsid w:val="00D30FE1"/>
    <w:rPr>
      <w:rFonts w:ascii="Helvetica" w:eastAsiaTheme="minorEastAsia" w:hAnsi="Helvetica"/>
      <w:sz w:val="18"/>
    </w:rPr>
    <w:tblPr>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sz w:val="20"/>
      </w:rPr>
    </w:tblStylePr>
  </w:style>
  <w:style w:type="numbering" w:customStyle="1" w:styleId="HIPTitlesHierarchy">
    <w:name w:val="HIP Titles Hierarchy"/>
    <w:rsid w:val="00D30FE1"/>
    <w:pPr>
      <w:numPr>
        <w:numId w:val="5"/>
      </w:numPr>
    </w:pPr>
  </w:style>
  <w:style w:type="numbering" w:customStyle="1" w:styleId="HIPBulletsHierarchy">
    <w:name w:val="HIP Bullets Hierarchy"/>
    <w:rsid w:val="00D30FE1"/>
    <w:pPr>
      <w:numPr>
        <w:numId w:val="4"/>
      </w:numPr>
    </w:pPr>
  </w:style>
  <w:style w:type="character" w:customStyle="1" w:styleId="Heading2Char">
    <w:name w:val="Heading 2 Char"/>
    <w:basedOn w:val="DefaultParagraphFont"/>
    <w:link w:val="Heading2"/>
    <w:uiPriority w:val="9"/>
    <w:rsid w:val="00D30FE1"/>
    <w:rPr>
      <w:rFonts w:ascii="Calibri" w:hAnsi="Calibri" w:cs="Helvetica"/>
      <w:b/>
      <w:bCs/>
      <w:color w:val="1F9DD9"/>
      <w:sz w:val="24"/>
      <w:szCs w:val="32"/>
      <w:lang w:eastAsia="fr-FR"/>
    </w:rPr>
  </w:style>
  <w:style w:type="character" w:customStyle="1" w:styleId="PartTitleChar">
    <w:name w:val="Part Title Char"/>
    <w:basedOn w:val="Heading2Char"/>
    <w:link w:val="PartTitle0"/>
    <w:rsid w:val="002A4F0B"/>
    <w:rPr>
      <w:rFonts w:ascii="Calibri" w:hAnsi="Calibri" w:cs="Helvetica"/>
      <w:b/>
      <w:bCs/>
      <w:i/>
      <w:color w:val="1F9DD9"/>
      <w:sz w:val="44"/>
      <w:szCs w:val="36"/>
      <w:u w:color="E36C0A"/>
      <w:lang w:val="en-AU" w:eastAsia="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D30FE1"/>
    <w:rPr>
      <w:rFonts w:ascii="Calibri" w:eastAsiaTheme="minorEastAsia" w:hAnsi="Calibri"/>
      <w:sz w:val="18"/>
      <w:szCs w:val="18"/>
      <w:lang w:eastAsia="fr-FR"/>
    </w:rPr>
  </w:style>
  <w:style w:type="paragraph" w:customStyle="1" w:styleId="Default">
    <w:name w:val="Default"/>
    <w:rsid w:val="002A4F0B"/>
    <w:pPr>
      <w:autoSpaceDE w:val="0"/>
      <w:autoSpaceDN w:val="0"/>
      <w:adjustRightInd w:val="0"/>
    </w:pPr>
    <w:rPr>
      <w:rFonts w:ascii="Times New Roman" w:eastAsiaTheme="minorEastAsia" w:hAnsi="Times New Roman"/>
      <w:color w:val="000000"/>
      <w:sz w:val="24"/>
      <w:szCs w:val="24"/>
      <w:lang w:val="en-TT" w:eastAsia="en-US"/>
    </w:rPr>
  </w:style>
  <w:style w:type="paragraph" w:customStyle="1" w:styleId="Chapttitle">
    <w:name w:val="Chapt title"/>
    <w:basedOn w:val="Normal"/>
    <w:link w:val="ChapttitleChar"/>
    <w:qFormat/>
    <w:rsid w:val="00D30FE1"/>
    <w:pPr>
      <w:keepNext/>
      <w:keepLines/>
      <w:tabs>
        <w:tab w:val="left" w:pos="851"/>
      </w:tabs>
      <w:spacing w:before="0"/>
      <w:jc w:val="center"/>
      <w:outlineLvl w:val="0"/>
    </w:pPr>
    <w:rPr>
      <w:rFonts w:cs="Helvetica"/>
      <w:b/>
      <w:bCs/>
      <w:color w:val="1F9DD9"/>
      <w:sz w:val="40"/>
      <w:szCs w:val="28"/>
      <w:lang w:val="en-US"/>
    </w:rPr>
  </w:style>
  <w:style w:type="paragraph" w:customStyle="1" w:styleId="Toc00">
    <w:name w:val="Toc 0"/>
    <w:basedOn w:val="Normal"/>
    <w:link w:val="Toc0Char"/>
    <w:qFormat/>
    <w:rsid w:val="00D30FE1"/>
    <w:pPr>
      <w:tabs>
        <w:tab w:val="right" w:pos="9071"/>
      </w:tabs>
      <w:spacing w:before="200"/>
      <w:jc w:val="right"/>
    </w:pPr>
    <w:rPr>
      <w:rFonts w:cs="Helvetica"/>
      <w:bCs/>
      <w:i/>
      <w:iCs/>
      <w:noProof/>
      <w:color w:val="31849B"/>
      <w:szCs w:val="28"/>
      <w:lang w:val="en-US"/>
    </w:rPr>
  </w:style>
  <w:style w:type="character" w:customStyle="1" w:styleId="Heading1Char">
    <w:name w:val="Heading 1 Char"/>
    <w:basedOn w:val="DefaultParagraphFont"/>
    <w:link w:val="Heading1"/>
    <w:uiPriority w:val="9"/>
    <w:rsid w:val="00D30FE1"/>
    <w:rPr>
      <w:rFonts w:ascii="Calibri" w:hAnsi="Calibri" w:cs="Helvetica"/>
      <w:b/>
      <w:bCs/>
      <w:color w:val="1F9DD9"/>
      <w:sz w:val="28"/>
      <w:szCs w:val="28"/>
      <w:lang w:eastAsia="fr-FR"/>
    </w:rPr>
  </w:style>
  <w:style w:type="character" w:customStyle="1" w:styleId="ChapttitleChar">
    <w:name w:val="Chapt title Char"/>
    <w:basedOn w:val="DefaultParagraphFont"/>
    <w:link w:val="Chapttitle"/>
    <w:rsid w:val="00D30FE1"/>
    <w:rPr>
      <w:rFonts w:ascii="Calibri" w:eastAsiaTheme="minorEastAsia" w:hAnsi="Calibri" w:cs="Helvetica"/>
      <w:b/>
      <w:bCs/>
      <w:color w:val="1F9DD9"/>
      <w:sz w:val="40"/>
      <w:szCs w:val="28"/>
      <w:lang w:eastAsia="fr-FR"/>
    </w:rPr>
  </w:style>
  <w:style w:type="character" w:customStyle="1" w:styleId="Toc0Char">
    <w:name w:val="Toc 0 Char"/>
    <w:basedOn w:val="DefaultParagraphFont"/>
    <w:link w:val="Toc00"/>
    <w:rsid w:val="00D30FE1"/>
    <w:rPr>
      <w:rFonts w:ascii="Calibri" w:eastAsiaTheme="minorEastAsia" w:hAnsi="Calibri" w:cs="Helvetica"/>
      <w:bCs/>
      <w:i/>
      <w:iCs/>
      <w:noProof/>
      <w:color w:val="31849B"/>
      <w:sz w:val="24"/>
      <w:szCs w:val="28"/>
      <w:lang w:eastAsia="fr-FR"/>
    </w:rPr>
  </w:style>
  <w:style w:type="paragraph" w:customStyle="1" w:styleId="HeadingB0">
    <w:name w:val="Heading B"/>
    <w:basedOn w:val="Normal"/>
    <w:link w:val="HeadingBChar0"/>
    <w:qFormat/>
    <w:rsid w:val="00D30FE1"/>
    <w:pPr>
      <w:spacing w:before="240"/>
    </w:pPr>
    <w:rPr>
      <w:b/>
      <w:bCs/>
      <w:color w:val="31849B"/>
      <w:lang w:val="en-AU"/>
    </w:rPr>
  </w:style>
  <w:style w:type="paragraph" w:customStyle="1" w:styleId="Enumlevel1">
    <w:name w:val="Enum level 1"/>
    <w:basedOn w:val="Normal"/>
    <w:link w:val="Enumlevel1Char"/>
    <w:qFormat/>
    <w:rsid w:val="002A4F0B"/>
    <w:pPr>
      <w:ind w:left="851" w:hanging="494"/>
    </w:pPr>
    <w:rPr>
      <w:rFonts w:eastAsia="SimSun" w:cs="Calibri"/>
      <w:sz w:val="21"/>
      <w:szCs w:val="21"/>
      <w:lang w:eastAsia="en-GB"/>
    </w:rPr>
  </w:style>
  <w:style w:type="character" w:customStyle="1" w:styleId="HeadingBChar0">
    <w:name w:val="Heading B Char"/>
    <w:basedOn w:val="DefaultParagraphFont"/>
    <w:link w:val="HeadingB0"/>
    <w:rsid w:val="00D30FE1"/>
    <w:rPr>
      <w:rFonts w:ascii="Calibri" w:eastAsiaTheme="minorEastAsia" w:hAnsi="Calibri"/>
      <w:b/>
      <w:bCs/>
      <w:color w:val="31849B"/>
      <w:sz w:val="24"/>
      <w:szCs w:val="22"/>
      <w:lang w:val="en-AU" w:eastAsia="fr-FR"/>
    </w:rPr>
  </w:style>
  <w:style w:type="paragraph" w:customStyle="1" w:styleId="Citation1">
    <w:name w:val="Citation1"/>
    <w:basedOn w:val="Normal"/>
    <w:qFormat/>
    <w:rsid w:val="002A4F0B"/>
    <w:pPr>
      <w:pBdr>
        <w:top w:val="single" w:sz="12" w:space="1" w:color="31849B"/>
        <w:left w:val="single" w:sz="12" w:space="4" w:color="31849B"/>
        <w:bottom w:val="single" w:sz="12" w:space="1" w:color="31849B"/>
        <w:right w:val="single" w:sz="12" w:space="4" w:color="31849B"/>
      </w:pBdr>
      <w:shd w:val="clear" w:color="auto" w:fill="DAEEF3"/>
      <w:spacing w:before="240" w:after="240"/>
      <w:ind w:left="567" w:right="495"/>
    </w:pPr>
    <w:rPr>
      <w:bCs/>
      <w:i/>
      <w:iCs/>
      <w:sz w:val="21"/>
      <w:lang w:val="en-US"/>
    </w:rPr>
  </w:style>
  <w:style w:type="character" w:customStyle="1" w:styleId="Enumlevel1Char">
    <w:name w:val="Enum level 1 Char"/>
    <w:basedOn w:val="DefaultParagraphFont"/>
    <w:link w:val="Enumlevel1"/>
    <w:rsid w:val="002A4F0B"/>
    <w:rPr>
      <w:rFonts w:ascii="Calibri" w:eastAsia="SimSun" w:hAnsi="Calibri" w:cs="Calibri"/>
      <w:sz w:val="21"/>
      <w:szCs w:val="21"/>
      <w:lang w:val="en-GB" w:eastAsia="en-GB"/>
    </w:rPr>
  </w:style>
  <w:style w:type="paragraph" w:customStyle="1" w:styleId="Tablesource">
    <w:name w:val="Table source"/>
    <w:basedOn w:val="Tabletext0"/>
    <w:link w:val="TablesourceChar"/>
    <w:qFormat/>
    <w:rsid w:val="002A4F0B"/>
    <w:rPr>
      <w:i/>
      <w:iCs/>
    </w:rPr>
  </w:style>
  <w:style w:type="character" w:customStyle="1" w:styleId="CitationChar">
    <w:name w:val="Citation Char"/>
    <w:basedOn w:val="DefaultParagraphFont"/>
    <w:link w:val="Citation2"/>
    <w:rsid w:val="00D30FE1"/>
    <w:rPr>
      <w:rFonts w:ascii="Calibri" w:eastAsiaTheme="minorEastAsia" w:hAnsi="Calibri"/>
      <w:bCs/>
      <w:i/>
      <w:iCs/>
      <w:sz w:val="24"/>
      <w:szCs w:val="22"/>
      <w:shd w:val="clear" w:color="auto" w:fill="DAEEF3"/>
      <w:lang w:eastAsia="fr-FR"/>
    </w:rPr>
  </w:style>
  <w:style w:type="paragraph" w:customStyle="1" w:styleId="disclaimer">
    <w:name w:val="disclaimer"/>
    <w:basedOn w:val="Figure"/>
    <w:link w:val="disclaimerChar"/>
    <w:qFormat/>
    <w:rsid w:val="00D30FE1"/>
    <w:pPr>
      <w:spacing w:before="0" w:after="0"/>
      <w:jc w:val="both"/>
    </w:pPr>
    <w:rPr>
      <w:color w:val="000000" w:themeColor="text1"/>
      <w:lang w:val="en-GB"/>
    </w:rPr>
  </w:style>
  <w:style w:type="character" w:customStyle="1" w:styleId="Heading3Char">
    <w:name w:val="Heading 3 Char"/>
    <w:basedOn w:val="DefaultParagraphFont"/>
    <w:link w:val="Heading3"/>
    <w:uiPriority w:val="9"/>
    <w:locked/>
    <w:rsid w:val="00D30FE1"/>
    <w:rPr>
      <w:rFonts w:ascii="Calibri" w:hAnsi="Calibri" w:cs="Helvetica"/>
      <w:b/>
      <w:bCs/>
      <w:i/>
      <w:iCs/>
      <w:color w:val="1F9DD9"/>
      <w:sz w:val="24"/>
      <w:szCs w:val="32"/>
      <w:lang w:eastAsia="fr-FR"/>
    </w:rPr>
  </w:style>
  <w:style w:type="character" w:customStyle="1" w:styleId="Heading4Char">
    <w:name w:val="Heading 4 Char"/>
    <w:basedOn w:val="DefaultParagraphFont"/>
    <w:link w:val="Heading4"/>
    <w:uiPriority w:val="9"/>
    <w:locked/>
    <w:rsid w:val="00D30FE1"/>
    <w:rPr>
      <w:rFonts w:ascii="Calibri" w:hAnsi="Calibri" w:cs="Times New Roman Bold"/>
      <w:b/>
      <w:bCs/>
      <w:color w:val="1F9DD9"/>
      <w:sz w:val="24"/>
      <w:szCs w:val="22"/>
      <w:lang w:val="en-GB" w:eastAsia="en-CA"/>
    </w:rPr>
  </w:style>
  <w:style w:type="character" w:customStyle="1" w:styleId="Heading5Char">
    <w:name w:val="Heading 5 Char"/>
    <w:basedOn w:val="DefaultParagraphFont"/>
    <w:link w:val="Heading5"/>
    <w:uiPriority w:val="9"/>
    <w:locked/>
    <w:rsid w:val="00D30FE1"/>
    <w:rPr>
      <w:rFonts w:ascii="Calibri" w:hAnsi="Calibri"/>
      <w:b/>
      <w:bCs/>
      <w:i/>
      <w:iCs/>
      <w:color w:val="31849B"/>
      <w:sz w:val="22"/>
      <w:szCs w:val="22"/>
      <w:lang w:val="en-GB" w:eastAsia="fr-FR"/>
    </w:rPr>
  </w:style>
  <w:style w:type="character" w:customStyle="1" w:styleId="Heading6Char">
    <w:name w:val="Heading 6 Char"/>
    <w:basedOn w:val="DefaultParagraphFont"/>
    <w:link w:val="Heading6"/>
    <w:uiPriority w:val="9"/>
    <w:locked/>
    <w:rsid w:val="00D30FE1"/>
    <w:rPr>
      <w:rFonts w:ascii="Calibri" w:eastAsiaTheme="minorEastAsia" w:hAnsi="Calibri"/>
      <w:b/>
      <w:bCs/>
      <w:sz w:val="24"/>
      <w:szCs w:val="22"/>
      <w:lang w:val="fr-FR" w:eastAsia="fr-FR"/>
    </w:rPr>
  </w:style>
  <w:style w:type="character" w:customStyle="1" w:styleId="Heading7Char">
    <w:name w:val="Heading 7 Char"/>
    <w:basedOn w:val="DefaultParagraphFont"/>
    <w:link w:val="Heading7"/>
    <w:uiPriority w:val="9"/>
    <w:locked/>
    <w:rsid w:val="00D30FE1"/>
    <w:rPr>
      <w:rFonts w:ascii="Calibri" w:eastAsiaTheme="minorEastAsia" w:hAnsi="Calibri"/>
      <w:sz w:val="24"/>
      <w:szCs w:val="24"/>
      <w:lang w:val="fr-FR" w:eastAsia="fr-FR"/>
    </w:rPr>
  </w:style>
  <w:style w:type="character" w:customStyle="1" w:styleId="Heading8Char">
    <w:name w:val="Heading 8 Char"/>
    <w:basedOn w:val="DefaultParagraphFont"/>
    <w:link w:val="Heading8"/>
    <w:uiPriority w:val="9"/>
    <w:locked/>
    <w:rsid w:val="00D30FE1"/>
    <w:rPr>
      <w:rFonts w:ascii="Calibri" w:eastAsiaTheme="minorEastAsia" w:hAnsi="Calibri"/>
      <w:i/>
      <w:iCs/>
      <w:sz w:val="24"/>
      <w:szCs w:val="24"/>
      <w:lang w:val="fr-FR" w:eastAsia="fr-FR"/>
    </w:rPr>
  </w:style>
  <w:style w:type="character" w:customStyle="1" w:styleId="Heading9Char">
    <w:name w:val="Heading 9 Char"/>
    <w:basedOn w:val="DefaultParagraphFont"/>
    <w:link w:val="Heading9"/>
    <w:uiPriority w:val="9"/>
    <w:locked/>
    <w:rsid w:val="00D30FE1"/>
    <w:rPr>
      <w:rFonts w:ascii="Arial" w:eastAsiaTheme="minorEastAsia" w:hAnsi="Arial" w:cs="Arial"/>
      <w:sz w:val="24"/>
      <w:szCs w:val="22"/>
      <w:lang w:val="fr-FR" w:eastAsia="fr-FR"/>
    </w:rPr>
  </w:style>
  <w:style w:type="paragraph" w:styleId="Revision">
    <w:name w:val="Revision"/>
    <w:hidden/>
    <w:uiPriority w:val="99"/>
    <w:semiHidden/>
    <w:rsid w:val="002A4F0B"/>
    <w:rPr>
      <w:rFonts w:ascii="Times New Roman" w:eastAsia="SimSun" w:hAnsi="Times New Roman"/>
      <w:sz w:val="24"/>
      <w:szCs w:val="24"/>
      <w:lang w:val="en-GB" w:eastAsia="en-GB"/>
    </w:rPr>
  </w:style>
  <w:style w:type="character" w:styleId="FollowedHyperlink">
    <w:name w:val="FollowedHyperlink"/>
    <w:basedOn w:val="DefaultParagraphFont"/>
    <w:uiPriority w:val="99"/>
    <w:rsid w:val="00D30FE1"/>
    <w:rPr>
      <w:rFonts w:cs="Times New Roman"/>
      <w:color w:val="800080"/>
      <w:u w:val="single"/>
    </w:rPr>
  </w:style>
  <w:style w:type="paragraph" w:customStyle="1" w:styleId="Tablehead0">
    <w:name w:val="Table head"/>
    <w:basedOn w:val="Normal"/>
    <w:link w:val="TableheadChar"/>
    <w:qFormat/>
    <w:rsid w:val="00D30FE1"/>
    <w:pPr>
      <w:autoSpaceDE w:val="0"/>
      <w:autoSpaceDN w:val="0"/>
      <w:adjustRightInd w:val="0"/>
      <w:spacing w:before="80" w:after="80"/>
      <w:jc w:val="left"/>
    </w:pPr>
    <w:rPr>
      <w:rFonts w:cs="Arial"/>
      <w:b/>
      <w:bCs/>
      <w:sz w:val="22"/>
      <w:lang w:val="en-US"/>
    </w:rPr>
  </w:style>
  <w:style w:type="character" w:customStyle="1" w:styleId="TableheadChar">
    <w:name w:val="Table head Char"/>
    <w:basedOn w:val="DefaultParagraphFont"/>
    <w:link w:val="Tablehead0"/>
    <w:rsid w:val="00D30FE1"/>
    <w:rPr>
      <w:rFonts w:ascii="Calibri" w:eastAsiaTheme="minorEastAsia" w:hAnsi="Calibri" w:cs="Arial"/>
      <w:b/>
      <w:bCs/>
      <w:sz w:val="22"/>
      <w:szCs w:val="22"/>
      <w:lang w:eastAsia="fr-FR"/>
    </w:rPr>
  </w:style>
  <w:style w:type="paragraph" w:customStyle="1" w:styleId="Tabletext0">
    <w:name w:val="Table text"/>
    <w:basedOn w:val="Normal"/>
    <w:link w:val="TabletextChar"/>
    <w:qFormat/>
    <w:rsid w:val="00D30FE1"/>
    <w:pPr>
      <w:spacing w:before="40" w:after="40"/>
      <w:jc w:val="left"/>
    </w:pPr>
    <w:rPr>
      <w:rFonts w:asciiTheme="minorHAnsi" w:hAnsiTheme="minorHAnsi"/>
      <w:bCs/>
      <w:sz w:val="22"/>
      <w:szCs w:val="18"/>
    </w:rPr>
  </w:style>
  <w:style w:type="character" w:customStyle="1" w:styleId="TabletextChar">
    <w:name w:val="Table text Char"/>
    <w:basedOn w:val="DefaultParagraphFont"/>
    <w:link w:val="Tabletext0"/>
    <w:rsid w:val="00D30FE1"/>
    <w:rPr>
      <w:rFonts w:asciiTheme="minorHAnsi" w:eastAsiaTheme="minorEastAsia" w:hAnsiTheme="minorHAnsi"/>
      <w:bCs/>
      <w:sz w:val="22"/>
      <w:szCs w:val="18"/>
      <w:lang w:val="fr-FR" w:eastAsia="fr-FR"/>
    </w:rPr>
  </w:style>
  <w:style w:type="paragraph" w:customStyle="1" w:styleId="Tabletitle0">
    <w:name w:val="Table title"/>
    <w:basedOn w:val="Normal"/>
    <w:link w:val="TabletitleChar"/>
    <w:qFormat/>
    <w:rsid w:val="00D30FE1"/>
    <w:pPr>
      <w:autoSpaceDE w:val="0"/>
      <w:autoSpaceDN w:val="0"/>
      <w:adjustRightInd w:val="0"/>
      <w:spacing w:before="240" w:after="120"/>
      <w:jc w:val="left"/>
    </w:pPr>
    <w:rPr>
      <w:rFonts w:cs="Arial"/>
      <w:b/>
      <w:bCs/>
      <w:szCs w:val="24"/>
      <w:lang w:val="en-US"/>
    </w:rPr>
  </w:style>
  <w:style w:type="character" w:customStyle="1" w:styleId="TabletitleChar">
    <w:name w:val="Table title Char"/>
    <w:basedOn w:val="DefaultParagraphFont"/>
    <w:link w:val="Tabletitle0"/>
    <w:rsid w:val="00D30FE1"/>
    <w:rPr>
      <w:rFonts w:ascii="Calibri" w:eastAsiaTheme="minorEastAsia" w:hAnsi="Calibri" w:cs="Arial"/>
      <w:b/>
      <w:bCs/>
      <w:sz w:val="24"/>
      <w:szCs w:val="24"/>
      <w:lang w:eastAsia="fr-FR"/>
    </w:rPr>
  </w:style>
  <w:style w:type="paragraph" w:styleId="z-TopofForm">
    <w:name w:val="HTML Top of Form"/>
    <w:basedOn w:val="Normal"/>
    <w:next w:val="Normal"/>
    <w:link w:val="z-TopofFormChar"/>
    <w:hidden/>
    <w:uiPriority w:val="99"/>
    <w:unhideWhenUsed/>
    <w:rsid w:val="002A4F0B"/>
    <w:pPr>
      <w:pBdr>
        <w:bottom w:val="single" w:sz="6" w:space="1" w:color="auto"/>
      </w:pBdr>
      <w:spacing w:before="0"/>
      <w:jc w:val="center"/>
    </w:pPr>
    <w:rPr>
      <w:rFonts w:ascii="Arial" w:hAnsi="Arial"/>
      <w:vanish/>
      <w:color w:val="000000"/>
      <w:sz w:val="16"/>
      <w:szCs w:val="16"/>
    </w:rPr>
  </w:style>
  <w:style w:type="character" w:customStyle="1" w:styleId="z-TopofFormChar">
    <w:name w:val="z-Top of Form Char"/>
    <w:basedOn w:val="DefaultParagraphFont"/>
    <w:link w:val="z-TopofForm"/>
    <w:uiPriority w:val="99"/>
    <w:rsid w:val="002A4F0B"/>
    <w:rPr>
      <w:rFonts w:ascii="Arial" w:eastAsiaTheme="minorEastAsia" w:hAnsi="Arial"/>
      <w:vanish/>
      <w:color w:val="000000"/>
      <w:sz w:val="16"/>
      <w:szCs w:val="16"/>
      <w:lang w:val="fr-FR" w:eastAsia="fr-FR"/>
    </w:rPr>
  </w:style>
  <w:style w:type="paragraph" w:styleId="z-BottomofForm">
    <w:name w:val="HTML Bottom of Form"/>
    <w:basedOn w:val="Normal"/>
    <w:next w:val="Normal"/>
    <w:link w:val="z-BottomofFormChar"/>
    <w:hidden/>
    <w:uiPriority w:val="99"/>
    <w:unhideWhenUsed/>
    <w:rsid w:val="002A4F0B"/>
    <w:pPr>
      <w:pBdr>
        <w:top w:val="single" w:sz="6" w:space="1" w:color="auto"/>
      </w:pBdr>
      <w:spacing w:before="0"/>
      <w:jc w:val="center"/>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2A4F0B"/>
    <w:rPr>
      <w:rFonts w:ascii="Arial" w:eastAsiaTheme="minorEastAsia" w:hAnsi="Arial"/>
      <w:vanish/>
      <w:color w:val="000000"/>
      <w:sz w:val="16"/>
      <w:szCs w:val="16"/>
      <w:lang w:val="fr-FR" w:eastAsia="fr-FR"/>
    </w:rPr>
  </w:style>
  <w:style w:type="paragraph" w:customStyle="1" w:styleId="Enumlevel3">
    <w:name w:val="Enum level 3"/>
    <w:basedOn w:val="Normal"/>
    <w:link w:val="Enumlevel3Char"/>
    <w:qFormat/>
    <w:rsid w:val="002A4F0B"/>
    <w:pPr>
      <w:ind w:left="1701" w:hanging="567"/>
    </w:pPr>
    <w:rPr>
      <w:iCs/>
      <w:sz w:val="21"/>
    </w:rPr>
  </w:style>
  <w:style w:type="character" w:customStyle="1" w:styleId="Enumlevel3Char">
    <w:name w:val="Enum level 3 Char"/>
    <w:basedOn w:val="DefaultParagraphFont"/>
    <w:link w:val="Enumlevel3"/>
    <w:rsid w:val="002A4F0B"/>
    <w:rPr>
      <w:rFonts w:ascii="Calibri" w:eastAsiaTheme="minorEastAsia" w:hAnsi="Calibri"/>
      <w:iCs/>
      <w:sz w:val="21"/>
      <w:szCs w:val="22"/>
      <w:lang w:val="fr-FR" w:eastAsia="fr-FR"/>
    </w:rPr>
  </w:style>
  <w:style w:type="character" w:customStyle="1" w:styleId="BalloonTextChar15">
    <w:name w:val="Balloon Text Char15"/>
    <w:basedOn w:val="DefaultParagraphFont"/>
    <w:uiPriority w:val="99"/>
    <w:semiHidden/>
    <w:rsid w:val="00D30FE1"/>
    <w:rPr>
      <w:rFonts w:ascii="Lucida Grande" w:hAnsi="Lucida Grande" w:cs="Times New Roman"/>
      <w:sz w:val="18"/>
    </w:rPr>
  </w:style>
  <w:style w:type="character" w:customStyle="1" w:styleId="BalloonTextChar14">
    <w:name w:val="Balloon Text Char14"/>
    <w:basedOn w:val="DefaultParagraphFont"/>
    <w:uiPriority w:val="99"/>
    <w:semiHidden/>
    <w:rsid w:val="00D30FE1"/>
    <w:rPr>
      <w:rFonts w:ascii="Lucida Grande" w:hAnsi="Lucida Grande" w:cs="Times New Roman"/>
      <w:sz w:val="18"/>
    </w:rPr>
  </w:style>
  <w:style w:type="character" w:customStyle="1" w:styleId="BalloonTextChar13">
    <w:name w:val="Balloon Text Char13"/>
    <w:basedOn w:val="DefaultParagraphFont"/>
    <w:uiPriority w:val="99"/>
    <w:semiHidden/>
    <w:rsid w:val="00D30FE1"/>
    <w:rPr>
      <w:rFonts w:ascii="Lucida Grande" w:hAnsi="Lucida Grande" w:cs="Times New Roman"/>
      <w:sz w:val="18"/>
    </w:rPr>
  </w:style>
  <w:style w:type="character" w:customStyle="1" w:styleId="BalloonTextChar12">
    <w:name w:val="Balloon Text Char12"/>
    <w:basedOn w:val="DefaultParagraphFont"/>
    <w:uiPriority w:val="99"/>
    <w:semiHidden/>
    <w:rsid w:val="00D30FE1"/>
    <w:rPr>
      <w:rFonts w:ascii="Lucida Grande" w:hAnsi="Lucida Grande" w:cs="Times New Roman"/>
      <w:sz w:val="18"/>
    </w:rPr>
  </w:style>
  <w:style w:type="character" w:customStyle="1" w:styleId="BalloonTextChar11">
    <w:name w:val="Balloon Text Char11"/>
    <w:basedOn w:val="DefaultParagraphFont"/>
    <w:uiPriority w:val="99"/>
    <w:semiHidden/>
    <w:rsid w:val="00D30FE1"/>
    <w:rPr>
      <w:rFonts w:ascii="Lucida Grande" w:hAnsi="Lucida Grande" w:cs="Times New Roman"/>
      <w:sz w:val="18"/>
    </w:rPr>
  </w:style>
  <w:style w:type="character" w:customStyle="1" w:styleId="BalloonTextChar10">
    <w:name w:val="Balloon Text Char10"/>
    <w:basedOn w:val="DefaultParagraphFont"/>
    <w:uiPriority w:val="99"/>
    <w:semiHidden/>
    <w:rsid w:val="00D30FE1"/>
    <w:rPr>
      <w:rFonts w:ascii="Lucida Grande" w:hAnsi="Lucida Grande" w:cs="Times New Roman"/>
      <w:sz w:val="18"/>
    </w:rPr>
  </w:style>
  <w:style w:type="character" w:customStyle="1" w:styleId="BalloonTextChar9">
    <w:name w:val="Balloon Text Char9"/>
    <w:basedOn w:val="DefaultParagraphFont"/>
    <w:uiPriority w:val="99"/>
    <w:semiHidden/>
    <w:rsid w:val="00D30FE1"/>
    <w:rPr>
      <w:rFonts w:ascii="Lucida Grande" w:hAnsi="Lucida Grande" w:cs="Times New Roman"/>
      <w:sz w:val="18"/>
    </w:rPr>
  </w:style>
  <w:style w:type="character" w:customStyle="1" w:styleId="BalloonTextChar8">
    <w:name w:val="Balloon Text Char8"/>
    <w:basedOn w:val="DefaultParagraphFont"/>
    <w:uiPriority w:val="99"/>
    <w:semiHidden/>
    <w:rsid w:val="00D30FE1"/>
    <w:rPr>
      <w:rFonts w:ascii="Lucida Grande" w:hAnsi="Lucida Grande" w:cs="Times New Roman"/>
      <w:sz w:val="18"/>
    </w:rPr>
  </w:style>
  <w:style w:type="character" w:customStyle="1" w:styleId="BalloonTextChar7">
    <w:name w:val="Balloon Text Char7"/>
    <w:basedOn w:val="DefaultParagraphFont"/>
    <w:uiPriority w:val="99"/>
    <w:semiHidden/>
    <w:rsid w:val="00D30FE1"/>
    <w:rPr>
      <w:rFonts w:ascii="Lucida Grande" w:hAnsi="Lucida Grande" w:cs="Times New Roman"/>
      <w:sz w:val="18"/>
    </w:rPr>
  </w:style>
  <w:style w:type="character" w:customStyle="1" w:styleId="BalloonTextChar6">
    <w:name w:val="Balloon Text Char6"/>
    <w:basedOn w:val="DefaultParagraphFont"/>
    <w:uiPriority w:val="99"/>
    <w:semiHidden/>
    <w:rsid w:val="00D30FE1"/>
    <w:rPr>
      <w:rFonts w:ascii="Lucida Grande" w:hAnsi="Lucida Grande" w:cs="Times New Roman"/>
      <w:sz w:val="18"/>
    </w:rPr>
  </w:style>
  <w:style w:type="character" w:customStyle="1" w:styleId="BalloonTextChar5">
    <w:name w:val="Balloon Text Char5"/>
    <w:basedOn w:val="DefaultParagraphFont"/>
    <w:uiPriority w:val="99"/>
    <w:semiHidden/>
    <w:rsid w:val="00D30FE1"/>
    <w:rPr>
      <w:rFonts w:ascii="Lucida Grande" w:hAnsi="Lucida Grande" w:cs="Times New Roman"/>
      <w:sz w:val="18"/>
    </w:rPr>
  </w:style>
  <w:style w:type="character" w:customStyle="1" w:styleId="BalloonTextChar4">
    <w:name w:val="Balloon Text Char4"/>
    <w:basedOn w:val="DefaultParagraphFont"/>
    <w:uiPriority w:val="99"/>
    <w:semiHidden/>
    <w:rsid w:val="00D30FE1"/>
    <w:rPr>
      <w:rFonts w:ascii="Lucida Grande" w:hAnsi="Lucida Grande" w:cs="Times New Roman"/>
      <w:sz w:val="18"/>
    </w:rPr>
  </w:style>
  <w:style w:type="character" w:customStyle="1" w:styleId="BalloonTextChar3">
    <w:name w:val="Balloon Text Char3"/>
    <w:basedOn w:val="DefaultParagraphFont"/>
    <w:uiPriority w:val="99"/>
    <w:semiHidden/>
    <w:rsid w:val="00D30FE1"/>
    <w:rPr>
      <w:rFonts w:ascii="Lucida Grande" w:hAnsi="Lucida Grande" w:cs="Times New Roman"/>
      <w:sz w:val="18"/>
    </w:rPr>
  </w:style>
  <w:style w:type="character" w:customStyle="1" w:styleId="BalloonTextChar2">
    <w:name w:val="Balloon Text Char2"/>
    <w:basedOn w:val="DefaultParagraphFont"/>
    <w:uiPriority w:val="99"/>
    <w:semiHidden/>
    <w:rsid w:val="00D30FE1"/>
    <w:rPr>
      <w:rFonts w:ascii="Lucida Grande" w:hAnsi="Lucida Grande" w:cs="Times New Roman"/>
      <w:sz w:val="18"/>
    </w:rPr>
  </w:style>
  <w:style w:type="table" w:customStyle="1" w:styleId="TableGrid1">
    <w:name w:val="Table Grid1"/>
    <w:basedOn w:val="TableNormal"/>
    <w:next w:val="TableGrid"/>
    <w:rsid w:val="00D30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D30FE1"/>
    <w:rPr>
      <w:rFonts w:ascii="Times New Roman" w:hAnsi="Times New Roman"/>
      <w:b/>
      <w:bCs/>
      <w:lang w:val="es-CL" w:eastAsia="es-C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D30FE1"/>
    <w:rPr>
      <w:rFonts w:ascii="Times New Roman" w:hAnsi="Times New Roman"/>
      <w:lang w:val="es-CL" w:eastAsia="es-C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aclara-nfasis11">
    <w:name w:val="Lista clara - Énfasis 11"/>
    <w:basedOn w:val="TableNormal"/>
    <w:uiPriority w:val="61"/>
    <w:rsid w:val="00D30FE1"/>
    <w:rPr>
      <w:rFonts w:ascii="Times New Roman"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2-nfasis11">
    <w:name w:val="Sombreado medio 2 - Énfasis 11"/>
    <w:basedOn w:val="TableNormal"/>
    <w:uiPriority w:val="64"/>
    <w:rsid w:val="00D30FE1"/>
    <w:rPr>
      <w:rFonts w:ascii="Times New Roman" w:hAnsi="Times New Roman"/>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eNormal"/>
    <w:uiPriority w:val="63"/>
    <w:rsid w:val="00D30FE1"/>
    <w:rPr>
      <w:rFonts w:ascii="Times New Roman" w:hAnsi="Times New Roman"/>
      <w:lang w:val="es-CL" w:eastAsia="es-C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1">
    <w:name w:val="Sombreado claro - Énfasis 11"/>
    <w:basedOn w:val="TableNormal"/>
    <w:uiPriority w:val="60"/>
    <w:rsid w:val="00D30FE1"/>
    <w:rPr>
      <w:rFonts w:ascii="Times New Roman" w:hAnsi="Times New Roman"/>
      <w:color w:val="365F91" w:themeColor="accent1" w:themeShade="BF"/>
      <w:lang w:val="es-CL"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Web2">
    <w:name w:val="Table Web 2"/>
    <w:basedOn w:val="TableNormal"/>
    <w:rsid w:val="00D30FE1"/>
    <w:rPr>
      <w:rFonts w:ascii="Times New Roman" w:hAnsi="Times New Roman"/>
      <w:lang w:val="es-CL" w:eastAsia="es-C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11">
    <w:name w:val="Lista clara - Énfasis 111"/>
    <w:basedOn w:val="TableNormal"/>
    <w:uiPriority w:val="61"/>
    <w:rsid w:val="00D30FE1"/>
    <w:rPr>
      <w:rFonts w:ascii="Times New Roman"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uestionno0">
    <w:name w:val="question_no"/>
    <w:basedOn w:val="Chapttitle"/>
    <w:link w:val="questionnoChar"/>
    <w:qFormat/>
    <w:rsid w:val="00D30FE1"/>
    <w:pPr>
      <w:jc w:val="right"/>
    </w:pPr>
    <w:rPr>
      <w:rFonts w:cs="Calibri"/>
      <w:sz w:val="52"/>
      <w:szCs w:val="52"/>
      <w:lang w:val="en-GB"/>
    </w:rPr>
  </w:style>
  <w:style w:type="character" w:styleId="PlaceholderText">
    <w:name w:val="Placeholder Text"/>
    <w:basedOn w:val="DefaultParagraphFont"/>
    <w:uiPriority w:val="99"/>
    <w:semiHidden/>
    <w:rsid w:val="00D30FE1"/>
    <w:rPr>
      <w:color w:val="808080"/>
    </w:rPr>
  </w:style>
  <w:style w:type="table" w:customStyle="1" w:styleId="LightShading1">
    <w:name w:val="Light Shading1"/>
    <w:basedOn w:val="TableNormal"/>
    <w:uiPriority w:val="60"/>
    <w:rsid w:val="00D30FE1"/>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isclaimerChar">
    <w:name w:val="disclaimer Char"/>
    <w:basedOn w:val="FigureChar"/>
    <w:link w:val="disclaimer"/>
    <w:rsid w:val="00D30FE1"/>
    <w:rPr>
      <w:rFonts w:ascii="Calibri" w:eastAsia="SimSun" w:hAnsi="Calibri" w:cs="Arial"/>
      <w:b w:val="0"/>
      <w:bCs/>
      <w:color w:val="000000" w:themeColor="text1"/>
      <w:sz w:val="24"/>
      <w:szCs w:val="22"/>
      <w:lang w:val="en-GB" w:eastAsia="fr-FR"/>
    </w:rPr>
  </w:style>
  <w:style w:type="paragraph" w:customStyle="1" w:styleId="question-title">
    <w:name w:val="question-title"/>
    <w:basedOn w:val="Normal"/>
    <w:link w:val="question-titleChar"/>
    <w:qFormat/>
    <w:rsid w:val="00D30FE1"/>
    <w:pPr>
      <w:keepNext/>
      <w:keepLines/>
      <w:tabs>
        <w:tab w:val="left" w:pos="851"/>
      </w:tabs>
      <w:spacing w:before="240"/>
      <w:jc w:val="right"/>
      <w:outlineLvl w:val="0"/>
    </w:pPr>
    <w:rPr>
      <w:rFonts w:cs="Helvetica"/>
      <w:b/>
      <w:bCs/>
      <w:i/>
      <w:iCs/>
      <w:color w:val="1F9DD9"/>
      <w:sz w:val="48"/>
      <w:szCs w:val="36"/>
      <w:lang w:val="en-GB"/>
    </w:rPr>
  </w:style>
  <w:style w:type="character" w:customStyle="1" w:styleId="questionnoChar">
    <w:name w:val="question_no Char"/>
    <w:basedOn w:val="ChapttitleChar"/>
    <w:link w:val="questionno0"/>
    <w:rsid w:val="00D30FE1"/>
    <w:rPr>
      <w:rFonts w:ascii="Calibri" w:eastAsiaTheme="minorEastAsia" w:hAnsi="Calibri" w:cs="Calibri"/>
      <w:b/>
      <w:bCs/>
      <w:color w:val="1F9DD9"/>
      <w:sz w:val="52"/>
      <w:szCs w:val="52"/>
      <w:lang w:val="en-GB" w:eastAsia="fr-FR"/>
    </w:rPr>
  </w:style>
  <w:style w:type="character" w:customStyle="1" w:styleId="TablesourceChar">
    <w:name w:val="Table source Char"/>
    <w:basedOn w:val="TabletextChar"/>
    <w:link w:val="Tablesource"/>
    <w:rsid w:val="002A4F0B"/>
    <w:rPr>
      <w:rFonts w:asciiTheme="minorHAnsi" w:eastAsiaTheme="minorEastAsia" w:hAnsiTheme="minorHAnsi"/>
      <w:bCs/>
      <w:i/>
      <w:iCs/>
      <w:sz w:val="19"/>
      <w:szCs w:val="18"/>
      <w:lang w:val="fr-FR" w:eastAsia="fr-FR"/>
    </w:rPr>
  </w:style>
  <w:style w:type="character" w:customStyle="1" w:styleId="question-titleChar">
    <w:name w:val="question-title Char"/>
    <w:basedOn w:val="DefaultParagraphFont"/>
    <w:link w:val="question-title"/>
    <w:rsid w:val="00D30FE1"/>
    <w:rPr>
      <w:rFonts w:ascii="Calibri" w:eastAsiaTheme="minorEastAsia" w:hAnsi="Calibri" w:cs="Helvetica"/>
      <w:b/>
      <w:bCs/>
      <w:i/>
      <w:iCs/>
      <w:color w:val="1F9DD9"/>
      <w:sz w:val="48"/>
      <w:szCs w:val="36"/>
      <w:lang w:val="en-GB" w:eastAsia="fr-FR"/>
    </w:rPr>
  </w:style>
  <w:style w:type="paragraph" w:customStyle="1" w:styleId="ReferenceNo">
    <w:name w:val="Reference_No"/>
    <w:basedOn w:val="Heading1"/>
    <w:qFormat/>
    <w:rsid w:val="002A4F0B"/>
    <w:pPr>
      <w:numPr>
        <w:numId w:val="0"/>
      </w:numPr>
    </w:pPr>
    <w:rPr>
      <w:bCs w:val="0"/>
    </w:rPr>
  </w:style>
  <w:style w:type="paragraph" w:customStyle="1" w:styleId="Chaptertitle">
    <w:name w:val="Chapter_title"/>
    <w:basedOn w:val="Normal"/>
    <w:qFormat/>
    <w:rsid w:val="002A4F0B"/>
    <w:pPr>
      <w:jc w:val="center"/>
    </w:pPr>
    <w:rPr>
      <w:rFonts w:cstheme="minorBidi"/>
      <w:b/>
      <w:color w:val="1F9DD9"/>
      <w:sz w:val="36"/>
      <w:lang w:val="en-US" w:eastAsia="zh-CN"/>
    </w:rPr>
  </w:style>
  <w:style w:type="paragraph" w:customStyle="1" w:styleId="note0">
    <w:name w:val="note"/>
    <w:basedOn w:val="Normal"/>
    <w:qFormat/>
    <w:rsid w:val="002A4F0B"/>
    <w:pPr>
      <w:spacing w:before="60"/>
    </w:pPr>
    <w:rPr>
      <w:rFonts w:cstheme="minorBidi"/>
      <w:sz w:val="20"/>
      <w:lang w:val="en-US" w:eastAsia="zh-CN"/>
    </w:rPr>
  </w:style>
  <w:style w:type="paragraph" w:customStyle="1" w:styleId="figuretexte">
    <w:name w:val="figure_texte"/>
    <w:basedOn w:val="Figuretitle0"/>
    <w:qFormat/>
    <w:rsid w:val="002A4F0B"/>
    <w:pPr>
      <w:spacing w:before="120"/>
    </w:pPr>
    <w:rPr>
      <w:b w:val="0"/>
      <w:iCs/>
      <w:sz w:val="20"/>
    </w:rPr>
  </w:style>
  <w:style w:type="character" w:customStyle="1" w:styleId="enumlev1Char">
    <w:name w:val="enumlev1 Char"/>
    <w:link w:val="enumlev1"/>
    <w:locked/>
    <w:rsid w:val="002A4F0B"/>
    <w:rPr>
      <w:rFonts w:asciiTheme="minorHAnsi" w:hAnsiTheme="minorHAnsi"/>
      <w:sz w:val="24"/>
      <w:lang w:val="en-GB" w:eastAsia="en-US"/>
    </w:rPr>
  </w:style>
  <w:style w:type="character" w:customStyle="1" w:styleId="enumlev2Char">
    <w:name w:val="enumlev2 Char"/>
    <w:basedOn w:val="enumlev1Char"/>
    <w:link w:val="enumlev2"/>
    <w:rsid w:val="002A4F0B"/>
    <w:rPr>
      <w:rFonts w:asciiTheme="minorHAnsi" w:hAnsiTheme="minorHAnsi"/>
      <w:sz w:val="24"/>
      <w:lang w:val="en-GB" w:eastAsia="en-US"/>
    </w:rPr>
  </w:style>
  <w:style w:type="paragraph" w:customStyle="1" w:styleId="CEOcontributionH1">
    <w:name w:val="CEO_contributionH1"/>
    <w:basedOn w:val="Normal"/>
    <w:rsid w:val="002A4F0B"/>
    <w:pPr>
      <w:keepNext/>
      <w:keepLines/>
      <w:spacing w:before="480" w:after="120"/>
    </w:pPr>
    <w:rPr>
      <w:rFonts w:ascii="Verdana" w:eastAsia="SimHei" w:hAnsi="Verdana" w:cs="Simplified Arabic"/>
      <w:b/>
      <w:sz w:val="19"/>
      <w:szCs w:val="19"/>
    </w:rPr>
  </w:style>
  <w:style w:type="paragraph" w:customStyle="1" w:styleId="CEOForAction">
    <w:name w:val="CEO_ForAction"/>
    <w:basedOn w:val="Normal"/>
    <w:next w:val="CEOSourceTitle"/>
    <w:rsid w:val="002A4F0B"/>
    <w:pPr>
      <w:spacing w:after="120"/>
      <w:ind w:left="743"/>
    </w:pPr>
    <w:rPr>
      <w:rFonts w:ascii="Verdana" w:eastAsia="SimHei" w:hAnsi="Verdana" w:cs="Simplified Arabic"/>
      <w:b/>
      <w:iCs/>
      <w:sz w:val="19"/>
      <w:szCs w:val="28"/>
      <w:lang w:eastAsia="zh-CN"/>
    </w:rPr>
  </w:style>
  <w:style w:type="paragraph" w:customStyle="1" w:styleId="CEOSourceTitle">
    <w:name w:val="CEO_Source_Title"/>
    <w:basedOn w:val="Normal"/>
    <w:rsid w:val="002A4F0B"/>
    <w:pPr>
      <w:spacing w:after="120"/>
    </w:pPr>
    <w:rPr>
      <w:rFonts w:ascii="Verdana" w:eastAsia="SimHei" w:hAnsi="Verdana" w:cs="Simplified Arabic"/>
      <w:b/>
      <w:sz w:val="19"/>
      <w:szCs w:val="19"/>
    </w:rPr>
  </w:style>
  <w:style w:type="paragraph" w:customStyle="1" w:styleId="CEODocDates">
    <w:name w:val="CEO_DocDates"/>
    <w:basedOn w:val="Normal"/>
    <w:next w:val="Normal"/>
    <w:rsid w:val="002A4F0B"/>
    <w:pPr>
      <w:spacing w:before="0"/>
    </w:pPr>
    <w:rPr>
      <w:rFonts w:ascii="Verdana" w:eastAsia="SimHei" w:hAnsi="Verdana" w:cs="Simplified Arabic"/>
      <w:b/>
      <w:sz w:val="19"/>
      <w:szCs w:val="19"/>
    </w:rPr>
  </w:style>
  <w:style w:type="paragraph" w:customStyle="1" w:styleId="CEODocNo">
    <w:name w:val="CEO_DocNo"/>
    <w:basedOn w:val="Normal"/>
    <w:next w:val="Normal"/>
    <w:rsid w:val="002A4F0B"/>
    <w:pPr>
      <w:spacing w:before="0"/>
    </w:pPr>
    <w:rPr>
      <w:rFonts w:ascii="Verdana" w:eastAsia="SimHei" w:hAnsi="Verdana" w:cs="Simplified Arabic"/>
      <w:b/>
      <w:sz w:val="19"/>
      <w:szCs w:val="19"/>
    </w:rPr>
  </w:style>
  <w:style w:type="paragraph" w:customStyle="1" w:styleId="CEOIndent-bulletsblackdot">
    <w:name w:val="CEO_Indent-bulletsblackdot"/>
    <w:basedOn w:val="Normal"/>
    <w:rsid w:val="002A4F0B"/>
    <w:pPr>
      <w:numPr>
        <w:numId w:val="1"/>
      </w:numPr>
      <w:spacing w:before="60" w:after="60"/>
    </w:pPr>
    <w:rPr>
      <w:rFonts w:ascii="Verdana" w:eastAsia="SimHei" w:hAnsi="Verdana" w:cs="Simplified Arabic"/>
      <w:bCs/>
      <w:sz w:val="19"/>
      <w:szCs w:val="19"/>
    </w:rPr>
  </w:style>
  <w:style w:type="paragraph" w:customStyle="1" w:styleId="CEOMeetingDates">
    <w:name w:val="CEO_MeetingDates"/>
    <w:basedOn w:val="Normal"/>
    <w:rsid w:val="002A4F0B"/>
    <w:pPr>
      <w:spacing w:before="0" w:after="40"/>
    </w:pPr>
    <w:rPr>
      <w:rFonts w:ascii="Verdana" w:eastAsia="SimHei" w:hAnsi="Verdana" w:cs="Simplified Arabic"/>
      <w:b/>
      <w:sz w:val="19"/>
      <w:szCs w:val="19"/>
    </w:rPr>
  </w:style>
  <w:style w:type="paragraph" w:customStyle="1" w:styleId="CEOMeetingName">
    <w:name w:val="CEO_MeetingName"/>
    <w:basedOn w:val="Normal"/>
    <w:rsid w:val="002A4F0B"/>
    <w:pPr>
      <w:spacing w:before="0"/>
    </w:pPr>
    <w:rPr>
      <w:rFonts w:ascii="Verdana" w:eastAsia="SimHei" w:hAnsi="Verdana" w:cs="Simplified Arabic"/>
      <w:b/>
      <w:sz w:val="19"/>
      <w:szCs w:val="19"/>
    </w:rPr>
  </w:style>
  <w:style w:type="paragraph" w:customStyle="1" w:styleId="CEOOriginalLanguage">
    <w:name w:val="CEO_OriginalLanguage"/>
    <w:basedOn w:val="Normal"/>
    <w:next w:val="Normal"/>
    <w:rsid w:val="002A4F0B"/>
    <w:pPr>
      <w:spacing w:before="240" w:after="120"/>
    </w:pPr>
    <w:rPr>
      <w:rFonts w:ascii="Verdana" w:eastAsia="SimHei" w:hAnsi="Verdana" w:cs="Simplified Arabic"/>
      <w:b/>
      <w:sz w:val="19"/>
      <w:szCs w:val="19"/>
    </w:rPr>
  </w:style>
  <w:style w:type="paragraph" w:customStyle="1" w:styleId="CEOQuestion">
    <w:name w:val="CEO_Question"/>
    <w:basedOn w:val="CEOOriginalLanguage"/>
    <w:rsid w:val="002A4F0B"/>
    <w:pPr>
      <w:tabs>
        <w:tab w:val="left" w:pos="2240"/>
      </w:tabs>
      <w:ind w:left="2240" w:hanging="2240"/>
    </w:pPr>
    <w:rPr>
      <w:lang w:val="fr-CH"/>
    </w:rPr>
  </w:style>
  <w:style w:type="paragraph" w:customStyle="1" w:styleId="CEOSectorName">
    <w:name w:val="CEO_SectorName"/>
    <w:basedOn w:val="Normal"/>
    <w:rsid w:val="002A4F0B"/>
    <w:pPr>
      <w:spacing w:after="120"/>
    </w:pPr>
    <w:rPr>
      <w:rFonts w:ascii="Verdana" w:eastAsia="SimHei" w:hAnsi="Verdana" w:cs="Simplified Arabic"/>
      <w:b/>
      <w:sz w:val="26"/>
      <w:szCs w:val="28"/>
    </w:rPr>
  </w:style>
  <w:style w:type="paragraph" w:customStyle="1" w:styleId="CEOSourceTitleDetails">
    <w:name w:val="CEO_SourceTitleDetails"/>
    <w:basedOn w:val="Normal"/>
    <w:rsid w:val="002A4F0B"/>
    <w:pPr>
      <w:spacing w:after="120"/>
    </w:pPr>
    <w:rPr>
      <w:rFonts w:ascii="Verdana" w:eastAsia="SimHei" w:hAnsi="Verdana" w:cs="Simplified Arabic"/>
      <w:bCs/>
      <w:sz w:val="19"/>
      <w:szCs w:val="19"/>
    </w:rPr>
  </w:style>
  <w:style w:type="paragraph" w:customStyle="1" w:styleId="CEOLogo">
    <w:name w:val="CEO_Logo"/>
    <w:basedOn w:val="Normal"/>
    <w:rsid w:val="002A4F0B"/>
    <w:pPr>
      <w:spacing w:before="0" w:after="120"/>
      <w:jc w:val="right"/>
    </w:pPr>
    <w:rPr>
      <w:rFonts w:ascii="Verdana" w:eastAsia="SimHei" w:hAnsi="Verdana" w:cs="Simplified Arabic"/>
      <w:bCs/>
      <w:sz w:val="19"/>
      <w:szCs w:val="28"/>
      <w:lang w:eastAsia="zh-CN"/>
    </w:rPr>
  </w:style>
  <w:style w:type="paragraph" w:customStyle="1" w:styleId="CEORevision">
    <w:name w:val="CEO_Revision"/>
    <w:basedOn w:val="Normal"/>
    <w:autoRedefine/>
    <w:rsid w:val="002A4F0B"/>
    <w:pPr>
      <w:tabs>
        <w:tab w:val="left" w:pos="1928"/>
      </w:tabs>
      <w:spacing w:after="120"/>
    </w:pPr>
    <w:rPr>
      <w:rFonts w:ascii="Verdana" w:eastAsia="SimHei" w:hAnsi="Verdana" w:cs="Simplified Arabic"/>
      <w:b/>
      <w:bCs/>
      <w:sz w:val="18"/>
      <w:szCs w:val="18"/>
      <w:lang w:eastAsia="zh-CN"/>
    </w:rPr>
  </w:style>
  <w:style w:type="paragraph" w:customStyle="1" w:styleId="CEORevisionNote">
    <w:name w:val="CEO_RevisionNote"/>
    <w:basedOn w:val="CEORevision"/>
    <w:autoRedefine/>
    <w:rsid w:val="002A4F0B"/>
    <w:rPr>
      <w:b w:val="0"/>
      <w:i/>
      <w:iCs/>
      <w:lang w:val="en-US"/>
    </w:rPr>
  </w:style>
  <w:style w:type="paragraph" w:customStyle="1" w:styleId="CEOAbstract">
    <w:name w:val="CEO_Abstract"/>
    <w:rsid w:val="002A4F0B"/>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Normal"/>
    <w:rsid w:val="002A4F0B"/>
    <w:pPr>
      <w:tabs>
        <w:tab w:val="left" w:pos="1928"/>
      </w:tabs>
      <w:spacing w:after="120"/>
    </w:pPr>
    <w:rPr>
      <w:rFonts w:ascii="Verdana" w:eastAsia="SimHei" w:hAnsi="Verdana" w:cs="Simplified Arabic"/>
      <w:b/>
      <w:bCs/>
      <w:sz w:val="19"/>
      <w:szCs w:val="28"/>
      <w:lang w:eastAsia="zh-CN"/>
    </w:rPr>
  </w:style>
  <w:style w:type="paragraph" w:customStyle="1" w:styleId="CEOActionRequiredDetails">
    <w:name w:val="CEO_ActionRequiredDetails"/>
    <w:rsid w:val="002A4F0B"/>
    <w:pPr>
      <w:spacing w:before="120"/>
    </w:pPr>
    <w:rPr>
      <w:rFonts w:ascii="Verdana" w:eastAsia="SimSun" w:hAnsi="Verdana"/>
      <w:bCs/>
      <w:sz w:val="19"/>
      <w:szCs w:val="19"/>
      <w:lang w:val="en-GB" w:eastAsia="en-US"/>
    </w:rPr>
  </w:style>
  <w:style w:type="paragraph" w:styleId="HTMLPreformatted">
    <w:name w:val="HTML Preformatted"/>
    <w:basedOn w:val="Normal"/>
    <w:link w:val="HTMLPreformattedChar"/>
    <w:uiPriority w:val="99"/>
    <w:unhideWhenUsed/>
    <w:rsid w:val="002A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A4F0B"/>
    <w:rPr>
      <w:rFonts w:ascii="Courier New" w:hAnsi="Courier New" w:cs="Courier New"/>
      <w:lang w:val="fr-FR" w:eastAsia="fr-FR"/>
    </w:rPr>
  </w:style>
  <w:style w:type="paragraph" w:customStyle="1" w:styleId="CEONormal">
    <w:name w:val="CEO_Normal"/>
    <w:link w:val="CEONormalChar"/>
    <w:rsid w:val="002A4F0B"/>
    <w:pPr>
      <w:suppressAutoHyphens/>
      <w:spacing w:before="120"/>
    </w:pPr>
    <w:rPr>
      <w:rFonts w:ascii="Verdana" w:eastAsia="SimSun" w:hAnsi="Verdana" w:cs="Verdana"/>
      <w:sz w:val="19"/>
      <w:szCs w:val="19"/>
      <w:lang w:val="en-GB"/>
    </w:rPr>
  </w:style>
  <w:style w:type="paragraph" w:customStyle="1" w:styleId="CEOcontribution-H123">
    <w:name w:val="CEO_contribution-H123"/>
    <w:basedOn w:val="Normal"/>
    <w:rsid w:val="002A4F0B"/>
    <w:pPr>
      <w:numPr>
        <w:numId w:val="2"/>
      </w:numPr>
      <w:tabs>
        <w:tab w:val="left" w:pos="567"/>
      </w:tabs>
      <w:suppressAutoHyphens/>
      <w:spacing w:after="120"/>
    </w:pPr>
    <w:rPr>
      <w:rFonts w:ascii="Verdana" w:eastAsia="SimHei" w:hAnsi="Verdana" w:cs="Verdana"/>
      <w:b/>
      <w:sz w:val="19"/>
      <w:szCs w:val="19"/>
      <w:lang w:eastAsia="zh-CN"/>
    </w:rPr>
  </w:style>
  <w:style w:type="paragraph" w:customStyle="1" w:styleId="a">
    <w:name w:val="Содержимое таблицы"/>
    <w:basedOn w:val="Normal"/>
    <w:rsid w:val="002A4F0B"/>
    <w:pPr>
      <w:suppressAutoHyphens/>
    </w:pPr>
    <w:rPr>
      <w:rFonts w:cs="Calibri"/>
      <w:kern w:val="1"/>
      <w:sz w:val="21"/>
      <w:lang w:eastAsia="zh-CN"/>
    </w:rPr>
  </w:style>
  <w:style w:type="paragraph" w:customStyle="1" w:styleId="ParaNum">
    <w:name w:val="ParaNum"/>
    <w:basedOn w:val="Normal"/>
    <w:link w:val="ParaNumCharChar1"/>
    <w:rsid w:val="002A4F0B"/>
    <w:pPr>
      <w:widowControl w:val="0"/>
      <w:numPr>
        <w:numId w:val="3"/>
      </w:numPr>
      <w:spacing w:before="0" w:after="120"/>
    </w:pPr>
    <w:rPr>
      <w:rFonts w:ascii="Times New Roman" w:eastAsia="MS Mincho" w:hAnsi="Times New Roman"/>
      <w:kern w:val="28"/>
      <w:sz w:val="20"/>
      <w:lang w:val="en-US"/>
    </w:rPr>
  </w:style>
  <w:style w:type="character" w:customStyle="1" w:styleId="ParaNumCharChar1">
    <w:name w:val="ParaNum Char Char1"/>
    <w:link w:val="ParaNum"/>
    <w:locked/>
    <w:rsid w:val="002A4F0B"/>
    <w:rPr>
      <w:rFonts w:ascii="Times New Roman" w:eastAsia="MS Mincho" w:hAnsi="Times New Roman"/>
      <w:kern w:val="28"/>
      <w:szCs w:val="22"/>
      <w:lang w:eastAsia="fr-FR"/>
    </w:rPr>
  </w:style>
  <w:style w:type="character" w:customStyle="1" w:styleId="CEONormalChar">
    <w:name w:val="CEO_Normal Char"/>
    <w:link w:val="CEONormal"/>
    <w:locked/>
    <w:rsid w:val="002A4F0B"/>
    <w:rPr>
      <w:rFonts w:ascii="Verdana" w:eastAsia="SimSun" w:hAnsi="Verdana" w:cs="Verdana"/>
      <w:sz w:val="19"/>
      <w:szCs w:val="19"/>
      <w:lang w:val="en-GB"/>
    </w:rPr>
  </w:style>
  <w:style w:type="paragraph" w:styleId="EndnoteText">
    <w:name w:val="endnote text"/>
    <w:basedOn w:val="Normal"/>
    <w:link w:val="EndnoteTextChar"/>
    <w:unhideWhenUsed/>
    <w:rsid w:val="002A4F0B"/>
    <w:pPr>
      <w:spacing w:before="0"/>
    </w:pPr>
    <w:rPr>
      <w:sz w:val="20"/>
    </w:rPr>
  </w:style>
  <w:style w:type="character" w:customStyle="1" w:styleId="EndnoteTextChar">
    <w:name w:val="Endnote Text Char"/>
    <w:basedOn w:val="DefaultParagraphFont"/>
    <w:link w:val="EndnoteText"/>
    <w:rsid w:val="002A4F0B"/>
    <w:rPr>
      <w:rFonts w:ascii="Calibri" w:eastAsiaTheme="minorEastAsia" w:hAnsi="Calibri"/>
      <w:lang w:val="fr-FR" w:eastAsia="fr-FR"/>
    </w:rPr>
  </w:style>
  <w:style w:type="character" w:customStyle="1" w:styleId="ListParagraphChar">
    <w:name w:val="List Paragraph Char"/>
    <w:link w:val="ListParagraph"/>
    <w:uiPriority w:val="34"/>
    <w:rsid w:val="002A4F0B"/>
    <w:rPr>
      <w:rFonts w:ascii="Calibri" w:eastAsiaTheme="minorEastAsia" w:hAnsi="Calibri"/>
      <w:sz w:val="24"/>
      <w:szCs w:val="22"/>
      <w:lang w:val="fr-FR" w:eastAsia="fr-FR"/>
    </w:rPr>
  </w:style>
  <w:style w:type="character" w:styleId="Strong">
    <w:name w:val="Strong"/>
    <w:basedOn w:val="DefaultParagraphFont"/>
    <w:uiPriority w:val="22"/>
    <w:qFormat/>
    <w:rsid w:val="002A4F0B"/>
    <w:rPr>
      <w:b/>
      <w:bCs/>
      <w:color w:val="265898" w:themeColor="text2" w:themeTint="E6"/>
    </w:rPr>
  </w:style>
  <w:style w:type="paragraph" w:styleId="Caption">
    <w:name w:val="caption"/>
    <w:basedOn w:val="Normal"/>
    <w:next w:val="Normal"/>
    <w:uiPriority w:val="35"/>
    <w:unhideWhenUsed/>
    <w:qFormat/>
    <w:rsid w:val="002A4F0B"/>
    <w:pPr>
      <w:spacing w:before="0" w:after="180"/>
    </w:pPr>
    <w:rPr>
      <w:rFonts w:cstheme="minorBidi"/>
      <w:b/>
      <w:bCs/>
      <w:smallCaps/>
      <w:color w:val="1F497D" w:themeColor="text2"/>
      <w:spacing w:val="6"/>
      <w:szCs w:val="18"/>
      <w:lang w:val="en-US" w:bidi="hi-IN"/>
    </w:rPr>
  </w:style>
  <w:style w:type="character" w:styleId="CommentReference">
    <w:name w:val="annotation reference"/>
    <w:basedOn w:val="DefaultParagraphFont"/>
    <w:uiPriority w:val="99"/>
    <w:semiHidden/>
    <w:unhideWhenUsed/>
    <w:rsid w:val="002A4F0B"/>
    <w:rPr>
      <w:sz w:val="16"/>
      <w:szCs w:val="16"/>
    </w:rPr>
  </w:style>
  <w:style w:type="paragraph" w:styleId="CommentText">
    <w:name w:val="annotation text"/>
    <w:basedOn w:val="Normal"/>
    <w:link w:val="CommentTextChar"/>
    <w:uiPriority w:val="99"/>
    <w:semiHidden/>
    <w:unhideWhenUsed/>
    <w:rsid w:val="002A4F0B"/>
    <w:rPr>
      <w:sz w:val="20"/>
    </w:rPr>
  </w:style>
  <w:style w:type="character" w:customStyle="1" w:styleId="CommentTextChar">
    <w:name w:val="Comment Text Char"/>
    <w:basedOn w:val="DefaultParagraphFont"/>
    <w:link w:val="CommentText"/>
    <w:uiPriority w:val="99"/>
    <w:semiHidden/>
    <w:rsid w:val="002A4F0B"/>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2A4F0B"/>
    <w:rPr>
      <w:b/>
      <w:bCs/>
    </w:rPr>
  </w:style>
  <w:style w:type="character" w:customStyle="1" w:styleId="CommentSubjectChar">
    <w:name w:val="Comment Subject Char"/>
    <w:basedOn w:val="CommentTextChar"/>
    <w:link w:val="CommentSubject"/>
    <w:uiPriority w:val="99"/>
    <w:semiHidden/>
    <w:rsid w:val="002A4F0B"/>
    <w:rPr>
      <w:rFonts w:asciiTheme="minorHAnsi" w:hAnsiTheme="minorHAnsi"/>
      <w:b/>
      <w:bCs/>
      <w:lang w:val="en-GB" w:eastAsia="en-US"/>
    </w:rPr>
  </w:style>
  <w:style w:type="paragraph" w:customStyle="1" w:styleId="1">
    <w:name w:val="Стиль1"/>
    <w:basedOn w:val="Normal"/>
    <w:rsid w:val="002A4F0B"/>
    <w:pPr>
      <w:widowControl w:val="0"/>
      <w:spacing w:before="0"/>
      <w:ind w:firstLine="706"/>
    </w:pPr>
    <w:rPr>
      <w:rFonts w:ascii="TimesET" w:hAnsi="TimesET" w:cs="TimesET"/>
      <w:szCs w:val="24"/>
      <w:lang w:val="ru-RU" w:eastAsia="ru-RU"/>
    </w:rPr>
  </w:style>
  <w:style w:type="paragraph" w:styleId="NoSpacing">
    <w:name w:val="No Spacing"/>
    <w:uiPriority w:val="1"/>
    <w:qFormat/>
    <w:rsid w:val="002A4F0B"/>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21"/>
      <w:lang w:val="en-GB" w:eastAsia="en-US"/>
    </w:rPr>
  </w:style>
  <w:style w:type="character" w:customStyle="1" w:styleId="s24">
    <w:name w:val="s24"/>
    <w:basedOn w:val="DefaultParagraphFont"/>
    <w:rsid w:val="00DB6F70"/>
  </w:style>
  <w:style w:type="character" w:customStyle="1" w:styleId="s17">
    <w:name w:val="s17"/>
    <w:basedOn w:val="DefaultParagraphFont"/>
    <w:rsid w:val="00DB6F70"/>
  </w:style>
  <w:style w:type="paragraph" w:customStyle="1" w:styleId="CEOcontributionStart">
    <w:name w:val="CEO_contributionStart"/>
    <w:basedOn w:val="Normal"/>
    <w:rsid w:val="003B22B1"/>
    <w:pPr>
      <w:spacing w:before="360" w:after="120"/>
    </w:pPr>
    <w:rPr>
      <w:rFonts w:ascii="Verdana" w:eastAsia="SimHei" w:hAnsi="Verdana" w:cs="Simplified Arabic"/>
      <w:sz w:val="19"/>
      <w:szCs w:val="19"/>
    </w:rPr>
  </w:style>
  <w:style w:type="character" w:customStyle="1" w:styleId="apple-style-span">
    <w:name w:val="apple-style-span"/>
    <w:basedOn w:val="DefaultParagraphFont"/>
    <w:rsid w:val="003B22B1"/>
  </w:style>
  <w:style w:type="character" w:customStyle="1" w:styleId="ms-rtethemefontface-1">
    <w:name w:val="ms-rtethemefontface-1"/>
    <w:basedOn w:val="DefaultParagraphFont"/>
    <w:rsid w:val="003B22B1"/>
  </w:style>
  <w:style w:type="paragraph" w:customStyle="1" w:styleId="ByContin1">
    <w:name w:val="By  Contin 1"/>
    <w:basedOn w:val="Normal"/>
    <w:uiPriority w:val="99"/>
    <w:rsid w:val="003B22B1"/>
    <w:pPr>
      <w:widowControl w:val="0"/>
      <w:tabs>
        <w:tab w:val="left" w:pos="0"/>
      </w:tabs>
      <w:spacing w:before="0"/>
    </w:pPr>
    <w:rPr>
      <w:rFonts w:ascii="Courier New" w:hAnsi="Courier New" w:cs="Courier New"/>
      <w:szCs w:val="24"/>
      <w:lang w:val="en-US"/>
    </w:rPr>
  </w:style>
  <w:style w:type="paragraph" w:customStyle="1" w:styleId="Parenthetical">
    <w:name w:val="Parenthetical"/>
    <w:basedOn w:val="Normal"/>
    <w:next w:val="Normal"/>
    <w:uiPriority w:val="99"/>
    <w:rsid w:val="003B22B1"/>
    <w:pPr>
      <w:widowControl w:val="0"/>
      <w:spacing w:before="0" w:line="528" w:lineRule="atLeast"/>
      <w:ind w:firstLine="720"/>
    </w:pPr>
    <w:rPr>
      <w:rFonts w:ascii="Courier New" w:hAnsi="Courier New" w:cs="Courier New"/>
      <w:szCs w:val="24"/>
      <w:lang w:val="en-US"/>
    </w:rPr>
  </w:style>
  <w:style w:type="character" w:styleId="Emphasis">
    <w:name w:val="Emphasis"/>
    <w:basedOn w:val="DefaultParagraphFont"/>
    <w:uiPriority w:val="20"/>
    <w:qFormat/>
    <w:rsid w:val="003A49EF"/>
    <w:rPr>
      <w:i/>
      <w:iCs/>
    </w:rPr>
  </w:style>
  <w:style w:type="character" w:customStyle="1" w:styleId="HeadingbChar">
    <w:name w:val="Heading_b Char"/>
    <w:basedOn w:val="DefaultParagraphFont"/>
    <w:link w:val="Headingb"/>
    <w:locked/>
    <w:rsid w:val="00305316"/>
    <w:rPr>
      <w:rFonts w:asciiTheme="minorHAnsi" w:hAnsiTheme="minorHAnsi"/>
      <w:b/>
      <w:sz w:val="24"/>
      <w:lang w:val="en-GB" w:eastAsia="en-US"/>
    </w:rPr>
  </w:style>
  <w:style w:type="paragraph" w:customStyle="1" w:styleId="Reasons">
    <w:name w:val="Reasons"/>
    <w:basedOn w:val="Normal"/>
    <w:qFormat/>
    <w:rsid w:val="00305316"/>
    <w:pPr>
      <w:spacing w:before="0"/>
    </w:pPr>
    <w:rPr>
      <w:rFonts w:ascii="Times New Roman" w:hAnsi="Times New Roman"/>
      <w:lang w:val="en-US"/>
    </w:rPr>
  </w:style>
  <w:style w:type="character" w:customStyle="1" w:styleId="apple-converted-space">
    <w:name w:val="apple-converted-space"/>
    <w:basedOn w:val="DefaultParagraphFont"/>
    <w:rsid w:val="005029D5"/>
  </w:style>
  <w:style w:type="character" w:customStyle="1" w:styleId="st">
    <w:name w:val="st"/>
    <w:basedOn w:val="DefaultParagraphFont"/>
    <w:rsid w:val="005029D5"/>
  </w:style>
  <w:style w:type="paragraph" w:styleId="TOCHeading">
    <w:name w:val="TOC Heading"/>
    <w:basedOn w:val="Heading1"/>
    <w:next w:val="Normal"/>
    <w:uiPriority w:val="39"/>
    <w:unhideWhenUsed/>
    <w:qFormat/>
    <w:rsid w:val="00D30FE1"/>
    <w:pPr>
      <w:numPr>
        <w:numId w:val="0"/>
      </w:numPr>
      <w:tabs>
        <w:tab w:val="clear" w:pos="851"/>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en-US"/>
    </w:rPr>
  </w:style>
  <w:style w:type="character" w:customStyle="1" w:styleId="tipiconwrap">
    <w:name w:val="tipiconwrap"/>
    <w:basedOn w:val="DefaultParagraphFont"/>
    <w:rsid w:val="002409B6"/>
  </w:style>
  <w:style w:type="character" w:customStyle="1" w:styleId="Bold">
    <w:name w:val="Bold"/>
    <w:rsid w:val="00D30FE1"/>
    <w:rPr>
      <w:b/>
    </w:rPr>
  </w:style>
  <w:style w:type="paragraph" w:customStyle="1" w:styleId="Tabletitlenextpage">
    <w:name w:val="Table title next page"/>
    <w:basedOn w:val="Heading1"/>
    <w:next w:val="Normal"/>
    <w:rsid w:val="00D30FE1"/>
    <w:pPr>
      <w:pageBreakBefore/>
      <w:numPr>
        <w:numId w:val="0"/>
      </w:numPr>
      <w:spacing w:before="0" w:after="160" w:line="259" w:lineRule="auto"/>
      <w:jc w:val="left"/>
    </w:pPr>
    <w:rPr>
      <w:rFonts w:asciiTheme="minorHAnsi" w:hAnsiTheme="minorHAnsi" w:cstheme="minorBidi"/>
      <w:sz w:val="22"/>
      <w:lang w:eastAsia="zh-CN"/>
    </w:rPr>
  </w:style>
  <w:style w:type="character" w:customStyle="1" w:styleId="Wingdings">
    <w:name w:val="Wingdings"/>
    <w:rsid w:val="00D30FE1"/>
  </w:style>
  <w:style w:type="paragraph" w:customStyle="1" w:styleId="Alternativetext">
    <w:name w:val="Alternative text"/>
    <w:basedOn w:val="Normal"/>
    <w:qFormat/>
    <w:rsid w:val="00D30FE1"/>
    <w:pPr>
      <w:jc w:val="center"/>
    </w:pPr>
    <w:rPr>
      <w:i/>
      <w:color w:val="F79646" w:themeColor="accent6"/>
      <w:sz w:val="18"/>
    </w:rPr>
  </w:style>
  <w:style w:type="paragraph" w:customStyle="1" w:styleId="APXchaptertitle">
    <w:name w:val="APX_chapter_title"/>
    <w:basedOn w:val="Heading1"/>
    <w:qFormat/>
    <w:rsid w:val="00D30FE1"/>
    <w:pPr>
      <w:pageBreakBefore/>
      <w:numPr>
        <w:numId w:val="7"/>
      </w:numPr>
    </w:pPr>
  </w:style>
  <w:style w:type="paragraph" w:customStyle="1" w:styleId="APXheading">
    <w:name w:val="APX_heading"/>
    <w:basedOn w:val="Normal"/>
    <w:next w:val="Normal"/>
    <w:rsid w:val="00D30FE1"/>
    <w:pPr>
      <w:spacing w:before="0" w:after="160" w:line="259" w:lineRule="auto"/>
      <w:jc w:val="left"/>
    </w:pPr>
    <w:rPr>
      <w:rFonts w:asciiTheme="minorHAnsi" w:hAnsiTheme="minorHAnsi" w:cstheme="minorBidi"/>
      <w:sz w:val="22"/>
      <w:lang w:val="en-US" w:eastAsia="zh-CN"/>
    </w:rPr>
  </w:style>
  <w:style w:type="paragraph" w:customStyle="1" w:styleId="APXheading1">
    <w:name w:val="APX_heading 1"/>
    <w:basedOn w:val="Normal"/>
    <w:next w:val="Normal"/>
    <w:rsid w:val="00D30FE1"/>
    <w:pPr>
      <w:spacing w:before="0" w:after="160" w:line="259" w:lineRule="auto"/>
      <w:jc w:val="left"/>
    </w:pPr>
    <w:rPr>
      <w:rFonts w:asciiTheme="minorHAnsi" w:hAnsiTheme="minorHAnsi" w:cstheme="minorBidi"/>
      <w:sz w:val="22"/>
      <w:lang w:val="en-US" w:eastAsia="zh-CN"/>
    </w:rPr>
  </w:style>
  <w:style w:type="paragraph" w:customStyle="1" w:styleId="APXheading2">
    <w:name w:val="APX_heading 2"/>
    <w:basedOn w:val="Normal"/>
    <w:next w:val="Normal"/>
    <w:rsid w:val="00D30FE1"/>
    <w:pPr>
      <w:spacing w:before="0" w:after="160" w:line="259" w:lineRule="auto"/>
      <w:jc w:val="left"/>
    </w:pPr>
    <w:rPr>
      <w:rFonts w:asciiTheme="minorHAnsi" w:hAnsiTheme="minorHAnsi" w:cstheme="minorBidi"/>
      <w:sz w:val="22"/>
      <w:lang w:val="en-US" w:eastAsia="zh-CN"/>
    </w:rPr>
  </w:style>
  <w:style w:type="character" w:customStyle="1" w:styleId="Bolditalic">
    <w:name w:val="Bold italic"/>
    <w:rsid w:val="00D30FE1"/>
    <w:rPr>
      <w:b/>
      <w:i/>
    </w:rPr>
  </w:style>
  <w:style w:type="paragraph" w:customStyle="1" w:styleId="Boxtext">
    <w:name w:val="Box text"/>
    <w:basedOn w:val="Normal"/>
    <w:qFormat/>
    <w:rsid w:val="00D30FE1"/>
    <w:pPr>
      <w:shd w:val="clear" w:color="auto" w:fill="D9D9D9" w:themeFill="background1" w:themeFillShade="D9"/>
      <w:spacing w:after="120"/>
    </w:pPr>
    <w:rPr>
      <w:szCs w:val="28"/>
      <w:lang w:val="fr-CH"/>
    </w:rPr>
  </w:style>
  <w:style w:type="paragraph" w:customStyle="1" w:styleId="Boxtitle">
    <w:name w:val="Box title"/>
    <w:basedOn w:val="Normal"/>
    <w:qFormat/>
    <w:rsid w:val="00D30FE1"/>
    <w:pPr>
      <w:shd w:val="clear" w:color="auto" w:fill="D9D9D9" w:themeFill="background1" w:themeFillShade="D9"/>
      <w:spacing w:before="240" w:after="120"/>
    </w:pPr>
    <w:rPr>
      <w:b/>
      <w:szCs w:val="28"/>
      <w:lang w:val="fr-CH"/>
    </w:rPr>
  </w:style>
  <w:style w:type="paragraph" w:customStyle="1" w:styleId="Bulletlist1">
    <w:name w:val="Bullet list 1"/>
    <w:basedOn w:val="Normal"/>
    <w:rsid w:val="004C3763"/>
    <w:pPr>
      <w:spacing w:before="40" w:after="40"/>
      <w:jc w:val="left"/>
    </w:pPr>
    <w:rPr>
      <w:rFonts w:cstheme="minorBidi"/>
      <w:lang w:val="en-US" w:eastAsia="zh-CN"/>
    </w:rPr>
  </w:style>
  <w:style w:type="paragraph" w:customStyle="1" w:styleId="Bulletlist2">
    <w:name w:val="Bullet list 2"/>
    <w:basedOn w:val="Bulletlist1"/>
    <w:rsid w:val="00D30FE1"/>
    <w:pPr>
      <w:ind w:left="567"/>
    </w:pPr>
  </w:style>
  <w:style w:type="paragraph" w:customStyle="1" w:styleId="Bulletlist3">
    <w:name w:val="Bullet list 3"/>
    <w:basedOn w:val="Bulletlist1"/>
    <w:rsid w:val="00D30FE1"/>
    <w:pPr>
      <w:ind w:left="1701"/>
    </w:pPr>
  </w:style>
  <w:style w:type="paragraph" w:customStyle="1" w:styleId="Citation2">
    <w:name w:val="Citation2"/>
    <w:basedOn w:val="Normal"/>
    <w:link w:val="CitationChar"/>
    <w:qFormat/>
    <w:rsid w:val="00D30FE1"/>
    <w:pPr>
      <w:pBdr>
        <w:top w:val="single" w:sz="12" w:space="1" w:color="31849B"/>
        <w:left w:val="single" w:sz="12" w:space="4" w:color="31849B"/>
        <w:bottom w:val="single" w:sz="12" w:space="1" w:color="31849B"/>
        <w:right w:val="single" w:sz="12" w:space="4" w:color="31849B"/>
      </w:pBdr>
      <w:shd w:val="clear" w:color="auto" w:fill="DAEEF3"/>
      <w:spacing w:before="240" w:after="240"/>
      <w:ind w:left="567" w:right="495"/>
    </w:pPr>
    <w:rPr>
      <w:bCs/>
      <w:i/>
      <w:iCs/>
      <w:lang w:val="en-US"/>
    </w:rPr>
  </w:style>
  <w:style w:type="character" w:customStyle="1" w:styleId="Colored-Normal">
    <w:name w:val="Colored - Normal"/>
    <w:rsid w:val="00D30FE1"/>
    <w:rPr>
      <w:color w:val="1F497D" w:themeColor="text2"/>
    </w:rPr>
  </w:style>
  <w:style w:type="character" w:customStyle="1" w:styleId="Coloredbold">
    <w:name w:val="Colored bold"/>
    <w:rsid w:val="00D30FE1"/>
    <w:rPr>
      <w:b/>
      <w:color w:val="1F497D" w:themeColor="text2"/>
    </w:rPr>
  </w:style>
  <w:style w:type="character" w:customStyle="1" w:styleId="Coloredbolditalic">
    <w:name w:val="Colored bold italic"/>
    <w:rsid w:val="00D30FE1"/>
    <w:rPr>
      <w:b/>
      <w:i/>
      <w:color w:val="1F497D" w:themeColor="text2"/>
    </w:rPr>
  </w:style>
  <w:style w:type="character" w:customStyle="1" w:styleId="Coloreditalic">
    <w:name w:val="Colored italic"/>
    <w:rsid w:val="00D30FE1"/>
    <w:rPr>
      <w:i/>
      <w:color w:val="1F497D" w:themeColor="text2"/>
    </w:rPr>
  </w:style>
  <w:style w:type="paragraph" w:customStyle="1" w:styleId="Continued">
    <w:name w:val="Continued"/>
    <w:basedOn w:val="Normal"/>
    <w:next w:val="Normal"/>
    <w:rsid w:val="00D30FE1"/>
    <w:pPr>
      <w:spacing w:before="0" w:after="160" w:line="259" w:lineRule="auto"/>
      <w:jc w:val="left"/>
    </w:pPr>
    <w:rPr>
      <w:rFonts w:asciiTheme="minorHAnsi" w:hAnsiTheme="minorHAnsi" w:cstheme="minorBidi"/>
      <w:sz w:val="22"/>
      <w:lang w:val="en-US" w:eastAsia="zh-CN"/>
    </w:rPr>
  </w:style>
  <w:style w:type="paragraph" w:customStyle="1" w:styleId="Heading1nextpage">
    <w:name w:val="Heading 1 next page"/>
    <w:basedOn w:val="Normal"/>
    <w:next w:val="Normal"/>
    <w:rsid w:val="00D30FE1"/>
    <w:pPr>
      <w:spacing w:before="0" w:after="160" w:line="259" w:lineRule="auto"/>
      <w:jc w:val="left"/>
    </w:pPr>
    <w:rPr>
      <w:rFonts w:asciiTheme="minorHAnsi" w:hAnsiTheme="minorHAnsi" w:cstheme="minorBidi"/>
      <w:sz w:val="22"/>
      <w:lang w:val="en-US" w:eastAsia="zh-CN"/>
    </w:rPr>
  </w:style>
  <w:style w:type="paragraph" w:customStyle="1" w:styleId="Heading2nextpage">
    <w:name w:val="Heading 2 next page"/>
    <w:basedOn w:val="Normal"/>
    <w:next w:val="Normal"/>
    <w:rsid w:val="00D30FE1"/>
    <w:pPr>
      <w:spacing w:before="0" w:after="160" w:line="259" w:lineRule="auto"/>
      <w:jc w:val="left"/>
    </w:pPr>
    <w:rPr>
      <w:rFonts w:asciiTheme="minorHAnsi" w:hAnsiTheme="minorHAnsi" w:cstheme="minorBidi"/>
      <w:sz w:val="22"/>
      <w:lang w:val="en-US" w:eastAsia="zh-CN"/>
    </w:rPr>
  </w:style>
  <w:style w:type="paragraph" w:customStyle="1" w:styleId="Heading3nextpage">
    <w:name w:val="Heading 3 next page"/>
    <w:basedOn w:val="Normal"/>
    <w:next w:val="Normal"/>
    <w:rsid w:val="00D30FE1"/>
    <w:pPr>
      <w:spacing w:before="0" w:after="160" w:line="259" w:lineRule="auto"/>
      <w:jc w:val="left"/>
    </w:pPr>
    <w:rPr>
      <w:rFonts w:asciiTheme="minorHAnsi" w:hAnsiTheme="minorHAnsi" w:cstheme="minorBidi"/>
      <w:sz w:val="22"/>
      <w:lang w:val="en-US" w:eastAsia="zh-CN"/>
    </w:rPr>
  </w:style>
  <w:style w:type="paragraph" w:customStyle="1" w:styleId="Heading4nextpage">
    <w:name w:val="Heading 4 next page"/>
    <w:basedOn w:val="Normal"/>
    <w:rsid w:val="00D30FE1"/>
    <w:pPr>
      <w:spacing w:before="0" w:after="160" w:line="259" w:lineRule="auto"/>
      <w:jc w:val="left"/>
    </w:pPr>
    <w:rPr>
      <w:rFonts w:asciiTheme="minorHAnsi" w:hAnsiTheme="minorHAnsi" w:cstheme="minorBidi"/>
      <w:sz w:val="22"/>
      <w:lang w:val="en-US" w:eastAsia="zh-CN"/>
    </w:rPr>
  </w:style>
  <w:style w:type="paragraph" w:customStyle="1" w:styleId="Heading5nextpage">
    <w:name w:val="Heading 5 next page"/>
    <w:basedOn w:val="Normal"/>
    <w:rsid w:val="00D30FE1"/>
    <w:pPr>
      <w:spacing w:before="0" w:after="160" w:line="259" w:lineRule="auto"/>
      <w:jc w:val="left"/>
    </w:pPr>
    <w:rPr>
      <w:rFonts w:asciiTheme="minorHAnsi" w:hAnsiTheme="minorHAnsi" w:cstheme="minorBidi"/>
      <w:sz w:val="22"/>
      <w:lang w:val="en-US" w:eastAsia="zh-CN"/>
    </w:rPr>
  </w:style>
  <w:style w:type="character" w:customStyle="1" w:styleId="Italic">
    <w:name w:val="Italic"/>
    <w:rsid w:val="00D30FE1"/>
  </w:style>
  <w:style w:type="character" w:customStyle="1" w:styleId="Nobreak">
    <w:name w:val="No break"/>
    <w:rsid w:val="00D30FE1"/>
  </w:style>
  <w:style w:type="paragraph" w:customStyle="1" w:styleId="Normalindent1">
    <w:name w:val="Normal indent 1"/>
    <w:basedOn w:val="Normal"/>
    <w:rsid w:val="00D30FE1"/>
    <w:pPr>
      <w:spacing w:before="0" w:after="160" w:line="259" w:lineRule="auto"/>
      <w:ind w:left="567"/>
      <w:jc w:val="left"/>
    </w:pPr>
    <w:rPr>
      <w:rFonts w:asciiTheme="minorHAnsi" w:hAnsiTheme="minorHAnsi" w:cstheme="minorBidi"/>
      <w:lang w:val="en-US" w:eastAsia="zh-CN"/>
    </w:rPr>
  </w:style>
  <w:style w:type="paragraph" w:customStyle="1" w:styleId="Normalindent2">
    <w:name w:val="Normal indent 2"/>
    <w:basedOn w:val="Normal"/>
    <w:rsid w:val="00D30FE1"/>
    <w:pPr>
      <w:spacing w:before="0" w:after="160" w:line="259" w:lineRule="auto"/>
      <w:ind w:left="1134"/>
      <w:jc w:val="left"/>
    </w:pPr>
    <w:rPr>
      <w:rFonts w:asciiTheme="minorHAnsi" w:hAnsiTheme="minorHAnsi" w:cstheme="minorBidi"/>
      <w:lang w:val="en-US" w:eastAsia="zh-CN"/>
    </w:rPr>
  </w:style>
  <w:style w:type="paragraph" w:customStyle="1" w:styleId="Normalnextpage">
    <w:name w:val="Normal next page"/>
    <w:basedOn w:val="Normal"/>
    <w:rsid w:val="00D30FE1"/>
    <w:pPr>
      <w:spacing w:before="0" w:after="160" w:line="259" w:lineRule="auto"/>
      <w:jc w:val="left"/>
    </w:pPr>
    <w:rPr>
      <w:rFonts w:asciiTheme="minorHAnsi" w:hAnsiTheme="minorHAnsi" w:cstheme="minorBidi"/>
      <w:lang w:val="en-US" w:eastAsia="zh-CN"/>
    </w:rPr>
  </w:style>
  <w:style w:type="paragraph" w:customStyle="1" w:styleId="Normalnotjustified">
    <w:name w:val="Normal not justified"/>
    <w:basedOn w:val="Normal"/>
    <w:rsid w:val="00D30FE1"/>
    <w:pPr>
      <w:spacing w:before="0" w:after="160" w:line="259" w:lineRule="auto"/>
      <w:jc w:val="left"/>
    </w:pPr>
    <w:rPr>
      <w:rFonts w:asciiTheme="minorHAnsi" w:hAnsiTheme="minorHAnsi" w:cstheme="minorBidi"/>
      <w:lang w:val="en-US" w:eastAsia="zh-CN"/>
    </w:rPr>
  </w:style>
  <w:style w:type="paragraph" w:customStyle="1" w:styleId="Normalrightaligned">
    <w:name w:val="Normal right aligned"/>
    <w:basedOn w:val="Normal"/>
    <w:rsid w:val="00D30FE1"/>
    <w:pPr>
      <w:spacing w:before="0" w:after="160" w:line="259" w:lineRule="auto"/>
      <w:jc w:val="right"/>
    </w:pPr>
    <w:rPr>
      <w:rFonts w:asciiTheme="minorHAnsi" w:hAnsiTheme="minorHAnsi" w:cstheme="minorBidi"/>
      <w:lang w:val="en-US" w:eastAsia="zh-CN"/>
    </w:rPr>
  </w:style>
  <w:style w:type="paragraph" w:customStyle="1" w:styleId="NormalSpancolumns">
    <w:name w:val="Normal Span columns"/>
    <w:basedOn w:val="Normal"/>
    <w:rsid w:val="00D30FE1"/>
    <w:pPr>
      <w:spacing w:before="0" w:after="160" w:line="259" w:lineRule="auto"/>
      <w:jc w:val="left"/>
    </w:pPr>
    <w:rPr>
      <w:rFonts w:asciiTheme="minorHAnsi" w:hAnsiTheme="minorHAnsi" w:cstheme="minorBidi"/>
      <w:lang w:val="en-US" w:eastAsia="zh-CN"/>
    </w:rPr>
  </w:style>
  <w:style w:type="paragraph" w:customStyle="1" w:styleId="Sourcetext">
    <w:name w:val="Source text"/>
    <w:basedOn w:val="Normal"/>
    <w:qFormat/>
    <w:rsid w:val="00D30FE1"/>
    <w:pPr>
      <w:jc w:val="left"/>
    </w:pPr>
    <w:rPr>
      <w:sz w:val="18"/>
      <w:szCs w:val="28"/>
      <w:lang w:val="fr-CH"/>
    </w:rPr>
  </w:style>
  <w:style w:type="paragraph" w:customStyle="1" w:styleId="Tablebullet">
    <w:name w:val="Table bullet"/>
    <w:basedOn w:val="Normal"/>
    <w:rsid w:val="00D30FE1"/>
    <w:pPr>
      <w:spacing w:before="0" w:after="160" w:line="259" w:lineRule="auto"/>
      <w:jc w:val="left"/>
    </w:pPr>
    <w:rPr>
      <w:rFonts w:asciiTheme="minorHAnsi" w:hAnsiTheme="minorHAnsi" w:cstheme="minorBidi"/>
      <w:sz w:val="22"/>
      <w:lang w:val="en-US" w:eastAsia="zh-CN"/>
    </w:rPr>
  </w:style>
  <w:style w:type="paragraph" w:customStyle="1" w:styleId="Tableheadcentred">
    <w:name w:val="Table head centred"/>
    <w:basedOn w:val="Tablehead0"/>
    <w:rsid w:val="00D30FE1"/>
    <w:pPr>
      <w:spacing w:before="0" w:after="160" w:line="259" w:lineRule="auto"/>
      <w:jc w:val="center"/>
    </w:pPr>
    <w:rPr>
      <w:rFonts w:asciiTheme="minorHAnsi" w:hAnsiTheme="minorHAnsi" w:cstheme="minorBidi"/>
      <w:lang w:eastAsia="zh-CN"/>
    </w:rPr>
  </w:style>
  <w:style w:type="paragraph" w:customStyle="1" w:styleId="Tableheadright">
    <w:name w:val="Table head right"/>
    <w:basedOn w:val="Tablehead0"/>
    <w:rsid w:val="00D30FE1"/>
    <w:pPr>
      <w:spacing w:before="0" w:after="160" w:line="259" w:lineRule="auto"/>
      <w:jc w:val="right"/>
    </w:pPr>
    <w:rPr>
      <w:rFonts w:asciiTheme="minorHAnsi" w:hAnsiTheme="minorHAnsi" w:cstheme="minorBidi"/>
      <w:lang w:eastAsia="zh-CN"/>
    </w:rPr>
  </w:style>
  <w:style w:type="paragraph" w:customStyle="1" w:styleId="Tableheadsmall">
    <w:name w:val="Table head small"/>
    <w:basedOn w:val="Tablehead0"/>
    <w:rsid w:val="00D30FE1"/>
    <w:pPr>
      <w:spacing w:before="0" w:after="160" w:line="259" w:lineRule="auto"/>
    </w:pPr>
    <w:rPr>
      <w:rFonts w:asciiTheme="minorHAnsi" w:hAnsiTheme="minorHAnsi" w:cstheme="minorBidi"/>
      <w:sz w:val="18"/>
      <w:lang w:eastAsia="zh-CN"/>
    </w:rPr>
  </w:style>
  <w:style w:type="paragraph" w:customStyle="1" w:styleId="Tableheadwhite">
    <w:name w:val="Table head white"/>
    <w:basedOn w:val="Tablehead0"/>
    <w:qFormat/>
    <w:rsid w:val="00D30FE1"/>
    <w:rPr>
      <w:szCs w:val="24"/>
    </w:rPr>
  </w:style>
  <w:style w:type="paragraph" w:customStyle="1" w:styleId="Tableheadsmallwhite">
    <w:name w:val="Table head small white"/>
    <w:basedOn w:val="Tableheadwhite"/>
    <w:rsid w:val="00D30FE1"/>
    <w:pPr>
      <w:spacing w:before="0" w:after="160" w:line="259" w:lineRule="auto"/>
    </w:pPr>
    <w:rPr>
      <w:rFonts w:asciiTheme="minorHAnsi" w:hAnsiTheme="minorHAnsi" w:cstheme="minorBidi"/>
      <w:sz w:val="18"/>
      <w:lang w:eastAsia="zh-CN"/>
    </w:rPr>
  </w:style>
  <w:style w:type="paragraph" w:customStyle="1" w:styleId="Tableheadsmallwhitecentred">
    <w:name w:val="Table head small white centred"/>
    <w:basedOn w:val="Tableheadsmall"/>
    <w:rsid w:val="00D30FE1"/>
    <w:pPr>
      <w:jc w:val="center"/>
    </w:pPr>
    <w:rPr>
      <w:b w:val="0"/>
    </w:rPr>
  </w:style>
  <w:style w:type="paragraph" w:customStyle="1" w:styleId="Tableheadwhitecentred">
    <w:name w:val="Table head white centred"/>
    <w:basedOn w:val="Tableheadwhite"/>
    <w:rsid w:val="00D30FE1"/>
    <w:pPr>
      <w:spacing w:before="0" w:after="160" w:line="259" w:lineRule="auto"/>
      <w:jc w:val="center"/>
    </w:pPr>
    <w:rPr>
      <w:rFonts w:asciiTheme="minorHAnsi" w:hAnsiTheme="minorHAnsi" w:cstheme="minorBidi"/>
      <w:lang w:eastAsia="zh-CN"/>
    </w:rPr>
  </w:style>
  <w:style w:type="paragraph" w:customStyle="1" w:styleId="Tableheadwhiteright">
    <w:name w:val="Table head white right"/>
    <w:basedOn w:val="Tableheadwhitecentred"/>
    <w:rsid w:val="00D30FE1"/>
    <w:pPr>
      <w:jc w:val="right"/>
      <w:textAlignment w:val="center"/>
    </w:pPr>
  </w:style>
  <w:style w:type="paragraph" w:customStyle="1" w:styleId="Tabletextcentred">
    <w:name w:val="Table text centred"/>
    <w:basedOn w:val="Tabletext0"/>
    <w:rsid w:val="00D30FE1"/>
    <w:pPr>
      <w:spacing w:before="0" w:after="160" w:line="259" w:lineRule="auto"/>
      <w:jc w:val="center"/>
    </w:pPr>
    <w:rPr>
      <w:rFonts w:cstheme="minorBidi"/>
      <w:lang w:val="en-US" w:eastAsia="zh-CN"/>
    </w:rPr>
  </w:style>
  <w:style w:type="paragraph" w:customStyle="1" w:styleId="Tabletextrightaligned">
    <w:name w:val="Table text right aligned"/>
    <w:basedOn w:val="Tabletext0"/>
    <w:rsid w:val="00D30FE1"/>
    <w:pPr>
      <w:spacing w:before="0" w:after="160" w:line="259" w:lineRule="auto"/>
      <w:jc w:val="right"/>
    </w:pPr>
    <w:rPr>
      <w:rFonts w:cstheme="minorBidi"/>
      <w:lang w:val="en-US" w:eastAsia="zh-CN"/>
    </w:rPr>
  </w:style>
  <w:style w:type="paragraph" w:customStyle="1" w:styleId="Tabletextsmall">
    <w:name w:val="Table text small"/>
    <w:basedOn w:val="Tabletext0"/>
    <w:rsid w:val="00D30FE1"/>
    <w:pPr>
      <w:spacing w:before="0" w:after="160" w:line="259" w:lineRule="auto"/>
    </w:pPr>
    <w:rPr>
      <w:rFonts w:cstheme="minorBidi"/>
      <w:sz w:val="18"/>
      <w:lang w:val="en-US" w:eastAsia="zh-CN"/>
    </w:rPr>
  </w:style>
  <w:style w:type="paragraph" w:customStyle="1" w:styleId="Tabletextsmallbullet">
    <w:name w:val="Table text small bullet"/>
    <w:basedOn w:val="Normal"/>
    <w:rsid w:val="00D30FE1"/>
    <w:pPr>
      <w:spacing w:before="0" w:after="160" w:line="259" w:lineRule="auto"/>
      <w:jc w:val="left"/>
    </w:pPr>
    <w:rPr>
      <w:rFonts w:asciiTheme="minorHAnsi" w:hAnsiTheme="minorHAnsi" w:cstheme="minorBidi"/>
      <w:sz w:val="20"/>
      <w:lang w:val="en-US" w:eastAsia="zh-CN"/>
    </w:rPr>
  </w:style>
  <w:style w:type="paragraph" w:customStyle="1" w:styleId="Tabletextsmallcentred">
    <w:name w:val="Table text small centred"/>
    <w:basedOn w:val="Tabletext0"/>
    <w:rsid w:val="00D30FE1"/>
    <w:pPr>
      <w:spacing w:before="0" w:after="160" w:line="259" w:lineRule="auto"/>
      <w:jc w:val="center"/>
    </w:pPr>
    <w:rPr>
      <w:rFonts w:cstheme="minorBidi"/>
      <w:sz w:val="18"/>
      <w:lang w:val="en-US" w:eastAsia="zh-CN"/>
    </w:rPr>
  </w:style>
  <w:style w:type="paragraph" w:customStyle="1" w:styleId="Tabletextsmallrightaligned">
    <w:name w:val="Table text small right aligned"/>
    <w:basedOn w:val="Tabletext0"/>
    <w:rsid w:val="00D30FE1"/>
    <w:pPr>
      <w:spacing w:before="0" w:after="160" w:line="259" w:lineRule="auto"/>
      <w:jc w:val="right"/>
    </w:pPr>
    <w:rPr>
      <w:rFonts w:cstheme="minorBidi"/>
      <w:sz w:val="18"/>
      <w:lang w:val="en-US" w:eastAsia="zh-CN"/>
    </w:rPr>
  </w:style>
  <w:style w:type="paragraph" w:customStyle="1" w:styleId="iSAFigCap">
    <w:name w:val="iSA Fig Cap"/>
    <w:basedOn w:val="Normal"/>
    <w:next w:val="Normal"/>
    <w:qFormat/>
    <w:rsid w:val="00D1731E"/>
    <w:pPr>
      <w:keepNext/>
      <w:spacing w:before="0" w:after="200" w:line="276" w:lineRule="auto"/>
      <w:jc w:val="center"/>
    </w:pPr>
    <w:rPr>
      <w:rFonts w:eastAsia="Calibri" w:cs="Arial"/>
      <w:b/>
      <w:color w:val="4F81BD"/>
      <w:sz w:val="18"/>
    </w:rPr>
  </w:style>
  <w:style w:type="character" w:styleId="IntenseEmphasis">
    <w:name w:val="Intense Emphasis"/>
    <w:uiPriority w:val="21"/>
    <w:qFormat/>
    <w:rsid w:val="00D1731E"/>
    <w:rPr>
      <w:b/>
      <w:bCs/>
      <w:i/>
      <w:iCs/>
      <w:color w:val="4F81BD"/>
    </w:rPr>
  </w:style>
  <w:style w:type="paragraph" w:styleId="Subtitle">
    <w:name w:val="Subtitle"/>
    <w:basedOn w:val="Normal"/>
    <w:next w:val="Normal"/>
    <w:link w:val="SubtitleChar"/>
    <w:qFormat/>
    <w:rsid w:val="00D1731E"/>
    <w:pPr>
      <w:numPr>
        <w:ilvl w:val="1"/>
      </w:numPr>
      <w:spacing w:after="160"/>
    </w:pPr>
    <w:rPr>
      <w:rFonts w:eastAsia="SimSun" w:cs="Arial"/>
      <w:color w:val="5A5A5A"/>
      <w:spacing w:val="15"/>
      <w:sz w:val="22"/>
    </w:rPr>
  </w:style>
  <w:style w:type="character" w:customStyle="1" w:styleId="SubtitleChar">
    <w:name w:val="Subtitle Char"/>
    <w:basedOn w:val="DefaultParagraphFont"/>
    <w:link w:val="Subtitle"/>
    <w:rsid w:val="00D1731E"/>
    <w:rPr>
      <w:rFonts w:ascii="Calibri" w:eastAsia="SimSun" w:hAnsi="Calibri" w:cs="Arial"/>
      <w:color w:val="5A5A5A"/>
      <w:spacing w:val="15"/>
      <w:sz w:val="22"/>
      <w:szCs w:val="22"/>
      <w:lang w:val="fr-FR" w:eastAsia="fr-FR"/>
    </w:rPr>
  </w:style>
  <w:style w:type="paragraph" w:customStyle="1" w:styleId="CEOindent-abc">
    <w:name w:val="CEO_indent-abc"/>
    <w:basedOn w:val="Normal"/>
    <w:rsid w:val="00D1731E"/>
    <w:pPr>
      <w:numPr>
        <w:ilvl w:val="1"/>
        <w:numId w:val="6"/>
      </w:numPr>
      <w:spacing w:before="0"/>
    </w:pPr>
    <w:rPr>
      <w:rFonts w:ascii="Verdana" w:eastAsia="Calibri" w:hAnsi="Verdana"/>
      <w:sz w:val="18"/>
      <w:szCs w:val="18"/>
      <w:lang w:val="en-US"/>
    </w:rPr>
  </w:style>
  <w:style w:type="paragraph" w:customStyle="1" w:styleId="CEOIndenti-ii-iii">
    <w:name w:val="CEO_Indenti-ii-iii"/>
    <w:basedOn w:val="Normal"/>
    <w:rsid w:val="00D1731E"/>
    <w:pPr>
      <w:numPr>
        <w:ilvl w:val="2"/>
        <w:numId w:val="6"/>
      </w:numPr>
      <w:spacing w:after="120"/>
    </w:pPr>
    <w:rPr>
      <w:rFonts w:ascii="Verdana" w:eastAsia="Calibri" w:hAnsi="Verdana"/>
      <w:sz w:val="18"/>
      <w:szCs w:val="18"/>
      <w:lang w:val="en-US"/>
    </w:rPr>
  </w:style>
  <w:style w:type="character" w:customStyle="1" w:styleId="NormalaftertitleChar">
    <w:name w:val="Normal after title Char"/>
    <w:link w:val="Normalaftertitle"/>
    <w:locked/>
    <w:rsid w:val="00D1731E"/>
    <w:rPr>
      <w:rFonts w:ascii="Calibri" w:eastAsiaTheme="minorEastAsia" w:hAnsi="Calibri"/>
      <w:sz w:val="24"/>
      <w:szCs w:val="22"/>
      <w:lang w:val="fr-FR" w:eastAsia="fr-FR"/>
    </w:rPr>
  </w:style>
  <w:style w:type="paragraph" w:styleId="NormalWeb">
    <w:name w:val="Normal (Web)"/>
    <w:basedOn w:val="Normal"/>
    <w:uiPriority w:val="99"/>
    <w:unhideWhenUsed/>
    <w:rsid w:val="00D1731E"/>
    <w:pPr>
      <w:spacing w:before="100" w:beforeAutospacing="1" w:after="100" w:afterAutospacing="1"/>
    </w:pPr>
    <w:rPr>
      <w:rFonts w:ascii="Times New Roman" w:hAnsi="Times New Roman"/>
      <w:szCs w:val="24"/>
      <w:lang w:eastAsia="en-GB"/>
    </w:rPr>
  </w:style>
  <w:style w:type="paragraph" w:customStyle="1" w:styleId="Citation20">
    <w:name w:val="Citation2"/>
    <w:basedOn w:val="Normal"/>
    <w:qFormat/>
    <w:rsid w:val="00056ACE"/>
    <w:pPr>
      <w:pBdr>
        <w:top w:val="single" w:sz="12" w:space="1" w:color="31849B"/>
        <w:left w:val="single" w:sz="12" w:space="4" w:color="31849B"/>
        <w:bottom w:val="single" w:sz="12" w:space="1" w:color="31849B"/>
        <w:right w:val="single" w:sz="12" w:space="4" w:color="31849B"/>
      </w:pBdr>
      <w:shd w:val="clear" w:color="auto" w:fill="DAEEF3"/>
      <w:spacing w:before="240" w:after="240"/>
      <w:ind w:left="567" w:right="495"/>
    </w:pPr>
    <w:rPr>
      <w:bCs/>
      <w:i/>
      <w:iCs/>
    </w:rPr>
  </w:style>
  <w:style w:type="paragraph" w:styleId="TableofFigures">
    <w:name w:val="table of figures"/>
    <w:basedOn w:val="Normal"/>
    <w:next w:val="Normal"/>
    <w:uiPriority w:val="99"/>
    <w:unhideWhenUsed/>
    <w:rsid w:val="00056ACE"/>
  </w:style>
  <w:style w:type="character" w:customStyle="1" w:styleId="hps">
    <w:name w:val="hps"/>
    <w:basedOn w:val="DefaultParagraphFont"/>
    <w:rsid w:val="00A94632"/>
  </w:style>
  <w:style w:type="character" w:customStyle="1" w:styleId="Boldunderline">
    <w:name w:val="Bold underline"/>
    <w:rsid w:val="009D47B7"/>
    <w:rPr>
      <w:rFonts w:ascii="Calibri" w:hAnsi="Calibri"/>
      <w:b/>
      <w:i w:val="0"/>
      <w:sz w:val="22"/>
      <w:u w:val="single"/>
    </w:rPr>
  </w:style>
  <w:style w:type="paragraph" w:customStyle="1" w:styleId="Citation3">
    <w:name w:val="Citation3"/>
    <w:basedOn w:val="Normal"/>
    <w:qFormat/>
    <w:rsid w:val="009D47B7"/>
    <w:pPr>
      <w:pBdr>
        <w:top w:val="single" w:sz="12" w:space="1" w:color="31849B"/>
        <w:left w:val="single" w:sz="12" w:space="4" w:color="31849B"/>
        <w:bottom w:val="single" w:sz="12" w:space="1" w:color="31849B"/>
        <w:right w:val="single" w:sz="12" w:space="4" w:color="31849B"/>
      </w:pBdr>
      <w:shd w:val="clear" w:color="auto" w:fill="DAEEF3"/>
      <w:spacing w:before="240" w:after="240"/>
      <w:ind w:left="567" w:right="495"/>
    </w:pPr>
    <w:rPr>
      <w:bCs/>
      <w:i/>
      <w:iCs/>
      <w:lang w:val="en-US"/>
    </w:rPr>
  </w:style>
  <w:style w:type="character" w:customStyle="1" w:styleId="CallChar">
    <w:name w:val="Call Char"/>
    <w:basedOn w:val="DefaultParagraphFont"/>
    <w:link w:val="Call"/>
    <w:uiPriority w:val="99"/>
    <w:locked/>
    <w:rsid w:val="009D47B7"/>
    <w:rPr>
      <w:rFonts w:ascii="Calibri" w:eastAsiaTheme="minorEastAsia" w:hAnsi="Calibri"/>
      <w:i/>
      <w:sz w:val="24"/>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4886">
      <w:bodyDiv w:val="1"/>
      <w:marLeft w:val="0"/>
      <w:marRight w:val="0"/>
      <w:marTop w:val="0"/>
      <w:marBottom w:val="0"/>
      <w:divBdr>
        <w:top w:val="none" w:sz="0" w:space="0" w:color="auto"/>
        <w:left w:val="none" w:sz="0" w:space="0" w:color="auto"/>
        <w:bottom w:val="none" w:sz="0" w:space="0" w:color="auto"/>
        <w:right w:val="none" w:sz="0" w:space="0" w:color="auto"/>
      </w:divBdr>
    </w:div>
    <w:div w:id="191459356">
      <w:bodyDiv w:val="1"/>
      <w:marLeft w:val="0"/>
      <w:marRight w:val="0"/>
      <w:marTop w:val="0"/>
      <w:marBottom w:val="0"/>
      <w:divBdr>
        <w:top w:val="none" w:sz="0" w:space="0" w:color="auto"/>
        <w:left w:val="none" w:sz="0" w:space="0" w:color="auto"/>
        <w:bottom w:val="none" w:sz="0" w:space="0" w:color="auto"/>
        <w:right w:val="none" w:sz="0" w:space="0" w:color="auto"/>
      </w:divBdr>
    </w:div>
    <w:div w:id="565147506">
      <w:bodyDiv w:val="1"/>
      <w:marLeft w:val="0"/>
      <w:marRight w:val="0"/>
      <w:marTop w:val="0"/>
      <w:marBottom w:val="0"/>
      <w:divBdr>
        <w:top w:val="none" w:sz="0" w:space="0" w:color="auto"/>
        <w:left w:val="none" w:sz="0" w:space="0" w:color="auto"/>
        <w:bottom w:val="none" w:sz="0" w:space="0" w:color="auto"/>
        <w:right w:val="none" w:sz="0" w:space="0" w:color="auto"/>
      </w:divBdr>
    </w:div>
    <w:div w:id="574436358">
      <w:bodyDiv w:val="1"/>
      <w:marLeft w:val="0"/>
      <w:marRight w:val="0"/>
      <w:marTop w:val="0"/>
      <w:marBottom w:val="0"/>
      <w:divBdr>
        <w:top w:val="none" w:sz="0" w:space="0" w:color="auto"/>
        <w:left w:val="none" w:sz="0" w:space="0" w:color="auto"/>
        <w:bottom w:val="none" w:sz="0" w:space="0" w:color="auto"/>
        <w:right w:val="none" w:sz="0" w:space="0" w:color="auto"/>
      </w:divBdr>
    </w:div>
    <w:div w:id="640116682">
      <w:bodyDiv w:val="1"/>
      <w:marLeft w:val="0"/>
      <w:marRight w:val="0"/>
      <w:marTop w:val="0"/>
      <w:marBottom w:val="0"/>
      <w:divBdr>
        <w:top w:val="none" w:sz="0" w:space="0" w:color="auto"/>
        <w:left w:val="none" w:sz="0" w:space="0" w:color="auto"/>
        <w:bottom w:val="none" w:sz="0" w:space="0" w:color="auto"/>
        <w:right w:val="none" w:sz="0" w:space="0" w:color="auto"/>
      </w:divBdr>
    </w:div>
    <w:div w:id="681705677">
      <w:bodyDiv w:val="1"/>
      <w:marLeft w:val="0"/>
      <w:marRight w:val="0"/>
      <w:marTop w:val="0"/>
      <w:marBottom w:val="0"/>
      <w:divBdr>
        <w:top w:val="none" w:sz="0" w:space="0" w:color="auto"/>
        <w:left w:val="none" w:sz="0" w:space="0" w:color="auto"/>
        <w:bottom w:val="none" w:sz="0" w:space="0" w:color="auto"/>
        <w:right w:val="none" w:sz="0" w:space="0" w:color="auto"/>
      </w:divBdr>
      <w:divsChild>
        <w:div w:id="1097367532">
          <w:marLeft w:val="0"/>
          <w:marRight w:val="0"/>
          <w:marTop w:val="0"/>
          <w:marBottom w:val="0"/>
          <w:divBdr>
            <w:top w:val="none" w:sz="0" w:space="0" w:color="auto"/>
            <w:left w:val="none" w:sz="0" w:space="0" w:color="auto"/>
            <w:bottom w:val="none" w:sz="0" w:space="0" w:color="auto"/>
            <w:right w:val="none" w:sz="0" w:space="0" w:color="auto"/>
          </w:divBdr>
          <w:divsChild>
            <w:div w:id="1745183502">
              <w:marLeft w:val="0"/>
              <w:marRight w:val="0"/>
              <w:marTop w:val="0"/>
              <w:marBottom w:val="0"/>
              <w:divBdr>
                <w:top w:val="none" w:sz="0" w:space="0" w:color="auto"/>
                <w:left w:val="none" w:sz="0" w:space="0" w:color="auto"/>
                <w:bottom w:val="none" w:sz="0" w:space="0" w:color="auto"/>
                <w:right w:val="none" w:sz="0" w:space="0" w:color="auto"/>
              </w:divBdr>
              <w:divsChild>
                <w:div w:id="1781028733">
                  <w:marLeft w:val="0"/>
                  <w:marRight w:val="0"/>
                  <w:marTop w:val="0"/>
                  <w:marBottom w:val="0"/>
                  <w:divBdr>
                    <w:top w:val="none" w:sz="0" w:space="0" w:color="auto"/>
                    <w:left w:val="none" w:sz="0" w:space="0" w:color="auto"/>
                    <w:bottom w:val="none" w:sz="0" w:space="0" w:color="auto"/>
                    <w:right w:val="none" w:sz="0" w:space="0" w:color="auto"/>
                  </w:divBdr>
                  <w:divsChild>
                    <w:div w:id="2137484178">
                      <w:marLeft w:val="0"/>
                      <w:marRight w:val="0"/>
                      <w:marTop w:val="0"/>
                      <w:marBottom w:val="0"/>
                      <w:divBdr>
                        <w:top w:val="none" w:sz="0" w:space="0" w:color="auto"/>
                        <w:left w:val="none" w:sz="0" w:space="0" w:color="auto"/>
                        <w:bottom w:val="none" w:sz="0" w:space="0" w:color="auto"/>
                        <w:right w:val="none" w:sz="0" w:space="0" w:color="auto"/>
                      </w:divBdr>
                      <w:divsChild>
                        <w:div w:id="1973974334">
                          <w:marLeft w:val="0"/>
                          <w:marRight w:val="0"/>
                          <w:marTop w:val="0"/>
                          <w:marBottom w:val="0"/>
                          <w:divBdr>
                            <w:top w:val="none" w:sz="0" w:space="0" w:color="auto"/>
                            <w:left w:val="none" w:sz="0" w:space="0" w:color="auto"/>
                            <w:bottom w:val="none" w:sz="0" w:space="0" w:color="auto"/>
                            <w:right w:val="none" w:sz="0" w:space="0" w:color="auto"/>
                          </w:divBdr>
                          <w:divsChild>
                            <w:div w:id="1477144243">
                              <w:marLeft w:val="0"/>
                              <w:marRight w:val="0"/>
                              <w:marTop w:val="0"/>
                              <w:marBottom w:val="0"/>
                              <w:divBdr>
                                <w:top w:val="none" w:sz="0" w:space="0" w:color="auto"/>
                                <w:left w:val="none" w:sz="0" w:space="0" w:color="auto"/>
                                <w:bottom w:val="none" w:sz="0" w:space="0" w:color="auto"/>
                                <w:right w:val="none" w:sz="0" w:space="0" w:color="auto"/>
                              </w:divBdr>
                              <w:divsChild>
                                <w:div w:id="2112430231">
                                  <w:marLeft w:val="0"/>
                                  <w:marRight w:val="0"/>
                                  <w:marTop w:val="0"/>
                                  <w:marBottom w:val="0"/>
                                  <w:divBdr>
                                    <w:top w:val="none" w:sz="0" w:space="0" w:color="auto"/>
                                    <w:left w:val="none" w:sz="0" w:space="0" w:color="auto"/>
                                    <w:bottom w:val="none" w:sz="0" w:space="0" w:color="auto"/>
                                    <w:right w:val="none" w:sz="0" w:space="0" w:color="auto"/>
                                  </w:divBdr>
                                  <w:divsChild>
                                    <w:div w:id="44791743">
                                      <w:marLeft w:val="0"/>
                                      <w:marRight w:val="0"/>
                                      <w:marTop w:val="0"/>
                                      <w:marBottom w:val="0"/>
                                      <w:divBdr>
                                        <w:top w:val="none" w:sz="0" w:space="0" w:color="auto"/>
                                        <w:left w:val="none" w:sz="0" w:space="0" w:color="auto"/>
                                        <w:bottom w:val="none" w:sz="0" w:space="0" w:color="auto"/>
                                        <w:right w:val="none" w:sz="0" w:space="0" w:color="auto"/>
                                      </w:divBdr>
                                      <w:divsChild>
                                        <w:div w:id="143359899">
                                          <w:marLeft w:val="0"/>
                                          <w:marRight w:val="0"/>
                                          <w:marTop w:val="0"/>
                                          <w:marBottom w:val="0"/>
                                          <w:divBdr>
                                            <w:top w:val="none" w:sz="0" w:space="0" w:color="auto"/>
                                            <w:left w:val="none" w:sz="0" w:space="0" w:color="auto"/>
                                            <w:bottom w:val="none" w:sz="0" w:space="0" w:color="auto"/>
                                            <w:right w:val="none" w:sz="0" w:space="0" w:color="auto"/>
                                          </w:divBdr>
                                          <w:divsChild>
                                            <w:div w:id="1283002910">
                                              <w:marLeft w:val="0"/>
                                              <w:marRight w:val="0"/>
                                              <w:marTop w:val="0"/>
                                              <w:marBottom w:val="0"/>
                                              <w:divBdr>
                                                <w:top w:val="none" w:sz="0" w:space="0" w:color="auto"/>
                                                <w:left w:val="none" w:sz="0" w:space="0" w:color="auto"/>
                                                <w:bottom w:val="none" w:sz="0" w:space="0" w:color="auto"/>
                                                <w:right w:val="none" w:sz="0" w:space="0" w:color="auto"/>
                                              </w:divBdr>
                                              <w:divsChild>
                                                <w:div w:id="4022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32">
      <w:bodyDiv w:val="1"/>
      <w:marLeft w:val="0"/>
      <w:marRight w:val="0"/>
      <w:marTop w:val="0"/>
      <w:marBottom w:val="0"/>
      <w:divBdr>
        <w:top w:val="none" w:sz="0" w:space="0" w:color="auto"/>
        <w:left w:val="none" w:sz="0" w:space="0" w:color="auto"/>
        <w:bottom w:val="none" w:sz="0" w:space="0" w:color="auto"/>
        <w:right w:val="none" w:sz="0" w:space="0" w:color="auto"/>
      </w:divBdr>
    </w:div>
    <w:div w:id="866987415">
      <w:bodyDiv w:val="1"/>
      <w:marLeft w:val="0"/>
      <w:marRight w:val="0"/>
      <w:marTop w:val="0"/>
      <w:marBottom w:val="0"/>
      <w:divBdr>
        <w:top w:val="none" w:sz="0" w:space="0" w:color="auto"/>
        <w:left w:val="none" w:sz="0" w:space="0" w:color="auto"/>
        <w:bottom w:val="none" w:sz="0" w:space="0" w:color="auto"/>
        <w:right w:val="none" w:sz="0" w:space="0" w:color="auto"/>
      </w:divBdr>
    </w:div>
    <w:div w:id="884872561">
      <w:bodyDiv w:val="1"/>
      <w:marLeft w:val="0"/>
      <w:marRight w:val="0"/>
      <w:marTop w:val="0"/>
      <w:marBottom w:val="0"/>
      <w:divBdr>
        <w:top w:val="none" w:sz="0" w:space="0" w:color="auto"/>
        <w:left w:val="none" w:sz="0" w:space="0" w:color="auto"/>
        <w:bottom w:val="none" w:sz="0" w:space="0" w:color="auto"/>
        <w:right w:val="none" w:sz="0" w:space="0" w:color="auto"/>
      </w:divBdr>
    </w:div>
    <w:div w:id="986007040">
      <w:bodyDiv w:val="1"/>
      <w:marLeft w:val="0"/>
      <w:marRight w:val="0"/>
      <w:marTop w:val="0"/>
      <w:marBottom w:val="0"/>
      <w:divBdr>
        <w:top w:val="none" w:sz="0" w:space="0" w:color="auto"/>
        <w:left w:val="none" w:sz="0" w:space="0" w:color="auto"/>
        <w:bottom w:val="none" w:sz="0" w:space="0" w:color="auto"/>
        <w:right w:val="none" w:sz="0" w:space="0" w:color="auto"/>
      </w:divBdr>
    </w:div>
    <w:div w:id="1069112590">
      <w:bodyDiv w:val="1"/>
      <w:marLeft w:val="0"/>
      <w:marRight w:val="0"/>
      <w:marTop w:val="0"/>
      <w:marBottom w:val="0"/>
      <w:divBdr>
        <w:top w:val="none" w:sz="0" w:space="0" w:color="auto"/>
        <w:left w:val="none" w:sz="0" w:space="0" w:color="auto"/>
        <w:bottom w:val="none" w:sz="0" w:space="0" w:color="auto"/>
        <w:right w:val="none" w:sz="0" w:space="0" w:color="auto"/>
      </w:divBdr>
    </w:div>
    <w:div w:id="1380590676">
      <w:bodyDiv w:val="1"/>
      <w:marLeft w:val="0"/>
      <w:marRight w:val="0"/>
      <w:marTop w:val="0"/>
      <w:marBottom w:val="0"/>
      <w:divBdr>
        <w:top w:val="none" w:sz="0" w:space="0" w:color="auto"/>
        <w:left w:val="none" w:sz="0" w:space="0" w:color="auto"/>
        <w:bottom w:val="none" w:sz="0" w:space="0" w:color="auto"/>
        <w:right w:val="none" w:sz="0" w:space="0" w:color="auto"/>
      </w:divBdr>
    </w:div>
    <w:div w:id="1736202336">
      <w:bodyDiv w:val="1"/>
      <w:marLeft w:val="0"/>
      <w:marRight w:val="0"/>
      <w:marTop w:val="0"/>
      <w:marBottom w:val="0"/>
      <w:divBdr>
        <w:top w:val="none" w:sz="0" w:space="0" w:color="auto"/>
        <w:left w:val="none" w:sz="0" w:space="0" w:color="auto"/>
        <w:bottom w:val="none" w:sz="0" w:space="0" w:color="auto"/>
        <w:right w:val="none" w:sz="0" w:space="0" w:color="auto"/>
      </w:divBdr>
    </w:div>
    <w:div w:id="1806385512">
      <w:bodyDiv w:val="1"/>
      <w:marLeft w:val="0"/>
      <w:marRight w:val="0"/>
      <w:marTop w:val="0"/>
      <w:marBottom w:val="0"/>
      <w:divBdr>
        <w:top w:val="none" w:sz="0" w:space="0" w:color="auto"/>
        <w:left w:val="none" w:sz="0" w:space="0" w:color="auto"/>
        <w:bottom w:val="none" w:sz="0" w:space="0" w:color="auto"/>
        <w:right w:val="none" w:sz="0" w:space="0" w:color="auto"/>
      </w:divBdr>
    </w:div>
    <w:div w:id="1819414976">
      <w:bodyDiv w:val="1"/>
      <w:marLeft w:val="0"/>
      <w:marRight w:val="0"/>
      <w:marTop w:val="0"/>
      <w:marBottom w:val="0"/>
      <w:divBdr>
        <w:top w:val="none" w:sz="0" w:space="0" w:color="auto"/>
        <w:left w:val="none" w:sz="0" w:space="0" w:color="auto"/>
        <w:bottom w:val="none" w:sz="0" w:space="0" w:color="auto"/>
        <w:right w:val="none" w:sz="0" w:space="0" w:color="auto"/>
      </w:divBdr>
    </w:div>
    <w:div w:id="1929921957">
      <w:bodyDiv w:val="1"/>
      <w:marLeft w:val="0"/>
      <w:marRight w:val="0"/>
      <w:marTop w:val="0"/>
      <w:marBottom w:val="0"/>
      <w:divBdr>
        <w:top w:val="none" w:sz="0" w:space="0" w:color="auto"/>
        <w:left w:val="none" w:sz="0" w:space="0" w:color="auto"/>
        <w:bottom w:val="none" w:sz="0" w:space="0" w:color="auto"/>
        <w:right w:val="none" w:sz="0" w:space="0" w:color="auto"/>
      </w:divBdr>
    </w:div>
    <w:div w:id="2055344764">
      <w:bodyDiv w:val="1"/>
      <w:marLeft w:val="0"/>
      <w:marRight w:val="0"/>
      <w:marTop w:val="0"/>
      <w:marBottom w:val="0"/>
      <w:divBdr>
        <w:top w:val="none" w:sz="0" w:space="0" w:color="auto"/>
        <w:left w:val="none" w:sz="0" w:space="0" w:color="auto"/>
        <w:bottom w:val="none" w:sz="0" w:space="0" w:color="auto"/>
        <w:right w:val="none" w:sz="0" w:space="0" w:color="auto"/>
      </w:divBdr>
    </w:div>
    <w:div w:id="2072926610">
      <w:bodyDiv w:val="1"/>
      <w:marLeft w:val="0"/>
      <w:marRight w:val="0"/>
      <w:marTop w:val="0"/>
      <w:marBottom w:val="0"/>
      <w:divBdr>
        <w:top w:val="none" w:sz="0" w:space="0" w:color="auto"/>
        <w:left w:val="none" w:sz="0" w:space="0" w:color="auto"/>
        <w:bottom w:val="none" w:sz="0" w:space="0" w:color="auto"/>
        <w:right w:val="none" w:sz="0" w:space="0" w:color="auto"/>
      </w:divBdr>
    </w:div>
    <w:div w:id="21419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tutes.agc.gov.sg/aol/search/display/view.w3p;page=0;query=DocId%3Afe1642bb-1981-4afd-a8da-322595befe8a%20Depth%3A0%20ValidTime%3A02%2F02%2F2016%20TransactionTime%3A02%2F02%2F2016%20Status%3Apublished;rec=0" TargetMode="External"/><Relationship Id="rId21" Type="http://schemas.openxmlformats.org/officeDocument/2006/relationships/hyperlink" Target="http://www.itu.int/pub/R-REP-BT.2140" TargetMode="External"/><Relationship Id="rId42" Type="http://schemas.openxmlformats.org/officeDocument/2006/relationships/image" Target="media/image2.png"/><Relationship Id="rId63" Type="http://schemas.openxmlformats.org/officeDocument/2006/relationships/hyperlink" Target="http://www.itu.int/pub/R-HDB-01" TargetMode="External"/><Relationship Id="rId84" Type="http://schemas.openxmlformats.org/officeDocument/2006/relationships/hyperlink" Target="https://www.itu.int/pub/R-REP-M.2117" TargetMode="External"/><Relationship Id="rId138" Type="http://schemas.openxmlformats.org/officeDocument/2006/relationships/hyperlink" Target="http://www.itu.int/md/meetingdoc.asp?lang=en&amp;parent=D14-SG01-C-0362" TargetMode="External"/><Relationship Id="rId159" Type="http://schemas.openxmlformats.org/officeDocument/2006/relationships/hyperlink" Target="http://www.itu.int/md/meetingdoc.asp?lang=en&amp;parent=D14-SG01-C-0249" TargetMode="External"/><Relationship Id="rId170" Type="http://schemas.openxmlformats.org/officeDocument/2006/relationships/hyperlink" Target="http://www.itu.int/md/meetingdoc.asp?lang=en&amp;parent=D14-SG01-C-0151" TargetMode="External"/><Relationship Id="rId191" Type="http://schemas.openxmlformats.org/officeDocument/2006/relationships/hyperlink" Target="http://www.itu.int/md/D14-SG01.RGQ-C-0306/en" TargetMode="External"/><Relationship Id="rId205" Type="http://schemas.openxmlformats.org/officeDocument/2006/relationships/hyperlink" Target="http://www.itu.int/md/meetingdoc.asp?lang=en&amp;parent=D14-SG01.RGQ-C-0080" TargetMode="External"/><Relationship Id="rId16" Type="http://schemas.openxmlformats.org/officeDocument/2006/relationships/header" Target="header3.xml"/><Relationship Id="rId107" Type="http://schemas.openxmlformats.org/officeDocument/2006/relationships/hyperlink" Target="http://www.wififorward.org/wp-content/uploads/2014/01/Value-of-Unlicensed-Spectrum-to-the-US-Economy-Full-Report.pdf" TargetMode="External"/><Relationship Id="rId11" Type="http://schemas.openxmlformats.org/officeDocument/2006/relationships/image" Target="media/image1.emf"/><Relationship Id="rId32" Type="http://schemas.openxmlformats.org/officeDocument/2006/relationships/hyperlink" Target="http://www.itu.int/md/meetingdoc.asp?lang=en&amp;parent=D14-SG01-C-0223" TargetMode="External"/><Relationship Id="rId37" Type="http://schemas.openxmlformats.org/officeDocument/2006/relationships/hyperlink" Target="http://www.itu.int/md/meetingdoc.asp?lang=en&amp;parent=D14-SG01.RGQ-C-0060" TargetMode="External"/><Relationship Id="rId53" Type="http://schemas.openxmlformats.org/officeDocument/2006/relationships/hyperlink" Target="http://www.itu.int/dms_pub/itu-r/oth/0c/0a/R0C0A00000C0027PDFE.pdf" TargetMode="External"/><Relationship Id="rId58" Type="http://schemas.openxmlformats.org/officeDocument/2006/relationships/hyperlink" Target="http://www.itu.int/go/wrc-19" TargetMode="External"/><Relationship Id="rId74" Type="http://schemas.openxmlformats.org/officeDocument/2006/relationships/hyperlink" Target="https://www.itu.int/rec/R-REC-F.1110-3-200302-I/en" TargetMode="External"/><Relationship Id="rId79" Type="http://schemas.openxmlformats.org/officeDocument/2006/relationships/hyperlink" Target="https://www.itu.int/rec/R-REC-SM.1603-2-201408-I/en" TargetMode="External"/><Relationship Id="rId102" Type="http://schemas.openxmlformats.org/officeDocument/2006/relationships/hyperlink" Target="http://stakeholders.ofcom.org.uk/binaries/consultations/whitespacecoexistence/statement/tvws-statement.pdf" TargetMode="External"/><Relationship Id="rId123" Type="http://schemas.openxmlformats.org/officeDocument/2006/relationships/footer" Target="footer5.xml"/><Relationship Id="rId128" Type="http://schemas.openxmlformats.org/officeDocument/2006/relationships/oleObject" Target="embeddings/oleObject2.bin"/><Relationship Id="rId144" Type="http://schemas.openxmlformats.org/officeDocument/2006/relationships/hyperlink" Target="http://www.itu.int/md/meetingdoc.asp?lang=en&amp;parent=D14-SG01-C-0273" TargetMode="External"/><Relationship Id="rId149" Type="http://schemas.openxmlformats.org/officeDocument/2006/relationships/hyperlink" Target="http://www.itu.int/md/meetingdoc.asp?lang=en&amp;parent=D14-SG01.RGQ-C-0222" TargetMode="External"/><Relationship Id="rId5" Type="http://schemas.openxmlformats.org/officeDocument/2006/relationships/numbering" Target="numbering.xml"/><Relationship Id="rId90" Type="http://schemas.openxmlformats.org/officeDocument/2006/relationships/hyperlink" Target="http://www.itu.int/dms_pub/itu-r/opb/rep/R-REP-SM.2256-2012-MSW-E.docx" TargetMode="External"/><Relationship Id="rId95" Type="http://schemas.openxmlformats.org/officeDocument/2006/relationships/hyperlink" Target="http://www.erodocdb.dk/Docs/doc98/official/pdf/ECCREP236.PDF" TargetMode="External"/><Relationship Id="rId160" Type="http://schemas.openxmlformats.org/officeDocument/2006/relationships/hyperlink" Target="http://www.itu.int/md/meetingdoc.asp?lang=en&amp;parent=D14-SG01-C-0233" TargetMode="External"/><Relationship Id="rId165" Type="http://schemas.openxmlformats.org/officeDocument/2006/relationships/hyperlink" Target="http://www.itu.int/md/meetingdoc.asp?lang=en&amp;parent=D14-SG01-C-0183" TargetMode="External"/><Relationship Id="rId181" Type="http://schemas.openxmlformats.org/officeDocument/2006/relationships/hyperlink" Target="http://www.itu.int/md/meetingdoc.asp?lang=en&amp;parent=D14-SG01-C-0063" TargetMode="External"/><Relationship Id="rId186" Type="http://schemas.openxmlformats.org/officeDocument/2006/relationships/hyperlink" Target="http://www.itu.int/md/meetingdoc.asp?lang=en&amp;parent=D14-SG01-C-0050" TargetMode="External"/><Relationship Id="rId22" Type="http://schemas.openxmlformats.org/officeDocument/2006/relationships/hyperlink" Target="http://www.itu.int/en/ITU-D/Spectrum-Broadcasting/Pages/DSO/Publications.aspx" TargetMode="External"/><Relationship Id="rId27" Type="http://schemas.openxmlformats.org/officeDocument/2006/relationships/hyperlink" Target="http://www.itu.int/rec/R-REC-F.1110/en" TargetMode="External"/><Relationship Id="rId43" Type="http://schemas.openxmlformats.org/officeDocument/2006/relationships/hyperlink" Target="https://www.itu.int/md/D14-SG01-C-0056/en" TargetMode="External"/><Relationship Id="rId48" Type="http://schemas.openxmlformats.org/officeDocument/2006/relationships/hyperlink" Target="http://www.itu.int/net/pressoffice/press_releases/2015/48.aspx" TargetMode="External"/><Relationship Id="rId64" Type="http://schemas.openxmlformats.org/officeDocument/2006/relationships/image" Target="media/image3.png"/><Relationship Id="rId69" Type="http://schemas.openxmlformats.org/officeDocument/2006/relationships/hyperlink" Target="https://www.itu.int/pub/R-QUE-SG01.208-1-2015" TargetMode="External"/><Relationship Id="rId113" Type="http://schemas.openxmlformats.org/officeDocument/2006/relationships/hyperlink" Target="https://www.whitehouse.gov/sites/default/files/microsites/ostp/pcast_spectrum_report_final_july_20_2012.pdf" TargetMode="External"/><Relationship Id="rId118" Type="http://schemas.openxmlformats.org/officeDocument/2006/relationships/hyperlink" Target="http://www.legislation.gov.uk/uksi/2015/2066/made/data.pdf" TargetMode="External"/><Relationship Id="rId134" Type="http://schemas.openxmlformats.org/officeDocument/2006/relationships/hyperlink" Target="http://www.itu.int/md/D14-SG01.RGQ-C-0276/en" TargetMode="External"/><Relationship Id="rId139" Type="http://schemas.openxmlformats.org/officeDocument/2006/relationships/hyperlink" Target="http://www.itu.int/md/meetingdoc.asp?lang=en&amp;parent=D14-SG01-C-0356" TargetMode="External"/><Relationship Id="rId80" Type="http://schemas.openxmlformats.org/officeDocument/2006/relationships/hyperlink" Target="https://na01.safelinks.protection.outlook.com/?url=http%3A%2F%2Fwww.itu.int%2Frec%2FR-REC-SM.1708%2Fen&amp;data=02%7C01%7Camerh%40microsoft.com%7C13ca5150f2804096d6e908d43ed35ecf%7C72f988bf86f141af91ab2d7cd011db47%7C1%7C0%7C636202524957040167&amp;sdata=yt1A195WMJ4qyUo2F1w%2B6i%2FRxBnITzAachYmCJokGvk%3D&amp;reserved=0" TargetMode="External"/><Relationship Id="rId85" Type="http://schemas.openxmlformats.org/officeDocument/2006/relationships/hyperlink" Target="https://www.itu.int/pub/R-REP-M.2225" TargetMode="External"/><Relationship Id="rId150" Type="http://schemas.openxmlformats.org/officeDocument/2006/relationships/hyperlink" Target="http://www.itu.int/md/meetingdoc.asp?lang=en&amp;parent=D14-SG01.RGQ-C-0216" TargetMode="External"/><Relationship Id="rId155" Type="http://schemas.openxmlformats.org/officeDocument/2006/relationships/hyperlink" Target="http://www.itu.int/md/meetingdoc.asp?lang=en&amp;parent=D14-SG01.RGQ-C-0182" TargetMode="External"/><Relationship Id="rId171" Type="http://schemas.openxmlformats.org/officeDocument/2006/relationships/hyperlink" Target="http://www.itu.int/md/meetingdoc.asp?lang=en&amp;parent=D14-SG01-C-0134" TargetMode="External"/><Relationship Id="rId176" Type="http://schemas.openxmlformats.org/officeDocument/2006/relationships/hyperlink" Target="http://www.itu.int/md/meetingdoc.asp?lang=en&amp;parent=D14-SG01.RGQ-C-0065" TargetMode="External"/><Relationship Id="rId192" Type="http://schemas.openxmlformats.org/officeDocument/2006/relationships/hyperlink" Target="http://www.itu.int/md/meetingdoc.asp?lang=en&amp;parent=D14-SG01-C-0268" TargetMode="External"/><Relationship Id="rId197" Type="http://schemas.openxmlformats.org/officeDocument/2006/relationships/hyperlink" Target="http://www.itu.int/md/meetingdoc.asp?lang=en&amp;parent=D14-SG01.RGQ-C-0186" TargetMode="External"/><Relationship Id="rId206" Type="http://schemas.openxmlformats.org/officeDocument/2006/relationships/fontTable" Target="fontTable.xml"/><Relationship Id="rId201" Type="http://schemas.openxmlformats.org/officeDocument/2006/relationships/hyperlink" Target="http://www.itu.int/md/meetingdoc.asp?lang=en&amp;parent=D14-SG01-C-0127"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www.itu.int/md/meetingdoc.asp?lang=en&amp;parent=D14-SG01.RGQ-C-0109" TargetMode="External"/><Relationship Id="rId38" Type="http://schemas.openxmlformats.org/officeDocument/2006/relationships/hyperlink" Target="http://www.itu.int/pub/R-QUE-SG01.208" TargetMode="External"/><Relationship Id="rId59" Type="http://schemas.openxmlformats.org/officeDocument/2006/relationships/hyperlink" Target="http://www.itu.int/md/D14-SG01.RGQ-C-0240/en" TargetMode="External"/><Relationship Id="rId103" Type="http://schemas.openxmlformats.org/officeDocument/2006/relationships/hyperlink" Target="http://jolt.law.harvard.edu/articles/pdf/v26/26HarvJLTech69.pdf" TargetMode="External"/><Relationship Id="rId108" Type="http://schemas.openxmlformats.org/officeDocument/2006/relationships/hyperlink" Target="http://www.plumconsulting.co.uk/pdfs/Plum_Jun2015_Use_of_C-Band_for_mobile_broadband_in_Hungary_Italy_Sweden_and_UK.pdf" TargetMode="External"/><Relationship Id="rId124" Type="http://schemas.openxmlformats.org/officeDocument/2006/relationships/image" Target="media/image4.png"/><Relationship Id="rId129" Type="http://schemas.openxmlformats.org/officeDocument/2006/relationships/hyperlink" Target="https://www.itu.int/md/meetingdoc.asp?lang=en&amp;parent=D14-SG01-C-0465" TargetMode="External"/><Relationship Id="rId54" Type="http://schemas.openxmlformats.org/officeDocument/2006/relationships/hyperlink" Target="http://www.itu.int/dms_pub/itu-r/oth/0c/0a/R0C0A00000C0026PDFE.pdf" TargetMode="External"/><Relationship Id="rId70" Type="http://schemas.openxmlformats.org/officeDocument/2006/relationships/hyperlink" Target="https://www.itu.int/pub/R-QUE-SG01.235-2011" TargetMode="External"/><Relationship Id="rId75" Type="http://schemas.openxmlformats.org/officeDocument/2006/relationships/hyperlink" Target="https://www.itu.int/rec/R-REC-SM.1132-2-200107-I/en" TargetMode="External"/><Relationship Id="rId91" Type="http://schemas.openxmlformats.org/officeDocument/2006/relationships/hyperlink" Target="http://www.itu.int/dms_pub/itu-r/opb/rep/R-REP-SM.2355-2015-MSW-E.docx" TargetMode="External"/><Relationship Id="rId96" Type="http://schemas.openxmlformats.org/officeDocument/2006/relationships/hyperlink" Target="https://www.whitespacealliance.org/documents/Research%20Paper%20on%20White%20Spaces_final2.pdf" TargetMode="External"/><Relationship Id="rId140" Type="http://schemas.openxmlformats.org/officeDocument/2006/relationships/hyperlink" Target="http://www.itu.int/md/meetingdoc.asp?lang=en&amp;parent=D14-SG01-C-0352" TargetMode="External"/><Relationship Id="rId145" Type="http://schemas.openxmlformats.org/officeDocument/2006/relationships/hyperlink" Target="http://www.itu.int/md/meetingdoc.asp?lang=en&amp;parent=D14-SG01-C-0249" TargetMode="External"/><Relationship Id="rId161" Type="http://schemas.openxmlformats.org/officeDocument/2006/relationships/hyperlink" Target="http://www.itu.int/md/meetingdoc.asp?lang=en&amp;parent=D14-SG01-C-0227" TargetMode="External"/><Relationship Id="rId166" Type="http://schemas.openxmlformats.org/officeDocument/2006/relationships/hyperlink" Target="http://www.itu.int/md/meetingdoc.asp?lang=en&amp;parent=D14-SG01-C-0180" TargetMode="External"/><Relationship Id="rId182" Type="http://schemas.openxmlformats.org/officeDocument/2006/relationships/hyperlink" Target="http://www.itu.int/md/meetingdoc.asp?lang=en&amp;parent=D14-SG01-C-0062" TargetMode="External"/><Relationship Id="rId187" Type="http://schemas.openxmlformats.org/officeDocument/2006/relationships/hyperlink" Target="http://www.itu.int/md/meetingdoc.asp?lang=en&amp;parent=D14-SG01-C-000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pub/R-REP-SM.2353" TargetMode="External"/><Relationship Id="rId28" Type="http://schemas.openxmlformats.org/officeDocument/2006/relationships/hyperlink" Target="http://www.itu.int/pub/R-REP-SM.2405" TargetMode="External"/><Relationship Id="rId49" Type="http://schemas.openxmlformats.org/officeDocument/2006/relationships/hyperlink" Target="http://www.itu.int/net/pressoffice/press_releases/2015/55.aspx" TargetMode="External"/><Relationship Id="rId114" Type="http://schemas.openxmlformats.org/officeDocument/2006/relationships/hyperlink" Target="https://www.ntia.doc.gov/blog/2015/promoting-spectrum-sharing-wireless-broadband-era" TargetMode="External"/><Relationship Id="rId119" Type="http://schemas.openxmlformats.org/officeDocument/2006/relationships/hyperlink" Target="https://www.ecfr.gov/cgi-bin/text-idx?SID=f7cf9120b29f6e16a04e68c3c315be9b&amp;mc=true&amp;node=sp47.1.15.h&amp;rgn=div6" TargetMode="External"/><Relationship Id="rId44" Type="http://schemas.openxmlformats.org/officeDocument/2006/relationships/hyperlink" Target="http://www.itu.int/pub/R-RES-R.2" TargetMode="External"/><Relationship Id="rId60" Type="http://schemas.openxmlformats.org/officeDocument/2006/relationships/hyperlink" Target="http://www.itu.int/rec/R-REC-SM.1047/en" TargetMode="External"/><Relationship Id="rId65" Type="http://schemas.openxmlformats.org/officeDocument/2006/relationships/hyperlink" Target="https://www.fcc.gov/general/family-radio-service-frs" TargetMode="External"/><Relationship Id="rId81" Type="http://schemas.openxmlformats.org/officeDocument/2006/relationships/hyperlink" Target="http://www.itu.int/rec/R-REC-SM.1880/recommendation.asp?lang=en&amp;parent=R-REC-SM.1880-1-201508-I" TargetMode="External"/><Relationship Id="rId86" Type="http://schemas.openxmlformats.org/officeDocument/2006/relationships/hyperlink" Target="https://www.itu.int/pub/R-REP-M.2330" TargetMode="External"/><Relationship Id="rId130" Type="http://schemas.openxmlformats.org/officeDocument/2006/relationships/hyperlink" Target="https://www.itu.int/md/meetingdoc.asp?lang=en&amp;parent=D14-SG01-C-0459" TargetMode="External"/><Relationship Id="rId135" Type="http://schemas.openxmlformats.org/officeDocument/2006/relationships/hyperlink" Target="http://www/.itu.int/md/meetingdoc.asp?lang=en&amp;parent=D14-SG01-C-0373" TargetMode="External"/><Relationship Id="rId151" Type="http://schemas.openxmlformats.org/officeDocument/2006/relationships/hyperlink" Target="http://www.itu.int/md/meetingdoc.asp?lang=en&amp;parent=D14-SG01.RGQ-C-0206" TargetMode="External"/><Relationship Id="rId156" Type="http://schemas.openxmlformats.org/officeDocument/2006/relationships/hyperlink" Target="http://www.itu.int/md/meetingdoc.asp?lang=en&amp;parent=D14-SG01.RGQ-C-0137" TargetMode="External"/><Relationship Id="rId177" Type="http://schemas.openxmlformats.org/officeDocument/2006/relationships/hyperlink" Target="http://www.itu.int/md/meetingdoc.asp?lang=en&amp;parent=D14-SG01.RGQ-C-0060" TargetMode="External"/><Relationship Id="rId198" Type="http://schemas.openxmlformats.org/officeDocument/2006/relationships/hyperlink" Target="http://www.itu.int/md/meetingdoc.asp?lang=en&amp;parent=D14-SG01.RGQ-C-0185" TargetMode="External"/><Relationship Id="rId172" Type="http://schemas.openxmlformats.org/officeDocument/2006/relationships/hyperlink" Target="http://www.itu.int/md/meetingdoc.asp?lang=en&amp;parent=D14-SG01-C-0130" TargetMode="External"/><Relationship Id="rId193" Type="http://schemas.openxmlformats.org/officeDocument/2006/relationships/hyperlink" Target="http://www.itu.int/md/meetingdoc.asp?lang=en&amp;parent=D14-SG01-C-0264" TargetMode="External"/><Relationship Id="rId202" Type="http://schemas.openxmlformats.org/officeDocument/2006/relationships/hyperlink" Target="http://www.itu.int/md/meetingdoc.asp?lang=en&amp;parent=D14-SG01-C-0123" TargetMode="External"/><Relationship Id="rId207"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yperlink" Target="http://www.itu.int/pub/R-HDB-21" TargetMode="External"/><Relationship Id="rId39" Type="http://schemas.openxmlformats.org/officeDocument/2006/relationships/hyperlink" Target="http://www.itu.int/pub/R-QUE-SG01.235" TargetMode="External"/><Relationship Id="rId109" Type="http://schemas.openxmlformats.org/officeDocument/2006/relationships/hyperlink" Target="http://research.microsoft.com/en-us/projects/spectrum/case-for-permissive-rule-based-dynamic-spectrum-access_thanki.pdf" TargetMode="External"/><Relationship Id="rId34" Type="http://schemas.openxmlformats.org/officeDocument/2006/relationships/hyperlink" Target="http://www.itu.int/md/meetingdoc.asp?lang=en&amp;parent=D14-SG01-C-0233" TargetMode="External"/><Relationship Id="rId50" Type="http://schemas.openxmlformats.org/officeDocument/2006/relationships/hyperlink" Target="http://www.itu.int/pub/R-REG-RR" TargetMode="External"/><Relationship Id="rId55" Type="http://schemas.openxmlformats.org/officeDocument/2006/relationships/hyperlink" Target="http://www.itu.int/md/R00-CA-CIR-0226/en" TargetMode="External"/><Relationship Id="rId76" Type="http://schemas.openxmlformats.org/officeDocument/2006/relationships/hyperlink" Target="http://www.itu.int/dms_pubrec/itu-r/rec/sm/R-REC-SM.1370-2-201308-I!!MSW-E.docx" TargetMode="External"/><Relationship Id="rId97" Type="http://schemas.openxmlformats.org/officeDocument/2006/relationships/hyperlink" Target="http://www.itu.int/net4/ITU-D/CDS/sg/doc/rgq/2014/D14-SG01-RES9-en.pdf" TargetMode="External"/><Relationship Id="rId104" Type="http://schemas.openxmlformats.org/officeDocument/2006/relationships/hyperlink" Target="http://www.gsma.com/spectrum/wp-content/uploads/2014/02/The-Impacts-of-Licensed-Shared-Use-of-Spectrum.-Deloitte.-Feb-20142.pdf" TargetMode="External"/><Relationship Id="rId120" Type="http://schemas.openxmlformats.org/officeDocument/2006/relationships/header" Target="header4.xml"/><Relationship Id="rId125" Type="http://schemas.openxmlformats.org/officeDocument/2006/relationships/image" Target="media/image5.wmf"/><Relationship Id="rId141" Type="http://schemas.openxmlformats.org/officeDocument/2006/relationships/hyperlink" Target="http://www.itu.int/md/meetingdoc.asp?lang=en&amp;parent=D14-SG01-C-0339" TargetMode="External"/><Relationship Id="rId146" Type="http://schemas.openxmlformats.org/officeDocument/2006/relationships/hyperlink" Target="http://www.itu.int/md/meetingdoc.asp?lang=en&amp;parent=D14-SG01.RGQ-C-0240" TargetMode="External"/><Relationship Id="rId167" Type="http://schemas.openxmlformats.org/officeDocument/2006/relationships/hyperlink" Target="http://www.itu.int/md/meetingdoc.asp?lang=en&amp;parent=D14-SG01-C-0164" TargetMode="External"/><Relationship Id="rId188" Type="http://schemas.openxmlformats.org/officeDocument/2006/relationships/hyperlink" Target="http://www.itu.int/md/meetingdoc.asp?lang=en&amp;parent=D14-SG01-C-0436" TargetMode="External"/><Relationship Id="rId7" Type="http://schemas.openxmlformats.org/officeDocument/2006/relationships/settings" Target="settings.xml"/><Relationship Id="rId71" Type="http://schemas.openxmlformats.org/officeDocument/2006/relationships/hyperlink" Target="https://www.itu.int/pub/R-QUE-SG05.241-3-2015" TargetMode="External"/><Relationship Id="rId92" Type="http://schemas.openxmlformats.org/officeDocument/2006/relationships/hyperlink" Target="http://www.itu.int/rec/R-REC-SM.2039/en" TargetMode="External"/><Relationship Id="rId162" Type="http://schemas.openxmlformats.org/officeDocument/2006/relationships/hyperlink" Target="http://www.itu.int/md/meetingdoc.asp?lang=en&amp;parent=D14-SG01-C-0224" TargetMode="External"/><Relationship Id="rId183" Type="http://schemas.openxmlformats.org/officeDocument/2006/relationships/hyperlink" Target="http://www.itu.int/md/meetingdoc.asp?lang=en&amp;parent=D14-SG01-C-0056" TargetMode="External"/><Relationship Id="rId2" Type="http://schemas.openxmlformats.org/officeDocument/2006/relationships/customXml" Target="../customXml/item2.xml"/><Relationship Id="rId29" Type="http://schemas.openxmlformats.org/officeDocument/2006/relationships/hyperlink" Target="https://www.itu.int/md/R15-SG01-C-0075/en" TargetMode="External"/><Relationship Id="rId24" Type="http://schemas.openxmlformats.org/officeDocument/2006/relationships/hyperlink" Target="http://www.itu.int/pub/D-HDB-GUIDELINES.01-2010/en" TargetMode="External"/><Relationship Id="rId40" Type="http://schemas.openxmlformats.org/officeDocument/2006/relationships/hyperlink" Target="http://www.itu.int/pub/R-QUE-SG05.241" TargetMode="External"/><Relationship Id="rId45" Type="http://schemas.openxmlformats.org/officeDocument/2006/relationships/hyperlink" Target="http://www.itu.int/pub/R-REC" TargetMode="External"/><Relationship Id="rId66" Type="http://schemas.openxmlformats.org/officeDocument/2006/relationships/hyperlink" Target="http://www.gsma.com/spectrum/wp-content/uploads/2014/12/Wireless-Backhaul-Spectrum-Policy-Recommendations-and-Analysis-Report.-Nov14.pdf" TargetMode="External"/><Relationship Id="rId87" Type="http://schemas.openxmlformats.org/officeDocument/2006/relationships/hyperlink" Target="https://www.itu.int/pub/R-REP-M.2373-2015" TargetMode="External"/><Relationship Id="rId110" Type="http://schemas.openxmlformats.org/officeDocument/2006/relationships/hyperlink" Target="http://research.microsoft.com/enus/projects/spectrum/economic-significance-of-licenseexempt-spectrum-report_thanki.pdf" TargetMode="External"/><Relationship Id="rId115" Type="http://schemas.openxmlformats.org/officeDocument/2006/relationships/hyperlink" Target="http://www.ic.gc.ca/eic/site/smt-gst.nsf/eng/sf10930.html" TargetMode="External"/><Relationship Id="rId131" Type="http://schemas.openxmlformats.org/officeDocument/2006/relationships/hyperlink" Target="https://www.itu.int/md/meetingdoc.asp?lang=en&amp;parent=D14-SG01-C-0445" TargetMode="External"/><Relationship Id="rId136" Type="http://schemas.openxmlformats.org/officeDocument/2006/relationships/hyperlink" Target="http://www.itu.int/md/meetingdoc.asp?lang=en&amp;parent=D14-SG01-C-0372" TargetMode="External"/><Relationship Id="rId157" Type="http://schemas.openxmlformats.org/officeDocument/2006/relationships/hyperlink" Target="http://www.itu.int/md/meetingdoc.asp?lang=en&amp;parent=D14-SG01.RGQ-C-0134" TargetMode="External"/><Relationship Id="rId178" Type="http://schemas.openxmlformats.org/officeDocument/2006/relationships/hyperlink" Target="http://www.itu.int/md/meetingdoc.asp?lang=en&amp;parent=D14-SG01.RGQ-C-0044" TargetMode="External"/><Relationship Id="rId61" Type="http://schemas.openxmlformats.org/officeDocument/2006/relationships/hyperlink" Target="http://www.itu.int/pub/R-HDB-23" TargetMode="External"/><Relationship Id="rId82" Type="http://schemas.openxmlformats.org/officeDocument/2006/relationships/hyperlink" Target="http://www.itu.int/dms_pubrec/itu-r/rec/sm/R-REC-SM.2039-0-201308-I!!MSW-E.docx" TargetMode="External"/><Relationship Id="rId152" Type="http://schemas.openxmlformats.org/officeDocument/2006/relationships/hyperlink" Target="http://www.itu.int/md/meetingdoc.asp?lang=en&amp;parent=D14-SG01.RGQ-C-0204" TargetMode="External"/><Relationship Id="rId173" Type="http://schemas.openxmlformats.org/officeDocument/2006/relationships/hyperlink" Target="http://www.itu.int/md/meetingdoc.asp?lang=en&amp;parent=D14-SG01.RGQ-C-0109" TargetMode="External"/><Relationship Id="rId194" Type="http://schemas.openxmlformats.org/officeDocument/2006/relationships/hyperlink" Target="http://www.itu.int/md/meetingdoc.asp?lang=en&amp;parent=D14-SG01-C-0260" TargetMode="External"/><Relationship Id="rId199" Type="http://schemas.openxmlformats.org/officeDocument/2006/relationships/hyperlink" Target="http://www.itu.int/md/meetingdoc.asp?lang=en&amp;parent=D14-SG01-C-0212" TargetMode="External"/><Relationship Id="rId203" Type="http://schemas.openxmlformats.org/officeDocument/2006/relationships/hyperlink" Target="http://www.itu.int/md/meetingdoc.asp?lang=en&amp;parent=D14-SG01-C-0120" TargetMode="External"/><Relationship Id="rId19" Type="http://schemas.openxmlformats.org/officeDocument/2006/relationships/hyperlink" Target="https://www.itu.int/dms_pubrec/itu-r/rec/m/R-REC-M.2083-0-201509-I!!MSW-E.docx" TargetMode="External"/><Relationship Id="rId14" Type="http://schemas.openxmlformats.org/officeDocument/2006/relationships/footer" Target="footer1.xml"/><Relationship Id="rId30" Type="http://schemas.openxmlformats.org/officeDocument/2006/relationships/hyperlink" Target="http://www.itu.int/pub/R-REP-SM.2404" TargetMode="External"/><Relationship Id="rId35" Type="http://schemas.openxmlformats.org/officeDocument/2006/relationships/hyperlink" Target="http://www.itu.int/md/meetingdoc.asp?lang=en&amp;parent=D14-SG01.RGQ-C-0044" TargetMode="External"/><Relationship Id="rId56" Type="http://schemas.openxmlformats.org/officeDocument/2006/relationships/hyperlink" Target="http://www.itu.int/go/rcpm-wrc-19-studies" TargetMode="External"/><Relationship Id="rId77" Type="http://schemas.openxmlformats.org/officeDocument/2006/relationships/hyperlink" Target="http://www.itu.int/dms_pubrec/itu-r/rec/sm/R-REC-SM.1392-2-201102-I!!MSW-E.docx" TargetMode="External"/><Relationship Id="rId100" Type="http://schemas.openxmlformats.org/officeDocument/2006/relationships/hyperlink" Target="http://www.mckinsey.com/insights/high_tech_telecoms_internet/internet_matters" TargetMode="External"/><Relationship Id="rId105" Type="http://schemas.openxmlformats.org/officeDocument/2006/relationships/hyperlink" Target="https://ec.europa.eu/digitalsinglemarket/sites/digitalagenda/files/scf_study_shared_spectrum_access_20120210.pdf" TargetMode="External"/><Relationship Id="rId126" Type="http://schemas.openxmlformats.org/officeDocument/2006/relationships/oleObject" Target="embeddings/oleObject1.bin"/><Relationship Id="rId147" Type="http://schemas.openxmlformats.org/officeDocument/2006/relationships/hyperlink" Target="http://www.itu.int/md/meetingdoc.asp?lang=en&amp;parent=D14-SG01.RGQ-C-0238" TargetMode="External"/><Relationship Id="rId168" Type="http://schemas.openxmlformats.org/officeDocument/2006/relationships/hyperlink" Target="http://www.itu.int/md/meetingdoc.asp?lang=en&amp;parent=D14-SG01-C-0155" TargetMode="External"/><Relationship Id="rId8" Type="http://schemas.openxmlformats.org/officeDocument/2006/relationships/webSettings" Target="webSettings.xml"/><Relationship Id="rId51" Type="http://schemas.openxmlformats.org/officeDocument/2006/relationships/hyperlink" Target="http://www.itu.int/pub/R-REG-ROP/en" TargetMode="External"/><Relationship Id="rId72" Type="http://schemas.openxmlformats.org/officeDocument/2006/relationships/hyperlink" Target="https://na01.safelinks.protection.outlook.com/?url=http%3A%2F%2Fwww.itu.int%2Frec%2FR-REC-SM.575%2Fen&amp;data=02%7C01%7Camerh%40microsoft.com%7C13ca5150f2804096d6e908d43ed35ecf%7C72f988bf86f141af91ab2d7cd011db47%7C1%7C0%7C636202524957030159&amp;sdata=RC0h8ijOiTWdPv5Pw5QreyWMqDbUufA%2FOfUJX3Wp6r4%3D&amp;reserved=0" TargetMode="External"/><Relationship Id="rId93" Type="http://schemas.openxmlformats.org/officeDocument/2006/relationships/hyperlink" Target="http://www.itu.int/pub/publications.aspx?lang=en&amp;parent=R-REP-SM.2356-2015" TargetMode="External"/><Relationship Id="rId98" Type="http://schemas.openxmlformats.org/officeDocument/2006/relationships/hyperlink" Target="http://www.ic.gc.ca/eic/site/smt-gst.nsf/eng/sf10493.html" TargetMode="External"/><Relationship Id="rId121" Type="http://schemas.openxmlformats.org/officeDocument/2006/relationships/header" Target="header5.xml"/><Relationship Id="rId142" Type="http://schemas.openxmlformats.org/officeDocument/2006/relationships/hyperlink" Target="http://www.itu.int/md/meetingdoc.asp?lang=en&amp;parent=D14-SG01-C-0327" TargetMode="External"/><Relationship Id="rId163" Type="http://schemas.openxmlformats.org/officeDocument/2006/relationships/hyperlink" Target="http://www.itu.int/md/meetingdoc.asp?lang=en&amp;parent=D14-SG01-C-0223" TargetMode="External"/><Relationship Id="rId184" Type="http://schemas.openxmlformats.org/officeDocument/2006/relationships/hyperlink" Target="http://www.itu.int/md/meetingdoc.asp?lang=en&amp;parent=D14-SG01-C-0055" TargetMode="External"/><Relationship Id="rId189" Type="http://schemas.openxmlformats.org/officeDocument/2006/relationships/hyperlink" Target="http://www.itu.int/md/D14-SG01.RGQ-C-0308/en" TargetMode="External"/><Relationship Id="rId3" Type="http://schemas.openxmlformats.org/officeDocument/2006/relationships/customXml" Target="../customXml/item3.xml"/><Relationship Id="rId25" Type="http://schemas.openxmlformats.org/officeDocument/2006/relationships/hyperlink" Target="http://www.itu.int/pub/R-HDB-63-2016" TargetMode="External"/><Relationship Id="rId46" Type="http://schemas.openxmlformats.org/officeDocument/2006/relationships/hyperlink" Target="http://www.itu.int/pub/R-REP" TargetMode="External"/><Relationship Id="rId67" Type="http://schemas.openxmlformats.org/officeDocument/2006/relationships/hyperlink" Target="https://www.itu.int/en/ITU-R/study-groups/workshops/RWP1B-SMWSCRS-14/Presentations/CEPT-ECC-FM53%20-%20Introduction%20of%20new%20spectrum%20sharing%20concepts%20WSD%20and%20LSA.pdf" TargetMode="External"/><Relationship Id="rId116" Type="http://schemas.openxmlformats.org/officeDocument/2006/relationships/hyperlink" Target="https://www.ida.gov.sg/~/media/Files/PCDG/Consultations/20130617_whitespace/ExplanatoryMemo.pdf" TargetMode="External"/><Relationship Id="rId137" Type="http://schemas.openxmlformats.org/officeDocument/2006/relationships/hyperlink" Target="http://www.itu.int/md/meetingdoc.asp?lang=en&amp;parent=D14-SG01-C-0363" TargetMode="External"/><Relationship Id="rId158" Type="http://schemas.openxmlformats.org/officeDocument/2006/relationships/hyperlink" Target="http://www.itu.int/md/meetingdoc.asp?lang=en&amp;parent=D14-SG01.RGQ-C-0133" TargetMode="External"/><Relationship Id="rId20" Type="http://schemas.openxmlformats.org/officeDocument/2006/relationships/hyperlink" Target="https://www.itu.int/en/ITU-D/Spectrum-Broadcasting/Pages/DSO/Default.aspx" TargetMode="External"/><Relationship Id="rId41" Type="http://schemas.openxmlformats.org/officeDocument/2006/relationships/hyperlink" Target="http://www.itu.int/pub/R-REP-SM.2012" TargetMode="External"/><Relationship Id="rId62" Type="http://schemas.openxmlformats.org/officeDocument/2006/relationships/hyperlink" Target="http://www.itu.int/pub/R-HDB-21" TargetMode="External"/><Relationship Id="rId83" Type="http://schemas.openxmlformats.org/officeDocument/2006/relationships/hyperlink" Target="https://www.itu.int/rec/R-REC-M.2083-0-201509-I/en" TargetMode="External"/><Relationship Id="rId88" Type="http://schemas.openxmlformats.org/officeDocument/2006/relationships/hyperlink" Target="https://www.itu.int/pub/R-REP-SM.2012-5-2016" TargetMode="External"/><Relationship Id="rId111" Type="http://schemas.openxmlformats.org/officeDocument/2006/relationships/hyperlink" Target="https://www.ntia.doc.gov/files/ntia/publications/ntia_1755_1850_mhz_report_march2012.pdf" TargetMode="External"/><Relationship Id="rId132" Type="http://schemas.openxmlformats.org/officeDocument/2006/relationships/hyperlink" Target="https://www.itu.int/md/meetingdoc.asp?lang=en&amp;parent=D14-SG01-C-0420" TargetMode="External"/><Relationship Id="rId153" Type="http://schemas.openxmlformats.org/officeDocument/2006/relationships/hyperlink" Target="http://www.itu.int/md/meetingdoc.asp?lang=en&amp;parent=D14-SG01.RGQ-C-0203" TargetMode="External"/><Relationship Id="rId174" Type="http://schemas.openxmlformats.org/officeDocument/2006/relationships/hyperlink" Target="http://www.itu.int/md/meetingdoc.asp?lang=en&amp;parent=D14-SG01.RGQ-C-0088" TargetMode="External"/><Relationship Id="rId179" Type="http://schemas.openxmlformats.org/officeDocument/2006/relationships/hyperlink" Target="http://www.itu.int/md/meetingdoc.asp?lang=en&amp;parent=D14-SG01.RGQ-C-0015" TargetMode="External"/><Relationship Id="rId195" Type="http://schemas.openxmlformats.org/officeDocument/2006/relationships/hyperlink" Target="http://www.itu.int/md/meetingdoc.asp?lang=en&amp;parent=D14-SG01-C-0259" TargetMode="External"/><Relationship Id="rId190" Type="http://schemas.openxmlformats.org/officeDocument/2006/relationships/hyperlink" Target="http://www.itu.int/md/D14-SG01.RGQ-C-0307/en" TargetMode="External"/><Relationship Id="rId204" Type="http://schemas.openxmlformats.org/officeDocument/2006/relationships/hyperlink" Target="http://www.itu.int/md/meetingdoc.asp?lang=en&amp;parent=D14-SG01-C-0093" TargetMode="External"/><Relationship Id="rId15" Type="http://schemas.openxmlformats.org/officeDocument/2006/relationships/footer" Target="footer2.xml"/><Relationship Id="rId36" Type="http://schemas.openxmlformats.org/officeDocument/2006/relationships/hyperlink" Target="https://www.itu.int/md/meetingdoc.asp?lang=en&amp;parent=D14-SG01-C-0459" TargetMode="External"/><Relationship Id="rId57" Type="http://schemas.openxmlformats.org/officeDocument/2006/relationships/hyperlink" Target="http://www.itu.int/go/wrc-19-regional" TargetMode="External"/><Relationship Id="rId106" Type="http://schemas.openxmlformats.org/officeDocument/2006/relationships/hyperlink" Target="http://www.itu.int/en/ITU-D/Statistics/Documents/publications/misr2015/MISR2015-w5.pdf" TargetMode="External"/><Relationship Id="rId127" Type="http://schemas.openxmlformats.org/officeDocument/2006/relationships/image" Target="media/image6.wmf"/><Relationship Id="rId10" Type="http://schemas.openxmlformats.org/officeDocument/2006/relationships/endnotes" Target="endnotes.xml"/><Relationship Id="rId31" Type="http://schemas.openxmlformats.org/officeDocument/2006/relationships/hyperlink" Target="https://www.itu.int/md/R15-SG01-C-0074/en" TargetMode="External"/><Relationship Id="rId52" Type="http://schemas.openxmlformats.org/officeDocument/2006/relationships/hyperlink" Target="http://www.itu.int/md/S16-CL-C-0130/en" TargetMode="External"/><Relationship Id="rId73" Type="http://schemas.openxmlformats.org/officeDocument/2006/relationships/hyperlink" Target="https://na01.safelinks.protection.outlook.com/?url=http%3A%2F%2Fwww.itu.int%2Frec%2FR-REC-SM.854%2Fen&amp;data=02%7C01%7Camerh%40microsoft.com%7C13ca5150f2804096d6e908d43ed35ecf%7C72f988bf86f141af91ab2d7cd011db47%7C1%7C0%7C636202524957040167&amp;sdata=HErBq0JmRAZCQIe88xvngUdTAznHvW5Jp6hxRzixhng%3D&amp;reserved=0" TargetMode="External"/><Relationship Id="rId78" Type="http://schemas.openxmlformats.org/officeDocument/2006/relationships/hyperlink" Target="http://www.itu.int/rec/R-REC-SM.1537-1-201308-I/en" TargetMode="External"/><Relationship Id="rId94" Type="http://schemas.openxmlformats.org/officeDocument/2006/relationships/hyperlink" Target="http://www.broadbandcommission.org/Documents/reports/bb-annualreport2015.pdf" TargetMode="External"/><Relationship Id="rId99" Type="http://schemas.openxmlformats.org/officeDocument/2006/relationships/hyperlink" Target="http://www.ida.gov.sg/~/media/Files/PCDG/Consultations/20130617_whitespace/ExplanatoryMemo.pdf" TargetMode="External"/><Relationship Id="rId101" Type="http://schemas.openxmlformats.org/officeDocument/2006/relationships/hyperlink" Target="http://www.mckinsey.com/client_service/high_tech/latest_thinking/impact_of_the_internet_on_aspiring_countries" TargetMode="External"/><Relationship Id="rId122" Type="http://schemas.openxmlformats.org/officeDocument/2006/relationships/footer" Target="footer4.xml"/><Relationship Id="rId143" Type="http://schemas.openxmlformats.org/officeDocument/2006/relationships/hyperlink" Target="http://www.itu.int/md/meetingdoc.asp?lang=en&amp;parent=D14-SG01-C-0295" TargetMode="External"/><Relationship Id="rId148" Type="http://schemas.openxmlformats.org/officeDocument/2006/relationships/hyperlink" Target="http://www.itu.int/md/meetingdoc.asp?lang=en&amp;parent=D14-SG01.RGQ-C-0236" TargetMode="External"/><Relationship Id="rId164" Type="http://schemas.openxmlformats.org/officeDocument/2006/relationships/hyperlink" Target="http://www.itu.int/md/meetingdoc.asp?lang=en&amp;parent=D14-SG01-C-0220" TargetMode="External"/><Relationship Id="rId169" Type="http://schemas.openxmlformats.org/officeDocument/2006/relationships/hyperlink" Target="http://www.itu.int/md/meetingdoc.asp?lang=en&amp;parent=D14-SG01-C-0154" TargetMode="External"/><Relationship Id="rId185" Type="http://schemas.openxmlformats.org/officeDocument/2006/relationships/hyperlink" Target="http://www.itu.int/md/meetingdoc.asp?lang=en&amp;parent=D14-SG01-C-00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md/meetingdoc.asp?lang=en&amp;parent=D14-SG01-C-0067" TargetMode="External"/><Relationship Id="rId26" Type="http://schemas.openxmlformats.org/officeDocument/2006/relationships/hyperlink" Target="http://www.itu.int/pub/R-HDB-63" TargetMode="External"/><Relationship Id="rId47" Type="http://schemas.openxmlformats.org/officeDocument/2006/relationships/hyperlink" Target="http://www.itu.int/oth/R0B05000001/en" TargetMode="External"/><Relationship Id="rId68" Type="http://schemas.openxmlformats.org/officeDocument/2006/relationships/hyperlink" Target="http://www.itu.int/pub/R-HDB-23" TargetMode="External"/><Relationship Id="rId89" Type="http://schemas.openxmlformats.org/officeDocument/2006/relationships/hyperlink" Target="https://www.itu.int/pub/R-REP-SM.2152-2009" TargetMode="External"/><Relationship Id="rId112" Type="http://schemas.openxmlformats.org/officeDocument/2006/relationships/hyperlink" Target="http://www.gao.gov/products/GAO-13-7" TargetMode="External"/><Relationship Id="rId133" Type="http://schemas.openxmlformats.org/officeDocument/2006/relationships/hyperlink" Target="http://www.itu.int/md/D14-SG01.RGQ-C-0278/en" TargetMode="External"/><Relationship Id="rId154" Type="http://schemas.openxmlformats.org/officeDocument/2006/relationships/hyperlink" Target="http://www.itu.int/md/meetingdoc.asp?lang=en&amp;parent=D14-SG01.RGQ-C-0201" TargetMode="External"/><Relationship Id="rId175" Type="http://schemas.openxmlformats.org/officeDocument/2006/relationships/hyperlink" Target="http://www.itu.int/md/meetingdoc.asp?lang=en&amp;parent=D14-SG01.RGQ-C-0081" TargetMode="External"/><Relationship Id="rId196" Type="http://schemas.openxmlformats.org/officeDocument/2006/relationships/hyperlink" Target="http://www.itu.int/md/meetingdoc.asp?lang=en&amp;parent=D14-SG01-C-0255" TargetMode="External"/><Relationship Id="rId200" Type="http://schemas.openxmlformats.org/officeDocument/2006/relationships/hyperlink" Target="http://www.itu.int/md/meetingdoc.asp?lang=en&amp;parent=D14-SG01-C-02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sacom.com/" TargetMode="External"/><Relationship Id="rId13" Type="http://schemas.openxmlformats.org/officeDocument/2006/relationships/hyperlink" Target="http://www.ic.gc.ca/eic/site/smt-gst.nsf/eng/sf10493.html" TargetMode="External"/><Relationship Id="rId18" Type="http://schemas.openxmlformats.org/officeDocument/2006/relationships/hyperlink" Target="http://www.itu.int/en/ITU-D/Spectrum-Broadcasting/Documents/Publications/Administration%20Assessement-E.pdf" TargetMode="External"/><Relationship Id="rId26" Type="http://schemas.openxmlformats.org/officeDocument/2006/relationships/hyperlink" Target="http://www.itu.int/pub/R-HDB-23" TargetMode="External"/><Relationship Id="rId39" Type="http://schemas.openxmlformats.org/officeDocument/2006/relationships/hyperlink" Target="http://www.itu.int/md/D14-SG01-C-0164/" TargetMode="External"/><Relationship Id="rId3" Type="http://schemas.openxmlformats.org/officeDocument/2006/relationships/hyperlink" Target="http://www.broadbandcommission.org/Documents/reports/bb-annualreport2015.pdf" TargetMode="External"/><Relationship Id="rId21" Type="http://schemas.openxmlformats.org/officeDocument/2006/relationships/hyperlink" Target="http://www.itu.int/pub/R-HDB-01" TargetMode="External"/><Relationship Id="rId34" Type="http://schemas.openxmlformats.org/officeDocument/2006/relationships/hyperlink" Target="http://www.itu.int/md/D14-SG01.RGQ-C-0109/" TargetMode="External"/><Relationship Id="rId42" Type="http://schemas.openxmlformats.org/officeDocument/2006/relationships/hyperlink" Target="http://www.itu.int/md/d14-sg01-c-0352" TargetMode="External"/><Relationship Id="rId7" Type="http://schemas.openxmlformats.org/officeDocument/2006/relationships/hyperlink" Target="https://www.itu.int/net/pressoffice/press_releases/2015/56.aspx" TargetMode="External"/><Relationship Id="rId12" Type="http://schemas.openxmlformats.org/officeDocument/2006/relationships/hyperlink" Target="https://apps.fcc.gov/edocs_public/attachmatch/FCC-16-55A1.pdf" TargetMode="External"/><Relationship Id="rId17" Type="http://schemas.openxmlformats.org/officeDocument/2006/relationships/hyperlink" Target="http://www.itu.int/en/ITU-D/Spectrum-Broadcasting/Documents/Publications/Guidelines-NTFA-E.pdf" TargetMode="External"/><Relationship Id="rId25" Type="http://schemas.openxmlformats.org/officeDocument/2006/relationships/hyperlink" Target="http://www.itu.int/en/ITU-D/Spectrum-Broadcasting/Documents/Publications/Guidelines_SpectrumMonitoring_Final_E.pdf" TargetMode="External"/><Relationship Id="rId33" Type="http://schemas.openxmlformats.org/officeDocument/2006/relationships/hyperlink" Target="http://www.itu.int/md/D14-SG01-C-0223/" TargetMode="External"/><Relationship Id="rId38" Type="http://schemas.openxmlformats.org/officeDocument/2006/relationships/hyperlink" Target="http://www.itu.int/md/D14-SG01.RGQ-C-0060/" TargetMode="External"/><Relationship Id="rId2" Type="http://schemas.openxmlformats.org/officeDocument/2006/relationships/hyperlink" Target="http://www.mckinsey.com/client_service/high_tech/latest_thinking/impact_of_the_internet_on_aspiring_countries" TargetMode="External"/><Relationship Id="rId16" Type="http://schemas.openxmlformats.org/officeDocument/2006/relationships/hyperlink" Target="https://www.itu.int/en/ITU-D/Statistics/Documents/facts/ICTFactsFigures2016.pdf" TargetMode="External"/><Relationship Id="rId20" Type="http://schemas.openxmlformats.org/officeDocument/2006/relationships/hyperlink" Target="http://www.itu.int/pub/D-STG-SPEC-2015-V5.0" TargetMode="External"/><Relationship Id="rId29" Type="http://schemas.openxmlformats.org/officeDocument/2006/relationships/hyperlink" Target="http://www.itu.int/en/ITU-R/study-groups/rsg1/Pages/default.aspx" TargetMode="External"/><Relationship Id="rId41" Type="http://schemas.openxmlformats.org/officeDocument/2006/relationships/hyperlink" Target="https://www.itu.int/md/D14-SG01-C-0054/en" TargetMode="External"/><Relationship Id="rId1" Type="http://schemas.openxmlformats.org/officeDocument/2006/relationships/hyperlink" Target="http://www.mckinsey.com/insights/high_tech_telecoms_internet/internet_matters" TargetMode="External"/><Relationship Id="rId6" Type="http://schemas.openxmlformats.org/officeDocument/2006/relationships/hyperlink" Target="https://www.itu.int/md/D14-SG01-C-0362" TargetMode="External"/><Relationship Id="rId11" Type="http://schemas.openxmlformats.org/officeDocument/2006/relationships/hyperlink" Target="https://gsacom.com/" TargetMode="External"/><Relationship Id="rId24" Type="http://schemas.openxmlformats.org/officeDocument/2006/relationships/hyperlink" Target="http://www.itu.int/rec/R-REC-SM.1047" TargetMode="External"/><Relationship Id="rId32" Type="http://schemas.openxmlformats.org/officeDocument/2006/relationships/hyperlink" Target="http://www.itu.int/dms_pubrec/itu-r/rec/sm/R-REC-SM.1392-2-201102-I!!MSW-E.docx" TargetMode="External"/><Relationship Id="rId37" Type="http://schemas.openxmlformats.org/officeDocument/2006/relationships/hyperlink" Target="http://web.itu.int/md/D14-SG01.RGQ-C-0044/en" TargetMode="External"/><Relationship Id="rId40" Type="http://schemas.openxmlformats.org/officeDocument/2006/relationships/hyperlink" Target="http://www.itu.int/md/D14-SG01.RGQ-C-0182/en" TargetMode="External"/><Relationship Id="rId5" Type="http://schemas.openxmlformats.org/officeDocument/2006/relationships/hyperlink" Target="http://www.un.org/ga/search/view_doc.asp?symbol=A/RES/70/1&amp;Lang=E" TargetMode="External"/><Relationship Id="rId15" Type="http://schemas.openxmlformats.org/officeDocument/2006/relationships/hyperlink" Target="http://stakeholders.ofcom.org.uk/binaries/consultations/white-space-coexistence/statement/tvws-statement.pdf" TargetMode="External"/><Relationship Id="rId23" Type="http://schemas.openxmlformats.org/officeDocument/2006/relationships/hyperlink" Target="http://academy.itu.int" TargetMode="External"/><Relationship Id="rId28" Type="http://schemas.openxmlformats.org/officeDocument/2006/relationships/hyperlink" Target="http://www.itu.int/pub/R-HDB-01" TargetMode="External"/><Relationship Id="rId36" Type="http://schemas.openxmlformats.org/officeDocument/2006/relationships/hyperlink" Target="http://www.itu.int/md/meetingdoc.asp?lang=en&amp;parent=D14-SG01-C-0233" TargetMode="External"/><Relationship Id="rId10" Type="http://schemas.openxmlformats.org/officeDocument/2006/relationships/hyperlink" Target="https://gsacom.com/" TargetMode="External"/><Relationship Id="rId19" Type="http://schemas.openxmlformats.org/officeDocument/2006/relationships/hyperlink" Target="https://www.itu.int/md/D14-SG01.RGQ-C-0081/en" TargetMode="External"/><Relationship Id="rId31" Type="http://schemas.openxmlformats.org/officeDocument/2006/relationships/hyperlink" Target="http://www.itu.int/en/ITU-D/Spectrum-Broadcasting/Documents/Publications/Guidelines_SpectrumMonitoring_Final_E.pdf" TargetMode="External"/><Relationship Id="rId44" Type="http://schemas.openxmlformats.org/officeDocument/2006/relationships/hyperlink" Target="http://www.itu.int/md/meetingdoc.asp?lang=en&amp;parent=D14-SG01-C-0155" TargetMode="External"/><Relationship Id="rId4" Type="http://schemas.openxmlformats.org/officeDocument/2006/relationships/hyperlink" Target="http://www.broadbandcommission.org/Documents/reports/bb-annualreport2015.pdf" TargetMode="External"/><Relationship Id="rId9" Type="http://schemas.openxmlformats.org/officeDocument/2006/relationships/hyperlink" Target="https://gsacom.com/" TargetMode="External"/><Relationship Id="rId14" Type="http://schemas.openxmlformats.org/officeDocument/2006/relationships/hyperlink" Target="http://www.ida.gov.sg/~/media/Files/PCDG/Consultations/20130617_whitespace/ExplanatoryMemo.pdf" TargetMode="External"/><Relationship Id="rId22" Type="http://schemas.openxmlformats.org/officeDocument/2006/relationships/hyperlink" Target="http://www.itu.int/pub/R-HDB-01" TargetMode="External"/><Relationship Id="rId27" Type="http://schemas.openxmlformats.org/officeDocument/2006/relationships/hyperlink" Target="http://www.itu.int/pub/R-HDB-21" TargetMode="External"/><Relationship Id="rId30" Type="http://schemas.openxmlformats.org/officeDocument/2006/relationships/hyperlink" Target="http://www.itu.int/en/ITU-R/study-groups/rsg1/rwp1c/Pages/default.aspx" TargetMode="External"/><Relationship Id="rId35" Type="http://schemas.openxmlformats.org/officeDocument/2006/relationships/hyperlink" Target="https://www.itu.int/md/D14-SG01-C-0459/en" TargetMode="External"/><Relationship Id="rId43" Type="http://schemas.openxmlformats.org/officeDocument/2006/relationships/hyperlink" Target="https://www.itu.int/md/D14-SG01-C-0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B95F9FB31D7C45AE905FA8D4B6197D" ma:contentTypeVersion="1" ma:contentTypeDescription="Create a new document." ma:contentTypeScope="" ma:versionID="88ca3c1ad40d8eb7c497defc05fa3bfa">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98E4-C713-4A62-8BA7-081204B43CD5}">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D524C357-ADB6-41DF-9F50-62E5BAF3154D}">
  <ds:schemaRefs>
    <ds:schemaRef ds:uri="http://schemas.microsoft.com/sharepoint/v3/contenttype/forms"/>
  </ds:schemaRefs>
</ds:datastoreItem>
</file>

<file path=customXml/itemProps3.xml><?xml version="1.0" encoding="utf-8"?>
<ds:datastoreItem xmlns:ds="http://schemas.openxmlformats.org/officeDocument/2006/customXml" ds:itemID="{9415E7BF-5F72-4450-91B3-88AFC4C6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C896D-5036-4F43-A60A-02F92499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29729</Words>
  <Characters>193300</Characters>
  <Application>Microsoft Office Word</Application>
  <DocSecurity>0</DocSecurity>
  <Lines>1610</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222584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BDT - nd</cp:lastModifiedBy>
  <cp:revision>5</cp:revision>
  <cp:lastPrinted>2017-06-19T16:43:00Z</cp:lastPrinted>
  <dcterms:created xsi:type="dcterms:W3CDTF">2017-06-21T10:53:00Z</dcterms:created>
  <dcterms:modified xsi:type="dcterms:W3CDTF">2017-11-15T14:55:00Z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0x010100D8B95F9FB31D7C45AE905FA8D4B6197D</vt:lpwstr>
  </property>
</Properties>
</file>