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Y="-492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2F3E7F" w:rsidRPr="00CB30F8" w:rsidTr="002F3E7F">
        <w:trPr>
          <w:cantSplit/>
          <w:trHeight w:val="1310"/>
        </w:trPr>
        <w:tc>
          <w:tcPr>
            <w:tcW w:w="6531" w:type="dxa"/>
          </w:tcPr>
          <w:p w:rsidR="002F3E7F" w:rsidRPr="00CB30F8" w:rsidRDefault="002F3E7F" w:rsidP="002F3E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2F3E7F" w:rsidRPr="00CB30F8" w:rsidRDefault="002F3E7F" w:rsidP="002F3E7F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الرابع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2019</w:t>
            </w:r>
          </w:p>
        </w:tc>
        <w:tc>
          <w:tcPr>
            <w:tcW w:w="3108" w:type="dxa"/>
          </w:tcPr>
          <w:p w:rsidR="002F3E7F" w:rsidRPr="00CB30F8" w:rsidRDefault="003B1F50" w:rsidP="002F3E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A9C8EE" wp14:editId="4A8E32BE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54954" cy="83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E7F" w:rsidRPr="00CB30F8" w:rsidTr="002F3E7F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2F3E7F" w:rsidRPr="00CB30F8" w:rsidRDefault="002F3E7F" w:rsidP="002F3E7F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2F3E7F" w:rsidRPr="00CB30F8" w:rsidRDefault="002F3E7F" w:rsidP="002F3E7F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2F3E7F" w:rsidRPr="00CB30F8" w:rsidTr="002F3E7F">
        <w:trPr>
          <w:cantSplit/>
        </w:trPr>
        <w:tc>
          <w:tcPr>
            <w:tcW w:w="6531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2F3E7F" w:rsidRPr="00CB30F8" w:rsidTr="002F3E7F">
        <w:trPr>
          <w:cantSplit/>
        </w:trPr>
        <w:tc>
          <w:tcPr>
            <w:tcW w:w="6531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19</w:t>
            </w: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2F3E7F" w:rsidRPr="00CB30F8" w:rsidTr="002F3E7F">
        <w:trPr>
          <w:cantSplit/>
        </w:trPr>
        <w:tc>
          <w:tcPr>
            <w:tcW w:w="6531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2F3E7F" w:rsidRPr="00CB30F8" w:rsidRDefault="002F3E7F" w:rsidP="002F3E7F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2F3E7F" w:rsidRPr="00CB30F8" w:rsidTr="002F3E7F">
        <w:trPr>
          <w:cantSplit/>
        </w:trPr>
        <w:tc>
          <w:tcPr>
            <w:tcW w:w="9639" w:type="dxa"/>
            <w:gridSpan w:val="2"/>
          </w:tcPr>
          <w:p w:rsidR="002F3E7F" w:rsidRPr="00CB30F8" w:rsidRDefault="002F3E7F" w:rsidP="002F3E7F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564BA7">
              <w:rPr>
                <w:rFonts w:eastAsiaTheme="minorEastAsia" w:hint="eastAsia"/>
                <w:rtl/>
                <w:lang w:eastAsia="zh-CN" w:bidi="ar-SA"/>
              </w:rPr>
              <w:t>مد</w:t>
            </w:r>
            <w:bookmarkStart w:id="1" w:name="_GoBack"/>
            <w:bookmarkEnd w:id="1"/>
            <w:r w:rsidRPr="00564BA7">
              <w:rPr>
                <w:rFonts w:eastAsiaTheme="minorEastAsia" w:hint="eastAsia"/>
                <w:rtl/>
                <w:lang w:eastAsia="zh-CN" w:bidi="ar-SA"/>
              </w:rPr>
              <w:t>ير</w:t>
            </w:r>
            <w:r>
              <w:rPr>
                <w:rFonts w:eastAsiaTheme="minorEastAsia" w:hint="cs"/>
                <w:rtl/>
                <w:lang w:eastAsia="zh-CN" w:bidi="ar-SA"/>
              </w:rPr>
              <w:t>ة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مكتب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تنمية</w:t>
            </w:r>
            <w:r w:rsidRPr="00564BA7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rtl/>
                <w:lang w:eastAsia="zh-CN" w:bidi="ar-SA"/>
              </w:rPr>
              <w:t>الاتصالات</w:t>
            </w:r>
          </w:p>
        </w:tc>
      </w:tr>
      <w:tr w:rsidR="002F3E7F" w:rsidRPr="00CB30F8" w:rsidTr="002F3E7F">
        <w:trPr>
          <w:cantSplit/>
        </w:trPr>
        <w:tc>
          <w:tcPr>
            <w:tcW w:w="9639" w:type="dxa"/>
            <w:gridSpan w:val="2"/>
          </w:tcPr>
          <w:p w:rsidR="002F3E7F" w:rsidRPr="00CB30F8" w:rsidRDefault="002F3E7F" w:rsidP="002F3E7F">
            <w:pPr>
              <w:pStyle w:val="Title1"/>
              <w:rPr>
                <w:rFonts w:eastAsiaTheme="minorEastAsia"/>
                <w:w w:val="110"/>
                <w:rtl/>
                <w:lang w:eastAsia="zh-CN" w:bidi="ar-SA"/>
              </w:rPr>
            </w:pP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مشـروع</w:t>
            </w:r>
            <w:r w:rsidRPr="00564BA7">
              <w:rPr>
                <w:rFonts w:eastAsiaTheme="minorEastAsia"/>
                <w:w w:val="110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جـدول</w:t>
            </w:r>
            <w:r w:rsidRPr="00564BA7">
              <w:rPr>
                <w:rFonts w:eastAsiaTheme="minorEastAsia"/>
                <w:w w:val="110"/>
                <w:rtl/>
                <w:lang w:eastAsia="zh-CN" w:bidi="ar-SA"/>
              </w:rPr>
              <w:t xml:space="preserve"> </w:t>
            </w:r>
            <w:r w:rsidRPr="00564BA7">
              <w:rPr>
                <w:rFonts w:eastAsiaTheme="minorEastAsia" w:hint="eastAsia"/>
                <w:w w:val="110"/>
                <w:rtl/>
                <w:lang w:eastAsia="zh-CN" w:bidi="ar-SA"/>
              </w:rPr>
              <w:t>الأعمـال</w:t>
            </w:r>
            <w:r>
              <w:rPr>
                <w:rFonts w:eastAsiaTheme="minorEastAsia" w:hint="cs"/>
                <w:w w:val="110"/>
                <w:rtl/>
                <w:lang w:eastAsia="zh-CN" w:bidi="ar-SA"/>
              </w:rPr>
              <w:t xml:space="preserve"> </w:t>
            </w:r>
            <w:r w:rsidRPr="005069E0">
              <w:rPr>
                <w:rFonts w:eastAsiaTheme="minorEastAsia" w:hint="cs"/>
                <w:w w:val="110"/>
                <w:rtl/>
                <w:lang w:eastAsia="zh-CN" w:bidi="ar-SA"/>
              </w:rPr>
              <w:t xml:space="preserve">(المراجعة </w:t>
            </w:r>
            <w:r w:rsidRPr="005069E0">
              <w:rPr>
                <w:rFonts w:eastAsiaTheme="minorEastAsia"/>
                <w:w w:val="110"/>
                <w:lang w:eastAsia="zh-CN" w:bidi="ar-SA"/>
              </w:rPr>
              <w:t>1</w:t>
            </w:r>
            <w:r w:rsidRPr="005069E0">
              <w:rPr>
                <w:rFonts w:eastAsiaTheme="minorEastAsia" w:hint="cs"/>
                <w:w w:val="110"/>
                <w:rtl/>
                <w:lang w:eastAsia="zh-CN" w:bidi="ar-SA"/>
              </w:rPr>
              <w:t>)</w:t>
            </w:r>
          </w:p>
        </w:tc>
      </w:tr>
      <w:tr w:rsidR="002F3E7F" w:rsidRPr="00CB30F8" w:rsidTr="002F3E7F">
        <w:trPr>
          <w:cantSplit/>
        </w:trPr>
        <w:tc>
          <w:tcPr>
            <w:tcW w:w="9639" w:type="dxa"/>
            <w:gridSpan w:val="2"/>
          </w:tcPr>
          <w:p w:rsidR="002F3E7F" w:rsidRDefault="002F3E7F" w:rsidP="002F3E7F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</w:tbl>
    <w:p w:rsidR="00564BA7" w:rsidRDefault="00564BA7" w:rsidP="00564BA7">
      <w:pPr>
        <w:pStyle w:val="enumlev10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كلمة الأمين العام</w:t>
      </w:r>
    </w:p>
    <w:p w:rsidR="00564BA7" w:rsidRDefault="00564BA7" w:rsidP="00564BA7">
      <w:pPr>
        <w:pStyle w:val="enumlev10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كلمة مديرة مكتب تنمية الاتصالات</w:t>
      </w:r>
    </w:p>
    <w:p w:rsidR="00564BA7" w:rsidRDefault="00564BA7" w:rsidP="00564BA7">
      <w:pPr>
        <w:pStyle w:val="enumlev10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ملاحظات افتتاحية من رئيسة الفريق الاستشاري لتنمية الاتصالات</w:t>
      </w:r>
    </w:p>
    <w:p w:rsidR="00564BA7" w:rsidRDefault="00564BA7" w:rsidP="00564BA7">
      <w:pPr>
        <w:pStyle w:val="enumlev10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>اعتماد جدول الأعمال وخطة إدارة الوقت</w:t>
      </w:r>
    </w:p>
    <w:p w:rsidR="00564BA7" w:rsidRDefault="00564BA7" w:rsidP="00564BA7">
      <w:pPr>
        <w:pStyle w:val="enumlev10"/>
        <w:rPr>
          <w:rtl/>
          <w:lang w:bidi="ar-EG"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نتائج مؤتمر المندوبين المفوضين لعام </w:t>
      </w:r>
      <w:r>
        <w:t>2018</w:t>
      </w:r>
      <w:r>
        <w:rPr>
          <w:rFonts w:hint="cs"/>
          <w:rtl/>
        </w:rPr>
        <w:t xml:space="preserve"> ذات الصلة بعمل قطاع تنمية الاتصالات</w:t>
      </w:r>
    </w:p>
    <w:p w:rsidR="00564BA7" w:rsidRPr="003F2E70" w:rsidRDefault="00564BA7" w:rsidP="00564BA7">
      <w:pPr>
        <w:pStyle w:val="enumlev10"/>
        <w:rPr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>
        <w:rPr>
          <w:lang w:bidi="ar-EG"/>
        </w:rPr>
        <w:t>2023</w:t>
      </w:r>
      <w:r>
        <w:rPr>
          <w:lang w:bidi="ar-EG"/>
        </w:rPr>
        <w:noBreakHyphen/>
        <w:t>2020</w:t>
      </w:r>
    </w:p>
    <w:p w:rsidR="00564BA7" w:rsidRPr="00B27B41" w:rsidRDefault="00564BA7" w:rsidP="00564BA7">
      <w:pPr>
        <w:pStyle w:val="enumlev10"/>
        <w:rPr>
          <w:spacing w:val="-6"/>
          <w:rtl/>
        </w:rPr>
      </w:pPr>
      <w:r>
        <w:t>7</w:t>
      </w:r>
      <w:r>
        <w:rPr>
          <w:rtl/>
        </w:rPr>
        <w:tab/>
      </w:r>
      <w:r w:rsidRPr="00B27B41">
        <w:rPr>
          <w:rFonts w:hint="cs"/>
          <w:spacing w:val="-6"/>
          <w:rtl/>
        </w:rPr>
        <w:t xml:space="preserve">تقرير بشأن تنفيذ الخطتين الاستراتيجية والتشغيلية لقطاع تنمية الاتصالات لعام </w:t>
      </w:r>
      <w:r w:rsidRPr="00B27B41">
        <w:rPr>
          <w:spacing w:val="-6"/>
        </w:rPr>
        <w:t>2018</w:t>
      </w:r>
      <w:r w:rsidRPr="00B27B41">
        <w:rPr>
          <w:rFonts w:hint="cs"/>
          <w:spacing w:val="-6"/>
          <w:rtl/>
        </w:rPr>
        <w:t>، بما في ذلك الاتجاهات والأنشطة الإقليمية</w:t>
      </w:r>
    </w:p>
    <w:p w:rsidR="00564BA7" w:rsidRDefault="00564BA7" w:rsidP="00564BA7">
      <w:pPr>
        <w:pStyle w:val="enumlev10"/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 xml:space="preserve">مساهمة قطاع تنمية الاتصالات في تنفيذ خطة عمل القمة العالمية لمجتمع المعلومات وخطة التنمية المستدامة لعام </w:t>
      </w:r>
      <w:r>
        <w:t>2030</w:t>
      </w:r>
    </w:p>
    <w:p w:rsidR="00564BA7" w:rsidRDefault="00564BA7" w:rsidP="00564BA7">
      <w:pPr>
        <w:pStyle w:val="enumlev10"/>
        <w:rPr>
          <w:rtl/>
        </w:rPr>
      </w:pPr>
      <w:r>
        <w:t>9</w:t>
      </w:r>
      <w:r>
        <w:rPr>
          <w:rtl/>
        </w:rPr>
        <w:tab/>
      </w:r>
      <w:r>
        <w:rPr>
          <w:rFonts w:hint="cs"/>
          <w:rtl/>
        </w:rPr>
        <w:t>أمور متعلقة بلجنتي دراسات قطاع تنمية الاتصالات</w:t>
      </w:r>
    </w:p>
    <w:p w:rsidR="00564BA7" w:rsidRDefault="00564BA7" w:rsidP="00564BA7">
      <w:pPr>
        <w:pStyle w:val="enumlev10"/>
        <w:rPr>
          <w:rtl/>
          <w:lang w:bidi="ar-EG"/>
        </w:rPr>
      </w:pPr>
      <w:r>
        <w:t>10</w:t>
      </w:r>
      <w:r>
        <w:rPr>
          <w:rtl/>
        </w:rPr>
        <w:tab/>
      </w:r>
      <w:r>
        <w:rPr>
          <w:rFonts w:hint="cs"/>
          <w:rtl/>
        </w:rPr>
        <w:t>التعاون مع القطاعين الآخرين</w:t>
      </w:r>
    </w:p>
    <w:p w:rsidR="00564BA7" w:rsidRDefault="00564BA7" w:rsidP="00564BA7">
      <w:pPr>
        <w:pStyle w:val="enumlev10"/>
        <w:rPr>
          <w:rtl/>
        </w:rPr>
      </w:pPr>
      <w:r>
        <w:t>11</w:t>
      </w:r>
      <w:r>
        <w:rPr>
          <w:rtl/>
        </w:rPr>
        <w:tab/>
      </w:r>
      <w:r>
        <w:rPr>
          <w:rFonts w:hint="cs"/>
          <w:rtl/>
        </w:rPr>
        <w:t xml:space="preserve">الأعمال التحضيرية للمؤتمر العالمي لتنمية الاتصالات لعام </w:t>
      </w:r>
      <w:r>
        <w:t>2021</w:t>
      </w:r>
      <w:r>
        <w:rPr>
          <w:rFonts w:hint="cs"/>
          <w:rtl/>
        </w:rPr>
        <w:t>، بما في ذلك المنتديات الإقليمية للتنمية والاجتماعات الإقليمية التحضيرية</w:t>
      </w:r>
    </w:p>
    <w:p w:rsidR="00564BA7" w:rsidRDefault="00564BA7" w:rsidP="00564BA7">
      <w:pPr>
        <w:pStyle w:val="enumlev10"/>
        <w:rPr>
          <w:rtl/>
        </w:rPr>
      </w:pPr>
      <w:r>
        <w:t>12</w:t>
      </w:r>
      <w:r>
        <w:rPr>
          <w:rtl/>
        </w:rPr>
        <w:tab/>
      </w:r>
      <w:r>
        <w:rPr>
          <w:rFonts w:hint="cs"/>
          <w:rtl/>
        </w:rPr>
        <w:t>تقرير بشأن الأحداث/المبادرات الرئيسية لقطاع تنمية الاتصالات</w:t>
      </w:r>
    </w:p>
    <w:p w:rsidR="00564BA7" w:rsidRDefault="00564BA7" w:rsidP="005069E0">
      <w:pPr>
        <w:pStyle w:val="enumlev20"/>
        <w:rPr>
          <w:rtl/>
          <w:lang w:bidi="ar-EG"/>
        </w:rPr>
      </w:pPr>
      <w:r>
        <w:t>1.12</w:t>
      </w:r>
      <w:r>
        <w:rPr>
          <w:rtl/>
        </w:rPr>
        <w:tab/>
      </w:r>
      <w:r w:rsidR="005069E0">
        <w:rPr>
          <w:rFonts w:hint="cs"/>
          <w:rtl/>
        </w:rPr>
        <w:t>الأنشطة المتعلقة بالبنية التحتية وإدارة الطيف</w:t>
      </w:r>
    </w:p>
    <w:p w:rsidR="00564BA7" w:rsidRDefault="00564BA7" w:rsidP="005069E0">
      <w:pPr>
        <w:pStyle w:val="enumlev20"/>
        <w:rPr>
          <w:rtl/>
          <w:lang w:bidi="ar-EG"/>
        </w:rPr>
      </w:pPr>
      <w:r>
        <w:t>2.12</w:t>
      </w:r>
      <w:r>
        <w:rPr>
          <w:rtl/>
          <w:lang w:bidi="ar-EG"/>
        </w:rPr>
        <w:tab/>
      </w:r>
      <w:r w:rsidR="005069E0">
        <w:rPr>
          <w:rFonts w:hint="cs"/>
          <w:rtl/>
          <w:lang w:bidi="ar-EG"/>
        </w:rPr>
        <w:t xml:space="preserve">الأمن </w:t>
      </w:r>
      <w:proofErr w:type="spellStart"/>
      <w:r w:rsidR="005069E0">
        <w:rPr>
          <w:rFonts w:hint="cs"/>
          <w:rtl/>
          <w:lang w:bidi="ar-EG"/>
        </w:rPr>
        <w:t>السيبراني</w:t>
      </w:r>
      <w:proofErr w:type="spellEnd"/>
      <w:r w:rsidR="005069E0">
        <w:rPr>
          <w:rFonts w:hint="cs"/>
          <w:rtl/>
          <w:lang w:bidi="ar-EG"/>
        </w:rPr>
        <w:t xml:space="preserve"> وتطبيقات تكنولوجيا المعلومات والاتصالات</w:t>
      </w:r>
    </w:p>
    <w:p w:rsidR="00564BA7" w:rsidRDefault="008678F0" w:rsidP="005069E0">
      <w:pPr>
        <w:pStyle w:val="enumlev20"/>
        <w:rPr>
          <w:rtl/>
          <w:lang w:bidi="ar-EG"/>
        </w:rPr>
      </w:pPr>
      <w:r>
        <w:rPr>
          <w:lang w:bidi="ar-EG"/>
        </w:rPr>
        <w:t>3.12</w:t>
      </w:r>
      <w:r>
        <w:rPr>
          <w:rtl/>
          <w:lang w:bidi="ar-EG"/>
        </w:rPr>
        <w:tab/>
      </w:r>
      <w:r w:rsidR="005069E0">
        <w:rPr>
          <w:rFonts w:hint="cs"/>
          <w:rtl/>
          <w:lang w:bidi="ar-EG"/>
        </w:rPr>
        <w:t xml:space="preserve">البيئة التنظيمية </w:t>
      </w:r>
      <w:r w:rsidR="005069E0">
        <w:rPr>
          <w:rFonts w:hint="cs"/>
          <w:rtl/>
        </w:rPr>
        <w:t xml:space="preserve">وبيئة الأسواق، بما في ذلك </w:t>
      </w:r>
      <w:r>
        <w:rPr>
          <w:rFonts w:hint="cs"/>
          <w:rtl/>
        </w:rPr>
        <w:t xml:space="preserve">الندوة العالمية لمنظمي الاتصالات </w:t>
      </w:r>
      <w:r>
        <w:t>(GSR)</w:t>
      </w:r>
    </w:p>
    <w:p w:rsidR="008678F0" w:rsidRDefault="008678F0" w:rsidP="005069E0">
      <w:pPr>
        <w:pStyle w:val="enumlev20"/>
        <w:rPr>
          <w:rtl/>
          <w:lang w:bidi="ar-EG"/>
        </w:rPr>
      </w:pPr>
      <w:r>
        <w:t>4.12</w:t>
      </w:r>
      <w:r>
        <w:rPr>
          <w:rtl/>
          <w:lang w:bidi="ar-EG"/>
        </w:rPr>
        <w:tab/>
      </w:r>
      <w:r w:rsidR="005069E0">
        <w:rPr>
          <w:rFonts w:hint="cs"/>
          <w:rtl/>
          <w:lang w:bidi="ar-EG"/>
        </w:rPr>
        <w:t>الشمول الرقمي</w:t>
      </w:r>
    </w:p>
    <w:p w:rsidR="00564BA7" w:rsidRDefault="008678F0" w:rsidP="008678F0">
      <w:pPr>
        <w:pStyle w:val="enumlev20"/>
      </w:pPr>
      <w:r>
        <w:t>5.12</w:t>
      </w:r>
      <w:r>
        <w:tab/>
      </w:r>
      <w:r w:rsidR="00564BA7">
        <w:rPr>
          <w:rFonts w:hint="cs"/>
          <w:rtl/>
        </w:rPr>
        <w:t>أنشطة بناء القدرات</w:t>
      </w:r>
    </w:p>
    <w:p w:rsidR="00564BA7" w:rsidRDefault="008678F0" w:rsidP="005069E0">
      <w:pPr>
        <w:pStyle w:val="enumlev20"/>
        <w:rPr>
          <w:rtl/>
        </w:rPr>
      </w:pPr>
      <w:r>
        <w:lastRenderedPageBreak/>
        <w:t>6</w:t>
      </w:r>
      <w:r w:rsidR="00564BA7">
        <w:t>.12</w:t>
      </w:r>
      <w:r w:rsidR="00564BA7">
        <w:tab/>
      </w:r>
      <w:r w:rsidR="005069E0">
        <w:rPr>
          <w:rFonts w:hint="cs"/>
          <w:rtl/>
        </w:rPr>
        <w:t>بيانات وإحصاءات عن تكنولوجيا المعلومات والاتصالات، بما في ذلك</w:t>
      </w:r>
      <w:r>
        <w:rPr>
          <w:rFonts w:hint="cs"/>
          <w:rtl/>
        </w:rPr>
        <w:t xml:space="preserve"> </w:t>
      </w:r>
      <w:r w:rsidR="00564BA7">
        <w:rPr>
          <w:rFonts w:hint="cs"/>
          <w:rtl/>
        </w:rPr>
        <w:t>الندوة العالمية لمؤشرات الاتصالات/</w:t>
      </w:r>
      <w:r w:rsidR="005069E0">
        <w:rPr>
          <w:rFonts w:hint="cs"/>
          <w:rtl/>
        </w:rPr>
        <w:t xml:space="preserve"> </w:t>
      </w:r>
      <w:r w:rsidR="00564BA7">
        <w:rPr>
          <w:rFonts w:hint="cs"/>
          <w:rtl/>
        </w:rPr>
        <w:t xml:space="preserve">تكنولوجيا المعلومات والاتصالات </w:t>
      </w:r>
      <w:r w:rsidR="00564BA7">
        <w:t>(WTIS)</w:t>
      </w:r>
    </w:p>
    <w:p w:rsidR="00564BA7" w:rsidRDefault="008678F0" w:rsidP="008678F0">
      <w:pPr>
        <w:pStyle w:val="enumlev20"/>
      </w:pPr>
      <w:r>
        <w:t>7</w:t>
      </w:r>
      <w:r w:rsidR="00564BA7">
        <w:t>.12</w:t>
      </w:r>
      <w:r w:rsidR="00564BA7">
        <w:tab/>
      </w:r>
      <w:r w:rsidR="00564BA7">
        <w:rPr>
          <w:rFonts w:hint="cs"/>
          <w:rtl/>
        </w:rPr>
        <w:t>الاتصالات في حالات الطوارئ</w:t>
      </w:r>
      <w:r>
        <w:rPr>
          <w:rFonts w:hint="cs"/>
          <w:rtl/>
        </w:rPr>
        <w:t xml:space="preserve">، </w:t>
      </w:r>
      <w:r w:rsidRPr="005069E0">
        <w:rPr>
          <w:rFonts w:hint="cs"/>
          <w:rtl/>
        </w:rPr>
        <w:t>تغير المناخ، المخلفات الإلكترونية، أقل البلدان نمواً، البلدان النامية غير الساحلية، الدول الجزرية الصغيرة النامية</w:t>
      </w:r>
    </w:p>
    <w:p w:rsidR="00564BA7" w:rsidRDefault="008678F0" w:rsidP="00564BA7">
      <w:pPr>
        <w:pStyle w:val="enumlev20"/>
      </w:pPr>
      <w:r>
        <w:t>8</w:t>
      </w:r>
      <w:r w:rsidR="00564BA7">
        <w:t>.12</w:t>
      </w:r>
      <w:r w:rsidR="00564BA7">
        <w:tab/>
      </w:r>
      <w:r w:rsidR="00564BA7">
        <w:rPr>
          <w:rFonts w:hint="cs"/>
          <w:rtl/>
        </w:rPr>
        <w:t>مشاريع قطاع تنمية الاتصالات</w:t>
      </w:r>
    </w:p>
    <w:p w:rsidR="00564BA7" w:rsidRDefault="008678F0" w:rsidP="00564BA7">
      <w:pPr>
        <w:pStyle w:val="enumlev20"/>
      </w:pPr>
      <w:r>
        <w:t>9</w:t>
      </w:r>
      <w:r w:rsidR="00564BA7">
        <w:t>.12</w:t>
      </w:r>
      <w:r w:rsidR="00564BA7">
        <w:tab/>
      </w:r>
      <w:r w:rsidR="00564BA7">
        <w:rPr>
          <w:rFonts w:hint="cs"/>
          <w:rtl/>
        </w:rPr>
        <w:t>الابتكار</w:t>
      </w:r>
    </w:p>
    <w:p w:rsidR="00564BA7" w:rsidRDefault="00564BA7" w:rsidP="00564BA7">
      <w:pPr>
        <w:pStyle w:val="enumlev10"/>
        <w:rPr>
          <w:rtl/>
        </w:rPr>
      </w:pPr>
      <w:r>
        <w:t>13</w:t>
      </w:r>
      <w:r>
        <w:rPr>
          <w:rtl/>
        </w:rPr>
        <w:tab/>
      </w:r>
      <w:r>
        <w:rPr>
          <w:rFonts w:hint="cs"/>
          <w:rtl/>
        </w:rPr>
        <w:t>الأمور المتعلقة بالعضوية والشراكات والقطاع الخاص</w:t>
      </w:r>
    </w:p>
    <w:p w:rsidR="00564BA7" w:rsidRDefault="00564BA7" w:rsidP="00564BA7">
      <w:pPr>
        <w:pStyle w:val="enumlev10"/>
        <w:rPr>
          <w:rtl/>
        </w:rPr>
      </w:pPr>
      <w:r>
        <w:t>14</w:t>
      </w:r>
      <w:r>
        <w:rPr>
          <w:rtl/>
        </w:rPr>
        <w:tab/>
      </w:r>
      <w:r>
        <w:rPr>
          <w:rFonts w:hint="cs"/>
          <w:rtl/>
        </w:rPr>
        <w:t>الجدول الزمني لأحداث قطاع تنمية الاتصالات</w:t>
      </w:r>
    </w:p>
    <w:p w:rsidR="00564BA7" w:rsidRDefault="00564BA7" w:rsidP="00564BA7">
      <w:pPr>
        <w:pStyle w:val="enumlev10"/>
        <w:rPr>
          <w:rtl/>
        </w:rPr>
      </w:pPr>
      <w:r>
        <w:t>15</w:t>
      </w:r>
      <w:r>
        <w:rPr>
          <w:rtl/>
        </w:rPr>
        <w:tab/>
      </w:r>
      <w:r>
        <w:rPr>
          <w:rFonts w:hint="cs"/>
          <w:rtl/>
        </w:rPr>
        <w:t>ما يُستجد من أعمال</w:t>
      </w:r>
    </w:p>
    <w:p w:rsidR="00564BA7" w:rsidRDefault="00564BA7" w:rsidP="008678F0">
      <w:pPr>
        <w:spacing w:before="600" w:line="240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p w:rsidR="005069E0" w:rsidRDefault="005069E0" w:rsidP="005069E0">
      <w:pPr>
        <w:rPr>
          <w:rtl/>
          <w:lang w:bidi="ar-EG"/>
        </w:rPr>
      </w:pPr>
    </w:p>
    <w:sectPr w:rsidR="005069E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A7" w:rsidRDefault="00564BA7" w:rsidP="00E07379">
      <w:pPr>
        <w:spacing w:before="0" w:line="240" w:lineRule="auto"/>
      </w:pPr>
      <w:r>
        <w:separator/>
      </w:r>
    </w:p>
  </w:endnote>
  <w:endnote w:type="continuationSeparator" w:id="0">
    <w:p w:rsidR="00564BA7" w:rsidRDefault="00564BA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9726E8" w:rsidP="009726E8">
    <w:pPr>
      <w:pStyle w:val="Footer"/>
      <w:tabs>
        <w:tab w:val="clear" w:pos="5812"/>
        <w:tab w:val="center" w:pos="5103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2F3E7F">
      <w:rPr>
        <w:noProof/>
      </w:rPr>
      <w:t>P:\ARA\ITU-D\CONF-D\TDAG19\000\001REV1A.docx</w:t>
    </w:r>
    <w:r>
      <w:rPr>
        <w:noProof/>
      </w:rPr>
      <w:fldChar w:fldCharType="end"/>
    </w:r>
    <w:r w:rsidR="00BD0C50" w:rsidRPr="00665956">
      <w:t xml:space="preserve">   (</w:t>
    </w:r>
    <w:r>
      <w:t>450697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B1F50">
      <w:rPr>
        <w:noProof/>
      </w:rPr>
      <w:t>01.03.19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F3E7F">
      <w:rPr>
        <w:noProof/>
      </w:rPr>
      <w:t>01.03.19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901F9F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901F9F" w:rsidRDefault="008678F0" w:rsidP="008678F0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8678F0">
            <w:rPr>
              <w:rFonts w:hint="cs"/>
              <w:sz w:val="20"/>
              <w:szCs w:val="26"/>
              <w:rtl/>
              <w:lang w:bidi="ar-EG"/>
            </w:rPr>
            <w:t xml:space="preserve">السيد يوشي </w:t>
          </w:r>
          <w:proofErr w:type="spellStart"/>
          <w:r w:rsidRPr="008678F0">
            <w:rPr>
              <w:rFonts w:hint="cs"/>
              <w:sz w:val="20"/>
              <w:szCs w:val="26"/>
              <w:rtl/>
              <w:lang w:bidi="ar-EG"/>
            </w:rPr>
            <w:t>توريغو</w:t>
          </w:r>
          <w:proofErr w:type="spellEnd"/>
          <w:r w:rsidRPr="008678F0">
            <w:rPr>
              <w:rFonts w:hint="cs"/>
              <w:sz w:val="20"/>
              <w:szCs w:val="26"/>
              <w:rtl/>
              <w:lang w:bidi="ar-EG"/>
            </w:rPr>
            <w:t>، نائب مدير</w:t>
          </w:r>
          <w:r w:rsidR="005069E0">
            <w:rPr>
              <w:rFonts w:hint="cs"/>
              <w:sz w:val="20"/>
              <w:szCs w:val="26"/>
              <w:rtl/>
              <w:lang w:bidi="ar-EG"/>
            </w:rPr>
            <w:t>ة</w:t>
          </w:r>
          <w:r w:rsidRPr="008678F0">
            <w:rPr>
              <w:rFonts w:hint="cs"/>
              <w:sz w:val="20"/>
              <w:szCs w:val="26"/>
              <w:rtl/>
              <w:lang w:bidi="ar-EG"/>
            </w:rPr>
            <w:t xml:space="preserve"> مكتب تنمية الاتصالات</w:t>
          </w:r>
        </w:p>
      </w:tc>
    </w:tr>
    <w:tr w:rsidR="00A72045" w:rsidRPr="00901F9F" w:rsidTr="00765718">
      <w:tc>
        <w:tcPr>
          <w:tcW w:w="1298" w:type="dxa"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901F9F" w:rsidRDefault="008678F0" w:rsidP="008678F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8678F0">
            <w:rPr>
              <w:sz w:val="20"/>
              <w:szCs w:val="26"/>
              <w:lang w:val="en-GB" w:bidi="ar-EG"/>
            </w:rPr>
            <w:t>+</w:t>
          </w:r>
          <w:r w:rsidRPr="008678F0">
            <w:rPr>
              <w:sz w:val="20"/>
              <w:szCs w:val="26"/>
              <w:lang w:bidi="ar-EG"/>
            </w:rPr>
            <w:t>41 22 730 5784</w:t>
          </w:r>
        </w:p>
      </w:tc>
    </w:tr>
    <w:tr w:rsidR="00A72045" w:rsidRPr="00901F9F" w:rsidTr="00765718">
      <w:tc>
        <w:tcPr>
          <w:tcW w:w="1298" w:type="dxa"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901F9F" w:rsidRDefault="003B1F50" w:rsidP="008678F0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8678F0" w:rsidRPr="008678F0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</w:p>
      </w:tc>
    </w:tr>
  </w:tbl>
  <w:p w:rsidR="00A72045" w:rsidRPr="008678F0" w:rsidRDefault="003B1F50" w:rsidP="008678F0">
    <w:pPr>
      <w:bidi w:val="0"/>
      <w:spacing w:before="240" w:line="240" w:lineRule="auto"/>
      <w:jc w:val="center"/>
      <w:rPr>
        <w:rFonts w:eastAsiaTheme="minorEastAsia"/>
        <w:sz w:val="8"/>
        <w:szCs w:val="16"/>
        <w:rtl/>
        <w:lang w:val="ru-RU" w:eastAsia="zh-CN"/>
      </w:rPr>
    </w:pPr>
    <w:hyperlink r:id="rId2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A7" w:rsidRDefault="00564BA7" w:rsidP="00E07379">
      <w:pPr>
        <w:spacing w:before="0" w:line="240" w:lineRule="auto"/>
      </w:pPr>
      <w:r>
        <w:separator/>
      </w:r>
    </w:p>
  </w:footnote>
  <w:footnote w:type="continuationSeparator" w:id="0">
    <w:p w:rsidR="00564BA7" w:rsidRDefault="00564BA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8678F0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8678F0">
      <w:rPr>
        <w:rFonts w:eastAsiaTheme="minorEastAsia" w:cs="Calibri"/>
        <w:sz w:val="20"/>
        <w:szCs w:val="20"/>
        <w:lang w:eastAsia="zh-CN"/>
      </w:rPr>
      <w:t>1(Rev.1)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3B1F50">
      <w:rPr>
        <w:rFonts w:eastAsiaTheme="minorEastAsia" w:cs="Calibri"/>
        <w:noProof/>
        <w:sz w:val="20"/>
        <w:szCs w:val="20"/>
        <w:rtl/>
        <w:lang w:val="en-GB" w:eastAsia="zh-CN"/>
      </w:rPr>
      <w:t>2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3E7F"/>
    <w:rsid w:val="002F5560"/>
    <w:rsid w:val="0030486B"/>
    <w:rsid w:val="003231B9"/>
    <w:rsid w:val="003275AC"/>
    <w:rsid w:val="00333D29"/>
    <w:rsid w:val="003409F4"/>
    <w:rsid w:val="00357185"/>
    <w:rsid w:val="003A1741"/>
    <w:rsid w:val="003B1F50"/>
    <w:rsid w:val="003C106D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7703"/>
    <w:rsid w:val="004F0F06"/>
    <w:rsid w:val="00501E0E"/>
    <w:rsid w:val="005069E0"/>
    <w:rsid w:val="005204D7"/>
    <w:rsid w:val="00530420"/>
    <w:rsid w:val="005347A2"/>
    <w:rsid w:val="00552BC5"/>
    <w:rsid w:val="0055516A"/>
    <w:rsid w:val="0056374C"/>
    <w:rsid w:val="00564BA7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78F0"/>
    <w:rsid w:val="00874D9C"/>
    <w:rsid w:val="00895A80"/>
    <w:rsid w:val="008A1810"/>
    <w:rsid w:val="008B5B5D"/>
    <w:rsid w:val="00917694"/>
    <w:rsid w:val="009263CD"/>
    <w:rsid w:val="00930E6D"/>
    <w:rsid w:val="009726E8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5ED1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D3434CD-9CCE-46F0-B047-5D97CA9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564BA7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564BA7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30E91-DFD2-441C-B3CB-6EF9427D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Riz, Imad </cp:lastModifiedBy>
  <cp:revision>5</cp:revision>
  <cp:lastPrinted>2019-03-01T14:01:00Z</cp:lastPrinted>
  <dcterms:created xsi:type="dcterms:W3CDTF">2019-03-01T13:52:00Z</dcterms:created>
  <dcterms:modified xsi:type="dcterms:W3CDTF">2019-03-01T15:56:00Z</dcterms:modified>
  <cp:category>Conference document</cp:category>
</cp:coreProperties>
</file>